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W w:w="5604"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6"/>
        <w:gridCol w:w="3844"/>
        <w:gridCol w:w="5671"/>
      </w:tblGrid>
      <w:tr w:rsidR="00775978" w:rsidRPr="00ED7E61" w14:paraId="21D1242F" w14:textId="77777777" w:rsidTr="00514E53">
        <w:trPr>
          <w:trHeight w:val="851"/>
        </w:trPr>
        <w:tc>
          <w:tcPr>
            <w:tcW w:w="465" w:type="pct"/>
            <w:tcBorders>
              <w:bottom w:val="single" w:sz="8" w:space="0" w:color="auto"/>
            </w:tcBorders>
            <w:vAlign w:val="bottom"/>
          </w:tcPr>
          <w:p w14:paraId="45D798EA" w14:textId="77777777" w:rsidR="00775978" w:rsidRPr="00ED7E61" w:rsidRDefault="00775978" w:rsidP="00775978">
            <w:pPr>
              <w:spacing w:after="120"/>
              <w:rPr>
                <w:lang w:val="en-GB"/>
              </w:rPr>
            </w:pPr>
            <w:bookmarkStart w:id="0" w:name="_Hlk174979326"/>
            <w:bookmarkStart w:id="1" w:name="_Hlk137651738"/>
            <w:bookmarkEnd w:id="0"/>
            <w:r w:rsidRPr="00ED7E61">
              <w:rPr>
                <w:noProof/>
                <w:lang w:val="fr-FR" w:eastAsia="fr-FR"/>
              </w:rPr>
              <w:drawing>
                <wp:inline distT="0" distB="0" distL="0" distR="0" wp14:anchorId="55D650E0" wp14:editId="19E97FDD">
                  <wp:extent cx="476494" cy="403200"/>
                  <wp:effectExtent l="0" t="0" r="6350" b="3810"/>
                  <wp:docPr id="1126395443" name="Picture 1126395443"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1832" w:type="pct"/>
            <w:tcBorders>
              <w:bottom w:val="single" w:sz="8" w:space="0" w:color="auto"/>
            </w:tcBorders>
            <w:shd w:val="clear" w:color="auto" w:fill="auto"/>
            <w:tcFitText/>
            <w:vAlign w:val="bottom"/>
          </w:tcPr>
          <w:p w14:paraId="7B1217FB" w14:textId="77777777" w:rsidR="00775978" w:rsidRPr="00ED7E61" w:rsidRDefault="00775978" w:rsidP="00775978">
            <w:pPr>
              <w:spacing w:after="120"/>
              <w:rPr>
                <w:lang w:val="en-GB"/>
              </w:rPr>
            </w:pPr>
            <w:r w:rsidRPr="00ED7E61">
              <w:rPr>
                <w:noProof/>
                <w:lang w:val="fr-FR" w:eastAsia="fr-FR"/>
              </w:rPr>
              <w:drawing>
                <wp:inline distT="0" distB="0" distL="0" distR="0" wp14:anchorId="2DDAF6A3" wp14:editId="44348B47">
                  <wp:extent cx="500870" cy="360000"/>
                  <wp:effectExtent l="0" t="0" r="0" b="2540"/>
                  <wp:docPr id="185862919" name="Picture 185862919"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2919" name="Picture 185862919" descr="A picture containing black, darknes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870" cy="360000"/>
                          </a:xfrm>
                          <a:prstGeom prst="rect">
                            <a:avLst/>
                          </a:prstGeom>
                          <a:noFill/>
                          <a:ln>
                            <a:noFill/>
                          </a:ln>
                        </pic:spPr>
                      </pic:pic>
                    </a:graphicData>
                  </a:graphic>
                </wp:inline>
              </w:drawing>
            </w:r>
          </w:p>
        </w:tc>
        <w:tc>
          <w:tcPr>
            <w:tcW w:w="2703" w:type="pct"/>
            <w:tcBorders>
              <w:bottom w:val="single" w:sz="8" w:space="0" w:color="auto"/>
            </w:tcBorders>
            <w:vAlign w:val="bottom"/>
          </w:tcPr>
          <w:p w14:paraId="002EE343" w14:textId="03657106" w:rsidR="00775978" w:rsidRPr="00ED7E61" w:rsidRDefault="00B0658E" w:rsidP="00775978">
            <w:pPr>
              <w:spacing w:after="120"/>
              <w:ind w:left="2021"/>
              <w:jc w:val="right"/>
              <w:rPr>
                <w:szCs w:val="22"/>
                <w:lang w:val="en-GB"/>
              </w:rPr>
            </w:pPr>
            <w:r w:rsidRPr="00C131C9">
              <w:rPr>
                <w:sz w:val="40"/>
                <w:szCs w:val="40"/>
              </w:rPr>
              <w:t>CBD</w:t>
            </w:r>
            <w:r w:rsidRPr="00C131C9">
              <w:rPr>
                <w:szCs w:val="40"/>
              </w:rPr>
              <w:t>/COP/16/INF/</w:t>
            </w:r>
            <w:r w:rsidR="005F160E">
              <w:rPr>
                <w:szCs w:val="40"/>
              </w:rPr>
              <w:t>3</w:t>
            </w:r>
            <w:r w:rsidR="00C21B7A">
              <w:rPr>
                <w:szCs w:val="40"/>
              </w:rPr>
              <w:t>/Rev.1</w:t>
            </w:r>
          </w:p>
        </w:tc>
      </w:tr>
      <w:tr w:rsidR="00775978" w:rsidRPr="00ED7E61" w14:paraId="4CA3F1E6" w14:textId="77777777" w:rsidTr="00514E53">
        <w:tc>
          <w:tcPr>
            <w:tcW w:w="2297" w:type="pct"/>
            <w:gridSpan w:val="2"/>
            <w:tcBorders>
              <w:top w:val="single" w:sz="8" w:space="0" w:color="auto"/>
              <w:bottom w:val="single" w:sz="12" w:space="0" w:color="auto"/>
            </w:tcBorders>
          </w:tcPr>
          <w:p w14:paraId="6F65E44F" w14:textId="77777777" w:rsidR="00775978" w:rsidRPr="00ED7E61" w:rsidRDefault="00775978" w:rsidP="00775978">
            <w:pPr>
              <w:suppressLineNumbers/>
              <w:suppressAutoHyphens/>
              <w:spacing w:before="120" w:after="120"/>
              <w:rPr>
                <w:b/>
                <w:lang w:val="en-GB"/>
              </w:rPr>
            </w:pPr>
            <w:r w:rsidRPr="00ED7E61">
              <w:rPr>
                <w:bCs/>
                <w:noProof/>
                <w:lang w:val="fr-FR" w:eastAsia="fr-FR"/>
              </w:rPr>
              <w:drawing>
                <wp:inline distT="0" distB="0" distL="0" distR="0" wp14:anchorId="2ED0083F" wp14:editId="7DD93079">
                  <wp:extent cx="2755076" cy="1028538"/>
                  <wp:effectExtent l="0" t="0" r="0" b="635"/>
                  <wp:docPr id="414008662" name="Picture 414008662"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08662" name="Picture 414008662" descr="A picture containing black, darknes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1383" cy="1042092"/>
                          </a:xfrm>
                          <a:prstGeom prst="rect">
                            <a:avLst/>
                          </a:prstGeom>
                          <a:noFill/>
                        </pic:spPr>
                      </pic:pic>
                    </a:graphicData>
                  </a:graphic>
                </wp:inline>
              </w:drawing>
            </w:r>
          </w:p>
        </w:tc>
        <w:tc>
          <w:tcPr>
            <w:tcW w:w="2703" w:type="pct"/>
            <w:tcBorders>
              <w:top w:val="single" w:sz="8" w:space="0" w:color="auto"/>
              <w:bottom w:val="single" w:sz="12" w:space="0" w:color="auto"/>
            </w:tcBorders>
          </w:tcPr>
          <w:p w14:paraId="32F48CA2" w14:textId="28F821EF" w:rsidR="00775978" w:rsidRDefault="00775978" w:rsidP="00775978">
            <w:pPr>
              <w:ind w:left="2584"/>
              <w:jc w:val="both"/>
              <w:rPr>
                <w:sz w:val="22"/>
                <w:szCs w:val="22"/>
                <w:lang w:val="en-GB"/>
              </w:rPr>
            </w:pPr>
            <w:r w:rsidRPr="00ED7E61">
              <w:rPr>
                <w:sz w:val="22"/>
                <w:szCs w:val="22"/>
                <w:lang w:val="en-GB"/>
              </w:rPr>
              <w:t xml:space="preserve">Distr.: </w:t>
            </w:r>
            <w:r w:rsidR="00B0658E">
              <w:rPr>
                <w:sz w:val="22"/>
                <w:szCs w:val="22"/>
                <w:lang w:val="en-GB"/>
              </w:rPr>
              <w:t>General</w:t>
            </w:r>
          </w:p>
          <w:p w14:paraId="6AC3E5E9" w14:textId="47FBFAD4" w:rsidR="00775978" w:rsidRPr="00ED7E61" w:rsidRDefault="00C21B7A" w:rsidP="00F00F44">
            <w:pPr>
              <w:ind w:left="2584"/>
              <w:jc w:val="both"/>
              <w:rPr>
                <w:sz w:val="22"/>
                <w:szCs w:val="22"/>
                <w:lang w:val="en-GB"/>
              </w:rPr>
            </w:pPr>
            <w:r>
              <w:rPr>
                <w:sz w:val="22"/>
                <w:szCs w:val="22"/>
                <w:lang w:val="en-GB"/>
              </w:rPr>
              <w:t xml:space="preserve">30 </w:t>
            </w:r>
            <w:r w:rsidR="00F831B7">
              <w:rPr>
                <w:sz w:val="22"/>
                <w:szCs w:val="22"/>
                <w:lang w:val="en-GB"/>
              </w:rPr>
              <w:t>October</w:t>
            </w:r>
            <w:r w:rsidR="00D368F2">
              <w:rPr>
                <w:sz w:val="22"/>
                <w:szCs w:val="22"/>
                <w:lang w:val="en-GB"/>
              </w:rPr>
              <w:t xml:space="preserve"> 2024</w:t>
            </w:r>
          </w:p>
          <w:p w14:paraId="78580B49" w14:textId="77777777" w:rsidR="00775978" w:rsidRPr="00ED7E61" w:rsidRDefault="00775978" w:rsidP="00775978">
            <w:pPr>
              <w:ind w:left="2584"/>
              <w:jc w:val="both"/>
              <w:rPr>
                <w:sz w:val="22"/>
                <w:szCs w:val="22"/>
                <w:lang w:val="en-GB"/>
              </w:rPr>
            </w:pPr>
          </w:p>
          <w:p w14:paraId="64B5E215" w14:textId="36EBB33C" w:rsidR="00775978" w:rsidRPr="00ED7E61" w:rsidRDefault="00B0658E" w:rsidP="00775978">
            <w:pPr>
              <w:ind w:left="2584"/>
              <w:jc w:val="both"/>
              <w:rPr>
                <w:sz w:val="22"/>
                <w:szCs w:val="22"/>
                <w:lang w:val="en-GB"/>
              </w:rPr>
            </w:pPr>
            <w:r>
              <w:rPr>
                <w:sz w:val="22"/>
                <w:szCs w:val="22"/>
                <w:lang w:val="en-GB"/>
              </w:rPr>
              <w:t>English only</w:t>
            </w:r>
          </w:p>
          <w:p w14:paraId="30AF357E" w14:textId="77777777" w:rsidR="00775978" w:rsidRPr="00ED7E61" w:rsidRDefault="00775978" w:rsidP="00775978">
            <w:pPr>
              <w:jc w:val="both"/>
              <w:rPr>
                <w:lang w:val="en-GB"/>
              </w:rPr>
            </w:pPr>
          </w:p>
        </w:tc>
      </w:tr>
    </w:tbl>
    <w:bookmarkEnd w:id="1"/>
    <w:p w14:paraId="6C4DDDCE" w14:textId="77777777" w:rsidR="00B0658E" w:rsidRDefault="00B0658E" w:rsidP="00B0658E">
      <w:pPr>
        <w:pStyle w:val="Cornernotation"/>
        <w:ind w:left="0" w:right="5249" w:firstLine="0"/>
        <w:rPr>
          <w:bCs/>
        </w:rPr>
      </w:pPr>
      <w:r>
        <w:rPr>
          <w:bCs/>
        </w:rPr>
        <w:t>Conference of the Parties to the Convention on Biological Diversity</w:t>
      </w:r>
    </w:p>
    <w:p w14:paraId="02432139" w14:textId="77777777" w:rsidR="00B0658E" w:rsidRDefault="00B0658E" w:rsidP="00B0658E">
      <w:pPr>
        <w:pStyle w:val="Cornernotation"/>
        <w:rPr>
          <w:bCs/>
          <w:sz w:val="22"/>
        </w:rPr>
      </w:pPr>
      <w:r>
        <w:rPr>
          <w:bCs/>
          <w:sz w:val="22"/>
        </w:rPr>
        <w:t>Sixteenth</w:t>
      </w:r>
      <w:r w:rsidRPr="00A96B21">
        <w:rPr>
          <w:bCs/>
          <w:sz w:val="22"/>
        </w:rPr>
        <w:t xml:space="preserve"> meeting </w:t>
      </w:r>
    </w:p>
    <w:p w14:paraId="645E4512" w14:textId="77777777" w:rsidR="00B0658E" w:rsidRPr="00935461" w:rsidRDefault="00B0658E" w:rsidP="00B0658E">
      <w:pPr>
        <w:pStyle w:val="Venuedate"/>
        <w:rPr>
          <w:lang w:val="en-CA"/>
        </w:rPr>
      </w:pPr>
      <w:r>
        <w:rPr>
          <w:lang w:val="en-CA"/>
        </w:rPr>
        <w:t>Cali, Colombia, 21 October–1 November 2024</w:t>
      </w:r>
    </w:p>
    <w:p w14:paraId="0F8CBAAE" w14:textId="0D95BE1B" w:rsidR="00B0658E" w:rsidRPr="00441498" w:rsidRDefault="00B0658E" w:rsidP="00B0658E">
      <w:pPr>
        <w:pStyle w:val="Cornernotation-Item"/>
        <w:rPr>
          <w:b w:val="0"/>
          <w:bCs w:val="0"/>
        </w:rPr>
      </w:pPr>
      <w:r w:rsidRPr="00441498">
        <w:rPr>
          <w:b w:val="0"/>
          <w:bCs w:val="0"/>
        </w:rPr>
        <w:t xml:space="preserve">Item </w:t>
      </w:r>
      <w:r w:rsidR="004328E1">
        <w:rPr>
          <w:b w:val="0"/>
          <w:bCs w:val="0"/>
        </w:rPr>
        <w:t>10</w:t>
      </w:r>
      <w:r w:rsidRPr="00441498">
        <w:rPr>
          <w:b w:val="0"/>
          <w:bCs w:val="0"/>
        </w:rPr>
        <w:t xml:space="preserve"> of the provisional agenda</w:t>
      </w:r>
      <w:r w:rsidRPr="00441498">
        <w:rPr>
          <w:rStyle w:val="FootnoteReference"/>
          <w:b w:val="0"/>
          <w:bCs w:val="0"/>
        </w:rPr>
        <w:footnoteReference w:customMarkFollows="1" w:id="2"/>
        <w:t>*</w:t>
      </w:r>
    </w:p>
    <w:p w14:paraId="5B6E5F75" w14:textId="7D519377" w:rsidR="00B0658E" w:rsidRDefault="00B0658E" w:rsidP="001F0FD5">
      <w:pPr>
        <w:pStyle w:val="Cornernotation-Item"/>
      </w:pPr>
      <w:r w:rsidRPr="00D3175C">
        <w:t>Mechanisms for planning, monitoring, reporting and review</w:t>
      </w:r>
    </w:p>
    <w:p w14:paraId="37569470" w14:textId="0BFF3D45" w:rsidR="00B0658E" w:rsidRDefault="00000000" w:rsidP="00B3383B">
      <w:pPr>
        <w:numPr>
          <w:ilvl w:val="1"/>
          <w:numId w:val="0"/>
        </w:numPr>
        <w:spacing w:before="240" w:after="120"/>
        <w:ind w:left="567"/>
        <w:rPr>
          <w:rFonts w:eastAsia="DengXian"/>
          <w:b/>
          <w:sz w:val="22"/>
          <w:szCs w:val="22"/>
          <w:lang w:val="en-GB"/>
        </w:rPr>
      </w:pPr>
      <w:sdt>
        <w:sdtPr>
          <w:rPr>
            <w:rFonts w:ascii="Times New Roman Bold" w:eastAsia="DengXian Light" w:hAnsi="Times New Roman Bold"/>
            <w:b/>
            <w:bCs/>
            <w:spacing w:val="5"/>
            <w:kern w:val="28"/>
            <w:sz w:val="28"/>
            <w:szCs w:val="28"/>
            <w:lang w:val="en-GB"/>
            <w14:ligatures w14:val="standardContextual"/>
          </w:rPr>
          <w:alias w:val="Title"/>
          <w:tag w:val=""/>
          <w:id w:val="-1975355689"/>
          <w:placeholder>
            <w:docPart w:val="61E72A715F404610A634600E58F99E16"/>
          </w:placeholder>
          <w:dataBinding w:prefixMappings="xmlns:ns0='http://purl.org/dc/elements/1.1/' xmlns:ns1='http://schemas.openxmlformats.org/package/2006/metadata/core-properties' " w:xpath="/ns1:coreProperties[1]/ns0:title[1]" w:storeItemID="{6C3C8BC8-F283-45AE-878A-BAB7291924A1}"/>
          <w:text/>
        </w:sdtPr>
        <w:sdtContent>
          <w:r w:rsidR="006B248D" w:rsidRPr="006B248D">
            <w:rPr>
              <w:rFonts w:ascii="Times New Roman Bold" w:eastAsia="DengXian Light" w:hAnsi="Times New Roman Bold"/>
              <w:b/>
              <w:bCs/>
              <w:spacing w:val="5"/>
              <w:kern w:val="28"/>
              <w:sz w:val="28"/>
              <w:szCs w:val="28"/>
              <w:lang w:val="en-GB"/>
              <w14:ligatures w14:val="standardContextual"/>
            </w:rPr>
            <w:t>Revised guidance on using the indicators of the monitoring framework of the Kunming-Montreal Global Biodiversity Framework</w:t>
          </w:r>
        </w:sdtContent>
      </w:sdt>
      <w:r w:rsidR="006B248D" w:rsidRPr="008020D1">
        <w:rPr>
          <w:rFonts w:ascii="Times New Roman Bold" w:eastAsia="DengXian Light" w:hAnsi="Times New Roman Bold"/>
          <w:b/>
          <w:bCs/>
          <w:spacing w:val="5"/>
          <w:kern w:val="28"/>
          <w:sz w:val="28"/>
          <w:szCs w:val="28"/>
          <w:vertAlign w:val="superscript"/>
          <w:lang w:val="en-GB"/>
          <w14:ligatures w14:val="standardContextual"/>
        </w:rPr>
        <w:t>**</w:t>
      </w:r>
    </w:p>
    <w:p w14:paraId="4416C148" w14:textId="31236E98" w:rsidR="00775978" w:rsidRPr="00ED7E61" w:rsidRDefault="00775978" w:rsidP="00775978">
      <w:pPr>
        <w:numPr>
          <w:ilvl w:val="1"/>
          <w:numId w:val="0"/>
        </w:numPr>
        <w:spacing w:before="120" w:after="120"/>
        <w:ind w:left="567"/>
        <w:rPr>
          <w:rFonts w:eastAsia="DengXian"/>
          <w:b/>
          <w:sz w:val="22"/>
          <w:szCs w:val="22"/>
          <w:lang w:val="en-GB"/>
        </w:rPr>
      </w:pPr>
      <w:r w:rsidRPr="00ED7E61">
        <w:rPr>
          <w:rFonts w:eastAsia="DengXian"/>
          <w:b/>
          <w:sz w:val="22"/>
          <w:szCs w:val="22"/>
          <w:lang w:val="en-GB"/>
        </w:rPr>
        <w:t>Note by the Secretariat</w:t>
      </w:r>
    </w:p>
    <w:p w14:paraId="47E251DB" w14:textId="19BF20E2" w:rsidR="00015381" w:rsidRPr="00ED7E61" w:rsidRDefault="00015381" w:rsidP="00015381">
      <w:pPr>
        <w:tabs>
          <w:tab w:val="left" w:pos="1134"/>
        </w:tabs>
        <w:spacing w:before="120" w:after="120"/>
        <w:ind w:left="567"/>
        <w:jc w:val="both"/>
        <w:rPr>
          <w:sz w:val="22"/>
        </w:rPr>
      </w:pPr>
      <w:r w:rsidRPr="00ED7E61">
        <w:rPr>
          <w:sz w:val="22"/>
        </w:rPr>
        <w:t>1.</w:t>
      </w:r>
      <w:r w:rsidRPr="00ED7E61">
        <w:rPr>
          <w:sz w:val="22"/>
        </w:rPr>
        <w:tab/>
        <w:t xml:space="preserve">The Executive Secretary circulates herewith, for the information of participants in the </w:t>
      </w:r>
      <w:r w:rsidR="00ED7E61">
        <w:rPr>
          <w:sz w:val="22"/>
        </w:rPr>
        <w:t>sixteenth</w:t>
      </w:r>
      <w:r w:rsidRPr="00ED7E61">
        <w:rPr>
          <w:sz w:val="22"/>
        </w:rPr>
        <w:t xml:space="preserve"> meeting of the </w:t>
      </w:r>
      <w:r w:rsidR="00ED7E61">
        <w:rPr>
          <w:sz w:val="22"/>
        </w:rPr>
        <w:t>Conference of the Parties</w:t>
      </w:r>
      <w:r w:rsidRPr="00ED7E61">
        <w:rPr>
          <w:sz w:val="22"/>
        </w:rPr>
        <w:t xml:space="preserve">, the </w:t>
      </w:r>
      <w:r w:rsidR="00B16521" w:rsidRPr="00ED7E61">
        <w:rPr>
          <w:sz w:val="22"/>
        </w:rPr>
        <w:t xml:space="preserve">guidance </w:t>
      </w:r>
      <w:r w:rsidRPr="00ED7E61">
        <w:rPr>
          <w:sz w:val="22"/>
        </w:rPr>
        <w:t>related to using the indicators of the monitoring framework of the Kunming-Montreal Global Biodiversity Framework.</w:t>
      </w:r>
    </w:p>
    <w:p w14:paraId="151BAFFA" w14:textId="4C7B8A1F" w:rsidR="000312FE" w:rsidRPr="00ED7E61" w:rsidRDefault="00015381" w:rsidP="00015381">
      <w:pPr>
        <w:tabs>
          <w:tab w:val="left" w:pos="1134"/>
        </w:tabs>
        <w:spacing w:before="120" w:after="120"/>
        <w:ind w:left="567"/>
        <w:jc w:val="both"/>
        <w:rPr>
          <w:sz w:val="22"/>
        </w:rPr>
      </w:pPr>
      <w:r w:rsidRPr="00ED7E61">
        <w:rPr>
          <w:sz w:val="22"/>
        </w:rPr>
        <w:t>2.</w:t>
      </w:r>
      <w:r w:rsidRPr="00ED7E61">
        <w:rPr>
          <w:sz w:val="22"/>
        </w:rPr>
        <w:tab/>
        <w:t>The present document was prepared by</w:t>
      </w:r>
      <w:r w:rsidR="00F363D4" w:rsidRPr="00ED7E61">
        <w:rPr>
          <w:sz w:val="22"/>
        </w:rPr>
        <w:t xml:space="preserve"> </w:t>
      </w:r>
      <w:r w:rsidRPr="00ED7E61">
        <w:rPr>
          <w:sz w:val="22"/>
        </w:rPr>
        <w:t xml:space="preserve">the </w:t>
      </w:r>
      <w:r w:rsidR="0093475F" w:rsidRPr="00ED7E61">
        <w:rPr>
          <w:sz w:val="22"/>
        </w:rPr>
        <w:t>A</w:t>
      </w:r>
      <w:r w:rsidRPr="00ED7E61">
        <w:rPr>
          <w:sz w:val="22"/>
        </w:rPr>
        <w:t xml:space="preserve">d </w:t>
      </w:r>
      <w:r w:rsidR="0093475F" w:rsidRPr="00ED7E61">
        <w:rPr>
          <w:sz w:val="22"/>
        </w:rPr>
        <w:t>H</w:t>
      </w:r>
      <w:r w:rsidRPr="00ED7E61">
        <w:rPr>
          <w:sz w:val="22"/>
        </w:rPr>
        <w:t xml:space="preserve">oc </w:t>
      </w:r>
      <w:r w:rsidR="0093475F" w:rsidRPr="00ED7E61">
        <w:rPr>
          <w:sz w:val="22"/>
        </w:rPr>
        <w:t>T</w:t>
      </w:r>
      <w:r w:rsidRPr="00ED7E61">
        <w:rPr>
          <w:sz w:val="22"/>
        </w:rPr>
        <w:t xml:space="preserve">echnical </w:t>
      </w:r>
      <w:r w:rsidR="0093475F" w:rsidRPr="00ED7E61">
        <w:rPr>
          <w:sz w:val="22"/>
        </w:rPr>
        <w:t>E</w:t>
      </w:r>
      <w:r w:rsidRPr="00ED7E61">
        <w:rPr>
          <w:sz w:val="22"/>
        </w:rPr>
        <w:t xml:space="preserve">xpert </w:t>
      </w:r>
      <w:r w:rsidR="0093475F" w:rsidRPr="00ED7E61">
        <w:rPr>
          <w:sz w:val="22"/>
        </w:rPr>
        <w:t>G</w:t>
      </w:r>
      <w:r w:rsidRPr="00ED7E61">
        <w:rPr>
          <w:sz w:val="22"/>
        </w:rPr>
        <w:t xml:space="preserve">roup on </w:t>
      </w:r>
      <w:r w:rsidR="0093475F" w:rsidRPr="00ED7E61">
        <w:rPr>
          <w:sz w:val="22"/>
        </w:rPr>
        <w:t>I</w:t>
      </w:r>
      <w:r w:rsidRPr="00ED7E61">
        <w:rPr>
          <w:sz w:val="22"/>
        </w:rPr>
        <w:t xml:space="preserve">ndicators for the </w:t>
      </w:r>
      <w:r w:rsidR="0093475F" w:rsidRPr="00ED7E61">
        <w:rPr>
          <w:sz w:val="22"/>
        </w:rPr>
        <w:t xml:space="preserve">Kunming-Montreal Global Biodiversity </w:t>
      </w:r>
      <w:r w:rsidRPr="00ED7E61">
        <w:rPr>
          <w:sz w:val="22"/>
        </w:rPr>
        <w:t xml:space="preserve">Framework with support from the Secretariat. </w:t>
      </w:r>
      <w:r w:rsidR="000312FE" w:rsidRPr="00ED7E61">
        <w:rPr>
          <w:sz w:val="22"/>
        </w:rPr>
        <w:t xml:space="preserve">It contains the guidance developed the </w:t>
      </w:r>
      <w:r w:rsidR="001E4E0A">
        <w:rPr>
          <w:sz w:val="22"/>
        </w:rPr>
        <w:t>Expert Group</w:t>
      </w:r>
      <w:r w:rsidR="001E4E0A" w:rsidRPr="00ED7E61">
        <w:rPr>
          <w:sz w:val="22"/>
        </w:rPr>
        <w:t xml:space="preserve"> </w:t>
      </w:r>
      <w:r w:rsidR="000312FE" w:rsidRPr="00ED7E61">
        <w:rPr>
          <w:sz w:val="22"/>
        </w:rPr>
        <w:t>in response to the terms of reference contained in decision 15/15. An earlier version of th</w:t>
      </w:r>
      <w:r w:rsidR="00D40389">
        <w:rPr>
          <w:sz w:val="22"/>
        </w:rPr>
        <w:t>e</w:t>
      </w:r>
      <w:r w:rsidR="000312FE" w:rsidRPr="00ED7E61">
        <w:rPr>
          <w:sz w:val="22"/>
        </w:rPr>
        <w:t xml:space="preserve"> document was made available as document CBD/SBSTTA/26/INF/14 for the twenty</w:t>
      </w:r>
      <w:r w:rsidR="008125C6">
        <w:rPr>
          <w:sz w:val="22"/>
        </w:rPr>
        <w:t>-</w:t>
      </w:r>
      <w:r w:rsidR="000312FE" w:rsidRPr="00ED7E61">
        <w:rPr>
          <w:sz w:val="22"/>
        </w:rPr>
        <w:t>sixth meeting of the Subsidiary Body on Scientific, Technical and Technological Advice. It has subsequently been revised to take into account the outcomes from the twenty-sixth meeting of the Subsidiary Body and the peer</w:t>
      </w:r>
      <w:r w:rsidR="0030437D">
        <w:rPr>
          <w:sz w:val="22"/>
        </w:rPr>
        <w:t>-</w:t>
      </w:r>
      <w:r w:rsidR="000312FE" w:rsidRPr="00ED7E61">
        <w:rPr>
          <w:sz w:val="22"/>
        </w:rPr>
        <w:t>review process called for in recommendation 26/1</w:t>
      </w:r>
      <w:r w:rsidR="0030437D">
        <w:rPr>
          <w:sz w:val="22"/>
        </w:rPr>
        <w:t xml:space="preserve"> of the Subsidiary Body</w:t>
      </w:r>
      <w:r w:rsidR="005E66C1" w:rsidRPr="00ED7E61">
        <w:rPr>
          <w:sz w:val="22"/>
        </w:rPr>
        <w:t>.</w:t>
      </w:r>
    </w:p>
    <w:p w14:paraId="4695BEAB" w14:textId="77777777" w:rsidR="000312FE" w:rsidRPr="00ED7E61" w:rsidRDefault="000312FE" w:rsidP="00015381">
      <w:pPr>
        <w:tabs>
          <w:tab w:val="left" w:pos="1134"/>
        </w:tabs>
        <w:spacing w:before="120" w:after="120"/>
        <w:ind w:left="567"/>
        <w:jc w:val="both"/>
        <w:rPr>
          <w:sz w:val="22"/>
        </w:rPr>
      </w:pPr>
    </w:p>
    <w:p w14:paraId="42B7A847" w14:textId="77777777" w:rsidR="00775978" w:rsidRPr="00ED7E61" w:rsidRDefault="00775978" w:rsidP="00395866">
      <w:pPr>
        <w:rPr>
          <w:rFonts w:asciiTheme="majorBidi" w:hAnsiTheme="majorBidi" w:cstheme="majorBidi"/>
          <w:b/>
          <w:bCs/>
          <w:sz w:val="22"/>
          <w:szCs w:val="22"/>
        </w:rPr>
      </w:pPr>
    </w:p>
    <w:p w14:paraId="42A9D02D" w14:textId="77777777" w:rsidR="00775978" w:rsidRPr="00ED7E61" w:rsidRDefault="00775978" w:rsidP="00395866">
      <w:pPr>
        <w:rPr>
          <w:rFonts w:asciiTheme="majorBidi" w:hAnsiTheme="majorBidi" w:cstheme="majorBidi"/>
          <w:b/>
          <w:bCs/>
          <w:sz w:val="22"/>
          <w:szCs w:val="22"/>
        </w:rPr>
      </w:pPr>
    </w:p>
    <w:p w14:paraId="3F44CF82" w14:textId="77777777" w:rsidR="00775978" w:rsidRPr="00ED7E61" w:rsidRDefault="00775978" w:rsidP="00395866">
      <w:pPr>
        <w:rPr>
          <w:rFonts w:asciiTheme="majorBidi" w:hAnsiTheme="majorBidi" w:cstheme="majorBidi"/>
          <w:b/>
          <w:bCs/>
          <w:sz w:val="22"/>
          <w:szCs w:val="22"/>
        </w:rPr>
      </w:pPr>
    </w:p>
    <w:p w14:paraId="36C87FDF" w14:textId="77777777" w:rsidR="004518E1" w:rsidRPr="00ED7E61" w:rsidRDefault="004518E1">
      <w:pPr>
        <w:rPr>
          <w:rFonts w:asciiTheme="majorBidi" w:hAnsiTheme="majorBidi" w:cstheme="majorBidi"/>
          <w:b/>
          <w:bCs/>
          <w:sz w:val="22"/>
          <w:szCs w:val="22"/>
        </w:rPr>
      </w:pPr>
      <w:r w:rsidRPr="00ED7E61">
        <w:rPr>
          <w:rFonts w:asciiTheme="majorBidi" w:hAnsiTheme="majorBidi" w:cstheme="majorBidi"/>
          <w:b/>
          <w:bCs/>
          <w:sz w:val="56"/>
          <w:szCs w:val="56"/>
        </w:rPr>
        <w:br w:type="page"/>
      </w:r>
    </w:p>
    <w:p w14:paraId="5487E06D" w14:textId="11EC7170" w:rsidR="00166BEC" w:rsidRPr="00ED7E61" w:rsidRDefault="00166BEC" w:rsidP="00C16EC5">
      <w:pPr>
        <w:spacing w:before="120" w:after="120"/>
        <w:rPr>
          <w:rFonts w:asciiTheme="majorBidi" w:hAnsiTheme="majorBidi" w:cstheme="majorBidi"/>
          <w:b/>
          <w:bCs/>
          <w:sz w:val="28"/>
          <w:szCs w:val="28"/>
        </w:rPr>
      </w:pPr>
      <w:r w:rsidRPr="00ED7E61">
        <w:rPr>
          <w:rFonts w:asciiTheme="majorBidi" w:hAnsiTheme="majorBidi" w:cstheme="majorBidi"/>
          <w:b/>
          <w:bCs/>
          <w:sz w:val="28"/>
          <w:szCs w:val="28"/>
        </w:rPr>
        <w:lastRenderedPageBreak/>
        <w:t>Guidance on using the indicators of the monitoring framework</w:t>
      </w:r>
    </w:p>
    <w:p w14:paraId="5A183A59" w14:textId="517987D7" w:rsidR="00166BEC" w:rsidRPr="00ED7E61" w:rsidRDefault="00730745" w:rsidP="001C32AD">
      <w:pPr>
        <w:jc w:val="both"/>
        <w:rPr>
          <w:rFonts w:asciiTheme="majorBidi" w:hAnsiTheme="majorBidi" w:cstheme="majorBidi"/>
          <w:sz w:val="22"/>
          <w:szCs w:val="22"/>
        </w:rPr>
      </w:pPr>
      <w:r w:rsidRPr="00ED7E61">
        <w:rPr>
          <w:rFonts w:asciiTheme="majorBidi" w:hAnsiTheme="majorBidi" w:cstheme="majorBidi"/>
          <w:b/>
          <w:bCs/>
          <w:sz w:val="22"/>
          <w:szCs w:val="22"/>
        </w:rPr>
        <w:t>Acknowledgements:</w:t>
      </w:r>
      <w:r w:rsidRPr="00ED7E61">
        <w:rPr>
          <w:rFonts w:asciiTheme="majorBidi" w:hAnsiTheme="majorBidi" w:cstheme="majorBidi"/>
          <w:sz w:val="22"/>
          <w:szCs w:val="22"/>
        </w:rPr>
        <w:t xml:space="preserve"> </w:t>
      </w:r>
      <w:r w:rsidR="00A533B7" w:rsidRPr="00ED7E61">
        <w:rPr>
          <w:rFonts w:asciiTheme="majorBidi" w:hAnsiTheme="majorBidi" w:cstheme="majorBidi"/>
          <w:sz w:val="22"/>
          <w:szCs w:val="22"/>
        </w:rPr>
        <w:t>In order to operationalize the monitoring framework for the Kunming-Montreal Global Biodiversity Framework, the Conference of the Parties, in decision 15/5, established an Ad Hoc Technical Expert Group (AHTEG) on Indicators for the Kunming-Montreal Global Biodiversity Framework. The guidance in this document</w:t>
      </w:r>
      <w:r w:rsidR="00C1266A" w:rsidRPr="00ED7E61">
        <w:rPr>
          <w:rFonts w:asciiTheme="majorBidi" w:hAnsiTheme="majorBidi" w:cstheme="majorBidi"/>
          <w:sz w:val="22"/>
          <w:szCs w:val="22"/>
        </w:rPr>
        <w:t xml:space="preserve"> was produced by the AHTEG with substantive contributions and dedication from all the members involved</w:t>
      </w:r>
      <w:r w:rsidR="00A533B7" w:rsidRPr="00ED7E61">
        <w:rPr>
          <w:rFonts w:asciiTheme="majorBidi" w:hAnsiTheme="majorBidi" w:cstheme="majorBidi"/>
          <w:sz w:val="22"/>
          <w:szCs w:val="22"/>
        </w:rPr>
        <w:t xml:space="preserve">. The AHTEG co-chairs </w:t>
      </w:r>
      <w:r w:rsidR="00622120">
        <w:rPr>
          <w:rFonts w:asciiTheme="majorBidi" w:hAnsiTheme="majorBidi" w:cstheme="majorBidi"/>
          <w:sz w:val="22"/>
          <w:szCs w:val="22"/>
        </w:rPr>
        <w:t>were</w:t>
      </w:r>
      <w:r w:rsidR="00622120" w:rsidRPr="00ED7E61">
        <w:rPr>
          <w:rFonts w:asciiTheme="majorBidi" w:hAnsiTheme="majorBidi" w:cstheme="majorBidi"/>
          <w:sz w:val="22"/>
          <w:szCs w:val="22"/>
        </w:rPr>
        <w:t xml:space="preserve"> </w:t>
      </w:r>
      <w:r w:rsidR="00A533B7" w:rsidRPr="00ED7E61">
        <w:rPr>
          <w:rFonts w:asciiTheme="majorBidi" w:hAnsiTheme="majorBidi" w:cstheme="majorBidi"/>
          <w:sz w:val="22"/>
          <w:szCs w:val="22"/>
        </w:rPr>
        <w:t>Ms. Maria Cecilia Londoño Murcia (Colombia) and Mr. James Williams (United Kingdom of Great Britain and Northern Ireland). T</w:t>
      </w:r>
      <w:r w:rsidR="00C1266A" w:rsidRPr="00ED7E61">
        <w:rPr>
          <w:rFonts w:asciiTheme="majorBidi" w:hAnsiTheme="majorBidi" w:cstheme="majorBidi"/>
          <w:sz w:val="22"/>
          <w:szCs w:val="22"/>
        </w:rPr>
        <w:t xml:space="preserve">he </w:t>
      </w:r>
      <w:r w:rsidR="00657195" w:rsidRPr="00ED7E61">
        <w:rPr>
          <w:rFonts w:asciiTheme="majorBidi" w:hAnsiTheme="majorBidi" w:cstheme="majorBidi"/>
          <w:sz w:val="22"/>
          <w:szCs w:val="22"/>
        </w:rPr>
        <w:t xml:space="preserve">members of the AHTEG </w:t>
      </w:r>
      <w:r w:rsidR="00622120">
        <w:rPr>
          <w:rFonts w:asciiTheme="majorBidi" w:hAnsiTheme="majorBidi" w:cstheme="majorBidi"/>
          <w:sz w:val="22"/>
          <w:szCs w:val="22"/>
        </w:rPr>
        <w:t>were</w:t>
      </w:r>
      <w:r w:rsidR="00C113BA" w:rsidRPr="00ED7E61">
        <w:rPr>
          <w:rFonts w:asciiTheme="majorBidi" w:hAnsiTheme="majorBidi" w:cstheme="majorBidi"/>
          <w:sz w:val="22"/>
          <w:szCs w:val="22"/>
        </w:rPr>
        <w:t>, presented by regional group and then the by observer organization</w:t>
      </w:r>
      <w:r w:rsidR="00657195" w:rsidRPr="00ED7E61">
        <w:rPr>
          <w:rFonts w:asciiTheme="majorBidi" w:hAnsiTheme="majorBidi" w:cstheme="majorBidi"/>
          <w:sz w:val="22"/>
          <w:szCs w:val="22"/>
        </w:rPr>
        <w:t>: Burundi</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Onesphore Masabo</w:t>
      </w:r>
      <w:r w:rsidR="005D6459"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Central African Republic</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Cleoface Landry Mabessimo</w:t>
      </w:r>
      <w:r w:rsidR="005D6459"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Ghana</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Alfred Apau Oteng-yeboah</w:t>
      </w:r>
      <w:r w:rsidR="005D6459"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Namibia</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Britta Hackenberg</w:t>
      </w:r>
      <w:r w:rsidR="005D6459"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Nigeria</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Egbuwalo Sikeade Oluwakemi</w:t>
      </w:r>
      <w:r w:rsidR="005D6459"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South Africa</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Ntakadzeni Tshidada</w:t>
      </w:r>
      <w:r w:rsidR="005D6459"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China</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Jing Xu</w:t>
      </w:r>
      <w:r w:rsidR="005D6459"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Indonesia</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Ruliyana Susanti</w:t>
      </w:r>
      <w:r w:rsidR="005D6459"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Japan</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Ryo Kohsaka</w:t>
      </w:r>
      <w:r w:rsidR="005D6459"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Malaysia</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Lillian Chua Swee-lian</w:t>
      </w:r>
      <w:r w:rsidR="005D6459"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Pakistan</w:t>
      </w:r>
      <w:r w:rsidR="005D6459"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Rizwan Irshad</w:t>
      </w:r>
      <w:r w:rsidR="00C113BA"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Türkiye</w:t>
      </w:r>
      <w:r w:rsidR="00C113BA"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Muhammed Hakan Çakmak</w:t>
      </w:r>
      <w:r w:rsidR="00C113BA"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Belarus</w:t>
      </w:r>
      <w:r w:rsidR="00C113BA"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Vasili Shakun</w:t>
      </w:r>
      <w:r w:rsidR="00C113BA"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Bosnia and Herzegovina</w:t>
      </w:r>
      <w:r w:rsidR="00C113BA"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Belma Kalamujić Stroil</w:t>
      </w:r>
      <w:r w:rsidR="00C113BA"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Czechia</w:t>
      </w:r>
      <w:r w:rsidR="00C113BA"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w:t>
      </w:r>
      <w:r w:rsidR="00C113BA" w:rsidRPr="00ED7E61">
        <w:rPr>
          <w:rFonts w:asciiTheme="majorBidi" w:hAnsiTheme="majorBidi" w:cstheme="majorBidi"/>
          <w:sz w:val="22"/>
          <w:szCs w:val="22"/>
        </w:rPr>
        <w:t>r</w:t>
      </w:r>
      <w:r w:rsidR="00657195" w:rsidRPr="00ED7E61">
        <w:rPr>
          <w:rFonts w:asciiTheme="majorBidi" w:hAnsiTheme="majorBidi" w:cstheme="majorBidi"/>
          <w:sz w:val="22"/>
          <w:szCs w:val="22"/>
        </w:rPr>
        <w:t>. Jan Dušek</w:t>
      </w:r>
      <w:r w:rsidR="00C113BA"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Georgia</w:t>
      </w:r>
      <w:r w:rsidR="00C113BA"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Salome Nozadze</w:t>
      </w:r>
      <w:r w:rsidR="00C113BA"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Hungary</w:t>
      </w:r>
      <w:r w:rsidR="00C113BA"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Zsolt Molnár</w:t>
      </w:r>
      <w:r w:rsidR="00C113BA"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Montenegro</w:t>
      </w:r>
      <w:r w:rsidR="00C113BA"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Milena Batakovi</w:t>
      </w:r>
      <w:r w:rsidR="00C113BA" w:rsidRPr="00ED7E61">
        <w:rPr>
          <w:rFonts w:asciiTheme="majorBidi" w:hAnsiTheme="majorBidi" w:cstheme="majorBidi"/>
          <w:sz w:val="22"/>
          <w:szCs w:val="22"/>
        </w:rPr>
        <w:t xml:space="preserve">c, </w:t>
      </w:r>
      <w:r w:rsidR="00657195" w:rsidRPr="00ED7E61">
        <w:rPr>
          <w:rFonts w:asciiTheme="majorBidi" w:hAnsiTheme="majorBidi" w:cstheme="majorBidi"/>
          <w:sz w:val="22"/>
          <w:szCs w:val="22"/>
        </w:rPr>
        <w:t>Antigua and Barbuda</w:t>
      </w:r>
      <w:r w:rsidR="00C113BA"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Shanna Challenger</w:t>
      </w:r>
      <w:r w:rsidR="00C113BA"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Argentina</w:t>
      </w:r>
      <w:r w:rsidR="00C113BA"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w:t>
      </w:r>
      <w:r w:rsidR="00760517" w:rsidRPr="00ED7E61">
        <w:rPr>
          <w:rFonts w:asciiTheme="majorBidi" w:hAnsiTheme="majorBidi" w:cstheme="majorBidi"/>
          <w:sz w:val="22"/>
          <w:szCs w:val="22"/>
        </w:rPr>
        <w:t xml:space="preserve">Ms Monica Gabay (replaced </w:t>
      </w:r>
      <w:r w:rsidR="00657195" w:rsidRPr="00ED7E61">
        <w:rPr>
          <w:rFonts w:asciiTheme="majorBidi" w:hAnsiTheme="majorBidi" w:cstheme="majorBidi"/>
          <w:sz w:val="22"/>
          <w:szCs w:val="22"/>
        </w:rPr>
        <w:t>Mr. Alberto Santos Capra</w:t>
      </w:r>
      <w:r w:rsidR="00760517" w:rsidRPr="00ED7E61">
        <w:rPr>
          <w:rFonts w:asciiTheme="majorBidi" w:hAnsiTheme="majorBidi" w:cstheme="majorBidi"/>
          <w:sz w:val="22"/>
          <w:szCs w:val="22"/>
        </w:rPr>
        <w:t>,</w:t>
      </w:r>
      <w:r w:rsidR="00C52616" w:rsidRPr="00ED7E61">
        <w:rPr>
          <w:rFonts w:asciiTheme="majorBidi" w:hAnsiTheme="majorBidi" w:cstheme="majorBidi"/>
          <w:sz w:val="22"/>
          <w:szCs w:val="22"/>
        </w:rPr>
        <w:t xml:space="preserve"> B</w:t>
      </w:r>
      <w:r w:rsidR="00657195" w:rsidRPr="00ED7E61">
        <w:rPr>
          <w:rFonts w:asciiTheme="majorBidi" w:hAnsiTheme="majorBidi" w:cstheme="majorBidi"/>
          <w:sz w:val="22"/>
          <w:szCs w:val="22"/>
        </w:rPr>
        <w:t>razil</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Geraldo Wilson Fernandes</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Colombia</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Maria Cecilia Londoño Murcia</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Jamaica</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Andrea Donaldson</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Mexico</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Arturo Flores Martínez</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Australia</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Piers Dunstan</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Canada</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Brett Painter</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European Union</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Sara Vallecillo</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France</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Odile Conchou</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Norway</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Lucrezia Gorini</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United Kingdom of Great Britain and</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Northern Ireland</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James Williams</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Forest Peoples Programme</w:t>
      </w:r>
      <w:r w:rsidR="00760517"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Maurizio Farhan Ferrari</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International Indigenous Forum on Biodiversity</w:t>
      </w:r>
      <w:r w:rsidR="00760517" w:rsidRPr="00ED7E61">
        <w:rPr>
          <w:rFonts w:asciiTheme="majorBidi" w:hAnsiTheme="majorBidi" w:cstheme="majorBidi"/>
          <w:sz w:val="22"/>
          <w:szCs w:val="22"/>
        </w:rPr>
        <w:t xml:space="preserve"> (IIFB): M</w:t>
      </w:r>
      <w:r w:rsidR="00657195" w:rsidRPr="00ED7E61">
        <w:rPr>
          <w:rFonts w:asciiTheme="majorBidi" w:hAnsiTheme="majorBidi" w:cstheme="majorBidi"/>
          <w:sz w:val="22"/>
          <w:szCs w:val="22"/>
        </w:rPr>
        <w:t>s. Joji Carino</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Food and Agriculture Organization of the United</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Nations (FAO)</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Ms. Julie Bélanger</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Intergovernmental Oceanographic Commission of</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UNESCO (IOC)</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Mr. Stephen Widdicombe</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Office of the United Nations High Commissioner</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for Human Rights (OHCHR)</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Mr. Marc Titus Cebreros</w:t>
      </w:r>
      <w:r w:rsidR="00760517"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United Nations Statistics Division (UNSD)</w:t>
      </w:r>
      <w:r w:rsidR="00636F52"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w:t>
      </w:r>
      <w:r w:rsidR="00760517" w:rsidRPr="00ED7E61">
        <w:rPr>
          <w:rFonts w:asciiTheme="majorBidi" w:hAnsiTheme="majorBidi" w:cstheme="majorBidi"/>
          <w:sz w:val="22"/>
          <w:szCs w:val="22"/>
        </w:rPr>
        <w:t xml:space="preserve"> Ilaria </w:t>
      </w:r>
      <w:r w:rsidR="00636F52" w:rsidRPr="00ED7E61">
        <w:rPr>
          <w:rFonts w:asciiTheme="majorBidi" w:hAnsiTheme="majorBidi" w:cstheme="majorBidi"/>
          <w:sz w:val="22"/>
          <w:szCs w:val="22"/>
        </w:rPr>
        <w:t>Di Matteo (replaced</w:t>
      </w:r>
      <w:r w:rsidR="00657195" w:rsidRPr="00ED7E61">
        <w:rPr>
          <w:rFonts w:asciiTheme="majorBidi" w:hAnsiTheme="majorBidi" w:cstheme="majorBidi"/>
          <w:sz w:val="22"/>
          <w:szCs w:val="22"/>
        </w:rPr>
        <w:t xml:space="preserve"> Alessandra Alfieri</w:t>
      </w:r>
      <w:r w:rsidR="00636F52" w:rsidRPr="00ED7E61">
        <w:rPr>
          <w:rFonts w:asciiTheme="majorBidi" w:hAnsiTheme="majorBidi" w:cstheme="majorBidi"/>
          <w:sz w:val="22"/>
          <w:szCs w:val="22"/>
        </w:rPr>
        <w:t>),</w:t>
      </w:r>
      <w:r w:rsidR="00657195" w:rsidRPr="00ED7E61">
        <w:rPr>
          <w:rFonts w:asciiTheme="majorBidi" w:hAnsiTheme="majorBidi" w:cstheme="majorBidi"/>
          <w:sz w:val="22"/>
          <w:szCs w:val="22"/>
        </w:rPr>
        <w:t>World Bank</w:t>
      </w:r>
      <w:r w:rsidR="00636F52"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Macha Petronella Kemperman</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Global Biodiversity Information Facility (GBIF)</w:t>
      </w:r>
      <w:r w:rsidR="00636F52"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Tim Hirsch</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GEO BON</w:t>
      </w:r>
      <w:r w:rsidR="00636F52"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Andrew Gonzalez</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International Union for Conservation of Nature</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(IUCN)</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Ms. Emily Nicholson</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Secretariat of the Pacific Regional Environment</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Programme (SPREP)</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Ms. Tiffany Straza</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Birdlife International</w:t>
      </w:r>
      <w:r w:rsidR="00636F52"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Mr. Stuart Butchart</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Coastal Oceans Research and Development –</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Indian Ocean (CORDIO)</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Mr. David Obura</w:t>
      </w:r>
      <w:r w:rsidR="00636F52" w:rsidRPr="00ED7E61">
        <w:rPr>
          <w:rFonts w:asciiTheme="majorBidi" w:hAnsiTheme="majorBidi" w:cstheme="majorBidi"/>
          <w:sz w:val="22"/>
          <w:szCs w:val="22"/>
        </w:rPr>
        <w:t xml:space="preserve">, </w:t>
      </w:r>
      <w:r w:rsidR="00657195" w:rsidRPr="00ED7E61">
        <w:rPr>
          <w:rFonts w:asciiTheme="majorBidi" w:hAnsiTheme="majorBidi" w:cstheme="majorBidi"/>
          <w:sz w:val="22"/>
          <w:szCs w:val="22"/>
        </w:rPr>
        <w:t>Global Youth Biodiversity Network</w:t>
      </w:r>
      <w:r w:rsidR="00636F52"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Josefa Isabel Cariño Tauli</w:t>
      </w:r>
      <w:r w:rsidR="00636F52" w:rsidRPr="00ED7E61">
        <w:rPr>
          <w:rFonts w:asciiTheme="majorBidi" w:hAnsiTheme="majorBidi" w:cstheme="majorBidi"/>
          <w:sz w:val="22"/>
          <w:szCs w:val="22"/>
        </w:rPr>
        <w:t xml:space="preserve">, and </w:t>
      </w:r>
      <w:r w:rsidR="00657195" w:rsidRPr="00ED7E61">
        <w:rPr>
          <w:rFonts w:asciiTheme="majorBidi" w:hAnsiTheme="majorBidi" w:cstheme="majorBidi"/>
          <w:sz w:val="22"/>
          <w:szCs w:val="22"/>
        </w:rPr>
        <w:t>Leibniz Institute</w:t>
      </w:r>
      <w:r w:rsidR="00B90603" w:rsidRPr="00ED7E61">
        <w:rPr>
          <w:rFonts w:asciiTheme="majorBidi" w:hAnsiTheme="majorBidi" w:cstheme="majorBidi"/>
          <w:sz w:val="22"/>
          <w:szCs w:val="22"/>
        </w:rPr>
        <w:t xml:space="preserve"> DSMZ</w:t>
      </w:r>
      <w:r w:rsidR="00636F52" w:rsidRPr="00ED7E61">
        <w:rPr>
          <w:rFonts w:asciiTheme="majorBidi" w:hAnsiTheme="majorBidi" w:cstheme="majorBidi"/>
          <w:sz w:val="22"/>
          <w:szCs w:val="22"/>
        </w:rPr>
        <w:t>:</w:t>
      </w:r>
      <w:r w:rsidR="00657195" w:rsidRPr="00ED7E61">
        <w:rPr>
          <w:rFonts w:asciiTheme="majorBidi" w:hAnsiTheme="majorBidi" w:cstheme="majorBidi"/>
          <w:sz w:val="22"/>
          <w:szCs w:val="22"/>
        </w:rPr>
        <w:t xml:space="preserve"> Ms. Amber Hartman Scholz</w:t>
      </w:r>
      <w:r w:rsidR="00636F52" w:rsidRPr="00ED7E61">
        <w:rPr>
          <w:rFonts w:asciiTheme="majorBidi" w:hAnsiTheme="majorBidi" w:cstheme="majorBidi"/>
          <w:sz w:val="22"/>
          <w:szCs w:val="22"/>
        </w:rPr>
        <w:t xml:space="preserve">. The SBSTTA </w:t>
      </w:r>
      <w:r w:rsidR="00C16EC5" w:rsidRPr="00ED7E61">
        <w:rPr>
          <w:rFonts w:asciiTheme="majorBidi" w:hAnsiTheme="majorBidi" w:cstheme="majorBidi"/>
          <w:sz w:val="22"/>
          <w:szCs w:val="22"/>
        </w:rPr>
        <w:t>C</w:t>
      </w:r>
      <w:r w:rsidR="00636F52" w:rsidRPr="00ED7E61">
        <w:rPr>
          <w:rFonts w:asciiTheme="majorBidi" w:hAnsiTheme="majorBidi" w:cstheme="majorBidi"/>
          <w:sz w:val="22"/>
          <w:szCs w:val="22"/>
        </w:rPr>
        <w:t>o-</w:t>
      </w:r>
      <w:r w:rsidR="00C16EC5" w:rsidRPr="00ED7E61">
        <w:rPr>
          <w:rFonts w:asciiTheme="majorBidi" w:hAnsiTheme="majorBidi" w:cstheme="majorBidi"/>
          <w:sz w:val="22"/>
          <w:szCs w:val="22"/>
        </w:rPr>
        <w:t>C</w:t>
      </w:r>
      <w:r w:rsidR="00636F52" w:rsidRPr="00ED7E61">
        <w:rPr>
          <w:rFonts w:asciiTheme="majorBidi" w:hAnsiTheme="majorBidi" w:cstheme="majorBidi"/>
          <w:sz w:val="22"/>
          <w:szCs w:val="22"/>
        </w:rPr>
        <w:t xml:space="preserve">hairs who were in place in 2023 and 2024 also </w:t>
      </w:r>
      <w:r w:rsidR="009D4F0D" w:rsidRPr="00ED7E61">
        <w:rPr>
          <w:rFonts w:asciiTheme="majorBidi" w:hAnsiTheme="majorBidi" w:cstheme="majorBidi"/>
          <w:sz w:val="22"/>
          <w:szCs w:val="22"/>
        </w:rPr>
        <w:t xml:space="preserve">provided inputs to the work as ex-official members, this included: </w:t>
      </w:r>
      <w:r w:rsidR="001B73A0" w:rsidRPr="00ED7E61">
        <w:rPr>
          <w:rFonts w:asciiTheme="majorBidi" w:hAnsiTheme="majorBidi" w:cstheme="majorBidi"/>
          <w:sz w:val="22"/>
          <w:szCs w:val="22"/>
        </w:rPr>
        <w:t>Ms Senka Barudanovic of Bosnia and Herzegovina and Mr</w:t>
      </w:r>
      <w:r w:rsidR="009E462F">
        <w:rPr>
          <w:rFonts w:asciiTheme="majorBidi" w:hAnsiTheme="majorBidi" w:cstheme="majorBidi"/>
          <w:sz w:val="22"/>
          <w:szCs w:val="22"/>
        </w:rPr>
        <w:t>.</w:t>
      </w:r>
      <w:r w:rsidR="001B73A0" w:rsidRPr="00ED7E61">
        <w:rPr>
          <w:rFonts w:asciiTheme="majorBidi" w:hAnsiTheme="majorBidi" w:cstheme="majorBidi"/>
          <w:sz w:val="22"/>
          <w:szCs w:val="22"/>
        </w:rPr>
        <w:t xml:space="preserve"> Hesiquio Benítez Díaz of Mexico. The work of the Technical Advisory Group on Financial Reported also provided inputs and its co-chairs participated directly in the work of the AHTEG to develop this guidance, the co-chairs were: </w:t>
      </w:r>
      <w:r w:rsidR="00A5446A" w:rsidRPr="00ED7E61">
        <w:rPr>
          <w:rFonts w:asciiTheme="majorBidi" w:hAnsiTheme="majorBidi" w:cstheme="majorBidi"/>
          <w:sz w:val="22"/>
          <w:szCs w:val="22"/>
        </w:rPr>
        <w:t>Ms. Lucretia Landmann of Switzerland and Juan Camilo Pinto Ojeda of Colombia.</w:t>
      </w:r>
    </w:p>
    <w:p w14:paraId="64EAD24F" w14:textId="77777777" w:rsidR="00114CE8" w:rsidRPr="00ED7E61" w:rsidRDefault="00114CE8" w:rsidP="001C32AD">
      <w:pPr>
        <w:jc w:val="both"/>
        <w:rPr>
          <w:rFonts w:asciiTheme="majorBidi" w:hAnsiTheme="majorBidi" w:cstheme="majorBidi"/>
          <w:sz w:val="22"/>
          <w:szCs w:val="22"/>
        </w:rPr>
      </w:pPr>
    </w:p>
    <w:p w14:paraId="76BCAEFA" w14:textId="4FBB70FF" w:rsidR="00A5446A" w:rsidRPr="00ED7E61" w:rsidRDefault="00A5446A" w:rsidP="001C32AD">
      <w:pPr>
        <w:jc w:val="both"/>
        <w:rPr>
          <w:rFonts w:asciiTheme="majorBidi" w:hAnsiTheme="majorBidi" w:cstheme="majorBidi"/>
          <w:sz w:val="22"/>
          <w:szCs w:val="22"/>
        </w:rPr>
      </w:pPr>
      <w:r w:rsidRPr="00ED7E61">
        <w:rPr>
          <w:rFonts w:asciiTheme="majorBidi" w:hAnsiTheme="majorBidi" w:cstheme="majorBidi"/>
          <w:sz w:val="22"/>
          <w:szCs w:val="22"/>
        </w:rPr>
        <w:t xml:space="preserve">The AHTEG was supported by the Secretariat of the Convention on Biological Diversity and </w:t>
      </w:r>
      <w:r w:rsidR="00CC1D04" w:rsidRPr="00ED7E61">
        <w:rPr>
          <w:rFonts w:asciiTheme="majorBidi" w:hAnsiTheme="majorBidi" w:cstheme="majorBidi"/>
          <w:sz w:val="22"/>
          <w:szCs w:val="22"/>
        </w:rPr>
        <w:t xml:space="preserve">UNEP-WCMC. Many staff from these two organizations were involved in supporting the work. </w:t>
      </w:r>
      <w:r w:rsidR="00A37D79" w:rsidRPr="00ED7E61">
        <w:rPr>
          <w:rFonts w:asciiTheme="majorBidi" w:hAnsiTheme="majorBidi" w:cstheme="majorBidi"/>
          <w:sz w:val="22"/>
          <w:szCs w:val="22"/>
        </w:rPr>
        <w:t>Additionally, many experts from around the world contributed to the development of the met</w:t>
      </w:r>
      <w:r w:rsidR="004C1F0A" w:rsidRPr="00ED7E61">
        <w:rPr>
          <w:rFonts w:asciiTheme="majorBidi" w:hAnsiTheme="majorBidi" w:cstheme="majorBidi"/>
          <w:sz w:val="22"/>
          <w:szCs w:val="22"/>
        </w:rPr>
        <w:t>hodologies for the headline and binary indicators which are described in this document.</w:t>
      </w:r>
    </w:p>
    <w:p w14:paraId="501C8C89" w14:textId="77777777" w:rsidR="00A533B7" w:rsidRPr="00ED7E61" w:rsidRDefault="00A533B7" w:rsidP="001C32AD">
      <w:pPr>
        <w:jc w:val="both"/>
        <w:rPr>
          <w:rFonts w:asciiTheme="majorBidi" w:hAnsiTheme="majorBidi" w:cstheme="majorBidi"/>
          <w:sz w:val="22"/>
          <w:szCs w:val="22"/>
        </w:rPr>
      </w:pPr>
    </w:p>
    <w:p w14:paraId="125347B5" w14:textId="410DF7A6" w:rsidR="00E70E5C" w:rsidRPr="00ED7E61" w:rsidRDefault="00E70E5C">
      <w:pPr>
        <w:rPr>
          <w:rFonts w:asciiTheme="majorBidi" w:hAnsiTheme="majorBidi" w:cstheme="majorBidi"/>
          <w:sz w:val="22"/>
          <w:szCs w:val="22"/>
        </w:rPr>
      </w:pPr>
      <w:r w:rsidRPr="00ED7E61">
        <w:rPr>
          <w:rFonts w:asciiTheme="majorBidi" w:hAnsiTheme="majorBidi" w:cstheme="majorBidi"/>
          <w:sz w:val="22"/>
          <w:szCs w:val="22"/>
        </w:rPr>
        <w:br w:type="page"/>
      </w:r>
    </w:p>
    <w:sdt>
      <w:sdtPr>
        <w:rPr>
          <w:rFonts w:ascii="Times New Roman" w:eastAsia="Times New Roman" w:hAnsi="Times New Roman" w:cs="Times New Roman"/>
          <w:color w:val="auto"/>
          <w:sz w:val="24"/>
          <w:szCs w:val="24"/>
          <w:lang w:val="en-CA"/>
        </w:rPr>
        <w:id w:val="-445077869"/>
        <w:docPartObj>
          <w:docPartGallery w:val="Table of Contents"/>
          <w:docPartUnique/>
        </w:docPartObj>
      </w:sdtPr>
      <w:sdtEndPr>
        <w:rPr>
          <w:b/>
          <w:bCs/>
          <w:noProof/>
        </w:rPr>
      </w:sdtEndPr>
      <w:sdtContent>
        <w:p w14:paraId="3BD2CC7C" w14:textId="7B4A76CF" w:rsidR="00E70E5C" w:rsidRPr="00ED7E61" w:rsidRDefault="00E70E5C">
          <w:pPr>
            <w:pStyle w:val="TOCHeading"/>
            <w:rPr>
              <w:rFonts w:asciiTheme="majorBidi" w:hAnsiTheme="majorBidi"/>
              <w:b/>
              <w:bCs/>
              <w:color w:val="auto"/>
            </w:rPr>
          </w:pPr>
          <w:r w:rsidRPr="00ED7E61">
            <w:rPr>
              <w:rFonts w:asciiTheme="majorBidi" w:hAnsiTheme="majorBidi"/>
              <w:b/>
              <w:bCs/>
              <w:color w:val="auto"/>
            </w:rPr>
            <w:t>Contents</w:t>
          </w:r>
        </w:p>
        <w:p w14:paraId="339BE732" w14:textId="3FB6EFC9" w:rsidR="004C44D1" w:rsidRDefault="00E70E5C">
          <w:pPr>
            <w:pStyle w:val="TOC2"/>
            <w:tabs>
              <w:tab w:val="left" w:pos="720"/>
              <w:tab w:val="right" w:leader="dot" w:pos="9350"/>
            </w:tabs>
            <w:rPr>
              <w:rFonts w:asciiTheme="minorHAnsi" w:eastAsiaTheme="minorEastAsia" w:hAnsiTheme="minorHAnsi" w:cstheme="minorBidi"/>
              <w:noProof/>
              <w:kern w:val="2"/>
              <w:lang w:eastAsia="zh-CN"/>
              <w14:ligatures w14:val="standardContextual"/>
            </w:rPr>
          </w:pPr>
          <w:r w:rsidRPr="00ED7E61">
            <w:fldChar w:fldCharType="begin"/>
          </w:r>
          <w:r w:rsidRPr="00ED7E61">
            <w:instrText xml:space="preserve"> TOC \o "1-3" \h \z \u </w:instrText>
          </w:r>
          <w:r w:rsidRPr="00ED7E61">
            <w:fldChar w:fldCharType="separate"/>
          </w:r>
          <w:hyperlink w:anchor="_Toc178285836" w:history="1">
            <w:r w:rsidR="004C44D1" w:rsidRPr="00C045C4">
              <w:rPr>
                <w:rStyle w:val="Hyperlink"/>
                <w:b/>
                <w:bCs/>
                <w:noProof/>
              </w:rPr>
              <w:t>A.</w:t>
            </w:r>
            <w:r w:rsidR="004C44D1">
              <w:rPr>
                <w:rFonts w:asciiTheme="minorHAnsi" w:eastAsiaTheme="minorEastAsia" w:hAnsiTheme="minorHAnsi" w:cstheme="minorBidi"/>
                <w:noProof/>
                <w:kern w:val="2"/>
                <w:lang w:eastAsia="zh-CN"/>
                <w14:ligatures w14:val="standardContextual"/>
              </w:rPr>
              <w:tab/>
            </w:r>
            <w:r w:rsidR="004C44D1" w:rsidRPr="00C045C4">
              <w:rPr>
                <w:rStyle w:val="Hyperlink"/>
                <w:b/>
                <w:bCs/>
                <w:noProof/>
              </w:rPr>
              <w:t>Section 1: Introduction</w:t>
            </w:r>
            <w:r w:rsidR="004C44D1">
              <w:rPr>
                <w:noProof/>
                <w:webHidden/>
              </w:rPr>
              <w:tab/>
            </w:r>
            <w:r w:rsidR="004C44D1">
              <w:rPr>
                <w:noProof/>
                <w:webHidden/>
              </w:rPr>
              <w:fldChar w:fldCharType="begin"/>
            </w:r>
            <w:r w:rsidR="004C44D1">
              <w:rPr>
                <w:noProof/>
                <w:webHidden/>
              </w:rPr>
              <w:instrText xml:space="preserve"> PAGEREF _Toc178285836 \h </w:instrText>
            </w:r>
            <w:r w:rsidR="004C44D1">
              <w:rPr>
                <w:noProof/>
                <w:webHidden/>
              </w:rPr>
            </w:r>
            <w:r w:rsidR="004C44D1">
              <w:rPr>
                <w:noProof/>
                <w:webHidden/>
              </w:rPr>
              <w:fldChar w:fldCharType="separate"/>
            </w:r>
            <w:r w:rsidR="00B7178D">
              <w:rPr>
                <w:noProof/>
                <w:webHidden/>
              </w:rPr>
              <w:t>5</w:t>
            </w:r>
            <w:r w:rsidR="004C44D1">
              <w:rPr>
                <w:noProof/>
                <w:webHidden/>
              </w:rPr>
              <w:fldChar w:fldCharType="end"/>
            </w:r>
          </w:hyperlink>
        </w:p>
        <w:p w14:paraId="7F01494B" w14:textId="27AC4C51" w:rsidR="004C44D1" w:rsidRDefault="004C44D1">
          <w:pPr>
            <w:pStyle w:val="TOC2"/>
            <w:tabs>
              <w:tab w:val="left" w:pos="720"/>
              <w:tab w:val="right" w:leader="dot" w:pos="9350"/>
            </w:tabs>
            <w:rPr>
              <w:rFonts w:asciiTheme="minorHAnsi" w:eastAsiaTheme="minorEastAsia" w:hAnsiTheme="minorHAnsi" w:cstheme="minorBidi"/>
              <w:noProof/>
              <w:kern w:val="2"/>
              <w:lang w:eastAsia="zh-CN"/>
              <w14:ligatures w14:val="standardContextual"/>
            </w:rPr>
          </w:pPr>
          <w:hyperlink w:anchor="_Toc178285837" w:history="1">
            <w:r w:rsidRPr="00C045C4">
              <w:rPr>
                <w:rStyle w:val="Hyperlink"/>
                <w:b/>
                <w:bCs/>
                <w:noProof/>
              </w:rPr>
              <w:t>B.</w:t>
            </w:r>
            <w:r>
              <w:rPr>
                <w:rFonts w:asciiTheme="minorHAnsi" w:eastAsiaTheme="minorEastAsia" w:hAnsiTheme="minorHAnsi" w:cstheme="minorBidi"/>
                <w:noProof/>
                <w:kern w:val="2"/>
                <w:lang w:eastAsia="zh-CN"/>
                <w14:ligatures w14:val="standardContextual"/>
              </w:rPr>
              <w:tab/>
            </w:r>
            <w:r w:rsidRPr="00C045C4">
              <w:rPr>
                <w:rStyle w:val="Hyperlink"/>
                <w:b/>
                <w:bCs/>
                <w:noProof/>
              </w:rPr>
              <w:t>Section 2</w:t>
            </w:r>
            <w:r>
              <w:rPr>
                <w:noProof/>
                <w:webHidden/>
              </w:rPr>
              <w:tab/>
            </w:r>
            <w:r>
              <w:rPr>
                <w:noProof/>
                <w:webHidden/>
              </w:rPr>
              <w:fldChar w:fldCharType="begin"/>
            </w:r>
            <w:r>
              <w:rPr>
                <w:noProof/>
                <w:webHidden/>
              </w:rPr>
              <w:instrText xml:space="preserve"> PAGEREF _Toc178285837 \h </w:instrText>
            </w:r>
            <w:r>
              <w:rPr>
                <w:noProof/>
                <w:webHidden/>
              </w:rPr>
            </w:r>
            <w:r>
              <w:rPr>
                <w:noProof/>
                <w:webHidden/>
              </w:rPr>
              <w:fldChar w:fldCharType="separate"/>
            </w:r>
            <w:r w:rsidR="00B7178D">
              <w:rPr>
                <w:noProof/>
                <w:webHidden/>
              </w:rPr>
              <w:t>15</w:t>
            </w:r>
            <w:r>
              <w:rPr>
                <w:noProof/>
                <w:webHidden/>
              </w:rPr>
              <w:fldChar w:fldCharType="end"/>
            </w:r>
          </w:hyperlink>
        </w:p>
        <w:p w14:paraId="6F65C42B" w14:textId="711AF099" w:rsidR="004C44D1" w:rsidRDefault="004C44D1">
          <w:pPr>
            <w:pStyle w:val="TOC2"/>
            <w:tabs>
              <w:tab w:val="right" w:leader="dot" w:pos="9350"/>
            </w:tabs>
            <w:rPr>
              <w:rFonts w:asciiTheme="minorHAnsi" w:eastAsiaTheme="minorEastAsia" w:hAnsiTheme="minorHAnsi" w:cstheme="minorBidi"/>
              <w:noProof/>
              <w:kern w:val="2"/>
              <w:lang w:eastAsia="zh-CN"/>
              <w14:ligatures w14:val="standardContextual"/>
            </w:rPr>
          </w:pPr>
          <w:hyperlink w:anchor="_Toc178285838" w:history="1">
            <w:r w:rsidRPr="00C045C4">
              <w:rPr>
                <w:rStyle w:val="Hyperlink"/>
                <w:b/>
                <w:bCs/>
                <w:noProof/>
                <w:shd w:val="clear" w:color="auto" w:fill="FFFFFF"/>
              </w:rPr>
              <w:t>Cross-cutting indicator disaggregations and monitoring the implementation of Section C of the Kunming-Montreal Global Biodiversity Framework</w:t>
            </w:r>
            <w:r>
              <w:rPr>
                <w:noProof/>
                <w:webHidden/>
              </w:rPr>
              <w:tab/>
            </w:r>
            <w:r>
              <w:rPr>
                <w:noProof/>
                <w:webHidden/>
              </w:rPr>
              <w:fldChar w:fldCharType="begin"/>
            </w:r>
            <w:r>
              <w:rPr>
                <w:noProof/>
                <w:webHidden/>
              </w:rPr>
              <w:instrText xml:space="preserve"> PAGEREF _Toc178285838 \h </w:instrText>
            </w:r>
            <w:r>
              <w:rPr>
                <w:noProof/>
                <w:webHidden/>
              </w:rPr>
            </w:r>
            <w:r>
              <w:rPr>
                <w:noProof/>
                <w:webHidden/>
              </w:rPr>
              <w:fldChar w:fldCharType="separate"/>
            </w:r>
            <w:r w:rsidR="00B7178D">
              <w:rPr>
                <w:noProof/>
                <w:webHidden/>
              </w:rPr>
              <w:t>15</w:t>
            </w:r>
            <w:r>
              <w:rPr>
                <w:noProof/>
                <w:webHidden/>
              </w:rPr>
              <w:fldChar w:fldCharType="end"/>
            </w:r>
          </w:hyperlink>
        </w:p>
        <w:p w14:paraId="2E23A4A0" w14:textId="0016136B"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39" w:history="1">
            <w:r w:rsidRPr="00C045C4">
              <w:rPr>
                <w:rStyle w:val="Hyperlink"/>
                <w:bCs/>
                <w:noProof/>
              </w:rPr>
              <w:t>Section 2b:</w:t>
            </w:r>
            <w:r>
              <w:rPr>
                <w:noProof/>
                <w:webHidden/>
              </w:rPr>
              <w:tab/>
            </w:r>
            <w:r>
              <w:rPr>
                <w:noProof/>
                <w:webHidden/>
              </w:rPr>
              <w:fldChar w:fldCharType="begin"/>
            </w:r>
            <w:r>
              <w:rPr>
                <w:noProof/>
                <w:webHidden/>
              </w:rPr>
              <w:instrText xml:space="preserve"> PAGEREF _Toc178285839 \h </w:instrText>
            </w:r>
            <w:r>
              <w:rPr>
                <w:noProof/>
                <w:webHidden/>
              </w:rPr>
            </w:r>
            <w:r>
              <w:rPr>
                <w:noProof/>
                <w:webHidden/>
              </w:rPr>
              <w:fldChar w:fldCharType="separate"/>
            </w:r>
            <w:r w:rsidR="00B7178D">
              <w:rPr>
                <w:noProof/>
                <w:webHidden/>
              </w:rPr>
              <w:t>26</w:t>
            </w:r>
            <w:r>
              <w:rPr>
                <w:noProof/>
                <w:webHidden/>
              </w:rPr>
              <w:fldChar w:fldCharType="end"/>
            </w:r>
          </w:hyperlink>
        </w:p>
        <w:p w14:paraId="286F6378" w14:textId="56CC9233"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40" w:history="1">
            <w:r w:rsidRPr="00C045C4">
              <w:rPr>
                <w:rStyle w:val="Hyperlink"/>
                <w:noProof/>
                <w:lang w:val="en-GB"/>
              </w:rPr>
              <w:t>Using a consistent ecosystem classification to support the monitoring framework of the Kunming-Montreal Global Biodiversity Framework based on the IUCN Global Ecosystem Typology</w:t>
            </w:r>
            <w:r>
              <w:rPr>
                <w:noProof/>
                <w:webHidden/>
              </w:rPr>
              <w:tab/>
            </w:r>
            <w:r>
              <w:rPr>
                <w:noProof/>
                <w:webHidden/>
              </w:rPr>
              <w:fldChar w:fldCharType="begin"/>
            </w:r>
            <w:r>
              <w:rPr>
                <w:noProof/>
                <w:webHidden/>
              </w:rPr>
              <w:instrText xml:space="preserve"> PAGEREF _Toc178285840 \h </w:instrText>
            </w:r>
            <w:r>
              <w:rPr>
                <w:noProof/>
                <w:webHidden/>
              </w:rPr>
            </w:r>
            <w:r>
              <w:rPr>
                <w:noProof/>
                <w:webHidden/>
              </w:rPr>
              <w:fldChar w:fldCharType="separate"/>
            </w:r>
            <w:r w:rsidR="00B7178D">
              <w:rPr>
                <w:noProof/>
                <w:webHidden/>
              </w:rPr>
              <w:t>26</w:t>
            </w:r>
            <w:r>
              <w:rPr>
                <w:noProof/>
                <w:webHidden/>
              </w:rPr>
              <w:fldChar w:fldCharType="end"/>
            </w:r>
          </w:hyperlink>
        </w:p>
        <w:p w14:paraId="5447C829" w14:textId="63D67067" w:rsidR="004C44D1" w:rsidRDefault="004C44D1">
          <w:pPr>
            <w:pStyle w:val="TOC2"/>
            <w:tabs>
              <w:tab w:val="right" w:leader="dot" w:pos="9350"/>
            </w:tabs>
            <w:rPr>
              <w:rFonts w:asciiTheme="minorHAnsi" w:eastAsiaTheme="minorEastAsia" w:hAnsiTheme="minorHAnsi" w:cstheme="minorBidi"/>
              <w:noProof/>
              <w:kern w:val="2"/>
              <w:lang w:eastAsia="zh-CN"/>
              <w14:ligatures w14:val="standardContextual"/>
            </w:rPr>
          </w:pPr>
          <w:hyperlink w:anchor="_Toc178285841" w:history="1">
            <w:r w:rsidRPr="00C045C4">
              <w:rPr>
                <w:rStyle w:val="Hyperlink"/>
                <w:b/>
                <w:bCs/>
                <w:noProof/>
              </w:rPr>
              <w:t>Section 3:</w:t>
            </w:r>
            <w:r>
              <w:rPr>
                <w:noProof/>
                <w:webHidden/>
              </w:rPr>
              <w:tab/>
            </w:r>
            <w:r>
              <w:rPr>
                <w:noProof/>
                <w:webHidden/>
              </w:rPr>
              <w:fldChar w:fldCharType="begin"/>
            </w:r>
            <w:r>
              <w:rPr>
                <w:noProof/>
                <w:webHidden/>
              </w:rPr>
              <w:instrText xml:space="preserve"> PAGEREF _Toc178285841 \h </w:instrText>
            </w:r>
            <w:r>
              <w:rPr>
                <w:noProof/>
                <w:webHidden/>
              </w:rPr>
            </w:r>
            <w:r>
              <w:rPr>
                <w:noProof/>
                <w:webHidden/>
              </w:rPr>
              <w:fldChar w:fldCharType="separate"/>
            </w:r>
            <w:r w:rsidR="00B7178D">
              <w:rPr>
                <w:noProof/>
                <w:webHidden/>
              </w:rPr>
              <w:t>35</w:t>
            </w:r>
            <w:r>
              <w:rPr>
                <w:noProof/>
                <w:webHidden/>
              </w:rPr>
              <w:fldChar w:fldCharType="end"/>
            </w:r>
          </w:hyperlink>
        </w:p>
        <w:p w14:paraId="60D6B75E" w14:textId="1EEDBA52" w:rsidR="004C44D1" w:rsidRDefault="004C44D1">
          <w:pPr>
            <w:pStyle w:val="TOC2"/>
            <w:tabs>
              <w:tab w:val="right" w:leader="dot" w:pos="9350"/>
            </w:tabs>
            <w:rPr>
              <w:rFonts w:asciiTheme="minorHAnsi" w:eastAsiaTheme="minorEastAsia" w:hAnsiTheme="minorHAnsi" w:cstheme="minorBidi"/>
              <w:noProof/>
              <w:kern w:val="2"/>
              <w:lang w:eastAsia="zh-CN"/>
              <w14:ligatures w14:val="standardContextual"/>
            </w:rPr>
          </w:pPr>
          <w:hyperlink w:anchor="_Toc178285842" w:history="1">
            <w:r w:rsidRPr="00C045C4">
              <w:rPr>
                <w:rStyle w:val="Hyperlink"/>
                <w:b/>
                <w:bCs/>
                <w:noProof/>
              </w:rPr>
              <w:t>Headline and binary indicator metadata</w:t>
            </w:r>
            <w:r>
              <w:rPr>
                <w:noProof/>
                <w:webHidden/>
              </w:rPr>
              <w:tab/>
            </w:r>
            <w:r>
              <w:rPr>
                <w:noProof/>
                <w:webHidden/>
              </w:rPr>
              <w:fldChar w:fldCharType="begin"/>
            </w:r>
            <w:r>
              <w:rPr>
                <w:noProof/>
                <w:webHidden/>
              </w:rPr>
              <w:instrText xml:space="preserve"> PAGEREF _Toc178285842 \h </w:instrText>
            </w:r>
            <w:r>
              <w:rPr>
                <w:noProof/>
                <w:webHidden/>
              </w:rPr>
            </w:r>
            <w:r>
              <w:rPr>
                <w:noProof/>
                <w:webHidden/>
              </w:rPr>
              <w:fldChar w:fldCharType="separate"/>
            </w:r>
            <w:r w:rsidR="00B7178D">
              <w:rPr>
                <w:noProof/>
                <w:webHidden/>
              </w:rPr>
              <w:t>35</w:t>
            </w:r>
            <w:r>
              <w:rPr>
                <w:noProof/>
                <w:webHidden/>
              </w:rPr>
              <w:fldChar w:fldCharType="end"/>
            </w:r>
          </w:hyperlink>
        </w:p>
        <w:p w14:paraId="28456F43" w14:textId="13F5E0B5"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43" w:history="1">
            <w:r w:rsidRPr="00C045C4">
              <w:rPr>
                <w:rStyle w:val="Hyperlink"/>
                <w:noProof/>
              </w:rPr>
              <w:t>GBF indicator metadata: A.1 Red List of Ecosystems</w:t>
            </w:r>
            <w:r>
              <w:rPr>
                <w:noProof/>
                <w:webHidden/>
              </w:rPr>
              <w:tab/>
            </w:r>
            <w:r>
              <w:rPr>
                <w:noProof/>
                <w:webHidden/>
              </w:rPr>
              <w:fldChar w:fldCharType="begin"/>
            </w:r>
            <w:r>
              <w:rPr>
                <w:noProof/>
                <w:webHidden/>
              </w:rPr>
              <w:instrText xml:space="preserve"> PAGEREF _Toc178285843 \h </w:instrText>
            </w:r>
            <w:r>
              <w:rPr>
                <w:noProof/>
                <w:webHidden/>
              </w:rPr>
            </w:r>
            <w:r>
              <w:rPr>
                <w:noProof/>
                <w:webHidden/>
              </w:rPr>
              <w:fldChar w:fldCharType="separate"/>
            </w:r>
            <w:r w:rsidR="00B7178D">
              <w:rPr>
                <w:noProof/>
                <w:webHidden/>
              </w:rPr>
              <w:t>35</w:t>
            </w:r>
            <w:r>
              <w:rPr>
                <w:noProof/>
                <w:webHidden/>
              </w:rPr>
              <w:fldChar w:fldCharType="end"/>
            </w:r>
          </w:hyperlink>
        </w:p>
        <w:p w14:paraId="0ACA1637" w14:textId="1ABC0C75"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44" w:history="1">
            <w:r w:rsidRPr="00C045C4">
              <w:rPr>
                <w:rStyle w:val="Hyperlink"/>
                <w:noProof/>
              </w:rPr>
              <w:t>GBF indicator metadata: A.2 Extent of natural ecosystems</w:t>
            </w:r>
            <w:r>
              <w:rPr>
                <w:noProof/>
                <w:webHidden/>
              </w:rPr>
              <w:tab/>
            </w:r>
            <w:r>
              <w:rPr>
                <w:noProof/>
                <w:webHidden/>
              </w:rPr>
              <w:fldChar w:fldCharType="begin"/>
            </w:r>
            <w:r>
              <w:rPr>
                <w:noProof/>
                <w:webHidden/>
              </w:rPr>
              <w:instrText xml:space="preserve"> PAGEREF _Toc178285844 \h </w:instrText>
            </w:r>
            <w:r>
              <w:rPr>
                <w:noProof/>
                <w:webHidden/>
              </w:rPr>
            </w:r>
            <w:r>
              <w:rPr>
                <w:noProof/>
                <w:webHidden/>
              </w:rPr>
              <w:fldChar w:fldCharType="separate"/>
            </w:r>
            <w:r w:rsidR="00B7178D">
              <w:rPr>
                <w:noProof/>
                <w:webHidden/>
              </w:rPr>
              <w:t>49</w:t>
            </w:r>
            <w:r>
              <w:rPr>
                <w:noProof/>
                <w:webHidden/>
              </w:rPr>
              <w:fldChar w:fldCharType="end"/>
            </w:r>
          </w:hyperlink>
        </w:p>
        <w:p w14:paraId="05C2EA4A" w14:textId="43514504"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45" w:history="1">
            <w:r w:rsidRPr="00C045C4">
              <w:rPr>
                <w:rStyle w:val="Hyperlink"/>
                <w:noProof/>
              </w:rPr>
              <w:t>GBF indicator metadata: A.3 Red List Index</w:t>
            </w:r>
            <w:r>
              <w:rPr>
                <w:noProof/>
                <w:webHidden/>
              </w:rPr>
              <w:tab/>
            </w:r>
            <w:r>
              <w:rPr>
                <w:noProof/>
                <w:webHidden/>
              </w:rPr>
              <w:fldChar w:fldCharType="begin"/>
            </w:r>
            <w:r>
              <w:rPr>
                <w:noProof/>
                <w:webHidden/>
              </w:rPr>
              <w:instrText xml:space="preserve"> PAGEREF _Toc178285845 \h </w:instrText>
            </w:r>
            <w:r>
              <w:rPr>
                <w:noProof/>
                <w:webHidden/>
              </w:rPr>
            </w:r>
            <w:r>
              <w:rPr>
                <w:noProof/>
                <w:webHidden/>
              </w:rPr>
              <w:fldChar w:fldCharType="separate"/>
            </w:r>
            <w:r w:rsidR="00B7178D">
              <w:rPr>
                <w:noProof/>
                <w:webHidden/>
              </w:rPr>
              <w:t>60</w:t>
            </w:r>
            <w:r>
              <w:rPr>
                <w:noProof/>
                <w:webHidden/>
              </w:rPr>
              <w:fldChar w:fldCharType="end"/>
            </w:r>
          </w:hyperlink>
        </w:p>
        <w:p w14:paraId="21A2D61A" w14:textId="5CDB7C74"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46" w:history="1">
            <w:r w:rsidRPr="00C045C4">
              <w:rPr>
                <w:rStyle w:val="Hyperlink"/>
                <w:noProof/>
              </w:rPr>
              <w:t>GBF indicator metadata: A.4 The proportion of populations within species with an effective population size (Ne) &gt; 500</w:t>
            </w:r>
            <w:r>
              <w:rPr>
                <w:noProof/>
                <w:webHidden/>
              </w:rPr>
              <w:tab/>
            </w:r>
            <w:r>
              <w:rPr>
                <w:noProof/>
                <w:webHidden/>
              </w:rPr>
              <w:fldChar w:fldCharType="begin"/>
            </w:r>
            <w:r>
              <w:rPr>
                <w:noProof/>
                <w:webHidden/>
              </w:rPr>
              <w:instrText xml:space="preserve"> PAGEREF _Toc178285846 \h </w:instrText>
            </w:r>
            <w:r>
              <w:rPr>
                <w:noProof/>
                <w:webHidden/>
              </w:rPr>
            </w:r>
            <w:r>
              <w:rPr>
                <w:noProof/>
                <w:webHidden/>
              </w:rPr>
              <w:fldChar w:fldCharType="separate"/>
            </w:r>
            <w:r w:rsidR="00B7178D">
              <w:rPr>
                <w:noProof/>
                <w:webHidden/>
              </w:rPr>
              <w:t>74</w:t>
            </w:r>
            <w:r>
              <w:rPr>
                <w:noProof/>
                <w:webHidden/>
              </w:rPr>
              <w:fldChar w:fldCharType="end"/>
            </w:r>
          </w:hyperlink>
        </w:p>
        <w:p w14:paraId="7EFC6647" w14:textId="4500514B"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47" w:history="1">
            <w:r w:rsidRPr="00C045C4">
              <w:rPr>
                <w:rStyle w:val="Hyperlink"/>
                <w:noProof/>
              </w:rPr>
              <w:t>GBF indicator metadata: B.1 Services provided by ecosystems</w:t>
            </w:r>
            <w:r>
              <w:rPr>
                <w:noProof/>
                <w:webHidden/>
              </w:rPr>
              <w:tab/>
            </w:r>
            <w:r>
              <w:rPr>
                <w:noProof/>
                <w:webHidden/>
              </w:rPr>
              <w:fldChar w:fldCharType="begin"/>
            </w:r>
            <w:r>
              <w:rPr>
                <w:noProof/>
                <w:webHidden/>
              </w:rPr>
              <w:instrText xml:space="preserve"> PAGEREF _Toc178285847 \h </w:instrText>
            </w:r>
            <w:r>
              <w:rPr>
                <w:noProof/>
                <w:webHidden/>
              </w:rPr>
            </w:r>
            <w:r>
              <w:rPr>
                <w:noProof/>
                <w:webHidden/>
              </w:rPr>
              <w:fldChar w:fldCharType="separate"/>
            </w:r>
            <w:r w:rsidR="00B7178D">
              <w:rPr>
                <w:noProof/>
                <w:webHidden/>
              </w:rPr>
              <w:t>90</w:t>
            </w:r>
            <w:r>
              <w:rPr>
                <w:noProof/>
                <w:webHidden/>
              </w:rPr>
              <w:fldChar w:fldCharType="end"/>
            </w:r>
          </w:hyperlink>
        </w:p>
        <w:p w14:paraId="33ECB2E5" w14:textId="347A4E93"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48" w:history="1">
            <w:r w:rsidRPr="00C045C4">
              <w:rPr>
                <w:rStyle w:val="Hyperlink"/>
                <w:noProof/>
              </w:rPr>
              <w:t>GBF indicator metadata: B.b Goal B binary indicator</w:t>
            </w:r>
            <w:r>
              <w:rPr>
                <w:noProof/>
                <w:webHidden/>
              </w:rPr>
              <w:tab/>
            </w:r>
            <w:r>
              <w:rPr>
                <w:noProof/>
                <w:webHidden/>
              </w:rPr>
              <w:fldChar w:fldCharType="begin"/>
            </w:r>
            <w:r>
              <w:rPr>
                <w:noProof/>
                <w:webHidden/>
              </w:rPr>
              <w:instrText xml:space="preserve"> PAGEREF _Toc178285848 \h </w:instrText>
            </w:r>
            <w:r>
              <w:rPr>
                <w:noProof/>
                <w:webHidden/>
              </w:rPr>
            </w:r>
            <w:r>
              <w:rPr>
                <w:noProof/>
                <w:webHidden/>
              </w:rPr>
              <w:fldChar w:fldCharType="separate"/>
            </w:r>
            <w:r w:rsidR="00B7178D">
              <w:rPr>
                <w:noProof/>
                <w:webHidden/>
              </w:rPr>
              <w:t>100</w:t>
            </w:r>
            <w:r>
              <w:rPr>
                <w:noProof/>
                <w:webHidden/>
              </w:rPr>
              <w:fldChar w:fldCharType="end"/>
            </w:r>
          </w:hyperlink>
        </w:p>
        <w:p w14:paraId="1A97D3D6" w14:textId="047A58E7"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49" w:history="1">
            <w:r w:rsidRPr="00C045C4">
              <w:rPr>
                <w:rStyle w:val="Hyperlink"/>
                <w:noProof/>
              </w:rPr>
              <w:t>GBF indicator metadata: C.1 Monetary benefits received in accordance with applicable internationally agreed ABS instruments</w:t>
            </w:r>
            <w:r>
              <w:rPr>
                <w:noProof/>
                <w:webHidden/>
              </w:rPr>
              <w:tab/>
            </w:r>
            <w:r>
              <w:rPr>
                <w:noProof/>
                <w:webHidden/>
              </w:rPr>
              <w:fldChar w:fldCharType="begin"/>
            </w:r>
            <w:r>
              <w:rPr>
                <w:noProof/>
                <w:webHidden/>
              </w:rPr>
              <w:instrText xml:space="preserve"> PAGEREF _Toc178285849 \h </w:instrText>
            </w:r>
            <w:r>
              <w:rPr>
                <w:noProof/>
                <w:webHidden/>
              </w:rPr>
            </w:r>
            <w:r>
              <w:rPr>
                <w:noProof/>
                <w:webHidden/>
              </w:rPr>
              <w:fldChar w:fldCharType="separate"/>
            </w:r>
            <w:r w:rsidR="00B7178D">
              <w:rPr>
                <w:noProof/>
                <w:webHidden/>
              </w:rPr>
              <w:t>103</w:t>
            </w:r>
            <w:r>
              <w:rPr>
                <w:noProof/>
                <w:webHidden/>
              </w:rPr>
              <w:fldChar w:fldCharType="end"/>
            </w:r>
          </w:hyperlink>
        </w:p>
        <w:p w14:paraId="4DA667A6" w14:textId="131E8330"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50" w:history="1">
            <w:r w:rsidRPr="00C045C4">
              <w:rPr>
                <w:rStyle w:val="Hyperlink"/>
                <w:noProof/>
              </w:rPr>
              <w:t>GBF indicator metadata: C.2 Non-monetary benefits arising from applicable internationally agreed ABS instruments</w:t>
            </w:r>
            <w:r>
              <w:rPr>
                <w:noProof/>
                <w:webHidden/>
              </w:rPr>
              <w:tab/>
            </w:r>
            <w:r>
              <w:rPr>
                <w:noProof/>
                <w:webHidden/>
              </w:rPr>
              <w:fldChar w:fldCharType="begin"/>
            </w:r>
            <w:r>
              <w:rPr>
                <w:noProof/>
                <w:webHidden/>
              </w:rPr>
              <w:instrText xml:space="preserve"> PAGEREF _Toc178285850 \h </w:instrText>
            </w:r>
            <w:r>
              <w:rPr>
                <w:noProof/>
                <w:webHidden/>
              </w:rPr>
            </w:r>
            <w:r>
              <w:rPr>
                <w:noProof/>
                <w:webHidden/>
              </w:rPr>
              <w:fldChar w:fldCharType="separate"/>
            </w:r>
            <w:r w:rsidR="00B7178D">
              <w:rPr>
                <w:noProof/>
                <w:webHidden/>
              </w:rPr>
              <w:t>111</w:t>
            </w:r>
            <w:r>
              <w:rPr>
                <w:noProof/>
                <w:webHidden/>
              </w:rPr>
              <w:fldChar w:fldCharType="end"/>
            </w:r>
          </w:hyperlink>
        </w:p>
        <w:p w14:paraId="03E319E9" w14:textId="0C0C8B65"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51" w:history="1">
            <w:r w:rsidRPr="00C045C4">
              <w:rPr>
                <w:rStyle w:val="Hyperlink"/>
                <w:noProof/>
              </w:rPr>
              <w:t>GBF indicator metadata: D.1 International public funding, including official development assistance (ODA), for conservation and sustainable use of biodiversity, and ecosystems</w:t>
            </w:r>
            <w:r>
              <w:rPr>
                <w:noProof/>
                <w:webHidden/>
              </w:rPr>
              <w:tab/>
            </w:r>
            <w:r>
              <w:rPr>
                <w:noProof/>
                <w:webHidden/>
              </w:rPr>
              <w:fldChar w:fldCharType="begin"/>
            </w:r>
            <w:r>
              <w:rPr>
                <w:noProof/>
                <w:webHidden/>
              </w:rPr>
              <w:instrText xml:space="preserve"> PAGEREF _Toc178285851 \h </w:instrText>
            </w:r>
            <w:r>
              <w:rPr>
                <w:noProof/>
                <w:webHidden/>
              </w:rPr>
            </w:r>
            <w:r>
              <w:rPr>
                <w:noProof/>
                <w:webHidden/>
              </w:rPr>
              <w:fldChar w:fldCharType="separate"/>
            </w:r>
            <w:r w:rsidR="00B7178D">
              <w:rPr>
                <w:noProof/>
                <w:webHidden/>
              </w:rPr>
              <w:t>121</w:t>
            </w:r>
            <w:r>
              <w:rPr>
                <w:noProof/>
                <w:webHidden/>
              </w:rPr>
              <w:fldChar w:fldCharType="end"/>
            </w:r>
          </w:hyperlink>
        </w:p>
        <w:p w14:paraId="3A65A183" w14:textId="498B0323"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52" w:history="1">
            <w:r w:rsidRPr="00C045C4">
              <w:rPr>
                <w:rStyle w:val="Hyperlink"/>
                <w:noProof/>
              </w:rPr>
              <w:t>GBF indicator metadata: D.2 Domestic public funding on conservation and sustainable use of biodiversity and ecosystems</w:t>
            </w:r>
            <w:r>
              <w:rPr>
                <w:noProof/>
                <w:webHidden/>
              </w:rPr>
              <w:tab/>
            </w:r>
            <w:r>
              <w:rPr>
                <w:noProof/>
                <w:webHidden/>
              </w:rPr>
              <w:fldChar w:fldCharType="begin"/>
            </w:r>
            <w:r>
              <w:rPr>
                <w:noProof/>
                <w:webHidden/>
              </w:rPr>
              <w:instrText xml:space="preserve"> PAGEREF _Toc178285852 \h </w:instrText>
            </w:r>
            <w:r>
              <w:rPr>
                <w:noProof/>
                <w:webHidden/>
              </w:rPr>
            </w:r>
            <w:r>
              <w:rPr>
                <w:noProof/>
                <w:webHidden/>
              </w:rPr>
              <w:fldChar w:fldCharType="separate"/>
            </w:r>
            <w:r w:rsidR="00B7178D">
              <w:rPr>
                <w:noProof/>
                <w:webHidden/>
              </w:rPr>
              <w:t>129</w:t>
            </w:r>
            <w:r>
              <w:rPr>
                <w:noProof/>
                <w:webHidden/>
              </w:rPr>
              <w:fldChar w:fldCharType="end"/>
            </w:r>
          </w:hyperlink>
        </w:p>
        <w:p w14:paraId="67F1FC53" w14:textId="01DAC5A7"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53" w:history="1">
            <w:r w:rsidRPr="00C045C4">
              <w:rPr>
                <w:rStyle w:val="Hyperlink"/>
                <w:noProof/>
              </w:rPr>
              <w:t>GBF indicator metadata: D.3 Private funding (domestic and international) on conservation and sustainable use of biodiversity and ecosystems</w:t>
            </w:r>
            <w:r>
              <w:rPr>
                <w:noProof/>
                <w:webHidden/>
              </w:rPr>
              <w:tab/>
            </w:r>
            <w:r>
              <w:rPr>
                <w:noProof/>
                <w:webHidden/>
              </w:rPr>
              <w:fldChar w:fldCharType="begin"/>
            </w:r>
            <w:r>
              <w:rPr>
                <w:noProof/>
                <w:webHidden/>
              </w:rPr>
              <w:instrText xml:space="preserve"> PAGEREF _Toc178285853 \h </w:instrText>
            </w:r>
            <w:r>
              <w:rPr>
                <w:noProof/>
                <w:webHidden/>
              </w:rPr>
            </w:r>
            <w:r>
              <w:rPr>
                <w:noProof/>
                <w:webHidden/>
              </w:rPr>
              <w:fldChar w:fldCharType="separate"/>
            </w:r>
            <w:r w:rsidR="00B7178D">
              <w:rPr>
                <w:noProof/>
                <w:webHidden/>
              </w:rPr>
              <w:t>135</w:t>
            </w:r>
            <w:r>
              <w:rPr>
                <w:noProof/>
                <w:webHidden/>
              </w:rPr>
              <w:fldChar w:fldCharType="end"/>
            </w:r>
          </w:hyperlink>
        </w:p>
        <w:p w14:paraId="4969DEE8" w14:textId="31530B8C"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54" w:history="1">
            <w:r w:rsidRPr="00C045C4">
              <w:rPr>
                <w:rStyle w:val="Hyperlink"/>
                <w:noProof/>
              </w:rPr>
              <w:t>GBF indicator: 1.1. Percent of land and seas covered by biodiversity-inclusive spatial plans</w:t>
            </w:r>
            <w:r>
              <w:rPr>
                <w:noProof/>
                <w:webHidden/>
              </w:rPr>
              <w:tab/>
            </w:r>
            <w:r>
              <w:rPr>
                <w:noProof/>
                <w:webHidden/>
              </w:rPr>
              <w:fldChar w:fldCharType="begin"/>
            </w:r>
            <w:r>
              <w:rPr>
                <w:noProof/>
                <w:webHidden/>
              </w:rPr>
              <w:instrText xml:space="preserve"> PAGEREF _Toc178285854 \h </w:instrText>
            </w:r>
            <w:r>
              <w:rPr>
                <w:noProof/>
                <w:webHidden/>
              </w:rPr>
            </w:r>
            <w:r>
              <w:rPr>
                <w:noProof/>
                <w:webHidden/>
              </w:rPr>
              <w:fldChar w:fldCharType="separate"/>
            </w:r>
            <w:r w:rsidR="00B7178D">
              <w:rPr>
                <w:noProof/>
                <w:webHidden/>
              </w:rPr>
              <w:t>144</w:t>
            </w:r>
            <w:r>
              <w:rPr>
                <w:noProof/>
                <w:webHidden/>
              </w:rPr>
              <w:fldChar w:fldCharType="end"/>
            </w:r>
          </w:hyperlink>
        </w:p>
        <w:p w14:paraId="7D99538D" w14:textId="61A3B3A5"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55" w:history="1">
            <w:r w:rsidRPr="00C045C4">
              <w:rPr>
                <w:rStyle w:val="Hyperlink"/>
                <w:noProof/>
              </w:rPr>
              <w:t>GBF indicator metadata: 1.b Target 1 binary indicator</w:t>
            </w:r>
            <w:r>
              <w:rPr>
                <w:noProof/>
                <w:webHidden/>
              </w:rPr>
              <w:tab/>
            </w:r>
            <w:r>
              <w:rPr>
                <w:noProof/>
                <w:webHidden/>
              </w:rPr>
              <w:fldChar w:fldCharType="begin"/>
            </w:r>
            <w:r>
              <w:rPr>
                <w:noProof/>
                <w:webHidden/>
              </w:rPr>
              <w:instrText xml:space="preserve"> PAGEREF _Toc178285855 \h </w:instrText>
            </w:r>
            <w:r>
              <w:rPr>
                <w:noProof/>
                <w:webHidden/>
              </w:rPr>
            </w:r>
            <w:r>
              <w:rPr>
                <w:noProof/>
                <w:webHidden/>
              </w:rPr>
              <w:fldChar w:fldCharType="separate"/>
            </w:r>
            <w:r w:rsidR="00B7178D">
              <w:rPr>
                <w:noProof/>
                <w:webHidden/>
              </w:rPr>
              <w:t>153</w:t>
            </w:r>
            <w:r>
              <w:rPr>
                <w:noProof/>
                <w:webHidden/>
              </w:rPr>
              <w:fldChar w:fldCharType="end"/>
            </w:r>
          </w:hyperlink>
        </w:p>
        <w:p w14:paraId="7E27504A" w14:textId="023A4C86"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56" w:history="1">
            <w:r w:rsidRPr="00C045C4">
              <w:rPr>
                <w:rStyle w:val="Hyperlink"/>
                <w:noProof/>
              </w:rPr>
              <w:t>GBF indicator metadata: 2.1 Area under restoration</w:t>
            </w:r>
            <w:r>
              <w:rPr>
                <w:noProof/>
                <w:webHidden/>
              </w:rPr>
              <w:tab/>
            </w:r>
            <w:r>
              <w:rPr>
                <w:noProof/>
                <w:webHidden/>
              </w:rPr>
              <w:fldChar w:fldCharType="begin"/>
            </w:r>
            <w:r>
              <w:rPr>
                <w:noProof/>
                <w:webHidden/>
              </w:rPr>
              <w:instrText xml:space="preserve"> PAGEREF _Toc178285856 \h </w:instrText>
            </w:r>
            <w:r>
              <w:rPr>
                <w:noProof/>
                <w:webHidden/>
              </w:rPr>
            </w:r>
            <w:r>
              <w:rPr>
                <w:noProof/>
                <w:webHidden/>
              </w:rPr>
              <w:fldChar w:fldCharType="separate"/>
            </w:r>
            <w:r w:rsidR="00B7178D">
              <w:rPr>
                <w:noProof/>
                <w:webHidden/>
              </w:rPr>
              <w:t>156</w:t>
            </w:r>
            <w:r>
              <w:rPr>
                <w:noProof/>
                <w:webHidden/>
              </w:rPr>
              <w:fldChar w:fldCharType="end"/>
            </w:r>
          </w:hyperlink>
        </w:p>
        <w:p w14:paraId="454021B1" w14:textId="6A82C510"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57" w:history="1">
            <w:r w:rsidRPr="00C045C4">
              <w:rPr>
                <w:rStyle w:val="Hyperlink"/>
                <w:noProof/>
              </w:rPr>
              <w:t>GBF indicator metadata: 3.1 Coverage of protected areas and other effective area-based conservation measures</w:t>
            </w:r>
            <w:r>
              <w:rPr>
                <w:noProof/>
                <w:webHidden/>
              </w:rPr>
              <w:tab/>
            </w:r>
            <w:r>
              <w:rPr>
                <w:noProof/>
                <w:webHidden/>
              </w:rPr>
              <w:fldChar w:fldCharType="begin"/>
            </w:r>
            <w:r>
              <w:rPr>
                <w:noProof/>
                <w:webHidden/>
              </w:rPr>
              <w:instrText xml:space="preserve"> PAGEREF _Toc178285857 \h </w:instrText>
            </w:r>
            <w:r>
              <w:rPr>
                <w:noProof/>
                <w:webHidden/>
              </w:rPr>
            </w:r>
            <w:r>
              <w:rPr>
                <w:noProof/>
                <w:webHidden/>
              </w:rPr>
              <w:fldChar w:fldCharType="separate"/>
            </w:r>
            <w:r w:rsidR="00B7178D">
              <w:rPr>
                <w:noProof/>
                <w:webHidden/>
              </w:rPr>
              <w:t>167</w:t>
            </w:r>
            <w:r>
              <w:rPr>
                <w:noProof/>
                <w:webHidden/>
              </w:rPr>
              <w:fldChar w:fldCharType="end"/>
            </w:r>
          </w:hyperlink>
        </w:p>
        <w:p w14:paraId="4859520D" w14:textId="12AFDA68"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58" w:history="1">
            <w:r w:rsidRPr="00C045C4">
              <w:rPr>
                <w:rStyle w:val="Hyperlink"/>
                <w:noProof/>
              </w:rPr>
              <w:t>GBF indicator metadata: Target 4</w:t>
            </w:r>
            <w:r>
              <w:rPr>
                <w:noProof/>
                <w:webHidden/>
              </w:rPr>
              <w:tab/>
            </w:r>
            <w:r>
              <w:rPr>
                <w:noProof/>
                <w:webHidden/>
              </w:rPr>
              <w:fldChar w:fldCharType="begin"/>
            </w:r>
            <w:r>
              <w:rPr>
                <w:noProof/>
                <w:webHidden/>
              </w:rPr>
              <w:instrText xml:space="preserve"> PAGEREF _Toc178285858 \h </w:instrText>
            </w:r>
            <w:r>
              <w:rPr>
                <w:noProof/>
                <w:webHidden/>
              </w:rPr>
            </w:r>
            <w:r>
              <w:rPr>
                <w:noProof/>
                <w:webHidden/>
              </w:rPr>
              <w:fldChar w:fldCharType="separate"/>
            </w:r>
            <w:r w:rsidR="00B7178D">
              <w:rPr>
                <w:noProof/>
                <w:webHidden/>
              </w:rPr>
              <w:t>183</w:t>
            </w:r>
            <w:r>
              <w:rPr>
                <w:noProof/>
                <w:webHidden/>
              </w:rPr>
              <w:fldChar w:fldCharType="end"/>
            </w:r>
          </w:hyperlink>
        </w:p>
        <w:p w14:paraId="25AD92E4" w14:textId="760AE029"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59" w:history="1">
            <w:r w:rsidRPr="00C045C4">
              <w:rPr>
                <w:rStyle w:val="Hyperlink"/>
                <w:noProof/>
              </w:rPr>
              <w:t>GBF indicator metadata: 5.1 Proportion of fish stocks within biologically sustainable levels</w:t>
            </w:r>
            <w:r>
              <w:rPr>
                <w:noProof/>
                <w:webHidden/>
              </w:rPr>
              <w:tab/>
            </w:r>
            <w:r>
              <w:rPr>
                <w:noProof/>
                <w:webHidden/>
              </w:rPr>
              <w:fldChar w:fldCharType="begin"/>
            </w:r>
            <w:r>
              <w:rPr>
                <w:noProof/>
                <w:webHidden/>
              </w:rPr>
              <w:instrText xml:space="preserve"> PAGEREF _Toc178285859 \h </w:instrText>
            </w:r>
            <w:r>
              <w:rPr>
                <w:noProof/>
                <w:webHidden/>
              </w:rPr>
            </w:r>
            <w:r>
              <w:rPr>
                <w:noProof/>
                <w:webHidden/>
              </w:rPr>
              <w:fldChar w:fldCharType="separate"/>
            </w:r>
            <w:r w:rsidR="00B7178D">
              <w:rPr>
                <w:noProof/>
                <w:webHidden/>
              </w:rPr>
              <w:t>184</w:t>
            </w:r>
            <w:r>
              <w:rPr>
                <w:noProof/>
                <w:webHidden/>
              </w:rPr>
              <w:fldChar w:fldCharType="end"/>
            </w:r>
          </w:hyperlink>
        </w:p>
        <w:p w14:paraId="0EE90A53" w14:textId="4497BEE8"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60" w:history="1">
            <w:r w:rsidRPr="00C045C4">
              <w:rPr>
                <w:rStyle w:val="Hyperlink"/>
                <w:noProof/>
              </w:rPr>
              <w:t>GBF indicator metadata: 6.1 Rate of invasive alien species establishment</w:t>
            </w:r>
            <w:r>
              <w:rPr>
                <w:noProof/>
                <w:webHidden/>
              </w:rPr>
              <w:tab/>
            </w:r>
            <w:r>
              <w:rPr>
                <w:noProof/>
                <w:webHidden/>
              </w:rPr>
              <w:fldChar w:fldCharType="begin"/>
            </w:r>
            <w:r>
              <w:rPr>
                <w:noProof/>
                <w:webHidden/>
              </w:rPr>
              <w:instrText xml:space="preserve"> PAGEREF _Toc178285860 \h </w:instrText>
            </w:r>
            <w:r>
              <w:rPr>
                <w:noProof/>
                <w:webHidden/>
              </w:rPr>
            </w:r>
            <w:r>
              <w:rPr>
                <w:noProof/>
                <w:webHidden/>
              </w:rPr>
              <w:fldChar w:fldCharType="separate"/>
            </w:r>
            <w:r w:rsidR="00B7178D">
              <w:rPr>
                <w:noProof/>
                <w:webHidden/>
              </w:rPr>
              <w:t>193</w:t>
            </w:r>
            <w:r>
              <w:rPr>
                <w:noProof/>
                <w:webHidden/>
              </w:rPr>
              <w:fldChar w:fldCharType="end"/>
            </w:r>
          </w:hyperlink>
        </w:p>
        <w:p w14:paraId="1D3DCF4C" w14:textId="669A4489"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61" w:history="1">
            <w:r w:rsidRPr="00C045C4">
              <w:rPr>
                <w:rStyle w:val="Hyperlink"/>
                <w:noProof/>
              </w:rPr>
              <w:t>GBF indicator metadata: 6.b Target 6 binary indicator</w:t>
            </w:r>
            <w:r>
              <w:rPr>
                <w:noProof/>
                <w:webHidden/>
              </w:rPr>
              <w:tab/>
            </w:r>
            <w:r>
              <w:rPr>
                <w:noProof/>
                <w:webHidden/>
              </w:rPr>
              <w:fldChar w:fldCharType="begin"/>
            </w:r>
            <w:r>
              <w:rPr>
                <w:noProof/>
                <w:webHidden/>
              </w:rPr>
              <w:instrText xml:space="preserve"> PAGEREF _Toc178285861 \h </w:instrText>
            </w:r>
            <w:r>
              <w:rPr>
                <w:noProof/>
                <w:webHidden/>
              </w:rPr>
            </w:r>
            <w:r>
              <w:rPr>
                <w:noProof/>
                <w:webHidden/>
              </w:rPr>
              <w:fldChar w:fldCharType="separate"/>
            </w:r>
            <w:r w:rsidR="00B7178D">
              <w:rPr>
                <w:noProof/>
                <w:webHidden/>
              </w:rPr>
              <w:t>200</w:t>
            </w:r>
            <w:r>
              <w:rPr>
                <w:noProof/>
                <w:webHidden/>
              </w:rPr>
              <w:fldChar w:fldCharType="end"/>
            </w:r>
          </w:hyperlink>
        </w:p>
        <w:p w14:paraId="6746527A" w14:textId="15F1AF69"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62" w:history="1">
            <w:r w:rsidRPr="00C045C4">
              <w:rPr>
                <w:rStyle w:val="Hyperlink"/>
                <w:noProof/>
              </w:rPr>
              <w:t>GBF indicator metadata: 7.1 Index of coastal eutrophication potential</w:t>
            </w:r>
            <w:r>
              <w:rPr>
                <w:noProof/>
                <w:webHidden/>
              </w:rPr>
              <w:tab/>
            </w:r>
            <w:r>
              <w:rPr>
                <w:noProof/>
                <w:webHidden/>
              </w:rPr>
              <w:fldChar w:fldCharType="begin"/>
            </w:r>
            <w:r>
              <w:rPr>
                <w:noProof/>
                <w:webHidden/>
              </w:rPr>
              <w:instrText xml:space="preserve"> PAGEREF _Toc178285862 \h </w:instrText>
            </w:r>
            <w:r>
              <w:rPr>
                <w:noProof/>
                <w:webHidden/>
              </w:rPr>
            </w:r>
            <w:r>
              <w:rPr>
                <w:noProof/>
                <w:webHidden/>
              </w:rPr>
              <w:fldChar w:fldCharType="separate"/>
            </w:r>
            <w:r w:rsidR="00B7178D">
              <w:rPr>
                <w:noProof/>
                <w:webHidden/>
              </w:rPr>
              <w:t>203</w:t>
            </w:r>
            <w:r>
              <w:rPr>
                <w:noProof/>
                <w:webHidden/>
              </w:rPr>
              <w:fldChar w:fldCharType="end"/>
            </w:r>
          </w:hyperlink>
        </w:p>
        <w:p w14:paraId="0FD6F12F" w14:textId="210AB8EE"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63" w:history="1">
            <w:r w:rsidRPr="00C045C4">
              <w:rPr>
                <w:rStyle w:val="Hyperlink"/>
                <w:noProof/>
              </w:rPr>
              <w:t>GBF indicator metadata: 7.2 Aggregated Total Applied Toxicity (ATAT)</w:t>
            </w:r>
            <w:r>
              <w:rPr>
                <w:noProof/>
                <w:webHidden/>
              </w:rPr>
              <w:tab/>
            </w:r>
            <w:r>
              <w:rPr>
                <w:noProof/>
                <w:webHidden/>
              </w:rPr>
              <w:fldChar w:fldCharType="begin"/>
            </w:r>
            <w:r>
              <w:rPr>
                <w:noProof/>
                <w:webHidden/>
              </w:rPr>
              <w:instrText xml:space="preserve"> PAGEREF _Toc178285863 \h </w:instrText>
            </w:r>
            <w:r>
              <w:rPr>
                <w:noProof/>
                <w:webHidden/>
              </w:rPr>
            </w:r>
            <w:r>
              <w:rPr>
                <w:noProof/>
                <w:webHidden/>
              </w:rPr>
              <w:fldChar w:fldCharType="separate"/>
            </w:r>
            <w:r w:rsidR="00B7178D">
              <w:rPr>
                <w:noProof/>
                <w:webHidden/>
              </w:rPr>
              <w:t>209</w:t>
            </w:r>
            <w:r>
              <w:rPr>
                <w:noProof/>
                <w:webHidden/>
              </w:rPr>
              <w:fldChar w:fldCharType="end"/>
            </w:r>
          </w:hyperlink>
        </w:p>
        <w:p w14:paraId="43EF49E7" w14:textId="5174240D"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64" w:history="1">
            <w:r w:rsidRPr="00C045C4">
              <w:rPr>
                <w:rStyle w:val="Hyperlink"/>
                <w:noProof/>
              </w:rPr>
              <w:t>GBF indicator metadata: 8.b Target 8 binary indicator</w:t>
            </w:r>
            <w:r>
              <w:rPr>
                <w:noProof/>
                <w:webHidden/>
              </w:rPr>
              <w:tab/>
            </w:r>
            <w:r>
              <w:rPr>
                <w:noProof/>
                <w:webHidden/>
              </w:rPr>
              <w:fldChar w:fldCharType="begin"/>
            </w:r>
            <w:r>
              <w:rPr>
                <w:noProof/>
                <w:webHidden/>
              </w:rPr>
              <w:instrText xml:space="preserve"> PAGEREF _Toc178285864 \h </w:instrText>
            </w:r>
            <w:r>
              <w:rPr>
                <w:noProof/>
                <w:webHidden/>
              </w:rPr>
            </w:r>
            <w:r>
              <w:rPr>
                <w:noProof/>
                <w:webHidden/>
              </w:rPr>
              <w:fldChar w:fldCharType="separate"/>
            </w:r>
            <w:r w:rsidR="00B7178D">
              <w:rPr>
                <w:noProof/>
                <w:webHidden/>
              </w:rPr>
              <w:t>221</w:t>
            </w:r>
            <w:r>
              <w:rPr>
                <w:noProof/>
                <w:webHidden/>
              </w:rPr>
              <w:fldChar w:fldCharType="end"/>
            </w:r>
          </w:hyperlink>
        </w:p>
        <w:p w14:paraId="4DF2F4BD" w14:textId="68FD93AF"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65" w:history="1">
            <w:r w:rsidRPr="00C045C4">
              <w:rPr>
                <w:rStyle w:val="Hyperlink"/>
                <w:noProof/>
              </w:rPr>
              <w:t>Note on headline indicator: 9.1 Benefits from the sustainable use of wild species</w:t>
            </w:r>
            <w:r>
              <w:rPr>
                <w:noProof/>
                <w:webHidden/>
              </w:rPr>
              <w:tab/>
            </w:r>
            <w:r>
              <w:rPr>
                <w:noProof/>
                <w:webHidden/>
              </w:rPr>
              <w:fldChar w:fldCharType="begin"/>
            </w:r>
            <w:r>
              <w:rPr>
                <w:noProof/>
                <w:webHidden/>
              </w:rPr>
              <w:instrText xml:space="preserve"> PAGEREF _Toc178285865 \h </w:instrText>
            </w:r>
            <w:r>
              <w:rPr>
                <w:noProof/>
                <w:webHidden/>
              </w:rPr>
            </w:r>
            <w:r>
              <w:rPr>
                <w:noProof/>
                <w:webHidden/>
              </w:rPr>
              <w:fldChar w:fldCharType="separate"/>
            </w:r>
            <w:r w:rsidR="00B7178D">
              <w:rPr>
                <w:noProof/>
                <w:webHidden/>
              </w:rPr>
              <w:t>225</w:t>
            </w:r>
            <w:r>
              <w:rPr>
                <w:noProof/>
                <w:webHidden/>
              </w:rPr>
              <w:fldChar w:fldCharType="end"/>
            </w:r>
          </w:hyperlink>
        </w:p>
        <w:p w14:paraId="7CA3DDFC" w14:textId="30A8E2BB"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66" w:history="1">
            <w:r w:rsidRPr="00C045C4">
              <w:rPr>
                <w:rStyle w:val="Hyperlink"/>
                <w:noProof/>
              </w:rPr>
              <w:t>GBF indicator metadata: 9.2 Percentage of the population in traditional occupations</w:t>
            </w:r>
            <w:r>
              <w:rPr>
                <w:noProof/>
                <w:webHidden/>
              </w:rPr>
              <w:tab/>
            </w:r>
            <w:r>
              <w:rPr>
                <w:noProof/>
                <w:webHidden/>
              </w:rPr>
              <w:fldChar w:fldCharType="begin"/>
            </w:r>
            <w:r>
              <w:rPr>
                <w:noProof/>
                <w:webHidden/>
              </w:rPr>
              <w:instrText xml:space="preserve"> PAGEREF _Toc178285866 \h </w:instrText>
            </w:r>
            <w:r>
              <w:rPr>
                <w:noProof/>
                <w:webHidden/>
              </w:rPr>
            </w:r>
            <w:r>
              <w:rPr>
                <w:noProof/>
                <w:webHidden/>
              </w:rPr>
              <w:fldChar w:fldCharType="separate"/>
            </w:r>
            <w:r w:rsidR="00B7178D">
              <w:rPr>
                <w:noProof/>
                <w:webHidden/>
              </w:rPr>
              <w:t>226</w:t>
            </w:r>
            <w:r>
              <w:rPr>
                <w:noProof/>
                <w:webHidden/>
              </w:rPr>
              <w:fldChar w:fldCharType="end"/>
            </w:r>
          </w:hyperlink>
        </w:p>
        <w:p w14:paraId="3587F8E5" w14:textId="78656CDF"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67" w:history="1">
            <w:r w:rsidRPr="00C045C4">
              <w:rPr>
                <w:rStyle w:val="Hyperlink"/>
                <w:noProof/>
              </w:rPr>
              <w:t>GBF indicator metadata: 9.b Target 9 binary indicator</w:t>
            </w:r>
            <w:r>
              <w:rPr>
                <w:noProof/>
                <w:webHidden/>
              </w:rPr>
              <w:tab/>
            </w:r>
            <w:r>
              <w:rPr>
                <w:noProof/>
                <w:webHidden/>
              </w:rPr>
              <w:fldChar w:fldCharType="begin"/>
            </w:r>
            <w:r>
              <w:rPr>
                <w:noProof/>
                <w:webHidden/>
              </w:rPr>
              <w:instrText xml:space="preserve"> PAGEREF _Toc178285867 \h </w:instrText>
            </w:r>
            <w:r>
              <w:rPr>
                <w:noProof/>
                <w:webHidden/>
              </w:rPr>
            </w:r>
            <w:r>
              <w:rPr>
                <w:noProof/>
                <w:webHidden/>
              </w:rPr>
              <w:fldChar w:fldCharType="separate"/>
            </w:r>
            <w:r w:rsidR="00B7178D">
              <w:rPr>
                <w:noProof/>
                <w:webHidden/>
              </w:rPr>
              <w:t>235</w:t>
            </w:r>
            <w:r>
              <w:rPr>
                <w:noProof/>
                <w:webHidden/>
              </w:rPr>
              <w:fldChar w:fldCharType="end"/>
            </w:r>
          </w:hyperlink>
        </w:p>
        <w:p w14:paraId="3C6435D8" w14:textId="79A48862"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68" w:history="1">
            <w:r w:rsidRPr="00C045C4">
              <w:rPr>
                <w:rStyle w:val="Hyperlink"/>
                <w:noProof/>
              </w:rPr>
              <w:t>GBF indicator metadata: 10.1 Proportion of agricultural area under productive and sustainable agriculture</w:t>
            </w:r>
            <w:r>
              <w:rPr>
                <w:noProof/>
                <w:webHidden/>
              </w:rPr>
              <w:tab/>
            </w:r>
            <w:r>
              <w:rPr>
                <w:noProof/>
                <w:webHidden/>
              </w:rPr>
              <w:fldChar w:fldCharType="begin"/>
            </w:r>
            <w:r>
              <w:rPr>
                <w:noProof/>
                <w:webHidden/>
              </w:rPr>
              <w:instrText xml:space="preserve"> PAGEREF _Toc178285868 \h </w:instrText>
            </w:r>
            <w:r>
              <w:rPr>
                <w:noProof/>
                <w:webHidden/>
              </w:rPr>
            </w:r>
            <w:r>
              <w:rPr>
                <w:noProof/>
                <w:webHidden/>
              </w:rPr>
              <w:fldChar w:fldCharType="separate"/>
            </w:r>
            <w:r w:rsidR="00B7178D">
              <w:rPr>
                <w:noProof/>
                <w:webHidden/>
              </w:rPr>
              <w:t>239</w:t>
            </w:r>
            <w:r>
              <w:rPr>
                <w:noProof/>
                <w:webHidden/>
              </w:rPr>
              <w:fldChar w:fldCharType="end"/>
            </w:r>
          </w:hyperlink>
        </w:p>
        <w:p w14:paraId="6B727256" w14:textId="519AF58A"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69" w:history="1">
            <w:r w:rsidRPr="00C045C4">
              <w:rPr>
                <w:rStyle w:val="Hyperlink"/>
                <w:noProof/>
              </w:rPr>
              <w:t>GBF indicator metadata: 10.2 Progress towards sustainable forest management</w:t>
            </w:r>
            <w:r>
              <w:rPr>
                <w:noProof/>
                <w:webHidden/>
              </w:rPr>
              <w:tab/>
            </w:r>
            <w:r>
              <w:rPr>
                <w:noProof/>
                <w:webHidden/>
              </w:rPr>
              <w:fldChar w:fldCharType="begin"/>
            </w:r>
            <w:r>
              <w:rPr>
                <w:noProof/>
                <w:webHidden/>
              </w:rPr>
              <w:instrText xml:space="preserve"> PAGEREF _Toc178285869 \h </w:instrText>
            </w:r>
            <w:r>
              <w:rPr>
                <w:noProof/>
                <w:webHidden/>
              </w:rPr>
            </w:r>
            <w:r>
              <w:rPr>
                <w:noProof/>
                <w:webHidden/>
              </w:rPr>
              <w:fldChar w:fldCharType="separate"/>
            </w:r>
            <w:r w:rsidR="00B7178D">
              <w:rPr>
                <w:noProof/>
                <w:webHidden/>
              </w:rPr>
              <w:t>247</w:t>
            </w:r>
            <w:r>
              <w:rPr>
                <w:noProof/>
                <w:webHidden/>
              </w:rPr>
              <w:fldChar w:fldCharType="end"/>
            </w:r>
          </w:hyperlink>
        </w:p>
        <w:p w14:paraId="20994967" w14:textId="46A4BE40"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70" w:history="1">
            <w:r w:rsidRPr="00C045C4">
              <w:rPr>
                <w:rStyle w:val="Hyperlink"/>
                <w:noProof/>
              </w:rPr>
              <w:t>GBF indicator metadata: 12.1 Average share of the built-up area of cities that is green/blue space for public use for all</w:t>
            </w:r>
            <w:r>
              <w:rPr>
                <w:noProof/>
                <w:webHidden/>
              </w:rPr>
              <w:tab/>
            </w:r>
            <w:r>
              <w:rPr>
                <w:noProof/>
                <w:webHidden/>
              </w:rPr>
              <w:fldChar w:fldCharType="begin"/>
            </w:r>
            <w:r>
              <w:rPr>
                <w:noProof/>
                <w:webHidden/>
              </w:rPr>
              <w:instrText xml:space="preserve"> PAGEREF _Toc178285870 \h </w:instrText>
            </w:r>
            <w:r>
              <w:rPr>
                <w:noProof/>
                <w:webHidden/>
              </w:rPr>
            </w:r>
            <w:r>
              <w:rPr>
                <w:noProof/>
                <w:webHidden/>
              </w:rPr>
              <w:fldChar w:fldCharType="separate"/>
            </w:r>
            <w:r w:rsidR="00B7178D">
              <w:rPr>
                <w:noProof/>
                <w:webHidden/>
              </w:rPr>
              <w:t>258</w:t>
            </w:r>
            <w:r>
              <w:rPr>
                <w:noProof/>
                <w:webHidden/>
              </w:rPr>
              <w:fldChar w:fldCharType="end"/>
            </w:r>
          </w:hyperlink>
        </w:p>
        <w:p w14:paraId="33A1A725" w14:textId="787C2F99"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71" w:history="1">
            <w:r w:rsidRPr="00C045C4">
              <w:rPr>
                <w:rStyle w:val="Hyperlink"/>
                <w:noProof/>
              </w:rPr>
              <w:t>GBF indicator metadata 12.b Target 12 binary indicator</w:t>
            </w:r>
            <w:r>
              <w:rPr>
                <w:noProof/>
                <w:webHidden/>
              </w:rPr>
              <w:tab/>
            </w:r>
            <w:r>
              <w:rPr>
                <w:noProof/>
                <w:webHidden/>
              </w:rPr>
              <w:fldChar w:fldCharType="begin"/>
            </w:r>
            <w:r>
              <w:rPr>
                <w:noProof/>
                <w:webHidden/>
              </w:rPr>
              <w:instrText xml:space="preserve"> PAGEREF _Toc178285871 \h </w:instrText>
            </w:r>
            <w:r>
              <w:rPr>
                <w:noProof/>
                <w:webHidden/>
              </w:rPr>
            </w:r>
            <w:r>
              <w:rPr>
                <w:noProof/>
                <w:webHidden/>
              </w:rPr>
              <w:fldChar w:fldCharType="separate"/>
            </w:r>
            <w:r w:rsidR="00B7178D">
              <w:rPr>
                <w:noProof/>
                <w:webHidden/>
              </w:rPr>
              <w:t>268</w:t>
            </w:r>
            <w:r>
              <w:rPr>
                <w:noProof/>
                <w:webHidden/>
              </w:rPr>
              <w:fldChar w:fldCharType="end"/>
            </w:r>
          </w:hyperlink>
        </w:p>
        <w:p w14:paraId="5B960F28" w14:textId="489E8DCE"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72" w:history="1">
            <w:r w:rsidRPr="00C045C4">
              <w:rPr>
                <w:rStyle w:val="Hyperlink"/>
                <w:noProof/>
              </w:rPr>
              <w:t>GBF indicator metadata: 13.b Target 13 binary indicator</w:t>
            </w:r>
            <w:r>
              <w:rPr>
                <w:noProof/>
                <w:webHidden/>
              </w:rPr>
              <w:tab/>
            </w:r>
            <w:r>
              <w:rPr>
                <w:noProof/>
                <w:webHidden/>
              </w:rPr>
              <w:fldChar w:fldCharType="begin"/>
            </w:r>
            <w:r>
              <w:rPr>
                <w:noProof/>
                <w:webHidden/>
              </w:rPr>
              <w:instrText xml:space="preserve"> PAGEREF _Toc178285872 \h </w:instrText>
            </w:r>
            <w:r>
              <w:rPr>
                <w:noProof/>
                <w:webHidden/>
              </w:rPr>
            </w:r>
            <w:r>
              <w:rPr>
                <w:noProof/>
                <w:webHidden/>
              </w:rPr>
              <w:fldChar w:fldCharType="separate"/>
            </w:r>
            <w:r w:rsidR="00B7178D">
              <w:rPr>
                <w:noProof/>
                <w:webHidden/>
              </w:rPr>
              <w:t>271</w:t>
            </w:r>
            <w:r>
              <w:rPr>
                <w:noProof/>
                <w:webHidden/>
              </w:rPr>
              <w:fldChar w:fldCharType="end"/>
            </w:r>
          </w:hyperlink>
        </w:p>
        <w:p w14:paraId="26D04DC5" w14:textId="2F78E67D"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73" w:history="1">
            <w:r w:rsidRPr="00C045C4">
              <w:rPr>
                <w:rStyle w:val="Hyperlink"/>
                <w:noProof/>
              </w:rPr>
              <w:t>GBF indicator metadata: 14.b Target 14 binary indicator</w:t>
            </w:r>
            <w:r>
              <w:rPr>
                <w:noProof/>
                <w:webHidden/>
              </w:rPr>
              <w:tab/>
            </w:r>
            <w:r>
              <w:rPr>
                <w:noProof/>
                <w:webHidden/>
              </w:rPr>
              <w:fldChar w:fldCharType="begin"/>
            </w:r>
            <w:r>
              <w:rPr>
                <w:noProof/>
                <w:webHidden/>
              </w:rPr>
              <w:instrText xml:space="preserve"> PAGEREF _Toc178285873 \h </w:instrText>
            </w:r>
            <w:r>
              <w:rPr>
                <w:noProof/>
                <w:webHidden/>
              </w:rPr>
            </w:r>
            <w:r>
              <w:rPr>
                <w:noProof/>
                <w:webHidden/>
              </w:rPr>
              <w:fldChar w:fldCharType="separate"/>
            </w:r>
            <w:r w:rsidR="00B7178D">
              <w:rPr>
                <w:noProof/>
                <w:webHidden/>
              </w:rPr>
              <w:t>275</w:t>
            </w:r>
            <w:r>
              <w:rPr>
                <w:noProof/>
                <w:webHidden/>
              </w:rPr>
              <w:fldChar w:fldCharType="end"/>
            </w:r>
          </w:hyperlink>
        </w:p>
        <w:p w14:paraId="2044490C" w14:textId="07CD6A28"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74" w:history="1">
            <w:r w:rsidRPr="00C045C4">
              <w:rPr>
                <w:rStyle w:val="Hyperlink"/>
                <w:noProof/>
              </w:rPr>
              <w:t>GBF indicator metadata: 15.1 Number of companies disclosing their biodiversity-related risks, dependencies, and impacts</w:t>
            </w:r>
            <w:r>
              <w:rPr>
                <w:noProof/>
                <w:webHidden/>
              </w:rPr>
              <w:tab/>
            </w:r>
            <w:r>
              <w:rPr>
                <w:noProof/>
                <w:webHidden/>
              </w:rPr>
              <w:fldChar w:fldCharType="begin"/>
            </w:r>
            <w:r>
              <w:rPr>
                <w:noProof/>
                <w:webHidden/>
              </w:rPr>
              <w:instrText xml:space="preserve"> PAGEREF _Toc178285874 \h </w:instrText>
            </w:r>
            <w:r>
              <w:rPr>
                <w:noProof/>
                <w:webHidden/>
              </w:rPr>
            </w:r>
            <w:r>
              <w:rPr>
                <w:noProof/>
                <w:webHidden/>
              </w:rPr>
              <w:fldChar w:fldCharType="separate"/>
            </w:r>
            <w:r w:rsidR="00B7178D">
              <w:rPr>
                <w:noProof/>
                <w:webHidden/>
              </w:rPr>
              <w:t>279</w:t>
            </w:r>
            <w:r>
              <w:rPr>
                <w:noProof/>
                <w:webHidden/>
              </w:rPr>
              <w:fldChar w:fldCharType="end"/>
            </w:r>
          </w:hyperlink>
        </w:p>
        <w:p w14:paraId="76B319F6" w14:textId="05DDB651"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75" w:history="1">
            <w:r w:rsidRPr="00C045C4">
              <w:rPr>
                <w:rStyle w:val="Hyperlink"/>
                <w:noProof/>
              </w:rPr>
              <w:t>GBF indicator metadata: 15.b Target 15 binary indicator</w:t>
            </w:r>
            <w:r>
              <w:rPr>
                <w:noProof/>
                <w:webHidden/>
              </w:rPr>
              <w:tab/>
            </w:r>
            <w:r>
              <w:rPr>
                <w:noProof/>
                <w:webHidden/>
              </w:rPr>
              <w:fldChar w:fldCharType="begin"/>
            </w:r>
            <w:r>
              <w:rPr>
                <w:noProof/>
                <w:webHidden/>
              </w:rPr>
              <w:instrText xml:space="preserve"> PAGEREF _Toc178285875 \h </w:instrText>
            </w:r>
            <w:r>
              <w:rPr>
                <w:noProof/>
                <w:webHidden/>
              </w:rPr>
            </w:r>
            <w:r>
              <w:rPr>
                <w:noProof/>
                <w:webHidden/>
              </w:rPr>
              <w:fldChar w:fldCharType="separate"/>
            </w:r>
            <w:r w:rsidR="00B7178D">
              <w:rPr>
                <w:noProof/>
                <w:webHidden/>
              </w:rPr>
              <w:t>285</w:t>
            </w:r>
            <w:r>
              <w:rPr>
                <w:noProof/>
                <w:webHidden/>
              </w:rPr>
              <w:fldChar w:fldCharType="end"/>
            </w:r>
          </w:hyperlink>
        </w:p>
        <w:p w14:paraId="4FF7F2F2" w14:textId="212DE707"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76" w:history="1">
            <w:r w:rsidRPr="00C045C4">
              <w:rPr>
                <w:rStyle w:val="Hyperlink"/>
                <w:noProof/>
              </w:rPr>
              <w:t>GBF indicator metadata: 16.b Target 16 binary indicator</w:t>
            </w:r>
            <w:r>
              <w:rPr>
                <w:noProof/>
                <w:webHidden/>
              </w:rPr>
              <w:tab/>
            </w:r>
            <w:r>
              <w:rPr>
                <w:noProof/>
                <w:webHidden/>
              </w:rPr>
              <w:fldChar w:fldCharType="begin"/>
            </w:r>
            <w:r>
              <w:rPr>
                <w:noProof/>
                <w:webHidden/>
              </w:rPr>
              <w:instrText xml:space="preserve"> PAGEREF _Toc178285876 \h </w:instrText>
            </w:r>
            <w:r>
              <w:rPr>
                <w:noProof/>
                <w:webHidden/>
              </w:rPr>
            </w:r>
            <w:r>
              <w:rPr>
                <w:noProof/>
                <w:webHidden/>
              </w:rPr>
              <w:fldChar w:fldCharType="separate"/>
            </w:r>
            <w:r w:rsidR="00B7178D">
              <w:rPr>
                <w:noProof/>
                <w:webHidden/>
              </w:rPr>
              <w:t>289</w:t>
            </w:r>
            <w:r>
              <w:rPr>
                <w:noProof/>
                <w:webHidden/>
              </w:rPr>
              <w:fldChar w:fldCharType="end"/>
            </w:r>
          </w:hyperlink>
        </w:p>
        <w:p w14:paraId="762FFC10" w14:textId="39720D18"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77" w:history="1">
            <w:r w:rsidRPr="00C045C4">
              <w:rPr>
                <w:rStyle w:val="Hyperlink"/>
                <w:noProof/>
              </w:rPr>
              <w:t>GBF indicator metadata: 17.b Target 17 binary indicator</w:t>
            </w:r>
            <w:r>
              <w:rPr>
                <w:noProof/>
                <w:webHidden/>
              </w:rPr>
              <w:tab/>
            </w:r>
            <w:r>
              <w:rPr>
                <w:noProof/>
                <w:webHidden/>
              </w:rPr>
              <w:fldChar w:fldCharType="begin"/>
            </w:r>
            <w:r>
              <w:rPr>
                <w:noProof/>
                <w:webHidden/>
              </w:rPr>
              <w:instrText xml:space="preserve"> PAGEREF _Toc178285877 \h </w:instrText>
            </w:r>
            <w:r>
              <w:rPr>
                <w:noProof/>
                <w:webHidden/>
              </w:rPr>
            </w:r>
            <w:r>
              <w:rPr>
                <w:noProof/>
                <w:webHidden/>
              </w:rPr>
              <w:fldChar w:fldCharType="separate"/>
            </w:r>
            <w:r w:rsidR="00B7178D">
              <w:rPr>
                <w:noProof/>
                <w:webHidden/>
              </w:rPr>
              <w:t>292</w:t>
            </w:r>
            <w:r>
              <w:rPr>
                <w:noProof/>
                <w:webHidden/>
              </w:rPr>
              <w:fldChar w:fldCharType="end"/>
            </w:r>
          </w:hyperlink>
        </w:p>
        <w:p w14:paraId="29E5DCF6" w14:textId="12076A8F"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78" w:history="1">
            <w:r w:rsidRPr="00C045C4">
              <w:rPr>
                <w:rStyle w:val="Hyperlink"/>
                <w:noProof/>
              </w:rPr>
              <w:t>GBF indicator metadata: 18.1 Positive incentives in place to promote biodiversity conservation and sustainable use</w:t>
            </w:r>
            <w:r>
              <w:rPr>
                <w:noProof/>
                <w:webHidden/>
              </w:rPr>
              <w:tab/>
            </w:r>
            <w:r>
              <w:rPr>
                <w:noProof/>
                <w:webHidden/>
              </w:rPr>
              <w:fldChar w:fldCharType="begin"/>
            </w:r>
            <w:r>
              <w:rPr>
                <w:noProof/>
                <w:webHidden/>
              </w:rPr>
              <w:instrText xml:space="preserve"> PAGEREF _Toc178285878 \h </w:instrText>
            </w:r>
            <w:r>
              <w:rPr>
                <w:noProof/>
                <w:webHidden/>
              </w:rPr>
            </w:r>
            <w:r>
              <w:rPr>
                <w:noProof/>
                <w:webHidden/>
              </w:rPr>
              <w:fldChar w:fldCharType="separate"/>
            </w:r>
            <w:r w:rsidR="00B7178D">
              <w:rPr>
                <w:noProof/>
                <w:webHidden/>
              </w:rPr>
              <w:t>295</w:t>
            </w:r>
            <w:r>
              <w:rPr>
                <w:noProof/>
                <w:webHidden/>
              </w:rPr>
              <w:fldChar w:fldCharType="end"/>
            </w:r>
          </w:hyperlink>
        </w:p>
        <w:p w14:paraId="725A999D" w14:textId="19FA6C37"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79" w:history="1">
            <w:r w:rsidRPr="00C045C4">
              <w:rPr>
                <w:rStyle w:val="Hyperlink"/>
                <w:noProof/>
              </w:rPr>
              <w:t>GBF indicator metadata 18.2 Value of subsidies and other incentives harmful to biodiversity</w:t>
            </w:r>
            <w:r>
              <w:rPr>
                <w:noProof/>
                <w:webHidden/>
              </w:rPr>
              <w:tab/>
            </w:r>
            <w:r>
              <w:rPr>
                <w:noProof/>
                <w:webHidden/>
              </w:rPr>
              <w:fldChar w:fldCharType="begin"/>
            </w:r>
            <w:r>
              <w:rPr>
                <w:noProof/>
                <w:webHidden/>
              </w:rPr>
              <w:instrText xml:space="preserve"> PAGEREF _Toc178285879 \h </w:instrText>
            </w:r>
            <w:r>
              <w:rPr>
                <w:noProof/>
                <w:webHidden/>
              </w:rPr>
            </w:r>
            <w:r>
              <w:rPr>
                <w:noProof/>
                <w:webHidden/>
              </w:rPr>
              <w:fldChar w:fldCharType="separate"/>
            </w:r>
            <w:r w:rsidR="00B7178D">
              <w:rPr>
                <w:noProof/>
                <w:webHidden/>
              </w:rPr>
              <w:t>302</w:t>
            </w:r>
            <w:r>
              <w:rPr>
                <w:noProof/>
                <w:webHidden/>
              </w:rPr>
              <w:fldChar w:fldCharType="end"/>
            </w:r>
          </w:hyperlink>
        </w:p>
        <w:p w14:paraId="18C40A7B" w14:textId="6914D9A6"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80" w:history="1">
            <w:r w:rsidRPr="00C045C4">
              <w:rPr>
                <w:rStyle w:val="Hyperlink"/>
                <w:noProof/>
              </w:rPr>
              <w:t>GBF indicator metadata: Target 19</w:t>
            </w:r>
            <w:r>
              <w:rPr>
                <w:noProof/>
                <w:webHidden/>
              </w:rPr>
              <w:tab/>
            </w:r>
            <w:r>
              <w:rPr>
                <w:noProof/>
                <w:webHidden/>
              </w:rPr>
              <w:fldChar w:fldCharType="begin"/>
            </w:r>
            <w:r>
              <w:rPr>
                <w:noProof/>
                <w:webHidden/>
              </w:rPr>
              <w:instrText xml:space="preserve"> PAGEREF _Toc178285880 \h </w:instrText>
            </w:r>
            <w:r>
              <w:rPr>
                <w:noProof/>
                <w:webHidden/>
              </w:rPr>
            </w:r>
            <w:r>
              <w:rPr>
                <w:noProof/>
                <w:webHidden/>
              </w:rPr>
              <w:fldChar w:fldCharType="separate"/>
            </w:r>
            <w:r w:rsidR="00B7178D">
              <w:rPr>
                <w:noProof/>
                <w:webHidden/>
              </w:rPr>
              <w:t>312</w:t>
            </w:r>
            <w:r>
              <w:rPr>
                <w:noProof/>
                <w:webHidden/>
              </w:rPr>
              <w:fldChar w:fldCharType="end"/>
            </w:r>
          </w:hyperlink>
        </w:p>
        <w:p w14:paraId="33D2E0A2" w14:textId="0238B927"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81" w:history="1">
            <w:r w:rsidRPr="00C045C4">
              <w:rPr>
                <w:rStyle w:val="Hyperlink"/>
                <w:noProof/>
              </w:rPr>
              <w:t>GBF indicator metadata: 20.b Target 20 binary indicator</w:t>
            </w:r>
            <w:r>
              <w:rPr>
                <w:noProof/>
                <w:webHidden/>
              </w:rPr>
              <w:tab/>
            </w:r>
            <w:r>
              <w:rPr>
                <w:noProof/>
                <w:webHidden/>
              </w:rPr>
              <w:fldChar w:fldCharType="begin"/>
            </w:r>
            <w:r>
              <w:rPr>
                <w:noProof/>
                <w:webHidden/>
              </w:rPr>
              <w:instrText xml:space="preserve"> PAGEREF _Toc178285881 \h </w:instrText>
            </w:r>
            <w:r>
              <w:rPr>
                <w:noProof/>
                <w:webHidden/>
              </w:rPr>
            </w:r>
            <w:r>
              <w:rPr>
                <w:noProof/>
                <w:webHidden/>
              </w:rPr>
              <w:fldChar w:fldCharType="separate"/>
            </w:r>
            <w:r w:rsidR="00B7178D">
              <w:rPr>
                <w:noProof/>
                <w:webHidden/>
              </w:rPr>
              <w:t>313</w:t>
            </w:r>
            <w:r>
              <w:rPr>
                <w:noProof/>
                <w:webHidden/>
              </w:rPr>
              <w:fldChar w:fldCharType="end"/>
            </w:r>
          </w:hyperlink>
        </w:p>
        <w:p w14:paraId="3C00796C" w14:textId="3DC10BAC"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82" w:history="1">
            <w:r w:rsidRPr="00C045C4">
              <w:rPr>
                <w:rStyle w:val="Hyperlink"/>
                <w:noProof/>
              </w:rPr>
              <w:t>GBF indicator metadata: 21.1 Indicator on biodiversity information for monitoring the global biodiversity framework</w:t>
            </w:r>
            <w:r>
              <w:rPr>
                <w:noProof/>
                <w:webHidden/>
              </w:rPr>
              <w:tab/>
            </w:r>
            <w:r>
              <w:rPr>
                <w:noProof/>
                <w:webHidden/>
              </w:rPr>
              <w:fldChar w:fldCharType="begin"/>
            </w:r>
            <w:r>
              <w:rPr>
                <w:noProof/>
                <w:webHidden/>
              </w:rPr>
              <w:instrText xml:space="preserve"> PAGEREF _Toc178285882 \h </w:instrText>
            </w:r>
            <w:r>
              <w:rPr>
                <w:noProof/>
                <w:webHidden/>
              </w:rPr>
            </w:r>
            <w:r>
              <w:rPr>
                <w:noProof/>
                <w:webHidden/>
              </w:rPr>
              <w:fldChar w:fldCharType="separate"/>
            </w:r>
            <w:r w:rsidR="00B7178D">
              <w:rPr>
                <w:noProof/>
                <w:webHidden/>
              </w:rPr>
              <w:t>317</w:t>
            </w:r>
            <w:r>
              <w:rPr>
                <w:noProof/>
                <w:webHidden/>
              </w:rPr>
              <w:fldChar w:fldCharType="end"/>
            </w:r>
          </w:hyperlink>
        </w:p>
        <w:p w14:paraId="793F0484" w14:textId="7469A699"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83" w:history="1">
            <w:r w:rsidRPr="00C045C4">
              <w:rPr>
                <w:rStyle w:val="Hyperlink"/>
                <w:noProof/>
              </w:rPr>
              <w:t>GBF indicator metadata: 22.b Target 22 binary indicator</w:t>
            </w:r>
            <w:r>
              <w:rPr>
                <w:noProof/>
                <w:webHidden/>
              </w:rPr>
              <w:tab/>
            </w:r>
            <w:r>
              <w:rPr>
                <w:noProof/>
                <w:webHidden/>
              </w:rPr>
              <w:fldChar w:fldCharType="begin"/>
            </w:r>
            <w:r>
              <w:rPr>
                <w:noProof/>
                <w:webHidden/>
              </w:rPr>
              <w:instrText xml:space="preserve"> PAGEREF _Toc178285883 \h </w:instrText>
            </w:r>
            <w:r>
              <w:rPr>
                <w:noProof/>
                <w:webHidden/>
              </w:rPr>
            </w:r>
            <w:r>
              <w:rPr>
                <w:noProof/>
                <w:webHidden/>
              </w:rPr>
              <w:fldChar w:fldCharType="separate"/>
            </w:r>
            <w:r w:rsidR="00B7178D">
              <w:rPr>
                <w:noProof/>
                <w:webHidden/>
              </w:rPr>
              <w:t>324</w:t>
            </w:r>
            <w:r>
              <w:rPr>
                <w:noProof/>
                <w:webHidden/>
              </w:rPr>
              <w:fldChar w:fldCharType="end"/>
            </w:r>
          </w:hyperlink>
        </w:p>
        <w:p w14:paraId="019D2575" w14:textId="22AED4E9" w:rsidR="004C44D1" w:rsidRDefault="004C44D1">
          <w:pPr>
            <w:pStyle w:val="TOC3"/>
            <w:rPr>
              <w:rFonts w:asciiTheme="minorHAnsi" w:eastAsiaTheme="minorEastAsia" w:hAnsiTheme="minorHAnsi" w:cstheme="minorBidi"/>
              <w:noProof/>
              <w:kern w:val="2"/>
              <w:lang w:eastAsia="zh-CN"/>
              <w14:ligatures w14:val="standardContextual"/>
            </w:rPr>
          </w:pPr>
          <w:hyperlink w:anchor="_Toc178285884" w:history="1">
            <w:r w:rsidRPr="00C045C4">
              <w:rPr>
                <w:rStyle w:val="Hyperlink"/>
                <w:noProof/>
              </w:rPr>
              <w:t>GBF indicator metadata: 23.b Target 23 binary indicator</w:t>
            </w:r>
            <w:r>
              <w:rPr>
                <w:noProof/>
                <w:webHidden/>
              </w:rPr>
              <w:tab/>
            </w:r>
            <w:r>
              <w:rPr>
                <w:noProof/>
                <w:webHidden/>
              </w:rPr>
              <w:fldChar w:fldCharType="begin"/>
            </w:r>
            <w:r>
              <w:rPr>
                <w:noProof/>
                <w:webHidden/>
              </w:rPr>
              <w:instrText xml:space="preserve"> PAGEREF _Toc178285884 \h </w:instrText>
            </w:r>
            <w:r>
              <w:rPr>
                <w:noProof/>
                <w:webHidden/>
              </w:rPr>
            </w:r>
            <w:r>
              <w:rPr>
                <w:noProof/>
                <w:webHidden/>
              </w:rPr>
              <w:fldChar w:fldCharType="separate"/>
            </w:r>
            <w:r w:rsidR="00B7178D">
              <w:rPr>
                <w:noProof/>
                <w:webHidden/>
              </w:rPr>
              <w:t>329</w:t>
            </w:r>
            <w:r>
              <w:rPr>
                <w:noProof/>
                <w:webHidden/>
              </w:rPr>
              <w:fldChar w:fldCharType="end"/>
            </w:r>
          </w:hyperlink>
        </w:p>
        <w:p w14:paraId="04B2A365" w14:textId="428DAA5A" w:rsidR="004C44D1" w:rsidRDefault="004C44D1">
          <w:pPr>
            <w:pStyle w:val="TOC2"/>
            <w:tabs>
              <w:tab w:val="right" w:leader="dot" w:pos="9350"/>
            </w:tabs>
            <w:rPr>
              <w:rFonts w:asciiTheme="minorHAnsi" w:eastAsiaTheme="minorEastAsia" w:hAnsiTheme="minorHAnsi" w:cstheme="minorBidi"/>
              <w:noProof/>
              <w:kern w:val="2"/>
              <w:lang w:eastAsia="zh-CN"/>
              <w14:ligatures w14:val="standardContextual"/>
            </w:rPr>
          </w:pPr>
          <w:hyperlink w:anchor="_Toc178285885" w:history="1">
            <w:r w:rsidRPr="00C045C4">
              <w:rPr>
                <w:rStyle w:val="Hyperlink"/>
                <w:b/>
                <w:bCs/>
                <w:noProof/>
              </w:rPr>
              <w:t>Annex: Glossary of key terms in the monitoring framework</w:t>
            </w:r>
            <w:r>
              <w:rPr>
                <w:noProof/>
                <w:webHidden/>
              </w:rPr>
              <w:tab/>
            </w:r>
            <w:r>
              <w:rPr>
                <w:noProof/>
                <w:webHidden/>
              </w:rPr>
              <w:fldChar w:fldCharType="begin"/>
            </w:r>
            <w:r>
              <w:rPr>
                <w:noProof/>
                <w:webHidden/>
              </w:rPr>
              <w:instrText xml:space="preserve"> PAGEREF _Toc178285885 \h </w:instrText>
            </w:r>
            <w:r>
              <w:rPr>
                <w:noProof/>
                <w:webHidden/>
              </w:rPr>
            </w:r>
            <w:r>
              <w:rPr>
                <w:noProof/>
                <w:webHidden/>
              </w:rPr>
              <w:fldChar w:fldCharType="separate"/>
            </w:r>
            <w:r w:rsidR="00B7178D">
              <w:rPr>
                <w:noProof/>
                <w:webHidden/>
              </w:rPr>
              <w:t>333</w:t>
            </w:r>
            <w:r>
              <w:rPr>
                <w:noProof/>
                <w:webHidden/>
              </w:rPr>
              <w:fldChar w:fldCharType="end"/>
            </w:r>
          </w:hyperlink>
        </w:p>
        <w:p w14:paraId="20FB81E6" w14:textId="1B1430DF" w:rsidR="00E70E5C" w:rsidRPr="00ED7E61" w:rsidRDefault="00E70E5C">
          <w:r w:rsidRPr="00ED7E61">
            <w:rPr>
              <w:b/>
              <w:bCs/>
              <w:noProof/>
            </w:rPr>
            <w:fldChar w:fldCharType="end"/>
          </w:r>
        </w:p>
      </w:sdtContent>
    </w:sdt>
    <w:p w14:paraId="4FE26688" w14:textId="77777777" w:rsidR="00166BEC" w:rsidRPr="00ED7E61" w:rsidRDefault="00166BEC" w:rsidP="00395866">
      <w:pPr>
        <w:jc w:val="center"/>
        <w:rPr>
          <w:rFonts w:asciiTheme="majorBidi" w:hAnsiTheme="majorBidi" w:cstheme="majorBidi"/>
          <w:b/>
          <w:bCs/>
          <w:sz w:val="22"/>
          <w:szCs w:val="22"/>
        </w:rPr>
      </w:pPr>
    </w:p>
    <w:p w14:paraId="0A2E348D" w14:textId="13680D08" w:rsidR="00166BEC" w:rsidRPr="00ED7E61" w:rsidRDefault="00166BEC" w:rsidP="00395866">
      <w:pPr>
        <w:rPr>
          <w:rFonts w:asciiTheme="majorBidi" w:hAnsiTheme="majorBidi" w:cstheme="majorBidi"/>
          <w:b/>
          <w:bCs/>
          <w:sz w:val="22"/>
          <w:szCs w:val="22"/>
        </w:rPr>
      </w:pPr>
      <w:r w:rsidRPr="00ED7E61">
        <w:rPr>
          <w:rFonts w:asciiTheme="majorBidi" w:hAnsiTheme="majorBidi" w:cstheme="majorBidi"/>
          <w:b/>
          <w:bCs/>
          <w:sz w:val="22"/>
          <w:szCs w:val="22"/>
        </w:rPr>
        <w:br w:type="page"/>
      </w:r>
    </w:p>
    <w:p w14:paraId="0B029FF9" w14:textId="60151993" w:rsidR="00DA5399" w:rsidRPr="00ED7E61" w:rsidRDefault="00454E8D" w:rsidP="001C6EE2">
      <w:pPr>
        <w:pStyle w:val="Heading2"/>
        <w:numPr>
          <w:ilvl w:val="0"/>
          <w:numId w:val="10"/>
        </w:numPr>
        <w:ind w:left="567" w:hanging="567"/>
        <w:rPr>
          <w:b/>
          <w:bCs/>
          <w:color w:val="auto"/>
        </w:rPr>
      </w:pPr>
      <w:bookmarkStart w:id="2" w:name="_Toc178285836"/>
      <w:r w:rsidRPr="00ED7E61">
        <w:rPr>
          <w:b/>
          <w:bCs/>
          <w:color w:val="auto"/>
        </w:rPr>
        <w:lastRenderedPageBreak/>
        <w:t>Section 1</w:t>
      </w:r>
      <w:r w:rsidR="00166BEC" w:rsidRPr="00ED7E61">
        <w:rPr>
          <w:b/>
          <w:bCs/>
          <w:color w:val="auto"/>
        </w:rPr>
        <w:t>: Introduction</w:t>
      </w:r>
      <w:bookmarkEnd w:id="2"/>
    </w:p>
    <w:p w14:paraId="7C869C7D" w14:textId="289AC56A" w:rsidR="00F20ED3" w:rsidRPr="00ED7E61" w:rsidRDefault="00F20ED3" w:rsidP="00F20ED3">
      <w:pPr>
        <w:rPr>
          <w:rFonts w:asciiTheme="majorBidi" w:hAnsiTheme="majorBidi" w:cstheme="majorBidi"/>
          <w:b/>
          <w:bCs/>
          <w:sz w:val="22"/>
          <w:szCs w:val="22"/>
        </w:rPr>
      </w:pPr>
      <w:r w:rsidRPr="00ED7E61">
        <w:rPr>
          <w:rFonts w:asciiTheme="majorBidi" w:hAnsiTheme="majorBidi" w:cstheme="majorBidi"/>
          <w:b/>
          <w:bCs/>
          <w:sz w:val="22"/>
          <w:szCs w:val="22"/>
        </w:rPr>
        <w:t>Introduction to the work of the AHTEG</w:t>
      </w:r>
    </w:p>
    <w:p w14:paraId="0C8341BD" w14:textId="03F4BD5B" w:rsidR="007C4AAD" w:rsidRPr="00ED7E61" w:rsidRDefault="007C4AAD" w:rsidP="001C6EE2">
      <w:pPr>
        <w:pStyle w:val="CBDNormalNumber"/>
        <w:numPr>
          <w:ilvl w:val="0"/>
          <w:numId w:val="11"/>
        </w:numPr>
        <w:ind w:left="567" w:firstLine="0"/>
      </w:pPr>
      <w:r w:rsidRPr="00ED7E61">
        <w:t>In order to operationalize the monitoring framework for the Kunming-Montreal Global Biodiversity Framework, the Conference of the Parties, in </w:t>
      </w:r>
      <w:hyperlink r:id="rId14" w:history="1">
        <w:r w:rsidRPr="00ED7E61">
          <w:t>decision 15/5</w:t>
        </w:r>
      </w:hyperlink>
      <w:r w:rsidRPr="00ED7E61">
        <w:t>, established an Ad Hoc Technical Expert Group (AHTEG) on Indicators for the Kunming-Montreal Global Biodiversity Framework. The terms of reference for the AHTEG were to:</w:t>
      </w:r>
      <w:r w:rsidR="006C254A" w:rsidRPr="00ED7E61">
        <w:t xml:space="preserve"> </w:t>
      </w:r>
    </w:p>
    <w:p w14:paraId="7F1B3291" w14:textId="088A0131" w:rsidR="00BE494E" w:rsidRPr="00ED7E61" w:rsidRDefault="006C254A" w:rsidP="00B3383B">
      <w:pPr>
        <w:pStyle w:val="CBDNormalNumber"/>
        <w:numPr>
          <w:ilvl w:val="0"/>
          <w:numId w:val="0"/>
        </w:numPr>
        <w:tabs>
          <w:tab w:val="clear" w:pos="1134"/>
        </w:tabs>
        <w:ind w:left="567" w:firstLine="567"/>
        <w:rPr>
          <w:rFonts w:asciiTheme="majorBidi" w:hAnsiTheme="majorBidi" w:cstheme="majorBidi"/>
        </w:rPr>
      </w:pPr>
      <w:r w:rsidRPr="00ED7E61">
        <w:t xml:space="preserve">(a) </w:t>
      </w:r>
      <w:r w:rsidRPr="00ED7E61">
        <w:tab/>
      </w:r>
      <w:r w:rsidR="007C4AAD" w:rsidRPr="00ED7E61">
        <w:rPr>
          <w:rFonts w:asciiTheme="majorBidi" w:hAnsiTheme="majorBidi" w:cstheme="majorBidi"/>
        </w:rPr>
        <w:t>To provide technical advice on remaining and unresolved issues relating to the monitoring framework for the Kunming-Montreal Global Biodiversity Framework, as outlined by the Conference of the Parties at its fifteenth meeting, and to prioritize work on the following elements leading up to the sixteenth meeting of the Conference of the Parties:</w:t>
      </w:r>
    </w:p>
    <w:p w14:paraId="1E51513D" w14:textId="361C8114" w:rsidR="00BE494E" w:rsidRPr="00ED7E61" w:rsidRDefault="007C4AAD" w:rsidP="00B3383B">
      <w:pPr>
        <w:pStyle w:val="CBDNormalNumber"/>
        <w:numPr>
          <w:ilvl w:val="0"/>
          <w:numId w:val="12"/>
        </w:numPr>
        <w:tabs>
          <w:tab w:val="clear" w:pos="1134"/>
        </w:tabs>
        <w:ind w:left="1701" w:hanging="513"/>
      </w:pPr>
      <w:r w:rsidRPr="00ED7E61">
        <w:t>Support the work to address critical gaps to improve the monitoring framework, in particular on headline indicators that do not have an existing methodology,</w:t>
      </w:r>
      <w:r w:rsidR="00622120">
        <w:t xml:space="preserve"> </w:t>
      </w:r>
      <w:r w:rsidRPr="00ED7E61">
        <w:t>and advise on their implementation at the national level. Attention should be paid to fill gaps under Goals B, C and D and Targets 2, 13 and 14 to 22, given the imbalance in available headline indicators and their interlinkages across the goals and targets of the Kunming-Montreal Global Biodiversity Framework;</w:t>
      </w:r>
    </w:p>
    <w:p w14:paraId="2E1B46F8" w14:textId="2C90F93A" w:rsidR="00BE494E" w:rsidRPr="00ED7E61" w:rsidRDefault="007C4AAD" w:rsidP="00B3383B">
      <w:pPr>
        <w:pStyle w:val="CBDNormalNumber"/>
        <w:numPr>
          <w:ilvl w:val="0"/>
          <w:numId w:val="12"/>
        </w:numPr>
        <w:tabs>
          <w:tab w:val="clear" w:pos="1134"/>
        </w:tabs>
        <w:ind w:left="1701" w:hanging="513"/>
        <w:rPr>
          <w:rFonts w:asciiTheme="majorBidi" w:hAnsiTheme="majorBidi" w:cstheme="majorBidi"/>
        </w:rPr>
      </w:pPr>
      <w:r w:rsidRPr="00ED7E61">
        <w:rPr>
          <w:rFonts w:asciiTheme="majorBidi" w:hAnsiTheme="majorBidi" w:cstheme="majorBidi"/>
        </w:rPr>
        <w:t xml:space="preserve">Support the identification of important aspects related to the disaggregation and aggregation for each headline indicator, as applicable, including any methodological improvements as appropriate; </w:t>
      </w:r>
    </w:p>
    <w:p w14:paraId="5FE6DF5A" w14:textId="7CEFA515" w:rsidR="00BE494E" w:rsidRPr="00ED7E61" w:rsidRDefault="007C4AAD" w:rsidP="00B3383B">
      <w:pPr>
        <w:pStyle w:val="CBDNormalNumber"/>
        <w:numPr>
          <w:ilvl w:val="0"/>
          <w:numId w:val="12"/>
        </w:numPr>
        <w:tabs>
          <w:tab w:val="clear" w:pos="1134"/>
        </w:tabs>
        <w:ind w:left="1701" w:hanging="513"/>
        <w:rPr>
          <w:rFonts w:asciiTheme="majorBidi" w:hAnsiTheme="majorBidi" w:cstheme="majorBidi"/>
        </w:rPr>
      </w:pPr>
      <w:r w:rsidRPr="00ED7E61">
        <w:rPr>
          <w:rFonts w:asciiTheme="majorBidi" w:hAnsiTheme="majorBidi" w:cstheme="majorBidi"/>
        </w:rPr>
        <w:t xml:space="preserve">Identify gaps in terms of the operationalization of each headline indicator, the management of data flows and advise on implementation at the national level; </w:t>
      </w:r>
    </w:p>
    <w:p w14:paraId="399CB14D" w14:textId="6250D70E" w:rsidR="00BE494E" w:rsidRPr="00ED7E61" w:rsidRDefault="007C4AAD" w:rsidP="00B3383B">
      <w:pPr>
        <w:pStyle w:val="CBDNormalNumber"/>
        <w:numPr>
          <w:ilvl w:val="0"/>
          <w:numId w:val="12"/>
        </w:numPr>
        <w:tabs>
          <w:tab w:val="clear" w:pos="1134"/>
        </w:tabs>
        <w:ind w:left="1701" w:hanging="513"/>
        <w:rPr>
          <w:rFonts w:asciiTheme="majorBidi" w:hAnsiTheme="majorBidi" w:cstheme="majorBidi"/>
        </w:rPr>
      </w:pPr>
      <w:r w:rsidRPr="00ED7E61">
        <w:rPr>
          <w:rFonts w:asciiTheme="majorBidi" w:hAnsiTheme="majorBidi" w:cstheme="majorBidi"/>
        </w:rPr>
        <w:t xml:space="preserve">Keep the list of binary, component and complementary indicators under review; </w:t>
      </w:r>
    </w:p>
    <w:p w14:paraId="4E1DC1DC" w14:textId="52571604" w:rsidR="007C4AAD" w:rsidRPr="00ED7E61" w:rsidRDefault="007C4AAD" w:rsidP="00B3383B">
      <w:pPr>
        <w:pStyle w:val="CBDNormalNumber"/>
        <w:numPr>
          <w:ilvl w:val="0"/>
          <w:numId w:val="12"/>
        </w:numPr>
        <w:tabs>
          <w:tab w:val="clear" w:pos="1134"/>
        </w:tabs>
        <w:ind w:left="1701" w:hanging="513"/>
        <w:rPr>
          <w:rFonts w:asciiTheme="majorBidi" w:hAnsiTheme="majorBidi" w:cstheme="majorBidi"/>
        </w:rPr>
      </w:pPr>
      <w:r w:rsidRPr="00ED7E61">
        <w:rPr>
          <w:rFonts w:asciiTheme="majorBidi" w:hAnsiTheme="majorBidi" w:cstheme="majorBidi"/>
        </w:rPr>
        <w:t xml:space="preserve">Advise on the wording of questions to construct binary indicators to be used in national reports building upon table 1 below; </w:t>
      </w:r>
    </w:p>
    <w:p w14:paraId="7A0CF522" w14:textId="14FED279" w:rsidR="00BE494E" w:rsidRPr="00ED7E61" w:rsidRDefault="007C4AAD" w:rsidP="00B3383B">
      <w:pPr>
        <w:pStyle w:val="CBDNormalNumber"/>
        <w:numPr>
          <w:ilvl w:val="0"/>
          <w:numId w:val="0"/>
        </w:numPr>
        <w:tabs>
          <w:tab w:val="clear" w:pos="1134"/>
        </w:tabs>
        <w:ind w:left="567" w:firstLine="567"/>
      </w:pPr>
      <w:r w:rsidRPr="00ED7E61">
        <w:t xml:space="preserve">(b) </w:t>
      </w:r>
      <w:r w:rsidR="00BE494E" w:rsidRPr="00ED7E61">
        <w:tab/>
      </w:r>
      <w:r w:rsidRPr="00ED7E61">
        <w:t xml:space="preserve">To provide guidance to Parties on the use of indicators in national planning and reporting, including by reviewing how indicators are proposed for capture in the Online Reporting Tool for national reporting; </w:t>
      </w:r>
    </w:p>
    <w:p w14:paraId="66A2EE29" w14:textId="70A1C52E" w:rsidR="007C4AAD" w:rsidRPr="00ED7E61" w:rsidRDefault="007C4AAD" w:rsidP="00B3383B">
      <w:pPr>
        <w:pStyle w:val="CBDNormalNumber"/>
        <w:numPr>
          <w:ilvl w:val="0"/>
          <w:numId w:val="0"/>
        </w:numPr>
        <w:tabs>
          <w:tab w:val="clear" w:pos="1134"/>
        </w:tabs>
        <w:ind w:left="567" w:firstLine="567"/>
      </w:pPr>
      <w:r w:rsidRPr="00ED7E61">
        <w:t xml:space="preserve">(c) </w:t>
      </w:r>
      <w:r w:rsidR="00BE494E" w:rsidRPr="00ED7E61">
        <w:tab/>
      </w:r>
      <w:r w:rsidRPr="00ED7E61">
        <w:t xml:space="preserve">To provide guidance to Parties on ways to fill temporal and spatial data gaps, including through the use of big data, citizen science, community-based monitoring and information systems, remote sensing, modelling and statistical analysis, and other forms of data and other knowledge systems, recognizing the specific challenges faced by developing country Parties to develop and access information tools; </w:t>
      </w:r>
    </w:p>
    <w:p w14:paraId="1397818D" w14:textId="61586E43" w:rsidR="007C4AAD" w:rsidRPr="00ED7E61" w:rsidRDefault="007C4AAD" w:rsidP="00B3383B">
      <w:pPr>
        <w:pStyle w:val="CBDNormalNumber"/>
        <w:numPr>
          <w:ilvl w:val="0"/>
          <w:numId w:val="0"/>
        </w:numPr>
        <w:tabs>
          <w:tab w:val="clear" w:pos="1134"/>
        </w:tabs>
        <w:ind w:left="567" w:firstLine="567"/>
      </w:pPr>
      <w:r w:rsidRPr="00ED7E61">
        <w:t xml:space="preserve">(d) </w:t>
      </w:r>
      <w:r w:rsidR="00BE494E" w:rsidRPr="00ED7E61">
        <w:tab/>
      </w:r>
      <w:r w:rsidRPr="00ED7E61">
        <w:t>To provide advice on the existing capacity, gaps and needs in terms of capacity development, technology transfer and financing needs related to the monitoring of the Kunming-Montreal Global Biodiversity Framework</w:t>
      </w:r>
      <w:r w:rsidR="00E35FD3">
        <w:t>.</w:t>
      </w:r>
    </w:p>
    <w:p w14:paraId="0A757500" w14:textId="6B02A35D" w:rsidR="009C0BC4" w:rsidRPr="00ED7E61" w:rsidRDefault="009C0BC4" w:rsidP="001C6EE2">
      <w:pPr>
        <w:pStyle w:val="CBDNormalNumber"/>
        <w:numPr>
          <w:ilvl w:val="0"/>
          <w:numId w:val="11"/>
        </w:numPr>
        <w:ind w:left="567" w:firstLine="0"/>
      </w:pPr>
      <w:r w:rsidRPr="00ED7E61">
        <w:t>The AHTEG was composed of 45 experts, 30 nominated by Parties and 15 by Observers. To undertake its work the AHTEG met six times</w:t>
      </w:r>
      <w:r w:rsidRPr="00FB1598">
        <w:rPr>
          <w:vertAlign w:val="superscript"/>
        </w:rPr>
        <w:footnoteReference w:id="3"/>
      </w:r>
      <w:r w:rsidRPr="00ED7E61">
        <w:t>. Further its members, individually and collectively, undertook work electronically between its meetings. The Executive Secretary, in consultation with the AHTEG also established a discussion forum</w:t>
      </w:r>
      <w:r w:rsidRPr="00FB1598">
        <w:rPr>
          <w:vertAlign w:val="superscript"/>
        </w:rPr>
        <w:footnoteReference w:id="4"/>
      </w:r>
      <w:r w:rsidRPr="00ED7E61">
        <w:t xml:space="preserve"> to obtain regular feedback from Parties on methodological issues. Prior to SBSTTA-26</w:t>
      </w:r>
      <w:r w:rsidRPr="00FB1598">
        <w:rPr>
          <w:vertAlign w:val="superscript"/>
        </w:rPr>
        <w:footnoteReference w:id="5"/>
      </w:r>
      <w:r w:rsidRPr="00ED7E61">
        <w:t xml:space="preserve"> the AHTEG organized a series of </w:t>
      </w:r>
      <w:r w:rsidR="005E1911" w:rsidRPr="00ED7E61">
        <w:t>webinars to</w:t>
      </w:r>
      <w:r w:rsidRPr="00ED7E61">
        <w:t xml:space="preserve"> keep Parties and observers up to date on its work. The Executive Secretary, in consultation with the </w:t>
      </w:r>
      <w:r w:rsidRPr="00ED7E61">
        <w:lastRenderedPageBreak/>
        <w:t>SBSTTA Chair, also organized a workshop immediately prior to SBSTTA-26 to provide space for the AHTEG to update SBSTTA on its work.</w:t>
      </w:r>
    </w:p>
    <w:p w14:paraId="0CBDA348" w14:textId="7EE80C94" w:rsidR="00BE494E" w:rsidRPr="00ED7E61" w:rsidRDefault="005903F9" w:rsidP="001C6EE2">
      <w:pPr>
        <w:pStyle w:val="CBDNormalNumber"/>
        <w:numPr>
          <w:ilvl w:val="0"/>
          <w:numId w:val="11"/>
        </w:numPr>
        <w:ind w:left="567" w:firstLine="0"/>
      </w:pPr>
      <w:r w:rsidRPr="00ED7E61">
        <w:t xml:space="preserve">The present document provides guidance on using the indicators of the monitoring framework of the Kunming-Montreal Global Biodiversity Framework </w:t>
      </w:r>
      <w:r w:rsidR="00CA6F57" w:rsidRPr="00ED7E61">
        <w:t>in response to the terms of reference set out in decision 15/5. An earlier version of this document was made available for peer review and to the twenty-sixth meeting of SBSTTA as document CBD/SBSTTA/26/INF/14. In recommendation SBSTTA-26/1, the SBSTTA requested that the peer review period be extended. By 30 July review comments had been received by 22 Parties and 26 observers</w:t>
      </w:r>
      <w:r w:rsidR="00CA6F57" w:rsidRPr="00FB1598">
        <w:rPr>
          <w:vertAlign w:val="superscript"/>
        </w:rPr>
        <w:footnoteReference w:id="6"/>
      </w:r>
      <w:r w:rsidR="00CA6F57" w:rsidRPr="00FB1598">
        <w:rPr>
          <w:vertAlign w:val="superscript"/>
        </w:rPr>
        <w:t>.</w:t>
      </w:r>
      <w:r w:rsidR="00CA6F57" w:rsidRPr="00ED7E61">
        <w:t xml:space="preserve"> The document was subsequently revised</w:t>
      </w:r>
      <w:r w:rsidR="00696187" w:rsidRPr="00ED7E61">
        <w:t xml:space="preserve"> </w:t>
      </w:r>
      <w:r w:rsidR="007521E0" w:rsidRPr="00ED7E61">
        <w:t xml:space="preserve">by the co-chairs of the AHTEG with the support of its members </w:t>
      </w:r>
      <w:r w:rsidR="00696187" w:rsidRPr="00ED7E61">
        <w:t>to take into account the comments received</w:t>
      </w:r>
      <w:r w:rsidR="007521E0" w:rsidRPr="00ED7E61">
        <w:t xml:space="preserve"> and the outcomes of SBSTTA-26</w:t>
      </w:r>
      <w:r w:rsidR="00696187" w:rsidRPr="00ED7E61">
        <w:t xml:space="preserve">. </w:t>
      </w:r>
    </w:p>
    <w:p w14:paraId="776C4992" w14:textId="1C87E167" w:rsidR="00BE494E" w:rsidRPr="00ED7E61" w:rsidRDefault="00696187" w:rsidP="001C6EE2">
      <w:pPr>
        <w:pStyle w:val="CBDNormalNumber"/>
        <w:numPr>
          <w:ilvl w:val="0"/>
          <w:numId w:val="11"/>
        </w:numPr>
        <w:tabs>
          <w:tab w:val="clear" w:pos="1701"/>
        </w:tabs>
        <w:ind w:left="567" w:firstLine="0"/>
      </w:pPr>
      <w:r w:rsidRPr="00ED7E61">
        <w:t xml:space="preserve">The information in this document has been developed </w:t>
      </w:r>
      <w:r w:rsidR="0087104E" w:rsidRPr="00ED7E61">
        <w:t>based on the work of</w:t>
      </w:r>
      <w:r w:rsidRPr="00ED7E61">
        <w:t xml:space="preserve"> the AHTEG in response to the terms of reference set out in decision 15/5. </w:t>
      </w:r>
      <w:r w:rsidR="009C0BC4" w:rsidRPr="00ED7E61">
        <w:t>In undertaking its work</w:t>
      </w:r>
      <w:r w:rsidR="0087104E" w:rsidRPr="00ED7E61">
        <w:t>,</w:t>
      </w:r>
      <w:r w:rsidR="009C0BC4" w:rsidRPr="00ED7E61">
        <w:t xml:space="preserve"> the AHTEG also took into account information documents prepared through other processes established by the Conference of the Parties and its subsidiary bodies. These include documents CBD/SBSTTA/26/INF/11</w:t>
      </w:r>
      <w:r w:rsidR="00E44995">
        <w:t>,</w:t>
      </w:r>
      <w:r w:rsidR="009C0BC4" w:rsidRPr="00ED7E61">
        <w:rPr>
          <w:rStyle w:val="FootnoteReference"/>
        </w:rPr>
        <w:footnoteReference w:id="7"/>
      </w:r>
      <w:r w:rsidR="009C0BC4" w:rsidRPr="00ED7E61">
        <w:t xml:space="preserve"> </w:t>
      </w:r>
      <w:hyperlink r:id="rId15" w:history="1">
        <w:r w:rsidR="009C0BC4" w:rsidRPr="00ED7E61">
          <w:rPr>
            <w:rStyle w:val="Hyperlink"/>
          </w:rPr>
          <w:t>CBD/SBSTTA/26/INF/12</w:t>
        </w:r>
      </w:hyperlink>
      <w:r w:rsidR="00E44995">
        <w:rPr>
          <w:rStyle w:val="Hyperlink"/>
        </w:rPr>
        <w:t>,</w:t>
      </w:r>
      <w:r w:rsidR="009C0BC4" w:rsidRPr="00ED7E61">
        <w:rPr>
          <w:rStyle w:val="FootnoteReference"/>
        </w:rPr>
        <w:footnoteReference w:id="8"/>
      </w:r>
      <w:r w:rsidR="009C0BC4" w:rsidRPr="00ED7E61">
        <w:t xml:space="preserve"> CBD/SBSTTA/26/INF/13</w:t>
      </w:r>
      <w:r w:rsidR="00E44995">
        <w:t>,</w:t>
      </w:r>
      <w:r w:rsidR="009C0BC4" w:rsidRPr="00ED7E61">
        <w:rPr>
          <w:rStyle w:val="FootnoteReference"/>
        </w:rPr>
        <w:footnoteReference w:id="9"/>
      </w:r>
      <w:r w:rsidR="0087104E" w:rsidRPr="00ED7E61">
        <w:t xml:space="preserve"> </w:t>
      </w:r>
      <w:hyperlink r:id="rId16" w:history="1">
        <w:r w:rsidR="0087104E" w:rsidRPr="00ED7E61">
          <w:rPr>
            <w:rStyle w:val="Hyperlink"/>
          </w:rPr>
          <w:t>CBD/SBSTTA/26/INF/18</w:t>
        </w:r>
      </w:hyperlink>
      <w:r w:rsidR="00E44995">
        <w:rPr>
          <w:rStyle w:val="Hyperlink"/>
        </w:rPr>
        <w:t>,</w:t>
      </w:r>
      <w:r w:rsidR="0087104E" w:rsidRPr="00ED7E61">
        <w:rPr>
          <w:rStyle w:val="FootnoteReference"/>
        </w:rPr>
        <w:footnoteReference w:id="10"/>
      </w:r>
      <w:r w:rsidR="0087104E" w:rsidRPr="00ED7E61">
        <w:t xml:space="preserve"> </w:t>
      </w:r>
      <w:hyperlink r:id="rId17" w:history="1">
        <w:r w:rsidR="0087104E" w:rsidRPr="00ED7E61">
          <w:rPr>
            <w:rStyle w:val="Hyperlink"/>
          </w:rPr>
          <w:t>CBD/SBSTTA/26/INF/20</w:t>
        </w:r>
      </w:hyperlink>
      <w:r w:rsidR="0087104E" w:rsidRPr="00ED7E61">
        <w:rPr>
          <w:rStyle w:val="FootnoteReference"/>
        </w:rPr>
        <w:footnoteReference w:id="11"/>
      </w:r>
      <w:r w:rsidR="009C0BC4" w:rsidRPr="00ED7E61">
        <w:t xml:space="preserve"> </w:t>
      </w:r>
      <w:r w:rsidR="0087104E" w:rsidRPr="00ED7E61">
        <w:t xml:space="preserve">and </w:t>
      </w:r>
      <w:hyperlink r:id="rId18" w:history="1">
        <w:r w:rsidR="0087104E" w:rsidRPr="00ED7E61">
          <w:rPr>
            <w:rStyle w:val="Hyperlink"/>
          </w:rPr>
          <w:t>CBD/SBSTTA/26/INF/21</w:t>
        </w:r>
      </w:hyperlink>
      <w:r w:rsidR="00442A51">
        <w:rPr>
          <w:rStyle w:val="Hyperlink"/>
        </w:rPr>
        <w:t>.</w:t>
      </w:r>
      <w:r w:rsidR="0087104E" w:rsidRPr="00ED7E61">
        <w:rPr>
          <w:rStyle w:val="FootnoteReference"/>
        </w:rPr>
        <w:footnoteReference w:id="12"/>
      </w:r>
      <w:r w:rsidR="0087104E" w:rsidRPr="00ED7E61">
        <w:t xml:space="preserve"> </w:t>
      </w:r>
      <w:bookmarkStart w:id="3" w:name="_Hlk177999512"/>
      <w:r w:rsidRPr="00ED7E61">
        <w:t>The information provided is guidance for Parties to take into account, as appropriate and subject to their national circumstances</w:t>
      </w:r>
      <w:r w:rsidR="00F20ED3" w:rsidRPr="00ED7E61">
        <w:t>, when reporting and monitoring implementation of the Kunming-Montreal Global Biodiversity Framework</w:t>
      </w:r>
      <w:r w:rsidRPr="00ED7E61">
        <w:t xml:space="preserve">. </w:t>
      </w:r>
      <w:r w:rsidR="007521E0" w:rsidRPr="00ED7E61">
        <w:t xml:space="preserve">Similarly, the data sources and disaggregation of the headline indicators identified in this guidance are provided for the information of Parties to take into account, as appropriate. This guidance </w:t>
      </w:r>
      <w:r w:rsidR="00F20ED3" w:rsidRPr="00ED7E61">
        <w:t>does not replace or qualify </w:t>
      </w:r>
      <w:hyperlink r:id="rId19" w:history="1">
        <w:r w:rsidR="00F20ED3" w:rsidRPr="00ED7E61">
          <w:rPr>
            <w:rStyle w:val="Hyperlink"/>
          </w:rPr>
          <w:t>decisions 15/4</w:t>
        </w:r>
      </w:hyperlink>
      <w:r w:rsidR="00F20ED3" w:rsidRPr="00ED7E61">
        <w:t>, </w:t>
      </w:r>
      <w:hyperlink r:id="rId20" w:history="1">
        <w:r w:rsidR="00F20ED3" w:rsidRPr="00ED7E61">
          <w:rPr>
            <w:rStyle w:val="Hyperlink"/>
          </w:rPr>
          <w:t>15/5</w:t>
        </w:r>
      </w:hyperlink>
      <w:r w:rsidR="00F20ED3" w:rsidRPr="00ED7E61">
        <w:t xml:space="preserve"> or any other decisions of the Conference of the Parties or recommendations of its Subsidiary Bodies. </w:t>
      </w:r>
      <w:r w:rsidR="006B2582">
        <w:t>Further it should be considered in the context of Section C of the Kunming-Montreal Global Biodiversity Framework which sets out c</w:t>
      </w:r>
      <w:r w:rsidR="006B2582" w:rsidRPr="006B2582">
        <w:t>onsiderations for the implementation of the Framewor</w:t>
      </w:r>
      <w:r w:rsidR="006B2582">
        <w:t xml:space="preserve">k. </w:t>
      </w:r>
    </w:p>
    <w:bookmarkEnd w:id="3"/>
    <w:p w14:paraId="4CDEF03B" w14:textId="29B8CAAC" w:rsidR="00BE494E" w:rsidRPr="00B3383B" w:rsidRDefault="00163D20" w:rsidP="00B3383B">
      <w:pPr>
        <w:pStyle w:val="CBDNormalNumber"/>
        <w:numPr>
          <w:ilvl w:val="0"/>
          <w:numId w:val="0"/>
        </w:numPr>
        <w:ind w:left="567"/>
        <w:rPr>
          <w:rFonts w:asciiTheme="majorBidi" w:hAnsiTheme="majorBidi" w:cstheme="majorBidi"/>
          <w:b/>
        </w:rPr>
      </w:pPr>
      <w:r w:rsidRPr="00B3383B">
        <w:rPr>
          <w:rFonts w:asciiTheme="majorBidi" w:hAnsiTheme="majorBidi" w:cstheme="majorBidi"/>
          <w:b/>
        </w:rPr>
        <w:t xml:space="preserve">Introduction to the monitoring </w:t>
      </w:r>
      <w:r w:rsidR="001C32AD" w:rsidRPr="00B3383B">
        <w:rPr>
          <w:rFonts w:asciiTheme="majorBidi" w:hAnsiTheme="majorBidi" w:cstheme="majorBidi"/>
          <w:b/>
        </w:rPr>
        <w:t>f</w:t>
      </w:r>
      <w:r w:rsidRPr="00B3383B">
        <w:rPr>
          <w:rFonts w:asciiTheme="majorBidi" w:hAnsiTheme="majorBidi" w:cstheme="majorBidi"/>
          <w:b/>
        </w:rPr>
        <w:t>ramework</w:t>
      </w:r>
    </w:p>
    <w:p w14:paraId="6D0647AD" w14:textId="2B3FD107" w:rsidR="00BE494E" w:rsidRPr="00ED7E61" w:rsidRDefault="00163D20" w:rsidP="001C6EE2">
      <w:pPr>
        <w:pStyle w:val="CBDNormalNumber"/>
        <w:numPr>
          <w:ilvl w:val="0"/>
          <w:numId w:val="11"/>
        </w:numPr>
        <w:ind w:left="567" w:firstLine="0"/>
        <w:rPr>
          <w:rFonts w:asciiTheme="majorBidi" w:hAnsiTheme="majorBidi" w:cstheme="majorBidi"/>
        </w:rPr>
      </w:pPr>
      <w:r w:rsidRPr="00ED7E61">
        <w:rPr>
          <w:rFonts w:asciiTheme="majorBidi" w:hAnsiTheme="majorBidi" w:cstheme="majorBidi"/>
        </w:rPr>
        <w:t xml:space="preserve">Addressing biodiversity loss requires knowledge about biodiversity, related socio-economic issues and assessments of the effectiveness of policy and management decisions. Monitoring, including through the use of indicators, is therefore of fundamental importance in addressing biodiversity loss as recognized in Article 7 of the Convention. </w:t>
      </w:r>
    </w:p>
    <w:p w14:paraId="61154B94" w14:textId="49EBBD6A" w:rsidR="00163D20" w:rsidRPr="00ED7E61" w:rsidRDefault="00163D20" w:rsidP="001C6EE2">
      <w:pPr>
        <w:pStyle w:val="CBDNormalNumber"/>
        <w:numPr>
          <w:ilvl w:val="0"/>
          <w:numId w:val="11"/>
        </w:numPr>
        <w:ind w:left="567" w:firstLine="0"/>
      </w:pPr>
      <w:r w:rsidRPr="00ED7E61">
        <w:t>Indicators are information tools which summarize data on varied and complex environmental and socio-economic issues to indicate overall status and trends</w:t>
      </w:r>
      <w:r w:rsidR="003B2AEC" w:rsidRPr="00ED7E61">
        <w:t xml:space="preserve"> and to measure change in a consistent way</w:t>
      </w:r>
      <w:r w:rsidRPr="00ED7E61">
        <w:t xml:space="preserve">. </w:t>
      </w:r>
      <w:r w:rsidR="00E3299A" w:rsidRPr="00ED7E61">
        <w:t>By allowing change to observed and measured, t</w:t>
      </w:r>
      <w:r w:rsidRPr="00ED7E61">
        <w:t xml:space="preserve">hey can be used to assess progress towards desired objectives at various scales and to signal key issues to be addressed through policy interventions and other actions. Indicators are, therefore, important for monitoring the status and trends of biological diversity and, in turn, feeding back information on ways to continually improve the effectiveness of biodiversity management programmes. Biodiversity indicators, when used to assess national or global trends, also build a bridge between the fields of policy-making and science. </w:t>
      </w:r>
      <w:r w:rsidR="00E3299A" w:rsidRPr="00ED7E61">
        <w:t xml:space="preserve">For information from an indicator to be comparable over time it is important that </w:t>
      </w:r>
      <w:r w:rsidR="003B2AEC" w:rsidRPr="00ED7E61">
        <w:t>they</w:t>
      </w:r>
      <w:r w:rsidR="00E3299A" w:rsidRPr="00ED7E61">
        <w:t xml:space="preserve"> use </w:t>
      </w:r>
      <w:r w:rsidR="003B2AEC" w:rsidRPr="00ED7E61">
        <w:t xml:space="preserve">a consistent </w:t>
      </w:r>
      <w:r w:rsidR="00E3299A" w:rsidRPr="00ED7E61">
        <w:t xml:space="preserve">methodology or that any changes to the methodology are accounted for. </w:t>
      </w:r>
    </w:p>
    <w:p w14:paraId="624E412C" w14:textId="6744769E" w:rsidR="00BE494E" w:rsidRPr="00ED7E61" w:rsidRDefault="00163D20" w:rsidP="001C6EE2">
      <w:pPr>
        <w:pStyle w:val="CBDNormalNumber"/>
        <w:numPr>
          <w:ilvl w:val="0"/>
          <w:numId w:val="11"/>
        </w:numPr>
        <w:ind w:left="567" w:firstLine="0"/>
      </w:pPr>
      <w:r w:rsidRPr="00ED7E61">
        <w:t xml:space="preserve">The Kunming-Montreal Global Biodiversity Framework is accompanied by a monitoring framework comprised of a set of agreed indicators for tracking progress towards the </w:t>
      </w:r>
      <w:r w:rsidR="00906CF0" w:rsidRPr="00ED7E61">
        <w:t>g</w:t>
      </w:r>
      <w:r w:rsidRPr="00ED7E61">
        <w:t xml:space="preserve">oals and </w:t>
      </w:r>
      <w:r w:rsidR="00906CF0" w:rsidRPr="00ED7E61">
        <w:t>t</w:t>
      </w:r>
      <w:r w:rsidRPr="00ED7E61">
        <w:t>argets of the Framework. The monitoring framework, which was adopted in decision 15/5, includes headline and binary indicators which are recommended for national, regional and global monitoring, and more detailed component and complementary indicators.</w:t>
      </w:r>
      <w:r w:rsidR="00794772" w:rsidRPr="00ED7E61">
        <w:t xml:space="preserve"> The binary indicators and their associated questions were considered at SBSTTA-25 and SBSTTA-26. The outcomes of these discussions are reflected in this document.</w:t>
      </w:r>
      <w:r w:rsidRPr="00ED7E61">
        <w:t xml:space="preserve"> </w:t>
      </w:r>
    </w:p>
    <w:p w14:paraId="159D33F5" w14:textId="796DC876" w:rsidR="00BE494E" w:rsidRPr="00ED7E61" w:rsidRDefault="00794772" w:rsidP="001C6EE2">
      <w:pPr>
        <w:pStyle w:val="CBDNormalNumber"/>
        <w:numPr>
          <w:ilvl w:val="0"/>
          <w:numId w:val="11"/>
        </w:numPr>
        <w:ind w:left="567" w:firstLine="0"/>
      </w:pPr>
      <w:r w:rsidRPr="00ED7E61">
        <w:t xml:space="preserve">The headline and binary indicators aim to capture the main elements of each goal and target of the </w:t>
      </w:r>
      <w:r w:rsidR="00A9205C" w:rsidRPr="00ED7E61">
        <w:t>Kunming-Montreal Global Biodiversity Framework</w:t>
      </w:r>
      <w:r w:rsidRPr="00ED7E61">
        <w:t xml:space="preserve">. The component indicators aim to capture key elements of the goals and targets which are not as well captured by the headline indicators. The complementary indicators provide a resource of available indicators which could be used to track specific aspects of the goals and targets. This document </w:t>
      </w:r>
      <w:r w:rsidR="0070323F" w:rsidRPr="00ED7E61">
        <w:t>provides</w:t>
      </w:r>
      <w:r w:rsidRPr="00ED7E61">
        <w:t xml:space="preserve"> metadata for </w:t>
      </w:r>
      <w:r w:rsidR="0070323F" w:rsidRPr="00ED7E61">
        <w:t xml:space="preserve">each of </w:t>
      </w:r>
      <w:r w:rsidRPr="00ED7E61">
        <w:t>the headline and binary indicators</w:t>
      </w:r>
      <w:r w:rsidR="0070323F" w:rsidRPr="00ED7E61">
        <w:t>. The metadata contains</w:t>
      </w:r>
      <w:r w:rsidRPr="00ED7E61">
        <w:t xml:space="preserve"> a summary of the methodolog</w:t>
      </w:r>
      <w:r w:rsidR="0070323F" w:rsidRPr="00ED7E61">
        <w:t>y for the indicator</w:t>
      </w:r>
      <w:r w:rsidRPr="00ED7E61">
        <w:t xml:space="preserve">, including the computation methods, guidance on </w:t>
      </w:r>
      <w:r w:rsidR="0070323F" w:rsidRPr="00ED7E61">
        <w:t xml:space="preserve">possible </w:t>
      </w:r>
      <w:r w:rsidRPr="00ED7E61">
        <w:t>disaggregation</w:t>
      </w:r>
      <w:r w:rsidR="0070323F" w:rsidRPr="00ED7E61">
        <w:t>s, information on</w:t>
      </w:r>
      <w:r w:rsidRPr="00ED7E61">
        <w:t xml:space="preserve"> data compilation processes, </w:t>
      </w:r>
      <w:r w:rsidR="0070323F" w:rsidRPr="00ED7E61">
        <w:t xml:space="preserve">available </w:t>
      </w:r>
      <w:r w:rsidRPr="00ED7E61">
        <w:t xml:space="preserve">data sources, </w:t>
      </w:r>
      <w:r w:rsidR="0070323F" w:rsidRPr="00ED7E61">
        <w:t xml:space="preserve">and additional </w:t>
      </w:r>
      <w:r w:rsidRPr="00ED7E61">
        <w:t xml:space="preserve">references </w:t>
      </w:r>
      <w:r w:rsidR="0070323F" w:rsidRPr="00ED7E61">
        <w:t>and guidance material</w:t>
      </w:r>
      <w:r w:rsidR="005E1911">
        <w:t>.</w:t>
      </w:r>
      <w:r w:rsidRPr="00ED7E61">
        <w:t xml:space="preserve"> It also includes guidance on </w:t>
      </w:r>
      <w:r w:rsidR="0070323F" w:rsidRPr="00ED7E61">
        <w:t xml:space="preserve">the </w:t>
      </w:r>
      <w:r w:rsidRPr="00ED7E61">
        <w:t xml:space="preserve">implementing </w:t>
      </w:r>
      <w:r w:rsidR="0070323F" w:rsidRPr="00ED7E61">
        <w:t xml:space="preserve">of </w:t>
      </w:r>
      <w:r w:rsidRPr="00ED7E61">
        <w:t>Section C of the</w:t>
      </w:r>
      <w:r w:rsidR="0070323F" w:rsidRPr="00ED7E61">
        <w:t xml:space="preserve"> Kunming-Montreal Global Biodiversity Framework which addresses considerations for </w:t>
      </w:r>
      <w:r w:rsidR="00906CF0" w:rsidRPr="00ED7E61">
        <w:t xml:space="preserve">its </w:t>
      </w:r>
      <w:r w:rsidR="0070323F" w:rsidRPr="00ED7E61">
        <w:t xml:space="preserve">implementation. </w:t>
      </w:r>
    </w:p>
    <w:p w14:paraId="5A4D18DE" w14:textId="0812262F" w:rsidR="00163D20" w:rsidRPr="00ED7E61" w:rsidRDefault="00163D20" w:rsidP="001C6EE2">
      <w:pPr>
        <w:pStyle w:val="CBDNormalNumber"/>
        <w:numPr>
          <w:ilvl w:val="0"/>
          <w:numId w:val="11"/>
        </w:numPr>
        <w:ind w:left="567" w:firstLine="0"/>
      </w:pPr>
      <w:r w:rsidRPr="00ED7E61">
        <w:t>In decision 15/6 the Conference of the Parties adopted an enhanced multidimensional approach to planning, monitoring, reporting and review which links with the monitoring framework for the Global Biodiversity Monitoring framework. According to this decision, headline and binary indicators will be included in the template for the 7</w:t>
      </w:r>
      <w:r w:rsidRPr="00ED7E61">
        <w:rPr>
          <w:vertAlign w:val="superscript"/>
        </w:rPr>
        <w:t>th</w:t>
      </w:r>
      <w:r w:rsidRPr="00ED7E61">
        <w:t xml:space="preserve"> and 8</w:t>
      </w:r>
      <w:r w:rsidRPr="00ED7E61">
        <w:rPr>
          <w:vertAlign w:val="superscript"/>
        </w:rPr>
        <w:t>th</w:t>
      </w:r>
      <w:r w:rsidRPr="00ED7E61">
        <w:t xml:space="preserve"> national reports. Component and complementary indicators as well as national indicators can also </w:t>
      </w:r>
      <w:r w:rsidR="00794772" w:rsidRPr="00ED7E61">
        <w:t xml:space="preserve">be used by Parties in their national reports if they so choose. </w:t>
      </w:r>
      <w:r w:rsidRPr="00ED7E61">
        <w:t xml:space="preserve"> </w:t>
      </w:r>
    </w:p>
    <w:p w14:paraId="450B29D5" w14:textId="63972FE1" w:rsidR="00163D20" w:rsidRPr="00ED7E61" w:rsidRDefault="003A6862" w:rsidP="00B3383B">
      <w:pPr>
        <w:pStyle w:val="CBDNormalNumber"/>
        <w:numPr>
          <w:ilvl w:val="0"/>
          <w:numId w:val="0"/>
        </w:numPr>
        <w:ind w:left="567"/>
        <w:rPr>
          <w:rStyle w:val="eop"/>
          <w:rFonts w:asciiTheme="majorBidi" w:eastAsiaTheme="majorEastAsia" w:hAnsiTheme="majorBidi" w:cstheme="majorBidi"/>
        </w:rPr>
      </w:pPr>
      <w:r w:rsidRPr="00ED7E61">
        <w:rPr>
          <w:rFonts w:asciiTheme="majorBidi" w:hAnsiTheme="majorBidi" w:cstheme="majorBidi"/>
          <w:b/>
          <w:bCs/>
        </w:rPr>
        <w:t>Binary indicators</w:t>
      </w:r>
      <w:r w:rsidR="00163D20" w:rsidRPr="00ED7E61">
        <w:rPr>
          <w:b/>
          <w:bCs/>
        </w:rPr>
        <w:t> </w:t>
      </w:r>
    </w:p>
    <w:p w14:paraId="3B864ADE" w14:textId="0BBAB927" w:rsidR="00BE494E" w:rsidRPr="00ED7E61" w:rsidRDefault="00DF2E4E" w:rsidP="001C6EE2">
      <w:pPr>
        <w:pStyle w:val="CBDNormalNumber"/>
        <w:numPr>
          <w:ilvl w:val="0"/>
          <w:numId w:val="11"/>
        </w:numPr>
        <w:ind w:left="567" w:firstLine="0"/>
      </w:pPr>
      <w:r w:rsidRPr="00ED7E61">
        <w:t>T</w:t>
      </w:r>
      <w:r w:rsidR="00DF4E9E" w:rsidRPr="00ED7E61">
        <w:t xml:space="preserve">he implementation of the Kunming-Montreal Global Biodiversity </w:t>
      </w:r>
      <w:r w:rsidR="00163D20" w:rsidRPr="00ED7E61">
        <w:t>Framework calls for a whole-of-society approach that follows its theory of change</w:t>
      </w:r>
      <w:r w:rsidR="00DF4E9E" w:rsidRPr="00ED7E61">
        <w:t xml:space="preserve"> and</w:t>
      </w:r>
      <w:r w:rsidR="00163D20" w:rsidRPr="00ED7E61">
        <w:t xml:space="preserve"> </w:t>
      </w:r>
      <w:r w:rsidR="00DF4E9E" w:rsidRPr="00ED7E61">
        <w:t>as such, i</w:t>
      </w:r>
      <w:r w:rsidR="00163D20" w:rsidRPr="00ED7E61">
        <w:t xml:space="preserve">ts monitoring framework requires assessment of </w:t>
      </w:r>
      <w:r w:rsidRPr="00ED7E61">
        <w:t>progress o</w:t>
      </w:r>
      <w:r w:rsidR="003A6862" w:rsidRPr="00ED7E61">
        <w:t>f</w:t>
      </w:r>
      <w:r w:rsidRPr="00ED7E61">
        <w:t xml:space="preserve"> both biological and </w:t>
      </w:r>
      <w:r w:rsidR="00163D20" w:rsidRPr="00ED7E61">
        <w:t xml:space="preserve">societal </w:t>
      </w:r>
      <w:r w:rsidRPr="00ED7E61">
        <w:t>issues, some of which</w:t>
      </w:r>
      <w:r w:rsidR="00163D20" w:rsidRPr="00ED7E61">
        <w:t xml:space="preserve"> cannot </w:t>
      </w:r>
      <w:r w:rsidRPr="00ED7E61">
        <w:t xml:space="preserve">currently </w:t>
      </w:r>
      <w:r w:rsidR="00163D20" w:rsidRPr="00ED7E61">
        <w:t>be measured empirically but can be reported on using rigorously designed surveys. In some cases, empirical measurements are infeasible because it may be too costly to implement a data collection program due to a lack of resources. In other cases, the target of interest requires complex information to quantify concepts that are not straightforward to measure (e.g. access, equity). Therefore, although some goals and targets have headline indicators that can be reported on using quantitative measurements, others do not and need to be reported on using qualitative data. </w:t>
      </w:r>
    </w:p>
    <w:p w14:paraId="79ED1708" w14:textId="45A49BE9" w:rsidR="00BE494E" w:rsidRPr="00ED7E61" w:rsidRDefault="00163D20" w:rsidP="001C6EE2">
      <w:pPr>
        <w:pStyle w:val="CBDNormalNumber"/>
        <w:numPr>
          <w:ilvl w:val="0"/>
          <w:numId w:val="11"/>
        </w:numPr>
        <w:ind w:left="567" w:firstLine="0"/>
        <w:rPr>
          <w:rStyle w:val="eop"/>
          <w:rFonts w:asciiTheme="majorBidi" w:eastAsiaTheme="majorEastAsia" w:hAnsiTheme="majorBidi" w:cstheme="majorBidi"/>
        </w:rPr>
      </w:pPr>
      <w:r w:rsidRPr="00ED7E61">
        <w:rPr>
          <w:rStyle w:val="normaltextrun"/>
          <w:rFonts w:asciiTheme="majorBidi" w:eastAsiaTheme="majorEastAsia" w:hAnsiTheme="majorBidi" w:cstheme="majorBidi"/>
        </w:rPr>
        <w:t>For goals or targets where quantitative measurements would not capture the scope of the target</w:t>
      </w:r>
      <w:r w:rsidR="00DF2E4E" w:rsidRPr="00ED7E61">
        <w:rPr>
          <w:rStyle w:val="normaltextrun"/>
          <w:rFonts w:asciiTheme="majorBidi" w:eastAsiaTheme="majorEastAsia" w:hAnsiTheme="majorBidi" w:cstheme="majorBidi"/>
        </w:rPr>
        <w:t xml:space="preserve"> or where quantitative measures are not feasible</w:t>
      </w:r>
      <w:r w:rsidRPr="00ED7E61">
        <w:rPr>
          <w:rStyle w:val="normaltextrun"/>
          <w:rFonts w:asciiTheme="majorBidi" w:eastAsiaTheme="majorEastAsia" w:hAnsiTheme="majorBidi" w:cstheme="majorBidi"/>
        </w:rPr>
        <w:t>, creating indicators using question-based reporting is a way to measure progress. These indicators are referred to as “</w:t>
      </w:r>
      <w:r w:rsidRPr="00FB1598">
        <w:rPr>
          <w:rStyle w:val="normaltextrun"/>
          <w:rFonts w:asciiTheme="majorBidi" w:eastAsiaTheme="majorEastAsia" w:hAnsiTheme="majorBidi" w:cstheme="majorBidi"/>
          <w:i/>
          <w:iCs/>
        </w:rPr>
        <w:t>binary indicators</w:t>
      </w:r>
      <w:r w:rsidRPr="00ED7E61">
        <w:rPr>
          <w:rStyle w:val="normaltextrun"/>
          <w:rFonts w:asciiTheme="majorBidi" w:eastAsiaTheme="majorEastAsia" w:hAnsiTheme="majorBidi" w:cstheme="majorBidi"/>
        </w:rPr>
        <w:t>”. Reporting on progress will be required by February 2026 so there is a need to determine how headline and binary indicators can be operationalized in the national reports. Questions will be included in the national report of each party and their answers aggregated into a six-point outcome scale measuring each party’s progress towards the goal or target. This approach provides a fit-for-purpose way of measuring progress towards the goals and targets of the Framework using a combination of headline and binary indicators. </w:t>
      </w:r>
      <w:r w:rsidRPr="00ED7E61">
        <w:rPr>
          <w:rStyle w:val="eop"/>
          <w:rFonts w:asciiTheme="majorBidi" w:eastAsiaTheme="majorEastAsia" w:hAnsiTheme="majorBidi" w:cstheme="majorBidi"/>
        </w:rPr>
        <w:t> </w:t>
      </w:r>
    </w:p>
    <w:p w14:paraId="792A4A39" w14:textId="1E11CFA0" w:rsidR="00BE494E" w:rsidRPr="00ED7E61" w:rsidRDefault="00E75267" w:rsidP="001C6EE2">
      <w:pPr>
        <w:pStyle w:val="CBDNormalNumber"/>
        <w:numPr>
          <w:ilvl w:val="0"/>
          <w:numId w:val="11"/>
        </w:numPr>
        <w:ind w:left="567" w:firstLine="0"/>
      </w:pPr>
      <w:r w:rsidRPr="00ED7E61">
        <w:rPr>
          <w:rStyle w:val="normaltextrun"/>
          <w:rFonts w:asciiTheme="majorBidi" w:eastAsiaTheme="majorEastAsia" w:hAnsiTheme="majorBidi" w:cstheme="majorBidi"/>
        </w:rPr>
        <w:t>The use of binary type questions is utilized for a number of Sustainable Development Goal indicators (for example, SDG 6.5.1 or SDG 12.1.1) as well as other processes, including for example, the Ramsar Convention on Wetlands of International Importance, the Convention on International Trade in Endangered Species of Wild Fauna and Flora, the Convention on Biological Diversity, the World Happiness Report, the World Health Organisation, multiple national statistics offices, the Global Wellness Institute, Ipsos, Kantar, Gartner, Amnesty International and Oxfam.  The use of binary indicators by these organi</w:t>
      </w:r>
      <w:r w:rsidR="00B10F0C">
        <w:rPr>
          <w:rStyle w:val="normaltextrun"/>
          <w:rFonts w:asciiTheme="majorBidi" w:eastAsiaTheme="majorEastAsia" w:hAnsiTheme="majorBidi" w:cstheme="majorBidi"/>
        </w:rPr>
        <w:t>z</w:t>
      </w:r>
      <w:r w:rsidRPr="00ED7E61">
        <w:rPr>
          <w:rStyle w:val="normaltextrun"/>
          <w:rFonts w:asciiTheme="majorBidi" w:eastAsiaTheme="majorEastAsia" w:hAnsiTheme="majorBidi" w:cstheme="majorBidi"/>
        </w:rPr>
        <w:t xml:space="preserve">ations strengthens the case for the use of such binary indicators as a core part of the monitoring framework for the </w:t>
      </w:r>
      <w:r w:rsidR="00C215E0" w:rsidRPr="00ED7E61">
        <w:rPr>
          <w:rStyle w:val="normaltextrun"/>
          <w:rFonts w:asciiTheme="majorBidi" w:eastAsiaTheme="majorEastAsia" w:hAnsiTheme="majorBidi" w:cstheme="majorBidi"/>
        </w:rPr>
        <w:t xml:space="preserve">Kunming-Montreal </w:t>
      </w:r>
      <w:r w:rsidRPr="00ED7E61">
        <w:rPr>
          <w:rStyle w:val="normaltextrun"/>
          <w:rFonts w:asciiTheme="majorBidi" w:eastAsiaTheme="majorEastAsia" w:hAnsiTheme="majorBidi" w:cstheme="majorBidi"/>
        </w:rPr>
        <w:t>Global Biodiversity Framework. Moreover, several other UN bodies rely on binary indicators for their reporting, making it a pre-established approach familiar to focal points that will ease reporting efforts.</w:t>
      </w:r>
      <w:r w:rsidRPr="00ED7E61">
        <w:rPr>
          <w:rStyle w:val="eop"/>
          <w:rFonts w:asciiTheme="majorBidi" w:eastAsiaTheme="majorEastAsia" w:hAnsiTheme="majorBidi" w:cstheme="majorBidi"/>
        </w:rPr>
        <w:t> </w:t>
      </w:r>
    </w:p>
    <w:p w14:paraId="5A2BFB39" w14:textId="108C5A61" w:rsidR="00BA18BF" w:rsidRPr="00ED7E61" w:rsidRDefault="00163D20" w:rsidP="001C6EE2">
      <w:pPr>
        <w:pStyle w:val="CBDNormalNumber"/>
        <w:numPr>
          <w:ilvl w:val="0"/>
          <w:numId w:val="11"/>
        </w:numPr>
        <w:ind w:left="567" w:firstLine="0"/>
        <w:rPr>
          <w:rStyle w:val="eop"/>
          <w:rFonts w:asciiTheme="majorBidi" w:eastAsiaTheme="majorEastAsia" w:hAnsiTheme="majorBidi" w:cstheme="majorBidi"/>
        </w:rPr>
      </w:pPr>
      <w:r w:rsidRPr="00ED7E61">
        <w:rPr>
          <w:rStyle w:val="normaltextrun"/>
          <w:rFonts w:asciiTheme="majorBidi" w:eastAsiaTheme="majorEastAsia" w:hAnsiTheme="majorBidi" w:cstheme="majorBidi"/>
        </w:rPr>
        <w:t xml:space="preserve">For a few targets, the use of binary indicators may be a short-term solution </w:t>
      </w:r>
      <w:r w:rsidR="00C215E0" w:rsidRPr="00ED7E61">
        <w:rPr>
          <w:rStyle w:val="normaltextrun"/>
          <w:rFonts w:asciiTheme="majorBidi" w:eastAsiaTheme="majorEastAsia" w:hAnsiTheme="majorBidi" w:cstheme="majorBidi"/>
        </w:rPr>
        <w:t xml:space="preserve">while </w:t>
      </w:r>
      <w:r w:rsidRPr="00ED7E61">
        <w:rPr>
          <w:rStyle w:val="normaltextrun"/>
          <w:rFonts w:asciiTheme="majorBidi" w:eastAsiaTheme="majorEastAsia" w:hAnsiTheme="majorBidi" w:cstheme="majorBidi"/>
        </w:rPr>
        <w:t xml:space="preserve">quantitative methods are developed, or capacity-building takes place to enable measurements of quantitative data. However, for most goals and targets, the binary indicator cover a key aspect of the scope of the goal or target which is best captured using qualitative information. For example, target 14 which </w:t>
      </w:r>
      <w:r w:rsidR="00C215E0" w:rsidRPr="00ED7E61">
        <w:rPr>
          <w:rStyle w:val="normaltextrun"/>
          <w:rFonts w:asciiTheme="majorBidi" w:eastAsiaTheme="majorEastAsia" w:hAnsiTheme="majorBidi" w:cstheme="majorBidi"/>
        </w:rPr>
        <w:t xml:space="preserve">addresses </w:t>
      </w:r>
      <w:r w:rsidRPr="00ED7E61">
        <w:rPr>
          <w:rStyle w:val="normaltextrun"/>
          <w:rFonts w:asciiTheme="majorBidi" w:eastAsiaTheme="majorEastAsia" w:hAnsiTheme="majorBidi" w:cstheme="majorBidi"/>
        </w:rPr>
        <w:t>the mainstreaming of the multiple values of biodiversity or target 13 which concerns legal, policy, administrative and capacity-building measures, mainstreaming and policy processes are inherently not quantifiable. Furthermore, the monitoring framework requires tracking progress from multiple perspectives. In many cases, new structures and processes need to be put in place to deliver on the goals and targets. These structures and processes are particularly well suited to be measured using binary question-based indicators. In other cases, measuring outcomes will be more relevant. Here, headline indicators may be more appropriate.</w:t>
      </w:r>
      <w:r w:rsidRPr="00ED7E61">
        <w:rPr>
          <w:rStyle w:val="eop"/>
          <w:rFonts w:asciiTheme="majorBidi" w:eastAsiaTheme="majorEastAsia" w:hAnsiTheme="majorBidi" w:cstheme="majorBidi"/>
        </w:rPr>
        <w:t> </w:t>
      </w:r>
    </w:p>
    <w:p w14:paraId="7F7C8AAD" w14:textId="6378B051" w:rsidR="00BA18BF" w:rsidRPr="00ED7E61" w:rsidRDefault="00BA18BF" w:rsidP="005B0D1E">
      <w:pPr>
        <w:rPr>
          <w:rFonts w:asciiTheme="majorBidi" w:hAnsiTheme="majorBidi" w:cstheme="majorBidi"/>
          <w:b/>
          <w:bCs/>
        </w:rPr>
      </w:pPr>
      <w:r w:rsidRPr="00ED7E61">
        <w:rPr>
          <w:rFonts w:asciiTheme="majorBidi" w:hAnsiTheme="majorBidi" w:cstheme="majorBidi"/>
          <w:b/>
          <w:bCs/>
        </w:rPr>
        <w:t>Reporting on the indicators</w:t>
      </w:r>
    </w:p>
    <w:p w14:paraId="0C2572C5" w14:textId="7DD5031E" w:rsidR="00E3299A" w:rsidRPr="00ED7E61" w:rsidRDefault="00E3299A" w:rsidP="001C6EE2">
      <w:pPr>
        <w:pStyle w:val="CBDNormalNumber"/>
        <w:numPr>
          <w:ilvl w:val="0"/>
          <w:numId w:val="11"/>
        </w:numPr>
        <w:ind w:left="567" w:firstLine="0"/>
        <w:rPr>
          <w:rStyle w:val="normaltextrun"/>
          <w:rFonts w:asciiTheme="majorBidi" w:eastAsiaTheme="majorEastAsia" w:hAnsiTheme="majorBidi" w:cstheme="majorBidi"/>
        </w:rPr>
      </w:pPr>
      <w:r w:rsidRPr="00ED7E61">
        <w:rPr>
          <w:rStyle w:val="normaltextrun"/>
          <w:rFonts w:eastAsiaTheme="majorEastAsia"/>
        </w:rPr>
        <w:t>In decision 15/6, the Conference of the Parties a</w:t>
      </w:r>
      <w:r w:rsidRPr="00ED7E61">
        <w:rPr>
          <w:rStyle w:val="normaltextrun"/>
          <w:rFonts w:asciiTheme="majorBidi" w:eastAsiaTheme="majorEastAsia" w:hAnsiTheme="majorBidi" w:cstheme="majorBidi"/>
        </w:rPr>
        <w:t>dopted an enhanced multidimensional approach to planning, monitoring, reporting and review with a view to enhancing implementation of the Convention on Biological Diversity and of the Kunming-Montreal Global Biodiversity Framework, comprising, among other things, national reports submitted in 2026 and 2029, including the headline and, as appropriate, other indicators adopted in decision 15/5</w:t>
      </w:r>
      <w:r w:rsidR="00FB441D" w:rsidRPr="00ED7E61">
        <w:rPr>
          <w:rStyle w:val="normaltextrun"/>
          <w:rFonts w:asciiTheme="majorBidi" w:eastAsiaTheme="majorEastAsia" w:hAnsiTheme="majorBidi" w:cstheme="majorBidi"/>
        </w:rPr>
        <w:t xml:space="preserve">. To facilitate the national reporting process an online reporting tool has been developed. Further the template for the seventh </w:t>
      </w:r>
      <w:r w:rsidR="001D33F3" w:rsidRPr="00ED7E61">
        <w:rPr>
          <w:rStyle w:val="normaltextrun"/>
          <w:rFonts w:asciiTheme="majorBidi" w:eastAsiaTheme="majorEastAsia" w:hAnsiTheme="majorBidi" w:cstheme="majorBidi"/>
        </w:rPr>
        <w:t xml:space="preserve">and eight </w:t>
      </w:r>
      <w:r w:rsidR="00FB441D" w:rsidRPr="00ED7E61">
        <w:rPr>
          <w:rStyle w:val="normaltextrun"/>
          <w:rFonts w:asciiTheme="majorBidi" w:eastAsiaTheme="majorEastAsia" w:hAnsiTheme="majorBidi" w:cstheme="majorBidi"/>
        </w:rPr>
        <w:t>national report</w:t>
      </w:r>
      <w:r w:rsidR="001D33F3" w:rsidRPr="00ED7E61">
        <w:rPr>
          <w:rStyle w:val="normaltextrun"/>
          <w:rFonts w:asciiTheme="majorBidi" w:eastAsiaTheme="majorEastAsia" w:hAnsiTheme="majorBidi" w:cstheme="majorBidi"/>
        </w:rPr>
        <w:t>s</w:t>
      </w:r>
      <w:r w:rsidR="00FB441D" w:rsidRPr="00ED7E61">
        <w:rPr>
          <w:rStyle w:val="normaltextrun"/>
          <w:rFonts w:asciiTheme="majorBidi" w:eastAsiaTheme="majorEastAsia" w:hAnsiTheme="majorBidi" w:cstheme="majorBidi"/>
        </w:rPr>
        <w:t xml:space="preserve"> is expected to be agreed by the sixteenth meeting of the Conference of the Parties. </w:t>
      </w:r>
    </w:p>
    <w:p w14:paraId="342BC34B" w14:textId="653CA067" w:rsidR="00E3299A" w:rsidRPr="00ED7E61" w:rsidRDefault="003A6862" w:rsidP="005B0D1E">
      <w:pPr>
        <w:rPr>
          <w:rFonts w:asciiTheme="majorBidi" w:hAnsiTheme="majorBidi" w:cstheme="majorBidi"/>
          <w:b/>
          <w:bCs/>
          <w:sz w:val="22"/>
          <w:szCs w:val="22"/>
        </w:rPr>
      </w:pPr>
      <w:r w:rsidRPr="00ED7E61">
        <w:rPr>
          <w:rFonts w:asciiTheme="majorBidi" w:hAnsiTheme="majorBidi" w:cstheme="majorBidi"/>
          <w:b/>
          <w:bCs/>
          <w:sz w:val="22"/>
          <w:szCs w:val="22"/>
        </w:rPr>
        <w:t>Reporting on headline indicators</w:t>
      </w:r>
    </w:p>
    <w:p w14:paraId="4D1F878D" w14:textId="4B9AF4D6" w:rsidR="00BE494E" w:rsidRPr="00ED7E61" w:rsidRDefault="00BA18BF" w:rsidP="001C6EE2">
      <w:pPr>
        <w:pStyle w:val="CBDNormalNumber"/>
        <w:numPr>
          <w:ilvl w:val="0"/>
          <w:numId w:val="11"/>
        </w:numPr>
        <w:ind w:left="567" w:firstLine="0"/>
        <w:rPr>
          <w:rStyle w:val="normaltextrun"/>
          <w:rFonts w:eastAsiaTheme="majorEastAsia"/>
        </w:rPr>
      </w:pPr>
      <w:r w:rsidRPr="00ED7E61">
        <w:rPr>
          <w:rStyle w:val="normaltextrun"/>
          <w:rFonts w:eastAsiaTheme="majorEastAsia"/>
        </w:rPr>
        <w:t>In the national report</w:t>
      </w:r>
      <w:r w:rsidR="001D33F3" w:rsidRPr="00ED7E61">
        <w:rPr>
          <w:rStyle w:val="normaltextrun"/>
          <w:rFonts w:eastAsiaTheme="majorEastAsia"/>
        </w:rPr>
        <w:t xml:space="preserve"> template reviewed by the fourth meeting of the Subsidiary Body on Implementation, </w:t>
      </w:r>
      <w:r w:rsidRPr="00ED7E61">
        <w:rPr>
          <w:rStyle w:val="normaltextrun"/>
          <w:rFonts w:eastAsiaTheme="majorEastAsia"/>
        </w:rPr>
        <w:t xml:space="preserve">headline indicators </w:t>
      </w:r>
      <w:r w:rsidR="001D33F3" w:rsidRPr="00ED7E61">
        <w:rPr>
          <w:rStyle w:val="normaltextrun"/>
          <w:rFonts w:eastAsiaTheme="majorEastAsia"/>
        </w:rPr>
        <w:t xml:space="preserve">would </w:t>
      </w:r>
      <w:r w:rsidRPr="00ED7E61">
        <w:rPr>
          <w:rStyle w:val="normaltextrun"/>
          <w:rFonts w:eastAsiaTheme="majorEastAsia"/>
        </w:rPr>
        <w:t xml:space="preserve">be reported in a tabular format for a time series from 2020 to data for the most recently available year. If possible, data can be reported for years prior to 2020. </w:t>
      </w:r>
      <w:r w:rsidR="001D33F3" w:rsidRPr="00ED7E61">
        <w:rPr>
          <w:rStyle w:val="normaltextrun"/>
          <w:rFonts w:eastAsiaTheme="majorEastAsia"/>
        </w:rPr>
        <w:t>A Party can also add graphs, maps or pictures to the national report as a visualization of the data.</w:t>
      </w:r>
    </w:p>
    <w:p w14:paraId="6493FE00" w14:textId="56D0B7AA" w:rsidR="00BA18BF" w:rsidRPr="00ED7E61" w:rsidRDefault="001D33F3" w:rsidP="001C6EE2">
      <w:pPr>
        <w:pStyle w:val="CBDNormalNumber"/>
        <w:numPr>
          <w:ilvl w:val="0"/>
          <w:numId w:val="11"/>
        </w:numPr>
        <w:ind w:left="567" w:firstLine="0"/>
        <w:rPr>
          <w:b/>
          <w:bCs/>
        </w:rPr>
      </w:pPr>
      <w:r w:rsidRPr="00ED7E61">
        <w:t>When providing information on the headline indicators i</w:t>
      </w:r>
      <w:r w:rsidR="00FB441D" w:rsidRPr="00ED7E61">
        <w:t>n their national reports Parties should choose the most appropriate data sources, according to their national circumstances and priorities</w:t>
      </w:r>
      <w:r w:rsidRPr="00ED7E61">
        <w:t>. In most cases this would be national data. However</w:t>
      </w:r>
      <w:r w:rsidR="00BA18BF" w:rsidRPr="00ED7E61">
        <w:t xml:space="preserve"> </w:t>
      </w:r>
      <w:r w:rsidR="00FB441D" w:rsidRPr="00ED7E61">
        <w:t xml:space="preserve">for </w:t>
      </w:r>
      <w:r w:rsidR="00BA18BF" w:rsidRPr="00ED7E61">
        <w:t xml:space="preserve">some of the </w:t>
      </w:r>
      <w:r w:rsidR="00FB441D" w:rsidRPr="00ED7E61">
        <w:t xml:space="preserve">headline </w:t>
      </w:r>
      <w:r w:rsidR="00BA18BF" w:rsidRPr="00ED7E61">
        <w:t>indicators, data is available from a global data source</w:t>
      </w:r>
      <w:r w:rsidR="00C215E0" w:rsidRPr="00ED7E61">
        <w:t xml:space="preserve"> and has been identified by the AHTEG. </w:t>
      </w:r>
      <w:r w:rsidR="00FB441D" w:rsidRPr="00ED7E61">
        <w:t xml:space="preserve">If appropriate, </w:t>
      </w:r>
      <w:r w:rsidR="00BA18BF" w:rsidRPr="00ED7E61">
        <w:t xml:space="preserve">a Party </w:t>
      </w:r>
      <w:r w:rsidR="00FB441D" w:rsidRPr="00ED7E61">
        <w:t xml:space="preserve">may </w:t>
      </w:r>
      <w:r w:rsidR="00BA18BF" w:rsidRPr="00ED7E61">
        <w:t xml:space="preserve">choose to </w:t>
      </w:r>
      <w:r w:rsidR="00FB441D" w:rsidRPr="00ED7E61">
        <w:t xml:space="preserve">use this data for their national reporting. </w:t>
      </w:r>
      <w:r w:rsidRPr="00ED7E61">
        <w:t xml:space="preserve">To facilitate reporting, this global data will be accessible directly through the online reporting tool </w:t>
      </w:r>
      <w:r w:rsidR="003A6862" w:rsidRPr="00ED7E61">
        <w:t xml:space="preserve">referenced above </w:t>
      </w:r>
      <w:r w:rsidRPr="00ED7E61">
        <w:t xml:space="preserve">should a Party wish to use it. </w:t>
      </w:r>
      <w:r w:rsidR="0087104E" w:rsidRPr="00ED7E61">
        <w:t xml:space="preserve">If a Party does not have national data which can be used for reporting and it does not wish to report using global data sources it can choose not to report on the headline indicator and provide a description of the situation instead. </w:t>
      </w:r>
    </w:p>
    <w:p w14:paraId="7F35E577" w14:textId="24AA5876" w:rsidR="002F6383" w:rsidRPr="00ED7E61" w:rsidRDefault="002F6383" w:rsidP="001C6EE2">
      <w:pPr>
        <w:pStyle w:val="CBDNormalNumber"/>
        <w:numPr>
          <w:ilvl w:val="0"/>
          <w:numId w:val="11"/>
        </w:numPr>
        <w:ind w:left="567" w:firstLine="0"/>
      </w:pPr>
      <w:r w:rsidRPr="00ED7E61">
        <w:t>In developing the monitoring framework, the Con</w:t>
      </w:r>
      <w:r w:rsidR="00772C53" w:rsidRPr="00ED7E61">
        <w:t xml:space="preserve">ference of the Parties decided to align the indicators used for monitoring the </w:t>
      </w:r>
      <w:r w:rsidR="003A6862" w:rsidRPr="00ED7E61">
        <w:t xml:space="preserve">Kunming-Montreal </w:t>
      </w:r>
      <w:r w:rsidR="00772C53" w:rsidRPr="00ED7E61">
        <w:t xml:space="preserve">Global Biodiversity Framework with </w:t>
      </w:r>
      <w:r w:rsidR="003A6862" w:rsidRPr="00ED7E61">
        <w:t>those used to monitor implementation of the Sustainable Development Goals</w:t>
      </w:r>
      <w:r w:rsidR="003A6862" w:rsidRPr="00FB1598">
        <w:rPr>
          <w:vertAlign w:val="superscript"/>
        </w:rPr>
        <w:footnoteReference w:id="13"/>
      </w:r>
      <w:r w:rsidR="00772C53" w:rsidRPr="00ED7E61">
        <w:t xml:space="preserve"> when possible. As the Sustainable Development Goal indicators already have an existing national reporting process</w:t>
      </w:r>
      <w:r w:rsidR="00E53C72" w:rsidRPr="00ED7E61">
        <w:t>,</w:t>
      </w:r>
      <w:r w:rsidR="00772C53" w:rsidRPr="00ED7E61">
        <w:t xml:space="preserve"> Parties </w:t>
      </w:r>
      <w:r w:rsidR="00E53C72" w:rsidRPr="00ED7E61">
        <w:t xml:space="preserve">are </w:t>
      </w:r>
      <w:r w:rsidR="003A6862" w:rsidRPr="00ED7E61">
        <w:t xml:space="preserve">encouraged </w:t>
      </w:r>
      <w:r w:rsidR="00772C53" w:rsidRPr="00ED7E61">
        <w:t xml:space="preserve">to use the relevant </w:t>
      </w:r>
      <w:r w:rsidR="00E53C72" w:rsidRPr="00ED7E61">
        <w:t xml:space="preserve">Sustainable Development Goal </w:t>
      </w:r>
      <w:r w:rsidR="00772C53" w:rsidRPr="00ED7E61">
        <w:t xml:space="preserve">data in their national reporting processes under the Convention (as opposed to submitting data to both the United Nations through the </w:t>
      </w:r>
      <w:r w:rsidR="00E53C72" w:rsidRPr="00ED7E61">
        <w:t xml:space="preserve">Sustainable Development Goal </w:t>
      </w:r>
      <w:r w:rsidR="00772C53" w:rsidRPr="00ED7E61">
        <w:t>process and to the Convention)</w:t>
      </w:r>
      <w:r w:rsidR="00AD1F2E" w:rsidRPr="00ED7E61">
        <w:t>.</w:t>
      </w:r>
      <w:r w:rsidR="002F0135" w:rsidRPr="00ED7E61">
        <w:t xml:space="preserve"> </w:t>
      </w:r>
      <w:r w:rsidR="003A6862" w:rsidRPr="00ED7E61">
        <w:t xml:space="preserve">This would apply for the following headline indicators: A.3, D.1, 3.1, 5.1, 7.1, 10.1, 10.2 and 12.1. </w:t>
      </w:r>
      <w:r w:rsidR="002F0135" w:rsidRPr="00ED7E61">
        <w:t>However, in some cases</w:t>
      </w:r>
      <w:r w:rsidR="00FB7113" w:rsidRPr="00ED7E61">
        <w:t xml:space="preserve">, the metadata presented in this document recommends additional </w:t>
      </w:r>
      <w:r w:rsidR="003A6862" w:rsidRPr="00ED7E61">
        <w:t xml:space="preserve">optional </w:t>
      </w:r>
      <w:r w:rsidR="00FB7113" w:rsidRPr="00ED7E61">
        <w:t xml:space="preserve">disaggregations of the </w:t>
      </w:r>
      <w:r w:rsidR="00E53C72" w:rsidRPr="00ED7E61">
        <w:t xml:space="preserve">Sustainable Development Goal </w:t>
      </w:r>
      <w:r w:rsidR="00FB7113" w:rsidRPr="00ED7E61">
        <w:t>indicators which could be reported through the national reporting process</w:t>
      </w:r>
    </w:p>
    <w:p w14:paraId="3EFAEBAC" w14:textId="77777777" w:rsidR="003A6862" w:rsidRPr="00ED7E61" w:rsidRDefault="003A6862" w:rsidP="001C6EE2">
      <w:pPr>
        <w:pStyle w:val="CBDNormalNumber"/>
        <w:numPr>
          <w:ilvl w:val="0"/>
          <w:numId w:val="11"/>
        </w:numPr>
        <w:ind w:left="567" w:firstLine="0"/>
        <w:rPr>
          <w:rStyle w:val="normaltextrun"/>
          <w:rFonts w:eastAsiaTheme="majorEastAsia"/>
        </w:rPr>
      </w:pPr>
      <w:r w:rsidRPr="00ED7E61">
        <w:rPr>
          <w:rStyle w:val="normaltextrun"/>
          <w:rFonts w:eastAsiaTheme="majorEastAsia"/>
        </w:rPr>
        <w:t xml:space="preserve">In cases where national data for the headline indicator does not exist and the global data is not appropriate, a Party could also choose not to provide a value for the headline indicator and to enter a comment to explain the reason. </w:t>
      </w:r>
    </w:p>
    <w:p w14:paraId="1091DDBE" w14:textId="53756FC1" w:rsidR="00166BEC" w:rsidRPr="00ED7E61" w:rsidRDefault="003A6862" w:rsidP="005B0D1E">
      <w:pPr>
        <w:rPr>
          <w:rStyle w:val="normaltextrun"/>
          <w:rFonts w:asciiTheme="majorBidi" w:hAnsiTheme="majorBidi" w:cstheme="majorBidi"/>
          <w:b/>
          <w:bCs/>
        </w:rPr>
      </w:pPr>
      <w:r w:rsidRPr="00ED7E61">
        <w:rPr>
          <w:rFonts w:asciiTheme="majorBidi" w:hAnsiTheme="majorBidi" w:cstheme="majorBidi"/>
          <w:b/>
          <w:bCs/>
        </w:rPr>
        <w:t>Reporting on</w:t>
      </w:r>
      <w:r w:rsidR="000D24F3" w:rsidRPr="00ED7E61">
        <w:rPr>
          <w:rFonts w:asciiTheme="majorBidi" w:hAnsiTheme="majorBidi" w:cstheme="majorBidi"/>
          <w:b/>
          <w:bCs/>
        </w:rPr>
        <w:t xml:space="preserve"> binary indicators</w:t>
      </w:r>
    </w:p>
    <w:p w14:paraId="2EC77F96" w14:textId="53C19CB5" w:rsidR="00BE494E" w:rsidRPr="00ED7E61" w:rsidRDefault="00163D20" w:rsidP="001C6EE2">
      <w:pPr>
        <w:pStyle w:val="CBDNormalNumber"/>
        <w:numPr>
          <w:ilvl w:val="0"/>
          <w:numId w:val="11"/>
        </w:numPr>
        <w:ind w:left="567" w:firstLine="0"/>
        <w:rPr>
          <w:rStyle w:val="normaltextrun"/>
          <w:rFonts w:eastAsiaTheme="majorEastAsia"/>
        </w:rPr>
      </w:pPr>
      <w:r w:rsidRPr="00ED7E61">
        <w:rPr>
          <w:rStyle w:val="normaltextrun"/>
          <w:rFonts w:eastAsiaTheme="majorEastAsia"/>
        </w:rPr>
        <w:t xml:space="preserve">The binary indicators will be included as part of the core elements of the national reporting template. Binary indicators </w:t>
      </w:r>
      <w:r w:rsidR="00E75267" w:rsidRPr="00ED7E61">
        <w:rPr>
          <w:rStyle w:val="normaltextrun"/>
          <w:rFonts w:eastAsiaTheme="majorEastAsia"/>
        </w:rPr>
        <w:t xml:space="preserve">are thus analogous </w:t>
      </w:r>
      <w:r w:rsidR="0087104E" w:rsidRPr="00ED7E61">
        <w:rPr>
          <w:rStyle w:val="normaltextrun"/>
          <w:rFonts w:eastAsiaTheme="majorEastAsia"/>
        </w:rPr>
        <w:t xml:space="preserve">to the headline indicators </w:t>
      </w:r>
      <w:r w:rsidR="00E75267" w:rsidRPr="00ED7E61">
        <w:rPr>
          <w:rStyle w:val="normaltextrun"/>
          <w:rFonts w:eastAsiaTheme="majorEastAsia"/>
        </w:rPr>
        <w:t>in their importance to the reporting process as the</w:t>
      </w:r>
      <w:r w:rsidRPr="00ED7E61">
        <w:rPr>
          <w:rStyle w:val="normaltextrun"/>
          <w:rFonts w:eastAsiaTheme="majorEastAsia"/>
        </w:rPr>
        <w:t xml:space="preserve"> headline indicator. While the binary indicators are made of a set of questions, the answers to which are used to assign a score to each Party which can be summed globally, more in depth information than an overall score is useful for national decision-making. Therefore, each binary indicator’s set of questions and possible answers provide further information on the progress of Parties towards a specific part of a goal or target. These questions can be summarized to reach an overall score for each Party or the questions can be used to develop more detailed information to identify </w:t>
      </w:r>
      <w:r w:rsidR="00E53C72" w:rsidRPr="00ED7E61">
        <w:rPr>
          <w:rStyle w:val="normaltextrun"/>
          <w:rFonts w:eastAsiaTheme="majorEastAsia"/>
        </w:rPr>
        <w:t xml:space="preserve">species areas of progress and </w:t>
      </w:r>
      <w:r w:rsidRPr="00ED7E61">
        <w:rPr>
          <w:rStyle w:val="normaltextrun"/>
          <w:rFonts w:eastAsiaTheme="majorEastAsia"/>
        </w:rPr>
        <w:t>gaps.</w:t>
      </w:r>
      <w:r w:rsidRPr="00ED7E61">
        <w:rPr>
          <w:rStyle w:val="normaltextrun"/>
        </w:rPr>
        <w:t> </w:t>
      </w:r>
    </w:p>
    <w:p w14:paraId="1A7F1629" w14:textId="0A468B85" w:rsidR="00163D20" w:rsidRPr="00ED7E61" w:rsidRDefault="00E75267" w:rsidP="001C6EE2">
      <w:pPr>
        <w:pStyle w:val="CBDNormalNumber"/>
        <w:numPr>
          <w:ilvl w:val="0"/>
          <w:numId w:val="11"/>
        </w:numPr>
        <w:ind w:left="567" w:firstLine="0"/>
      </w:pPr>
      <w:r w:rsidRPr="00ED7E61">
        <w:rPr>
          <w:rStyle w:val="normaltextrun"/>
          <w:rFonts w:asciiTheme="majorBidi" w:eastAsiaTheme="majorEastAsia" w:hAnsiTheme="majorBidi" w:cstheme="majorBidi"/>
        </w:rPr>
        <w:t>B</w:t>
      </w:r>
      <w:r w:rsidR="00163D20" w:rsidRPr="00ED7E61">
        <w:rPr>
          <w:rStyle w:val="normaltextrun"/>
          <w:rFonts w:asciiTheme="majorBidi" w:eastAsiaTheme="majorEastAsia" w:hAnsiTheme="majorBidi" w:cstheme="majorBidi"/>
        </w:rPr>
        <w:t xml:space="preserve">inary indicators are derived from qualitative questions in the national reports. These binary indicators are required elements of national reports and hold the same weight as </w:t>
      </w:r>
      <w:r w:rsidRPr="00ED7E61">
        <w:rPr>
          <w:rStyle w:val="normaltextrun"/>
          <w:rFonts w:asciiTheme="majorBidi" w:eastAsiaTheme="majorEastAsia" w:hAnsiTheme="majorBidi" w:cstheme="majorBidi"/>
        </w:rPr>
        <w:t xml:space="preserve">the </w:t>
      </w:r>
      <w:r w:rsidR="00163D20" w:rsidRPr="00ED7E61">
        <w:rPr>
          <w:rStyle w:val="normaltextrun"/>
          <w:rFonts w:asciiTheme="majorBidi" w:eastAsiaTheme="majorEastAsia" w:hAnsiTheme="majorBidi" w:cstheme="majorBidi"/>
        </w:rPr>
        <w:t>headline indicators in showing progress towards their goal or target. The binary indicators have some key advantages in their ease of deployment and low</w:t>
      </w:r>
      <w:r w:rsidR="0087104E" w:rsidRPr="00ED7E61">
        <w:rPr>
          <w:rStyle w:val="normaltextrun"/>
          <w:rFonts w:asciiTheme="majorBidi" w:eastAsiaTheme="majorEastAsia" w:hAnsiTheme="majorBidi" w:cstheme="majorBidi"/>
        </w:rPr>
        <w:t>er</w:t>
      </w:r>
      <w:r w:rsidR="00163D20" w:rsidRPr="00ED7E61">
        <w:rPr>
          <w:rStyle w:val="normaltextrun"/>
          <w:rFonts w:asciiTheme="majorBidi" w:eastAsiaTheme="majorEastAsia" w:hAnsiTheme="majorBidi" w:cstheme="majorBidi"/>
        </w:rPr>
        <w:t xml:space="preserve"> resource cost, which makes them usable temporarily in cases where quantitative headline indicators are not yet available.  Binary indicators also provide a standardized approach to reporting for targets which are primarily action-based, and these will continue to have a place in the Framework’s monitoring framework in the long-term. An overall methodological file and metadata sheet for each binary indicator are provided.</w:t>
      </w:r>
      <w:r w:rsidR="00163D20" w:rsidRPr="00ED7E61">
        <w:rPr>
          <w:rStyle w:val="eop"/>
          <w:rFonts w:asciiTheme="majorBidi" w:eastAsiaTheme="majorEastAsia" w:hAnsiTheme="majorBidi" w:cstheme="majorBidi"/>
        </w:rPr>
        <w:t> </w:t>
      </w:r>
    </w:p>
    <w:p w14:paraId="4C5F5A43" w14:textId="589DA2D5" w:rsidR="00163D20" w:rsidRPr="00ED7E61" w:rsidRDefault="00163D20" w:rsidP="005B0D1E">
      <w:pPr>
        <w:rPr>
          <w:rFonts w:asciiTheme="majorBidi" w:hAnsiTheme="majorBidi" w:cstheme="majorBidi"/>
          <w:b/>
          <w:bCs/>
          <w:sz w:val="22"/>
          <w:szCs w:val="22"/>
        </w:rPr>
      </w:pPr>
      <w:r w:rsidRPr="00ED7E61">
        <w:rPr>
          <w:rFonts w:asciiTheme="majorBidi" w:hAnsiTheme="majorBidi" w:cstheme="majorBidi"/>
          <w:b/>
          <w:bCs/>
        </w:rPr>
        <w:t>Methods for aggregating answers</w:t>
      </w:r>
    </w:p>
    <w:p w14:paraId="5634083F" w14:textId="77777777" w:rsidR="00E53C72" w:rsidRPr="00ED7E61" w:rsidRDefault="00E53C72" w:rsidP="005B0D1E">
      <w:pPr>
        <w:pStyle w:val="ListParagraph"/>
        <w:rPr>
          <w:rFonts w:asciiTheme="majorBidi" w:hAnsiTheme="majorBidi" w:cstheme="majorBidi"/>
          <w:b/>
          <w:bCs/>
          <w:sz w:val="22"/>
          <w:szCs w:val="22"/>
        </w:rPr>
      </w:pPr>
    </w:p>
    <w:p w14:paraId="1851163D" w14:textId="3F6D110D" w:rsidR="000D24F3" w:rsidRPr="00ED7E61" w:rsidRDefault="000D24F3" w:rsidP="005B0D1E">
      <w:pPr>
        <w:rPr>
          <w:rFonts w:asciiTheme="majorBidi" w:hAnsiTheme="majorBidi" w:cstheme="majorBidi"/>
          <w:i/>
          <w:iCs/>
          <w:sz w:val="22"/>
          <w:szCs w:val="22"/>
        </w:rPr>
      </w:pPr>
      <w:r w:rsidRPr="00ED7E61">
        <w:rPr>
          <w:rFonts w:asciiTheme="majorBidi" w:hAnsiTheme="majorBidi" w:cstheme="majorBidi"/>
          <w:i/>
          <w:iCs/>
          <w:sz w:val="22"/>
          <w:szCs w:val="22"/>
        </w:rPr>
        <w:t>Headline Indicators</w:t>
      </w:r>
    </w:p>
    <w:p w14:paraId="043AA6A5" w14:textId="394425B4" w:rsidR="000D24F3" w:rsidRPr="00ED7E61" w:rsidRDefault="000D24F3" w:rsidP="001C6EE2">
      <w:pPr>
        <w:pStyle w:val="CBDNormalNumber"/>
        <w:numPr>
          <w:ilvl w:val="0"/>
          <w:numId w:val="11"/>
        </w:numPr>
        <w:ind w:left="567" w:firstLine="0"/>
        <w:rPr>
          <w:rStyle w:val="normaltextrun"/>
          <w:rFonts w:eastAsiaTheme="majorEastAsia"/>
        </w:rPr>
      </w:pPr>
      <w:r w:rsidRPr="00ED7E61">
        <w:rPr>
          <w:rStyle w:val="normaltextrun"/>
          <w:rFonts w:asciiTheme="majorBidi" w:eastAsiaTheme="majorEastAsia" w:hAnsiTheme="majorBidi" w:cstheme="majorBidi"/>
        </w:rPr>
        <w:t>The type of quantitative data for each headline indicator differs</w:t>
      </w:r>
      <w:r w:rsidR="00FA3866" w:rsidRPr="00ED7E61">
        <w:rPr>
          <w:rStyle w:val="normaltextrun"/>
          <w:rFonts w:asciiTheme="majorBidi" w:eastAsiaTheme="majorEastAsia" w:hAnsiTheme="majorBidi" w:cstheme="majorBidi"/>
        </w:rPr>
        <w:t xml:space="preserve">. The specific methods for aggregating data are described in the metadata for each headline indicator. The </w:t>
      </w:r>
      <w:r w:rsidR="00E53C72" w:rsidRPr="00ED7E61">
        <w:rPr>
          <w:rStyle w:val="normaltextrun"/>
          <w:rFonts w:asciiTheme="majorBidi" w:eastAsiaTheme="majorEastAsia" w:hAnsiTheme="majorBidi" w:cstheme="majorBidi"/>
        </w:rPr>
        <w:t xml:space="preserve">Sustainable Development Goal </w:t>
      </w:r>
      <w:r w:rsidR="00FA3866" w:rsidRPr="00ED7E61">
        <w:rPr>
          <w:rStyle w:val="normaltextrun"/>
          <w:rFonts w:asciiTheme="majorBidi" w:eastAsiaTheme="majorEastAsia" w:hAnsiTheme="majorBidi" w:cstheme="majorBidi"/>
        </w:rPr>
        <w:t xml:space="preserve">indicators have existing data aggregation processes which have been agreed through the </w:t>
      </w:r>
      <w:r w:rsidR="00E53C72" w:rsidRPr="00ED7E61">
        <w:rPr>
          <w:rStyle w:val="normaltextrun"/>
          <w:rFonts w:asciiTheme="majorBidi" w:eastAsiaTheme="majorEastAsia" w:hAnsiTheme="majorBidi" w:cstheme="majorBidi"/>
        </w:rPr>
        <w:t xml:space="preserve">Sustainable Development Goal </w:t>
      </w:r>
      <w:r w:rsidR="00FA3866" w:rsidRPr="00ED7E61">
        <w:rPr>
          <w:rStyle w:val="normaltextrun"/>
          <w:rFonts w:asciiTheme="majorBidi" w:eastAsiaTheme="majorEastAsia" w:hAnsiTheme="majorBidi" w:cstheme="majorBidi"/>
        </w:rPr>
        <w:t>process.</w:t>
      </w:r>
    </w:p>
    <w:p w14:paraId="2DC0CDA3" w14:textId="59481A3A" w:rsidR="000D24F3" w:rsidRPr="00ED7E61" w:rsidRDefault="000D24F3" w:rsidP="005B0D1E">
      <w:pPr>
        <w:rPr>
          <w:rFonts w:asciiTheme="majorBidi" w:hAnsiTheme="majorBidi" w:cstheme="majorBidi"/>
          <w:i/>
          <w:iCs/>
          <w:sz w:val="22"/>
          <w:szCs w:val="22"/>
        </w:rPr>
      </w:pPr>
      <w:r w:rsidRPr="00ED7E61">
        <w:rPr>
          <w:rFonts w:asciiTheme="majorBidi" w:hAnsiTheme="majorBidi" w:cstheme="majorBidi"/>
          <w:i/>
          <w:iCs/>
          <w:sz w:val="22"/>
          <w:szCs w:val="22"/>
        </w:rPr>
        <w:t>Binary Indicators</w:t>
      </w:r>
    </w:p>
    <w:p w14:paraId="14D0AFD9" w14:textId="1C975C47" w:rsidR="008344AF" w:rsidRPr="00ED7E61" w:rsidRDefault="00163D20" w:rsidP="001C6EE2">
      <w:pPr>
        <w:pStyle w:val="CBDNormalNumber"/>
        <w:numPr>
          <w:ilvl w:val="0"/>
          <w:numId w:val="11"/>
        </w:numPr>
        <w:ind w:left="567" w:firstLine="0"/>
        <w:rPr>
          <w:rStyle w:val="normaltextrun"/>
          <w:rFonts w:eastAsiaTheme="majorEastAsia"/>
        </w:rPr>
      </w:pPr>
      <w:r w:rsidRPr="00ED7E61">
        <w:rPr>
          <w:rStyle w:val="normaltextrun"/>
          <w:rFonts w:eastAsiaTheme="majorEastAsia"/>
        </w:rPr>
        <w:t xml:space="preserve">There are fourteen binary indicators in the Framework that track progress towards a goal or target. Each relies on a set of questions (from two to seven) specific to the goal or target they relate to. Party focal points are accountable for answering the set of questions </w:t>
      </w:r>
      <w:r w:rsidR="00AC7C53" w:rsidRPr="00ED7E61">
        <w:rPr>
          <w:rStyle w:val="normaltextrun"/>
          <w:rFonts w:eastAsiaTheme="majorEastAsia"/>
        </w:rPr>
        <w:t xml:space="preserve">taking into account </w:t>
      </w:r>
      <w:r w:rsidRPr="00ED7E61">
        <w:rPr>
          <w:rStyle w:val="normaltextrun"/>
          <w:rFonts w:eastAsiaTheme="majorEastAsia"/>
        </w:rPr>
        <w:t>the relevant metadata guidance for each indicator. The answers to these questions then need to be aggregated into an overall measure of progress towards the target that can be understood at both the local and global level. This section concerns itself with the methodology that will be used to aggregate answers across questions to measure progress towards each indicator and its goal or target. </w:t>
      </w:r>
    </w:p>
    <w:p w14:paraId="36DC2761" w14:textId="7FE550E5" w:rsidR="008344AF" w:rsidRPr="00ED7E61" w:rsidRDefault="00163D20" w:rsidP="001C6EE2">
      <w:pPr>
        <w:pStyle w:val="CBDNormalNumber"/>
        <w:numPr>
          <w:ilvl w:val="0"/>
          <w:numId w:val="11"/>
        </w:numPr>
        <w:ind w:left="567" w:firstLine="0"/>
      </w:pPr>
      <w:r w:rsidRPr="00ED7E61">
        <w:t xml:space="preserve">There are two types of answers to the questions </w:t>
      </w:r>
      <w:r w:rsidR="00044D2D" w:rsidRPr="00ED7E61">
        <w:t xml:space="preserve">used for </w:t>
      </w:r>
      <w:r w:rsidRPr="00ED7E61">
        <w:t xml:space="preserve">the binary </w:t>
      </w:r>
      <w:r w:rsidR="00FB59C0" w:rsidRPr="00ED7E61">
        <w:t>indicator:</w:t>
      </w:r>
      <w:r w:rsidRPr="00ED7E61">
        <w:t xml:space="preserve"> single- and multiple-choice answers. Single-choice answers require Parties to select only one “</w:t>
      </w:r>
      <w:r w:rsidRPr="00FB1598">
        <w:rPr>
          <w:i/>
          <w:iCs/>
        </w:rPr>
        <w:t>level of progress</w:t>
      </w:r>
      <w:r w:rsidRPr="00ED7E61">
        <w:t>” answer to the question (e.g. one of: No</w:t>
      </w:r>
      <w:r w:rsidR="00FB59C0">
        <w:t xml:space="preserve"> </w:t>
      </w:r>
      <w:r w:rsidRPr="00ED7E61">
        <w:t>/</w:t>
      </w:r>
      <w:r w:rsidR="00FB59C0">
        <w:t xml:space="preserve"> </w:t>
      </w:r>
      <w:r w:rsidR="003E15B5" w:rsidRPr="00ED7E61">
        <w:t>U</w:t>
      </w:r>
      <w:r w:rsidRPr="00ED7E61">
        <w:t>nder development</w:t>
      </w:r>
      <w:r w:rsidR="00FB59C0">
        <w:t xml:space="preserve"> </w:t>
      </w:r>
      <w:r w:rsidRPr="00ED7E61">
        <w:t>/</w:t>
      </w:r>
      <w:r w:rsidR="00FB59C0">
        <w:t xml:space="preserve"> </w:t>
      </w:r>
      <w:r w:rsidR="00B031DA" w:rsidRPr="00ED7E61">
        <w:t>P</w:t>
      </w:r>
      <w:r w:rsidRPr="00ED7E61">
        <w:t>artially</w:t>
      </w:r>
      <w:r w:rsidR="00FB59C0">
        <w:t xml:space="preserve"> </w:t>
      </w:r>
      <w:r w:rsidRPr="00ED7E61">
        <w:t>/</w:t>
      </w:r>
      <w:r w:rsidR="00FB59C0">
        <w:t xml:space="preserve"> </w:t>
      </w:r>
      <w:r w:rsidR="00B031DA" w:rsidRPr="00ED7E61">
        <w:t>F</w:t>
      </w:r>
      <w:r w:rsidRPr="00ED7E61">
        <w:t xml:space="preserve">ully). Multiple-choice answers require Parties to select all </w:t>
      </w:r>
      <w:r w:rsidR="003B0DDF" w:rsidRPr="00ED7E61">
        <w:t xml:space="preserve">answers </w:t>
      </w:r>
      <w:r w:rsidRPr="00ED7E61">
        <w:t>that apply, considering that every selection means a “</w:t>
      </w:r>
      <w:r w:rsidRPr="00FB1598">
        <w:rPr>
          <w:i/>
          <w:iCs/>
        </w:rPr>
        <w:t>yes</w:t>
      </w:r>
      <w:r w:rsidRPr="00ED7E61">
        <w:t>” for the particular item selected (e.g. mitigation/adaptation/</w:t>
      </w:r>
      <w:r w:rsidR="00B031DA" w:rsidRPr="00ED7E61">
        <w:t xml:space="preserve">disaster </w:t>
      </w:r>
      <w:r w:rsidRPr="00ED7E61">
        <w:t>risk reduction). Therefore, there are two levels of aggregation to consider: aggregation at the question level and aggregation at the indicator level. </w:t>
      </w:r>
    </w:p>
    <w:p w14:paraId="390AAF5B" w14:textId="2436F623" w:rsidR="00163D20" w:rsidRPr="00ED7E61" w:rsidRDefault="00163D20" w:rsidP="001C6EE2">
      <w:pPr>
        <w:pStyle w:val="CBDNormalNumber"/>
        <w:numPr>
          <w:ilvl w:val="0"/>
          <w:numId w:val="11"/>
        </w:numPr>
        <w:ind w:left="567" w:firstLine="0"/>
      </w:pPr>
      <w:r w:rsidRPr="00ED7E61">
        <w:t>At the question level, it is important to be able to assign the multiple-choice answers to the “</w:t>
      </w:r>
      <w:r w:rsidRPr="00FB1598">
        <w:rPr>
          <w:i/>
          <w:iCs/>
        </w:rPr>
        <w:t>level of progress</w:t>
      </w:r>
      <w:r w:rsidRPr="00ED7E61">
        <w:t xml:space="preserve">” answer format of single-choice questions. As such, three possible interpretations of multiple-choice answers are possible. </w:t>
      </w:r>
      <w:r w:rsidR="003B0DDF" w:rsidRPr="00ED7E61">
        <w:t>For questions asking Parties to select all the options that apply, i</w:t>
      </w:r>
      <w:r w:rsidRPr="00ED7E61">
        <w:t>f no options are selected the answer to the question is considered a “</w:t>
      </w:r>
      <w:r w:rsidRPr="00FB1598">
        <w:rPr>
          <w:i/>
          <w:iCs/>
        </w:rPr>
        <w:t>No</w:t>
      </w:r>
      <w:r w:rsidRPr="00ED7E61">
        <w:t>”. If some options are selected but not all (i.e. “</w:t>
      </w:r>
      <w:r w:rsidRPr="00FB1598">
        <w:rPr>
          <w:i/>
          <w:iCs/>
        </w:rPr>
        <w:t>yes</w:t>
      </w:r>
      <w:r w:rsidRPr="00ED7E61">
        <w:t xml:space="preserve">” to some), the overall answer is considered a </w:t>
      </w:r>
      <w:r w:rsidR="00444EEA" w:rsidRPr="00ED7E61">
        <w:t>”</w:t>
      </w:r>
      <w:r w:rsidR="00444EEA" w:rsidRPr="00FB1598">
        <w:rPr>
          <w:i/>
          <w:iCs/>
        </w:rPr>
        <w:t>P</w:t>
      </w:r>
      <w:r w:rsidRPr="00FB1598">
        <w:rPr>
          <w:i/>
          <w:iCs/>
        </w:rPr>
        <w:t>artially</w:t>
      </w:r>
      <w:r w:rsidRPr="00ED7E61">
        <w:t>”. If all options are selected (i.e. “</w:t>
      </w:r>
      <w:r w:rsidRPr="00FB1598">
        <w:rPr>
          <w:i/>
          <w:iCs/>
        </w:rPr>
        <w:t>yes</w:t>
      </w:r>
      <w:r w:rsidRPr="00ED7E61">
        <w:t>” to all) the overall answer is considered as a “</w:t>
      </w:r>
      <w:r w:rsidR="00444EEA" w:rsidRPr="00FB1598">
        <w:rPr>
          <w:i/>
          <w:iCs/>
        </w:rPr>
        <w:t>F</w:t>
      </w:r>
      <w:r w:rsidRPr="00FB1598">
        <w:rPr>
          <w:i/>
          <w:iCs/>
        </w:rPr>
        <w:t>ully</w:t>
      </w:r>
      <w:r w:rsidRPr="00ED7E61">
        <w:t>” (</w:t>
      </w:r>
      <w:r w:rsidR="00AF75E1">
        <w:t>f</w:t>
      </w:r>
      <w:r w:rsidRPr="00ED7E61">
        <w:t xml:space="preserve">igure </w:t>
      </w:r>
      <w:r w:rsidR="00000E16">
        <w:t>I</w:t>
      </w:r>
      <w:r w:rsidRPr="00ED7E61">
        <w:t>). This overall answer format corresponds to the possible answers found in single-choice questions and allows direct comparison of answers, enabling indicator level aggregation. </w:t>
      </w:r>
    </w:p>
    <w:p w14:paraId="68AC7006" w14:textId="0B5495ED" w:rsidR="00163D20" w:rsidRPr="00820098" w:rsidRDefault="006B7683" w:rsidP="00820098">
      <w:pPr>
        <w:ind w:left="426"/>
        <w:textAlignment w:val="baseline"/>
        <w:rPr>
          <w:rFonts w:asciiTheme="majorBidi" w:hAnsiTheme="majorBidi" w:cstheme="majorBidi"/>
          <w:b/>
          <w:bCs/>
          <w:color w:val="000000" w:themeColor="text1"/>
          <w:sz w:val="22"/>
          <w:szCs w:val="22"/>
        </w:rPr>
      </w:pPr>
      <w:r w:rsidRPr="00ED7E61">
        <w:rPr>
          <w:rFonts w:asciiTheme="majorBidi" w:hAnsiTheme="majorBidi" w:cstheme="majorBidi"/>
          <w:b/>
          <w:bCs/>
          <w:noProof/>
          <w:color w:val="000000" w:themeColor="text1"/>
          <w:sz w:val="22"/>
          <w:szCs w:val="22"/>
          <w:lang w:val="fr-FR" w:eastAsia="fr-FR"/>
          <w14:ligatures w14:val="standardContextual"/>
        </w:rPr>
        <w:drawing>
          <wp:inline distT="0" distB="0" distL="0" distR="0" wp14:anchorId="03408198" wp14:editId="7CC7FE74">
            <wp:extent cx="5943600" cy="2324348"/>
            <wp:effectExtent l="0" t="0" r="0" b="0"/>
            <wp:docPr id="1336849565"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49565" name="Picture 1" descr="A white paper with black text&#10;&#10;Description automatically generated"/>
                    <pic:cNvPicPr/>
                  </pic:nvPicPr>
                  <pic:blipFill rotWithShape="1">
                    <a:blip r:embed="rId21" cstate="print">
                      <a:extLst>
                        <a:ext uri="{28A0092B-C50C-407E-A947-70E740481C1C}">
                          <a14:useLocalDpi xmlns:a14="http://schemas.microsoft.com/office/drawing/2010/main" val="0"/>
                        </a:ext>
                      </a:extLst>
                    </a:blip>
                    <a:srcRect l="8547" t="1899" r="5663" b="23552"/>
                    <a:stretch/>
                  </pic:blipFill>
                  <pic:spPr bwMode="auto">
                    <a:xfrm>
                      <a:off x="0" y="0"/>
                      <a:ext cx="5943600" cy="2324348"/>
                    </a:xfrm>
                    <a:prstGeom prst="rect">
                      <a:avLst/>
                    </a:prstGeom>
                    <a:ln>
                      <a:noFill/>
                    </a:ln>
                    <a:extLst>
                      <a:ext uri="{53640926-AAD7-44D8-BBD7-CCE9431645EC}">
                        <a14:shadowObscured xmlns:a14="http://schemas.microsoft.com/office/drawing/2010/main"/>
                      </a:ext>
                    </a:extLst>
                  </pic:spPr>
                </pic:pic>
              </a:graphicData>
            </a:graphic>
          </wp:inline>
        </w:drawing>
      </w:r>
      <w:r w:rsidR="00163D20" w:rsidRPr="00B3383B">
        <w:rPr>
          <w:rFonts w:asciiTheme="majorBidi" w:hAnsiTheme="majorBidi" w:cstheme="majorBidi"/>
          <w:color w:val="000000" w:themeColor="text1"/>
          <w:sz w:val="22"/>
          <w:szCs w:val="22"/>
        </w:rPr>
        <w:t xml:space="preserve">Figure </w:t>
      </w:r>
      <w:r w:rsidR="00000E16" w:rsidRPr="00B3383B">
        <w:rPr>
          <w:rFonts w:asciiTheme="majorBidi" w:hAnsiTheme="majorBidi" w:cstheme="majorBidi"/>
          <w:color w:val="000000" w:themeColor="text1"/>
          <w:sz w:val="22"/>
          <w:szCs w:val="22"/>
        </w:rPr>
        <w:t>I</w:t>
      </w:r>
      <w:r w:rsidR="00163D20" w:rsidRPr="00ED7E61">
        <w:rPr>
          <w:rFonts w:asciiTheme="majorBidi" w:hAnsiTheme="majorBidi" w:cstheme="majorBidi"/>
          <w:color w:val="000000" w:themeColor="text1"/>
          <w:sz w:val="22"/>
          <w:szCs w:val="22"/>
        </w:rPr>
        <w:t xml:space="preserve"> </w:t>
      </w:r>
      <w:r w:rsidR="007D435E">
        <w:rPr>
          <w:rFonts w:asciiTheme="majorBidi" w:hAnsiTheme="majorBidi" w:cstheme="majorBidi"/>
          <w:color w:val="000000" w:themeColor="text1"/>
          <w:sz w:val="22"/>
          <w:szCs w:val="22"/>
        </w:rPr>
        <w:br/>
      </w:r>
      <w:r w:rsidR="00163D20" w:rsidRPr="00B3383B">
        <w:rPr>
          <w:rFonts w:asciiTheme="majorBidi" w:hAnsiTheme="majorBidi" w:cstheme="majorBidi"/>
          <w:b/>
          <w:bCs/>
          <w:color w:val="000000" w:themeColor="text1"/>
          <w:sz w:val="22"/>
          <w:szCs w:val="22"/>
        </w:rPr>
        <w:t>Example question level interpretation for three Parties answering a hypothetical question. Party 1 selected all possible answers and therefore answered “</w:t>
      </w:r>
      <w:r w:rsidRPr="00B3383B">
        <w:rPr>
          <w:rFonts w:asciiTheme="majorBidi" w:hAnsiTheme="majorBidi" w:cstheme="majorBidi"/>
          <w:b/>
          <w:bCs/>
          <w:i/>
          <w:iCs/>
          <w:color w:val="000000" w:themeColor="text1"/>
          <w:sz w:val="22"/>
          <w:szCs w:val="22"/>
        </w:rPr>
        <w:t>F</w:t>
      </w:r>
      <w:r w:rsidR="00163D20" w:rsidRPr="00B3383B">
        <w:rPr>
          <w:rFonts w:asciiTheme="majorBidi" w:hAnsiTheme="majorBidi" w:cstheme="majorBidi"/>
          <w:b/>
          <w:bCs/>
          <w:i/>
          <w:iCs/>
          <w:color w:val="000000" w:themeColor="text1"/>
          <w:sz w:val="22"/>
          <w:szCs w:val="22"/>
        </w:rPr>
        <w:t>ully</w:t>
      </w:r>
      <w:r w:rsidR="00163D20" w:rsidRPr="00B3383B">
        <w:rPr>
          <w:rFonts w:asciiTheme="majorBidi" w:hAnsiTheme="majorBidi" w:cstheme="majorBidi"/>
          <w:b/>
          <w:bCs/>
          <w:color w:val="000000" w:themeColor="text1"/>
          <w:sz w:val="22"/>
          <w:szCs w:val="22"/>
        </w:rPr>
        <w:t>” overall. Party 2 selected only answers 2 and 4, therefore answered “</w:t>
      </w:r>
      <w:r w:rsidRPr="00B3383B">
        <w:rPr>
          <w:rFonts w:asciiTheme="majorBidi" w:hAnsiTheme="majorBidi" w:cstheme="majorBidi"/>
          <w:b/>
          <w:bCs/>
          <w:i/>
          <w:iCs/>
          <w:color w:val="000000" w:themeColor="text1"/>
          <w:sz w:val="22"/>
          <w:szCs w:val="22"/>
        </w:rPr>
        <w:t>P</w:t>
      </w:r>
      <w:r w:rsidR="00163D20" w:rsidRPr="00B3383B">
        <w:rPr>
          <w:rFonts w:asciiTheme="majorBidi" w:hAnsiTheme="majorBidi" w:cstheme="majorBidi"/>
          <w:b/>
          <w:bCs/>
          <w:i/>
          <w:iCs/>
          <w:color w:val="000000" w:themeColor="text1"/>
          <w:sz w:val="22"/>
          <w:szCs w:val="22"/>
        </w:rPr>
        <w:t>artially</w:t>
      </w:r>
      <w:r w:rsidR="00163D20" w:rsidRPr="00B3383B">
        <w:rPr>
          <w:rFonts w:asciiTheme="majorBidi" w:hAnsiTheme="majorBidi" w:cstheme="majorBidi"/>
          <w:b/>
          <w:bCs/>
          <w:color w:val="000000" w:themeColor="text1"/>
          <w:sz w:val="22"/>
          <w:szCs w:val="22"/>
        </w:rPr>
        <w:t>”. Party 3 did not select any answers and therefore answered “</w:t>
      </w:r>
      <w:r w:rsidR="00163D20" w:rsidRPr="00B3383B">
        <w:rPr>
          <w:rFonts w:asciiTheme="majorBidi" w:hAnsiTheme="majorBidi" w:cstheme="majorBidi"/>
          <w:b/>
          <w:bCs/>
          <w:i/>
          <w:iCs/>
          <w:color w:val="000000" w:themeColor="text1"/>
          <w:sz w:val="22"/>
          <w:szCs w:val="22"/>
        </w:rPr>
        <w:t>No</w:t>
      </w:r>
      <w:r w:rsidR="00163D20" w:rsidRPr="00B3383B">
        <w:rPr>
          <w:rFonts w:asciiTheme="majorBidi" w:hAnsiTheme="majorBidi" w:cstheme="majorBidi"/>
          <w:b/>
          <w:bCs/>
          <w:color w:val="000000" w:themeColor="text1"/>
          <w:sz w:val="22"/>
          <w:szCs w:val="22"/>
        </w:rPr>
        <w:t>” overall</w:t>
      </w:r>
    </w:p>
    <w:p w14:paraId="3A5295DC" w14:textId="0DD82C71" w:rsidR="00163D20" w:rsidRPr="00ED7E61" w:rsidRDefault="00163D20" w:rsidP="001C6EE2">
      <w:pPr>
        <w:pStyle w:val="CBDNormalNumber"/>
        <w:numPr>
          <w:ilvl w:val="0"/>
          <w:numId w:val="11"/>
        </w:numPr>
        <w:ind w:left="567" w:firstLine="0"/>
      </w:pPr>
      <w:r w:rsidRPr="00ED7E61">
        <w:t xml:space="preserve">At the indicator level, the overall answer needs to fairly reflect the efforts and progress made by Parties. As such, the aggregation method needs to be sensitive enough to reflect the different stages of progress towards a goal or target whilst consistently differentiating between Parties. The AHTEG further recognises the need for the aggregation method to allow for Parties to be </w:t>
      </w:r>
      <w:r w:rsidR="00AC7C53" w:rsidRPr="00ED7E61">
        <w:t xml:space="preserve">acknowledged </w:t>
      </w:r>
      <w:r w:rsidRPr="00ED7E61">
        <w:t xml:space="preserve">for the efforts made towards achieving the goals and targets of the </w:t>
      </w:r>
      <w:r w:rsidR="00AC7C53" w:rsidRPr="00ED7E61">
        <w:t xml:space="preserve">Kunming-Montreal Global Biodiversity Framework </w:t>
      </w:r>
      <w:r w:rsidRPr="00ED7E61">
        <w:t>and therefore proposes a six-point outcome scale (from 0 to 5) representing the range of outcomes from unmet to fully met. This outcome scale does not represent a quantitative measure of progress towards the binary indicators but rather an ordinal measure of progress that allows interpretation and global level aggregation. Each Party will be assigned a score (between 0 and 5) based on the combination of answers given for each binary indicator (</w:t>
      </w:r>
      <w:r w:rsidR="00AF75E1">
        <w:t>f</w:t>
      </w:r>
      <w:r w:rsidRPr="00ED7E61">
        <w:t xml:space="preserve">igure </w:t>
      </w:r>
      <w:r w:rsidR="00BE4992">
        <w:t>II</w:t>
      </w:r>
      <w:r w:rsidRPr="00ED7E61">
        <w:t>). Answer combinations are based on mutually exclusive answer sets that represent all potential answer combinations for the four possible answers to questions (i.e. “</w:t>
      </w:r>
      <w:r w:rsidRPr="00FB1598">
        <w:rPr>
          <w:i/>
          <w:iCs/>
        </w:rPr>
        <w:t>No</w:t>
      </w:r>
      <w:r w:rsidRPr="00ED7E61">
        <w:t>”, “</w:t>
      </w:r>
      <w:r w:rsidR="002439BB" w:rsidRPr="00FB1598">
        <w:rPr>
          <w:i/>
          <w:iCs/>
        </w:rPr>
        <w:t>U</w:t>
      </w:r>
      <w:r w:rsidRPr="00FB1598">
        <w:rPr>
          <w:i/>
          <w:iCs/>
        </w:rPr>
        <w:t>nder development</w:t>
      </w:r>
      <w:r w:rsidRPr="00ED7E61">
        <w:t>”, “</w:t>
      </w:r>
      <w:r w:rsidR="002439BB" w:rsidRPr="00FB1598">
        <w:rPr>
          <w:i/>
          <w:iCs/>
        </w:rPr>
        <w:t>P</w:t>
      </w:r>
      <w:r w:rsidRPr="00FB1598">
        <w:rPr>
          <w:i/>
          <w:iCs/>
        </w:rPr>
        <w:t>artially</w:t>
      </w:r>
      <w:r w:rsidRPr="00ED7E61">
        <w:t>” and “</w:t>
      </w:r>
      <w:r w:rsidR="002439BB" w:rsidRPr="00FB1598">
        <w:rPr>
          <w:i/>
          <w:iCs/>
        </w:rPr>
        <w:t>F</w:t>
      </w:r>
      <w:r w:rsidRPr="00FB1598">
        <w:rPr>
          <w:i/>
          <w:iCs/>
        </w:rPr>
        <w:t>ully</w:t>
      </w:r>
      <w:r w:rsidRPr="00ED7E61">
        <w:t>”). Namely: </w:t>
      </w:r>
    </w:p>
    <w:p w14:paraId="0D4BE02F" w14:textId="4F3E627E" w:rsidR="00163D20" w:rsidRPr="00ED7E61" w:rsidRDefault="008344AF" w:rsidP="00395866">
      <w:pPr>
        <w:ind w:firstLine="720"/>
        <w:jc w:val="both"/>
        <w:textAlignment w:val="baseline"/>
        <w:rPr>
          <w:rFonts w:asciiTheme="majorBidi" w:hAnsiTheme="majorBidi" w:cstheme="majorBidi"/>
          <w:color w:val="000000" w:themeColor="text1"/>
          <w:sz w:val="22"/>
          <w:szCs w:val="22"/>
        </w:rPr>
      </w:pPr>
      <w:r w:rsidRPr="00ED7E61">
        <w:rPr>
          <w:rFonts w:asciiTheme="majorBidi" w:hAnsiTheme="majorBidi" w:cstheme="majorBidi"/>
          <w:color w:val="000000" w:themeColor="text1"/>
          <w:sz w:val="22"/>
          <w:szCs w:val="22"/>
        </w:rPr>
        <w:t>(a)</w:t>
      </w:r>
      <w:r w:rsidRPr="00ED7E61">
        <w:rPr>
          <w:rFonts w:asciiTheme="majorBidi" w:hAnsiTheme="majorBidi" w:cstheme="majorBidi"/>
          <w:color w:val="000000" w:themeColor="text1"/>
          <w:sz w:val="22"/>
          <w:szCs w:val="22"/>
        </w:rPr>
        <w:tab/>
      </w:r>
      <w:r w:rsidR="00163D20" w:rsidRPr="00ED7E61">
        <w:rPr>
          <w:rFonts w:asciiTheme="majorBidi" w:hAnsiTheme="majorBidi" w:cstheme="majorBidi"/>
          <w:color w:val="000000" w:themeColor="text1"/>
          <w:sz w:val="22"/>
          <w:szCs w:val="22"/>
        </w:rPr>
        <w:t>5. “</w:t>
      </w:r>
      <w:r w:rsidR="00315909" w:rsidRPr="00FB1598">
        <w:rPr>
          <w:rFonts w:asciiTheme="majorBidi" w:hAnsiTheme="majorBidi" w:cstheme="majorBidi"/>
          <w:i/>
          <w:iCs/>
          <w:color w:val="000000" w:themeColor="text1"/>
          <w:sz w:val="22"/>
          <w:szCs w:val="22"/>
        </w:rPr>
        <w:t>F</w:t>
      </w:r>
      <w:r w:rsidR="00163D20" w:rsidRPr="00FB1598">
        <w:rPr>
          <w:rFonts w:asciiTheme="majorBidi" w:hAnsiTheme="majorBidi" w:cstheme="majorBidi"/>
          <w:i/>
          <w:iCs/>
          <w:color w:val="000000" w:themeColor="text1"/>
          <w:sz w:val="22"/>
          <w:szCs w:val="22"/>
        </w:rPr>
        <w:t>ully</w:t>
      </w:r>
      <w:r w:rsidR="00163D20" w:rsidRPr="00ED7E61">
        <w:rPr>
          <w:rFonts w:asciiTheme="majorBidi" w:hAnsiTheme="majorBidi" w:cstheme="majorBidi"/>
          <w:color w:val="000000" w:themeColor="text1"/>
          <w:sz w:val="22"/>
          <w:szCs w:val="22"/>
        </w:rPr>
        <w:t>” only </w:t>
      </w:r>
    </w:p>
    <w:p w14:paraId="32E41496" w14:textId="2DE35D91" w:rsidR="00163D20" w:rsidRPr="00ED7E61" w:rsidRDefault="008344AF" w:rsidP="00395866">
      <w:pPr>
        <w:ind w:firstLine="720"/>
        <w:jc w:val="both"/>
        <w:textAlignment w:val="baseline"/>
        <w:rPr>
          <w:rFonts w:asciiTheme="majorBidi" w:hAnsiTheme="majorBidi" w:cstheme="majorBidi"/>
          <w:color w:val="000000" w:themeColor="text1"/>
          <w:sz w:val="22"/>
          <w:szCs w:val="22"/>
        </w:rPr>
      </w:pPr>
      <w:r w:rsidRPr="00ED7E61">
        <w:rPr>
          <w:rFonts w:asciiTheme="majorBidi" w:hAnsiTheme="majorBidi" w:cstheme="majorBidi"/>
          <w:color w:val="000000" w:themeColor="text1"/>
          <w:sz w:val="22"/>
          <w:szCs w:val="22"/>
        </w:rPr>
        <w:t>(b)</w:t>
      </w:r>
      <w:r w:rsidRPr="00ED7E61">
        <w:rPr>
          <w:rFonts w:asciiTheme="majorBidi" w:hAnsiTheme="majorBidi" w:cstheme="majorBidi"/>
          <w:color w:val="000000" w:themeColor="text1"/>
          <w:sz w:val="22"/>
          <w:szCs w:val="22"/>
        </w:rPr>
        <w:tab/>
      </w:r>
      <w:r w:rsidR="00163D20" w:rsidRPr="00ED7E61">
        <w:rPr>
          <w:rFonts w:asciiTheme="majorBidi" w:hAnsiTheme="majorBidi" w:cstheme="majorBidi"/>
          <w:color w:val="000000" w:themeColor="text1"/>
          <w:sz w:val="22"/>
          <w:szCs w:val="22"/>
        </w:rPr>
        <w:t>4. “</w:t>
      </w:r>
      <w:r w:rsidR="00315909" w:rsidRPr="00FB1598">
        <w:rPr>
          <w:rFonts w:asciiTheme="majorBidi" w:hAnsiTheme="majorBidi" w:cstheme="majorBidi"/>
          <w:i/>
          <w:iCs/>
          <w:color w:val="000000" w:themeColor="text1"/>
          <w:sz w:val="22"/>
          <w:szCs w:val="22"/>
        </w:rPr>
        <w:t>P</w:t>
      </w:r>
      <w:r w:rsidR="00163D20" w:rsidRPr="00FB1598">
        <w:rPr>
          <w:rFonts w:asciiTheme="majorBidi" w:hAnsiTheme="majorBidi" w:cstheme="majorBidi"/>
          <w:i/>
          <w:iCs/>
          <w:color w:val="000000" w:themeColor="text1"/>
          <w:sz w:val="22"/>
          <w:szCs w:val="22"/>
        </w:rPr>
        <w:t>artially</w:t>
      </w:r>
      <w:r w:rsidR="00163D20" w:rsidRPr="00ED7E61">
        <w:rPr>
          <w:rFonts w:asciiTheme="majorBidi" w:hAnsiTheme="majorBidi" w:cstheme="majorBidi"/>
          <w:color w:val="000000" w:themeColor="text1"/>
          <w:sz w:val="22"/>
          <w:szCs w:val="22"/>
        </w:rPr>
        <w:t>” only</w:t>
      </w:r>
      <w:r w:rsidR="000556DE">
        <w:rPr>
          <w:rFonts w:asciiTheme="majorBidi" w:hAnsiTheme="majorBidi" w:cstheme="majorBidi"/>
          <w:color w:val="000000" w:themeColor="text1"/>
          <w:sz w:val="22"/>
          <w:szCs w:val="22"/>
        </w:rPr>
        <w:t>,</w:t>
      </w:r>
      <w:r w:rsidR="00163D20" w:rsidRPr="00ED7E61">
        <w:rPr>
          <w:rFonts w:asciiTheme="majorBidi" w:hAnsiTheme="majorBidi" w:cstheme="majorBidi"/>
          <w:color w:val="000000" w:themeColor="text1"/>
          <w:sz w:val="22"/>
          <w:szCs w:val="22"/>
        </w:rPr>
        <w:t xml:space="preserve"> or “</w:t>
      </w:r>
      <w:r w:rsidR="00315909" w:rsidRPr="00FB1598">
        <w:rPr>
          <w:rFonts w:asciiTheme="majorBidi" w:hAnsiTheme="majorBidi" w:cstheme="majorBidi"/>
          <w:i/>
          <w:iCs/>
          <w:color w:val="000000" w:themeColor="text1"/>
          <w:sz w:val="22"/>
          <w:szCs w:val="22"/>
        </w:rPr>
        <w:t>P</w:t>
      </w:r>
      <w:r w:rsidR="00163D20" w:rsidRPr="00FB1598">
        <w:rPr>
          <w:rFonts w:asciiTheme="majorBidi" w:hAnsiTheme="majorBidi" w:cstheme="majorBidi"/>
          <w:i/>
          <w:iCs/>
          <w:color w:val="000000" w:themeColor="text1"/>
          <w:sz w:val="22"/>
          <w:szCs w:val="22"/>
        </w:rPr>
        <w:t>artially</w:t>
      </w:r>
      <w:r w:rsidR="00163D20" w:rsidRPr="00ED7E61">
        <w:rPr>
          <w:rFonts w:asciiTheme="majorBidi" w:hAnsiTheme="majorBidi" w:cstheme="majorBidi"/>
          <w:color w:val="000000" w:themeColor="text1"/>
          <w:sz w:val="22"/>
          <w:szCs w:val="22"/>
        </w:rPr>
        <w:t>” and “</w:t>
      </w:r>
      <w:r w:rsidR="00315909" w:rsidRPr="00FB1598">
        <w:rPr>
          <w:rFonts w:asciiTheme="majorBidi" w:hAnsiTheme="majorBidi" w:cstheme="majorBidi"/>
          <w:i/>
          <w:iCs/>
          <w:color w:val="000000" w:themeColor="text1"/>
          <w:sz w:val="22"/>
          <w:szCs w:val="22"/>
        </w:rPr>
        <w:t>F</w:t>
      </w:r>
      <w:r w:rsidR="00163D20" w:rsidRPr="00FB1598">
        <w:rPr>
          <w:rFonts w:asciiTheme="majorBidi" w:hAnsiTheme="majorBidi" w:cstheme="majorBidi"/>
          <w:i/>
          <w:iCs/>
          <w:color w:val="000000" w:themeColor="text1"/>
          <w:sz w:val="22"/>
          <w:szCs w:val="22"/>
        </w:rPr>
        <w:t>ully</w:t>
      </w:r>
      <w:r w:rsidR="00163D20" w:rsidRPr="00ED7E61">
        <w:rPr>
          <w:rFonts w:asciiTheme="majorBidi" w:hAnsiTheme="majorBidi" w:cstheme="majorBidi"/>
          <w:color w:val="000000" w:themeColor="text1"/>
          <w:sz w:val="22"/>
          <w:szCs w:val="22"/>
        </w:rPr>
        <w:t>” </w:t>
      </w:r>
    </w:p>
    <w:p w14:paraId="72F68A18" w14:textId="383E0D5E" w:rsidR="00163D20" w:rsidRPr="00ED7E61" w:rsidRDefault="008344AF" w:rsidP="00395866">
      <w:pPr>
        <w:ind w:firstLine="720"/>
        <w:jc w:val="both"/>
        <w:textAlignment w:val="baseline"/>
        <w:rPr>
          <w:rFonts w:asciiTheme="majorBidi" w:hAnsiTheme="majorBidi" w:cstheme="majorBidi"/>
          <w:color w:val="000000" w:themeColor="text1"/>
          <w:sz w:val="22"/>
          <w:szCs w:val="22"/>
        </w:rPr>
      </w:pPr>
      <w:r w:rsidRPr="00ED7E61">
        <w:rPr>
          <w:rFonts w:asciiTheme="majorBidi" w:hAnsiTheme="majorBidi" w:cstheme="majorBidi"/>
          <w:color w:val="000000" w:themeColor="text1"/>
          <w:sz w:val="22"/>
          <w:szCs w:val="22"/>
        </w:rPr>
        <w:t>(c)</w:t>
      </w:r>
      <w:r w:rsidRPr="00ED7E61">
        <w:rPr>
          <w:rFonts w:asciiTheme="majorBidi" w:hAnsiTheme="majorBidi" w:cstheme="majorBidi"/>
          <w:color w:val="000000" w:themeColor="text1"/>
          <w:sz w:val="22"/>
          <w:szCs w:val="22"/>
        </w:rPr>
        <w:tab/>
      </w:r>
      <w:r w:rsidR="00163D20" w:rsidRPr="00ED7E61">
        <w:rPr>
          <w:rFonts w:asciiTheme="majorBidi" w:hAnsiTheme="majorBidi" w:cstheme="majorBidi"/>
          <w:color w:val="000000" w:themeColor="text1"/>
          <w:sz w:val="22"/>
          <w:szCs w:val="22"/>
        </w:rPr>
        <w:t>3. At least one “</w:t>
      </w:r>
      <w:r w:rsidR="00813284" w:rsidRPr="00FB1598">
        <w:rPr>
          <w:rFonts w:asciiTheme="majorBidi" w:hAnsiTheme="majorBidi" w:cstheme="majorBidi"/>
          <w:i/>
          <w:iCs/>
          <w:color w:val="000000" w:themeColor="text1"/>
          <w:sz w:val="22"/>
          <w:szCs w:val="22"/>
        </w:rPr>
        <w:t>F</w:t>
      </w:r>
      <w:r w:rsidR="00163D20" w:rsidRPr="00FB1598">
        <w:rPr>
          <w:rFonts w:asciiTheme="majorBidi" w:hAnsiTheme="majorBidi" w:cstheme="majorBidi"/>
          <w:i/>
          <w:iCs/>
          <w:color w:val="000000" w:themeColor="text1"/>
          <w:sz w:val="22"/>
          <w:szCs w:val="22"/>
        </w:rPr>
        <w:t>ully</w:t>
      </w:r>
      <w:r w:rsidR="00163D20" w:rsidRPr="00ED7E61">
        <w:rPr>
          <w:rFonts w:asciiTheme="majorBidi" w:hAnsiTheme="majorBidi" w:cstheme="majorBidi"/>
          <w:color w:val="000000" w:themeColor="text1"/>
          <w:sz w:val="22"/>
          <w:szCs w:val="22"/>
        </w:rPr>
        <w:t>” and one or more “</w:t>
      </w:r>
      <w:r w:rsidR="00813284" w:rsidRPr="00FB1598">
        <w:rPr>
          <w:rFonts w:asciiTheme="majorBidi" w:hAnsiTheme="majorBidi" w:cstheme="majorBidi"/>
          <w:i/>
          <w:iCs/>
          <w:color w:val="000000" w:themeColor="text1"/>
          <w:sz w:val="22"/>
          <w:szCs w:val="22"/>
        </w:rPr>
        <w:t>U</w:t>
      </w:r>
      <w:r w:rsidR="00163D20" w:rsidRPr="00FB1598">
        <w:rPr>
          <w:rFonts w:asciiTheme="majorBidi" w:hAnsiTheme="majorBidi" w:cstheme="majorBidi"/>
          <w:i/>
          <w:iCs/>
          <w:color w:val="000000" w:themeColor="text1"/>
          <w:sz w:val="22"/>
          <w:szCs w:val="22"/>
        </w:rPr>
        <w:t>nder development</w:t>
      </w:r>
      <w:r w:rsidR="00163D20" w:rsidRPr="00ED7E61">
        <w:rPr>
          <w:rFonts w:asciiTheme="majorBidi" w:hAnsiTheme="majorBidi" w:cstheme="majorBidi"/>
          <w:color w:val="000000" w:themeColor="text1"/>
          <w:sz w:val="22"/>
          <w:szCs w:val="22"/>
        </w:rPr>
        <w:t>” or “</w:t>
      </w:r>
      <w:r w:rsidR="00163D20" w:rsidRPr="00FB1598">
        <w:rPr>
          <w:rFonts w:asciiTheme="majorBidi" w:hAnsiTheme="majorBidi" w:cstheme="majorBidi"/>
          <w:i/>
          <w:iCs/>
          <w:color w:val="000000" w:themeColor="text1"/>
          <w:sz w:val="22"/>
          <w:szCs w:val="22"/>
        </w:rPr>
        <w:t>No</w:t>
      </w:r>
      <w:r w:rsidR="00163D20" w:rsidRPr="00ED7E61">
        <w:rPr>
          <w:rFonts w:asciiTheme="majorBidi" w:hAnsiTheme="majorBidi" w:cstheme="majorBidi"/>
          <w:color w:val="000000" w:themeColor="text1"/>
          <w:sz w:val="22"/>
          <w:szCs w:val="22"/>
        </w:rPr>
        <w:t>” </w:t>
      </w:r>
    </w:p>
    <w:p w14:paraId="771C9F1F" w14:textId="7A1F71F9" w:rsidR="00163D20" w:rsidRPr="00ED7E61" w:rsidRDefault="008344AF" w:rsidP="005B0D1E">
      <w:pPr>
        <w:ind w:left="1418" w:hanging="698"/>
        <w:jc w:val="both"/>
        <w:textAlignment w:val="baseline"/>
        <w:rPr>
          <w:rFonts w:asciiTheme="majorBidi" w:hAnsiTheme="majorBidi" w:cstheme="majorBidi"/>
          <w:color w:val="000000" w:themeColor="text1"/>
          <w:sz w:val="22"/>
          <w:szCs w:val="22"/>
        </w:rPr>
      </w:pPr>
      <w:r w:rsidRPr="00ED7E61">
        <w:rPr>
          <w:rFonts w:asciiTheme="majorBidi" w:hAnsiTheme="majorBidi" w:cstheme="majorBidi"/>
          <w:color w:val="000000" w:themeColor="text1"/>
          <w:sz w:val="22"/>
          <w:szCs w:val="22"/>
        </w:rPr>
        <w:t>(d)</w:t>
      </w:r>
      <w:r w:rsidRPr="00ED7E61">
        <w:rPr>
          <w:rFonts w:asciiTheme="majorBidi" w:hAnsiTheme="majorBidi" w:cstheme="majorBidi"/>
          <w:color w:val="000000" w:themeColor="text1"/>
          <w:sz w:val="22"/>
          <w:szCs w:val="22"/>
        </w:rPr>
        <w:tab/>
      </w:r>
      <w:r w:rsidRPr="00ED7E61">
        <w:rPr>
          <w:rFonts w:asciiTheme="majorBidi" w:hAnsiTheme="majorBidi" w:cstheme="majorBidi"/>
          <w:color w:val="000000" w:themeColor="text1"/>
          <w:sz w:val="22"/>
          <w:szCs w:val="22"/>
        </w:rPr>
        <w:tab/>
      </w:r>
      <w:r w:rsidR="00163D20" w:rsidRPr="00ED7E61">
        <w:rPr>
          <w:rFonts w:asciiTheme="majorBidi" w:hAnsiTheme="majorBidi" w:cstheme="majorBidi"/>
          <w:color w:val="000000" w:themeColor="text1"/>
          <w:sz w:val="22"/>
          <w:szCs w:val="22"/>
        </w:rPr>
        <w:t>2. At least one “</w:t>
      </w:r>
      <w:r w:rsidR="005A4D66" w:rsidRPr="00FB1598">
        <w:rPr>
          <w:rFonts w:asciiTheme="majorBidi" w:hAnsiTheme="majorBidi" w:cstheme="majorBidi"/>
          <w:i/>
          <w:iCs/>
          <w:color w:val="000000" w:themeColor="text1"/>
          <w:sz w:val="22"/>
          <w:szCs w:val="22"/>
        </w:rPr>
        <w:t>P</w:t>
      </w:r>
      <w:r w:rsidR="00163D20" w:rsidRPr="00FB1598">
        <w:rPr>
          <w:rFonts w:asciiTheme="majorBidi" w:hAnsiTheme="majorBidi" w:cstheme="majorBidi"/>
          <w:i/>
          <w:iCs/>
          <w:color w:val="000000" w:themeColor="text1"/>
          <w:sz w:val="22"/>
          <w:szCs w:val="22"/>
        </w:rPr>
        <w:t>artially</w:t>
      </w:r>
      <w:r w:rsidR="00163D20" w:rsidRPr="00ED7E61">
        <w:rPr>
          <w:rFonts w:asciiTheme="majorBidi" w:hAnsiTheme="majorBidi" w:cstheme="majorBidi"/>
          <w:color w:val="000000" w:themeColor="text1"/>
          <w:sz w:val="22"/>
          <w:szCs w:val="22"/>
        </w:rPr>
        <w:t>” and one or more “</w:t>
      </w:r>
      <w:r w:rsidR="005A4D66" w:rsidRPr="00FB1598">
        <w:rPr>
          <w:rFonts w:asciiTheme="majorBidi" w:hAnsiTheme="majorBidi" w:cstheme="majorBidi"/>
          <w:i/>
          <w:iCs/>
          <w:color w:val="000000" w:themeColor="text1"/>
          <w:sz w:val="22"/>
          <w:szCs w:val="22"/>
        </w:rPr>
        <w:t>U</w:t>
      </w:r>
      <w:r w:rsidR="00163D20" w:rsidRPr="00FB1598">
        <w:rPr>
          <w:rFonts w:asciiTheme="majorBidi" w:hAnsiTheme="majorBidi" w:cstheme="majorBidi"/>
          <w:i/>
          <w:iCs/>
          <w:color w:val="000000" w:themeColor="text1"/>
          <w:sz w:val="22"/>
          <w:szCs w:val="22"/>
        </w:rPr>
        <w:t>nder development</w:t>
      </w:r>
      <w:r w:rsidR="00163D20" w:rsidRPr="00ED7E61">
        <w:rPr>
          <w:rFonts w:asciiTheme="majorBidi" w:hAnsiTheme="majorBidi" w:cstheme="majorBidi"/>
          <w:color w:val="000000" w:themeColor="text1"/>
          <w:sz w:val="22"/>
          <w:szCs w:val="22"/>
        </w:rPr>
        <w:t>” and/or “</w:t>
      </w:r>
      <w:r w:rsidR="00163D20" w:rsidRPr="00FB1598">
        <w:rPr>
          <w:rFonts w:asciiTheme="majorBidi" w:hAnsiTheme="majorBidi" w:cstheme="majorBidi"/>
          <w:i/>
          <w:iCs/>
          <w:color w:val="000000" w:themeColor="text1"/>
          <w:sz w:val="22"/>
          <w:szCs w:val="22"/>
        </w:rPr>
        <w:t>No</w:t>
      </w:r>
      <w:r w:rsidR="00163D20" w:rsidRPr="00ED7E61">
        <w:rPr>
          <w:rFonts w:asciiTheme="majorBidi" w:hAnsiTheme="majorBidi" w:cstheme="majorBidi"/>
          <w:color w:val="000000" w:themeColor="text1"/>
          <w:sz w:val="22"/>
          <w:szCs w:val="22"/>
        </w:rPr>
        <w:t>” but no “</w:t>
      </w:r>
      <w:r w:rsidR="005A4D66" w:rsidRPr="00FB1598">
        <w:rPr>
          <w:rFonts w:asciiTheme="majorBidi" w:hAnsiTheme="majorBidi" w:cstheme="majorBidi"/>
          <w:i/>
          <w:iCs/>
          <w:color w:val="000000" w:themeColor="text1"/>
          <w:sz w:val="22"/>
          <w:szCs w:val="22"/>
        </w:rPr>
        <w:t>F</w:t>
      </w:r>
      <w:r w:rsidR="00163D20" w:rsidRPr="00FB1598">
        <w:rPr>
          <w:rFonts w:asciiTheme="majorBidi" w:hAnsiTheme="majorBidi" w:cstheme="majorBidi"/>
          <w:i/>
          <w:iCs/>
          <w:color w:val="000000" w:themeColor="text1"/>
          <w:sz w:val="22"/>
          <w:szCs w:val="22"/>
        </w:rPr>
        <w:t>ully</w:t>
      </w:r>
      <w:r w:rsidR="00163D20" w:rsidRPr="00ED7E61">
        <w:rPr>
          <w:rFonts w:asciiTheme="majorBidi" w:hAnsiTheme="majorBidi" w:cstheme="majorBidi"/>
          <w:color w:val="000000" w:themeColor="text1"/>
          <w:sz w:val="22"/>
          <w:szCs w:val="22"/>
        </w:rPr>
        <w:t>”. </w:t>
      </w:r>
    </w:p>
    <w:p w14:paraId="20115163" w14:textId="1E782912" w:rsidR="00163D20" w:rsidRPr="00ED7E61" w:rsidRDefault="008344AF" w:rsidP="00395866">
      <w:pPr>
        <w:ind w:firstLine="720"/>
        <w:jc w:val="both"/>
        <w:textAlignment w:val="baseline"/>
        <w:rPr>
          <w:rFonts w:asciiTheme="majorBidi" w:hAnsiTheme="majorBidi" w:cstheme="majorBidi"/>
          <w:color w:val="000000" w:themeColor="text1"/>
          <w:sz w:val="22"/>
          <w:szCs w:val="22"/>
        </w:rPr>
      </w:pPr>
      <w:r w:rsidRPr="00ED7E61">
        <w:rPr>
          <w:rFonts w:asciiTheme="majorBidi" w:hAnsiTheme="majorBidi" w:cstheme="majorBidi"/>
          <w:color w:val="000000" w:themeColor="text1"/>
          <w:sz w:val="22"/>
          <w:szCs w:val="22"/>
        </w:rPr>
        <w:t>(e)</w:t>
      </w:r>
      <w:r w:rsidRPr="00ED7E61">
        <w:rPr>
          <w:rFonts w:asciiTheme="majorBidi" w:hAnsiTheme="majorBidi" w:cstheme="majorBidi"/>
          <w:color w:val="000000" w:themeColor="text1"/>
          <w:sz w:val="22"/>
          <w:szCs w:val="22"/>
        </w:rPr>
        <w:tab/>
      </w:r>
      <w:r w:rsidR="00163D20" w:rsidRPr="00ED7E61">
        <w:rPr>
          <w:rFonts w:asciiTheme="majorBidi" w:hAnsiTheme="majorBidi" w:cstheme="majorBidi"/>
          <w:color w:val="000000" w:themeColor="text1"/>
          <w:sz w:val="22"/>
          <w:szCs w:val="22"/>
        </w:rPr>
        <w:t>1. “</w:t>
      </w:r>
      <w:r w:rsidR="005A4D66" w:rsidRPr="00FB1598">
        <w:rPr>
          <w:rFonts w:asciiTheme="majorBidi" w:hAnsiTheme="majorBidi" w:cstheme="majorBidi"/>
          <w:i/>
          <w:iCs/>
          <w:color w:val="000000" w:themeColor="text1"/>
          <w:sz w:val="22"/>
          <w:szCs w:val="22"/>
        </w:rPr>
        <w:t>U</w:t>
      </w:r>
      <w:r w:rsidR="00163D20" w:rsidRPr="00FB1598">
        <w:rPr>
          <w:rFonts w:asciiTheme="majorBidi" w:hAnsiTheme="majorBidi" w:cstheme="majorBidi"/>
          <w:i/>
          <w:iCs/>
          <w:color w:val="000000" w:themeColor="text1"/>
          <w:sz w:val="22"/>
          <w:szCs w:val="22"/>
        </w:rPr>
        <w:t>nder development</w:t>
      </w:r>
      <w:r w:rsidR="00163D20" w:rsidRPr="00ED7E61">
        <w:rPr>
          <w:rFonts w:asciiTheme="majorBidi" w:hAnsiTheme="majorBidi" w:cstheme="majorBidi"/>
          <w:color w:val="000000" w:themeColor="text1"/>
          <w:sz w:val="22"/>
          <w:szCs w:val="22"/>
        </w:rPr>
        <w:t>” only</w:t>
      </w:r>
      <w:r w:rsidR="000556DE">
        <w:rPr>
          <w:rFonts w:asciiTheme="majorBidi" w:hAnsiTheme="majorBidi" w:cstheme="majorBidi"/>
          <w:color w:val="000000" w:themeColor="text1"/>
          <w:sz w:val="22"/>
          <w:szCs w:val="22"/>
        </w:rPr>
        <w:t>,</w:t>
      </w:r>
      <w:r w:rsidR="00163D20" w:rsidRPr="00ED7E61">
        <w:rPr>
          <w:rFonts w:asciiTheme="majorBidi" w:hAnsiTheme="majorBidi" w:cstheme="majorBidi"/>
          <w:color w:val="000000" w:themeColor="text1"/>
          <w:sz w:val="22"/>
          <w:szCs w:val="22"/>
        </w:rPr>
        <w:t xml:space="preserve"> or “</w:t>
      </w:r>
      <w:r w:rsidR="00085FBB" w:rsidRPr="00FB1598">
        <w:rPr>
          <w:rFonts w:asciiTheme="majorBidi" w:hAnsiTheme="majorBidi" w:cstheme="majorBidi"/>
          <w:i/>
          <w:iCs/>
          <w:color w:val="000000" w:themeColor="text1"/>
          <w:sz w:val="22"/>
          <w:szCs w:val="22"/>
        </w:rPr>
        <w:t>U</w:t>
      </w:r>
      <w:r w:rsidR="00163D20" w:rsidRPr="00FB1598">
        <w:rPr>
          <w:rFonts w:asciiTheme="majorBidi" w:hAnsiTheme="majorBidi" w:cstheme="majorBidi"/>
          <w:i/>
          <w:iCs/>
          <w:color w:val="000000" w:themeColor="text1"/>
          <w:sz w:val="22"/>
          <w:szCs w:val="22"/>
        </w:rPr>
        <w:t>nder development</w:t>
      </w:r>
      <w:r w:rsidR="00163D20" w:rsidRPr="00ED7E61">
        <w:rPr>
          <w:rFonts w:asciiTheme="majorBidi" w:hAnsiTheme="majorBidi" w:cstheme="majorBidi"/>
          <w:color w:val="000000" w:themeColor="text1"/>
          <w:sz w:val="22"/>
          <w:szCs w:val="22"/>
        </w:rPr>
        <w:t>” and “</w:t>
      </w:r>
      <w:r w:rsidR="00163D20" w:rsidRPr="00FB1598">
        <w:rPr>
          <w:rFonts w:asciiTheme="majorBidi" w:hAnsiTheme="majorBidi" w:cstheme="majorBidi"/>
          <w:i/>
          <w:iCs/>
          <w:color w:val="000000" w:themeColor="text1"/>
          <w:sz w:val="22"/>
          <w:szCs w:val="22"/>
        </w:rPr>
        <w:t>No</w:t>
      </w:r>
      <w:r w:rsidR="00163D20" w:rsidRPr="00ED7E61">
        <w:rPr>
          <w:rFonts w:asciiTheme="majorBidi" w:hAnsiTheme="majorBidi" w:cstheme="majorBidi"/>
          <w:color w:val="000000" w:themeColor="text1"/>
          <w:sz w:val="22"/>
          <w:szCs w:val="22"/>
        </w:rPr>
        <w:t>” </w:t>
      </w:r>
    </w:p>
    <w:p w14:paraId="74B3E6DA" w14:textId="4E5656D6" w:rsidR="00163D20" w:rsidRPr="00ED7E61" w:rsidRDefault="008344AF" w:rsidP="00D80638">
      <w:pPr>
        <w:ind w:firstLine="720"/>
        <w:jc w:val="both"/>
        <w:textAlignment w:val="baseline"/>
        <w:rPr>
          <w:rFonts w:asciiTheme="majorBidi" w:hAnsiTheme="majorBidi" w:cstheme="majorBidi"/>
          <w:color w:val="000000" w:themeColor="text1"/>
          <w:sz w:val="22"/>
          <w:szCs w:val="22"/>
        </w:rPr>
      </w:pPr>
      <w:r w:rsidRPr="00ED7E61">
        <w:rPr>
          <w:rFonts w:asciiTheme="majorBidi" w:hAnsiTheme="majorBidi" w:cstheme="majorBidi"/>
          <w:color w:val="000000" w:themeColor="text1"/>
          <w:sz w:val="22"/>
          <w:szCs w:val="22"/>
        </w:rPr>
        <w:t>(f)</w:t>
      </w:r>
      <w:r w:rsidRPr="00ED7E61">
        <w:rPr>
          <w:rFonts w:asciiTheme="majorBidi" w:hAnsiTheme="majorBidi" w:cstheme="majorBidi"/>
          <w:color w:val="000000" w:themeColor="text1"/>
          <w:sz w:val="22"/>
          <w:szCs w:val="22"/>
        </w:rPr>
        <w:tab/>
      </w:r>
      <w:r w:rsidR="00163D20" w:rsidRPr="00ED7E61">
        <w:rPr>
          <w:rFonts w:asciiTheme="majorBidi" w:hAnsiTheme="majorBidi" w:cstheme="majorBidi"/>
          <w:color w:val="000000" w:themeColor="text1"/>
          <w:sz w:val="22"/>
          <w:szCs w:val="22"/>
        </w:rPr>
        <w:t>0. “</w:t>
      </w:r>
      <w:r w:rsidR="00163D20" w:rsidRPr="00FB1598">
        <w:rPr>
          <w:rFonts w:asciiTheme="majorBidi" w:hAnsiTheme="majorBidi" w:cstheme="majorBidi"/>
          <w:i/>
          <w:iCs/>
          <w:color w:val="000000" w:themeColor="text1"/>
          <w:sz w:val="22"/>
          <w:szCs w:val="22"/>
        </w:rPr>
        <w:t>No</w:t>
      </w:r>
      <w:r w:rsidR="00163D20" w:rsidRPr="00ED7E61">
        <w:rPr>
          <w:rFonts w:asciiTheme="majorBidi" w:hAnsiTheme="majorBidi" w:cstheme="majorBidi"/>
          <w:color w:val="000000" w:themeColor="text1"/>
          <w:sz w:val="22"/>
          <w:szCs w:val="22"/>
        </w:rPr>
        <w:t>” only </w:t>
      </w:r>
    </w:p>
    <w:p w14:paraId="39813D13" w14:textId="37E8F999" w:rsidR="006D351B" w:rsidRPr="00ED7E61" w:rsidRDefault="006D351B" w:rsidP="00395866">
      <w:pPr>
        <w:jc w:val="both"/>
        <w:textAlignment w:val="baseline"/>
        <w:rPr>
          <w:rFonts w:asciiTheme="majorBidi" w:hAnsiTheme="majorBidi" w:cstheme="majorBidi"/>
          <w:b/>
          <w:bCs/>
          <w:color w:val="000000" w:themeColor="text1"/>
          <w:sz w:val="22"/>
          <w:szCs w:val="22"/>
        </w:rPr>
      </w:pPr>
    </w:p>
    <w:p w14:paraId="6367A1C1" w14:textId="34A52011" w:rsidR="00D80638" w:rsidRDefault="006D351B" w:rsidP="00B3383B">
      <w:pPr>
        <w:ind w:left="567"/>
        <w:textAlignment w:val="baseline"/>
        <w:rPr>
          <w:rFonts w:asciiTheme="majorBidi" w:hAnsiTheme="majorBidi" w:cstheme="majorBidi"/>
          <w:b/>
          <w:bCs/>
          <w:color w:val="000000" w:themeColor="text1"/>
          <w:sz w:val="22"/>
          <w:szCs w:val="22"/>
        </w:rPr>
      </w:pPr>
      <w:r w:rsidRPr="00ED7E61">
        <w:rPr>
          <w:rFonts w:asciiTheme="majorBidi" w:hAnsiTheme="majorBidi" w:cstheme="majorBidi"/>
          <w:b/>
          <w:bCs/>
          <w:noProof/>
          <w:color w:val="000000" w:themeColor="text1"/>
          <w:sz w:val="22"/>
          <w:szCs w:val="22"/>
          <w:lang w:val="fr-FR" w:eastAsia="fr-FR"/>
          <w14:ligatures w14:val="standardContextual"/>
        </w:rPr>
        <w:drawing>
          <wp:inline distT="0" distB="0" distL="0" distR="0" wp14:anchorId="695AE654" wp14:editId="699A3C42">
            <wp:extent cx="5943600" cy="2674708"/>
            <wp:effectExtent l="0" t="0" r="0" b="0"/>
            <wp:docPr id="42997726" name="Picture 2" descr="A group of white box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7726" name="Picture 2" descr="A group of white boxes with black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674708"/>
                    </a:xfrm>
                    <a:prstGeom prst="rect">
                      <a:avLst/>
                    </a:prstGeom>
                  </pic:spPr>
                </pic:pic>
              </a:graphicData>
            </a:graphic>
          </wp:inline>
        </w:drawing>
      </w:r>
      <w:r w:rsidR="00163D20" w:rsidRPr="00B3383B">
        <w:rPr>
          <w:rFonts w:asciiTheme="majorBidi" w:hAnsiTheme="majorBidi" w:cstheme="majorBidi"/>
          <w:color w:val="000000" w:themeColor="text1"/>
          <w:sz w:val="22"/>
          <w:szCs w:val="22"/>
        </w:rPr>
        <w:t xml:space="preserve">Figure </w:t>
      </w:r>
      <w:r w:rsidR="00BE4992" w:rsidRPr="00B3383B">
        <w:rPr>
          <w:rFonts w:asciiTheme="majorBidi" w:hAnsiTheme="majorBidi" w:cstheme="majorBidi"/>
          <w:color w:val="000000" w:themeColor="text1"/>
          <w:sz w:val="22"/>
          <w:szCs w:val="22"/>
        </w:rPr>
        <w:t>II</w:t>
      </w:r>
      <w:r w:rsidR="00163D20" w:rsidRPr="00ED7E61">
        <w:rPr>
          <w:rFonts w:asciiTheme="majorBidi" w:hAnsiTheme="majorBidi" w:cstheme="majorBidi"/>
          <w:b/>
          <w:bCs/>
          <w:color w:val="000000" w:themeColor="text1"/>
          <w:sz w:val="22"/>
          <w:szCs w:val="22"/>
        </w:rPr>
        <w:t xml:space="preserve"> </w:t>
      </w:r>
      <w:r w:rsidR="00AF75E1">
        <w:rPr>
          <w:rFonts w:asciiTheme="majorBidi" w:hAnsiTheme="majorBidi" w:cstheme="majorBidi"/>
          <w:b/>
          <w:bCs/>
          <w:color w:val="000000" w:themeColor="text1"/>
          <w:sz w:val="22"/>
          <w:szCs w:val="22"/>
        </w:rPr>
        <w:br/>
      </w:r>
      <w:r w:rsidR="00163D20" w:rsidRPr="00B3383B">
        <w:rPr>
          <w:rFonts w:asciiTheme="majorBidi" w:hAnsiTheme="majorBidi" w:cstheme="majorBidi"/>
          <w:b/>
          <w:bCs/>
          <w:color w:val="000000" w:themeColor="text1"/>
          <w:sz w:val="22"/>
          <w:szCs w:val="22"/>
        </w:rPr>
        <w:t>Example indicator level aggregation for 12 Parties answering for a hypothetical target X with three questions (X1, X2 &amp; X3)</w:t>
      </w:r>
    </w:p>
    <w:p w14:paraId="4BBBAB7A" w14:textId="25ED5EB4" w:rsidR="00163D20" w:rsidRPr="00B3383B" w:rsidRDefault="00163D20" w:rsidP="00B3383B">
      <w:pPr>
        <w:ind w:left="567"/>
        <w:textAlignment w:val="baseline"/>
        <w:rPr>
          <w:rFonts w:asciiTheme="majorBidi" w:hAnsiTheme="majorBidi" w:cstheme="majorBidi"/>
          <w:i/>
          <w:iCs/>
          <w:color w:val="000000" w:themeColor="text1"/>
          <w:sz w:val="22"/>
          <w:szCs w:val="22"/>
        </w:rPr>
      </w:pPr>
      <w:r w:rsidRPr="00B3383B">
        <w:rPr>
          <w:rFonts w:asciiTheme="majorBidi" w:hAnsiTheme="majorBidi" w:cstheme="majorBidi"/>
          <w:i/>
          <w:iCs/>
          <w:color w:val="000000" w:themeColor="text1"/>
          <w:sz w:val="22"/>
          <w:szCs w:val="22"/>
        </w:rPr>
        <w:t>Only the final selected answer for each question is shown. Parties 1 to 3 achieved a score of 4, parties 4 to 6 a score of 3, parties 7 to 9 a score of 2 and parties 10 to 12 a score of 1. These scores are based on the combination of answers given by each party and illustrate how the different mutually exclusive answer sets can provide an overall score for each indicator. Note that this is not an exhaustive list of potential outcomes. Example answers for a score of 5 and 0 are not shown as they can only be achieved with all “</w:t>
      </w:r>
      <w:r w:rsidR="00A91414" w:rsidRPr="001A748D">
        <w:rPr>
          <w:rFonts w:asciiTheme="majorBidi" w:hAnsiTheme="majorBidi" w:cstheme="majorBidi"/>
          <w:i/>
          <w:iCs/>
          <w:color w:val="000000" w:themeColor="text1"/>
          <w:sz w:val="22"/>
          <w:szCs w:val="22"/>
        </w:rPr>
        <w:t>F</w:t>
      </w:r>
      <w:r w:rsidRPr="001A748D">
        <w:rPr>
          <w:rFonts w:asciiTheme="majorBidi" w:hAnsiTheme="majorBidi" w:cstheme="majorBidi"/>
          <w:i/>
          <w:iCs/>
          <w:color w:val="000000" w:themeColor="text1"/>
          <w:sz w:val="22"/>
          <w:szCs w:val="22"/>
        </w:rPr>
        <w:t>ully</w:t>
      </w:r>
      <w:r w:rsidRPr="00B3383B">
        <w:rPr>
          <w:rFonts w:asciiTheme="majorBidi" w:hAnsiTheme="majorBidi" w:cstheme="majorBidi"/>
          <w:i/>
          <w:iCs/>
          <w:color w:val="000000" w:themeColor="text1"/>
          <w:sz w:val="22"/>
          <w:szCs w:val="22"/>
        </w:rPr>
        <w:t>” or all “</w:t>
      </w:r>
      <w:r w:rsidRPr="001A748D">
        <w:rPr>
          <w:rFonts w:asciiTheme="majorBidi" w:hAnsiTheme="majorBidi" w:cstheme="majorBidi"/>
          <w:i/>
          <w:iCs/>
          <w:color w:val="000000" w:themeColor="text1"/>
          <w:sz w:val="22"/>
          <w:szCs w:val="22"/>
        </w:rPr>
        <w:t>No</w:t>
      </w:r>
      <w:r w:rsidRPr="00B3383B">
        <w:rPr>
          <w:rFonts w:asciiTheme="majorBidi" w:hAnsiTheme="majorBidi" w:cstheme="majorBidi"/>
          <w:i/>
          <w:iCs/>
          <w:color w:val="000000" w:themeColor="text1"/>
          <w:sz w:val="22"/>
          <w:szCs w:val="22"/>
        </w:rPr>
        <w:t>” answers, respectively.</w:t>
      </w:r>
    </w:p>
    <w:p w14:paraId="79AE473A" w14:textId="1E56F63C" w:rsidR="00163D20" w:rsidRDefault="00163D20" w:rsidP="001C6EE2">
      <w:pPr>
        <w:pStyle w:val="CBDNormalNumber"/>
        <w:numPr>
          <w:ilvl w:val="0"/>
          <w:numId w:val="11"/>
        </w:numPr>
        <w:ind w:left="567" w:firstLine="0"/>
      </w:pPr>
      <w:r w:rsidRPr="00ED7E61">
        <w:t>A trial of these rules was done with in collaboration with a subgroup of five AHTEG members working with, or as, focal points for their Party and representing different continents (North America, South America, Europe, Asia and Africa). Each participant was asked to answer the questions for Goal B and Targets 1 and 23. These goals and targets were chosen to combine multiple- and single-choice questions and include from two to five questions per set. The indicator level aggregation method was then used to assign an overall score to each Party (</w:t>
      </w:r>
      <w:r w:rsidR="00E66729">
        <w:t>t</w:t>
      </w:r>
      <w:r w:rsidRPr="00ED7E61">
        <w:t>able 1). </w:t>
      </w:r>
    </w:p>
    <w:p w14:paraId="549F7C48" w14:textId="275ADE1C" w:rsidR="00163D20" w:rsidRPr="00ED7E61" w:rsidRDefault="00E66729" w:rsidP="00B3383B">
      <w:pPr>
        <w:pStyle w:val="CBDNormalNumber"/>
        <w:numPr>
          <w:ilvl w:val="0"/>
          <w:numId w:val="0"/>
        </w:numPr>
        <w:ind w:left="567"/>
        <w:jc w:val="left"/>
      </w:pPr>
      <w:r w:rsidRPr="0007724C">
        <w:rPr>
          <w:rFonts w:asciiTheme="majorBidi" w:hAnsiTheme="majorBidi" w:cstheme="majorBidi"/>
          <w:color w:val="000000" w:themeColor="text1"/>
        </w:rPr>
        <w:t>Table 1</w:t>
      </w:r>
      <w:r w:rsidRPr="00ED7E61">
        <w:rPr>
          <w:rFonts w:asciiTheme="majorBidi" w:hAnsiTheme="majorBidi" w:cstheme="majorBidi"/>
          <w:color w:val="000000" w:themeColor="text1"/>
        </w:rPr>
        <w:t xml:space="preserve"> </w:t>
      </w:r>
      <w:r>
        <w:rPr>
          <w:rFonts w:asciiTheme="majorBidi" w:hAnsiTheme="majorBidi" w:cstheme="majorBidi"/>
          <w:color w:val="000000" w:themeColor="text1"/>
        </w:rPr>
        <w:br/>
      </w:r>
      <w:r w:rsidRPr="0007724C">
        <w:rPr>
          <w:rFonts w:asciiTheme="majorBidi" w:hAnsiTheme="majorBidi" w:cstheme="majorBidi"/>
          <w:b/>
          <w:bCs/>
          <w:color w:val="000000" w:themeColor="text1"/>
        </w:rPr>
        <w:t>Outcomes for five Parties taking part in a trial of the aggregation methodology during the AHTEG meeting</w:t>
      </w:r>
    </w:p>
    <w:tbl>
      <w:tblPr>
        <w:tblW w:w="83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7"/>
        <w:gridCol w:w="2410"/>
        <w:gridCol w:w="2237"/>
        <w:gridCol w:w="2440"/>
      </w:tblGrid>
      <w:tr w:rsidR="00163D20" w:rsidRPr="00CE618B" w14:paraId="1A0DDF97" w14:textId="77777777" w:rsidTr="00B3383B">
        <w:trPr>
          <w:trHeight w:val="300"/>
          <w:jc w:val="center"/>
        </w:trPr>
        <w:tc>
          <w:tcPr>
            <w:tcW w:w="1277" w:type="dxa"/>
            <w:tcBorders>
              <w:top w:val="nil"/>
              <w:left w:val="nil"/>
              <w:bottom w:val="single" w:sz="6" w:space="0" w:color="000000"/>
              <w:right w:val="single" w:sz="6" w:space="0" w:color="auto"/>
            </w:tcBorders>
            <w:shd w:val="clear" w:color="auto" w:fill="auto"/>
            <w:hideMark/>
          </w:tcPr>
          <w:p w14:paraId="056FC9B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7087" w:type="dxa"/>
            <w:gridSpan w:val="3"/>
            <w:tcBorders>
              <w:top w:val="single" w:sz="6" w:space="0" w:color="auto"/>
              <w:left w:val="single" w:sz="6" w:space="0" w:color="auto"/>
              <w:bottom w:val="single" w:sz="6" w:space="0" w:color="auto"/>
              <w:right w:val="single" w:sz="6" w:space="0" w:color="000000"/>
            </w:tcBorders>
            <w:shd w:val="clear" w:color="auto" w:fill="auto"/>
            <w:vAlign w:val="center"/>
            <w:hideMark/>
          </w:tcPr>
          <w:p w14:paraId="2C998EF4" w14:textId="77777777" w:rsidR="00163D20" w:rsidRPr="00B3383B" w:rsidRDefault="00163D20" w:rsidP="00395866">
            <w:pPr>
              <w:jc w:val="center"/>
              <w:textAlignment w:val="baseline"/>
              <w:rPr>
                <w:rFonts w:asciiTheme="majorBidi" w:hAnsiTheme="majorBidi" w:cstheme="majorBidi"/>
                <w:i/>
                <w:iCs/>
                <w:color w:val="000000" w:themeColor="text1"/>
                <w:sz w:val="20"/>
                <w:szCs w:val="20"/>
              </w:rPr>
            </w:pPr>
            <w:r w:rsidRPr="00B3383B">
              <w:rPr>
                <w:rFonts w:asciiTheme="majorBidi" w:hAnsiTheme="majorBidi" w:cstheme="majorBidi"/>
                <w:i/>
                <w:iCs/>
                <w:color w:val="000000" w:themeColor="text1"/>
                <w:sz w:val="20"/>
                <w:szCs w:val="20"/>
              </w:rPr>
              <w:t>Outcome score </w:t>
            </w:r>
          </w:p>
        </w:tc>
      </w:tr>
      <w:tr w:rsidR="00163D20" w:rsidRPr="00CE618B" w14:paraId="2BE9FEF3" w14:textId="77777777" w:rsidTr="00B3383B">
        <w:trPr>
          <w:trHeight w:val="570"/>
          <w:jc w:val="center"/>
        </w:trPr>
        <w:tc>
          <w:tcPr>
            <w:tcW w:w="1277" w:type="dxa"/>
            <w:tcBorders>
              <w:top w:val="nil"/>
              <w:left w:val="single" w:sz="6" w:space="0" w:color="000000"/>
              <w:bottom w:val="single" w:sz="6" w:space="0" w:color="000000"/>
              <w:right w:val="nil"/>
            </w:tcBorders>
            <w:shd w:val="clear" w:color="auto" w:fill="auto"/>
            <w:hideMark/>
          </w:tcPr>
          <w:p w14:paraId="21475922"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332672"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Goal B </w:t>
            </w:r>
          </w:p>
        </w:tc>
        <w:tc>
          <w:tcPr>
            <w:tcW w:w="2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56CCFD"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Target 1 </w:t>
            </w:r>
          </w:p>
        </w:tc>
        <w:tc>
          <w:tcPr>
            <w:tcW w:w="244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7F02DD20"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Target 23 </w:t>
            </w:r>
          </w:p>
        </w:tc>
      </w:tr>
      <w:tr w:rsidR="00163D20" w:rsidRPr="00CE618B" w14:paraId="5A7173F5" w14:textId="77777777" w:rsidTr="00B3383B">
        <w:trPr>
          <w:trHeight w:val="300"/>
          <w:jc w:val="center"/>
        </w:trPr>
        <w:tc>
          <w:tcPr>
            <w:tcW w:w="1277" w:type="dxa"/>
            <w:tcBorders>
              <w:top w:val="single" w:sz="6" w:space="0" w:color="000000"/>
              <w:left w:val="single" w:sz="6" w:space="0" w:color="auto"/>
              <w:bottom w:val="single" w:sz="6" w:space="0" w:color="auto"/>
              <w:right w:val="single" w:sz="6" w:space="0" w:color="auto"/>
            </w:tcBorders>
            <w:shd w:val="clear" w:color="auto" w:fill="auto"/>
            <w:hideMark/>
          </w:tcPr>
          <w:p w14:paraId="4AE68086"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Party 1 </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DD8321"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c>
          <w:tcPr>
            <w:tcW w:w="2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C326C"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c>
          <w:tcPr>
            <w:tcW w:w="244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0127443C"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r>
      <w:tr w:rsidR="00163D20" w:rsidRPr="00CE618B" w14:paraId="61342770" w14:textId="77777777" w:rsidTr="00B3383B">
        <w:trPr>
          <w:trHeight w:val="300"/>
          <w:jc w:val="center"/>
        </w:trPr>
        <w:tc>
          <w:tcPr>
            <w:tcW w:w="1277" w:type="dxa"/>
            <w:tcBorders>
              <w:top w:val="single" w:sz="6" w:space="0" w:color="auto"/>
              <w:left w:val="single" w:sz="6" w:space="0" w:color="auto"/>
              <w:bottom w:val="single" w:sz="6" w:space="0" w:color="auto"/>
              <w:right w:val="single" w:sz="6" w:space="0" w:color="auto"/>
            </w:tcBorders>
            <w:shd w:val="clear" w:color="auto" w:fill="auto"/>
            <w:hideMark/>
          </w:tcPr>
          <w:p w14:paraId="4D7A66C1"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Party 2 </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C4DCDE"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c>
          <w:tcPr>
            <w:tcW w:w="2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5A19EB"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2 </w:t>
            </w:r>
          </w:p>
        </w:tc>
        <w:tc>
          <w:tcPr>
            <w:tcW w:w="244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6DA15483"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3 </w:t>
            </w:r>
          </w:p>
        </w:tc>
      </w:tr>
      <w:tr w:rsidR="00163D20" w:rsidRPr="00CE618B" w14:paraId="20C89D40" w14:textId="77777777" w:rsidTr="00B3383B">
        <w:trPr>
          <w:trHeight w:val="300"/>
          <w:jc w:val="center"/>
        </w:trPr>
        <w:tc>
          <w:tcPr>
            <w:tcW w:w="1277" w:type="dxa"/>
            <w:tcBorders>
              <w:top w:val="single" w:sz="6" w:space="0" w:color="auto"/>
              <w:left w:val="single" w:sz="6" w:space="0" w:color="auto"/>
              <w:bottom w:val="single" w:sz="6" w:space="0" w:color="auto"/>
              <w:right w:val="single" w:sz="6" w:space="0" w:color="auto"/>
            </w:tcBorders>
            <w:shd w:val="clear" w:color="auto" w:fill="auto"/>
            <w:hideMark/>
          </w:tcPr>
          <w:p w14:paraId="28D9EBA6"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Party 3 </w:t>
            </w:r>
          </w:p>
        </w:tc>
        <w:tc>
          <w:tcPr>
            <w:tcW w:w="24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3211BA"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c>
          <w:tcPr>
            <w:tcW w:w="22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DEDEEA"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c>
          <w:tcPr>
            <w:tcW w:w="244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331AA8C0"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2 </w:t>
            </w:r>
          </w:p>
        </w:tc>
      </w:tr>
      <w:tr w:rsidR="00163D20" w:rsidRPr="00CE618B" w14:paraId="4AB3EEB5" w14:textId="77777777" w:rsidTr="00B3383B">
        <w:trPr>
          <w:trHeight w:val="300"/>
          <w:jc w:val="center"/>
        </w:trPr>
        <w:tc>
          <w:tcPr>
            <w:tcW w:w="1277" w:type="dxa"/>
            <w:tcBorders>
              <w:top w:val="single" w:sz="6" w:space="0" w:color="000000"/>
              <w:left w:val="single" w:sz="6" w:space="0" w:color="auto"/>
              <w:bottom w:val="single" w:sz="6" w:space="0" w:color="auto"/>
              <w:right w:val="single" w:sz="6" w:space="0" w:color="auto"/>
            </w:tcBorders>
            <w:shd w:val="clear" w:color="auto" w:fill="auto"/>
            <w:hideMark/>
          </w:tcPr>
          <w:p w14:paraId="4B456F60"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Party 4 </w:t>
            </w:r>
          </w:p>
        </w:tc>
        <w:tc>
          <w:tcPr>
            <w:tcW w:w="2410" w:type="dxa"/>
            <w:tcBorders>
              <w:top w:val="single" w:sz="6" w:space="0" w:color="000000"/>
              <w:left w:val="single" w:sz="6" w:space="0" w:color="auto"/>
              <w:bottom w:val="single" w:sz="6" w:space="0" w:color="auto"/>
              <w:right w:val="single" w:sz="6" w:space="0" w:color="auto"/>
            </w:tcBorders>
            <w:shd w:val="clear" w:color="auto" w:fill="auto"/>
            <w:vAlign w:val="center"/>
            <w:hideMark/>
          </w:tcPr>
          <w:p w14:paraId="41CE8885"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5 </w:t>
            </w:r>
          </w:p>
        </w:tc>
        <w:tc>
          <w:tcPr>
            <w:tcW w:w="2237" w:type="dxa"/>
            <w:tcBorders>
              <w:top w:val="single" w:sz="6" w:space="0" w:color="000000"/>
              <w:left w:val="single" w:sz="6" w:space="0" w:color="auto"/>
              <w:bottom w:val="single" w:sz="6" w:space="0" w:color="auto"/>
              <w:right w:val="single" w:sz="6" w:space="0" w:color="auto"/>
            </w:tcBorders>
            <w:shd w:val="clear" w:color="auto" w:fill="auto"/>
            <w:vAlign w:val="center"/>
            <w:hideMark/>
          </w:tcPr>
          <w:p w14:paraId="2B583D92"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5 </w:t>
            </w:r>
          </w:p>
        </w:tc>
        <w:tc>
          <w:tcPr>
            <w:tcW w:w="244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733EC90D"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r>
      <w:tr w:rsidR="00163D20" w:rsidRPr="00CE618B" w14:paraId="738E1592" w14:textId="77777777" w:rsidTr="00B3383B">
        <w:trPr>
          <w:trHeight w:val="300"/>
          <w:jc w:val="center"/>
        </w:trPr>
        <w:tc>
          <w:tcPr>
            <w:tcW w:w="1277" w:type="dxa"/>
            <w:tcBorders>
              <w:top w:val="single" w:sz="6" w:space="0" w:color="000000"/>
              <w:left w:val="single" w:sz="6" w:space="0" w:color="auto"/>
              <w:bottom w:val="single" w:sz="6" w:space="0" w:color="000000"/>
              <w:right w:val="single" w:sz="6" w:space="0" w:color="auto"/>
            </w:tcBorders>
            <w:shd w:val="clear" w:color="auto" w:fill="auto"/>
            <w:hideMark/>
          </w:tcPr>
          <w:p w14:paraId="73D980AC"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Party 5 </w:t>
            </w:r>
          </w:p>
        </w:tc>
        <w:tc>
          <w:tcPr>
            <w:tcW w:w="2410" w:type="dxa"/>
            <w:tcBorders>
              <w:top w:val="single" w:sz="6" w:space="0" w:color="000000"/>
              <w:left w:val="single" w:sz="6" w:space="0" w:color="auto"/>
              <w:bottom w:val="single" w:sz="6" w:space="0" w:color="000000"/>
              <w:right w:val="single" w:sz="6" w:space="0" w:color="auto"/>
            </w:tcBorders>
            <w:shd w:val="clear" w:color="auto" w:fill="auto"/>
            <w:vAlign w:val="center"/>
            <w:hideMark/>
          </w:tcPr>
          <w:p w14:paraId="7A2A4E67"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c>
          <w:tcPr>
            <w:tcW w:w="2237" w:type="dxa"/>
            <w:tcBorders>
              <w:top w:val="single" w:sz="6" w:space="0" w:color="000000"/>
              <w:left w:val="single" w:sz="6" w:space="0" w:color="auto"/>
              <w:bottom w:val="single" w:sz="6" w:space="0" w:color="000000"/>
              <w:right w:val="single" w:sz="6" w:space="0" w:color="auto"/>
            </w:tcBorders>
            <w:shd w:val="clear" w:color="auto" w:fill="auto"/>
            <w:vAlign w:val="center"/>
            <w:hideMark/>
          </w:tcPr>
          <w:p w14:paraId="440EB270"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2 </w:t>
            </w:r>
          </w:p>
        </w:tc>
        <w:tc>
          <w:tcPr>
            <w:tcW w:w="2440"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02E0579F"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3 </w:t>
            </w:r>
          </w:p>
        </w:tc>
      </w:tr>
    </w:tbl>
    <w:p w14:paraId="2CDE85B1" w14:textId="6407905E" w:rsidR="00163D20" w:rsidRPr="00B3383B" w:rsidRDefault="006E2288" w:rsidP="00B3383B">
      <w:pPr>
        <w:ind w:left="567"/>
        <w:textAlignment w:val="baseline"/>
        <w:rPr>
          <w:rFonts w:asciiTheme="majorBidi" w:hAnsiTheme="majorBidi" w:cstheme="majorBidi"/>
          <w:i/>
          <w:iCs/>
          <w:color w:val="000000" w:themeColor="text1"/>
          <w:sz w:val="22"/>
          <w:szCs w:val="22"/>
        </w:rPr>
      </w:pPr>
      <w:r w:rsidRPr="00B3383B">
        <w:rPr>
          <w:rFonts w:asciiTheme="majorBidi" w:hAnsiTheme="majorBidi" w:cstheme="majorBidi"/>
          <w:i/>
          <w:iCs/>
          <w:color w:val="000000" w:themeColor="text1"/>
          <w:sz w:val="22"/>
          <w:szCs w:val="22"/>
        </w:rPr>
        <w:t>Each Party was represented by an AHTEG member who answered the binary questions for Goal B and Targets 1 and 23.</w:t>
      </w:r>
    </w:p>
    <w:p w14:paraId="24943648" w14:textId="3226E1C9" w:rsidR="00163D20" w:rsidRPr="00ED7E61" w:rsidRDefault="00E66729" w:rsidP="00B3383B">
      <w:pPr>
        <w:keepNext/>
        <w:keepLines/>
        <w:spacing w:after="120"/>
        <w:textAlignment w:val="baseline"/>
        <w:rPr>
          <w:rFonts w:asciiTheme="majorBidi" w:hAnsiTheme="majorBidi" w:cstheme="majorBidi"/>
          <w:color w:val="000000" w:themeColor="text1"/>
          <w:sz w:val="22"/>
          <w:szCs w:val="22"/>
        </w:rPr>
      </w:pPr>
      <w:r w:rsidRPr="00B3383B">
        <w:rPr>
          <w:rFonts w:asciiTheme="majorBidi" w:hAnsiTheme="majorBidi" w:cstheme="majorBidi"/>
          <w:color w:val="000000" w:themeColor="text1"/>
          <w:sz w:val="22"/>
          <w:szCs w:val="22"/>
        </w:rPr>
        <w:t>Table 2</w:t>
      </w:r>
      <w:r>
        <w:rPr>
          <w:rFonts w:asciiTheme="majorBidi" w:hAnsiTheme="majorBidi" w:cstheme="majorBidi"/>
          <w:b/>
          <w:bCs/>
          <w:color w:val="000000" w:themeColor="text1"/>
          <w:sz w:val="22"/>
          <w:szCs w:val="22"/>
        </w:rPr>
        <w:br/>
      </w:r>
      <w:r w:rsidRPr="00B3383B">
        <w:rPr>
          <w:rFonts w:asciiTheme="majorBidi" w:hAnsiTheme="majorBidi" w:cstheme="majorBidi"/>
          <w:b/>
          <w:bCs/>
          <w:color w:val="000000" w:themeColor="text1"/>
          <w:sz w:val="22"/>
          <w:szCs w:val="22"/>
        </w:rPr>
        <w:t>Global progress based on outcomes for five Parties taking part in a trial of the aggregation methodology during the AHTEG meeting</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1230"/>
        <w:gridCol w:w="1455"/>
        <w:gridCol w:w="1335"/>
        <w:gridCol w:w="1335"/>
        <w:gridCol w:w="1335"/>
        <w:gridCol w:w="1380"/>
      </w:tblGrid>
      <w:tr w:rsidR="00163D20" w:rsidRPr="00CE618B" w14:paraId="63572F1C" w14:textId="77777777" w:rsidTr="00AA4CEC">
        <w:trPr>
          <w:trHeight w:val="300"/>
        </w:trPr>
        <w:tc>
          <w:tcPr>
            <w:tcW w:w="1260" w:type="dxa"/>
            <w:tcBorders>
              <w:top w:val="nil"/>
              <w:left w:val="nil"/>
              <w:bottom w:val="single" w:sz="6" w:space="0" w:color="000000"/>
              <w:right w:val="single" w:sz="6" w:space="0" w:color="auto"/>
            </w:tcBorders>
            <w:shd w:val="clear" w:color="auto" w:fill="auto"/>
            <w:hideMark/>
          </w:tcPr>
          <w:p w14:paraId="64F33029" w14:textId="77777777" w:rsidR="00163D20" w:rsidRPr="00B3383B" w:rsidRDefault="00163D20" w:rsidP="00B3383B">
            <w:pPr>
              <w:keepNext/>
              <w:keepLines/>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8070" w:type="dxa"/>
            <w:gridSpan w:val="6"/>
            <w:tcBorders>
              <w:top w:val="single" w:sz="6" w:space="0" w:color="auto"/>
              <w:left w:val="single" w:sz="6" w:space="0" w:color="auto"/>
              <w:bottom w:val="single" w:sz="6" w:space="0" w:color="auto"/>
              <w:right w:val="single" w:sz="6" w:space="0" w:color="000000"/>
            </w:tcBorders>
            <w:shd w:val="clear" w:color="auto" w:fill="auto"/>
            <w:vAlign w:val="center"/>
            <w:hideMark/>
          </w:tcPr>
          <w:p w14:paraId="608B8416" w14:textId="77777777" w:rsidR="00163D20" w:rsidRPr="00B3383B" w:rsidRDefault="00163D20" w:rsidP="00B3383B">
            <w:pPr>
              <w:keepNext/>
              <w:keepLines/>
              <w:jc w:val="center"/>
              <w:textAlignment w:val="baseline"/>
              <w:rPr>
                <w:rFonts w:asciiTheme="majorBidi" w:hAnsiTheme="majorBidi" w:cstheme="majorBidi"/>
                <w:i/>
                <w:iCs/>
                <w:color w:val="000000" w:themeColor="text1"/>
                <w:sz w:val="20"/>
                <w:szCs w:val="20"/>
              </w:rPr>
            </w:pPr>
            <w:r w:rsidRPr="00B3383B">
              <w:rPr>
                <w:rFonts w:asciiTheme="majorBidi" w:hAnsiTheme="majorBidi" w:cstheme="majorBidi"/>
                <w:i/>
                <w:iCs/>
                <w:color w:val="000000" w:themeColor="text1"/>
                <w:sz w:val="20"/>
                <w:szCs w:val="20"/>
              </w:rPr>
              <w:t>Global progress </w:t>
            </w:r>
          </w:p>
        </w:tc>
      </w:tr>
      <w:tr w:rsidR="00163D20" w:rsidRPr="00CE618B" w14:paraId="32B9A9F7" w14:textId="77777777" w:rsidTr="00AA4CEC">
        <w:trPr>
          <w:trHeight w:val="570"/>
        </w:trPr>
        <w:tc>
          <w:tcPr>
            <w:tcW w:w="1260" w:type="dxa"/>
            <w:tcBorders>
              <w:top w:val="nil"/>
              <w:left w:val="single" w:sz="6" w:space="0" w:color="000000"/>
              <w:bottom w:val="single" w:sz="6" w:space="0" w:color="000000"/>
              <w:right w:val="nil"/>
            </w:tcBorders>
            <w:shd w:val="clear" w:color="auto" w:fill="auto"/>
            <w:hideMark/>
          </w:tcPr>
          <w:p w14:paraId="22B72D5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528F0F"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471E59"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1 </w:t>
            </w:r>
          </w:p>
        </w:tc>
        <w:tc>
          <w:tcPr>
            <w:tcW w:w="1335"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3D640563"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2 </w:t>
            </w:r>
          </w:p>
        </w:tc>
        <w:tc>
          <w:tcPr>
            <w:tcW w:w="1335"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412F84A0"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3 </w:t>
            </w:r>
          </w:p>
        </w:tc>
        <w:tc>
          <w:tcPr>
            <w:tcW w:w="1335"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56FFC9E9"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c>
          <w:tcPr>
            <w:tcW w:w="1335"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2DF1DD0B"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5 </w:t>
            </w:r>
          </w:p>
        </w:tc>
      </w:tr>
      <w:tr w:rsidR="00163D20" w:rsidRPr="00CE618B" w14:paraId="1D3ACE4F" w14:textId="77777777" w:rsidTr="00AA4CEC">
        <w:trPr>
          <w:trHeight w:val="300"/>
        </w:trPr>
        <w:tc>
          <w:tcPr>
            <w:tcW w:w="1260" w:type="dxa"/>
            <w:tcBorders>
              <w:top w:val="single" w:sz="6" w:space="0" w:color="000000"/>
              <w:left w:val="single" w:sz="6" w:space="0" w:color="auto"/>
              <w:bottom w:val="single" w:sz="6" w:space="0" w:color="auto"/>
              <w:right w:val="single" w:sz="6" w:space="0" w:color="auto"/>
            </w:tcBorders>
            <w:shd w:val="clear" w:color="auto" w:fill="auto"/>
            <w:hideMark/>
          </w:tcPr>
          <w:p w14:paraId="17BA40B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Goal B </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50CFF1"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46443E"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335"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34B4C362"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335" w:type="dxa"/>
            <w:tcBorders>
              <w:top w:val="single" w:sz="6" w:space="0" w:color="000000"/>
              <w:left w:val="single" w:sz="6" w:space="0" w:color="auto"/>
              <w:bottom w:val="single" w:sz="6" w:space="0" w:color="000000"/>
              <w:right w:val="single" w:sz="6" w:space="0" w:color="000000"/>
            </w:tcBorders>
            <w:shd w:val="clear" w:color="auto" w:fill="auto"/>
            <w:hideMark/>
          </w:tcPr>
          <w:p w14:paraId="15B85DAC"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335" w:type="dxa"/>
            <w:tcBorders>
              <w:top w:val="single" w:sz="6" w:space="0" w:color="000000"/>
              <w:left w:val="single" w:sz="6" w:space="0" w:color="auto"/>
              <w:bottom w:val="single" w:sz="6" w:space="0" w:color="000000"/>
              <w:right w:val="single" w:sz="6" w:space="0" w:color="000000"/>
            </w:tcBorders>
            <w:shd w:val="clear" w:color="auto" w:fill="auto"/>
            <w:hideMark/>
          </w:tcPr>
          <w:p w14:paraId="5CEE4582"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c>
          <w:tcPr>
            <w:tcW w:w="1335" w:type="dxa"/>
            <w:tcBorders>
              <w:top w:val="single" w:sz="6" w:space="0" w:color="000000"/>
              <w:left w:val="single" w:sz="6" w:space="0" w:color="auto"/>
              <w:bottom w:val="single" w:sz="6" w:space="0" w:color="000000"/>
              <w:right w:val="single" w:sz="6" w:space="0" w:color="000000"/>
            </w:tcBorders>
            <w:shd w:val="clear" w:color="auto" w:fill="auto"/>
            <w:hideMark/>
          </w:tcPr>
          <w:p w14:paraId="3BED64A4"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1 </w:t>
            </w:r>
          </w:p>
        </w:tc>
      </w:tr>
      <w:tr w:rsidR="00163D20" w:rsidRPr="00CE618B" w14:paraId="3F3F8150" w14:textId="77777777" w:rsidTr="00AA4CEC">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409614C"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Target 1 </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E68E15"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E57DA3"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335"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0011D765"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2 </w:t>
            </w:r>
          </w:p>
        </w:tc>
        <w:tc>
          <w:tcPr>
            <w:tcW w:w="1335" w:type="dxa"/>
            <w:tcBorders>
              <w:top w:val="single" w:sz="6" w:space="0" w:color="000000"/>
              <w:left w:val="single" w:sz="6" w:space="0" w:color="auto"/>
              <w:bottom w:val="single" w:sz="6" w:space="0" w:color="000000"/>
              <w:right w:val="single" w:sz="6" w:space="0" w:color="000000"/>
            </w:tcBorders>
            <w:shd w:val="clear" w:color="auto" w:fill="auto"/>
            <w:hideMark/>
          </w:tcPr>
          <w:p w14:paraId="4780F6DD"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335" w:type="dxa"/>
            <w:tcBorders>
              <w:top w:val="single" w:sz="6" w:space="0" w:color="000000"/>
              <w:left w:val="single" w:sz="6" w:space="0" w:color="auto"/>
              <w:bottom w:val="single" w:sz="6" w:space="0" w:color="000000"/>
              <w:right w:val="single" w:sz="6" w:space="0" w:color="000000"/>
            </w:tcBorders>
            <w:shd w:val="clear" w:color="auto" w:fill="auto"/>
            <w:hideMark/>
          </w:tcPr>
          <w:p w14:paraId="398B4677"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2 </w:t>
            </w:r>
          </w:p>
        </w:tc>
        <w:tc>
          <w:tcPr>
            <w:tcW w:w="1335" w:type="dxa"/>
            <w:tcBorders>
              <w:top w:val="single" w:sz="6" w:space="0" w:color="000000"/>
              <w:left w:val="single" w:sz="6" w:space="0" w:color="auto"/>
              <w:bottom w:val="single" w:sz="6" w:space="0" w:color="000000"/>
              <w:right w:val="single" w:sz="6" w:space="0" w:color="000000"/>
            </w:tcBorders>
            <w:shd w:val="clear" w:color="auto" w:fill="auto"/>
            <w:hideMark/>
          </w:tcPr>
          <w:p w14:paraId="2F1B23F7"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1 </w:t>
            </w:r>
          </w:p>
        </w:tc>
      </w:tr>
      <w:tr w:rsidR="00163D20" w:rsidRPr="00CE618B" w14:paraId="2CC6D85B" w14:textId="77777777" w:rsidTr="00AA4CEC">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250B7F4"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Target 23 </w:t>
            </w:r>
          </w:p>
        </w:tc>
        <w:tc>
          <w:tcPr>
            <w:tcW w:w="12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ADAF9B"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36AE58"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335" w:type="dxa"/>
            <w:tcBorders>
              <w:top w:val="single" w:sz="6" w:space="0" w:color="000000"/>
              <w:left w:val="single" w:sz="6" w:space="0" w:color="auto"/>
              <w:bottom w:val="single" w:sz="6" w:space="0" w:color="000000"/>
              <w:right w:val="single" w:sz="6" w:space="0" w:color="000000"/>
            </w:tcBorders>
            <w:shd w:val="clear" w:color="auto" w:fill="auto"/>
            <w:vAlign w:val="center"/>
            <w:hideMark/>
          </w:tcPr>
          <w:p w14:paraId="3BCB3911"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1 </w:t>
            </w:r>
          </w:p>
        </w:tc>
        <w:tc>
          <w:tcPr>
            <w:tcW w:w="1335" w:type="dxa"/>
            <w:tcBorders>
              <w:top w:val="single" w:sz="6" w:space="0" w:color="000000"/>
              <w:left w:val="single" w:sz="6" w:space="0" w:color="auto"/>
              <w:bottom w:val="single" w:sz="6" w:space="0" w:color="000000"/>
              <w:right w:val="single" w:sz="6" w:space="0" w:color="000000"/>
            </w:tcBorders>
            <w:shd w:val="clear" w:color="auto" w:fill="auto"/>
            <w:hideMark/>
          </w:tcPr>
          <w:p w14:paraId="7E590582"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2 </w:t>
            </w:r>
          </w:p>
        </w:tc>
        <w:tc>
          <w:tcPr>
            <w:tcW w:w="1335" w:type="dxa"/>
            <w:tcBorders>
              <w:top w:val="single" w:sz="6" w:space="0" w:color="000000"/>
              <w:left w:val="single" w:sz="6" w:space="0" w:color="auto"/>
              <w:bottom w:val="single" w:sz="6" w:space="0" w:color="000000"/>
              <w:right w:val="single" w:sz="6" w:space="0" w:color="000000"/>
            </w:tcBorders>
            <w:shd w:val="clear" w:color="auto" w:fill="auto"/>
            <w:hideMark/>
          </w:tcPr>
          <w:p w14:paraId="38353F3E"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2 </w:t>
            </w:r>
          </w:p>
        </w:tc>
        <w:tc>
          <w:tcPr>
            <w:tcW w:w="1335" w:type="dxa"/>
            <w:tcBorders>
              <w:top w:val="single" w:sz="6" w:space="0" w:color="000000"/>
              <w:left w:val="single" w:sz="6" w:space="0" w:color="auto"/>
              <w:bottom w:val="single" w:sz="6" w:space="0" w:color="000000"/>
              <w:right w:val="single" w:sz="6" w:space="0" w:color="000000"/>
            </w:tcBorders>
            <w:shd w:val="clear" w:color="auto" w:fill="auto"/>
            <w:hideMark/>
          </w:tcPr>
          <w:p w14:paraId="6DC80077"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r>
    </w:tbl>
    <w:p w14:paraId="6366F01A" w14:textId="27934620" w:rsidR="00163D20" w:rsidRPr="00ED7E61" w:rsidRDefault="006E2288" w:rsidP="00395866">
      <w:pPr>
        <w:jc w:val="both"/>
        <w:textAlignment w:val="baseline"/>
        <w:rPr>
          <w:rFonts w:asciiTheme="majorBidi" w:hAnsiTheme="majorBidi" w:cstheme="majorBidi"/>
          <w:color w:val="000000" w:themeColor="text1"/>
          <w:sz w:val="22"/>
          <w:szCs w:val="22"/>
        </w:rPr>
      </w:pPr>
      <w:r w:rsidRPr="00B3383B">
        <w:rPr>
          <w:rFonts w:asciiTheme="majorBidi" w:hAnsiTheme="majorBidi" w:cstheme="majorBidi"/>
          <w:i/>
          <w:iCs/>
          <w:color w:val="000000" w:themeColor="text1"/>
          <w:sz w:val="22"/>
          <w:szCs w:val="22"/>
        </w:rPr>
        <w:t>Each Party was represented by an AHTEG member who answered the binary questions for Goal B and Targets 1 and 23</w:t>
      </w:r>
      <w:r>
        <w:rPr>
          <w:rFonts w:asciiTheme="majorBidi" w:hAnsiTheme="majorBidi" w:cstheme="majorBidi"/>
          <w:color w:val="000000" w:themeColor="text1"/>
          <w:sz w:val="22"/>
          <w:szCs w:val="22"/>
        </w:rPr>
        <w:t>.</w:t>
      </w:r>
    </w:p>
    <w:p w14:paraId="08782A76" w14:textId="1489A299" w:rsidR="00163D20" w:rsidRPr="00ED7E61" w:rsidRDefault="00163D20" w:rsidP="001C6EE2">
      <w:pPr>
        <w:pStyle w:val="CBDNormalNumber"/>
        <w:numPr>
          <w:ilvl w:val="0"/>
          <w:numId w:val="11"/>
        </w:numPr>
        <w:ind w:left="567" w:firstLine="0"/>
      </w:pPr>
      <w:r w:rsidRPr="00ED7E61">
        <w:t xml:space="preserve">The global progress towards a target for each binary indicator is then measured from the number of countries in each outcome category at the indicator level (Table </w:t>
      </w:r>
      <w:r w:rsidR="000644F8" w:rsidRPr="00ED7E61">
        <w:t>3</w:t>
      </w:r>
      <w:r w:rsidRPr="00ED7E61">
        <w:t>). For any binary indicator or for specific question, further detail can be studied by analysing individual answers.  To illustrate this, hypothetical outcomes for the years 2026 and 2029 are presented below with suggested layouts</w:t>
      </w:r>
      <w:r w:rsidR="000644F8" w:rsidRPr="00ED7E61">
        <w:t xml:space="preserve"> (Table 4 and figures </w:t>
      </w:r>
      <w:r w:rsidR="00BE4992">
        <w:t>III</w:t>
      </w:r>
      <w:r w:rsidR="000644F8" w:rsidRPr="00ED7E61">
        <w:t xml:space="preserve">, and </w:t>
      </w:r>
      <w:r w:rsidR="00BE4992">
        <w:t>IV</w:t>
      </w:r>
      <w:r w:rsidR="000644F8" w:rsidRPr="00ED7E61">
        <w:t>)</w:t>
      </w:r>
      <w:r w:rsidRPr="00ED7E61">
        <w:t>. </w:t>
      </w:r>
    </w:p>
    <w:p w14:paraId="2B77D0BA" w14:textId="346F8D25" w:rsidR="00163D20" w:rsidRPr="00ED7E61" w:rsidRDefault="00E66729" w:rsidP="00B3383B">
      <w:pPr>
        <w:spacing w:after="120"/>
        <w:textAlignment w:val="baseline"/>
        <w:rPr>
          <w:rFonts w:asciiTheme="majorBidi" w:hAnsiTheme="majorBidi" w:cstheme="majorBidi"/>
          <w:color w:val="000000" w:themeColor="text1"/>
          <w:sz w:val="22"/>
          <w:szCs w:val="22"/>
        </w:rPr>
      </w:pPr>
      <w:r w:rsidRPr="00B3383B">
        <w:rPr>
          <w:rFonts w:asciiTheme="majorBidi" w:hAnsiTheme="majorBidi" w:cstheme="majorBidi"/>
          <w:color w:val="000000" w:themeColor="text1"/>
          <w:sz w:val="22"/>
          <w:szCs w:val="22"/>
        </w:rPr>
        <w:t>Table 3</w:t>
      </w:r>
      <w:r w:rsidRPr="00ED7E61">
        <w:rPr>
          <w:rFonts w:asciiTheme="majorBidi" w:hAnsiTheme="majorBidi" w:cstheme="majorBidi"/>
          <w:color w:val="000000" w:themeColor="text1"/>
          <w:sz w:val="22"/>
          <w:szCs w:val="22"/>
        </w:rPr>
        <w:t xml:space="preserve"> </w:t>
      </w:r>
      <w:r>
        <w:rPr>
          <w:rFonts w:asciiTheme="majorBidi" w:hAnsiTheme="majorBidi" w:cstheme="majorBidi"/>
          <w:color w:val="000000" w:themeColor="text1"/>
          <w:sz w:val="22"/>
          <w:szCs w:val="22"/>
        </w:rPr>
        <w:br/>
      </w:r>
      <w:r w:rsidRPr="00B3383B">
        <w:rPr>
          <w:rFonts w:asciiTheme="majorBidi" w:hAnsiTheme="majorBidi" w:cstheme="majorBidi"/>
          <w:b/>
          <w:bCs/>
          <w:color w:val="000000" w:themeColor="text1"/>
          <w:sz w:val="22"/>
          <w:szCs w:val="22"/>
        </w:rPr>
        <w:t>Hypothetical results for target Y from three questions (Y1, Y2 &amp; Y3) showing the number of answers from Parties for each option in the years 2026 and 2029</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1200"/>
        <w:gridCol w:w="1290"/>
        <w:gridCol w:w="1515"/>
        <w:gridCol w:w="1395"/>
        <w:gridCol w:w="1290"/>
        <w:gridCol w:w="1335"/>
      </w:tblGrid>
      <w:tr w:rsidR="00163D20" w:rsidRPr="00CE618B" w14:paraId="442E979A" w14:textId="77777777" w:rsidTr="00AA4CEC">
        <w:trPr>
          <w:trHeight w:val="300"/>
        </w:trPr>
        <w:tc>
          <w:tcPr>
            <w:tcW w:w="1275" w:type="dxa"/>
            <w:tcBorders>
              <w:top w:val="nil"/>
              <w:left w:val="nil"/>
              <w:bottom w:val="single" w:sz="6" w:space="0" w:color="auto"/>
              <w:right w:val="nil"/>
            </w:tcBorders>
            <w:shd w:val="clear" w:color="auto" w:fill="auto"/>
            <w:hideMark/>
          </w:tcPr>
          <w:p w14:paraId="2E8F45D0" w14:textId="77777777" w:rsidR="00163D20" w:rsidRPr="00B3383B" w:rsidRDefault="00163D20" w:rsidP="00395866">
            <w:pPr>
              <w:jc w:val="both"/>
              <w:textAlignment w:val="baseline"/>
              <w:rPr>
                <w:rFonts w:asciiTheme="majorBidi" w:hAnsiTheme="majorBidi" w:cstheme="majorBidi"/>
                <w:i/>
                <w:iCs/>
                <w:color w:val="000000" w:themeColor="text1"/>
                <w:sz w:val="20"/>
                <w:szCs w:val="20"/>
              </w:rPr>
            </w:pPr>
            <w:r w:rsidRPr="00B3383B">
              <w:rPr>
                <w:rFonts w:asciiTheme="majorBidi" w:hAnsiTheme="majorBidi" w:cstheme="majorBidi"/>
                <w:i/>
                <w:iCs/>
                <w:color w:val="000000" w:themeColor="text1"/>
                <w:sz w:val="20"/>
                <w:szCs w:val="20"/>
              </w:rPr>
              <w:t> </w:t>
            </w:r>
          </w:p>
        </w:tc>
        <w:tc>
          <w:tcPr>
            <w:tcW w:w="1200" w:type="dxa"/>
            <w:tcBorders>
              <w:top w:val="nil"/>
              <w:left w:val="nil"/>
              <w:bottom w:val="single" w:sz="6" w:space="0" w:color="auto"/>
              <w:right w:val="single" w:sz="6" w:space="0" w:color="auto"/>
            </w:tcBorders>
            <w:shd w:val="clear" w:color="auto" w:fill="auto"/>
            <w:hideMark/>
          </w:tcPr>
          <w:p w14:paraId="49761906" w14:textId="77777777" w:rsidR="00163D20" w:rsidRPr="00B3383B" w:rsidRDefault="00163D20" w:rsidP="00395866">
            <w:pPr>
              <w:jc w:val="both"/>
              <w:textAlignment w:val="baseline"/>
              <w:rPr>
                <w:rFonts w:asciiTheme="majorBidi" w:hAnsiTheme="majorBidi" w:cstheme="majorBidi"/>
                <w:i/>
                <w:iCs/>
                <w:color w:val="000000" w:themeColor="text1"/>
                <w:sz w:val="20"/>
                <w:szCs w:val="20"/>
              </w:rPr>
            </w:pPr>
            <w:r w:rsidRPr="00B3383B">
              <w:rPr>
                <w:rFonts w:asciiTheme="majorBidi" w:hAnsiTheme="majorBidi" w:cstheme="majorBidi"/>
                <w:i/>
                <w:iCs/>
                <w:color w:val="000000" w:themeColor="text1"/>
                <w:sz w:val="20"/>
                <w:szCs w:val="20"/>
              </w:rPr>
              <w:t>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2AADA90" w14:textId="77777777" w:rsidR="00163D20" w:rsidRPr="00B3383B" w:rsidRDefault="00163D20" w:rsidP="00395866">
            <w:pPr>
              <w:jc w:val="both"/>
              <w:textAlignment w:val="baseline"/>
              <w:rPr>
                <w:rFonts w:asciiTheme="majorBidi" w:hAnsiTheme="majorBidi" w:cstheme="majorBidi"/>
                <w:i/>
                <w:iCs/>
                <w:color w:val="000000" w:themeColor="text1"/>
                <w:sz w:val="20"/>
                <w:szCs w:val="20"/>
              </w:rPr>
            </w:pPr>
            <w:r w:rsidRPr="00B3383B">
              <w:rPr>
                <w:rFonts w:asciiTheme="majorBidi" w:hAnsiTheme="majorBidi" w:cstheme="majorBidi"/>
                <w:i/>
                <w:iCs/>
                <w:color w:val="000000" w:themeColor="text1"/>
                <w:sz w:val="20"/>
                <w:szCs w:val="20"/>
              </w:rPr>
              <w:t>No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F8FA8EA" w14:textId="0E894BAB" w:rsidR="00163D20" w:rsidRPr="00B3383B" w:rsidRDefault="00382612" w:rsidP="00395866">
            <w:pPr>
              <w:textAlignment w:val="baseline"/>
              <w:rPr>
                <w:rFonts w:asciiTheme="majorBidi" w:hAnsiTheme="majorBidi" w:cstheme="majorBidi"/>
                <w:i/>
                <w:iCs/>
                <w:color w:val="000000" w:themeColor="text1"/>
                <w:sz w:val="20"/>
                <w:szCs w:val="20"/>
              </w:rPr>
            </w:pPr>
            <w:r w:rsidRPr="00B3383B">
              <w:rPr>
                <w:rFonts w:asciiTheme="majorBidi" w:hAnsiTheme="majorBidi" w:cstheme="majorBidi"/>
                <w:i/>
                <w:iCs/>
                <w:color w:val="000000" w:themeColor="text1"/>
                <w:sz w:val="20"/>
                <w:szCs w:val="20"/>
              </w:rPr>
              <w:t>U</w:t>
            </w:r>
            <w:r w:rsidR="00163D20" w:rsidRPr="00B3383B">
              <w:rPr>
                <w:rFonts w:asciiTheme="majorBidi" w:hAnsiTheme="majorBidi" w:cstheme="majorBidi"/>
                <w:i/>
                <w:iCs/>
                <w:color w:val="000000" w:themeColor="text1"/>
                <w:sz w:val="20"/>
                <w:szCs w:val="20"/>
              </w:rPr>
              <w:t>nder development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45501AB5" w14:textId="442891C6" w:rsidR="00163D20" w:rsidRPr="00B3383B" w:rsidRDefault="00382612" w:rsidP="00395866">
            <w:pPr>
              <w:jc w:val="both"/>
              <w:textAlignment w:val="baseline"/>
              <w:rPr>
                <w:rFonts w:asciiTheme="majorBidi" w:hAnsiTheme="majorBidi" w:cstheme="majorBidi"/>
                <w:i/>
                <w:iCs/>
                <w:color w:val="000000" w:themeColor="text1"/>
                <w:sz w:val="20"/>
                <w:szCs w:val="20"/>
              </w:rPr>
            </w:pPr>
            <w:r w:rsidRPr="00B3383B">
              <w:rPr>
                <w:rFonts w:asciiTheme="majorBidi" w:hAnsiTheme="majorBidi" w:cstheme="majorBidi"/>
                <w:i/>
                <w:iCs/>
                <w:color w:val="000000" w:themeColor="text1"/>
                <w:sz w:val="20"/>
                <w:szCs w:val="20"/>
              </w:rPr>
              <w:t>P</w:t>
            </w:r>
            <w:r w:rsidR="00163D20" w:rsidRPr="00B3383B">
              <w:rPr>
                <w:rFonts w:asciiTheme="majorBidi" w:hAnsiTheme="majorBidi" w:cstheme="majorBidi"/>
                <w:i/>
                <w:iCs/>
                <w:color w:val="000000" w:themeColor="text1"/>
                <w:sz w:val="20"/>
                <w:szCs w:val="20"/>
              </w:rPr>
              <w:t>artially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2D1D7BC7" w14:textId="636D2AAD" w:rsidR="00163D20" w:rsidRPr="00B3383B" w:rsidRDefault="00382612" w:rsidP="00395866">
            <w:pPr>
              <w:jc w:val="both"/>
              <w:textAlignment w:val="baseline"/>
              <w:rPr>
                <w:rFonts w:asciiTheme="majorBidi" w:hAnsiTheme="majorBidi" w:cstheme="majorBidi"/>
                <w:i/>
                <w:iCs/>
                <w:color w:val="000000" w:themeColor="text1"/>
                <w:sz w:val="20"/>
                <w:szCs w:val="20"/>
              </w:rPr>
            </w:pPr>
            <w:r w:rsidRPr="00B3383B">
              <w:rPr>
                <w:rFonts w:asciiTheme="majorBidi" w:hAnsiTheme="majorBidi" w:cstheme="majorBidi"/>
                <w:i/>
                <w:iCs/>
                <w:color w:val="000000" w:themeColor="text1"/>
                <w:sz w:val="20"/>
                <w:szCs w:val="20"/>
              </w:rPr>
              <w:t>F</w:t>
            </w:r>
            <w:r w:rsidRPr="00B3383B">
              <w:rPr>
                <w:i/>
                <w:iCs/>
                <w:sz w:val="20"/>
                <w:szCs w:val="20"/>
              </w:rPr>
              <w:t>ully</w:t>
            </w:r>
            <w:r w:rsidRPr="00B3383B">
              <w:rPr>
                <w:rFonts w:asciiTheme="majorBidi" w:hAnsiTheme="majorBidi" w:cstheme="majorBidi"/>
                <w:i/>
                <w:iCs/>
                <w:color w:val="000000" w:themeColor="text1"/>
                <w:sz w:val="20"/>
                <w:szCs w:val="20"/>
              </w:rPr>
              <w:t>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5F225BF4" w14:textId="77777777" w:rsidR="00163D20" w:rsidRPr="00B3383B" w:rsidRDefault="00163D20" w:rsidP="00395866">
            <w:pPr>
              <w:jc w:val="both"/>
              <w:textAlignment w:val="baseline"/>
              <w:rPr>
                <w:rFonts w:asciiTheme="majorBidi" w:hAnsiTheme="majorBidi" w:cstheme="majorBidi"/>
                <w:i/>
                <w:iCs/>
                <w:color w:val="000000" w:themeColor="text1"/>
                <w:sz w:val="20"/>
                <w:szCs w:val="20"/>
              </w:rPr>
            </w:pPr>
            <w:r w:rsidRPr="00B3383B">
              <w:rPr>
                <w:rFonts w:asciiTheme="majorBidi" w:hAnsiTheme="majorBidi" w:cstheme="majorBidi"/>
                <w:i/>
                <w:iCs/>
                <w:color w:val="000000" w:themeColor="text1"/>
                <w:sz w:val="20"/>
                <w:szCs w:val="20"/>
              </w:rPr>
              <w:t>No answer </w:t>
            </w:r>
          </w:p>
        </w:tc>
      </w:tr>
      <w:tr w:rsidR="00163D20" w:rsidRPr="00CE618B" w14:paraId="6868CDA8" w14:textId="77777777" w:rsidTr="00AA4CEC">
        <w:trPr>
          <w:trHeight w:val="300"/>
        </w:trPr>
        <w:tc>
          <w:tcPr>
            <w:tcW w:w="127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A7AC15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Y1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6259057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2026 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0C34A485"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55 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A982B7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63 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1AC7D044"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50 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E8D9358"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17 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185AA496"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11 </w:t>
            </w:r>
          </w:p>
        </w:tc>
      </w:tr>
      <w:tr w:rsidR="00163D20" w:rsidRPr="00CE618B" w14:paraId="4B6A09DB" w14:textId="77777777" w:rsidTr="00AA4CEC">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A68498" w14:textId="77777777" w:rsidR="00163D20" w:rsidRPr="00B3383B" w:rsidRDefault="00163D20" w:rsidP="00395866">
            <w:pPr>
              <w:rPr>
                <w:rFonts w:asciiTheme="majorBidi" w:hAnsiTheme="majorBidi" w:cstheme="majorBidi"/>
                <w:color w:val="000000" w:themeColor="text1"/>
                <w:sz w:val="20"/>
                <w:szCs w:val="20"/>
              </w:rPr>
            </w:pP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6A397789"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2029 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39ABA51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30 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8E8AFBC"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35 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61AA6D00"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80 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6224918F"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45 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2FF0FEC1"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6 </w:t>
            </w:r>
          </w:p>
        </w:tc>
      </w:tr>
      <w:tr w:rsidR="00163D20" w:rsidRPr="00CE618B" w14:paraId="3C09DA52" w14:textId="77777777" w:rsidTr="00AA4CEC">
        <w:trPr>
          <w:trHeight w:val="300"/>
        </w:trPr>
        <w:tc>
          <w:tcPr>
            <w:tcW w:w="1275" w:type="dxa"/>
            <w:tcBorders>
              <w:top w:val="single" w:sz="6" w:space="0" w:color="auto"/>
              <w:left w:val="single" w:sz="6" w:space="0" w:color="auto"/>
              <w:bottom w:val="single" w:sz="6" w:space="0" w:color="auto"/>
              <w:right w:val="nil"/>
            </w:tcBorders>
            <w:shd w:val="clear" w:color="auto" w:fill="auto"/>
            <w:hideMark/>
          </w:tcPr>
          <w:p w14:paraId="3E08E4EF"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200" w:type="dxa"/>
            <w:tcBorders>
              <w:top w:val="single" w:sz="6" w:space="0" w:color="auto"/>
              <w:left w:val="nil"/>
              <w:bottom w:val="single" w:sz="6" w:space="0" w:color="auto"/>
              <w:right w:val="nil"/>
            </w:tcBorders>
            <w:shd w:val="clear" w:color="auto" w:fill="auto"/>
            <w:hideMark/>
          </w:tcPr>
          <w:p w14:paraId="76437E8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290" w:type="dxa"/>
            <w:tcBorders>
              <w:top w:val="single" w:sz="6" w:space="0" w:color="auto"/>
              <w:left w:val="nil"/>
              <w:bottom w:val="single" w:sz="6" w:space="0" w:color="auto"/>
              <w:right w:val="nil"/>
            </w:tcBorders>
            <w:shd w:val="clear" w:color="auto" w:fill="auto"/>
            <w:hideMark/>
          </w:tcPr>
          <w:p w14:paraId="165951B1"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515" w:type="dxa"/>
            <w:tcBorders>
              <w:top w:val="single" w:sz="6" w:space="0" w:color="auto"/>
              <w:left w:val="nil"/>
              <w:bottom w:val="single" w:sz="6" w:space="0" w:color="auto"/>
              <w:right w:val="nil"/>
            </w:tcBorders>
            <w:shd w:val="clear" w:color="auto" w:fill="auto"/>
            <w:hideMark/>
          </w:tcPr>
          <w:p w14:paraId="7B9FAE91"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395" w:type="dxa"/>
            <w:tcBorders>
              <w:top w:val="single" w:sz="6" w:space="0" w:color="auto"/>
              <w:left w:val="nil"/>
              <w:bottom w:val="single" w:sz="6" w:space="0" w:color="auto"/>
              <w:right w:val="nil"/>
            </w:tcBorders>
            <w:shd w:val="clear" w:color="auto" w:fill="auto"/>
            <w:hideMark/>
          </w:tcPr>
          <w:p w14:paraId="37F8E484"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290" w:type="dxa"/>
            <w:tcBorders>
              <w:top w:val="single" w:sz="6" w:space="0" w:color="auto"/>
              <w:left w:val="nil"/>
              <w:bottom w:val="single" w:sz="6" w:space="0" w:color="auto"/>
              <w:right w:val="nil"/>
            </w:tcBorders>
            <w:shd w:val="clear" w:color="auto" w:fill="auto"/>
            <w:hideMark/>
          </w:tcPr>
          <w:p w14:paraId="62636EE6"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335" w:type="dxa"/>
            <w:tcBorders>
              <w:top w:val="single" w:sz="6" w:space="0" w:color="auto"/>
              <w:left w:val="nil"/>
              <w:bottom w:val="single" w:sz="6" w:space="0" w:color="auto"/>
              <w:right w:val="single" w:sz="6" w:space="0" w:color="auto"/>
            </w:tcBorders>
            <w:shd w:val="clear" w:color="auto" w:fill="auto"/>
            <w:hideMark/>
          </w:tcPr>
          <w:p w14:paraId="1BA24A52"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r>
      <w:tr w:rsidR="00163D20" w:rsidRPr="00CE618B" w14:paraId="17524F8A" w14:textId="77777777" w:rsidTr="00AA4CEC">
        <w:trPr>
          <w:trHeight w:val="300"/>
        </w:trPr>
        <w:tc>
          <w:tcPr>
            <w:tcW w:w="127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1094DE9"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Y2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3CFEC07B"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2026 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142B0A8C"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67 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2406ADC"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33 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C50572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55 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012B8BB2"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33 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7E9AE50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8 </w:t>
            </w:r>
          </w:p>
        </w:tc>
      </w:tr>
      <w:tr w:rsidR="00163D20" w:rsidRPr="00CE618B" w14:paraId="654EE739" w14:textId="77777777" w:rsidTr="00AA4CEC">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C20D1E" w14:textId="77777777" w:rsidR="00163D20" w:rsidRPr="00B3383B" w:rsidRDefault="00163D20" w:rsidP="00395866">
            <w:pPr>
              <w:rPr>
                <w:rFonts w:asciiTheme="majorBidi" w:hAnsiTheme="majorBidi" w:cstheme="majorBidi"/>
                <w:color w:val="000000" w:themeColor="text1"/>
                <w:sz w:val="20"/>
                <w:szCs w:val="20"/>
              </w:rPr>
            </w:pP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6E7E0346"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2029 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73508A4A"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62 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3D62E71"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27 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AC0A51A"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60 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4B8AC09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40 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250C561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7 </w:t>
            </w:r>
          </w:p>
        </w:tc>
      </w:tr>
      <w:tr w:rsidR="00163D20" w:rsidRPr="00CE618B" w14:paraId="5DC87B97" w14:textId="77777777" w:rsidTr="00AA4CEC">
        <w:trPr>
          <w:trHeight w:val="300"/>
        </w:trPr>
        <w:tc>
          <w:tcPr>
            <w:tcW w:w="1275" w:type="dxa"/>
            <w:tcBorders>
              <w:top w:val="single" w:sz="6" w:space="0" w:color="auto"/>
              <w:left w:val="single" w:sz="6" w:space="0" w:color="auto"/>
              <w:bottom w:val="single" w:sz="6" w:space="0" w:color="auto"/>
              <w:right w:val="nil"/>
            </w:tcBorders>
            <w:shd w:val="clear" w:color="auto" w:fill="auto"/>
            <w:hideMark/>
          </w:tcPr>
          <w:p w14:paraId="1F096B1F"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200" w:type="dxa"/>
            <w:tcBorders>
              <w:top w:val="single" w:sz="6" w:space="0" w:color="auto"/>
              <w:left w:val="nil"/>
              <w:bottom w:val="single" w:sz="6" w:space="0" w:color="auto"/>
              <w:right w:val="nil"/>
            </w:tcBorders>
            <w:shd w:val="clear" w:color="auto" w:fill="auto"/>
            <w:hideMark/>
          </w:tcPr>
          <w:p w14:paraId="475F4FF0"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290" w:type="dxa"/>
            <w:tcBorders>
              <w:top w:val="single" w:sz="6" w:space="0" w:color="auto"/>
              <w:left w:val="nil"/>
              <w:bottom w:val="single" w:sz="6" w:space="0" w:color="auto"/>
              <w:right w:val="nil"/>
            </w:tcBorders>
            <w:shd w:val="clear" w:color="auto" w:fill="auto"/>
            <w:hideMark/>
          </w:tcPr>
          <w:p w14:paraId="2E8A9590"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515" w:type="dxa"/>
            <w:tcBorders>
              <w:top w:val="single" w:sz="6" w:space="0" w:color="auto"/>
              <w:left w:val="nil"/>
              <w:bottom w:val="single" w:sz="6" w:space="0" w:color="auto"/>
              <w:right w:val="nil"/>
            </w:tcBorders>
            <w:shd w:val="clear" w:color="auto" w:fill="auto"/>
            <w:hideMark/>
          </w:tcPr>
          <w:p w14:paraId="159873F5"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395" w:type="dxa"/>
            <w:tcBorders>
              <w:top w:val="single" w:sz="6" w:space="0" w:color="auto"/>
              <w:left w:val="nil"/>
              <w:bottom w:val="single" w:sz="6" w:space="0" w:color="auto"/>
              <w:right w:val="nil"/>
            </w:tcBorders>
            <w:shd w:val="clear" w:color="auto" w:fill="auto"/>
            <w:hideMark/>
          </w:tcPr>
          <w:p w14:paraId="14A52BCA"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290" w:type="dxa"/>
            <w:tcBorders>
              <w:top w:val="single" w:sz="6" w:space="0" w:color="auto"/>
              <w:left w:val="nil"/>
              <w:bottom w:val="single" w:sz="6" w:space="0" w:color="auto"/>
              <w:right w:val="nil"/>
            </w:tcBorders>
            <w:shd w:val="clear" w:color="auto" w:fill="auto"/>
            <w:hideMark/>
          </w:tcPr>
          <w:p w14:paraId="1F8D9730"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335" w:type="dxa"/>
            <w:tcBorders>
              <w:top w:val="single" w:sz="6" w:space="0" w:color="auto"/>
              <w:left w:val="nil"/>
              <w:bottom w:val="single" w:sz="6" w:space="0" w:color="auto"/>
              <w:right w:val="single" w:sz="6" w:space="0" w:color="auto"/>
            </w:tcBorders>
            <w:shd w:val="clear" w:color="auto" w:fill="auto"/>
            <w:hideMark/>
          </w:tcPr>
          <w:p w14:paraId="15EDC5C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r>
      <w:tr w:rsidR="00163D20" w:rsidRPr="00CE618B" w14:paraId="537ACCD4" w14:textId="77777777" w:rsidTr="00AA4CEC">
        <w:trPr>
          <w:trHeight w:val="300"/>
        </w:trPr>
        <w:tc>
          <w:tcPr>
            <w:tcW w:w="127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F3A4112"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Y3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28DF3AFD"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2026 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16E6C1AC"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15 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DA09B15"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65 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056A45E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57 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59097202"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47 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5A67998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12 </w:t>
            </w:r>
          </w:p>
        </w:tc>
      </w:tr>
      <w:tr w:rsidR="00163D20" w:rsidRPr="00CE618B" w14:paraId="000FEABA" w14:textId="77777777" w:rsidTr="00AA4CEC">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10BE9A" w14:textId="77777777" w:rsidR="00163D20" w:rsidRPr="00B3383B" w:rsidRDefault="00163D20" w:rsidP="00395866">
            <w:pPr>
              <w:rPr>
                <w:rFonts w:asciiTheme="majorBidi" w:hAnsiTheme="majorBidi" w:cstheme="majorBidi"/>
                <w:color w:val="000000" w:themeColor="text1"/>
                <w:sz w:val="20"/>
                <w:szCs w:val="20"/>
              </w:rPr>
            </w:pP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026CEEC5"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2029 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2810A05C"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0E4A405"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50 </w:t>
            </w:r>
          </w:p>
        </w:tc>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E751FF1"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75 </w:t>
            </w:r>
          </w:p>
        </w:tc>
        <w:tc>
          <w:tcPr>
            <w:tcW w:w="1290" w:type="dxa"/>
            <w:tcBorders>
              <w:top w:val="single" w:sz="6" w:space="0" w:color="auto"/>
              <w:left w:val="single" w:sz="6" w:space="0" w:color="auto"/>
              <w:bottom w:val="single" w:sz="6" w:space="0" w:color="auto"/>
              <w:right w:val="single" w:sz="6" w:space="0" w:color="auto"/>
            </w:tcBorders>
            <w:shd w:val="clear" w:color="auto" w:fill="auto"/>
            <w:hideMark/>
          </w:tcPr>
          <w:p w14:paraId="6E574F5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56 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268CBBD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5 </w:t>
            </w:r>
          </w:p>
        </w:tc>
      </w:tr>
    </w:tbl>
    <w:p w14:paraId="7DAC8216" w14:textId="7F2F81CC" w:rsidR="00163D20" w:rsidRPr="00ED7E61" w:rsidRDefault="00163D20" w:rsidP="00395866">
      <w:pPr>
        <w:jc w:val="both"/>
        <w:textAlignment w:val="baseline"/>
        <w:rPr>
          <w:rFonts w:asciiTheme="majorBidi" w:hAnsiTheme="majorBidi" w:cstheme="majorBidi"/>
          <w:color w:val="000000" w:themeColor="text1"/>
          <w:sz w:val="22"/>
          <w:szCs w:val="22"/>
        </w:rPr>
      </w:pPr>
      <w:r w:rsidRPr="00ED7E61">
        <w:rPr>
          <w:rFonts w:asciiTheme="majorBidi" w:hAnsiTheme="majorBidi" w:cstheme="majorBidi"/>
          <w:color w:val="000000" w:themeColor="text1"/>
          <w:sz w:val="22"/>
          <w:szCs w:val="22"/>
        </w:rPr>
        <w:t> </w:t>
      </w:r>
    </w:p>
    <w:p w14:paraId="050DB541" w14:textId="373E70E7" w:rsidR="000B7DE0" w:rsidRDefault="00472F9E" w:rsidP="00472F9E">
      <w:pPr>
        <w:textAlignment w:val="baseline"/>
        <w:rPr>
          <w:rFonts w:asciiTheme="majorBidi" w:hAnsiTheme="majorBidi" w:cstheme="majorBidi"/>
          <w:b/>
          <w:bCs/>
          <w:color w:val="000000" w:themeColor="text1"/>
          <w:sz w:val="22"/>
          <w:szCs w:val="22"/>
        </w:rPr>
      </w:pPr>
      <w:r w:rsidRPr="00B3383B">
        <w:rPr>
          <w:rFonts w:asciiTheme="majorBidi" w:hAnsiTheme="majorBidi" w:cstheme="majorBidi"/>
          <w:color w:val="000000" w:themeColor="text1"/>
          <w:sz w:val="22"/>
          <w:szCs w:val="22"/>
        </w:rPr>
        <w:t>Table 4</w:t>
      </w:r>
      <w:r w:rsidRPr="00ED7E61">
        <w:rPr>
          <w:rFonts w:asciiTheme="majorBidi" w:hAnsiTheme="majorBidi" w:cstheme="majorBidi"/>
          <w:b/>
          <w:bCs/>
          <w:color w:val="000000" w:themeColor="text1"/>
          <w:sz w:val="22"/>
          <w:szCs w:val="22"/>
        </w:rPr>
        <w:t xml:space="preserve"> </w:t>
      </w:r>
      <w:r>
        <w:rPr>
          <w:rFonts w:asciiTheme="majorBidi" w:hAnsiTheme="majorBidi" w:cstheme="majorBidi"/>
          <w:b/>
          <w:bCs/>
          <w:color w:val="000000" w:themeColor="text1"/>
          <w:sz w:val="22"/>
          <w:szCs w:val="22"/>
        </w:rPr>
        <w:br/>
      </w:r>
      <w:r w:rsidRPr="00B3383B">
        <w:rPr>
          <w:rFonts w:asciiTheme="majorBidi" w:hAnsiTheme="majorBidi" w:cstheme="majorBidi"/>
          <w:b/>
          <w:bCs/>
          <w:color w:val="000000" w:themeColor="text1"/>
          <w:sz w:val="22"/>
          <w:szCs w:val="22"/>
        </w:rPr>
        <w:t xml:space="preserve">Results from </w:t>
      </w:r>
      <w:r w:rsidR="000B7DE0">
        <w:rPr>
          <w:rFonts w:asciiTheme="majorBidi" w:hAnsiTheme="majorBidi" w:cstheme="majorBidi"/>
          <w:b/>
          <w:bCs/>
          <w:color w:val="000000" w:themeColor="text1"/>
          <w:sz w:val="22"/>
          <w:szCs w:val="22"/>
        </w:rPr>
        <w:t>t</w:t>
      </w:r>
      <w:r w:rsidRPr="00B3383B">
        <w:rPr>
          <w:rFonts w:asciiTheme="majorBidi" w:hAnsiTheme="majorBidi" w:cstheme="majorBidi"/>
          <w:b/>
          <w:bCs/>
          <w:color w:val="000000" w:themeColor="text1"/>
          <w:sz w:val="22"/>
          <w:szCs w:val="22"/>
        </w:rPr>
        <w:t>able 1 summari</w:t>
      </w:r>
      <w:r>
        <w:rPr>
          <w:rFonts w:asciiTheme="majorBidi" w:hAnsiTheme="majorBidi" w:cstheme="majorBidi"/>
          <w:b/>
          <w:bCs/>
          <w:color w:val="000000" w:themeColor="text1"/>
          <w:sz w:val="22"/>
          <w:szCs w:val="22"/>
        </w:rPr>
        <w:t>z</w:t>
      </w:r>
      <w:r w:rsidRPr="00B3383B">
        <w:rPr>
          <w:rFonts w:asciiTheme="majorBidi" w:hAnsiTheme="majorBidi" w:cstheme="majorBidi"/>
          <w:b/>
          <w:bCs/>
          <w:color w:val="000000" w:themeColor="text1"/>
          <w:sz w:val="22"/>
          <w:szCs w:val="22"/>
        </w:rPr>
        <w:t>ed into 0-5 outcome scale for target Y as a result of the aggregation methodology</w:t>
      </w:r>
    </w:p>
    <w:p w14:paraId="60BCD6AB" w14:textId="45CE1840" w:rsidR="00163D20" w:rsidRPr="00B3383B" w:rsidRDefault="00163D20" w:rsidP="00B3383B">
      <w:pPr>
        <w:textAlignment w:val="baseline"/>
        <w:rPr>
          <w:rFonts w:asciiTheme="majorBidi" w:hAnsiTheme="majorBidi" w:cstheme="majorBidi"/>
          <w:i/>
          <w:iCs/>
          <w:color w:val="000000" w:themeColor="text1"/>
          <w:sz w:val="22"/>
          <w:szCs w:val="22"/>
        </w:rPr>
      </w:pPr>
    </w:p>
    <w:tbl>
      <w:tblPr>
        <w:tblW w:w="9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960"/>
        <w:gridCol w:w="1139"/>
        <w:gridCol w:w="1134"/>
        <w:gridCol w:w="1134"/>
        <w:gridCol w:w="1276"/>
        <w:gridCol w:w="1417"/>
        <w:gridCol w:w="1276"/>
      </w:tblGrid>
      <w:tr w:rsidR="00163D20" w:rsidRPr="00C66D9D" w14:paraId="437B63DE" w14:textId="77777777" w:rsidTr="005B0D1E">
        <w:trPr>
          <w:trHeight w:val="300"/>
        </w:trPr>
        <w:tc>
          <w:tcPr>
            <w:tcW w:w="1020" w:type="dxa"/>
            <w:tcBorders>
              <w:top w:val="nil"/>
              <w:left w:val="nil"/>
              <w:bottom w:val="nil"/>
              <w:right w:val="nil"/>
            </w:tcBorders>
            <w:shd w:val="clear" w:color="auto" w:fill="auto"/>
            <w:hideMark/>
          </w:tcPr>
          <w:p w14:paraId="478449D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960" w:type="dxa"/>
            <w:tcBorders>
              <w:top w:val="nil"/>
              <w:left w:val="nil"/>
              <w:bottom w:val="nil"/>
              <w:right w:val="single" w:sz="6" w:space="0" w:color="auto"/>
            </w:tcBorders>
            <w:shd w:val="clear" w:color="auto" w:fill="auto"/>
            <w:hideMark/>
          </w:tcPr>
          <w:p w14:paraId="3912AB22"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7376" w:type="dxa"/>
            <w:gridSpan w:val="6"/>
            <w:tcBorders>
              <w:top w:val="single" w:sz="6" w:space="0" w:color="auto"/>
              <w:left w:val="single" w:sz="6" w:space="0" w:color="auto"/>
              <w:bottom w:val="single" w:sz="6" w:space="0" w:color="auto"/>
              <w:right w:val="single" w:sz="6" w:space="0" w:color="auto"/>
            </w:tcBorders>
            <w:shd w:val="clear" w:color="auto" w:fill="auto"/>
            <w:hideMark/>
          </w:tcPr>
          <w:p w14:paraId="1C3BF6E5" w14:textId="77777777" w:rsidR="00163D20" w:rsidRPr="00B3383B" w:rsidRDefault="00163D20" w:rsidP="00395866">
            <w:pPr>
              <w:jc w:val="center"/>
              <w:textAlignment w:val="baseline"/>
              <w:rPr>
                <w:rFonts w:asciiTheme="majorBidi" w:hAnsiTheme="majorBidi" w:cstheme="majorBidi"/>
                <w:i/>
                <w:iCs/>
                <w:color w:val="000000" w:themeColor="text1"/>
                <w:sz w:val="20"/>
                <w:szCs w:val="20"/>
              </w:rPr>
            </w:pPr>
            <w:r w:rsidRPr="00B3383B">
              <w:rPr>
                <w:rFonts w:asciiTheme="majorBidi" w:hAnsiTheme="majorBidi" w:cstheme="majorBidi"/>
                <w:i/>
                <w:iCs/>
                <w:color w:val="000000" w:themeColor="text1"/>
                <w:sz w:val="20"/>
                <w:szCs w:val="20"/>
              </w:rPr>
              <w:t>Global progress </w:t>
            </w:r>
          </w:p>
        </w:tc>
      </w:tr>
      <w:tr w:rsidR="00163D20" w:rsidRPr="00C66D9D" w14:paraId="70A9E222" w14:textId="77777777" w:rsidTr="005B0D1E">
        <w:trPr>
          <w:trHeight w:val="300"/>
        </w:trPr>
        <w:tc>
          <w:tcPr>
            <w:tcW w:w="1020" w:type="dxa"/>
            <w:tcBorders>
              <w:top w:val="nil"/>
              <w:left w:val="nil"/>
              <w:bottom w:val="single" w:sz="6" w:space="0" w:color="auto"/>
              <w:right w:val="nil"/>
            </w:tcBorders>
            <w:shd w:val="clear" w:color="auto" w:fill="auto"/>
            <w:hideMark/>
          </w:tcPr>
          <w:p w14:paraId="6FB309B9"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960" w:type="dxa"/>
            <w:tcBorders>
              <w:top w:val="nil"/>
              <w:left w:val="nil"/>
              <w:bottom w:val="single" w:sz="6" w:space="0" w:color="auto"/>
              <w:right w:val="single" w:sz="6" w:space="0" w:color="auto"/>
            </w:tcBorders>
            <w:shd w:val="clear" w:color="auto" w:fill="auto"/>
            <w:hideMark/>
          </w:tcPr>
          <w:p w14:paraId="4288E26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 </w:t>
            </w:r>
          </w:p>
        </w:tc>
        <w:tc>
          <w:tcPr>
            <w:tcW w:w="1139" w:type="dxa"/>
            <w:tcBorders>
              <w:top w:val="single" w:sz="6" w:space="0" w:color="auto"/>
              <w:left w:val="single" w:sz="6" w:space="0" w:color="auto"/>
              <w:bottom w:val="single" w:sz="6" w:space="0" w:color="auto"/>
              <w:right w:val="single" w:sz="6" w:space="0" w:color="auto"/>
            </w:tcBorders>
            <w:shd w:val="clear" w:color="auto" w:fill="auto"/>
            <w:hideMark/>
          </w:tcPr>
          <w:p w14:paraId="1861C443"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0 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9B2FF13"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2F079B5"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3E79EDB2"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3 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6A09071"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38D22388" w14:textId="77777777" w:rsidR="00163D20" w:rsidRPr="00B3383B" w:rsidRDefault="00163D20" w:rsidP="00395866">
            <w:pPr>
              <w:jc w:val="center"/>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5 </w:t>
            </w:r>
          </w:p>
        </w:tc>
      </w:tr>
      <w:tr w:rsidR="00163D20" w:rsidRPr="00C66D9D" w14:paraId="6560B7F6" w14:textId="77777777" w:rsidTr="005B0D1E">
        <w:trPr>
          <w:trHeight w:val="300"/>
        </w:trPr>
        <w:tc>
          <w:tcPr>
            <w:tcW w:w="10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55285D"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Overall </w:t>
            </w:r>
          </w:p>
        </w:tc>
        <w:tc>
          <w:tcPr>
            <w:tcW w:w="960" w:type="dxa"/>
            <w:tcBorders>
              <w:top w:val="single" w:sz="6" w:space="0" w:color="auto"/>
              <w:left w:val="single" w:sz="6" w:space="0" w:color="auto"/>
              <w:bottom w:val="single" w:sz="6" w:space="0" w:color="auto"/>
              <w:right w:val="single" w:sz="6" w:space="0" w:color="auto"/>
            </w:tcBorders>
            <w:shd w:val="clear" w:color="auto" w:fill="auto"/>
            <w:hideMark/>
          </w:tcPr>
          <w:p w14:paraId="1DFA54EC"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2026 </w:t>
            </w:r>
          </w:p>
        </w:tc>
        <w:tc>
          <w:tcPr>
            <w:tcW w:w="1139" w:type="dxa"/>
            <w:tcBorders>
              <w:top w:val="single" w:sz="6" w:space="0" w:color="auto"/>
              <w:left w:val="single" w:sz="6" w:space="0" w:color="auto"/>
              <w:bottom w:val="single" w:sz="6" w:space="0" w:color="auto"/>
              <w:right w:val="single" w:sz="6" w:space="0" w:color="auto"/>
            </w:tcBorders>
            <w:shd w:val="clear" w:color="auto" w:fill="auto"/>
            <w:hideMark/>
          </w:tcPr>
          <w:p w14:paraId="2798B31C"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15 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81BF6B1"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33 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3D39CA5"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42 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82D568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51 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E5E8602"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38 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0B4807D2"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17 </w:t>
            </w:r>
          </w:p>
        </w:tc>
      </w:tr>
      <w:tr w:rsidR="00163D20" w:rsidRPr="00C66D9D" w14:paraId="6A04BA0F" w14:textId="77777777" w:rsidTr="005B0D1E">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7E4CCE" w14:textId="77777777" w:rsidR="00163D20" w:rsidRPr="00B3383B" w:rsidRDefault="00163D20" w:rsidP="00395866">
            <w:pPr>
              <w:rPr>
                <w:rFonts w:asciiTheme="majorBidi" w:hAnsiTheme="majorBidi" w:cstheme="majorBidi"/>
                <w:color w:val="000000" w:themeColor="text1"/>
                <w:sz w:val="20"/>
                <w:szCs w:val="20"/>
              </w:rPr>
            </w:pPr>
          </w:p>
        </w:tc>
        <w:tc>
          <w:tcPr>
            <w:tcW w:w="960" w:type="dxa"/>
            <w:tcBorders>
              <w:top w:val="single" w:sz="6" w:space="0" w:color="auto"/>
              <w:left w:val="single" w:sz="6" w:space="0" w:color="auto"/>
              <w:bottom w:val="single" w:sz="6" w:space="0" w:color="auto"/>
              <w:right w:val="single" w:sz="6" w:space="0" w:color="auto"/>
            </w:tcBorders>
            <w:shd w:val="clear" w:color="auto" w:fill="auto"/>
            <w:hideMark/>
          </w:tcPr>
          <w:p w14:paraId="6A555F03"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2029 </w:t>
            </w:r>
          </w:p>
        </w:tc>
        <w:tc>
          <w:tcPr>
            <w:tcW w:w="1139" w:type="dxa"/>
            <w:tcBorders>
              <w:top w:val="single" w:sz="6" w:space="0" w:color="auto"/>
              <w:left w:val="single" w:sz="6" w:space="0" w:color="auto"/>
              <w:bottom w:val="single" w:sz="6" w:space="0" w:color="auto"/>
              <w:right w:val="single" w:sz="6" w:space="0" w:color="auto"/>
            </w:tcBorders>
            <w:shd w:val="clear" w:color="auto" w:fill="auto"/>
            <w:hideMark/>
          </w:tcPr>
          <w:p w14:paraId="682AF0AC"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10 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25FD69E"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27 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1B946F6"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49 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7BE423DB"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65 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A407640"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20 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6057275" w14:textId="77777777" w:rsidR="00163D20" w:rsidRPr="00B3383B" w:rsidRDefault="00163D20" w:rsidP="00395866">
            <w:pPr>
              <w:jc w:val="both"/>
              <w:textAlignment w:val="baseline"/>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rPr>
              <w:t>25 </w:t>
            </w:r>
          </w:p>
        </w:tc>
      </w:tr>
    </w:tbl>
    <w:p w14:paraId="0FB587D9" w14:textId="46E76718" w:rsidR="00163D20" w:rsidRPr="00ED7E61" w:rsidRDefault="000B7DE0" w:rsidP="00B3383B">
      <w:pPr>
        <w:jc w:val="both"/>
        <w:textAlignment w:val="baseline"/>
        <w:rPr>
          <w:rFonts w:asciiTheme="majorBidi" w:hAnsiTheme="majorBidi" w:cstheme="majorBidi"/>
          <w:color w:val="000000" w:themeColor="text1"/>
          <w:sz w:val="22"/>
          <w:szCs w:val="22"/>
        </w:rPr>
      </w:pPr>
      <w:r w:rsidRPr="00475B28">
        <w:rPr>
          <w:rFonts w:asciiTheme="majorBidi" w:hAnsiTheme="majorBidi" w:cstheme="majorBidi"/>
          <w:i/>
          <w:iCs/>
          <w:color w:val="000000" w:themeColor="text1"/>
          <w:sz w:val="22"/>
          <w:szCs w:val="22"/>
        </w:rPr>
        <w:t>This summary table does not illustrate how the unique answer sets were used to measure progress. This process would be done by a simple algorithm following the rules outlined above</w:t>
      </w:r>
      <w:r>
        <w:rPr>
          <w:rFonts w:asciiTheme="majorBidi" w:hAnsiTheme="majorBidi" w:cstheme="majorBidi"/>
          <w:i/>
          <w:iCs/>
          <w:color w:val="000000" w:themeColor="text1"/>
          <w:sz w:val="22"/>
          <w:szCs w:val="22"/>
        </w:rPr>
        <w:t>.</w:t>
      </w:r>
      <w:r w:rsidRPr="00ED7E61" w:rsidDel="00472F9E">
        <w:rPr>
          <w:rFonts w:asciiTheme="majorBidi" w:hAnsiTheme="majorBidi" w:cstheme="majorBidi"/>
          <w:b/>
          <w:bCs/>
          <w:color w:val="000000" w:themeColor="text1"/>
          <w:sz w:val="22"/>
          <w:szCs w:val="22"/>
        </w:rPr>
        <w:t xml:space="preserve"> </w:t>
      </w:r>
    </w:p>
    <w:p w14:paraId="5900191B" w14:textId="77777777" w:rsidR="006278C2" w:rsidRDefault="00D37597" w:rsidP="00B3383B">
      <w:pPr>
        <w:jc w:val="center"/>
        <w:textAlignment w:val="baseline"/>
        <w:rPr>
          <w:rFonts w:asciiTheme="majorBidi" w:hAnsiTheme="majorBidi" w:cstheme="majorBidi"/>
          <w:color w:val="000000" w:themeColor="text1"/>
          <w:sz w:val="22"/>
          <w:szCs w:val="22"/>
        </w:rPr>
      </w:pPr>
      <w:r w:rsidRPr="00ED7E61">
        <w:rPr>
          <w:rFonts w:asciiTheme="majorBidi" w:hAnsiTheme="majorBidi" w:cstheme="majorBidi"/>
          <w:noProof/>
          <w:color w:val="000000" w:themeColor="text1"/>
          <w:sz w:val="22"/>
          <w:szCs w:val="22"/>
          <w:lang w:val="fr-FR" w:eastAsia="fr-FR"/>
          <w14:ligatures w14:val="standardContextual"/>
        </w:rPr>
        <w:drawing>
          <wp:inline distT="0" distB="0" distL="0" distR="0" wp14:anchorId="0A35ED50" wp14:editId="2E0E7347">
            <wp:extent cx="5016500" cy="2882802"/>
            <wp:effectExtent l="0" t="0" r="0" b="0"/>
            <wp:docPr id="1236143531" name="Picture 3" descr="A graph showing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43531" name="Picture 3" descr="A graph showing different colored bar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125" cy="2896379"/>
                    </a:xfrm>
                    <a:prstGeom prst="rect">
                      <a:avLst/>
                    </a:prstGeom>
                  </pic:spPr>
                </pic:pic>
              </a:graphicData>
            </a:graphic>
          </wp:inline>
        </w:drawing>
      </w:r>
    </w:p>
    <w:p w14:paraId="4435FD4D" w14:textId="0E3A39FA" w:rsidR="00163D20" w:rsidRPr="00ED7E61" w:rsidRDefault="00163D20" w:rsidP="00B3383B">
      <w:pPr>
        <w:ind w:left="567"/>
        <w:textAlignment w:val="baseline"/>
        <w:rPr>
          <w:rFonts w:asciiTheme="majorBidi" w:hAnsiTheme="majorBidi" w:cstheme="majorBidi"/>
          <w:color w:val="000000" w:themeColor="text1"/>
          <w:sz w:val="22"/>
          <w:szCs w:val="22"/>
        </w:rPr>
      </w:pPr>
      <w:r w:rsidRPr="00B3383B">
        <w:rPr>
          <w:rFonts w:asciiTheme="majorBidi" w:hAnsiTheme="majorBidi" w:cstheme="majorBidi"/>
          <w:color w:val="000000" w:themeColor="text1"/>
          <w:sz w:val="22"/>
          <w:szCs w:val="22"/>
        </w:rPr>
        <w:t xml:space="preserve">Figure </w:t>
      </w:r>
      <w:r w:rsidR="00BE4992" w:rsidRPr="00B3383B">
        <w:rPr>
          <w:rFonts w:asciiTheme="majorBidi" w:hAnsiTheme="majorBidi" w:cstheme="majorBidi"/>
          <w:color w:val="000000" w:themeColor="text1"/>
          <w:sz w:val="22"/>
          <w:szCs w:val="22"/>
        </w:rPr>
        <w:t>III</w:t>
      </w:r>
      <w:r w:rsidRPr="00ED7E61">
        <w:rPr>
          <w:rFonts w:asciiTheme="majorBidi" w:hAnsiTheme="majorBidi" w:cstheme="majorBidi"/>
          <w:b/>
          <w:bCs/>
          <w:color w:val="000000" w:themeColor="text1"/>
          <w:sz w:val="22"/>
          <w:szCs w:val="22"/>
        </w:rPr>
        <w:t xml:space="preserve"> </w:t>
      </w:r>
      <w:r w:rsidR="00C66D9D">
        <w:rPr>
          <w:rFonts w:asciiTheme="majorBidi" w:hAnsiTheme="majorBidi" w:cstheme="majorBidi"/>
          <w:b/>
          <w:bCs/>
          <w:color w:val="000000" w:themeColor="text1"/>
          <w:sz w:val="22"/>
          <w:szCs w:val="22"/>
        </w:rPr>
        <w:br/>
      </w:r>
      <w:r w:rsidRPr="00B3383B">
        <w:rPr>
          <w:rFonts w:asciiTheme="majorBidi" w:hAnsiTheme="majorBidi" w:cstheme="majorBidi"/>
          <w:b/>
          <w:bCs/>
          <w:color w:val="000000" w:themeColor="text1"/>
          <w:sz w:val="22"/>
          <w:szCs w:val="22"/>
        </w:rPr>
        <w:t xml:space="preserve">Detailed progress towards for question Y1 derived from </w:t>
      </w:r>
      <w:r w:rsidR="00C66D9D">
        <w:rPr>
          <w:rFonts w:asciiTheme="majorBidi" w:hAnsiTheme="majorBidi" w:cstheme="majorBidi"/>
          <w:b/>
          <w:bCs/>
          <w:color w:val="000000" w:themeColor="text1"/>
          <w:sz w:val="22"/>
          <w:szCs w:val="22"/>
        </w:rPr>
        <w:t>t</w:t>
      </w:r>
      <w:r w:rsidRPr="00B3383B">
        <w:rPr>
          <w:rFonts w:asciiTheme="majorBidi" w:hAnsiTheme="majorBidi" w:cstheme="majorBidi"/>
          <w:b/>
          <w:bCs/>
          <w:color w:val="000000" w:themeColor="text1"/>
          <w:sz w:val="22"/>
          <w:szCs w:val="22"/>
        </w:rPr>
        <w:t>able 2</w:t>
      </w:r>
    </w:p>
    <w:p w14:paraId="66435726" w14:textId="77777777" w:rsidR="00163D20" w:rsidRPr="00ED7E61" w:rsidRDefault="00163D20" w:rsidP="00395866">
      <w:pPr>
        <w:jc w:val="center"/>
        <w:textAlignment w:val="baseline"/>
        <w:rPr>
          <w:rFonts w:asciiTheme="majorBidi" w:hAnsiTheme="majorBidi" w:cstheme="majorBidi"/>
          <w:color w:val="000000" w:themeColor="text1"/>
          <w:sz w:val="22"/>
          <w:szCs w:val="22"/>
        </w:rPr>
      </w:pPr>
      <w:r w:rsidRPr="00ED7E61">
        <w:rPr>
          <w:rFonts w:asciiTheme="majorBidi" w:hAnsiTheme="majorBidi" w:cstheme="majorBidi"/>
          <w:color w:val="000000" w:themeColor="text1"/>
          <w:sz w:val="22"/>
          <w:szCs w:val="22"/>
        </w:rPr>
        <w:t> </w:t>
      </w:r>
    </w:p>
    <w:p w14:paraId="40734763" w14:textId="6ACEF34D" w:rsidR="00163D20" w:rsidRPr="00ED7E61" w:rsidRDefault="00163D20" w:rsidP="00395866">
      <w:pPr>
        <w:jc w:val="center"/>
        <w:textAlignment w:val="baseline"/>
        <w:rPr>
          <w:rFonts w:asciiTheme="majorBidi" w:hAnsiTheme="majorBidi" w:cstheme="majorBidi"/>
          <w:color w:val="000000" w:themeColor="text1"/>
          <w:sz w:val="22"/>
          <w:szCs w:val="22"/>
        </w:rPr>
      </w:pPr>
      <w:r w:rsidRPr="00ED7E61">
        <w:rPr>
          <w:rFonts w:asciiTheme="majorBidi" w:hAnsiTheme="majorBidi" w:cstheme="majorBidi"/>
          <w:noProof/>
          <w:color w:val="000000" w:themeColor="text1"/>
          <w:sz w:val="22"/>
          <w:szCs w:val="22"/>
          <w:lang w:val="fr-FR" w:eastAsia="fr-FR"/>
        </w:rPr>
        <w:drawing>
          <wp:inline distT="0" distB="0" distL="0" distR="0" wp14:anchorId="31D235F1" wp14:editId="4677CE4D">
            <wp:extent cx="4737100" cy="2653485"/>
            <wp:effectExtent l="0" t="0" r="6350" b="0"/>
            <wp:docPr id="778508102" name="Picture 2" descr="A graph of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08102" name="Picture 2" descr="A graph of a number of bars&#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1306" cy="2661442"/>
                    </a:xfrm>
                    <a:prstGeom prst="rect">
                      <a:avLst/>
                    </a:prstGeom>
                    <a:noFill/>
                    <a:ln>
                      <a:noFill/>
                    </a:ln>
                  </pic:spPr>
                </pic:pic>
              </a:graphicData>
            </a:graphic>
          </wp:inline>
        </w:drawing>
      </w:r>
    </w:p>
    <w:p w14:paraId="401377A5" w14:textId="5FF1BF65" w:rsidR="00163D20" w:rsidRPr="00B3383B" w:rsidRDefault="00163D20" w:rsidP="00B3383B">
      <w:pPr>
        <w:ind w:left="567"/>
        <w:textAlignment w:val="baseline"/>
        <w:rPr>
          <w:rFonts w:asciiTheme="majorBidi" w:hAnsiTheme="majorBidi" w:cstheme="majorBidi"/>
          <w:b/>
          <w:bCs/>
          <w:color w:val="000000" w:themeColor="text1"/>
          <w:sz w:val="22"/>
          <w:szCs w:val="22"/>
        </w:rPr>
      </w:pPr>
      <w:r w:rsidRPr="00B3383B">
        <w:rPr>
          <w:rFonts w:asciiTheme="majorBidi" w:hAnsiTheme="majorBidi" w:cstheme="majorBidi"/>
          <w:color w:val="000000" w:themeColor="text1"/>
          <w:sz w:val="22"/>
          <w:szCs w:val="22"/>
        </w:rPr>
        <w:t xml:space="preserve">Figure </w:t>
      </w:r>
      <w:r w:rsidR="00BE4992" w:rsidRPr="00B3383B">
        <w:rPr>
          <w:rFonts w:asciiTheme="majorBidi" w:hAnsiTheme="majorBidi" w:cstheme="majorBidi"/>
          <w:color w:val="000000" w:themeColor="text1"/>
          <w:sz w:val="22"/>
          <w:szCs w:val="22"/>
        </w:rPr>
        <w:t>IV</w:t>
      </w:r>
      <w:r w:rsidRPr="00ED7E61">
        <w:rPr>
          <w:rFonts w:asciiTheme="majorBidi" w:hAnsiTheme="majorBidi" w:cstheme="majorBidi"/>
          <w:b/>
          <w:bCs/>
          <w:color w:val="000000" w:themeColor="text1"/>
          <w:sz w:val="22"/>
          <w:szCs w:val="22"/>
        </w:rPr>
        <w:t xml:space="preserve"> </w:t>
      </w:r>
      <w:r w:rsidR="007C1FE0">
        <w:rPr>
          <w:rFonts w:asciiTheme="majorBidi" w:hAnsiTheme="majorBidi" w:cstheme="majorBidi"/>
          <w:b/>
          <w:bCs/>
          <w:color w:val="000000" w:themeColor="text1"/>
          <w:sz w:val="22"/>
          <w:szCs w:val="22"/>
        </w:rPr>
        <w:br/>
      </w:r>
      <w:r w:rsidRPr="00B3383B">
        <w:rPr>
          <w:rFonts w:asciiTheme="majorBidi" w:hAnsiTheme="majorBidi" w:cstheme="majorBidi"/>
          <w:b/>
          <w:bCs/>
          <w:color w:val="000000" w:themeColor="text1"/>
          <w:sz w:val="22"/>
          <w:szCs w:val="22"/>
        </w:rPr>
        <w:t>Global progress towards target Y based on the aggregation algorithm (</w:t>
      </w:r>
      <w:r w:rsidR="007C1FE0">
        <w:rPr>
          <w:rFonts w:asciiTheme="majorBidi" w:hAnsiTheme="majorBidi" w:cstheme="majorBidi"/>
          <w:b/>
          <w:bCs/>
          <w:color w:val="000000" w:themeColor="text1"/>
          <w:sz w:val="22"/>
          <w:szCs w:val="22"/>
        </w:rPr>
        <w:t>t</w:t>
      </w:r>
      <w:r w:rsidRPr="00B3383B">
        <w:rPr>
          <w:rFonts w:asciiTheme="majorBidi" w:hAnsiTheme="majorBidi" w:cstheme="majorBidi"/>
          <w:b/>
          <w:bCs/>
          <w:color w:val="000000" w:themeColor="text1"/>
          <w:sz w:val="22"/>
          <w:szCs w:val="22"/>
        </w:rPr>
        <w:t>able 3).</w:t>
      </w:r>
    </w:p>
    <w:p w14:paraId="0292E2A9" w14:textId="32DC02B0" w:rsidR="00163D20" w:rsidRPr="00ED7E61" w:rsidRDefault="00163D20" w:rsidP="00B3383B">
      <w:pPr>
        <w:ind w:left="567"/>
        <w:textAlignment w:val="baseline"/>
        <w:rPr>
          <w:rFonts w:asciiTheme="majorBidi" w:hAnsiTheme="majorBidi" w:cstheme="majorBidi"/>
          <w:color w:val="000000" w:themeColor="text1"/>
          <w:sz w:val="22"/>
          <w:szCs w:val="22"/>
        </w:rPr>
      </w:pPr>
      <w:r w:rsidRPr="00B3383B">
        <w:rPr>
          <w:rFonts w:asciiTheme="majorBidi" w:hAnsiTheme="majorBidi" w:cstheme="majorBidi"/>
          <w:i/>
          <w:iCs/>
          <w:color w:val="000000" w:themeColor="text1"/>
          <w:sz w:val="22"/>
          <w:szCs w:val="22"/>
        </w:rPr>
        <w:t>Progress towards the goals and targets of the Framework measured with multiple-choice questions can also be represented with each option displayed independently (</w:t>
      </w:r>
      <w:r w:rsidR="007C1FE0">
        <w:rPr>
          <w:rFonts w:asciiTheme="majorBidi" w:hAnsiTheme="majorBidi" w:cstheme="majorBidi"/>
          <w:i/>
          <w:iCs/>
          <w:color w:val="000000" w:themeColor="text1"/>
          <w:sz w:val="22"/>
          <w:szCs w:val="22"/>
        </w:rPr>
        <w:t>f</w:t>
      </w:r>
      <w:r w:rsidRPr="00B3383B">
        <w:rPr>
          <w:rFonts w:asciiTheme="majorBidi" w:hAnsiTheme="majorBidi" w:cstheme="majorBidi"/>
          <w:i/>
          <w:iCs/>
          <w:color w:val="000000" w:themeColor="text1"/>
          <w:sz w:val="22"/>
          <w:szCs w:val="22"/>
        </w:rPr>
        <w:t xml:space="preserve">igure </w:t>
      </w:r>
      <w:r w:rsidR="00BE4992" w:rsidRPr="00B3383B">
        <w:rPr>
          <w:rFonts w:asciiTheme="majorBidi" w:hAnsiTheme="majorBidi" w:cstheme="majorBidi"/>
          <w:i/>
          <w:iCs/>
          <w:color w:val="000000" w:themeColor="text1"/>
          <w:sz w:val="22"/>
          <w:szCs w:val="22"/>
        </w:rPr>
        <w:t>V</w:t>
      </w:r>
      <w:r w:rsidRPr="00B3383B">
        <w:rPr>
          <w:rFonts w:asciiTheme="majorBidi" w:hAnsiTheme="majorBidi" w:cstheme="majorBidi"/>
          <w:i/>
          <w:iCs/>
          <w:color w:val="000000" w:themeColor="text1"/>
          <w:sz w:val="22"/>
          <w:szCs w:val="22"/>
        </w:rPr>
        <w:t>). </w:t>
      </w:r>
    </w:p>
    <w:p w14:paraId="7C4265AB" w14:textId="77777777" w:rsidR="006278C2" w:rsidRDefault="00163D20" w:rsidP="00B3383B">
      <w:pPr>
        <w:jc w:val="center"/>
        <w:textAlignment w:val="baseline"/>
        <w:rPr>
          <w:rFonts w:asciiTheme="majorBidi" w:hAnsiTheme="majorBidi" w:cstheme="majorBidi"/>
          <w:color w:val="000000" w:themeColor="text1"/>
          <w:sz w:val="22"/>
          <w:szCs w:val="22"/>
        </w:rPr>
      </w:pPr>
      <w:r w:rsidRPr="00ED7E61">
        <w:rPr>
          <w:rFonts w:asciiTheme="majorBidi" w:hAnsiTheme="majorBidi" w:cstheme="majorBidi"/>
          <w:noProof/>
          <w:color w:val="000000" w:themeColor="text1"/>
          <w:sz w:val="22"/>
          <w:szCs w:val="22"/>
          <w:lang w:val="fr-FR" w:eastAsia="fr-FR"/>
        </w:rPr>
        <w:drawing>
          <wp:inline distT="0" distB="0" distL="0" distR="0" wp14:anchorId="16F091B7" wp14:editId="6F868C33">
            <wp:extent cx="4921250" cy="2546852"/>
            <wp:effectExtent l="0" t="0" r="0" b="6350"/>
            <wp:docPr id="909127363" name="Picture 1" descr="A graph of people and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27363" name="Picture 1" descr="A graph of people and childre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2280" cy="2552560"/>
                    </a:xfrm>
                    <a:prstGeom prst="rect">
                      <a:avLst/>
                    </a:prstGeom>
                    <a:noFill/>
                    <a:ln>
                      <a:noFill/>
                    </a:ln>
                  </pic:spPr>
                </pic:pic>
              </a:graphicData>
            </a:graphic>
          </wp:inline>
        </w:drawing>
      </w:r>
    </w:p>
    <w:p w14:paraId="580E1DDF" w14:textId="608B4FFB" w:rsidR="00163D20" w:rsidRPr="00B3383B" w:rsidRDefault="00163D20" w:rsidP="00B3383B">
      <w:pPr>
        <w:ind w:left="567"/>
        <w:textAlignment w:val="baseline"/>
        <w:rPr>
          <w:rFonts w:asciiTheme="majorBidi" w:hAnsiTheme="majorBidi" w:cstheme="majorBidi"/>
          <w:b/>
          <w:bCs/>
          <w:color w:val="000000" w:themeColor="text1"/>
          <w:sz w:val="22"/>
          <w:szCs w:val="22"/>
        </w:rPr>
      </w:pPr>
      <w:r w:rsidRPr="00B3383B">
        <w:rPr>
          <w:rFonts w:asciiTheme="majorBidi" w:hAnsiTheme="majorBidi" w:cstheme="majorBidi"/>
          <w:color w:val="000000" w:themeColor="text1"/>
          <w:sz w:val="22"/>
          <w:szCs w:val="22"/>
        </w:rPr>
        <w:t xml:space="preserve">Figure </w:t>
      </w:r>
      <w:r w:rsidR="00BE4992" w:rsidRPr="00B3383B">
        <w:rPr>
          <w:rFonts w:asciiTheme="majorBidi" w:hAnsiTheme="majorBidi" w:cstheme="majorBidi"/>
          <w:color w:val="000000" w:themeColor="text1"/>
          <w:sz w:val="22"/>
          <w:szCs w:val="22"/>
        </w:rPr>
        <w:t>V</w:t>
      </w:r>
      <w:r w:rsidRPr="00ED7E61">
        <w:rPr>
          <w:rFonts w:asciiTheme="majorBidi" w:hAnsiTheme="majorBidi" w:cstheme="majorBidi"/>
          <w:b/>
          <w:bCs/>
          <w:color w:val="000000" w:themeColor="text1"/>
          <w:sz w:val="22"/>
          <w:szCs w:val="22"/>
        </w:rPr>
        <w:t xml:space="preserve"> </w:t>
      </w:r>
      <w:r w:rsidR="007C1FE0">
        <w:rPr>
          <w:rFonts w:asciiTheme="majorBidi" w:hAnsiTheme="majorBidi" w:cstheme="majorBidi"/>
          <w:b/>
          <w:bCs/>
          <w:color w:val="000000" w:themeColor="text1"/>
          <w:sz w:val="22"/>
          <w:szCs w:val="22"/>
        </w:rPr>
        <w:br/>
      </w:r>
      <w:r w:rsidRPr="00B3383B">
        <w:rPr>
          <w:rFonts w:asciiTheme="majorBidi" w:hAnsiTheme="majorBidi" w:cstheme="majorBidi"/>
          <w:b/>
          <w:bCs/>
          <w:color w:val="000000" w:themeColor="text1"/>
          <w:sz w:val="22"/>
          <w:szCs w:val="22"/>
        </w:rPr>
        <w:t>Progress towards a hypothetical target question with a multiple-choice answer (e.g. 22.1.a)</w:t>
      </w:r>
    </w:p>
    <w:p w14:paraId="59FD9E09" w14:textId="6D14B0EC" w:rsidR="00166BEC" w:rsidRPr="00ED7E61" w:rsidRDefault="00163D20" w:rsidP="00395866">
      <w:pPr>
        <w:rPr>
          <w:rFonts w:asciiTheme="majorBidi" w:hAnsiTheme="majorBidi" w:cstheme="majorBidi"/>
          <w:sz w:val="22"/>
          <w:szCs w:val="22"/>
        </w:rPr>
      </w:pPr>
      <w:r w:rsidRPr="00ED7E61">
        <w:rPr>
          <w:rFonts w:asciiTheme="majorBidi" w:hAnsiTheme="majorBidi" w:cstheme="majorBidi"/>
          <w:color w:val="000000" w:themeColor="text1"/>
          <w:sz w:val="22"/>
          <w:szCs w:val="22"/>
        </w:rPr>
        <w:br w:type="page"/>
      </w:r>
    </w:p>
    <w:p w14:paraId="75E9DB0F" w14:textId="1CBA4793" w:rsidR="008344AF" w:rsidRPr="00ED7E61" w:rsidRDefault="00FA3866" w:rsidP="00B3383B">
      <w:pPr>
        <w:pStyle w:val="Heading2"/>
        <w:numPr>
          <w:ilvl w:val="0"/>
          <w:numId w:val="10"/>
        </w:numPr>
        <w:ind w:left="567" w:hanging="567"/>
        <w:rPr>
          <w:b/>
          <w:bCs/>
        </w:rPr>
      </w:pPr>
      <w:bookmarkStart w:id="4" w:name="_Toc178285837"/>
      <w:r w:rsidRPr="00ED7E61">
        <w:rPr>
          <w:b/>
          <w:bCs/>
        </w:rPr>
        <w:t>Section 2</w:t>
      </w:r>
      <w:bookmarkEnd w:id="4"/>
    </w:p>
    <w:p w14:paraId="36EB19D2" w14:textId="2BD0F19D" w:rsidR="00FA3866" w:rsidRPr="00B3383B" w:rsidRDefault="00983ABC" w:rsidP="00B3383B">
      <w:pPr>
        <w:pStyle w:val="Heading2"/>
        <w:ind w:left="567"/>
        <w:rPr>
          <w:rStyle w:val="normaltextrun"/>
          <w:b/>
          <w:bCs/>
          <w:color w:val="000000"/>
          <w:sz w:val="24"/>
          <w:szCs w:val="24"/>
          <w:shd w:val="clear" w:color="auto" w:fill="FFFFFF"/>
        </w:rPr>
      </w:pPr>
      <w:bookmarkStart w:id="5" w:name="_Toc178285838"/>
      <w:r w:rsidRPr="00B3383B">
        <w:rPr>
          <w:rStyle w:val="normaltextrun"/>
          <w:b/>
          <w:bCs/>
          <w:color w:val="000000"/>
          <w:sz w:val="24"/>
          <w:szCs w:val="24"/>
          <w:shd w:val="clear" w:color="auto" w:fill="FFFFFF"/>
        </w:rPr>
        <w:t xml:space="preserve">Cross-cutting </w:t>
      </w:r>
      <w:r w:rsidR="00FA5831" w:rsidRPr="00B3383B">
        <w:rPr>
          <w:rStyle w:val="normaltextrun"/>
          <w:b/>
          <w:bCs/>
          <w:color w:val="000000"/>
          <w:sz w:val="24"/>
          <w:szCs w:val="24"/>
          <w:shd w:val="clear" w:color="auto" w:fill="FFFFFF"/>
        </w:rPr>
        <w:t xml:space="preserve">indicator </w:t>
      </w:r>
      <w:r w:rsidRPr="00B3383B">
        <w:rPr>
          <w:rStyle w:val="normaltextrun"/>
          <w:b/>
          <w:bCs/>
          <w:color w:val="000000"/>
          <w:sz w:val="24"/>
          <w:szCs w:val="24"/>
          <w:shd w:val="clear" w:color="auto" w:fill="FFFFFF"/>
        </w:rPr>
        <w:t>disaggregations and m</w:t>
      </w:r>
      <w:r w:rsidR="00FA3866" w:rsidRPr="00B3383B">
        <w:rPr>
          <w:rStyle w:val="normaltextrun"/>
          <w:b/>
          <w:bCs/>
          <w:color w:val="000000"/>
          <w:sz w:val="24"/>
          <w:szCs w:val="24"/>
          <w:shd w:val="clear" w:color="auto" w:fill="FFFFFF"/>
        </w:rPr>
        <w:t xml:space="preserve">onitoring the implementation of </w:t>
      </w:r>
      <w:r w:rsidR="00FA5831" w:rsidRPr="00B3383B">
        <w:rPr>
          <w:rStyle w:val="normaltextrun"/>
          <w:b/>
          <w:bCs/>
          <w:color w:val="000000"/>
          <w:sz w:val="24"/>
          <w:szCs w:val="24"/>
          <w:shd w:val="clear" w:color="auto" w:fill="FFFFFF"/>
        </w:rPr>
        <w:t xml:space="preserve">Section C of </w:t>
      </w:r>
      <w:r w:rsidR="00FA3866" w:rsidRPr="00B3383B">
        <w:rPr>
          <w:rStyle w:val="normaltextrun"/>
          <w:b/>
          <w:bCs/>
          <w:color w:val="000000"/>
          <w:sz w:val="24"/>
          <w:szCs w:val="24"/>
          <w:shd w:val="clear" w:color="auto" w:fill="FFFFFF"/>
        </w:rPr>
        <w:t>the</w:t>
      </w:r>
      <w:r w:rsidR="00FA5831" w:rsidRPr="00B3383B">
        <w:rPr>
          <w:rStyle w:val="normaltextrun"/>
          <w:b/>
          <w:bCs/>
          <w:color w:val="000000"/>
          <w:sz w:val="24"/>
          <w:szCs w:val="24"/>
          <w:shd w:val="clear" w:color="auto" w:fill="FFFFFF"/>
        </w:rPr>
        <w:t xml:space="preserve"> Kunming-Montreal</w:t>
      </w:r>
      <w:r w:rsidR="00FA3866" w:rsidRPr="00B3383B">
        <w:rPr>
          <w:rStyle w:val="normaltextrun"/>
          <w:b/>
          <w:bCs/>
          <w:color w:val="000000"/>
          <w:sz w:val="24"/>
          <w:szCs w:val="24"/>
          <w:shd w:val="clear" w:color="auto" w:fill="FFFFFF"/>
        </w:rPr>
        <w:t xml:space="preserve"> Global Biodiversity Framework</w:t>
      </w:r>
      <w:bookmarkEnd w:id="5"/>
      <w:r w:rsidR="00FA3866" w:rsidRPr="00B3383B">
        <w:rPr>
          <w:rStyle w:val="normaltextrun"/>
          <w:b/>
          <w:bCs/>
          <w:color w:val="000000"/>
          <w:sz w:val="24"/>
          <w:szCs w:val="24"/>
          <w:shd w:val="clear" w:color="auto" w:fill="FFFFFF"/>
        </w:rPr>
        <w:t xml:space="preserve"> </w:t>
      </w:r>
    </w:p>
    <w:p w14:paraId="2B9C698B" w14:textId="3170468C" w:rsidR="008344AF" w:rsidRPr="00ED7E61" w:rsidRDefault="00E1493B" w:rsidP="00B10F0C">
      <w:pPr>
        <w:pStyle w:val="CBDNormalNumber"/>
        <w:numPr>
          <w:ilvl w:val="0"/>
          <w:numId w:val="65"/>
        </w:numPr>
        <w:tabs>
          <w:tab w:val="clear" w:pos="1701"/>
        </w:tabs>
        <w:ind w:left="567" w:firstLine="0"/>
      </w:pPr>
      <w:r w:rsidRPr="00ED7E61">
        <w:t xml:space="preserve">Section C of the Kunming-Montreal Global Biodiversity Framework sets out a set of considerations for </w:t>
      </w:r>
      <w:r w:rsidR="00AF25B2" w:rsidRPr="00ED7E61">
        <w:t>its</w:t>
      </w:r>
      <w:r w:rsidRPr="00ED7E61">
        <w:t xml:space="preserve"> implementation which </w:t>
      </w:r>
      <w:r w:rsidR="00AF25B2" w:rsidRPr="00ED7E61">
        <w:t>cut</w:t>
      </w:r>
      <w:r w:rsidRPr="00ED7E61">
        <w:t xml:space="preserve"> across the entire Framework.</w:t>
      </w:r>
      <w:r w:rsidR="00AF25B2" w:rsidRPr="00ED7E61">
        <w:t xml:space="preserve"> It includes elements related to people and biodiversity; it includes elements related to interlinkages with specific themes and it includes broader concepts related to implementation. </w:t>
      </w:r>
      <w:r w:rsidR="00774F02" w:rsidRPr="00ED7E61">
        <w:t>The twenty</w:t>
      </w:r>
      <w:r w:rsidR="00C761B7" w:rsidRPr="00ED7E61">
        <w:t>-</w:t>
      </w:r>
      <w:r w:rsidR="00774F02" w:rsidRPr="00ED7E61">
        <w:t>fifth meeting of the Subsidiary Body on Scientific, Technical and Technological Advice specifically encouraged the AHTEG to take Section C into account in its deliberations</w:t>
      </w:r>
      <w:r w:rsidR="00774F02" w:rsidRPr="00FB1598">
        <w:rPr>
          <w:vertAlign w:val="superscript"/>
        </w:rPr>
        <w:footnoteReference w:id="14"/>
      </w:r>
      <w:r w:rsidR="00774F02" w:rsidRPr="00ED7E61">
        <w:t xml:space="preserve">. </w:t>
      </w:r>
      <w:r w:rsidR="003C0930" w:rsidRPr="00ED7E61">
        <w:t>Further</w:t>
      </w:r>
      <w:r w:rsidR="00774F02" w:rsidRPr="00ED7E61">
        <w:t xml:space="preserve"> a</w:t>
      </w:r>
      <w:r w:rsidR="00CB739B" w:rsidRPr="00ED7E61">
        <w:t>dditional requests for an inclusive approach to monitoring have been agreed by Parties</w:t>
      </w:r>
      <w:r w:rsidR="00774F02" w:rsidRPr="00ED7E61">
        <w:t>, for example through decision 15/11</w:t>
      </w:r>
      <w:r w:rsidR="00774F02" w:rsidRPr="00FB1598">
        <w:rPr>
          <w:vertAlign w:val="superscript"/>
        </w:rPr>
        <w:footnoteReference w:id="15"/>
      </w:r>
      <w:r w:rsidR="00CB739B" w:rsidRPr="00ED7E61">
        <w:t xml:space="preserve"> </w:t>
      </w:r>
      <w:r w:rsidR="00774F02" w:rsidRPr="00ED7E61">
        <w:t xml:space="preserve">and </w:t>
      </w:r>
      <w:r w:rsidR="003C0930" w:rsidRPr="00ED7E61">
        <w:t>r</w:t>
      </w:r>
      <w:r w:rsidR="00774F02" w:rsidRPr="00ED7E61">
        <w:t>ecommendation</w:t>
      </w:r>
      <w:r w:rsidR="00C761B7" w:rsidRPr="00ED7E61">
        <w:t>s WG8J-12/3</w:t>
      </w:r>
      <w:r w:rsidR="00C761B7" w:rsidRPr="00FB1598">
        <w:rPr>
          <w:vertAlign w:val="superscript"/>
        </w:rPr>
        <w:footnoteReference w:id="16"/>
      </w:r>
      <w:r w:rsidR="00774F02" w:rsidRPr="00B3383B">
        <w:t xml:space="preserve"> </w:t>
      </w:r>
      <w:r w:rsidR="005C18D2" w:rsidRPr="00B3383B">
        <w:t xml:space="preserve">and </w:t>
      </w:r>
      <w:r w:rsidR="00774F02" w:rsidRPr="00ED7E61">
        <w:t>WG8J-12/4</w:t>
      </w:r>
      <w:r w:rsidR="005C18D2">
        <w:t>.</w:t>
      </w:r>
      <w:r w:rsidR="00774F02" w:rsidRPr="00FB1598">
        <w:rPr>
          <w:vertAlign w:val="superscript"/>
        </w:rPr>
        <w:footnoteReference w:id="17"/>
      </w:r>
      <w:r w:rsidR="00774F02" w:rsidRPr="00FB1598">
        <w:rPr>
          <w:vertAlign w:val="superscript"/>
        </w:rPr>
        <w:t>.</w:t>
      </w:r>
    </w:p>
    <w:p w14:paraId="19E9D0AB" w14:textId="2C374BEF" w:rsidR="008344AF" w:rsidRPr="00ED7E61" w:rsidRDefault="00AF25B2" w:rsidP="00B10F0C">
      <w:pPr>
        <w:pStyle w:val="CBDNormalNumber"/>
        <w:numPr>
          <w:ilvl w:val="0"/>
          <w:numId w:val="65"/>
        </w:numPr>
        <w:ind w:left="567" w:firstLine="0"/>
      </w:pPr>
      <w:r w:rsidRPr="00ED7E61">
        <w:t xml:space="preserve">The indicators of the monitoring framework </w:t>
      </w:r>
      <w:r w:rsidR="005A334C" w:rsidRPr="00ED7E61">
        <w:t xml:space="preserve">identified in decision 15/5 </w:t>
      </w:r>
      <w:r w:rsidRPr="00ED7E61">
        <w:t xml:space="preserve">link to specific goals and targets of the </w:t>
      </w:r>
      <w:r w:rsidR="005A334C" w:rsidRPr="00ED7E61">
        <w:t>Kunming-Montreal Global Biodiversity Framework</w:t>
      </w:r>
      <w:r w:rsidRPr="00ED7E61">
        <w:t xml:space="preserve"> and not directly to Section C of the Framework. </w:t>
      </w:r>
      <w:r w:rsidR="005A334C" w:rsidRPr="00ED7E61">
        <w:t>In the absence of indicators about processes, it will be difficult to assess the progress of the global community in making monitoring processes more inclusive.  However</w:t>
      </w:r>
      <w:r w:rsidR="003C0930" w:rsidRPr="00ED7E61">
        <w:t>,</w:t>
      </w:r>
      <w:r w:rsidR="005A334C" w:rsidRPr="00ED7E61">
        <w:t xml:space="preserve"> some elements</w:t>
      </w:r>
      <w:r w:rsidRPr="00ED7E61">
        <w:t xml:space="preserve"> of Section C can be considered within some of the headline, binary, component and complementary indicators. Additionally, by using the traditional knowledge indicators</w:t>
      </w:r>
      <w:r w:rsidR="005A334C" w:rsidRPr="00ED7E61">
        <w:t xml:space="preserve"> identified by the COP in decision XIII/28</w:t>
      </w:r>
      <w:r w:rsidRPr="00ED7E61">
        <w:t xml:space="preserve">, some aspects of Section C can be addressed. </w:t>
      </w:r>
    </w:p>
    <w:p w14:paraId="49D943D7" w14:textId="7B1AED25" w:rsidR="007F50E8" w:rsidRPr="005C18D2" w:rsidRDefault="00E1493B" w:rsidP="00B10F0C">
      <w:pPr>
        <w:pStyle w:val="CBDNormalNumber"/>
        <w:numPr>
          <w:ilvl w:val="0"/>
          <w:numId w:val="65"/>
        </w:numPr>
        <w:ind w:left="567" w:firstLine="0"/>
        <w:rPr>
          <w:rFonts w:asciiTheme="majorBidi" w:hAnsiTheme="majorBidi" w:cstheme="majorBidi"/>
        </w:rPr>
      </w:pPr>
      <w:r w:rsidRPr="00ED7E61">
        <w:t>In this section of the document the AHTEG present</w:t>
      </w:r>
      <w:r w:rsidR="00B3649D">
        <w:t>s</w:t>
      </w:r>
      <w:r w:rsidRPr="00ED7E61">
        <w:t xml:space="preserve"> </w:t>
      </w:r>
      <w:r w:rsidR="00FA3866" w:rsidRPr="00ED7E61">
        <w:t xml:space="preserve">guidance </w:t>
      </w:r>
      <w:r w:rsidRPr="00ED7E61">
        <w:t xml:space="preserve">on </w:t>
      </w:r>
      <w:r w:rsidR="00983ABC" w:rsidRPr="00ED7E61">
        <w:t xml:space="preserve">cross-cutting disaggregations and </w:t>
      </w:r>
      <w:r w:rsidR="00FA3866" w:rsidRPr="00ED7E61">
        <w:t>ways</w:t>
      </w:r>
      <w:r w:rsidR="00FA5831" w:rsidRPr="00ED7E61">
        <w:t xml:space="preserve"> in which</w:t>
      </w:r>
      <w:r w:rsidR="00FA3866" w:rsidRPr="00ED7E61">
        <w:t xml:space="preserve"> </w:t>
      </w:r>
      <w:r w:rsidR="00D87086" w:rsidRPr="00ED7E61">
        <w:t xml:space="preserve">the implementation of </w:t>
      </w:r>
      <w:r w:rsidR="00FA5831" w:rsidRPr="00ED7E61">
        <w:t>Section C</w:t>
      </w:r>
      <w:r w:rsidR="00FA3866" w:rsidRPr="00ED7E61">
        <w:t xml:space="preserve"> of the </w:t>
      </w:r>
      <w:r w:rsidR="00FA5831" w:rsidRPr="00ED7E61">
        <w:t xml:space="preserve">Kunming-Montreal Global Biodiversity </w:t>
      </w:r>
      <w:r w:rsidR="00FA3866" w:rsidRPr="00ED7E61">
        <w:t>Framework can be</w:t>
      </w:r>
      <w:r w:rsidR="00D87086" w:rsidRPr="00ED7E61">
        <w:t xml:space="preserve"> monitored.</w:t>
      </w:r>
      <w:r w:rsidR="00FA3866" w:rsidRPr="00ED7E61">
        <w:t xml:space="preserve"> </w:t>
      </w:r>
      <w:r w:rsidR="00D87086" w:rsidRPr="00ED7E61">
        <w:t xml:space="preserve">This guidance </w:t>
      </w:r>
      <w:r w:rsidR="00FA3866" w:rsidRPr="00ED7E61">
        <w:t>is primarily aimed at Parties for use</w:t>
      </w:r>
      <w:r w:rsidR="0051592A" w:rsidRPr="00ED7E61">
        <w:t>, as appropriate,</w:t>
      </w:r>
      <w:r w:rsidR="00FA3866" w:rsidRPr="00ED7E61">
        <w:t xml:space="preserve"> in national implementation of the monitoring framework. </w:t>
      </w:r>
      <w:r w:rsidR="007F50E8" w:rsidRPr="00ED7E61">
        <w:t>The use of the component and complementary indicators by Parties in their national reports is optional and subject to the national circumstances and priorities of Parties. Implementation of a limited number of disaggregations of the headline indicators by Parties is recommended by the AHTEG in order to enable better assessment of progress towards to goals and targets of the framework, recognising that this is also subject to national circumstances and priorities.</w:t>
      </w:r>
    </w:p>
    <w:p w14:paraId="6386BA86" w14:textId="1FDB834F" w:rsidR="008344AF" w:rsidRPr="00ED7E61" w:rsidRDefault="00983ABC" w:rsidP="00B10F0C">
      <w:pPr>
        <w:pStyle w:val="CBDNormalNumber"/>
        <w:numPr>
          <w:ilvl w:val="0"/>
          <w:numId w:val="65"/>
        </w:numPr>
        <w:ind w:left="567" w:firstLine="0"/>
      </w:pPr>
      <w:r w:rsidRPr="00ED7E61">
        <w:t xml:space="preserve">Section 2a </w:t>
      </w:r>
      <w:r w:rsidR="00235BC3" w:rsidRPr="00ED7E61">
        <w:t>focuses on guidance related to people and biodiversity and Section 2b focuses on guidance related to monitoring ecosystems across the framework.</w:t>
      </w:r>
      <w:r w:rsidR="00851DB0" w:rsidRPr="00ED7E61">
        <w:t xml:space="preserve"> </w:t>
      </w:r>
      <w:r w:rsidR="00FD5582" w:rsidRPr="00ED7E61">
        <w:t>More generally, t</w:t>
      </w:r>
      <w:r w:rsidR="00D87086" w:rsidRPr="00ED7E61">
        <w:t>he AHTEG has identified t</w:t>
      </w:r>
      <w:r w:rsidR="00FA3866" w:rsidRPr="00ED7E61">
        <w:t xml:space="preserve">hree major approaches to implement the considerations </w:t>
      </w:r>
      <w:r w:rsidR="00D87086" w:rsidRPr="00ED7E61">
        <w:t xml:space="preserve">in </w:t>
      </w:r>
      <w:r w:rsidR="00FA3866" w:rsidRPr="00ED7E61">
        <w:t>Section C through monitoring:</w:t>
      </w:r>
    </w:p>
    <w:p w14:paraId="26AA0479" w14:textId="3ED57508" w:rsidR="008344AF" w:rsidRPr="00ED7E61" w:rsidRDefault="00FA3866" w:rsidP="00B3383B">
      <w:pPr>
        <w:pStyle w:val="CBDNormalNumber"/>
        <w:numPr>
          <w:ilvl w:val="0"/>
          <w:numId w:val="7"/>
        </w:numPr>
        <w:ind w:left="567" w:firstLine="567"/>
        <w:rPr>
          <w:color w:val="000000" w:themeColor="text1"/>
        </w:rPr>
      </w:pPr>
      <w:r w:rsidRPr="00ED7E61">
        <w:rPr>
          <w:color w:val="000000" w:themeColor="text1"/>
        </w:rPr>
        <w:t>Using a strong monitoring framework with appropriate indicators and disaggregation:</w:t>
      </w:r>
    </w:p>
    <w:p w14:paraId="625DA6FF" w14:textId="5308955C" w:rsidR="00FA3866" w:rsidRPr="00B376A6" w:rsidRDefault="00FA3866" w:rsidP="00B10F0C">
      <w:pPr>
        <w:pStyle w:val="CBDNormalNumber"/>
        <w:numPr>
          <w:ilvl w:val="1"/>
          <w:numId w:val="33"/>
        </w:numPr>
        <w:tabs>
          <w:tab w:val="clear" w:pos="567"/>
          <w:tab w:val="clear" w:pos="1134"/>
          <w:tab w:val="left" w:pos="1560"/>
        </w:tabs>
        <w:ind w:left="1701" w:hanging="567"/>
        <w:rPr>
          <w:color w:val="000000" w:themeColor="text1"/>
        </w:rPr>
      </w:pPr>
      <w:r w:rsidRPr="00ED7E61">
        <w:rPr>
          <w:rFonts w:asciiTheme="majorBidi" w:hAnsiTheme="majorBidi" w:cstheme="majorBidi"/>
          <w:color w:val="000000" w:themeColor="text1"/>
        </w:rPr>
        <w:t xml:space="preserve">Disaggregation of the headline indicators and the use of </w:t>
      </w:r>
      <w:r w:rsidR="00986877" w:rsidRPr="00ED7E61">
        <w:rPr>
          <w:rFonts w:asciiTheme="majorBidi" w:hAnsiTheme="majorBidi" w:cstheme="majorBidi"/>
          <w:color w:val="000000" w:themeColor="text1"/>
        </w:rPr>
        <w:t xml:space="preserve">binary, </w:t>
      </w:r>
      <w:r w:rsidRPr="00ED7E61">
        <w:rPr>
          <w:rFonts w:asciiTheme="majorBidi" w:hAnsiTheme="majorBidi" w:cstheme="majorBidi"/>
          <w:color w:val="000000" w:themeColor="text1"/>
        </w:rPr>
        <w:t xml:space="preserve">component and complementary indicators within the </w:t>
      </w:r>
      <w:r w:rsidR="00D87086" w:rsidRPr="00B376A6">
        <w:rPr>
          <w:rFonts w:asciiTheme="majorBidi" w:hAnsiTheme="majorBidi" w:cstheme="majorBidi"/>
          <w:color w:val="000000" w:themeColor="text1"/>
        </w:rPr>
        <w:t>m</w:t>
      </w:r>
      <w:r w:rsidRPr="00B376A6">
        <w:rPr>
          <w:rFonts w:asciiTheme="majorBidi" w:hAnsiTheme="majorBidi" w:cstheme="majorBidi"/>
          <w:color w:val="000000" w:themeColor="text1"/>
        </w:rPr>
        <w:t xml:space="preserve">onitoring </w:t>
      </w:r>
      <w:r w:rsidR="00D87086" w:rsidRPr="00B376A6">
        <w:rPr>
          <w:rFonts w:asciiTheme="majorBidi" w:hAnsiTheme="majorBidi" w:cstheme="majorBidi"/>
          <w:color w:val="000000" w:themeColor="text1"/>
        </w:rPr>
        <w:t>f</w:t>
      </w:r>
      <w:r w:rsidRPr="00B376A6">
        <w:rPr>
          <w:rFonts w:asciiTheme="majorBidi" w:hAnsiTheme="majorBidi" w:cstheme="majorBidi"/>
          <w:color w:val="000000" w:themeColor="text1"/>
        </w:rPr>
        <w:t xml:space="preserve">ramework can provide information on </w:t>
      </w:r>
      <w:r w:rsidR="00D87086" w:rsidRPr="00B376A6">
        <w:rPr>
          <w:rFonts w:asciiTheme="majorBidi" w:hAnsiTheme="majorBidi" w:cstheme="majorBidi"/>
          <w:color w:val="000000" w:themeColor="text1"/>
        </w:rPr>
        <w:t>of the implementation of</w:t>
      </w:r>
      <w:r w:rsidRPr="00B376A6">
        <w:rPr>
          <w:rFonts w:asciiTheme="majorBidi" w:hAnsiTheme="majorBidi" w:cstheme="majorBidi"/>
          <w:color w:val="000000" w:themeColor="text1"/>
        </w:rPr>
        <w:t xml:space="preserve"> </w:t>
      </w:r>
      <w:r w:rsidR="00D87086" w:rsidRPr="00B376A6">
        <w:rPr>
          <w:rFonts w:asciiTheme="majorBidi" w:hAnsiTheme="majorBidi" w:cstheme="majorBidi"/>
          <w:color w:val="000000" w:themeColor="text1"/>
        </w:rPr>
        <w:t xml:space="preserve">the </w:t>
      </w:r>
      <w:r w:rsidRPr="00B376A6">
        <w:rPr>
          <w:rFonts w:asciiTheme="majorBidi" w:hAnsiTheme="majorBidi" w:cstheme="majorBidi"/>
          <w:color w:val="000000" w:themeColor="text1"/>
        </w:rPr>
        <w:t>elements of Section C</w:t>
      </w:r>
      <w:r w:rsidR="00D87086" w:rsidRPr="00B376A6">
        <w:rPr>
          <w:rFonts w:asciiTheme="majorBidi" w:hAnsiTheme="majorBidi" w:cstheme="majorBidi"/>
          <w:color w:val="000000" w:themeColor="text1"/>
        </w:rPr>
        <w:t xml:space="preserve"> of the Kunming-Montreal Global Biodiversity Framework</w:t>
      </w:r>
      <w:r w:rsidR="00B376A6" w:rsidRPr="00B376A6">
        <w:rPr>
          <w:rFonts w:asciiTheme="majorBidi" w:hAnsiTheme="majorBidi" w:cstheme="majorBidi"/>
          <w:color w:val="000000" w:themeColor="text1"/>
        </w:rPr>
        <w:t>;</w:t>
      </w:r>
    </w:p>
    <w:p w14:paraId="3DDC6765" w14:textId="0B56BA13" w:rsidR="00FA3866" w:rsidRPr="00B376A6" w:rsidRDefault="00986877" w:rsidP="00B10F0C">
      <w:pPr>
        <w:pStyle w:val="ListParagraph"/>
        <w:numPr>
          <w:ilvl w:val="1"/>
          <w:numId w:val="33"/>
        </w:numPr>
        <w:ind w:left="1701" w:hanging="567"/>
        <w:jc w:val="both"/>
        <w:rPr>
          <w:rFonts w:asciiTheme="majorBidi" w:hAnsiTheme="majorBidi" w:cstheme="majorBidi"/>
          <w:color w:val="000000" w:themeColor="text1"/>
          <w:sz w:val="22"/>
          <w:szCs w:val="22"/>
        </w:rPr>
      </w:pPr>
      <w:r w:rsidRPr="00B376A6">
        <w:rPr>
          <w:rFonts w:asciiTheme="majorBidi" w:hAnsiTheme="majorBidi" w:cstheme="majorBidi"/>
          <w:color w:val="000000" w:themeColor="text1"/>
          <w:sz w:val="22"/>
          <w:szCs w:val="22"/>
        </w:rPr>
        <w:t>M</w:t>
      </w:r>
      <w:r w:rsidR="00FA3866" w:rsidRPr="00B376A6">
        <w:rPr>
          <w:rFonts w:asciiTheme="majorBidi" w:hAnsiTheme="majorBidi" w:cstheme="majorBidi"/>
          <w:color w:val="000000" w:themeColor="text1"/>
          <w:sz w:val="22"/>
          <w:szCs w:val="22"/>
        </w:rPr>
        <w:t xml:space="preserve">onitoring </w:t>
      </w:r>
      <w:r w:rsidR="00E34547" w:rsidRPr="00B376A6">
        <w:rPr>
          <w:rFonts w:asciiTheme="majorBidi" w:hAnsiTheme="majorBidi" w:cstheme="majorBidi"/>
          <w:color w:val="000000" w:themeColor="text1"/>
          <w:sz w:val="22"/>
          <w:szCs w:val="22"/>
        </w:rPr>
        <w:t xml:space="preserve">frameworks </w:t>
      </w:r>
      <w:r w:rsidR="00FA3866" w:rsidRPr="00B376A6">
        <w:rPr>
          <w:rFonts w:asciiTheme="majorBidi" w:hAnsiTheme="majorBidi" w:cstheme="majorBidi"/>
          <w:color w:val="000000" w:themeColor="text1"/>
          <w:sz w:val="22"/>
          <w:szCs w:val="22"/>
        </w:rPr>
        <w:t xml:space="preserve">can include indicators that are </w:t>
      </w:r>
      <w:r w:rsidR="00D87086" w:rsidRPr="00B376A6">
        <w:rPr>
          <w:rFonts w:asciiTheme="majorBidi" w:hAnsiTheme="majorBidi" w:cstheme="majorBidi"/>
          <w:color w:val="000000" w:themeColor="text1"/>
          <w:sz w:val="22"/>
          <w:szCs w:val="22"/>
        </w:rPr>
        <w:t xml:space="preserve">relevant </w:t>
      </w:r>
      <w:r w:rsidR="00FA3866" w:rsidRPr="00B376A6">
        <w:rPr>
          <w:rFonts w:asciiTheme="majorBidi" w:hAnsiTheme="majorBidi" w:cstheme="majorBidi"/>
          <w:color w:val="000000" w:themeColor="text1"/>
          <w:sz w:val="22"/>
          <w:szCs w:val="22"/>
        </w:rPr>
        <w:t xml:space="preserve">for </w:t>
      </w:r>
      <w:r w:rsidR="003C0930" w:rsidRPr="00B376A6">
        <w:rPr>
          <w:rFonts w:asciiTheme="majorBidi" w:hAnsiTheme="majorBidi" w:cstheme="majorBidi"/>
          <w:color w:val="000000" w:themeColor="text1"/>
          <w:sz w:val="22"/>
          <w:szCs w:val="22"/>
        </w:rPr>
        <w:t>i</w:t>
      </w:r>
      <w:r w:rsidR="00D87086" w:rsidRPr="00B376A6">
        <w:rPr>
          <w:rFonts w:asciiTheme="majorBidi" w:hAnsiTheme="majorBidi" w:cstheme="majorBidi"/>
          <w:color w:val="000000" w:themeColor="text1"/>
          <w:sz w:val="22"/>
          <w:szCs w:val="22"/>
        </w:rPr>
        <w:t xml:space="preserve">ndigenous </w:t>
      </w:r>
      <w:r w:rsidR="003C0930" w:rsidRPr="00B376A6">
        <w:rPr>
          <w:rFonts w:asciiTheme="majorBidi" w:hAnsiTheme="majorBidi" w:cstheme="majorBidi"/>
          <w:color w:val="000000" w:themeColor="text1"/>
          <w:sz w:val="22"/>
          <w:szCs w:val="22"/>
        </w:rPr>
        <w:t>p</w:t>
      </w:r>
      <w:r w:rsidR="00D87086" w:rsidRPr="00B376A6">
        <w:rPr>
          <w:rFonts w:asciiTheme="majorBidi" w:hAnsiTheme="majorBidi" w:cstheme="majorBidi"/>
          <w:color w:val="000000" w:themeColor="text1"/>
          <w:sz w:val="22"/>
          <w:szCs w:val="22"/>
        </w:rPr>
        <w:t>eople</w:t>
      </w:r>
      <w:r w:rsidR="00616510" w:rsidRPr="00B376A6">
        <w:rPr>
          <w:rFonts w:asciiTheme="majorBidi" w:hAnsiTheme="majorBidi" w:cstheme="majorBidi"/>
          <w:color w:val="000000" w:themeColor="text1"/>
          <w:sz w:val="22"/>
          <w:szCs w:val="22"/>
        </w:rPr>
        <w:t>s</w:t>
      </w:r>
      <w:r w:rsidR="00D87086" w:rsidRPr="00B376A6">
        <w:rPr>
          <w:rFonts w:asciiTheme="majorBidi" w:hAnsiTheme="majorBidi" w:cstheme="majorBidi"/>
          <w:color w:val="000000" w:themeColor="text1"/>
          <w:sz w:val="22"/>
          <w:szCs w:val="22"/>
        </w:rPr>
        <w:t xml:space="preserve"> and local communities </w:t>
      </w:r>
      <w:r w:rsidR="00FA3866" w:rsidRPr="00B376A6">
        <w:rPr>
          <w:rFonts w:asciiTheme="majorBidi" w:hAnsiTheme="majorBidi" w:cstheme="majorBidi"/>
          <w:color w:val="000000" w:themeColor="text1"/>
          <w:sz w:val="22"/>
          <w:szCs w:val="22"/>
        </w:rPr>
        <w:t>in relation to biodiversity</w:t>
      </w:r>
      <w:r w:rsidR="00305616" w:rsidRPr="00B376A6">
        <w:rPr>
          <w:rFonts w:asciiTheme="majorBidi" w:hAnsiTheme="majorBidi" w:cstheme="majorBidi"/>
          <w:color w:val="000000" w:themeColor="text1"/>
          <w:sz w:val="22"/>
          <w:szCs w:val="22"/>
        </w:rPr>
        <w:t>, as well as those relevant for women, youth, and persons with disabilities</w:t>
      </w:r>
      <w:r w:rsidR="00FA3866" w:rsidRPr="00B376A6">
        <w:rPr>
          <w:rFonts w:asciiTheme="majorBidi" w:hAnsiTheme="majorBidi" w:cstheme="majorBidi"/>
          <w:color w:val="000000" w:themeColor="text1"/>
          <w:sz w:val="22"/>
          <w:szCs w:val="22"/>
        </w:rPr>
        <w:t xml:space="preserve">. In </w:t>
      </w:r>
      <w:r w:rsidR="00305616" w:rsidRPr="00B376A6">
        <w:rPr>
          <w:rFonts w:asciiTheme="majorBidi" w:hAnsiTheme="majorBidi" w:cstheme="majorBidi"/>
          <w:color w:val="000000" w:themeColor="text1"/>
          <w:sz w:val="22"/>
          <w:szCs w:val="22"/>
        </w:rPr>
        <w:t xml:space="preserve">the </w:t>
      </w:r>
      <w:r w:rsidR="00FA3866" w:rsidRPr="00B376A6">
        <w:rPr>
          <w:rFonts w:asciiTheme="majorBidi" w:hAnsiTheme="majorBidi" w:cstheme="majorBidi"/>
          <w:color w:val="000000" w:themeColor="text1"/>
          <w:sz w:val="22"/>
          <w:szCs w:val="22"/>
        </w:rPr>
        <w:t>context</w:t>
      </w:r>
      <w:r w:rsidR="00305616" w:rsidRPr="00B376A6">
        <w:rPr>
          <w:rFonts w:asciiTheme="majorBidi" w:hAnsiTheme="majorBidi" w:cstheme="majorBidi"/>
          <w:color w:val="000000" w:themeColor="text1"/>
          <w:sz w:val="22"/>
          <w:szCs w:val="22"/>
        </w:rPr>
        <w:t xml:space="preserve"> of indigenous peoples and local communities</w:t>
      </w:r>
      <w:r w:rsidR="00FA3866" w:rsidRPr="00B376A6">
        <w:rPr>
          <w:rFonts w:asciiTheme="majorBidi" w:hAnsiTheme="majorBidi" w:cstheme="majorBidi"/>
          <w:color w:val="000000" w:themeColor="text1"/>
          <w:sz w:val="22"/>
          <w:szCs w:val="22"/>
        </w:rPr>
        <w:t>, a key mechanism is to include the four traditional knowledge indicators developed under the Article 8j process and as part of the Joint Programme of Work on the Links Between Biological and Cultural Diversity.</w:t>
      </w:r>
      <w:r w:rsidR="00CA7325" w:rsidRPr="00B376A6">
        <w:rPr>
          <w:rFonts w:asciiTheme="majorBidi" w:hAnsiTheme="majorBidi" w:cstheme="majorBidi"/>
          <w:color w:val="000000" w:themeColor="text1"/>
          <w:sz w:val="22"/>
          <w:szCs w:val="22"/>
        </w:rPr>
        <w:t xml:space="preserve"> These indicators are: </w:t>
      </w:r>
      <w:r w:rsidR="00CA7325" w:rsidRPr="00B3383B">
        <w:rPr>
          <w:rStyle w:val="ui-provider"/>
          <w:rFonts w:eastAsiaTheme="majorEastAsia"/>
          <w:sz w:val="22"/>
          <w:szCs w:val="22"/>
        </w:rPr>
        <w:t>(a) Trends of linguistic diversity and numbers of speakers of indigenous languages; (b) Trends in land-use change and land tenure in the traditional territories of indigenous and local communities; (c) Trends in the practice of traditional occupations; and (d) Trends in degree to which traditional knowledge and practices are respected through: full integration, participation and safeguards in national implementation of the Strategic Plan (see decisions XIII/28 and 15/22)</w:t>
      </w:r>
      <w:r w:rsidR="00B376A6" w:rsidRPr="00B3383B">
        <w:rPr>
          <w:rStyle w:val="ui-provider"/>
          <w:rFonts w:eastAsiaTheme="majorEastAsia"/>
          <w:sz w:val="22"/>
          <w:szCs w:val="22"/>
        </w:rPr>
        <w:t>;</w:t>
      </w:r>
    </w:p>
    <w:p w14:paraId="11FB7080" w14:textId="608D6448" w:rsidR="008344AF" w:rsidRPr="00B376A6" w:rsidRDefault="00FA3866" w:rsidP="00B3383B">
      <w:pPr>
        <w:pStyle w:val="CBDNormalNumber"/>
        <w:numPr>
          <w:ilvl w:val="0"/>
          <w:numId w:val="7"/>
        </w:numPr>
        <w:ind w:left="567" w:firstLine="567"/>
        <w:rPr>
          <w:color w:val="000000" w:themeColor="text1"/>
        </w:rPr>
      </w:pPr>
      <w:r w:rsidRPr="00B376A6">
        <w:rPr>
          <w:color w:val="000000" w:themeColor="text1"/>
        </w:rPr>
        <w:t>Strengthening the processes of monitoring:</w:t>
      </w:r>
    </w:p>
    <w:p w14:paraId="5451AC1C" w14:textId="7CB60610" w:rsidR="00FA3866" w:rsidRPr="00ED7E61" w:rsidRDefault="006F6B40" w:rsidP="00B3383B">
      <w:pPr>
        <w:pStyle w:val="CBDNormalNumber"/>
        <w:numPr>
          <w:ilvl w:val="0"/>
          <w:numId w:val="0"/>
        </w:numPr>
        <w:tabs>
          <w:tab w:val="clear" w:pos="567"/>
          <w:tab w:val="clear" w:pos="1134"/>
          <w:tab w:val="clear" w:pos="1701"/>
        </w:tabs>
        <w:ind w:left="1701"/>
        <w:rPr>
          <w:rFonts w:asciiTheme="majorBidi" w:hAnsiTheme="majorBidi" w:cstheme="majorBidi"/>
          <w:color w:val="000000" w:themeColor="text1"/>
        </w:rPr>
      </w:pPr>
      <w:r w:rsidRPr="00ED7E61">
        <w:rPr>
          <w:rFonts w:asciiTheme="majorBidi" w:hAnsiTheme="majorBidi" w:cstheme="majorBidi"/>
          <w:color w:val="000000" w:themeColor="text1"/>
        </w:rPr>
        <w:t>M</w:t>
      </w:r>
      <w:r w:rsidR="00FA3866" w:rsidRPr="00ED7E61">
        <w:rPr>
          <w:rFonts w:asciiTheme="majorBidi" w:hAnsiTheme="majorBidi" w:cstheme="majorBidi"/>
          <w:color w:val="000000" w:themeColor="text1"/>
        </w:rPr>
        <w:t>onitoring process</w:t>
      </w:r>
      <w:r w:rsidR="00305616">
        <w:rPr>
          <w:rFonts w:asciiTheme="majorBidi" w:hAnsiTheme="majorBidi" w:cstheme="majorBidi"/>
          <w:color w:val="000000" w:themeColor="text1"/>
        </w:rPr>
        <w:t>es</w:t>
      </w:r>
      <w:r w:rsidR="00FA3866" w:rsidRPr="00ED7E61">
        <w:rPr>
          <w:rFonts w:asciiTheme="majorBidi" w:hAnsiTheme="majorBidi" w:cstheme="majorBidi"/>
          <w:color w:val="000000" w:themeColor="text1"/>
        </w:rPr>
        <w:t xml:space="preserve"> can be adapted to generate disaggregated data and to include participatory processes</w:t>
      </w:r>
      <w:r w:rsidR="004D2A98" w:rsidRPr="00ED7E61">
        <w:rPr>
          <w:rFonts w:asciiTheme="majorBidi" w:hAnsiTheme="majorBidi" w:cstheme="majorBidi"/>
          <w:color w:val="000000" w:themeColor="text1"/>
        </w:rPr>
        <w:t>, including through involving</w:t>
      </w:r>
      <w:r w:rsidR="00FA3866" w:rsidRPr="00ED7E61">
        <w:rPr>
          <w:rFonts w:asciiTheme="majorBidi" w:hAnsiTheme="majorBidi" w:cstheme="majorBidi"/>
          <w:color w:val="000000" w:themeColor="text1"/>
        </w:rPr>
        <w:t xml:space="preserve"> a broad range of sources in the acquisition of</w:t>
      </w:r>
      <w:r w:rsidR="004D2A98" w:rsidRPr="00ED7E61">
        <w:rPr>
          <w:rFonts w:asciiTheme="majorBidi" w:hAnsiTheme="majorBidi" w:cstheme="majorBidi"/>
          <w:color w:val="000000" w:themeColor="text1"/>
        </w:rPr>
        <w:t xml:space="preserve"> the underlying</w:t>
      </w:r>
      <w:r w:rsidR="00FA3866" w:rsidRPr="00ED7E61">
        <w:rPr>
          <w:rFonts w:asciiTheme="majorBidi" w:hAnsiTheme="majorBidi" w:cstheme="majorBidi"/>
          <w:color w:val="000000" w:themeColor="text1"/>
        </w:rPr>
        <w:t xml:space="preserve"> data</w:t>
      </w:r>
      <w:r w:rsidR="004D2A98" w:rsidRPr="00ED7E61">
        <w:rPr>
          <w:rFonts w:asciiTheme="majorBidi" w:hAnsiTheme="majorBidi" w:cstheme="majorBidi"/>
          <w:color w:val="000000" w:themeColor="text1"/>
        </w:rPr>
        <w:t xml:space="preserve"> needed </w:t>
      </w:r>
      <w:r w:rsidR="00FA3866" w:rsidRPr="00ED7E61">
        <w:rPr>
          <w:rFonts w:asciiTheme="majorBidi" w:hAnsiTheme="majorBidi" w:cstheme="majorBidi"/>
          <w:color w:val="000000" w:themeColor="text1"/>
        </w:rPr>
        <w:t>t</w:t>
      </w:r>
      <w:r w:rsidR="004D2A98" w:rsidRPr="00ED7E61">
        <w:rPr>
          <w:rFonts w:asciiTheme="majorBidi" w:hAnsiTheme="majorBidi" w:cstheme="majorBidi"/>
          <w:color w:val="000000" w:themeColor="text1"/>
        </w:rPr>
        <w:t>o</w:t>
      </w:r>
      <w:r w:rsidR="00FA3866" w:rsidRPr="00ED7E61">
        <w:rPr>
          <w:rFonts w:asciiTheme="majorBidi" w:hAnsiTheme="majorBidi" w:cstheme="majorBidi"/>
          <w:color w:val="000000" w:themeColor="text1"/>
        </w:rPr>
        <w:t xml:space="preserve"> populate the indicators.  </w:t>
      </w:r>
    </w:p>
    <w:p w14:paraId="50361DD1" w14:textId="77777777" w:rsidR="00FA3866" w:rsidRPr="00ED7E61" w:rsidRDefault="00FA3866" w:rsidP="00B3383B">
      <w:pPr>
        <w:pStyle w:val="CBDNormalNumber"/>
        <w:numPr>
          <w:ilvl w:val="0"/>
          <w:numId w:val="7"/>
        </w:numPr>
        <w:ind w:left="567" w:firstLine="567"/>
        <w:rPr>
          <w:color w:val="000000" w:themeColor="text1"/>
        </w:rPr>
      </w:pPr>
      <w:r w:rsidRPr="00ED7E61">
        <w:rPr>
          <w:color w:val="000000" w:themeColor="text1"/>
        </w:rPr>
        <w:t>Strengthening systems of monitoring:</w:t>
      </w:r>
    </w:p>
    <w:p w14:paraId="4722B48A" w14:textId="2C7894BD" w:rsidR="00FA3866" w:rsidRPr="00ED7E61" w:rsidRDefault="00FA3866" w:rsidP="00B3383B">
      <w:pPr>
        <w:pStyle w:val="CBDNormalNumber"/>
        <w:numPr>
          <w:ilvl w:val="0"/>
          <w:numId w:val="0"/>
        </w:numPr>
        <w:tabs>
          <w:tab w:val="clear" w:pos="567"/>
          <w:tab w:val="clear" w:pos="1134"/>
          <w:tab w:val="left" w:pos="1560"/>
        </w:tabs>
        <w:ind w:left="1701"/>
        <w:rPr>
          <w:rFonts w:asciiTheme="majorBidi" w:hAnsiTheme="majorBidi" w:cstheme="majorBidi"/>
          <w:color w:val="000000" w:themeColor="text1"/>
        </w:rPr>
      </w:pPr>
      <w:r w:rsidRPr="00ED7E61">
        <w:rPr>
          <w:rFonts w:asciiTheme="majorBidi" w:hAnsiTheme="majorBidi" w:cstheme="majorBidi"/>
          <w:color w:val="000000" w:themeColor="text1"/>
        </w:rPr>
        <w:t xml:space="preserve">Developing monitoring processes so they provide disaggregated detail will require effort but will ultimately strengthen understanding and provide a positive feedback loop </w:t>
      </w:r>
      <w:r w:rsidR="00E1493B" w:rsidRPr="00ED7E61">
        <w:rPr>
          <w:rFonts w:asciiTheme="majorBidi" w:hAnsiTheme="majorBidi" w:cstheme="majorBidi"/>
          <w:color w:val="000000" w:themeColor="text1"/>
        </w:rPr>
        <w:t xml:space="preserve">for the </w:t>
      </w:r>
      <w:r w:rsidRPr="00ED7E61">
        <w:rPr>
          <w:rFonts w:asciiTheme="majorBidi" w:hAnsiTheme="majorBidi" w:cstheme="majorBidi"/>
          <w:color w:val="000000" w:themeColor="text1"/>
        </w:rPr>
        <w:t xml:space="preserve">implementation of the goals and targets within the </w:t>
      </w:r>
      <w:r w:rsidR="00E1493B" w:rsidRPr="00ED7E61">
        <w:rPr>
          <w:rFonts w:asciiTheme="majorBidi" w:hAnsiTheme="majorBidi" w:cstheme="majorBidi"/>
          <w:color w:val="000000" w:themeColor="text1"/>
        </w:rPr>
        <w:t xml:space="preserve">Kunming-Montreal Global Biodiversity </w:t>
      </w:r>
      <w:r w:rsidRPr="00ED7E61">
        <w:rPr>
          <w:rFonts w:asciiTheme="majorBidi" w:hAnsiTheme="majorBidi" w:cstheme="majorBidi"/>
          <w:color w:val="000000" w:themeColor="text1"/>
        </w:rPr>
        <w:t xml:space="preserve">Framework, and </w:t>
      </w:r>
      <w:r w:rsidR="00E1493B" w:rsidRPr="00ED7E61">
        <w:rPr>
          <w:rFonts w:asciiTheme="majorBidi" w:hAnsiTheme="majorBidi" w:cstheme="majorBidi"/>
          <w:color w:val="000000" w:themeColor="text1"/>
        </w:rPr>
        <w:t>its</w:t>
      </w:r>
      <w:r w:rsidRPr="00ED7E61">
        <w:rPr>
          <w:rFonts w:asciiTheme="majorBidi" w:hAnsiTheme="majorBidi" w:cstheme="majorBidi"/>
          <w:color w:val="000000" w:themeColor="text1"/>
        </w:rPr>
        <w:t xml:space="preserve"> </w:t>
      </w:r>
      <w:r w:rsidR="00E1493B" w:rsidRPr="00ED7E61">
        <w:rPr>
          <w:rFonts w:asciiTheme="majorBidi" w:hAnsiTheme="majorBidi" w:cstheme="majorBidi"/>
          <w:color w:val="000000" w:themeColor="text1"/>
        </w:rPr>
        <w:t>m</w:t>
      </w:r>
      <w:r w:rsidRPr="00ED7E61">
        <w:rPr>
          <w:rFonts w:asciiTheme="majorBidi" w:hAnsiTheme="majorBidi" w:cstheme="majorBidi"/>
          <w:color w:val="000000" w:themeColor="text1"/>
        </w:rPr>
        <w:t xml:space="preserve">onitoring </w:t>
      </w:r>
      <w:r w:rsidR="00E1493B" w:rsidRPr="00ED7E61">
        <w:rPr>
          <w:rFonts w:asciiTheme="majorBidi" w:hAnsiTheme="majorBidi" w:cstheme="majorBidi"/>
          <w:color w:val="000000" w:themeColor="text1"/>
        </w:rPr>
        <w:t>f</w:t>
      </w:r>
      <w:r w:rsidRPr="00ED7E61">
        <w:rPr>
          <w:rFonts w:asciiTheme="majorBidi" w:hAnsiTheme="majorBidi" w:cstheme="majorBidi"/>
          <w:color w:val="000000" w:themeColor="text1"/>
        </w:rPr>
        <w:t>ramework.</w:t>
      </w:r>
    </w:p>
    <w:p w14:paraId="1BE785F4" w14:textId="77777777" w:rsidR="008344AF" w:rsidRPr="00ED7E61" w:rsidRDefault="00F73ED8" w:rsidP="00B10F0C">
      <w:pPr>
        <w:pStyle w:val="CBDNormalNumber"/>
        <w:numPr>
          <w:ilvl w:val="0"/>
          <w:numId w:val="65"/>
        </w:numPr>
        <w:ind w:left="567" w:firstLine="0"/>
      </w:pPr>
      <w:r w:rsidRPr="00ED7E61">
        <w:t>In the light of the ongoing developments around Community Based Monitoring and Information Systems (CBMIS) and parallel developments in the application of monitoring through citizen science, there are opportunities to address the current lack of indicators about processes and to make monitoring more inclusive. Processes to advance Parties’ capacity to monitor the considerations described within Section C of the Kunming-Montreal Global Biodiversity Framework could therefore be developed.</w:t>
      </w:r>
    </w:p>
    <w:p w14:paraId="3C7951A6" w14:textId="736EDB59" w:rsidR="008344AF" w:rsidRPr="00ED7E61" w:rsidRDefault="003D44F2" w:rsidP="00B10F0C">
      <w:pPr>
        <w:pStyle w:val="CBDNormalNumber"/>
        <w:numPr>
          <w:ilvl w:val="0"/>
          <w:numId w:val="65"/>
        </w:numPr>
        <w:ind w:left="567" w:firstLine="0"/>
      </w:pPr>
      <w:r w:rsidRPr="00ED7E61">
        <w:rPr>
          <w:rFonts w:asciiTheme="majorBidi" w:hAnsiTheme="majorBidi" w:cstheme="majorBidi"/>
        </w:rPr>
        <w:t xml:space="preserve">Appendix 2 of SBSTTA/26/2 notes explicit links to elements of Section C where related reporting may be possible by 2026, including through disaggregation of existing datasets for headline and binary indicators (see </w:t>
      </w:r>
      <w:r w:rsidR="00B21D84">
        <w:rPr>
          <w:rFonts w:asciiTheme="majorBidi" w:hAnsiTheme="majorBidi" w:cstheme="majorBidi"/>
        </w:rPr>
        <w:t xml:space="preserve">the </w:t>
      </w:r>
      <w:r w:rsidR="0051557A">
        <w:rPr>
          <w:rFonts w:asciiTheme="majorBidi" w:hAnsiTheme="majorBidi" w:cstheme="majorBidi"/>
        </w:rPr>
        <w:t>t</w:t>
      </w:r>
      <w:r w:rsidRPr="00ED7E61">
        <w:rPr>
          <w:rFonts w:asciiTheme="majorBidi" w:hAnsiTheme="majorBidi" w:cstheme="majorBidi"/>
        </w:rPr>
        <w:t>able below). This list is not intended to be comprehensive or prescriptive of where and how Section C considerations are addressed. Rather, each element of Section C should be considered throughout the design, implementation and revision of the Framework; and therefore in its monitoring.</w:t>
      </w:r>
    </w:p>
    <w:p w14:paraId="5CE4E93B" w14:textId="73F56AF5" w:rsidR="008344AF" w:rsidRPr="00ED7E61" w:rsidRDefault="00E1493B" w:rsidP="00B10F0C">
      <w:pPr>
        <w:pStyle w:val="CBDNormalNumber"/>
        <w:numPr>
          <w:ilvl w:val="0"/>
          <w:numId w:val="65"/>
        </w:numPr>
        <w:ind w:left="567" w:firstLine="0"/>
        <w:rPr>
          <w:rFonts w:asciiTheme="majorBidi" w:hAnsiTheme="majorBidi" w:cstheme="majorBidi"/>
        </w:rPr>
      </w:pPr>
      <w:r w:rsidRPr="00ED7E61">
        <w:rPr>
          <w:rFonts w:asciiTheme="majorBidi" w:hAnsiTheme="majorBidi" w:cstheme="majorBidi"/>
        </w:rPr>
        <w:t xml:space="preserve">In addition to these general approaches Parties may also wish to consider including section(s) in their NBSAP and/or setting national targets that address the considerations of Section C. For example, the current Canadian draft </w:t>
      </w:r>
      <w:hyperlink w:history="1">
        <w:hyperlink r:id="rId26" w:history="1">
          <w:r w:rsidRPr="00ED7E61">
            <w:t>Milestone document</w:t>
          </w:r>
        </w:hyperlink>
      </w:hyperlink>
      <w:r w:rsidRPr="00ED7E61">
        <w:rPr>
          <w:rFonts w:asciiTheme="majorBidi" w:hAnsiTheme="majorBidi" w:cstheme="majorBidi"/>
        </w:rPr>
        <w:t xml:space="preserve"> includes in the preamble a section called "</w:t>
      </w:r>
      <w:r w:rsidRPr="00FB1598">
        <w:rPr>
          <w:rFonts w:asciiTheme="majorBidi" w:hAnsiTheme="majorBidi" w:cstheme="majorBidi"/>
          <w:i/>
          <w:iCs/>
        </w:rPr>
        <w:t>From vision to action: Achieving the 2030 targets</w:t>
      </w:r>
      <w:r w:rsidRPr="00ED7E61">
        <w:rPr>
          <w:rFonts w:asciiTheme="majorBidi" w:hAnsiTheme="majorBidi" w:cstheme="majorBidi"/>
        </w:rPr>
        <w:t>" that includes many of the elements of Section C.</w:t>
      </w:r>
      <w:r w:rsidR="008344AF" w:rsidRPr="00ED7E61">
        <w:rPr>
          <w:rFonts w:asciiTheme="majorBidi" w:hAnsiTheme="majorBidi" w:cstheme="majorBidi"/>
        </w:rPr>
        <w:t xml:space="preserve"> Further, for the purpose of this document, guidance on the following elements of Section C is provided as described below:</w:t>
      </w:r>
    </w:p>
    <w:p w14:paraId="5F0816A9" w14:textId="0E117F35" w:rsidR="008344AF" w:rsidRPr="00ED7E61" w:rsidRDefault="008344AF" w:rsidP="00395866">
      <w:pPr>
        <w:jc w:val="both"/>
        <w:rPr>
          <w:rFonts w:asciiTheme="majorBidi" w:hAnsiTheme="majorBidi" w:cstheme="majorBidi"/>
          <w:sz w:val="22"/>
          <w:szCs w:val="22"/>
        </w:rPr>
      </w:pPr>
    </w:p>
    <w:tbl>
      <w:tblPr>
        <w:tblStyle w:val="TableGrid"/>
        <w:tblW w:w="9077" w:type="dxa"/>
        <w:tblInd w:w="562" w:type="dxa"/>
        <w:tblLayout w:type="fixed"/>
        <w:tblLook w:val="06A0" w:firstRow="1" w:lastRow="0" w:firstColumn="1" w:lastColumn="0" w:noHBand="1" w:noVBand="1"/>
      </w:tblPr>
      <w:tblGrid>
        <w:gridCol w:w="4258"/>
        <w:gridCol w:w="4819"/>
      </w:tblGrid>
      <w:tr w:rsidR="00FA3866" w:rsidRPr="00B05C1D" w14:paraId="06D32CEC" w14:textId="77777777" w:rsidTr="00B3383B">
        <w:trPr>
          <w:trHeight w:val="300"/>
        </w:trPr>
        <w:tc>
          <w:tcPr>
            <w:tcW w:w="4258" w:type="dxa"/>
          </w:tcPr>
          <w:p w14:paraId="4A6556A9" w14:textId="77777777" w:rsidR="00FA3866" w:rsidRPr="00B3383B" w:rsidRDefault="00FA3866" w:rsidP="00395866">
            <w:pPr>
              <w:jc w:val="both"/>
              <w:rPr>
                <w:rFonts w:asciiTheme="majorBidi" w:hAnsiTheme="majorBidi" w:cstheme="majorBidi"/>
                <w:i/>
                <w:iCs/>
                <w:sz w:val="20"/>
                <w:szCs w:val="20"/>
              </w:rPr>
            </w:pPr>
            <w:r w:rsidRPr="00B3383B">
              <w:rPr>
                <w:rFonts w:asciiTheme="majorBidi" w:hAnsiTheme="majorBidi" w:cstheme="majorBidi"/>
                <w:i/>
                <w:iCs/>
                <w:sz w:val="20"/>
                <w:szCs w:val="20"/>
              </w:rPr>
              <w:t>Guidance</w:t>
            </w:r>
          </w:p>
        </w:tc>
        <w:tc>
          <w:tcPr>
            <w:tcW w:w="4819" w:type="dxa"/>
          </w:tcPr>
          <w:p w14:paraId="2CBA6C22" w14:textId="77777777" w:rsidR="00FA3866" w:rsidRPr="00B3383B" w:rsidRDefault="00FA3866" w:rsidP="00395866">
            <w:pPr>
              <w:jc w:val="both"/>
              <w:rPr>
                <w:rFonts w:asciiTheme="majorBidi" w:hAnsiTheme="majorBidi" w:cstheme="majorBidi"/>
                <w:i/>
                <w:iCs/>
                <w:sz w:val="20"/>
                <w:szCs w:val="20"/>
              </w:rPr>
            </w:pPr>
            <w:r w:rsidRPr="00B3383B">
              <w:rPr>
                <w:rFonts w:asciiTheme="majorBidi" w:hAnsiTheme="majorBidi" w:cstheme="majorBidi"/>
                <w:i/>
                <w:iCs/>
                <w:sz w:val="20"/>
                <w:szCs w:val="20"/>
              </w:rPr>
              <w:t>Section C elements</w:t>
            </w:r>
          </w:p>
        </w:tc>
      </w:tr>
      <w:tr w:rsidR="00FA3866" w:rsidRPr="00B05C1D" w14:paraId="4C4D42F5" w14:textId="77777777" w:rsidTr="00B3383B">
        <w:trPr>
          <w:trHeight w:val="300"/>
        </w:trPr>
        <w:tc>
          <w:tcPr>
            <w:tcW w:w="4258" w:type="dxa"/>
          </w:tcPr>
          <w:p w14:paraId="6E6F01AB"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 xml:space="preserve">Section 2a of this document includes guidance on inclusively monitoring people and biodiversity when implementing monitoring framework </w:t>
            </w:r>
          </w:p>
        </w:tc>
        <w:tc>
          <w:tcPr>
            <w:tcW w:w="4819" w:type="dxa"/>
          </w:tcPr>
          <w:p w14:paraId="1AB5171D" w14:textId="76CAC849" w:rsidR="00FA3866" w:rsidRPr="00B3383B" w:rsidRDefault="00FA3866" w:rsidP="00B3383B">
            <w:pPr>
              <w:rPr>
                <w:rFonts w:asciiTheme="majorBidi" w:hAnsiTheme="majorBidi" w:cstheme="majorBidi"/>
                <w:sz w:val="20"/>
                <w:szCs w:val="20"/>
              </w:rPr>
            </w:pPr>
            <w:r w:rsidRPr="00B3383B">
              <w:rPr>
                <w:rFonts w:asciiTheme="majorBidi" w:hAnsiTheme="majorBidi" w:cstheme="majorBidi"/>
                <w:sz w:val="20"/>
                <w:szCs w:val="20"/>
              </w:rPr>
              <w:t>(a) Contribution and rights of indigenous peoples and local communities, (g) Human rights-based approach, (h) Gender,  (n) Intergenerational equity</w:t>
            </w:r>
          </w:p>
          <w:p w14:paraId="30446E6E" w14:textId="77777777" w:rsidR="00FA3866" w:rsidRPr="00B3383B" w:rsidRDefault="00FA3866" w:rsidP="00395866">
            <w:pPr>
              <w:jc w:val="both"/>
              <w:rPr>
                <w:rFonts w:asciiTheme="majorBidi" w:hAnsiTheme="majorBidi" w:cstheme="majorBidi"/>
                <w:sz w:val="20"/>
                <w:szCs w:val="20"/>
              </w:rPr>
            </w:pPr>
          </w:p>
        </w:tc>
      </w:tr>
      <w:tr w:rsidR="00FA3866" w:rsidRPr="00B05C1D" w14:paraId="47B1E6AD" w14:textId="77777777" w:rsidTr="00B3383B">
        <w:trPr>
          <w:trHeight w:val="300"/>
        </w:trPr>
        <w:tc>
          <w:tcPr>
            <w:tcW w:w="4258" w:type="dxa"/>
          </w:tcPr>
          <w:p w14:paraId="4B0E9868"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 xml:space="preserve">No specific guidance provided. Some of the elements are captured in the indicators for specific targets as noted in Appendix 2 of SBSSTA/26/2. Guidance related to national planning, national reporting and national implementation applies. </w:t>
            </w:r>
          </w:p>
        </w:tc>
        <w:tc>
          <w:tcPr>
            <w:tcW w:w="4819" w:type="dxa"/>
          </w:tcPr>
          <w:p w14:paraId="09F99ABC"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 xml:space="preserve">(b) Different value systems, (c) Whole-of-government and whole-of-society approach,  (d) National circumstances, priorities and capabilities, (e) Collective effort towards the targets, (f) Right to development, (i) Fulfilment of the three objectives of the Convention and its Protocols and their balanced implementation, (j) Consistency with international agreements or instruments, (k) Principles of the Rio Declaration, (l) Science and innovation, (o) Formal and informal education, (p) Access to financial resources, (q) Cooperation and synergies </w:t>
            </w:r>
          </w:p>
        </w:tc>
      </w:tr>
      <w:tr w:rsidR="00FA3866" w:rsidRPr="00B05C1D" w14:paraId="6EE66D09" w14:textId="77777777" w:rsidTr="00B3383B">
        <w:trPr>
          <w:trHeight w:val="300"/>
        </w:trPr>
        <w:tc>
          <w:tcPr>
            <w:tcW w:w="4258" w:type="dxa"/>
          </w:tcPr>
          <w:p w14:paraId="0EEB6686"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Consistency is captured in different ways, but for indicators that are also used in reporting against the Sustainable Development Goals, the reporting should be through the SDG process.</w:t>
            </w:r>
          </w:p>
        </w:tc>
        <w:tc>
          <w:tcPr>
            <w:tcW w:w="4819" w:type="dxa"/>
          </w:tcPr>
          <w:p w14:paraId="77C8D6D4"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(j) Consistency with international agreements or instruments</w:t>
            </w:r>
          </w:p>
        </w:tc>
      </w:tr>
      <w:tr w:rsidR="00FA3866" w:rsidRPr="00B05C1D" w14:paraId="73EAAC49" w14:textId="77777777" w:rsidTr="00B3383B">
        <w:trPr>
          <w:trHeight w:val="300"/>
        </w:trPr>
        <w:tc>
          <w:tcPr>
            <w:tcW w:w="4258" w:type="dxa"/>
          </w:tcPr>
          <w:p w14:paraId="18F1F360"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Monitoring specific ecosystems is necessary to implement the ecosystem approach and to use many of the indicators in national planning. Section 2b of this document includes guidance on monitoring ecosystems across the framework.</w:t>
            </w:r>
          </w:p>
          <w:p w14:paraId="15125C28" w14:textId="77777777" w:rsidR="00FA3866" w:rsidRPr="00B3383B" w:rsidRDefault="00FA3866" w:rsidP="00395866">
            <w:pPr>
              <w:jc w:val="both"/>
              <w:rPr>
                <w:rFonts w:asciiTheme="majorBidi" w:hAnsiTheme="majorBidi" w:cstheme="majorBidi"/>
                <w:sz w:val="20"/>
                <w:szCs w:val="20"/>
              </w:rPr>
            </w:pPr>
          </w:p>
        </w:tc>
        <w:tc>
          <w:tcPr>
            <w:tcW w:w="4819" w:type="dxa"/>
          </w:tcPr>
          <w:p w14:paraId="7C66196F"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 xml:space="preserve">(m) Ecosystem approach  </w:t>
            </w:r>
          </w:p>
        </w:tc>
      </w:tr>
      <w:tr w:rsidR="00FA3866" w:rsidRPr="00B05C1D" w14:paraId="1E7FFDA9" w14:textId="77777777" w:rsidTr="00B3383B">
        <w:trPr>
          <w:trHeight w:val="300"/>
        </w:trPr>
        <w:tc>
          <w:tcPr>
            <w:tcW w:w="4258" w:type="dxa"/>
          </w:tcPr>
          <w:p w14:paraId="0CE05B31"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 xml:space="preserve">Indicators are being further developed in the context of the biodiversity and health plan (for COP-17). </w:t>
            </w:r>
          </w:p>
        </w:tc>
        <w:tc>
          <w:tcPr>
            <w:tcW w:w="4819" w:type="dxa"/>
          </w:tcPr>
          <w:p w14:paraId="16172538"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 xml:space="preserve">(r) Biodiversity and health  </w:t>
            </w:r>
          </w:p>
          <w:p w14:paraId="10FB9496" w14:textId="77777777" w:rsidR="00FA3866" w:rsidRPr="00B3383B" w:rsidRDefault="00FA3866" w:rsidP="00395866">
            <w:pPr>
              <w:jc w:val="both"/>
              <w:rPr>
                <w:rFonts w:asciiTheme="majorBidi" w:hAnsiTheme="majorBidi" w:cstheme="majorBidi"/>
                <w:sz w:val="20"/>
                <w:szCs w:val="20"/>
              </w:rPr>
            </w:pPr>
          </w:p>
        </w:tc>
      </w:tr>
    </w:tbl>
    <w:p w14:paraId="5E03CC75" w14:textId="77777777" w:rsidR="00885B1B" w:rsidRPr="00ED7E61" w:rsidRDefault="00885B1B">
      <w:pPr>
        <w:rPr>
          <w:rFonts w:asciiTheme="majorBidi" w:hAnsiTheme="majorBidi"/>
          <w:b/>
          <w:bCs/>
          <w:color w:val="000000" w:themeColor="text1"/>
          <w:sz w:val="22"/>
          <w:szCs w:val="22"/>
        </w:rPr>
      </w:pPr>
    </w:p>
    <w:p w14:paraId="5AD3E073" w14:textId="6C7B8A74" w:rsidR="006B2B3A" w:rsidRPr="00ED7E61" w:rsidRDefault="006B2B3A">
      <w:pPr>
        <w:rPr>
          <w:rFonts w:asciiTheme="majorBidi" w:hAnsiTheme="majorBidi"/>
          <w:b/>
          <w:bCs/>
          <w:color w:val="000000" w:themeColor="text1"/>
          <w:sz w:val="22"/>
          <w:szCs w:val="22"/>
        </w:rPr>
      </w:pPr>
      <w:r w:rsidRPr="00ED7E61">
        <w:rPr>
          <w:rFonts w:asciiTheme="majorBidi" w:hAnsiTheme="majorBidi"/>
          <w:b/>
          <w:bCs/>
          <w:color w:val="000000" w:themeColor="text1"/>
          <w:sz w:val="22"/>
          <w:szCs w:val="22"/>
        </w:rPr>
        <w:br w:type="page"/>
      </w:r>
    </w:p>
    <w:p w14:paraId="62077692" w14:textId="77777777" w:rsidR="008344AF" w:rsidRPr="00ED7E61" w:rsidRDefault="00FA3866" w:rsidP="00AF25B2">
      <w:pPr>
        <w:rPr>
          <w:b/>
          <w:bCs/>
        </w:rPr>
      </w:pPr>
      <w:r w:rsidRPr="00ED7E61">
        <w:rPr>
          <w:b/>
          <w:bCs/>
        </w:rPr>
        <w:t xml:space="preserve">Section 2a: </w:t>
      </w:r>
    </w:p>
    <w:p w14:paraId="50DE2789" w14:textId="7EE1CD54" w:rsidR="00FA3866" w:rsidRPr="00ED7E61" w:rsidRDefault="00FA3866" w:rsidP="00AF25B2">
      <w:pPr>
        <w:rPr>
          <w:b/>
          <w:bCs/>
        </w:rPr>
      </w:pPr>
      <w:r w:rsidRPr="00ED7E61">
        <w:rPr>
          <w:b/>
          <w:bCs/>
        </w:rPr>
        <w:t xml:space="preserve">Guidance on </w:t>
      </w:r>
      <w:r w:rsidR="00AF25B2" w:rsidRPr="00ED7E61">
        <w:rPr>
          <w:b/>
          <w:bCs/>
        </w:rPr>
        <w:t xml:space="preserve">how to </w:t>
      </w:r>
      <w:r w:rsidRPr="00ED7E61">
        <w:rPr>
          <w:b/>
          <w:bCs/>
        </w:rPr>
        <w:t xml:space="preserve">inclusively </w:t>
      </w:r>
      <w:r w:rsidR="00AF25B2" w:rsidRPr="00ED7E61">
        <w:rPr>
          <w:b/>
          <w:bCs/>
        </w:rPr>
        <w:t xml:space="preserve">take </w:t>
      </w:r>
      <w:r w:rsidRPr="00ED7E61">
        <w:rPr>
          <w:b/>
          <w:bCs/>
        </w:rPr>
        <w:t xml:space="preserve">people and biodiversity </w:t>
      </w:r>
      <w:r w:rsidR="00AF25B2" w:rsidRPr="00ED7E61">
        <w:rPr>
          <w:b/>
          <w:bCs/>
        </w:rPr>
        <w:t xml:space="preserve">into account </w:t>
      </w:r>
      <w:r w:rsidRPr="00ED7E61">
        <w:rPr>
          <w:b/>
          <w:bCs/>
        </w:rPr>
        <w:t>when</w:t>
      </w:r>
      <w:r w:rsidR="00AF25B2" w:rsidRPr="00ED7E61">
        <w:rPr>
          <w:b/>
          <w:bCs/>
        </w:rPr>
        <w:t xml:space="preserve"> </w:t>
      </w:r>
      <w:r w:rsidRPr="00ED7E61">
        <w:rPr>
          <w:b/>
          <w:bCs/>
        </w:rPr>
        <w:t>implementing the monitoring framework</w:t>
      </w:r>
      <w:r w:rsidR="00AF25B2" w:rsidRPr="00ED7E61">
        <w:rPr>
          <w:b/>
          <w:bCs/>
        </w:rPr>
        <w:t xml:space="preserve"> - </w:t>
      </w:r>
      <w:r w:rsidRPr="00ED7E61">
        <w:rPr>
          <w:b/>
          <w:bCs/>
        </w:rPr>
        <w:t xml:space="preserve">Taking an inclusive approach to monitoring </w:t>
      </w:r>
    </w:p>
    <w:p w14:paraId="73F1BAEF" w14:textId="128D99A7" w:rsidR="00C05136" w:rsidRPr="00ED7E61" w:rsidRDefault="00FA3866" w:rsidP="00B10F0C">
      <w:pPr>
        <w:pStyle w:val="CBDNormalNumber"/>
        <w:numPr>
          <w:ilvl w:val="0"/>
          <w:numId w:val="66"/>
        </w:numPr>
        <w:ind w:left="567" w:firstLine="0"/>
      </w:pPr>
      <w:r w:rsidRPr="00ED7E61">
        <w:t>Section C of the Global Biodiversity Framework provides “</w:t>
      </w:r>
      <w:r w:rsidRPr="00FB1598">
        <w:rPr>
          <w:i/>
          <w:iCs/>
        </w:rPr>
        <w:t>considerations for the implementation of the Kunming-Montreal Global Biodiversity Framework</w:t>
      </w:r>
      <w:r w:rsidRPr="00ED7E61">
        <w:t xml:space="preserve">”. </w:t>
      </w:r>
    </w:p>
    <w:p w14:paraId="716B216D" w14:textId="378F1437" w:rsidR="00FA3866" w:rsidRPr="00ED7E61" w:rsidRDefault="00D04D68" w:rsidP="00B10F0C">
      <w:pPr>
        <w:pStyle w:val="CBDNormalNumber"/>
        <w:numPr>
          <w:ilvl w:val="0"/>
          <w:numId w:val="66"/>
        </w:numPr>
        <w:ind w:left="567" w:firstLine="0"/>
      </w:pPr>
      <w:hyperlink r:id="rId27">
        <w:r w:rsidRPr="00B3383B">
          <w:rPr>
            <w:rStyle w:val="Hyperlink"/>
            <w:rFonts w:asciiTheme="majorBidi" w:eastAsiaTheme="majorEastAsia" w:hAnsiTheme="majorBidi" w:cstheme="majorBidi"/>
            <w:color w:val="auto"/>
            <w:u w:val="none"/>
          </w:rPr>
          <w:t>The Subsidiary Body, in recommendation 25/1</w:t>
        </w:r>
      </w:hyperlink>
      <w:r>
        <w:rPr>
          <w:rStyle w:val="Hyperlink"/>
          <w:rFonts w:asciiTheme="majorBidi" w:eastAsiaTheme="majorEastAsia" w:hAnsiTheme="majorBidi" w:cstheme="majorBidi"/>
          <w:color w:val="auto"/>
          <w:u w:val="none"/>
        </w:rPr>
        <w:t>,</w:t>
      </w:r>
      <w:r w:rsidR="00FA3866" w:rsidRPr="00ED7E61">
        <w:t xml:space="preserve"> requested the AHTEG to develop guidance on implementing monitoring in accordance with Section C of the Global Biodiversity Framework:</w:t>
      </w:r>
    </w:p>
    <w:p w14:paraId="13CB8A23" w14:textId="4201281B" w:rsidR="00FA3866" w:rsidRPr="00B3383B" w:rsidRDefault="00FA3866" w:rsidP="00B3383B">
      <w:pPr>
        <w:pStyle w:val="CBDNormalNumber"/>
        <w:numPr>
          <w:ilvl w:val="0"/>
          <w:numId w:val="0"/>
        </w:numPr>
        <w:ind w:left="927"/>
        <w:rPr>
          <w:rFonts w:asciiTheme="majorBidi" w:hAnsiTheme="majorBidi" w:cstheme="majorBidi"/>
        </w:rPr>
      </w:pPr>
      <w:r w:rsidRPr="00ED7E61">
        <w:rPr>
          <w:color w:val="000000" w:themeColor="text1"/>
        </w:rPr>
        <w:t>“</w:t>
      </w:r>
      <w:r w:rsidRPr="00FB1598">
        <w:rPr>
          <w:i/>
          <w:iCs/>
          <w:color w:val="000000" w:themeColor="text1"/>
        </w:rPr>
        <w:t>Encourages the Expert Group to take section C of the Framework into consideration when addressing the gaps in the monitoring framework in preparation for the twenty-sixth meeting of the Subsidiary Body on Scientific, Technical and Technological Advice</w:t>
      </w:r>
      <w:r w:rsidRPr="00ED7E61">
        <w:rPr>
          <w:color w:val="000000" w:themeColor="text1"/>
        </w:rPr>
        <w:t>” (</w:t>
      </w:r>
      <w:r w:rsidR="00D442FF">
        <w:rPr>
          <w:color w:val="000000" w:themeColor="text1"/>
        </w:rPr>
        <w:t xml:space="preserve">recommendation </w:t>
      </w:r>
      <w:r w:rsidRPr="00ED7E61">
        <w:rPr>
          <w:color w:val="000000" w:themeColor="text1"/>
        </w:rPr>
        <w:t>25/1, para</w:t>
      </w:r>
      <w:r w:rsidR="00D442FF">
        <w:rPr>
          <w:color w:val="000000" w:themeColor="text1"/>
        </w:rPr>
        <w:t>.</w:t>
      </w:r>
      <w:r w:rsidRPr="00ED7E61">
        <w:rPr>
          <w:color w:val="000000" w:themeColor="text1"/>
        </w:rPr>
        <w:t xml:space="preserve"> 9).</w:t>
      </w:r>
    </w:p>
    <w:p w14:paraId="027F0C2D" w14:textId="3C9391BD" w:rsidR="00FA3866" w:rsidRPr="00ED7E61" w:rsidRDefault="00FA3866" w:rsidP="00B10F0C">
      <w:pPr>
        <w:pStyle w:val="CBDNormalNumber"/>
        <w:numPr>
          <w:ilvl w:val="0"/>
          <w:numId w:val="66"/>
        </w:numPr>
        <w:ind w:left="567" w:firstLine="0"/>
        <w:rPr>
          <w:rFonts w:asciiTheme="majorBidi" w:hAnsiTheme="majorBidi" w:cstheme="majorBidi"/>
        </w:rPr>
      </w:pPr>
      <w:r w:rsidRPr="00ED7E61">
        <w:t>Additional</w:t>
      </w:r>
      <w:r w:rsidRPr="00ED7E61">
        <w:rPr>
          <w:rFonts w:asciiTheme="majorBidi" w:hAnsiTheme="majorBidi" w:cstheme="majorBidi"/>
        </w:rPr>
        <w:t xml:space="preserve"> requests for an inclusive approach to monitoring have both been agreed by Parties and suggested by expert groups:</w:t>
      </w:r>
    </w:p>
    <w:p w14:paraId="19133A51" w14:textId="416C5D63" w:rsidR="00C05136" w:rsidRPr="00ED7E61" w:rsidRDefault="00FA3866" w:rsidP="00B10F0C">
      <w:pPr>
        <w:pStyle w:val="CBDNormalNumber"/>
        <w:numPr>
          <w:ilvl w:val="0"/>
          <w:numId w:val="13"/>
        </w:numPr>
        <w:rPr>
          <w:rFonts w:asciiTheme="majorBidi" w:hAnsiTheme="majorBidi" w:cstheme="majorBidi"/>
        </w:rPr>
      </w:pPr>
      <w:r w:rsidRPr="00ED7E61">
        <w:rPr>
          <w:color w:val="000000" w:themeColor="text1"/>
        </w:rPr>
        <w:t xml:space="preserve">The Gender </w:t>
      </w:r>
      <w:r w:rsidRPr="00ED7E61">
        <w:rPr>
          <w:rFonts w:asciiTheme="majorBidi" w:hAnsiTheme="majorBidi" w:cstheme="majorBidi"/>
        </w:rPr>
        <w:t>Plan of Action (</w:t>
      </w:r>
      <w:hyperlink r:id="rId28">
        <w:r w:rsidR="00D442FF">
          <w:rPr>
            <w:rStyle w:val="Hyperlink"/>
            <w:rFonts w:asciiTheme="majorBidi" w:eastAsiaTheme="majorEastAsia" w:hAnsiTheme="majorBidi" w:cstheme="majorBidi"/>
          </w:rPr>
          <w:t>d</w:t>
        </w:r>
        <w:r w:rsidRPr="00ED7E61">
          <w:rPr>
            <w:rStyle w:val="Hyperlink"/>
            <w:rFonts w:asciiTheme="majorBidi" w:eastAsiaTheme="majorEastAsia" w:hAnsiTheme="majorBidi" w:cstheme="majorBidi"/>
          </w:rPr>
          <w:t>ecision 15/11</w:t>
        </w:r>
      </w:hyperlink>
      <w:r w:rsidRPr="00ED7E61">
        <w:rPr>
          <w:rFonts w:asciiTheme="majorBidi" w:hAnsiTheme="majorBidi" w:cstheme="majorBidi"/>
        </w:rPr>
        <w:t>) adopted by the Conference of the Parties includes a specific action to promote gender-responsive monitoring within the context of the Framework:</w:t>
      </w:r>
    </w:p>
    <w:p w14:paraId="0AFC4F8B" w14:textId="6A6D2B5C" w:rsidR="00C05136" w:rsidRPr="00ED7E61" w:rsidRDefault="00FA3866" w:rsidP="00B3383B">
      <w:pPr>
        <w:pStyle w:val="CBDNormalNumber"/>
        <w:numPr>
          <w:ilvl w:val="0"/>
          <w:numId w:val="0"/>
        </w:numPr>
        <w:ind w:left="1440"/>
        <w:rPr>
          <w:rFonts w:asciiTheme="majorBidi" w:hAnsiTheme="majorBidi" w:cstheme="majorBidi"/>
          <w:lang w:val="en-US"/>
        </w:rPr>
      </w:pPr>
      <w:r w:rsidRPr="00ED7E61">
        <w:rPr>
          <w:rFonts w:asciiTheme="majorBidi" w:hAnsiTheme="majorBidi" w:cstheme="majorBidi"/>
          <w:lang w:val="en-US"/>
        </w:rPr>
        <w:t>“</w:t>
      </w:r>
      <w:r w:rsidRPr="00FB1598">
        <w:rPr>
          <w:rFonts w:asciiTheme="majorBidi" w:hAnsiTheme="majorBidi" w:cstheme="majorBidi"/>
          <w:i/>
          <w:iCs/>
          <w:lang w:val="en-US"/>
        </w:rPr>
        <w:t>4.</w:t>
      </w:r>
      <w:r w:rsidRPr="000E3BC3">
        <w:rPr>
          <w:rFonts w:asciiTheme="majorBidi" w:hAnsiTheme="majorBidi" w:cstheme="majorBidi"/>
          <w:i/>
          <w:iCs/>
          <w:lang w:val="en-US"/>
        </w:rPr>
        <w:t xml:space="preserve"> Urges</w:t>
      </w:r>
      <w:r w:rsidRPr="000E3BC3">
        <w:rPr>
          <w:rFonts w:asciiTheme="majorBidi" w:hAnsiTheme="majorBidi" w:cstheme="majorBidi"/>
          <w:b/>
          <w:bCs/>
          <w:i/>
          <w:iCs/>
          <w:lang w:val="en-US"/>
        </w:rPr>
        <w:t xml:space="preserve"> </w:t>
      </w:r>
      <w:r w:rsidRPr="00FB1598">
        <w:rPr>
          <w:rFonts w:asciiTheme="majorBidi" w:hAnsiTheme="majorBidi" w:cstheme="majorBidi"/>
          <w:i/>
          <w:iCs/>
          <w:lang w:val="en-US"/>
        </w:rPr>
        <w:t>Parties and invites where appropriate,</w:t>
      </w:r>
      <w:r w:rsidRPr="000E3BC3">
        <w:rPr>
          <w:rFonts w:asciiTheme="majorBidi" w:hAnsiTheme="majorBidi" w:cstheme="majorBidi"/>
          <w:i/>
          <w:iCs/>
          <w:lang w:val="en-US"/>
        </w:rPr>
        <w:t xml:space="preserve"> </w:t>
      </w:r>
      <w:r w:rsidRPr="00FB1598">
        <w:rPr>
          <w:rFonts w:asciiTheme="majorBidi" w:hAnsiTheme="majorBidi" w:cstheme="majorBidi"/>
          <w:i/>
          <w:iCs/>
          <w:lang w:val="en-US"/>
        </w:rPr>
        <w:t>relevant organizations to incorporate the Gender Plan of Action in national biodiversity strategies and action plans, and to include gender-specific indicators in the development of national indicators, collecting data disaggregated by sex, age and other demographic factors and gender indicators, where possible</w:t>
      </w:r>
      <w:r w:rsidRPr="00ED7E61">
        <w:rPr>
          <w:rFonts w:asciiTheme="majorBidi" w:hAnsiTheme="majorBidi" w:cstheme="majorBidi"/>
          <w:lang w:val="en-US"/>
        </w:rPr>
        <w:t>;” [...] and</w:t>
      </w:r>
    </w:p>
    <w:p w14:paraId="39EC79DD" w14:textId="6965FB1E" w:rsidR="00FA3866" w:rsidRPr="00ED7E61" w:rsidRDefault="00FA3866" w:rsidP="00B3383B">
      <w:pPr>
        <w:pStyle w:val="CBDNormalNumber"/>
        <w:numPr>
          <w:ilvl w:val="0"/>
          <w:numId w:val="0"/>
        </w:numPr>
        <w:ind w:left="1440"/>
        <w:rPr>
          <w:rFonts w:asciiTheme="majorBidi" w:hAnsiTheme="majorBidi" w:cstheme="majorBidi"/>
          <w:lang w:val="en-US"/>
        </w:rPr>
      </w:pPr>
      <w:r w:rsidRPr="00ED7E61">
        <w:rPr>
          <w:rFonts w:asciiTheme="majorBidi" w:hAnsiTheme="majorBidi" w:cstheme="majorBidi"/>
          <w:lang w:val="en-US"/>
        </w:rPr>
        <w:t>“</w:t>
      </w:r>
      <w:r w:rsidRPr="00FB1598">
        <w:rPr>
          <w:rFonts w:asciiTheme="majorBidi" w:hAnsiTheme="majorBidi" w:cstheme="majorBidi"/>
          <w:i/>
          <w:iCs/>
          <w:lang w:val="en-US"/>
        </w:rPr>
        <w:t>6.</w:t>
      </w:r>
      <w:r w:rsidRPr="000E3BC3">
        <w:rPr>
          <w:rFonts w:asciiTheme="majorBidi" w:hAnsiTheme="majorBidi" w:cstheme="majorBidi"/>
          <w:i/>
          <w:iCs/>
          <w:lang w:val="en-US"/>
        </w:rPr>
        <w:t xml:space="preserve"> Encourages</w:t>
      </w:r>
      <w:r w:rsidRPr="00FB1598">
        <w:rPr>
          <w:rFonts w:asciiTheme="majorBidi" w:hAnsiTheme="majorBidi" w:cstheme="majorBidi"/>
          <w:i/>
          <w:iCs/>
          <w:lang w:val="en-US"/>
        </w:rPr>
        <w:t xml:space="preserve"> Parties to submit information on efforts and steps taken to implement the Gender Plan of Action in their national reporting, including sex-disaggregated data</w:t>
      </w:r>
      <w:r w:rsidRPr="00ED7E61">
        <w:rPr>
          <w:rFonts w:asciiTheme="majorBidi" w:hAnsiTheme="majorBidi" w:cstheme="majorBidi"/>
          <w:lang w:val="en-US"/>
        </w:rPr>
        <w:t>;”</w:t>
      </w:r>
    </w:p>
    <w:p w14:paraId="25D6A7D0" w14:textId="120758F9" w:rsidR="00FA3866" w:rsidRPr="00ED7E61" w:rsidRDefault="00FA3866" w:rsidP="00B10F0C">
      <w:pPr>
        <w:pStyle w:val="CBDNormalNumber"/>
        <w:numPr>
          <w:ilvl w:val="0"/>
          <w:numId w:val="13"/>
        </w:numPr>
        <w:rPr>
          <w:rFonts w:asciiTheme="majorBidi" w:hAnsiTheme="majorBidi" w:cstheme="majorBidi"/>
        </w:rPr>
      </w:pPr>
      <w:r w:rsidRPr="00ED7E61">
        <w:rPr>
          <w:color w:val="000000" w:themeColor="text1"/>
        </w:rPr>
        <w:t>The</w:t>
      </w:r>
      <w:r w:rsidRPr="00ED7E61">
        <w:rPr>
          <w:rFonts w:asciiTheme="majorBidi" w:hAnsiTheme="majorBidi" w:cstheme="majorBidi"/>
        </w:rPr>
        <w:t xml:space="preserve"> 12</w:t>
      </w:r>
      <w:r w:rsidRPr="00ED7E61">
        <w:rPr>
          <w:rFonts w:asciiTheme="majorBidi" w:hAnsiTheme="majorBidi" w:cstheme="majorBidi"/>
          <w:vertAlign w:val="superscript"/>
        </w:rPr>
        <w:t>th</w:t>
      </w:r>
      <w:r w:rsidRPr="00ED7E61">
        <w:rPr>
          <w:rFonts w:asciiTheme="majorBidi" w:hAnsiTheme="majorBidi" w:cstheme="majorBidi"/>
        </w:rPr>
        <w:t xml:space="preserve"> meeting of the Ad Hoc Open-ended Intersessional Working Group on Article 8(j) and Related Provisions of the Convention on Biological Diversity </w:t>
      </w:r>
      <w:hyperlink r:id="rId29">
        <w:r w:rsidRPr="00ED7E61">
          <w:rPr>
            <w:rStyle w:val="Hyperlink"/>
            <w:rFonts w:asciiTheme="majorBidi" w:eastAsiaTheme="majorEastAsia" w:hAnsiTheme="majorBidi" w:cstheme="majorBidi"/>
          </w:rPr>
          <w:t>recommended</w:t>
        </w:r>
      </w:hyperlink>
      <w:r w:rsidRPr="00ED7E61">
        <w:rPr>
          <w:rFonts w:asciiTheme="majorBidi" w:hAnsiTheme="majorBidi" w:cstheme="majorBidi"/>
        </w:rPr>
        <w:t xml:space="preserve"> that the AHTEG:</w:t>
      </w:r>
    </w:p>
    <w:p w14:paraId="36F0AEC1" w14:textId="794CA36C" w:rsidR="00FA3866" w:rsidRPr="00ED7E61" w:rsidRDefault="00FA3866" w:rsidP="00395866">
      <w:pPr>
        <w:pStyle w:val="ListParagraph"/>
        <w:ind w:left="1560" w:right="594"/>
        <w:jc w:val="both"/>
        <w:rPr>
          <w:rFonts w:asciiTheme="majorBidi" w:hAnsiTheme="majorBidi" w:cstheme="majorBidi"/>
          <w:i/>
          <w:iCs/>
          <w:sz w:val="22"/>
          <w:szCs w:val="22"/>
          <w:lang w:val="en-US"/>
        </w:rPr>
      </w:pPr>
      <w:r w:rsidRPr="00ED7E61">
        <w:rPr>
          <w:rFonts w:asciiTheme="majorBidi" w:hAnsiTheme="majorBidi" w:cstheme="majorBidi"/>
          <w:i/>
          <w:iCs/>
          <w:sz w:val="22"/>
          <w:szCs w:val="22"/>
          <w:lang w:val="en-US"/>
        </w:rPr>
        <w:t>“consider the need for data disaggregation by sex for all indicators related to the Framework, including the traditional knowledge indicators, and of strengthening, in line with objective 3.2 of the Gender Plan of Action, the evidence-based understanding and analysis of the gender-related impacts of the implementation of the Framework, including insights from the traditional knowledge of women and girls from Indigenous Peoples and Local Communities”</w:t>
      </w:r>
    </w:p>
    <w:p w14:paraId="50D6FF26" w14:textId="6C116781" w:rsidR="00FA3866" w:rsidRPr="00ED7E61" w:rsidRDefault="00FA3866" w:rsidP="00B10F0C">
      <w:pPr>
        <w:pStyle w:val="CBDNormalNumber"/>
        <w:numPr>
          <w:ilvl w:val="0"/>
          <w:numId w:val="13"/>
        </w:numPr>
        <w:rPr>
          <w:rFonts w:asciiTheme="majorBidi" w:hAnsiTheme="majorBidi" w:cstheme="majorBidi"/>
        </w:rPr>
      </w:pPr>
      <w:r w:rsidRPr="00ED7E61">
        <w:rPr>
          <w:color w:val="000000" w:themeColor="text1"/>
        </w:rPr>
        <w:t>The</w:t>
      </w:r>
      <w:r w:rsidRPr="00ED7E61">
        <w:rPr>
          <w:rFonts w:asciiTheme="majorBidi" w:hAnsiTheme="majorBidi" w:cstheme="majorBidi"/>
        </w:rPr>
        <w:t xml:space="preserve"> 12</w:t>
      </w:r>
      <w:r w:rsidRPr="00ED7E61">
        <w:rPr>
          <w:rFonts w:asciiTheme="majorBidi" w:hAnsiTheme="majorBidi" w:cstheme="majorBidi"/>
          <w:vertAlign w:val="superscript"/>
        </w:rPr>
        <w:t>th</w:t>
      </w:r>
      <w:r w:rsidRPr="00ED7E61">
        <w:rPr>
          <w:rFonts w:asciiTheme="majorBidi" w:hAnsiTheme="majorBidi" w:cstheme="majorBidi"/>
        </w:rPr>
        <w:t xml:space="preserve"> meeting of the Ad Hoc Open-ended Intersessional Working Group on Article 8(j) and Related Provisions of the Convention on Biological Diversity also reviewed a draft </w:t>
      </w:r>
      <w:hyperlink r:id="rId30">
        <w:r w:rsidRPr="00ED7E61">
          <w:rPr>
            <w:rStyle w:val="Hyperlink"/>
            <w:rFonts w:asciiTheme="majorBidi" w:eastAsiaTheme="majorEastAsia" w:hAnsiTheme="majorBidi" w:cstheme="majorBidi"/>
          </w:rPr>
          <w:t>Knowledge Management Strategy</w:t>
        </w:r>
      </w:hyperlink>
      <w:r w:rsidRPr="00ED7E61">
        <w:rPr>
          <w:rFonts w:asciiTheme="majorBidi" w:hAnsiTheme="majorBidi" w:cstheme="majorBidi"/>
        </w:rPr>
        <w:t>, which will be further considered by COP-16.  The strategy is “</w:t>
      </w:r>
      <w:r w:rsidRPr="00FB1598">
        <w:rPr>
          <w:rFonts w:asciiTheme="majorBidi" w:hAnsiTheme="majorBidi" w:cstheme="majorBidi"/>
          <w:i/>
          <w:iCs/>
        </w:rPr>
        <w:t>aimed at enhancing the accessibility and use of relevant data, information and knowledge, including traditional knowledge given access to with the free, prior and informed consent of Indigenous Peoples and Local Communities, for informed policy development, planning, decision-making and action to support the implementation and monitoring of the Framework at all levels. It is also aimed at strengthening communication, awareness-raising, education, capacity development, knowledge-sharing and organizational learning.</w:t>
      </w:r>
      <w:r w:rsidRPr="00ED7E61">
        <w:rPr>
          <w:rFonts w:asciiTheme="majorBidi" w:hAnsiTheme="majorBidi" w:cstheme="majorBidi"/>
        </w:rPr>
        <w:t>”</w:t>
      </w:r>
    </w:p>
    <w:p w14:paraId="4FF3286B" w14:textId="5761570E" w:rsidR="00FA3866" w:rsidRPr="00ED7E61" w:rsidRDefault="00FA3866" w:rsidP="003B445C">
      <w:pPr>
        <w:rPr>
          <w:b/>
          <w:bCs/>
        </w:rPr>
      </w:pPr>
      <w:r w:rsidRPr="00ED7E61">
        <w:rPr>
          <w:b/>
          <w:bCs/>
        </w:rPr>
        <w:t>Addressing People and Biodiversity in Section C through the use of indicators and disaggregation</w:t>
      </w:r>
    </w:p>
    <w:p w14:paraId="473A8C4C" w14:textId="19B44CEC" w:rsidR="008344AF" w:rsidRPr="00ED7E61" w:rsidRDefault="007B64BA" w:rsidP="00B10F0C">
      <w:pPr>
        <w:pStyle w:val="CBDNormalNumber"/>
        <w:numPr>
          <w:ilvl w:val="0"/>
          <w:numId w:val="66"/>
        </w:numPr>
        <w:ind w:left="567" w:firstLine="0"/>
      </w:pPr>
      <w:r w:rsidRPr="00ED7E61">
        <w:t>T</w:t>
      </w:r>
      <w:r w:rsidR="00FA3866" w:rsidRPr="00ED7E61">
        <w:t xml:space="preserve">here is no existing set of indicators that, currently, would comprehensively measure all aspects of Section C, or of all elements of the goals and targets.  The set of headline and binary indicators are intended as an informative proxy to progress across the </w:t>
      </w:r>
      <w:r w:rsidRPr="00ED7E61">
        <w:t>Kunming-Montreal Global Biodiversity Framework</w:t>
      </w:r>
      <w:r w:rsidR="00FA3866" w:rsidRPr="00ED7E61">
        <w:t xml:space="preserve">. Further strengthening this set of indicators </w:t>
      </w:r>
      <w:r w:rsidRPr="00ED7E61">
        <w:t xml:space="preserve">could </w:t>
      </w:r>
      <w:r w:rsidR="00FA3866" w:rsidRPr="00ED7E61">
        <w:t>improve the consideration of elements in Section C in national implementation.</w:t>
      </w:r>
    </w:p>
    <w:p w14:paraId="113F5A10" w14:textId="18901C13" w:rsidR="008344AF" w:rsidRPr="00ED7E61" w:rsidRDefault="00FA3866" w:rsidP="00B10F0C">
      <w:pPr>
        <w:pStyle w:val="CBDNormalNumber"/>
        <w:numPr>
          <w:ilvl w:val="0"/>
          <w:numId w:val="66"/>
        </w:numPr>
        <w:ind w:left="567" w:firstLine="0"/>
      </w:pPr>
      <w:r w:rsidRPr="00ED7E61">
        <w:t xml:space="preserve">For </w:t>
      </w:r>
      <w:r w:rsidR="003D44F2" w:rsidRPr="00ED7E61">
        <w:t xml:space="preserve">those </w:t>
      </w:r>
      <w:r w:rsidRPr="00ED7E61">
        <w:t>indicators</w:t>
      </w:r>
      <w:r w:rsidR="003D44F2" w:rsidRPr="00ED7E61">
        <w:t xml:space="preserve"> in the monitoring framework</w:t>
      </w:r>
      <w:r w:rsidRPr="00ED7E61">
        <w:t xml:space="preserve"> which are also used in reporting against the Sustainable Development Goals, the associated methodology provides guidance for inclusive monitoring and relevant data disaggregation, even though the global survey may not currently require reporting on or present such disaggregation. In such cases, countries may be able to supplement their data within global datasets with their national disaggregated data, where such exist.</w:t>
      </w:r>
    </w:p>
    <w:p w14:paraId="78E90A41" w14:textId="77777777" w:rsidR="00FA3866" w:rsidRPr="00ED7E61" w:rsidRDefault="00FA3866" w:rsidP="00B10F0C">
      <w:pPr>
        <w:pStyle w:val="CBDNormalNumber"/>
        <w:numPr>
          <w:ilvl w:val="0"/>
          <w:numId w:val="66"/>
        </w:numPr>
        <w:ind w:left="567" w:firstLine="0"/>
      </w:pPr>
      <w:r w:rsidRPr="00ED7E61">
        <w:t xml:space="preserve">In all cases, knowledge and data should be reported in line with the </w:t>
      </w:r>
      <w:hyperlink r:id="rId31" w:history="1">
        <w:r w:rsidRPr="00ED7E61">
          <w:rPr>
            <w:rStyle w:val="Hyperlink"/>
            <w:rFonts w:asciiTheme="majorBidi" w:eastAsiaTheme="majorEastAsia" w:hAnsiTheme="majorBidi" w:cstheme="majorBidi"/>
          </w:rPr>
          <w:t>FAIR</w:t>
        </w:r>
      </w:hyperlink>
      <w:r w:rsidRPr="00ED7E61">
        <w:t xml:space="preserve"> and </w:t>
      </w:r>
      <w:hyperlink r:id="rId32" w:history="1">
        <w:r w:rsidRPr="00ED7E61">
          <w:rPr>
            <w:rStyle w:val="Hyperlink"/>
            <w:rFonts w:asciiTheme="majorBidi" w:eastAsiaTheme="majorEastAsia" w:hAnsiTheme="majorBidi" w:cstheme="majorBidi"/>
          </w:rPr>
          <w:t>CARE</w:t>
        </w:r>
      </w:hyperlink>
      <w:r w:rsidRPr="00ED7E61">
        <w:t xml:space="preserve"> principles as well as the </w:t>
      </w:r>
      <w:hyperlink r:id="rId33" w:history="1">
        <w:r w:rsidRPr="00ED7E61">
          <w:rPr>
            <w:rStyle w:val="Hyperlink"/>
            <w:rFonts w:asciiTheme="majorBidi" w:eastAsiaTheme="majorEastAsia" w:hAnsiTheme="majorBidi" w:cstheme="majorBidi"/>
          </w:rPr>
          <w:t>Human-Rights-Based Approach to Data</w:t>
        </w:r>
      </w:hyperlink>
      <w:r w:rsidRPr="00ED7E61">
        <w:t>.  The AHTEG recognized that processes for deciding priorities and implementation of monitoring and assessment activities, and the management activities under assessment, are intended to be inclusive.</w:t>
      </w:r>
    </w:p>
    <w:p w14:paraId="435EEC1B" w14:textId="54146FEF" w:rsidR="00FA3866" w:rsidRPr="00ED7E61" w:rsidRDefault="00FA3866" w:rsidP="00B3383B">
      <w:pPr>
        <w:keepNext/>
        <w:ind w:left="567"/>
        <w:rPr>
          <w:rFonts w:asciiTheme="majorBidi" w:hAnsiTheme="majorBidi" w:cstheme="majorBidi"/>
          <w:b/>
          <w:bCs/>
          <w:sz w:val="22"/>
          <w:szCs w:val="22"/>
        </w:rPr>
      </w:pPr>
      <w:r w:rsidRPr="00B3383B">
        <w:rPr>
          <w:rFonts w:asciiTheme="majorBidi" w:hAnsiTheme="majorBidi" w:cstheme="majorBidi"/>
          <w:sz w:val="22"/>
          <w:szCs w:val="22"/>
        </w:rPr>
        <w:t>Table 1</w:t>
      </w:r>
      <w:r w:rsidRPr="00ED7E61">
        <w:rPr>
          <w:rFonts w:asciiTheme="majorBidi" w:hAnsiTheme="majorBidi" w:cstheme="majorBidi"/>
          <w:b/>
          <w:bCs/>
          <w:sz w:val="22"/>
          <w:szCs w:val="22"/>
        </w:rPr>
        <w:t xml:space="preserve"> </w:t>
      </w:r>
      <w:r w:rsidR="00B37EE9">
        <w:rPr>
          <w:rFonts w:asciiTheme="majorBidi" w:hAnsiTheme="majorBidi" w:cstheme="majorBidi"/>
          <w:b/>
          <w:bCs/>
          <w:sz w:val="22"/>
          <w:szCs w:val="22"/>
        </w:rPr>
        <w:br/>
      </w:r>
      <w:r w:rsidRPr="00ED7E61">
        <w:rPr>
          <w:rFonts w:asciiTheme="majorBidi" w:hAnsiTheme="majorBidi" w:cstheme="majorBidi"/>
          <w:b/>
          <w:bCs/>
          <w:sz w:val="22"/>
          <w:szCs w:val="22"/>
        </w:rPr>
        <w:t>Summary of key links between selected societal groups identified in Section C and the monitoring framework of the Kunming-Montreal Global Biodiversity Framework</w:t>
      </w:r>
    </w:p>
    <w:tbl>
      <w:tblPr>
        <w:tblW w:w="963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7"/>
        <w:gridCol w:w="7642"/>
      </w:tblGrid>
      <w:tr w:rsidR="00FA3866" w:rsidRPr="00B37EE9" w14:paraId="6112AFE4" w14:textId="77777777" w:rsidTr="003A1881">
        <w:trPr>
          <w:trHeight w:val="300"/>
        </w:trPr>
        <w:tc>
          <w:tcPr>
            <w:tcW w:w="2069" w:type="dxa"/>
            <w:tcBorders>
              <w:top w:val="single" w:sz="6" w:space="0" w:color="auto"/>
              <w:left w:val="single" w:sz="6" w:space="0" w:color="auto"/>
              <w:bottom w:val="single" w:sz="6" w:space="0" w:color="auto"/>
              <w:right w:val="single" w:sz="6" w:space="0" w:color="auto"/>
            </w:tcBorders>
            <w:shd w:val="clear" w:color="auto" w:fill="auto"/>
            <w:hideMark/>
          </w:tcPr>
          <w:p w14:paraId="2B949570" w14:textId="5D68A8FC" w:rsidR="00FA3866" w:rsidRPr="00B3383B" w:rsidRDefault="00FA3866" w:rsidP="00395866">
            <w:pPr>
              <w:ind w:left="142" w:right="107"/>
              <w:rPr>
                <w:rFonts w:asciiTheme="majorBidi" w:hAnsiTheme="majorBidi" w:cstheme="majorBidi"/>
                <w:sz w:val="20"/>
                <w:szCs w:val="20"/>
                <w:lang w:val="en-GB"/>
              </w:rPr>
            </w:pPr>
            <w:r w:rsidRPr="00B3383B">
              <w:rPr>
                <w:rFonts w:asciiTheme="majorBidi" w:hAnsiTheme="majorBidi" w:cstheme="majorBidi"/>
                <w:sz w:val="20"/>
                <w:szCs w:val="20"/>
                <w:lang w:val="en-GB"/>
              </w:rPr>
              <w:t xml:space="preserve">Indigenous </w:t>
            </w:r>
            <w:r w:rsidR="00B37EE9" w:rsidRPr="00B3383B">
              <w:rPr>
                <w:rFonts w:asciiTheme="majorBidi" w:hAnsiTheme="majorBidi" w:cstheme="majorBidi"/>
                <w:sz w:val="20"/>
                <w:szCs w:val="20"/>
                <w:lang w:val="en-GB"/>
              </w:rPr>
              <w:t>p</w:t>
            </w:r>
            <w:r w:rsidRPr="00B3383B">
              <w:rPr>
                <w:rFonts w:asciiTheme="majorBidi" w:hAnsiTheme="majorBidi" w:cstheme="majorBidi"/>
                <w:sz w:val="20"/>
                <w:szCs w:val="20"/>
                <w:lang w:val="en-GB"/>
              </w:rPr>
              <w:t xml:space="preserve">eoples and </w:t>
            </w:r>
            <w:r w:rsidR="00B37EE9" w:rsidRPr="00B3383B">
              <w:rPr>
                <w:rFonts w:asciiTheme="majorBidi" w:hAnsiTheme="majorBidi" w:cstheme="majorBidi"/>
                <w:sz w:val="20"/>
                <w:szCs w:val="20"/>
                <w:lang w:val="en-GB"/>
              </w:rPr>
              <w:t>l</w:t>
            </w:r>
            <w:r w:rsidRPr="00B3383B">
              <w:rPr>
                <w:rFonts w:asciiTheme="majorBidi" w:hAnsiTheme="majorBidi" w:cstheme="majorBidi"/>
                <w:sz w:val="20"/>
                <w:szCs w:val="20"/>
                <w:lang w:val="en-GB"/>
              </w:rPr>
              <w:t xml:space="preserve">ocal </w:t>
            </w:r>
            <w:r w:rsidR="00B37EE9" w:rsidRPr="00B3383B">
              <w:rPr>
                <w:rFonts w:asciiTheme="majorBidi" w:hAnsiTheme="majorBidi" w:cstheme="majorBidi"/>
                <w:sz w:val="20"/>
                <w:szCs w:val="20"/>
                <w:lang w:val="en-GB"/>
              </w:rPr>
              <w:t>c</w:t>
            </w:r>
            <w:r w:rsidRPr="00B3383B">
              <w:rPr>
                <w:rFonts w:asciiTheme="majorBidi" w:hAnsiTheme="majorBidi" w:cstheme="majorBidi"/>
                <w:sz w:val="20"/>
                <w:szCs w:val="20"/>
                <w:lang w:val="en-GB"/>
              </w:rPr>
              <w:t>ommunities </w:t>
            </w:r>
          </w:p>
        </w:tc>
        <w:tc>
          <w:tcPr>
            <w:tcW w:w="8563" w:type="dxa"/>
            <w:tcBorders>
              <w:top w:val="single" w:sz="6" w:space="0" w:color="auto"/>
              <w:left w:val="single" w:sz="6" w:space="0" w:color="auto"/>
              <w:bottom w:val="single" w:sz="6" w:space="0" w:color="auto"/>
              <w:right w:val="single" w:sz="6" w:space="0" w:color="auto"/>
            </w:tcBorders>
            <w:shd w:val="clear" w:color="auto" w:fill="auto"/>
            <w:hideMark/>
          </w:tcPr>
          <w:p w14:paraId="389902F1" w14:textId="1AEB6D84" w:rsidR="00FA3866" w:rsidRPr="00B3383B" w:rsidRDefault="00FA3866" w:rsidP="00FB1598">
            <w:pPr>
              <w:tabs>
                <w:tab w:val="left" w:pos="8420"/>
              </w:tabs>
              <w:ind w:left="147" w:right="130"/>
              <w:jc w:val="both"/>
              <w:rPr>
                <w:rFonts w:asciiTheme="majorBidi" w:hAnsiTheme="majorBidi" w:cstheme="majorBidi"/>
                <w:sz w:val="20"/>
                <w:szCs w:val="20"/>
              </w:rPr>
            </w:pPr>
            <w:r w:rsidRPr="00B3383B">
              <w:rPr>
                <w:rFonts w:asciiTheme="majorBidi" w:hAnsiTheme="majorBidi" w:cstheme="majorBidi"/>
                <w:sz w:val="20"/>
                <w:szCs w:val="20"/>
                <w:lang w:val="en-GB"/>
              </w:rPr>
              <w:t>The</w:t>
            </w:r>
            <w:r w:rsidR="00D90AC0" w:rsidRPr="00B3383B">
              <w:rPr>
                <w:rFonts w:asciiTheme="majorBidi" w:hAnsiTheme="majorBidi" w:cstheme="majorBidi"/>
                <w:sz w:val="20"/>
                <w:szCs w:val="20"/>
                <w:lang w:val="en-GB"/>
              </w:rPr>
              <w:t xml:space="preserve">re are </w:t>
            </w:r>
            <w:r w:rsidRPr="00B3383B">
              <w:rPr>
                <w:rFonts w:asciiTheme="majorBidi" w:hAnsiTheme="majorBidi" w:cstheme="majorBidi"/>
                <w:sz w:val="20"/>
                <w:szCs w:val="20"/>
                <w:lang w:val="en-GB"/>
              </w:rPr>
              <w:t xml:space="preserve">several indicators for which information could be disaggregated, </w:t>
            </w:r>
            <w:r w:rsidR="00F33777" w:rsidRPr="00B3383B">
              <w:rPr>
                <w:rFonts w:asciiTheme="majorBidi" w:hAnsiTheme="majorBidi" w:cstheme="majorBidi"/>
                <w:sz w:val="20"/>
                <w:szCs w:val="20"/>
                <w:lang w:val="en-GB"/>
              </w:rPr>
              <w:t>in order to address issues relevant to Indigenous Peoples and local communities</w:t>
            </w:r>
            <w:r w:rsidR="00B37EE9" w:rsidRPr="00B3383B">
              <w:rPr>
                <w:rFonts w:asciiTheme="majorBidi" w:hAnsiTheme="majorBidi" w:cstheme="majorBidi"/>
                <w:sz w:val="20"/>
                <w:szCs w:val="20"/>
                <w:lang w:val="en-GB"/>
              </w:rPr>
              <w:t>.</w:t>
            </w:r>
            <w:r w:rsidR="00F33777" w:rsidRPr="00B3383B">
              <w:rPr>
                <w:rFonts w:asciiTheme="majorBidi" w:hAnsiTheme="majorBidi" w:cstheme="majorBidi"/>
                <w:sz w:val="20"/>
                <w:szCs w:val="20"/>
                <w:lang w:val="en-GB"/>
              </w:rPr>
              <w:t xml:space="preserve"> </w:t>
            </w:r>
            <w:r w:rsidRPr="00B3383B">
              <w:rPr>
                <w:rFonts w:asciiTheme="majorBidi" w:hAnsiTheme="majorBidi" w:cstheme="majorBidi"/>
                <w:sz w:val="20"/>
                <w:szCs w:val="20"/>
                <w:lang w:val="en-GB"/>
              </w:rPr>
              <w:t xml:space="preserve"> For </w:t>
            </w:r>
            <w:r w:rsidR="00F33777" w:rsidRPr="00B3383B">
              <w:rPr>
                <w:rFonts w:asciiTheme="majorBidi" w:hAnsiTheme="majorBidi" w:cstheme="majorBidi"/>
                <w:sz w:val="20"/>
                <w:szCs w:val="20"/>
                <w:lang w:val="en-GB"/>
              </w:rPr>
              <w:t xml:space="preserve">example, for </w:t>
            </w:r>
            <w:r w:rsidRPr="00B3383B">
              <w:rPr>
                <w:rFonts w:asciiTheme="majorBidi" w:hAnsiTheme="majorBidi" w:cstheme="majorBidi"/>
                <w:sz w:val="20"/>
                <w:szCs w:val="20"/>
                <w:lang w:val="en-GB"/>
              </w:rPr>
              <w:t xml:space="preserve">indicators A.1, A.2, 1.1, 2.2, 3.1, and 10.2, if georeferenced data are provided, </w:t>
            </w:r>
            <w:r w:rsidR="00F33777" w:rsidRPr="00B3383B">
              <w:rPr>
                <w:rFonts w:asciiTheme="majorBidi" w:hAnsiTheme="majorBidi" w:cstheme="majorBidi"/>
                <w:sz w:val="20"/>
                <w:szCs w:val="20"/>
                <w:lang w:val="en-GB"/>
              </w:rPr>
              <w:t xml:space="preserve">it could be possible to </w:t>
            </w:r>
            <w:r w:rsidRPr="00B3383B">
              <w:rPr>
                <w:rFonts w:asciiTheme="majorBidi" w:hAnsiTheme="majorBidi" w:cstheme="majorBidi"/>
                <w:sz w:val="20"/>
                <w:szCs w:val="20"/>
                <w:lang w:val="en-GB"/>
              </w:rPr>
              <w:t>disaggregat</w:t>
            </w:r>
            <w:r w:rsidR="00F33777" w:rsidRPr="00B3383B">
              <w:rPr>
                <w:rFonts w:asciiTheme="majorBidi" w:hAnsiTheme="majorBidi" w:cstheme="majorBidi"/>
                <w:sz w:val="20"/>
                <w:szCs w:val="20"/>
                <w:lang w:val="en-GB"/>
              </w:rPr>
              <w:t xml:space="preserve">e the information to provide </w:t>
            </w:r>
            <w:r w:rsidR="005D28B5" w:rsidRPr="00B3383B">
              <w:rPr>
                <w:rFonts w:asciiTheme="majorBidi" w:hAnsiTheme="majorBidi" w:cstheme="majorBidi"/>
                <w:sz w:val="20"/>
                <w:szCs w:val="20"/>
                <w:lang w:val="en-GB"/>
              </w:rPr>
              <w:t>information</w:t>
            </w:r>
            <w:r w:rsidRPr="00B3383B">
              <w:rPr>
                <w:rFonts w:asciiTheme="majorBidi" w:hAnsiTheme="majorBidi" w:cstheme="majorBidi"/>
                <w:sz w:val="20"/>
                <w:szCs w:val="20"/>
                <w:lang w:val="en-GB"/>
              </w:rPr>
              <w:t xml:space="preserve"> </w:t>
            </w:r>
            <w:r w:rsidR="0087104E" w:rsidRPr="00B3383B">
              <w:rPr>
                <w:rFonts w:asciiTheme="majorBidi" w:hAnsiTheme="majorBidi" w:cstheme="majorBidi"/>
                <w:sz w:val="20"/>
                <w:szCs w:val="20"/>
                <w:lang w:val="en-GB"/>
              </w:rPr>
              <w:t xml:space="preserve">for </w:t>
            </w:r>
            <w:r w:rsidR="005D28B5" w:rsidRPr="00B3383B">
              <w:rPr>
                <w:rFonts w:asciiTheme="majorBidi" w:hAnsiTheme="majorBidi" w:cstheme="majorBidi"/>
                <w:sz w:val="20"/>
                <w:szCs w:val="20"/>
                <w:lang w:val="en-GB"/>
              </w:rPr>
              <w:t>the territories of Indigenous Peoples and local communities, provided that this information is also georeferenced.</w:t>
            </w:r>
            <w:r w:rsidR="00F33777" w:rsidRPr="00B3383B">
              <w:rPr>
                <w:rFonts w:asciiTheme="majorBidi" w:hAnsiTheme="majorBidi" w:cstheme="majorBidi"/>
                <w:sz w:val="20"/>
                <w:szCs w:val="20"/>
                <w:lang w:val="en-GB"/>
              </w:rPr>
              <w:t xml:space="preserve"> (see Appendix 2 of SBSTTA/26/2).</w:t>
            </w:r>
            <w:r w:rsidR="005D28B5" w:rsidRPr="00B3383B">
              <w:rPr>
                <w:rFonts w:asciiTheme="majorBidi" w:hAnsiTheme="majorBidi" w:cstheme="majorBidi"/>
                <w:sz w:val="20"/>
                <w:szCs w:val="20"/>
                <w:lang w:val="en-GB"/>
              </w:rPr>
              <w:t xml:space="preserve"> </w:t>
            </w:r>
            <w:r w:rsidRPr="00B3383B">
              <w:rPr>
                <w:rFonts w:asciiTheme="majorBidi" w:hAnsiTheme="majorBidi" w:cstheme="majorBidi"/>
                <w:sz w:val="20"/>
                <w:szCs w:val="20"/>
                <w:lang w:val="en-GB"/>
              </w:rPr>
              <w:t xml:space="preserve">However, data governance by </w:t>
            </w:r>
            <w:r w:rsidR="005D28B5" w:rsidRPr="00B3383B">
              <w:rPr>
                <w:rFonts w:asciiTheme="majorBidi" w:hAnsiTheme="majorBidi" w:cstheme="majorBidi"/>
                <w:sz w:val="20"/>
                <w:szCs w:val="20"/>
                <w:lang w:val="en-GB"/>
              </w:rPr>
              <w:t xml:space="preserve">Indigenous Peoples and local communities </w:t>
            </w:r>
            <w:r w:rsidRPr="00B3383B">
              <w:rPr>
                <w:rFonts w:asciiTheme="majorBidi" w:hAnsiTheme="majorBidi" w:cstheme="majorBidi"/>
                <w:sz w:val="20"/>
                <w:szCs w:val="20"/>
                <w:lang w:val="en-GB"/>
              </w:rPr>
              <w:t>and their free, prior and informed consent must be respected in the indicator development and monitoring processes. </w:t>
            </w:r>
            <w:r w:rsidR="005D28B5" w:rsidRPr="00B3383B">
              <w:rPr>
                <w:rFonts w:asciiTheme="majorBidi" w:hAnsiTheme="majorBidi" w:cstheme="majorBidi"/>
                <w:sz w:val="20"/>
                <w:szCs w:val="20"/>
                <w:lang w:val="en-GB"/>
              </w:rPr>
              <w:t xml:space="preserve">To this end, </w:t>
            </w:r>
            <w:r w:rsidRPr="00B3383B">
              <w:rPr>
                <w:rFonts w:asciiTheme="majorBidi" w:hAnsiTheme="majorBidi" w:cstheme="majorBidi"/>
                <w:sz w:val="20"/>
                <w:szCs w:val="20"/>
              </w:rPr>
              <w:t>Indigenous Peoples have developed the Indigenous Navigator (</w:t>
            </w:r>
            <w:hyperlink r:id="rId34">
              <w:r w:rsidRPr="00B3383B">
                <w:rPr>
                  <w:rStyle w:val="Hyperlink"/>
                  <w:rFonts w:asciiTheme="majorBidi" w:eastAsiaTheme="majorEastAsia" w:hAnsiTheme="majorBidi" w:cstheme="majorBidi"/>
                  <w:sz w:val="20"/>
                  <w:szCs w:val="20"/>
                </w:rPr>
                <w:t>https://indigenousnavigator.org/</w:t>
              </w:r>
            </w:hyperlink>
            <w:r w:rsidRPr="00B3383B">
              <w:rPr>
                <w:rFonts w:asciiTheme="majorBidi" w:hAnsiTheme="majorBidi" w:cstheme="majorBidi"/>
                <w:sz w:val="20"/>
                <w:szCs w:val="20"/>
              </w:rPr>
              <w:t xml:space="preserve">) to monitor the implementation of internationally agreed and adopted standards to respect their rights, including in relation to their holistic and interdependent relationship with nature. A holistic monitoring approach that includes social, cultural, economic and political aspects and rights is important in order to meet current and future monitoring commitments.  </w:t>
            </w:r>
          </w:p>
        </w:tc>
      </w:tr>
      <w:tr w:rsidR="00FA3866" w:rsidRPr="00B37EE9" w14:paraId="43EA6487" w14:textId="77777777" w:rsidTr="003A1881">
        <w:trPr>
          <w:trHeight w:val="300"/>
        </w:trPr>
        <w:tc>
          <w:tcPr>
            <w:tcW w:w="2069" w:type="dxa"/>
            <w:tcBorders>
              <w:top w:val="single" w:sz="6" w:space="0" w:color="auto"/>
              <w:left w:val="single" w:sz="6" w:space="0" w:color="auto"/>
              <w:bottom w:val="single" w:sz="6" w:space="0" w:color="auto"/>
              <w:right w:val="single" w:sz="6" w:space="0" w:color="auto"/>
            </w:tcBorders>
            <w:shd w:val="clear" w:color="auto" w:fill="auto"/>
          </w:tcPr>
          <w:p w14:paraId="24F29D97" w14:textId="77777777" w:rsidR="00FA3866" w:rsidRPr="00B3383B" w:rsidRDefault="00FA3866" w:rsidP="00395866">
            <w:pPr>
              <w:ind w:left="142" w:right="107"/>
              <w:jc w:val="both"/>
              <w:rPr>
                <w:rFonts w:asciiTheme="majorBidi" w:hAnsiTheme="majorBidi" w:cstheme="majorBidi"/>
                <w:sz w:val="20"/>
                <w:szCs w:val="20"/>
                <w:lang w:val="en-GB"/>
              </w:rPr>
            </w:pPr>
            <w:r w:rsidRPr="00B3383B">
              <w:rPr>
                <w:rFonts w:asciiTheme="majorBidi" w:hAnsiTheme="majorBidi" w:cstheme="majorBidi"/>
                <w:sz w:val="20"/>
                <w:szCs w:val="20"/>
                <w:lang w:val="en-GB"/>
              </w:rPr>
              <w:t>Women and girls </w:t>
            </w:r>
          </w:p>
        </w:tc>
        <w:tc>
          <w:tcPr>
            <w:tcW w:w="8563" w:type="dxa"/>
            <w:tcBorders>
              <w:top w:val="single" w:sz="6" w:space="0" w:color="auto"/>
              <w:left w:val="single" w:sz="6" w:space="0" w:color="auto"/>
              <w:bottom w:val="single" w:sz="6" w:space="0" w:color="auto"/>
              <w:right w:val="single" w:sz="6" w:space="0" w:color="auto"/>
            </w:tcBorders>
            <w:shd w:val="clear" w:color="auto" w:fill="auto"/>
          </w:tcPr>
          <w:p w14:paraId="79968E7F" w14:textId="05649972" w:rsidR="00FA3866" w:rsidRPr="00B3383B" w:rsidRDefault="00FA3866" w:rsidP="005B0D1E">
            <w:pPr>
              <w:tabs>
                <w:tab w:val="left" w:pos="8420"/>
              </w:tabs>
              <w:ind w:left="147" w:right="133"/>
              <w:jc w:val="both"/>
              <w:rPr>
                <w:rFonts w:asciiTheme="majorBidi" w:hAnsiTheme="majorBidi" w:cstheme="majorBidi"/>
                <w:sz w:val="20"/>
                <w:szCs w:val="20"/>
                <w:lang w:val="en-GB"/>
              </w:rPr>
            </w:pPr>
            <w:r w:rsidRPr="00B3383B">
              <w:rPr>
                <w:rFonts w:asciiTheme="majorBidi" w:hAnsiTheme="majorBidi" w:cstheme="majorBidi"/>
                <w:sz w:val="20"/>
                <w:szCs w:val="20"/>
                <w:lang w:val="en-GB"/>
              </w:rPr>
              <w:t>The</w:t>
            </w:r>
            <w:r w:rsidR="00D90AC0" w:rsidRPr="00B3383B">
              <w:rPr>
                <w:rFonts w:asciiTheme="majorBidi" w:hAnsiTheme="majorBidi" w:cstheme="majorBidi"/>
                <w:sz w:val="20"/>
                <w:szCs w:val="20"/>
                <w:lang w:val="en-GB"/>
              </w:rPr>
              <w:t xml:space="preserve">re are </w:t>
            </w:r>
            <w:r w:rsidRPr="00B3383B">
              <w:rPr>
                <w:rFonts w:asciiTheme="majorBidi" w:hAnsiTheme="majorBidi" w:cstheme="majorBidi"/>
                <w:sz w:val="20"/>
                <w:szCs w:val="20"/>
                <w:lang w:val="en-GB"/>
              </w:rPr>
              <w:t xml:space="preserve">several indicators for which the information could be disaggregated by gender (see Appendix 2 of SBSTTA/26/2). </w:t>
            </w:r>
            <w:r w:rsidR="005D28B5" w:rsidRPr="00B3383B">
              <w:rPr>
                <w:rFonts w:asciiTheme="majorBidi" w:hAnsiTheme="majorBidi" w:cstheme="majorBidi"/>
                <w:sz w:val="20"/>
                <w:szCs w:val="20"/>
                <w:lang w:val="en-GB"/>
              </w:rPr>
              <w:t>However f</w:t>
            </w:r>
            <w:r w:rsidRPr="00B3383B">
              <w:rPr>
                <w:rFonts w:asciiTheme="majorBidi" w:hAnsiTheme="majorBidi" w:cstheme="majorBidi"/>
                <w:sz w:val="20"/>
                <w:szCs w:val="20"/>
                <w:lang w:val="en-GB"/>
              </w:rPr>
              <w:t>or many indicators, gender was not a possible disaggregation by data layer</w:t>
            </w:r>
            <w:r w:rsidR="005D28B5" w:rsidRPr="00B3383B">
              <w:rPr>
                <w:rFonts w:asciiTheme="majorBidi" w:hAnsiTheme="majorBidi" w:cstheme="majorBidi"/>
                <w:sz w:val="20"/>
                <w:szCs w:val="20"/>
                <w:lang w:val="en-GB"/>
              </w:rPr>
              <w:t xml:space="preserve"> and </w:t>
            </w:r>
            <w:r w:rsidRPr="00B3383B">
              <w:rPr>
                <w:rFonts w:asciiTheme="majorBidi" w:hAnsiTheme="majorBidi" w:cstheme="majorBidi"/>
                <w:sz w:val="20"/>
                <w:szCs w:val="20"/>
                <w:lang w:val="en-GB"/>
              </w:rPr>
              <w:t>Target 23 is currently monitored using a binary indicator. </w:t>
            </w:r>
          </w:p>
          <w:p w14:paraId="409A28F0" w14:textId="77777777" w:rsidR="005D28B5" w:rsidRPr="00B3383B" w:rsidRDefault="005D28B5" w:rsidP="005B0D1E">
            <w:pPr>
              <w:tabs>
                <w:tab w:val="left" w:pos="8420"/>
              </w:tabs>
              <w:ind w:left="147" w:right="133"/>
              <w:jc w:val="both"/>
              <w:rPr>
                <w:rFonts w:asciiTheme="majorBidi" w:hAnsiTheme="majorBidi" w:cstheme="majorBidi"/>
                <w:sz w:val="20"/>
                <w:szCs w:val="20"/>
                <w:lang w:val="en-GB"/>
              </w:rPr>
            </w:pPr>
          </w:p>
          <w:p w14:paraId="1FE589F6" w14:textId="266F0DDD" w:rsidR="00FA3866" w:rsidRPr="00B3383B" w:rsidRDefault="00FA3866" w:rsidP="005B0D1E">
            <w:pPr>
              <w:tabs>
                <w:tab w:val="left" w:pos="8420"/>
              </w:tabs>
              <w:ind w:left="147" w:right="133"/>
              <w:jc w:val="both"/>
              <w:rPr>
                <w:rFonts w:asciiTheme="majorBidi" w:hAnsiTheme="majorBidi" w:cstheme="majorBidi"/>
                <w:sz w:val="20"/>
                <w:szCs w:val="20"/>
                <w:lang w:val="en-GB"/>
              </w:rPr>
            </w:pPr>
            <w:r w:rsidRPr="00B3383B">
              <w:rPr>
                <w:rFonts w:asciiTheme="majorBidi" w:hAnsiTheme="majorBidi" w:cstheme="majorBidi"/>
                <w:sz w:val="20"/>
                <w:szCs w:val="20"/>
              </w:rPr>
              <w:t xml:space="preserve">The </w:t>
            </w:r>
            <w:r w:rsidR="007B5299" w:rsidRPr="00B3383B">
              <w:rPr>
                <w:rFonts w:asciiTheme="majorBidi" w:hAnsiTheme="majorBidi" w:cstheme="majorBidi"/>
                <w:sz w:val="20"/>
                <w:szCs w:val="20"/>
              </w:rPr>
              <w:t>CBD Women’s Caucus</w:t>
            </w:r>
            <w:r w:rsidRPr="00B3383B">
              <w:rPr>
                <w:rFonts w:asciiTheme="majorBidi" w:hAnsiTheme="majorBidi" w:cstheme="majorBidi"/>
                <w:sz w:val="20"/>
                <w:szCs w:val="20"/>
              </w:rPr>
              <w:t xml:space="preserve"> has prepared </w:t>
            </w:r>
            <w:r w:rsidR="007B5299" w:rsidRPr="00B3383B">
              <w:rPr>
                <w:rFonts w:asciiTheme="majorBidi" w:hAnsiTheme="majorBidi" w:cstheme="majorBidi"/>
                <w:sz w:val="20"/>
                <w:szCs w:val="20"/>
              </w:rPr>
              <w:t xml:space="preserve"> </w:t>
            </w:r>
            <w:hyperlink r:id="rId35" w:history="1">
              <w:r w:rsidR="007B5299" w:rsidRPr="00B3383B">
                <w:rPr>
                  <w:rStyle w:val="Hyperlink"/>
                  <w:rFonts w:asciiTheme="majorBidi" w:hAnsiTheme="majorBidi" w:cstheme="majorBidi"/>
                  <w:sz w:val="20"/>
                  <w:szCs w:val="20"/>
                </w:rPr>
                <w:t>guidance</w:t>
              </w:r>
            </w:hyperlink>
            <w:r w:rsidR="007B5299" w:rsidRPr="00B3383B">
              <w:rPr>
                <w:rFonts w:asciiTheme="majorBidi" w:hAnsiTheme="majorBidi" w:cstheme="majorBidi"/>
                <w:sz w:val="20"/>
                <w:szCs w:val="20"/>
              </w:rPr>
              <w:t xml:space="preserve"> </w:t>
            </w:r>
            <w:r w:rsidRPr="00B3383B">
              <w:rPr>
                <w:rFonts w:asciiTheme="majorBidi" w:hAnsiTheme="majorBidi" w:cstheme="majorBidi"/>
                <w:sz w:val="20"/>
                <w:szCs w:val="20"/>
              </w:rPr>
              <w:t xml:space="preserve">for gender-disaggregated data collection in the </w:t>
            </w:r>
            <w:r w:rsidR="005D28B5" w:rsidRPr="00B3383B">
              <w:rPr>
                <w:rFonts w:asciiTheme="majorBidi" w:hAnsiTheme="majorBidi" w:cstheme="majorBidi"/>
                <w:sz w:val="20"/>
                <w:szCs w:val="20"/>
              </w:rPr>
              <w:t>m</w:t>
            </w:r>
            <w:r w:rsidRPr="00B3383B">
              <w:rPr>
                <w:rFonts w:asciiTheme="majorBidi" w:hAnsiTheme="majorBidi" w:cstheme="majorBidi"/>
                <w:sz w:val="20"/>
                <w:szCs w:val="20"/>
              </w:rPr>
              <w:t xml:space="preserve">onitoring </w:t>
            </w:r>
            <w:r w:rsidR="005D28B5" w:rsidRPr="00B3383B">
              <w:rPr>
                <w:rFonts w:asciiTheme="majorBidi" w:hAnsiTheme="majorBidi" w:cstheme="majorBidi"/>
                <w:sz w:val="20"/>
                <w:szCs w:val="20"/>
              </w:rPr>
              <w:t>f</w:t>
            </w:r>
            <w:r w:rsidRPr="00B3383B">
              <w:rPr>
                <w:rFonts w:asciiTheme="majorBidi" w:hAnsiTheme="majorBidi" w:cstheme="majorBidi"/>
                <w:sz w:val="20"/>
                <w:szCs w:val="20"/>
              </w:rPr>
              <w:t xml:space="preserve">ramework. </w:t>
            </w:r>
            <w:r w:rsidR="007B5299" w:rsidRPr="00B3383B">
              <w:rPr>
                <w:rFonts w:asciiTheme="majorBidi" w:hAnsiTheme="majorBidi" w:cstheme="majorBidi"/>
                <w:sz w:val="20"/>
                <w:szCs w:val="20"/>
              </w:rPr>
              <w:t>UNEP-WCMC and Women4Biodiversity are also collaborating with Parties and the CBD Women’s Caucus on a methodology to monitor the national implementation of the Gender Plan of Action for it to be considered as a</w:t>
            </w:r>
            <w:r w:rsidR="005D28B5" w:rsidRPr="00B3383B">
              <w:rPr>
                <w:rFonts w:asciiTheme="majorBidi" w:hAnsiTheme="majorBidi" w:cstheme="majorBidi"/>
                <w:sz w:val="20"/>
                <w:szCs w:val="20"/>
              </w:rPr>
              <w:t>n</w:t>
            </w:r>
            <w:r w:rsidR="007B5299" w:rsidRPr="00B3383B">
              <w:rPr>
                <w:rFonts w:asciiTheme="majorBidi" w:hAnsiTheme="majorBidi" w:cstheme="majorBidi"/>
                <w:sz w:val="20"/>
                <w:szCs w:val="20"/>
              </w:rPr>
              <w:t xml:space="preserve"> indicator for Target 23.</w:t>
            </w:r>
          </w:p>
        </w:tc>
      </w:tr>
      <w:tr w:rsidR="00FA3866" w:rsidRPr="00B37EE9" w14:paraId="737347A2" w14:textId="77777777" w:rsidTr="003A1881">
        <w:trPr>
          <w:trHeight w:val="300"/>
        </w:trPr>
        <w:tc>
          <w:tcPr>
            <w:tcW w:w="2069" w:type="dxa"/>
            <w:tcBorders>
              <w:top w:val="single" w:sz="6" w:space="0" w:color="auto"/>
              <w:left w:val="single" w:sz="6" w:space="0" w:color="auto"/>
              <w:bottom w:val="single" w:sz="6" w:space="0" w:color="auto"/>
              <w:right w:val="single" w:sz="6" w:space="0" w:color="auto"/>
            </w:tcBorders>
            <w:shd w:val="clear" w:color="auto" w:fill="auto"/>
            <w:hideMark/>
          </w:tcPr>
          <w:p w14:paraId="121F77CC" w14:textId="77777777" w:rsidR="00FA3866" w:rsidRPr="00B3383B" w:rsidRDefault="00FA3866" w:rsidP="00395866">
            <w:pPr>
              <w:ind w:left="142" w:right="107"/>
              <w:rPr>
                <w:rFonts w:asciiTheme="majorBidi" w:hAnsiTheme="majorBidi" w:cstheme="majorBidi"/>
                <w:sz w:val="20"/>
                <w:szCs w:val="20"/>
                <w:lang w:val="en-GB"/>
              </w:rPr>
            </w:pPr>
            <w:r w:rsidRPr="00B3383B">
              <w:rPr>
                <w:rFonts w:asciiTheme="majorBidi" w:hAnsiTheme="majorBidi" w:cstheme="majorBidi"/>
                <w:sz w:val="20"/>
                <w:szCs w:val="20"/>
                <w:lang w:val="en-GB"/>
              </w:rPr>
              <w:t>Youth and Intergenerational Equity </w:t>
            </w:r>
          </w:p>
        </w:tc>
        <w:tc>
          <w:tcPr>
            <w:tcW w:w="8563" w:type="dxa"/>
            <w:tcBorders>
              <w:top w:val="single" w:sz="6" w:space="0" w:color="auto"/>
              <w:left w:val="single" w:sz="6" w:space="0" w:color="auto"/>
              <w:bottom w:val="single" w:sz="6" w:space="0" w:color="auto"/>
              <w:right w:val="single" w:sz="6" w:space="0" w:color="auto"/>
            </w:tcBorders>
            <w:shd w:val="clear" w:color="auto" w:fill="auto"/>
            <w:hideMark/>
          </w:tcPr>
          <w:p w14:paraId="5C437E09" w14:textId="0D739913" w:rsidR="00FA3866" w:rsidRPr="00B3383B" w:rsidRDefault="00FA3866" w:rsidP="005B0D1E">
            <w:pPr>
              <w:tabs>
                <w:tab w:val="left" w:pos="8420"/>
              </w:tabs>
              <w:ind w:left="147" w:right="133"/>
              <w:jc w:val="both"/>
              <w:rPr>
                <w:rFonts w:asciiTheme="majorBidi" w:hAnsiTheme="majorBidi" w:cstheme="majorBidi"/>
                <w:sz w:val="20"/>
                <w:szCs w:val="20"/>
                <w:lang w:val="en-GB"/>
              </w:rPr>
            </w:pPr>
            <w:r w:rsidRPr="00B3383B">
              <w:rPr>
                <w:rFonts w:asciiTheme="majorBidi" w:hAnsiTheme="majorBidi" w:cstheme="majorBidi"/>
                <w:sz w:val="20"/>
                <w:szCs w:val="20"/>
                <w:lang w:val="en-GB"/>
              </w:rPr>
              <w:t xml:space="preserve">Section C of the Kunming-Montreal Global Biodiversity Framework includes intergenerational equity and with it, the expectation of meaningful participation of </w:t>
            </w:r>
            <w:r w:rsidR="007B5299" w:rsidRPr="00B3383B">
              <w:rPr>
                <w:rFonts w:asciiTheme="majorBidi" w:hAnsiTheme="majorBidi" w:cstheme="majorBidi"/>
                <w:sz w:val="20"/>
                <w:szCs w:val="20"/>
                <w:lang w:val="en-GB"/>
              </w:rPr>
              <w:t>youth</w:t>
            </w:r>
            <w:r w:rsidRPr="00B3383B">
              <w:rPr>
                <w:rFonts w:asciiTheme="majorBidi" w:hAnsiTheme="majorBidi" w:cstheme="majorBidi"/>
                <w:sz w:val="20"/>
                <w:szCs w:val="20"/>
                <w:lang w:val="en-GB"/>
              </w:rPr>
              <w:t xml:space="preserve"> in decision-making processes. There is currently a gap in the availability of operational and relevant indicators on youth and intergenerational equity, as well as a lack of operational guidance on youth-responsive monitoring in relation to biodiversity. However, there are ongoing initiatives to fill these gaps for future use (e.g. as a component indicator for Target 22), including youth-led initiatives by the Global Youth Biodiversity Network.</w:t>
            </w:r>
          </w:p>
          <w:p w14:paraId="3B6900BD" w14:textId="77777777" w:rsidR="007B64BA" w:rsidRPr="00B3383B" w:rsidRDefault="007B64BA" w:rsidP="005B0D1E">
            <w:pPr>
              <w:tabs>
                <w:tab w:val="left" w:pos="8420"/>
              </w:tabs>
              <w:ind w:left="147" w:right="133"/>
              <w:jc w:val="both"/>
              <w:rPr>
                <w:rFonts w:asciiTheme="majorBidi" w:hAnsiTheme="majorBidi" w:cstheme="majorBidi"/>
                <w:sz w:val="20"/>
                <w:szCs w:val="20"/>
                <w:lang w:val="en-GB"/>
              </w:rPr>
            </w:pPr>
          </w:p>
          <w:p w14:paraId="24471090" w14:textId="47BD5B89" w:rsidR="00FA3866" w:rsidRPr="00B3383B" w:rsidRDefault="00FA3866" w:rsidP="005B0D1E">
            <w:pPr>
              <w:tabs>
                <w:tab w:val="left" w:pos="8420"/>
              </w:tabs>
              <w:ind w:left="147" w:right="133"/>
              <w:jc w:val="both"/>
              <w:rPr>
                <w:rFonts w:asciiTheme="majorBidi" w:hAnsiTheme="majorBidi" w:cstheme="majorBidi"/>
                <w:sz w:val="20"/>
                <w:szCs w:val="20"/>
              </w:rPr>
            </w:pPr>
            <w:r w:rsidRPr="00B3383B">
              <w:rPr>
                <w:rFonts w:asciiTheme="majorBidi" w:hAnsiTheme="majorBidi" w:cstheme="majorBidi"/>
                <w:sz w:val="20"/>
                <w:szCs w:val="20"/>
                <w:lang w:val="en-GB"/>
              </w:rPr>
              <w:t>The</w:t>
            </w:r>
            <w:r w:rsidR="00D90AC0" w:rsidRPr="00B3383B">
              <w:rPr>
                <w:rFonts w:asciiTheme="majorBidi" w:hAnsiTheme="majorBidi" w:cstheme="majorBidi"/>
                <w:sz w:val="20"/>
                <w:szCs w:val="20"/>
                <w:lang w:val="en-GB"/>
              </w:rPr>
              <w:t>re are</w:t>
            </w:r>
            <w:r w:rsidRPr="00B3383B">
              <w:rPr>
                <w:rFonts w:asciiTheme="majorBidi" w:hAnsiTheme="majorBidi" w:cstheme="majorBidi"/>
                <w:sz w:val="20"/>
                <w:szCs w:val="20"/>
                <w:lang w:val="en-GB"/>
              </w:rPr>
              <w:t xml:space="preserve"> several indicators for which the information could be disaggregated by age (see Appendix 2 of SBSTTA/26/2). For many indicators however, disaggregation by age is not possible. </w:t>
            </w:r>
            <w:r w:rsidRPr="00B3383B">
              <w:rPr>
                <w:rFonts w:asciiTheme="majorBidi" w:hAnsiTheme="majorBidi" w:cstheme="majorBidi"/>
                <w:sz w:val="20"/>
                <w:szCs w:val="20"/>
              </w:rPr>
              <w:t> </w:t>
            </w:r>
          </w:p>
          <w:p w14:paraId="723546D8" w14:textId="77777777" w:rsidR="007B64BA" w:rsidRPr="00B3383B" w:rsidRDefault="007B64BA" w:rsidP="005B0D1E">
            <w:pPr>
              <w:tabs>
                <w:tab w:val="left" w:pos="8420"/>
              </w:tabs>
              <w:ind w:left="147" w:right="133"/>
              <w:jc w:val="both"/>
              <w:rPr>
                <w:rFonts w:asciiTheme="majorBidi" w:hAnsiTheme="majorBidi" w:cstheme="majorBidi"/>
                <w:sz w:val="20"/>
                <w:szCs w:val="20"/>
                <w:lang w:val="en-GB"/>
              </w:rPr>
            </w:pPr>
          </w:p>
          <w:p w14:paraId="5553305D" w14:textId="0C5DBC61" w:rsidR="00FA3866" w:rsidRPr="00B3383B" w:rsidRDefault="00FA3866" w:rsidP="005B0D1E">
            <w:pPr>
              <w:tabs>
                <w:tab w:val="left" w:pos="8420"/>
              </w:tabs>
              <w:ind w:left="147" w:right="133"/>
              <w:jc w:val="both"/>
              <w:rPr>
                <w:rFonts w:asciiTheme="majorBidi" w:hAnsiTheme="majorBidi" w:cstheme="majorBidi"/>
                <w:sz w:val="20"/>
                <w:szCs w:val="20"/>
                <w:lang w:val="en-GB"/>
              </w:rPr>
            </w:pPr>
            <w:r w:rsidRPr="00B3383B">
              <w:rPr>
                <w:rFonts w:asciiTheme="majorBidi" w:hAnsiTheme="majorBidi" w:cstheme="majorBidi"/>
                <w:sz w:val="20"/>
                <w:szCs w:val="20"/>
                <w:lang w:val="en-GB"/>
              </w:rPr>
              <w:t xml:space="preserve">Intergenerational equity and full and effective participation of children and youth has implications for the monitoring framework when considering </w:t>
            </w:r>
            <w:r w:rsidR="007B64BA" w:rsidRPr="00B3383B">
              <w:rPr>
                <w:rFonts w:asciiTheme="majorBidi" w:hAnsiTheme="majorBidi" w:cstheme="majorBidi"/>
                <w:sz w:val="20"/>
                <w:szCs w:val="20"/>
                <w:lang w:val="en-GB"/>
              </w:rPr>
              <w:t xml:space="preserve">its </w:t>
            </w:r>
            <w:r w:rsidRPr="00B3383B">
              <w:rPr>
                <w:rFonts w:asciiTheme="majorBidi" w:hAnsiTheme="majorBidi" w:cstheme="majorBidi"/>
                <w:sz w:val="20"/>
                <w:szCs w:val="20"/>
                <w:lang w:val="en-GB"/>
              </w:rPr>
              <w:t>usefulness for assessing sustainability</w:t>
            </w:r>
            <w:r w:rsidR="007B64BA" w:rsidRPr="00B3383B">
              <w:rPr>
                <w:rFonts w:asciiTheme="majorBidi" w:hAnsiTheme="majorBidi" w:cstheme="majorBidi"/>
                <w:sz w:val="20"/>
                <w:szCs w:val="20"/>
                <w:lang w:val="en-GB"/>
              </w:rPr>
              <w:t>,</w:t>
            </w:r>
            <w:r w:rsidRPr="00B3383B">
              <w:rPr>
                <w:rFonts w:asciiTheme="majorBidi" w:hAnsiTheme="majorBidi" w:cstheme="majorBidi"/>
                <w:sz w:val="20"/>
                <w:szCs w:val="20"/>
                <w:lang w:val="en-GB"/>
              </w:rPr>
              <w:t xml:space="preserve"> long-term trends</w:t>
            </w:r>
            <w:r w:rsidR="007B64BA" w:rsidRPr="00B3383B">
              <w:rPr>
                <w:rFonts w:asciiTheme="majorBidi" w:hAnsiTheme="majorBidi" w:cstheme="majorBidi"/>
                <w:sz w:val="20"/>
                <w:szCs w:val="20"/>
                <w:lang w:val="en-GB"/>
              </w:rPr>
              <w:t xml:space="preserve">, </w:t>
            </w:r>
            <w:r w:rsidRPr="00B3383B">
              <w:rPr>
                <w:rFonts w:asciiTheme="majorBidi" w:hAnsiTheme="majorBidi" w:cstheme="majorBidi"/>
                <w:sz w:val="20"/>
                <w:szCs w:val="20"/>
                <w:lang w:val="en-GB"/>
              </w:rPr>
              <w:t xml:space="preserve">modelling and scenarios (with respect to assessing implications for future generations), inclusiveness of methodologies, disaggregation, identifying differentiated and intersectional impacts, respecting the rights of children, and potentially assessing contributions of children and youth.  </w:t>
            </w:r>
          </w:p>
        </w:tc>
      </w:tr>
      <w:tr w:rsidR="00FA3866" w:rsidRPr="00B37EE9" w14:paraId="0E18FDD7" w14:textId="77777777" w:rsidTr="003A1881">
        <w:trPr>
          <w:trHeight w:val="300"/>
        </w:trPr>
        <w:tc>
          <w:tcPr>
            <w:tcW w:w="2069" w:type="dxa"/>
            <w:tcBorders>
              <w:top w:val="single" w:sz="6" w:space="0" w:color="auto"/>
              <w:left w:val="single" w:sz="6" w:space="0" w:color="auto"/>
              <w:bottom w:val="single" w:sz="6" w:space="0" w:color="auto"/>
              <w:right w:val="single" w:sz="6" w:space="0" w:color="auto"/>
            </w:tcBorders>
            <w:shd w:val="clear" w:color="auto" w:fill="auto"/>
            <w:hideMark/>
          </w:tcPr>
          <w:p w14:paraId="2890089D" w14:textId="77777777" w:rsidR="00FA3866" w:rsidRPr="00B3383B" w:rsidRDefault="00FA3866" w:rsidP="00395866">
            <w:pPr>
              <w:ind w:left="142" w:right="107"/>
              <w:rPr>
                <w:rFonts w:asciiTheme="majorBidi" w:hAnsiTheme="majorBidi" w:cstheme="majorBidi"/>
                <w:sz w:val="20"/>
                <w:szCs w:val="20"/>
                <w:lang w:val="en-GB"/>
              </w:rPr>
            </w:pPr>
            <w:r w:rsidRPr="00B3383B">
              <w:rPr>
                <w:rFonts w:asciiTheme="majorBidi" w:hAnsiTheme="majorBidi" w:cstheme="majorBidi"/>
                <w:sz w:val="20"/>
                <w:szCs w:val="20"/>
                <w:lang w:val="en-GB"/>
              </w:rPr>
              <w:t>Human rights-based approach</w:t>
            </w:r>
          </w:p>
        </w:tc>
        <w:tc>
          <w:tcPr>
            <w:tcW w:w="8563" w:type="dxa"/>
            <w:tcBorders>
              <w:top w:val="single" w:sz="6" w:space="0" w:color="auto"/>
              <w:left w:val="single" w:sz="6" w:space="0" w:color="auto"/>
              <w:bottom w:val="single" w:sz="6" w:space="0" w:color="auto"/>
              <w:right w:val="single" w:sz="6" w:space="0" w:color="auto"/>
            </w:tcBorders>
            <w:shd w:val="clear" w:color="auto" w:fill="auto"/>
            <w:hideMark/>
          </w:tcPr>
          <w:p w14:paraId="38A74521" w14:textId="5C7288D6" w:rsidR="00FA3866" w:rsidRPr="00B3383B" w:rsidRDefault="00FA3866" w:rsidP="00FE6051">
            <w:pPr>
              <w:tabs>
                <w:tab w:val="left" w:pos="8420"/>
              </w:tabs>
              <w:ind w:left="147" w:right="133"/>
              <w:jc w:val="both"/>
              <w:rPr>
                <w:rFonts w:asciiTheme="majorBidi" w:hAnsiTheme="majorBidi" w:cstheme="majorBidi"/>
                <w:sz w:val="20"/>
                <w:szCs w:val="20"/>
                <w:lang w:val="en-GB"/>
              </w:rPr>
            </w:pPr>
            <w:r w:rsidRPr="00B3383B">
              <w:rPr>
                <w:rFonts w:asciiTheme="majorBidi" w:hAnsiTheme="majorBidi" w:cstheme="majorBidi"/>
                <w:sz w:val="20"/>
                <w:szCs w:val="20"/>
                <w:lang w:val="en-GB"/>
              </w:rPr>
              <w:t xml:space="preserve">In concert with the discussion </w:t>
            </w:r>
            <w:r w:rsidR="00E86995" w:rsidRPr="00B3383B">
              <w:rPr>
                <w:rFonts w:asciiTheme="majorBidi" w:hAnsiTheme="majorBidi" w:cstheme="majorBidi"/>
                <w:sz w:val="20"/>
                <w:szCs w:val="20"/>
                <w:lang w:val="en-GB"/>
              </w:rPr>
              <w:t>during the twelfth meeting of the Ad Hoc Open-ended Intersessional Working Group on Article 8(j) and Related Provisions of the Convention on Biological Diversity</w:t>
            </w:r>
            <w:r w:rsidRPr="00B3383B">
              <w:rPr>
                <w:rFonts w:asciiTheme="majorBidi" w:hAnsiTheme="majorBidi" w:cstheme="majorBidi"/>
                <w:sz w:val="20"/>
                <w:szCs w:val="20"/>
                <w:lang w:val="en-GB"/>
              </w:rPr>
              <w:t xml:space="preserve">, the AHTEG identified the utility of the traditional knowledge indicators as component indicators under Target 22 and selected other targets (see Appendix 1 of SBSTTA/26/2). The AHTEG also considered that the traditional knowledge indicator on land-use change and land tenure by </w:t>
            </w:r>
            <w:r w:rsidR="00E86995" w:rsidRPr="00B3383B">
              <w:rPr>
                <w:rFonts w:asciiTheme="majorBidi" w:hAnsiTheme="majorBidi" w:cstheme="majorBidi"/>
                <w:sz w:val="20"/>
                <w:szCs w:val="20"/>
                <w:lang w:val="en-GB"/>
              </w:rPr>
              <w:t>i</w:t>
            </w:r>
            <w:r w:rsidRPr="00B3383B">
              <w:rPr>
                <w:rFonts w:asciiTheme="majorBidi" w:hAnsiTheme="majorBidi" w:cstheme="majorBidi"/>
                <w:sz w:val="20"/>
                <w:szCs w:val="20"/>
                <w:lang w:val="en-GB"/>
              </w:rPr>
              <w:t xml:space="preserve">ndigenous </w:t>
            </w:r>
            <w:r w:rsidR="00E86995" w:rsidRPr="00B3383B">
              <w:rPr>
                <w:rFonts w:asciiTheme="majorBidi" w:hAnsiTheme="majorBidi" w:cstheme="majorBidi"/>
                <w:sz w:val="20"/>
                <w:szCs w:val="20"/>
                <w:lang w:val="en-GB"/>
              </w:rPr>
              <w:t>p</w:t>
            </w:r>
            <w:r w:rsidRPr="00B3383B">
              <w:rPr>
                <w:rFonts w:asciiTheme="majorBidi" w:hAnsiTheme="majorBidi" w:cstheme="majorBidi"/>
                <w:sz w:val="20"/>
                <w:szCs w:val="20"/>
                <w:lang w:val="en-GB"/>
              </w:rPr>
              <w:t xml:space="preserve">eoples and </w:t>
            </w:r>
            <w:r w:rsidR="00E86995" w:rsidRPr="00B3383B">
              <w:rPr>
                <w:rFonts w:asciiTheme="majorBidi" w:hAnsiTheme="majorBidi" w:cstheme="majorBidi"/>
                <w:sz w:val="20"/>
                <w:szCs w:val="20"/>
                <w:lang w:val="en-GB"/>
              </w:rPr>
              <w:t>l</w:t>
            </w:r>
            <w:r w:rsidRPr="00B3383B">
              <w:rPr>
                <w:rFonts w:asciiTheme="majorBidi" w:hAnsiTheme="majorBidi" w:cstheme="majorBidi"/>
                <w:sz w:val="20"/>
                <w:szCs w:val="20"/>
                <w:lang w:val="en-GB"/>
              </w:rPr>
              <w:t xml:space="preserve">ocal </w:t>
            </w:r>
            <w:r w:rsidR="00E86995" w:rsidRPr="00B3383B">
              <w:rPr>
                <w:rFonts w:asciiTheme="majorBidi" w:hAnsiTheme="majorBidi" w:cstheme="majorBidi"/>
                <w:sz w:val="20"/>
                <w:szCs w:val="20"/>
                <w:lang w:val="en-GB"/>
              </w:rPr>
              <w:t>c</w:t>
            </w:r>
            <w:r w:rsidRPr="00B3383B">
              <w:rPr>
                <w:rFonts w:asciiTheme="majorBidi" w:hAnsiTheme="majorBidi" w:cstheme="majorBidi"/>
                <w:sz w:val="20"/>
                <w:szCs w:val="20"/>
                <w:lang w:val="en-GB"/>
              </w:rPr>
              <w:t>ommunities could meet the criteria required for a headline indicator.</w:t>
            </w:r>
          </w:p>
          <w:p w14:paraId="218F2867" w14:textId="77777777" w:rsidR="00E86995" w:rsidRPr="00B3383B" w:rsidRDefault="00E86995" w:rsidP="005B0D1E">
            <w:pPr>
              <w:tabs>
                <w:tab w:val="left" w:pos="8420"/>
              </w:tabs>
              <w:ind w:left="147" w:right="133"/>
              <w:jc w:val="both"/>
              <w:rPr>
                <w:rFonts w:asciiTheme="majorBidi" w:hAnsiTheme="majorBidi" w:cstheme="majorBidi"/>
                <w:sz w:val="20"/>
                <w:szCs w:val="20"/>
                <w:lang w:val="en-GB"/>
              </w:rPr>
            </w:pPr>
          </w:p>
          <w:p w14:paraId="0413D184" w14:textId="7175B3B2" w:rsidR="00FA3866" w:rsidRPr="00B3383B" w:rsidRDefault="0074409C" w:rsidP="00E86995">
            <w:pPr>
              <w:tabs>
                <w:tab w:val="left" w:pos="8420"/>
              </w:tabs>
              <w:ind w:left="147" w:right="133"/>
              <w:jc w:val="both"/>
              <w:rPr>
                <w:rFonts w:asciiTheme="majorBidi" w:hAnsiTheme="majorBidi" w:cstheme="majorBidi"/>
                <w:sz w:val="20"/>
                <w:szCs w:val="20"/>
                <w:lang w:val="en-GB"/>
              </w:rPr>
            </w:pPr>
            <w:r w:rsidRPr="00B3383B">
              <w:rPr>
                <w:rFonts w:asciiTheme="majorBidi" w:hAnsiTheme="majorBidi" w:cstheme="majorBidi"/>
                <w:sz w:val="20"/>
                <w:szCs w:val="20"/>
                <w:lang w:val="en-GB"/>
              </w:rPr>
              <w:t>T</w:t>
            </w:r>
            <w:r w:rsidR="00FA3866" w:rsidRPr="00B3383B">
              <w:rPr>
                <w:rFonts w:asciiTheme="majorBidi" w:hAnsiTheme="majorBidi" w:cstheme="majorBidi"/>
                <w:sz w:val="20"/>
                <w:szCs w:val="20"/>
                <w:lang w:val="en-GB"/>
              </w:rPr>
              <w:t xml:space="preserve">he number of killings and other attacks on environmental human rights defenders, which is derived from SDG indicator 16.10.1, </w:t>
            </w:r>
            <w:r w:rsidRPr="00B3383B">
              <w:rPr>
                <w:rFonts w:asciiTheme="majorBidi" w:hAnsiTheme="majorBidi" w:cstheme="majorBidi"/>
                <w:sz w:val="20"/>
                <w:szCs w:val="20"/>
                <w:lang w:val="en-GB"/>
              </w:rPr>
              <w:t xml:space="preserve">has been identified </w:t>
            </w:r>
            <w:r w:rsidR="00FA3866" w:rsidRPr="00B3383B">
              <w:rPr>
                <w:rFonts w:asciiTheme="majorBidi" w:hAnsiTheme="majorBidi" w:cstheme="majorBidi"/>
                <w:sz w:val="20"/>
                <w:szCs w:val="20"/>
                <w:lang w:val="en-GB"/>
              </w:rPr>
              <w:t xml:space="preserve">as a useful component indicator for Target 22. </w:t>
            </w:r>
          </w:p>
          <w:p w14:paraId="2CB2AF28" w14:textId="77777777" w:rsidR="00E86995" w:rsidRPr="00B3383B" w:rsidRDefault="00E86995" w:rsidP="005B0D1E">
            <w:pPr>
              <w:tabs>
                <w:tab w:val="left" w:pos="8420"/>
              </w:tabs>
              <w:ind w:left="147" w:right="133"/>
              <w:jc w:val="both"/>
              <w:rPr>
                <w:rFonts w:asciiTheme="majorBidi" w:hAnsiTheme="majorBidi" w:cstheme="majorBidi"/>
                <w:sz w:val="20"/>
                <w:szCs w:val="20"/>
                <w:lang w:val="en-GB"/>
              </w:rPr>
            </w:pPr>
          </w:p>
          <w:p w14:paraId="56FC0A98" w14:textId="77777777" w:rsidR="00FA3866" w:rsidRPr="00B3383B" w:rsidRDefault="00FA3866" w:rsidP="005B0D1E">
            <w:pPr>
              <w:tabs>
                <w:tab w:val="left" w:pos="8420"/>
              </w:tabs>
              <w:ind w:left="147" w:right="133"/>
              <w:jc w:val="both"/>
              <w:rPr>
                <w:rFonts w:asciiTheme="majorBidi" w:hAnsiTheme="majorBidi" w:cstheme="majorBidi"/>
                <w:sz w:val="20"/>
                <w:szCs w:val="20"/>
                <w:lang w:val="en-GB"/>
              </w:rPr>
            </w:pPr>
            <w:r w:rsidRPr="00B3383B">
              <w:rPr>
                <w:rFonts w:asciiTheme="majorBidi" w:hAnsiTheme="majorBidi" w:cstheme="majorBidi"/>
                <w:sz w:val="20"/>
                <w:szCs w:val="20"/>
                <w:lang w:val="en-GB"/>
              </w:rPr>
              <w:t>These component indicators, combined with the binary indicator which measures Target 22, allows for a more holistic measurement of progress in terms of structure, process and outcomes. Further work will be needed to establish component or complementary indicators that can assess “</w:t>
            </w:r>
            <w:r w:rsidRPr="00B3383B">
              <w:rPr>
                <w:rFonts w:asciiTheme="majorBidi" w:hAnsiTheme="majorBidi" w:cstheme="majorBidi"/>
                <w:i/>
                <w:iCs/>
                <w:sz w:val="20"/>
                <w:szCs w:val="20"/>
                <w:lang w:val="en-GB"/>
              </w:rPr>
              <w:t>access to justice</w:t>
            </w:r>
            <w:r w:rsidRPr="00B3383B">
              <w:rPr>
                <w:rFonts w:asciiTheme="majorBidi" w:hAnsiTheme="majorBidi" w:cstheme="majorBidi"/>
                <w:sz w:val="20"/>
                <w:szCs w:val="20"/>
                <w:lang w:val="en-GB"/>
              </w:rPr>
              <w:t>” and “</w:t>
            </w:r>
            <w:r w:rsidRPr="00B3383B">
              <w:rPr>
                <w:rFonts w:asciiTheme="majorBidi" w:hAnsiTheme="majorBidi" w:cstheme="majorBidi"/>
                <w:i/>
                <w:iCs/>
                <w:sz w:val="20"/>
                <w:szCs w:val="20"/>
                <w:lang w:val="en-GB"/>
              </w:rPr>
              <w:t>access to information</w:t>
            </w:r>
            <w:r w:rsidRPr="00B3383B">
              <w:rPr>
                <w:rFonts w:asciiTheme="majorBidi" w:hAnsiTheme="majorBidi" w:cstheme="majorBidi"/>
                <w:sz w:val="20"/>
                <w:szCs w:val="20"/>
                <w:lang w:val="en-GB"/>
              </w:rPr>
              <w:t>”.</w:t>
            </w:r>
          </w:p>
          <w:p w14:paraId="2EAA21D4" w14:textId="77777777" w:rsidR="00305616" w:rsidRPr="00B3383B" w:rsidRDefault="00305616" w:rsidP="005B0D1E">
            <w:pPr>
              <w:tabs>
                <w:tab w:val="left" w:pos="8420"/>
              </w:tabs>
              <w:ind w:left="147" w:right="133"/>
              <w:jc w:val="both"/>
              <w:rPr>
                <w:rFonts w:asciiTheme="majorBidi" w:hAnsiTheme="majorBidi" w:cstheme="majorBidi"/>
                <w:sz w:val="20"/>
                <w:szCs w:val="20"/>
                <w:lang w:val="en-GB"/>
              </w:rPr>
            </w:pPr>
          </w:p>
          <w:p w14:paraId="4DC971ED" w14:textId="77777777" w:rsidR="00305616" w:rsidRPr="00B3383B" w:rsidRDefault="00305616" w:rsidP="00305616">
            <w:pPr>
              <w:tabs>
                <w:tab w:val="left" w:pos="8420"/>
              </w:tabs>
              <w:ind w:left="147" w:right="133"/>
              <w:jc w:val="both"/>
              <w:rPr>
                <w:rFonts w:asciiTheme="majorBidi" w:hAnsiTheme="majorBidi" w:cstheme="majorBidi"/>
                <w:sz w:val="20"/>
                <w:szCs w:val="20"/>
                <w:lang w:val="en-GB"/>
              </w:rPr>
            </w:pPr>
            <w:r w:rsidRPr="00B3383B">
              <w:rPr>
                <w:rFonts w:asciiTheme="majorBidi" w:hAnsiTheme="majorBidi" w:cstheme="majorBidi"/>
                <w:sz w:val="20"/>
                <w:szCs w:val="20"/>
                <w:lang w:val="en-GB"/>
              </w:rPr>
              <w:t xml:space="preserve">Relevant </w:t>
            </w:r>
            <w:hyperlink r:id="rId36" w:history="1">
              <w:r w:rsidRPr="00B3383B">
                <w:rPr>
                  <w:rStyle w:val="Hyperlink"/>
                  <w:rFonts w:asciiTheme="majorBidi" w:hAnsiTheme="majorBidi" w:cstheme="majorBidi"/>
                  <w:sz w:val="20"/>
                  <w:szCs w:val="20"/>
                  <w:lang w:val="en-GB"/>
                </w:rPr>
                <w:t>guidance</w:t>
              </w:r>
            </w:hyperlink>
            <w:r w:rsidRPr="00B3383B">
              <w:rPr>
                <w:rFonts w:asciiTheme="majorBidi" w:hAnsiTheme="majorBidi" w:cstheme="majorBidi"/>
                <w:sz w:val="20"/>
                <w:szCs w:val="20"/>
                <w:lang w:val="en-GB"/>
              </w:rPr>
              <w:t xml:space="preserve"> has been developed by the Human Rights and Biodiversity Working Group on applying a human rights-based approach to the Kunming-Montreal Global Biodiversity Framework, including on monitoring and reporting.</w:t>
            </w:r>
          </w:p>
          <w:p w14:paraId="07597638" w14:textId="77777777" w:rsidR="00305616" w:rsidRPr="00B3383B" w:rsidRDefault="00305616" w:rsidP="005B0D1E">
            <w:pPr>
              <w:tabs>
                <w:tab w:val="left" w:pos="8420"/>
              </w:tabs>
              <w:ind w:left="147" w:right="133"/>
              <w:jc w:val="both"/>
              <w:rPr>
                <w:rFonts w:asciiTheme="majorBidi" w:hAnsiTheme="majorBidi" w:cstheme="majorBidi"/>
                <w:sz w:val="20"/>
                <w:szCs w:val="20"/>
                <w:lang w:val="en-GB"/>
              </w:rPr>
            </w:pPr>
          </w:p>
        </w:tc>
      </w:tr>
    </w:tbl>
    <w:p w14:paraId="6E05DB0E" w14:textId="77777777" w:rsidR="00FA3866" w:rsidRPr="00ED7E61" w:rsidRDefault="00FA3866" w:rsidP="00395866">
      <w:pPr>
        <w:jc w:val="both"/>
        <w:rPr>
          <w:rFonts w:asciiTheme="majorBidi" w:eastAsia="Aptos" w:hAnsiTheme="majorBidi" w:cstheme="majorBidi"/>
          <w:color w:val="000000" w:themeColor="text1"/>
          <w:sz w:val="22"/>
          <w:szCs w:val="22"/>
        </w:rPr>
      </w:pPr>
    </w:p>
    <w:p w14:paraId="71B19E65" w14:textId="77777777" w:rsidR="00FA3866" w:rsidRPr="00ED7E61" w:rsidRDefault="00FA3866" w:rsidP="00255AA5">
      <w:pPr>
        <w:rPr>
          <w:b/>
          <w:bCs/>
        </w:rPr>
      </w:pPr>
      <w:r w:rsidRPr="00ED7E61">
        <w:rPr>
          <w:b/>
          <w:bCs/>
        </w:rPr>
        <w:t xml:space="preserve">Using indicators pertinent to People and Biodiversity in Section C </w:t>
      </w:r>
    </w:p>
    <w:p w14:paraId="7C8F7A97" w14:textId="28B1452B" w:rsidR="008344AF" w:rsidRPr="00ED7E61" w:rsidRDefault="00FA3866" w:rsidP="00B10F0C">
      <w:pPr>
        <w:pStyle w:val="CBDNormalNumber"/>
        <w:numPr>
          <w:ilvl w:val="0"/>
          <w:numId w:val="66"/>
        </w:numPr>
        <w:ind w:left="567" w:firstLine="0"/>
      </w:pPr>
      <w:r w:rsidRPr="00ED7E61">
        <w:t xml:space="preserve">The considerations in Section C </w:t>
      </w:r>
      <w:r w:rsidR="001B7496" w:rsidRPr="00ED7E61">
        <w:t xml:space="preserve">of the Kunming-Montreal Global Biodiversity Framework </w:t>
      </w:r>
      <w:r w:rsidRPr="00ED7E61">
        <w:t>are partly, but not wholly, addressed by the existing monitoring framework and its headline and binary indicators. Indicators with particular relevance and with relevant disaggregation are identified in Appendix 2 of SBSTTA/26/2.</w:t>
      </w:r>
      <w:r w:rsidR="00C67F1E" w:rsidRPr="00ED7E61">
        <w:t xml:space="preserve"> There is also existing data, including sex-disaggregated data, age-disaggregated data, and disaggregation relevant to </w:t>
      </w:r>
      <w:r w:rsidR="00FD5582" w:rsidRPr="00ED7E61">
        <w:t>i</w:t>
      </w:r>
      <w:r w:rsidR="00C67F1E" w:rsidRPr="00ED7E61">
        <w:t xml:space="preserve">ndigenous </w:t>
      </w:r>
      <w:r w:rsidR="00FD5582" w:rsidRPr="00ED7E61">
        <w:t>p</w:t>
      </w:r>
      <w:r w:rsidR="00C67F1E" w:rsidRPr="00ED7E61">
        <w:t>eople</w:t>
      </w:r>
      <w:r w:rsidR="00305616">
        <w:t>s</w:t>
      </w:r>
      <w:r w:rsidR="00C67F1E" w:rsidRPr="00ED7E61">
        <w:t xml:space="preserve"> and local communities, that could be used to measure progress towards some elements of Section C but do not yet have an appropriate indicator to enable their use in the context of the monitoring framework.</w:t>
      </w:r>
    </w:p>
    <w:p w14:paraId="58B2CEF0" w14:textId="1327BBF1" w:rsidR="008344AF" w:rsidRPr="00ED7E61" w:rsidRDefault="00FA3866" w:rsidP="00B10F0C">
      <w:pPr>
        <w:pStyle w:val="CBDNormalNumber"/>
        <w:numPr>
          <w:ilvl w:val="0"/>
          <w:numId w:val="66"/>
        </w:numPr>
        <w:ind w:left="567" w:firstLine="0"/>
      </w:pPr>
      <w:r w:rsidRPr="00ED7E61">
        <w:t xml:space="preserve">Specifically for </w:t>
      </w:r>
      <w:r w:rsidR="00FD5582" w:rsidRPr="00ED7E61">
        <w:t>i</w:t>
      </w:r>
      <w:r w:rsidRPr="00ED7E61">
        <w:t xml:space="preserve">ndigenous </w:t>
      </w:r>
      <w:r w:rsidR="00FD5582" w:rsidRPr="00ED7E61">
        <w:t>p</w:t>
      </w:r>
      <w:r w:rsidRPr="00ED7E61">
        <w:t xml:space="preserve">eoples and </w:t>
      </w:r>
      <w:r w:rsidR="00FD5582" w:rsidRPr="00ED7E61">
        <w:t>l</w:t>
      </w:r>
      <w:r w:rsidRPr="00ED7E61">
        <w:t xml:space="preserve">ocal </w:t>
      </w:r>
      <w:r w:rsidR="00FD5582" w:rsidRPr="00ED7E61">
        <w:t>c</w:t>
      </w:r>
      <w:r w:rsidRPr="00ED7E61">
        <w:t xml:space="preserve">ommunities, the four traditional knowledge indicators developed under the parallel Article 8(j) process and as part of the Joint Programme of Work on the Links Between Biological and Cultural Diversity could be used to complement the headline and binary indicators. These indicators assess traditional knowledge systems, as a complement to the scientific monitoring used in other Framework indicators. The </w:t>
      </w:r>
      <w:r w:rsidR="00FD5582" w:rsidRPr="00ED7E61">
        <w:t xml:space="preserve">traditional knowledge </w:t>
      </w:r>
      <w:r w:rsidRPr="00ED7E61">
        <w:t xml:space="preserve">indicators </w:t>
      </w:r>
      <w:r w:rsidR="006E2146" w:rsidRPr="00ED7E61">
        <w:t>are</w:t>
      </w:r>
      <w:r w:rsidRPr="00ED7E61">
        <w:t xml:space="preserve"> component or complementary indicators for certain targets and </w:t>
      </w:r>
      <w:r w:rsidR="00E905EF" w:rsidRPr="00ED7E61">
        <w:t xml:space="preserve">can </w:t>
      </w:r>
      <w:r w:rsidR="006E2146" w:rsidRPr="00ED7E61">
        <w:t xml:space="preserve">provide a </w:t>
      </w:r>
      <w:r w:rsidR="00E905EF" w:rsidRPr="00ED7E61">
        <w:t xml:space="preserve">basis for </w:t>
      </w:r>
      <w:r w:rsidRPr="00ED7E61">
        <w:t>disaggregation of existing indicators but also have a broader, cross-cutting relevance across the Framework</w:t>
      </w:r>
      <w:r w:rsidR="00E905EF" w:rsidRPr="00ED7E61">
        <w:t xml:space="preserve"> (for example disaggregating by indigenous and traditional territories is recommended across the monitoring framework)</w:t>
      </w:r>
      <w:r w:rsidRPr="00ED7E61">
        <w:t>.</w:t>
      </w:r>
      <w:r w:rsidR="000D7B30" w:rsidRPr="00ED7E61">
        <w:rPr>
          <w:lang w:val="en-US"/>
        </w:rPr>
        <w:t xml:space="preserve"> </w:t>
      </w:r>
      <w:r w:rsidRPr="00ED7E61">
        <w:rPr>
          <w:lang w:val="en-US"/>
        </w:rPr>
        <w:t xml:space="preserve">These four </w:t>
      </w:r>
      <w:r w:rsidR="000D7B30" w:rsidRPr="00ED7E61">
        <w:rPr>
          <w:lang w:val="en-US"/>
        </w:rPr>
        <w:t>traditional knowledge are:</w:t>
      </w:r>
    </w:p>
    <w:p w14:paraId="408E5162" w14:textId="123BD363" w:rsidR="008344AF" w:rsidRPr="00ED7E61" w:rsidRDefault="00FA3866" w:rsidP="00B10F0C">
      <w:pPr>
        <w:pStyle w:val="CBDNormalNumber"/>
        <w:numPr>
          <w:ilvl w:val="1"/>
          <w:numId w:val="66"/>
        </w:numPr>
        <w:spacing w:before="0"/>
        <w:ind w:left="567" w:firstLine="567"/>
        <w:rPr>
          <w:rFonts w:asciiTheme="majorBidi" w:hAnsiTheme="majorBidi" w:cstheme="majorBidi"/>
        </w:rPr>
      </w:pPr>
      <w:r w:rsidRPr="00ED7E61">
        <w:rPr>
          <w:rFonts w:asciiTheme="majorBidi" w:hAnsiTheme="majorBidi" w:cstheme="majorBidi"/>
        </w:rPr>
        <w:t>Percentage of the population in traditional occupations</w:t>
      </w:r>
      <w:r w:rsidR="008344AF" w:rsidRPr="00ED7E61">
        <w:rPr>
          <w:rFonts w:asciiTheme="majorBidi" w:hAnsiTheme="majorBidi" w:cstheme="majorBidi"/>
        </w:rPr>
        <w:t>:</w:t>
      </w:r>
    </w:p>
    <w:p w14:paraId="4C7BA947" w14:textId="2E98EEAA" w:rsidR="008344AF" w:rsidRPr="00ED7E61" w:rsidRDefault="00FA3866" w:rsidP="00B10F0C">
      <w:pPr>
        <w:pStyle w:val="CBDNormalNumber"/>
        <w:numPr>
          <w:ilvl w:val="2"/>
          <w:numId w:val="34"/>
        </w:numPr>
      </w:pPr>
      <w:r w:rsidRPr="00B3383B">
        <w:t>Designated</w:t>
      </w:r>
      <w:r w:rsidRPr="00ED7E61">
        <w:t xml:space="preserve"> as Headline Indicator 9.2. </w:t>
      </w:r>
    </w:p>
    <w:p w14:paraId="6ED4FEAA" w14:textId="77777777" w:rsidR="00FA3866" w:rsidRPr="00ED7E61" w:rsidRDefault="00FA3866" w:rsidP="00B10F0C">
      <w:pPr>
        <w:pStyle w:val="CBDNormalNumber"/>
        <w:numPr>
          <w:ilvl w:val="2"/>
          <w:numId w:val="34"/>
        </w:numPr>
        <w:rPr>
          <w:rFonts w:asciiTheme="majorBidi" w:hAnsiTheme="majorBidi" w:cstheme="majorBidi"/>
        </w:rPr>
      </w:pPr>
      <w:r w:rsidRPr="00ED7E61">
        <w:rPr>
          <w:rFonts w:asciiTheme="majorBidi" w:hAnsiTheme="majorBidi" w:cstheme="majorBidi"/>
        </w:rPr>
        <w:t xml:space="preserve">The </w:t>
      </w:r>
      <w:r w:rsidRPr="00B3383B">
        <w:t>share</w:t>
      </w:r>
      <w:r w:rsidRPr="00ED7E61">
        <w:rPr>
          <w:rFonts w:asciiTheme="majorBidi" w:hAnsiTheme="majorBidi" w:cstheme="majorBidi"/>
        </w:rPr>
        <w:t xml:space="preserve"> of the population in traditional occupations, which is calculated using the number of self-identified Indigenous and tribal people engaging in such occupations, is also relevant to the monitoring of Targets 5, 10, 18, 21, 22 and 23. </w:t>
      </w:r>
    </w:p>
    <w:p w14:paraId="4C6D581D" w14:textId="0ADCB55E" w:rsidR="008344AF" w:rsidRPr="00ED7E61" w:rsidRDefault="00FA3866" w:rsidP="00B10F0C">
      <w:pPr>
        <w:pStyle w:val="CBDNormalNumber"/>
        <w:numPr>
          <w:ilvl w:val="1"/>
          <w:numId w:val="66"/>
        </w:numPr>
        <w:spacing w:before="0"/>
        <w:ind w:left="567" w:firstLine="567"/>
        <w:rPr>
          <w:rFonts w:asciiTheme="majorBidi" w:hAnsiTheme="majorBidi" w:cstheme="majorBidi"/>
        </w:rPr>
      </w:pPr>
      <w:r w:rsidRPr="00ED7E61">
        <w:rPr>
          <w:rFonts w:asciiTheme="majorBidi" w:hAnsiTheme="majorBidi" w:cstheme="majorBidi"/>
        </w:rPr>
        <w:t>Status and trends in land-use change and land tenure in the traditional territories of Indigenous Peoples and Local Communities</w:t>
      </w:r>
      <w:r w:rsidR="008344AF" w:rsidRPr="00ED7E61">
        <w:rPr>
          <w:rFonts w:asciiTheme="majorBidi" w:hAnsiTheme="majorBidi" w:cstheme="majorBidi"/>
        </w:rPr>
        <w:t>:</w:t>
      </w:r>
    </w:p>
    <w:p w14:paraId="72062A18" w14:textId="77777777" w:rsidR="00FA3866" w:rsidRPr="00ED7E61" w:rsidRDefault="00FA3866" w:rsidP="00B10F0C">
      <w:pPr>
        <w:pStyle w:val="CBDNormalNumber"/>
        <w:numPr>
          <w:ilvl w:val="2"/>
          <w:numId w:val="35"/>
        </w:numPr>
      </w:pPr>
      <w:r w:rsidRPr="00ED7E61">
        <w:t>Land use and tenure data is specifically relevant to the disaggregation of Headline Indicators A1, A2, B1, 2.2, 3.1, 10.1 and 10.2. It provides data and information for monitoring of Targets 1, 2, 3, 5, 8, 9, 10, 21, 22 and 23, and it provides context for binary indicators in Target 22 and 23. Trends in land tenure provide data that contributes to the realization of Section C.</w:t>
      </w:r>
    </w:p>
    <w:p w14:paraId="1F18FF9D" w14:textId="4D6B14C1" w:rsidR="008344AF" w:rsidRPr="00ED7E61" w:rsidRDefault="00FA3866" w:rsidP="00B10F0C">
      <w:pPr>
        <w:pStyle w:val="CBDNormalNumber"/>
        <w:numPr>
          <w:ilvl w:val="1"/>
          <w:numId w:val="66"/>
        </w:numPr>
        <w:spacing w:before="0"/>
        <w:ind w:left="567" w:firstLine="567"/>
        <w:rPr>
          <w:rFonts w:asciiTheme="majorBidi" w:hAnsiTheme="majorBidi" w:cstheme="majorBidi"/>
        </w:rPr>
      </w:pPr>
      <w:r w:rsidRPr="00ED7E61">
        <w:rPr>
          <w:rFonts w:asciiTheme="majorBidi" w:hAnsiTheme="majorBidi" w:cstheme="majorBidi"/>
        </w:rPr>
        <w:t>Indicator on participation of Indigenous Peoples and Local Communities</w:t>
      </w:r>
      <w:r w:rsidR="008344AF" w:rsidRPr="00ED7E61">
        <w:rPr>
          <w:rFonts w:asciiTheme="majorBidi" w:hAnsiTheme="majorBidi" w:cstheme="majorBidi"/>
        </w:rPr>
        <w:t>:</w:t>
      </w:r>
    </w:p>
    <w:p w14:paraId="2C42FDE1" w14:textId="5F63D78C" w:rsidR="008344AF" w:rsidRPr="00ED7E61" w:rsidRDefault="00FA3866" w:rsidP="00B10F0C">
      <w:pPr>
        <w:pStyle w:val="CBDNormalNumber"/>
        <w:numPr>
          <w:ilvl w:val="2"/>
          <w:numId w:val="36"/>
        </w:numPr>
      </w:pPr>
      <w:r w:rsidRPr="00ED7E61">
        <w:rPr>
          <w:lang w:val="en-US"/>
        </w:rPr>
        <w:t>WG8J-12</w:t>
      </w:r>
      <w:r w:rsidRPr="00ED7E61">
        <w:t xml:space="preserve"> proposed a revision of the indicator title: Participation in decision-making of Indigenous Peoples and Local Communities in the implementation of the Kunming-Montreal Global Biodiversity Framework at all levels.</w:t>
      </w:r>
      <w:r w:rsidRPr="00ED7E61">
        <w:rPr>
          <w:b/>
          <w:bCs/>
        </w:rPr>
        <w:t xml:space="preserve"> </w:t>
      </w:r>
    </w:p>
    <w:p w14:paraId="052A41BB" w14:textId="575710C3" w:rsidR="00FA3866" w:rsidRPr="00ED7E61" w:rsidRDefault="005F7DE3" w:rsidP="00B3383B">
      <w:pPr>
        <w:pStyle w:val="CBDNormalNumber"/>
        <w:numPr>
          <w:ilvl w:val="0"/>
          <w:numId w:val="0"/>
        </w:numPr>
        <w:ind w:left="2268"/>
        <w:rPr>
          <w:rFonts w:asciiTheme="majorBidi" w:hAnsiTheme="majorBidi" w:cstheme="majorBidi"/>
        </w:rPr>
      </w:pPr>
      <w:r>
        <w:rPr>
          <w:rFonts w:asciiTheme="majorBidi" w:hAnsiTheme="majorBidi" w:cstheme="majorBidi"/>
        </w:rPr>
        <w:t xml:space="preserve">a. </w:t>
      </w:r>
      <w:r w:rsidR="00FA3866" w:rsidRPr="00ED7E61">
        <w:rPr>
          <w:rFonts w:asciiTheme="majorBidi" w:hAnsiTheme="majorBidi" w:cstheme="majorBidi"/>
        </w:rPr>
        <w:t xml:space="preserve">Trends in </w:t>
      </w:r>
      <w:r w:rsidR="00616510">
        <w:rPr>
          <w:rStyle w:val="normaltextrun"/>
          <w:rFonts w:asciiTheme="majorBidi" w:eastAsiaTheme="majorEastAsia" w:hAnsiTheme="majorBidi" w:cstheme="majorBidi"/>
          <w:color w:val="000000"/>
          <w:lang w:val="en-AU"/>
        </w:rPr>
        <w:t>i</w:t>
      </w:r>
      <w:r w:rsidR="00616510" w:rsidRPr="00ED7E61">
        <w:rPr>
          <w:rStyle w:val="normaltextrun"/>
          <w:rFonts w:asciiTheme="majorBidi" w:eastAsiaTheme="majorEastAsia" w:hAnsiTheme="majorBidi" w:cstheme="majorBidi"/>
          <w:color w:val="000000"/>
          <w:lang w:val="en-AU"/>
        </w:rPr>
        <w:t xml:space="preserve">ndigenous </w:t>
      </w:r>
      <w:r w:rsidR="00616510">
        <w:rPr>
          <w:rStyle w:val="normaltextrun"/>
          <w:rFonts w:asciiTheme="majorBidi" w:eastAsiaTheme="majorEastAsia" w:hAnsiTheme="majorBidi" w:cstheme="majorBidi"/>
          <w:color w:val="000000"/>
          <w:lang w:val="en-AU"/>
        </w:rPr>
        <w:t>p</w:t>
      </w:r>
      <w:r w:rsidR="00616510" w:rsidRPr="00ED7E61">
        <w:rPr>
          <w:rStyle w:val="normaltextrun"/>
          <w:rFonts w:asciiTheme="majorBidi" w:eastAsiaTheme="majorEastAsia" w:hAnsiTheme="majorBidi" w:cstheme="majorBidi"/>
          <w:color w:val="000000"/>
          <w:lang w:val="en-AU"/>
        </w:rPr>
        <w:t xml:space="preserve">eoples and </w:t>
      </w:r>
      <w:r w:rsidR="00616510">
        <w:rPr>
          <w:rStyle w:val="normaltextrun"/>
          <w:rFonts w:asciiTheme="majorBidi" w:eastAsiaTheme="majorEastAsia" w:hAnsiTheme="majorBidi" w:cstheme="majorBidi"/>
          <w:color w:val="000000"/>
          <w:lang w:val="en-AU"/>
        </w:rPr>
        <w:t>l</w:t>
      </w:r>
      <w:r w:rsidR="00616510" w:rsidRPr="00ED7E61">
        <w:rPr>
          <w:rStyle w:val="normaltextrun"/>
          <w:rFonts w:asciiTheme="majorBidi" w:eastAsiaTheme="majorEastAsia" w:hAnsiTheme="majorBidi" w:cstheme="majorBidi"/>
          <w:color w:val="000000"/>
          <w:lang w:val="en-AU"/>
        </w:rPr>
        <w:t xml:space="preserve">ocal </w:t>
      </w:r>
      <w:r w:rsidR="00616510">
        <w:rPr>
          <w:rStyle w:val="normaltextrun"/>
          <w:rFonts w:asciiTheme="majorBidi" w:eastAsiaTheme="majorEastAsia" w:hAnsiTheme="majorBidi" w:cstheme="majorBidi"/>
          <w:color w:val="000000"/>
          <w:lang w:val="en-AU"/>
        </w:rPr>
        <w:t>c</w:t>
      </w:r>
      <w:r w:rsidR="00616510" w:rsidRPr="00ED7E61">
        <w:rPr>
          <w:rStyle w:val="normaltextrun"/>
          <w:rFonts w:asciiTheme="majorBidi" w:eastAsiaTheme="majorEastAsia" w:hAnsiTheme="majorBidi" w:cstheme="majorBidi"/>
          <w:color w:val="000000"/>
          <w:lang w:val="en-AU"/>
        </w:rPr>
        <w:t>ommunities</w:t>
      </w:r>
      <w:r w:rsidR="00616510">
        <w:rPr>
          <w:rStyle w:val="normaltextrun"/>
          <w:rFonts w:asciiTheme="majorBidi" w:eastAsiaTheme="majorEastAsia" w:hAnsiTheme="majorBidi" w:cstheme="majorBidi"/>
          <w:color w:val="000000"/>
          <w:lang w:val="en-AU"/>
        </w:rPr>
        <w:t>’</w:t>
      </w:r>
      <w:r w:rsidR="00616510" w:rsidRPr="00ED7E61">
        <w:rPr>
          <w:rStyle w:val="normaltextrun"/>
          <w:rFonts w:asciiTheme="majorBidi" w:eastAsiaTheme="majorEastAsia" w:hAnsiTheme="majorBidi" w:cstheme="majorBidi"/>
          <w:color w:val="000000"/>
          <w:lang w:val="en-AU"/>
        </w:rPr>
        <w:t xml:space="preserve"> </w:t>
      </w:r>
      <w:r w:rsidR="00FA3866" w:rsidRPr="00ED7E61">
        <w:rPr>
          <w:rFonts w:asciiTheme="majorBidi" w:hAnsiTheme="majorBidi" w:cstheme="majorBidi"/>
        </w:rPr>
        <w:t>participation provide data that contributes to the implementation of Section C. Participation is cross-cutting and relevant to most, if not all, goals and targets, and particularly relevant to Target 21 and Target 22. There may be links to binary and headline indicators.</w:t>
      </w:r>
    </w:p>
    <w:p w14:paraId="2C7849F9" w14:textId="57CCE2BC" w:rsidR="008344AF" w:rsidRPr="00ED7E61" w:rsidRDefault="00FA3866" w:rsidP="00B10F0C">
      <w:pPr>
        <w:pStyle w:val="CBDNormalNumber"/>
        <w:numPr>
          <w:ilvl w:val="1"/>
          <w:numId w:val="34"/>
        </w:numPr>
      </w:pPr>
      <w:r w:rsidRPr="00B3383B">
        <w:t>Status</w:t>
      </w:r>
      <w:r w:rsidRPr="00ED7E61">
        <w:t xml:space="preserve"> and trends of linguistic diversity and numbers of speakers of Indigenous languages</w:t>
      </w:r>
    </w:p>
    <w:p w14:paraId="45E65087" w14:textId="77777777" w:rsidR="00FA3866" w:rsidRPr="00ED7E61" w:rsidRDefault="00FA3866" w:rsidP="00B10F0C">
      <w:pPr>
        <w:pStyle w:val="CBDNormalNumber"/>
        <w:numPr>
          <w:ilvl w:val="2"/>
          <w:numId w:val="34"/>
        </w:numPr>
      </w:pPr>
      <w:r w:rsidRPr="00ED7E61">
        <w:t>Trends in linguistic diversity and the number of speakers provide data that contributes to the implementation of Section C, given demonstrated correlation between linguistic diversity and biodiversity.</w:t>
      </w:r>
    </w:p>
    <w:p w14:paraId="7BEA0E6E" w14:textId="43493A2E" w:rsidR="00FA3866" w:rsidRPr="00ED7E61" w:rsidRDefault="00FA3866" w:rsidP="00B10F0C">
      <w:pPr>
        <w:pStyle w:val="CBDNormalNumber"/>
        <w:numPr>
          <w:ilvl w:val="0"/>
          <w:numId w:val="66"/>
        </w:numPr>
        <w:ind w:left="567" w:firstLine="0"/>
      </w:pPr>
      <w:r w:rsidRPr="00ED7E61">
        <w:t xml:space="preserve">These </w:t>
      </w:r>
      <w:r w:rsidR="000D7B30" w:rsidRPr="00ED7E61">
        <w:t xml:space="preserve">traditional knowledge </w:t>
      </w:r>
      <w:r w:rsidRPr="00ED7E61">
        <w:t xml:space="preserve">indicators can be considered as a package, functioning together to address the cross-cutting relevance of traditional knowledge for the </w:t>
      </w:r>
      <w:r w:rsidR="000D7B30" w:rsidRPr="00ED7E61">
        <w:t>Kunming-Montreal Global Biodiversity Framework</w:t>
      </w:r>
      <w:r w:rsidRPr="00ED7E61">
        <w:t xml:space="preserve">. As one example, the indicators on traditional occupations and linguistic diversity can be regarded as proxies for the relationship that </w:t>
      </w:r>
      <w:r w:rsidR="000D7B30" w:rsidRPr="00ED7E61">
        <w:t xml:space="preserve">indigenous peoples and local communities </w:t>
      </w:r>
      <w:r w:rsidRPr="00ED7E61">
        <w:t xml:space="preserve">have with local land/biodiversity and its conservation, sustainable management and use, which also inform biodiversity conservation and sustainable use. The percentage of traditional occupations shows how many people use spatial knowledge, and the vitality of local languages indicates a long-term connection between land, knowledge and wisdom coded in these languages. From a conservation knowledge base perspective, </w:t>
      </w:r>
      <w:r w:rsidR="00DD3CDE" w:rsidRPr="00ED7E61">
        <w:t>traditional knowle</w:t>
      </w:r>
      <w:r w:rsidR="00A14B6A">
        <w:t>d</w:t>
      </w:r>
      <w:r w:rsidR="00DD3CDE" w:rsidRPr="00ED7E61">
        <w:t xml:space="preserve">ge </w:t>
      </w:r>
      <w:r w:rsidRPr="00ED7E61">
        <w:t xml:space="preserve">holders can be regarded as 'walking </w:t>
      </w:r>
      <w:r w:rsidR="00A14B6A" w:rsidRPr="00ED7E61">
        <w:t>encyclopaedia</w:t>
      </w:r>
      <w:r w:rsidRPr="00ED7E61">
        <w:t xml:space="preserve">' of knowledge relevant in these landscapes. To this end, the connection between traditional occupations and indigenous and traditional languages are intimately connected to achieving the implementation of </w:t>
      </w:r>
      <w:r w:rsidR="00DD3CDE" w:rsidRPr="00ED7E61">
        <w:t xml:space="preserve">the Kunming-Montreal Global Biodiversity Framework </w:t>
      </w:r>
      <w:r w:rsidRPr="00ED7E61">
        <w:t xml:space="preserve">and the overall objectives of the Convention. </w:t>
      </w:r>
    </w:p>
    <w:p w14:paraId="2E28B4E4" w14:textId="2CE82B6A" w:rsidR="00DD3CDE" w:rsidRPr="00ED7E61" w:rsidRDefault="00DD3CDE" w:rsidP="00DD3CDE">
      <w:pPr>
        <w:rPr>
          <w:b/>
          <w:bCs/>
        </w:rPr>
      </w:pPr>
      <w:r w:rsidRPr="00ED7E61">
        <w:rPr>
          <w:b/>
          <w:bCs/>
        </w:rPr>
        <w:t>Generating and using disaggregated data</w:t>
      </w:r>
    </w:p>
    <w:p w14:paraId="1B7A7599" w14:textId="070F62B6" w:rsidR="00F73ED8" w:rsidRPr="00ED7E61" w:rsidRDefault="00FA3866" w:rsidP="00B10F0C">
      <w:pPr>
        <w:pStyle w:val="CBDNormalNumber"/>
        <w:numPr>
          <w:ilvl w:val="0"/>
          <w:numId w:val="66"/>
        </w:numPr>
        <w:ind w:left="567" w:firstLine="0"/>
      </w:pPr>
      <w:r w:rsidRPr="00ED7E61">
        <w:t xml:space="preserve">Approaches to monitoring the implementation of the Global Biodiversity Framework can be strengthened by using strategic data disaggregation, inclusive processes in designing and conducting monitoring, and a </w:t>
      </w:r>
      <w:r w:rsidR="00F73ED8" w:rsidRPr="00ED7E61">
        <w:t xml:space="preserve">using a </w:t>
      </w:r>
      <w:r w:rsidRPr="00ED7E61">
        <w:t xml:space="preserve">broad range of information sources to inform assessments. </w:t>
      </w:r>
      <w:r w:rsidR="004738DA" w:rsidRPr="00ED7E61">
        <w:t xml:space="preserve"> </w:t>
      </w:r>
      <w:r w:rsidR="00F73ED8" w:rsidRPr="00ED7E61">
        <w:t xml:space="preserve">In this </w:t>
      </w:r>
      <w:r w:rsidR="004738DA" w:rsidRPr="00ED7E61">
        <w:t>context</w:t>
      </w:r>
      <w:r w:rsidR="00F73ED8" w:rsidRPr="00ED7E61">
        <w:t>, the AHTEG has identified for each of the headline indicators, possible disaggregations</w:t>
      </w:r>
      <w:r w:rsidRPr="00ED7E61">
        <w:t xml:space="preserve">. </w:t>
      </w:r>
      <w:r w:rsidR="00F73ED8" w:rsidRPr="00ED7E61">
        <w:t>These possible disaggregation</w:t>
      </w:r>
      <w:r w:rsidR="001551B1" w:rsidRPr="00ED7E61">
        <w:t>s</w:t>
      </w:r>
      <w:r w:rsidR="00F73ED8" w:rsidRPr="00ED7E61">
        <w:t xml:space="preserve"> can be used by Parties in their national reports and other monitoring processes subject to their national circumstances and priorities. As such their use is optional. Further, in some cases the use of the possible </w:t>
      </w:r>
      <w:r w:rsidR="00A14B6A" w:rsidRPr="00ED7E61">
        <w:t>disaggregation</w:t>
      </w:r>
      <w:r w:rsidR="00A14B6A">
        <w:t>s</w:t>
      </w:r>
      <w:r w:rsidR="00F73ED8" w:rsidRPr="00ED7E61">
        <w:t xml:space="preserve"> is limited by the datasets which are currently available.</w:t>
      </w:r>
      <w:r w:rsidR="004738DA" w:rsidRPr="00ED7E61">
        <w:t xml:space="preserve"> However, o</w:t>
      </w:r>
      <w:r w:rsidRPr="00ED7E61">
        <w:t xml:space="preserve">pportunities exist to improve the levels and types of disaggregation produced in many of the underlying data sets, for example </w:t>
      </w:r>
      <w:r w:rsidR="004738DA" w:rsidRPr="00ED7E61">
        <w:t xml:space="preserve">through the </w:t>
      </w:r>
      <w:r w:rsidRPr="00ED7E61">
        <w:t xml:space="preserve">provision of resources for </w:t>
      </w:r>
      <w:r w:rsidR="004738DA" w:rsidRPr="00ED7E61">
        <w:t xml:space="preserve">the </w:t>
      </w:r>
      <w:r w:rsidRPr="00ED7E61">
        <w:t>development of such datasets.</w:t>
      </w:r>
      <w:r w:rsidR="004738DA" w:rsidRPr="00ED7E61">
        <w:t xml:space="preserve"> In addition to the identified disa</w:t>
      </w:r>
      <w:r w:rsidR="00A14B6A">
        <w:t>g</w:t>
      </w:r>
      <w:r w:rsidR="004738DA" w:rsidRPr="00ED7E61">
        <w:t>gregations, the AHTEG has also identified s</w:t>
      </w:r>
      <w:r w:rsidR="00F73ED8" w:rsidRPr="00ED7E61">
        <w:t xml:space="preserve">ome general principles, such as the recommendation to collect and report sex-disaggregated data, age-disaggregated data, and disaggregation on </w:t>
      </w:r>
      <w:r w:rsidR="00616510">
        <w:rPr>
          <w:rStyle w:val="normaltextrun"/>
          <w:rFonts w:asciiTheme="majorBidi" w:eastAsiaTheme="majorEastAsia" w:hAnsiTheme="majorBidi" w:cstheme="majorBidi"/>
          <w:color w:val="000000"/>
          <w:lang w:val="en-AU"/>
        </w:rPr>
        <w:t>i</w:t>
      </w:r>
      <w:r w:rsidR="00616510" w:rsidRPr="00ED7E61">
        <w:rPr>
          <w:rStyle w:val="normaltextrun"/>
          <w:rFonts w:asciiTheme="majorBidi" w:eastAsiaTheme="majorEastAsia" w:hAnsiTheme="majorBidi" w:cstheme="majorBidi"/>
          <w:color w:val="000000"/>
          <w:lang w:val="en-AU"/>
        </w:rPr>
        <w:t xml:space="preserve">ndigenous </w:t>
      </w:r>
      <w:r w:rsidR="00616510">
        <w:rPr>
          <w:rStyle w:val="normaltextrun"/>
          <w:rFonts w:asciiTheme="majorBidi" w:eastAsiaTheme="majorEastAsia" w:hAnsiTheme="majorBidi" w:cstheme="majorBidi"/>
          <w:color w:val="000000"/>
          <w:lang w:val="en-AU"/>
        </w:rPr>
        <w:t>p</w:t>
      </w:r>
      <w:r w:rsidR="00616510" w:rsidRPr="00ED7E61">
        <w:rPr>
          <w:rStyle w:val="normaltextrun"/>
          <w:rFonts w:asciiTheme="majorBidi" w:eastAsiaTheme="majorEastAsia" w:hAnsiTheme="majorBidi" w:cstheme="majorBidi"/>
          <w:color w:val="000000"/>
          <w:lang w:val="en-AU"/>
        </w:rPr>
        <w:t xml:space="preserve">eoples and </w:t>
      </w:r>
      <w:r w:rsidR="00616510">
        <w:rPr>
          <w:rStyle w:val="normaltextrun"/>
          <w:rFonts w:asciiTheme="majorBidi" w:eastAsiaTheme="majorEastAsia" w:hAnsiTheme="majorBidi" w:cstheme="majorBidi"/>
          <w:color w:val="000000"/>
          <w:lang w:val="en-AU"/>
        </w:rPr>
        <w:t>l</w:t>
      </w:r>
      <w:r w:rsidR="00616510" w:rsidRPr="00ED7E61">
        <w:rPr>
          <w:rStyle w:val="normaltextrun"/>
          <w:rFonts w:asciiTheme="majorBidi" w:eastAsiaTheme="majorEastAsia" w:hAnsiTheme="majorBidi" w:cstheme="majorBidi"/>
          <w:color w:val="000000"/>
          <w:lang w:val="en-AU"/>
        </w:rPr>
        <w:t xml:space="preserve">ocal </w:t>
      </w:r>
      <w:r w:rsidR="00616510">
        <w:rPr>
          <w:rStyle w:val="normaltextrun"/>
          <w:rFonts w:asciiTheme="majorBidi" w:eastAsiaTheme="majorEastAsia" w:hAnsiTheme="majorBidi" w:cstheme="majorBidi"/>
          <w:color w:val="000000"/>
          <w:lang w:val="en-AU"/>
        </w:rPr>
        <w:t>c</w:t>
      </w:r>
      <w:r w:rsidR="00616510" w:rsidRPr="00ED7E61">
        <w:rPr>
          <w:rStyle w:val="normaltextrun"/>
          <w:rFonts w:asciiTheme="majorBidi" w:eastAsiaTheme="majorEastAsia" w:hAnsiTheme="majorBidi" w:cstheme="majorBidi"/>
          <w:color w:val="000000"/>
          <w:lang w:val="en-AU"/>
        </w:rPr>
        <w:t xml:space="preserve">ommunities </w:t>
      </w:r>
      <w:r w:rsidR="00F73ED8" w:rsidRPr="00ED7E61">
        <w:t xml:space="preserve">for any indicator pertaining to humans. </w:t>
      </w:r>
    </w:p>
    <w:p w14:paraId="704CE635" w14:textId="1EB4275B" w:rsidR="00FA3866" w:rsidRPr="00ED7E61" w:rsidRDefault="00FA3866" w:rsidP="00255AA5">
      <w:pPr>
        <w:rPr>
          <w:b/>
          <w:bCs/>
        </w:rPr>
      </w:pPr>
      <w:r w:rsidRPr="00ED7E61">
        <w:rPr>
          <w:b/>
          <w:bCs/>
        </w:rPr>
        <w:t>Using inclusive and participatory processes</w:t>
      </w:r>
    </w:p>
    <w:p w14:paraId="19E941F1" w14:textId="0F165144" w:rsidR="004738DA" w:rsidRPr="00ED7E61" w:rsidRDefault="00FA3866" w:rsidP="00B10F0C">
      <w:pPr>
        <w:pStyle w:val="CBDNormalNumber"/>
        <w:numPr>
          <w:ilvl w:val="0"/>
          <w:numId w:val="66"/>
        </w:numPr>
        <w:ind w:left="567" w:firstLine="0"/>
      </w:pPr>
      <w:r w:rsidRPr="00ED7E61">
        <w:t>The processes of prioritization (for example, of species or sites for monitoring)</w:t>
      </w:r>
      <w:r w:rsidR="00147C50" w:rsidRPr="00ED7E61">
        <w:t>,</w:t>
      </w:r>
      <w:r w:rsidRPr="00ED7E61">
        <w:t xml:space="preserve"> of designing and </w:t>
      </w:r>
      <w:r w:rsidR="003A5E07" w:rsidRPr="00ED7E61">
        <w:t xml:space="preserve">of </w:t>
      </w:r>
      <w:r w:rsidR="00147C50" w:rsidRPr="00ED7E61">
        <w:t xml:space="preserve">implementing </w:t>
      </w:r>
      <w:r w:rsidRPr="00ED7E61">
        <w:t xml:space="preserve">monitoring systems can be made more inclusive through broad consultation, inclusion of diverse </w:t>
      </w:r>
      <w:r w:rsidR="003A5E07" w:rsidRPr="00ED7E61">
        <w:t xml:space="preserve">representation within </w:t>
      </w:r>
      <w:r w:rsidRPr="00ED7E61">
        <w:t xml:space="preserve">monitoring teams, and specific attention to the considerations identified in Section C of the </w:t>
      </w:r>
      <w:r w:rsidR="004738DA" w:rsidRPr="00ED7E61">
        <w:t xml:space="preserve">Kunming-Montreal Global Biodiversity </w:t>
      </w:r>
      <w:r w:rsidRPr="00ED7E61">
        <w:t>Framework.</w:t>
      </w:r>
      <w:r w:rsidR="004738DA" w:rsidRPr="00ED7E61">
        <w:t xml:space="preserve"> </w:t>
      </w:r>
      <w:r w:rsidR="003E468B" w:rsidRPr="00ED7E61">
        <w:t>Similarly, t</w:t>
      </w:r>
      <w:r w:rsidRPr="00ED7E61">
        <w:t xml:space="preserve">he processes of information collection, analysis and communication should be inclusive, in line with the </w:t>
      </w:r>
      <w:r w:rsidR="004738DA" w:rsidRPr="00ED7E61">
        <w:t xml:space="preserve">Kunming-Montreal Global Biodiversity Framework </w:t>
      </w:r>
      <w:r w:rsidRPr="00ED7E61">
        <w:t>and other CBD Decisions and processes. For example, the contributions and rights of </w:t>
      </w:r>
      <w:r w:rsidR="003E468B" w:rsidRPr="00ED7E61">
        <w:t>indigenous</w:t>
      </w:r>
      <w:r w:rsidRPr="00ED7E61">
        <w:t xml:space="preserve"> </w:t>
      </w:r>
      <w:r w:rsidR="004738DA" w:rsidRPr="00ED7E61">
        <w:t>p</w:t>
      </w:r>
      <w:r w:rsidRPr="00ED7E61">
        <w:t xml:space="preserve">eoples and </w:t>
      </w:r>
      <w:r w:rsidR="004738DA" w:rsidRPr="00ED7E61">
        <w:t>l</w:t>
      </w:r>
      <w:r w:rsidRPr="00ED7E61">
        <w:t xml:space="preserve">ocal </w:t>
      </w:r>
      <w:r w:rsidR="004738DA" w:rsidRPr="00ED7E61">
        <w:t>c</w:t>
      </w:r>
      <w:r w:rsidRPr="00ED7E61">
        <w:t>ommunities</w:t>
      </w:r>
      <w:r w:rsidR="00305616">
        <w:t>, women, youth and persons with disabilities</w:t>
      </w:r>
      <w:r w:rsidRPr="00ED7E61">
        <w:t xml:space="preserve"> can be addressed </w:t>
      </w:r>
      <w:r w:rsidR="00305616">
        <w:t>by their full and effective participation</w:t>
      </w:r>
      <w:r w:rsidR="00305616" w:rsidRPr="00ED7E61">
        <w:t xml:space="preserve"> </w:t>
      </w:r>
      <w:r w:rsidRPr="00ED7E61">
        <w:t xml:space="preserve">implementation of goals and targets as well as in </w:t>
      </w:r>
      <w:r w:rsidR="004738DA" w:rsidRPr="00ED7E61">
        <w:t xml:space="preserve">any associated </w:t>
      </w:r>
      <w:r w:rsidRPr="00ED7E61">
        <w:t xml:space="preserve">data collection, reporting, and communication around them. </w:t>
      </w:r>
    </w:p>
    <w:p w14:paraId="1C608665" w14:textId="663864E2" w:rsidR="008344AF" w:rsidRPr="00ED7E61" w:rsidRDefault="004738DA" w:rsidP="00B10F0C">
      <w:pPr>
        <w:pStyle w:val="CBDNormalNumber"/>
        <w:numPr>
          <w:ilvl w:val="0"/>
          <w:numId w:val="66"/>
        </w:numPr>
        <w:ind w:left="567" w:firstLine="0"/>
        <w:rPr>
          <w:rFonts w:asciiTheme="majorBidi" w:hAnsiTheme="majorBidi" w:cstheme="majorBidi"/>
        </w:rPr>
      </w:pPr>
      <w:r w:rsidRPr="00ED7E61">
        <w:t>Ensuring that</w:t>
      </w:r>
      <w:r w:rsidR="00FA3866" w:rsidRPr="00ED7E61">
        <w:t xml:space="preserve"> data collection for indicators include implementation of the human rights-based approach, gender</w:t>
      </w:r>
      <w:r w:rsidR="00375969" w:rsidRPr="00ED7E61">
        <w:t xml:space="preserve"> responsiveness</w:t>
      </w:r>
      <w:r w:rsidR="00FA3866" w:rsidRPr="00ED7E61">
        <w:t xml:space="preserve">, and intergenerational equity will enhance implementation of </w:t>
      </w:r>
      <w:r w:rsidRPr="00ED7E61">
        <w:t xml:space="preserve">the Kunming-Montreal Global Biodiversity </w:t>
      </w:r>
      <w:r w:rsidR="00147C50" w:rsidRPr="00ED7E61">
        <w:t>Framework</w:t>
      </w:r>
      <w:r w:rsidRPr="00ED7E61">
        <w:t xml:space="preserve"> and </w:t>
      </w:r>
      <w:r w:rsidR="003E468B" w:rsidRPr="00ED7E61">
        <w:t xml:space="preserve">facilitate the attainment of </w:t>
      </w:r>
      <w:r w:rsidRPr="00ED7E61">
        <w:t xml:space="preserve">its </w:t>
      </w:r>
      <w:r w:rsidR="00FA3866" w:rsidRPr="00ED7E61">
        <w:t>Goals and Targets.</w:t>
      </w:r>
      <w:r w:rsidRPr="00ED7E61">
        <w:t xml:space="preserve"> </w:t>
      </w:r>
      <w:r w:rsidR="00FA3866" w:rsidRPr="00ED7E61">
        <w:t>The human rights-</w:t>
      </w:r>
      <w:r w:rsidR="00FA3866" w:rsidRPr="00ED7E61">
        <w:rPr>
          <w:rFonts w:asciiTheme="majorBidi" w:hAnsiTheme="majorBidi" w:cstheme="majorBidi"/>
        </w:rPr>
        <w:t xml:space="preserve">based approach to implementing and monitoring the </w:t>
      </w:r>
      <w:r w:rsidR="003E468B" w:rsidRPr="00ED7E61">
        <w:rPr>
          <w:rFonts w:asciiTheme="majorBidi" w:hAnsiTheme="majorBidi" w:cstheme="majorBidi"/>
        </w:rPr>
        <w:t>f</w:t>
      </w:r>
      <w:r w:rsidR="00FA3866" w:rsidRPr="00ED7E61">
        <w:rPr>
          <w:rFonts w:asciiTheme="majorBidi" w:hAnsiTheme="majorBidi" w:cstheme="majorBidi"/>
        </w:rPr>
        <w:t xml:space="preserve">ramework means identifying both rights holders (those entitled to rights) and duty bearers (entities with obligations to protect these rights). The </w:t>
      </w:r>
      <w:r w:rsidR="003E468B" w:rsidRPr="00ED7E61">
        <w:rPr>
          <w:rFonts w:asciiTheme="majorBidi" w:hAnsiTheme="majorBidi" w:cstheme="majorBidi"/>
        </w:rPr>
        <w:t xml:space="preserve">objective </w:t>
      </w:r>
      <w:r w:rsidR="00FA3866" w:rsidRPr="00ED7E61">
        <w:rPr>
          <w:rFonts w:asciiTheme="majorBidi" w:hAnsiTheme="majorBidi" w:cstheme="majorBidi"/>
        </w:rPr>
        <w:t xml:space="preserve">is to ensure safe exercise and enjoyment of human rights in all aspects of the </w:t>
      </w:r>
      <w:r w:rsidR="003E468B" w:rsidRPr="00ED7E61">
        <w:rPr>
          <w:rFonts w:asciiTheme="majorBidi" w:hAnsiTheme="majorBidi" w:cstheme="majorBidi"/>
        </w:rPr>
        <w:t xml:space="preserve">Kunming-Montreal Global Biodiversity </w:t>
      </w:r>
      <w:r w:rsidR="00FA3866" w:rsidRPr="00ED7E61">
        <w:rPr>
          <w:rFonts w:asciiTheme="majorBidi" w:hAnsiTheme="majorBidi" w:cstheme="majorBidi"/>
        </w:rPr>
        <w:t xml:space="preserve">Framework by empowering both rights holders and duty bearers, helping them understand their roles, claim rights, and </w:t>
      </w:r>
      <w:r w:rsidR="00494612" w:rsidRPr="00ED7E61">
        <w:rPr>
          <w:rFonts w:asciiTheme="majorBidi" w:hAnsiTheme="majorBidi" w:cstheme="majorBidi"/>
        </w:rPr>
        <w:t>fulfil</w:t>
      </w:r>
      <w:r w:rsidR="00FA3866" w:rsidRPr="00ED7E61">
        <w:rPr>
          <w:rFonts w:asciiTheme="majorBidi" w:hAnsiTheme="majorBidi" w:cstheme="majorBidi"/>
        </w:rPr>
        <w:t xml:space="preserve"> obligations. Statistical guidance on operationalizing a </w:t>
      </w:r>
      <w:hyperlink r:id="rId37">
        <w:r w:rsidR="00FA3866" w:rsidRPr="00ED7E61">
          <w:rPr>
            <w:rStyle w:val="Hyperlink"/>
            <w:rFonts w:asciiTheme="majorBidi" w:eastAsiaTheme="majorEastAsia" w:hAnsiTheme="majorBidi" w:cstheme="majorBidi"/>
          </w:rPr>
          <w:t>human rights-based approach to data principles</w:t>
        </w:r>
      </w:hyperlink>
      <w:r w:rsidR="00FA3866" w:rsidRPr="00ED7E61">
        <w:rPr>
          <w:rFonts w:asciiTheme="majorBidi" w:hAnsiTheme="majorBidi" w:cstheme="majorBidi"/>
        </w:rPr>
        <w:t xml:space="preserve"> is also relevant to address risks associated with the production of disaggregated indicators on, or with the participation of, groups in vulnerable situations. As in the SDGs context, national human rights institutions, where present, </w:t>
      </w:r>
      <w:hyperlink r:id="rId38">
        <w:r w:rsidR="00FA3866" w:rsidRPr="00ED7E61">
          <w:rPr>
            <w:rStyle w:val="Hyperlink"/>
            <w:rFonts w:asciiTheme="majorBidi" w:eastAsiaTheme="majorEastAsia" w:hAnsiTheme="majorBidi" w:cstheme="majorBidi"/>
          </w:rPr>
          <w:t>are best placed</w:t>
        </w:r>
      </w:hyperlink>
      <w:r w:rsidR="00FA3866" w:rsidRPr="00ED7E61">
        <w:rPr>
          <w:rFonts w:asciiTheme="majorBidi" w:hAnsiTheme="majorBidi" w:cstheme="majorBidi"/>
        </w:rPr>
        <w:t xml:space="preserve"> to support Parties and stakeholders in addressing these issues. </w:t>
      </w:r>
      <w:hyperlink r:id="rId39">
        <w:r w:rsidR="00FA3866" w:rsidRPr="00ED7E61">
          <w:rPr>
            <w:rStyle w:val="Hyperlink"/>
            <w:rFonts w:asciiTheme="majorBidi" w:eastAsiaTheme="majorEastAsia" w:hAnsiTheme="majorBidi" w:cstheme="majorBidi"/>
          </w:rPr>
          <w:t>UN guidance</w:t>
        </w:r>
      </w:hyperlink>
      <w:r w:rsidR="00FA3866" w:rsidRPr="00ED7E61">
        <w:rPr>
          <w:rFonts w:asciiTheme="majorBidi" w:hAnsiTheme="majorBidi" w:cstheme="majorBidi"/>
        </w:rPr>
        <w:t xml:space="preserve"> and regional instruments such as the </w:t>
      </w:r>
      <w:hyperlink r:id="rId40">
        <w:r w:rsidR="00FA3866" w:rsidRPr="00ED7E61">
          <w:rPr>
            <w:rStyle w:val="Hyperlink"/>
            <w:rFonts w:asciiTheme="majorBidi" w:eastAsiaTheme="majorEastAsia" w:hAnsiTheme="majorBidi" w:cstheme="majorBidi"/>
          </w:rPr>
          <w:t>Escazu Agreement</w:t>
        </w:r>
      </w:hyperlink>
      <w:r w:rsidR="00FA3866" w:rsidRPr="00ED7E61">
        <w:rPr>
          <w:rFonts w:asciiTheme="majorBidi" w:hAnsiTheme="majorBidi" w:cstheme="majorBidi"/>
        </w:rPr>
        <w:t xml:space="preserve"> or the </w:t>
      </w:r>
      <w:hyperlink r:id="rId41" w:history="1">
        <w:r w:rsidR="00FA3866" w:rsidRPr="00ED7E61">
          <w:rPr>
            <w:rStyle w:val="Hyperlink"/>
            <w:rFonts w:asciiTheme="majorBidi" w:eastAsiaTheme="majorEastAsia" w:hAnsiTheme="majorBidi" w:cstheme="majorBidi"/>
          </w:rPr>
          <w:t>Aarhus Convention</w:t>
        </w:r>
      </w:hyperlink>
      <w:r w:rsidR="00FA3866" w:rsidRPr="00ED7E61">
        <w:rPr>
          <w:rFonts w:asciiTheme="majorBidi" w:hAnsiTheme="majorBidi" w:cstheme="majorBidi"/>
        </w:rPr>
        <w:t xml:space="preserve"> anchor the rights of access to information, public participation and access to justice in environmental matters, and the protection of environmental human rights defenders from killings and other attacks. </w:t>
      </w:r>
    </w:p>
    <w:p w14:paraId="58A1AB0D" w14:textId="67A7DD7C" w:rsidR="008344AF" w:rsidRPr="00ED7E61" w:rsidRDefault="00FA3866" w:rsidP="00B10F0C">
      <w:pPr>
        <w:pStyle w:val="CBDNormalNumber"/>
        <w:numPr>
          <w:ilvl w:val="0"/>
          <w:numId w:val="66"/>
        </w:numPr>
        <w:ind w:left="567" w:firstLine="0"/>
      </w:pPr>
      <w:r w:rsidRPr="00ED7E61">
        <w:t xml:space="preserve">To ensure consistency with international agreements or instruments, the </w:t>
      </w:r>
      <w:r w:rsidR="003E468B" w:rsidRPr="00ED7E61">
        <w:t xml:space="preserve">Kunming-Montreal Global Biodiversity </w:t>
      </w:r>
      <w:r w:rsidRPr="00ED7E61">
        <w:t xml:space="preserve">Framework needs to be implemented in accordance with relevant international obligations, taking into account opportunities for cooperation and synergies, and in working with others, including the </w:t>
      </w:r>
      <w:hyperlink r:id="rId42" w:anchor=":~:text=Ultimately%20the%20Bern%20Process%20strives,parties%20as%20well%20as%20other" w:history="1">
        <w:r w:rsidRPr="00ED7E61">
          <w:rPr>
            <w:rStyle w:val="Hyperlink"/>
            <w:rFonts w:asciiTheme="majorBidi" w:eastAsiaTheme="majorEastAsia" w:hAnsiTheme="majorBidi" w:cstheme="majorBidi"/>
          </w:rPr>
          <w:t>Bern process</w:t>
        </w:r>
      </w:hyperlink>
      <w:r w:rsidRPr="00ED7E61">
        <w:t xml:space="preserve">, to improve alignment. The Principles of the Rio Declaration were taken into account in how the </w:t>
      </w:r>
      <w:r w:rsidR="003E468B" w:rsidRPr="00ED7E61">
        <w:t xml:space="preserve">Kunming-Montreal Global Biodiversity Framework </w:t>
      </w:r>
      <w:r w:rsidRPr="00ED7E61">
        <w:t>was developed and are to be taken into account in its implementation and monitoring, as well as different value systems, national circumstances, priorities and capabilities and the right to development.</w:t>
      </w:r>
    </w:p>
    <w:p w14:paraId="28484367" w14:textId="0C6324B9" w:rsidR="008344AF" w:rsidRPr="00ED7E61" w:rsidRDefault="00FA3866" w:rsidP="00B10F0C">
      <w:pPr>
        <w:pStyle w:val="CBDNormalNumber"/>
        <w:numPr>
          <w:ilvl w:val="0"/>
          <w:numId w:val="66"/>
        </w:numPr>
        <w:ind w:left="567" w:firstLine="0"/>
      </w:pPr>
      <w:r w:rsidRPr="00ED7E61">
        <w:t>For many indicators, underlying data layers do not currently permit the recommended disaggregation by gender, Indigenous Peoples and Local Communities, children and youth, or disability. However, the AHTEG recognized that processes for implementation of monitoring and assessment activities, and the management activities under assessment, are intended to be inclusive as defined in Section C and in Targets 22 and 23 of the Framework. </w:t>
      </w:r>
      <w:r w:rsidR="00305616" w:rsidRPr="00395866">
        <w:t>. </w:t>
      </w:r>
      <w:r w:rsidR="00305616">
        <w:t>Furthermore, the AHTEG recognizes that relevant national indicators can also fill this gap and can be integrated into national monitoring systems.</w:t>
      </w:r>
    </w:p>
    <w:p w14:paraId="79E807C7" w14:textId="77777777" w:rsidR="00FA3866" w:rsidRPr="00ED7E61" w:rsidRDefault="00FA3866" w:rsidP="00B10F0C">
      <w:pPr>
        <w:pStyle w:val="CBDNormalNumber"/>
        <w:numPr>
          <w:ilvl w:val="0"/>
          <w:numId w:val="66"/>
        </w:numPr>
        <w:ind w:left="567" w:firstLine="0"/>
      </w:pPr>
      <w:r w:rsidRPr="00ED7E61">
        <w:t>Intergenerational equity, and the full and effective participation of children and youth, are identified as cross-cutting considerations in the Framework.  To apply this to the monitoring framework, all actors must ensure that monitoring methodologies are inclusive and youth-responsive. This also means taking steps to gather age-disaggregated data and other ways to account for age-differentiated benefits to, impacts on, or contributions by, individuals including children and youth. To account for intergenerational implications of biodiversity actions, it is important to identify and monitor the sustainability and long-term trends of resource use, nature’s contributions to people including ecosystem services, ecosystems and other relevant aspects of the Framework.   </w:t>
      </w:r>
    </w:p>
    <w:p w14:paraId="0F052769" w14:textId="0056A188" w:rsidR="00FA3866" w:rsidRPr="00ED7E61" w:rsidRDefault="00FA3866" w:rsidP="00255AA5">
      <w:pPr>
        <w:rPr>
          <w:b/>
          <w:bCs/>
        </w:rPr>
      </w:pPr>
      <w:r w:rsidRPr="00ED7E61">
        <w:rPr>
          <w:b/>
          <w:bCs/>
        </w:rPr>
        <w:t>Using a broad range of information sources</w:t>
      </w:r>
    </w:p>
    <w:p w14:paraId="1DBCACD1" w14:textId="2DC90179" w:rsidR="00EF3B8A" w:rsidRPr="00ED7E61" w:rsidRDefault="00FA3866" w:rsidP="00B10F0C">
      <w:pPr>
        <w:pStyle w:val="CBDNormalNumber"/>
        <w:numPr>
          <w:ilvl w:val="0"/>
          <w:numId w:val="66"/>
        </w:numPr>
        <w:ind w:left="567" w:firstLine="0"/>
      </w:pPr>
      <w:r w:rsidRPr="00ED7E61">
        <w:t xml:space="preserve">The scope of the </w:t>
      </w:r>
      <w:r w:rsidR="00EF3B8A" w:rsidRPr="00ED7E61">
        <w:t xml:space="preserve">Kunming-Montreal Global Biodiversity </w:t>
      </w:r>
      <w:r w:rsidRPr="00ED7E61">
        <w:t>Framework necessitates a broad range of information sources to accurately establish baselines, assess progress and identify knowledge gaps, including in reference to the identified social groups.</w:t>
      </w:r>
      <w:r w:rsidR="00EF3B8A" w:rsidRPr="00ED7E61">
        <w:t xml:space="preserve"> The use of community-based monitoring and information systems (CBMIS) approaches has been increasingly encouraged, for example through decision 15/5</w:t>
      </w:r>
      <w:r w:rsidR="00EF3B8A" w:rsidRPr="00FB1598">
        <w:rPr>
          <w:vertAlign w:val="superscript"/>
        </w:rPr>
        <w:footnoteReference w:id="18"/>
      </w:r>
      <w:r w:rsidR="00EF3B8A" w:rsidRPr="00ED7E61">
        <w:t xml:space="preserve"> and recommendation WG8J-12/4</w:t>
      </w:r>
      <w:r w:rsidR="00EF3B8A" w:rsidRPr="00FB1598">
        <w:rPr>
          <w:vertAlign w:val="superscript"/>
        </w:rPr>
        <w:footnoteReference w:id="19"/>
      </w:r>
      <w:r w:rsidR="00EF3B8A" w:rsidRPr="00ED7E61">
        <w:t xml:space="preserve">, and is becoming well documented in relation to monitoring progress and achieving biodiversity targets. Some community-based monitoring tools implementing a human rights-based approach, such as the Indigenous Navigator, are already operational. </w:t>
      </w:r>
    </w:p>
    <w:p w14:paraId="4C5A2EEB" w14:textId="4DC9E86E" w:rsidR="00FA3866" w:rsidRPr="00ED7E61" w:rsidRDefault="00FA3866" w:rsidP="00B10F0C">
      <w:pPr>
        <w:pStyle w:val="CBDNormalNumber"/>
        <w:numPr>
          <w:ilvl w:val="0"/>
          <w:numId w:val="66"/>
        </w:numPr>
        <w:ind w:left="567" w:firstLine="0"/>
      </w:pPr>
      <w:r w:rsidRPr="00ED7E61">
        <w:t xml:space="preserve">As an example of an expanded information base, </w:t>
      </w:r>
      <w:hyperlink r:id="rId43">
        <w:r w:rsidRPr="00ED7E61">
          <w:t>Local Biodiversity Outlook 2</w:t>
        </w:r>
      </w:hyperlink>
      <w:r w:rsidRPr="00ED7E61">
        <w:t xml:space="preserve"> (LBO-2) brings together information from published academic and non-academic sources. In its second edition, LBO-2 highlights more than 50 stories by authors representing Indigenous Peoples and Local Communities about their perspectives and experiences around the current social-ecological crisis, contributions to the UN Decade on Biodiversity, and, more broadly, local solutions across biodiversity, climate change, and sustainable development challenges. The cases from LBO-1 and LBO-2, as well as multimedia available on the </w:t>
      </w:r>
      <w:hyperlink r:id="rId44">
        <w:r w:rsidRPr="00ED7E61">
          <w:t>LBO Online</w:t>
        </w:r>
      </w:hyperlink>
      <w:r w:rsidRPr="00ED7E61">
        <w:t xml:space="preserve"> illustrate the contributions of Indigenous Peoples and Local Communities to the Kunming-Montreal Global Biodiversity Framework.  </w:t>
      </w:r>
    </w:p>
    <w:p w14:paraId="78A3FF77" w14:textId="77777777" w:rsidR="00FA3866" w:rsidRPr="00ED7E61" w:rsidRDefault="00FA3866" w:rsidP="00395866">
      <w:pPr>
        <w:keepNext/>
        <w:jc w:val="both"/>
        <w:rPr>
          <w:rFonts w:asciiTheme="majorBidi" w:eastAsia="Aptos" w:hAnsiTheme="majorBidi" w:cstheme="majorBidi"/>
          <w:color w:val="000000" w:themeColor="text1"/>
          <w:sz w:val="22"/>
          <w:szCs w:val="22"/>
        </w:rPr>
      </w:pPr>
      <w:r w:rsidRPr="00ED7E61">
        <w:rPr>
          <w:rFonts w:asciiTheme="majorBidi" w:eastAsiaTheme="minorEastAsia" w:hAnsiTheme="majorBidi" w:cstheme="majorBidi"/>
          <w:b/>
          <w:bCs/>
          <w:sz w:val="22"/>
          <w:szCs w:val="22"/>
        </w:rPr>
        <w:t>Strengthening monitoring systems</w:t>
      </w:r>
    </w:p>
    <w:p w14:paraId="1431C074" w14:textId="77CFA6D1" w:rsidR="00FA3866" w:rsidRDefault="00FA3866" w:rsidP="00B10F0C">
      <w:pPr>
        <w:pStyle w:val="CBDNormalNumber"/>
        <w:numPr>
          <w:ilvl w:val="0"/>
          <w:numId w:val="66"/>
        </w:numPr>
        <w:ind w:left="567" w:firstLine="0"/>
      </w:pPr>
      <w:r w:rsidRPr="00ED7E61">
        <w:t>Effective systems of monitoring require adequate and sustainable capacity, including human resources and infrastructures (with attention to interoperability), as well as sufficient guidance and widespread adoption of shared standards. The foundations of a successful monitoring system include (but is not limited to) capacity building, interoperable and sustainable infrastructures, resource mobilization for monitoring, technical and scientific cooperation, and technology transfer.</w:t>
      </w:r>
    </w:p>
    <w:p w14:paraId="3701C2A1" w14:textId="77777777" w:rsidR="00305616" w:rsidRPr="00FB1598" w:rsidRDefault="00305616" w:rsidP="00FB1598">
      <w:pPr>
        <w:keepNext/>
        <w:jc w:val="both"/>
        <w:rPr>
          <w:rFonts w:asciiTheme="majorBidi" w:eastAsiaTheme="minorEastAsia" w:hAnsiTheme="majorBidi" w:cstheme="majorBidi"/>
          <w:b/>
          <w:bCs/>
        </w:rPr>
      </w:pPr>
      <w:r w:rsidRPr="00FB1598">
        <w:rPr>
          <w:rFonts w:asciiTheme="majorBidi" w:eastAsiaTheme="minorEastAsia" w:hAnsiTheme="majorBidi" w:cstheme="majorBidi"/>
          <w:b/>
          <w:bCs/>
          <w:sz w:val="22"/>
          <w:szCs w:val="22"/>
        </w:rPr>
        <w:t>Integrating diverse values and valuation of nature into monitoring</w:t>
      </w:r>
    </w:p>
    <w:p w14:paraId="413B7CFE" w14:textId="214F9B7B" w:rsidR="00305616" w:rsidRPr="00ED7E61" w:rsidRDefault="00305616" w:rsidP="00B10F0C">
      <w:pPr>
        <w:pStyle w:val="CBDNormalNumber"/>
        <w:numPr>
          <w:ilvl w:val="0"/>
          <w:numId w:val="66"/>
        </w:numPr>
        <w:ind w:left="567" w:firstLine="0"/>
      </w:pPr>
      <w:r>
        <w:t xml:space="preserve">The </w:t>
      </w:r>
      <w:r w:rsidRPr="00C2636A">
        <w:t xml:space="preserve">summary for policymakers and the chapters of the </w:t>
      </w:r>
      <w:r w:rsidRPr="0090481A">
        <w:rPr>
          <w:i/>
          <w:iCs/>
        </w:rPr>
        <w:t>Methodological assessment regarding the diverse conceptualization of multiple values of nature and its benefits, including biodiversity and ecosystem functions and services</w:t>
      </w:r>
      <w:r w:rsidR="0090481A">
        <w:rPr>
          <w:rStyle w:val="FootnoteReference"/>
          <w:i/>
          <w:iCs/>
        </w:rPr>
        <w:footnoteReference w:id="20"/>
      </w:r>
      <w:r>
        <w:t xml:space="preserve">, </w:t>
      </w:r>
      <w:r w:rsidRPr="00C2636A">
        <w:t>approved and accepted respectively by the IPBES Plenary during its ninth session</w:t>
      </w:r>
      <w:r>
        <w:t xml:space="preserve"> and welcomed by the COP in Decision CBD/COP/DEC/15/19, provides relevant guidance on i</w:t>
      </w:r>
      <w:r w:rsidRPr="00AE00F3">
        <w:t>ntegrating diverse values and valuation of nature into monitoring</w:t>
      </w:r>
      <w:r>
        <w:t>, relevant to paragraph (b) of Section C “Different value systems”.</w:t>
      </w:r>
    </w:p>
    <w:p w14:paraId="433EF1B7" w14:textId="77777777" w:rsidR="00FA3866" w:rsidRPr="00ED7E61" w:rsidRDefault="00FA3866" w:rsidP="00395866">
      <w:pPr>
        <w:jc w:val="both"/>
        <w:rPr>
          <w:rFonts w:asciiTheme="majorBidi" w:hAnsiTheme="majorBidi" w:cstheme="majorBidi"/>
          <w:b/>
          <w:bCs/>
          <w:sz w:val="22"/>
          <w:szCs w:val="22"/>
        </w:rPr>
      </w:pPr>
      <w:r w:rsidRPr="00ED7E61">
        <w:rPr>
          <w:rFonts w:asciiTheme="majorBidi" w:hAnsiTheme="majorBidi" w:cstheme="majorBidi"/>
          <w:b/>
          <w:bCs/>
          <w:sz w:val="22"/>
          <w:szCs w:val="22"/>
        </w:rPr>
        <w:t>Research and knowledge gaps: to 2030 and beyond</w:t>
      </w:r>
    </w:p>
    <w:p w14:paraId="06D59E32" w14:textId="1C3282C6" w:rsidR="00FA3866" w:rsidRPr="00ED7E61" w:rsidRDefault="00FA3866" w:rsidP="00B10F0C">
      <w:pPr>
        <w:pStyle w:val="CBDNormalNumber"/>
        <w:numPr>
          <w:ilvl w:val="0"/>
          <w:numId w:val="66"/>
        </w:numPr>
        <w:ind w:left="567" w:firstLine="0"/>
      </w:pPr>
      <w:r w:rsidRPr="00ED7E61">
        <w:t xml:space="preserve">A full mapping of the relevant rights of all people, including those specifically identified in the </w:t>
      </w:r>
      <w:r w:rsidR="000312FE" w:rsidRPr="00ED7E61">
        <w:t>Kunming-Montreal Global Biodiversity Framework, including the rights of i</w:t>
      </w:r>
      <w:r w:rsidRPr="00ED7E61">
        <w:t xml:space="preserve">ndigenous </w:t>
      </w:r>
      <w:r w:rsidR="000312FE" w:rsidRPr="00ED7E61">
        <w:t>p</w:t>
      </w:r>
      <w:r w:rsidRPr="00ED7E61">
        <w:t xml:space="preserve">eoples and </w:t>
      </w:r>
      <w:r w:rsidR="000312FE" w:rsidRPr="00ED7E61">
        <w:t>l</w:t>
      </w:r>
      <w:r w:rsidRPr="00ED7E61">
        <w:t xml:space="preserve">ocal </w:t>
      </w:r>
      <w:r w:rsidR="000312FE" w:rsidRPr="00ED7E61">
        <w:t>c</w:t>
      </w:r>
      <w:r w:rsidRPr="00ED7E61">
        <w:t>ommunities, women and girls, youth and children, environmental human rights defenders, and persons with disabilities, is needed to support the implementation. A human rights-based approach to monitor these rights has well-established guidance, methodology and indicators, which are available to complement the operationali</w:t>
      </w:r>
      <w:r w:rsidR="00B10F0C">
        <w:t>z</w:t>
      </w:r>
      <w:r w:rsidRPr="00ED7E61">
        <w:t>ation of the monitoring framework (e.g. EMG 2022, OHCHR 2012). This approach is applied to the monitoring of traditional knowledge indicators developed under the Article 8(j) process.</w:t>
      </w:r>
    </w:p>
    <w:p w14:paraId="61A62353" w14:textId="733BB492" w:rsidR="008344AF" w:rsidRPr="00ED7E61" w:rsidRDefault="00FA3866" w:rsidP="00B10F0C">
      <w:pPr>
        <w:pStyle w:val="CBDNormalNumber"/>
        <w:numPr>
          <w:ilvl w:val="0"/>
          <w:numId w:val="66"/>
        </w:numPr>
        <w:ind w:left="567" w:firstLine="0"/>
      </w:pPr>
      <w:r w:rsidRPr="00ED7E61">
        <w:t xml:space="preserve">Although data availability may limit the use of disaggregated data in </w:t>
      </w:r>
      <w:r w:rsidR="000312FE" w:rsidRPr="00ED7E61">
        <w:t>the completion of the n</w:t>
      </w:r>
      <w:r w:rsidRPr="00ED7E61">
        <w:t xml:space="preserve">ational </w:t>
      </w:r>
      <w:r w:rsidR="000312FE" w:rsidRPr="00ED7E61">
        <w:t>r</w:t>
      </w:r>
      <w:r w:rsidRPr="00ED7E61">
        <w:t xml:space="preserve">eports </w:t>
      </w:r>
      <w:r w:rsidR="000312FE" w:rsidRPr="00ED7E61">
        <w:t xml:space="preserve">Parties are to submit to the Convention </w:t>
      </w:r>
      <w:r w:rsidRPr="00ED7E61">
        <w:t>in 2026 and 2029, the gaps, priorities and opportunities for data disaggregation and participatory approaches should be identified and advanced to improve future monitoring and resulting management action under the Convention.</w:t>
      </w:r>
      <w:r w:rsidR="000312FE" w:rsidRPr="00ED7E61">
        <w:t xml:space="preserve"> Specifically, t</w:t>
      </w:r>
      <w:r w:rsidRPr="00ED7E61">
        <w:t>o meet existing commitments under the Convention, particular attention is needed to address future monitoring of and disaggregation by:</w:t>
      </w:r>
    </w:p>
    <w:p w14:paraId="30E85CED" w14:textId="167F9F39" w:rsidR="008344AF" w:rsidRPr="00ED7E61" w:rsidRDefault="00FA3866" w:rsidP="00B10F0C">
      <w:pPr>
        <w:pStyle w:val="CBDNormalNumber"/>
        <w:numPr>
          <w:ilvl w:val="1"/>
          <w:numId w:val="37"/>
        </w:numPr>
      </w:pPr>
      <w:r w:rsidRPr="00ED7E61">
        <w:t>Gender, age, and disability</w:t>
      </w:r>
      <w:r w:rsidR="003F29B8">
        <w:t>;</w:t>
      </w:r>
    </w:p>
    <w:p w14:paraId="058E5A6C" w14:textId="5C869EFB" w:rsidR="008344AF" w:rsidRPr="00ED7E61" w:rsidRDefault="00FA3866" w:rsidP="00B10F0C">
      <w:pPr>
        <w:pStyle w:val="CBDNormalNumber"/>
        <w:numPr>
          <w:ilvl w:val="1"/>
          <w:numId w:val="37"/>
        </w:numPr>
        <w:rPr>
          <w:rFonts w:asciiTheme="majorBidi" w:hAnsiTheme="majorBidi" w:cstheme="majorBidi"/>
        </w:rPr>
      </w:pPr>
      <w:r w:rsidRPr="00B3383B">
        <w:t>Indigenous</w:t>
      </w:r>
      <w:r w:rsidRPr="00ED7E61">
        <w:rPr>
          <w:rFonts w:asciiTheme="majorBidi" w:hAnsiTheme="majorBidi" w:cstheme="majorBidi"/>
        </w:rPr>
        <w:t xml:space="preserve"> Peoples and Local Communities</w:t>
      </w:r>
      <w:r w:rsidR="003F29B8">
        <w:rPr>
          <w:rFonts w:asciiTheme="majorBidi" w:hAnsiTheme="majorBidi" w:cstheme="majorBidi"/>
        </w:rPr>
        <w:t>;</w:t>
      </w:r>
    </w:p>
    <w:p w14:paraId="4775633C" w14:textId="32ED5EE4" w:rsidR="008344AF" w:rsidRPr="00ED7E61" w:rsidRDefault="00FA3866" w:rsidP="00B10F0C">
      <w:pPr>
        <w:pStyle w:val="CBDNormalNumber"/>
        <w:numPr>
          <w:ilvl w:val="1"/>
          <w:numId w:val="37"/>
        </w:numPr>
        <w:rPr>
          <w:rFonts w:asciiTheme="majorBidi" w:hAnsiTheme="majorBidi" w:cstheme="majorBidi"/>
        </w:rPr>
      </w:pPr>
      <w:r w:rsidRPr="00ED7E61">
        <w:rPr>
          <w:rFonts w:asciiTheme="majorBidi" w:hAnsiTheme="majorBidi" w:cstheme="majorBidi"/>
        </w:rPr>
        <w:t xml:space="preserve">The </w:t>
      </w:r>
      <w:r w:rsidRPr="00B3383B">
        <w:t>use</w:t>
      </w:r>
      <w:r w:rsidRPr="00ED7E61">
        <w:rPr>
          <w:rFonts w:asciiTheme="majorBidi" w:hAnsiTheme="majorBidi" w:cstheme="majorBidi"/>
        </w:rPr>
        <w:t xml:space="preserve"> and management of traditional knowledge</w:t>
      </w:r>
      <w:r w:rsidR="003F29B8">
        <w:rPr>
          <w:rFonts w:asciiTheme="majorBidi" w:hAnsiTheme="majorBidi" w:cstheme="majorBidi"/>
        </w:rPr>
        <w:t>;</w:t>
      </w:r>
    </w:p>
    <w:p w14:paraId="74BAB1E3" w14:textId="390C05C1" w:rsidR="008344AF" w:rsidRPr="00ED7E61" w:rsidRDefault="00FA3866" w:rsidP="00B10F0C">
      <w:pPr>
        <w:pStyle w:val="CBDNormalNumber"/>
        <w:numPr>
          <w:ilvl w:val="1"/>
          <w:numId w:val="37"/>
        </w:numPr>
        <w:rPr>
          <w:rFonts w:asciiTheme="majorBidi" w:hAnsiTheme="majorBidi" w:cstheme="majorBidi"/>
        </w:rPr>
      </w:pPr>
      <w:r w:rsidRPr="00B3383B">
        <w:t>Community</w:t>
      </w:r>
      <w:r w:rsidRPr="00ED7E61">
        <w:rPr>
          <w:rFonts w:asciiTheme="majorBidi" w:hAnsiTheme="majorBidi" w:cstheme="majorBidi"/>
        </w:rPr>
        <w:t>-based monitoring and information systems and citizen science</w:t>
      </w:r>
      <w:r w:rsidR="003F29B8">
        <w:rPr>
          <w:rFonts w:asciiTheme="majorBidi" w:hAnsiTheme="majorBidi" w:cstheme="majorBidi"/>
        </w:rPr>
        <w:t>;</w:t>
      </w:r>
    </w:p>
    <w:p w14:paraId="34BAE714" w14:textId="48B29681" w:rsidR="00FA3866" w:rsidRPr="00ED7E61" w:rsidRDefault="00FA3866" w:rsidP="00B10F0C">
      <w:pPr>
        <w:pStyle w:val="CBDNormalNumber"/>
        <w:numPr>
          <w:ilvl w:val="1"/>
          <w:numId w:val="37"/>
        </w:numPr>
        <w:rPr>
          <w:rFonts w:asciiTheme="majorBidi" w:hAnsiTheme="majorBidi" w:cstheme="majorBidi"/>
        </w:rPr>
      </w:pPr>
      <w:r w:rsidRPr="00ED7E61">
        <w:rPr>
          <w:rFonts w:asciiTheme="majorBidi" w:hAnsiTheme="majorBidi" w:cstheme="majorBidi"/>
        </w:rPr>
        <w:t xml:space="preserve">The social, </w:t>
      </w:r>
      <w:r w:rsidRPr="00B3383B">
        <w:t>economic</w:t>
      </w:r>
      <w:r w:rsidRPr="00ED7E61">
        <w:rPr>
          <w:rFonts w:asciiTheme="majorBidi" w:hAnsiTheme="majorBidi" w:cstheme="majorBidi"/>
        </w:rPr>
        <w:t xml:space="preserve"> and cultural implications of environmental change</w:t>
      </w:r>
      <w:r w:rsidR="003F29B8">
        <w:rPr>
          <w:rFonts w:asciiTheme="majorBidi" w:hAnsiTheme="majorBidi" w:cstheme="majorBidi"/>
        </w:rPr>
        <w:t>.</w:t>
      </w:r>
    </w:p>
    <w:p w14:paraId="193A6437" w14:textId="03D8C7D2" w:rsidR="00FA3866" w:rsidRPr="00ED7E61" w:rsidRDefault="00FA3866" w:rsidP="00B10F0C">
      <w:pPr>
        <w:pStyle w:val="CBDNormalNumber"/>
        <w:numPr>
          <w:ilvl w:val="0"/>
          <w:numId w:val="66"/>
        </w:numPr>
        <w:ind w:left="567" w:firstLine="0"/>
      </w:pPr>
      <w:r w:rsidRPr="00ED7E61">
        <w:t xml:space="preserve">Accompanying attention will be needed to ensure such monitoring is adequately resourced. In completing their national reports, Parties are encouraged to take advantage of the reporting template to indicate their progress, challenges and opportunities in reporting on their progress in implementation of Section C. </w:t>
      </w:r>
    </w:p>
    <w:p w14:paraId="6AC46658" w14:textId="77777777" w:rsidR="00FA3866" w:rsidRPr="00ED7E61" w:rsidRDefault="00FA3866" w:rsidP="00395866">
      <w:pPr>
        <w:jc w:val="both"/>
        <w:rPr>
          <w:rFonts w:asciiTheme="majorBidi" w:eastAsiaTheme="minorEastAsia" w:hAnsiTheme="majorBidi" w:cstheme="majorBidi"/>
          <w:b/>
          <w:bCs/>
          <w:i/>
          <w:iCs/>
          <w:sz w:val="22"/>
          <w:szCs w:val="22"/>
        </w:rPr>
      </w:pPr>
      <w:r w:rsidRPr="00ED7E61">
        <w:rPr>
          <w:rFonts w:asciiTheme="majorBidi" w:eastAsiaTheme="minorEastAsia" w:hAnsiTheme="majorBidi" w:cstheme="majorBidi"/>
          <w:b/>
          <w:bCs/>
          <w:sz w:val="22"/>
          <w:szCs w:val="22"/>
        </w:rPr>
        <w:t>References and supporting documents</w:t>
      </w:r>
    </w:p>
    <w:p w14:paraId="0B973136" w14:textId="77777777" w:rsidR="00FA3866" w:rsidRPr="00ED7E61" w:rsidRDefault="00FA3866" w:rsidP="00395866">
      <w:pPr>
        <w:jc w:val="both"/>
        <w:rPr>
          <w:rFonts w:asciiTheme="majorBidi" w:hAnsiTheme="majorBidi" w:cstheme="majorBidi"/>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10"/>
        <w:gridCol w:w="7560"/>
      </w:tblGrid>
      <w:tr w:rsidR="00FA3866" w:rsidRPr="003F29B8" w14:paraId="0488F21F" w14:textId="77777777" w:rsidTr="003A1881">
        <w:trPr>
          <w:trHeight w:val="300"/>
        </w:trPr>
        <w:tc>
          <w:tcPr>
            <w:tcW w:w="2910" w:type="dxa"/>
            <w:shd w:val="clear" w:color="auto" w:fill="FFFFFF" w:themeFill="background1"/>
            <w:tcMar>
              <w:left w:w="105" w:type="dxa"/>
              <w:right w:w="105" w:type="dxa"/>
            </w:tcMar>
          </w:tcPr>
          <w:p w14:paraId="4247A608" w14:textId="7E0AC7B7" w:rsidR="00FA3866" w:rsidRPr="00B3383B" w:rsidRDefault="00FA3866" w:rsidP="00B3383B">
            <w:pPr>
              <w:shd w:val="clear" w:color="auto" w:fill="FFFFFF" w:themeFill="background1"/>
              <w:rPr>
                <w:rFonts w:asciiTheme="majorBidi" w:hAnsiTheme="majorBidi" w:cstheme="majorBidi"/>
                <w:color w:val="000000" w:themeColor="text1"/>
                <w:sz w:val="20"/>
                <w:szCs w:val="20"/>
              </w:rPr>
            </w:pPr>
            <w:r w:rsidRPr="00B3383B">
              <w:rPr>
                <w:rFonts w:asciiTheme="majorBidi" w:hAnsiTheme="majorBidi" w:cstheme="majorBidi"/>
                <w:color w:val="000000" w:themeColor="text1"/>
                <w:sz w:val="20"/>
                <w:szCs w:val="20"/>
                <w:lang w:val="en-GB"/>
              </w:rPr>
              <w:t>Contribution and rights of indigenous peoples and local communities</w:t>
            </w:r>
          </w:p>
        </w:tc>
        <w:tc>
          <w:tcPr>
            <w:tcW w:w="7560" w:type="dxa"/>
            <w:shd w:val="clear" w:color="auto" w:fill="FFFFFF" w:themeFill="background1"/>
            <w:tcMar>
              <w:left w:w="105" w:type="dxa"/>
              <w:right w:w="105" w:type="dxa"/>
            </w:tcMar>
          </w:tcPr>
          <w:p w14:paraId="51B94A56" w14:textId="77777777" w:rsidR="00FA3866" w:rsidRPr="00B3383B" w:rsidRDefault="00FA3866" w:rsidP="00395866">
            <w:pPr>
              <w:jc w:val="both"/>
              <w:rPr>
                <w:rFonts w:asciiTheme="majorBidi" w:hAnsiTheme="majorBidi" w:cstheme="majorBidi"/>
                <w:color w:val="498205"/>
                <w:sz w:val="20"/>
                <w:szCs w:val="20"/>
              </w:rPr>
            </w:pPr>
            <w:hyperlink r:id="rId45" w:history="1">
              <w:r w:rsidRPr="00B3383B">
                <w:rPr>
                  <w:rFonts w:asciiTheme="majorBidi" w:hAnsiTheme="majorBidi" w:cstheme="majorBidi"/>
                  <w:sz w:val="20"/>
                  <w:szCs w:val="20"/>
                  <w:lang w:val="en-GB"/>
                </w:rPr>
                <w:t>CARE Principles for Indigenous Data</w:t>
              </w:r>
              <w:r w:rsidRPr="00B3383B">
                <w:rPr>
                  <w:rStyle w:val="Hyperlink"/>
                  <w:rFonts w:asciiTheme="majorBidi" w:eastAsiaTheme="majorEastAsia" w:hAnsiTheme="majorBidi" w:cstheme="majorBidi"/>
                  <w:sz w:val="20"/>
                  <w:szCs w:val="20"/>
                  <w:lang w:val="en-GB"/>
                </w:rPr>
                <w:t xml:space="preserve"> Governance</w:t>
              </w:r>
            </w:hyperlink>
          </w:p>
          <w:p w14:paraId="4C659F61" w14:textId="77777777" w:rsidR="00FA3866" w:rsidRPr="00B3383B" w:rsidRDefault="00FA3866" w:rsidP="00395866">
            <w:pPr>
              <w:jc w:val="both"/>
              <w:rPr>
                <w:rFonts w:asciiTheme="majorBidi" w:hAnsiTheme="majorBidi" w:cstheme="majorBidi"/>
                <w:sz w:val="20"/>
                <w:szCs w:val="20"/>
              </w:rPr>
            </w:pPr>
            <w:hyperlink r:id="rId46" w:history="1">
              <w:hyperlink r:id="rId47" w:history="1">
                <w:r w:rsidRPr="00B3383B">
                  <w:rPr>
                    <w:rStyle w:val="Hyperlink"/>
                    <w:rFonts w:asciiTheme="majorBidi" w:eastAsiaTheme="majorEastAsia" w:hAnsiTheme="majorBidi" w:cstheme="majorBidi"/>
                    <w:sz w:val="20"/>
                    <w:szCs w:val="20"/>
                    <w:lang w:val="en-GB"/>
                  </w:rPr>
                  <w:t>ELATIA</w:t>
                </w:r>
              </w:hyperlink>
            </w:hyperlink>
            <w:r w:rsidRPr="00B3383B">
              <w:rPr>
                <w:rFonts w:asciiTheme="majorBidi" w:hAnsiTheme="majorBidi" w:cstheme="majorBidi"/>
                <w:sz w:val="20"/>
                <w:szCs w:val="20"/>
                <w:u w:val="single"/>
                <w:lang w:val="en-GB"/>
              </w:rPr>
              <w:t xml:space="preserve"> partnership for self-determined sustainable development</w:t>
            </w:r>
          </w:p>
          <w:p w14:paraId="71A039C8"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lang w:val="en-GB"/>
              </w:rPr>
              <w:t xml:space="preserve">The </w:t>
            </w:r>
            <w:hyperlink r:id="rId48" w:history="1">
              <w:r w:rsidRPr="00B3383B">
                <w:rPr>
                  <w:rStyle w:val="Hyperlink"/>
                  <w:rFonts w:asciiTheme="majorBidi" w:hAnsiTheme="majorBidi" w:cstheme="majorBidi"/>
                  <w:sz w:val="20"/>
                  <w:szCs w:val="20"/>
                  <w:lang w:val="en-GB"/>
                </w:rPr>
                <w:t>Indigenous Navigator</w:t>
              </w:r>
            </w:hyperlink>
            <w:r w:rsidRPr="00B3383B">
              <w:rPr>
                <w:rFonts w:asciiTheme="majorBidi" w:hAnsiTheme="majorBidi" w:cstheme="majorBidi"/>
                <w:sz w:val="20"/>
                <w:szCs w:val="20"/>
                <w:lang w:val="en-GB"/>
              </w:rPr>
              <w:t xml:space="preserve"> </w:t>
            </w:r>
          </w:p>
          <w:p w14:paraId="2AD59CED" w14:textId="77777777" w:rsidR="00FA3866" w:rsidRPr="00B3383B" w:rsidRDefault="00FA3866" w:rsidP="00395866">
            <w:pPr>
              <w:jc w:val="both"/>
              <w:rPr>
                <w:rFonts w:asciiTheme="majorBidi" w:hAnsiTheme="majorBidi" w:cstheme="majorBidi"/>
                <w:color w:val="0078D4"/>
                <w:sz w:val="20"/>
                <w:szCs w:val="20"/>
              </w:rPr>
            </w:pPr>
            <w:hyperlink r:id="rId49" w:history="1">
              <w:r w:rsidRPr="00B3383B">
                <w:rPr>
                  <w:rStyle w:val="Hyperlink"/>
                  <w:rFonts w:asciiTheme="majorBidi" w:eastAsiaTheme="majorEastAsia" w:hAnsiTheme="majorBidi" w:cstheme="majorBidi"/>
                  <w:sz w:val="20"/>
                  <w:szCs w:val="20"/>
                  <w:lang w:val="en-GB"/>
                </w:rPr>
                <w:t>Akwe`:kon Guidelines</w:t>
              </w:r>
            </w:hyperlink>
          </w:p>
          <w:p w14:paraId="5FF1FFE5" w14:textId="77777777" w:rsidR="00FA3866" w:rsidRPr="00B3383B" w:rsidRDefault="00FA3866" w:rsidP="00395866">
            <w:pPr>
              <w:jc w:val="both"/>
              <w:rPr>
                <w:rFonts w:asciiTheme="majorBidi" w:hAnsiTheme="majorBidi" w:cstheme="majorBidi"/>
                <w:sz w:val="20"/>
                <w:szCs w:val="20"/>
              </w:rPr>
            </w:pPr>
            <w:hyperlink r:id="rId50" w:history="1">
              <w:r w:rsidRPr="00B3383B">
                <w:rPr>
                  <w:rFonts w:asciiTheme="majorBidi" w:hAnsiTheme="majorBidi" w:cstheme="majorBidi"/>
                  <w:sz w:val="20"/>
                  <w:szCs w:val="20"/>
                  <w:lang w:val="en-GB"/>
                </w:rPr>
                <w:t>Mo'otz Kuxtal Voluntary</w:t>
              </w:r>
              <w:r w:rsidRPr="00B3383B">
                <w:rPr>
                  <w:rStyle w:val="Hyperlink"/>
                  <w:rFonts w:asciiTheme="majorBidi" w:eastAsiaTheme="majorEastAsia" w:hAnsiTheme="majorBidi" w:cstheme="majorBidi"/>
                  <w:sz w:val="20"/>
                  <w:szCs w:val="20"/>
                  <w:lang w:val="en-GB"/>
                </w:rPr>
                <w:t xml:space="preserve"> Guidelines</w:t>
              </w:r>
            </w:hyperlink>
          </w:p>
          <w:p w14:paraId="61F2DF30" w14:textId="77777777" w:rsidR="00FA3866" w:rsidRPr="00B3383B" w:rsidRDefault="00FA3866" w:rsidP="00395866">
            <w:pPr>
              <w:jc w:val="both"/>
              <w:rPr>
                <w:rFonts w:asciiTheme="majorBidi" w:hAnsiTheme="majorBidi" w:cstheme="majorBidi"/>
                <w:color w:val="498205"/>
                <w:sz w:val="20"/>
                <w:szCs w:val="20"/>
              </w:rPr>
            </w:pPr>
            <w:hyperlink r:id="rId51" w:history="1">
              <w:r w:rsidRPr="00B3383B">
                <w:rPr>
                  <w:rStyle w:val="Hyperlink"/>
                  <w:rFonts w:asciiTheme="majorBidi" w:eastAsiaTheme="majorEastAsia" w:hAnsiTheme="majorBidi" w:cstheme="majorBidi"/>
                  <w:sz w:val="20"/>
                  <w:szCs w:val="20"/>
                </w:rPr>
                <w:t xml:space="preserve">CBD Plan of Action on customary </w:t>
              </w:r>
              <w:r w:rsidRPr="00B3383B">
                <w:rPr>
                  <w:rStyle w:val="Hyperlink"/>
                  <w:rFonts w:asciiTheme="majorBidi" w:eastAsiaTheme="majorEastAsia" w:hAnsiTheme="majorBidi" w:cstheme="majorBidi"/>
                  <w:sz w:val="20"/>
                  <w:szCs w:val="20"/>
                  <w:lang w:val="en-GB"/>
                </w:rPr>
                <w:t>sustainable use</w:t>
              </w:r>
            </w:hyperlink>
            <w:r w:rsidRPr="00B3383B">
              <w:rPr>
                <w:rFonts w:asciiTheme="majorBidi" w:hAnsiTheme="majorBidi" w:cstheme="majorBidi"/>
                <w:sz w:val="20"/>
                <w:szCs w:val="20"/>
              </w:rPr>
              <w:t xml:space="preserve"> </w:t>
            </w:r>
          </w:p>
          <w:p w14:paraId="3D691CF7" w14:textId="77777777" w:rsidR="00FA3866" w:rsidRPr="00B3383B" w:rsidRDefault="00FA3866" w:rsidP="00395866">
            <w:pPr>
              <w:jc w:val="both"/>
              <w:rPr>
                <w:rFonts w:asciiTheme="majorBidi" w:hAnsiTheme="majorBidi" w:cstheme="majorBidi"/>
                <w:sz w:val="20"/>
                <w:szCs w:val="20"/>
              </w:rPr>
            </w:pPr>
            <w:r w:rsidRPr="00B3383B">
              <w:rPr>
                <w:rStyle w:val="Hyperlink"/>
                <w:rFonts w:asciiTheme="majorBidi" w:eastAsiaTheme="majorEastAsia" w:hAnsiTheme="majorBidi" w:cstheme="majorBidi"/>
                <w:color w:val="auto"/>
                <w:sz w:val="20"/>
                <w:szCs w:val="20"/>
                <w:lang w:val="en-GB"/>
              </w:rPr>
              <w:t xml:space="preserve">Regarding Target 10: The FRA guidelines include data disaggregation by indigenous peoples and local communities for forest ownership and management rights. Countries are encouraged to report on the elements, noting that these attributes contribute to the long-term effectiveness of forest management. </w:t>
            </w:r>
            <w:r w:rsidRPr="00B3383B">
              <w:rPr>
                <w:rStyle w:val="Hyperlink"/>
                <w:rFonts w:asciiTheme="majorBidi" w:eastAsiaTheme="majorEastAsia" w:hAnsiTheme="majorBidi" w:cstheme="majorBidi"/>
                <w:sz w:val="20"/>
                <w:szCs w:val="20"/>
                <w:lang w:val="en-GB"/>
              </w:rPr>
              <w:t xml:space="preserve"> </w:t>
            </w:r>
          </w:p>
        </w:tc>
      </w:tr>
      <w:tr w:rsidR="00FA3866" w:rsidRPr="003F29B8" w14:paraId="59206D31" w14:textId="77777777" w:rsidTr="003A1881">
        <w:trPr>
          <w:trHeight w:val="300"/>
        </w:trPr>
        <w:tc>
          <w:tcPr>
            <w:tcW w:w="2910" w:type="dxa"/>
            <w:shd w:val="clear" w:color="auto" w:fill="FFFFFF" w:themeFill="background1"/>
            <w:tcMar>
              <w:left w:w="105" w:type="dxa"/>
              <w:right w:w="105" w:type="dxa"/>
            </w:tcMar>
          </w:tcPr>
          <w:p w14:paraId="14BD4031" w14:textId="77777777" w:rsidR="00FA3866" w:rsidRPr="00B3383B" w:rsidRDefault="00FA3866" w:rsidP="00B3383B">
            <w:pPr>
              <w:rPr>
                <w:rFonts w:asciiTheme="majorBidi" w:hAnsiTheme="majorBidi" w:cstheme="majorBidi"/>
                <w:sz w:val="20"/>
                <w:szCs w:val="20"/>
              </w:rPr>
            </w:pPr>
            <w:r w:rsidRPr="00B3383B">
              <w:rPr>
                <w:rFonts w:asciiTheme="majorBidi" w:hAnsiTheme="majorBidi" w:cstheme="majorBidi"/>
                <w:sz w:val="20"/>
                <w:szCs w:val="20"/>
                <w:lang w:val="en-GB"/>
              </w:rPr>
              <w:t>Participatory approaches for monitoring based on national needs, e.g. building from:</w:t>
            </w:r>
          </w:p>
          <w:p w14:paraId="3B5462BB" w14:textId="77777777" w:rsidR="00FA3866" w:rsidRPr="00B3383B" w:rsidRDefault="00FA3866" w:rsidP="00B3383B">
            <w:pPr>
              <w:shd w:val="clear" w:color="auto" w:fill="FFFFFF" w:themeFill="background1"/>
              <w:rPr>
                <w:rFonts w:asciiTheme="majorBidi" w:hAnsiTheme="majorBidi" w:cstheme="majorBidi"/>
                <w:color w:val="000000" w:themeColor="text1"/>
                <w:sz w:val="20"/>
                <w:szCs w:val="20"/>
                <w:lang w:val="en-GB"/>
              </w:rPr>
            </w:pPr>
          </w:p>
          <w:p w14:paraId="2F5C6BFD" w14:textId="77777777" w:rsidR="00FA3866" w:rsidRPr="00B3383B" w:rsidRDefault="00FA3866" w:rsidP="00B3383B">
            <w:pPr>
              <w:rPr>
                <w:rFonts w:asciiTheme="majorBidi" w:hAnsiTheme="majorBidi" w:cstheme="majorBidi"/>
                <w:sz w:val="20"/>
                <w:szCs w:val="20"/>
              </w:rPr>
            </w:pPr>
          </w:p>
        </w:tc>
        <w:tc>
          <w:tcPr>
            <w:tcW w:w="7560" w:type="dxa"/>
            <w:shd w:val="clear" w:color="auto" w:fill="FFFFFF" w:themeFill="background1"/>
            <w:tcMar>
              <w:left w:w="105" w:type="dxa"/>
              <w:right w:w="105" w:type="dxa"/>
            </w:tcMar>
          </w:tcPr>
          <w:p w14:paraId="07A78A67" w14:textId="77777777" w:rsidR="00FA3866" w:rsidRPr="00B3383B" w:rsidRDefault="00FA3866" w:rsidP="00395866">
            <w:pPr>
              <w:jc w:val="both"/>
              <w:rPr>
                <w:rFonts w:asciiTheme="majorBidi" w:hAnsiTheme="majorBidi" w:cstheme="majorBidi"/>
                <w:color w:val="0078D4"/>
                <w:sz w:val="20"/>
                <w:szCs w:val="20"/>
              </w:rPr>
            </w:pPr>
            <w:r w:rsidRPr="00B3383B">
              <w:rPr>
                <w:rFonts w:asciiTheme="majorBidi" w:hAnsiTheme="majorBidi" w:cstheme="majorBidi"/>
                <w:sz w:val="20"/>
                <w:szCs w:val="20"/>
                <w:lang w:val="en-GB"/>
              </w:rPr>
              <w:t xml:space="preserve">CBD (2012) </w:t>
            </w:r>
            <w:hyperlink r:id="rId52" w:history="1">
              <w:r w:rsidRPr="00B3383B">
                <w:rPr>
                  <w:rStyle w:val="Hyperlink"/>
                  <w:rFonts w:asciiTheme="majorBidi" w:eastAsiaTheme="majorEastAsia" w:hAnsiTheme="majorBidi" w:cstheme="majorBidi"/>
                  <w:sz w:val="20"/>
                  <w:szCs w:val="20"/>
                  <w:lang w:val="en-GB"/>
                </w:rPr>
                <w:t>Ensuring Inclusive Societal Engagement in the Development, Implementation and Updating of NBSAPs, Module 5 (B Series)</w:t>
              </w:r>
            </w:hyperlink>
          </w:p>
          <w:p w14:paraId="41753B74"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 xml:space="preserve">UNU-IAS (2023) </w:t>
            </w:r>
            <w:hyperlink r:id="rId53">
              <w:r w:rsidRPr="00B3383B">
                <w:rPr>
                  <w:rStyle w:val="Hyperlink"/>
                  <w:rFonts w:asciiTheme="majorBidi" w:eastAsiaTheme="majorEastAsia" w:hAnsiTheme="majorBidi" w:cstheme="majorBidi"/>
                  <w:sz w:val="20"/>
                  <w:szCs w:val="20"/>
                </w:rPr>
                <w:t>Using Landscape Approaches in National Biodiversity Strategy and Action Planning</w:t>
              </w:r>
            </w:hyperlink>
          </w:p>
          <w:p w14:paraId="4976A728" w14:textId="77777777" w:rsidR="00FA3866" w:rsidRPr="00B3383B" w:rsidRDefault="00FA3866" w:rsidP="00395866">
            <w:pPr>
              <w:jc w:val="both"/>
              <w:rPr>
                <w:rFonts w:asciiTheme="majorBidi" w:hAnsiTheme="majorBidi" w:cstheme="majorBidi"/>
                <w:color w:val="0078D4"/>
                <w:sz w:val="20"/>
                <w:szCs w:val="20"/>
              </w:rPr>
            </w:pPr>
          </w:p>
          <w:p w14:paraId="67F79773"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lang w:val="en-GB"/>
              </w:rPr>
              <w:t>Resources related to CBMIS (list is not exhaustive):</w:t>
            </w:r>
          </w:p>
          <w:p w14:paraId="207A0287" w14:textId="77777777" w:rsidR="00FA3866" w:rsidRPr="00B3383B" w:rsidRDefault="00FA3866" w:rsidP="00395866">
            <w:pPr>
              <w:ind w:left="-20" w:right="-20"/>
              <w:jc w:val="both"/>
              <w:rPr>
                <w:rFonts w:asciiTheme="majorBidi" w:eastAsia="Verdana" w:hAnsiTheme="majorBidi" w:cstheme="majorBidi"/>
                <w:color w:val="000000" w:themeColor="text1"/>
                <w:sz w:val="20"/>
                <w:szCs w:val="20"/>
              </w:rPr>
            </w:pPr>
            <w:hyperlink r:id="rId54" w:history="1">
              <w:r w:rsidRPr="00B3383B">
                <w:rPr>
                  <w:rStyle w:val="Hyperlink"/>
                  <w:rFonts w:asciiTheme="majorBidi" w:eastAsiaTheme="majorEastAsia" w:hAnsiTheme="majorBidi" w:cstheme="majorBidi"/>
                  <w:sz w:val="20"/>
                  <w:szCs w:val="20"/>
                  <w:lang w:val="en-US"/>
                </w:rPr>
                <w:t>Enhancing Indigenous Peoples’ Development through Community-Based Monitoring and Information Systems (CBMIS)</w:t>
              </w:r>
            </w:hyperlink>
            <w:r w:rsidRPr="00B3383B">
              <w:rPr>
                <w:rFonts w:asciiTheme="majorBidi" w:eastAsia="Verdana" w:hAnsiTheme="majorBidi" w:cstheme="majorBidi"/>
                <w:color w:val="000000" w:themeColor="text1"/>
                <w:sz w:val="20"/>
                <w:szCs w:val="20"/>
                <w:lang w:val="en-US"/>
              </w:rPr>
              <w:t xml:space="preserve">. </w:t>
            </w:r>
            <w:r w:rsidRPr="00B3383B">
              <w:rPr>
                <w:rFonts w:asciiTheme="majorBidi" w:eastAsia="Verdana" w:hAnsiTheme="majorBidi" w:cstheme="majorBidi"/>
                <w:color w:val="000000" w:themeColor="text1"/>
                <w:sz w:val="20"/>
                <w:szCs w:val="20"/>
                <w:lang w:val="en-GB"/>
              </w:rPr>
              <w:t xml:space="preserve"> </w:t>
            </w:r>
          </w:p>
          <w:p w14:paraId="03BFB02A" w14:textId="77777777" w:rsidR="00FA3866" w:rsidRPr="00B3383B" w:rsidRDefault="00FA3866" w:rsidP="00395866">
            <w:pPr>
              <w:ind w:left="-20" w:right="-20"/>
              <w:jc w:val="both"/>
              <w:rPr>
                <w:rFonts w:asciiTheme="majorBidi" w:eastAsia="Verdana" w:hAnsiTheme="majorBidi" w:cstheme="majorBidi"/>
                <w:color w:val="000000" w:themeColor="text1"/>
                <w:sz w:val="20"/>
                <w:szCs w:val="20"/>
              </w:rPr>
            </w:pPr>
            <w:hyperlink r:id="rId55" w:history="1">
              <w:r w:rsidRPr="00B3383B">
                <w:rPr>
                  <w:rStyle w:val="Hyperlink"/>
                  <w:rFonts w:asciiTheme="majorBidi" w:eastAsiaTheme="majorEastAsia" w:hAnsiTheme="majorBidi" w:cstheme="majorBidi"/>
                  <w:sz w:val="20"/>
                  <w:szCs w:val="20"/>
                  <w:lang w:val="en-GB"/>
                </w:rPr>
                <w:t>Community-based monitoring and information systems (CBMIS) in the context of the Convention on Biological Diversity (CBD)</w:t>
              </w:r>
            </w:hyperlink>
            <w:r w:rsidRPr="00B3383B">
              <w:rPr>
                <w:rFonts w:asciiTheme="majorBidi" w:eastAsia="Verdana" w:hAnsiTheme="majorBidi" w:cstheme="majorBidi"/>
                <w:color w:val="000000" w:themeColor="text1"/>
                <w:sz w:val="20"/>
                <w:szCs w:val="20"/>
                <w:lang w:val="en-GB"/>
              </w:rPr>
              <w:t xml:space="preserve">. </w:t>
            </w:r>
          </w:p>
          <w:p w14:paraId="6BD5FACB" w14:textId="77777777" w:rsidR="00FA3866" w:rsidRPr="00B3383B" w:rsidRDefault="00FA3866" w:rsidP="00395866">
            <w:pPr>
              <w:ind w:left="-20" w:right="-20"/>
              <w:jc w:val="both"/>
              <w:rPr>
                <w:rFonts w:asciiTheme="majorBidi" w:hAnsiTheme="majorBidi" w:cstheme="majorBidi"/>
                <w:sz w:val="20"/>
                <w:szCs w:val="20"/>
              </w:rPr>
            </w:pPr>
            <w:hyperlink r:id="rId56" w:history="1">
              <w:r w:rsidRPr="00B3383B">
                <w:rPr>
                  <w:rStyle w:val="Hyperlink"/>
                  <w:rFonts w:asciiTheme="majorBidi" w:eastAsiaTheme="majorEastAsia" w:hAnsiTheme="majorBidi" w:cstheme="majorBidi"/>
                  <w:sz w:val="20"/>
                  <w:szCs w:val="20"/>
                  <w:lang w:val="en-US"/>
                </w:rPr>
                <w:t>Basic course on community-based monitoring and information systems</w:t>
              </w:r>
            </w:hyperlink>
          </w:p>
          <w:p w14:paraId="0B033F27" w14:textId="77777777" w:rsidR="00FA3866" w:rsidRPr="00B3383B" w:rsidRDefault="00FA3866" w:rsidP="00395866">
            <w:pPr>
              <w:ind w:left="-20" w:right="-20"/>
              <w:jc w:val="both"/>
              <w:rPr>
                <w:rFonts w:asciiTheme="majorBidi" w:eastAsia="Verdana" w:hAnsiTheme="majorBidi" w:cstheme="majorBidi"/>
                <w:color w:val="000000" w:themeColor="text1"/>
                <w:sz w:val="20"/>
                <w:szCs w:val="20"/>
              </w:rPr>
            </w:pPr>
            <w:hyperlink r:id="rId57" w:history="1">
              <w:r w:rsidRPr="00B3383B">
                <w:rPr>
                  <w:rStyle w:val="Hyperlink"/>
                  <w:rFonts w:asciiTheme="majorBidi" w:eastAsiaTheme="majorEastAsia" w:hAnsiTheme="majorBidi" w:cstheme="majorBidi"/>
                  <w:sz w:val="20"/>
                  <w:szCs w:val="20"/>
                  <w:lang w:val="en-GB"/>
                </w:rPr>
                <w:t>Locally Based, Regionally Manifested, and Globally Relevant: Indigenous and Local Knowledge, Values, and Practices for Nature</w:t>
              </w:r>
            </w:hyperlink>
            <w:r w:rsidRPr="00B3383B">
              <w:rPr>
                <w:rFonts w:asciiTheme="majorBidi" w:eastAsia="Verdana" w:hAnsiTheme="majorBidi" w:cstheme="majorBidi"/>
                <w:color w:val="000000" w:themeColor="text1"/>
                <w:sz w:val="20"/>
                <w:szCs w:val="20"/>
                <w:lang w:val="en-GB"/>
              </w:rPr>
              <w:t xml:space="preserve">. </w:t>
            </w:r>
          </w:p>
          <w:p w14:paraId="169A62F5" w14:textId="77777777" w:rsidR="00FA3866" w:rsidRPr="00B3383B" w:rsidRDefault="00FA3866" w:rsidP="00395866">
            <w:pPr>
              <w:ind w:left="-20" w:right="-20"/>
              <w:jc w:val="both"/>
              <w:rPr>
                <w:rFonts w:asciiTheme="majorBidi" w:hAnsiTheme="majorBidi" w:cstheme="majorBidi"/>
                <w:sz w:val="20"/>
                <w:szCs w:val="20"/>
              </w:rPr>
            </w:pPr>
            <w:hyperlink r:id="rId58" w:history="1">
              <w:r w:rsidRPr="00B3383B">
                <w:rPr>
                  <w:rStyle w:val="Hyperlink"/>
                  <w:rFonts w:asciiTheme="majorBidi" w:eastAsiaTheme="majorEastAsia" w:hAnsiTheme="majorBidi" w:cstheme="majorBidi"/>
                  <w:sz w:val="20"/>
                  <w:szCs w:val="20"/>
                  <w:lang w:val="en-GB"/>
                </w:rPr>
                <w:t>The Concept, Practice, Application, and Results of Locally Based Monitoring of the Environment</w:t>
              </w:r>
            </w:hyperlink>
          </w:p>
          <w:p w14:paraId="3BD315CA" w14:textId="77777777" w:rsidR="00FA3866" w:rsidRPr="00B3383B" w:rsidRDefault="00FA3866" w:rsidP="00395866">
            <w:pPr>
              <w:ind w:left="-20" w:right="-20"/>
              <w:jc w:val="both"/>
              <w:rPr>
                <w:rFonts w:asciiTheme="majorBidi" w:eastAsia="Verdana" w:hAnsiTheme="majorBidi" w:cstheme="majorBidi"/>
                <w:color w:val="0563C1"/>
                <w:sz w:val="20"/>
                <w:szCs w:val="20"/>
              </w:rPr>
            </w:pPr>
            <w:hyperlink r:id="rId59" w:history="1">
              <w:r w:rsidRPr="00B3383B">
                <w:rPr>
                  <w:rStyle w:val="Hyperlink"/>
                  <w:rFonts w:asciiTheme="majorBidi" w:eastAsiaTheme="majorEastAsia" w:hAnsiTheme="majorBidi" w:cstheme="majorBidi"/>
                  <w:sz w:val="20"/>
                  <w:szCs w:val="20"/>
                  <w:lang w:val="en-GB"/>
                </w:rPr>
                <w:t>Community Monitoring of Natural Resource Systems and the Environment</w:t>
              </w:r>
            </w:hyperlink>
            <w:r w:rsidRPr="00B3383B">
              <w:rPr>
                <w:rFonts w:asciiTheme="majorBidi" w:eastAsia="Verdana" w:hAnsiTheme="majorBidi" w:cstheme="majorBidi"/>
                <w:color w:val="333333"/>
                <w:sz w:val="20"/>
                <w:szCs w:val="20"/>
                <w:lang w:val="en-GB"/>
              </w:rPr>
              <w:t>.</w:t>
            </w:r>
            <w:r w:rsidRPr="00B3383B">
              <w:rPr>
                <w:rFonts w:asciiTheme="majorBidi" w:eastAsia="Verdana" w:hAnsiTheme="majorBidi" w:cstheme="majorBidi"/>
                <w:color w:val="0563C1"/>
                <w:sz w:val="20"/>
                <w:szCs w:val="20"/>
                <w:lang w:val="en-GB"/>
              </w:rPr>
              <w:t xml:space="preserve"> </w:t>
            </w:r>
          </w:p>
          <w:p w14:paraId="2BF7B67C" w14:textId="77777777" w:rsidR="00FA3866" w:rsidRPr="00B3383B" w:rsidRDefault="00FA3866" w:rsidP="00395866">
            <w:pPr>
              <w:ind w:right="-20"/>
              <w:jc w:val="both"/>
              <w:rPr>
                <w:rFonts w:asciiTheme="majorBidi" w:hAnsiTheme="majorBidi" w:cstheme="majorBidi"/>
                <w:sz w:val="20"/>
                <w:szCs w:val="20"/>
              </w:rPr>
            </w:pPr>
            <w:hyperlink r:id="rId60" w:history="1">
              <w:r w:rsidRPr="00B3383B">
                <w:rPr>
                  <w:rStyle w:val="Hyperlink"/>
                  <w:rFonts w:asciiTheme="majorBidi" w:eastAsiaTheme="majorEastAsia" w:hAnsiTheme="majorBidi" w:cstheme="majorBidi"/>
                  <w:sz w:val="20"/>
                  <w:szCs w:val="20"/>
                  <w:lang w:val="en-US"/>
                </w:rPr>
                <w:t>Sharper eyes see shyer lizards: Collaboration with indigenous peoples can alter the outcomes of conservation research</w:t>
              </w:r>
            </w:hyperlink>
            <w:r w:rsidRPr="00B3383B">
              <w:rPr>
                <w:rFonts w:asciiTheme="majorBidi" w:eastAsia="Verdana" w:hAnsiTheme="majorBidi" w:cstheme="majorBidi"/>
                <w:color w:val="000000" w:themeColor="text1"/>
                <w:sz w:val="20"/>
                <w:szCs w:val="20"/>
                <w:lang w:val="en-US"/>
              </w:rPr>
              <w:t>.</w:t>
            </w:r>
            <w:r w:rsidRPr="00B3383B">
              <w:rPr>
                <w:rFonts w:asciiTheme="majorBidi" w:hAnsiTheme="majorBidi" w:cstheme="majorBidi"/>
                <w:color w:val="000000" w:themeColor="text1"/>
                <w:sz w:val="20"/>
                <w:szCs w:val="20"/>
                <w:lang w:val="en-GB"/>
              </w:rPr>
              <w:t xml:space="preserve"> </w:t>
            </w:r>
            <w:r w:rsidRPr="00B3383B">
              <w:rPr>
                <w:rFonts w:asciiTheme="majorBidi" w:eastAsia="Verdana" w:hAnsiTheme="majorBidi" w:cstheme="majorBidi"/>
                <w:color w:val="000000" w:themeColor="text1"/>
                <w:sz w:val="20"/>
                <w:szCs w:val="20"/>
                <w:lang w:val="en-GB"/>
              </w:rPr>
              <w:t xml:space="preserve"> </w:t>
            </w:r>
          </w:p>
        </w:tc>
      </w:tr>
      <w:tr w:rsidR="00FA3866" w:rsidRPr="003F29B8" w14:paraId="097C0A6C" w14:textId="77777777" w:rsidTr="003A1881">
        <w:trPr>
          <w:trHeight w:val="300"/>
        </w:trPr>
        <w:tc>
          <w:tcPr>
            <w:tcW w:w="2910" w:type="dxa"/>
            <w:shd w:val="clear" w:color="auto" w:fill="FFFFFF" w:themeFill="background1"/>
            <w:tcMar>
              <w:left w:w="105" w:type="dxa"/>
              <w:right w:w="105" w:type="dxa"/>
            </w:tcMar>
          </w:tcPr>
          <w:p w14:paraId="4C09C8D7" w14:textId="7E9CC3D1" w:rsidR="00FA3866" w:rsidRPr="00B3383B" w:rsidRDefault="00FA3866" w:rsidP="00395866">
            <w:pPr>
              <w:shd w:val="clear" w:color="auto" w:fill="FFFFFF" w:themeFill="background1"/>
              <w:jc w:val="both"/>
              <w:rPr>
                <w:rFonts w:asciiTheme="majorBidi" w:eastAsia="Times New Roman_MSFontService" w:hAnsiTheme="majorBidi" w:cstheme="majorBidi"/>
                <w:color w:val="000000" w:themeColor="text1"/>
                <w:sz w:val="20"/>
                <w:szCs w:val="20"/>
              </w:rPr>
            </w:pPr>
            <w:r w:rsidRPr="00B3383B">
              <w:rPr>
                <w:rFonts w:asciiTheme="majorBidi" w:eastAsia="Times New Roman_MSFontService" w:hAnsiTheme="majorBidi" w:cstheme="majorBidi"/>
                <w:color w:val="000000" w:themeColor="text1"/>
                <w:sz w:val="20"/>
                <w:szCs w:val="20"/>
                <w:lang w:val="en-GB"/>
              </w:rPr>
              <w:t>Human rights-based approach</w:t>
            </w:r>
          </w:p>
        </w:tc>
        <w:tc>
          <w:tcPr>
            <w:tcW w:w="7560" w:type="dxa"/>
            <w:shd w:val="clear" w:color="auto" w:fill="FFFFFF" w:themeFill="background1"/>
            <w:tcMar>
              <w:left w:w="105" w:type="dxa"/>
              <w:right w:w="105" w:type="dxa"/>
            </w:tcMar>
          </w:tcPr>
          <w:p w14:paraId="2E6ACA5B"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lang w:val="en-GB"/>
              </w:rPr>
              <w:t>Existing</w:t>
            </w:r>
            <w:r w:rsidRPr="00B3383B">
              <w:rPr>
                <w:rFonts w:asciiTheme="majorBidi" w:hAnsiTheme="majorBidi" w:cstheme="majorBidi"/>
                <w:sz w:val="20"/>
                <w:szCs w:val="20"/>
                <w:u w:val="single"/>
                <w:lang w:val="en-GB"/>
              </w:rPr>
              <w:t xml:space="preserve"> </w:t>
            </w:r>
            <w:hyperlink r:id="rId61" w:history="1">
              <w:r w:rsidRPr="00B3383B">
                <w:rPr>
                  <w:rStyle w:val="Hyperlink"/>
                  <w:rFonts w:asciiTheme="majorBidi" w:eastAsiaTheme="majorEastAsia" w:hAnsiTheme="majorBidi" w:cstheme="majorBidi"/>
                  <w:sz w:val="20"/>
                  <w:szCs w:val="20"/>
                </w:rPr>
                <w:t>m</w:t>
              </w:r>
              <w:r w:rsidRPr="00B3383B">
                <w:rPr>
                  <w:rStyle w:val="Hyperlink"/>
                  <w:rFonts w:asciiTheme="majorBidi" w:eastAsiaTheme="majorEastAsia" w:hAnsiTheme="majorBidi" w:cstheme="majorBidi"/>
                  <w:sz w:val="20"/>
                  <w:szCs w:val="20"/>
                  <w:lang w:val="en-GB"/>
                </w:rPr>
                <w:t>etadata</w:t>
              </w:r>
            </w:hyperlink>
            <w:r w:rsidRPr="00B3383B">
              <w:rPr>
                <w:rFonts w:asciiTheme="majorBidi" w:hAnsiTheme="majorBidi" w:cstheme="majorBidi"/>
                <w:color w:val="7A7574"/>
                <w:sz w:val="20"/>
                <w:szCs w:val="20"/>
                <w:u w:val="single"/>
                <w:lang w:val="en-GB"/>
              </w:rPr>
              <w:t xml:space="preserve"> </w:t>
            </w:r>
            <w:r w:rsidRPr="00B3383B">
              <w:rPr>
                <w:rFonts w:asciiTheme="majorBidi" w:hAnsiTheme="majorBidi" w:cstheme="majorBidi"/>
                <w:sz w:val="20"/>
                <w:szCs w:val="20"/>
                <w:lang w:val="en-GB"/>
              </w:rPr>
              <w:t xml:space="preserve">and data collection on SDG indicator 16.10.1 (component indicator of Target 22) but it needs to be adapted specifically to data collection on attacks on environmental human rights defenders. </w:t>
            </w:r>
          </w:p>
          <w:p w14:paraId="51E1CE43"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lang w:val="en-GB"/>
              </w:rPr>
              <w:t>Existing UN</w:t>
            </w:r>
            <w:r w:rsidRPr="00B3383B">
              <w:rPr>
                <w:rFonts w:asciiTheme="majorBidi" w:hAnsiTheme="majorBidi" w:cstheme="majorBidi"/>
                <w:color w:val="7A7574"/>
                <w:sz w:val="20"/>
                <w:szCs w:val="20"/>
                <w:lang w:val="en-GB"/>
              </w:rPr>
              <w:t xml:space="preserve"> </w:t>
            </w:r>
            <w:hyperlink r:id="rId62" w:history="1">
              <w:r w:rsidRPr="00B3383B">
                <w:rPr>
                  <w:rStyle w:val="Hyperlink"/>
                  <w:rFonts w:asciiTheme="majorBidi" w:eastAsiaTheme="majorEastAsia" w:hAnsiTheme="majorBidi" w:cstheme="majorBidi"/>
                  <w:sz w:val="20"/>
                  <w:szCs w:val="20"/>
                  <w:lang w:val="en-GB"/>
                </w:rPr>
                <w:t>guidance</w:t>
              </w:r>
            </w:hyperlink>
            <w:r w:rsidRPr="00B3383B">
              <w:rPr>
                <w:rFonts w:asciiTheme="majorBidi" w:hAnsiTheme="majorBidi" w:cstheme="majorBidi"/>
                <w:sz w:val="20"/>
                <w:szCs w:val="20"/>
                <w:lang w:val="en-GB"/>
              </w:rPr>
              <w:t xml:space="preserve"> for Resident Coordinators and UN Country Teams on protection of environmental human rights defenders </w:t>
            </w:r>
          </w:p>
          <w:p w14:paraId="5EB2CBEF"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lang w:val="en-GB"/>
              </w:rPr>
              <w:t xml:space="preserve">OHCHR will soon release a new Fact Sheet on Land and Human Rights which incorporates KMGBF monitoring framework, including Section C and specific indicators </w:t>
            </w:r>
          </w:p>
          <w:p w14:paraId="0C4689BC" w14:textId="77777777" w:rsidR="00FA3866" w:rsidRPr="00B3383B" w:rsidRDefault="00FA3866" w:rsidP="00395866">
            <w:pPr>
              <w:jc w:val="both"/>
              <w:rPr>
                <w:rFonts w:asciiTheme="majorBidi" w:eastAsia="Calibri" w:hAnsiTheme="majorBidi" w:cstheme="majorBidi"/>
                <w:color w:val="000000" w:themeColor="text1"/>
                <w:sz w:val="20"/>
                <w:szCs w:val="20"/>
              </w:rPr>
            </w:pPr>
            <w:r w:rsidRPr="00B3383B">
              <w:rPr>
                <w:rFonts w:asciiTheme="majorBidi" w:eastAsia="Calibri" w:hAnsiTheme="majorBidi" w:cstheme="majorBidi"/>
                <w:color w:val="000000" w:themeColor="text1"/>
                <w:sz w:val="20"/>
                <w:szCs w:val="20"/>
              </w:rPr>
              <w:t xml:space="preserve">Environmental Management Group (2022) </w:t>
            </w:r>
            <w:hyperlink r:id="rId63" w:history="1">
              <w:r w:rsidRPr="00B3383B">
                <w:rPr>
                  <w:rStyle w:val="Hyperlink"/>
                  <w:rFonts w:asciiTheme="majorBidi" w:eastAsiaTheme="majorEastAsia" w:hAnsiTheme="majorBidi" w:cstheme="majorBidi"/>
                  <w:sz w:val="20"/>
                  <w:szCs w:val="20"/>
                </w:rPr>
                <w:t>Guidance on integrating human rights in NBSAPs</w:t>
              </w:r>
            </w:hyperlink>
          </w:p>
          <w:p w14:paraId="091EB915" w14:textId="77777777" w:rsidR="00FA3866" w:rsidRPr="00B3383B" w:rsidRDefault="00FA3866" w:rsidP="00395866">
            <w:pPr>
              <w:jc w:val="both"/>
              <w:rPr>
                <w:rFonts w:asciiTheme="majorBidi" w:eastAsia="Calibri" w:hAnsiTheme="majorBidi" w:cstheme="majorBidi"/>
                <w:color w:val="000000" w:themeColor="text1"/>
                <w:sz w:val="20"/>
                <w:szCs w:val="20"/>
              </w:rPr>
            </w:pPr>
            <w:r w:rsidRPr="00B3383B">
              <w:rPr>
                <w:rFonts w:asciiTheme="majorBidi" w:eastAsia="Calibri" w:hAnsiTheme="majorBidi" w:cstheme="majorBidi"/>
                <w:color w:val="000000" w:themeColor="text1"/>
                <w:sz w:val="20"/>
                <w:szCs w:val="20"/>
              </w:rPr>
              <w:t xml:space="preserve">OHCHR (2012) </w:t>
            </w:r>
            <w:hyperlink r:id="rId64" w:history="1">
              <w:r w:rsidRPr="00B3383B">
                <w:rPr>
                  <w:rStyle w:val="Hyperlink"/>
                  <w:rFonts w:asciiTheme="majorBidi" w:eastAsiaTheme="majorEastAsia" w:hAnsiTheme="majorBidi" w:cstheme="majorBidi"/>
                  <w:sz w:val="20"/>
                  <w:szCs w:val="20"/>
                </w:rPr>
                <w:t>Human Rights Indicator - A Guide to Measurement</w:t>
              </w:r>
            </w:hyperlink>
          </w:p>
          <w:p w14:paraId="7AAF0E8D" w14:textId="77777777" w:rsidR="00FA3866" w:rsidRPr="00B3383B" w:rsidRDefault="00FA3866" w:rsidP="00395866">
            <w:pPr>
              <w:jc w:val="both"/>
              <w:rPr>
                <w:rFonts w:asciiTheme="majorBidi" w:hAnsiTheme="majorBidi" w:cstheme="majorBidi"/>
                <w:sz w:val="20"/>
                <w:szCs w:val="20"/>
              </w:rPr>
            </w:pPr>
            <w:r w:rsidRPr="00B3383B">
              <w:rPr>
                <w:rFonts w:asciiTheme="majorBidi" w:hAnsiTheme="majorBidi" w:cstheme="majorBidi"/>
                <w:sz w:val="20"/>
                <w:szCs w:val="20"/>
              </w:rPr>
              <w:t xml:space="preserve">OHCHR (2015) </w:t>
            </w:r>
            <w:hyperlink r:id="rId65" w:history="1">
              <w:r w:rsidRPr="00B3383B">
                <w:rPr>
                  <w:rStyle w:val="Hyperlink"/>
                  <w:rFonts w:asciiTheme="majorBidi" w:eastAsiaTheme="majorEastAsia" w:hAnsiTheme="majorBidi" w:cstheme="majorBidi"/>
                  <w:sz w:val="20"/>
                  <w:szCs w:val="20"/>
                </w:rPr>
                <w:t>Land and Human Rights: Standards and Applications</w:t>
              </w:r>
            </w:hyperlink>
            <w:r w:rsidRPr="00B3383B">
              <w:rPr>
                <w:rFonts w:asciiTheme="majorBidi" w:hAnsiTheme="majorBidi" w:cstheme="majorBidi"/>
                <w:sz w:val="20"/>
                <w:szCs w:val="20"/>
              </w:rPr>
              <w:t xml:space="preserve"> </w:t>
            </w:r>
          </w:p>
          <w:p w14:paraId="179E77D6" w14:textId="77777777" w:rsidR="00FA3866" w:rsidRPr="00B3383B" w:rsidRDefault="00FA3866" w:rsidP="00395866">
            <w:pPr>
              <w:jc w:val="both"/>
              <w:rPr>
                <w:rStyle w:val="Hyperlink"/>
                <w:rFonts w:asciiTheme="majorBidi" w:eastAsiaTheme="majorEastAsia" w:hAnsiTheme="majorBidi" w:cstheme="majorBidi"/>
                <w:sz w:val="20"/>
                <w:szCs w:val="20"/>
              </w:rPr>
            </w:pPr>
            <w:r w:rsidRPr="00B3383B">
              <w:rPr>
                <w:rFonts w:asciiTheme="majorBidi" w:hAnsiTheme="majorBidi" w:cstheme="majorBidi"/>
                <w:sz w:val="20"/>
                <w:szCs w:val="20"/>
              </w:rPr>
              <w:t xml:space="preserve">OHCHR (2018) </w:t>
            </w:r>
            <w:hyperlink r:id="rId66">
              <w:r w:rsidRPr="00B3383B">
                <w:rPr>
                  <w:rStyle w:val="Hyperlink"/>
                  <w:rFonts w:asciiTheme="majorBidi" w:eastAsiaTheme="majorEastAsia" w:hAnsiTheme="majorBidi" w:cstheme="majorBidi"/>
                  <w:sz w:val="20"/>
                  <w:szCs w:val="20"/>
                </w:rPr>
                <w:t>Guidance Note on Human Rights Based Approach to Data</w:t>
              </w:r>
            </w:hyperlink>
            <w:r w:rsidRPr="00B3383B">
              <w:rPr>
                <w:rStyle w:val="Hyperlink"/>
                <w:rFonts w:asciiTheme="majorBidi" w:eastAsiaTheme="majorEastAsia" w:hAnsiTheme="majorBidi" w:cstheme="majorBidi"/>
                <w:sz w:val="20"/>
                <w:szCs w:val="20"/>
              </w:rPr>
              <w:t xml:space="preserve"> </w:t>
            </w:r>
          </w:p>
          <w:p w14:paraId="28CE32B5" w14:textId="3581E3A0" w:rsidR="00B929B4" w:rsidRPr="00B3383B" w:rsidRDefault="00B929B4" w:rsidP="00395866">
            <w:pPr>
              <w:jc w:val="both"/>
              <w:rPr>
                <w:rFonts w:asciiTheme="majorBidi" w:hAnsiTheme="majorBidi" w:cstheme="majorBidi"/>
                <w:sz w:val="20"/>
                <w:szCs w:val="20"/>
              </w:rPr>
            </w:pPr>
            <w:r w:rsidRPr="00B3383B">
              <w:rPr>
                <w:rFonts w:asciiTheme="majorBidi" w:hAnsiTheme="majorBidi" w:cstheme="majorBidi"/>
                <w:sz w:val="20"/>
                <w:szCs w:val="20"/>
              </w:rPr>
              <w:t xml:space="preserve">Human Rights and Biodiversity Working Group (2024) </w:t>
            </w:r>
            <w:hyperlink r:id="rId67" w:history="1">
              <w:r w:rsidRPr="00B3383B">
                <w:rPr>
                  <w:rStyle w:val="Hyperlink"/>
                  <w:rFonts w:asciiTheme="majorBidi" w:hAnsiTheme="majorBidi" w:cstheme="majorBidi"/>
                  <w:sz w:val="20"/>
                  <w:szCs w:val="20"/>
                </w:rPr>
                <w:t>From Agreements to Actions: A guide to applying a human rights-based approach to the Kunming-Montreal Global Biodiversity Framework</w:t>
              </w:r>
            </w:hyperlink>
          </w:p>
        </w:tc>
      </w:tr>
      <w:tr w:rsidR="00FA3866" w:rsidRPr="003F29B8" w14:paraId="577A854B" w14:textId="77777777" w:rsidTr="003A1881">
        <w:trPr>
          <w:trHeight w:val="300"/>
        </w:trPr>
        <w:tc>
          <w:tcPr>
            <w:tcW w:w="2910" w:type="dxa"/>
            <w:shd w:val="clear" w:color="auto" w:fill="FFFFFF" w:themeFill="background1"/>
            <w:tcMar>
              <w:left w:w="105" w:type="dxa"/>
              <w:right w:w="105" w:type="dxa"/>
            </w:tcMar>
          </w:tcPr>
          <w:p w14:paraId="76A87B57" w14:textId="5F11315E" w:rsidR="00FA3866" w:rsidRPr="00B3383B" w:rsidRDefault="00FA3866" w:rsidP="00395866">
            <w:pPr>
              <w:shd w:val="clear" w:color="auto" w:fill="FFFFFF" w:themeFill="background1"/>
              <w:jc w:val="both"/>
              <w:rPr>
                <w:rFonts w:asciiTheme="majorBidi" w:eastAsia="Times New Roman_MSFontService" w:hAnsiTheme="majorBidi" w:cstheme="majorBidi"/>
                <w:color w:val="000000" w:themeColor="text1"/>
                <w:sz w:val="20"/>
                <w:szCs w:val="20"/>
              </w:rPr>
            </w:pPr>
            <w:r w:rsidRPr="00B3383B">
              <w:rPr>
                <w:rFonts w:asciiTheme="majorBidi" w:eastAsia="Times New Roman_MSFontService" w:hAnsiTheme="majorBidi" w:cstheme="majorBidi"/>
                <w:color w:val="000000" w:themeColor="text1"/>
                <w:sz w:val="20"/>
                <w:szCs w:val="20"/>
                <w:lang w:val="en-GB"/>
              </w:rPr>
              <w:t>Gender</w:t>
            </w:r>
          </w:p>
        </w:tc>
        <w:tc>
          <w:tcPr>
            <w:tcW w:w="7560" w:type="dxa"/>
            <w:shd w:val="clear" w:color="auto" w:fill="FFFFFF" w:themeFill="background1"/>
            <w:tcMar>
              <w:left w:w="105" w:type="dxa"/>
              <w:right w:w="105" w:type="dxa"/>
            </w:tcMar>
          </w:tcPr>
          <w:p w14:paraId="3890BBF5" w14:textId="77777777" w:rsidR="00FA3866" w:rsidRPr="00B3383B" w:rsidRDefault="00FA3866" w:rsidP="00395866">
            <w:pPr>
              <w:jc w:val="both"/>
              <w:rPr>
                <w:rFonts w:asciiTheme="majorBidi" w:eastAsia="Calibri" w:hAnsiTheme="majorBidi" w:cstheme="majorBidi"/>
                <w:color w:val="000000" w:themeColor="text1"/>
                <w:sz w:val="20"/>
                <w:szCs w:val="20"/>
              </w:rPr>
            </w:pPr>
            <w:r w:rsidRPr="00B3383B">
              <w:rPr>
                <w:rFonts w:asciiTheme="majorBidi" w:eastAsia="Calibri" w:hAnsiTheme="majorBidi" w:cstheme="majorBidi"/>
                <w:color w:val="000000" w:themeColor="text1"/>
                <w:sz w:val="20"/>
                <w:szCs w:val="20"/>
              </w:rPr>
              <w:t xml:space="preserve">CBD (2021) </w:t>
            </w:r>
            <w:hyperlink r:id="rId68" w:history="1">
              <w:r w:rsidRPr="00B3383B">
                <w:rPr>
                  <w:rStyle w:val="Hyperlink"/>
                  <w:rFonts w:asciiTheme="majorBidi" w:eastAsiaTheme="majorEastAsia" w:hAnsiTheme="majorBidi" w:cstheme="majorBidi"/>
                  <w:sz w:val="20"/>
                  <w:szCs w:val="20"/>
                </w:rPr>
                <w:t>Developing and measuring a gender-responsive post-2020 Biodiversity Framework: Information on gender considerations within the draft post-2020 Biodiversity Framework.</w:t>
              </w:r>
            </w:hyperlink>
            <w:r w:rsidRPr="00B3383B">
              <w:rPr>
                <w:rFonts w:asciiTheme="majorBidi" w:eastAsia="Calibri" w:hAnsiTheme="majorBidi" w:cstheme="majorBidi"/>
                <w:color w:val="000000" w:themeColor="text1"/>
                <w:sz w:val="20"/>
                <w:szCs w:val="20"/>
              </w:rPr>
              <w:t xml:space="preserve"> CBD/WG2020/3/INF/10, CBD/SBSTTA/24/INF/30, CBD/SBI/3/INF/42.</w:t>
            </w:r>
          </w:p>
          <w:p w14:paraId="23876984" w14:textId="53A28E9F" w:rsidR="00FA3866" w:rsidRPr="00B3383B" w:rsidRDefault="00FA3866" w:rsidP="00395866">
            <w:pPr>
              <w:jc w:val="both"/>
              <w:rPr>
                <w:rFonts w:asciiTheme="majorBidi" w:eastAsia="Calibri" w:hAnsiTheme="majorBidi" w:cstheme="majorBidi"/>
                <w:color w:val="000000" w:themeColor="text1"/>
                <w:sz w:val="20"/>
                <w:szCs w:val="20"/>
              </w:rPr>
            </w:pPr>
            <w:r w:rsidRPr="00B3383B">
              <w:rPr>
                <w:rFonts w:asciiTheme="majorBidi" w:eastAsia="Calibri" w:hAnsiTheme="majorBidi" w:cstheme="majorBidi"/>
                <w:color w:val="000000" w:themeColor="text1"/>
                <w:sz w:val="20"/>
                <w:szCs w:val="20"/>
              </w:rPr>
              <w:t>CBD Women</w:t>
            </w:r>
            <w:r w:rsidR="00093A6C" w:rsidRPr="00B3383B">
              <w:rPr>
                <w:rFonts w:asciiTheme="majorBidi" w:eastAsia="Calibri" w:hAnsiTheme="majorBidi" w:cstheme="majorBidi"/>
                <w:color w:val="000000" w:themeColor="text1"/>
                <w:sz w:val="20"/>
                <w:szCs w:val="20"/>
              </w:rPr>
              <w:t>’s Caucus</w:t>
            </w:r>
            <w:r w:rsidRPr="00B3383B">
              <w:rPr>
                <w:rFonts w:asciiTheme="majorBidi" w:eastAsia="Calibri" w:hAnsiTheme="majorBidi" w:cstheme="majorBidi"/>
                <w:color w:val="000000" w:themeColor="text1"/>
                <w:sz w:val="20"/>
                <w:szCs w:val="20"/>
              </w:rPr>
              <w:t xml:space="preserve"> (2023) </w:t>
            </w:r>
            <w:hyperlink r:id="rId69" w:history="1">
              <w:r w:rsidRPr="00B3383B">
                <w:rPr>
                  <w:rStyle w:val="Hyperlink"/>
                  <w:rFonts w:asciiTheme="majorBidi" w:eastAsia="Calibri" w:hAnsiTheme="majorBidi" w:cstheme="majorBidi"/>
                  <w:sz w:val="20"/>
                  <w:szCs w:val="20"/>
                </w:rPr>
                <w:t>Discussion Paper: How to monitor the gender-responsiveness of the KM-GBF?</w:t>
              </w:r>
            </w:hyperlink>
            <w:r w:rsidRPr="00B3383B">
              <w:rPr>
                <w:rFonts w:asciiTheme="majorBidi" w:eastAsia="Calibri" w:hAnsiTheme="majorBidi" w:cstheme="majorBidi"/>
                <w:color w:val="000000" w:themeColor="text1"/>
                <w:sz w:val="20"/>
                <w:szCs w:val="20"/>
              </w:rPr>
              <w:t xml:space="preserve"> </w:t>
            </w:r>
          </w:p>
          <w:p w14:paraId="1CE7B9AF" w14:textId="77777777" w:rsidR="00FA3866" w:rsidRPr="00B3383B" w:rsidRDefault="00FA3866" w:rsidP="00395866">
            <w:pPr>
              <w:jc w:val="both"/>
              <w:rPr>
                <w:rFonts w:asciiTheme="majorBidi" w:eastAsia="Calibri" w:hAnsiTheme="majorBidi" w:cstheme="majorBidi"/>
                <w:color w:val="000000" w:themeColor="text1"/>
                <w:sz w:val="20"/>
                <w:szCs w:val="20"/>
              </w:rPr>
            </w:pPr>
            <w:r w:rsidRPr="00B3383B">
              <w:rPr>
                <w:rFonts w:asciiTheme="majorBidi" w:eastAsia="Calibri" w:hAnsiTheme="majorBidi" w:cstheme="majorBidi"/>
                <w:color w:val="000000" w:themeColor="text1"/>
                <w:sz w:val="20"/>
                <w:szCs w:val="20"/>
              </w:rPr>
              <w:t xml:space="preserve">ESCAP, UNEP, IUCN and UN Women (2019) </w:t>
            </w:r>
            <w:hyperlink r:id="rId70" w:history="1">
              <w:r w:rsidRPr="00B3383B">
                <w:rPr>
                  <w:rStyle w:val="Hyperlink"/>
                  <w:rFonts w:asciiTheme="majorBidi" w:eastAsiaTheme="majorEastAsia" w:hAnsiTheme="majorBidi" w:cstheme="majorBidi"/>
                  <w:i/>
                  <w:iCs/>
                  <w:sz w:val="20"/>
                  <w:szCs w:val="20"/>
                </w:rPr>
                <w:t>Mainstreaming gender in environment statistics for the SDGs and beyond: Identifying priorities in Asia and the Pacific</w:t>
              </w:r>
            </w:hyperlink>
            <w:r w:rsidRPr="00B3383B">
              <w:rPr>
                <w:rFonts w:asciiTheme="majorBidi" w:eastAsia="Calibri" w:hAnsiTheme="majorBidi" w:cstheme="majorBidi"/>
                <w:i/>
                <w:iCs/>
                <w:color w:val="000000" w:themeColor="text1"/>
                <w:sz w:val="20"/>
                <w:szCs w:val="20"/>
              </w:rPr>
              <w:t xml:space="preserve">. </w:t>
            </w:r>
            <w:r w:rsidRPr="00B3383B">
              <w:rPr>
                <w:rFonts w:asciiTheme="majorBidi" w:eastAsia="Calibri" w:hAnsiTheme="majorBidi" w:cstheme="majorBidi"/>
                <w:color w:val="000000" w:themeColor="text1"/>
                <w:sz w:val="20"/>
                <w:szCs w:val="20"/>
              </w:rPr>
              <w:t>NOTE: Proposes a Gender-Environment Indicator Set in Asia and the Pacific</w:t>
            </w:r>
          </w:p>
          <w:p w14:paraId="00CB220E" w14:textId="77777777" w:rsidR="00FA3866" w:rsidRPr="00B3383B" w:rsidRDefault="00FA3866" w:rsidP="00395866">
            <w:pPr>
              <w:jc w:val="both"/>
              <w:rPr>
                <w:rFonts w:asciiTheme="majorBidi" w:eastAsia="Calibri" w:hAnsiTheme="majorBidi" w:cstheme="majorBidi"/>
                <w:color w:val="000000" w:themeColor="text1"/>
                <w:sz w:val="20"/>
                <w:szCs w:val="20"/>
              </w:rPr>
            </w:pPr>
            <w:r w:rsidRPr="00B3383B">
              <w:rPr>
                <w:rFonts w:asciiTheme="majorBidi" w:eastAsia="Calibri" w:hAnsiTheme="majorBidi" w:cstheme="majorBidi"/>
                <w:color w:val="000000" w:themeColor="text1"/>
                <w:sz w:val="20"/>
                <w:szCs w:val="20"/>
              </w:rPr>
              <w:t xml:space="preserve">GEF (2018) </w:t>
            </w:r>
            <w:hyperlink r:id="rId71" w:history="1">
              <w:r w:rsidRPr="00B3383B">
                <w:rPr>
                  <w:rStyle w:val="Hyperlink"/>
                  <w:rFonts w:asciiTheme="majorBidi" w:eastAsiaTheme="majorEastAsia" w:hAnsiTheme="majorBidi" w:cstheme="majorBidi"/>
                  <w:sz w:val="20"/>
                  <w:szCs w:val="20"/>
                </w:rPr>
                <w:t>Guidelines to Address Gender Inequality</w:t>
              </w:r>
            </w:hyperlink>
            <w:r w:rsidRPr="00B3383B">
              <w:rPr>
                <w:rFonts w:asciiTheme="majorBidi" w:eastAsia="Calibri" w:hAnsiTheme="majorBidi" w:cstheme="majorBidi"/>
                <w:color w:val="000000" w:themeColor="text1"/>
                <w:sz w:val="20"/>
                <w:szCs w:val="20"/>
              </w:rPr>
              <w:t>.</w:t>
            </w:r>
          </w:p>
          <w:p w14:paraId="0BE61E66" w14:textId="77777777" w:rsidR="00FA3866" w:rsidRPr="00B3383B" w:rsidRDefault="00FA3866" w:rsidP="00395866">
            <w:pPr>
              <w:jc w:val="both"/>
              <w:rPr>
                <w:rFonts w:asciiTheme="majorBidi" w:eastAsia="Calibri" w:hAnsiTheme="majorBidi" w:cstheme="majorBidi"/>
                <w:color w:val="000000" w:themeColor="text1"/>
                <w:sz w:val="20"/>
                <w:szCs w:val="20"/>
              </w:rPr>
            </w:pPr>
            <w:r w:rsidRPr="00B3383B">
              <w:rPr>
                <w:rFonts w:asciiTheme="majorBidi" w:eastAsia="Calibri" w:hAnsiTheme="majorBidi" w:cstheme="majorBidi"/>
                <w:color w:val="000000" w:themeColor="text1"/>
                <w:sz w:val="20"/>
                <w:szCs w:val="20"/>
              </w:rPr>
              <w:t xml:space="preserve">ILO (2013) </w:t>
            </w:r>
            <w:hyperlink r:id="rId72" w:history="1">
              <w:r w:rsidRPr="00B3383B">
                <w:rPr>
                  <w:rStyle w:val="Hyperlink"/>
                  <w:rFonts w:asciiTheme="majorBidi" w:eastAsiaTheme="majorEastAsia" w:hAnsiTheme="majorBidi" w:cstheme="majorBidi"/>
                  <w:sz w:val="20"/>
                  <w:szCs w:val="20"/>
                </w:rPr>
                <w:t>Guidance Note 3.1: Integrating gender equality in monitoring and evaluation</w:t>
              </w:r>
            </w:hyperlink>
            <w:r w:rsidRPr="00B3383B">
              <w:rPr>
                <w:rFonts w:asciiTheme="majorBidi" w:eastAsia="Calibri" w:hAnsiTheme="majorBidi" w:cstheme="majorBidi"/>
                <w:color w:val="000000" w:themeColor="text1"/>
                <w:sz w:val="20"/>
                <w:szCs w:val="20"/>
              </w:rPr>
              <w:t>. Updated 2020 (v3).</w:t>
            </w:r>
          </w:p>
          <w:p w14:paraId="1628E216" w14:textId="77777777" w:rsidR="00FA3866" w:rsidRPr="00B3383B" w:rsidRDefault="00FA3866" w:rsidP="00395866">
            <w:pPr>
              <w:jc w:val="both"/>
              <w:rPr>
                <w:rFonts w:asciiTheme="majorBidi" w:eastAsia="Calibri" w:hAnsiTheme="majorBidi" w:cstheme="majorBidi"/>
                <w:color w:val="000000" w:themeColor="text1"/>
                <w:sz w:val="20"/>
                <w:szCs w:val="20"/>
              </w:rPr>
            </w:pPr>
            <w:r w:rsidRPr="00B3383B">
              <w:rPr>
                <w:rFonts w:asciiTheme="majorBidi" w:eastAsia="Calibri" w:hAnsiTheme="majorBidi" w:cstheme="majorBidi"/>
                <w:color w:val="000000" w:themeColor="text1"/>
                <w:sz w:val="20"/>
                <w:szCs w:val="20"/>
              </w:rPr>
              <w:t xml:space="preserve">UNIDO (2015) </w:t>
            </w:r>
            <w:hyperlink r:id="rId73" w:history="1">
              <w:r w:rsidRPr="00B3383B">
                <w:rPr>
                  <w:rStyle w:val="Hyperlink"/>
                  <w:rFonts w:asciiTheme="majorBidi" w:eastAsiaTheme="majorEastAsia" w:hAnsiTheme="majorBidi" w:cstheme="majorBidi"/>
                  <w:sz w:val="20"/>
                  <w:szCs w:val="20"/>
                </w:rPr>
                <w:t>Guide on gender mainstreaming: environmental management projects</w:t>
              </w:r>
            </w:hyperlink>
          </w:p>
          <w:p w14:paraId="3976195B" w14:textId="77777777" w:rsidR="00FA3866" w:rsidRPr="00B3383B" w:rsidRDefault="00FA3866" w:rsidP="00395866">
            <w:pPr>
              <w:jc w:val="both"/>
              <w:rPr>
                <w:rFonts w:asciiTheme="majorBidi" w:eastAsia="Calibri" w:hAnsiTheme="majorBidi" w:cstheme="majorBidi"/>
                <w:color w:val="000000" w:themeColor="text1"/>
                <w:sz w:val="20"/>
                <w:szCs w:val="20"/>
              </w:rPr>
            </w:pPr>
            <w:r w:rsidRPr="00B3383B">
              <w:rPr>
                <w:rFonts w:asciiTheme="majorBidi" w:eastAsia="Calibri" w:hAnsiTheme="majorBidi" w:cstheme="majorBidi"/>
                <w:color w:val="000000" w:themeColor="text1"/>
                <w:sz w:val="20"/>
                <w:szCs w:val="20"/>
              </w:rPr>
              <w:t xml:space="preserve">UNDP (2016) </w:t>
            </w:r>
            <w:hyperlink r:id="rId74" w:history="1">
              <w:r w:rsidRPr="00B3383B">
                <w:rPr>
                  <w:rStyle w:val="Hyperlink"/>
                  <w:rFonts w:asciiTheme="majorBidi" w:eastAsiaTheme="majorEastAsia" w:hAnsiTheme="majorBidi" w:cstheme="majorBidi"/>
                  <w:sz w:val="20"/>
                  <w:szCs w:val="20"/>
                </w:rPr>
                <w:t>How to conduct a gender analysis</w:t>
              </w:r>
            </w:hyperlink>
          </w:p>
          <w:p w14:paraId="2FE01F03" w14:textId="77777777" w:rsidR="00FA3866" w:rsidRPr="00B3383B" w:rsidRDefault="00FA3866" w:rsidP="00395866">
            <w:pPr>
              <w:jc w:val="both"/>
              <w:rPr>
                <w:rFonts w:asciiTheme="majorBidi" w:hAnsiTheme="majorBidi" w:cstheme="majorBidi"/>
                <w:sz w:val="20"/>
                <w:szCs w:val="20"/>
              </w:rPr>
            </w:pPr>
            <w:hyperlink r:id="rId75" w:history="1">
              <w:r w:rsidRPr="00B3383B">
                <w:rPr>
                  <w:rStyle w:val="Hyperlink"/>
                  <w:rFonts w:asciiTheme="majorBidi" w:eastAsiaTheme="majorEastAsia" w:hAnsiTheme="majorBidi" w:cstheme="majorBidi"/>
                  <w:sz w:val="20"/>
                  <w:szCs w:val="20"/>
                  <w:lang w:val="en-GB"/>
                </w:rPr>
                <w:t>CEDAW General Recommendation 39</w:t>
              </w:r>
            </w:hyperlink>
            <w:r w:rsidRPr="00B3383B">
              <w:rPr>
                <w:rFonts w:asciiTheme="majorBidi" w:hAnsiTheme="majorBidi" w:cstheme="majorBidi"/>
                <w:sz w:val="20"/>
                <w:szCs w:val="20"/>
              </w:rPr>
              <w:t xml:space="preserve"> </w:t>
            </w:r>
          </w:p>
          <w:p w14:paraId="02B79277" w14:textId="1C83215F" w:rsidR="00093A6C" w:rsidRPr="00B3383B" w:rsidRDefault="00093A6C" w:rsidP="00395866">
            <w:pPr>
              <w:jc w:val="both"/>
              <w:rPr>
                <w:rFonts w:asciiTheme="majorBidi" w:hAnsiTheme="majorBidi" w:cstheme="majorBidi"/>
                <w:sz w:val="20"/>
                <w:szCs w:val="20"/>
                <w:lang w:val="en-US"/>
              </w:rPr>
            </w:pPr>
            <w:r w:rsidRPr="00B3383B">
              <w:rPr>
                <w:rFonts w:asciiTheme="majorBidi" w:hAnsiTheme="majorBidi" w:cstheme="majorBidi"/>
                <w:sz w:val="20"/>
                <w:szCs w:val="20"/>
                <w:lang w:val="en-US"/>
              </w:rPr>
              <w:t>UNEP-WCMC and W4B (2024) Information Sessions on Indicator Methodology to Measure Progress Towards Target 23 of The Kunming-Montreal Global Biodiversity Framework</w:t>
            </w:r>
          </w:p>
        </w:tc>
      </w:tr>
      <w:tr w:rsidR="00FA3866" w:rsidRPr="003F29B8" w14:paraId="21874CDA" w14:textId="77777777" w:rsidTr="003A1881">
        <w:trPr>
          <w:trHeight w:val="300"/>
        </w:trPr>
        <w:tc>
          <w:tcPr>
            <w:tcW w:w="2910" w:type="dxa"/>
            <w:shd w:val="clear" w:color="auto" w:fill="FFFFFF" w:themeFill="background1"/>
            <w:tcMar>
              <w:left w:w="105" w:type="dxa"/>
              <w:right w:w="105" w:type="dxa"/>
            </w:tcMar>
          </w:tcPr>
          <w:p w14:paraId="12587295" w14:textId="319FDA83" w:rsidR="00FA3866" w:rsidRPr="00B3383B" w:rsidRDefault="00FA3866" w:rsidP="00395866">
            <w:pPr>
              <w:shd w:val="clear" w:color="auto" w:fill="FFFFFF" w:themeFill="background1"/>
              <w:jc w:val="both"/>
              <w:rPr>
                <w:rFonts w:asciiTheme="majorBidi" w:eastAsia="Times New Roman_MSFontService" w:hAnsiTheme="majorBidi" w:cstheme="majorBidi"/>
                <w:color w:val="000000" w:themeColor="text1"/>
                <w:sz w:val="20"/>
                <w:szCs w:val="20"/>
              </w:rPr>
            </w:pPr>
            <w:r w:rsidRPr="00B3383B">
              <w:rPr>
                <w:rFonts w:asciiTheme="majorBidi" w:eastAsia="Times New Roman_MSFontService" w:hAnsiTheme="majorBidi" w:cstheme="majorBidi"/>
                <w:color w:val="000000" w:themeColor="text1"/>
                <w:sz w:val="20"/>
                <w:szCs w:val="20"/>
                <w:lang w:val="en-GB"/>
              </w:rPr>
              <w:t>Intergenerational equity</w:t>
            </w:r>
          </w:p>
        </w:tc>
        <w:tc>
          <w:tcPr>
            <w:tcW w:w="7560" w:type="dxa"/>
            <w:shd w:val="clear" w:color="auto" w:fill="FFFFFF" w:themeFill="background1"/>
            <w:tcMar>
              <w:left w:w="105" w:type="dxa"/>
              <w:right w:w="105" w:type="dxa"/>
            </w:tcMar>
          </w:tcPr>
          <w:p w14:paraId="6050C0CD" w14:textId="77777777" w:rsidR="00B929B4" w:rsidRPr="00B3383B" w:rsidRDefault="00B929B4" w:rsidP="00B929B4">
            <w:pPr>
              <w:jc w:val="both"/>
              <w:rPr>
                <w:sz w:val="20"/>
                <w:szCs w:val="20"/>
              </w:rPr>
            </w:pPr>
            <w:r w:rsidRPr="00B3383B">
              <w:rPr>
                <w:sz w:val="20"/>
                <w:szCs w:val="20"/>
              </w:rPr>
              <w:t xml:space="preserve">Work by the </w:t>
            </w:r>
            <w:hyperlink r:id="rId76" w:history="1">
              <w:r w:rsidRPr="00B3383B">
                <w:rPr>
                  <w:rStyle w:val="Hyperlink"/>
                  <w:sz w:val="20"/>
                  <w:szCs w:val="20"/>
                </w:rPr>
                <w:t>Global Youth Biodiversity Network</w:t>
              </w:r>
            </w:hyperlink>
            <w:r w:rsidRPr="00B3383B">
              <w:rPr>
                <w:sz w:val="20"/>
                <w:szCs w:val="20"/>
              </w:rPr>
              <w:t xml:space="preserve"> on Indicators</w:t>
            </w:r>
          </w:p>
          <w:p w14:paraId="66306A8F" w14:textId="77777777" w:rsidR="00FA3866" w:rsidRPr="00B3383B" w:rsidRDefault="00FA3866" w:rsidP="00395866">
            <w:pPr>
              <w:jc w:val="both"/>
              <w:rPr>
                <w:rFonts w:asciiTheme="majorBidi" w:hAnsiTheme="majorBidi" w:cstheme="majorBidi"/>
                <w:sz w:val="20"/>
                <w:szCs w:val="20"/>
              </w:rPr>
            </w:pPr>
            <w:hyperlink r:id="rId77" w:history="1">
              <w:r w:rsidRPr="00B3383B">
                <w:rPr>
                  <w:rStyle w:val="Hyperlink"/>
                  <w:rFonts w:asciiTheme="majorBidi" w:eastAsiaTheme="majorEastAsia" w:hAnsiTheme="majorBidi" w:cstheme="majorBidi"/>
                  <w:sz w:val="20"/>
                  <w:szCs w:val="20"/>
                  <w:lang w:val="en-GB"/>
                </w:rPr>
                <w:t>Meaningful Youth Engagement in Policy and Decision-making Processes</w:t>
              </w:r>
            </w:hyperlink>
            <w:r w:rsidRPr="00B3383B">
              <w:rPr>
                <w:rFonts w:asciiTheme="majorBidi" w:hAnsiTheme="majorBidi" w:cstheme="majorBidi"/>
                <w:sz w:val="20"/>
                <w:szCs w:val="20"/>
                <w:lang w:val="en-GB"/>
              </w:rPr>
              <w:t xml:space="preserve"> (Our Common Agenda, April 2023) </w:t>
            </w:r>
          </w:p>
          <w:p w14:paraId="6A74E523" w14:textId="77777777" w:rsidR="00FA3866" w:rsidRPr="00B3383B" w:rsidRDefault="00FA3866" w:rsidP="00395866">
            <w:pPr>
              <w:jc w:val="both"/>
              <w:rPr>
                <w:rFonts w:asciiTheme="majorBidi" w:hAnsiTheme="majorBidi" w:cstheme="majorBidi"/>
                <w:sz w:val="20"/>
                <w:szCs w:val="20"/>
              </w:rPr>
            </w:pPr>
            <w:hyperlink r:id="rId78" w:history="1">
              <w:r w:rsidRPr="00B3383B">
                <w:rPr>
                  <w:rStyle w:val="Hyperlink"/>
                  <w:rFonts w:asciiTheme="majorBidi" w:eastAsiaTheme="majorEastAsia" w:hAnsiTheme="majorBidi" w:cstheme="majorBidi"/>
                  <w:sz w:val="20"/>
                  <w:szCs w:val="20"/>
                </w:rPr>
                <w:t>Youth, Peace</w:t>
              </w:r>
              <w:r w:rsidRPr="00B3383B">
                <w:rPr>
                  <w:rStyle w:val="Hyperlink"/>
                  <w:rFonts w:asciiTheme="majorBidi" w:eastAsiaTheme="majorEastAsia" w:hAnsiTheme="majorBidi" w:cstheme="majorBidi"/>
                  <w:sz w:val="20"/>
                  <w:szCs w:val="20"/>
                  <w:lang w:val="en-GB"/>
                </w:rPr>
                <w:t xml:space="preserve"> and Security: A Programming Handbook</w:t>
              </w:r>
            </w:hyperlink>
            <w:r w:rsidRPr="00B3383B">
              <w:rPr>
                <w:rFonts w:asciiTheme="majorBidi" w:hAnsiTheme="majorBidi" w:cstheme="majorBidi"/>
                <w:sz w:val="20"/>
                <w:szCs w:val="20"/>
                <w:u w:val="single"/>
                <w:lang w:val="en-GB"/>
              </w:rPr>
              <w:t xml:space="preserve"> (UN, 2021) - contains some guidance on youth-responsive monitoring</w:t>
            </w:r>
          </w:p>
        </w:tc>
      </w:tr>
    </w:tbl>
    <w:p w14:paraId="3FB6D559" w14:textId="15610A8C" w:rsidR="00FA3866" w:rsidRPr="00ED7E61" w:rsidRDefault="00FA3866" w:rsidP="00B3383B">
      <w:pPr>
        <w:jc w:val="both"/>
        <w:textAlignment w:val="baseline"/>
        <w:rPr>
          <w:rFonts w:asciiTheme="majorBidi" w:hAnsiTheme="majorBidi" w:cstheme="majorBidi"/>
          <w:sz w:val="22"/>
          <w:szCs w:val="22"/>
          <w:lang w:val="en-US"/>
        </w:rPr>
      </w:pPr>
    </w:p>
    <w:p w14:paraId="426C91F9" w14:textId="77777777" w:rsidR="002529BC" w:rsidRDefault="002529BC" w:rsidP="00395866">
      <w:pPr>
        <w:rPr>
          <w:rFonts w:asciiTheme="majorBidi" w:hAnsiTheme="majorBidi" w:cstheme="majorBidi"/>
          <w:sz w:val="22"/>
          <w:szCs w:val="22"/>
        </w:rPr>
        <w:sectPr w:rsidR="002529BC" w:rsidSect="00F9355A">
          <w:headerReference w:type="even" r:id="rId79"/>
          <w:headerReference w:type="default" r:id="rId80"/>
          <w:footerReference w:type="even" r:id="rId81"/>
          <w:footerReference w:type="default" r:id="rId82"/>
          <w:pgSz w:w="12240" w:h="15840"/>
          <w:pgMar w:top="1134" w:right="1440" w:bottom="1134" w:left="1440" w:header="709" w:footer="709" w:gutter="0"/>
          <w:cols w:space="708"/>
          <w:titlePg/>
          <w:docGrid w:linePitch="360"/>
        </w:sectPr>
      </w:pPr>
    </w:p>
    <w:p w14:paraId="1E8555D6" w14:textId="0BF6A577" w:rsidR="00FA3866" w:rsidRPr="00ED7E61" w:rsidRDefault="00FA3866" w:rsidP="00215AED">
      <w:pPr>
        <w:pStyle w:val="Heading3"/>
        <w:rPr>
          <w:lang w:val="en-GB"/>
        </w:rPr>
      </w:pPr>
      <w:bookmarkStart w:id="6" w:name="_Toc178285839"/>
      <w:bookmarkStart w:id="7" w:name="_Hlk175229651"/>
      <w:r w:rsidRPr="00ED7E61">
        <w:rPr>
          <w:bCs/>
          <w:color w:val="000000" w:themeColor="text1"/>
        </w:rPr>
        <w:t>Section 2b</w:t>
      </w:r>
      <w:bookmarkEnd w:id="6"/>
      <w:r w:rsidRPr="00ED7E61">
        <w:rPr>
          <w:color w:val="000000" w:themeColor="text1"/>
        </w:rPr>
        <w:t xml:space="preserve"> </w:t>
      </w:r>
      <w:r w:rsidR="008734AC">
        <w:rPr>
          <w:lang w:val="en-GB"/>
        </w:rPr>
        <w:br/>
      </w:r>
      <w:bookmarkStart w:id="8" w:name="_Toc178285840"/>
      <w:r w:rsidRPr="00ED7E61">
        <w:rPr>
          <w:lang w:val="en-GB"/>
        </w:rPr>
        <w:t>Using a consistent ecosystem classification to support the monitoring framework of the Kunming-Montreal Global Biodiversity Framework based on the IUCN Global Ecosystem Typology</w:t>
      </w:r>
      <w:bookmarkEnd w:id="8"/>
      <w:r w:rsidRPr="00ED7E61">
        <w:rPr>
          <w:lang w:val="en-GB"/>
        </w:rPr>
        <w:t xml:space="preserve"> </w:t>
      </w:r>
    </w:p>
    <w:p w14:paraId="3A379250" w14:textId="72EB53AE" w:rsidR="003D6BBD" w:rsidRPr="00ED7E61" w:rsidRDefault="003D6BBD" w:rsidP="008344AF">
      <w:pPr>
        <w:rPr>
          <w:rFonts w:asciiTheme="majorBidi" w:hAnsiTheme="majorBidi" w:cstheme="majorBidi"/>
          <w:b/>
          <w:bCs/>
          <w:color w:val="000000" w:themeColor="text1"/>
          <w:lang w:val="en-GB"/>
        </w:rPr>
      </w:pPr>
      <w:bookmarkStart w:id="9" w:name="_Hlk163041350"/>
      <w:r w:rsidRPr="00ED7E61">
        <w:rPr>
          <w:rFonts w:asciiTheme="majorBidi" w:hAnsiTheme="majorBidi" w:cstheme="majorBidi"/>
          <w:b/>
          <w:bCs/>
          <w:color w:val="000000" w:themeColor="text1"/>
          <w:lang w:val="en-GB"/>
        </w:rPr>
        <w:t>Summary</w:t>
      </w:r>
    </w:p>
    <w:p w14:paraId="6CEC7CAE" w14:textId="480FD8A1" w:rsidR="003D6BBD" w:rsidRPr="00ED7E61" w:rsidRDefault="003D6BBD" w:rsidP="00B10F0C">
      <w:pPr>
        <w:pStyle w:val="CBDNormalNumber"/>
        <w:numPr>
          <w:ilvl w:val="0"/>
          <w:numId w:val="39"/>
        </w:numPr>
      </w:pPr>
      <w:r w:rsidRPr="00C15AAE">
        <w:t>The</w:t>
      </w:r>
      <w:r w:rsidRPr="00ED7E61">
        <w:t xml:space="preserve"> Kunming-Montreal Global Biodiversity Framework (GBF) under the UN Convention on Biological Diversity includes goals, targets and headline indictors for ecosystems, including for Goal A, Goal B and multiple targets. Section C states that the Framework is to be implemented based on the ecosystem approach.  While application of the ecosystem approach </w:t>
      </w:r>
      <w:r w:rsidRPr="002529BC">
        <w:rPr>
          <w:i/>
          <w:iCs/>
        </w:rPr>
        <w:t>per se</w:t>
      </w:r>
      <w:r w:rsidRPr="00ED7E61">
        <w:t xml:space="preserve"> is context specific, its implementation, monitoring and reporting can be aided by using a consistent framework for classifying ecosystems. The AHTEG considered the results of a UNSD-led expert group of available methodologies for global ecosystem classifications and recommended that the Global Ecosystem Typology (GET) developed by IUCN be used for this purpose. The GET is a hierarchical ecosystem classification system used across sectors, that supports the use of national data for global reporting. The recommended level for reporting for ecosystem-related indicators is level 3 of GET hierarchy (ecosystem functional groups), based on national ecosystem data. </w:t>
      </w:r>
    </w:p>
    <w:p w14:paraId="25706DD9" w14:textId="6DA4093C" w:rsidR="008344AF" w:rsidRPr="00ED7E61" w:rsidRDefault="003D6BBD" w:rsidP="00B10F0C">
      <w:pPr>
        <w:pStyle w:val="CBDNormalNumber"/>
        <w:numPr>
          <w:ilvl w:val="0"/>
          <w:numId w:val="39"/>
        </w:numPr>
      </w:pPr>
      <w:r w:rsidRPr="00ED7E61">
        <w:t xml:space="preserve">Importantly, the GET does not replace national classifications and maps, which are the foundation of planning and implementing the Kunming-Montreal Global Biodiversity Framework. </w:t>
      </w:r>
      <w:r w:rsidR="000B7763" w:rsidRPr="00ED7E61">
        <w:t>It complements them, by providing a common language to group similar ecosystems in different ecosystem classifications (e.g. in national classifications in different countries)</w:t>
      </w:r>
      <w:r w:rsidRPr="00ED7E61">
        <w:t>, through cross-referencing national ecosystem types</w:t>
      </w:r>
      <w:r w:rsidR="000B7763" w:rsidRPr="00ED7E61">
        <w:t xml:space="preserve"> with the GET</w:t>
      </w:r>
      <w:r w:rsidRPr="00ED7E61">
        <w:t>. Using level 3 of the GET</w:t>
      </w:r>
      <w:r w:rsidR="000B7763" w:rsidRPr="00ED7E61">
        <w:t xml:space="preserve"> (ecosystem functional groups)</w:t>
      </w:r>
      <w:r w:rsidRPr="00ED7E61">
        <w:t xml:space="preserve"> </w:t>
      </w:r>
      <w:r w:rsidR="000B7763" w:rsidRPr="00ED7E61">
        <w:t>helps to</w:t>
      </w:r>
      <w:r w:rsidRPr="00ED7E61">
        <w:t xml:space="preserve"> </w:t>
      </w:r>
      <w:r w:rsidR="000B7763" w:rsidRPr="00ED7E61">
        <w:t>differentiate</w:t>
      </w:r>
      <w:r w:rsidRPr="00ED7E61">
        <w:t xml:space="preserve"> of ecosystem groups by the biodiversity they support, the benefits they provide, the pressures and threats they face and thus actions needed. It can also improve understanding of links between actions (e.g. indicator 2.2, area under restoration) and outcomes (e.g. indicator A2, extent of natural ecosystems, and A1, Red List of Ecosystems). The AHTEG’s recommendation takes into account the need to respect the application of the typology under diverse circumstances of data availability and capacity, while also supporting the use of national data and knowledge for ecosystem reporting. National reporting by GET level 3 ecosystem functional groups would require national ecosystem data to be cross-referenced with GET classes – that is, national ecosystem types are assigned to ecosystem functional groups. This is referred to as ‘mapping national ecosystem data to the Global Ecosystem Typology level 3’ in CBD/SBSTTA/26/2. The use of the GET </w:t>
      </w:r>
      <w:r w:rsidR="000B7763" w:rsidRPr="00ED7E61">
        <w:t xml:space="preserve">supports the use of </w:t>
      </w:r>
      <w:r w:rsidRPr="00ED7E61">
        <w:t>national data for national reporting</w:t>
      </w:r>
      <w:r w:rsidR="000B7763" w:rsidRPr="00ED7E61">
        <w:t xml:space="preserve"> on ecosystems</w:t>
      </w:r>
      <w:r w:rsidRPr="00ED7E61">
        <w:t xml:space="preserve">, </w:t>
      </w:r>
      <w:r w:rsidR="000B7763" w:rsidRPr="00ED7E61">
        <w:t xml:space="preserve">while </w:t>
      </w:r>
      <w:r w:rsidRPr="00ED7E61">
        <w:t>allow</w:t>
      </w:r>
      <w:r w:rsidR="000B7763" w:rsidRPr="00ED7E61">
        <w:t>ing</w:t>
      </w:r>
      <w:r w:rsidRPr="00ED7E61">
        <w:t xml:space="preserve"> headline indicators to be compiled and disaggregated consistently across countries and indicators. </w:t>
      </w:r>
    </w:p>
    <w:p w14:paraId="1C619454" w14:textId="0CABB4AB" w:rsidR="003D6BBD" w:rsidRPr="00ED7E61" w:rsidRDefault="008344AF" w:rsidP="00B10F0C">
      <w:pPr>
        <w:pStyle w:val="CBDNormalNumber"/>
        <w:numPr>
          <w:ilvl w:val="0"/>
          <w:numId w:val="39"/>
        </w:numPr>
      </w:pPr>
      <w:r w:rsidRPr="00ED7E61">
        <w:rPr>
          <w:rFonts w:asciiTheme="majorBidi" w:hAnsiTheme="majorBidi" w:cstheme="majorBidi"/>
          <w:color w:val="000000" w:themeColor="text1"/>
        </w:rPr>
        <w:t xml:space="preserve">The </w:t>
      </w:r>
      <w:r w:rsidR="003D6BBD" w:rsidRPr="00ED7E61">
        <w:t xml:space="preserve">biggest challenge in applying the GET is that data availability and capacity </w:t>
      </w:r>
      <w:r w:rsidR="000B7763" w:rsidRPr="00ED7E61">
        <w:t>for</w:t>
      </w:r>
      <w:r w:rsidR="003D6BBD" w:rsidRPr="00ED7E61">
        <w:t xml:space="preserve"> ecosystems are not well understood, although the Global Earth Observation (GEO) Global Ecosystems Atlas initiative is currently compiling a database of appropriate ecosystem data (ecosystem classifications and maps) at national and global scales to support national reporting. Initial analyses suggest that at least 70 countries may have suitable ecosystem data to support reporting for at least some ecosystem groups where cross-references between national ecosystem classifications and the use of the GET is feasible or has already occurred. Other countries will need support to develop new national classifications and maps, or to use other sources (such as global data), which may be assisted by the GEO Atlas. Future work needed includes guidelines and tools for cross-referencing, for developing new ecosystem classify cations and maps, databases that could support application, and initiatives and people who can build capacity and support countries. The science of ecosystem classification, mapping and assessment has leapt forward over the last decade, making such advances now feasible over the coming five years and enabling science-based reporting for ecosystems across the GBF.</w:t>
      </w:r>
    </w:p>
    <w:p w14:paraId="54BE57A5" w14:textId="161EBF6A" w:rsidR="003D6BBD" w:rsidRPr="00ED7E61" w:rsidRDefault="003D6BBD" w:rsidP="00FB1598">
      <w:pPr>
        <w:keepNext/>
        <w:rPr>
          <w:rFonts w:asciiTheme="majorBidi" w:hAnsiTheme="majorBidi" w:cstheme="majorBidi"/>
          <w:color w:val="000000" w:themeColor="text1"/>
          <w:sz w:val="22"/>
          <w:szCs w:val="22"/>
          <w:lang w:val="en-GB"/>
        </w:rPr>
      </w:pPr>
      <w:bookmarkStart w:id="10" w:name="_Background"/>
      <w:bookmarkEnd w:id="10"/>
      <w:r w:rsidRPr="00ED7E61">
        <w:rPr>
          <w:rFonts w:asciiTheme="majorBidi" w:hAnsiTheme="majorBidi" w:cstheme="majorBidi"/>
          <w:b/>
          <w:bCs/>
          <w:color w:val="000000" w:themeColor="text1"/>
          <w:sz w:val="22"/>
          <w:szCs w:val="22"/>
          <w:lang w:val="en-GB"/>
        </w:rPr>
        <w:t>Background</w:t>
      </w:r>
    </w:p>
    <w:p w14:paraId="078EB937" w14:textId="18F55960" w:rsidR="008344AF" w:rsidRPr="00ED7E61" w:rsidRDefault="003D6BBD" w:rsidP="00B10F0C">
      <w:pPr>
        <w:pStyle w:val="CBDNormalNumber"/>
        <w:numPr>
          <w:ilvl w:val="0"/>
          <w:numId w:val="39"/>
        </w:numPr>
        <w:rPr>
          <w:rFonts w:asciiTheme="majorBidi" w:hAnsiTheme="majorBidi" w:cstheme="majorBidi"/>
          <w:color w:val="000000" w:themeColor="text1"/>
        </w:rPr>
      </w:pPr>
      <w:r w:rsidRPr="00ED7E61">
        <w:rPr>
          <w:rFonts w:asciiTheme="majorBidi" w:hAnsiTheme="majorBidi" w:cstheme="majorBidi"/>
          <w:color w:val="000000" w:themeColor="text1"/>
        </w:rPr>
        <w:t xml:space="preserve">The implementation and monitoring of the Kunming-Montreal Global Biodiversity Framework will </w:t>
      </w:r>
      <w:r w:rsidRPr="00B3383B">
        <w:t>be</w:t>
      </w:r>
      <w:r w:rsidRPr="00ED7E61">
        <w:rPr>
          <w:rFonts w:asciiTheme="majorBidi" w:hAnsiTheme="majorBidi" w:cstheme="majorBidi"/>
          <w:color w:val="000000" w:themeColor="text1"/>
        </w:rPr>
        <w:t xml:space="preserve"> greatly facilitated by the use of ecosystem classifications and maps that are relevant at the national scale. This is because aspects of Goal A and many targets explicitly include ecosystems, and ecosystem maps and classifications form the basis for headline indicators A1 and A2. Ecosystem classifications and maps also play key roles in in biodiversity-inclusive spatial planning, restoration and identifying new protected areas and/or other effective conservation measures</w:t>
      </w:r>
      <w:r w:rsidR="001E3385">
        <w:rPr>
          <w:rFonts w:asciiTheme="majorBidi" w:hAnsiTheme="majorBidi" w:cstheme="majorBidi"/>
          <w:color w:val="000000" w:themeColor="text1"/>
        </w:rPr>
        <w:t xml:space="preserve"> </w:t>
      </w:r>
      <w:r w:rsidR="001E3385" w:rsidRPr="001E3385">
        <w:rPr>
          <w:rFonts w:asciiTheme="majorBidi" w:hAnsiTheme="majorBidi" w:cstheme="majorBidi"/>
          <w:color w:val="000000" w:themeColor="text1"/>
        </w:rPr>
        <w:t>(</w:t>
      </w:r>
      <w:r w:rsidR="001E3385" w:rsidRPr="001E3385">
        <w:rPr>
          <w:rFonts w:asciiTheme="majorBidi" w:hAnsiTheme="majorBidi" w:cstheme="majorBidi"/>
          <w:noProof/>
        </w:rPr>
        <w:t>Nicholson, E.</w:t>
      </w:r>
      <w:r w:rsidR="001E3385" w:rsidRPr="00FB1598">
        <w:rPr>
          <w:rFonts w:asciiTheme="majorBidi" w:hAnsiTheme="majorBidi" w:cstheme="majorBidi"/>
          <w:noProof/>
        </w:rPr>
        <w:t xml:space="preserve"> et al.2024)</w:t>
      </w:r>
      <w:r w:rsidRPr="00ED7E61">
        <w:rPr>
          <w:rFonts w:asciiTheme="majorBidi" w:hAnsiTheme="majorBidi" w:cstheme="majorBidi"/>
          <w:color w:val="000000" w:themeColor="text1"/>
        </w:rPr>
        <w:t>.</w:t>
      </w:r>
      <w:r w:rsidR="001E3385" w:rsidRPr="00ED7E61" w:rsidDel="001E3385">
        <w:rPr>
          <w:rFonts w:asciiTheme="majorBidi" w:hAnsiTheme="majorBidi" w:cstheme="majorBidi"/>
          <w:color w:val="000000" w:themeColor="text1"/>
        </w:rPr>
        <w:t xml:space="preserve"> </w:t>
      </w:r>
    </w:p>
    <w:p w14:paraId="7DD34218" w14:textId="4851E542" w:rsidR="008344AF" w:rsidRPr="00ED7E61" w:rsidRDefault="003D6BBD" w:rsidP="00B10F0C">
      <w:pPr>
        <w:pStyle w:val="CBDNormalNumber"/>
        <w:numPr>
          <w:ilvl w:val="0"/>
          <w:numId w:val="39"/>
        </w:numPr>
        <w:rPr>
          <w:rFonts w:asciiTheme="majorBidi" w:hAnsiTheme="majorBidi" w:cstheme="majorBidi"/>
          <w:color w:val="000000" w:themeColor="text1"/>
        </w:rPr>
      </w:pPr>
      <w:r w:rsidRPr="00ED7E61">
        <w:rPr>
          <w:rFonts w:asciiTheme="majorBidi" w:hAnsiTheme="majorBidi" w:cstheme="majorBidi"/>
          <w:color w:val="000000" w:themeColor="text1"/>
        </w:rPr>
        <w:t xml:space="preserve">A </w:t>
      </w:r>
      <w:r w:rsidRPr="00B3383B">
        <w:t>consistent</w:t>
      </w:r>
      <w:r w:rsidRPr="00ED7E61">
        <w:rPr>
          <w:rFonts w:asciiTheme="majorBidi" w:hAnsiTheme="majorBidi" w:cstheme="majorBidi"/>
          <w:color w:val="000000" w:themeColor="text1"/>
        </w:rPr>
        <w:t xml:space="preserve"> approach to ecosystems classification can support more informative </w:t>
      </w:r>
      <w:r w:rsidR="001E3385">
        <w:rPr>
          <w:rFonts w:asciiTheme="majorBidi" w:hAnsiTheme="majorBidi" w:cstheme="majorBidi"/>
          <w:color w:val="000000" w:themeColor="text1"/>
        </w:rPr>
        <w:t>(CBD 2023) r</w:t>
      </w:r>
      <w:r w:rsidRPr="00ED7E61">
        <w:rPr>
          <w:rFonts w:asciiTheme="majorBidi" w:hAnsiTheme="majorBidi" w:cstheme="majorBidi"/>
          <w:color w:val="000000" w:themeColor="text1"/>
        </w:rPr>
        <w:t>eporting of a range of headline indicators that relate to ecosystems across the monitoring framework</w:t>
      </w:r>
      <w:r w:rsidR="008734AC">
        <w:rPr>
          <w:rFonts w:asciiTheme="majorBidi" w:hAnsiTheme="majorBidi" w:cstheme="majorBidi"/>
          <w:color w:val="000000" w:themeColor="text1"/>
        </w:rPr>
        <w:t>,</w:t>
      </w:r>
      <w:r w:rsidRPr="00ED7E61">
        <w:rPr>
          <w:rFonts w:asciiTheme="majorBidi" w:hAnsiTheme="majorBidi" w:cstheme="majorBidi"/>
          <w:color w:val="000000" w:themeColor="text1"/>
        </w:rPr>
        <w:fldChar w:fldCharType="begin"/>
      </w:r>
      <w:r w:rsidRPr="00ED7E61">
        <w:rPr>
          <w:rFonts w:asciiTheme="majorBidi" w:hAnsiTheme="majorBidi" w:cstheme="majorBidi"/>
          <w:color w:val="000000" w:themeColor="text1"/>
        </w:rPr>
        <w:instrText xml:space="preserve"> ADDIN EN.CITE &lt;EndNote&gt;&lt;Cite&gt;&lt;Author&gt;CBD&lt;/Author&gt;&lt;Year&gt;2023&lt;/Year&gt;&lt;RecNum&gt;4460&lt;/RecNum&gt;&lt;DisplayText&gt;&lt;style face="superscript"&gt;3&lt;/style&gt;&lt;/DisplayText&gt;&lt;record&gt;&lt;rec-number&gt;4460&lt;/rec-number&gt;&lt;foreign-keys&gt;&lt;key app="EN" db-id="0afwtsxxhe50rce2r5b5wzddxe9z92f9pvvv" timestamp="1706768727"&gt;4460&lt;/key&gt;&lt;/foreign-keys&gt;&lt;ref-type name="Report"&gt;27&lt;/ref-type&gt;&lt;contributors&gt;&lt;authors&gt;&lt;author&gt;CBD&lt;/author&gt;&lt;/authors&gt;&lt;/contributors&gt;&lt;titles&gt;&lt;title&gt;Report of the Ad Hoc Technical Expert Group on Indicators for the Kunming-Montreal Global Biodiversity Framework on its third meeting. CBD/IND/AHTEG/2023/3/2. a.&amp;#x9;https://www.cbd.int/doc/c/f22d/ab58/236acdd54779ab58b97aecf1/ind-ahteg-2023-03-02-en.pdf &lt;/title&gt;&lt;/titles&gt;&lt;dates&gt;&lt;year&gt;2023&lt;/year&gt;&lt;/dates&gt;&lt;publisher&gt;Convention on Biological Diversity&lt;/publisher&gt;&lt;urls&gt;&lt;/urls&gt;&lt;/record&gt;&lt;/Cite&gt;&lt;/EndNote&gt;</w:instrText>
      </w:r>
      <w:r w:rsidRPr="00ED7E61">
        <w:rPr>
          <w:rFonts w:asciiTheme="majorBidi" w:hAnsiTheme="majorBidi" w:cstheme="majorBidi"/>
          <w:color w:val="000000" w:themeColor="text1"/>
        </w:rPr>
        <w:fldChar w:fldCharType="separate"/>
      </w:r>
      <w:r w:rsidRPr="00ED7E61">
        <w:rPr>
          <w:rFonts w:asciiTheme="majorBidi" w:hAnsiTheme="majorBidi" w:cstheme="majorBidi"/>
          <w:noProof/>
          <w:color w:val="000000" w:themeColor="text1"/>
          <w:vertAlign w:val="superscript"/>
        </w:rPr>
        <w:t>3</w:t>
      </w:r>
      <w:r w:rsidRPr="00ED7E61">
        <w:rPr>
          <w:rFonts w:asciiTheme="majorBidi" w:hAnsiTheme="majorBidi" w:cstheme="majorBidi"/>
          <w:color w:val="000000" w:themeColor="text1"/>
        </w:rPr>
        <w:fldChar w:fldCharType="end"/>
      </w:r>
      <w:r w:rsidRPr="00ED7E61">
        <w:rPr>
          <w:rFonts w:asciiTheme="majorBidi" w:hAnsiTheme="majorBidi" w:cstheme="majorBidi"/>
          <w:color w:val="000000" w:themeColor="text1"/>
        </w:rPr>
        <w:t xml:space="preserve"> including: </w:t>
      </w:r>
    </w:p>
    <w:p w14:paraId="55146500" w14:textId="2C11EB0C" w:rsidR="008344AF" w:rsidRPr="00ED7E61" w:rsidRDefault="003D6BBD" w:rsidP="00B10F0C">
      <w:pPr>
        <w:pStyle w:val="CBDNormalNumber"/>
        <w:numPr>
          <w:ilvl w:val="1"/>
          <w:numId w:val="38"/>
        </w:numPr>
      </w:pPr>
      <w:r w:rsidRPr="00ED7E61">
        <w:t xml:space="preserve">Goal A on enhancing ecosystem integrity, connectivity, and resilience, and increasing ecosystem area (Headline indicators A1 Red List of Ecosystems and A2 Ecosystem extent); </w:t>
      </w:r>
    </w:p>
    <w:p w14:paraId="6B807ACE" w14:textId="2C8448F9" w:rsidR="008344AF" w:rsidRPr="00ED7E61" w:rsidRDefault="003D6BBD" w:rsidP="00B10F0C">
      <w:pPr>
        <w:pStyle w:val="CBDNormalNumber"/>
        <w:numPr>
          <w:ilvl w:val="1"/>
          <w:numId w:val="38"/>
        </w:numPr>
        <w:rPr>
          <w:rFonts w:asciiTheme="majorBidi" w:hAnsiTheme="majorBidi" w:cstheme="majorBidi"/>
          <w:color w:val="000000" w:themeColor="text1"/>
        </w:rPr>
      </w:pPr>
      <w:r w:rsidRPr="00ED7E61">
        <w:rPr>
          <w:rFonts w:asciiTheme="majorBidi" w:hAnsiTheme="majorBidi" w:cstheme="majorBidi"/>
          <w:color w:val="000000" w:themeColor="text1"/>
        </w:rPr>
        <w:t xml:space="preserve">Goal B on </w:t>
      </w:r>
      <w:r w:rsidRPr="00B3383B">
        <w:t>sustaining</w:t>
      </w:r>
      <w:r w:rsidRPr="00ED7E61">
        <w:rPr>
          <w:rFonts w:asciiTheme="majorBidi" w:hAnsiTheme="majorBidi" w:cstheme="majorBidi"/>
          <w:color w:val="000000" w:themeColor="text1"/>
        </w:rPr>
        <w:t xml:space="preserve"> nature’s contributions to people (B.1 Services provided by ecosystems);</w:t>
      </w:r>
    </w:p>
    <w:p w14:paraId="63FCCA3C" w14:textId="5171B9CD" w:rsidR="008344AF" w:rsidRPr="00ED7E61" w:rsidRDefault="003D6BBD" w:rsidP="00B10F0C">
      <w:pPr>
        <w:pStyle w:val="CBDNormalNumber"/>
        <w:numPr>
          <w:ilvl w:val="1"/>
          <w:numId w:val="38"/>
        </w:numPr>
        <w:rPr>
          <w:rFonts w:asciiTheme="majorBidi" w:hAnsiTheme="majorBidi" w:cstheme="majorBidi"/>
          <w:color w:val="000000" w:themeColor="text1"/>
        </w:rPr>
      </w:pPr>
      <w:r w:rsidRPr="00ED7E61">
        <w:rPr>
          <w:rFonts w:asciiTheme="majorBidi" w:hAnsiTheme="majorBidi" w:cstheme="majorBidi"/>
          <w:color w:val="000000" w:themeColor="text1"/>
        </w:rPr>
        <w:t xml:space="preserve">Target 1 on </w:t>
      </w:r>
      <w:r w:rsidRPr="00B3383B">
        <w:t>integrated</w:t>
      </w:r>
      <w:r w:rsidRPr="00ED7E61">
        <w:rPr>
          <w:rFonts w:asciiTheme="majorBidi" w:hAnsiTheme="majorBidi" w:cstheme="majorBidi"/>
          <w:color w:val="000000" w:themeColor="text1"/>
        </w:rPr>
        <w:t xml:space="preserve"> spatial planning to reduce ecosystem loss;</w:t>
      </w:r>
    </w:p>
    <w:p w14:paraId="1885ED24" w14:textId="54A995FA" w:rsidR="008344AF" w:rsidRPr="00ED7E61" w:rsidRDefault="003D6BBD" w:rsidP="00B10F0C">
      <w:pPr>
        <w:pStyle w:val="CBDNormalNumber"/>
        <w:numPr>
          <w:ilvl w:val="1"/>
          <w:numId w:val="38"/>
        </w:numPr>
        <w:rPr>
          <w:rFonts w:asciiTheme="majorBidi" w:hAnsiTheme="majorBidi" w:cstheme="majorBidi"/>
          <w:color w:val="000000" w:themeColor="text1"/>
        </w:rPr>
      </w:pPr>
      <w:r w:rsidRPr="00ED7E61">
        <w:rPr>
          <w:rFonts w:asciiTheme="majorBidi" w:hAnsiTheme="majorBidi" w:cstheme="majorBidi"/>
          <w:color w:val="000000" w:themeColor="text1"/>
        </w:rPr>
        <w:t xml:space="preserve">Target 2 on </w:t>
      </w:r>
      <w:r w:rsidRPr="00B3383B">
        <w:t>restoration</w:t>
      </w:r>
      <w:r w:rsidRPr="00ED7E61">
        <w:rPr>
          <w:rFonts w:asciiTheme="majorBidi" w:hAnsiTheme="majorBidi" w:cstheme="majorBidi"/>
          <w:color w:val="000000" w:themeColor="text1"/>
        </w:rPr>
        <w:t xml:space="preserve"> (2.2 Area under restoration); </w:t>
      </w:r>
    </w:p>
    <w:p w14:paraId="732D87EF" w14:textId="28374AED" w:rsidR="008344AF" w:rsidRPr="00ED7E61" w:rsidRDefault="003D6BBD" w:rsidP="00B10F0C">
      <w:pPr>
        <w:pStyle w:val="CBDNormalNumber"/>
        <w:numPr>
          <w:ilvl w:val="1"/>
          <w:numId w:val="38"/>
        </w:numPr>
        <w:rPr>
          <w:rFonts w:asciiTheme="majorBidi" w:hAnsiTheme="majorBidi" w:cstheme="majorBidi"/>
          <w:color w:val="000000" w:themeColor="text1"/>
        </w:rPr>
      </w:pPr>
      <w:r w:rsidRPr="00ED7E61">
        <w:rPr>
          <w:rFonts w:asciiTheme="majorBidi" w:hAnsiTheme="majorBidi" w:cstheme="majorBidi"/>
          <w:color w:val="000000" w:themeColor="text1"/>
        </w:rPr>
        <w:t xml:space="preserve">Target 3 on </w:t>
      </w:r>
      <w:r w:rsidRPr="00B3383B">
        <w:t>protected</w:t>
      </w:r>
      <w:r w:rsidRPr="00ED7E61">
        <w:rPr>
          <w:rFonts w:asciiTheme="majorBidi" w:hAnsiTheme="majorBidi" w:cstheme="majorBidi"/>
          <w:color w:val="000000" w:themeColor="text1"/>
        </w:rPr>
        <w:t xml:space="preserve"> areas (PAs) and other effective area-based conservation measures (OECMS) (3.1 Coverage of PAs and OECMs);</w:t>
      </w:r>
    </w:p>
    <w:p w14:paraId="5EBB42E7" w14:textId="77777777" w:rsidR="003D6BBD" w:rsidRPr="00ED7E61" w:rsidRDefault="003D6BBD" w:rsidP="00B10F0C">
      <w:pPr>
        <w:pStyle w:val="CBDNormalNumber"/>
        <w:numPr>
          <w:ilvl w:val="1"/>
          <w:numId w:val="38"/>
        </w:numPr>
        <w:rPr>
          <w:rFonts w:asciiTheme="majorBidi" w:hAnsiTheme="majorBidi" w:cstheme="majorBidi"/>
          <w:color w:val="000000" w:themeColor="text1"/>
        </w:rPr>
      </w:pPr>
      <w:r w:rsidRPr="00ED7E61">
        <w:rPr>
          <w:rFonts w:asciiTheme="majorBidi" w:hAnsiTheme="majorBidi" w:cstheme="majorBidi"/>
          <w:color w:val="000000" w:themeColor="text1"/>
        </w:rPr>
        <w:t xml:space="preserve">Target 6 on </w:t>
      </w:r>
      <w:r w:rsidRPr="00B3383B">
        <w:t>invasive</w:t>
      </w:r>
      <w:r w:rsidRPr="00ED7E61">
        <w:rPr>
          <w:rFonts w:asciiTheme="majorBidi" w:hAnsiTheme="majorBidi" w:cstheme="majorBidi"/>
          <w:color w:val="000000" w:themeColor="text1"/>
        </w:rPr>
        <w:t xml:space="preserve"> species (6.1 Rate of invasive alien species establishment).</w:t>
      </w:r>
    </w:p>
    <w:p w14:paraId="78F6500F" w14:textId="3230BB85" w:rsidR="008344AF" w:rsidRPr="00ED7E61" w:rsidRDefault="003D6BBD" w:rsidP="00B10F0C">
      <w:pPr>
        <w:pStyle w:val="CBDNormalNumber"/>
        <w:numPr>
          <w:ilvl w:val="0"/>
          <w:numId w:val="39"/>
        </w:numPr>
        <w:rPr>
          <w:rFonts w:asciiTheme="majorBidi" w:hAnsiTheme="majorBidi" w:cstheme="majorBidi"/>
          <w:color w:val="000000" w:themeColor="text1"/>
        </w:rPr>
      </w:pPr>
      <w:r w:rsidRPr="00ED7E61">
        <w:rPr>
          <w:rFonts w:asciiTheme="majorBidi" w:hAnsiTheme="majorBidi" w:cstheme="majorBidi"/>
          <w:color w:val="000000" w:themeColor="text1"/>
        </w:rPr>
        <w:t xml:space="preserve">The </w:t>
      </w:r>
      <w:r w:rsidRPr="00B3383B">
        <w:t>AHTEG</w:t>
      </w:r>
      <w:r w:rsidRPr="00ED7E61">
        <w:rPr>
          <w:rFonts w:asciiTheme="majorBidi" w:hAnsiTheme="majorBidi" w:cstheme="majorBidi"/>
          <w:color w:val="000000" w:themeColor="text1"/>
        </w:rPr>
        <w:t xml:space="preserve"> considered the results of a UNSD-led expert group of available methodologies for global ecosystem classification. The AHTEG recommends the use of the Global Ecosystem Typology (GET), level 3 developed by IUCN for the purposes of global monitoring of the implementation of the Kunming-Montreal Global Biodiversity Framework. The GET was first published in 2020, with updates published in 2022</w:t>
      </w:r>
      <w:r w:rsidRPr="00FB1598">
        <w:rPr>
          <w:vertAlign w:val="superscript"/>
        </w:rPr>
        <w:footnoteReference w:id="21"/>
      </w:r>
      <w:r w:rsidRPr="00ED7E61">
        <w:rPr>
          <w:rFonts w:asciiTheme="majorBidi" w:hAnsiTheme="majorBidi" w:cstheme="majorBidi"/>
          <w:color w:val="000000" w:themeColor="text1"/>
        </w:rPr>
        <w:t xml:space="preserve"> and has already been adopted as an international standard by multiple intergovernmental organi</w:t>
      </w:r>
      <w:r w:rsidR="00B10F0C">
        <w:rPr>
          <w:rFonts w:asciiTheme="majorBidi" w:hAnsiTheme="majorBidi" w:cstheme="majorBidi"/>
          <w:color w:val="000000" w:themeColor="text1"/>
        </w:rPr>
        <w:t>z</w:t>
      </w:r>
      <w:r w:rsidRPr="00ED7E61">
        <w:rPr>
          <w:rFonts w:asciiTheme="majorBidi" w:hAnsiTheme="majorBidi" w:cstheme="majorBidi"/>
          <w:color w:val="000000" w:themeColor="text1"/>
        </w:rPr>
        <w:t>ations across sectors. It was adopted by the United Nations Statistical Commission at its 55</w:t>
      </w:r>
      <w:r w:rsidRPr="00FB1598">
        <w:rPr>
          <w:rFonts w:asciiTheme="majorBidi" w:hAnsiTheme="majorBidi" w:cstheme="majorBidi"/>
          <w:color w:val="000000" w:themeColor="text1"/>
          <w:vertAlign w:val="superscript"/>
        </w:rPr>
        <w:t>th</w:t>
      </w:r>
      <w:r w:rsidRPr="00ED7E61">
        <w:rPr>
          <w:rFonts w:asciiTheme="majorBidi" w:hAnsiTheme="majorBidi" w:cstheme="majorBidi"/>
          <w:color w:val="000000" w:themeColor="text1"/>
        </w:rPr>
        <w:t xml:space="preserve"> session in March 2024 as an international statistical classification. Further the UN Statistics Division uses the GET as a reference classification for ecosystem accounting and it was endorsed as a global standard by IUCN at the 2020 World Conservation Congress (Resolution 7.061). A review, led by the UNSD-led expert working group as part of the revision of UN SEEA EA of the available methodologies for global ecosystem classification, found that other approaches do not have the same level of global comprehensiveness across realms, or consideration of function and composition (and thus applicable to goals relating to biodiversity and ecosystem services</w:t>
      </w:r>
      <w:r w:rsidR="000B7763" w:rsidRPr="00ED7E61">
        <w:rPr>
          <w:rFonts w:asciiTheme="majorBidi" w:hAnsiTheme="majorBidi" w:cstheme="majorBidi"/>
          <w:color w:val="000000" w:themeColor="text1"/>
        </w:rPr>
        <w:t xml:space="preserve"> – Goals A and B of the Kunming-Montreal Global Biodiversity Framework</w:t>
      </w:r>
      <w:r w:rsidRPr="00ED7E61">
        <w:rPr>
          <w:rFonts w:asciiTheme="majorBidi" w:hAnsiTheme="majorBidi" w:cstheme="majorBidi"/>
          <w:color w:val="000000" w:themeColor="text1"/>
        </w:rPr>
        <w:t>)</w:t>
      </w:r>
      <w:r w:rsidRPr="00FB1598">
        <w:rPr>
          <w:vertAlign w:val="superscript"/>
        </w:rPr>
        <w:footnoteReference w:id="22"/>
      </w:r>
      <w:r w:rsidR="005E2FA0">
        <w:rPr>
          <w:rFonts w:asciiTheme="majorBidi" w:hAnsiTheme="majorBidi" w:cstheme="majorBidi"/>
          <w:color w:val="000000" w:themeColor="text1"/>
        </w:rPr>
        <w:t xml:space="preserve">, </w:t>
      </w:r>
      <w:r w:rsidRPr="00ED7E61">
        <w:rPr>
          <w:rFonts w:asciiTheme="majorBidi" w:hAnsiTheme="majorBidi" w:cstheme="majorBidi"/>
          <w:color w:val="000000" w:themeColor="text1"/>
        </w:rPr>
        <w:t>Several organi</w:t>
      </w:r>
      <w:r w:rsidR="00B10F0C">
        <w:rPr>
          <w:rFonts w:asciiTheme="majorBidi" w:hAnsiTheme="majorBidi" w:cstheme="majorBidi"/>
          <w:color w:val="000000" w:themeColor="text1"/>
        </w:rPr>
        <w:t>z</w:t>
      </w:r>
      <w:r w:rsidRPr="00ED7E61">
        <w:rPr>
          <w:rFonts w:asciiTheme="majorBidi" w:hAnsiTheme="majorBidi" w:cstheme="majorBidi"/>
          <w:color w:val="000000" w:themeColor="text1"/>
        </w:rPr>
        <w:t xml:space="preserve">ations, including IUCN and GEO, are undertaking work to further support the development and national application of the GET. The use of GET level 3 is recommended by the AHTEG </w:t>
      </w:r>
      <w:r w:rsidR="00CE649E" w:rsidRPr="00ED7E61">
        <w:rPr>
          <w:rFonts w:asciiTheme="majorBidi" w:hAnsiTheme="majorBidi" w:cstheme="majorBidi"/>
          <w:color w:val="000000" w:themeColor="text1"/>
        </w:rPr>
        <w:t>for reporting on</w:t>
      </w:r>
      <w:r w:rsidR="00196C53" w:rsidRPr="00ED7E61">
        <w:rPr>
          <w:rFonts w:asciiTheme="majorBidi" w:hAnsiTheme="majorBidi" w:cstheme="majorBidi"/>
          <w:color w:val="000000" w:themeColor="text1"/>
        </w:rPr>
        <w:t xml:space="preserve"> ecosystem-related headline indicators </w:t>
      </w:r>
      <w:r w:rsidR="00CE649E" w:rsidRPr="00ED7E61">
        <w:rPr>
          <w:rFonts w:asciiTheme="majorBidi" w:hAnsiTheme="majorBidi" w:cstheme="majorBidi"/>
          <w:color w:val="000000" w:themeColor="text1"/>
        </w:rPr>
        <w:t xml:space="preserve">as that level will </w:t>
      </w:r>
      <w:r w:rsidRPr="00ED7E61">
        <w:rPr>
          <w:rFonts w:asciiTheme="majorBidi" w:hAnsiTheme="majorBidi" w:cstheme="majorBidi"/>
          <w:color w:val="000000" w:themeColor="text1"/>
        </w:rPr>
        <w:t xml:space="preserve"> minimize the reporting burden while ensuring the benefits of the level of information needed to enable a causal connection to be made between different targets and indicators – for example, how restoration actions under Target 2 increase extent of natural ecosystems and reduce their risk status (Goal A). </w:t>
      </w:r>
    </w:p>
    <w:p w14:paraId="4C5764E3" w14:textId="44809C14" w:rsidR="003D6BBD" w:rsidRPr="00ED7E61" w:rsidRDefault="003D6BBD" w:rsidP="00B10F0C">
      <w:pPr>
        <w:pStyle w:val="CBDNormalNumber"/>
        <w:numPr>
          <w:ilvl w:val="0"/>
          <w:numId w:val="39"/>
        </w:numPr>
        <w:rPr>
          <w:rFonts w:asciiTheme="majorBidi" w:hAnsiTheme="majorBidi" w:cstheme="majorBidi"/>
          <w:color w:val="000000" w:themeColor="text1"/>
        </w:rPr>
      </w:pPr>
      <w:r w:rsidRPr="00ED7E61">
        <w:rPr>
          <w:rFonts w:asciiTheme="majorBidi" w:hAnsiTheme="majorBidi" w:cstheme="majorBidi"/>
          <w:color w:val="000000" w:themeColor="text1"/>
        </w:rPr>
        <w:t xml:space="preserve">The AHTEG’s </w:t>
      </w:r>
      <w:r w:rsidRPr="00B3383B">
        <w:t>recommendation</w:t>
      </w:r>
      <w:r w:rsidRPr="00ED7E61">
        <w:rPr>
          <w:rFonts w:asciiTheme="majorBidi" w:hAnsiTheme="majorBidi" w:cstheme="majorBidi"/>
          <w:color w:val="000000" w:themeColor="text1"/>
        </w:rPr>
        <w:t xml:space="preserve"> that countries would report on headline indicators using national data, </w:t>
      </w:r>
      <w:r w:rsidR="000B7763" w:rsidRPr="00ED7E61">
        <w:rPr>
          <w:rFonts w:asciiTheme="majorBidi" w:hAnsiTheme="majorBidi" w:cstheme="majorBidi"/>
          <w:color w:val="000000" w:themeColor="text1"/>
        </w:rPr>
        <w:t>that would</w:t>
      </w:r>
      <w:r w:rsidRPr="00ED7E61">
        <w:rPr>
          <w:rFonts w:asciiTheme="majorBidi" w:hAnsiTheme="majorBidi" w:cstheme="majorBidi"/>
          <w:color w:val="000000" w:themeColor="text1"/>
        </w:rPr>
        <w:t xml:space="preserve"> </w:t>
      </w:r>
      <w:r w:rsidR="000B7763" w:rsidRPr="00ED7E61">
        <w:rPr>
          <w:rFonts w:asciiTheme="majorBidi" w:hAnsiTheme="majorBidi" w:cstheme="majorBidi"/>
          <w:color w:val="000000" w:themeColor="text1"/>
        </w:rPr>
        <w:t xml:space="preserve">be </w:t>
      </w:r>
      <w:r w:rsidRPr="00ED7E61">
        <w:rPr>
          <w:rFonts w:asciiTheme="majorBidi" w:hAnsiTheme="majorBidi" w:cstheme="majorBidi"/>
          <w:color w:val="000000" w:themeColor="text1"/>
        </w:rPr>
        <w:t xml:space="preserve">summarised or disaggregated by the ecosystem groupings identified in the GET (see examples below for headline indicators A1 and A2). Countries that already have ecosystem classifications (i.e. a list and description of ecosystem types present in the country) and maps (i.e. spatial data that represents the distribution of those ecosystem types) </w:t>
      </w:r>
      <w:r w:rsidR="00CE649E" w:rsidRPr="00ED7E61">
        <w:rPr>
          <w:rFonts w:asciiTheme="majorBidi" w:hAnsiTheme="majorBidi" w:cstheme="majorBidi"/>
          <w:color w:val="000000" w:themeColor="text1"/>
        </w:rPr>
        <w:t>should continue to use these national classifications and maps</w:t>
      </w:r>
      <w:r w:rsidRPr="00ED7E61">
        <w:rPr>
          <w:rFonts w:asciiTheme="majorBidi" w:hAnsiTheme="majorBidi" w:cstheme="majorBidi"/>
          <w:color w:val="000000" w:themeColor="text1"/>
        </w:rPr>
        <w:t xml:space="preserve"> </w:t>
      </w:r>
      <w:r w:rsidR="00CE649E" w:rsidRPr="00ED7E61">
        <w:rPr>
          <w:rFonts w:asciiTheme="majorBidi" w:hAnsiTheme="majorBidi" w:cstheme="majorBidi"/>
          <w:color w:val="000000" w:themeColor="text1"/>
        </w:rPr>
        <w:t xml:space="preserve">but are </w:t>
      </w:r>
      <w:r w:rsidRPr="00ED7E61">
        <w:rPr>
          <w:rFonts w:asciiTheme="majorBidi" w:hAnsiTheme="majorBidi" w:cstheme="majorBidi"/>
          <w:color w:val="000000" w:themeColor="text1"/>
        </w:rPr>
        <w:t xml:space="preserve">encouraged to cross-reference or align their ecosystem </w:t>
      </w:r>
      <w:r w:rsidR="00CE649E" w:rsidRPr="00ED7E61">
        <w:rPr>
          <w:rFonts w:asciiTheme="majorBidi" w:hAnsiTheme="majorBidi" w:cstheme="majorBidi"/>
          <w:color w:val="000000" w:themeColor="text1"/>
        </w:rPr>
        <w:t xml:space="preserve">types </w:t>
      </w:r>
      <w:r w:rsidRPr="00ED7E61">
        <w:rPr>
          <w:rFonts w:asciiTheme="majorBidi" w:hAnsiTheme="majorBidi" w:cstheme="majorBidi"/>
          <w:color w:val="000000" w:themeColor="text1"/>
        </w:rPr>
        <w:t>with the typology in order to allow for a consistent global aggregation of information– this is referred to as ‘mapping national ecosystem data to the Global Ecosystem Typology level 3’. IUCN is developing guidance for application of the typology under diverse circumstances of data availability and capacity. Countries without ecosystem classifications and maps may need to develop both the list of ecosystem types known to occur in their country and maps to represent them, or alternatively use independently developed data (including global-level map products) to represent them, in order to report on ecosystem-related headline indicators, such as A1 and A2. The GEO Global Ecosystems Atlas initiative is preparing guidance for developing national ecosystem classifications and maps.</w:t>
      </w:r>
    </w:p>
    <w:p w14:paraId="1DD9DB00" w14:textId="1C151F8E" w:rsidR="003D6BBD" w:rsidRPr="00ED7E61" w:rsidRDefault="003D6BBD" w:rsidP="003D6BBD">
      <w:pPr>
        <w:rPr>
          <w:rFonts w:asciiTheme="majorBidi" w:hAnsiTheme="majorBidi" w:cstheme="majorBidi"/>
          <w:b/>
          <w:bCs/>
          <w:color w:val="000000" w:themeColor="text1"/>
          <w:lang w:val="en-GB"/>
        </w:rPr>
      </w:pPr>
      <w:bookmarkStart w:id="11" w:name="_Introduction_to_the"/>
      <w:bookmarkEnd w:id="11"/>
      <w:r w:rsidRPr="00ED7E61">
        <w:rPr>
          <w:rFonts w:asciiTheme="majorBidi" w:hAnsiTheme="majorBidi" w:cstheme="majorBidi"/>
          <w:b/>
          <w:bCs/>
          <w:color w:val="000000" w:themeColor="text1"/>
          <w:lang w:val="en-GB"/>
        </w:rPr>
        <w:t>Introduction to the Global Ecosystem Typology (GET)</w:t>
      </w:r>
    </w:p>
    <w:p w14:paraId="2E10F6AA" w14:textId="08D4E6F4" w:rsidR="008344AF" w:rsidRPr="00ED7E61" w:rsidRDefault="003D6BBD" w:rsidP="00B10F0C">
      <w:pPr>
        <w:pStyle w:val="CBDNormalNumber"/>
        <w:numPr>
          <w:ilvl w:val="0"/>
          <w:numId w:val="39"/>
        </w:numPr>
        <w:rPr>
          <w:rFonts w:asciiTheme="majorBidi" w:hAnsiTheme="majorBidi" w:cstheme="majorBidi"/>
          <w:color w:val="000000" w:themeColor="text1"/>
        </w:rPr>
      </w:pPr>
      <w:r w:rsidRPr="00ED7E61">
        <w:rPr>
          <w:rFonts w:asciiTheme="majorBidi" w:hAnsiTheme="majorBidi" w:cstheme="majorBidi"/>
          <w:color w:val="000000" w:themeColor="text1"/>
        </w:rPr>
        <w:t xml:space="preserve">The GET is a comprehensive and hierarchical system for ecosystem classification. The GET covers all realms (marine, terrestrial, subterranean, and freshwater), including those shaped primarily by natural and </w:t>
      </w:r>
      <w:r w:rsidRPr="00B3383B">
        <w:t>anthropogenic</w:t>
      </w:r>
      <w:r w:rsidRPr="00ED7E61">
        <w:rPr>
          <w:rFonts w:asciiTheme="majorBidi" w:hAnsiTheme="majorBidi" w:cstheme="majorBidi"/>
          <w:color w:val="000000" w:themeColor="text1"/>
        </w:rPr>
        <w:t xml:space="preserve"> drivers. The typology is hierarchical (Figure </w:t>
      </w:r>
      <w:r w:rsidR="00BE4992">
        <w:rPr>
          <w:rFonts w:asciiTheme="majorBidi" w:hAnsiTheme="majorBidi" w:cstheme="majorBidi"/>
          <w:color w:val="000000" w:themeColor="text1"/>
        </w:rPr>
        <w:t>I</w:t>
      </w:r>
      <w:r w:rsidRPr="00ED7E61">
        <w:rPr>
          <w:rFonts w:asciiTheme="majorBidi" w:hAnsiTheme="majorBidi" w:cstheme="majorBidi"/>
          <w:color w:val="000000" w:themeColor="text1"/>
        </w:rPr>
        <w:t>), with functionally similar groupings at the upper levels (realm, biome and ecosystem functional group), and biodiversity composition at lower levels (global or local ecosystem types).</w:t>
      </w:r>
      <w:r w:rsidRPr="00ED7E61">
        <w:rPr>
          <w:rFonts w:asciiTheme="majorBidi" w:hAnsiTheme="majorBidi" w:cstheme="majorBidi"/>
          <w:color w:val="000000" w:themeColor="text1"/>
        </w:rPr>
        <w:fldChar w:fldCharType="begin">
          <w:fldData xml:space="preserve">PEVuZE5vdGU+PENpdGU+PEF1dGhvcj5LZWl0aDwvQXV0aG9yPjxZZWFyPjIwMjI8L1llYXI+PFJl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</w:fldData>
        </w:fldChar>
      </w:r>
      <w:r w:rsidRPr="00ED7E61">
        <w:rPr>
          <w:rFonts w:asciiTheme="majorBidi" w:hAnsiTheme="majorBidi" w:cstheme="majorBidi"/>
          <w:color w:val="000000" w:themeColor="text1"/>
        </w:rPr>
        <w:instrText xml:space="preserve"> ADDIN EN.CITE </w:instrText>
      </w:r>
      <w:r w:rsidRPr="00ED7E61">
        <w:rPr>
          <w:rFonts w:asciiTheme="majorBidi" w:hAnsiTheme="majorBidi" w:cstheme="majorBidi"/>
          <w:color w:val="000000" w:themeColor="text1"/>
        </w:rPr>
        <w:fldChar w:fldCharType="begin">
          <w:fldData xml:space="preserve">PEVuZE5vdGU+PENpdGU+PEF1dGhvcj5LZWl0aDwvQXV0aG9yPjxZZWFyPjIwMjI8L1llYXI+PFJl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</w:fldData>
        </w:fldChar>
      </w:r>
      <w:r w:rsidRPr="00ED7E61">
        <w:rPr>
          <w:rFonts w:asciiTheme="majorBidi" w:hAnsiTheme="majorBidi" w:cstheme="majorBidi"/>
          <w:color w:val="000000" w:themeColor="text1"/>
        </w:rPr>
        <w:instrText xml:space="preserve"> ADDIN EN.CITE.DATA </w:instrText>
      </w:r>
      <w:r w:rsidRPr="00ED7E61">
        <w:rPr>
          <w:rFonts w:asciiTheme="majorBidi" w:hAnsiTheme="majorBidi" w:cstheme="majorBidi"/>
          <w:color w:val="000000" w:themeColor="text1"/>
        </w:rPr>
      </w:r>
      <w:r w:rsidRPr="00ED7E61">
        <w:rPr>
          <w:rFonts w:asciiTheme="majorBidi" w:hAnsiTheme="majorBidi" w:cstheme="majorBidi"/>
          <w:color w:val="000000" w:themeColor="text1"/>
        </w:rPr>
        <w:fldChar w:fldCharType="end"/>
      </w:r>
      <w:r w:rsidRPr="00ED7E61">
        <w:rPr>
          <w:rFonts w:asciiTheme="majorBidi" w:hAnsiTheme="majorBidi" w:cstheme="majorBidi"/>
          <w:color w:val="000000" w:themeColor="text1"/>
        </w:rPr>
      </w:r>
      <w:r w:rsidRPr="00ED7E61">
        <w:rPr>
          <w:rFonts w:asciiTheme="majorBidi" w:hAnsiTheme="majorBidi" w:cstheme="majorBidi"/>
          <w:color w:val="000000" w:themeColor="text1"/>
        </w:rPr>
        <w:fldChar w:fldCharType="separate"/>
      </w:r>
      <w:r w:rsidRPr="00ED7E61">
        <w:rPr>
          <w:rFonts w:asciiTheme="majorBidi" w:hAnsiTheme="majorBidi" w:cstheme="majorBidi"/>
          <w:color w:val="000000" w:themeColor="text1"/>
        </w:rPr>
        <w:t>4</w:t>
      </w:r>
      <w:r w:rsidRPr="00ED7E61">
        <w:rPr>
          <w:rFonts w:asciiTheme="majorBidi" w:hAnsiTheme="majorBidi" w:cstheme="majorBidi"/>
          <w:color w:val="000000" w:themeColor="text1"/>
        </w:rPr>
        <w:fldChar w:fldCharType="end"/>
      </w:r>
      <w:r w:rsidRPr="00ED7E61">
        <w:rPr>
          <w:rFonts w:asciiTheme="majorBidi" w:hAnsiTheme="majorBidi" w:cstheme="majorBidi"/>
          <w:color w:val="000000" w:themeColor="text1"/>
        </w:rPr>
        <w:t xml:space="preserve"> National classifications (and associated maps) are at the lower levels (5-6), such as those used for Red List of Ecosystems assessments (headline indicator A1) and ecosystem accounting (headline indicators A2 and B1). </w:t>
      </w:r>
    </w:p>
    <w:p w14:paraId="367C7285" w14:textId="673E105D" w:rsidR="008344AF" w:rsidRPr="00ED7E61" w:rsidRDefault="003D6BBD" w:rsidP="00B10F0C">
      <w:pPr>
        <w:pStyle w:val="CBDNormalNumber"/>
        <w:numPr>
          <w:ilvl w:val="0"/>
          <w:numId w:val="39"/>
        </w:numPr>
      </w:pPr>
      <w:r w:rsidRPr="00ED7E61">
        <w:t>The typology is a conceptual framework for classifying ecosystems, rather than a mapping tool. However, as part of the development of the GET, indicative global maps of each of the 110 Ecosystem Functional Groups (EFGs) were compiled from existing</w:t>
      </w:r>
      <w:r w:rsidR="000B7763" w:rsidRPr="00ED7E61">
        <w:t>, globally-available</w:t>
      </w:r>
      <w:r w:rsidRPr="00ED7E61">
        <w:t xml:space="preserve"> data</w:t>
      </w:r>
      <w:r w:rsidRPr="00ED7E61">
        <w:rPr>
          <w:rStyle w:val="FootnoteReference"/>
          <w:rFonts w:asciiTheme="majorBidi" w:hAnsiTheme="majorBidi" w:cstheme="majorBidi"/>
          <w:color w:val="000000" w:themeColor="text1"/>
        </w:rPr>
        <w:footnoteReference w:id="23"/>
      </w:r>
      <w:r w:rsidR="00E2363E">
        <w:t xml:space="preserve">. </w:t>
      </w:r>
      <w:r w:rsidRPr="00ED7E61">
        <w:t>These spatial data will be iteratively updated as mapping methods continue to develop, and new and improved data on the distribution of the world’s ecosystem types becomes available. A new global initiative, the GEO Global Ecosystems Atlas, seeks to compile existing high-quality maps of ecosystem types and to align them with EFGs, which would provide an important source of spatial data in the coming years. The Atlas will also highlight data gaps, and improve global maps of ecosystem functional groups and national maps of ecosystem types in partnership with governments.</w:t>
      </w:r>
    </w:p>
    <w:p w14:paraId="7EFDA693" w14:textId="4F7D66FA" w:rsidR="003D6BBD" w:rsidRPr="00ED7E61" w:rsidRDefault="003D6BBD" w:rsidP="00B10F0C">
      <w:pPr>
        <w:pStyle w:val="CBDNormalNumber"/>
        <w:numPr>
          <w:ilvl w:val="0"/>
          <w:numId w:val="39"/>
        </w:numPr>
      </w:pPr>
      <w:r w:rsidRPr="00ED7E61">
        <w:t xml:space="preserve">Importantly, the </w:t>
      </w:r>
      <w:r w:rsidR="000B7763" w:rsidRPr="00ED7E61">
        <w:t>GET</w:t>
      </w:r>
      <w:r w:rsidR="00CE649E" w:rsidRPr="00ED7E61">
        <w:t xml:space="preserve"> </w:t>
      </w:r>
      <w:r w:rsidRPr="00ED7E61">
        <w:t xml:space="preserve">does not replace national classifications and maps, which are the foundation of planning and implementing the GBF targets, such as integrated spatial planning (Target 1), restoration planning (Target 2), and ecologically representative protected areas (Target 3). Rather, it </w:t>
      </w:r>
      <w:r w:rsidR="000B7763" w:rsidRPr="00ED7E61">
        <w:t xml:space="preserve">provides a common language to groups similar ecosystems around the word, for example those in national classifications in different countries. It </w:t>
      </w:r>
      <w:r w:rsidRPr="00ED7E61">
        <w:t xml:space="preserve">enables harmonisation of national ecosystem classifications, through cross-referencing </w:t>
      </w:r>
      <w:r w:rsidR="00D019A1" w:rsidRPr="00ED7E61">
        <w:t xml:space="preserve">of more detailed </w:t>
      </w:r>
      <w:r w:rsidRPr="00ED7E61">
        <w:t>national ecosystem types (typically level 5-6) to the ecosystem functional group level of the typology hierarchy. It can also support development of national ecosystem classifications</w:t>
      </w:r>
      <w:r w:rsidR="00CE649E" w:rsidRPr="00ED7E61">
        <w:t xml:space="preserve"> where these do not yet exist</w:t>
      </w:r>
      <w:r w:rsidRPr="00ED7E61">
        <w:t xml:space="preserve"> (e.g. </w:t>
      </w:r>
      <w:r w:rsidR="001E3385" w:rsidRPr="00ED7E61">
        <w:t>Maldives</w:t>
      </w:r>
      <w:r w:rsidR="001E3385">
        <w:t xml:space="preserve"> (Obura et al</w:t>
      </w:r>
      <w:r w:rsidR="00442544">
        <w:t>.</w:t>
      </w:r>
      <w:r w:rsidR="001E3385">
        <w:t xml:space="preserve"> 2022</w:t>
      </w:r>
      <w:r w:rsidRPr="00ED7E61">
        <w:t>) and new ecosystem maps at country level (e.g. in Myanmar</w:t>
      </w:r>
      <w:r w:rsidR="001E3385">
        <w:t xml:space="preserve"> Murray et al</w:t>
      </w:r>
      <w:r w:rsidR="00442544">
        <w:t>.</w:t>
      </w:r>
      <w:r w:rsidR="001E3385">
        <w:t xml:space="preserve"> 2020</w:t>
      </w:r>
      <w:r w:rsidRPr="00ED7E61">
        <w:t xml:space="preserve">). This allows consistent national reporting of ecosystem diversity and extent between jurisdictions and different parts of the world, based on national data. </w:t>
      </w:r>
    </w:p>
    <w:p w14:paraId="63EC3FF3" w14:textId="77777777" w:rsidR="003D6BBD" w:rsidRPr="00ED7E61" w:rsidRDefault="003D6BBD" w:rsidP="003D6BBD">
      <w:pPr>
        <w:rPr>
          <w:rFonts w:asciiTheme="majorBidi" w:hAnsiTheme="majorBidi" w:cstheme="majorBidi"/>
          <w:color w:val="000000" w:themeColor="text1"/>
          <w:sz w:val="22"/>
          <w:szCs w:val="22"/>
          <w:lang w:val="en-GB"/>
        </w:rPr>
      </w:pPr>
    </w:p>
    <w:p w14:paraId="795E3281" w14:textId="09E9736A" w:rsidR="003D6BBD" w:rsidRPr="00ED7E61" w:rsidRDefault="003D6BBD" w:rsidP="003D6BBD">
      <w:pPr>
        <w:rPr>
          <w:rFonts w:asciiTheme="majorBidi" w:hAnsiTheme="majorBidi" w:cstheme="majorBidi"/>
          <w:color w:val="000000" w:themeColor="text1"/>
          <w:sz w:val="22"/>
          <w:szCs w:val="22"/>
          <w:lang w:val="en-GB"/>
        </w:rPr>
      </w:pPr>
      <w:r w:rsidRPr="00ED7E61">
        <w:rPr>
          <w:rFonts w:asciiTheme="majorBidi" w:hAnsiTheme="majorBidi" w:cstheme="majorBidi"/>
          <w:noProof/>
          <w:color w:val="000000" w:themeColor="text1"/>
          <w:sz w:val="22"/>
          <w:szCs w:val="22"/>
          <w:lang w:val="fr-FR" w:eastAsia="fr-FR"/>
          <w14:ligatures w14:val="standardContextual"/>
        </w:rPr>
        <w:drawing>
          <wp:inline distT="0" distB="0" distL="0" distR="0" wp14:anchorId="29F1A045" wp14:editId="0FCED01D">
            <wp:extent cx="5988050" cy="3664146"/>
            <wp:effectExtent l="0" t="0" r="0" b="0"/>
            <wp:docPr id="162361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14969" name="Picture 1623614969"/>
                    <pic:cNvPicPr/>
                  </pic:nvPicPr>
                  <pic:blipFill rotWithShape="1">
                    <a:blip r:embed="rId83"/>
                    <a:srcRect l="10898" t="15422" r="37073" b="39522"/>
                    <a:stretch/>
                  </pic:blipFill>
                  <pic:spPr bwMode="auto">
                    <a:xfrm>
                      <a:off x="0" y="0"/>
                      <a:ext cx="6009916" cy="3677526"/>
                    </a:xfrm>
                    <a:prstGeom prst="rect">
                      <a:avLst/>
                    </a:prstGeom>
                    <a:ln>
                      <a:noFill/>
                    </a:ln>
                    <a:extLst>
                      <a:ext uri="{53640926-AAD7-44D8-BBD7-CCE9431645EC}">
                        <a14:shadowObscured xmlns:a14="http://schemas.microsoft.com/office/drawing/2010/main"/>
                      </a:ext>
                    </a:extLst>
                  </pic:spPr>
                </pic:pic>
              </a:graphicData>
            </a:graphic>
          </wp:inline>
        </w:drawing>
      </w:r>
    </w:p>
    <w:p w14:paraId="7BDD8D8D" w14:textId="0161ED75" w:rsidR="00FD4B9B" w:rsidRDefault="003D6BBD" w:rsidP="00B3383B">
      <w:pPr>
        <w:spacing w:after="120"/>
        <w:ind w:left="567"/>
        <w:rPr>
          <w:rFonts w:asciiTheme="majorBidi" w:hAnsiTheme="majorBidi" w:cstheme="majorBidi"/>
          <w:b/>
          <w:bCs/>
          <w:color w:val="000000" w:themeColor="text1"/>
          <w:sz w:val="22"/>
          <w:szCs w:val="22"/>
          <w:lang w:val="en-GB"/>
        </w:rPr>
      </w:pPr>
      <w:r w:rsidRPr="00B3383B">
        <w:rPr>
          <w:rFonts w:asciiTheme="majorBidi" w:hAnsiTheme="majorBidi" w:cstheme="majorBidi"/>
          <w:color w:val="000000" w:themeColor="text1"/>
          <w:sz w:val="22"/>
          <w:szCs w:val="22"/>
          <w:lang w:val="en-GB"/>
        </w:rPr>
        <w:t xml:space="preserve">Figure </w:t>
      </w:r>
      <w:r w:rsidR="00F44FDE" w:rsidRPr="00B3383B">
        <w:rPr>
          <w:rFonts w:asciiTheme="majorBidi" w:hAnsiTheme="majorBidi" w:cstheme="majorBidi"/>
          <w:color w:val="000000" w:themeColor="text1"/>
          <w:sz w:val="22"/>
          <w:szCs w:val="22"/>
          <w:lang w:val="en-GB"/>
        </w:rPr>
        <w:t>I</w:t>
      </w:r>
      <w:r w:rsidRPr="00ED7E61">
        <w:rPr>
          <w:rFonts w:asciiTheme="majorBidi" w:hAnsiTheme="majorBidi" w:cstheme="majorBidi"/>
          <w:i/>
          <w:iCs/>
          <w:color w:val="000000" w:themeColor="text1"/>
          <w:sz w:val="22"/>
          <w:szCs w:val="22"/>
          <w:lang w:val="en-GB"/>
        </w:rPr>
        <w:t xml:space="preserve"> </w:t>
      </w:r>
      <w:r w:rsidR="0099584C">
        <w:rPr>
          <w:rFonts w:asciiTheme="majorBidi" w:hAnsiTheme="majorBidi" w:cstheme="majorBidi"/>
          <w:i/>
          <w:iCs/>
          <w:color w:val="000000" w:themeColor="text1"/>
          <w:sz w:val="22"/>
          <w:szCs w:val="22"/>
          <w:lang w:val="en-GB"/>
        </w:rPr>
        <w:br/>
      </w:r>
      <w:r w:rsidRPr="00B3383B">
        <w:rPr>
          <w:rFonts w:asciiTheme="majorBidi" w:hAnsiTheme="majorBidi" w:cstheme="majorBidi"/>
          <w:b/>
          <w:bCs/>
          <w:color w:val="000000" w:themeColor="text1"/>
          <w:sz w:val="22"/>
          <w:szCs w:val="22"/>
          <w:lang w:val="en-GB"/>
        </w:rPr>
        <w:t>The IUCN Global Ecosystem Typology</w:t>
      </w:r>
      <w:r w:rsidR="001E3385" w:rsidRPr="00B3383B">
        <w:rPr>
          <w:rFonts w:asciiTheme="majorBidi" w:hAnsiTheme="majorBidi" w:cstheme="majorBidi"/>
          <w:b/>
          <w:bCs/>
          <w:color w:val="000000" w:themeColor="text1"/>
          <w:sz w:val="22"/>
          <w:szCs w:val="22"/>
          <w:lang w:val="en-GB"/>
        </w:rPr>
        <w:t xml:space="preserve"> (Keith et</w:t>
      </w:r>
      <w:r w:rsidR="006B67E3">
        <w:rPr>
          <w:rFonts w:asciiTheme="majorBidi" w:hAnsiTheme="majorBidi" w:cstheme="majorBidi"/>
          <w:b/>
          <w:bCs/>
          <w:color w:val="000000" w:themeColor="text1"/>
          <w:sz w:val="22"/>
          <w:szCs w:val="22"/>
          <w:lang w:val="en-GB"/>
        </w:rPr>
        <w:t xml:space="preserve"> </w:t>
      </w:r>
      <w:r w:rsidR="001E3385" w:rsidRPr="00B3383B">
        <w:rPr>
          <w:rFonts w:asciiTheme="majorBidi" w:hAnsiTheme="majorBidi" w:cstheme="majorBidi"/>
          <w:b/>
          <w:bCs/>
          <w:color w:val="000000" w:themeColor="text1"/>
          <w:sz w:val="22"/>
          <w:szCs w:val="22"/>
          <w:lang w:val="en-GB"/>
        </w:rPr>
        <w:t>al</w:t>
      </w:r>
      <w:r w:rsidR="00442544">
        <w:rPr>
          <w:rFonts w:asciiTheme="majorBidi" w:hAnsiTheme="majorBidi" w:cstheme="majorBidi"/>
          <w:b/>
          <w:bCs/>
          <w:color w:val="000000" w:themeColor="text1"/>
          <w:sz w:val="22"/>
          <w:szCs w:val="22"/>
          <w:lang w:val="en-GB"/>
        </w:rPr>
        <w:t>.</w:t>
      </w:r>
      <w:r w:rsidR="001E3385" w:rsidRPr="00B3383B">
        <w:rPr>
          <w:rFonts w:asciiTheme="majorBidi" w:hAnsiTheme="majorBidi" w:cstheme="majorBidi"/>
          <w:b/>
          <w:bCs/>
          <w:color w:val="000000" w:themeColor="text1"/>
          <w:sz w:val="22"/>
          <w:szCs w:val="22"/>
          <w:lang w:val="en-GB"/>
        </w:rPr>
        <w:t xml:space="preserve"> 2022) </w:t>
      </w:r>
    </w:p>
    <w:p w14:paraId="2DC467EA" w14:textId="24DF4865" w:rsidR="003D6BBD" w:rsidRPr="00B3383B" w:rsidRDefault="00FD4B9B" w:rsidP="00B3383B">
      <w:pPr>
        <w:ind w:left="567"/>
        <w:rPr>
          <w:rFonts w:asciiTheme="majorBidi" w:hAnsiTheme="majorBidi" w:cstheme="majorBidi"/>
          <w:i/>
          <w:iCs/>
          <w:color w:val="000000" w:themeColor="text1"/>
          <w:sz w:val="22"/>
          <w:szCs w:val="22"/>
          <w:lang w:val="en-GB"/>
        </w:rPr>
      </w:pPr>
      <w:r w:rsidRPr="00B3383B">
        <w:rPr>
          <w:rFonts w:asciiTheme="majorBidi" w:hAnsiTheme="majorBidi" w:cstheme="majorBidi"/>
          <w:i/>
          <w:iCs/>
          <w:color w:val="000000" w:themeColor="text1"/>
          <w:sz w:val="22"/>
          <w:szCs w:val="22"/>
          <w:lang w:val="en-GB"/>
        </w:rPr>
        <w:t xml:space="preserve">The IUCN Global Ecosystem Typology </w:t>
      </w:r>
      <w:r w:rsidR="003D6BBD" w:rsidRPr="00FD4B9B">
        <w:rPr>
          <w:rFonts w:asciiTheme="majorBidi" w:hAnsiTheme="majorBidi" w:cstheme="majorBidi"/>
          <w:i/>
          <w:iCs/>
          <w:color w:val="000000" w:themeColor="text1"/>
          <w:sz w:val="22"/>
          <w:szCs w:val="22"/>
          <w:lang w:val="en-GB"/>
        </w:rPr>
        <w:t>is hierarchical, with higher levels (1-3) capturing ecosystem functional traits, and lower levels (4-6) addressing composition. Levels 4 and 5 represent alternative pathways to comparable descriptions of the world’s ecosystems that capture both function and composition. Level 4 (green) is a top-down approach, whereby ecosystem function groups are split to represent biogeographic compositional patterns, for example using ecoregions</w:t>
      </w:r>
      <w:r w:rsidR="001E3385" w:rsidRPr="00FD4B9B">
        <w:rPr>
          <w:rFonts w:asciiTheme="majorBidi" w:hAnsiTheme="majorBidi" w:cstheme="majorBidi"/>
          <w:i/>
          <w:iCs/>
          <w:color w:val="000000" w:themeColor="text1"/>
          <w:sz w:val="22"/>
          <w:szCs w:val="22"/>
          <w:lang w:val="en-GB"/>
        </w:rPr>
        <w:t xml:space="preserve"> (</w:t>
      </w:r>
      <w:r w:rsidR="004C576B" w:rsidRPr="00B3383B">
        <w:rPr>
          <w:rFonts w:asciiTheme="majorBidi" w:hAnsiTheme="majorBidi" w:cstheme="majorBidi"/>
          <w:i/>
          <w:iCs/>
          <w:noProof/>
          <w:sz w:val="22"/>
          <w:szCs w:val="22"/>
        </w:rPr>
        <w:t>Dinerstein</w:t>
      </w:r>
      <w:r w:rsidR="004C576B" w:rsidRPr="00FD4B9B">
        <w:rPr>
          <w:rFonts w:asciiTheme="majorBidi" w:hAnsiTheme="majorBidi" w:cstheme="majorBidi"/>
          <w:i/>
          <w:iCs/>
          <w:color w:val="000000" w:themeColor="text1"/>
          <w:sz w:val="22"/>
          <w:szCs w:val="22"/>
          <w:lang w:val="en-GB"/>
        </w:rPr>
        <w:t xml:space="preserve"> et</w:t>
      </w:r>
      <w:r w:rsidR="006B67E3">
        <w:rPr>
          <w:rFonts w:asciiTheme="majorBidi" w:hAnsiTheme="majorBidi" w:cstheme="majorBidi"/>
          <w:i/>
          <w:iCs/>
          <w:color w:val="000000" w:themeColor="text1"/>
          <w:sz w:val="22"/>
          <w:szCs w:val="22"/>
          <w:lang w:val="en-GB"/>
        </w:rPr>
        <w:t xml:space="preserve"> </w:t>
      </w:r>
      <w:r w:rsidR="004C576B" w:rsidRPr="00FD4B9B">
        <w:rPr>
          <w:rFonts w:asciiTheme="majorBidi" w:hAnsiTheme="majorBidi" w:cstheme="majorBidi"/>
          <w:i/>
          <w:iCs/>
          <w:color w:val="000000" w:themeColor="text1"/>
          <w:sz w:val="22"/>
          <w:szCs w:val="22"/>
          <w:lang w:val="en-GB"/>
        </w:rPr>
        <w:t>al</w:t>
      </w:r>
      <w:r w:rsidR="00442544">
        <w:rPr>
          <w:rFonts w:asciiTheme="majorBidi" w:hAnsiTheme="majorBidi" w:cstheme="majorBidi"/>
          <w:i/>
          <w:iCs/>
          <w:color w:val="000000" w:themeColor="text1"/>
          <w:sz w:val="22"/>
          <w:szCs w:val="22"/>
          <w:lang w:val="en-GB"/>
        </w:rPr>
        <w:t>.</w:t>
      </w:r>
      <w:r w:rsidR="004C576B" w:rsidRPr="00FD4B9B">
        <w:rPr>
          <w:rFonts w:asciiTheme="majorBidi" w:hAnsiTheme="majorBidi" w:cstheme="majorBidi"/>
          <w:i/>
          <w:iCs/>
          <w:color w:val="000000" w:themeColor="text1"/>
          <w:sz w:val="22"/>
          <w:szCs w:val="22"/>
          <w:lang w:val="en-GB"/>
        </w:rPr>
        <w:t xml:space="preserve"> 2017)</w:t>
      </w:r>
      <w:r w:rsidR="003D6BBD" w:rsidRPr="00FD4B9B">
        <w:rPr>
          <w:rFonts w:asciiTheme="majorBidi" w:hAnsiTheme="majorBidi" w:cstheme="majorBidi"/>
          <w:i/>
          <w:iCs/>
          <w:color w:val="000000" w:themeColor="text1"/>
          <w:sz w:val="22"/>
          <w:szCs w:val="22"/>
          <w:lang w:val="en-GB"/>
        </w:rPr>
        <w:t xml:space="preserve"> as a proxy. Alternatively, composition may be captured through bottom-up aggregation of national or local ecosystem types (red), for example a national classification, using hypothetical terrestrial ecosystem types in ecosystem functional group T3.2 Seasonally dry temperate heath and shrublands. Adapted from</w:t>
      </w:r>
      <w:r w:rsidR="004C576B" w:rsidRPr="00B3383B">
        <w:rPr>
          <w:rFonts w:asciiTheme="majorBidi" w:hAnsiTheme="majorBidi" w:cstheme="majorBidi"/>
          <w:i/>
          <w:iCs/>
          <w:noProof/>
          <w:sz w:val="22"/>
          <w:szCs w:val="22"/>
        </w:rPr>
        <w:t xml:space="preserve"> Xiao</w:t>
      </w:r>
      <w:r w:rsidR="004C576B" w:rsidRPr="00FD4B9B" w:rsidDel="004C576B">
        <w:rPr>
          <w:rFonts w:asciiTheme="majorBidi" w:hAnsiTheme="majorBidi" w:cstheme="majorBidi"/>
          <w:i/>
          <w:iCs/>
          <w:color w:val="000000" w:themeColor="text1"/>
          <w:sz w:val="22"/>
          <w:szCs w:val="22"/>
          <w:lang w:val="en-GB"/>
        </w:rPr>
        <w:t xml:space="preserve"> </w:t>
      </w:r>
      <w:r w:rsidR="004C576B" w:rsidRPr="00FD4B9B">
        <w:rPr>
          <w:rFonts w:asciiTheme="majorBidi" w:hAnsiTheme="majorBidi" w:cstheme="majorBidi"/>
          <w:i/>
          <w:iCs/>
          <w:color w:val="000000" w:themeColor="text1"/>
          <w:sz w:val="22"/>
          <w:szCs w:val="22"/>
          <w:lang w:val="en-GB"/>
        </w:rPr>
        <w:t>et</w:t>
      </w:r>
      <w:r w:rsidR="006B67E3">
        <w:rPr>
          <w:rFonts w:asciiTheme="majorBidi" w:hAnsiTheme="majorBidi" w:cstheme="majorBidi"/>
          <w:i/>
          <w:iCs/>
          <w:color w:val="000000" w:themeColor="text1"/>
          <w:sz w:val="22"/>
          <w:szCs w:val="22"/>
          <w:lang w:val="en-GB"/>
        </w:rPr>
        <w:t xml:space="preserve"> </w:t>
      </w:r>
      <w:r w:rsidR="004C576B" w:rsidRPr="00FD4B9B">
        <w:rPr>
          <w:rFonts w:asciiTheme="majorBidi" w:hAnsiTheme="majorBidi" w:cstheme="majorBidi"/>
          <w:i/>
          <w:iCs/>
          <w:color w:val="000000" w:themeColor="text1"/>
          <w:sz w:val="22"/>
          <w:szCs w:val="22"/>
          <w:lang w:val="en-GB"/>
        </w:rPr>
        <w:t>al</w:t>
      </w:r>
      <w:r w:rsidR="00442544">
        <w:rPr>
          <w:rFonts w:asciiTheme="majorBidi" w:hAnsiTheme="majorBidi" w:cstheme="majorBidi"/>
          <w:i/>
          <w:iCs/>
          <w:color w:val="000000" w:themeColor="text1"/>
          <w:sz w:val="22"/>
          <w:szCs w:val="22"/>
          <w:lang w:val="en-GB"/>
        </w:rPr>
        <w:t>.</w:t>
      </w:r>
      <w:r w:rsidR="004C576B" w:rsidRPr="00FD4B9B">
        <w:rPr>
          <w:rFonts w:asciiTheme="majorBidi" w:hAnsiTheme="majorBidi" w:cstheme="majorBidi"/>
          <w:i/>
          <w:iCs/>
          <w:color w:val="000000" w:themeColor="text1"/>
          <w:sz w:val="22"/>
          <w:szCs w:val="22"/>
          <w:lang w:val="en-GB"/>
        </w:rPr>
        <w:t xml:space="preserve"> 2022</w:t>
      </w:r>
      <w:r w:rsidR="003D6BBD" w:rsidRPr="00FD4B9B">
        <w:rPr>
          <w:rFonts w:asciiTheme="majorBidi" w:hAnsiTheme="majorBidi" w:cstheme="majorBidi"/>
          <w:i/>
          <w:iCs/>
          <w:color w:val="000000" w:themeColor="text1"/>
          <w:sz w:val="22"/>
          <w:szCs w:val="22"/>
          <w:lang w:val="en-GB"/>
        </w:rPr>
        <w:t>.</w:t>
      </w:r>
    </w:p>
    <w:p w14:paraId="62D348F5" w14:textId="77777777" w:rsidR="003D6BBD" w:rsidRPr="00ED7E61" w:rsidRDefault="003D6BBD" w:rsidP="003D6BBD">
      <w:pPr>
        <w:rPr>
          <w:rFonts w:asciiTheme="majorBidi" w:hAnsiTheme="majorBidi" w:cstheme="majorBidi"/>
          <w:color w:val="000000" w:themeColor="text1"/>
          <w:sz w:val="22"/>
          <w:szCs w:val="22"/>
          <w:lang w:val="en-GB"/>
        </w:rPr>
      </w:pPr>
    </w:p>
    <w:p w14:paraId="26BC040F" w14:textId="2F739696" w:rsidR="003D6BBD" w:rsidRPr="00ED7E61" w:rsidRDefault="003D6BBD" w:rsidP="003D6BBD">
      <w:pPr>
        <w:rPr>
          <w:rFonts w:asciiTheme="majorBidi" w:hAnsiTheme="majorBidi" w:cstheme="majorBidi"/>
          <w:color w:val="000000" w:themeColor="text1"/>
          <w:sz w:val="22"/>
          <w:szCs w:val="22"/>
          <w:lang w:val="en-GB"/>
        </w:rPr>
      </w:pPr>
      <w:bookmarkStart w:id="12" w:name="_Justification_for_reporting"/>
      <w:bookmarkEnd w:id="12"/>
      <w:r w:rsidRPr="00ED7E61">
        <w:rPr>
          <w:rFonts w:asciiTheme="majorBidi" w:hAnsiTheme="majorBidi" w:cstheme="majorBidi"/>
          <w:b/>
          <w:bCs/>
          <w:color w:val="000000" w:themeColor="text1"/>
          <w:sz w:val="22"/>
          <w:szCs w:val="22"/>
          <w:lang w:val="en-GB"/>
        </w:rPr>
        <w:t>Rationale for focusing on level 3 of the GET hierarchy</w:t>
      </w:r>
    </w:p>
    <w:p w14:paraId="0BA56663" w14:textId="13E9D30D" w:rsidR="008344AF" w:rsidRPr="00ED7E61" w:rsidRDefault="003D6BBD" w:rsidP="00B10F0C">
      <w:pPr>
        <w:pStyle w:val="CBDNormalNumber"/>
        <w:numPr>
          <w:ilvl w:val="0"/>
          <w:numId w:val="39"/>
        </w:numPr>
      </w:pPr>
      <w:r w:rsidRPr="00ED7E61">
        <w:t xml:space="preserve">The AHTEG recommends using level 3 (ecosystem functional group) of the </w:t>
      </w:r>
      <w:r w:rsidR="00D019A1" w:rsidRPr="00ED7E61">
        <w:t>global ecosystem typology</w:t>
      </w:r>
      <w:r w:rsidRPr="00ED7E61">
        <w:t xml:space="preserve"> for several reasons:</w:t>
      </w:r>
    </w:p>
    <w:p w14:paraId="5D671D97" w14:textId="0064D4D8" w:rsidR="008344AF" w:rsidRPr="00ED7E61" w:rsidRDefault="003D6BBD" w:rsidP="00B10F0C">
      <w:pPr>
        <w:pStyle w:val="CBDNormalNumber"/>
        <w:numPr>
          <w:ilvl w:val="1"/>
          <w:numId w:val="66"/>
        </w:numPr>
        <w:tabs>
          <w:tab w:val="clear" w:pos="567"/>
          <w:tab w:val="clear" w:pos="1134"/>
          <w:tab w:val="clear" w:pos="2268"/>
          <w:tab w:val="left" w:pos="1985"/>
        </w:tabs>
        <w:ind w:left="567" w:firstLine="567"/>
        <w:rPr>
          <w:rFonts w:asciiTheme="majorBidi" w:hAnsiTheme="majorBidi" w:cstheme="majorBidi"/>
          <w:color w:val="000000" w:themeColor="text1"/>
        </w:rPr>
      </w:pPr>
      <w:r w:rsidRPr="00ED7E61">
        <w:rPr>
          <w:rFonts w:asciiTheme="majorBidi" w:hAnsiTheme="majorBidi" w:cstheme="majorBidi"/>
          <w:color w:val="000000" w:themeColor="text1"/>
        </w:rPr>
        <w:t xml:space="preserve">Level 3 provides appropriate resolution to support the objectives and information </w:t>
      </w:r>
      <w:r w:rsidR="00D019A1" w:rsidRPr="00ED7E61">
        <w:rPr>
          <w:rFonts w:asciiTheme="majorBidi" w:hAnsiTheme="majorBidi" w:cstheme="majorBidi"/>
          <w:color w:val="000000" w:themeColor="text1"/>
        </w:rPr>
        <w:t xml:space="preserve">requirements </w:t>
      </w:r>
      <w:r w:rsidRPr="00ED7E61">
        <w:rPr>
          <w:rFonts w:asciiTheme="majorBidi" w:hAnsiTheme="majorBidi" w:cstheme="majorBidi"/>
          <w:color w:val="000000" w:themeColor="text1"/>
        </w:rPr>
        <w:t>of the Kunming-Montreal Global Biodiversity Framework, compared with reporting at biome level. For example, biome M1 marine shelf includes M1.1 seagrass meadows, M1.3 photic coral reefs and M1.2 kelp forests, which differ in the biodiversity they support, the benefits they provide, the pressures and threats they face, and thus their conservation and management needs</w:t>
      </w:r>
      <w:r w:rsidR="00361708">
        <w:rPr>
          <w:rFonts w:asciiTheme="majorBidi" w:hAnsiTheme="majorBidi" w:cstheme="majorBidi"/>
          <w:color w:val="000000" w:themeColor="text1"/>
        </w:rPr>
        <w:t>;</w:t>
      </w:r>
    </w:p>
    <w:p w14:paraId="64628F62" w14:textId="37462438" w:rsidR="008344AF" w:rsidRPr="00ED7E61" w:rsidRDefault="003D6BBD" w:rsidP="00B10F0C">
      <w:pPr>
        <w:pStyle w:val="CBDNormalNumber"/>
        <w:numPr>
          <w:ilvl w:val="1"/>
          <w:numId w:val="66"/>
        </w:numPr>
        <w:tabs>
          <w:tab w:val="clear" w:pos="567"/>
          <w:tab w:val="clear" w:pos="1134"/>
          <w:tab w:val="clear" w:pos="2268"/>
          <w:tab w:val="left" w:pos="1985"/>
        </w:tabs>
        <w:ind w:left="567" w:firstLine="567"/>
      </w:pPr>
      <w:r w:rsidRPr="00ED7E61">
        <w:t>Consistent reporting at level 3 across indicators enables the causal links across the Kunming-Montreal Global Biodiversity Framework to be tracked and progress to be monitored effectively at different scales. The goals (outcomes) of the Kunming-Montreal Global Biodiversity Framework rely on actions (under the targets); this relationship can be measured by the headline indicators if they are reported consistently at the appropriate resolution. For example, the impacts of seagrass restoration under Target 2 can be measured on improvements in seagrass extent (Goal A indicator A2) and risk status (A1 Red List of ecosystems). These links would not be clear if reported at biome (marine shelf) or realm level (e.g. marine)</w:t>
      </w:r>
      <w:r w:rsidR="00361708">
        <w:t>;</w:t>
      </w:r>
    </w:p>
    <w:p w14:paraId="4AD516CA" w14:textId="18E84DF4" w:rsidR="008344AF" w:rsidRPr="00ED7E61" w:rsidRDefault="003D6BBD" w:rsidP="00B10F0C">
      <w:pPr>
        <w:pStyle w:val="CBDNormalNumber"/>
        <w:numPr>
          <w:ilvl w:val="1"/>
          <w:numId w:val="66"/>
        </w:numPr>
        <w:tabs>
          <w:tab w:val="clear" w:pos="567"/>
          <w:tab w:val="clear" w:pos="1134"/>
          <w:tab w:val="clear" w:pos="2268"/>
          <w:tab w:val="left" w:pos="1985"/>
        </w:tabs>
        <w:ind w:left="567" w:firstLine="567"/>
        <w:rPr>
          <w:rFonts w:asciiTheme="majorBidi" w:hAnsiTheme="majorBidi" w:cstheme="majorBidi"/>
          <w:color w:val="000000" w:themeColor="text1"/>
        </w:rPr>
      </w:pPr>
      <w:r w:rsidRPr="00ED7E61">
        <w:rPr>
          <w:rFonts w:asciiTheme="majorBidi" w:hAnsiTheme="majorBidi" w:cstheme="majorBidi"/>
          <w:color w:val="000000" w:themeColor="text1"/>
        </w:rPr>
        <w:t xml:space="preserve">Level 3 allows for simplified aggregation to level 2 if needed (e.g. for public communication, a secondary role for headline indicators), because EFGs are nested within biomes and realms, but not vice versa. This is important for bridging the needs of national reporting, global reporting and public communication. If national data are reported </w:t>
      </w:r>
      <w:r w:rsidR="00D019A1" w:rsidRPr="00ED7E61">
        <w:rPr>
          <w:rFonts w:asciiTheme="majorBidi" w:hAnsiTheme="majorBidi" w:cstheme="majorBidi"/>
          <w:color w:val="000000" w:themeColor="text1"/>
        </w:rPr>
        <w:t>at</w:t>
      </w:r>
      <w:r w:rsidRPr="00ED7E61">
        <w:rPr>
          <w:rFonts w:asciiTheme="majorBidi" w:hAnsiTheme="majorBidi" w:cstheme="majorBidi"/>
          <w:color w:val="000000" w:themeColor="text1"/>
        </w:rPr>
        <w:t xml:space="preserve"> level 3, the results can be simplified for global report</w:t>
      </w:r>
      <w:r w:rsidR="00D019A1" w:rsidRPr="00ED7E61">
        <w:rPr>
          <w:rFonts w:asciiTheme="majorBidi" w:hAnsiTheme="majorBidi" w:cstheme="majorBidi"/>
          <w:color w:val="000000" w:themeColor="text1"/>
        </w:rPr>
        <w:t>s</w:t>
      </w:r>
      <w:r w:rsidRPr="00ED7E61">
        <w:rPr>
          <w:rFonts w:asciiTheme="majorBidi" w:hAnsiTheme="majorBidi" w:cstheme="majorBidi"/>
          <w:color w:val="000000" w:themeColor="text1"/>
        </w:rPr>
        <w:t xml:space="preserve"> (e.g. at biome) or communication to non-specialists (e.g. all forest ecosystem types combined, or all coastal ecosystem types). However, the reverse is not possible if countries use </w:t>
      </w:r>
      <w:r w:rsidR="00D019A1" w:rsidRPr="00ED7E61">
        <w:rPr>
          <w:rFonts w:asciiTheme="majorBidi" w:hAnsiTheme="majorBidi" w:cstheme="majorBidi"/>
          <w:color w:val="000000" w:themeColor="text1"/>
        </w:rPr>
        <w:t>very high-level</w:t>
      </w:r>
      <w:r w:rsidRPr="00ED7E61">
        <w:rPr>
          <w:rFonts w:asciiTheme="majorBidi" w:hAnsiTheme="majorBidi" w:cstheme="majorBidi"/>
          <w:color w:val="000000" w:themeColor="text1"/>
        </w:rPr>
        <w:t xml:space="preserve"> categories that risk being uninformative for science-based reporting</w:t>
      </w:r>
      <w:r w:rsidR="00361708">
        <w:rPr>
          <w:rFonts w:asciiTheme="majorBidi" w:hAnsiTheme="majorBidi" w:cstheme="majorBidi"/>
          <w:color w:val="000000" w:themeColor="text1"/>
        </w:rPr>
        <w:t>;</w:t>
      </w:r>
    </w:p>
    <w:p w14:paraId="72528E08" w14:textId="060B32C9" w:rsidR="003D6BBD" w:rsidRPr="00ED7E61" w:rsidRDefault="003D6BBD" w:rsidP="00B10F0C">
      <w:pPr>
        <w:pStyle w:val="CBDNormalNumber"/>
        <w:numPr>
          <w:ilvl w:val="1"/>
          <w:numId w:val="66"/>
        </w:numPr>
        <w:tabs>
          <w:tab w:val="clear" w:pos="567"/>
          <w:tab w:val="clear" w:pos="1134"/>
          <w:tab w:val="clear" w:pos="2268"/>
          <w:tab w:val="left" w:pos="1985"/>
        </w:tabs>
        <w:ind w:left="567" w:firstLine="567"/>
        <w:rPr>
          <w:rFonts w:asciiTheme="majorBidi" w:hAnsiTheme="majorBidi" w:cstheme="majorBidi"/>
          <w:color w:val="000000" w:themeColor="text1"/>
        </w:rPr>
      </w:pPr>
      <w:r w:rsidRPr="00ED7E61">
        <w:rPr>
          <w:rFonts w:asciiTheme="majorBidi" w:hAnsiTheme="majorBidi" w:cstheme="majorBidi"/>
          <w:color w:val="000000" w:themeColor="text1"/>
        </w:rPr>
        <w:t xml:space="preserve">Using the GET level 3 provides consistency across sectors. As noted above, the GET is recommended as an international statistical classification by the United Nations Statistical Commission, is used as the reference ecosystem classification for the UN ecosystem accounting standards (SEEA EA), which underpins A2 and B1, is used by IUCN, and recommended in private sector frameworks such as the Taskforce For Nature-Related Financial Disclosures (TNFD). </w:t>
      </w:r>
    </w:p>
    <w:p w14:paraId="1E8533FB" w14:textId="01BF208B" w:rsidR="003D6BBD" w:rsidRPr="00ED7E61" w:rsidRDefault="003D6BBD" w:rsidP="003D6BBD">
      <w:pPr>
        <w:rPr>
          <w:rFonts w:asciiTheme="majorBidi" w:hAnsiTheme="majorBidi" w:cstheme="majorBidi"/>
          <w:b/>
          <w:bCs/>
          <w:color w:val="000000" w:themeColor="text1"/>
          <w:sz w:val="22"/>
          <w:szCs w:val="22"/>
          <w:lang w:val="en-GB"/>
        </w:rPr>
      </w:pPr>
      <w:r w:rsidRPr="00ED7E61">
        <w:rPr>
          <w:rFonts w:asciiTheme="majorBidi" w:hAnsiTheme="majorBidi" w:cstheme="majorBidi"/>
          <w:b/>
          <w:bCs/>
          <w:color w:val="000000" w:themeColor="text1"/>
          <w:sz w:val="22"/>
          <w:szCs w:val="22"/>
          <w:lang w:val="en-GB"/>
        </w:rPr>
        <w:t xml:space="preserve">Understanding existing data and country capacities </w:t>
      </w:r>
    </w:p>
    <w:p w14:paraId="3B08D8DA" w14:textId="781D6C4C" w:rsidR="003D6BBD" w:rsidRPr="00ED7E61" w:rsidRDefault="003D6BBD" w:rsidP="00B10F0C">
      <w:pPr>
        <w:pStyle w:val="CBDNormalNumber"/>
        <w:numPr>
          <w:ilvl w:val="0"/>
          <w:numId w:val="39"/>
        </w:numPr>
      </w:pPr>
      <w:r w:rsidRPr="00ED7E61">
        <w:t xml:space="preserve">The number of countries with adequate ecosystem classifications and maps to support the targets and goals of the Kunming-Montreal Global Biodiversity Framework is currently unknown, although a database in being compiled under the GEO Global Ecosystems Atlas initiative. A recent review of data available for Headline Indicator A1 (Red List of Ecosystems assessments, which depend on ecosystem maps that are consistent with GET concepts) found that at least 63 countries have Red List assessments available for all terrestrial ecosystems, and a further 30 have subsets (e.g. all forests); data are also available for freshwater and marine ecosystems. </w:t>
      </w:r>
      <w:r w:rsidR="00D019A1" w:rsidRPr="00ED7E61">
        <w:t>Many</w:t>
      </w:r>
      <w:r w:rsidRPr="00ED7E61">
        <w:t xml:space="preserve"> were developed by external groups (e.g. by non-governmental organisations) or at regional scales, rather than led by or in collaboration with governments. Approximately two thirds of these assessments have been cross-referenced with GET; experience suggests this is a relatively straightforward process, although requiring expert input and some resources. Numerous other countries have ecosystem classifications and maps that would be suitable for cross-referencing with the GET and supporting GBF reporting (e.g. Malaysia, Morocco, India, Japan, New Guinea, Australia).</w:t>
      </w:r>
    </w:p>
    <w:p w14:paraId="5CBCDD88" w14:textId="5AB4C180" w:rsidR="0081065B" w:rsidRPr="00ED7E61" w:rsidRDefault="003D6BBD" w:rsidP="00B10F0C">
      <w:pPr>
        <w:pStyle w:val="CBDNormalNumber"/>
        <w:numPr>
          <w:ilvl w:val="0"/>
          <w:numId w:val="39"/>
        </w:numPr>
      </w:pPr>
      <w:r w:rsidRPr="00ED7E61">
        <w:t>Irrespective of the use of the GET, a major challenge for many countries is the development of new national ecosystem classifications and maps (see examples in Myanmar</w:t>
      </w:r>
      <w:r w:rsidR="004C576B">
        <w:t xml:space="preserve"> (Murray et</w:t>
      </w:r>
      <w:r w:rsidR="006B67E3">
        <w:t xml:space="preserve"> </w:t>
      </w:r>
      <w:r w:rsidR="004C576B">
        <w:t>al</w:t>
      </w:r>
      <w:r w:rsidR="00442544">
        <w:t>.</w:t>
      </w:r>
      <w:r w:rsidR="004C576B">
        <w:t xml:space="preserve"> 2020)</w:t>
      </w:r>
      <w:r w:rsidRPr="00ED7E61">
        <w:t xml:space="preserve"> and Maldives</w:t>
      </w:r>
      <w:r w:rsidR="00442544">
        <w:t xml:space="preserve"> </w:t>
      </w:r>
      <w:r w:rsidR="004C576B">
        <w:t>(Toor et</w:t>
      </w:r>
      <w:r w:rsidR="006B67E3">
        <w:t xml:space="preserve"> </w:t>
      </w:r>
      <w:r w:rsidR="004C576B">
        <w:t>al</w:t>
      </w:r>
      <w:r w:rsidR="00442544">
        <w:t>.</w:t>
      </w:r>
      <w:r w:rsidR="004C576B">
        <w:t xml:space="preserve"> 2022</w:t>
      </w:r>
      <w:r w:rsidRPr="00ED7E61">
        <w:t xml:space="preserve"> or their compilation from existing disparate data (e.g. Ghana</w:t>
      </w:r>
      <w:r w:rsidR="004C576B">
        <w:t xml:space="preserve"> (CONNECT Project 2021)</w:t>
      </w:r>
      <w:r w:rsidRPr="00ED7E61">
        <w:t xml:space="preserve"> and Uganda</w:t>
      </w:r>
      <w:r w:rsidR="004C576B">
        <w:t>(</w:t>
      </w:r>
      <w:r w:rsidR="004C576B" w:rsidRPr="00ED7E61">
        <w:rPr>
          <w:rFonts w:asciiTheme="majorBidi" w:hAnsiTheme="majorBidi" w:cstheme="majorBidi"/>
          <w:noProof/>
        </w:rPr>
        <w:t>National Environment Management Authority</w:t>
      </w:r>
      <w:r w:rsidR="004C576B" w:rsidRPr="00ED7E61" w:rsidDel="004C576B">
        <w:t xml:space="preserve"> </w:t>
      </w:r>
      <w:r w:rsidR="004C576B">
        <w:t xml:space="preserve"> 2020)</w:t>
      </w:r>
      <w:r w:rsidRPr="00ED7E61">
        <w:t>). Although global data are available for many ecosystem types and groups at spatial resolution and accuracy required for monitoring the implementation of the Kunming-Montreal Global Biodiversity Framework</w:t>
      </w:r>
      <w:r w:rsidRPr="00ED7E61">
        <w:fldChar w:fldCharType="begin">
          <w:fldData xml:space="preserve">PEVuZE5vdGU+PENpdGU+PEF1dGhvcj5LZWl0aDwvQXV0aG9yPjxZZWFyPjIwMjI8L1llYXI+PFJl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</w:fldData>
        </w:fldChar>
      </w:r>
      <w:r w:rsidRPr="00ED7E61">
        <w:instrText xml:space="preserve"> ADDIN EN.CITE </w:instrText>
      </w:r>
      <w:r w:rsidRPr="00ED7E61">
        <w:fldChar w:fldCharType="begin">
          <w:fldData xml:space="preserve">PEVuZE5vdGU+PENpdGU+PEF1dGhvcj5LZWl0aDwvQXV0aG9yPjxZZWFyPjIwMjI8L1llYXI+PFJl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</w:fldData>
        </w:fldChar>
      </w:r>
      <w:r w:rsidRPr="00ED7E61">
        <w:instrText xml:space="preserve"> ADDIN EN.CITE.DATA </w:instrText>
      </w:r>
      <w:r w:rsidRPr="00ED7E61">
        <w:fldChar w:fldCharType="end"/>
      </w:r>
      <w:r w:rsidRPr="00ED7E61">
        <w:fldChar w:fldCharType="separate"/>
      </w:r>
      <w:r w:rsidRPr="00ED7E61">
        <w:t>4</w:t>
      </w:r>
      <w:r w:rsidRPr="00ED7E61">
        <w:fldChar w:fldCharType="end"/>
      </w:r>
      <w:r w:rsidRPr="00ED7E61">
        <w:t xml:space="preserve">, no spatially comprehensive global map of ecosystem types exists.  Current initiatives to develop global maps for key ecosystem types include the GEO Global Ecosystems Atlas. The Atlas aims to compile existing high-quality maps of ecosystem types (global, regional and national) and to cross-reference them with GET EFGs, providing an important source of global, regional and national spatial data in the coming years. The Atlas will also highlight gaps in spatial information about the distribution of ecosystem types, and seek to improve on the current indicative </w:t>
      </w:r>
      <w:r w:rsidR="000B7763" w:rsidRPr="00ED7E61">
        <w:t xml:space="preserve">global </w:t>
      </w:r>
      <w:r w:rsidRPr="00ED7E61">
        <w:t>maps that underpin most EFGs in the GET. These global maps may provide spatial data for countries that lack their own ecosystem classifications and maps, supporting reporting for A1 and A2, as well as targets such as Target 2 on restoration</w:t>
      </w:r>
      <w:r w:rsidR="000B7763" w:rsidRPr="00ED7E61">
        <w:t>, and can support development of national maps</w:t>
      </w:r>
      <w:r w:rsidRPr="00ED7E61">
        <w:t xml:space="preserve">. </w:t>
      </w:r>
      <w:r w:rsidR="000B7763" w:rsidRPr="00ED7E61">
        <w:t>Global</w:t>
      </w:r>
      <w:r w:rsidRPr="00ED7E61">
        <w:t xml:space="preserve"> map</w:t>
      </w:r>
      <w:r w:rsidR="000B7763" w:rsidRPr="00ED7E61">
        <w:t>s</w:t>
      </w:r>
      <w:r w:rsidRPr="00ED7E61">
        <w:t xml:space="preserve"> would not replace national ecosystem maps</w:t>
      </w:r>
      <w:r w:rsidR="000B7763" w:rsidRPr="00ED7E61">
        <w:t xml:space="preserve"> where they exist</w:t>
      </w:r>
      <w:r w:rsidRPr="00ED7E61">
        <w:t xml:space="preserve">, which are typically more accurate due to local knowledge and are created at an appropriate thematic resolution (e.g. with more ecosystem classes, e.g. level 6 of the GET) that can support action including ecosystem management and policy. </w:t>
      </w:r>
      <w:r w:rsidR="0081065B" w:rsidRPr="00ED7E61">
        <w:t>Over the medium term, the Atlas will develop resources to support countries in developing and improving national ecosystem maps.</w:t>
      </w:r>
    </w:p>
    <w:p w14:paraId="6EBCEE6A" w14:textId="411DFE72" w:rsidR="003D6BBD" w:rsidRPr="00ED7E61" w:rsidRDefault="003D6BBD" w:rsidP="003D6BBD">
      <w:pPr>
        <w:rPr>
          <w:rFonts w:asciiTheme="majorBidi" w:hAnsiTheme="majorBidi" w:cstheme="majorBidi"/>
          <w:b/>
          <w:bCs/>
          <w:color w:val="000000" w:themeColor="text1"/>
          <w:sz w:val="22"/>
          <w:szCs w:val="22"/>
          <w:lang w:val="en-GB"/>
        </w:rPr>
      </w:pPr>
      <w:bookmarkStart w:id="13" w:name="_Implications_of_the"/>
      <w:bookmarkEnd w:id="13"/>
      <w:r w:rsidRPr="00ED7E61">
        <w:rPr>
          <w:rFonts w:asciiTheme="majorBidi" w:hAnsiTheme="majorBidi" w:cstheme="majorBidi"/>
          <w:b/>
          <w:bCs/>
          <w:color w:val="000000" w:themeColor="text1"/>
          <w:sz w:val="22"/>
          <w:szCs w:val="22"/>
          <w:lang w:val="en-GB"/>
        </w:rPr>
        <w:t xml:space="preserve">Implications of the GET for global and national reporting on ecosystems </w:t>
      </w:r>
    </w:p>
    <w:p w14:paraId="585614B0" w14:textId="1CF60508" w:rsidR="008344AF" w:rsidRPr="00ED7E61" w:rsidRDefault="003D6BBD" w:rsidP="00B10F0C">
      <w:pPr>
        <w:pStyle w:val="CBDNormalNumber"/>
        <w:numPr>
          <w:ilvl w:val="0"/>
          <w:numId w:val="39"/>
        </w:numPr>
      </w:pPr>
      <w:r w:rsidRPr="00ED7E61">
        <w:t>The AHTEG recommended testing and analyses to understand the implications of reporting at level 2 (biome) or 3 (ecosystem functional group) of the typology, using two approaches:</w:t>
      </w:r>
    </w:p>
    <w:p w14:paraId="1C002ACB" w14:textId="23034C67" w:rsidR="003D6BBD" w:rsidRPr="00ED7E61" w:rsidRDefault="003D6BBD" w:rsidP="00B10F0C">
      <w:pPr>
        <w:pStyle w:val="CBDNormalNumber"/>
        <w:numPr>
          <w:ilvl w:val="1"/>
          <w:numId w:val="66"/>
        </w:numPr>
        <w:tabs>
          <w:tab w:val="clear" w:pos="567"/>
          <w:tab w:val="clear" w:pos="1134"/>
          <w:tab w:val="clear" w:pos="2268"/>
          <w:tab w:val="left" w:pos="1985"/>
        </w:tabs>
        <w:ind w:left="567" w:firstLine="567"/>
      </w:pPr>
      <w:r w:rsidRPr="00ED7E61">
        <w:t xml:space="preserve">First, </w:t>
      </w:r>
      <w:r w:rsidR="0081065B" w:rsidRPr="00ED7E61">
        <w:t>preliminary</w:t>
      </w:r>
      <w:r w:rsidRPr="00ED7E61">
        <w:t xml:space="preserve"> analyses of the number of EFGs per country (including their overseas territories) were derived from the indicative maps per EFG</w:t>
      </w:r>
      <w:r w:rsidR="0081065B" w:rsidRPr="00ED7E61">
        <w:t xml:space="preserve"> (table 1)</w:t>
      </w:r>
      <w:r w:rsidRPr="00FB1598">
        <w:rPr>
          <w:vertAlign w:val="superscript"/>
        </w:rPr>
        <w:footnoteReference w:id="24"/>
      </w:r>
      <w:r w:rsidR="00E2363E">
        <w:t xml:space="preserve">. </w:t>
      </w:r>
      <w:r w:rsidRPr="00ED7E61">
        <w:t>The average number of natural EFGs per country is 31.6 (median 30), including all realms (marine, terrestrial, freshwater, subterranean, and transitional realms such as shorelines or wetlands). The mean number of terrestrial ecosystem groups is 5.8 (median 5) for only natural ecosystems, or 10.5 (median 10) including anthropogenic ecosystem groups (e.g. croplands, plantations)</w:t>
      </w:r>
      <w:r w:rsidR="00361708">
        <w:t>;</w:t>
      </w:r>
      <w:r w:rsidRPr="00ED7E61">
        <w:t xml:space="preserve"> </w:t>
      </w:r>
    </w:p>
    <w:p w14:paraId="4D767EAB" w14:textId="73CB84B5" w:rsidR="003D6BBD" w:rsidRPr="00ED7E61" w:rsidRDefault="003D6BBD" w:rsidP="00B10F0C">
      <w:pPr>
        <w:pStyle w:val="CBDNormalNumber"/>
        <w:numPr>
          <w:ilvl w:val="1"/>
          <w:numId w:val="66"/>
        </w:numPr>
        <w:tabs>
          <w:tab w:val="clear" w:pos="567"/>
          <w:tab w:val="clear" w:pos="1134"/>
          <w:tab w:val="clear" w:pos="2268"/>
          <w:tab w:val="left" w:pos="1985"/>
        </w:tabs>
        <w:ind w:left="567" w:firstLine="567"/>
      </w:pPr>
      <w:r w:rsidRPr="00ED7E61">
        <w:t>Second, the number of EFGs were estimated for a subset of countries based-on cross-walks of national classifications and maps to the GET EFGs (Table 2) – that is, via bottom-up alignment.</w:t>
      </w:r>
    </w:p>
    <w:p w14:paraId="68ABCF40" w14:textId="5096DF30" w:rsidR="003D6BBD" w:rsidRPr="00B3383B" w:rsidRDefault="003D6BBD" w:rsidP="00B3383B">
      <w:pPr>
        <w:spacing w:after="120"/>
        <w:ind w:left="567"/>
        <w:rPr>
          <w:rFonts w:asciiTheme="majorBidi" w:hAnsiTheme="majorBidi" w:cstheme="majorBidi"/>
          <w:b/>
          <w:bCs/>
          <w:color w:val="000000" w:themeColor="text1"/>
          <w:sz w:val="22"/>
          <w:szCs w:val="22"/>
          <w:lang w:val="en-GB"/>
        </w:rPr>
      </w:pPr>
      <w:r w:rsidRPr="00B3383B">
        <w:rPr>
          <w:rFonts w:asciiTheme="majorBidi" w:hAnsiTheme="majorBidi" w:cstheme="majorBidi"/>
          <w:color w:val="000000" w:themeColor="text1"/>
          <w:sz w:val="22"/>
          <w:szCs w:val="22"/>
          <w:lang w:val="en-GB"/>
        </w:rPr>
        <w:t>Table 1.</w:t>
      </w:r>
      <w:r w:rsidRPr="00ED7E61">
        <w:rPr>
          <w:rFonts w:asciiTheme="majorBidi" w:hAnsiTheme="majorBidi" w:cstheme="majorBidi"/>
          <w:color w:val="000000" w:themeColor="text1"/>
          <w:sz w:val="22"/>
          <w:szCs w:val="22"/>
          <w:lang w:val="en-GB"/>
        </w:rPr>
        <w:t xml:space="preserve"> </w:t>
      </w:r>
      <w:r w:rsidR="00361708">
        <w:rPr>
          <w:rFonts w:asciiTheme="majorBidi" w:hAnsiTheme="majorBidi" w:cstheme="majorBidi"/>
          <w:color w:val="000000" w:themeColor="text1"/>
          <w:sz w:val="22"/>
          <w:szCs w:val="22"/>
          <w:lang w:val="en-GB"/>
        </w:rPr>
        <w:br/>
      </w:r>
      <w:r w:rsidRPr="00B3383B">
        <w:rPr>
          <w:rFonts w:asciiTheme="majorBidi" w:hAnsiTheme="majorBidi" w:cstheme="majorBidi"/>
          <w:b/>
          <w:bCs/>
          <w:color w:val="000000" w:themeColor="text1"/>
          <w:sz w:val="22"/>
          <w:szCs w:val="22"/>
          <w:lang w:val="en-GB"/>
        </w:rPr>
        <w:t>Average number EFGs per realm per country</w:t>
      </w:r>
      <w:r w:rsidRPr="00B3383B">
        <w:rPr>
          <w:rStyle w:val="FootnoteReference"/>
          <w:rFonts w:asciiTheme="majorBidi" w:hAnsiTheme="majorBidi" w:cstheme="majorBidi"/>
          <w:b/>
          <w:bCs/>
          <w:color w:val="000000" w:themeColor="text1"/>
          <w:sz w:val="22"/>
          <w:szCs w:val="22"/>
          <w:lang w:val="en-GB"/>
        </w:rPr>
        <w:footnoteReference w:id="25"/>
      </w:r>
      <w:r w:rsidRPr="00B3383B">
        <w:rPr>
          <w:rFonts w:asciiTheme="majorBidi" w:hAnsiTheme="majorBidi" w:cstheme="majorBidi"/>
          <w:b/>
          <w:bCs/>
          <w:color w:val="000000" w:themeColor="text1"/>
          <w:sz w:val="22"/>
          <w:szCs w:val="22"/>
          <w:lang w:val="en-GB"/>
        </w:rPr>
        <w:t xml:space="preserve"> </w:t>
      </w:r>
    </w:p>
    <w:tbl>
      <w:tblPr>
        <w:tblStyle w:val="GridTable1Light"/>
        <w:tblW w:w="8789" w:type="dxa"/>
        <w:tblInd w:w="562" w:type="dxa"/>
        <w:tblLook w:val="04A0" w:firstRow="1" w:lastRow="0" w:firstColumn="1" w:lastColumn="0" w:noHBand="0" w:noVBand="1"/>
      </w:tblPr>
      <w:tblGrid>
        <w:gridCol w:w="4993"/>
        <w:gridCol w:w="848"/>
        <w:gridCol w:w="1050"/>
        <w:gridCol w:w="848"/>
        <w:gridCol w:w="1050"/>
      </w:tblGrid>
      <w:tr w:rsidR="003D6BBD" w:rsidRPr="003D3FDB" w14:paraId="1F213776" w14:textId="77777777" w:rsidTr="00B338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tcPr>
          <w:p w14:paraId="223AA9C9" w14:textId="77777777" w:rsidR="003D6BBD" w:rsidRPr="00B3383B" w:rsidRDefault="003D6BBD" w:rsidP="00A96B0B">
            <w:pPr>
              <w:rPr>
                <w:b w:val="0"/>
                <w:bCs w:val="0"/>
                <w:i/>
                <w:iCs/>
                <w:sz w:val="20"/>
                <w:szCs w:val="20"/>
              </w:rPr>
            </w:pPr>
          </w:p>
        </w:tc>
        <w:tc>
          <w:tcPr>
            <w:tcW w:w="0" w:type="dxa"/>
            <w:gridSpan w:val="2"/>
            <w:noWrap/>
          </w:tcPr>
          <w:p w14:paraId="3F904E33" w14:textId="77777777" w:rsidR="003D6BBD" w:rsidRPr="00B3383B" w:rsidRDefault="003D6BBD" w:rsidP="005B0D1E">
            <w:pPr>
              <w:jc w:val="center"/>
              <w:cnfStyle w:val="100000000000" w:firstRow="1" w:lastRow="0" w:firstColumn="0" w:lastColumn="0" w:oddVBand="0" w:evenVBand="0" w:oddHBand="0" w:evenHBand="0" w:firstRowFirstColumn="0" w:firstRowLastColumn="0" w:lastRowFirstColumn="0" w:lastRowLastColumn="0"/>
              <w:rPr>
                <w:b w:val="0"/>
                <w:bCs w:val="0"/>
                <w:i/>
                <w:iCs/>
                <w:color w:val="000000"/>
                <w:sz w:val="20"/>
                <w:szCs w:val="20"/>
              </w:rPr>
            </w:pPr>
            <w:r w:rsidRPr="00B3383B">
              <w:rPr>
                <w:b w:val="0"/>
                <w:bCs w:val="0"/>
                <w:i/>
                <w:iCs/>
                <w:color w:val="000000"/>
                <w:sz w:val="20"/>
                <w:szCs w:val="20"/>
              </w:rPr>
              <w:t>Natural ecosystems</w:t>
            </w:r>
          </w:p>
        </w:tc>
        <w:tc>
          <w:tcPr>
            <w:tcW w:w="0" w:type="dxa"/>
            <w:gridSpan w:val="2"/>
            <w:noWrap/>
          </w:tcPr>
          <w:p w14:paraId="1E14CDA0" w14:textId="77777777" w:rsidR="003D6BBD" w:rsidRPr="00B3383B" w:rsidRDefault="003D6BBD" w:rsidP="005B0D1E">
            <w:pPr>
              <w:jc w:val="center"/>
              <w:cnfStyle w:val="100000000000" w:firstRow="1" w:lastRow="0" w:firstColumn="0" w:lastColumn="0" w:oddVBand="0" w:evenVBand="0" w:oddHBand="0" w:evenHBand="0" w:firstRowFirstColumn="0" w:firstRowLastColumn="0" w:lastRowFirstColumn="0" w:lastRowLastColumn="0"/>
              <w:rPr>
                <w:b w:val="0"/>
                <w:bCs w:val="0"/>
                <w:i/>
                <w:iCs/>
                <w:color w:val="000000"/>
                <w:sz w:val="20"/>
                <w:szCs w:val="20"/>
              </w:rPr>
            </w:pPr>
            <w:r w:rsidRPr="00B3383B">
              <w:rPr>
                <w:b w:val="0"/>
                <w:bCs w:val="0"/>
                <w:i/>
                <w:iCs/>
                <w:color w:val="000000"/>
                <w:sz w:val="20"/>
                <w:szCs w:val="20"/>
              </w:rPr>
              <w:t>All ecosystems (natural and anthropogenic)</w:t>
            </w:r>
          </w:p>
        </w:tc>
      </w:tr>
      <w:tr w:rsidR="003D6BBD" w:rsidRPr="00ED7E61" w14:paraId="06F239EF"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8597685" w14:textId="77777777" w:rsidR="003D6BBD" w:rsidRPr="00ED7E61" w:rsidRDefault="003D6BBD" w:rsidP="005B0D1E">
            <w:pPr>
              <w:jc w:val="center"/>
              <w:rPr>
                <w:sz w:val="20"/>
                <w:szCs w:val="20"/>
              </w:rPr>
            </w:pPr>
          </w:p>
        </w:tc>
        <w:tc>
          <w:tcPr>
            <w:tcW w:w="0" w:type="dxa"/>
            <w:noWrap/>
            <w:hideMark/>
          </w:tcPr>
          <w:p w14:paraId="7B249F2F"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mean</w:t>
            </w:r>
          </w:p>
        </w:tc>
        <w:tc>
          <w:tcPr>
            <w:tcW w:w="0" w:type="dxa"/>
            <w:noWrap/>
            <w:hideMark/>
          </w:tcPr>
          <w:p w14:paraId="46FBCA3B"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median</w:t>
            </w:r>
          </w:p>
        </w:tc>
        <w:tc>
          <w:tcPr>
            <w:tcW w:w="0" w:type="dxa"/>
            <w:noWrap/>
            <w:hideMark/>
          </w:tcPr>
          <w:p w14:paraId="448A1286"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mean</w:t>
            </w:r>
          </w:p>
        </w:tc>
        <w:tc>
          <w:tcPr>
            <w:tcW w:w="0" w:type="dxa"/>
            <w:noWrap/>
            <w:hideMark/>
          </w:tcPr>
          <w:p w14:paraId="7FF57764"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median</w:t>
            </w:r>
          </w:p>
        </w:tc>
      </w:tr>
      <w:tr w:rsidR="003D6BBD" w:rsidRPr="00ED7E61" w14:paraId="7985A643"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15A52A04" w14:textId="77777777" w:rsidR="003D6BBD" w:rsidRPr="003D3FDB" w:rsidRDefault="003D6BBD" w:rsidP="00A96B0B">
            <w:pPr>
              <w:rPr>
                <w:b w:val="0"/>
                <w:bCs w:val="0"/>
                <w:color w:val="000000"/>
                <w:sz w:val="20"/>
                <w:szCs w:val="20"/>
              </w:rPr>
            </w:pPr>
            <w:r w:rsidRPr="00B3383B">
              <w:rPr>
                <w:b w:val="0"/>
                <w:bCs w:val="0"/>
                <w:color w:val="000000"/>
                <w:sz w:val="20"/>
                <w:szCs w:val="20"/>
              </w:rPr>
              <w:t>Terrestrial (e.g. tropical lowland rainforests)</w:t>
            </w:r>
          </w:p>
        </w:tc>
        <w:tc>
          <w:tcPr>
            <w:tcW w:w="0" w:type="dxa"/>
            <w:noWrap/>
            <w:vAlign w:val="bottom"/>
            <w:hideMark/>
          </w:tcPr>
          <w:p w14:paraId="7C49AB06"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5.8</w:t>
            </w:r>
          </w:p>
        </w:tc>
        <w:tc>
          <w:tcPr>
            <w:tcW w:w="0" w:type="dxa"/>
            <w:noWrap/>
            <w:vAlign w:val="bottom"/>
            <w:hideMark/>
          </w:tcPr>
          <w:p w14:paraId="313301A3"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5.0</w:t>
            </w:r>
          </w:p>
        </w:tc>
        <w:tc>
          <w:tcPr>
            <w:tcW w:w="0" w:type="dxa"/>
            <w:noWrap/>
            <w:vAlign w:val="bottom"/>
            <w:hideMark/>
          </w:tcPr>
          <w:p w14:paraId="0CD298D1"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10.5</w:t>
            </w:r>
          </w:p>
        </w:tc>
        <w:tc>
          <w:tcPr>
            <w:tcW w:w="0" w:type="dxa"/>
            <w:noWrap/>
            <w:vAlign w:val="bottom"/>
            <w:hideMark/>
          </w:tcPr>
          <w:p w14:paraId="063D5229"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10.0</w:t>
            </w:r>
          </w:p>
        </w:tc>
      </w:tr>
      <w:tr w:rsidR="003D6BBD" w:rsidRPr="00ED7E61" w14:paraId="3AA0CA4B"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17486176" w14:textId="77777777" w:rsidR="003D6BBD" w:rsidRPr="003D3FDB" w:rsidRDefault="003D6BBD" w:rsidP="00A96B0B">
            <w:pPr>
              <w:rPr>
                <w:b w:val="0"/>
                <w:bCs w:val="0"/>
                <w:color w:val="000000"/>
                <w:sz w:val="20"/>
                <w:szCs w:val="20"/>
              </w:rPr>
            </w:pPr>
            <w:r w:rsidRPr="00B3383B">
              <w:rPr>
                <w:b w:val="0"/>
                <w:bCs w:val="0"/>
                <w:color w:val="000000"/>
                <w:sz w:val="20"/>
                <w:szCs w:val="20"/>
              </w:rPr>
              <w:t>Terrestrial-Freshwater (e.g. wetlands)</w:t>
            </w:r>
          </w:p>
        </w:tc>
        <w:tc>
          <w:tcPr>
            <w:tcW w:w="0" w:type="dxa"/>
            <w:noWrap/>
            <w:vAlign w:val="bottom"/>
            <w:hideMark/>
          </w:tcPr>
          <w:p w14:paraId="4ECFAEED"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2.5</w:t>
            </w:r>
          </w:p>
        </w:tc>
        <w:tc>
          <w:tcPr>
            <w:tcW w:w="0" w:type="dxa"/>
            <w:noWrap/>
            <w:vAlign w:val="bottom"/>
            <w:hideMark/>
          </w:tcPr>
          <w:p w14:paraId="1076A9BE"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2.0</w:t>
            </w:r>
          </w:p>
        </w:tc>
        <w:tc>
          <w:tcPr>
            <w:tcW w:w="0" w:type="dxa"/>
            <w:noWrap/>
            <w:vAlign w:val="bottom"/>
            <w:hideMark/>
          </w:tcPr>
          <w:p w14:paraId="335AAA3A"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2.5</w:t>
            </w:r>
          </w:p>
        </w:tc>
        <w:tc>
          <w:tcPr>
            <w:tcW w:w="0" w:type="dxa"/>
            <w:noWrap/>
            <w:vAlign w:val="bottom"/>
            <w:hideMark/>
          </w:tcPr>
          <w:p w14:paraId="3841427F"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2.0</w:t>
            </w:r>
          </w:p>
        </w:tc>
      </w:tr>
      <w:tr w:rsidR="003D6BBD" w:rsidRPr="00ED7E61" w14:paraId="22047F36"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457D7603" w14:textId="77777777" w:rsidR="003D6BBD" w:rsidRPr="003D3FDB" w:rsidRDefault="003D6BBD" w:rsidP="00A96B0B">
            <w:pPr>
              <w:rPr>
                <w:b w:val="0"/>
                <w:bCs w:val="0"/>
                <w:color w:val="000000"/>
                <w:sz w:val="20"/>
                <w:szCs w:val="20"/>
              </w:rPr>
            </w:pPr>
            <w:r w:rsidRPr="00B3383B">
              <w:rPr>
                <w:b w:val="0"/>
                <w:bCs w:val="0"/>
                <w:color w:val="000000"/>
                <w:sz w:val="20"/>
                <w:szCs w:val="20"/>
              </w:rPr>
              <w:t>Freshwater (e.g. rivers)</w:t>
            </w:r>
          </w:p>
        </w:tc>
        <w:tc>
          <w:tcPr>
            <w:tcW w:w="0" w:type="dxa"/>
            <w:noWrap/>
            <w:vAlign w:val="bottom"/>
            <w:hideMark/>
          </w:tcPr>
          <w:p w14:paraId="792537F7"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7.1</w:t>
            </w:r>
          </w:p>
        </w:tc>
        <w:tc>
          <w:tcPr>
            <w:tcW w:w="0" w:type="dxa"/>
            <w:noWrap/>
            <w:vAlign w:val="bottom"/>
            <w:hideMark/>
          </w:tcPr>
          <w:p w14:paraId="23E0E7A2"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7.0</w:t>
            </w:r>
          </w:p>
        </w:tc>
        <w:tc>
          <w:tcPr>
            <w:tcW w:w="0" w:type="dxa"/>
            <w:noWrap/>
            <w:vAlign w:val="bottom"/>
            <w:hideMark/>
          </w:tcPr>
          <w:p w14:paraId="0622F0B8"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10.0</w:t>
            </w:r>
          </w:p>
        </w:tc>
        <w:tc>
          <w:tcPr>
            <w:tcW w:w="0" w:type="dxa"/>
            <w:noWrap/>
            <w:vAlign w:val="bottom"/>
            <w:hideMark/>
          </w:tcPr>
          <w:p w14:paraId="05798589"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10.0</w:t>
            </w:r>
          </w:p>
        </w:tc>
      </w:tr>
      <w:tr w:rsidR="003D6BBD" w:rsidRPr="00ED7E61" w14:paraId="18D84F86"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2190F510" w14:textId="77777777" w:rsidR="003D6BBD" w:rsidRPr="003D3FDB" w:rsidRDefault="003D6BBD" w:rsidP="00A96B0B">
            <w:pPr>
              <w:rPr>
                <w:b w:val="0"/>
                <w:bCs w:val="0"/>
                <w:color w:val="000000"/>
                <w:sz w:val="20"/>
                <w:szCs w:val="20"/>
              </w:rPr>
            </w:pPr>
            <w:r w:rsidRPr="00B3383B">
              <w:rPr>
                <w:b w:val="0"/>
                <w:bCs w:val="0"/>
                <w:color w:val="000000"/>
                <w:sz w:val="20"/>
                <w:szCs w:val="20"/>
              </w:rPr>
              <w:t>Freshwater-Marine (e.g. estuaries)</w:t>
            </w:r>
          </w:p>
        </w:tc>
        <w:tc>
          <w:tcPr>
            <w:tcW w:w="0" w:type="dxa"/>
            <w:noWrap/>
            <w:vAlign w:val="bottom"/>
            <w:hideMark/>
          </w:tcPr>
          <w:p w14:paraId="5116345D"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1.4</w:t>
            </w:r>
          </w:p>
        </w:tc>
        <w:tc>
          <w:tcPr>
            <w:tcW w:w="0" w:type="dxa"/>
            <w:noWrap/>
            <w:vAlign w:val="bottom"/>
            <w:hideMark/>
          </w:tcPr>
          <w:p w14:paraId="5BE3AD8C"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w:t>
            </w:r>
          </w:p>
        </w:tc>
        <w:tc>
          <w:tcPr>
            <w:tcW w:w="0" w:type="dxa"/>
            <w:noWrap/>
            <w:vAlign w:val="bottom"/>
            <w:hideMark/>
          </w:tcPr>
          <w:p w14:paraId="4885C4ED"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1.4</w:t>
            </w:r>
          </w:p>
        </w:tc>
        <w:tc>
          <w:tcPr>
            <w:tcW w:w="0" w:type="dxa"/>
            <w:noWrap/>
            <w:vAlign w:val="bottom"/>
            <w:hideMark/>
          </w:tcPr>
          <w:p w14:paraId="4EE0959C"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w:t>
            </w:r>
          </w:p>
        </w:tc>
      </w:tr>
      <w:tr w:rsidR="003D6BBD" w:rsidRPr="00ED7E61" w14:paraId="65654F53"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3D6F96F4" w14:textId="77777777" w:rsidR="003D6BBD" w:rsidRPr="003D3FDB" w:rsidRDefault="003D6BBD" w:rsidP="00A96B0B">
            <w:pPr>
              <w:rPr>
                <w:b w:val="0"/>
                <w:bCs w:val="0"/>
                <w:color w:val="000000"/>
                <w:sz w:val="20"/>
                <w:szCs w:val="20"/>
              </w:rPr>
            </w:pPr>
            <w:r w:rsidRPr="00B3383B">
              <w:rPr>
                <w:b w:val="0"/>
                <w:bCs w:val="0"/>
                <w:color w:val="000000"/>
                <w:sz w:val="20"/>
                <w:szCs w:val="20"/>
              </w:rPr>
              <w:t>Marine (e.g. coral reefs)</w:t>
            </w:r>
          </w:p>
        </w:tc>
        <w:tc>
          <w:tcPr>
            <w:tcW w:w="0" w:type="dxa"/>
            <w:noWrap/>
            <w:vAlign w:val="bottom"/>
            <w:hideMark/>
          </w:tcPr>
          <w:p w14:paraId="7CFEEF38"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9.4</w:t>
            </w:r>
          </w:p>
        </w:tc>
        <w:tc>
          <w:tcPr>
            <w:tcW w:w="0" w:type="dxa"/>
            <w:noWrap/>
            <w:vAlign w:val="bottom"/>
            <w:hideMark/>
          </w:tcPr>
          <w:p w14:paraId="5B2C3CB7"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9.0</w:t>
            </w:r>
          </w:p>
        </w:tc>
        <w:tc>
          <w:tcPr>
            <w:tcW w:w="0" w:type="dxa"/>
            <w:noWrap/>
            <w:vAlign w:val="bottom"/>
            <w:hideMark/>
          </w:tcPr>
          <w:p w14:paraId="4B221E9B"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10.5</w:t>
            </w:r>
          </w:p>
        </w:tc>
        <w:tc>
          <w:tcPr>
            <w:tcW w:w="0" w:type="dxa"/>
            <w:noWrap/>
            <w:vAlign w:val="bottom"/>
            <w:hideMark/>
          </w:tcPr>
          <w:p w14:paraId="76FD1040"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10.0</w:t>
            </w:r>
          </w:p>
        </w:tc>
      </w:tr>
      <w:tr w:rsidR="003D6BBD" w:rsidRPr="00ED7E61" w14:paraId="1E58F3BF"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7AA10887" w14:textId="77777777" w:rsidR="003D6BBD" w:rsidRPr="003D3FDB" w:rsidRDefault="003D6BBD" w:rsidP="00A96B0B">
            <w:pPr>
              <w:rPr>
                <w:b w:val="0"/>
                <w:bCs w:val="0"/>
                <w:color w:val="000000"/>
                <w:sz w:val="20"/>
                <w:szCs w:val="20"/>
              </w:rPr>
            </w:pPr>
            <w:r w:rsidRPr="00B3383B">
              <w:rPr>
                <w:b w:val="0"/>
                <w:bCs w:val="0"/>
                <w:color w:val="000000"/>
                <w:sz w:val="20"/>
                <w:szCs w:val="20"/>
              </w:rPr>
              <w:t>Marine-Freshwater-Terrestrial (e.g. mangroves)</w:t>
            </w:r>
          </w:p>
        </w:tc>
        <w:tc>
          <w:tcPr>
            <w:tcW w:w="0" w:type="dxa"/>
            <w:noWrap/>
            <w:vAlign w:val="bottom"/>
            <w:hideMark/>
          </w:tcPr>
          <w:p w14:paraId="0ED11A08"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1.6</w:t>
            </w:r>
          </w:p>
        </w:tc>
        <w:tc>
          <w:tcPr>
            <w:tcW w:w="0" w:type="dxa"/>
            <w:noWrap/>
            <w:vAlign w:val="bottom"/>
            <w:hideMark/>
          </w:tcPr>
          <w:p w14:paraId="06E06978"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w:t>
            </w:r>
          </w:p>
        </w:tc>
        <w:tc>
          <w:tcPr>
            <w:tcW w:w="0" w:type="dxa"/>
            <w:noWrap/>
            <w:vAlign w:val="bottom"/>
            <w:hideMark/>
          </w:tcPr>
          <w:p w14:paraId="6A3ADBC9"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1.6</w:t>
            </w:r>
          </w:p>
        </w:tc>
        <w:tc>
          <w:tcPr>
            <w:tcW w:w="0" w:type="dxa"/>
            <w:noWrap/>
            <w:vAlign w:val="bottom"/>
            <w:hideMark/>
          </w:tcPr>
          <w:p w14:paraId="6F0E9AE3"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w:t>
            </w:r>
          </w:p>
        </w:tc>
      </w:tr>
      <w:tr w:rsidR="003D6BBD" w:rsidRPr="00ED7E61" w14:paraId="03E232D1"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558BB4D6" w14:textId="77777777" w:rsidR="003D6BBD" w:rsidRPr="003D3FDB" w:rsidRDefault="003D6BBD" w:rsidP="00A96B0B">
            <w:pPr>
              <w:rPr>
                <w:b w:val="0"/>
                <w:bCs w:val="0"/>
                <w:color w:val="000000"/>
                <w:sz w:val="20"/>
                <w:szCs w:val="20"/>
              </w:rPr>
            </w:pPr>
            <w:r w:rsidRPr="00B3383B">
              <w:rPr>
                <w:b w:val="0"/>
                <w:bCs w:val="0"/>
                <w:color w:val="000000"/>
                <w:sz w:val="20"/>
                <w:szCs w:val="20"/>
              </w:rPr>
              <w:t>Marine-terrestrial (e.g. sandy beaches)</w:t>
            </w:r>
          </w:p>
        </w:tc>
        <w:tc>
          <w:tcPr>
            <w:tcW w:w="0" w:type="dxa"/>
            <w:noWrap/>
            <w:vAlign w:val="bottom"/>
            <w:hideMark/>
          </w:tcPr>
          <w:p w14:paraId="6BA55666"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4.3</w:t>
            </w:r>
          </w:p>
        </w:tc>
        <w:tc>
          <w:tcPr>
            <w:tcW w:w="0" w:type="dxa"/>
            <w:noWrap/>
            <w:vAlign w:val="bottom"/>
            <w:hideMark/>
          </w:tcPr>
          <w:p w14:paraId="40F06D08"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4.0</w:t>
            </w:r>
          </w:p>
        </w:tc>
        <w:tc>
          <w:tcPr>
            <w:tcW w:w="0" w:type="dxa"/>
            <w:noWrap/>
            <w:vAlign w:val="bottom"/>
            <w:hideMark/>
          </w:tcPr>
          <w:p w14:paraId="6293ADFC"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5.0</w:t>
            </w:r>
          </w:p>
        </w:tc>
        <w:tc>
          <w:tcPr>
            <w:tcW w:w="0" w:type="dxa"/>
            <w:noWrap/>
            <w:vAlign w:val="bottom"/>
            <w:hideMark/>
          </w:tcPr>
          <w:p w14:paraId="568693D5"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5.0</w:t>
            </w:r>
          </w:p>
        </w:tc>
      </w:tr>
      <w:tr w:rsidR="003D6BBD" w:rsidRPr="00ED7E61" w14:paraId="3910E775"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17C426A3" w14:textId="77777777" w:rsidR="003D6BBD" w:rsidRPr="003D3FDB" w:rsidRDefault="003D6BBD" w:rsidP="00A96B0B">
            <w:pPr>
              <w:rPr>
                <w:b w:val="0"/>
                <w:bCs w:val="0"/>
                <w:color w:val="000000"/>
                <w:sz w:val="20"/>
                <w:szCs w:val="20"/>
              </w:rPr>
            </w:pPr>
            <w:r w:rsidRPr="00B3383B">
              <w:rPr>
                <w:b w:val="0"/>
                <w:bCs w:val="0"/>
                <w:color w:val="000000"/>
                <w:sz w:val="20"/>
                <w:szCs w:val="20"/>
              </w:rPr>
              <w:t>Subterranean (e.g. caves)</w:t>
            </w:r>
          </w:p>
        </w:tc>
        <w:tc>
          <w:tcPr>
            <w:tcW w:w="0" w:type="dxa"/>
            <w:noWrap/>
            <w:vAlign w:val="bottom"/>
            <w:hideMark/>
          </w:tcPr>
          <w:p w14:paraId="5B0B0338"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w:t>
            </w:r>
          </w:p>
        </w:tc>
        <w:tc>
          <w:tcPr>
            <w:tcW w:w="0" w:type="dxa"/>
            <w:noWrap/>
            <w:vAlign w:val="bottom"/>
            <w:hideMark/>
          </w:tcPr>
          <w:p w14:paraId="50876A89"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1.0</w:t>
            </w:r>
          </w:p>
        </w:tc>
        <w:tc>
          <w:tcPr>
            <w:tcW w:w="0" w:type="dxa"/>
            <w:noWrap/>
            <w:vAlign w:val="bottom"/>
            <w:hideMark/>
          </w:tcPr>
          <w:p w14:paraId="760EF8E3"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1.5</w:t>
            </w:r>
          </w:p>
        </w:tc>
        <w:tc>
          <w:tcPr>
            <w:tcW w:w="0" w:type="dxa"/>
            <w:noWrap/>
            <w:vAlign w:val="bottom"/>
            <w:hideMark/>
          </w:tcPr>
          <w:p w14:paraId="376F049E"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2.0</w:t>
            </w:r>
          </w:p>
        </w:tc>
      </w:tr>
      <w:tr w:rsidR="003D6BBD" w:rsidRPr="00ED7E61" w14:paraId="3FE7F893"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588C46F9" w14:textId="77777777" w:rsidR="003D6BBD" w:rsidRPr="003D3FDB" w:rsidRDefault="003D6BBD" w:rsidP="00A96B0B">
            <w:pPr>
              <w:rPr>
                <w:b w:val="0"/>
                <w:bCs w:val="0"/>
                <w:color w:val="000000"/>
                <w:sz w:val="20"/>
                <w:szCs w:val="20"/>
              </w:rPr>
            </w:pPr>
            <w:r w:rsidRPr="00B3383B">
              <w:rPr>
                <w:b w:val="0"/>
                <w:bCs w:val="0"/>
                <w:color w:val="000000"/>
                <w:sz w:val="20"/>
                <w:szCs w:val="20"/>
              </w:rPr>
              <w:t>Subterranean-freshwater</w:t>
            </w:r>
          </w:p>
        </w:tc>
        <w:tc>
          <w:tcPr>
            <w:tcW w:w="0" w:type="dxa"/>
            <w:noWrap/>
            <w:vAlign w:val="bottom"/>
            <w:hideMark/>
          </w:tcPr>
          <w:p w14:paraId="188BA5A3"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1.7</w:t>
            </w:r>
          </w:p>
        </w:tc>
        <w:tc>
          <w:tcPr>
            <w:tcW w:w="0" w:type="dxa"/>
            <w:noWrap/>
            <w:vAlign w:val="bottom"/>
            <w:hideMark/>
          </w:tcPr>
          <w:p w14:paraId="405E1643"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2.0</w:t>
            </w:r>
          </w:p>
        </w:tc>
        <w:tc>
          <w:tcPr>
            <w:tcW w:w="0" w:type="dxa"/>
            <w:noWrap/>
            <w:vAlign w:val="bottom"/>
            <w:hideMark/>
          </w:tcPr>
          <w:p w14:paraId="7488DD15"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2.7</w:t>
            </w:r>
          </w:p>
        </w:tc>
        <w:tc>
          <w:tcPr>
            <w:tcW w:w="0" w:type="dxa"/>
            <w:noWrap/>
            <w:vAlign w:val="bottom"/>
            <w:hideMark/>
          </w:tcPr>
          <w:p w14:paraId="4196592D"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3.0</w:t>
            </w:r>
          </w:p>
        </w:tc>
      </w:tr>
      <w:tr w:rsidR="003D6BBD" w:rsidRPr="00ED7E61" w14:paraId="68752947"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41380874" w14:textId="77777777" w:rsidR="003D6BBD" w:rsidRPr="003D3FDB" w:rsidRDefault="003D6BBD" w:rsidP="00A96B0B">
            <w:pPr>
              <w:rPr>
                <w:b w:val="0"/>
                <w:bCs w:val="0"/>
                <w:color w:val="000000"/>
                <w:sz w:val="20"/>
                <w:szCs w:val="20"/>
              </w:rPr>
            </w:pPr>
            <w:r w:rsidRPr="00B3383B">
              <w:rPr>
                <w:b w:val="0"/>
                <w:bCs w:val="0"/>
                <w:color w:val="000000"/>
                <w:sz w:val="20"/>
                <w:szCs w:val="20"/>
              </w:rPr>
              <w:t>Subterranean-marine</w:t>
            </w:r>
          </w:p>
        </w:tc>
        <w:tc>
          <w:tcPr>
            <w:tcW w:w="0" w:type="dxa"/>
            <w:noWrap/>
            <w:vAlign w:val="bottom"/>
            <w:hideMark/>
          </w:tcPr>
          <w:p w14:paraId="1DA916F2"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2.3</w:t>
            </w:r>
          </w:p>
        </w:tc>
        <w:tc>
          <w:tcPr>
            <w:tcW w:w="0" w:type="dxa"/>
            <w:noWrap/>
            <w:vAlign w:val="bottom"/>
            <w:hideMark/>
          </w:tcPr>
          <w:p w14:paraId="7AE1FC5B"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3.0</w:t>
            </w:r>
          </w:p>
        </w:tc>
        <w:tc>
          <w:tcPr>
            <w:tcW w:w="0" w:type="dxa"/>
            <w:noWrap/>
            <w:vAlign w:val="bottom"/>
            <w:hideMark/>
          </w:tcPr>
          <w:p w14:paraId="4A9B22F9"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2.3</w:t>
            </w:r>
          </w:p>
        </w:tc>
        <w:tc>
          <w:tcPr>
            <w:tcW w:w="0" w:type="dxa"/>
            <w:noWrap/>
            <w:vAlign w:val="bottom"/>
            <w:hideMark/>
          </w:tcPr>
          <w:p w14:paraId="3C99844C" w14:textId="77777777" w:rsidR="003D6BBD" w:rsidRPr="00ED7E61" w:rsidRDefault="003D6BBD" w:rsidP="00A96B0B">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rPr>
              <w:t>3.0</w:t>
            </w:r>
          </w:p>
        </w:tc>
      </w:tr>
      <w:tr w:rsidR="003D6BBD" w:rsidRPr="00ED7E61" w14:paraId="045B7BB8" w14:textId="77777777" w:rsidTr="00B3383B">
        <w:trPr>
          <w:trHeight w:val="300"/>
        </w:trPr>
        <w:tc>
          <w:tcPr>
            <w:cnfStyle w:val="001000000000" w:firstRow="0" w:lastRow="0" w:firstColumn="1" w:lastColumn="0" w:oddVBand="0" w:evenVBand="0" w:oddHBand="0" w:evenHBand="0" w:firstRowFirstColumn="0" w:firstRowLastColumn="0" w:lastRowFirstColumn="0" w:lastRowLastColumn="0"/>
            <w:tcW w:w="3828" w:type="dxa"/>
            <w:noWrap/>
            <w:vAlign w:val="bottom"/>
            <w:hideMark/>
          </w:tcPr>
          <w:p w14:paraId="71BD888B" w14:textId="77777777" w:rsidR="003D6BBD" w:rsidRPr="00ED7E61" w:rsidRDefault="003D6BBD" w:rsidP="00A96B0B">
            <w:pPr>
              <w:rPr>
                <w:color w:val="000000"/>
                <w:sz w:val="20"/>
                <w:szCs w:val="20"/>
              </w:rPr>
            </w:pPr>
            <w:r w:rsidRPr="00ED7E61">
              <w:rPr>
                <w:color w:val="000000"/>
                <w:sz w:val="20"/>
                <w:szCs w:val="20"/>
              </w:rPr>
              <w:t>Total</w:t>
            </w:r>
          </w:p>
        </w:tc>
        <w:tc>
          <w:tcPr>
            <w:tcW w:w="0" w:type="dxa"/>
            <w:noWrap/>
            <w:vAlign w:val="bottom"/>
            <w:hideMark/>
          </w:tcPr>
          <w:p w14:paraId="0F2C3116" w14:textId="77777777" w:rsidR="003D6BBD" w:rsidRPr="00B3383B" w:rsidRDefault="003D6BBD" w:rsidP="00A96B0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3383B">
              <w:rPr>
                <w:b/>
                <w:bCs/>
                <w:color w:val="000000"/>
                <w:sz w:val="20"/>
                <w:szCs w:val="20"/>
              </w:rPr>
              <w:t>31.6</w:t>
            </w:r>
          </w:p>
        </w:tc>
        <w:tc>
          <w:tcPr>
            <w:tcW w:w="0" w:type="dxa"/>
            <w:noWrap/>
            <w:vAlign w:val="bottom"/>
            <w:hideMark/>
          </w:tcPr>
          <w:p w14:paraId="2D63E4BF" w14:textId="77777777" w:rsidR="003D6BBD" w:rsidRPr="00B3383B" w:rsidRDefault="003D6BBD" w:rsidP="00A96B0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3383B">
              <w:rPr>
                <w:b/>
                <w:bCs/>
                <w:color w:val="000000"/>
                <w:sz w:val="20"/>
                <w:szCs w:val="20"/>
              </w:rPr>
              <w:t>30.0</w:t>
            </w:r>
          </w:p>
        </w:tc>
        <w:tc>
          <w:tcPr>
            <w:tcW w:w="0" w:type="dxa"/>
            <w:noWrap/>
            <w:vAlign w:val="bottom"/>
            <w:hideMark/>
          </w:tcPr>
          <w:p w14:paraId="6C4B3F5D" w14:textId="77777777" w:rsidR="003D6BBD" w:rsidRPr="00B3383B" w:rsidRDefault="003D6BBD" w:rsidP="00A96B0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3383B">
              <w:rPr>
                <w:b/>
                <w:bCs/>
                <w:color w:val="000000"/>
                <w:sz w:val="20"/>
                <w:szCs w:val="20"/>
              </w:rPr>
              <w:t>41.9</w:t>
            </w:r>
          </w:p>
        </w:tc>
        <w:tc>
          <w:tcPr>
            <w:tcW w:w="0" w:type="dxa"/>
            <w:noWrap/>
            <w:vAlign w:val="bottom"/>
            <w:hideMark/>
          </w:tcPr>
          <w:p w14:paraId="1DCAB3AB" w14:textId="77777777" w:rsidR="003D6BBD" w:rsidRPr="00B3383B" w:rsidRDefault="003D6BBD" w:rsidP="00A96B0B">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3383B">
              <w:rPr>
                <w:b/>
                <w:bCs/>
                <w:color w:val="000000"/>
                <w:sz w:val="20"/>
                <w:szCs w:val="20"/>
              </w:rPr>
              <w:t>39.0</w:t>
            </w:r>
          </w:p>
        </w:tc>
      </w:tr>
    </w:tbl>
    <w:p w14:paraId="2E2B77AD" w14:textId="77777777" w:rsidR="003D6BBD" w:rsidRPr="00ED7E61" w:rsidRDefault="003D6BBD" w:rsidP="003D6BBD">
      <w:pPr>
        <w:rPr>
          <w:rFonts w:asciiTheme="majorBidi" w:hAnsiTheme="majorBidi" w:cstheme="majorBidi"/>
          <w:color w:val="000000" w:themeColor="text1"/>
          <w:sz w:val="22"/>
          <w:szCs w:val="22"/>
          <w:lang w:val="en-GB"/>
        </w:rPr>
      </w:pPr>
    </w:p>
    <w:p w14:paraId="29EC9F40" w14:textId="46FD1120" w:rsidR="00324141" w:rsidRDefault="003D6BBD" w:rsidP="00B3383B">
      <w:pPr>
        <w:ind w:left="567"/>
        <w:rPr>
          <w:rFonts w:asciiTheme="majorBidi" w:hAnsiTheme="majorBidi" w:cstheme="majorBidi"/>
          <w:b/>
          <w:bCs/>
          <w:color w:val="000000" w:themeColor="text1"/>
          <w:sz w:val="22"/>
          <w:szCs w:val="22"/>
          <w:lang w:val="en-GB"/>
        </w:rPr>
      </w:pPr>
      <w:r w:rsidRPr="00B3383B">
        <w:rPr>
          <w:rFonts w:asciiTheme="majorBidi" w:hAnsiTheme="majorBidi" w:cstheme="majorBidi"/>
          <w:color w:val="000000" w:themeColor="text1"/>
          <w:sz w:val="22"/>
          <w:szCs w:val="22"/>
          <w:lang w:val="en-GB"/>
        </w:rPr>
        <w:t>Table 2</w:t>
      </w:r>
      <w:r w:rsidRPr="00ED7E61">
        <w:rPr>
          <w:rFonts w:asciiTheme="majorBidi" w:hAnsiTheme="majorBidi" w:cstheme="majorBidi"/>
          <w:i/>
          <w:iCs/>
          <w:color w:val="000000" w:themeColor="text1"/>
          <w:sz w:val="22"/>
          <w:szCs w:val="22"/>
          <w:lang w:val="en-GB"/>
        </w:rPr>
        <w:t xml:space="preserve"> </w:t>
      </w:r>
      <w:r w:rsidR="00361708">
        <w:rPr>
          <w:rFonts w:asciiTheme="majorBidi" w:hAnsiTheme="majorBidi" w:cstheme="majorBidi"/>
          <w:i/>
          <w:iCs/>
          <w:color w:val="000000" w:themeColor="text1"/>
          <w:sz w:val="22"/>
          <w:szCs w:val="22"/>
          <w:lang w:val="en-GB"/>
        </w:rPr>
        <w:br/>
      </w:r>
      <w:r w:rsidR="00324141" w:rsidRPr="00B9587A">
        <w:rPr>
          <w:rFonts w:asciiTheme="majorBidi" w:hAnsiTheme="majorBidi" w:cstheme="majorBidi"/>
          <w:b/>
          <w:bCs/>
          <w:color w:val="000000" w:themeColor="text1"/>
          <w:sz w:val="22"/>
          <w:szCs w:val="22"/>
          <w:lang w:val="en-GB"/>
        </w:rPr>
        <w:t xml:space="preserve">Number EFGs per realm </w:t>
      </w:r>
      <w:r w:rsidR="00295728">
        <w:rPr>
          <w:rFonts w:asciiTheme="majorBidi" w:hAnsiTheme="majorBidi" w:cstheme="majorBidi"/>
          <w:b/>
          <w:bCs/>
          <w:color w:val="000000" w:themeColor="text1"/>
          <w:sz w:val="22"/>
          <w:szCs w:val="22"/>
          <w:lang w:val="en-GB"/>
        </w:rPr>
        <w:t>for Colombia, Finalnd, Maldives, Myanmar and South Africa</w:t>
      </w:r>
    </w:p>
    <w:p w14:paraId="549B0236" w14:textId="4E7BE577" w:rsidR="003D6BBD" w:rsidRPr="00324141" w:rsidRDefault="003D6BBD" w:rsidP="00B3383B">
      <w:pPr>
        <w:ind w:left="567"/>
        <w:rPr>
          <w:rFonts w:asciiTheme="majorBidi" w:hAnsiTheme="majorBidi" w:cstheme="majorBidi"/>
          <w:i/>
          <w:iCs/>
          <w:color w:val="000000" w:themeColor="text1"/>
          <w:sz w:val="22"/>
          <w:szCs w:val="22"/>
          <w:lang w:val="en-GB"/>
        </w:rPr>
      </w:pPr>
      <w:r w:rsidRPr="00324141">
        <w:rPr>
          <w:rFonts w:asciiTheme="majorBidi" w:hAnsiTheme="majorBidi" w:cstheme="majorBidi"/>
          <w:i/>
          <w:iCs/>
          <w:color w:val="000000" w:themeColor="text1"/>
          <w:sz w:val="22"/>
          <w:szCs w:val="22"/>
          <w:lang w:val="en-GB"/>
        </w:rPr>
        <w:t>Number EFGs per realm for Colombia</w:t>
      </w:r>
      <w:r w:rsidR="00C313E5" w:rsidRPr="00324141">
        <w:rPr>
          <w:rFonts w:asciiTheme="majorBidi" w:hAnsiTheme="majorBidi" w:cstheme="majorBidi"/>
          <w:i/>
          <w:iCs/>
          <w:color w:val="000000" w:themeColor="text1"/>
          <w:sz w:val="22"/>
          <w:szCs w:val="22"/>
          <w:lang w:val="en-GB"/>
        </w:rPr>
        <w:t>(Etter et</w:t>
      </w:r>
      <w:r w:rsidR="006B67E3">
        <w:rPr>
          <w:rFonts w:asciiTheme="majorBidi" w:hAnsiTheme="majorBidi" w:cstheme="majorBidi"/>
          <w:i/>
          <w:iCs/>
          <w:color w:val="000000" w:themeColor="text1"/>
          <w:sz w:val="22"/>
          <w:szCs w:val="22"/>
          <w:lang w:val="en-GB"/>
        </w:rPr>
        <w:t xml:space="preserve"> </w:t>
      </w:r>
      <w:r w:rsidR="00C313E5" w:rsidRPr="00324141">
        <w:rPr>
          <w:rFonts w:asciiTheme="majorBidi" w:hAnsiTheme="majorBidi" w:cstheme="majorBidi"/>
          <w:i/>
          <w:iCs/>
          <w:color w:val="000000" w:themeColor="text1"/>
          <w:sz w:val="22"/>
          <w:szCs w:val="22"/>
          <w:lang w:val="en-GB"/>
        </w:rPr>
        <w:t>al</w:t>
      </w:r>
      <w:r w:rsidR="00442544">
        <w:rPr>
          <w:rFonts w:asciiTheme="majorBidi" w:hAnsiTheme="majorBidi" w:cstheme="majorBidi"/>
          <w:i/>
          <w:iCs/>
          <w:color w:val="000000" w:themeColor="text1"/>
          <w:sz w:val="22"/>
          <w:szCs w:val="22"/>
          <w:lang w:val="en-GB"/>
        </w:rPr>
        <w:t>.</w:t>
      </w:r>
      <w:r w:rsidR="00C313E5" w:rsidRPr="00324141">
        <w:rPr>
          <w:rFonts w:asciiTheme="majorBidi" w:hAnsiTheme="majorBidi" w:cstheme="majorBidi"/>
          <w:i/>
          <w:iCs/>
          <w:color w:val="000000" w:themeColor="text1"/>
          <w:sz w:val="22"/>
          <w:szCs w:val="22"/>
          <w:lang w:val="en-GB"/>
        </w:rPr>
        <w:t xml:space="preserve"> 2020)</w:t>
      </w:r>
      <w:r w:rsidRPr="00324141">
        <w:rPr>
          <w:rFonts w:asciiTheme="majorBidi" w:hAnsiTheme="majorBidi" w:cstheme="majorBidi"/>
          <w:i/>
          <w:iCs/>
          <w:color w:val="000000" w:themeColor="text1"/>
          <w:sz w:val="22"/>
          <w:szCs w:val="22"/>
          <w:lang w:val="en-GB"/>
        </w:rPr>
        <w:t>, Finland</w:t>
      </w:r>
      <w:r w:rsidR="00C313E5" w:rsidRPr="00324141">
        <w:rPr>
          <w:rFonts w:asciiTheme="majorBidi" w:hAnsiTheme="majorBidi" w:cstheme="majorBidi"/>
          <w:i/>
          <w:iCs/>
          <w:color w:val="000000" w:themeColor="text1"/>
          <w:sz w:val="22"/>
          <w:szCs w:val="22"/>
          <w:lang w:val="en-GB"/>
        </w:rPr>
        <w:t xml:space="preserve"> (Konatula and </w:t>
      </w:r>
      <w:r w:rsidR="00C313E5" w:rsidRPr="00324141">
        <w:rPr>
          <w:rFonts w:asciiTheme="majorBidi" w:hAnsiTheme="majorBidi" w:cstheme="majorBidi"/>
          <w:i/>
          <w:iCs/>
          <w:noProof/>
          <w:sz w:val="22"/>
          <w:szCs w:val="22"/>
        </w:rPr>
        <w:t>Raunio 2019 and Salomaa and Arponen 2023)</w:t>
      </w:r>
      <w:r w:rsidRPr="00324141">
        <w:rPr>
          <w:rFonts w:asciiTheme="majorBidi" w:hAnsiTheme="majorBidi" w:cstheme="majorBidi"/>
          <w:i/>
          <w:iCs/>
          <w:color w:val="000000" w:themeColor="text1"/>
          <w:sz w:val="22"/>
          <w:szCs w:val="22"/>
          <w:lang w:val="en-GB"/>
        </w:rPr>
        <w:t>, Maldives, Myanmar</w:t>
      </w:r>
      <w:r w:rsidR="00442544">
        <w:rPr>
          <w:rFonts w:asciiTheme="majorBidi" w:hAnsiTheme="majorBidi" w:cstheme="majorBidi"/>
          <w:i/>
          <w:iCs/>
          <w:color w:val="000000" w:themeColor="text1"/>
          <w:sz w:val="22"/>
          <w:szCs w:val="22"/>
          <w:lang w:val="en-GB"/>
        </w:rPr>
        <w:t xml:space="preserve"> </w:t>
      </w:r>
      <w:r w:rsidR="00C313E5" w:rsidRPr="00324141">
        <w:rPr>
          <w:rFonts w:asciiTheme="majorBidi" w:hAnsiTheme="majorBidi" w:cstheme="majorBidi"/>
          <w:i/>
          <w:iCs/>
          <w:color w:val="000000" w:themeColor="text1"/>
          <w:sz w:val="22"/>
          <w:szCs w:val="22"/>
          <w:lang w:val="en-GB"/>
        </w:rPr>
        <w:t>(Murray et</w:t>
      </w:r>
      <w:r w:rsidR="006B67E3">
        <w:rPr>
          <w:rFonts w:asciiTheme="majorBidi" w:hAnsiTheme="majorBidi" w:cstheme="majorBidi"/>
          <w:i/>
          <w:iCs/>
          <w:color w:val="000000" w:themeColor="text1"/>
          <w:sz w:val="22"/>
          <w:szCs w:val="22"/>
          <w:lang w:val="en-GB"/>
        </w:rPr>
        <w:t xml:space="preserve"> </w:t>
      </w:r>
      <w:r w:rsidR="00C313E5" w:rsidRPr="00324141">
        <w:rPr>
          <w:rFonts w:asciiTheme="majorBidi" w:hAnsiTheme="majorBidi" w:cstheme="majorBidi"/>
          <w:i/>
          <w:iCs/>
          <w:color w:val="000000" w:themeColor="text1"/>
          <w:sz w:val="22"/>
          <w:szCs w:val="22"/>
          <w:lang w:val="en-GB"/>
        </w:rPr>
        <w:t>al</w:t>
      </w:r>
      <w:r w:rsidR="00442544">
        <w:rPr>
          <w:rFonts w:asciiTheme="majorBidi" w:hAnsiTheme="majorBidi" w:cstheme="majorBidi"/>
          <w:i/>
          <w:iCs/>
          <w:color w:val="000000" w:themeColor="text1"/>
          <w:sz w:val="22"/>
          <w:szCs w:val="22"/>
          <w:lang w:val="en-GB"/>
        </w:rPr>
        <w:t>.</w:t>
      </w:r>
      <w:r w:rsidR="00C313E5" w:rsidRPr="00324141">
        <w:rPr>
          <w:rFonts w:asciiTheme="majorBidi" w:hAnsiTheme="majorBidi" w:cstheme="majorBidi"/>
          <w:i/>
          <w:iCs/>
          <w:color w:val="000000" w:themeColor="text1"/>
          <w:sz w:val="22"/>
          <w:szCs w:val="22"/>
          <w:lang w:val="en-GB"/>
        </w:rPr>
        <w:t xml:space="preserve"> 2020)</w:t>
      </w:r>
      <w:r w:rsidRPr="00324141">
        <w:rPr>
          <w:rFonts w:asciiTheme="majorBidi" w:hAnsiTheme="majorBidi" w:cstheme="majorBidi"/>
          <w:i/>
          <w:iCs/>
          <w:color w:val="000000" w:themeColor="text1"/>
          <w:sz w:val="22"/>
          <w:szCs w:val="22"/>
          <w:lang w:val="en-GB"/>
        </w:rPr>
        <w:t>, and South Africa</w:t>
      </w:r>
      <w:r w:rsidR="00C313E5" w:rsidRPr="00324141">
        <w:rPr>
          <w:rFonts w:asciiTheme="majorBidi" w:hAnsiTheme="majorBidi" w:cstheme="majorBidi"/>
          <w:i/>
          <w:iCs/>
          <w:color w:val="000000" w:themeColor="text1"/>
          <w:sz w:val="22"/>
          <w:szCs w:val="22"/>
          <w:lang w:val="en-GB"/>
        </w:rPr>
        <w:t xml:space="preserve"> (Botts et</w:t>
      </w:r>
      <w:r w:rsidR="006B67E3">
        <w:rPr>
          <w:rFonts w:asciiTheme="majorBidi" w:hAnsiTheme="majorBidi" w:cstheme="majorBidi"/>
          <w:i/>
          <w:iCs/>
          <w:color w:val="000000" w:themeColor="text1"/>
          <w:sz w:val="22"/>
          <w:szCs w:val="22"/>
          <w:lang w:val="en-GB"/>
        </w:rPr>
        <w:t xml:space="preserve"> </w:t>
      </w:r>
      <w:r w:rsidR="00C313E5" w:rsidRPr="00324141">
        <w:rPr>
          <w:rFonts w:asciiTheme="majorBidi" w:hAnsiTheme="majorBidi" w:cstheme="majorBidi"/>
          <w:i/>
          <w:iCs/>
          <w:color w:val="000000" w:themeColor="text1"/>
          <w:sz w:val="22"/>
          <w:szCs w:val="22"/>
          <w:lang w:val="en-GB"/>
        </w:rPr>
        <w:t>al</w:t>
      </w:r>
      <w:r w:rsidR="00442544">
        <w:rPr>
          <w:rFonts w:asciiTheme="majorBidi" w:hAnsiTheme="majorBidi" w:cstheme="majorBidi"/>
          <w:i/>
          <w:iCs/>
          <w:color w:val="000000" w:themeColor="text1"/>
          <w:sz w:val="22"/>
          <w:szCs w:val="22"/>
          <w:lang w:val="en-GB"/>
        </w:rPr>
        <w:t>.</w:t>
      </w:r>
      <w:r w:rsidR="00C313E5" w:rsidRPr="00324141">
        <w:rPr>
          <w:rFonts w:asciiTheme="majorBidi" w:hAnsiTheme="majorBidi" w:cstheme="majorBidi"/>
          <w:i/>
          <w:iCs/>
          <w:color w:val="000000" w:themeColor="text1"/>
          <w:sz w:val="22"/>
          <w:szCs w:val="22"/>
          <w:lang w:val="en-GB"/>
        </w:rPr>
        <w:t xml:space="preserve"> 2020 and </w:t>
      </w:r>
      <w:r w:rsidR="00C313E5" w:rsidRPr="00B3383B">
        <w:rPr>
          <w:rFonts w:asciiTheme="majorBidi" w:hAnsiTheme="majorBidi" w:cstheme="majorBidi"/>
          <w:i/>
          <w:iCs/>
          <w:noProof/>
          <w:sz w:val="22"/>
          <w:szCs w:val="22"/>
        </w:rPr>
        <w:t>Skowno</w:t>
      </w:r>
      <w:r w:rsidR="00C313E5" w:rsidRPr="00324141">
        <w:rPr>
          <w:rFonts w:asciiTheme="majorBidi" w:hAnsiTheme="majorBidi" w:cstheme="majorBidi"/>
          <w:i/>
          <w:iCs/>
          <w:color w:val="000000" w:themeColor="text1"/>
          <w:sz w:val="22"/>
          <w:szCs w:val="22"/>
          <w:lang w:val="en-GB"/>
        </w:rPr>
        <w:t xml:space="preserve"> et</w:t>
      </w:r>
      <w:r w:rsidR="006B67E3">
        <w:rPr>
          <w:rFonts w:asciiTheme="majorBidi" w:hAnsiTheme="majorBidi" w:cstheme="majorBidi"/>
          <w:i/>
          <w:iCs/>
          <w:color w:val="000000" w:themeColor="text1"/>
          <w:sz w:val="22"/>
          <w:szCs w:val="22"/>
          <w:lang w:val="en-GB"/>
        </w:rPr>
        <w:t xml:space="preserve"> </w:t>
      </w:r>
      <w:r w:rsidR="00C313E5" w:rsidRPr="00324141">
        <w:rPr>
          <w:rFonts w:asciiTheme="majorBidi" w:hAnsiTheme="majorBidi" w:cstheme="majorBidi"/>
          <w:i/>
          <w:iCs/>
          <w:color w:val="000000" w:themeColor="text1"/>
          <w:sz w:val="22"/>
          <w:szCs w:val="22"/>
          <w:lang w:val="en-GB"/>
        </w:rPr>
        <w:t>al</w:t>
      </w:r>
      <w:r w:rsidR="00442544">
        <w:rPr>
          <w:rFonts w:asciiTheme="majorBidi" w:hAnsiTheme="majorBidi" w:cstheme="majorBidi"/>
          <w:i/>
          <w:iCs/>
          <w:color w:val="000000" w:themeColor="text1"/>
          <w:sz w:val="22"/>
          <w:szCs w:val="22"/>
          <w:lang w:val="en-GB"/>
        </w:rPr>
        <w:t>.</w:t>
      </w:r>
      <w:r w:rsidR="00C313E5" w:rsidRPr="00324141">
        <w:rPr>
          <w:rFonts w:asciiTheme="majorBidi" w:hAnsiTheme="majorBidi" w:cstheme="majorBidi"/>
          <w:i/>
          <w:iCs/>
          <w:color w:val="000000" w:themeColor="text1"/>
          <w:sz w:val="22"/>
          <w:szCs w:val="22"/>
          <w:lang w:val="en-GB"/>
        </w:rPr>
        <w:t xml:space="preserve"> 2021)</w:t>
      </w:r>
      <w:r w:rsidRPr="00324141">
        <w:rPr>
          <w:rFonts w:asciiTheme="majorBidi" w:hAnsiTheme="majorBidi" w:cstheme="majorBidi"/>
          <w:i/>
          <w:iCs/>
          <w:color w:val="000000" w:themeColor="text1"/>
          <w:sz w:val="22"/>
          <w:szCs w:val="22"/>
          <w:lang w:val="en-GB"/>
        </w:rPr>
        <w:t>, using a bottom-up cross-</w:t>
      </w:r>
      <w:r w:rsidR="0081065B" w:rsidRPr="00324141">
        <w:rPr>
          <w:rFonts w:asciiTheme="majorBidi" w:hAnsiTheme="majorBidi" w:cstheme="majorBidi"/>
          <w:i/>
          <w:iCs/>
          <w:color w:val="000000" w:themeColor="text1"/>
          <w:sz w:val="22"/>
          <w:szCs w:val="22"/>
          <w:lang w:val="en-GB"/>
        </w:rPr>
        <w:t xml:space="preserve">reference </w:t>
      </w:r>
      <w:r w:rsidRPr="00324141">
        <w:rPr>
          <w:rFonts w:asciiTheme="majorBidi" w:hAnsiTheme="majorBidi" w:cstheme="majorBidi"/>
          <w:i/>
          <w:iCs/>
          <w:color w:val="000000" w:themeColor="text1"/>
          <w:sz w:val="22"/>
          <w:szCs w:val="22"/>
          <w:lang w:val="en-GB"/>
        </w:rPr>
        <w:t xml:space="preserve">of national ecosystem types </w:t>
      </w:r>
      <w:r w:rsidR="0081065B" w:rsidRPr="00324141">
        <w:rPr>
          <w:rFonts w:asciiTheme="majorBidi" w:hAnsiTheme="majorBidi" w:cstheme="majorBidi"/>
          <w:i/>
          <w:iCs/>
          <w:color w:val="000000" w:themeColor="text1"/>
          <w:sz w:val="22"/>
          <w:szCs w:val="22"/>
          <w:lang w:val="en-GB"/>
        </w:rPr>
        <w:t xml:space="preserve">and </w:t>
      </w:r>
      <w:r w:rsidRPr="00324141">
        <w:rPr>
          <w:rFonts w:asciiTheme="majorBidi" w:hAnsiTheme="majorBidi" w:cstheme="majorBidi"/>
          <w:i/>
          <w:iCs/>
          <w:color w:val="000000" w:themeColor="text1"/>
          <w:sz w:val="22"/>
          <w:szCs w:val="22"/>
          <w:lang w:val="en-GB"/>
        </w:rPr>
        <w:t xml:space="preserve">EFGs, undertaken as part of the development of new ecosystem classifications or their Red List of Ecosystems assessments (providing data for A1 and A2). Not Evaluation (NE) are realms that were not included in the national Red List assessment. The number of national ecosystem types per EFG varies (see Tables 3 and 4 for examples). </w:t>
      </w:r>
    </w:p>
    <w:tbl>
      <w:tblPr>
        <w:tblStyle w:val="GridTable1Light"/>
        <w:tblW w:w="8789" w:type="dxa"/>
        <w:tblInd w:w="562" w:type="dxa"/>
        <w:tblLayout w:type="fixed"/>
        <w:tblLook w:val="04A0" w:firstRow="1" w:lastRow="0" w:firstColumn="1" w:lastColumn="0" w:noHBand="0" w:noVBand="1"/>
      </w:tblPr>
      <w:tblGrid>
        <w:gridCol w:w="3828"/>
        <w:gridCol w:w="1134"/>
        <w:gridCol w:w="850"/>
        <w:gridCol w:w="992"/>
        <w:gridCol w:w="1164"/>
        <w:gridCol w:w="821"/>
      </w:tblGrid>
      <w:tr w:rsidR="003D3FDB" w:rsidRPr="003D3FDB" w14:paraId="37A0C86A" w14:textId="77777777" w:rsidTr="00B3383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9B0ADB4" w14:textId="77777777" w:rsidR="003D6BBD" w:rsidRPr="00B3383B" w:rsidRDefault="003D6BBD" w:rsidP="00A96B0B">
            <w:pPr>
              <w:rPr>
                <w:b w:val="0"/>
                <w:bCs w:val="0"/>
                <w:i/>
                <w:iCs/>
                <w:color w:val="000000"/>
                <w:sz w:val="20"/>
                <w:szCs w:val="20"/>
              </w:rPr>
            </w:pPr>
            <w:r w:rsidRPr="00B3383B">
              <w:rPr>
                <w:b w:val="0"/>
                <w:bCs w:val="0"/>
                <w:i/>
                <w:iCs/>
                <w:color w:val="000000"/>
                <w:sz w:val="20"/>
                <w:szCs w:val="20"/>
                <w:lang w:val="en-GB"/>
              </w:rPr>
              <w:t>Realm</w:t>
            </w:r>
          </w:p>
        </w:tc>
        <w:tc>
          <w:tcPr>
            <w:tcW w:w="1134" w:type="dxa"/>
            <w:noWrap/>
            <w:hideMark/>
          </w:tcPr>
          <w:p w14:paraId="6A04B54B" w14:textId="77777777" w:rsidR="003D6BBD" w:rsidRPr="00B3383B" w:rsidRDefault="003D6BBD" w:rsidP="00A96B0B">
            <w:pPr>
              <w:cnfStyle w:val="100000000000" w:firstRow="1" w:lastRow="0" w:firstColumn="0" w:lastColumn="0" w:oddVBand="0" w:evenVBand="0" w:oddHBand="0" w:evenHBand="0" w:firstRowFirstColumn="0" w:firstRowLastColumn="0" w:lastRowFirstColumn="0" w:lastRowLastColumn="0"/>
              <w:rPr>
                <w:b w:val="0"/>
                <w:bCs w:val="0"/>
                <w:i/>
                <w:iCs/>
                <w:color w:val="000000"/>
                <w:sz w:val="20"/>
                <w:szCs w:val="20"/>
              </w:rPr>
            </w:pPr>
            <w:r w:rsidRPr="00B3383B">
              <w:rPr>
                <w:b w:val="0"/>
                <w:bCs w:val="0"/>
                <w:i/>
                <w:iCs/>
                <w:color w:val="000000"/>
                <w:sz w:val="20"/>
                <w:szCs w:val="20"/>
                <w:lang w:val="en-GB"/>
              </w:rPr>
              <w:t>Colombia</w:t>
            </w:r>
          </w:p>
        </w:tc>
        <w:tc>
          <w:tcPr>
            <w:tcW w:w="850" w:type="dxa"/>
            <w:noWrap/>
            <w:hideMark/>
          </w:tcPr>
          <w:p w14:paraId="51ABF575" w14:textId="77777777" w:rsidR="003D6BBD" w:rsidRPr="00B3383B" w:rsidRDefault="003D6BBD" w:rsidP="00A96B0B">
            <w:pPr>
              <w:cnfStyle w:val="100000000000" w:firstRow="1" w:lastRow="0" w:firstColumn="0" w:lastColumn="0" w:oddVBand="0" w:evenVBand="0" w:oddHBand="0" w:evenHBand="0" w:firstRowFirstColumn="0" w:firstRowLastColumn="0" w:lastRowFirstColumn="0" w:lastRowLastColumn="0"/>
              <w:rPr>
                <w:b w:val="0"/>
                <w:bCs w:val="0"/>
                <w:i/>
                <w:iCs/>
                <w:color w:val="000000"/>
                <w:sz w:val="20"/>
                <w:szCs w:val="20"/>
              </w:rPr>
            </w:pPr>
            <w:r w:rsidRPr="00B3383B">
              <w:rPr>
                <w:b w:val="0"/>
                <w:bCs w:val="0"/>
                <w:i/>
                <w:iCs/>
                <w:color w:val="000000"/>
                <w:sz w:val="20"/>
                <w:szCs w:val="20"/>
                <w:lang w:val="en-GB"/>
              </w:rPr>
              <w:t>Finland</w:t>
            </w:r>
          </w:p>
        </w:tc>
        <w:tc>
          <w:tcPr>
            <w:tcW w:w="992" w:type="dxa"/>
            <w:noWrap/>
            <w:hideMark/>
          </w:tcPr>
          <w:p w14:paraId="4CF462F8" w14:textId="77777777" w:rsidR="003D6BBD" w:rsidRPr="00B3383B" w:rsidRDefault="003D6BBD" w:rsidP="00A96B0B">
            <w:pPr>
              <w:cnfStyle w:val="100000000000" w:firstRow="1" w:lastRow="0" w:firstColumn="0" w:lastColumn="0" w:oddVBand="0" w:evenVBand="0" w:oddHBand="0" w:evenHBand="0" w:firstRowFirstColumn="0" w:firstRowLastColumn="0" w:lastRowFirstColumn="0" w:lastRowLastColumn="0"/>
              <w:rPr>
                <w:b w:val="0"/>
                <w:bCs w:val="0"/>
                <w:i/>
                <w:iCs/>
                <w:color w:val="000000"/>
                <w:sz w:val="20"/>
                <w:szCs w:val="20"/>
              </w:rPr>
            </w:pPr>
            <w:r w:rsidRPr="00B3383B">
              <w:rPr>
                <w:b w:val="0"/>
                <w:bCs w:val="0"/>
                <w:i/>
                <w:iCs/>
                <w:color w:val="000000"/>
                <w:sz w:val="20"/>
                <w:szCs w:val="20"/>
                <w:lang w:val="en-GB"/>
              </w:rPr>
              <w:t>Maldives</w:t>
            </w:r>
          </w:p>
        </w:tc>
        <w:tc>
          <w:tcPr>
            <w:tcW w:w="1164" w:type="dxa"/>
            <w:noWrap/>
            <w:hideMark/>
          </w:tcPr>
          <w:p w14:paraId="56859949" w14:textId="77777777" w:rsidR="003D6BBD" w:rsidRPr="00B3383B" w:rsidRDefault="003D6BBD" w:rsidP="00A96B0B">
            <w:pPr>
              <w:cnfStyle w:val="100000000000" w:firstRow="1" w:lastRow="0" w:firstColumn="0" w:lastColumn="0" w:oddVBand="0" w:evenVBand="0" w:oddHBand="0" w:evenHBand="0" w:firstRowFirstColumn="0" w:firstRowLastColumn="0" w:lastRowFirstColumn="0" w:lastRowLastColumn="0"/>
              <w:rPr>
                <w:b w:val="0"/>
                <w:bCs w:val="0"/>
                <w:i/>
                <w:iCs/>
                <w:color w:val="000000"/>
                <w:sz w:val="20"/>
                <w:szCs w:val="20"/>
              </w:rPr>
            </w:pPr>
            <w:r w:rsidRPr="00B3383B">
              <w:rPr>
                <w:b w:val="0"/>
                <w:bCs w:val="0"/>
                <w:i/>
                <w:iCs/>
                <w:color w:val="000000"/>
                <w:sz w:val="20"/>
                <w:szCs w:val="20"/>
                <w:lang w:val="en-GB"/>
              </w:rPr>
              <w:t>Myanmar</w:t>
            </w:r>
          </w:p>
        </w:tc>
        <w:tc>
          <w:tcPr>
            <w:tcW w:w="821" w:type="dxa"/>
            <w:noWrap/>
            <w:hideMark/>
          </w:tcPr>
          <w:p w14:paraId="5E567383" w14:textId="77777777" w:rsidR="003D6BBD" w:rsidRPr="00B3383B" w:rsidRDefault="003D6BBD" w:rsidP="00A96B0B">
            <w:pPr>
              <w:cnfStyle w:val="100000000000" w:firstRow="1" w:lastRow="0" w:firstColumn="0" w:lastColumn="0" w:oddVBand="0" w:evenVBand="0" w:oddHBand="0" w:evenHBand="0" w:firstRowFirstColumn="0" w:firstRowLastColumn="0" w:lastRowFirstColumn="0" w:lastRowLastColumn="0"/>
              <w:rPr>
                <w:b w:val="0"/>
                <w:bCs w:val="0"/>
                <w:i/>
                <w:iCs/>
                <w:color w:val="000000"/>
                <w:sz w:val="20"/>
                <w:szCs w:val="20"/>
              </w:rPr>
            </w:pPr>
            <w:r w:rsidRPr="00B3383B">
              <w:rPr>
                <w:b w:val="0"/>
                <w:bCs w:val="0"/>
                <w:i/>
                <w:iCs/>
                <w:color w:val="000000"/>
                <w:sz w:val="20"/>
                <w:szCs w:val="20"/>
                <w:lang w:val="en-GB"/>
              </w:rPr>
              <w:t>South Africa</w:t>
            </w:r>
          </w:p>
        </w:tc>
      </w:tr>
      <w:tr w:rsidR="003D3FDB" w:rsidRPr="00ED7E61" w14:paraId="6325EE90" w14:textId="77777777" w:rsidTr="00B3383B">
        <w:trPr>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DAD9CB1" w14:textId="77777777" w:rsidR="003D6BBD" w:rsidRPr="00DC39B2" w:rsidRDefault="003D6BBD" w:rsidP="00A96B0B">
            <w:pPr>
              <w:rPr>
                <w:b w:val="0"/>
                <w:bCs w:val="0"/>
                <w:color w:val="000000"/>
                <w:sz w:val="20"/>
                <w:szCs w:val="20"/>
              </w:rPr>
            </w:pPr>
            <w:r w:rsidRPr="00DC39B2">
              <w:rPr>
                <w:color w:val="000000"/>
                <w:sz w:val="20"/>
                <w:szCs w:val="20"/>
              </w:rPr>
              <w:t>Terrestrial</w:t>
            </w:r>
          </w:p>
        </w:tc>
        <w:tc>
          <w:tcPr>
            <w:tcW w:w="1134" w:type="dxa"/>
            <w:noWrap/>
            <w:hideMark/>
          </w:tcPr>
          <w:p w14:paraId="08613EF2"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8</w:t>
            </w:r>
          </w:p>
        </w:tc>
        <w:tc>
          <w:tcPr>
            <w:tcW w:w="850" w:type="dxa"/>
            <w:noWrap/>
            <w:hideMark/>
          </w:tcPr>
          <w:p w14:paraId="15B87B25"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10</w:t>
            </w:r>
          </w:p>
        </w:tc>
        <w:tc>
          <w:tcPr>
            <w:tcW w:w="992" w:type="dxa"/>
            <w:noWrap/>
            <w:hideMark/>
          </w:tcPr>
          <w:p w14:paraId="6158FAE1"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3</w:t>
            </w:r>
          </w:p>
        </w:tc>
        <w:tc>
          <w:tcPr>
            <w:tcW w:w="1164" w:type="dxa"/>
            <w:noWrap/>
            <w:hideMark/>
          </w:tcPr>
          <w:p w14:paraId="2D9D6BAC"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10</w:t>
            </w:r>
          </w:p>
        </w:tc>
        <w:tc>
          <w:tcPr>
            <w:tcW w:w="821" w:type="dxa"/>
            <w:noWrap/>
            <w:hideMark/>
          </w:tcPr>
          <w:p w14:paraId="0B386879"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10</w:t>
            </w:r>
          </w:p>
        </w:tc>
      </w:tr>
      <w:tr w:rsidR="003D3FDB" w:rsidRPr="00ED7E61" w14:paraId="40851E63" w14:textId="77777777" w:rsidTr="00B3383B">
        <w:trPr>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739A364" w14:textId="77777777" w:rsidR="003D6BBD" w:rsidRPr="00DC39B2" w:rsidRDefault="003D6BBD" w:rsidP="00A96B0B">
            <w:pPr>
              <w:rPr>
                <w:b w:val="0"/>
                <w:bCs w:val="0"/>
                <w:color w:val="000000"/>
                <w:sz w:val="20"/>
                <w:szCs w:val="20"/>
              </w:rPr>
            </w:pPr>
            <w:r w:rsidRPr="00DC39B2">
              <w:rPr>
                <w:color w:val="000000"/>
                <w:sz w:val="20"/>
                <w:szCs w:val="20"/>
              </w:rPr>
              <w:t>Terrestrial-Freshwater (e.g. wetlands)</w:t>
            </w:r>
          </w:p>
        </w:tc>
        <w:tc>
          <w:tcPr>
            <w:tcW w:w="1134" w:type="dxa"/>
            <w:noWrap/>
            <w:hideMark/>
          </w:tcPr>
          <w:p w14:paraId="193E0261"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3</w:t>
            </w:r>
          </w:p>
        </w:tc>
        <w:tc>
          <w:tcPr>
            <w:tcW w:w="850" w:type="dxa"/>
            <w:noWrap/>
            <w:hideMark/>
          </w:tcPr>
          <w:p w14:paraId="7AEE0EEA"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4</w:t>
            </w:r>
          </w:p>
        </w:tc>
        <w:tc>
          <w:tcPr>
            <w:tcW w:w="992" w:type="dxa"/>
            <w:noWrap/>
            <w:hideMark/>
          </w:tcPr>
          <w:p w14:paraId="19BF1262"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w:t>
            </w:r>
          </w:p>
        </w:tc>
        <w:tc>
          <w:tcPr>
            <w:tcW w:w="1164" w:type="dxa"/>
            <w:noWrap/>
            <w:hideMark/>
          </w:tcPr>
          <w:p w14:paraId="5230F851"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2</w:t>
            </w:r>
          </w:p>
        </w:tc>
        <w:tc>
          <w:tcPr>
            <w:tcW w:w="821" w:type="dxa"/>
            <w:noWrap/>
            <w:hideMark/>
          </w:tcPr>
          <w:p w14:paraId="3BB3168A"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w:t>
            </w:r>
          </w:p>
        </w:tc>
      </w:tr>
      <w:tr w:rsidR="003D3FDB" w:rsidRPr="00ED7E61" w14:paraId="7F059976" w14:textId="77777777" w:rsidTr="00B3383B">
        <w:trPr>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08C7B67" w14:textId="77777777" w:rsidR="003D6BBD" w:rsidRPr="00DC39B2" w:rsidRDefault="003D6BBD" w:rsidP="00A96B0B">
            <w:pPr>
              <w:rPr>
                <w:b w:val="0"/>
                <w:bCs w:val="0"/>
                <w:color w:val="000000"/>
                <w:sz w:val="20"/>
                <w:szCs w:val="20"/>
              </w:rPr>
            </w:pPr>
            <w:r w:rsidRPr="00DC39B2">
              <w:rPr>
                <w:color w:val="000000"/>
                <w:sz w:val="20"/>
                <w:szCs w:val="20"/>
              </w:rPr>
              <w:t>Freshwater</w:t>
            </w:r>
          </w:p>
        </w:tc>
        <w:tc>
          <w:tcPr>
            <w:tcW w:w="1134" w:type="dxa"/>
            <w:noWrap/>
            <w:hideMark/>
          </w:tcPr>
          <w:p w14:paraId="58671960"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NE</w:t>
            </w:r>
          </w:p>
        </w:tc>
        <w:tc>
          <w:tcPr>
            <w:tcW w:w="850" w:type="dxa"/>
            <w:noWrap/>
            <w:hideMark/>
          </w:tcPr>
          <w:p w14:paraId="06455491"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9</w:t>
            </w:r>
          </w:p>
        </w:tc>
        <w:tc>
          <w:tcPr>
            <w:tcW w:w="992" w:type="dxa"/>
            <w:noWrap/>
            <w:hideMark/>
          </w:tcPr>
          <w:p w14:paraId="2CC9E63D"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w:t>
            </w:r>
          </w:p>
        </w:tc>
        <w:tc>
          <w:tcPr>
            <w:tcW w:w="1164" w:type="dxa"/>
            <w:noWrap/>
            <w:hideMark/>
          </w:tcPr>
          <w:p w14:paraId="58928867"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w:t>
            </w:r>
          </w:p>
        </w:tc>
        <w:tc>
          <w:tcPr>
            <w:tcW w:w="821" w:type="dxa"/>
            <w:noWrap/>
            <w:hideMark/>
          </w:tcPr>
          <w:p w14:paraId="0887B3E2"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TBC</w:t>
            </w:r>
          </w:p>
        </w:tc>
      </w:tr>
      <w:tr w:rsidR="003D3FDB" w:rsidRPr="00ED7E61" w14:paraId="37CA8461" w14:textId="77777777" w:rsidTr="00B3383B">
        <w:trPr>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41AEDDE" w14:textId="77777777" w:rsidR="003D6BBD" w:rsidRPr="00DC39B2" w:rsidRDefault="003D6BBD" w:rsidP="00A96B0B">
            <w:pPr>
              <w:rPr>
                <w:b w:val="0"/>
                <w:bCs w:val="0"/>
                <w:color w:val="000000"/>
                <w:sz w:val="20"/>
                <w:szCs w:val="20"/>
              </w:rPr>
            </w:pPr>
            <w:r w:rsidRPr="00DC39B2">
              <w:rPr>
                <w:color w:val="000000"/>
                <w:sz w:val="20"/>
                <w:szCs w:val="20"/>
              </w:rPr>
              <w:t>Freshwater-Marine</w:t>
            </w:r>
          </w:p>
        </w:tc>
        <w:tc>
          <w:tcPr>
            <w:tcW w:w="1134" w:type="dxa"/>
            <w:noWrap/>
            <w:hideMark/>
          </w:tcPr>
          <w:p w14:paraId="282438FD"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NE</w:t>
            </w:r>
          </w:p>
        </w:tc>
        <w:tc>
          <w:tcPr>
            <w:tcW w:w="850" w:type="dxa"/>
            <w:noWrap/>
            <w:hideMark/>
          </w:tcPr>
          <w:p w14:paraId="10AB0580"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2</w:t>
            </w:r>
          </w:p>
        </w:tc>
        <w:tc>
          <w:tcPr>
            <w:tcW w:w="992" w:type="dxa"/>
            <w:noWrap/>
            <w:hideMark/>
          </w:tcPr>
          <w:p w14:paraId="0BFEACD6"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w:t>
            </w:r>
          </w:p>
        </w:tc>
        <w:tc>
          <w:tcPr>
            <w:tcW w:w="1164" w:type="dxa"/>
            <w:noWrap/>
            <w:hideMark/>
          </w:tcPr>
          <w:p w14:paraId="44393D19"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NE</w:t>
            </w:r>
          </w:p>
        </w:tc>
        <w:tc>
          <w:tcPr>
            <w:tcW w:w="821" w:type="dxa"/>
            <w:noWrap/>
            <w:hideMark/>
          </w:tcPr>
          <w:p w14:paraId="62E9BA20"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2</w:t>
            </w:r>
          </w:p>
        </w:tc>
      </w:tr>
      <w:tr w:rsidR="003D3FDB" w:rsidRPr="00ED7E61" w14:paraId="5D133617" w14:textId="77777777" w:rsidTr="00B3383B">
        <w:trPr>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202068B" w14:textId="77777777" w:rsidR="003D6BBD" w:rsidRPr="00DC39B2" w:rsidRDefault="003D6BBD" w:rsidP="00A96B0B">
            <w:pPr>
              <w:rPr>
                <w:b w:val="0"/>
                <w:bCs w:val="0"/>
                <w:color w:val="000000"/>
                <w:sz w:val="20"/>
                <w:szCs w:val="20"/>
              </w:rPr>
            </w:pPr>
            <w:r w:rsidRPr="00DC39B2">
              <w:rPr>
                <w:color w:val="000000"/>
                <w:sz w:val="20"/>
                <w:szCs w:val="20"/>
              </w:rPr>
              <w:t>Marine</w:t>
            </w:r>
          </w:p>
        </w:tc>
        <w:tc>
          <w:tcPr>
            <w:tcW w:w="1134" w:type="dxa"/>
            <w:noWrap/>
            <w:hideMark/>
          </w:tcPr>
          <w:p w14:paraId="72C1D01E"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NE</w:t>
            </w:r>
          </w:p>
        </w:tc>
        <w:tc>
          <w:tcPr>
            <w:tcW w:w="850" w:type="dxa"/>
            <w:noWrap/>
            <w:hideMark/>
          </w:tcPr>
          <w:p w14:paraId="105A15FF"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9</w:t>
            </w:r>
          </w:p>
        </w:tc>
        <w:tc>
          <w:tcPr>
            <w:tcW w:w="992" w:type="dxa"/>
            <w:noWrap/>
            <w:hideMark/>
          </w:tcPr>
          <w:p w14:paraId="6B0A9E4B"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16</w:t>
            </w:r>
          </w:p>
        </w:tc>
        <w:tc>
          <w:tcPr>
            <w:tcW w:w="1164" w:type="dxa"/>
            <w:noWrap/>
            <w:hideMark/>
          </w:tcPr>
          <w:p w14:paraId="1167881A"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NE</w:t>
            </w:r>
          </w:p>
        </w:tc>
        <w:tc>
          <w:tcPr>
            <w:tcW w:w="821" w:type="dxa"/>
            <w:noWrap/>
            <w:hideMark/>
          </w:tcPr>
          <w:p w14:paraId="4BDD13CD"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12</w:t>
            </w:r>
          </w:p>
        </w:tc>
      </w:tr>
      <w:tr w:rsidR="003D3FDB" w:rsidRPr="00ED7E61" w14:paraId="1E6E5C1D" w14:textId="77777777" w:rsidTr="00B3383B">
        <w:trPr>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96CBE9E" w14:textId="77777777" w:rsidR="003D6BBD" w:rsidRPr="00DC39B2" w:rsidRDefault="003D6BBD" w:rsidP="00A96B0B">
            <w:pPr>
              <w:rPr>
                <w:b w:val="0"/>
                <w:bCs w:val="0"/>
                <w:color w:val="000000"/>
                <w:sz w:val="20"/>
                <w:szCs w:val="20"/>
              </w:rPr>
            </w:pPr>
            <w:r w:rsidRPr="00DC39B2">
              <w:rPr>
                <w:color w:val="000000"/>
                <w:sz w:val="20"/>
                <w:szCs w:val="20"/>
              </w:rPr>
              <w:t>Marine-Freshwater-Terrestrial</w:t>
            </w:r>
          </w:p>
        </w:tc>
        <w:tc>
          <w:tcPr>
            <w:tcW w:w="1134" w:type="dxa"/>
            <w:noWrap/>
            <w:hideMark/>
          </w:tcPr>
          <w:p w14:paraId="0BD99363"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w:t>
            </w:r>
          </w:p>
        </w:tc>
        <w:tc>
          <w:tcPr>
            <w:tcW w:w="850" w:type="dxa"/>
            <w:noWrap/>
            <w:hideMark/>
          </w:tcPr>
          <w:p w14:paraId="34F7E43A"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w:t>
            </w:r>
          </w:p>
        </w:tc>
        <w:tc>
          <w:tcPr>
            <w:tcW w:w="992" w:type="dxa"/>
            <w:noWrap/>
            <w:hideMark/>
          </w:tcPr>
          <w:p w14:paraId="24FB65CE"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2</w:t>
            </w:r>
          </w:p>
        </w:tc>
        <w:tc>
          <w:tcPr>
            <w:tcW w:w="1164" w:type="dxa"/>
            <w:noWrap/>
            <w:hideMark/>
          </w:tcPr>
          <w:p w14:paraId="5B7D566B"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2</w:t>
            </w:r>
          </w:p>
        </w:tc>
        <w:tc>
          <w:tcPr>
            <w:tcW w:w="821" w:type="dxa"/>
            <w:noWrap/>
            <w:hideMark/>
          </w:tcPr>
          <w:p w14:paraId="726924C1"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w:t>
            </w:r>
          </w:p>
        </w:tc>
      </w:tr>
      <w:tr w:rsidR="003D3FDB" w:rsidRPr="00ED7E61" w14:paraId="4AEC3B3E" w14:textId="77777777" w:rsidTr="00B3383B">
        <w:trPr>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029EFDF" w14:textId="77777777" w:rsidR="003D6BBD" w:rsidRPr="00DC39B2" w:rsidRDefault="003D6BBD" w:rsidP="00A96B0B">
            <w:pPr>
              <w:rPr>
                <w:b w:val="0"/>
                <w:bCs w:val="0"/>
                <w:color w:val="000000"/>
                <w:sz w:val="20"/>
                <w:szCs w:val="20"/>
              </w:rPr>
            </w:pPr>
            <w:r w:rsidRPr="00DC39B2">
              <w:rPr>
                <w:color w:val="000000"/>
                <w:sz w:val="20"/>
                <w:szCs w:val="20"/>
              </w:rPr>
              <w:t>Marine-terrestrial</w:t>
            </w:r>
          </w:p>
        </w:tc>
        <w:tc>
          <w:tcPr>
            <w:tcW w:w="1134" w:type="dxa"/>
            <w:noWrap/>
            <w:hideMark/>
          </w:tcPr>
          <w:p w14:paraId="63E3FA1A"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NE</w:t>
            </w:r>
          </w:p>
        </w:tc>
        <w:tc>
          <w:tcPr>
            <w:tcW w:w="850" w:type="dxa"/>
            <w:noWrap/>
            <w:hideMark/>
          </w:tcPr>
          <w:p w14:paraId="3BFEAB36"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5</w:t>
            </w:r>
          </w:p>
        </w:tc>
        <w:tc>
          <w:tcPr>
            <w:tcW w:w="992" w:type="dxa"/>
            <w:noWrap/>
            <w:hideMark/>
          </w:tcPr>
          <w:p w14:paraId="33FB10D5"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5</w:t>
            </w:r>
          </w:p>
        </w:tc>
        <w:tc>
          <w:tcPr>
            <w:tcW w:w="1164" w:type="dxa"/>
            <w:noWrap/>
            <w:hideMark/>
          </w:tcPr>
          <w:p w14:paraId="41C18988"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3</w:t>
            </w:r>
          </w:p>
        </w:tc>
        <w:tc>
          <w:tcPr>
            <w:tcW w:w="821" w:type="dxa"/>
            <w:noWrap/>
            <w:hideMark/>
          </w:tcPr>
          <w:p w14:paraId="38C5EB31"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4</w:t>
            </w:r>
          </w:p>
        </w:tc>
      </w:tr>
      <w:tr w:rsidR="003D3FDB" w:rsidRPr="00ED7E61" w14:paraId="041B7F37" w14:textId="77777777" w:rsidTr="00B3383B">
        <w:trPr>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630060F" w14:textId="77777777" w:rsidR="003D6BBD" w:rsidRPr="00DC39B2" w:rsidRDefault="003D6BBD" w:rsidP="00A96B0B">
            <w:pPr>
              <w:rPr>
                <w:b w:val="0"/>
                <w:bCs w:val="0"/>
                <w:color w:val="000000"/>
                <w:sz w:val="20"/>
                <w:szCs w:val="20"/>
              </w:rPr>
            </w:pPr>
            <w:r w:rsidRPr="00DC39B2">
              <w:rPr>
                <w:b w:val="0"/>
                <w:bCs w:val="0"/>
                <w:color w:val="000000"/>
                <w:sz w:val="20"/>
                <w:szCs w:val="20"/>
              </w:rPr>
              <w:t>Subterranean</w:t>
            </w:r>
            <w:r w:rsidRPr="00DC39B2">
              <w:rPr>
                <w:color w:val="000000"/>
                <w:sz w:val="20"/>
                <w:szCs w:val="20"/>
              </w:rPr>
              <w:t xml:space="preserve">, </w:t>
            </w:r>
            <w:r w:rsidRPr="00DC39B2">
              <w:rPr>
                <w:b w:val="0"/>
                <w:bCs w:val="0"/>
                <w:color w:val="000000"/>
                <w:sz w:val="20"/>
                <w:szCs w:val="20"/>
              </w:rPr>
              <w:t>Subterranean</w:t>
            </w:r>
            <w:r w:rsidRPr="00DC39B2">
              <w:rPr>
                <w:color w:val="000000"/>
                <w:sz w:val="20"/>
                <w:szCs w:val="20"/>
              </w:rPr>
              <w:t xml:space="preserve">-marine, </w:t>
            </w:r>
            <w:r w:rsidRPr="00DC39B2">
              <w:rPr>
                <w:b w:val="0"/>
                <w:bCs w:val="0"/>
                <w:color w:val="000000"/>
                <w:sz w:val="20"/>
                <w:szCs w:val="20"/>
              </w:rPr>
              <w:t>Subterranean</w:t>
            </w:r>
            <w:r w:rsidRPr="00DC39B2">
              <w:rPr>
                <w:color w:val="000000"/>
                <w:sz w:val="20"/>
                <w:szCs w:val="20"/>
              </w:rPr>
              <w:t>-freshwater</w:t>
            </w:r>
          </w:p>
        </w:tc>
        <w:tc>
          <w:tcPr>
            <w:tcW w:w="1134" w:type="dxa"/>
            <w:noWrap/>
            <w:hideMark/>
          </w:tcPr>
          <w:p w14:paraId="2B656BDB"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NE</w:t>
            </w:r>
          </w:p>
        </w:tc>
        <w:tc>
          <w:tcPr>
            <w:tcW w:w="850" w:type="dxa"/>
            <w:noWrap/>
            <w:hideMark/>
          </w:tcPr>
          <w:p w14:paraId="6CE77484"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w:t>
            </w:r>
          </w:p>
        </w:tc>
        <w:tc>
          <w:tcPr>
            <w:tcW w:w="992" w:type="dxa"/>
            <w:noWrap/>
            <w:hideMark/>
          </w:tcPr>
          <w:p w14:paraId="066DE27E"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4</w:t>
            </w:r>
          </w:p>
        </w:tc>
        <w:tc>
          <w:tcPr>
            <w:tcW w:w="1164" w:type="dxa"/>
            <w:noWrap/>
            <w:hideMark/>
          </w:tcPr>
          <w:p w14:paraId="4096BD09"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w:t>
            </w:r>
          </w:p>
        </w:tc>
        <w:tc>
          <w:tcPr>
            <w:tcW w:w="821" w:type="dxa"/>
            <w:noWrap/>
            <w:hideMark/>
          </w:tcPr>
          <w:p w14:paraId="71DEE420"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NE</w:t>
            </w:r>
          </w:p>
        </w:tc>
      </w:tr>
      <w:tr w:rsidR="003D3FDB" w:rsidRPr="00ED7E61" w14:paraId="06B09E2A" w14:textId="77777777" w:rsidTr="00B3383B">
        <w:trPr>
          <w:trHeight w:val="34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2A24D3C" w14:textId="77777777" w:rsidR="003D6BBD" w:rsidRPr="00ED7E61" w:rsidRDefault="003D6BBD" w:rsidP="00A96B0B">
            <w:pPr>
              <w:rPr>
                <w:b w:val="0"/>
                <w:bCs w:val="0"/>
                <w:color w:val="000000"/>
                <w:sz w:val="20"/>
                <w:szCs w:val="20"/>
              </w:rPr>
            </w:pPr>
            <w:r w:rsidRPr="00ED7E61">
              <w:rPr>
                <w:color w:val="000000"/>
                <w:sz w:val="20"/>
                <w:szCs w:val="20"/>
              </w:rPr>
              <w:t>Total</w:t>
            </w:r>
          </w:p>
        </w:tc>
        <w:tc>
          <w:tcPr>
            <w:tcW w:w="1134" w:type="dxa"/>
            <w:noWrap/>
            <w:hideMark/>
          </w:tcPr>
          <w:p w14:paraId="4779CDB7"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12</w:t>
            </w:r>
          </w:p>
        </w:tc>
        <w:tc>
          <w:tcPr>
            <w:tcW w:w="850" w:type="dxa"/>
            <w:noWrap/>
            <w:hideMark/>
          </w:tcPr>
          <w:p w14:paraId="26D5B3EF"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41</w:t>
            </w:r>
          </w:p>
        </w:tc>
        <w:tc>
          <w:tcPr>
            <w:tcW w:w="992" w:type="dxa"/>
            <w:noWrap/>
            <w:hideMark/>
          </w:tcPr>
          <w:p w14:paraId="6F64921E"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33</w:t>
            </w:r>
          </w:p>
        </w:tc>
        <w:tc>
          <w:tcPr>
            <w:tcW w:w="1164" w:type="dxa"/>
            <w:noWrap/>
            <w:hideMark/>
          </w:tcPr>
          <w:p w14:paraId="00466EE1"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19</w:t>
            </w:r>
          </w:p>
        </w:tc>
        <w:tc>
          <w:tcPr>
            <w:tcW w:w="821" w:type="dxa"/>
            <w:noWrap/>
            <w:hideMark/>
          </w:tcPr>
          <w:p w14:paraId="29186975" w14:textId="77777777" w:rsidR="003D6BBD" w:rsidRPr="00ED7E61" w:rsidRDefault="003D6BBD" w:rsidP="005B0D1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D7E61">
              <w:rPr>
                <w:color w:val="000000"/>
                <w:sz w:val="20"/>
                <w:szCs w:val="20"/>
                <w:lang w:val="en-GB"/>
              </w:rPr>
              <w:t>30</w:t>
            </w:r>
          </w:p>
        </w:tc>
      </w:tr>
    </w:tbl>
    <w:p w14:paraId="17090A6B" w14:textId="77777777" w:rsidR="003D6BBD" w:rsidRPr="00ED7E61" w:rsidRDefault="003D6BBD" w:rsidP="003D6BBD">
      <w:pPr>
        <w:rPr>
          <w:rFonts w:asciiTheme="majorBidi" w:hAnsiTheme="majorBidi" w:cstheme="majorBidi"/>
          <w:color w:val="000000" w:themeColor="text1"/>
          <w:sz w:val="22"/>
          <w:szCs w:val="22"/>
          <w:lang w:val="en-GB"/>
        </w:rPr>
      </w:pPr>
    </w:p>
    <w:p w14:paraId="07D84F05" w14:textId="021EE2C5" w:rsidR="003D6BBD" w:rsidRPr="00ED7E61" w:rsidRDefault="003D6BBD" w:rsidP="00B3383B">
      <w:pPr>
        <w:keepNext/>
        <w:spacing w:before="120" w:after="120"/>
        <w:rPr>
          <w:rFonts w:asciiTheme="majorBidi" w:hAnsiTheme="majorBidi" w:cstheme="majorBidi"/>
          <w:b/>
          <w:bCs/>
          <w:i/>
          <w:iCs/>
          <w:color w:val="000000" w:themeColor="text1"/>
          <w:sz w:val="22"/>
          <w:szCs w:val="22"/>
        </w:rPr>
      </w:pPr>
      <w:bookmarkStart w:id="14" w:name="_Implications_for_reporting"/>
      <w:bookmarkEnd w:id="14"/>
      <w:r w:rsidRPr="00ED7E61">
        <w:rPr>
          <w:rFonts w:asciiTheme="majorBidi" w:hAnsiTheme="majorBidi" w:cstheme="majorBidi"/>
          <w:b/>
          <w:bCs/>
          <w:color w:val="000000" w:themeColor="text1"/>
          <w:lang w:val="en-GB"/>
        </w:rPr>
        <w:t>Implications for reporting on A1 and A2</w:t>
      </w:r>
    </w:p>
    <w:p w14:paraId="3A163E57" w14:textId="7D670A40" w:rsidR="003D6BBD" w:rsidRPr="00ED7E61" w:rsidRDefault="003D6BBD" w:rsidP="00FB1598">
      <w:pPr>
        <w:keepNext/>
        <w:rPr>
          <w:rFonts w:asciiTheme="majorBidi" w:hAnsiTheme="majorBidi" w:cstheme="majorBidi"/>
          <w:color w:val="000000" w:themeColor="text1"/>
          <w:sz w:val="22"/>
          <w:szCs w:val="22"/>
          <w:lang w:val="en-GB"/>
        </w:rPr>
      </w:pPr>
      <w:r w:rsidRPr="00ED7E61">
        <w:rPr>
          <w:rFonts w:asciiTheme="majorBidi" w:hAnsiTheme="majorBidi" w:cstheme="majorBidi"/>
          <w:i/>
          <w:iCs/>
          <w:color w:val="000000" w:themeColor="text1"/>
          <w:sz w:val="22"/>
          <w:szCs w:val="22"/>
        </w:rPr>
        <w:t>Headline indicator A1 Red List of Ecosystems</w:t>
      </w:r>
    </w:p>
    <w:p w14:paraId="02626FF8" w14:textId="75013CF9" w:rsidR="003D6BBD" w:rsidRPr="00ED7E61" w:rsidRDefault="003D6BBD" w:rsidP="00B10F0C">
      <w:pPr>
        <w:pStyle w:val="CBDNormalNumber"/>
        <w:numPr>
          <w:ilvl w:val="0"/>
          <w:numId w:val="39"/>
        </w:numPr>
      </w:pPr>
      <w:r w:rsidRPr="00ED7E61">
        <w:t xml:space="preserve">National reporting for headline indicator A1 (Red List of Ecosystems) is the number of </w:t>
      </w:r>
      <w:r w:rsidR="00D019A1" w:rsidRPr="00ED7E61">
        <w:t xml:space="preserve">national </w:t>
      </w:r>
      <w:r w:rsidRPr="00ED7E61">
        <w:t>ecosystem types in each risk category, within each EFG in tabular form. An example of this based on data from Colombia is shown in Table 3. It reveals patterns of risk – for example, all of the tropical-subtropical dry forest ecosystem types are highly threatened (Critically Endangered, CR), while 10 of 21 of the lowland rainforest ecosystems are not threatened.</w:t>
      </w:r>
    </w:p>
    <w:p w14:paraId="41A3CAC6" w14:textId="19587731" w:rsidR="00DC39B2" w:rsidRPr="00DC39B2" w:rsidRDefault="003D6BBD" w:rsidP="00B3383B">
      <w:pPr>
        <w:ind w:left="567"/>
        <w:rPr>
          <w:rFonts w:asciiTheme="majorBidi" w:hAnsiTheme="majorBidi" w:cstheme="majorBidi"/>
          <w:i/>
          <w:iCs/>
          <w:color w:val="000000" w:themeColor="text1"/>
          <w:sz w:val="22"/>
          <w:szCs w:val="22"/>
          <w:lang w:val="en-GB"/>
        </w:rPr>
      </w:pPr>
      <w:r w:rsidRPr="00B3383B">
        <w:rPr>
          <w:rFonts w:asciiTheme="majorBidi" w:hAnsiTheme="majorBidi" w:cstheme="majorBidi"/>
          <w:color w:val="000000" w:themeColor="text1"/>
          <w:sz w:val="22"/>
          <w:szCs w:val="22"/>
          <w:lang w:val="en-GB"/>
        </w:rPr>
        <w:t>Table 3</w:t>
      </w:r>
      <w:r w:rsidRPr="00ED7E61">
        <w:rPr>
          <w:rFonts w:asciiTheme="majorBidi" w:hAnsiTheme="majorBidi" w:cstheme="majorBidi"/>
          <w:i/>
          <w:iCs/>
          <w:color w:val="000000" w:themeColor="text1"/>
          <w:sz w:val="22"/>
          <w:szCs w:val="22"/>
          <w:lang w:val="en-GB"/>
        </w:rPr>
        <w:t xml:space="preserve"> </w:t>
      </w:r>
      <w:r w:rsidR="00DC39B2">
        <w:rPr>
          <w:rFonts w:asciiTheme="majorBidi" w:hAnsiTheme="majorBidi" w:cstheme="majorBidi"/>
          <w:i/>
          <w:iCs/>
          <w:color w:val="000000" w:themeColor="text1"/>
          <w:sz w:val="22"/>
          <w:szCs w:val="22"/>
          <w:lang w:val="en-GB"/>
        </w:rPr>
        <w:br/>
      </w:r>
      <w:r w:rsidRPr="00B3383B">
        <w:rPr>
          <w:rFonts w:asciiTheme="majorBidi" w:hAnsiTheme="majorBidi" w:cstheme="majorBidi"/>
          <w:b/>
          <w:bCs/>
          <w:color w:val="000000" w:themeColor="text1"/>
          <w:sz w:val="22"/>
          <w:szCs w:val="22"/>
          <w:lang w:val="en-GB"/>
        </w:rPr>
        <w:t>Example table for reporting on A1 Red list of Ecosystems</w:t>
      </w:r>
      <w:r w:rsidRPr="00DC39B2">
        <w:rPr>
          <w:rFonts w:asciiTheme="majorBidi" w:hAnsiTheme="majorBidi" w:cstheme="majorBidi"/>
          <w:i/>
          <w:iCs/>
          <w:color w:val="000000" w:themeColor="text1"/>
          <w:sz w:val="22"/>
          <w:szCs w:val="22"/>
          <w:lang w:val="en-GB"/>
        </w:rPr>
        <w:t xml:space="preserve"> </w:t>
      </w:r>
    </w:p>
    <w:p w14:paraId="3CEE7DDF" w14:textId="71E15CAD" w:rsidR="003D6BBD" w:rsidRPr="00ED7E61" w:rsidRDefault="00DC39B2" w:rsidP="00B3383B">
      <w:pPr>
        <w:ind w:left="567"/>
        <w:rPr>
          <w:rFonts w:asciiTheme="majorBidi" w:hAnsiTheme="majorBidi" w:cstheme="majorBidi"/>
          <w:i/>
          <w:iCs/>
          <w:sz w:val="22"/>
          <w:szCs w:val="22"/>
          <w:lang w:val="en-GB"/>
        </w:rPr>
      </w:pPr>
      <w:r>
        <w:rPr>
          <w:rFonts w:asciiTheme="majorBidi" w:hAnsiTheme="majorBidi" w:cstheme="majorBidi"/>
          <w:i/>
          <w:iCs/>
          <w:color w:val="000000" w:themeColor="text1"/>
          <w:sz w:val="22"/>
          <w:szCs w:val="22"/>
          <w:lang w:val="en-GB"/>
        </w:rPr>
        <w:t>T</w:t>
      </w:r>
      <w:r w:rsidR="003D6BBD" w:rsidRPr="00ED7E61">
        <w:rPr>
          <w:rFonts w:asciiTheme="majorBidi" w:hAnsiTheme="majorBidi" w:cstheme="majorBidi"/>
          <w:i/>
          <w:iCs/>
          <w:color w:val="000000" w:themeColor="text1"/>
          <w:sz w:val="22"/>
          <w:szCs w:val="22"/>
          <w:lang w:val="en-GB"/>
        </w:rPr>
        <w:t>he number of ecosystems per risk category per ecosystem functional group (EFG), showing results for Colombia’s national</w:t>
      </w:r>
      <w:r w:rsidR="003D6BBD" w:rsidRPr="00ED7E61">
        <w:rPr>
          <w:rFonts w:asciiTheme="majorBidi" w:hAnsiTheme="majorBidi" w:cstheme="majorBidi"/>
          <w:i/>
          <w:iCs/>
          <w:sz w:val="22"/>
          <w:szCs w:val="22"/>
          <w:lang w:val="en-GB"/>
        </w:rPr>
        <w:t xml:space="preserve"> Red list of Ecosystems assessment</w:t>
      </w:r>
      <w:r w:rsidR="00442544">
        <w:rPr>
          <w:rFonts w:asciiTheme="majorBidi" w:hAnsiTheme="majorBidi" w:cstheme="majorBidi"/>
          <w:i/>
          <w:iCs/>
          <w:sz w:val="22"/>
          <w:szCs w:val="22"/>
          <w:lang w:val="en-GB"/>
        </w:rPr>
        <w:t xml:space="preserve"> </w:t>
      </w:r>
      <w:r w:rsidR="00C313E5">
        <w:rPr>
          <w:rFonts w:asciiTheme="majorBidi" w:hAnsiTheme="majorBidi" w:cstheme="majorBidi"/>
          <w:i/>
          <w:iCs/>
          <w:sz w:val="22"/>
          <w:szCs w:val="22"/>
          <w:lang w:val="en-GB"/>
        </w:rPr>
        <w:t>(Etter et</w:t>
      </w:r>
      <w:r w:rsidR="006B67E3">
        <w:rPr>
          <w:rFonts w:asciiTheme="majorBidi" w:hAnsiTheme="majorBidi" w:cstheme="majorBidi"/>
          <w:i/>
          <w:iCs/>
          <w:sz w:val="22"/>
          <w:szCs w:val="22"/>
          <w:lang w:val="en-GB"/>
        </w:rPr>
        <w:t xml:space="preserve"> </w:t>
      </w:r>
      <w:r w:rsidR="00C313E5">
        <w:rPr>
          <w:rFonts w:asciiTheme="majorBidi" w:hAnsiTheme="majorBidi" w:cstheme="majorBidi"/>
          <w:i/>
          <w:iCs/>
          <w:sz w:val="22"/>
          <w:szCs w:val="22"/>
          <w:lang w:val="en-GB"/>
        </w:rPr>
        <w:t>al</w:t>
      </w:r>
      <w:r w:rsidR="00442544">
        <w:rPr>
          <w:rFonts w:asciiTheme="majorBidi" w:hAnsiTheme="majorBidi" w:cstheme="majorBidi"/>
          <w:i/>
          <w:iCs/>
          <w:sz w:val="22"/>
          <w:szCs w:val="22"/>
          <w:lang w:val="en-GB"/>
        </w:rPr>
        <w:t>.</w:t>
      </w:r>
      <w:r w:rsidR="00C313E5">
        <w:rPr>
          <w:rFonts w:asciiTheme="majorBidi" w:hAnsiTheme="majorBidi" w:cstheme="majorBidi"/>
          <w:i/>
          <w:iCs/>
          <w:sz w:val="22"/>
          <w:szCs w:val="22"/>
          <w:lang w:val="en-GB"/>
        </w:rPr>
        <w:t xml:space="preserve"> 2020)</w:t>
      </w:r>
      <w:r w:rsidR="003D6BBD" w:rsidRPr="00ED7E61">
        <w:rPr>
          <w:rFonts w:asciiTheme="majorBidi" w:hAnsiTheme="majorBidi" w:cstheme="majorBidi"/>
          <w:i/>
          <w:iCs/>
          <w:sz w:val="22"/>
          <w:szCs w:val="22"/>
          <w:lang w:val="en-GB"/>
        </w:rPr>
        <w:t>. CO=Collapsed, CR=Critically Endangered, EN=Endangered, VU=Vulnerable, NT=Near threatened, LC=Least Concern, DD=Data deficient, and NE=Not Evaluated.</w:t>
      </w:r>
    </w:p>
    <w:tbl>
      <w:tblPr>
        <w:tblStyle w:val="GridTable4-Accent3"/>
        <w:tblW w:w="91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828"/>
        <w:gridCol w:w="654"/>
        <w:gridCol w:w="655"/>
        <w:gridCol w:w="655"/>
        <w:gridCol w:w="655"/>
        <w:gridCol w:w="654"/>
        <w:gridCol w:w="655"/>
        <w:gridCol w:w="587"/>
        <w:gridCol w:w="810"/>
      </w:tblGrid>
      <w:tr w:rsidR="00F42D6A" w:rsidRPr="003D3FDB" w14:paraId="27528FC7" w14:textId="77777777" w:rsidTr="00625F56">
        <w:trPr>
          <w:cnfStyle w:val="100000000000" w:firstRow="1" w:lastRow="0" w:firstColumn="0" w:lastColumn="0" w:oddVBand="0" w:evenVBand="0" w:oddHBand="0" w:evenHBand="0" w:firstRowFirstColumn="0" w:firstRowLastColumn="0" w:lastRowFirstColumn="0" w:lastRowLastColumn="0"/>
          <w:trHeight w:val="320"/>
        </w:trPr>
        <w:tc>
          <w:tcPr>
            <w:tcW w:w="3828" w:type="dxa"/>
            <w:shd w:val="clear" w:color="auto" w:fill="D1D1D1" w:themeFill="background2" w:themeFillShade="E6"/>
            <w:noWrap/>
            <w:hideMark/>
          </w:tcPr>
          <w:p w14:paraId="245FB379" w14:textId="77777777" w:rsidR="003D6BBD" w:rsidRPr="00B3383B" w:rsidRDefault="003D6BBD" w:rsidP="00A96B0B">
            <w:pPr>
              <w:rPr>
                <w:rFonts w:asciiTheme="majorBidi" w:hAnsiTheme="majorBidi" w:cstheme="majorBidi"/>
                <w:b w:val="0"/>
                <w:bCs w:val="0"/>
                <w:i/>
                <w:iCs/>
                <w:color w:val="000000"/>
                <w:sz w:val="20"/>
                <w:szCs w:val="20"/>
                <w:lang w:val="en-GB"/>
              </w:rPr>
            </w:pPr>
            <w:r w:rsidRPr="00B3383B">
              <w:rPr>
                <w:rFonts w:asciiTheme="majorBidi" w:hAnsiTheme="majorBidi" w:cstheme="majorBidi"/>
                <w:b w:val="0"/>
                <w:bCs w:val="0"/>
                <w:i/>
                <w:iCs/>
                <w:color w:val="000000"/>
                <w:sz w:val="20"/>
                <w:szCs w:val="20"/>
                <w:lang w:val="en-GB"/>
              </w:rPr>
              <w:t>Ecosystem Functional Group</w:t>
            </w:r>
          </w:p>
        </w:tc>
        <w:tc>
          <w:tcPr>
            <w:tcW w:w="654" w:type="dxa"/>
            <w:shd w:val="clear" w:color="auto" w:fill="D1D1D1" w:themeFill="background2" w:themeFillShade="E6"/>
          </w:tcPr>
          <w:p w14:paraId="0674EC2C" w14:textId="77777777" w:rsidR="003D6BBD" w:rsidRPr="00B3383B" w:rsidRDefault="003D6BBD" w:rsidP="00A96B0B">
            <w:pPr>
              <w:rPr>
                <w:rFonts w:asciiTheme="majorBidi" w:hAnsiTheme="majorBidi" w:cstheme="majorBidi"/>
                <w:b w:val="0"/>
                <w:bCs w:val="0"/>
                <w:i/>
                <w:iCs/>
                <w:color w:val="000000"/>
                <w:sz w:val="20"/>
                <w:szCs w:val="20"/>
                <w:lang w:val="en-GB"/>
              </w:rPr>
            </w:pPr>
            <w:r w:rsidRPr="00B3383B">
              <w:rPr>
                <w:rFonts w:asciiTheme="majorBidi" w:hAnsiTheme="majorBidi" w:cstheme="majorBidi"/>
                <w:b w:val="0"/>
                <w:bCs w:val="0"/>
                <w:i/>
                <w:iCs/>
                <w:color w:val="000000"/>
                <w:sz w:val="20"/>
                <w:szCs w:val="20"/>
                <w:lang w:val="en-GB"/>
              </w:rPr>
              <w:t>CO</w:t>
            </w:r>
          </w:p>
        </w:tc>
        <w:tc>
          <w:tcPr>
            <w:tcW w:w="655" w:type="dxa"/>
            <w:shd w:val="clear" w:color="auto" w:fill="D1D1D1" w:themeFill="background2" w:themeFillShade="E6"/>
            <w:noWrap/>
            <w:hideMark/>
          </w:tcPr>
          <w:p w14:paraId="4E9504D6" w14:textId="77777777" w:rsidR="003D6BBD" w:rsidRPr="00B3383B" w:rsidRDefault="003D6BBD" w:rsidP="00A96B0B">
            <w:pPr>
              <w:rPr>
                <w:rFonts w:asciiTheme="majorBidi" w:hAnsiTheme="majorBidi" w:cstheme="majorBidi"/>
                <w:b w:val="0"/>
                <w:bCs w:val="0"/>
                <w:i/>
                <w:iCs/>
                <w:color w:val="000000"/>
                <w:sz w:val="20"/>
                <w:szCs w:val="20"/>
                <w:lang w:val="en-GB"/>
              </w:rPr>
            </w:pPr>
            <w:r w:rsidRPr="00B3383B">
              <w:rPr>
                <w:rFonts w:asciiTheme="majorBidi" w:hAnsiTheme="majorBidi" w:cstheme="majorBidi"/>
                <w:b w:val="0"/>
                <w:bCs w:val="0"/>
                <w:i/>
                <w:iCs/>
                <w:color w:val="000000"/>
                <w:sz w:val="20"/>
                <w:szCs w:val="20"/>
                <w:lang w:val="en-GB"/>
              </w:rPr>
              <w:t>CR</w:t>
            </w:r>
          </w:p>
        </w:tc>
        <w:tc>
          <w:tcPr>
            <w:tcW w:w="655" w:type="dxa"/>
            <w:shd w:val="clear" w:color="auto" w:fill="D1D1D1" w:themeFill="background2" w:themeFillShade="E6"/>
            <w:noWrap/>
            <w:hideMark/>
          </w:tcPr>
          <w:p w14:paraId="45E77011" w14:textId="77777777" w:rsidR="003D6BBD" w:rsidRPr="00B3383B" w:rsidRDefault="003D6BBD" w:rsidP="00A96B0B">
            <w:pPr>
              <w:rPr>
                <w:rFonts w:asciiTheme="majorBidi" w:hAnsiTheme="majorBidi" w:cstheme="majorBidi"/>
                <w:b w:val="0"/>
                <w:bCs w:val="0"/>
                <w:i/>
                <w:iCs/>
                <w:color w:val="000000"/>
                <w:sz w:val="20"/>
                <w:szCs w:val="20"/>
                <w:lang w:val="en-GB"/>
              </w:rPr>
            </w:pPr>
            <w:r w:rsidRPr="00B3383B">
              <w:rPr>
                <w:rFonts w:asciiTheme="majorBidi" w:hAnsiTheme="majorBidi" w:cstheme="majorBidi"/>
                <w:b w:val="0"/>
                <w:bCs w:val="0"/>
                <w:i/>
                <w:iCs/>
                <w:color w:val="000000"/>
                <w:sz w:val="20"/>
                <w:szCs w:val="20"/>
                <w:lang w:val="en-GB"/>
              </w:rPr>
              <w:t>EN</w:t>
            </w:r>
          </w:p>
        </w:tc>
        <w:tc>
          <w:tcPr>
            <w:tcW w:w="655" w:type="dxa"/>
            <w:shd w:val="clear" w:color="auto" w:fill="D1D1D1" w:themeFill="background2" w:themeFillShade="E6"/>
            <w:noWrap/>
            <w:hideMark/>
          </w:tcPr>
          <w:p w14:paraId="5AC30C59" w14:textId="77777777" w:rsidR="003D6BBD" w:rsidRPr="00B3383B" w:rsidRDefault="003D6BBD" w:rsidP="00A96B0B">
            <w:pPr>
              <w:rPr>
                <w:rFonts w:asciiTheme="majorBidi" w:hAnsiTheme="majorBidi" w:cstheme="majorBidi"/>
                <w:b w:val="0"/>
                <w:bCs w:val="0"/>
                <w:i/>
                <w:iCs/>
                <w:color w:val="000000"/>
                <w:sz w:val="20"/>
                <w:szCs w:val="20"/>
                <w:lang w:val="en-GB"/>
              </w:rPr>
            </w:pPr>
            <w:r w:rsidRPr="00B3383B">
              <w:rPr>
                <w:rFonts w:asciiTheme="majorBidi" w:hAnsiTheme="majorBidi" w:cstheme="majorBidi"/>
                <w:b w:val="0"/>
                <w:bCs w:val="0"/>
                <w:i/>
                <w:iCs/>
                <w:color w:val="000000"/>
                <w:sz w:val="20"/>
                <w:szCs w:val="20"/>
                <w:lang w:val="en-GB"/>
              </w:rPr>
              <w:t>VU</w:t>
            </w:r>
          </w:p>
        </w:tc>
        <w:tc>
          <w:tcPr>
            <w:tcW w:w="654" w:type="dxa"/>
            <w:shd w:val="clear" w:color="auto" w:fill="D1D1D1" w:themeFill="background2" w:themeFillShade="E6"/>
          </w:tcPr>
          <w:p w14:paraId="07BD99D0" w14:textId="77777777" w:rsidR="003D6BBD" w:rsidRPr="00B3383B" w:rsidRDefault="003D6BBD" w:rsidP="00A96B0B">
            <w:pPr>
              <w:rPr>
                <w:rFonts w:asciiTheme="majorBidi" w:hAnsiTheme="majorBidi" w:cstheme="majorBidi"/>
                <w:b w:val="0"/>
                <w:bCs w:val="0"/>
                <w:i/>
                <w:iCs/>
                <w:color w:val="000000"/>
                <w:sz w:val="20"/>
                <w:szCs w:val="20"/>
                <w:lang w:val="en-GB"/>
              </w:rPr>
            </w:pPr>
            <w:r w:rsidRPr="00B3383B">
              <w:rPr>
                <w:rFonts w:asciiTheme="majorBidi" w:hAnsiTheme="majorBidi" w:cstheme="majorBidi"/>
                <w:b w:val="0"/>
                <w:bCs w:val="0"/>
                <w:i/>
                <w:iCs/>
                <w:color w:val="000000"/>
                <w:sz w:val="20"/>
                <w:szCs w:val="20"/>
                <w:lang w:val="en-GB"/>
              </w:rPr>
              <w:t>NT</w:t>
            </w:r>
          </w:p>
        </w:tc>
        <w:tc>
          <w:tcPr>
            <w:tcW w:w="655" w:type="dxa"/>
            <w:shd w:val="clear" w:color="auto" w:fill="D1D1D1" w:themeFill="background2" w:themeFillShade="E6"/>
            <w:noWrap/>
            <w:hideMark/>
          </w:tcPr>
          <w:p w14:paraId="0FC26E1F" w14:textId="77777777" w:rsidR="003D6BBD" w:rsidRPr="00B3383B" w:rsidRDefault="003D6BBD" w:rsidP="00A96B0B">
            <w:pPr>
              <w:rPr>
                <w:rFonts w:asciiTheme="majorBidi" w:hAnsiTheme="majorBidi" w:cstheme="majorBidi"/>
                <w:b w:val="0"/>
                <w:bCs w:val="0"/>
                <w:i/>
                <w:iCs/>
                <w:color w:val="000000"/>
                <w:sz w:val="20"/>
                <w:szCs w:val="20"/>
                <w:lang w:val="en-GB"/>
              </w:rPr>
            </w:pPr>
            <w:r w:rsidRPr="00B3383B">
              <w:rPr>
                <w:rFonts w:asciiTheme="majorBidi" w:hAnsiTheme="majorBidi" w:cstheme="majorBidi"/>
                <w:b w:val="0"/>
                <w:bCs w:val="0"/>
                <w:i/>
                <w:iCs/>
                <w:color w:val="000000"/>
                <w:sz w:val="20"/>
                <w:szCs w:val="20"/>
                <w:lang w:val="en-GB"/>
              </w:rPr>
              <w:t>LC</w:t>
            </w:r>
          </w:p>
        </w:tc>
        <w:tc>
          <w:tcPr>
            <w:tcW w:w="587" w:type="dxa"/>
            <w:shd w:val="clear" w:color="auto" w:fill="D1D1D1" w:themeFill="background2" w:themeFillShade="E6"/>
          </w:tcPr>
          <w:p w14:paraId="31075F86" w14:textId="77777777" w:rsidR="003D6BBD" w:rsidRPr="00B3383B" w:rsidRDefault="003D6BBD" w:rsidP="00A96B0B">
            <w:pPr>
              <w:rPr>
                <w:rFonts w:asciiTheme="majorBidi" w:hAnsiTheme="majorBidi" w:cstheme="majorBidi"/>
                <w:b w:val="0"/>
                <w:bCs w:val="0"/>
                <w:i/>
                <w:iCs/>
                <w:color w:val="000000"/>
                <w:sz w:val="20"/>
                <w:szCs w:val="20"/>
                <w:lang w:val="en-GB"/>
              </w:rPr>
            </w:pPr>
            <w:r w:rsidRPr="00B3383B">
              <w:rPr>
                <w:rFonts w:asciiTheme="majorBidi" w:hAnsiTheme="majorBidi" w:cstheme="majorBidi"/>
                <w:b w:val="0"/>
                <w:bCs w:val="0"/>
                <w:i/>
                <w:iCs/>
                <w:color w:val="000000"/>
                <w:sz w:val="20"/>
                <w:szCs w:val="20"/>
                <w:lang w:val="en-GB"/>
              </w:rPr>
              <w:t>DD</w:t>
            </w:r>
          </w:p>
        </w:tc>
        <w:tc>
          <w:tcPr>
            <w:tcW w:w="810" w:type="dxa"/>
            <w:shd w:val="clear" w:color="auto" w:fill="D1D1D1" w:themeFill="background2" w:themeFillShade="E6"/>
            <w:noWrap/>
            <w:hideMark/>
          </w:tcPr>
          <w:p w14:paraId="02E85D5E" w14:textId="77777777" w:rsidR="003D6BBD" w:rsidRPr="00B3383B" w:rsidRDefault="003D6BBD" w:rsidP="00A96B0B">
            <w:pPr>
              <w:rPr>
                <w:rFonts w:asciiTheme="majorBidi" w:hAnsiTheme="majorBidi" w:cstheme="majorBidi"/>
                <w:b w:val="0"/>
                <w:bCs w:val="0"/>
                <w:i/>
                <w:iCs/>
                <w:color w:val="000000"/>
                <w:sz w:val="20"/>
                <w:szCs w:val="20"/>
                <w:lang w:val="en-GB"/>
              </w:rPr>
            </w:pPr>
            <w:r w:rsidRPr="00B3383B">
              <w:rPr>
                <w:rFonts w:asciiTheme="majorBidi" w:hAnsiTheme="majorBidi" w:cstheme="majorBidi"/>
                <w:b w:val="0"/>
                <w:bCs w:val="0"/>
                <w:i/>
                <w:iCs/>
                <w:color w:val="000000"/>
                <w:sz w:val="20"/>
                <w:szCs w:val="20"/>
                <w:lang w:val="en-GB"/>
              </w:rPr>
              <w:t>Total</w:t>
            </w:r>
          </w:p>
        </w:tc>
      </w:tr>
      <w:tr w:rsidR="00F42D6A" w:rsidRPr="00625F56" w14:paraId="21BE160E" w14:textId="77777777" w:rsidTr="00B3383B">
        <w:trPr>
          <w:trHeight w:val="320"/>
        </w:trPr>
        <w:tc>
          <w:tcPr>
            <w:tcW w:w="3828" w:type="dxa"/>
            <w:noWrap/>
            <w:hideMark/>
          </w:tcPr>
          <w:p w14:paraId="25629AB7"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T1.1 Tropical-subtropical lowland rainforests</w:t>
            </w:r>
          </w:p>
        </w:tc>
        <w:tc>
          <w:tcPr>
            <w:tcW w:w="0" w:type="dxa"/>
          </w:tcPr>
          <w:p w14:paraId="52D62BA8"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7D55A950"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3</w:t>
            </w:r>
          </w:p>
        </w:tc>
        <w:tc>
          <w:tcPr>
            <w:tcW w:w="0" w:type="dxa"/>
            <w:noWrap/>
            <w:hideMark/>
          </w:tcPr>
          <w:p w14:paraId="5A4D67BC"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7</w:t>
            </w:r>
          </w:p>
        </w:tc>
        <w:tc>
          <w:tcPr>
            <w:tcW w:w="0" w:type="dxa"/>
            <w:noWrap/>
            <w:hideMark/>
          </w:tcPr>
          <w:p w14:paraId="669172EF"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tcPr>
          <w:p w14:paraId="74F31A48"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2D4425BB"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10</w:t>
            </w:r>
          </w:p>
        </w:tc>
        <w:tc>
          <w:tcPr>
            <w:tcW w:w="0" w:type="dxa"/>
          </w:tcPr>
          <w:p w14:paraId="2A684E3A"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7E8DD1FF"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21</w:t>
            </w:r>
          </w:p>
        </w:tc>
      </w:tr>
      <w:tr w:rsidR="00F42D6A" w:rsidRPr="00625F56" w14:paraId="25E1BDBD" w14:textId="77777777" w:rsidTr="00B3383B">
        <w:trPr>
          <w:trHeight w:val="320"/>
        </w:trPr>
        <w:tc>
          <w:tcPr>
            <w:tcW w:w="3828" w:type="dxa"/>
            <w:noWrap/>
            <w:hideMark/>
          </w:tcPr>
          <w:p w14:paraId="1460D8A7"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T1.2 Tropical-subtropical dry forests and thickets</w:t>
            </w:r>
          </w:p>
        </w:tc>
        <w:tc>
          <w:tcPr>
            <w:tcW w:w="0" w:type="dxa"/>
          </w:tcPr>
          <w:p w14:paraId="62642FAB"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3885AB62"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7</w:t>
            </w:r>
          </w:p>
        </w:tc>
        <w:tc>
          <w:tcPr>
            <w:tcW w:w="0" w:type="dxa"/>
            <w:noWrap/>
            <w:hideMark/>
          </w:tcPr>
          <w:p w14:paraId="7B0C9688"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2CF7C7A2" w14:textId="77777777" w:rsidR="003D6BBD" w:rsidRPr="00B3383B" w:rsidRDefault="003D6BBD" w:rsidP="00A96B0B">
            <w:pPr>
              <w:rPr>
                <w:rFonts w:asciiTheme="majorBidi" w:hAnsiTheme="majorBidi" w:cstheme="majorBidi"/>
                <w:sz w:val="20"/>
                <w:szCs w:val="20"/>
                <w:lang w:val="en-GB"/>
              </w:rPr>
            </w:pPr>
          </w:p>
        </w:tc>
        <w:tc>
          <w:tcPr>
            <w:tcW w:w="0" w:type="dxa"/>
          </w:tcPr>
          <w:p w14:paraId="38B25ECE" w14:textId="77777777" w:rsidR="003D6BBD" w:rsidRPr="00B3383B" w:rsidRDefault="003D6BBD" w:rsidP="00A96B0B">
            <w:pPr>
              <w:rPr>
                <w:rFonts w:asciiTheme="majorBidi" w:hAnsiTheme="majorBidi" w:cstheme="majorBidi"/>
                <w:sz w:val="20"/>
                <w:szCs w:val="20"/>
                <w:lang w:val="en-GB"/>
              </w:rPr>
            </w:pPr>
          </w:p>
        </w:tc>
        <w:tc>
          <w:tcPr>
            <w:tcW w:w="0" w:type="dxa"/>
            <w:noWrap/>
            <w:hideMark/>
          </w:tcPr>
          <w:p w14:paraId="2DEBCD38" w14:textId="77777777" w:rsidR="003D6BBD" w:rsidRPr="00B3383B" w:rsidRDefault="003D6BBD" w:rsidP="00A96B0B">
            <w:pPr>
              <w:rPr>
                <w:rFonts w:asciiTheme="majorBidi" w:hAnsiTheme="majorBidi" w:cstheme="majorBidi"/>
                <w:sz w:val="20"/>
                <w:szCs w:val="20"/>
                <w:lang w:val="en-GB"/>
              </w:rPr>
            </w:pPr>
          </w:p>
        </w:tc>
        <w:tc>
          <w:tcPr>
            <w:tcW w:w="0" w:type="dxa"/>
          </w:tcPr>
          <w:p w14:paraId="4A2CA2A7"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2D68BB2F"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7</w:t>
            </w:r>
          </w:p>
        </w:tc>
      </w:tr>
      <w:tr w:rsidR="00F42D6A" w:rsidRPr="00625F56" w14:paraId="07FB6A00" w14:textId="77777777" w:rsidTr="00B3383B">
        <w:trPr>
          <w:trHeight w:val="320"/>
        </w:trPr>
        <w:tc>
          <w:tcPr>
            <w:tcW w:w="3828" w:type="dxa"/>
            <w:noWrap/>
            <w:hideMark/>
          </w:tcPr>
          <w:p w14:paraId="6038AFF5"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T1.3 Tropical-subtropical montane rainforests</w:t>
            </w:r>
          </w:p>
        </w:tc>
        <w:tc>
          <w:tcPr>
            <w:tcW w:w="0" w:type="dxa"/>
          </w:tcPr>
          <w:p w14:paraId="79C341F6"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52C67327"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noWrap/>
            <w:hideMark/>
          </w:tcPr>
          <w:p w14:paraId="223C7184"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noWrap/>
            <w:hideMark/>
          </w:tcPr>
          <w:p w14:paraId="03DBA056"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4</w:t>
            </w:r>
          </w:p>
        </w:tc>
        <w:tc>
          <w:tcPr>
            <w:tcW w:w="0" w:type="dxa"/>
          </w:tcPr>
          <w:p w14:paraId="1BA2AC61"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4ABBD45D"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6</w:t>
            </w:r>
          </w:p>
        </w:tc>
        <w:tc>
          <w:tcPr>
            <w:tcW w:w="0" w:type="dxa"/>
          </w:tcPr>
          <w:p w14:paraId="22CEC66F"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719F5136"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12</w:t>
            </w:r>
          </w:p>
        </w:tc>
      </w:tr>
      <w:tr w:rsidR="00F42D6A" w:rsidRPr="00625F56" w14:paraId="2E9D6F53" w14:textId="77777777" w:rsidTr="00B3383B">
        <w:trPr>
          <w:trHeight w:val="320"/>
        </w:trPr>
        <w:tc>
          <w:tcPr>
            <w:tcW w:w="3828" w:type="dxa"/>
            <w:noWrap/>
            <w:hideMark/>
          </w:tcPr>
          <w:p w14:paraId="531E2C55"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T1.4 Tropical heath forests</w:t>
            </w:r>
          </w:p>
        </w:tc>
        <w:tc>
          <w:tcPr>
            <w:tcW w:w="0" w:type="dxa"/>
          </w:tcPr>
          <w:p w14:paraId="4797AAC5"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207F2501"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48BB5E3F" w14:textId="77777777" w:rsidR="003D6BBD" w:rsidRPr="00B3383B" w:rsidRDefault="003D6BBD" w:rsidP="00A96B0B">
            <w:pPr>
              <w:rPr>
                <w:rFonts w:asciiTheme="majorBidi" w:hAnsiTheme="majorBidi" w:cstheme="majorBidi"/>
                <w:sz w:val="20"/>
                <w:szCs w:val="20"/>
                <w:lang w:val="en-GB"/>
              </w:rPr>
            </w:pPr>
          </w:p>
        </w:tc>
        <w:tc>
          <w:tcPr>
            <w:tcW w:w="0" w:type="dxa"/>
            <w:noWrap/>
            <w:hideMark/>
          </w:tcPr>
          <w:p w14:paraId="571B6A48"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2</w:t>
            </w:r>
          </w:p>
        </w:tc>
        <w:tc>
          <w:tcPr>
            <w:tcW w:w="0" w:type="dxa"/>
          </w:tcPr>
          <w:p w14:paraId="51C92C5D"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2DB7CE51"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tcPr>
          <w:p w14:paraId="7F72CDCB"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724DD2D0"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3</w:t>
            </w:r>
          </w:p>
        </w:tc>
      </w:tr>
      <w:tr w:rsidR="00F42D6A" w:rsidRPr="00625F56" w14:paraId="6143F410" w14:textId="77777777" w:rsidTr="00B3383B">
        <w:trPr>
          <w:trHeight w:val="320"/>
        </w:trPr>
        <w:tc>
          <w:tcPr>
            <w:tcW w:w="3828" w:type="dxa"/>
            <w:noWrap/>
            <w:hideMark/>
          </w:tcPr>
          <w:p w14:paraId="68C47D12"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T3.1 Seasonally dry tropical shrublands</w:t>
            </w:r>
          </w:p>
        </w:tc>
        <w:tc>
          <w:tcPr>
            <w:tcW w:w="0" w:type="dxa"/>
          </w:tcPr>
          <w:p w14:paraId="54FF050A"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567120E1"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4D07462F" w14:textId="77777777" w:rsidR="003D6BBD" w:rsidRPr="00B3383B" w:rsidRDefault="003D6BBD" w:rsidP="00A96B0B">
            <w:pPr>
              <w:rPr>
                <w:rFonts w:asciiTheme="majorBidi" w:hAnsiTheme="majorBidi" w:cstheme="majorBidi"/>
                <w:sz w:val="20"/>
                <w:szCs w:val="20"/>
                <w:lang w:val="en-GB"/>
              </w:rPr>
            </w:pPr>
          </w:p>
        </w:tc>
        <w:tc>
          <w:tcPr>
            <w:tcW w:w="0" w:type="dxa"/>
            <w:noWrap/>
            <w:hideMark/>
          </w:tcPr>
          <w:p w14:paraId="2B1C48E0" w14:textId="77777777" w:rsidR="003D6BBD" w:rsidRPr="00B3383B" w:rsidRDefault="003D6BBD" w:rsidP="00A96B0B">
            <w:pPr>
              <w:rPr>
                <w:rFonts w:asciiTheme="majorBidi" w:hAnsiTheme="majorBidi" w:cstheme="majorBidi"/>
                <w:sz w:val="20"/>
                <w:szCs w:val="20"/>
                <w:lang w:val="en-GB"/>
              </w:rPr>
            </w:pPr>
          </w:p>
        </w:tc>
        <w:tc>
          <w:tcPr>
            <w:tcW w:w="0" w:type="dxa"/>
          </w:tcPr>
          <w:p w14:paraId="77247E02"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4E02FB40"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2</w:t>
            </w:r>
          </w:p>
        </w:tc>
        <w:tc>
          <w:tcPr>
            <w:tcW w:w="0" w:type="dxa"/>
          </w:tcPr>
          <w:p w14:paraId="636DAF13"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01E24A2B"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2</w:t>
            </w:r>
          </w:p>
        </w:tc>
      </w:tr>
      <w:tr w:rsidR="00F42D6A" w:rsidRPr="00625F56" w14:paraId="3C94338A" w14:textId="77777777" w:rsidTr="00B3383B">
        <w:trPr>
          <w:trHeight w:val="320"/>
        </w:trPr>
        <w:tc>
          <w:tcPr>
            <w:tcW w:w="3828" w:type="dxa"/>
            <w:noWrap/>
            <w:hideMark/>
          </w:tcPr>
          <w:p w14:paraId="06F6FC9C"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T4.2 Pyric tussock savannas</w:t>
            </w:r>
          </w:p>
        </w:tc>
        <w:tc>
          <w:tcPr>
            <w:tcW w:w="0" w:type="dxa"/>
          </w:tcPr>
          <w:p w14:paraId="4C459B47"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2562CBE2"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5A3475D1"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5</w:t>
            </w:r>
          </w:p>
        </w:tc>
        <w:tc>
          <w:tcPr>
            <w:tcW w:w="0" w:type="dxa"/>
            <w:noWrap/>
            <w:hideMark/>
          </w:tcPr>
          <w:p w14:paraId="2998AF2A"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2</w:t>
            </w:r>
          </w:p>
        </w:tc>
        <w:tc>
          <w:tcPr>
            <w:tcW w:w="0" w:type="dxa"/>
          </w:tcPr>
          <w:p w14:paraId="6184A8BC"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394A2344"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4</w:t>
            </w:r>
          </w:p>
        </w:tc>
        <w:tc>
          <w:tcPr>
            <w:tcW w:w="0" w:type="dxa"/>
          </w:tcPr>
          <w:p w14:paraId="6C37C1EA"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32172286"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11</w:t>
            </w:r>
          </w:p>
        </w:tc>
      </w:tr>
      <w:tr w:rsidR="00F42D6A" w:rsidRPr="00625F56" w14:paraId="3819EEAB" w14:textId="77777777" w:rsidTr="00B3383B">
        <w:trPr>
          <w:trHeight w:val="320"/>
        </w:trPr>
        <w:tc>
          <w:tcPr>
            <w:tcW w:w="3828" w:type="dxa"/>
            <w:noWrap/>
            <w:hideMark/>
          </w:tcPr>
          <w:p w14:paraId="1C8A0C34"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T5.2 Thorny deserts and semi-deserts</w:t>
            </w:r>
          </w:p>
        </w:tc>
        <w:tc>
          <w:tcPr>
            <w:tcW w:w="0" w:type="dxa"/>
          </w:tcPr>
          <w:p w14:paraId="7702DCE9"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43E1D56C"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2</w:t>
            </w:r>
          </w:p>
        </w:tc>
        <w:tc>
          <w:tcPr>
            <w:tcW w:w="0" w:type="dxa"/>
            <w:noWrap/>
            <w:hideMark/>
          </w:tcPr>
          <w:p w14:paraId="49C576F6"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37719655" w14:textId="77777777" w:rsidR="003D6BBD" w:rsidRPr="00B3383B" w:rsidRDefault="003D6BBD" w:rsidP="00A96B0B">
            <w:pPr>
              <w:rPr>
                <w:rFonts w:asciiTheme="majorBidi" w:hAnsiTheme="majorBidi" w:cstheme="majorBidi"/>
                <w:sz w:val="20"/>
                <w:szCs w:val="20"/>
                <w:lang w:val="en-GB"/>
              </w:rPr>
            </w:pPr>
          </w:p>
        </w:tc>
        <w:tc>
          <w:tcPr>
            <w:tcW w:w="0" w:type="dxa"/>
          </w:tcPr>
          <w:p w14:paraId="1BA101FD"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0AD608DA"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tcPr>
          <w:p w14:paraId="501E40AD"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33A41081"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3</w:t>
            </w:r>
          </w:p>
        </w:tc>
      </w:tr>
      <w:tr w:rsidR="00F42D6A" w:rsidRPr="00625F56" w14:paraId="27A12FF5" w14:textId="77777777" w:rsidTr="00B3383B">
        <w:trPr>
          <w:trHeight w:val="320"/>
        </w:trPr>
        <w:tc>
          <w:tcPr>
            <w:tcW w:w="3828" w:type="dxa"/>
            <w:noWrap/>
            <w:hideMark/>
          </w:tcPr>
          <w:p w14:paraId="55E5ECBD"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T6.5 Tropical alpine grasslands and shrublands</w:t>
            </w:r>
          </w:p>
        </w:tc>
        <w:tc>
          <w:tcPr>
            <w:tcW w:w="0" w:type="dxa"/>
          </w:tcPr>
          <w:p w14:paraId="70B7E799"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5A3CC9B9"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6913A2D5"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noWrap/>
            <w:hideMark/>
          </w:tcPr>
          <w:p w14:paraId="315AC369"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2</w:t>
            </w:r>
          </w:p>
        </w:tc>
        <w:tc>
          <w:tcPr>
            <w:tcW w:w="0" w:type="dxa"/>
          </w:tcPr>
          <w:p w14:paraId="02075A8E"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6F29B108"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tcPr>
          <w:p w14:paraId="2D7969A2"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25D641A5"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4</w:t>
            </w:r>
          </w:p>
        </w:tc>
      </w:tr>
      <w:tr w:rsidR="00F42D6A" w:rsidRPr="00625F56" w14:paraId="73CE7B38" w14:textId="77777777" w:rsidTr="00B3383B">
        <w:trPr>
          <w:trHeight w:val="320"/>
        </w:trPr>
        <w:tc>
          <w:tcPr>
            <w:tcW w:w="3828" w:type="dxa"/>
            <w:noWrap/>
            <w:hideMark/>
          </w:tcPr>
          <w:p w14:paraId="6DB99BC0"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TF1.1 Tropical flooded forests and peat forests</w:t>
            </w:r>
          </w:p>
        </w:tc>
        <w:tc>
          <w:tcPr>
            <w:tcW w:w="0" w:type="dxa"/>
          </w:tcPr>
          <w:p w14:paraId="0498F51D"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7AFFFD6C"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noWrap/>
            <w:hideMark/>
          </w:tcPr>
          <w:p w14:paraId="49AA18A9"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2</w:t>
            </w:r>
          </w:p>
        </w:tc>
        <w:tc>
          <w:tcPr>
            <w:tcW w:w="0" w:type="dxa"/>
            <w:noWrap/>
            <w:hideMark/>
          </w:tcPr>
          <w:p w14:paraId="1D80F220"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3</w:t>
            </w:r>
          </w:p>
        </w:tc>
        <w:tc>
          <w:tcPr>
            <w:tcW w:w="0" w:type="dxa"/>
          </w:tcPr>
          <w:p w14:paraId="76D56A39"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7458FA2D"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4</w:t>
            </w:r>
          </w:p>
        </w:tc>
        <w:tc>
          <w:tcPr>
            <w:tcW w:w="0" w:type="dxa"/>
          </w:tcPr>
          <w:p w14:paraId="148278BA"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6C5E2C18"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10</w:t>
            </w:r>
          </w:p>
        </w:tc>
      </w:tr>
      <w:tr w:rsidR="00F42D6A" w:rsidRPr="00625F56" w14:paraId="29B75887" w14:textId="77777777" w:rsidTr="00B3383B">
        <w:trPr>
          <w:trHeight w:val="320"/>
        </w:trPr>
        <w:tc>
          <w:tcPr>
            <w:tcW w:w="3828" w:type="dxa"/>
            <w:noWrap/>
            <w:hideMark/>
          </w:tcPr>
          <w:p w14:paraId="5359FFC4"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TF1.4 Seasonal floodplain marshes</w:t>
            </w:r>
          </w:p>
        </w:tc>
        <w:tc>
          <w:tcPr>
            <w:tcW w:w="0" w:type="dxa"/>
          </w:tcPr>
          <w:p w14:paraId="3EB5D5C0"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60D5EE88"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4</w:t>
            </w:r>
          </w:p>
        </w:tc>
        <w:tc>
          <w:tcPr>
            <w:tcW w:w="0" w:type="dxa"/>
            <w:noWrap/>
            <w:hideMark/>
          </w:tcPr>
          <w:p w14:paraId="0A2CB1B3"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6FA9CEC8" w14:textId="77777777" w:rsidR="003D6BBD" w:rsidRPr="00B3383B" w:rsidRDefault="003D6BBD" w:rsidP="00A96B0B">
            <w:pPr>
              <w:rPr>
                <w:rFonts w:asciiTheme="majorBidi" w:hAnsiTheme="majorBidi" w:cstheme="majorBidi"/>
                <w:sz w:val="20"/>
                <w:szCs w:val="20"/>
                <w:lang w:val="en-GB"/>
              </w:rPr>
            </w:pPr>
          </w:p>
        </w:tc>
        <w:tc>
          <w:tcPr>
            <w:tcW w:w="0" w:type="dxa"/>
          </w:tcPr>
          <w:p w14:paraId="606EB5AE" w14:textId="77777777" w:rsidR="003D6BBD" w:rsidRPr="00B3383B" w:rsidRDefault="003D6BBD" w:rsidP="00A96B0B">
            <w:pPr>
              <w:rPr>
                <w:rFonts w:asciiTheme="majorBidi" w:hAnsiTheme="majorBidi" w:cstheme="majorBidi"/>
                <w:sz w:val="20"/>
                <w:szCs w:val="20"/>
                <w:lang w:val="en-GB"/>
              </w:rPr>
            </w:pPr>
          </w:p>
        </w:tc>
        <w:tc>
          <w:tcPr>
            <w:tcW w:w="0" w:type="dxa"/>
            <w:noWrap/>
            <w:hideMark/>
          </w:tcPr>
          <w:p w14:paraId="123CCB20" w14:textId="77777777" w:rsidR="003D6BBD" w:rsidRPr="00B3383B" w:rsidRDefault="003D6BBD" w:rsidP="00A96B0B">
            <w:pPr>
              <w:rPr>
                <w:rFonts w:asciiTheme="majorBidi" w:hAnsiTheme="majorBidi" w:cstheme="majorBidi"/>
                <w:sz w:val="20"/>
                <w:szCs w:val="20"/>
                <w:lang w:val="en-GB"/>
              </w:rPr>
            </w:pPr>
          </w:p>
        </w:tc>
        <w:tc>
          <w:tcPr>
            <w:tcW w:w="0" w:type="dxa"/>
          </w:tcPr>
          <w:p w14:paraId="41494837"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33644BA9"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4</w:t>
            </w:r>
          </w:p>
        </w:tc>
      </w:tr>
      <w:tr w:rsidR="00F42D6A" w:rsidRPr="00625F56" w14:paraId="1687B440" w14:textId="77777777" w:rsidTr="00B3383B">
        <w:trPr>
          <w:trHeight w:val="320"/>
        </w:trPr>
        <w:tc>
          <w:tcPr>
            <w:tcW w:w="3828" w:type="dxa"/>
            <w:noWrap/>
            <w:hideMark/>
          </w:tcPr>
          <w:p w14:paraId="79CC0D7A"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TF1.5 Episodic arid floodplains</w:t>
            </w:r>
          </w:p>
        </w:tc>
        <w:tc>
          <w:tcPr>
            <w:tcW w:w="0" w:type="dxa"/>
          </w:tcPr>
          <w:p w14:paraId="242E0ABE"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155ED399"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noWrap/>
            <w:hideMark/>
          </w:tcPr>
          <w:p w14:paraId="71E84D60"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77ED4FF0" w14:textId="77777777" w:rsidR="003D6BBD" w:rsidRPr="00B3383B" w:rsidRDefault="003D6BBD" w:rsidP="00A96B0B">
            <w:pPr>
              <w:rPr>
                <w:rFonts w:asciiTheme="majorBidi" w:hAnsiTheme="majorBidi" w:cstheme="majorBidi"/>
                <w:sz w:val="20"/>
                <w:szCs w:val="20"/>
                <w:lang w:val="en-GB"/>
              </w:rPr>
            </w:pPr>
          </w:p>
        </w:tc>
        <w:tc>
          <w:tcPr>
            <w:tcW w:w="0" w:type="dxa"/>
          </w:tcPr>
          <w:p w14:paraId="662091F6" w14:textId="77777777" w:rsidR="003D6BBD" w:rsidRPr="00B3383B" w:rsidRDefault="003D6BBD" w:rsidP="00A96B0B">
            <w:pPr>
              <w:rPr>
                <w:rFonts w:asciiTheme="majorBidi" w:hAnsiTheme="majorBidi" w:cstheme="majorBidi"/>
                <w:sz w:val="20"/>
                <w:szCs w:val="20"/>
                <w:lang w:val="en-GB"/>
              </w:rPr>
            </w:pPr>
          </w:p>
        </w:tc>
        <w:tc>
          <w:tcPr>
            <w:tcW w:w="0" w:type="dxa"/>
            <w:noWrap/>
            <w:hideMark/>
          </w:tcPr>
          <w:p w14:paraId="0A8C7A3D" w14:textId="77777777" w:rsidR="003D6BBD" w:rsidRPr="00B3383B" w:rsidRDefault="003D6BBD" w:rsidP="00A96B0B">
            <w:pPr>
              <w:rPr>
                <w:rFonts w:asciiTheme="majorBidi" w:hAnsiTheme="majorBidi" w:cstheme="majorBidi"/>
                <w:sz w:val="20"/>
                <w:szCs w:val="20"/>
                <w:lang w:val="en-GB"/>
              </w:rPr>
            </w:pPr>
          </w:p>
        </w:tc>
        <w:tc>
          <w:tcPr>
            <w:tcW w:w="0" w:type="dxa"/>
          </w:tcPr>
          <w:p w14:paraId="4A3A30E7"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3572F758"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r>
      <w:tr w:rsidR="00F42D6A" w:rsidRPr="00625F56" w14:paraId="71CC6A89" w14:textId="77777777" w:rsidTr="00B3383B">
        <w:trPr>
          <w:trHeight w:val="320"/>
        </w:trPr>
        <w:tc>
          <w:tcPr>
            <w:tcW w:w="3828" w:type="dxa"/>
            <w:noWrap/>
            <w:hideMark/>
          </w:tcPr>
          <w:p w14:paraId="6F1AC773"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MFT1.2 Intertidal forests and shrublands</w:t>
            </w:r>
          </w:p>
        </w:tc>
        <w:tc>
          <w:tcPr>
            <w:tcW w:w="0" w:type="dxa"/>
          </w:tcPr>
          <w:p w14:paraId="71627C90"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6A518ED4"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55E15838"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noWrap/>
            <w:hideMark/>
          </w:tcPr>
          <w:p w14:paraId="41024A30" w14:textId="77777777" w:rsidR="003D6BBD" w:rsidRPr="00B3383B" w:rsidRDefault="003D6BBD" w:rsidP="00A96B0B">
            <w:pPr>
              <w:rPr>
                <w:rFonts w:asciiTheme="majorBidi" w:hAnsiTheme="majorBidi" w:cstheme="majorBidi"/>
                <w:color w:val="000000"/>
                <w:sz w:val="20"/>
                <w:szCs w:val="20"/>
                <w:lang w:val="en-GB"/>
              </w:rPr>
            </w:pPr>
          </w:p>
        </w:tc>
        <w:tc>
          <w:tcPr>
            <w:tcW w:w="0" w:type="dxa"/>
          </w:tcPr>
          <w:p w14:paraId="0FE4F838"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5E133B95"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1</w:t>
            </w:r>
          </w:p>
        </w:tc>
        <w:tc>
          <w:tcPr>
            <w:tcW w:w="0" w:type="dxa"/>
          </w:tcPr>
          <w:p w14:paraId="22E1A8A9" w14:textId="77777777" w:rsidR="003D6BBD" w:rsidRPr="00B3383B" w:rsidRDefault="003D6BBD" w:rsidP="00A96B0B">
            <w:pPr>
              <w:rPr>
                <w:rFonts w:asciiTheme="majorBidi" w:hAnsiTheme="majorBidi" w:cstheme="majorBidi"/>
                <w:color w:val="000000"/>
                <w:sz w:val="20"/>
                <w:szCs w:val="20"/>
                <w:lang w:val="en-GB"/>
              </w:rPr>
            </w:pPr>
          </w:p>
        </w:tc>
        <w:tc>
          <w:tcPr>
            <w:tcW w:w="0" w:type="dxa"/>
            <w:noWrap/>
            <w:hideMark/>
          </w:tcPr>
          <w:p w14:paraId="46101397" w14:textId="77777777" w:rsidR="003D6BBD" w:rsidRPr="00B3383B" w:rsidRDefault="003D6BBD" w:rsidP="00A96B0B">
            <w:pPr>
              <w:rPr>
                <w:rFonts w:asciiTheme="majorBidi" w:hAnsiTheme="majorBidi" w:cstheme="majorBidi"/>
                <w:color w:val="000000"/>
                <w:sz w:val="20"/>
                <w:szCs w:val="20"/>
                <w:lang w:val="en-GB"/>
              </w:rPr>
            </w:pPr>
            <w:r w:rsidRPr="00B3383B">
              <w:rPr>
                <w:rFonts w:asciiTheme="majorBidi" w:hAnsiTheme="majorBidi" w:cstheme="majorBidi"/>
                <w:color w:val="000000"/>
                <w:sz w:val="20"/>
                <w:szCs w:val="20"/>
                <w:lang w:val="en-GB"/>
              </w:rPr>
              <w:t>2</w:t>
            </w:r>
          </w:p>
        </w:tc>
      </w:tr>
    </w:tbl>
    <w:p w14:paraId="4A1FEC13" w14:textId="77777777" w:rsidR="003D6BBD" w:rsidRPr="00ED7E61" w:rsidRDefault="003D6BBD" w:rsidP="003D6BBD">
      <w:pPr>
        <w:rPr>
          <w:rFonts w:asciiTheme="majorBidi" w:hAnsiTheme="majorBidi" w:cstheme="majorBidi"/>
          <w:sz w:val="22"/>
          <w:szCs w:val="22"/>
          <w:lang w:val="en-GB"/>
        </w:rPr>
      </w:pPr>
    </w:p>
    <w:p w14:paraId="45B07ABB" w14:textId="77777777" w:rsidR="003D6BBD" w:rsidRPr="00ED7E61" w:rsidRDefault="003D6BBD" w:rsidP="003D6BBD">
      <w:pPr>
        <w:rPr>
          <w:rFonts w:asciiTheme="majorBidi" w:hAnsiTheme="majorBidi" w:cstheme="majorBidi"/>
          <w:i/>
          <w:iCs/>
          <w:color w:val="000000" w:themeColor="text1"/>
          <w:sz w:val="22"/>
          <w:szCs w:val="22"/>
        </w:rPr>
      </w:pPr>
      <w:r w:rsidRPr="00ED7E61">
        <w:rPr>
          <w:rFonts w:asciiTheme="majorBidi" w:hAnsiTheme="majorBidi" w:cstheme="majorBidi"/>
          <w:i/>
          <w:iCs/>
          <w:color w:val="000000" w:themeColor="text1"/>
          <w:sz w:val="22"/>
          <w:szCs w:val="22"/>
        </w:rPr>
        <w:t>A2 extent of natural ecosystems</w:t>
      </w:r>
    </w:p>
    <w:p w14:paraId="476FF5C1" w14:textId="7D0A14C0" w:rsidR="003D6BBD" w:rsidRPr="00B3383B" w:rsidRDefault="003D6BBD" w:rsidP="00B3383B">
      <w:pPr>
        <w:pStyle w:val="CBDNormalNumber"/>
        <w:rPr>
          <w:rFonts w:asciiTheme="majorBidi" w:hAnsiTheme="majorBidi" w:cstheme="majorBidi"/>
        </w:rPr>
      </w:pPr>
      <w:r w:rsidRPr="00A70CA5">
        <w:t>Headline indicator A2 extent of natural ecosystems tracks change in the area of natural</w:t>
      </w:r>
      <w:r w:rsidR="00D019A1" w:rsidRPr="00A70CA5">
        <w:t xml:space="preserve"> and semi-natural</w:t>
      </w:r>
      <w:r w:rsidRPr="00A70CA5">
        <w:t xml:space="preserve"> ecosystem types through time. </w:t>
      </w:r>
      <w:r w:rsidR="00D019A1" w:rsidRPr="00A70CA5">
        <w:t>It is based on the System of Environmental-Economic Accounting -Ecosystem Accounting and also uses level 3 of GET for reporting thus data on A.1 and A.2 can be analysed together for an assessment of ecosystems. (e.g. Colombia</w:t>
      </w:r>
      <w:r w:rsidR="00C313E5" w:rsidRPr="00A70CA5">
        <w:t xml:space="preserve"> (Etter et</w:t>
      </w:r>
      <w:r w:rsidR="006B67E3">
        <w:t xml:space="preserve"> </w:t>
      </w:r>
      <w:r w:rsidR="00C313E5" w:rsidRPr="00A70CA5">
        <w:t>al</w:t>
      </w:r>
      <w:r w:rsidR="00442544">
        <w:t>.</w:t>
      </w:r>
      <w:r w:rsidR="00C313E5" w:rsidRPr="00A70CA5">
        <w:t xml:space="preserve"> 2020)</w:t>
      </w:r>
      <w:r w:rsidR="00D019A1" w:rsidRPr="00A70CA5">
        <w:t>, Table 3).</w:t>
      </w:r>
    </w:p>
    <w:p w14:paraId="41BA85F0" w14:textId="32F3CC63" w:rsidR="0081065B" w:rsidRPr="00ED7E61" w:rsidRDefault="0081065B" w:rsidP="00B3383B">
      <w:pPr>
        <w:keepNext/>
        <w:ind w:left="567"/>
        <w:rPr>
          <w:rFonts w:asciiTheme="majorBidi" w:hAnsiTheme="majorBidi" w:cstheme="majorBidi"/>
          <w:b/>
          <w:bCs/>
          <w:i/>
          <w:iCs/>
          <w:sz w:val="22"/>
          <w:szCs w:val="22"/>
          <w:lang w:val="en-GB"/>
        </w:rPr>
      </w:pPr>
      <w:r w:rsidRPr="00B3383B">
        <w:rPr>
          <w:rFonts w:asciiTheme="majorBidi" w:hAnsiTheme="majorBidi" w:cstheme="majorBidi"/>
          <w:sz w:val="22"/>
          <w:szCs w:val="22"/>
          <w:lang w:val="en-GB"/>
        </w:rPr>
        <w:t>Table 4</w:t>
      </w:r>
      <w:r w:rsidRPr="00ED7E61">
        <w:rPr>
          <w:rFonts w:asciiTheme="majorBidi" w:hAnsiTheme="majorBidi" w:cstheme="majorBidi"/>
          <w:b/>
          <w:bCs/>
          <w:i/>
          <w:iCs/>
          <w:sz w:val="22"/>
          <w:szCs w:val="22"/>
          <w:lang w:val="en-GB"/>
        </w:rPr>
        <w:t xml:space="preserve"> </w:t>
      </w:r>
      <w:r w:rsidR="003C74C9">
        <w:rPr>
          <w:rFonts w:asciiTheme="majorBidi" w:hAnsiTheme="majorBidi" w:cstheme="majorBidi"/>
          <w:b/>
          <w:bCs/>
          <w:i/>
          <w:iCs/>
          <w:sz w:val="22"/>
          <w:szCs w:val="22"/>
          <w:lang w:val="en-GB"/>
        </w:rPr>
        <w:br/>
      </w:r>
      <w:r w:rsidRPr="00B3383B">
        <w:rPr>
          <w:rFonts w:asciiTheme="majorBidi" w:hAnsiTheme="majorBidi" w:cstheme="majorBidi"/>
          <w:b/>
          <w:bCs/>
          <w:sz w:val="22"/>
          <w:szCs w:val="22"/>
          <w:lang w:val="en-GB"/>
        </w:rPr>
        <w:t>An example of the type of data required for reporting A2 on extent of natural ecosystems, shown for South Africa’s terrestrial ecosystems</w:t>
      </w:r>
    </w:p>
    <w:p w14:paraId="36C9707D" w14:textId="77777777" w:rsidR="0081065B" w:rsidRPr="00ED7E61" w:rsidRDefault="0081065B" w:rsidP="0081065B">
      <w:pPr>
        <w:rPr>
          <w:rFonts w:asciiTheme="majorBidi" w:hAnsiTheme="majorBidi" w:cstheme="majorBidi"/>
          <w:b/>
          <w:bCs/>
          <w:i/>
          <w:iCs/>
          <w:sz w:val="22"/>
          <w:szCs w:val="22"/>
          <w:lang w:val="en-AU"/>
        </w:rPr>
      </w:pPr>
    </w:p>
    <w:tbl>
      <w:tblPr>
        <w:tblW w:w="8647" w:type="dxa"/>
        <w:tblInd w:w="562" w:type="dxa"/>
        <w:tblLook w:val="04A0" w:firstRow="1" w:lastRow="0" w:firstColumn="1" w:lastColumn="0" w:noHBand="0" w:noVBand="1"/>
      </w:tblPr>
      <w:tblGrid>
        <w:gridCol w:w="4358"/>
        <w:gridCol w:w="980"/>
        <w:gridCol w:w="1000"/>
        <w:gridCol w:w="1000"/>
        <w:gridCol w:w="1309"/>
      </w:tblGrid>
      <w:tr w:rsidR="0081065B" w:rsidRPr="00933B63" w14:paraId="5163849D" w14:textId="77777777" w:rsidTr="00B3383B">
        <w:trPr>
          <w:trHeight w:val="300"/>
        </w:trPr>
        <w:tc>
          <w:tcPr>
            <w:tcW w:w="4358" w:type="dxa"/>
            <w:tcBorders>
              <w:top w:val="single" w:sz="4" w:space="0" w:color="auto"/>
              <w:left w:val="single" w:sz="4" w:space="0" w:color="auto"/>
              <w:bottom w:val="single" w:sz="4" w:space="0" w:color="auto"/>
              <w:right w:val="single" w:sz="4" w:space="0" w:color="auto"/>
            </w:tcBorders>
            <w:noWrap/>
            <w:vAlign w:val="center"/>
            <w:hideMark/>
          </w:tcPr>
          <w:p w14:paraId="68ED3477" w14:textId="77777777" w:rsidR="0081065B" w:rsidRPr="00B3383B" w:rsidRDefault="0081065B" w:rsidP="0081065B">
            <w:pPr>
              <w:rPr>
                <w:rFonts w:asciiTheme="majorBidi" w:hAnsiTheme="majorBidi" w:cstheme="majorBidi"/>
                <w:i/>
                <w:iCs/>
                <w:sz w:val="20"/>
                <w:szCs w:val="20"/>
                <w:lang w:val="en-AU"/>
              </w:rPr>
            </w:pPr>
            <w:r w:rsidRPr="00B3383B">
              <w:rPr>
                <w:rFonts w:asciiTheme="majorBidi" w:hAnsiTheme="majorBidi" w:cstheme="majorBidi"/>
                <w:i/>
                <w:iCs/>
                <w:sz w:val="20"/>
                <w:szCs w:val="20"/>
                <w:lang w:val="en-GB"/>
              </w:rPr>
              <w:t>Ecosystem Functional Group</w:t>
            </w:r>
          </w:p>
        </w:tc>
        <w:tc>
          <w:tcPr>
            <w:tcW w:w="4289" w:type="dxa"/>
            <w:gridSpan w:val="4"/>
            <w:tcBorders>
              <w:top w:val="single" w:sz="4" w:space="0" w:color="auto"/>
              <w:left w:val="nil"/>
              <w:bottom w:val="single" w:sz="4" w:space="0" w:color="auto"/>
              <w:right w:val="single" w:sz="4" w:space="0" w:color="auto"/>
            </w:tcBorders>
            <w:noWrap/>
            <w:vAlign w:val="bottom"/>
            <w:hideMark/>
          </w:tcPr>
          <w:p w14:paraId="6F0296E3" w14:textId="77777777" w:rsidR="0081065B" w:rsidRPr="00B3383B" w:rsidRDefault="0081065B" w:rsidP="0081065B">
            <w:pPr>
              <w:rPr>
                <w:rFonts w:asciiTheme="majorBidi" w:hAnsiTheme="majorBidi" w:cstheme="majorBidi"/>
                <w:i/>
                <w:iCs/>
                <w:sz w:val="20"/>
                <w:szCs w:val="20"/>
                <w:lang w:val="en-AU"/>
              </w:rPr>
            </w:pPr>
            <w:r w:rsidRPr="00B3383B">
              <w:rPr>
                <w:rFonts w:asciiTheme="majorBidi" w:hAnsiTheme="majorBidi" w:cstheme="majorBidi"/>
                <w:i/>
                <w:iCs/>
                <w:sz w:val="20"/>
                <w:szCs w:val="20"/>
                <w:lang w:val="en-GB"/>
              </w:rPr>
              <w:t>Extent of EFGs (km</w:t>
            </w:r>
            <w:r w:rsidRPr="00B3383B">
              <w:rPr>
                <w:rFonts w:asciiTheme="majorBidi" w:hAnsiTheme="majorBidi" w:cstheme="majorBidi"/>
                <w:i/>
                <w:iCs/>
                <w:sz w:val="20"/>
                <w:szCs w:val="20"/>
                <w:vertAlign w:val="superscript"/>
                <w:lang w:val="en-GB"/>
              </w:rPr>
              <w:t>2</w:t>
            </w:r>
            <w:r w:rsidRPr="00B3383B">
              <w:rPr>
                <w:rFonts w:asciiTheme="majorBidi" w:hAnsiTheme="majorBidi" w:cstheme="majorBidi"/>
                <w:i/>
                <w:iCs/>
                <w:sz w:val="20"/>
                <w:szCs w:val="20"/>
                <w:lang w:val="en-GB"/>
              </w:rPr>
              <w:t>)</w:t>
            </w:r>
          </w:p>
        </w:tc>
      </w:tr>
      <w:tr w:rsidR="0081065B" w:rsidRPr="00933B63" w14:paraId="680E81F1" w14:textId="77777777" w:rsidTr="00B3383B">
        <w:trPr>
          <w:trHeight w:val="300"/>
        </w:trPr>
        <w:tc>
          <w:tcPr>
            <w:tcW w:w="4358" w:type="dxa"/>
            <w:tcBorders>
              <w:top w:val="single" w:sz="4" w:space="0" w:color="auto"/>
              <w:left w:val="single" w:sz="4" w:space="0" w:color="auto"/>
              <w:bottom w:val="single" w:sz="4" w:space="0" w:color="auto"/>
              <w:right w:val="single" w:sz="4" w:space="0" w:color="auto"/>
            </w:tcBorders>
            <w:noWrap/>
            <w:vAlign w:val="center"/>
            <w:hideMark/>
          </w:tcPr>
          <w:p w14:paraId="71E36881"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AU"/>
              </w:rPr>
              <w:t> </w:t>
            </w:r>
          </w:p>
        </w:tc>
        <w:tc>
          <w:tcPr>
            <w:tcW w:w="980" w:type="dxa"/>
            <w:tcBorders>
              <w:top w:val="single" w:sz="4" w:space="0" w:color="auto"/>
              <w:left w:val="nil"/>
              <w:bottom w:val="single" w:sz="4" w:space="0" w:color="auto"/>
              <w:right w:val="single" w:sz="4" w:space="0" w:color="auto"/>
            </w:tcBorders>
            <w:noWrap/>
            <w:vAlign w:val="bottom"/>
            <w:hideMark/>
          </w:tcPr>
          <w:p w14:paraId="3C2D052A" w14:textId="77777777" w:rsidR="0081065B" w:rsidRPr="00B3383B" w:rsidRDefault="0081065B" w:rsidP="00FB1598">
            <w:pPr>
              <w:jc w:val="center"/>
              <w:rPr>
                <w:rFonts w:asciiTheme="majorBidi" w:hAnsiTheme="majorBidi" w:cstheme="majorBidi"/>
                <w:sz w:val="20"/>
                <w:szCs w:val="20"/>
                <w:lang w:val="en-AU"/>
              </w:rPr>
            </w:pPr>
            <w:r w:rsidRPr="00B3383B">
              <w:rPr>
                <w:rFonts w:asciiTheme="majorBidi" w:hAnsiTheme="majorBidi" w:cstheme="majorBidi"/>
                <w:sz w:val="20"/>
                <w:szCs w:val="20"/>
                <w:lang w:val="en-AU"/>
              </w:rPr>
              <w:t>1750</w:t>
            </w:r>
          </w:p>
        </w:tc>
        <w:tc>
          <w:tcPr>
            <w:tcW w:w="1000" w:type="dxa"/>
            <w:tcBorders>
              <w:top w:val="single" w:sz="4" w:space="0" w:color="auto"/>
              <w:left w:val="nil"/>
              <w:bottom w:val="single" w:sz="4" w:space="0" w:color="auto"/>
              <w:right w:val="single" w:sz="4" w:space="0" w:color="auto"/>
            </w:tcBorders>
            <w:noWrap/>
            <w:vAlign w:val="bottom"/>
            <w:hideMark/>
          </w:tcPr>
          <w:p w14:paraId="262BF01B" w14:textId="77777777" w:rsidR="0081065B" w:rsidRPr="00B3383B" w:rsidRDefault="0081065B" w:rsidP="00FB1598">
            <w:pPr>
              <w:jc w:val="center"/>
              <w:rPr>
                <w:rFonts w:asciiTheme="majorBidi" w:hAnsiTheme="majorBidi" w:cstheme="majorBidi"/>
                <w:sz w:val="20"/>
                <w:szCs w:val="20"/>
                <w:lang w:val="en-AU"/>
              </w:rPr>
            </w:pPr>
            <w:r w:rsidRPr="00B3383B">
              <w:rPr>
                <w:rFonts w:asciiTheme="majorBidi" w:hAnsiTheme="majorBidi" w:cstheme="majorBidi"/>
                <w:sz w:val="20"/>
                <w:szCs w:val="20"/>
                <w:lang w:val="en-AU"/>
              </w:rPr>
              <w:t>1990</w:t>
            </w:r>
          </w:p>
        </w:tc>
        <w:tc>
          <w:tcPr>
            <w:tcW w:w="1000" w:type="dxa"/>
            <w:tcBorders>
              <w:top w:val="single" w:sz="4" w:space="0" w:color="auto"/>
              <w:left w:val="nil"/>
              <w:bottom w:val="single" w:sz="4" w:space="0" w:color="auto"/>
              <w:right w:val="single" w:sz="4" w:space="0" w:color="auto"/>
            </w:tcBorders>
            <w:noWrap/>
            <w:vAlign w:val="bottom"/>
            <w:hideMark/>
          </w:tcPr>
          <w:p w14:paraId="7EA6F919" w14:textId="77777777" w:rsidR="0081065B" w:rsidRPr="00B3383B" w:rsidRDefault="0081065B" w:rsidP="00FB1598">
            <w:pPr>
              <w:jc w:val="center"/>
              <w:rPr>
                <w:rFonts w:asciiTheme="majorBidi" w:hAnsiTheme="majorBidi" w:cstheme="majorBidi"/>
                <w:sz w:val="20"/>
                <w:szCs w:val="20"/>
                <w:lang w:val="en-AU"/>
              </w:rPr>
            </w:pPr>
            <w:r w:rsidRPr="00B3383B">
              <w:rPr>
                <w:rFonts w:asciiTheme="majorBidi" w:hAnsiTheme="majorBidi" w:cstheme="majorBidi"/>
                <w:sz w:val="20"/>
                <w:szCs w:val="20"/>
                <w:lang w:val="en-AU"/>
              </w:rPr>
              <w:t>2014</w:t>
            </w:r>
          </w:p>
        </w:tc>
        <w:tc>
          <w:tcPr>
            <w:tcW w:w="1309" w:type="dxa"/>
            <w:tcBorders>
              <w:top w:val="single" w:sz="4" w:space="0" w:color="auto"/>
              <w:left w:val="nil"/>
              <w:bottom w:val="single" w:sz="4" w:space="0" w:color="auto"/>
              <w:right w:val="single" w:sz="4" w:space="0" w:color="auto"/>
            </w:tcBorders>
            <w:noWrap/>
            <w:vAlign w:val="bottom"/>
            <w:hideMark/>
          </w:tcPr>
          <w:p w14:paraId="66AF243F" w14:textId="77777777" w:rsidR="0081065B" w:rsidRPr="00B3383B" w:rsidRDefault="0081065B" w:rsidP="00FB1598">
            <w:pPr>
              <w:jc w:val="center"/>
              <w:rPr>
                <w:rFonts w:asciiTheme="majorBidi" w:hAnsiTheme="majorBidi" w:cstheme="majorBidi"/>
                <w:sz w:val="20"/>
                <w:szCs w:val="20"/>
                <w:lang w:val="en-AU"/>
              </w:rPr>
            </w:pPr>
            <w:r w:rsidRPr="00B3383B">
              <w:rPr>
                <w:rFonts w:asciiTheme="majorBidi" w:hAnsiTheme="majorBidi" w:cstheme="majorBidi"/>
                <w:sz w:val="20"/>
                <w:szCs w:val="20"/>
                <w:lang w:val="en-AU"/>
              </w:rPr>
              <w:t>2022</w:t>
            </w:r>
          </w:p>
        </w:tc>
      </w:tr>
      <w:tr w:rsidR="0081065B" w:rsidRPr="00933B63" w14:paraId="68EF10DF"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0F9BDA76"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GB"/>
              </w:rPr>
              <w:t>T1.2 Tropical-subtropical dry forests and thickets</w:t>
            </w:r>
          </w:p>
        </w:tc>
        <w:tc>
          <w:tcPr>
            <w:tcW w:w="980" w:type="dxa"/>
            <w:tcBorders>
              <w:top w:val="nil"/>
              <w:left w:val="nil"/>
              <w:bottom w:val="single" w:sz="4" w:space="0" w:color="auto"/>
              <w:right w:val="single" w:sz="4" w:space="0" w:color="auto"/>
            </w:tcBorders>
            <w:noWrap/>
            <w:vAlign w:val="bottom"/>
            <w:hideMark/>
          </w:tcPr>
          <w:p w14:paraId="6918A786" w14:textId="3F81C189"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36</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084</w:t>
            </w:r>
          </w:p>
        </w:tc>
        <w:tc>
          <w:tcPr>
            <w:tcW w:w="1000" w:type="dxa"/>
            <w:tcBorders>
              <w:top w:val="nil"/>
              <w:left w:val="nil"/>
              <w:bottom w:val="single" w:sz="4" w:space="0" w:color="auto"/>
              <w:right w:val="single" w:sz="4" w:space="0" w:color="auto"/>
            </w:tcBorders>
            <w:noWrap/>
            <w:vAlign w:val="bottom"/>
            <w:hideMark/>
          </w:tcPr>
          <w:p w14:paraId="71DFA488" w14:textId="4F943FEA"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33</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175</w:t>
            </w:r>
          </w:p>
        </w:tc>
        <w:tc>
          <w:tcPr>
            <w:tcW w:w="1000" w:type="dxa"/>
            <w:tcBorders>
              <w:top w:val="nil"/>
              <w:left w:val="nil"/>
              <w:bottom w:val="single" w:sz="4" w:space="0" w:color="auto"/>
              <w:right w:val="single" w:sz="4" w:space="0" w:color="auto"/>
            </w:tcBorders>
            <w:noWrap/>
            <w:vAlign w:val="bottom"/>
            <w:hideMark/>
          </w:tcPr>
          <w:p w14:paraId="2BB7E1FB" w14:textId="4A81D970"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32</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811</w:t>
            </w:r>
          </w:p>
        </w:tc>
        <w:tc>
          <w:tcPr>
            <w:tcW w:w="1309" w:type="dxa"/>
            <w:tcBorders>
              <w:top w:val="nil"/>
              <w:left w:val="nil"/>
              <w:bottom w:val="single" w:sz="4" w:space="0" w:color="auto"/>
              <w:right w:val="single" w:sz="4" w:space="0" w:color="auto"/>
            </w:tcBorders>
            <w:noWrap/>
            <w:vAlign w:val="bottom"/>
            <w:hideMark/>
          </w:tcPr>
          <w:p w14:paraId="4865154D" w14:textId="771BC3B4"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32</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545</w:t>
            </w:r>
          </w:p>
        </w:tc>
      </w:tr>
      <w:tr w:rsidR="0081065B" w:rsidRPr="00933B63" w14:paraId="4730596D"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36673C6A"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AU"/>
              </w:rPr>
              <w:t>T2.4 Warm temperate laurophyll forests</w:t>
            </w:r>
          </w:p>
        </w:tc>
        <w:tc>
          <w:tcPr>
            <w:tcW w:w="980" w:type="dxa"/>
            <w:tcBorders>
              <w:top w:val="nil"/>
              <w:left w:val="nil"/>
              <w:bottom w:val="single" w:sz="4" w:space="0" w:color="auto"/>
              <w:right w:val="single" w:sz="4" w:space="0" w:color="auto"/>
            </w:tcBorders>
            <w:noWrap/>
            <w:vAlign w:val="bottom"/>
            <w:hideMark/>
          </w:tcPr>
          <w:p w14:paraId="31857C96" w14:textId="6746867B"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421</w:t>
            </w:r>
          </w:p>
        </w:tc>
        <w:tc>
          <w:tcPr>
            <w:tcW w:w="1000" w:type="dxa"/>
            <w:tcBorders>
              <w:top w:val="nil"/>
              <w:left w:val="nil"/>
              <w:bottom w:val="single" w:sz="4" w:space="0" w:color="auto"/>
              <w:right w:val="single" w:sz="4" w:space="0" w:color="auto"/>
            </w:tcBorders>
            <w:noWrap/>
            <w:vAlign w:val="bottom"/>
            <w:hideMark/>
          </w:tcPr>
          <w:p w14:paraId="6909444E" w14:textId="42A1F20E"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1</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976</w:t>
            </w:r>
          </w:p>
        </w:tc>
        <w:tc>
          <w:tcPr>
            <w:tcW w:w="1000" w:type="dxa"/>
            <w:tcBorders>
              <w:top w:val="nil"/>
              <w:left w:val="nil"/>
              <w:bottom w:val="single" w:sz="4" w:space="0" w:color="auto"/>
              <w:right w:val="single" w:sz="4" w:space="0" w:color="auto"/>
            </w:tcBorders>
            <w:noWrap/>
            <w:vAlign w:val="bottom"/>
            <w:hideMark/>
          </w:tcPr>
          <w:p w14:paraId="238E5EEC" w14:textId="0B47492A"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1</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960</w:t>
            </w:r>
          </w:p>
        </w:tc>
        <w:tc>
          <w:tcPr>
            <w:tcW w:w="1309" w:type="dxa"/>
            <w:tcBorders>
              <w:top w:val="nil"/>
              <w:left w:val="nil"/>
              <w:bottom w:val="single" w:sz="4" w:space="0" w:color="auto"/>
              <w:right w:val="single" w:sz="4" w:space="0" w:color="auto"/>
            </w:tcBorders>
            <w:noWrap/>
            <w:vAlign w:val="bottom"/>
            <w:hideMark/>
          </w:tcPr>
          <w:p w14:paraId="27DC3D82" w14:textId="4C087F8A"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1</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955</w:t>
            </w:r>
          </w:p>
        </w:tc>
      </w:tr>
      <w:tr w:rsidR="0081065B" w:rsidRPr="00933B63" w14:paraId="762F1C73"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24E38317"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GB"/>
              </w:rPr>
              <w:t>T3.1 Seasonally dry tropical shrublands</w:t>
            </w:r>
          </w:p>
        </w:tc>
        <w:tc>
          <w:tcPr>
            <w:tcW w:w="980" w:type="dxa"/>
            <w:tcBorders>
              <w:top w:val="nil"/>
              <w:left w:val="nil"/>
              <w:bottom w:val="single" w:sz="4" w:space="0" w:color="auto"/>
              <w:right w:val="single" w:sz="4" w:space="0" w:color="auto"/>
            </w:tcBorders>
            <w:noWrap/>
            <w:vAlign w:val="bottom"/>
            <w:hideMark/>
          </w:tcPr>
          <w:p w14:paraId="4728D0B0" w14:textId="197A7B5D"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1</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271</w:t>
            </w:r>
          </w:p>
        </w:tc>
        <w:tc>
          <w:tcPr>
            <w:tcW w:w="1000" w:type="dxa"/>
            <w:tcBorders>
              <w:top w:val="nil"/>
              <w:left w:val="nil"/>
              <w:bottom w:val="single" w:sz="4" w:space="0" w:color="auto"/>
              <w:right w:val="single" w:sz="4" w:space="0" w:color="auto"/>
            </w:tcBorders>
            <w:noWrap/>
            <w:vAlign w:val="bottom"/>
            <w:hideMark/>
          </w:tcPr>
          <w:p w14:paraId="03DAC6C9" w14:textId="77777777"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954</w:t>
            </w:r>
          </w:p>
        </w:tc>
        <w:tc>
          <w:tcPr>
            <w:tcW w:w="1000" w:type="dxa"/>
            <w:tcBorders>
              <w:top w:val="nil"/>
              <w:left w:val="nil"/>
              <w:bottom w:val="single" w:sz="4" w:space="0" w:color="auto"/>
              <w:right w:val="single" w:sz="4" w:space="0" w:color="auto"/>
            </w:tcBorders>
            <w:noWrap/>
            <w:vAlign w:val="bottom"/>
            <w:hideMark/>
          </w:tcPr>
          <w:p w14:paraId="7B08AE22" w14:textId="77777777"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891</w:t>
            </w:r>
          </w:p>
        </w:tc>
        <w:tc>
          <w:tcPr>
            <w:tcW w:w="1309" w:type="dxa"/>
            <w:tcBorders>
              <w:top w:val="nil"/>
              <w:left w:val="nil"/>
              <w:bottom w:val="single" w:sz="4" w:space="0" w:color="auto"/>
              <w:right w:val="single" w:sz="4" w:space="0" w:color="auto"/>
            </w:tcBorders>
            <w:noWrap/>
            <w:vAlign w:val="bottom"/>
            <w:hideMark/>
          </w:tcPr>
          <w:p w14:paraId="170D597F" w14:textId="77777777"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849</w:t>
            </w:r>
          </w:p>
        </w:tc>
      </w:tr>
      <w:tr w:rsidR="0081065B" w:rsidRPr="00933B63" w14:paraId="284ADB73"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08635447"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AU"/>
              </w:rPr>
              <w:t>T3.2 Seasonally dry temperate heath and shrublands</w:t>
            </w:r>
          </w:p>
        </w:tc>
        <w:tc>
          <w:tcPr>
            <w:tcW w:w="980" w:type="dxa"/>
            <w:tcBorders>
              <w:top w:val="nil"/>
              <w:left w:val="nil"/>
              <w:bottom w:val="single" w:sz="4" w:space="0" w:color="auto"/>
              <w:right w:val="single" w:sz="4" w:space="0" w:color="auto"/>
            </w:tcBorders>
            <w:noWrap/>
            <w:vAlign w:val="bottom"/>
            <w:hideMark/>
          </w:tcPr>
          <w:p w14:paraId="65A4DBDE" w14:textId="28580A9E"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84</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893</w:t>
            </w:r>
          </w:p>
        </w:tc>
        <w:tc>
          <w:tcPr>
            <w:tcW w:w="1000" w:type="dxa"/>
            <w:tcBorders>
              <w:top w:val="nil"/>
              <w:left w:val="nil"/>
              <w:bottom w:val="single" w:sz="4" w:space="0" w:color="auto"/>
              <w:right w:val="single" w:sz="4" w:space="0" w:color="auto"/>
            </w:tcBorders>
            <w:noWrap/>
            <w:vAlign w:val="bottom"/>
            <w:hideMark/>
          </w:tcPr>
          <w:p w14:paraId="0093B6B5" w14:textId="2F25FE6F"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60</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896</w:t>
            </w:r>
          </w:p>
        </w:tc>
        <w:tc>
          <w:tcPr>
            <w:tcW w:w="1000" w:type="dxa"/>
            <w:tcBorders>
              <w:top w:val="nil"/>
              <w:left w:val="nil"/>
              <w:bottom w:val="single" w:sz="4" w:space="0" w:color="auto"/>
              <w:right w:val="single" w:sz="4" w:space="0" w:color="auto"/>
            </w:tcBorders>
            <w:noWrap/>
            <w:vAlign w:val="bottom"/>
            <w:hideMark/>
          </w:tcPr>
          <w:p w14:paraId="3DD4F62D" w14:textId="77924778"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58</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814</w:t>
            </w:r>
          </w:p>
        </w:tc>
        <w:tc>
          <w:tcPr>
            <w:tcW w:w="1309" w:type="dxa"/>
            <w:tcBorders>
              <w:top w:val="nil"/>
              <w:left w:val="nil"/>
              <w:bottom w:val="single" w:sz="4" w:space="0" w:color="auto"/>
              <w:right w:val="single" w:sz="4" w:space="0" w:color="auto"/>
            </w:tcBorders>
            <w:noWrap/>
            <w:vAlign w:val="bottom"/>
            <w:hideMark/>
          </w:tcPr>
          <w:p w14:paraId="2DF4ED93" w14:textId="72603379"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57</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373</w:t>
            </w:r>
          </w:p>
        </w:tc>
      </w:tr>
      <w:tr w:rsidR="0081065B" w:rsidRPr="00933B63" w14:paraId="565D58D1"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5AD18359"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AU"/>
              </w:rPr>
              <w:t>T4.1 Trophic savannas</w:t>
            </w:r>
          </w:p>
        </w:tc>
        <w:tc>
          <w:tcPr>
            <w:tcW w:w="980" w:type="dxa"/>
            <w:tcBorders>
              <w:top w:val="nil"/>
              <w:left w:val="nil"/>
              <w:bottom w:val="single" w:sz="4" w:space="0" w:color="auto"/>
              <w:right w:val="single" w:sz="4" w:space="0" w:color="auto"/>
            </w:tcBorders>
            <w:noWrap/>
            <w:vAlign w:val="bottom"/>
            <w:hideMark/>
          </w:tcPr>
          <w:p w14:paraId="32A8CC7E" w14:textId="6078220F"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160</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799</w:t>
            </w:r>
          </w:p>
        </w:tc>
        <w:tc>
          <w:tcPr>
            <w:tcW w:w="1000" w:type="dxa"/>
            <w:tcBorders>
              <w:top w:val="nil"/>
              <w:left w:val="nil"/>
              <w:bottom w:val="single" w:sz="4" w:space="0" w:color="auto"/>
              <w:right w:val="single" w:sz="4" w:space="0" w:color="auto"/>
            </w:tcBorders>
            <w:noWrap/>
            <w:vAlign w:val="bottom"/>
            <w:hideMark/>
          </w:tcPr>
          <w:p w14:paraId="10B9CB7A" w14:textId="0AF0D1C6"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138</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362</w:t>
            </w:r>
          </w:p>
        </w:tc>
        <w:tc>
          <w:tcPr>
            <w:tcW w:w="1000" w:type="dxa"/>
            <w:tcBorders>
              <w:top w:val="nil"/>
              <w:left w:val="nil"/>
              <w:bottom w:val="single" w:sz="4" w:space="0" w:color="auto"/>
              <w:right w:val="single" w:sz="4" w:space="0" w:color="auto"/>
            </w:tcBorders>
            <w:noWrap/>
            <w:vAlign w:val="bottom"/>
            <w:hideMark/>
          </w:tcPr>
          <w:p w14:paraId="42BFC8A8" w14:textId="382FB6DD"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135</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177</w:t>
            </w:r>
          </w:p>
        </w:tc>
        <w:tc>
          <w:tcPr>
            <w:tcW w:w="1309" w:type="dxa"/>
            <w:tcBorders>
              <w:top w:val="nil"/>
              <w:left w:val="nil"/>
              <w:bottom w:val="single" w:sz="4" w:space="0" w:color="auto"/>
              <w:right w:val="single" w:sz="4" w:space="0" w:color="auto"/>
            </w:tcBorders>
            <w:noWrap/>
            <w:vAlign w:val="bottom"/>
            <w:hideMark/>
          </w:tcPr>
          <w:p w14:paraId="5281BDDB" w14:textId="7E9558B6"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133</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173</w:t>
            </w:r>
          </w:p>
        </w:tc>
      </w:tr>
      <w:tr w:rsidR="0081065B" w:rsidRPr="00933B63" w14:paraId="5C8FD935"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56253718"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GB"/>
              </w:rPr>
              <w:t>T4.2 Pyric tussock savannas</w:t>
            </w:r>
          </w:p>
        </w:tc>
        <w:tc>
          <w:tcPr>
            <w:tcW w:w="980" w:type="dxa"/>
            <w:tcBorders>
              <w:top w:val="nil"/>
              <w:left w:val="nil"/>
              <w:bottom w:val="single" w:sz="4" w:space="0" w:color="auto"/>
              <w:right w:val="single" w:sz="4" w:space="0" w:color="auto"/>
            </w:tcBorders>
            <w:noWrap/>
            <w:vAlign w:val="bottom"/>
            <w:hideMark/>
          </w:tcPr>
          <w:p w14:paraId="6CBF8682" w14:textId="5F560366"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263</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388</w:t>
            </w:r>
          </w:p>
        </w:tc>
        <w:tc>
          <w:tcPr>
            <w:tcW w:w="1000" w:type="dxa"/>
            <w:tcBorders>
              <w:top w:val="nil"/>
              <w:left w:val="nil"/>
              <w:bottom w:val="single" w:sz="4" w:space="0" w:color="auto"/>
              <w:right w:val="single" w:sz="4" w:space="0" w:color="auto"/>
            </w:tcBorders>
            <w:noWrap/>
            <w:vAlign w:val="bottom"/>
            <w:hideMark/>
          </w:tcPr>
          <w:p w14:paraId="0A980D8F" w14:textId="4BF5E04D"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209</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581</w:t>
            </w:r>
          </w:p>
        </w:tc>
        <w:tc>
          <w:tcPr>
            <w:tcW w:w="1000" w:type="dxa"/>
            <w:tcBorders>
              <w:top w:val="nil"/>
              <w:left w:val="nil"/>
              <w:bottom w:val="single" w:sz="4" w:space="0" w:color="auto"/>
              <w:right w:val="single" w:sz="4" w:space="0" w:color="auto"/>
            </w:tcBorders>
            <w:noWrap/>
            <w:vAlign w:val="bottom"/>
            <w:hideMark/>
          </w:tcPr>
          <w:p w14:paraId="064CE2D2" w14:textId="11B5EEBB"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203</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510</w:t>
            </w:r>
          </w:p>
        </w:tc>
        <w:tc>
          <w:tcPr>
            <w:tcW w:w="1309" w:type="dxa"/>
            <w:tcBorders>
              <w:top w:val="nil"/>
              <w:left w:val="nil"/>
              <w:bottom w:val="single" w:sz="4" w:space="0" w:color="auto"/>
              <w:right w:val="single" w:sz="4" w:space="0" w:color="auto"/>
            </w:tcBorders>
            <w:noWrap/>
            <w:vAlign w:val="bottom"/>
            <w:hideMark/>
          </w:tcPr>
          <w:p w14:paraId="4EA64AC9" w14:textId="63F54A2D"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199</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713</w:t>
            </w:r>
          </w:p>
        </w:tc>
      </w:tr>
      <w:tr w:rsidR="0081065B" w:rsidRPr="00933B63" w14:paraId="08388435"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158CBE71"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AU"/>
              </w:rPr>
              <w:t>T4.5 Temperate subhumid grasslands</w:t>
            </w:r>
          </w:p>
        </w:tc>
        <w:tc>
          <w:tcPr>
            <w:tcW w:w="980" w:type="dxa"/>
            <w:tcBorders>
              <w:top w:val="nil"/>
              <w:left w:val="nil"/>
              <w:bottom w:val="single" w:sz="4" w:space="0" w:color="auto"/>
              <w:right w:val="single" w:sz="4" w:space="0" w:color="auto"/>
            </w:tcBorders>
            <w:noWrap/>
            <w:vAlign w:val="bottom"/>
            <w:hideMark/>
          </w:tcPr>
          <w:p w14:paraId="5372B603" w14:textId="60A676FE"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364</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882</w:t>
            </w:r>
          </w:p>
        </w:tc>
        <w:tc>
          <w:tcPr>
            <w:tcW w:w="1000" w:type="dxa"/>
            <w:tcBorders>
              <w:top w:val="nil"/>
              <w:left w:val="nil"/>
              <w:bottom w:val="single" w:sz="4" w:space="0" w:color="auto"/>
              <w:right w:val="single" w:sz="4" w:space="0" w:color="auto"/>
            </w:tcBorders>
            <w:noWrap/>
            <w:vAlign w:val="bottom"/>
            <w:hideMark/>
          </w:tcPr>
          <w:p w14:paraId="72BD7D6F" w14:textId="48408BC4"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234</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775</w:t>
            </w:r>
          </w:p>
        </w:tc>
        <w:tc>
          <w:tcPr>
            <w:tcW w:w="1000" w:type="dxa"/>
            <w:tcBorders>
              <w:top w:val="nil"/>
              <w:left w:val="nil"/>
              <w:bottom w:val="single" w:sz="4" w:space="0" w:color="auto"/>
              <w:right w:val="single" w:sz="4" w:space="0" w:color="auto"/>
            </w:tcBorders>
            <w:noWrap/>
            <w:vAlign w:val="bottom"/>
            <w:hideMark/>
          </w:tcPr>
          <w:p w14:paraId="6A81FE30" w14:textId="16C8C192"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223</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843</w:t>
            </w:r>
          </w:p>
        </w:tc>
        <w:tc>
          <w:tcPr>
            <w:tcW w:w="1309" w:type="dxa"/>
            <w:tcBorders>
              <w:top w:val="nil"/>
              <w:left w:val="nil"/>
              <w:bottom w:val="single" w:sz="4" w:space="0" w:color="auto"/>
              <w:right w:val="single" w:sz="4" w:space="0" w:color="auto"/>
            </w:tcBorders>
            <w:noWrap/>
            <w:vAlign w:val="bottom"/>
            <w:hideMark/>
          </w:tcPr>
          <w:p w14:paraId="180162D0" w14:textId="52572015"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216</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938</w:t>
            </w:r>
          </w:p>
        </w:tc>
      </w:tr>
      <w:tr w:rsidR="0081065B" w:rsidRPr="00933B63" w14:paraId="5F8D71A4"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7B349308"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AU"/>
              </w:rPr>
              <w:t>T5.1 Semi-desert steppe</w:t>
            </w:r>
          </w:p>
        </w:tc>
        <w:tc>
          <w:tcPr>
            <w:tcW w:w="980" w:type="dxa"/>
            <w:tcBorders>
              <w:top w:val="nil"/>
              <w:left w:val="nil"/>
              <w:bottom w:val="single" w:sz="4" w:space="0" w:color="auto"/>
              <w:right w:val="single" w:sz="4" w:space="0" w:color="auto"/>
            </w:tcBorders>
            <w:noWrap/>
            <w:vAlign w:val="bottom"/>
            <w:hideMark/>
          </w:tcPr>
          <w:p w14:paraId="2AF99970" w14:textId="3E056C04"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256</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325</w:t>
            </w:r>
          </w:p>
        </w:tc>
        <w:tc>
          <w:tcPr>
            <w:tcW w:w="1000" w:type="dxa"/>
            <w:tcBorders>
              <w:top w:val="nil"/>
              <w:left w:val="nil"/>
              <w:bottom w:val="single" w:sz="4" w:space="0" w:color="auto"/>
              <w:right w:val="single" w:sz="4" w:space="0" w:color="auto"/>
            </w:tcBorders>
            <w:noWrap/>
            <w:vAlign w:val="bottom"/>
            <w:hideMark/>
          </w:tcPr>
          <w:p w14:paraId="44801728" w14:textId="3F0D634D"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251</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738</w:t>
            </w:r>
          </w:p>
        </w:tc>
        <w:tc>
          <w:tcPr>
            <w:tcW w:w="1000" w:type="dxa"/>
            <w:tcBorders>
              <w:top w:val="nil"/>
              <w:left w:val="nil"/>
              <w:bottom w:val="single" w:sz="4" w:space="0" w:color="auto"/>
              <w:right w:val="single" w:sz="4" w:space="0" w:color="auto"/>
            </w:tcBorders>
            <w:noWrap/>
            <w:vAlign w:val="bottom"/>
            <w:hideMark/>
          </w:tcPr>
          <w:p w14:paraId="01053F96" w14:textId="1AEC6378"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251</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008</w:t>
            </w:r>
          </w:p>
        </w:tc>
        <w:tc>
          <w:tcPr>
            <w:tcW w:w="1309" w:type="dxa"/>
            <w:tcBorders>
              <w:top w:val="nil"/>
              <w:left w:val="nil"/>
              <w:bottom w:val="single" w:sz="4" w:space="0" w:color="auto"/>
              <w:right w:val="single" w:sz="4" w:space="0" w:color="auto"/>
            </w:tcBorders>
            <w:noWrap/>
            <w:vAlign w:val="bottom"/>
            <w:hideMark/>
          </w:tcPr>
          <w:p w14:paraId="4165201B" w14:textId="7BA189E0"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250</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026</w:t>
            </w:r>
          </w:p>
        </w:tc>
      </w:tr>
      <w:tr w:rsidR="0081065B" w:rsidRPr="00933B63" w14:paraId="1AF388E8"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504D90F8"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GB"/>
              </w:rPr>
              <w:t>T5.2 Thorny deserts and semi-deserts</w:t>
            </w:r>
          </w:p>
        </w:tc>
        <w:tc>
          <w:tcPr>
            <w:tcW w:w="980" w:type="dxa"/>
            <w:tcBorders>
              <w:top w:val="nil"/>
              <w:left w:val="nil"/>
              <w:bottom w:val="single" w:sz="4" w:space="0" w:color="auto"/>
              <w:right w:val="single" w:sz="4" w:space="0" w:color="auto"/>
            </w:tcBorders>
            <w:noWrap/>
            <w:vAlign w:val="bottom"/>
            <w:hideMark/>
          </w:tcPr>
          <w:p w14:paraId="4ABF659E" w14:textId="4568F0AB"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83</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498</w:t>
            </w:r>
          </w:p>
        </w:tc>
        <w:tc>
          <w:tcPr>
            <w:tcW w:w="1000" w:type="dxa"/>
            <w:tcBorders>
              <w:top w:val="nil"/>
              <w:left w:val="nil"/>
              <w:bottom w:val="single" w:sz="4" w:space="0" w:color="auto"/>
              <w:right w:val="single" w:sz="4" w:space="0" w:color="auto"/>
            </w:tcBorders>
            <w:noWrap/>
            <w:vAlign w:val="bottom"/>
            <w:hideMark/>
          </w:tcPr>
          <w:p w14:paraId="2BAA2AFA" w14:textId="53EDED97"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79</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466</w:t>
            </w:r>
          </w:p>
        </w:tc>
        <w:tc>
          <w:tcPr>
            <w:tcW w:w="1000" w:type="dxa"/>
            <w:tcBorders>
              <w:top w:val="nil"/>
              <w:left w:val="nil"/>
              <w:bottom w:val="single" w:sz="4" w:space="0" w:color="auto"/>
              <w:right w:val="single" w:sz="4" w:space="0" w:color="auto"/>
            </w:tcBorders>
            <w:noWrap/>
            <w:vAlign w:val="bottom"/>
            <w:hideMark/>
          </w:tcPr>
          <w:p w14:paraId="3A3F84B9" w14:textId="586B66B8"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79</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086</w:t>
            </w:r>
          </w:p>
        </w:tc>
        <w:tc>
          <w:tcPr>
            <w:tcW w:w="1309" w:type="dxa"/>
            <w:tcBorders>
              <w:top w:val="nil"/>
              <w:left w:val="nil"/>
              <w:bottom w:val="single" w:sz="4" w:space="0" w:color="auto"/>
              <w:right w:val="single" w:sz="4" w:space="0" w:color="auto"/>
            </w:tcBorders>
            <w:noWrap/>
            <w:vAlign w:val="bottom"/>
            <w:hideMark/>
          </w:tcPr>
          <w:p w14:paraId="31D3871F" w14:textId="1E366015"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78</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540</w:t>
            </w:r>
          </w:p>
        </w:tc>
      </w:tr>
      <w:tr w:rsidR="0081065B" w:rsidRPr="00933B63" w14:paraId="74098242"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0BD7DB31"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AU"/>
              </w:rPr>
              <w:t>T5.5 Hyper-arid deserts</w:t>
            </w:r>
          </w:p>
        </w:tc>
        <w:tc>
          <w:tcPr>
            <w:tcW w:w="980" w:type="dxa"/>
            <w:tcBorders>
              <w:top w:val="nil"/>
              <w:left w:val="nil"/>
              <w:bottom w:val="single" w:sz="4" w:space="0" w:color="auto"/>
              <w:right w:val="single" w:sz="4" w:space="0" w:color="auto"/>
            </w:tcBorders>
            <w:noWrap/>
            <w:vAlign w:val="bottom"/>
            <w:hideMark/>
          </w:tcPr>
          <w:p w14:paraId="73008F09" w14:textId="071BACBF"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6</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245</w:t>
            </w:r>
          </w:p>
        </w:tc>
        <w:tc>
          <w:tcPr>
            <w:tcW w:w="1000" w:type="dxa"/>
            <w:tcBorders>
              <w:top w:val="nil"/>
              <w:left w:val="nil"/>
              <w:bottom w:val="single" w:sz="4" w:space="0" w:color="auto"/>
              <w:right w:val="single" w:sz="4" w:space="0" w:color="auto"/>
            </w:tcBorders>
            <w:noWrap/>
            <w:vAlign w:val="bottom"/>
            <w:hideMark/>
          </w:tcPr>
          <w:p w14:paraId="777C3ADC" w14:textId="0193E6A5"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6</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179</w:t>
            </w:r>
          </w:p>
        </w:tc>
        <w:tc>
          <w:tcPr>
            <w:tcW w:w="1000" w:type="dxa"/>
            <w:tcBorders>
              <w:top w:val="nil"/>
              <w:left w:val="nil"/>
              <w:bottom w:val="single" w:sz="4" w:space="0" w:color="auto"/>
              <w:right w:val="single" w:sz="4" w:space="0" w:color="auto"/>
            </w:tcBorders>
            <w:noWrap/>
            <w:vAlign w:val="bottom"/>
            <w:hideMark/>
          </w:tcPr>
          <w:p w14:paraId="73EB0E05" w14:textId="651F1F4B"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6</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166</w:t>
            </w:r>
          </w:p>
        </w:tc>
        <w:tc>
          <w:tcPr>
            <w:tcW w:w="1309" w:type="dxa"/>
            <w:tcBorders>
              <w:top w:val="nil"/>
              <w:left w:val="nil"/>
              <w:bottom w:val="single" w:sz="4" w:space="0" w:color="auto"/>
              <w:right w:val="single" w:sz="4" w:space="0" w:color="auto"/>
            </w:tcBorders>
            <w:noWrap/>
            <w:vAlign w:val="bottom"/>
            <w:hideMark/>
          </w:tcPr>
          <w:p w14:paraId="1B85B8A6" w14:textId="64E3CB25"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6</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130</w:t>
            </w:r>
          </w:p>
        </w:tc>
      </w:tr>
      <w:tr w:rsidR="0081065B" w:rsidRPr="00933B63" w14:paraId="2D58BFA2"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2BD70288" w14:textId="77777777" w:rsidR="0081065B" w:rsidRPr="00B3383B" w:rsidRDefault="0081065B" w:rsidP="0081065B">
            <w:pPr>
              <w:rPr>
                <w:rFonts w:asciiTheme="majorBidi" w:hAnsiTheme="majorBidi" w:cstheme="majorBidi"/>
                <w:sz w:val="20"/>
                <w:szCs w:val="20"/>
                <w:lang w:val="en-AU"/>
              </w:rPr>
            </w:pPr>
            <w:r w:rsidRPr="00B3383B">
              <w:rPr>
                <w:rFonts w:asciiTheme="majorBidi" w:hAnsiTheme="majorBidi" w:cstheme="majorBidi"/>
                <w:sz w:val="20"/>
                <w:szCs w:val="20"/>
                <w:lang w:val="en-GB"/>
              </w:rPr>
              <w:t>MFT1.2 Intertidal forests and shrublands</w:t>
            </w:r>
          </w:p>
        </w:tc>
        <w:tc>
          <w:tcPr>
            <w:tcW w:w="980" w:type="dxa"/>
            <w:tcBorders>
              <w:top w:val="nil"/>
              <w:left w:val="nil"/>
              <w:bottom w:val="single" w:sz="4" w:space="0" w:color="auto"/>
              <w:right w:val="single" w:sz="4" w:space="0" w:color="auto"/>
            </w:tcBorders>
            <w:noWrap/>
            <w:vAlign w:val="bottom"/>
            <w:hideMark/>
          </w:tcPr>
          <w:p w14:paraId="7288EC40" w14:textId="11298997"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4</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457</w:t>
            </w:r>
          </w:p>
        </w:tc>
        <w:tc>
          <w:tcPr>
            <w:tcW w:w="1000" w:type="dxa"/>
            <w:tcBorders>
              <w:top w:val="nil"/>
              <w:left w:val="nil"/>
              <w:bottom w:val="single" w:sz="4" w:space="0" w:color="auto"/>
              <w:right w:val="single" w:sz="4" w:space="0" w:color="auto"/>
            </w:tcBorders>
            <w:noWrap/>
            <w:vAlign w:val="bottom"/>
            <w:hideMark/>
          </w:tcPr>
          <w:p w14:paraId="09DC5315" w14:textId="2A1CF0DA"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3</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741</w:t>
            </w:r>
          </w:p>
        </w:tc>
        <w:tc>
          <w:tcPr>
            <w:tcW w:w="1000" w:type="dxa"/>
            <w:tcBorders>
              <w:top w:val="nil"/>
              <w:left w:val="nil"/>
              <w:bottom w:val="single" w:sz="4" w:space="0" w:color="auto"/>
              <w:right w:val="single" w:sz="4" w:space="0" w:color="auto"/>
            </w:tcBorders>
            <w:noWrap/>
            <w:vAlign w:val="bottom"/>
            <w:hideMark/>
          </w:tcPr>
          <w:p w14:paraId="646BFB9B" w14:textId="1396AC95"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3</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677</w:t>
            </w:r>
          </w:p>
        </w:tc>
        <w:tc>
          <w:tcPr>
            <w:tcW w:w="1309" w:type="dxa"/>
            <w:tcBorders>
              <w:top w:val="nil"/>
              <w:left w:val="nil"/>
              <w:bottom w:val="single" w:sz="4" w:space="0" w:color="auto"/>
              <w:right w:val="single" w:sz="4" w:space="0" w:color="auto"/>
            </w:tcBorders>
            <w:noWrap/>
            <w:vAlign w:val="bottom"/>
            <w:hideMark/>
          </w:tcPr>
          <w:p w14:paraId="1DA0653E" w14:textId="4CCA7A55" w:rsidR="0081065B" w:rsidRPr="00B3383B" w:rsidRDefault="0081065B" w:rsidP="00FB1598">
            <w:pPr>
              <w:jc w:val="right"/>
              <w:rPr>
                <w:rFonts w:asciiTheme="majorBidi" w:hAnsiTheme="majorBidi" w:cstheme="majorBidi"/>
                <w:sz w:val="20"/>
                <w:szCs w:val="20"/>
                <w:lang w:val="en-AU"/>
              </w:rPr>
            </w:pPr>
            <w:r w:rsidRPr="00B3383B">
              <w:rPr>
                <w:rFonts w:asciiTheme="majorBidi" w:hAnsiTheme="majorBidi" w:cstheme="majorBidi"/>
                <w:sz w:val="20"/>
                <w:szCs w:val="20"/>
                <w:lang w:val="en-AU"/>
              </w:rPr>
              <w:t>3</w:t>
            </w:r>
            <w:r w:rsidR="005A19BA" w:rsidRPr="00B3383B">
              <w:rPr>
                <w:rFonts w:asciiTheme="majorBidi" w:hAnsiTheme="majorBidi" w:cstheme="majorBidi"/>
                <w:sz w:val="20"/>
                <w:szCs w:val="20"/>
                <w:lang w:val="en-AU"/>
              </w:rPr>
              <w:t>,</w:t>
            </w:r>
            <w:r w:rsidRPr="00B3383B">
              <w:rPr>
                <w:rFonts w:asciiTheme="majorBidi" w:hAnsiTheme="majorBidi" w:cstheme="majorBidi"/>
                <w:sz w:val="20"/>
                <w:szCs w:val="20"/>
                <w:lang w:val="en-AU"/>
              </w:rPr>
              <w:t>602</w:t>
            </w:r>
          </w:p>
        </w:tc>
      </w:tr>
    </w:tbl>
    <w:p w14:paraId="472AFE28" w14:textId="15ECE1E3" w:rsidR="003D6BBD" w:rsidRPr="00ED7E61" w:rsidRDefault="003D6BBD" w:rsidP="00B55AFF">
      <w:pPr>
        <w:spacing w:before="240"/>
        <w:rPr>
          <w:rFonts w:asciiTheme="majorBidi" w:hAnsiTheme="majorBidi" w:cstheme="majorBidi"/>
          <w:b/>
          <w:bCs/>
          <w:sz w:val="22"/>
          <w:szCs w:val="22"/>
          <w:lang w:val="en-GB"/>
        </w:rPr>
      </w:pPr>
      <w:bookmarkStart w:id="15" w:name="_Future_work_to"/>
      <w:bookmarkEnd w:id="15"/>
      <w:r w:rsidRPr="00ED7E61">
        <w:rPr>
          <w:rFonts w:asciiTheme="majorBidi" w:hAnsiTheme="majorBidi" w:cstheme="majorBidi"/>
          <w:b/>
          <w:bCs/>
          <w:color w:val="000000" w:themeColor="text1"/>
          <w:lang w:val="en-GB"/>
        </w:rPr>
        <w:t>Ongoing and future work to support use of GET by countries</w:t>
      </w:r>
    </w:p>
    <w:p w14:paraId="1B57DA2C" w14:textId="7BF84164" w:rsidR="008344AF" w:rsidRPr="00ED7E61" w:rsidRDefault="003D6BBD" w:rsidP="00B10F0C">
      <w:pPr>
        <w:pStyle w:val="CBDNormalNumber"/>
        <w:numPr>
          <w:ilvl w:val="0"/>
          <w:numId w:val="39"/>
        </w:numPr>
      </w:pPr>
      <w:r w:rsidRPr="00ED7E61">
        <w:t>IUCN is currently developing guidelines and tools for cross-referencing existing ecosystem classifications to the GET</w:t>
      </w:r>
      <w:r w:rsidR="00D019A1" w:rsidRPr="00ED7E61">
        <w:t xml:space="preserve"> level 3</w:t>
      </w:r>
      <w:r w:rsidRPr="00ED7E61">
        <w:t>, drawing on lessons from countries who have undertaken such crosswalks (e.g. Finland and South Africa</w:t>
      </w:r>
      <w:r w:rsidR="00C313E5">
        <w:t xml:space="preserve"> (Sink et</w:t>
      </w:r>
      <w:r w:rsidR="006B67E3">
        <w:t xml:space="preserve"> </w:t>
      </w:r>
      <w:r w:rsidR="00C313E5">
        <w:t>al</w:t>
      </w:r>
      <w:r w:rsidR="00442544">
        <w:t>.</w:t>
      </w:r>
      <w:r w:rsidR="00C313E5">
        <w:t xml:space="preserve"> 2023</w:t>
      </w:r>
      <w:r w:rsidRPr="00ED7E61">
        <w:t xml:space="preserve">). This includes documenting relationships between the GET and common existing classification frameworks (e.g. Ramsar wetland classification, FAO and UN Decade classifications) to support translation between datasets, noting that one-to-one cross-walks may not be possible, especially where these classifications have different purposes. </w:t>
      </w:r>
    </w:p>
    <w:p w14:paraId="0FF32EBC" w14:textId="32B4C885" w:rsidR="003D6BBD" w:rsidRPr="00ED7E61" w:rsidRDefault="003D6BBD" w:rsidP="00B10F0C">
      <w:pPr>
        <w:pStyle w:val="CBDNormalNumber"/>
        <w:numPr>
          <w:ilvl w:val="0"/>
          <w:numId w:val="39"/>
        </w:numPr>
      </w:pPr>
      <w:r w:rsidRPr="00ED7E61">
        <w:t>The GEO Global Ecosystems Atlas initiative is currently preparing guidelines for developing national ecosystem classifications and maps</w:t>
      </w:r>
      <w:r w:rsidR="00D019A1" w:rsidRPr="00ED7E61">
        <w:t xml:space="preserve"> for countries that do not yet have these,</w:t>
      </w:r>
      <w:r w:rsidRPr="00ED7E61">
        <w:t xml:space="preserve"> aligned with GET concepts.</w:t>
      </w:r>
      <w:r w:rsidRPr="00ED7E61">
        <w:rPr>
          <w:rFonts w:eastAsia="Calibri"/>
          <w:color w:val="000000" w:themeColor="text1"/>
        </w:rPr>
        <w:t xml:space="preserve"> The Atlas is also developing an online inventory of existing national ecosystem classification systems and maps, cross-walked to EFGs.</w:t>
      </w:r>
      <w:r w:rsidRPr="00ED7E61">
        <w:t xml:space="preserve"> </w:t>
      </w:r>
    </w:p>
    <w:p w14:paraId="7EA32473" w14:textId="4143F622" w:rsidR="008344AF" w:rsidRPr="00ED7E61" w:rsidRDefault="003D6BBD" w:rsidP="00B10F0C">
      <w:pPr>
        <w:pStyle w:val="CBDNormalNumber"/>
        <w:numPr>
          <w:ilvl w:val="0"/>
          <w:numId w:val="39"/>
        </w:numPr>
      </w:pPr>
      <w:r w:rsidRPr="00ED7E61">
        <w:t>Iterative improvement of spatial data for EFGs at global levels will continue. The GEO Global Ecosystems Atlas initiative holds potential for a global synthesis of spatial data on EFGs that could be used by countries without national ecosystem maps or capacity, subject to ongoing scientific development (including data standards) and adequate resourcing for development of the Atlas.</w:t>
      </w:r>
    </w:p>
    <w:p w14:paraId="66C9B16A" w14:textId="3BA27FA8" w:rsidR="003D6BBD" w:rsidRPr="00ED7E61" w:rsidRDefault="003D6BBD" w:rsidP="00B10F0C">
      <w:pPr>
        <w:pStyle w:val="CBDNormalNumber"/>
        <w:numPr>
          <w:ilvl w:val="0"/>
          <w:numId w:val="39"/>
        </w:numPr>
      </w:pPr>
      <w:r w:rsidRPr="00ED7E61">
        <w:t>There will be a need for support for countries to undertake cross-walks with existing classifications and maps of ecosystem types. While IUCN and GEO are currently helping with this role, it will require dedicated funding for a capacity building role; potential hosts include the regional/subregional technical and scientific cooperation support centres that are in the process of being established by the CBD Secretariat, to support implementation of the GBF.</w:t>
      </w:r>
    </w:p>
    <w:p w14:paraId="7CF4AA26" w14:textId="71F9994D" w:rsidR="003D6BBD" w:rsidRPr="00ED7E61" w:rsidRDefault="003D6BBD" w:rsidP="003D6BBD">
      <w:pPr>
        <w:rPr>
          <w:rFonts w:asciiTheme="majorBidi" w:hAnsiTheme="majorBidi" w:cstheme="majorBidi"/>
          <w:color w:val="000000" w:themeColor="text1"/>
          <w:sz w:val="22"/>
          <w:szCs w:val="22"/>
          <w:lang w:val="en-GB"/>
        </w:rPr>
      </w:pPr>
      <w:r w:rsidRPr="00ED7E61">
        <w:rPr>
          <w:rFonts w:asciiTheme="majorBidi" w:hAnsiTheme="majorBidi" w:cstheme="majorBidi"/>
          <w:b/>
          <w:bCs/>
          <w:color w:val="000000" w:themeColor="text1"/>
          <w:sz w:val="22"/>
          <w:szCs w:val="22"/>
          <w:lang w:val="en-GB"/>
        </w:rPr>
        <w:t>References</w:t>
      </w:r>
    </w:p>
    <w:bookmarkStart w:id="16" w:name="_Hlk178268967"/>
    <w:p w14:paraId="51306FF6" w14:textId="3E4AC1E1" w:rsidR="003D6BBD" w:rsidRPr="00ED7E61" w:rsidRDefault="003D6BBD" w:rsidP="00B3383B">
      <w:pPr>
        <w:pStyle w:val="CBDNormalNumber"/>
        <w:numPr>
          <w:ilvl w:val="0"/>
          <w:numId w:val="0"/>
        </w:numPr>
        <w:ind w:left="567"/>
        <w:rPr>
          <w:rFonts w:asciiTheme="majorBidi" w:hAnsiTheme="majorBidi" w:cstheme="majorBidi"/>
          <w:noProof/>
        </w:rPr>
      </w:pPr>
      <w:r w:rsidRPr="00ED7E61">
        <w:rPr>
          <w:rFonts w:asciiTheme="majorBidi" w:hAnsiTheme="majorBidi" w:cstheme="majorBidi"/>
          <w:color w:val="000000" w:themeColor="text1"/>
        </w:rPr>
        <w:fldChar w:fldCharType="begin"/>
      </w:r>
      <w:r w:rsidRPr="00ED7E61">
        <w:rPr>
          <w:rFonts w:asciiTheme="majorBidi" w:hAnsiTheme="majorBidi" w:cstheme="majorBidi"/>
          <w:color w:val="000000" w:themeColor="text1"/>
        </w:rPr>
        <w:instrText xml:space="preserve"> ADDIN EN.REFLIST </w:instrText>
      </w:r>
      <w:r w:rsidRPr="00ED7E61">
        <w:rPr>
          <w:rFonts w:asciiTheme="majorBidi" w:hAnsiTheme="majorBidi" w:cstheme="majorBidi"/>
          <w:color w:val="000000" w:themeColor="text1"/>
        </w:rPr>
        <w:fldChar w:fldCharType="separate"/>
      </w:r>
      <w:r w:rsidRPr="00FB1598">
        <w:t>CBD</w:t>
      </w:r>
      <w:r w:rsidRPr="00ED7E61">
        <w:rPr>
          <w:rFonts w:asciiTheme="majorBidi" w:hAnsiTheme="majorBidi" w:cstheme="majorBidi"/>
          <w:noProof/>
        </w:rPr>
        <w:t>. Kunming-Montreal Global Biodiversity Framework (CBD/COP/15/L.25). (Convention on Biological Diversity, 2022).</w:t>
      </w:r>
    </w:p>
    <w:p w14:paraId="4A440975" w14:textId="54FCB1B9" w:rsidR="003D6BBD" w:rsidRPr="00ED7E61" w:rsidRDefault="003D6BBD" w:rsidP="00B3383B">
      <w:pPr>
        <w:pStyle w:val="CBDNormalNumber"/>
        <w:numPr>
          <w:ilvl w:val="0"/>
          <w:numId w:val="0"/>
        </w:numPr>
        <w:ind w:left="567"/>
        <w:rPr>
          <w:rFonts w:asciiTheme="majorBidi" w:hAnsiTheme="majorBidi" w:cstheme="majorBidi"/>
          <w:noProof/>
        </w:rPr>
      </w:pPr>
      <w:r w:rsidRPr="00FB1598">
        <w:rPr>
          <w:rFonts w:eastAsia="Calibri"/>
          <w:color w:val="000000" w:themeColor="text1"/>
        </w:rPr>
        <w:t>CBD</w:t>
      </w:r>
      <w:r w:rsidRPr="00ED7E61">
        <w:rPr>
          <w:rFonts w:asciiTheme="majorBidi" w:hAnsiTheme="majorBidi" w:cstheme="majorBidi"/>
          <w:noProof/>
        </w:rPr>
        <w:t>. Decision Adopted by the Conference of the Parties to the Convention on Biological Diversity 15/5. Monitoring framework for the Kunming-Montreal Global Biodiversity Framework (CBD/COP/DEC/15/5). (2022).</w:t>
      </w:r>
    </w:p>
    <w:p w14:paraId="2F2BA638" w14:textId="7D3AF001" w:rsidR="003D6BBD" w:rsidRPr="00ED7E61" w:rsidRDefault="003D6BBD" w:rsidP="00B3383B">
      <w:pPr>
        <w:pStyle w:val="CBDNormalNumber"/>
        <w:numPr>
          <w:ilvl w:val="0"/>
          <w:numId w:val="0"/>
        </w:numPr>
        <w:ind w:left="567"/>
        <w:rPr>
          <w:rFonts w:asciiTheme="majorBidi" w:hAnsiTheme="majorBidi" w:cstheme="majorBidi"/>
          <w:noProof/>
        </w:rPr>
      </w:pPr>
      <w:r w:rsidRPr="00FB1598">
        <w:t>CBD</w:t>
      </w:r>
      <w:r w:rsidRPr="00ED7E61">
        <w:rPr>
          <w:rFonts w:asciiTheme="majorBidi" w:hAnsiTheme="majorBidi" w:cstheme="majorBidi"/>
          <w:noProof/>
        </w:rPr>
        <w:t>. Report of the Ad Hoc Technical Expert Group on Indicators for the Kunming-Montreal Global Biodiversity Framework on its third meeting. CBD/IND/AHTEG/2023/3/2. a.</w:t>
      </w:r>
      <w:r w:rsidRPr="00ED7E61">
        <w:rPr>
          <w:rFonts w:asciiTheme="majorBidi" w:hAnsiTheme="majorBidi" w:cstheme="majorBidi"/>
          <w:noProof/>
        </w:rPr>
        <w:tab/>
      </w:r>
      <w:hyperlink r:id="rId84" w:history="1">
        <w:r w:rsidRPr="00ED7E61">
          <w:rPr>
            <w:rStyle w:val="Hyperlink"/>
            <w:rFonts w:asciiTheme="majorBidi" w:hAnsiTheme="majorBidi" w:cstheme="majorBidi"/>
            <w:noProof/>
          </w:rPr>
          <w:t>https://www.cbd.int/doc/c/f22d/ab58/236acdd54779ab58b97aecf1/ind-ahteg-2023-03-02-en.pdf</w:t>
        </w:r>
      </w:hyperlink>
      <w:r w:rsidRPr="00ED7E61">
        <w:rPr>
          <w:rFonts w:asciiTheme="majorBidi" w:hAnsiTheme="majorBidi" w:cstheme="majorBidi"/>
          <w:noProof/>
        </w:rPr>
        <w:t xml:space="preserve"> (Convention on Biological Diversity, 2023).</w:t>
      </w:r>
    </w:p>
    <w:p w14:paraId="38948E95" w14:textId="5916427C" w:rsidR="003D6BBD" w:rsidRPr="00ED7E61" w:rsidRDefault="003D6BBD" w:rsidP="00B3383B">
      <w:pPr>
        <w:pStyle w:val="CBDNormalNumber"/>
        <w:numPr>
          <w:ilvl w:val="0"/>
          <w:numId w:val="0"/>
        </w:numPr>
        <w:ind w:left="567"/>
        <w:rPr>
          <w:rFonts w:asciiTheme="majorBidi" w:hAnsiTheme="majorBidi" w:cstheme="majorBidi"/>
          <w:noProof/>
        </w:rPr>
      </w:pPr>
      <w:r w:rsidRPr="00FB1598">
        <w:t>Keith</w:t>
      </w:r>
      <w:r w:rsidRPr="00ED7E61">
        <w:rPr>
          <w:rFonts w:asciiTheme="majorBidi" w:hAnsiTheme="majorBidi" w:cstheme="majorBidi"/>
          <w:noProof/>
        </w:rPr>
        <w:t>, D. A.</w:t>
      </w:r>
      <w:r w:rsidRPr="00ED7E61">
        <w:rPr>
          <w:rFonts w:asciiTheme="majorBidi" w:hAnsiTheme="majorBidi" w:cstheme="majorBidi"/>
          <w:i/>
          <w:noProof/>
        </w:rPr>
        <w:t xml:space="preserve"> et al.</w:t>
      </w:r>
      <w:r w:rsidRPr="00ED7E61">
        <w:rPr>
          <w:rFonts w:asciiTheme="majorBidi" w:hAnsiTheme="majorBidi" w:cstheme="majorBidi"/>
          <w:noProof/>
        </w:rPr>
        <w:t xml:space="preserve"> A function-based typology for Earth’s ecosystems. </w:t>
      </w:r>
      <w:r w:rsidRPr="00ED7E61">
        <w:rPr>
          <w:rFonts w:asciiTheme="majorBidi" w:hAnsiTheme="majorBidi" w:cstheme="majorBidi"/>
          <w:i/>
          <w:noProof/>
        </w:rPr>
        <w:t>Nature</w:t>
      </w:r>
      <w:r w:rsidRPr="00ED7E61">
        <w:rPr>
          <w:rFonts w:asciiTheme="majorBidi" w:hAnsiTheme="majorBidi" w:cstheme="majorBidi"/>
          <w:noProof/>
        </w:rPr>
        <w:t xml:space="preserve"> </w:t>
      </w:r>
      <w:r w:rsidRPr="00ED7E61">
        <w:rPr>
          <w:rFonts w:asciiTheme="majorBidi" w:hAnsiTheme="majorBidi" w:cstheme="majorBidi"/>
          <w:b/>
          <w:noProof/>
        </w:rPr>
        <w:t>610</w:t>
      </w:r>
      <w:r w:rsidRPr="00ED7E61">
        <w:rPr>
          <w:rFonts w:asciiTheme="majorBidi" w:hAnsiTheme="majorBidi" w:cstheme="majorBidi"/>
          <w:noProof/>
        </w:rPr>
        <w:t>, 513-518, doi:10.1038/s41586-022-05318-4 (2022).</w:t>
      </w:r>
    </w:p>
    <w:p w14:paraId="362EB49C" w14:textId="46016D15" w:rsidR="003D6BBD" w:rsidRPr="00ED7E61" w:rsidRDefault="003D6BBD" w:rsidP="00B3383B">
      <w:pPr>
        <w:pStyle w:val="CBDNormalNumber"/>
        <w:numPr>
          <w:ilvl w:val="0"/>
          <w:numId w:val="0"/>
        </w:numPr>
        <w:ind w:left="567"/>
        <w:rPr>
          <w:rFonts w:asciiTheme="majorBidi" w:hAnsiTheme="majorBidi" w:cstheme="majorBidi"/>
          <w:noProof/>
        </w:rPr>
      </w:pPr>
      <w:r w:rsidRPr="00ED7E61">
        <w:rPr>
          <w:rFonts w:asciiTheme="majorBidi" w:hAnsiTheme="majorBidi" w:cstheme="majorBidi"/>
          <w:noProof/>
        </w:rPr>
        <w:t>UN. System of Environmental-Economic Accounting—Ecosystem Accounting (SEEA EA). (2021).</w:t>
      </w:r>
    </w:p>
    <w:p w14:paraId="38D38D47" w14:textId="3FC296E5" w:rsidR="003D6BBD" w:rsidRPr="00ED7E61" w:rsidRDefault="003D6BBD" w:rsidP="00B3383B">
      <w:pPr>
        <w:pStyle w:val="CBDNormalNumber"/>
        <w:numPr>
          <w:ilvl w:val="0"/>
          <w:numId w:val="0"/>
        </w:numPr>
        <w:ind w:left="567"/>
        <w:rPr>
          <w:rFonts w:asciiTheme="majorBidi" w:hAnsiTheme="majorBidi" w:cstheme="majorBidi"/>
          <w:noProof/>
        </w:rPr>
      </w:pPr>
      <w:r w:rsidRPr="00ED7E61">
        <w:rPr>
          <w:rFonts w:asciiTheme="majorBidi" w:hAnsiTheme="majorBidi" w:cstheme="majorBidi"/>
          <w:noProof/>
        </w:rPr>
        <w:t>Etter, A.</w:t>
      </w:r>
      <w:r w:rsidRPr="00ED7E61">
        <w:rPr>
          <w:rFonts w:asciiTheme="majorBidi" w:hAnsiTheme="majorBidi" w:cstheme="majorBidi"/>
          <w:i/>
          <w:noProof/>
        </w:rPr>
        <w:t xml:space="preserve"> et al.</w:t>
      </w:r>
      <w:r w:rsidRPr="00ED7E61">
        <w:rPr>
          <w:rFonts w:asciiTheme="majorBidi" w:hAnsiTheme="majorBidi" w:cstheme="majorBidi"/>
          <w:noProof/>
        </w:rPr>
        <w:t xml:space="preserve"> </w:t>
      </w:r>
      <w:r w:rsidRPr="00ED7E61">
        <w:rPr>
          <w:rFonts w:asciiTheme="majorBidi" w:hAnsiTheme="majorBidi" w:cstheme="majorBidi"/>
          <w:i/>
          <w:noProof/>
        </w:rPr>
        <w:t>Colombian Ecosystems, Threats and Risks. An application of the Red List of Ecosystems to the continental terrestrial ecosystems</w:t>
      </w:r>
      <w:r w:rsidRPr="00ED7E61">
        <w:rPr>
          <w:rFonts w:asciiTheme="majorBidi" w:hAnsiTheme="majorBidi" w:cstheme="majorBidi"/>
          <w:noProof/>
        </w:rPr>
        <w:t>.  (Pontificia Universidad Javeriana and Conservación Internacional-Colombia, 2020).</w:t>
      </w:r>
    </w:p>
    <w:p w14:paraId="5F4C8E99" w14:textId="3941D57B" w:rsidR="003D6BBD" w:rsidRPr="00FB1598" w:rsidRDefault="003D6BBD" w:rsidP="00B3383B">
      <w:pPr>
        <w:pStyle w:val="CBDNormalNumber"/>
        <w:numPr>
          <w:ilvl w:val="0"/>
          <w:numId w:val="0"/>
        </w:numPr>
        <w:ind w:left="567"/>
        <w:rPr>
          <w:rFonts w:asciiTheme="majorBidi" w:hAnsiTheme="majorBidi" w:cstheme="majorBidi"/>
          <w:noProof/>
        </w:rPr>
      </w:pPr>
      <w:r w:rsidRPr="00ED7E61">
        <w:rPr>
          <w:rFonts w:asciiTheme="majorBidi" w:hAnsiTheme="majorBidi" w:cstheme="majorBidi"/>
          <w:noProof/>
        </w:rPr>
        <w:t xml:space="preserve">Kontula, T. &amp; Raunio, A. </w:t>
      </w:r>
      <w:r w:rsidRPr="00ED7E61">
        <w:rPr>
          <w:rFonts w:asciiTheme="majorBidi" w:hAnsiTheme="majorBidi" w:cstheme="majorBidi"/>
          <w:i/>
          <w:noProof/>
        </w:rPr>
        <w:t>Threatened Habitat Types in Finland 2018 - Red List of Habitats Results and Basis for Assessment</w:t>
      </w:r>
      <w:r w:rsidRPr="00ED7E61">
        <w:rPr>
          <w:rFonts w:asciiTheme="majorBidi" w:hAnsiTheme="majorBidi" w:cstheme="majorBidi"/>
          <w:noProof/>
        </w:rPr>
        <w:t>.  (Finnish Environment Institute and Ministry of the Environment, 2019).</w:t>
      </w:r>
      <w:r w:rsidRPr="00FB1598">
        <w:rPr>
          <w:rFonts w:asciiTheme="majorBidi" w:hAnsiTheme="majorBidi" w:cstheme="majorBidi"/>
          <w:noProof/>
        </w:rPr>
        <w:t xml:space="preserve">Salomaa, A. &amp; Arponen, A. The role of the Red Lists of Ecosystems in leveraging sustainability changes in Finland – perceptions of the assessors. </w:t>
      </w:r>
      <w:r w:rsidRPr="00FB1598">
        <w:rPr>
          <w:rFonts w:asciiTheme="majorBidi" w:hAnsiTheme="majorBidi" w:cstheme="majorBidi"/>
          <w:i/>
          <w:noProof/>
        </w:rPr>
        <w:t>Ecosystems and People</w:t>
      </w:r>
      <w:r w:rsidRPr="00FB1598">
        <w:rPr>
          <w:rFonts w:asciiTheme="majorBidi" w:hAnsiTheme="majorBidi" w:cstheme="majorBidi"/>
          <w:noProof/>
        </w:rPr>
        <w:t xml:space="preserve"> </w:t>
      </w:r>
      <w:r w:rsidRPr="00FB1598">
        <w:rPr>
          <w:rFonts w:asciiTheme="majorBidi" w:hAnsiTheme="majorBidi" w:cstheme="majorBidi"/>
          <w:b/>
          <w:noProof/>
        </w:rPr>
        <w:t>19</w:t>
      </w:r>
      <w:r w:rsidRPr="00FB1598">
        <w:rPr>
          <w:rFonts w:asciiTheme="majorBidi" w:hAnsiTheme="majorBidi" w:cstheme="majorBidi"/>
          <w:noProof/>
        </w:rPr>
        <w:t>, 2222185, doi:10.1080/26395916.2023.2222185 (2023).</w:t>
      </w:r>
      <w:r w:rsidRPr="0090481A">
        <w:rPr>
          <w:rFonts w:asciiTheme="majorBidi" w:hAnsiTheme="majorBidi" w:cstheme="majorBidi"/>
          <w:noProof/>
          <w:lang w:val="en-CA"/>
        </w:rPr>
        <w:t>Botts, E. A.</w:t>
      </w:r>
      <w:r w:rsidRPr="0090481A">
        <w:rPr>
          <w:rFonts w:asciiTheme="majorBidi" w:hAnsiTheme="majorBidi" w:cstheme="majorBidi"/>
          <w:i/>
          <w:noProof/>
          <w:lang w:val="en-CA"/>
        </w:rPr>
        <w:t xml:space="preserve"> et al.</w:t>
      </w:r>
      <w:r w:rsidRPr="0090481A">
        <w:rPr>
          <w:rFonts w:asciiTheme="majorBidi" w:hAnsiTheme="majorBidi" w:cstheme="majorBidi"/>
          <w:noProof/>
          <w:lang w:val="en-CA"/>
        </w:rPr>
        <w:t xml:space="preserve"> </w:t>
      </w:r>
      <w:r w:rsidRPr="00FB1598">
        <w:rPr>
          <w:rFonts w:asciiTheme="majorBidi" w:hAnsiTheme="majorBidi" w:cstheme="majorBidi"/>
          <w:noProof/>
        </w:rPr>
        <w:t xml:space="preserve">More than just a (red) list: Over a decade of using South Africa's threatened ecosystems in policy and practice. </w:t>
      </w:r>
      <w:r w:rsidRPr="00FB1598">
        <w:rPr>
          <w:rFonts w:asciiTheme="majorBidi" w:hAnsiTheme="majorBidi" w:cstheme="majorBidi"/>
          <w:i/>
          <w:noProof/>
        </w:rPr>
        <w:t>Biol Cons</w:t>
      </w:r>
      <w:r w:rsidRPr="00FB1598">
        <w:rPr>
          <w:rFonts w:asciiTheme="majorBidi" w:hAnsiTheme="majorBidi" w:cstheme="majorBidi"/>
          <w:noProof/>
        </w:rPr>
        <w:t xml:space="preserve"> </w:t>
      </w:r>
      <w:r w:rsidRPr="00FB1598">
        <w:rPr>
          <w:rFonts w:asciiTheme="majorBidi" w:hAnsiTheme="majorBidi" w:cstheme="majorBidi"/>
          <w:b/>
          <w:noProof/>
        </w:rPr>
        <w:t>246</w:t>
      </w:r>
      <w:r w:rsidRPr="00FB1598">
        <w:rPr>
          <w:rFonts w:asciiTheme="majorBidi" w:hAnsiTheme="majorBidi" w:cstheme="majorBidi"/>
          <w:noProof/>
        </w:rPr>
        <w:t>, 108559, doi:</w:t>
      </w:r>
      <w:hyperlink r:id="rId85" w:history="1">
        <w:r w:rsidRPr="00C313E5">
          <w:rPr>
            <w:rStyle w:val="Hyperlink"/>
            <w:rFonts w:asciiTheme="majorBidi" w:hAnsiTheme="majorBidi" w:cstheme="majorBidi"/>
            <w:noProof/>
          </w:rPr>
          <w:t>https://doi.org/10.1016/j.biocon.2020.108559</w:t>
        </w:r>
      </w:hyperlink>
      <w:r w:rsidRPr="00FB1598">
        <w:rPr>
          <w:rFonts w:asciiTheme="majorBidi" w:hAnsiTheme="majorBidi" w:cstheme="majorBidi"/>
          <w:noProof/>
        </w:rPr>
        <w:t xml:space="preserve"> (2020).Skowno, A. L. &amp; Monyeki, M. S. South Africa’s Red List of Terrestrial Ecosystems (RLEs). </w:t>
      </w:r>
      <w:r w:rsidRPr="00FB1598">
        <w:rPr>
          <w:rFonts w:asciiTheme="majorBidi" w:hAnsiTheme="majorBidi" w:cstheme="majorBidi"/>
          <w:i/>
          <w:noProof/>
        </w:rPr>
        <w:t>Land</w:t>
      </w:r>
      <w:r w:rsidRPr="00FB1598">
        <w:rPr>
          <w:rFonts w:asciiTheme="majorBidi" w:hAnsiTheme="majorBidi" w:cstheme="majorBidi"/>
          <w:noProof/>
        </w:rPr>
        <w:t xml:space="preserve"> </w:t>
      </w:r>
      <w:r w:rsidRPr="00FB1598">
        <w:rPr>
          <w:rFonts w:asciiTheme="majorBidi" w:hAnsiTheme="majorBidi" w:cstheme="majorBidi"/>
          <w:b/>
          <w:noProof/>
        </w:rPr>
        <w:t>10</w:t>
      </w:r>
      <w:r w:rsidRPr="00FB1598">
        <w:rPr>
          <w:rFonts w:asciiTheme="majorBidi" w:hAnsiTheme="majorBidi" w:cstheme="majorBidi"/>
          <w:noProof/>
        </w:rPr>
        <w:t>, 1048 (2021).</w:t>
      </w:r>
      <w:r w:rsidRPr="0090481A">
        <w:rPr>
          <w:rFonts w:asciiTheme="majorBidi" w:hAnsiTheme="majorBidi" w:cstheme="majorBidi"/>
          <w:noProof/>
          <w:lang w:val="en-CA"/>
        </w:rPr>
        <w:t>Murray, N. J.</w:t>
      </w:r>
      <w:r w:rsidRPr="0090481A">
        <w:rPr>
          <w:rFonts w:asciiTheme="majorBidi" w:hAnsiTheme="majorBidi" w:cstheme="majorBidi"/>
          <w:i/>
          <w:noProof/>
          <w:lang w:val="en-CA"/>
        </w:rPr>
        <w:t xml:space="preserve"> et al.</w:t>
      </w:r>
      <w:r w:rsidRPr="0090481A">
        <w:rPr>
          <w:rFonts w:asciiTheme="majorBidi" w:hAnsiTheme="majorBidi" w:cstheme="majorBidi"/>
          <w:noProof/>
          <w:lang w:val="en-CA"/>
        </w:rPr>
        <w:t xml:space="preserve"> </w:t>
      </w:r>
      <w:r w:rsidRPr="00FB1598">
        <w:rPr>
          <w:rFonts w:asciiTheme="majorBidi" w:hAnsiTheme="majorBidi" w:cstheme="majorBidi"/>
          <w:noProof/>
        </w:rPr>
        <w:t xml:space="preserve">Myanmar's terrestrial ecosystems: Status, threats and conservation opportunities. </w:t>
      </w:r>
      <w:r w:rsidRPr="00FB1598">
        <w:rPr>
          <w:rFonts w:asciiTheme="majorBidi" w:hAnsiTheme="majorBidi" w:cstheme="majorBidi"/>
          <w:i/>
          <w:noProof/>
        </w:rPr>
        <w:t>Biol Cons</w:t>
      </w:r>
      <w:r w:rsidRPr="00FB1598">
        <w:rPr>
          <w:rFonts w:asciiTheme="majorBidi" w:hAnsiTheme="majorBidi" w:cstheme="majorBidi"/>
          <w:noProof/>
        </w:rPr>
        <w:t xml:space="preserve"> </w:t>
      </w:r>
      <w:r w:rsidRPr="00FB1598">
        <w:rPr>
          <w:rFonts w:asciiTheme="majorBidi" w:hAnsiTheme="majorBidi" w:cstheme="majorBidi"/>
          <w:b/>
          <w:noProof/>
        </w:rPr>
        <w:t>252</w:t>
      </w:r>
      <w:r w:rsidRPr="00FB1598">
        <w:rPr>
          <w:rFonts w:asciiTheme="majorBidi" w:hAnsiTheme="majorBidi" w:cstheme="majorBidi"/>
          <w:noProof/>
        </w:rPr>
        <w:t>, 108834, doi:</w:t>
      </w:r>
      <w:hyperlink r:id="rId86" w:history="1">
        <w:r w:rsidRPr="00C313E5">
          <w:rPr>
            <w:rStyle w:val="Hyperlink"/>
            <w:rFonts w:asciiTheme="majorBidi" w:hAnsiTheme="majorBidi" w:cstheme="majorBidi"/>
            <w:noProof/>
          </w:rPr>
          <w:t>https://doi.org/10.1016/j.biocon.2020.108834</w:t>
        </w:r>
      </w:hyperlink>
      <w:r w:rsidRPr="00FB1598">
        <w:rPr>
          <w:rFonts w:asciiTheme="majorBidi" w:hAnsiTheme="majorBidi" w:cstheme="majorBidi"/>
          <w:noProof/>
        </w:rPr>
        <w:t xml:space="preserve"> (2020).Obura, D.</w:t>
      </w:r>
      <w:r w:rsidRPr="00FB1598">
        <w:rPr>
          <w:rFonts w:asciiTheme="majorBidi" w:hAnsiTheme="majorBidi" w:cstheme="majorBidi"/>
          <w:i/>
          <w:noProof/>
        </w:rPr>
        <w:t xml:space="preserve"> et al.</w:t>
      </w:r>
      <w:r w:rsidRPr="00FB1598">
        <w:rPr>
          <w:rFonts w:asciiTheme="majorBidi" w:hAnsiTheme="majorBidi" w:cstheme="majorBidi"/>
          <w:noProof/>
        </w:rPr>
        <w:t xml:space="preserve"> Vulnerability to collapse of coral reef ecosystems in the Western Indian Ocean. </w:t>
      </w:r>
      <w:r w:rsidRPr="00FB1598">
        <w:rPr>
          <w:rFonts w:asciiTheme="majorBidi" w:hAnsiTheme="majorBidi" w:cstheme="majorBidi"/>
          <w:i/>
          <w:noProof/>
        </w:rPr>
        <w:t>Nature Sustainability</w:t>
      </w:r>
      <w:r w:rsidRPr="00FB1598">
        <w:rPr>
          <w:rFonts w:asciiTheme="majorBidi" w:hAnsiTheme="majorBidi" w:cstheme="majorBidi"/>
          <w:noProof/>
        </w:rPr>
        <w:t xml:space="preserve"> </w:t>
      </w:r>
      <w:r w:rsidRPr="00FB1598">
        <w:rPr>
          <w:rFonts w:asciiTheme="majorBidi" w:hAnsiTheme="majorBidi" w:cstheme="majorBidi"/>
          <w:b/>
          <w:noProof/>
        </w:rPr>
        <w:t>5</w:t>
      </w:r>
      <w:r w:rsidRPr="00FB1598">
        <w:rPr>
          <w:rFonts w:asciiTheme="majorBidi" w:hAnsiTheme="majorBidi" w:cstheme="majorBidi"/>
          <w:noProof/>
        </w:rPr>
        <w:t>, 104-113, doi:10.1038/s41893-021-00817-0 (2022).Toor, M.</w:t>
      </w:r>
      <w:r w:rsidRPr="00FB1598">
        <w:rPr>
          <w:rFonts w:asciiTheme="majorBidi" w:hAnsiTheme="majorBidi" w:cstheme="majorBidi"/>
          <w:i/>
          <w:noProof/>
        </w:rPr>
        <w:t xml:space="preserve"> et al.</w:t>
      </w:r>
      <w:r w:rsidRPr="00FB1598">
        <w:rPr>
          <w:rFonts w:asciiTheme="majorBidi" w:hAnsiTheme="majorBidi" w:cstheme="majorBidi"/>
          <w:noProof/>
        </w:rPr>
        <w:t xml:space="preserve"> Applying the IUCN Global Ecosystem Typology to the Maldives, </w:t>
      </w:r>
      <w:hyperlink r:id="rId87" w:history="1">
        <w:r w:rsidRPr="00C313E5">
          <w:rPr>
            <w:rStyle w:val="Hyperlink"/>
            <w:rFonts w:asciiTheme="majorBidi" w:hAnsiTheme="majorBidi" w:cstheme="majorBidi"/>
            <w:noProof/>
          </w:rPr>
          <w:t>https://www.environment.gov.mv/v2/en/download/14710</w:t>
        </w:r>
      </w:hyperlink>
      <w:r w:rsidRPr="00FB1598">
        <w:rPr>
          <w:rFonts w:asciiTheme="majorBidi" w:hAnsiTheme="majorBidi" w:cstheme="majorBidi"/>
          <w:noProof/>
        </w:rPr>
        <w:t>. (Ministry of Environment, Maldines, 2022).Dinerstein, E.</w:t>
      </w:r>
      <w:r w:rsidRPr="00FB1598">
        <w:rPr>
          <w:rFonts w:asciiTheme="majorBidi" w:hAnsiTheme="majorBidi" w:cstheme="majorBidi"/>
          <w:i/>
          <w:noProof/>
        </w:rPr>
        <w:t xml:space="preserve"> et al.</w:t>
      </w:r>
      <w:r w:rsidRPr="00FB1598">
        <w:rPr>
          <w:rFonts w:asciiTheme="majorBidi" w:hAnsiTheme="majorBidi" w:cstheme="majorBidi"/>
          <w:noProof/>
        </w:rPr>
        <w:t xml:space="preserve"> An Ecoregion-Based Approach to Protecting Half the Terrestrial Realm. </w:t>
      </w:r>
      <w:r w:rsidRPr="00FB1598">
        <w:rPr>
          <w:rFonts w:asciiTheme="majorBidi" w:hAnsiTheme="majorBidi" w:cstheme="majorBidi"/>
          <w:i/>
          <w:noProof/>
        </w:rPr>
        <w:t>Bioscience</w:t>
      </w:r>
      <w:r w:rsidRPr="00FB1598">
        <w:rPr>
          <w:rFonts w:asciiTheme="majorBidi" w:hAnsiTheme="majorBidi" w:cstheme="majorBidi"/>
          <w:noProof/>
        </w:rPr>
        <w:t xml:space="preserve"> </w:t>
      </w:r>
      <w:r w:rsidRPr="00FB1598">
        <w:rPr>
          <w:rFonts w:asciiTheme="majorBidi" w:hAnsiTheme="majorBidi" w:cstheme="majorBidi"/>
          <w:b/>
          <w:noProof/>
        </w:rPr>
        <w:t>67</w:t>
      </w:r>
      <w:r w:rsidRPr="00FB1598">
        <w:rPr>
          <w:rFonts w:asciiTheme="majorBidi" w:hAnsiTheme="majorBidi" w:cstheme="majorBidi"/>
          <w:noProof/>
        </w:rPr>
        <w:t>, 534-545, doi:10.1093/biosci/bix014 (2017).Xiao, H.</w:t>
      </w:r>
      <w:r w:rsidRPr="00FB1598">
        <w:rPr>
          <w:rFonts w:asciiTheme="majorBidi" w:hAnsiTheme="majorBidi" w:cstheme="majorBidi"/>
          <w:i/>
          <w:noProof/>
        </w:rPr>
        <w:t xml:space="preserve"> et al.</w:t>
      </w:r>
      <w:r w:rsidRPr="00FB1598">
        <w:rPr>
          <w:rFonts w:asciiTheme="majorBidi" w:hAnsiTheme="majorBidi" w:cstheme="majorBidi"/>
          <w:noProof/>
        </w:rPr>
        <w:t xml:space="preserve"> Synergies and complementarities between ecosystem risk assessment and ecosystem accounting (v1). </w:t>
      </w:r>
      <w:r w:rsidRPr="00FB1598">
        <w:rPr>
          <w:rFonts w:asciiTheme="majorBidi" w:hAnsiTheme="majorBidi" w:cstheme="majorBidi"/>
          <w:i/>
          <w:noProof/>
        </w:rPr>
        <w:t>EcoEvoRxiv [PREPRINT]</w:t>
      </w:r>
      <w:r w:rsidRPr="00FB1598">
        <w:rPr>
          <w:rFonts w:asciiTheme="majorBidi" w:hAnsiTheme="majorBidi" w:cstheme="majorBidi"/>
          <w:noProof/>
        </w:rPr>
        <w:t xml:space="preserve"> </w:t>
      </w:r>
      <w:hyperlink r:id="rId88" w:history="1">
        <w:r w:rsidRPr="00C313E5">
          <w:rPr>
            <w:rStyle w:val="Hyperlink"/>
            <w:rFonts w:asciiTheme="majorBidi" w:hAnsiTheme="majorBidi" w:cstheme="majorBidi"/>
            <w:b/>
            <w:noProof/>
          </w:rPr>
          <w:t>https://doi.org/10.32942/osf.io/y86ar</w:t>
        </w:r>
      </w:hyperlink>
      <w:r w:rsidRPr="00FB1598">
        <w:rPr>
          <w:rFonts w:asciiTheme="majorBidi" w:hAnsiTheme="majorBidi" w:cstheme="majorBidi"/>
          <w:noProof/>
        </w:rPr>
        <w:t xml:space="preserve"> (2022).Nicholson, E.</w:t>
      </w:r>
      <w:r w:rsidRPr="00FB1598">
        <w:rPr>
          <w:rFonts w:asciiTheme="majorBidi" w:hAnsiTheme="majorBidi" w:cstheme="majorBidi"/>
          <w:i/>
          <w:noProof/>
        </w:rPr>
        <w:t xml:space="preserve"> et al.</w:t>
      </w:r>
      <w:r w:rsidRPr="00FB1598">
        <w:rPr>
          <w:rFonts w:asciiTheme="majorBidi" w:hAnsiTheme="majorBidi" w:cstheme="majorBidi"/>
          <w:noProof/>
        </w:rPr>
        <w:t xml:space="preserve"> Roles of the Red List of Ecosystems in the Kunming-Montreal Global Biodiversity Framework. </w:t>
      </w:r>
      <w:r w:rsidRPr="00FB1598">
        <w:rPr>
          <w:rFonts w:asciiTheme="majorBidi" w:hAnsiTheme="majorBidi" w:cstheme="majorBidi"/>
          <w:i/>
          <w:noProof/>
        </w:rPr>
        <w:t>Nature Ecology &amp; Evolution</w:t>
      </w:r>
      <w:r w:rsidRPr="00FB1598">
        <w:rPr>
          <w:rFonts w:asciiTheme="majorBidi" w:hAnsiTheme="majorBidi" w:cstheme="majorBidi"/>
          <w:noProof/>
        </w:rPr>
        <w:t>, doi:</w:t>
      </w:r>
      <w:hyperlink r:id="rId89" w:history="1">
        <w:r w:rsidRPr="00C313E5">
          <w:rPr>
            <w:rStyle w:val="Hyperlink"/>
            <w:rFonts w:asciiTheme="majorBidi" w:hAnsiTheme="majorBidi" w:cstheme="majorBidi"/>
            <w:noProof/>
          </w:rPr>
          <w:t>https://doi.org/10.1038/s41559-023-02320-5</w:t>
        </w:r>
      </w:hyperlink>
      <w:r w:rsidRPr="00FB1598">
        <w:rPr>
          <w:rFonts w:asciiTheme="majorBidi" w:hAnsiTheme="majorBidi" w:cstheme="majorBidi"/>
          <w:noProof/>
        </w:rPr>
        <w:t xml:space="preserve"> (2024).CONNECT Project. Ghana Spatial Biodiversity Assessment v2. (National Biosafety Authority and the Council for Scientific and Industrial Research, Accra, Ghana, 2021).National Environment Management Authority. Uganda Spatial Biodiversity Assessment v1. </w:t>
      </w:r>
      <w:r w:rsidRPr="0090481A">
        <w:rPr>
          <w:rFonts w:asciiTheme="majorBidi" w:hAnsiTheme="majorBidi" w:cstheme="majorBidi"/>
          <w:noProof/>
          <w:lang w:val="en-CA"/>
        </w:rPr>
        <w:t>(CONNECT Project, Kampala, Uganda, 2020).Ferrer-Paris, J. R.</w:t>
      </w:r>
      <w:r w:rsidRPr="0090481A">
        <w:rPr>
          <w:rFonts w:asciiTheme="majorBidi" w:hAnsiTheme="majorBidi" w:cstheme="majorBidi"/>
          <w:i/>
          <w:noProof/>
          <w:lang w:val="en-CA"/>
        </w:rPr>
        <w:t xml:space="preserve"> et al.</w:t>
      </w:r>
      <w:r w:rsidRPr="0090481A">
        <w:rPr>
          <w:rFonts w:asciiTheme="majorBidi" w:hAnsiTheme="majorBidi" w:cstheme="majorBidi"/>
          <w:noProof/>
          <w:lang w:val="en-CA"/>
        </w:rPr>
        <w:t xml:space="preserve"> </w:t>
      </w:r>
      <w:r w:rsidRPr="00FB1598">
        <w:rPr>
          <w:rFonts w:asciiTheme="majorBidi" w:hAnsiTheme="majorBidi" w:cstheme="majorBidi"/>
          <w:noProof/>
        </w:rPr>
        <w:t xml:space="preserve">An ecosystem risk assessment of temperate and tropical forests of the Americas with an outlook on future conservation strategies. </w:t>
      </w:r>
      <w:r w:rsidRPr="00FB1598">
        <w:rPr>
          <w:rFonts w:asciiTheme="majorBidi" w:hAnsiTheme="majorBidi" w:cstheme="majorBidi"/>
          <w:i/>
          <w:noProof/>
          <w:lang w:val="fr-FR"/>
        </w:rPr>
        <w:t>Cons Lett</w:t>
      </w:r>
      <w:r w:rsidRPr="00FB1598">
        <w:rPr>
          <w:rFonts w:asciiTheme="majorBidi" w:hAnsiTheme="majorBidi" w:cstheme="majorBidi"/>
          <w:noProof/>
          <w:lang w:val="fr-FR"/>
        </w:rPr>
        <w:t xml:space="preserve"> </w:t>
      </w:r>
      <w:r w:rsidRPr="00FB1598">
        <w:rPr>
          <w:rFonts w:asciiTheme="majorBidi" w:hAnsiTheme="majorBidi" w:cstheme="majorBidi"/>
          <w:b/>
          <w:noProof/>
          <w:lang w:val="fr-FR"/>
        </w:rPr>
        <w:t>12</w:t>
      </w:r>
      <w:r w:rsidRPr="00FB1598">
        <w:rPr>
          <w:rFonts w:asciiTheme="majorBidi" w:hAnsiTheme="majorBidi" w:cstheme="majorBidi"/>
          <w:noProof/>
          <w:lang w:val="fr-FR"/>
        </w:rPr>
        <w:t>, e12623, doi:10.1111/conl.12623 (2019).Sink, K. J.</w:t>
      </w:r>
      <w:r w:rsidRPr="00FB1598">
        <w:rPr>
          <w:rFonts w:asciiTheme="majorBidi" w:hAnsiTheme="majorBidi" w:cstheme="majorBidi"/>
          <w:i/>
          <w:noProof/>
          <w:lang w:val="fr-FR"/>
        </w:rPr>
        <w:t xml:space="preserve"> et al.</w:t>
      </w:r>
      <w:r w:rsidRPr="00FB1598">
        <w:rPr>
          <w:rFonts w:asciiTheme="majorBidi" w:hAnsiTheme="majorBidi" w:cstheme="majorBidi"/>
          <w:noProof/>
          <w:lang w:val="fr-FR"/>
        </w:rPr>
        <w:t xml:space="preserve"> </w:t>
      </w:r>
      <w:r w:rsidRPr="00FB1598">
        <w:rPr>
          <w:rFonts w:asciiTheme="majorBidi" w:hAnsiTheme="majorBidi" w:cstheme="majorBidi"/>
          <w:noProof/>
        </w:rPr>
        <w:t xml:space="preserve">Iterative mapping of marine ecosystems for spatial status assessment, prioritization, and decision support. </w:t>
      </w:r>
      <w:r w:rsidRPr="00FB1598">
        <w:rPr>
          <w:rFonts w:asciiTheme="majorBidi" w:hAnsiTheme="majorBidi" w:cstheme="majorBidi"/>
          <w:i/>
          <w:noProof/>
        </w:rPr>
        <w:t>Frontiers in Ecology and Evolution</w:t>
      </w:r>
      <w:r w:rsidRPr="00FB1598">
        <w:rPr>
          <w:rFonts w:asciiTheme="majorBidi" w:hAnsiTheme="majorBidi" w:cstheme="majorBidi"/>
          <w:noProof/>
        </w:rPr>
        <w:t xml:space="preserve"> </w:t>
      </w:r>
      <w:r w:rsidRPr="00FB1598">
        <w:rPr>
          <w:rFonts w:asciiTheme="majorBidi" w:hAnsiTheme="majorBidi" w:cstheme="majorBidi"/>
          <w:b/>
          <w:noProof/>
        </w:rPr>
        <w:t>11</w:t>
      </w:r>
      <w:r w:rsidRPr="00FB1598">
        <w:rPr>
          <w:rFonts w:asciiTheme="majorBidi" w:hAnsiTheme="majorBidi" w:cstheme="majorBidi"/>
          <w:noProof/>
        </w:rPr>
        <w:t>, doi:10.3389/fevo.2023.1108118 (2023).</w:t>
      </w:r>
    </w:p>
    <w:p w14:paraId="17077FF7" w14:textId="77777777" w:rsidR="003D6BBD" w:rsidRPr="00ED7E61" w:rsidRDefault="003D6BBD" w:rsidP="003D6BBD">
      <w:r w:rsidRPr="00ED7E61">
        <w:rPr>
          <w:rFonts w:asciiTheme="majorBidi" w:hAnsiTheme="majorBidi" w:cstheme="majorBidi"/>
          <w:sz w:val="22"/>
          <w:szCs w:val="22"/>
          <w:lang w:val="en-GB"/>
        </w:rPr>
        <w:fldChar w:fldCharType="end"/>
      </w:r>
      <w:bookmarkEnd w:id="16"/>
    </w:p>
    <w:p w14:paraId="15C4EE4A" w14:textId="77777777" w:rsidR="003D6BBD" w:rsidRPr="00ED7E61" w:rsidRDefault="003D6BBD" w:rsidP="003D6BBD">
      <w:pPr>
        <w:rPr>
          <w:rFonts w:asciiTheme="majorBidi" w:hAnsiTheme="majorBidi" w:cstheme="majorBidi"/>
          <w:b/>
          <w:bCs/>
          <w:sz w:val="22"/>
          <w:szCs w:val="22"/>
        </w:rPr>
      </w:pPr>
      <w:r w:rsidRPr="00ED7E61">
        <w:rPr>
          <w:rFonts w:asciiTheme="majorBidi" w:hAnsiTheme="majorBidi" w:cstheme="majorBidi"/>
          <w:b/>
          <w:bCs/>
          <w:sz w:val="22"/>
          <w:szCs w:val="22"/>
        </w:rPr>
        <w:br w:type="page"/>
      </w:r>
    </w:p>
    <w:p w14:paraId="0ABEDC30" w14:textId="3A71E2DB" w:rsidR="003D6BBD" w:rsidRPr="00ED7E61" w:rsidRDefault="003D6BBD" w:rsidP="00B3383B">
      <w:pPr>
        <w:pStyle w:val="Heading2"/>
      </w:pPr>
      <w:bookmarkStart w:id="17" w:name="_Toc178285841"/>
      <w:r w:rsidRPr="00ED7E61">
        <w:rPr>
          <w:b/>
          <w:bCs/>
        </w:rPr>
        <w:t>Section 3</w:t>
      </w:r>
      <w:bookmarkEnd w:id="17"/>
      <w:r w:rsidRPr="00ED7E61">
        <w:rPr>
          <w:b/>
          <w:bCs/>
        </w:rPr>
        <w:t xml:space="preserve"> </w:t>
      </w:r>
      <w:r w:rsidR="00813CD1">
        <w:rPr>
          <w:b/>
          <w:bCs/>
        </w:rPr>
        <w:br/>
      </w:r>
      <w:bookmarkStart w:id="18" w:name="_Toc178285842"/>
      <w:r w:rsidRPr="00ED7E61">
        <w:rPr>
          <w:b/>
          <w:bCs/>
        </w:rPr>
        <w:t>Headline and binary indicator metadata</w:t>
      </w:r>
      <w:r w:rsidR="008344AF" w:rsidRPr="00ED7E61">
        <w:rPr>
          <w:rStyle w:val="FootnoteReference"/>
          <w:b/>
          <w:bCs/>
        </w:rPr>
        <w:footnoteReference w:id="26"/>
      </w:r>
      <w:bookmarkEnd w:id="18"/>
    </w:p>
    <w:p w14:paraId="309990D1" w14:textId="25AFF5EB" w:rsidR="003D6BBD" w:rsidRPr="00ED7E61" w:rsidRDefault="003D6BBD" w:rsidP="003D6BBD">
      <w:pPr>
        <w:pStyle w:val="Heading3"/>
      </w:pPr>
      <w:bookmarkStart w:id="19" w:name="_Toc178285843"/>
      <w:r w:rsidRPr="00ED7E61">
        <w:rPr>
          <w:rStyle w:val="normaltextrun"/>
        </w:rPr>
        <w:t>GBF indicator metadata: A.1 Red List of Ecosystems</w:t>
      </w:r>
      <w:bookmarkEnd w:id="19"/>
    </w:p>
    <w:p w14:paraId="0E557626" w14:textId="77777777" w:rsidR="003D6BBD" w:rsidRPr="00ED7E61" w:rsidRDefault="003D6BBD" w:rsidP="003D6BBD">
      <w:pPr>
        <w:pStyle w:val="paragraph"/>
        <w:spacing w:before="0" w:beforeAutospacing="0" w:after="0" w:afterAutospacing="0"/>
        <w:jc w:val="center"/>
        <w:textAlignment w:val="baseline"/>
        <w:rPr>
          <w:rFonts w:asciiTheme="majorBidi" w:hAnsiTheme="majorBidi" w:cstheme="majorBidi"/>
          <w:b/>
          <w:bCs/>
          <w:sz w:val="22"/>
          <w:szCs w:val="22"/>
        </w:rPr>
      </w:pPr>
    </w:p>
    <w:p w14:paraId="7FA24992"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b/>
          <w:bCs/>
          <w:sz w:val="22"/>
          <w:szCs w:val="22"/>
        </w:rPr>
        <w:t> </w:t>
      </w:r>
    </w:p>
    <w:p w14:paraId="0FED67F8"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AU"/>
        </w:rPr>
        <w:t>A.1 Red List of Ecosystems</w:t>
      </w:r>
      <w:r w:rsidRPr="00ED7E61">
        <w:rPr>
          <w:rStyle w:val="eop"/>
          <w:rFonts w:asciiTheme="majorBidi" w:eastAsiaTheme="majorEastAsia" w:hAnsiTheme="majorBidi" w:cstheme="majorBidi"/>
          <w:color w:val="000000"/>
          <w:sz w:val="22"/>
          <w:szCs w:val="22"/>
        </w:rPr>
        <w:t> </w:t>
      </w:r>
    </w:p>
    <w:p w14:paraId="21BA475F"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b/>
          <w:bCs/>
          <w:sz w:val="22"/>
          <w:szCs w:val="22"/>
        </w:rPr>
        <w:t> </w:t>
      </w:r>
    </w:p>
    <w:p w14:paraId="0250DCC9" w14:textId="2DA799F0" w:rsidR="003D6BBD" w:rsidRPr="00ED7E61" w:rsidRDefault="006B30FE" w:rsidP="003D6BBD">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3D6BBD" w:rsidRPr="00ED7E61">
        <w:rPr>
          <w:rStyle w:val="normaltextrun"/>
          <w:rFonts w:asciiTheme="majorBidi" w:eastAsiaTheme="majorEastAsia" w:hAnsiTheme="majorBidi" w:cstheme="majorBidi"/>
          <w:sz w:val="22"/>
          <w:szCs w:val="22"/>
        </w:rPr>
        <w:t>2024</w:t>
      </w:r>
      <w:r w:rsidR="003D6BBD" w:rsidRPr="00ED7E61">
        <w:rPr>
          <w:rStyle w:val="eop"/>
          <w:rFonts w:asciiTheme="majorBidi" w:eastAsiaTheme="majorEastAsia" w:hAnsiTheme="majorBidi" w:cstheme="majorBidi"/>
          <w:sz w:val="22"/>
          <w:szCs w:val="22"/>
        </w:rPr>
        <w:t> </w:t>
      </w:r>
    </w:p>
    <w:p w14:paraId="7332B341" w14:textId="77777777" w:rsidR="003D6BBD" w:rsidRPr="00ED7E61" w:rsidRDefault="003D6BBD" w:rsidP="00B3383B">
      <w:pPr>
        <w:pStyle w:val="paragraph"/>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b/>
          <w:bCs/>
          <w:sz w:val="22"/>
          <w:szCs w:val="22"/>
        </w:rPr>
        <w:t> </w:t>
      </w:r>
    </w:p>
    <w:p w14:paraId="7B13B335"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3a. Goal </w:t>
      </w:r>
      <w:r w:rsidRPr="00ED7E61">
        <w:rPr>
          <w:rStyle w:val="eop"/>
          <w:rFonts w:asciiTheme="majorBidi" w:eastAsiaTheme="majorEastAsia" w:hAnsiTheme="majorBidi" w:cstheme="majorBidi"/>
          <w:b/>
          <w:bCs/>
          <w:sz w:val="22"/>
          <w:szCs w:val="22"/>
        </w:rPr>
        <w:t> </w:t>
      </w:r>
    </w:p>
    <w:p w14:paraId="3DCEED11"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Headline Indicator for Goal A: The integrity, connectivity and resilience of all ecosystems are maintained, enhanced, or restored, substantially increasing the area of natural ecosystems by 2050; Human induced extinction of known threatened species is halted, and, by 2050, the extinction rate and risk of all species are reduced tenfold and the abundance of native wild species is increased to healthy and resilient levels;  The genetic diversity within populations of wild and domesticated species, is maintained, safeguarding their adaptive potential.</w:t>
      </w:r>
      <w:r w:rsidRPr="00ED7E61">
        <w:rPr>
          <w:rStyle w:val="eop"/>
          <w:rFonts w:asciiTheme="majorBidi" w:eastAsiaTheme="majorEastAsia" w:hAnsiTheme="majorBidi" w:cstheme="majorBidi"/>
          <w:sz w:val="22"/>
          <w:szCs w:val="22"/>
        </w:rPr>
        <w:t> </w:t>
      </w:r>
    </w:p>
    <w:p w14:paraId="466985E8"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3b. Target</w:t>
      </w:r>
      <w:r w:rsidRPr="00ED7E61">
        <w:rPr>
          <w:rStyle w:val="eop"/>
          <w:rFonts w:asciiTheme="majorBidi" w:eastAsiaTheme="majorEastAsia" w:hAnsiTheme="majorBidi" w:cstheme="majorBidi"/>
          <w:b/>
          <w:bCs/>
          <w:sz w:val="22"/>
          <w:szCs w:val="22"/>
        </w:rPr>
        <w:t> </w:t>
      </w:r>
    </w:p>
    <w:p w14:paraId="5943023A"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Headline Indicator for Target 1</w:t>
      </w:r>
      <w:r w:rsidRPr="00ED7E61">
        <w:rPr>
          <w:rStyle w:val="normaltextrun"/>
          <w:rFonts w:asciiTheme="majorBidi" w:eastAsiaTheme="majorEastAsia" w:hAnsiTheme="majorBidi" w:cstheme="majorBidi"/>
          <w:b/>
          <w:bCs/>
          <w:sz w:val="22"/>
          <w:szCs w:val="22"/>
        </w:rPr>
        <w:t>:</w:t>
      </w:r>
      <w:r w:rsidRPr="00ED7E61">
        <w:rPr>
          <w:rStyle w:val="normaltextrun"/>
          <w:rFonts w:asciiTheme="majorBidi" w:eastAsiaTheme="majorEastAsia" w:hAnsiTheme="majorBidi" w:cstheme="majorBidi"/>
          <w:sz w:val="22"/>
          <w:szCs w:val="22"/>
        </w:rPr>
        <w:t xml:space="preserve"> Ensure that all areas are under participatory, integrated and biodiversity inclusive spatial planning and/or effective management processes addressing land- and sea-use change, to bring the loss of areas of high biodiversity importance, including ecosystems of high ecological integrity, close to zero by 2030, while respecting the rights of indigenous peoples and local communities.</w:t>
      </w:r>
      <w:r w:rsidRPr="00ED7E61">
        <w:rPr>
          <w:rStyle w:val="eop"/>
          <w:rFonts w:asciiTheme="majorBidi" w:eastAsiaTheme="majorEastAsia" w:hAnsiTheme="majorBidi" w:cstheme="majorBidi"/>
          <w:sz w:val="22"/>
          <w:szCs w:val="22"/>
        </w:rPr>
        <w:t> </w:t>
      </w:r>
    </w:p>
    <w:p w14:paraId="663FAC00" w14:textId="25658A9F" w:rsidR="00C058BF"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This is also relevant for Target 2, 3 and 7.</w:t>
      </w:r>
    </w:p>
    <w:p w14:paraId="3130A956"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4. Rationale </w:t>
      </w:r>
      <w:r w:rsidRPr="00ED7E61">
        <w:rPr>
          <w:rStyle w:val="eop"/>
          <w:rFonts w:asciiTheme="majorBidi" w:eastAsiaTheme="majorEastAsia" w:hAnsiTheme="majorBidi" w:cstheme="majorBidi"/>
          <w:b/>
          <w:bCs/>
          <w:sz w:val="22"/>
          <w:szCs w:val="22"/>
        </w:rPr>
        <w:t> </w:t>
      </w:r>
    </w:p>
    <w:p w14:paraId="32DD02EA" w14:textId="77777777" w:rsidR="003D6BBD" w:rsidRPr="00ED7E61" w:rsidRDefault="003D6BBD" w:rsidP="00B10F0C">
      <w:pPr>
        <w:pStyle w:val="CBDNormalNumber"/>
        <w:numPr>
          <w:ilvl w:val="0"/>
          <w:numId w:val="40"/>
        </w:numPr>
      </w:pPr>
      <w:r w:rsidRPr="00933B63">
        <w:t>This</w:t>
      </w:r>
      <w:r w:rsidRPr="00933B63">
        <w:rPr>
          <w:rStyle w:val="normaltextrun"/>
          <w:rFonts w:asciiTheme="majorBidi" w:eastAsiaTheme="majorEastAsia" w:hAnsiTheme="majorBidi" w:cstheme="majorBidi"/>
          <w:color w:val="000000"/>
          <w:lang w:val="en-AU"/>
        </w:rPr>
        <w:t xml:space="preserve"> indicator addresses the elements of Goal A highlighted in bold: </w:t>
      </w:r>
      <w:r w:rsidRPr="00933B63">
        <w:rPr>
          <w:rStyle w:val="normaltextrun"/>
          <w:rFonts w:asciiTheme="majorBidi" w:eastAsiaTheme="majorEastAsia" w:hAnsiTheme="majorBidi" w:cstheme="majorBidi"/>
        </w:rPr>
        <w:t xml:space="preserve">The </w:t>
      </w:r>
      <w:r w:rsidRPr="00933B63">
        <w:rPr>
          <w:rStyle w:val="normaltextrun"/>
          <w:rFonts w:asciiTheme="majorBidi" w:eastAsiaTheme="majorEastAsia" w:hAnsiTheme="majorBidi" w:cstheme="majorBidi"/>
          <w:b/>
          <w:bCs/>
        </w:rPr>
        <w:t>integrity, connectivity and resilience of all ecosystems are maintained, enhanced, or restored</w:t>
      </w:r>
      <w:r w:rsidRPr="00933B63">
        <w:rPr>
          <w:rStyle w:val="normaltextrun"/>
          <w:rFonts w:asciiTheme="majorBidi" w:eastAsiaTheme="majorEastAsia" w:hAnsiTheme="majorBidi" w:cstheme="majorBidi"/>
        </w:rPr>
        <w:t xml:space="preserve">, substantially </w:t>
      </w:r>
      <w:r w:rsidRPr="00933B63">
        <w:rPr>
          <w:rStyle w:val="normaltextrun"/>
          <w:rFonts w:asciiTheme="majorBidi" w:eastAsiaTheme="majorEastAsia" w:hAnsiTheme="majorBidi" w:cstheme="majorBidi"/>
          <w:b/>
          <w:bCs/>
        </w:rPr>
        <w:t>increasing the area of natural ecosystems</w:t>
      </w:r>
      <w:r w:rsidRPr="00933B63">
        <w:rPr>
          <w:rStyle w:val="normaltextrun"/>
          <w:rFonts w:asciiTheme="majorBidi" w:eastAsiaTheme="majorEastAsia" w:hAnsiTheme="majorBidi" w:cstheme="majorBidi"/>
        </w:rPr>
        <w:t xml:space="preserve"> by 2050. </w:t>
      </w:r>
      <w:r w:rsidRPr="00933B63">
        <w:rPr>
          <w:rStyle w:val="eop"/>
          <w:rFonts w:asciiTheme="majorBidi" w:eastAsiaTheme="majorEastAsia" w:hAnsiTheme="majorBidi" w:cstheme="majorBidi"/>
        </w:rPr>
        <w:t> </w:t>
      </w:r>
    </w:p>
    <w:p w14:paraId="1FAEAC43" w14:textId="437BAB06" w:rsidR="008344AF" w:rsidRPr="00ED7E61" w:rsidRDefault="003D6BBD" w:rsidP="00B10F0C">
      <w:pPr>
        <w:pStyle w:val="CBDNormalNumber"/>
      </w:pPr>
      <w:r w:rsidRPr="00933B63">
        <w:t>Sustaining</w:t>
      </w:r>
      <w:r w:rsidRPr="00ED7E61">
        <w:t xml:space="preserve"> ecosystems is essential to halting biodiversity decline and species extinctions, and to maintaining ecosystem services that underpin human well-being and the economy (Nicholson et al. 2021). The World Economic Forum ranks biodiversity loss and ecosystem collapse in the top five global risks in terms of likelihood and impact this decade (WEF 2020). </w:t>
      </w:r>
    </w:p>
    <w:p w14:paraId="368C3545" w14:textId="11C96641" w:rsidR="008344AF"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color w:val="000000"/>
          <w:lang w:val="en-US"/>
        </w:rPr>
        <w:t xml:space="preserve">The </w:t>
      </w:r>
      <w:r w:rsidRPr="00B3383B">
        <w:t>Red</w:t>
      </w:r>
      <w:r w:rsidRPr="00ED7E61">
        <w:rPr>
          <w:rStyle w:val="normaltextrun"/>
          <w:rFonts w:asciiTheme="majorBidi" w:eastAsiaTheme="majorEastAsia" w:hAnsiTheme="majorBidi" w:cstheme="majorBidi"/>
          <w:lang w:val="en-US"/>
        </w:rPr>
        <w:t xml:space="preserve"> List of Ecosystems</w:t>
      </w:r>
      <w:r w:rsidRPr="00ED7E61">
        <w:rPr>
          <w:rStyle w:val="normaltextrun"/>
          <w:rFonts w:asciiTheme="majorBidi" w:eastAsiaTheme="majorEastAsia" w:hAnsiTheme="majorBidi" w:cstheme="majorBidi"/>
          <w:color w:val="000000"/>
          <w:lang w:val="en-US"/>
        </w:rPr>
        <w:t xml:space="preserve"> was adopted by IUCN in 2014 as the global standard for assessing risk of ecosystem collapse for </w:t>
      </w:r>
      <w:r w:rsidRPr="00ED7E61">
        <w:rPr>
          <w:rStyle w:val="normaltextrun"/>
          <w:rFonts w:asciiTheme="majorBidi" w:eastAsiaTheme="majorEastAsia" w:hAnsiTheme="majorBidi" w:cstheme="majorBidi"/>
          <w:color w:val="000000"/>
          <w:lang w:val="en-AU"/>
        </w:rPr>
        <w:t>terrestrial, freshwater and marine ecosystems</w:t>
      </w:r>
      <w:r w:rsidRPr="00ED7E61">
        <w:rPr>
          <w:rStyle w:val="normaltextrun"/>
          <w:rFonts w:asciiTheme="majorBidi" w:eastAsiaTheme="majorEastAsia" w:hAnsiTheme="majorBidi" w:cstheme="majorBidi"/>
          <w:color w:val="000000"/>
          <w:lang w:val="en-US"/>
        </w:rPr>
        <w:t>.</w:t>
      </w:r>
      <w:r w:rsidRPr="00ED7E61">
        <w:rPr>
          <w:rStyle w:val="normaltextrun"/>
          <w:rFonts w:asciiTheme="majorBidi" w:eastAsiaTheme="majorEastAsia" w:hAnsiTheme="majorBidi" w:cstheme="majorBidi"/>
          <w:color w:val="000000"/>
          <w:lang w:val="en-AU"/>
        </w:rPr>
        <w:t xml:space="preserve"> The Red List of Ecosystems provides a systematic framework for compiling information on ecosystems, and assessing their relative risks of collapse based on change in ecosystem area and integrity. Similar to the IUCN Red List of Threatened species, </w:t>
      </w:r>
      <w:r w:rsidRPr="00ED7E61">
        <w:rPr>
          <w:rStyle w:val="normaltextrun"/>
          <w:rFonts w:asciiTheme="majorBidi" w:eastAsiaTheme="majorEastAsia" w:hAnsiTheme="majorBidi" w:cstheme="majorBidi"/>
          <w:lang w:val="en-US"/>
        </w:rPr>
        <w:t>assessment criteria</w:t>
      </w:r>
      <w:r w:rsidRPr="00ED7E61">
        <w:rPr>
          <w:rStyle w:val="normaltextrun"/>
          <w:rFonts w:asciiTheme="majorBidi" w:eastAsiaTheme="majorEastAsia" w:hAnsiTheme="majorBidi" w:cstheme="majorBidi"/>
          <w:color w:val="000000"/>
          <w:lang w:val="en-US"/>
        </w:rPr>
        <w:t xml:space="preserve"> are used to assign ecosystems to Red List risk categories (e.g. </w:t>
      </w:r>
      <w:r w:rsidRPr="00ED7E61">
        <w:rPr>
          <w:rStyle w:val="normaltextrun"/>
          <w:rFonts w:asciiTheme="majorBidi" w:eastAsiaTheme="majorEastAsia" w:hAnsiTheme="majorBidi" w:cstheme="majorBidi"/>
          <w:i/>
          <w:iCs/>
          <w:color w:val="000000"/>
          <w:lang w:val="en-US"/>
        </w:rPr>
        <w:t>Critically Endangered</w:t>
      </w:r>
      <w:r w:rsidRPr="00ED7E61">
        <w:rPr>
          <w:rStyle w:val="normaltextrun"/>
          <w:rFonts w:asciiTheme="majorBidi" w:eastAsiaTheme="majorEastAsia" w:hAnsiTheme="majorBidi" w:cstheme="majorBidi"/>
          <w:color w:val="000000"/>
          <w:lang w:val="en-US"/>
        </w:rPr>
        <w:t xml:space="preserve">, </w:t>
      </w:r>
      <w:r w:rsidRPr="00ED7E61">
        <w:rPr>
          <w:rStyle w:val="normaltextrun"/>
          <w:rFonts w:asciiTheme="majorBidi" w:eastAsiaTheme="majorEastAsia" w:hAnsiTheme="majorBidi" w:cstheme="majorBidi"/>
          <w:i/>
          <w:iCs/>
          <w:color w:val="000000"/>
          <w:lang w:val="en-US"/>
        </w:rPr>
        <w:t>Endangered</w:t>
      </w:r>
      <w:r w:rsidRPr="00ED7E61">
        <w:rPr>
          <w:rStyle w:val="normaltextrun"/>
          <w:rFonts w:asciiTheme="majorBidi" w:eastAsiaTheme="majorEastAsia" w:hAnsiTheme="majorBidi" w:cstheme="majorBidi"/>
          <w:color w:val="000000"/>
          <w:lang w:val="en-US"/>
        </w:rPr>
        <w:t xml:space="preserve">, </w:t>
      </w:r>
      <w:r w:rsidRPr="00ED7E61">
        <w:rPr>
          <w:rStyle w:val="normaltextrun"/>
          <w:rFonts w:asciiTheme="majorBidi" w:eastAsiaTheme="majorEastAsia" w:hAnsiTheme="majorBidi" w:cstheme="majorBidi"/>
          <w:i/>
          <w:iCs/>
          <w:color w:val="000000"/>
          <w:lang w:val="en-US"/>
        </w:rPr>
        <w:t>Vulnerable</w:t>
      </w:r>
      <w:r w:rsidRPr="00ED7E61">
        <w:rPr>
          <w:rStyle w:val="normaltextrun"/>
          <w:rFonts w:asciiTheme="majorBidi" w:eastAsiaTheme="majorEastAsia" w:hAnsiTheme="majorBidi" w:cstheme="majorBidi"/>
          <w:color w:val="000000"/>
          <w:lang w:val="en-US"/>
        </w:rPr>
        <w:t xml:space="preserve">), with </w:t>
      </w:r>
      <w:r w:rsidRPr="00ED7E61">
        <w:rPr>
          <w:rStyle w:val="normaltextrun"/>
          <w:rFonts w:asciiTheme="majorBidi" w:eastAsiaTheme="majorEastAsia" w:hAnsiTheme="majorBidi" w:cstheme="majorBidi"/>
          <w:i/>
          <w:iCs/>
          <w:color w:val="000000"/>
          <w:lang w:val="en-US"/>
        </w:rPr>
        <w:t>Collapsed</w:t>
      </w:r>
      <w:r w:rsidRPr="00ED7E61">
        <w:rPr>
          <w:rStyle w:val="normaltextrun"/>
          <w:rFonts w:asciiTheme="majorBidi" w:eastAsiaTheme="majorEastAsia" w:hAnsiTheme="majorBidi" w:cstheme="majorBidi"/>
          <w:color w:val="000000"/>
          <w:lang w:val="en-US"/>
        </w:rPr>
        <w:t xml:space="preserve"> replacing the </w:t>
      </w:r>
      <w:r w:rsidRPr="00ED7E61">
        <w:rPr>
          <w:rStyle w:val="normaltextrun"/>
          <w:rFonts w:asciiTheme="majorBidi" w:eastAsiaTheme="majorEastAsia" w:hAnsiTheme="majorBidi" w:cstheme="majorBidi"/>
          <w:i/>
          <w:iCs/>
          <w:color w:val="000000"/>
          <w:lang w:val="en-US"/>
        </w:rPr>
        <w:t>Extinct</w:t>
      </w:r>
      <w:r w:rsidRPr="00ED7E61">
        <w:rPr>
          <w:rStyle w:val="normaltextrun"/>
          <w:rFonts w:asciiTheme="majorBidi" w:eastAsiaTheme="majorEastAsia" w:hAnsiTheme="majorBidi" w:cstheme="majorBidi"/>
          <w:color w:val="000000"/>
          <w:lang w:val="en-US"/>
        </w:rPr>
        <w:t xml:space="preserve"> category used for species (see section 5b for further details). </w:t>
      </w:r>
      <w:r w:rsidRPr="00ED7E61">
        <w:rPr>
          <w:rStyle w:val="normaltextrun"/>
          <w:rFonts w:asciiTheme="majorBidi" w:eastAsiaTheme="majorEastAsia" w:hAnsiTheme="majorBidi" w:cstheme="majorBidi"/>
          <w:color w:val="000000"/>
          <w:lang w:val="en-AU"/>
        </w:rPr>
        <w:t>Red List of Ecosystems assessments identify which ecosystems are most at risk, and the drivers of ecosystem loss and degradation. The Red List of Ecosystems therefore addresses multiple aspects of Goal A, by assessing how change in integrity, connectivity and area affect ecosystem risk status, which is related to ecosystem resilience. It typically focusses on natural and some semi-natural ecosystem types (e.g. derived grasslands).</w:t>
      </w:r>
      <w:r w:rsidRPr="00ED7E61">
        <w:rPr>
          <w:rStyle w:val="eop"/>
          <w:rFonts w:asciiTheme="majorBidi" w:eastAsiaTheme="majorEastAsia" w:hAnsiTheme="majorBidi" w:cstheme="majorBidi"/>
          <w:color w:val="000000"/>
        </w:rPr>
        <w:t> </w:t>
      </w:r>
    </w:p>
    <w:p w14:paraId="593A134B" w14:textId="4383C749" w:rsidR="008344AF" w:rsidRPr="00ED7E61" w:rsidRDefault="00C058BF" w:rsidP="00B10F0C">
      <w:pPr>
        <w:pStyle w:val="CBDNormalNumber"/>
      </w:pPr>
      <w:r w:rsidRPr="00ED7E61">
        <w:rPr>
          <w:rStyle w:val="normaltextrun"/>
          <w:rFonts w:asciiTheme="majorBidi" w:eastAsiaTheme="majorEastAsia" w:hAnsiTheme="majorBidi" w:cstheme="majorBidi"/>
          <w:color w:val="000000"/>
          <w:lang w:val="en-AU"/>
        </w:rPr>
        <w:t>The</w:t>
      </w:r>
      <w:r w:rsidR="003D6BBD" w:rsidRPr="00ED7E61">
        <w:rPr>
          <w:rStyle w:val="normaltextrun"/>
          <w:rFonts w:asciiTheme="majorBidi" w:eastAsiaTheme="majorEastAsia" w:hAnsiTheme="majorBidi" w:cstheme="majorBidi"/>
          <w:color w:val="000000"/>
          <w:lang w:val="en-AU"/>
        </w:rPr>
        <w:t xml:space="preserve"> Red List of Ecosystems</w:t>
      </w:r>
      <w:r w:rsidRPr="00ED7E61">
        <w:rPr>
          <w:rStyle w:val="normaltextrun"/>
          <w:rFonts w:asciiTheme="majorBidi" w:eastAsiaTheme="majorEastAsia" w:hAnsiTheme="majorBidi" w:cstheme="majorBidi"/>
          <w:color w:val="000000"/>
          <w:lang w:val="en-AU"/>
        </w:rPr>
        <w:t>,</w:t>
      </w:r>
      <w:r w:rsidR="003D6BBD" w:rsidRPr="00ED7E61">
        <w:rPr>
          <w:rStyle w:val="normaltextrun"/>
          <w:rFonts w:asciiTheme="majorBidi" w:eastAsiaTheme="majorEastAsia" w:hAnsiTheme="majorBidi" w:cstheme="majorBidi"/>
          <w:color w:val="000000"/>
          <w:lang w:val="en-AU"/>
        </w:rPr>
        <w:t xml:space="preserve"> uses the outcomes of Red List of Ecosystems assessments, ideally at national scales, but data from sub-national (e.g. states or provinces within a country, </w:t>
      </w:r>
      <w:r w:rsidRPr="00ED7E61">
        <w:rPr>
          <w:rStyle w:val="normaltextrun"/>
          <w:rFonts w:asciiTheme="majorBidi" w:eastAsiaTheme="majorEastAsia" w:hAnsiTheme="majorBidi" w:cstheme="majorBidi"/>
          <w:color w:val="000000"/>
          <w:lang w:val="en-AU"/>
        </w:rPr>
        <w:t>(</w:t>
      </w:r>
      <w:r w:rsidR="003D6BBD" w:rsidRPr="00ED7E61">
        <w:rPr>
          <w:rStyle w:val="normaltextrun"/>
          <w:rFonts w:asciiTheme="majorBidi" w:eastAsiaTheme="majorEastAsia" w:hAnsiTheme="majorBidi" w:cstheme="majorBidi"/>
          <w:color w:val="000000"/>
          <w:lang w:val="en-AU"/>
        </w:rPr>
        <w:t xml:space="preserve">e.g. in China, Tan et al. 2017) or above-national assessments (e.g. regional assessment such as the Western India Ocean coral reef assessment, Obura et al. 2021, or the forests of the Americas, Ferrer-Paris et al. 2019, Figure </w:t>
      </w:r>
      <w:r w:rsidR="00F44FDE">
        <w:rPr>
          <w:rStyle w:val="normaltextrun"/>
          <w:rFonts w:asciiTheme="majorBidi" w:eastAsiaTheme="majorEastAsia" w:hAnsiTheme="majorBidi" w:cstheme="majorBidi"/>
          <w:color w:val="000000"/>
          <w:lang w:val="en-AU"/>
        </w:rPr>
        <w:t>II</w:t>
      </w:r>
      <w:r w:rsidR="003D6BBD" w:rsidRPr="00ED7E61">
        <w:rPr>
          <w:rStyle w:val="normaltextrun"/>
          <w:rFonts w:asciiTheme="majorBidi" w:eastAsiaTheme="majorEastAsia" w:hAnsiTheme="majorBidi" w:cstheme="majorBidi"/>
          <w:color w:val="000000"/>
          <w:lang w:val="en-AU"/>
        </w:rPr>
        <w:t>)) could also be used. Countries should report on the number of ecosystem types per risk category in each ecosystem functional group (from the Global Ecosystem Typology, Keith et al. 2022). The indicator will be calculated from these data for countries and globally.</w:t>
      </w:r>
      <w:r w:rsidR="003D6BBD" w:rsidRPr="00ED7E61">
        <w:rPr>
          <w:rStyle w:val="eop"/>
          <w:rFonts w:asciiTheme="majorBidi" w:eastAsiaTheme="majorEastAsia" w:hAnsiTheme="majorBidi" w:cstheme="majorBidi"/>
          <w:color w:val="000000"/>
        </w:rPr>
        <w:t> </w:t>
      </w:r>
    </w:p>
    <w:p w14:paraId="319F741E" w14:textId="2BC37595" w:rsidR="003D6BBD" w:rsidRPr="00ED7E61" w:rsidRDefault="003D6BBD" w:rsidP="00B10F0C">
      <w:pPr>
        <w:pStyle w:val="CBDNormalNumber"/>
        <w:rPr>
          <w:rStyle w:val="normaltextrun"/>
          <w:rFonts w:asciiTheme="majorBidi" w:eastAsiaTheme="majorEastAsia" w:hAnsiTheme="majorBidi" w:cstheme="majorBidi"/>
          <w:color w:val="000000"/>
          <w:lang w:val="en-US"/>
        </w:rPr>
      </w:pPr>
      <w:r w:rsidRPr="00ED7E61">
        <w:rPr>
          <w:rStyle w:val="normaltextrun"/>
          <w:rFonts w:asciiTheme="majorBidi" w:eastAsiaTheme="majorEastAsia" w:hAnsiTheme="majorBidi" w:cstheme="majorBidi"/>
          <w:color w:val="000000"/>
          <w:lang w:val="en-AU"/>
        </w:rPr>
        <w:t xml:space="preserve">The </w:t>
      </w:r>
      <w:r w:rsidRPr="00B3383B">
        <w:t>headline</w:t>
      </w:r>
      <w:r w:rsidRPr="00ED7E61">
        <w:rPr>
          <w:rStyle w:val="normaltextrun"/>
          <w:rFonts w:asciiTheme="majorBidi" w:eastAsiaTheme="majorEastAsia" w:hAnsiTheme="majorBidi" w:cstheme="majorBidi"/>
          <w:color w:val="000000"/>
          <w:lang w:val="en-AU"/>
        </w:rPr>
        <w:t xml:space="preserve"> indicator is the </w:t>
      </w:r>
      <w:r w:rsidRPr="00ED7E61">
        <w:rPr>
          <w:rStyle w:val="normaltextrun"/>
          <w:rFonts w:asciiTheme="majorBidi" w:eastAsiaTheme="majorEastAsia" w:hAnsiTheme="majorBidi" w:cstheme="majorBidi"/>
          <w:i/>
          <w:iCs/>
          <w:color w:val="000000"/>
          <w:lang w:val="en-AU"/>
        </w:rPr>
        <w:t>Red List Index of ecosystems</w:t>
      </w:r>
      <w:r w:rsidRPr="00ED7E61">
        <w:rPr>
          <w:rStyle w:val="normaltextrun"/>
          <w:rFonts w:asciiTheme="majorBidi" w:eastAsiaTheme="majorEastAsia" w:hAnsiTheme="majorBidi" w:cstheme="majorBidi"/>
          <w:color w:val="000000"/>
          <w:lang w:val="en-AU"/>
        </w:rPr>
        <w:t xml:space="preserve"> (RLIe), which summarises risk status across sets of ecosystem types, based on the proportion of ecosystems in each Red List risk category (Rowland et al. 2020). </w:t>
      </w:r>
      <w:r w:rsidRPr="00ED7E61">
        <w:rPr>
          <w:rStyle w:val="normaltextrun"/>
          <w:rFonts w:asciiTheme="majorBidi" w:eastAsiaTheme="majorEastAsia" w:hAnsiTheme="majorBidi" w:cstheme="majorBidi"/>
          <w:color w:val="000000"/>
          <w:lang w:val="en-US"/>
        </w:rPr>
        <w:t xml:space="preserve">A decrease in the RLIe (towards 0) means more ecosystems are threatened or at heightened risk of collapse. An increase in the RLIe (towards 1) means that ecosystems are becoming less threatened. </w:t>
      </w:r>
      <w:r w:rsidRPr="00ED7E61">
        <w:rPr>
          <w:rStyle w:val="normaltextrun"/>
          <w:rFonts w:asciiTheme="majorBidi" w:eastAsiaTheme="majorEastAsia" w:hAnsiTheme="majorBidi" w:cstheme="majorBidi"/>
          <w:color w:val="000000"/>
          <w:lang w:val="en-AU"/>
        </w:rPr>
        <w:t xml:space="preserve">The RLIe uses the same method as the widely used indicator of species extinction risk, the Red List Index of species survival (RLI, Headline indicator A.3), which is based on the </w:t>
      </w:r>
      <w:r w:rsidRPr="00ED7E61">
        <w:rPr>
          <w:rStyle w:val="normaltextrun"/>
          <w:rFonts w:asciiTheme="majorBidi" w:eastAsiaTheme="majorEastAsia" w:hAnsiTheme="majorBidi" w:cstheme="majorBidi"/>
          <w:i/>
          <w:iCs/>
          <w:color w:val="000000"/>
          <w:lang w:val="en-US"/>
        </w:rPr>
        <w:t>IUCN Red List of Threatened Species</w:t>
      </w:r>
      <w:r w:rsidRPr="00ED7E61">
        <w:rPr>
          <w:rStyle w:val="normaltextrun"/>
          <w:rFonts w:asciiTheme="majorBidi" w:eastAsiaTheme="majorEastAsia" w:hAnsiTheme="majorBidi" w:cstheme="majorBidi"/>
          <w:color w:val="000000"/>
          <w:lang w:val="en-US"/>
        </w:rPr>
        <w:t xml:space="preserve"> and provides a complementary assessment of the state and trajectory of biodiversity.</w:t>
      </w:r>
    </w:p>
    <w:p w14:paraId="3AF3F60C" w14:textId="601FD12D" w:rsidR="008344AF" w:rsidRPr="00ED7E61" w:rsidRDefault="003D6BBD" w:rsidP="00B10F0C">
      <w:pPr>
        <w:pStyle w:val="CBDNormalNumber"/>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The RLIe can be used to report on the overall risk status of all ecosystems within the country, as well as summarized by </w:t>
      </w:r>
      <w:r w:rsidRPr="00B3383B">
        <w:t>ecosystem</w:t>
      </w:r>
      <w:r w:rsidRPr="00ED7E61">
        <w:rPr>
          <w:rStyle w:val="normaltextrun"/>
          <w:rFonts w:asciiTheme="majorBidi" w:eastAsiaTheme="majorEastAsia" w:hAnsiTheme="majorBidi" w:cstheme="majorBidi"/>
          <w:color w:val="000000"/>
          <w:lang w:val="en-AU"/>
        </w:rPr>
        <w:t xml:space="preserve"> functional group (using the Global Ecosystem Typology). RLIe values can be compared between countries. For those countries with repeat assessments, it can be shown as a time-series. </w:t>
      </w:r>
      <w:r w:rsidRPr="00ED7E61">
        <w:rPr>
          <w:rStyle w:val="normaltextrun"/>
          <w:lang w:val="en-AU"/>
        </w:rPr>
        <w:t> </w:t>
      </w:r>
    </w:p>
    <w:p w14:paraId="57531C11" w14:textId="318106F9" w:rsidR="008344AF"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color w:val="000000"/>
          <w:lang w:val="en-US"/>
        </w:rPr>
        <w:t xml:space="preserve">For </w:t>
      </w:r>
      <w:r w:rsidRPr="00B3383B">
        <w:t>countries</w:t>
      </w:r>
      <w:r w:rsidRPr="00ED7E61">
        <w:rPr>
          <w:rStyle w:val="normaltextrun"/>
          <w:rFonts w:asciiTheme="majorBidi" w:eastAsiaTheme="majorEastAsia" w:hAnsiTheme="majorBidi" w:cstheme="majorBidi"/>
          <w:color w:val="000000"/>
          <w:lang w:val="en-US"/>
        </w:rPr>
        <w:t xml:space="preserve"> undertaking their first assessment, the </w:t>
      </w:r>
      <w:r w:rsidR="0081065B" w:rsidRPr="00ED7E61">
        <w:rPr>
          <w:rStyle w:val="normaltextrun"/>
          <w:rFonts w:asciiTheme="majorBidi" w:eastAsiaTheme="majorEastAsia" w:hAnsiTheme="majorBidi" w:cstheme="majorBidi"/>
          <w:color w:val="000000"/>
          <w:lang w:val="en-US"/>
        </w:rPr>
        <w:t xml:space="preserve">recommended </w:t>
      </w:r>
      <w:r w:rsidRPr="00ED7E61">
        <w:rPr>
          <w:rStyle w:val="normaltextrun"/>
          <w:rFonts w:asciiTheme="majorBidi" w:eastAsiaTheme="majorEastAsia" w:hAnsiTheme="majorBidi" w:cstheme="majorBidi"/>
          <w:color w:val="000000"/>
          <w:lang w:val="en-US"/>
        </w:rPr>
        <w:t xml:space="preserve">indicator </w:t>
      </w:r>
      <w:r w:rsidR="0081065B" w:rsidRPr="00ED7E61">
        <w:rPr>
          <w:rStyle w:val="normaltextrun"/>
          <w:rFonts w:asciiTheme="majorBidi" w:eastAsiaTheme="majorEastAsia" w:hAnsiTheme="majorBidi" w:cstheme="majorBidi"/>
          <w:color w:val="000000"/>
          <w:lang w:val="en-US"/>
        </w:rPr>
        <w:t xml:space="preserve">is </w:t>
      </w:r>
      <w:r w:rsidRPr="00ED7E61">
        <w:rPr>
          <w:rStyle w:val="normaltextrun"/>
          <w:rFonts w:asciiTheme="majorBidi" w:eastAsiaTheme="majorEastAsia" w:hAnsiTheme="majorBidi" w:cstheme="majorBidi"/>
          <w:color w:val="000000"/>
          <w:lang w:val="en-US"/>
        </w:rPr>
        <w:t xml:space="preserve">the current RLIe value, along with </w:t>
      </w:r>
      <w:r w:rsidR="0081065B" w:rsidRPr="00ED7E61">
        <w:rPr>
          <w:rStyle w:val="normaltextrun"/>
          <w:rFonts w:asciiTheme="majorBidi" w:eastAsiaTheme="majorEastAsia" w:hAnsiTheme="majorBidi" w:cstheme="majorBidi"/>
          <w:color w:val="000000"/>
          <w:lang w:val="en-US"/>
        </w:rPr>
        <w:t xml:space="preserve">possible </w:t>
      </w:r>
      <w:r w:rsidRPr="00ED7E61">
        <w:rPr>
          <w:rStyle w:val="normaltextrun"/>
          <w:rFonts w:asciiTheme="majorBidi" w:eastAsiaTheme="majorEastAsia" w:hAnsiTheme="majorBidi" w:cstheme="majorBidi"/>
          <w:color w:val="000000"/>
          <w:lang w:val="en-US"/>
        </w:rPr>
        <w:t xml:space="preserve">disaggregations by ecosystem functional group. It is recommended that the indicator is reported alongside summary statistics (e.g. number of ecosystem types in each risk category) and where possible maps. For those countries with repeat assessments, the indicator </w:t>
      </w:r>
      <w:r w:rsidR="00C058BF" w:rsidRPr="00ED7E61">
        <w:rPr>
          <w:rStyle w:val="normaltextrun"/>
          <w:rFonts w:asciiTheme="majorBidi" w:eastAsiaTheme="majorEastAsia" w:hAnsiTheme="majorBidi" w:cstheme="majorBidi"/>
          <w:color w:val="000000"/>
          <w:lang w:val="en-US"/>
        </w:rPr>
        <w:t xml:space="preserve">would </w:t>
      </w:r>
      <w:r w:rsidRPr="00ED7E61">
        <w:rPr>
          <w:rStyle w:val="normaltextrun"/>
          <w:rFonts w:asciiTheme="majorBidi" w:eastAsiaTheme="majorEastAsia" w:hAnsiTheme="majorBidi" w:cstheme="majorBidi"/>
          <w:color w:val="000000"/>
          <w:lang w:val="en-US"/>
        </w:rPr>
        <w:t>be the RLIe time-series with possible disaggregations by ecosystem functional group, complemented by summary statistics</w:t>
      </w:r>
      <w:r w:rsidR="00161248" w:rsidRPr="00ED7E61">
        <w:rPr>
          <w:rStyle w:val="normaltextrun"/>
          <w:rFonts w:asciiTheme="majorBidi" w:eastAsiaTheme="majorEastAsia" w:hAnsiTheme="majorBidi" w:cstheme="majorBidi"/>
          <w:color w:val="000000"/>
          <w:lang w:val="en-US"/>
        </w:rPr>
        <w:t xml:space="preserve"> (see figure </w:t>
      </w:r>
      <w:r w:rsidR="00F44FDE">
        <w:rPr>
          <w:rStyle w:val="normaltextrun"/>
          <w:rFonts w:asciiTheme="majorBidi" w:eastAsiaTheme="majorEastAsia" w:hAnsiTheme="majorBidi" w:cstheme="majorBidi"/>
          <w:color w:val="000000"/>
          <w:lang w:val="en-US"/>
        </w:rPr>
        <w:t>I</w:t>
      </w:r>
      <w:r w:rsidR="00161248" w:rsidRPr="00ED7E61">
        <w:rPr>
          <w:rStyle w:val="normaltextrun"/>
          <w:rFonts w:asciiTheme="majorBidi" w:eastAsiaTheme="majorEastAsia" w:hAnsiTheme="majorBidi" w:cstheme="majorBidi"/>
          <w:color w:val="000000"/>
          <w:lang w:val="en-US"/>
        </w:rPr>
        <w:t>)</w:t>
      </w:r>
      <w:r w:rsidRPr="00ED7E61">
        <w:rPr>
          <w:rStyle w:val="normaltextrun"/>
          <w:rFonts w:asciiTheme="majorBidi" w:eastAsiaTheme="majorEastAsia" w:hAnsiTheme="majorBidi" w:cstheme="majorBidi"/>
          <w:color w:val="000000"/>
          <w:lang w:val="en-US"/>
        </w:rPr>
        <w:t>.</w:t>
      </w:r>
      <w:r w:rsidRPr="00ED7E61">
        <w:rPr>
          <w:rStyle w:val="eop"/>
          <w:rFonts w:asciiTheme="majorBidi" w:eastAsiaTheme="majorEastAsia" w:hAnsiTheme="majorBidi" w:cstheme="majorBidi"/>
          <w:color w:val="000000"/>
        </w:rPr>
        <w:t> </w:t>
      </w:r>
    </w:p>
    <w:p w14:paraId="7E3705A3" w14:textId="17FA5F78" w:rsidR="003806DF" w:rsidRDefault="00161248" w:rsidP="003806DF">
      <w:pPr>
        <w:pStyle w:val="CBDNormalNumber"/>
        <w:numPr>
          <w:ilvl w:val="0"/>
          <w:numId w:val="0"/>
        </w:numPr>
        <w:ind w:left="567"/>
        <w:jc w:val="left"/>
        <w:rPr>
          <w:rFonts w:asciiTheme="majorBidi" w:hAnsiTheme="majorBidi" w:cstheme="majorBidi"/>
          <w:color w:val="000000"/>
          <w:lang w:val="en-AU"/>
        </w:rPr>
      </w:pPr>
      <w:r w:rsidRPr="00ED7E61">
        <w:rPr>
          <w:noProof/>
          <w:lang w:val="fr-FR" w:eastAsia="fr-FR"/>
          <w14:ligatures w14:val="standardContextual"/>
        </w:rPr>
        <w:drawing>
          <wp:inline distT="0" distB="0" distL="0" distR="0" wp14:anchorId="57488765" wp14:editId="147F0FED">
            <wp:extent cx="4457700" cy="2526030"/>
            <wp:effectExtent l="0" t="0" r="0" b="7620"/>
            <wp:docPr id="1032920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30929" name="Picture 3"/>
                    <pic:cNvPicPr>
                      <a:picLocks noChangeAspect="1"/>
                    </pic:cNvPicPr>
                  </pic:nvPicPr>
                  <pic:blipFill rotWithShape="1">
                    <a:blip r:embed="rId90"/>
                    <a:srcRect l="4808" t="16480" r="39209" b="38615"/>
                    <a:stretch/>
                  </pic:blipFill>
                  <pic:spPr bwMode="auto">
                    <a:xfrm>
                      <a:off x="0" y="0"/>
                      <a:ext cx="4457700" cy="2526030"/>
                    </a:xfrm>
                    <a:prstGeom prst="rect">
                      <a:avLst/>
                    </a:prstGeom>
                    <a:ln>
                      <a:noFill/>
                    </a:ln>
                    <a:extLst>
                      <a:ext uri="{53640926-AAD7-44D8-BBD7-CCE9431645EC}">
                        <a14:shadowObscured xmlns:a14="http://schemas.microsoft.com/office/drawing/2010/main"/>
                      </a:ext>
                    </a:extLst>
                  </pic:spPr>
                </pic:pic>
              </a:graphicData>
            </a:graphic>
          </wp:inline>
        </w:drawing>
      </w:r>
    </w:p>
    <w:p w14:paraId="1E905ECE" w14:textId="5D626075" w:rsidR="00161248" w:rsidRPr="003618C3" w:rsidRDefault="00161248" w:rsidP="00B3383B">
      <w:pPr>
        <w:pStyle w:val="CBDNormalNumber"/>
        <w:numPr>
          <w:ilvl w:val="0"/>
          <w:numId w:val="0"/>
        </w:numPr>
        <w:ind w:left="567"/>
        <w:jc w:val="left"/>
        <w:rPr>
          <w:rFonts w:asciiTheme="majorBidi" w:eastAsiaTheme="majorEastAsia" w:hAnsiTheme="majorBidi" w:cstheme="majorBidi"/>
          <w:i/>
          <w:iCs/>
          <w:color w:val="000000"/>
          <w:lang w:val="en-AU"/>
        </w:rPr>
      </w:pPr>
      <w:r w:rsidRPr="00B3383B">
        <w:rPr>
          <w:rFonts w:asciiTheme="majorBidi" w:hAnsiTheme="majorBidi" w:cstheme="majorBidi"/>
          <w:color w:val="000000"/>
          <w:lang w:val="en-AU"/>
        </w:rPr>
        <w:t xml:space="preserve">Figure </w:t>
      </w:r>
      <w:r w:rsidR="00F44FDE" w:rsidRPr="00B3383B">
        <w:rPr>
          <w:rFonts w:asciiTheme="majorBidi" w:hAnsiTheme="majorBidi" w:cstheme="majorBidi"/>
          <w:color w:val="000000"/>
          <w:lang w:val="en-AU"/>
        </w:rPr>
        <w:t>I</w:t>
      </w:r>
      <w:r w:rsidRPr="00B3383B">
        <w:rPr>
          <w:rFonts w:asciiTheme="majorBidi" w:hAnsiTheme="majorBidi" w:cstheme="majorBidi"/>
          <w:color w:val="000000"/>
          <w:lang w:val="en-AU"/>
        </w:rPr>
        <w:t>.</w:t>
      </w:r>
      <w:r w:rsidRPr="00ED7E61">
        <w:rPr>
          <w:rFonts w:asciiTheme="majorBidi" w:hAnsiTheme="majorBidi" w:cstheme="majorBidi"/>
          <w:i/>
          <w:iCs/>
          <w:color w:val="000000"/>
          <w:lang w:val="en-AU"/>
        </w:rPr>
        <w:t xml:space="preserve"> </w:t>
      </w:r>
      <w:r w:rsidR="004D05EE">
        <w:rPr>
          <w:rFonts w:asciiTheme="majorBidi" w:hAnsiTheme="majorBidi" w:cstheme="majorBidi"/>
          <w:i/>
          <w:iCs/>
          <w:color w:val="000000"/>
          <w:lang w:val="en-AU"/>
        </w:rPr>
        <w:br/>
      </w:r>
      <w:r w:rsidRPr="00B3383B">
        <w:rPr>
          <w:rFonts w:asciiTheme="majorBidi" w:hAnsiTheme="majorBidi" w:cstheme="majorBidi"/>
          <w:b/>
          <w:bCs/>
          <w:color w:val="000000"/>
          <w:lang w:val="en-AU"/>
        </w:rPr>
        <w:t xml:space="preserve">A preliminary Red List Index of ecosystems (RLIe) time-series for South Africa for 2018 and 2022, for all terrestrial ecosystem types (black) and for each terrestrial ecosystem functional group </w:t>
      </w:r>
      <w:r w:rsidR="003618C3">
        <w:rPr>
          <w:rFonts w:asciiTheme="majorBidi" w:hAnsiTheme="majorBidi" w:cstheme="majorBidi"/>
          <w:b/>
          <w:bCs/>
          <w:color w:val="000000"/>
          <w:lang w:val="en-AU"/>
        </w:rPr>
        <w:br/>
      </w:r>
      <w:r w:rsidR="003618C3">
        <w:rPr>
          <w:rFonts w:asciiTheme="majorBidi" w:hAnsiTheme="majorBidi" w:cstheme="majorBidi"/>
          <w:i/>
          <w:iCs/>
          <w:color w:val="000000"/>
          <w:lang w:val="en-AU"/>
        </w:rPr>
        <w:t>D</w:t>
      </w:r>
      <w:r w:rsidRPr="003618C3">
        <w:rPr>
          <w:rFonts w:asciiTheme="majorBidi" w:hAnsiTheme="majorBidi" w:cstheme="majorBidi"/>
          <w:i/>
          <w:iCs/>
          <w:color w:val="000000"/>
          <w:lang w:val="en-AU"/>
        </w:rPr>
        <w:t xml:space="preserve">ata provided by SANBI, based on National Biodiversity assessments (Botts et al. 2020; Skowno and </w:t>
      </w:r>
      <w:r w:rsidRPr="003618C3">
        <w:rPr>
          <w:rFonts w:asciiTheme="majorBidi" w:hAnsiTheme="majorBidi" w:cstheme="majorBidi"/>
          <w:i/>
          <w:iCs/>
          <w:color w:val="000000"/>
        </w:rPr>
        <w:t xml:space="preserve">Monyeki </w:t>
      </w:r>
      <w:r w:rsidRPr="003618C3">
        <w:rPr>
          <w:rFonts w:asciiTheme="majorBidi" w:hAnsiTheme="majorBidi" w:cstheme="majorBidi"/>
          <w:i/>
          <w:iCs/>
          <w:color w:val="000000"/>
          <w:lang w:val="en-AU"/>
        </w:rPr>
        <w:t>2021)</w:t>
      </w:r>
    </w:p>
    <w:p w14:paraId="70796657" w14:textId="6382FAC9" w:rsidR="003D6BBD" w:rsidRPr="00ED7E61" w:rsidRDefault="008C72FA" w:rsidP="00B10F0C">
      <w:pPr>
        <w:pStyle w:val="CBDNormalNumber"/>
        <w:rPr>
          <w:rStyle w:val="normaltextrun"/>
          <w:rFonts w:asciiTheme="majorBidi" w:eastAsiaTheme="majorEastAsia" w:hAnsiTheme="majorBidi" w:cstheme="majorBidi"/>
          <w:color w:val="000000"/>
          <w:lang w:val="en-AU"/>
        </w:rPr>
      </w:pPr>
      <w:r w:rsidRPr="00B3383B">
        <w:rPr>
          <w:rStyle w:val="normaltextrun"/>
          <w:rFonts w:asciiTheme="majorBidi" w:eastAsiaTheme="majorEastAsia" w:hAnsiTheme="majorBidi" w:cstheme="majorBidi"/>
          <w:color w:val="000000"/>
          <w:lang w:val="en-AU"/>
        </w:rPr>
        <w:t>T</w:t>
      </w:r>
      <w:r w:rsidR="003D6BBD" w:rsidRPr="00ED7E61">
        <w:rPr>
          <w:rStyle w:val="normaltextrun"/>
          <w:rFonts w:asciiTheme="majorBidi" w:eastAsiaTheme="majorEastAsia" w:hAnsiTheme="majorBidi" w:cstheme="majorBidi"/>
          <w:color w:val="000000"/>
          <w:lang w:val="en-AU"/>
        </w:rPr>
        <w:t xml:space="preserve">he RLIe and summary statistics from Red List of Ecosystems assessments can be represented in graphs or maps to aid </w:t>
      </w:r>
      <w:r w:rsidR="003D6BBD" w:rsidRPr="00B3383B">
        <w:t>communication</w:t>
      </w:r>
      <w:r w:rsidR="003D6BBD" w:rsidRPr="00ED7E61">
        <w:rPr>
          <w:rStyle w:val="normaltextrun"/>
          <w:rFonts w:asciiTheme="majorBidi" w:eastAsiaTheme="majorEastAsia" w:hAnsiTheme="majorBidi" w:cstheme="majorBidi"/>
          <w:color w:val="000000"/>
          <w:lang w:val="en-AU"/>
        </w:rPr>
        <w:t xml:space="preserve"> and inform spatial planning, including biodiversity-inclusive planning (Target 1), restoration planning (Target 2) and protected area planning (Target 3). </w:t>
      </w:r>
    </w:p>
    <w:p w14:paraId="584EAC20"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 Definitions, concepts and classifications</w:t>
      </w:r>
      <w:r w:rsidRPr="00ED7E61">
        <w:rPr>
          <w:rStyle w:val="eop"/>
          <w:rFonts w:asciiTheme="majorBidi" w:eastAsiaTheme="majorEastAsia" w:hAnsiTheme="majorBidi" w:cstheme="majorBidi"/>
          <w:b/>
          <w:bCs/>
          <w:sz w:val="22"/>
          <w:szCs w:val="22"/>
        </w:rPr>
        <w:t> </w:t>
      </w:r>
    </w:p>
    <w:p w14:paraId="5D2E19AC"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5a. Definition: </w:t>
      </w:r>
      <w:r w:rsidRPr="00ED7E61">
        <w:rPr>
          <w:rStyle w:val="eop"/>
          <w:rFonts w:asciiTheme="majorBidi" w:eastAsiaTheme="majorEastAsia" w:hAnsiTheme="majorBidi" w:cstheme="majorBidi"/>
          <w:b/>
          <w:bCs/>
          <w:sz w:val="22"/>
          <w:szCs w:val="22"/>
        </w:rPr>
        <w:t> </w:t>
      </w:r>
    </w:p>
    <w:p w14:paraId="4C9BB15A"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AU"/>
        </w:rPr>
        <w:t>Indicator definition</w:t>
      </w:r>
      <w:r w:rsidRPr="00ED7E61">
        <w:rPr>
          <w:rStyle w:val="normaltextrun"/>
          <w:rFonts w:asciiTheme="majorBidi" w:eastAsiaTheme="majorEastAsia" w:hAnsiTheme="majorBidi" w:cstheme="majorBidi"/>
          <w:color w:val="000000"/>
          <w:sz w:val="22"/>
          <w:szCs w:val="22"/>
          <w:lang w:val="en-AU"/>
        </w:rPr>
        <w:t>: </w:t>
      </w:r>
      <w:r w:rsidRPr="00ED7E61">
        <w:rPr>
          <w:rStyle w:val="eop"/>
          <w:rFonts w:asciiTheme="majorBidi" w:eastAsiaTheme="majorEastAsia" w:hAnsiTheme="majorBidi" w:cstheme="majorBidi"/>
          <w:color w:val="000000"/>
          <w:sz w:val="22"/>
          <w:szCs w:val="22"/>
        </w:rPr>
        <w:t> </w:t>
      </w:r>
    </w:p>
    <w:p w14:paraId="30FE60C2" w14:textId="6868E72B" w:rsidR="008344AF"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 xml:space="preserve">The Red List of Ecosystems framework assesses the relative risk of ecosystem collapse of an ecosystem type. The indicator ‘Red List Index of Ecosystems (RLIe)’ measures the average risk of ecosystem collapse of a group of ecosystems, and tracks change in this over time based on genuine change in the risk </w:t>
      </w:r>
      <w:r w:rsidRPr="00B3383B">
        <w:t>category</w:t>
      </w:r>
      <w:r w:rsidRPr="00ED7E61">
        <w:rPr>
          <w:rStyle w:val="normaltextrun"/>
          <w:rFonts w:asciiTheme="majorBidi" w:eastAsiaTheme="majorEastAsia" w:hAnsiTheme="majorBidi" w:cstheme="majorBidi"/>
          <w:color w:val="000000"/>
          <w:lang w:val="en-AU"/>
        </w:rPr>
        <w:t xml:space="preserve"> of each ecosystem (i.e. excluding changes in categories owing to improved knowledge or better data). The Index is expressed as changes in an index ranging from 0 to 1, with decreases (towards 0) resulting from more threatened ecosystems or heighted risk, and increases (towards 1) showing improvements in risk status. A value of 0 means that all ecosystems have collapsed. A value of 1 means that all ecosystems are listed as Least Concern.</w:t>
      </w:r>
      <w:r w:rsidRPr="00ED7E61">
        <w:rPr>
          <w:rStyle w:val="normaltextrun"/>
          <w:lang w:val="en-AU"/>
        </w:rPr>
        <w:t> </w:t>
      </w:r>
    </w:p>
    <w:p w14:paraId="237D037A" w14:textId="77777777" w:rsidR="003D6BBD" w:rsidRPr="00ED7E61" w:rsidRDefault="003D6BBD"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lang w:val="en-AU"/>
        </w:rPr>
        <w:t xml:space="preserve">The RLIe can be </w:t>
      </w:r>
      <w:r w:rsidRPr="00B3383B">
        <w:t>calculated</w:t>
      </w:r>
      <w:r w:rsidRPr="00ED7E61">
        <w:rPr>
          <w:rStyle w:val="normaltextrun"/>
          <w:rFonts w:asciiTheme="majorBidi" w:eastAsiaTheme="majorEastAsia" w:hAnsiTheme="majorBidi" w:cstheme="majorBidi"/>
          <w:lang w:val="en-AU"/>
        </w:rPr>
        <w:t xml:space="preserve"> for any set of ecosystem types for which there are </w:t>
      </w:r>
      <w:r w:rsidRPr="00ED7E61">
        <w:rPr>
          <w:rStyle w:val="normaltextrun"/>
          <w:rFonts w:asciiTheme="majorBidi" w:eastAsiaTheme="majorEastAsia" w:hAnsiTheme="majorBidi" w:cstheme="majorBidi"/>
          <w:i/>
          <w:iCs/>
          <w:lang w:val="en-AU"/>
        </w:rPr>
        <w:t>Red List of Ecosystems</w:t>
      </w:r>
      <w:r w:rsidRPr="00ED7E61">
        <w:rPr>
          <w:rStyle w:val="normaltextrun"/>
          <w:rFonts w:asciiTheme="majorBidi" w:eastAsiaTheme="majorEastAsia" w:hAnsiTheme="majorBidi" w:cstheme="majorBidi"/>
          <w:lang w:val="en-AU"/>
        </w:rPr>
        <w:t xml:space="preserve"> assessments. It can thus be calculated at the subnational, national, regional or global level, or for broad ecosystem groups (e.g. ecosystem functional groups). </w:t>
      </w:r>
      <w:r w:rsidRPr="00ED7E61">
        <w:rPr>
          <w:rStyle w:val="eop"/>
          <w:rFonts w:asciiTheme="majorBidi" w:eastAsiaTheme="majorEastAsia" w:hAnsiTheme="majorBidi" w:cstheme="majorBidi"/>
        </w:rPr>
        <w:t> </w:t>
      </w:r>
    </w:p>
    <w:p w14:paraId="76E9ECCD" w14:textId="0371C5E2" w:rsidR="003D6BBD" w:rsidRPr="00ED7E61" w:rsidRDefault="003D6BBD" w:rsidP="008344AF">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AU"/>
        </w:rPr>
        <w:t>Other key concepts and definitions</w:t>
      </w:r>
    </w:p>
    <w:p w14:paraId="26F9393E" w14:textId="76648BD3" w:rsidR="008344AF" w:rsidRPr="00ED7E61" w:rsidRDefault="003D6BBD" w:rsidP="00B10F0C">
      <w:pPr>
        <w:pStyle w:val="CBDNormalNumber"/>
        <w:rPr>
          <w:rStyle w:val="normaltextrun"/>
          <w:rFonts w:asciiTheme="majorBidi" w:eastAsiaTheme="majorEastAsia" w:hAnsiTheme="majorBidi" w:cstheme="majorBidi"/>
          <w:color w:val="000000"/>
          <w:sz w:val="24"/>
          <w:szCs w:val="24"/>
          <w:lang w:val="en-AU"/>
        </w:rPr>
      </w:pPr>
      <w:r w:rsidRPr="00ED7E61">
        <w:rPr>
          <w:rStyle w:val="normaltextrun"/>
          <w:rFonts w:asciiTheme="majorBidi" w:eastAsiaTheme="majorEastAsia" w:hAnsiTheme="majorBidi" w:cstheme="majorBidi"/>
          <w:i/>
          <w:iCs/>
          <w:color w:val="000000"/>
          <w:lang w:val="en-AU"/>
        </w:rPr>
        <w:t>Ecosystems</w:t>
      </w:r>
      <w:r w:rsidRPr="00ED7E61">
        <w:rPr>
          <w:rStyle w:val="normaltextrun"/>
          <w:rFonts w:asciiTheme="majorBidi" w:eastAsiaTheme="majorEastAsia" w:hAnsiTheme="majorBidi" w:cstheme="majorBidi"/>
          <w:color w:val="000000"/>
          <w:lang w:val="en-AU"/>
        </w:rPr>
        <w:t xml:space="preserve">: a dynamic complex of plant, animal and micro-organism communities and their non-living environment interacting as a functional unit (Convention on Biological Diversity, 1992). Specifically, ecosystems are made up of living components (biotic complexes and assemblages of </w:t>
      </w:r>
      <w:r w:rsidRPr="00B3383B">
        <w:t>species</w:t>
      </w:r>
      <w:r w:rsidRPr="00ED7E61">
        <w:rPr>
          <w:rStyle w:val="normaltextrun"/>
          <w:rFonts w:asciiTheme="majorBidi" w:eastAsiaTheme="majorEastAsia" w:hAnsiTheme="majorBidi" w:cstheme="majorBidi"/>
          <w:color w:val="000000"/>
          <w:lang w:val="en-AU"/>
        </w:rPr>
        <w:t xml:space="preserve">), the abiotic environment, the processes and interactions within and between the biotic and abiotic components, and the physical space in which these operate (Keith et al. 2013).  </w:t>
      </w:r>
    </w:p>
    <w:p w14:paraId="374AF5A0" w14:textId="150DFE7F" w:rsidR="008344AF" w:rsidRPr="00ED7E61" w:rsidRDefault="003D6BBD" w:rsidP="00B10F0C">
      <w:pPr>
        <w:pStyle w:val="CBDNormalNumber"/>
        <w:rPr>
          <w:rFonts w:asciiTheme="majorBidi" w:eastAsiaTheme="majorEastAsia" w:hAnsiTheme="majorBidi" w:cstheme="majorBidi"/>
          <w:color w:val="000000"/>
        </w:rPr>
      </w:pPr>
      <w:r w:rsidRPr="00ED7E61">
        <w:rPr>
          <w:rStyle w:val="normaltextrun"/>
          <w:rFonts w:asciiTheme="majorBidi" w:eastAsiaTheme="majorEastAsia" w:hAnsiTheme="majorBidi" w:cstheme="majorBidi"/>
          <w:i/>
          <w:iCs/>
          <w:color w:val="000000"/>
          <w:lang w:val="en-AU"/>
        </w:rPr>
        <w:t>Ecosystem types</w:t>
      </w:r>
      <w:r w:rsidRPr="00ED7E61">
        <w:rPr>
          <w:rStyle w:val="normaltextrun"/>
          <w:rFonts w:asciiTheme="majorBidi" w:eastAsiaTheme="majorEastAsia" w:hAnsiTheme="majorBidi" w:cstheme="majorBidi"/>
          <w:color w:val="000000"/>
          <w:lang w:val="en-AU"/>
        </w:rPr>
        <w:t xml:space="preserve"> are differentiated from one another by a degree of uniqueness in composition, structure, and </w:t>
      </w:r>
      <w:r w:rsidRPr="00B3383B">
        <w:t>ecological</w:t>
      </w:r>
      <w:r w:rsidRPr="00ED7E61">
        <w:rPr>
          <w:rStyle w:val="normaltextrun"/>
          <w:rFonts w:asciiTheme="majorBidi" w:eastAsiaTheme="majorEastAsia" w:hAnsiTheme="majorBidi" w:cstheme="majorBidi"/>
          <w:color w:val="000000"/>
          <w:lang w:val="en-AU"/>
        </w:rPr>
        <w:t xml:space="preserve"> processes and function. Ecosystem types present a useful model or abstraction of the complexities of the natural world. Similar definitions are used for other, often synonymous, terms such as ecological communities, habitats, biotopes, and vegetation types (Keith et al. 2013, Nicholson et al. 2021). Ecosystem types can be described, classified, and identified using the IUCN Global Ecosystem Typology (Keith et al. 2022). </w:t>
      </w:r>
      <w:r w:rsidRPr="00ED7E61">
        <w:rPr>
          <w:rStyle w:val="eop"/>
          <w:rFonts w:asciiTheme="majorBidi" w:eastAsiaTheme="majorEastAsia" w:hAnsiTheme="majorBidi" w:cstheme="majorBidi"/>
          <w:color w:val="000000"/>
        </w:rPr>
        <w:t> </w:t>
      </w:r>
    </w:p>
    <w:p w14:paraId="487D1790" w14:textId="0A55110C" w:rsidR="008344AF" w:rsidRPr="00ED7E61" w:rsidRDefault="003D6BBD" w:rsidP="00B10F0C">
      <w:pPr>
        <w:pStyle w:val="CBDNormalNumber"/>
        <w:rPr>
          <w:rFonts w:asciiTheme="majorBidi" w:eastAsiaTheme="majorEastAsia" w:hAnsiTheme="majorBidi" w:cstheme="majorBidi"/>
          <w:color w:val="000000"/>
        </w:rPr>
      </w:pPr>
      <w:r w:rsidRPr="00ED7E61">
        <w:rPr>
          <w:rStyle w:val="normaltextrun"/>
          <w:rFonts w:asciiTheme="majorBidi" w:eastAsiaTheme="majorEastAsia" w:hAnsiTheme="majorBidi" w:cstheme="majorBidi"/>
          <w:i/>
          <w:iCs/>
          <w:color w:val="000000"/>
          <w:lang w:val="en-AU"/>
        </w:rPr>
        <w:t>Ecosystem collapse</w:t>
      </w:r>
      <w:r w:rsidRPr="00ED7E61">
        <w:rPr>
          <w:rStyle w:val="normaltextrun"/>
          <w:rFonts w:asciiTheme="majorBidi" w:eastAsiaTheme="majorEastAsia" w:hAnsiTheme="majorBidi" w:cstheme="majorBidi"/>
          <w:color w:val="000000"/>
          <w:lang w:val="en-AU"/>
        </w:rPr>
        <w:t xml:space="preserve"> (as defined in the Red List of Ecosystems standard, IUCN 2024), is the endpoint of </w:t>
      </w:r>
      <w:r w:rsidRPr="00B3383B">
        <w:t>ecosystem</w:t>
      </w:r>
      <w:r w:rsidRPr="00ED7E61">
        <w:rPr>
          <w:rStyle w:val="normaltextrun"/>
          <w:rFonts w:asciiTheme="majorBidi" w:eastAsiaTheme="majorEastAsia" w:hAnsiTheme="majorBidi" w:cstheme="majorBidi"/>
          <w:color w:val="000000"/>
          <w:lang w:val="en-AU"/>
        </w:rPr>
        <w:t xml:space="preserve"> decline, when an ecosystem loses its defining features (i.e. species, assemblages, structure, and functions) and is replaced by a different, often depauperate, ecosystem type. Collapse can be irreversible, but some ecosystems may recover, over long timeframes or with restoration. The risk of ecosystem collapse is the likelihood that an ecosystem will collapse over a specified timeframe (Keith et al. 2013).</w:t>
      </w:r>
      <w:r w:rsidRPr="00ED7E61">
        <w:rPr>
          <w:rStyle w:val="eop"/>
          <w:rFonts w:asciiTheme="majorBidi" w:eastAsiaTheme="majorEastAsia" w:hAnsiTheme="majorBidi" w:cstheme="majorBidi"/>
          <w:color w:val="000000"/>
        </w:rPr>
        <w:t> </w:t>
      </w:r>
    </w:p>
    <w:p w14:paraId="2D5B2B3B" w14:textId="12D00E1F" w:rsidR="008344AF" w:rsidRPr="00ED7E61" w:rsidRDefault="003D6BBD" w:rsidP="00B10F0C">
      <w:pPr>
        <w:pStyle w:val="CBDNormalNumber"/>
        <w:rPr>
          <w:rFonts w:asciiTheme="majorBidi" w:eastAsiaTheme="majorEastAsia" w:hAnsiTheme="majorBidi" w:cstheme="majorBidi"/>
          <w:color w:val="000000"/>
        </w:rPr>
      </w:pPr>
      <w:r w:rsidRPr="00ED7E61">
        <w:rPr>
          <w:rStyle w:val="normaltextrun"/>
          <w:rFonts w:asciiTheme="majorBidi" w:eastAsiaTheme="majorEastAsia" w:hAnsiTheme="majorBidi" w:cstheme="majorBidi"/>
          <w:i/>
          <w:iCs/>
          <w:color w:val="000000"/>
          <w:lang w:val="en-AU"/>
        </w:rPr>
        <w:t>Risk categories</w:t>
      </w:r>
      <w:r w:rsidRPr="00ED7E61">
        <w:rPr>
          <w:rStyle w:val="normaltextrun"/>
          <w:rFonts w:asciiTheme="majorBidi" w:eastAsiaTheme="majorEastAsia" w:hAnsiTheme="majorBidi" w:cstheme="majorBidi"/>
          <w:color w:val="000000"/>
          <w:lang w:val="en-AU"/>
        </w:rPr>
        <w:t xml:space="preserve">: The risk of ecosystem collapse is based on the risk categories each ecosystem is assigned through assessment under the Red List of Ecosystems framework. The risk categories include, in order of increasing risk of collapse: Least Concern, Near Threatened, Vulnerable, Endangered, </w:t>
      </w:r>
      <w:r w:rsidRPr="00B3383B">
        <w:t>Critically</w:t>
      </w:r>
      <w:r w:rsidRPr="00ED7E61">
        <w:rPr>
          <w:rStyle w:val="normaltextrun"/>
          <w:rFonts w:asciiTheme="majorBidi" w:eastAsiaTheme="majorEastAsia" w:hAnsiTheme="majorBidi" w:cstheme="majorBidi"/>
          <w:color w:val="000000"/>
          <w:lang w:val="en-AU"/>
        </w:rPr>
        <w:t xml:space="preserve"> Endangered, and Collapsed. If there are insufficient data to assign a risk category, a criterion or ecosystem type it is considered Data Deficient, or Not Evaluated if not assessed.</w:t>
      </w:r>
      <w:r w:rsidRPr="00ED7E61">
        <w:rPr>
          <w:rStyle w:val="eop"/>
          <w:rFonts w:asciiTheme="majorBidi" w:eastAsiaTheme="majorEastAsia" w:hAnsiTheme="majorBidi" w:cstheme="majorBidi"/>
          <w:color w:val="000000"/>
        </w:rPr>
        <w:t> </w:t>
      </w:r>
    </w:p>
    <w:p w14:paraId="7500D646" w14:textId="19150AE1" w:rsidR="008344AF" w:rsidRPr="00ED7E61" w:rsidRDefault="003D6BBD" w:rsidP="00B10F0C">
      <w:pPr>
        <w:pStyle w:val="CBDNormalNumber"/>
        <w:rPr>
          <w:rStyle w:val="normaltextrun"/>
          <w:rFonts w:asciiTheme="majorBidi" w:eastAsiaTheme="majorEastAsia" w:hAnsiTheme="majorBidi" w:cstheme="majorBidi"/>
          <w:i/>
          <w:iCs/>
          <w:color w:val="000000"/>
          <w:lang w:val="en-AU"/>
        </w:rPr>
      </w:pPr>
      <w:r w:rsidRPr="00ED7E61">
        <w:rPr>
          <w:rStyle w:val="normaltextrun"/>
          <w:rFonts w:asciiTheme="majorBidi" w:eastAsiaTheme="majorEastAsia" w:hAnsiTheme="majorBidi" w:cstheme="majorBidi"/>
          <w:i/>
          <w:iCs/>
          <w:color w:val="000000"/>
          <w:lang w:val="en-AU"/>
        </w:rPr>
        <w:t xml:space="preserve">Ecosystem functional groups: </w:t>
      </w:r>
      <w:r w:rsidRPr="00ED7E61">
        <w:rPr>
          <w:rStyle w:val="normaltextrun"/>
          <w:rFonts w:asciiTheme="majorBidi" w:eastAsiaTheme="majorEastAsia" w:hAnsiTheme="majorBidi" w:cstheme="majorBidi"/>
          <w:color w:val="000000"/>
          <w:lang w:val="en-AU"/>
        </w:rPr>
        <w:t>Ecosystem functional groups comprise “</w:t>
      </w:r>
      <w:r w:rsidRPr="00FB1598">
        <w:rPr>
          <w:rStyle w:val="normaltextrun"/>
          <w:rFonts w:asciiTheme="majorBidi" w:eastAsiaTheme="majorEastAsia" w:hAnsiTheme="majorBidi" w:cstheme="majorBidi"/>
          <w:i/>
          <w:iCs/>
          <w:color w:val="000000"/>
          <w:lang w:val="en-AU"/>
        </w:rPr>
        <w:t>a group of related ecosystems within a biome that share common ecological drivers, which in turn promote similar biotic traits that characterise the group. Derived from the top-down by subdivision of biomes</w:t>
      </w:r>
      <w:r w:rsidRPr="00ED7E61">
        <w:rPr>
          <w:rStyle w:val="normaltextrun"/>
          <w:rFonts w:asciiTheme="majorBidi" w:eastAsiaTheme="majorEastAsia" w:hAnsiTheme="majorBidi" w:cstheme="majorBidi"/>
          <w:color w:val="000000"/>
          <w:lang w:val="en-AU"/>
        </w:rPr>
        <w:t xml:space="preserve">” (Keith et al. 2022, https://global-ecosystems.org/). Examples include: M1.1 seagrass meadows, M1.2 kelp forests and M1.3 </w:t>
      </w:r>
      <w:r w:rsidRPr="00B3383B">
        <w:t>photic</w:t>
      </w:r>
      <w:r w:rsidRPr="00ED7E61">
        <w:rPr>
          <w:rStyle w:val="normaltextrun"/>
          <w:rFonts w:asciiTheme="majorBidi" w:eastAsiaTheme="majorEastAsia" w:hAnsiTheme="majorBidi" w:cstheme="majorBidi"/>
          <w:color w:val="000000"/>
          <w:lang w:val="en-AU"/>
        </w:rPr>
        <w:t xml:space="preserve"> coral reefs in the marine realm, T1.1 tropical/subtropics lowland rainforests and T4.2 pyric tussock savannas in the terrestrial realm, F1.6 episodic arid rivers and F2.8 artesian springs and oasis in the freshwater realm, and MFT1.3 coastal saltmarshes and reedbeds in the transitional realm between freshwater, marine and terrestrial realms</w:t>
      </w:r>
      <w:r w:rsidRPr="00ED7E61">
        <w:rPr>
          <w:rStyle w:val="normaltextrun"/>
          <w:rFonts w:asciiTheme="majorBidi" w:eastAsiaTheme="majorEastAsia" w:hAnsiTheme="majorBidi" w:cstheme="majorBidi"/>
          <w:i/>
          <w:iCs/>
          <w:color w:val="000000"/>
          <w:lang w:val="en-AU"/>
        </w:rPr>
        <w:t>. </w:t>
      </w:r>
      <w:r w:rsidRPr="00ED7E61">
        <w:rPr>
          <w:rStyle w:val="normaltextrun"/>
          <w:i/>
          <w:iCs/>
          <w:lang w:val="en-AU"/>
        </w:rPr>
        <w:t> </w:t>
      </w:r>
    </w:p>
    <w:p w14:paraId="2D453BE5" w14:textId="574F1FB8" w:rsidR="003D6BBD" w:rsidRPr="00ED7E61" w:rsidRDefault="003D6BBD" w:rsidP="00B10F0C">
      <w:pPr>
        <w:pStyle w:val="CBDNormalNumber"/>
        <w:numPr>
          <w:ilvl w:val="0"/>
          <w:numId w:val="66"/>
        </w:numPr>
        <w:ind w:left="567" w:firstLine="0"/>
        <w:rPr>
          <w:rFonts w:asciiTheme="majorBidi" w:hAnsiTheme="majorBidi" w:cstheme="majorBidi"/>
        </w:rPr>
      </w:pPr>
      <w:r w:rsidRPr="00ED7E61">
        <w:rPr>
          <w:rStyle w:val="normaltextrun"/>
          <w:rFonts w:asciiTheme="majorBidi" w:eastAsiaTheme="majorEastAsia" w:hAnsiTheme="majorBidi" w:cstheme="majorBidi"/>
          <w:color w:val="000000"/>
          <w:lang w:val="en-AU"/>
        </w:rPr>
        <w:t xml:space="preserve">Guidelines for the application of the </w:t>
      </w:r>
      <w:r w:rsidRPr="00ED7E61">
        <w:rPr>
          <w:rStyle w:val="normaltextrun"/>
          <w:rFonts w:asciiTheme="majorBidi" w:eastAsiaTheme="majorEastAsia" w:hAnsiTheme="majorBidi" w:cstheme="majorBidi"/>
          <w:i/>
          <w:iCs/>
          <w:color w:val="000000"/>
          <w:lang w:val="en-AU"/>
        </w:rPr>
        <w:t>Red List of Ecosystems</w:t>
      </w:r>
      <w:r w:rsidRPr="00ED7E61">
        <w:rPr>
          <w:rStyle w:val="normaltextrun"/>
          <w:rFonts w:asciiTheme="majorBidi" w:eastAsiaTheme="majorEastAsia" w:hAnsiTheme="majorBidi" w:cstheme="majorBidi"/>
          <w:color w:val="000000"/>
          <w:lang w:val="en-AU"/>
        </w:rPr>
        <w:t xml:space="preserve"> can be found on the </w:t>
      </w:r>
      <w:hyperlink r:id="rId91" w:tgtFrame="_blank" w:history="1">
        <w:r w:rsidRPr="00ED7E61">
          <w:rPr>
            <w:rStyle w:val="normaltextrun"/>
            <w:rFonts w:asciiTheme="majorBidi" w:eastAsiaTheme="majorEastAsia" w:hAnsiTheme="majorBidi" w:cstheme="majorBidi"/>
            <w:color w:val="467886"/>
            <w:u w:val="single"/>
            <w:lang w:val="en-AU"/>
          </w:rPr>
          <w:t>IUCN website</w:t>
        </w:r>
      </w:hyperlink>
      <w:r w:rsidRPr="00ED7E61">
        <w:rPr>
          <w:rStyle w:val="normaltextrun"/>
          <w:rFonts w:asciiTheme="majorBidi" w:eastAsiaTheme="majorEastAsia" w:hAnsiTheme="majorBidi" w:cstheme="majorBidi"/>
          <w:color w:val="000000"/>
          <w:lang w:val="en-AU"/>
        </w:rPr>
        <w:t xml:space="preserve"> (Keith et al. 2013; IUCN, 2024). </w:t>
      </w:r>
      <w:r w:rsidRPr="00ED7E61">
        <w:rPr>
          <w:rStyle w:val="eop"/>
          <w:rFonts w:asciiTheme="majorBidi" w:eastAsiaTheme="majorEastAsia" w:hAnsiTheme="majorBidi" w:cstheme="majorBidi"/>
          <w:color w:val="000000"/>
        </w:rPr>
        <w:t> </w:t>
      </w:r>
    </w:p>
    <w:p w14:paraId="23A04E94" w14:textId="3EC11AEF"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5b. Method of computation</w:t>
      </w:r>
    </w:p>
    <w:p w14:paraId="57F34A7F" w14:textId="725DC63A" w:rsidR="003D6BBD" w:rsidRPr="00ED7E61" w:rsidRDefault="003D6BBD" w:rsidP="003D6BBD">
      <w:pPr>
        <w:pStyle w:val="paragraph"/>
        <w:spacing w:before="0" w:beforeAutospacing="0" w:after="0" w:afterAutospacing="0"/>
        <w:ind w:right="255"/>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i/>
          <w:iCs/>
          <w:color w:val="000000"/>
          <w:sz w:val="22"/>
          <w:szCs w:val="22"/>
          <w:lang w:val="en-AU"/>
        </w:rPr>
        <w:t>Reported data:</w:t>
      </w:r>
    </w:p>
    <w:p w14:paraId="2B7DD5F6" w14:textId="1180C8B6" w:rsidR="003D6BBD"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 xml:space="preserve">The reported data will come from Red List of Ecosystems assessments. The data reported will be the number of ecosystems in each risk category, per ecosystem functional group, as a table (see example in Table 1). Only the categories of risk (Least Concern, Near Threatened, Vulnerable, Endangered, Critically Endangered, and Collapsed) will be used for calculation of RLIe, but additional columns for categories Not Evaluated or Data Deficient can be added to the table to indicate </w:t>
      </w:r>
      <w:r w:rsidRPr="00B3383B">
        <w:t>existing</w:t>
      </w:r>
      <w:r w:rsidRPr="00ED7E61">
        <w:rPr>
          <w:rStyle w:val="normaltextrun"/>
          <w:rFonts w:asciiTheme="majorBidi" w:eastAsiaTheme="majorEastAsia" w:hAnsiTheme="majorBidi" w:cstheme="majorBidi"/>
          <w:color w:val="000000"/>
          <w:lang w:val="en-AU"/>
        </w:rPr>
        <w:t xml:space="preserve"> data gaps in national assessments (see section 5j on data gaps and 5k on missing data). Further guidance in this topic will be finalised in 2024. This advice will also address how to report on ecosystem functional groups in which no or only some ecosystem types have been assessed, differentiating ‘Not Evaluated’ ecosystem types within an otherwise assessed group (i.e. identified but not assessed, which may be included in the reporting table), and whole ecosystem functional groups or biomes that have not been evaluated (where the number of ecosystem types may be unknown, as the classification process may not have begun within the country). The advice will also deal with treatment of EFGs, biomes or even realms that are not applicable in the country (e.g. no marine ecosystem types in a land-locked country). </w:t>
      </w:r>
      <w:r w:rsidRPr="00ED7E61">
        <w:rPr>
          <w:rStyle w:val="normaltextrun"/>
          <w:lang w:val="en-AU"/>
        </w:rPr>
        <w:t> </w:t>
      </w:r>
    </w:p>
    <w:p w14:paraId="0C57B5A5" w14:textId="076CBF4F" w:rsidR="008C72FA" w:rsidRPr="00B3383B" w:rsidRDefault="008C72FA" w:rsidP="00B3383B">
      <w:pPr>
        <w:pStyle w:val="paragraph"/>
        <w:ind w:left="567"/>
        <w:textAlignment w:val="baseline"/>
        <w:rPr>
          <w:rFonts w:asciiTheme="majorBidi" w:eastAsiaTheme="majorEastAsia" w:hAnsiTheme="majorBidi" w:cstheme="majorBidi"/>
          <w:b/>
          <w:bCs/>
          <w:color w:val="000000"/>
          <w:sz w:val="22"/>
          <w:szCs w:val="22"/>
          <w:lang w:val="en-GB"/>
        </w:rPr>
      </w:pPr>
      <w:r w:rsidRPr="00B3383B">
        <w:rPr>
          <w:rFonts w:asciiTheme="majorBidi" w:eastAsiaTheme="majorEastAsia" w:hAnsiTheme="majorBidi" w:cstheme="majorBidi"/>
          <w:color w:val="000000"/>
          <w:sz w:val="22"/>
          <w:szCs w:val="22"/>
          <w:lang w:val="en-GB"/>
        </w:rPr>
        <w:t>Table 1</w:t>
      </w:r>
      <w:r w:rsidRPr="00ED7E61">
        <w:rPr>
          <w:rFonts w:asciiTheme="majorBidi" w:eastAsiaTheme="majorEastAsia" w:hAnsiTheme="majorBidi" w:cstheme="majorBidi"/>
          <w:color w:val="000000"/>
          <w:sz w:val="22"/>
          <w:szCs w:val="22"/>
          <w:lang w:val="en-GB"/>
        </w:rPr>
        <w:t xml:space="preserve"> </w:t>
      </w:r>
      <w:r w:rsidR="003806DF">
        <w:rPr>
          <w:rFonts w:asciiTheme="majorBidi" w:eastAsiaTheme="majorEastAsia" w:hAnsiTheme="majorBidi" w:cstheme="majorBidi"/>
          <w:color w:val="000000"/>
          <w:sz w:val="22"/>
          <w:szCs w:val="22"/>
          <w:lang w:val="en-GB"/>
        </w:rPr>
        <w:br/>
      </w:r>
      <w:r w:rsidR="003806DF">
        <w:rPr>
          <w:rFonts w:asciiTheme="majorBidi" w:eastAsiaTheme="majorEastAsia" w:hAnsiTheme="majorBidi" w:cstheme="majorBidi"/>
          <w:b/>
          <w:bCs/>
          <w:color w:val="000000"/>
          <w:sz w:val="22"/>
          <w:szCs w:val="22"/>
          <w:lang w:val="en-GB"/>
        </w:rPr>
        <w:t>E</w:t>
      </w:r>
      <w:r w:rsidRPr="00B3383B">
        <w:rPr>
          <w:rFonts w:asciiTheme="majorBidi" w:eastAsiaTheme="majorEastAsia" w:hAnsiTheme="majorBidi" w:cstheme="majorBidi"/>
          <w:b/>
          <w:bCs/>
          <w:color w:val="000000"/>
          <w:sz w:val="22"/>
          <w:szCs w:val="22"/>
          <w:lang w:val="en-GB"/>
        </w:rPr>
        <w:t>xample of the type of data required for reporting A2 on extent of natural ecosystems, shown for South Africa’s terrestrial ecosystems</w:t>
      </w:r>
    </w:p>
    <w:tbl>
      <w:tblPr>
        <w:tblW w:w="8647" w:type="dxa"/>
        <w:tblInd w:w="562" w:type="dxa"/>
        <w:tblLook w:val="04A0" w:firstRow="1" w:lastRow="0" w:firstColumn="1" w:lastColumn="0" w:noHBand="0" w:noVBand="1"/>
      </w:tblPr>
      <w:tblGrid>
        <w:gridCol w:w="4358"/>
        <w:gridCol w:w="980"/>
        <w:gridCol w:w="1000"/>
        <w:gridCol w:w="1000"/>
        <w:gridCol w:w="1309"/>
      </w:tblGrid>
      <w:tr w:rsidR="008C72FA" w:rsidRPr="0097105B" w14:paraId="4AEA4295" w14:textId="77777777" w:rsidTr="00B3383B">
        <w:trPr>
          <w:trHeight w:val="300"/>
        </w:trPr>
        <w:tc>
          <w:tcPr>
            <w:tcW w:w="4358" w:type="dxa"/>
            <w:tcBorders>
              <w:top w:val="single" w:sz="4" w:space="0" w:color="auto"/>
              <w:left w:val="single" w:sz="4" w:space="0" w:color="auto"/>
              <w:bottom w:val="single" w:sz="4" w:space="0" w:color="auto"/>
              <w:right w:val="single" w:sz="4" w:space="0" w:color="auto"/>
            </w:tcBorders>
            <w:noWrap/>
            <w:vAlign w:val="center"/>
            <w:hideMark/>
          </w:tcPr>
          <w:p w14:paraId="1BE0219B" w14:textId="77777777" w:rsidR="008C72FA" w:rsidRPr="00B3383B" w:rsidRDefault="008C72FA" w:rsidP="008C72FA">
            <w:pPr>
              <w:pStyle w:val="paragraph"/>
              <w:textAlignment w:val="baseline"/>
              <w:rPr>
                <w:rFonts w:asciiTheme="majorBidi" w:eastAsiaTheme="majorEastAsia" w:hAnsiTheme="majorBidi" w:cstheme="majorBidi"/>
                <w:i/>
                <w:iCs/>
                <w:color w:val="000000"/>
                <w:sz w:val="20"/>
                <w:szCs w:val="20"/>
                <w:lang w:val="en-AU"/>
              </w:rPr>
            </w:pPr>
            <w:r w:rsidRPr="00B3383B">
              <w:rPr>
                <w:rFonts w:asciiTheme="majorBidi" w:eastAsiaTheme="majorEastAsia" w:hAnsiTheme="majorBidi" w:cstheme="majorBidi"/>
                <w:i/>
                <w:iCs/>
                <w:color w:val="000000"/>
                <w:sz w:val="20"/>
                <w:szCs w:val="20"/>
                <w:lang w:val="en-GB"/>
              </w:rPr>
              <w:t>Ecosystem Functional Group</w:t>
            </w:r>
          </w:p>
        </w:tc>
        <w:tc>
          <w:tcPr>
            <w:tcW w:w="4289" w:type="dxa"/>
            <w:gridSpan w:val="4"/>
            <w:tcBorders>
              <w:top w:val="single" w:sz="4" w:space="0" w:color="auto"/>
              <w:left w:val="nil"/>
              <w:bottom w:val="single" w:sz="4" w:space="0" w:color="auto"/>
              <w:right w:val="single" w:sz="4" w:space="0" w:color="auto"/>
            </w:tcBorders>
            <w:noWrap/>
            <w:vAlign w:val="bottom"/>
            <w:hideMark/>
          </w:tcPr>
          <w:p w14:paraId="007606A9" w14:textId="77777777" w:rsidR="008C72FA" w:rsidRPr="00B3383B" w:rsidRDefault="008C72FA" w:rsidP="00FB1598">
            <w:pPr>
              <w:pStyle w:val="paragraph"/>
              <w:jc w:val="center"/>
              <w:textAlignment w:val="baseline"/>
              <w:rPr>
                <w:rFonts w:asciiTheme="majorBidi" w:eastAsiaTheme="majorEastAsia" w:hAnsiTheme="majorBidi" w:cstheme="majorBidi"/>
                <w:i/>
                <w:iCs/>
                <w:color w:val="000000"/>
                <w:sz w:val="20"/>
                <w:szCs w:val="20"/>
                <w:lang w:val="en-AU"/>
              </w:rPr>
            </w:pPr>
            <w:r w:rsidRPr="00B3383B">
              <w:rPr>
                <w:rFonts w:asciiTheme="majorBidi" w:eastAsiaTheme="majorEastAsia" w:hAnsiTheme="majorBidi" w:cstheme="majorBidi"/>
                <w:i/>
                <w:iCs/>
                <w:color w:val="000000"/>
                <w:sz w:val="20"/>
                <w:szCs w:val="20"/>
                <w:lang w:val="en-GB"/>
              </w:rPr>
              <w:t>Extent of EFGs (km</w:t>
            </w:r>
            <w:r w:rsidRPr="00B3383B">
              <w:rPr>
                <w:rFonts w:asciiTheme="majorBidi" w:eastAsiaTheme="majorEastAsia" w:hAnsiTheme="majorBidi" w:cstheme="majorBidi"/>
                <w:i/>
                <w:iCs/>
                <w:color w:val="000000"/>
                <w:sz w:val="20"/>
                <w:szCs w:val="20"/>
                <w:vertAlign w:val="superscript"/>
                <w:lang w:val="en-GB"/>
              </w:rPr>
              <w:t>2</w:t>
            </w:r>
            <w:r w:rsidRPr="00B3383B">
              <w:rPr>
                <w:rFonts w:asciiTheme="majorBidi" w:eastAsiaTheme="majorEastAsia" w:hAnsiTheme="majorBidi" w:cstheme="majorBidi"/>
                <w:i/>
                <w:iCs/>
                <w:color w:val="000000"/>
                <w:sz w:val="20"/>
                <w:szCs w:val="20"/>
                <w:lang w:val="en-GB"/>
              </w:rPr>
              <w:t>)</w:t>
            </w:r>
          </w:p>
        </w:tc>
      </w:tr>
      <w:tr w:rsidR="008C72FA" w:rsidRPr="0097105B" w14:paraId="657875BE" w14:textId="77777777" w:rsidTr="00B3383B">
        <w:trPr>
          <w:trHeight w:val="300"/>
        </w:trPr>
        <w:tc>
          <w:tcPr>
            <w:tcW w:w="4358" w:type="dxa"/>
            <w:tcBorders>
              <w:top w:val="single" w:sz="4" w:space="0" w:color="auto"/>
              <w:left w:val="single" w:sz="4" w:space="0" w:color="auto"/>
              <w:bottom w:val="single" w:sz="4" w:space="0" w:color="auto"/>
              <w:right w:val="single" w:sz="4" w:space="0" w:color="auto"/>
            </w:tcBorders>
            <w:noWrap/>
            <w:vAlign w:val="center"/>
            <w:hideMark/>
          </w:tcPr>
          <w:p w14:paraId="18092905" w14:textId="77777777" w:rsidR="008C72FA" w:rsidRPr="00B3383B" w:rsidRDefault="008C72FA" w:rsidP="008C72FA">
            <w:pPr>
              <w:pStyle w:val="paragraph"/>
              <w:textAlignment w:val="baseline"/>
              <w:rPr>
                <w:rFonts w:asciiTheme="majorBidi" w:eastAsiaTheme="majorEastAsia" w:hAnsiTheme="majorBidi" w:cstheme="majorBidi"/>
                <w:b/>
                <w:bCs/>
                <w:color w:val="000000"/>
                <w:sz w:val="20"/>
                <w:szCs w:val="20"/>
                <w:lang w:val="en-AU"/>
              </w:rPr>
            </w:pPr>
            <w:r w:rsidRPr="00B3383B">
              <w:rPr>
                <w:rFonts w:asciiTheme="majorBidi" w:eastAsiaTheme="majorEastAsia" w:hAnsiTheme="majorBidi" w:cstheme="majorBidi"/>
                <w:b/>
                <w:bCs/>
                <w:color w:val="000000"/>
                <w:sz w:val="20"/>
                <w:szCs w:val="20"/>
                <w:lang w:val="en-AU"/>
              </w:rPr>
              <w:t> </w:t>
            </w:r>
          </w:p>
        </w:tc>
        <w:tc>
          <w:tcPr>
            <w:tcW w:w="980" w:type="dxa"/>
            <w:tcBorders>
              <w:top w:val="single" w:sz="4" w:space="0" w:color="auto"/>
              <w:left w:val="nil"/>
              <w:bottom w:val="single" w:sz="4" w:space="0" w:color="auto"/>
              <w:right w:val="single" w:sz="4" w:space="0" w:color="auto"/>
            </w:tcBorders>
            <w:noWrap/>
            <w:vAlign w:val="bottom"/>
            <w:hideMark/>
          </w:tcPr>
          <w:p w14:paraId="3277706C" w14:textId="77777777" w:rsidR="008C72FA" w:rsidRPr="00B3383B" w:rsidRDefault="008C72FA" w:rsidP="00FB1598">
            <w:pPr>
              <w:pStyle w:val="paragraph"/>
              <w:jc w:val="center"/>
              <w:textAlignment w:val="baseline"/>
              <w:rPr>
                <w:rFonts w:asciiTheme="majorBidi" w:eastAsiaTheme="majorEastAsia" w:hAnsiTheme="majorBidi" w:cstheme="majorBidi"/>
                <w:b/>
                <w:bCs/>
                <w:color w:val="000000"/>
                <w:sz w:val="20"/>
                <w:szCs w:val="20"/>
                <w:lang w:val="en-AU"/>
              </w:rPr>
            </w:pPr>
            <w:r w:rsidRPr="00B3383B">
              <w:rPr>
                <w:rFonts w:asciiTheme="majorBidi" w:eastAsiaTheme="majorEastAsia" w:hAnsiTheme="majorBidi" w:cstheme="majorBidi"/>
                <w:b/>
                <w:bCs/>
                <w:color w:val="000000"/>
                <w:sz w:val="20"/>
                <w:szCs w:val="20"/>
                <w:lang w:val="en-AU"/>
              </w:rPr>
              <w:t>1750</w:t>
            </w:r>
          </w:p>
        </w:tc>
        <w:tc>
          <w:tcPr>
            <w:tcW w:w="1000" w:type="dxa"/>
            <w:tcBorders>
              <w:top w:val="single" w:sz="4" w:space="0" w:color="auto"/>
              <w:left w:val="nil"/>
              <w:bottom w:val="single" w:sz="4" w:space="0" w:color="auto"/>
              <w:right w:val="single" w:sz="4" w:space="0" w:color="auto"/>
            </w:tcBorders>
            <w:noWrap/>
            <w:vAlign w:val="bottom"/>
            <w:hideMark/>
          </w:tcPr>
          <w:p w14:paraId="2B209D47" w14:textId="77777777" w:rsidR="008C72FA" w:rsidRPr="00B3383B" w:rsidRDefault="008C72FA" w:rsidP="00FB1598">
            <w:pPr>
              <w:pStyle w:val="paragraph"/>
              <w:jc w:val="center"/>
              <w:textAlignment w:val="baseline"/>
              <w:rPr>
                <w:rFonts w:asciiTheme="majorBidi" w:eastAsiaTheme="majorEastAsia" w:hAnsiTheme="majorBidi" w:cstheme="majorBidi"/>
                <w:b/>
                <w:bCs/>
                <w:color w:val="000000"/>
                <w:sz w:val="20"/>
                <w:szCs w:val="20"/>
                <w:lang w:val="en-AU"/>
              </w:rPr>
            </w:pPr>
            <w:r w:rsidRPr="00B3383B">
              <w:rPr>
                <w:rFonts w:asciiTheme="majorBidi" w:eastAsiaTheme="majorEastAsia" w:hAnsiTheme="majorBidi" w:cstheme="majorBidi"/>
                <w:b/>
                <w:bCs/>
                <w:color w:val="000000"/>
                <w:sz w:val="20"/>
                <w:szCs w:val="20"/>
                <w:lang w:val="en-AU"/>
              </w:rPr>
              <w:t>1990</w:t>
            </w:r>
          </w:p>
        </w:tc>
        <w:tc>
          <w:tcPr>
            <w:tcW w:w="1000" w:type="dxa"/>
            <w:tcBorders>
              <w:top w:val="single" w:sz="4" w:space="0" w:color="auto"/>
              <w:left w:val="nil"/>
              <w:bottom w:val="single" w:sz="4" w:space="0" w:color="auto"/>
              <w:right w:val="single" w:sz="4" w:space="0" w:color="auto"/>
            </w:tcBorders>
            <w:noWrap/>
            <w:vAlign w:val="bottom"/>
            <w:hideMark/>
          </w:tcPr>
          <w:p w14:paraId="1D3E6F8E" w14:textId="77777777" w:rsidR="008C72FA" w:rsidRPr="00B3383B" w:rsidRDefault="008C72FA" w:rsidP="00FB1598">
            <w:pPr>
              <w:pStyle w:val="paragraph"/>
              <w:jc w:val="center"/>
              <w:textAlignment w:val="baseline"/>
              <w:rPr>
                <w:rFonts w:asciiTheme="majorBidi" w:eastAsiaTheme="majorEastAsia" w:hAnsiTheme="majorBidi" w:cstheme="majorBidi"/>
                <w:b/>
                <w:bCs/>
                <w:color w:val="000000"/>
                <w:sz w:val="20"/>
                <w:szCs w:val="20"/>
                <w:lang w:val="en-AU"/>
              </w:rPr>
            </w:pPr>
            <w:r w:rsidRPr="00B3383B">
              <w:rPr>
                <w:rFonts w:asciiTheme="majorBidi" w:eastAsiaTheme="majorEastAsia" w:hAnsiTheme="majorBidi" w:cstheme="majorBidi"/>
                <w:b/>
                <w:bCs/>
                <w:color w:val="000000"/>
                <w:sz w:val="20"/>
                <w:szCs w:val="20"/>
                <w:lang w:val="en-AU"/>
              </w:rPr>
              <w:t>2014</w:t>
            </w:r>
          </w:p>
        </w:tc>
        <w:tc>
          <w:tcPr>
            <w:tcW w:w="1309" w:type="dxa"/>
            <w:tcBorders>
              <w:top w:val="single" w:sz="4" w:space="0" w:color="auto"/>
              <w:left w:val="nil"/>
              <w:bottom w:val="single" w:sz="4" w:space="0" w:color="auto"/>
              <w:right w:val="single" w:sz="4" w:space="0" w:color="auto"/>
            </w:tcBorders>
            <w:noWrap/>
            <w:vAlign w:val="bottom"/>
            <w:hideMark/>
          </w:tcPr>
          <w:p w14:paraId="7F4A6E5A" w14:textId="77777777" w:rsidR="008C72FA" w:rsidRPr="00B3383B" w:rsidRDefault="008C72FA" w:rsidP="00FB1598">
            <w:pPr>
              <w:pStyle w:val="paragraph"/>
              <w:jc w:val="center"/>
              <w:textAlignment w:val="baseline"/>
              <w:rPr>
                <w:rFonts w:asciiTheme="majorBidi" w:eastAsiaTheme="majorEastAsia" w:hAnsiTheme="majorBidi" w:cstheme="majorBidi"/>
                <w:b/>
                <w:bCs/>
                <w:color w:val="000000"/>
                <w:sz w:val="20"/>
                <w:szCs w:val="20"/>
                <w:lang w:val="en-AU"/>
              </w:rPr>
            </w:pPr>
            <w:r w:rsidRPr="00B3383B">
              <w:rPr>
                <w:rFonts w:asciiTheme="majorBidi" w:eastAsiaTheme="majorEastAsia" w:hAnsiTheme="majorBidi" w:cstheme="majorBidi"/>
                <w:b/>
                <w:bCs/>
                <w:color w:val="000000"/>
                <w:sz w:val="20"/>
                <w:szCs w:val="20"/>
                <w:lang w:val="en-AU"/>
              </w:rPr>
              <w:t>2022</w:t>
            </w:r>
          </w:p>
        </w:tc>
      </w:tr>
      <w:tr w:rsidR="008C72FA" w:rsidRPr="0097105B" w14:paraId="78E9E97B"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5949EE63"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GB"/>
              </w:rPr>
              <w:t>T1.2 Tropical-subtropical dry forests and thickets</w:t>
            </w:r>
          </w:p>
        </w:tc>
        <w:tc>
          <w:tcPr>
            <w:tcW w:w="980" w:type="dxa"/>
            <w:tcBorders>
              <w:top w:val="nil"/>
              <w:left w:val="nil"/>
              <w:bottom w:val="single" w:sz="4" w:space="0" w:color="auto"/>
              <w:right w:val="single" w:sz="4" w:space="0" w:color="auto"/>
            </w:tcBorders>
            <w:noWrap/>
            <w:vAlign w:val="bottom"/>
            <w:hideMark/>
          </w:tcPr>
          <w:p w14:paraId="044B292E" w14:textId="0478E6C2"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36</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084</w:t>
            </w:r>
          </w:p>
        </w:tc>
        <w:tc>
          <w:tcPr>
            <w:tcW w:w="1000" w:type="dxa"/>
            <w:tcBorders>
              <w:top w:val="nil"/>
              <w:left w:val="nil"/>
              <w:bottom w:val="single" w:sz="4" w:space="0" w:color="auto"/>
              <w:right w:val="single" w:sz="4" w:space="0" w:color="auto"/>
            </w:tcBorders>
            <w:noWrap/>
            <w:vAlign w:val="bottom"/>
            <w:hideMark/>
          </w:tcPr>
          <w:p w14:paraId="52777BB0" w14:textId="3A4F1F57"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33</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175</w:t>
            </w:r>
          </w:p>
        </w:tc>
        <w:tc>
          <w:tcPr>
            <w:tcW w:w="1000" w:type="dxa"/>
            <w:tcBorders>
              <w:top w:val="nil"/>
              <w:left w:val="nil"/>
              <w:bottom w:val="single" w:sz="4" w:space="0" w:color="auto"/>
              <w:right w:val="single" w:sz="4" w:space="0" w:color="auto"/>
            </w:tcBorders>
            <w:noWrap/>
            <w:vAlign w:val="bottom"/>
            <w:hideMark/>
          </w:tcPr>
          <w:p w14:paraId="4CD0EEB2" w14:textId="7C09565B"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32</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811</w:t>
            </w:r>
          </w:p>
        </w:tc>
        <w:tc>
          <w:tcPr>
            <w:tcW w:w="1309" w:type="dxa"/>
            <w:tcBorders>
              <w:top w:val="nil"/>
              <w:left w:val="nil"/>
              <w:bottom w:val="single" w:sz="4" w:space="0" w:color="auto"/>
              <w:right w:val="single" w:sz="4" w:space="0" w:color="auto"/>
            </w:tcBorders>
            <w:noWrap/>
            <w:vAlign w:val="bottom"/>
            <w:hideMark/>
          </w:tcPr>
          <w:p w14:paraId="066201C0" w14:textId="61A62D77"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32</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545</w:t>
            </w:r>
          </w:p>
        </w:tc>
      </w:tr>
      <w:tr w:rsidR="008C72FA" w:rsidRPr="0097105B" w14:paraId="1352B2D9"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40AEFF81"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T2.4 Warm temperate laurophyll forests</w:t>
            </w:r>
          </w:p>
        </w:tc>
        <w:tc>
          <w:tcPr>
            <w:tcW w:w="980" w:type="dxa"/>
            <w:tcBorders>
              <w:top w:val="nil"/>
              <w:left w:val="nil"/>
              <w:bottom w:val="single" w:sz="4" w:space="0" w:color="auto"/>
              <w:right w:val="single" w:sz="4" w:space="0" w:color="auto"/>
            </w:tcBorders>
            <w:noWrap/>
            <w:vAlign w:val="bottom"/>
            <w:hideMark/>
          </w:tcPr>
          <w:p w14:paraId="148CE064" w14:textId="11A372BD"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421</w:t>
            </w:r>
          </w:p>
        </w:tc>
        <w:tc>
          <w:tcPr>
            <w:tcW w:w="1000" w:type="dxa"/>
            <w:tcBorders>
              <w:top w:val="nil"/>
              <w:left w:val="nil"/>
              <w:bottom w:val="single" w:sz="4" w:space="0" w:color="auto"/>
              <w:right w:val="single" w:sz="4" w:space="0" w:color="auto"/>
            </w:tcBorders>
            <w:noWrap/>
            <w:vAlign w:val="bottom"/>
            <w:hideMark/>
          </w:tcPr>
          <w:p w14:paraId="7B891EB6" w14:textId="38CE4C5A"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1</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976</w:t>
            </w:r>
          </w:p>
        </w:tc>
        <w:tc>
          <w:tcPr>
            <w:tcW w:w="1000" w:type="dxa"/>
            <w:tcBorders>
              <w:top w:val="nil"/>
              <w:left w:val="nil"/>
              <w:bottom w:val="single" w:sz="4" w:space="0" w:color="auto"/>
              <w:right w:val="single" w:sz="4" w:space="0" w:color="auto"/>
            </w:tcBorders>
            <w:noWrap/>
            <w:vAlign w:val="bottom"/>
            <w:hideMark/>
          </w:tcPr>
          <w:p w14:paraId="566C29C5" w14:textId="3DA45392"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1</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960</w:t>
            </w:r>
          </w:p>
        </w:tc>
        <w:tc>
          <w:tcPr>
            <w:tcW w:w="1309" w:type="dxa"/>
            <w:tcBorders>
              <w:top w:val="nil"/>
              <w:left w:val="nil"/>
              <w:bottom w:val="single" w:sz="4" w:space="0" w:color="auto"/>
              <w:right w:val="single" w:sz="4" w:space="0" w:color="auto"/>
            </w:tcBorders>
            <w:noWrap/>
            <w:vAlign w:val="bottom"/>
            <w:hideMark/>
          </w:tcPr>
          <w:p w14:paraId="0E8B5BF0" w14:textId="092818BD"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1</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955</w:t>
            </w:r>
          </w:p>
        </w:tc>
      </w:tr>
      <w:tr w:rsidR="008C72FA" w:rsidRPr="0097105B" w14:paraId="72B2FBCA"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66A3EC32"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GB"/>
              </w:rPr>
              <w:t>T3.1 Seasonally dry tropical shrublands</w:t>
            </w:r>
          </w:p>
        </w:tc>
        <w:tc>
          <w:tcPr>
            <w:tcW w:w="980" w:type="dxa"/>
            <w:tcBorders>
              <w:top w:val="nil"/>
              <w:left w:val="nil"/>
              <w:bottom w:val="single" w:sz="4" w:space="0" w:color="auto"/>
              <w:right w:val="single" w:sz="4" w:space="0" w:color="auto"/>
            </w:tcBorders>
            <w:noWrap/>
            <w:vAlign w:val="bottom"/>
            <w:hideMark/>
          </w:tcPr>
          <w:p w14:paraId="39A9314D" w14:textId="26F01750"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1</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271</w:t>
            </w:r>
          </w:p>
        </w:tc>
        <w:tc>
          <w:tcPr>
            <w:tcW w:w="1000" w:type="dxa"/>
            <w:tcBorders>
              <w:top w:val="nil"/>
              <w:left w:val="nil"/>
              <w:bottom w:val="single" w:sz="4" w:space="0" w:color="auto"/>
              <w:right w:val="single" w:sz="4" w:space="0" w:color="auto"/>
            </w:tcBorders>
            <w:noWrap/>
            <w:vAlign w:val="bottom"/>
            <w:hideMark/>
          </w:tcPr>
          <w:p w14:paraId="2AD52978" w14:textId="77777777"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954</w:t>
            </w:r>
          </w:p>
        </w:tc>
        <w:tc>
          <w:tcPr>
            <w:tcW w:w="1000" w:type="dxa"/>
            <w:tcBorders>
              <w:top w:val="nil"/>
              <w:left w:val="nil"/>
              <w:bottom w:val="single" w:sz="4" w:space="0" w:color="auto"/>
              <w:right w:val="single" w:sz="4" w:space="0" w:color="auto"/>
            </w:tcBorders>
            <w:noWrap/>
            <w:vAlign w:val="bottom"/>
            <w:hideMark/>
          </w:tcPr>
          <w:p w14:paraId="4EA4B9E8" w14:textId="77777777"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891</w:t>
            </w:r>
          </w:p>
        </w:tc>
        <w:tc>
          <w:tcPr>
            <w:tcW w:w="1309" w:type="dxa"/>
            <w:tcBorders>
              <w:top w:val="nil"/>
              <w:left w:val="nil"/>
              <w:bottom w:val="single" w:sz="4" w:space="0" w:color="auto"/>
              <w:right w:val="single" w:sz="4" w:space="0" w:color="auto"/>
            </w:tcBorders>
            <w:noWrap/>
            <w:vAlign w:val="bottom"/>
            <w:hideMark/>
          </w:tcPr>
          <w:p w14:paraId="207CE6E7" w14:textId="77777777"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849</w:t>
            </w:r>
          </w:p>
        </w:tc>
      </w:tr>
      <w:tr w:rsidR="008C72FA" w:rsidRPr="0097105B" w14:paraId="7E9F3B03"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57726659"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T3.2 Seasonally dry temperate heath and shrublands</w:t>
            </w:r>
          </w:p>
        </w:tc>
        <w:tc>
          <w:tcPr>
            <w:tcW w:w="980" w:type="dxa"/>
            <w:tcBorders>
              <w:top w:val="nil"/>
              <w:left w:val="nil"/>
              <w:bottom w:val="single" w:sz="4" w:space="0" w:color="auto"/>
              <w:right w:val="single" w:sz="4" w:space="0" w:color="auto"/>
            </w:tcBorders>
            <w:noWrap/>
            <w:vAlign w:val="bottom"/>
            <w:hideMark/>
          </w:tcPr>
          <w:p w14:paraId="5ACD48CF" w14:textId="410EEF15"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84</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893</w:t>
            </w:r>
          </w:p>
        </w:tc>
        <w:tc>
          <w:tcPr>
            <w:tcW w:w="1000" w:type="dxa"/>
            <w:tcBorders>
              <w:top w:val="nil"/>
              <w:left w:val="nil"/>
              <w:bottom w:val="single" w:sz="4" w:space="0" w:color="auto"/>
              <w:right w:val="single" w:sz="4" w:space="0" w:color="auto"/>
            </w:tcBorders>
            <w:noWrap/>
            <w:vAlign w:val="bottom"/>
            <w:hideMark/>
          </w:tcPr>
          <w:p w14:paraId="106F1D4C" w14:textId="5BD50CC2"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60</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896</w:t>
            </w:r>
          </w:p>
        </w:tc>
        <w:tc>
          <w:tcPr>
            <w:tcW w:w="1000" w:type="dxa"/>
            <w:tcBorders>
              <w:top w:val="nil"/>
              <w:left w:val="nil"/>
              <w:bottom w:val="single" w:sz="4" w:space="0" w:color="auto"/>
              <w:right w:val="single" w:sz="4" w:space="0" w:color="auto"/>
            </w:tcBorders>
            <w:noWrap/>
            <w:vAlign w:val="bottom"/>
            <w:hideMark/>
          </w:tcPr>
          <w:p w14:paraId="11C395E6" w14:textId="7540DD3A"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58</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814</w:t>
            </w:r>
          </w:p>
        </w:tc>
        <w:tc>
          <w:tcPr>
            <w:tcW w:w="1309" w:type="dxa"/>
            <w:tcBorders>
              <w:top w:val="nil"/>
              <w:left w:val="nil"/>
              <w:bottom w:val="single" w:sz="4" w:space="0" w:color="auto"/>
              <w:right w:val="single" w:sz="4" w:space="0" w:color="auto"/>
            </w:tcBorders>
            <w:noWrap/>
            <w:vAlign w:val="bottom"/>
            <w:hideMark/>
          </w:tcPr>
          <w:p w14:paraId="175A4F41" w14:textId="5B0BB307"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57</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373</w:t>
            </w:r>
          </w:p>
        </w:tc>
      </w:tr>
      <w:tr w:rsidR="008C72FA" w:rsidRPr="0097105B" w14:paraId="65FDC189"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3DA7F074"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T4.1 Trophic savannas</w:t>
            </w:r>
          </w:p>
        </w:tc>
        <w:tc>
          <w:tcPr>
            <w:tcW w:w="980" w:type="dxa"/>
            <w:tcBorders>
              <w:top w:val="nil"/>
              <w:left w:val="nil"/>
              <w:bottom w:val="single" w:sz="4" w:space="0" w:color="auto"/>
              <w:right w:val="single" w:sz="4" w:space="0" w:color="auto"/>
            </w:tcBorders>
            <w:noWrap/>
            <w:vAlign w:val="bottom"/>
            <w:hideMark/>
          </w:tcPr>
          <w:p w14:paraId="6EC07079" w14:textId="548CB941"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160</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799</w:t>
            </w:r>
          </w:p>
        </w:tc>
        <w:tc>
          <w:tcPr>
            <w:tcW w:w="1000" w:type="dxa"/>
            <w:tcBorders>
              <w:top w:val="nil"/>
              <w:left w:val="nil"/>
              <w:bottom w:val="single" w:sz="4" w:space="0" w:color="auto"/>
              <w:right w:val="single" w:sz="4" w:space="0" w:color="auto"/>
            </w:tcBorders>
            <w:noWrap/>
            <w:vAlign w:val="bottom"/>
            <w:hideMark/>
          </w:tcPr>
          <w:p w14:paraId="67A7C618" w14:textId="750718DC"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138</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362</w:t>
            </w:r>
          </w:p>
        </w:tc>
        <w:tc>
          <w:tcPr>
            <w:tcW w:w="1000" w:type="dxa"/>
            <w:tcBorders>
              <w:top w:val="nil"/>
              <w:left w:val="nil"/>
              <w:bottom w:val="single" w:sz="4" w:space="0" w:color="auto"/>
              <w:right w:val="single" w:sz="4" w:space="0" w:color="auto"/>
            </w:tcBorders>
            <w:noWrap/>
            <w:vAlign w:val="bottom"/>
            <w:hideMark/>
          </w:tcPr>
          <w:p w14:paraId="2A67758A" w14:textId="0CA027D3"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135</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177</w:t>
            </w:r>
          </w:p>
        </w:tc>
        <w:tc>
          <w:tcPr>
            <w:tcW w:w="1309" w:type="dxa"/>
            <w:tcBorders>
              <w:top w:val="nil"/>
              <w:left w:val="nil"/>
              <w:bottom w:val="single" w:sz="4" w:space="0" w:color="auto"/>
              <w:right w:val="single" w:sz="4" w:space="0" w:color="auto"/>
            </w:tcBorders>
            <w:noWrap/>
            <w:vAlign w:val="bottom"/>
            <w:hideMark/>
          </w:tcPr>
          <w:p w14:paraId="5E14FB69" w14:textId="72AB8DE6"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133</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173</w:t>
            </w:r>
          </w:p>
        </w:tc>
      </w:tr>
      <w:tr w:rsidR="008C72FA" w:rsidRPr="0097105B" w14:paraId="5AD97DC0"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52F68F2B"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GB"/>
              </w:rPr>
              <w:t>T4.2 Pyric tussock savannas</w:t>
            </w:r>
          </w:p>
        </w:tc>
        <w:tc>
          <w:tcPr>
            <w:tcW w:w="980" w:type="dxa"/>
            <w:tcBorders>
              <w:top w:val="nil"/>
              <w:left w:val="nil"/>
              <w:bottom w:val="single" w:sz="4" w:space="0" w:color="auto"/>
              <w:right w:val="single" w:sz="4" w:space="0" w:color="auto"/>
            </w:tcBorders>
            <w:noWrap/>
            <w:vAlign w:val="bottom"/>
            <w:hideMark/>
          </w:tcPr>
          <w:p w14:paraId="57DF3BC3" w14:textId="39659D56"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263</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388</w:t>
            </w:r>
          </w:p>
        </w:tc>
        <w:tc>
          <w:tcPr>
            <w:tcW w:w="1000" w:type="dxa"/>
            <w:tcBorders>
              <w:top w:val="nil"/>
              <w:left w:val="nil"/>
              <w:bottom w:val="single" w:sz="4" w:space="0" w:color="auto"/>
              <w:right w:val="single" w:sz="4" w:space="0" w:color="auto"/>
            </w:tcBorders>
            <w:noWrap/>
            <w:vAlign w:val="bottom"/>
            <w:hideMark/>
          </w:tcPr>
          <w:p w14:paraId="2A048B32" w14:textId="2888A603"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209</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581</w:t>
            </w:r>
          </w:p>
        </w:tc>
        <w:tc>
          <w:tcPr>
            <w:tcW w:w="1000" w:type="dxa"/>
            <w:tcBorders>
              <w:top w:val="nil"/>
              <w:left w:val="nil"/>
              <w:bottom w:val="single" w:sz="4" w:space="0" w:color="auto"/>
              <w:right w:val="single" w:sz="4" w:space="0" w:color="auto"/>
            </w:tcBorders>
            <w:noWrap/>
            <w:vAlign w:val="bottom"/>
            <w:hideMark/>
          </w:tcPr>
          <w:p w14:paraId="0B5CD176" w14:textId="7D802B0B"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203</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510</w:t>
            </w:r>
          </w:p>
        </w:tc>
        <w:tc>
          <w:tcPr>
            <w:tcW w:w="1309" w:type="dxa"/>
            <w:tcBorders>
              <w:top w:val="nil"/>
              <w:left w:val="nil"/>
              <w:bottom w:val="single" w:sz="4" w:space="0" w:color="auto"/>
              <w:right w:val="single" w:sz="4" w:space="0" w:color="auto"/>
            </w:tcBorders>
            <w:noWrap/>
            <w:vAlign w:val="bottom"/>
            <w:hideMark/>
          </w:tcPr>
          <w:p w14:paraId="02DC5C9C" w14:textId="0DFE0010"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199</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713</w:t>
            </w:r>
          </w:p>
        </w:tc>
      </w:tr>
      <w:tr w:rsidR="008C72FA" w:rsidRPr="0097105B" w14:paraId="2F37AD4C"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64BA079E"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T4.5 Temperate subhumid grasslands</w:t>
            </w:r>
          </w:p>
        </w:tc>
        <w:tc>
          <w:tcPr>
            <w:tcW w:w="980" w:type="dxa"/>
            <w:tcBorders>
              <w:top w:val="nil"/>
              <w:left w:val="nil"/>
              <w:bottom w:val="single" w:sz="4" w:space="0" w:color="auto"/>
              <w:right w:val="single" w:sz="4" w:space="0" w:color="auto"/>
            </w:tcBorders>
            <w:noWrap/>
            <w:vAlign w:val="bottom"/>
            <w:hideMark/>
          </w:tcPr>
          <w:p w14:paraId="4FC31336" w14:textId="2FE3D531"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364</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882</w:t>
            </w:r>
          </w:p>
        </w:tc>
        <w:tc>
          <w:tcPr>
            <w:tcW w:w="1000" w:type="dxa"/>
            <w:tcBorders>
              <w:top w:val="nil"/>
              <w:left w:val="nil"/>
              <w:bottom w:val="single" w:sz="4" w:space="0" w:color="auto"/>
              <w:right w:val="single" w:sz="4" w:space="0" w:color="auto"/>
            </w:tcBorders>
            <w:noWrap/>
            <w:vAlign w:val="bottom"/>
            <w:hideMark/>
          </w:tcPr>
          <w:p w14:paraId="09C4DE28" w14:textId="770ADE53"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234</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775</w:t>
            </w:r>
          </w:p>
        </w:tc>
        <w:tc>
          <w:tcPr>
            <w:tcW w:w="1000" w:type="dxa"/>
            <w:tcBorders>
              <w:top w:val="nil"/>
              <w:left w:val="nil"/>
              <w:bottom w:val="single" w:sz="4" w:space="0" w:color="auto"/>
              <w:right w:val="single" w:sz="4" w:space="0" w:color="auto"/>
            </w:tcBorders>
            <w:noWrap/>
            <w:vAlign w:val="bottom"/>
            <w:hideMark/>
          </w:tcPr>
          <w:p w14:paraId="608B4858" w14:textId="157D2597"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223</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843</w:t>
            </w:r>
          </w:p>
        </w:tc>
        <w:tc>
          <w:tcPr>
            <w:tcW w:w="1309" w:type="dxa"/>
            <w:tcBorders>
              <w:top w:val="nil"/>
              <w:left w:val="nil"/>
              <w:bottom w:val="single" w:sz="4" w:space="0" w:color="auto"/>
              <w:right w:val="single" w:sz="4" w:space="0" w:color="auto"/>
            </w:tcBorders>
            <w:noWrap/>
            <w:vAlign w:val="bottom"/>
            <w:hideMark/>
          </w:tcPr>
          <w:p w14:paraId="5A63516D" w14:textId="05EFE33A"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216</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938</w:t>
            </w:r>
          </w:p>
        </w:tc>
      </w:tr>
      <w:tr w:rsidR="008C72FA" w:rsidRPr="0097105B" w14:paraId="2AC931F0"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06000944"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T5.1 Semi-desert steppe</w:t>
            </w:r>
          </w:p>
        </w:tc>
        <w:tc>
          <w:tcPr>
            <w:tcW w:w="980" w:type="dxa"/>
            <w:tcBorders>
              <w:top w:val="nil"/>
              <w:left w:val="nil"/>
              <w:bottom w:val="single" w:sz="4" w:space="0" w:color="auto"/>
              <w:right w:val="single" w:sz="4" w:space="0" w:color="auto"/>
            </w:tcBorders>
            <w:noWrap/>
            <w:vAlign w:val="bottom"/>
            <w:hideMark/>
          </w:tcPr>
          <w:p w14:paraId="4A702236" w14:textId="6F4B7F31"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256</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325</w:t>
            </w:r>
          </w:p>
        </w:tc>
        <w:tc>
          <w:tcPr>
            <w:tcW w:w="1000" w:type="dxa"/>
            <w:tcBorders>
              <w:top w:val="nil"/>
              <w:left w:val="nil"/>
              <w:bottom w:val="single" w:sz="4" w:space="0" w:color="auto"/>
              <w:right w:val="single" w:sz="4" w:space="0" w:color="auto"/>
            </w:tcBorders>
            <w:noWrap/>
            <w:vAlign w:val="bottom"/>
            <w:hideMark/>
          </w:tcPr>
          <w:p w14:paraId="4ADD4769" w14:textId="6E0B7143"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251</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738</w:t>
            </w:r>
          </w:p>
        </w:tc>
        <w:tc>
          <w:tcPr>
            <w:tcW w:w="1000" w:type="dxa"/>
            <w:tcBorders>
              <w:top w:val="nil"/>
              <w:left w:val="nil"/>
              <w:bottom w:val="single" w:sz="4" w:space="0" w:color="auto"/>
              <w:right w:val="single" w:sz="4" w:space="0" w:color="auto"/>
            </w:tcBorders>
            <w:noWrap/>
            <w:vAlign w:val="bottom"/>
            <w:hideMark/>
          </w:tcPr>
          <w:p w14:paraId="26096029" w14:textId="7001AB47"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251</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008</w:t>
            </w:r>
          </w:p>
        </w:tc>
        <w:tc>
          <w:tcPr>
            <w:tcW w:w="1309" w:type="dxa"/>
            <w:tcBorders>
              <w:top w:val="nil"/>
              <w:left w:val="nil"/>
              <w:bottom w:val="single" w:sz="4" w:space="0" w:color="auto"/>
              <w:right w:val="single" w:sz="4" w:space="0" w:color="auto"/>
            </w:tcBorders>
            <w:noWrap/>
            <w:vAlign w:val="bottom"/>
            <w:hideMark/>
          </w:tcPr>
          <w:p w14:paraId="50BAD6A4" w14:textId="036996C3"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250</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026</w:t>
            </w:r>
          </w:p>
        </w:tc>
      </w:tr>
      <w:tr w:rsidR="008C72FA" w:rsidRPr="0097105B" w14:paraId="73638321"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038D8E4C"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GB"/>
              </w:rPr>
              <w:t>T5.2 Thorny deserts and semi-deserts</w:t>
            </w:r>
          </w:p>
        </w:tc>
        <w:tc>
          <w:tcPr>
            <w:tcW w:w="980" w:type="dxa"/>
            <w:tcBorders>
              <w:top w:val="nil"/>
              <w:left w:val="nil"/>
              <w:bottom w:val="single" w:sz="4" w:space="0" w:color="auto"/>
              <w:right w:val="single" w:sz="4" w:space="0" w:color="auto"/>
            </w:tcBorders>
            <w:noWrap/>
            <w:vAlign w:val="bottom"/>
            <w:hideMark/>
          </w:tcPr>
          <w:p w14:paraId="68989F5F" w14:textId="41F424A0"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83</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498</w:t>
            </w:r>
          </w:p>
        </w:tc>
        <w:tc>
          <w:tcPr>
            <w:tcW w:w="1000" w:type="dxa"/>
            <w:tcBorders>
              <w:top w:val="nil"/>
              <w:left w:val="nil"/>
              <w:bottom w:val="single" w:sz="4" w:space="0" w:color="auto"/>
              <w:right w:val="single" w:sz="4" w:space="0" w:color="auto"/>
            </w:tcBorders>
            <w:noWrap/>
            <w:vAlign w:val="bottom"/>
            <w:hideMark/>
          </w:tcPr>
          <w:p w14:paraId="4226EE55" w14:textId="24C607B9"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79</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466</w:t>
            </w:r>
          </w:p>
        </w:tc>
        <w:tc>
          <w:tcPr>
            <w:tcW w:w="1000" w:type="dxa"/>
            <w:tcBorders>
              <w:top w:val="nil"/>
              <w:left w:val="nil"/>
              <w:bottom w:val="single" w:sz="4" w:space="0" w:color="auto"/>
              <w:right w:val="single" w:sz="4" w:space="0" w:color="auto"/>
            </w:tcBorders>
            <w:noWrap/>
            <w:vAlign w:val="bottom"/>
            <w:hideMark/>
          </w:tcPr>
          <w:p w14:paraId="6A91FF27" w14:textId="34F42BDF"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79</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086</w:t>
            </w:r>
          </w:p>
        </w:tc>
        <w:tc>
          <w:tcPr>
            <w:tcW w:w="1309" w:type="dxa"/>
            <w:tcBorders>
              <w:top w:val="nil"/>
              <w:left w:val="nil"/>
              <w:bottom w:val="single" w:sz="4" w:space="0" w:color="auto"/>
              <w:right w:val="single" w:sz="4" w:space="0" w:color="auto"/>
            </w:tcBorders>
            <w:noWrap/>
            <w:vAlign w:val="bottom"/>
            <w:hideMark/>
          </w:tcPr>
          <w:p w14:paraId="7DF677EC" w14:textId="0542D4F6"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78</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540</w:t>
            </w:r>
          </w:p>
        </w:tc>
      </w:tr>
      <w:tr w:rsidR="008C72FA" w:rsidRPr="0097105B" w14:paraId="2F8D41FA"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4BAA867E"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T5.5 Hyper-arid deserts</w:t>
            </w:r>
          </w:p>
        </w:tc>
        <w:tc>
          <w:tcPr>
            <w:tcW w:w="980" w:type="dxa"/>
            <w:tcBorders>
              <w:top w:val="nil"/>
              <w:left w:val="nil"/>
              <w:bottom w:val="single" w:sz="4" w:space="0" w:color="auto"/>
              <w:right w:val="single" w:sz="4" w:space="0" w:color="auto"/>
            </w:tcBorders>
            <w:noWrap/>
            <w:vAlign w:val="bottom"/>
            <w:hideMark/>
          </w:tcPr>
          <w:p w14:paraId="67F67333" w14:textId="479336BB"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6</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245</w:t>
            </w:r>
          </w:p>
        </w:tc>
        <w:tc>
          <w:tcPr>
            <w:tcW w:w="1000" w:type="dxa"/>
            <w:tcBorders>
              <w:top w:val="nil"/>
              <w:left w:val="nil"/>
              <w:bottom w:val="single" w:sz="4" w:space="0" w:color="auto"/>
              <w:right w:val="single" w:sz="4" w:space="0" w:color="auto"/>
            </w:tcBorders>
            <w:noWrap/>
            <w:vAlign w:val="bottom"/>
            <w:hideMark/>
          </w:tcPr>
          <w:p w14:paraId="74AE6D27" w14:textId="5F3A071A"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6</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179</w:t>
            </w:r>
          </w:p>
        </w:tc>
        <w:tc>
          <w:tcPr>
            <w:tcW w:w="1000" w:type="dxa"/>
            <w:tcBorders>
              <w:top w:val="nil"/>
              <w:left w:val="nil"/>
              <w:bottom w:val="single" w:sz="4" w:space="0" w:color="auto"/>
              <w:right w:val="single" w:sz="4" w:space="0" w:color="auto"/>
            </w:tcBorders>
            <w:noWrap/>
            <w:vAlign w:val="bottom"/>
            <w:hideMark/>
          </w:tcPr>
          <w:p w14:paraId="629E5425" w14:textId="4CFF2141"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6</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166</w:t>
            </w:r>
          </w:p>
        </w:tc>
        <w:tc>
          <w:tcPr>
            <w:tcW w:w="1309" w:type="dxa"/>
            <w:tcBorders>
              <w:top w:val="nil"/>
              <w:left w:val="nil"/>
              <w:bottom w:val="single" w:sz="4" w:space="0" w:color="auto"/>
              <w:right w:val="single" w:sz="4" w:space="0" w:color="auto"/>
            </w:tcBorders>
            <w:noWrap/>
            <w:vAlign w:val="bottom"/>
            <w:hideMark/>
          </w:tcPr>
          <w:p w14:paraId="6F0F0DB1" w14:textId="69760341"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6</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130</w:t>
            </w:r>
          </w:p>
        </w:tc>
      </w:tr>
      <w:tr w:rsidR="008C72FA" w:rsidRPr="0097105B" w14:paraId="3BE8D0F1" w14:textId="77777777" w:rsidTr="00B3383B">
        <w:trPr>
          <w:trHeight w:val="300"/>
        </w:trPr>
        <w:tc>
          <w:tcPr>
            <w:tcW w:w="4358" w:type="dxa"/>
            <w:tcBorders>
              <w:top w:val="nil"/>
              <w:left w:val="single" w:sz="4" w:space="0" w:color="auto"/>
              <w:bottom w:val="single" w:sz="4" w:space="0" w:color="auto"/>
              <w:right w:val="single" w:sz="4" w:space="0" w:color="auto"/>
            </w:tcBorders>
            <w:noWrap/>
            <w:vAlign w:val="center"/>
            <w:hideMark/>
          </w:tcPr>
          <w:p w14:paraId="5928E544" w14:textId="77777777" w:rsidR="008C72FA" w:rsidRPr="00B3383B" w:rsidRDefault="008C72FA" w:rsidP="008C72FA">
            <w:pPr>
              <w:pStyle w:val="paragraph"/>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GB"/>
              </w:rPr>
              <w:t>MT2.1 Coastal shrublands and grasslands</w:t>
            </w:r>
          </w:p>
        </w:tc>
        <w:tc>
          <w:tcPr>
            <w:tcW w:w="980" w:type="dxa"/>
            <w:tcBorders>
              <w:top w:val="nil"/>
              <w:left w:val="nil"/>
              <w:bottom w:val="single" w:sz="4" w:space="0" w:color="auto"/>
              <w:right w:val="single" w:sz="4" w:space="0" w:color="auto"/>
            </w:tcBorders>
            <w:noWrap/>
            <w:vAlign w:val="bottom"/>
            <w:hideMark/>
          </w:tcPr>
          <w:p w14:paraId="10F04C8E" w14:textId="3B62C7B2"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4</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457</w:t>
            </w:r>
          </w:p>
        </w:tc>
        <w:tc>
          <w:tcPr>
            <w:tcW w:w="1000" w:type="dxa"/>
            <w:tcBorders>
              <w:top w:val="nil"/>
              <w:left w:val="nil"/>
              <w:bottom w:val="single" w:sz="4" w:space="0" w:color="auto"/>
              <w:right w:val="single" w:sz="4" w:space="0" w:color="auto"/>
            </w:tcBorders>
            <w:noWrap/>
            <w:vAlign w:val="bottom"/>
            <w:hideMark/>
          </w:tcPr>
          <w:p w14:paraId="6DB597CF" w14:textId="7C00D936"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3</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741</w:t>
            </w:r>
          </w:p>
        </w:tc>
        <w:tc>
          <w:tcPr>
            <w:tcW w:w="1000" w:type="dxa"/>
            <w:tcBorders>
              <w:top w:val="nil"/>
              <w:left w:val="nil"/>
              <w:bottom w:val="single" w:sz="4" w:space="0" w:color="auto"/>
              <w:right w:val="single" w:sz="4" w:space="0" w:color="auto"/>
            </w:tcBorders>
            <w:noWrap/>
            <w:vAlign w:val="bottom"/>
            <w:hideMark/>
          </w:tcPr>
          <w:p w14:paraId="6A8DD130" w14:textId="1AF76AA2"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3</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677</w:t>
            </w:r>
          </w:p>
        </w:tc>
        <w:tc>
          <w:tcPr>
            <w:tcW w:w="1309" w:type="dxa"/>
            <w:tcBorders>
              <w:top w:val="nil"/>
              <w:left w:val="nil"/>
              <w:bottom w:val="single" w:sz="4" w:space="0" w:color="auto"/>
              <w:right w:val="single" w:sz="4" w:space="0" w:color="auto"/>
            </w:tcBorders>
            <w:noWrap/>
            <w:vAlign w:val="bottom"/>
            <w:hideMark/>
          </w:tcPr>
          <w:p w14:paraId="5D9F1B57" w14:textId="057B6D93" w:rsidR="008C72FA" w:rsidRPr="00B3383B" w:rsidRDefault="008C72FA" w:rsidP="00FB1598">
            <w:pPr>
              <w:pStyle w:val="paragraph"/>
              <w:jc w:val="right"/>
              <w:textAlignment w:val="baseline"/>
              <w:rPr>
                <w:rFonts w:asciiTheme="majorBidi" w:eastAsiaTheme="majorEastAsia" w:hAnsiTheme="majorBidi" w:cstheme="majorBidi"/>
                <w:color w:val="000000"/>
                <w:sz w:val="20"/>
                <w:szCs w:val="20"/>
                <w:lang w:val="en-AU"/>
              </w:rPr>
            </w:pPr>
            <w:r w:rsidRPr="00B3383B">
              <w:rPr>
                <w:rFonts w:asciiTheme="majorBidi" w:eastAsiaTheme="majorEastAsia" w:hAnsiTheme="majorBidi" w:cstheme="majorBidi"/>
                <w:color w:val="000000"/>
                <w:sz w:val="20"/>
                <w:szCs w:val="20"/>
                <w:lang w:val="en-AU"/>
              </w:rPr>
              <w:t>3</w:t>
            </w:r>
            <w:r w:rsidR="001C2BD6" w:rsidRPr="00B3383B">
              <w:rPr>
                <w:rFonts w:asciiTheme="majorBidi" w:eastAsiaTheme="majorEastAsia" w:hAnsiTheme="majorBidi" w:cstheme="majorBidi"/>
                <w:color w:val="000000"/>
                <w:sz w:val="20"/>
                <w:szCs w:val="20"/>
                <w:lang w:val="en-AU"/>
              </w:rPr>
              <w:t>,</w:t>
            </w:r>
            <w:r w:rsidRPr="00B3383B">
              <w:rPr>
                <w:rFonts w:asciiTheme="majorBidi" w:eastAsiaTheme="majorEastAsia" w:hAnsiTheme="majorBidi" w:cstheme="majorBidi"/>
                <w:color w:val="000000"/>
                <w:sz w:val="20"/>
                <w:szCs w:val="20"/>
                <w:lang w:val="en-AU"/>
              </w:rPr>
              <w:t>602</w:t>
            </w:r>
          </w:p>
        </w:tc>
      </w:tr>
    </w:tbl>
    <w:p w14:paraId="4B9683D4" w14:textId="77777777" w:rsidR="003D6BBD" w:rsidRPr="00ED7E61" w:rsidRDefault="003D6BBD" w:rsidP="003D6BBD">
      <w:pPr>
        <w:pStyle w:val="paragraph"/>
        <w:spacing w:before="0" w:beforeAutospacing="0" w:after="0" w:afterAutospacing="0"/>
        <w:ind w:right="255"/>
        <w:textAlignment w:val="baseline"/>
        <w:rPr>
          <w:rFonts w:asciiTheme="majorBidi" w:hAnsiTheme="majorBidi" w:cstheme="majorBidi"/>
          <w:sz w:val="22"/>
          <w:szCs w:val="22"/>
          <w:lang w:val="en-GB"/>
        </w:rPr>
      </w:pPr>
      <w:r w:rsidRPr="00ED7E61">
        <w:rPr>
          <w:rStyle w:val="eop"/>
          <w:rFonts w:asciiTheme="majorBidi" w:eastAsiaTheme="majorEastAsia" w:hAnsiTheme="majorBidi" w:cstheme="majorBidi"/>
          <w:color w:val="000000"/>
          <w:sz w:val="22"/>
          <w:szCs w:val="22"/>
          <w:lang w:val="en-GB"/>
        </w:rPr>
        <w:t> </w:t>
      </w:r>
    </w:p>
    <w:p w14:paraId="684C2CC9" w14:textId="35CD69CC" w:rsidR="003D6BBD" w:rsidRPr="00ED7E61" w:rsidRDefault="003D6BBD" w:rsidP="003D6BBD">
      <w:pPr>
        <w:pStyle w:val="paragraph"/>
        <w:spacing w:before="0" w:beforeAutospacing="0" w:after="0" w:afterAutospacing="0"/>
        <w:ind w:right="255"/>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i/>
          <w:iCs/>
          <w:color w:val="000000"/>
          <w:sz w:val="22"/>
          <w:szCs w:val="22"/>
          <w:lang w:val="en-AU"/>
        </w:rPr>
        <w:t>Red List Index of Ecosystems (RLIe):</w:t>
      </w:r>
    </w:p>
    <w:p w14:paraId="4D5F13E1" w14:textId="77777777" w:rsidR="003D6BBD"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 xml:space="preserve">The RLIe measures trends in ecosystem collapse risk based on the proportion of ecosystem types in each risk </w:t>
      </w:r>
      <w:r w:rsidRPr="00B3383B">
        <w:t>category</w:t>
      </w:r>
      <w:r w:rsidRPr="00ED7E61">
        <w:rPr>
          <w:rStyle w:val="normaltextrun"/>
          <w:rFonts w:asciiTheme="majorBidi" w:eastAsiaTheme="majorEastAsia" w:hAnsiTheme="majorBidi" w:cstheme="majorBidi"/>
          <w:color w:val="000000"/>
          <w:lang w:val="en-AU"/>
        </w:rPr>
        <w:t xml:space="preserve"> (for details see Rowland et al. 2020). The RLIe is the weighted mean of ordinal ranks assigned to each risk category:</w:t>
      </w:r>
      <w:r w:rsidRPr="00ED7E61">
        <w:rPr>
          <w:rStyle w:val="normaltextrun"/>
          <w:lang w:val="en-AU"/>
        </w:rPr>
        <w:t> </w:t>
      </w:r>
    </w:p>
    <w:p w14:paraId="538A780D" w14:textId="77777777" w:rsidR="003D6BBD" w:rsidRPr="00ED7E61" w:rsidRDefault="003D6BBD" w:rsidP="00B3383B">
      <w:pPr>
        <w:pStyle w:val="paragraph"/>
        <w:spacing w:before="0" w:beforeAutospacing="0" w:after="0" w:afterAutospacing="0"/>
        <w:ind w:left="567" w:right="255"/>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AU"/>
        </w:rPr>
        <w:t> </w:t>
      </w:r>
      <w:r w:rsidRPr="00ED7E61">
        <w:rPr>
          <w:rStyle w:val="wacimagecontainer"/>
          <w:rFonts w:asciiTheme="majorBidi" w:eastAsiaTheme="majorEastAsia" w:hAnsiTheme="majorBidi" w:cstheme="majorBidi"/>
          <w:noProof/>
          <w:sz w:val="22"/>
          <w:szCs w:val="22"/>
          <w:lang w:val="fr-FR" w:eastAsia="fr-FR"/>
        </w:rPr>
        <w:drawing>
          <wp:inline distT="0" distB="0" distL="0" distR="0" wp14:anchorId="468D2D10" wp14:editId="3106AA43">
            <wp:extent cx="1619250" cy="562788"/>
            <wp:effectExtent l="0" t="0" r="0" b="0"/>
            <wp:docPr id="361868061"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diagram&#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82237" cy="584680"/>
                    </a:xfrm>
                    <a:prstGeom prst="rect">
                      <a:avLst/>
                    </a:prstGeom>
                    <a:noFill/>
                    <a:ln>
                      <a:noFill/>
                    </a:ln>
                  </pic:spPr>
                </pic:pic>
              </a:graphicData>
            </a:graphic>
          </wp:inline>
        </w:drawing>
      </w:r>
      <w:r w:rsidRPr="00ED7E61">
        <w:rPr>
          <w:rStyle w:val="eop"/>
          <w:rFonts w:asciiTheme="majorBidi" w:eastAsiaTheme="majorEastAsia" w:hAnsiTheme="majorBidi" w:cstheme="majorBidi"/>
          <w:color w:val="000000"/>
          <w:sz w:val="22"/>
          <w:szCs w:val="22"/>
        </w:rPr>
        <w:t> </w:t>
      </w:r>
    </w:p>
    <w:p w14:paraId="022C7859" w14:textId="60506B20" w:rsidR="003D6BBD" w:rsidRPr="00ED7E61" w:rsidRDefault="003D6BBD" w:rsidP="005B0D1E">
      <w:pPr>
        <w:pStyle w:val="CBDNormalNumber"/>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where Wc(i,t) is the risk category rank for ecosystem i in year t (Collapsed=5, Critically Endangered=4, Endangered=3, Vulnerable=2, Near Threatened=1, Least Concern=0; following the approach taken for the Red List Index of species survival, Headline indicator A.3; Butchart et al. 2004; 2007), </w:t>
      </w:r>
      <w:bookmarkStart w:id="20" w:name="_Hlk162966736"/>
      <w:r w:rsidRPr="00ED7E61">
        <w:rPr>
          <w:rStyle w:val="normaltextrun"/>
          <w:rFonts w:asciiTheme="majorBidi" w:eastAsiaTheme="majorEastAsia" w:hAnsiTheme="majorBidi" w:cstheme="majorBidi"/>
          <w:color w:val="000000"/>
          <w:lang w:val="en-AU"/>
        </w:rPr>
        <w:t xml:space="preserve">WCO is the </w:t>
      </w:r>
      <w:r w:rsidRPr="00B3383B">
        <w:t>maximum</w:t>
      </w:r>
      <w:r w:rsidRPr="00ED7E61">
        <w:rPr>
          <w:rStyle w:val="normaltextrun"/>
          <w:rFonts w:asciiTheme="majorBidi" w:eastAsiaTheme="majorEastAsia" w:hAnsiTheme="majorBidi" w:cstheme="majorBidi"/>
          <w:color w:val="000000"/>
          <w:lang w:val="en-AU"/>
        </w:rPr>
        <w:t xml:space="preserve"> category rank (CO = Collapsed=5), and n is the total number of ecosystem excluding Data Deficient or Not Evaluated ecosystem. </w:t>
      </w:r>
      <w:bookmarkEnd w:id="20"/>
      <w:r w:rsidRPr="00ED7E61">
        <w:rPr>
          <w:rStyle w:val="normaltextrun"/>
          <w:rFonts w:asciiTheme="majorBidi" w:eastAsiaTheme="majorEastAsia" w:hAnsiTheme="majorBidi" w:cstheme="majorBidi"/>
          <w:color w:val="000000"/>
          <w:lang w:val="en-AU"/>
        </w:rPr>
        <w:t>The RLIe ranges from 0 (all ecosystems Collapsed) to 1 (all Least Concern). Data Deficient ecosystem types may be included by by allocating them to risk categories in proportion with data sufficient ecosystem types (see section 5k on missing data). </w:t>
      </w:r>
      <w:r w:rsidRPr="00ED7E61">
        <w:rPr>
          <w:rStyle w:val="normaltextrun"/>
          <w:color w:val="000000"/>
          <w:lang w:val="en-AU"/>
        </w:rPr>
        <w:t> The RLIe should be calculated for each ecosystem type.</w:t>
      </w:r>
    </w:p>
    <w:p w14:paraId="4D21AA80" w14:textId="1654F9CF" w:rsidR="008344AF" w:rsidRPr="00ED7E61" w:rsidRDefault="003D6BBD" w:rsidP="00B10F0C">
      <w:pPr>
        <w:pStyle w:val="CBDNormalNumber"/>
        <w:rPr>
          <w:rStyle w:val="normaltextrun"/>
          <w:lang w:val="en-AU"/>
        </w:rPr>
      </w:pPr>
      <w:r w:rsidRPr="00ED7E61">
        <w:rPr>
          <w:rStyle w:val="normaltextrun"/>
          <w:rFonts w:asciiTheme="majorBidi" w:eastAsiaTheme="majorEastAsia" w:hAnsiTheme="majorBidi" w:cstheme="majorBidi"/>
          <w:i/>
          <w:iCs/>
          <w:color w:val="000000"/>
          <w:lang w:val="en-AU"/>
        </w:rPr>
        <w:t>Genuine change</w:t>
      </w:r>
      <w:r w:rsidRPr="00ED7E61">
        <w:rPr>
          <w:rStyle w:val="normaltextrun"/>
          <w:rFonts w:asciiTheme="majorBidi" w:eastAsiaTheme="majorEastAsia" w:hAnsiTheme="majorBidi" w:cstheme="majorBidi"/>
          <w:color w:val="000000"/>
          <w:lang w:val="en-AU"/>
        </w:rPr>
        <w:t xml:space="preserve">: The indicator should only report on genuine changes in risk category. The IUCN Red List of Ecosystems group will publish guidance on this topic in 2024 in the forthcoming update to the </w:t>
      </w:r>
      <w:r w:rsidRPr="00B3383B">
        <w:t>Guidelines</w:t>
      </w:r>
      <w:r w:rsidRPr="00ED7E61">
        <w:rPr>
          <w:rStyle w:val="normaltextrun"/>
          <w:rFonts w:asciiTheme="majorBidi" w:eastAsiaTheme="majorEastAsia" w:hAnsiTheme="majorBidi" w:cstheme="majorBidi"/>
          <w:color w:val="000000"/>
          <w:lang w:val="en-AU"/>
        </w:rPr>
        <w:t xml:space="preserve"> for the application of IUCN Red List of Ecosystems Categories and Criteria. This draws on guidelines from the Red List of Threatened Species and associate indicators (see headline indicator A.3), and experience from countries that have undertaken repeat Red List of Ecosystems assessments (e.g. Finland, Norway and South Africa). </w:t>
      </w:r>
      <w:r w:rsidRPr="00ED7E61">
        <w:rPr>
          <w:rStyle w:val="normaltextrun"/>
          <w:lang w:val="en-AU"/>
        </w:rPr>
        <w:t> </w:t>
      </w:r>
    </w:p>
    <w:p w14:paraId="54983168" w14:textId="2E0FF185" w:rsidR="003D6BBD"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i/>
          <w:iCs/>
          <w:color w:val="000000"/>
          <w:lang w:val="en-AU"/>
        </w:rPr>
        <w:t>Indicator testing:</w:t>
      </w:r>
      <w:r w:rsidRPr="00ED7E61">
        <w:rPr>
          <w:rStyle w:val="normaltextrun"/>
          <w:rFonts w:asciiTheme="majorBidi" w:eastAsiaTheme="majorEastAsia" w:hAnsiTheme="majorBidi" w:cstheme="majorBidi"/>
          <w:b/>
          <w:bCs/>
          <w:i/>
          <w:iCs/>
          <w:color w:val="000000"/>
          <w:lang w:val="en-AU"/>
        </w:rPr>
        <w:t> </w:t>
      </w:r>
      <w:r w:rsidRPr="00ED7E61">
        <w:rPr>
          <w:rStyle w:val="eop"/>
          <w:rFonts w:asciiTheme="majorBidi" w:eastAsiaTheme="majorEastAsia" w:hAnsiTheme="majorBidi" w:cstheme="majorBidi"/>
          <w:color w:val="000000"/>
        </w:rPr>
        <w:t> </w:t>
      </w:r>
      <w:r w:rsidRPr="00ED7E61">
        <w:rPr>
          <w:rStyle w:val="normaltextrun"/>
          <w:rFonts w:asciiTheme="majorBidi" w:eastAsiaTheme="majorEastAsia" w:hAnsiTheme="majorBidi" w:cstheme="majorBidi"/>
          <w:color w:val="000000"/>
          <w:lang w:val="en-AU"/>
        </w:rPr>
        <w:t>A key question for indicators is how sensitive they are to biodiversity change. Several studies have tested aspects of the Red List of Ecosystems framework in its capacity to detect meaningful change in ecosystems. For example, Murray et al. (2017) tested metrics for restricted range size (Criterion B – restricted geographic distribution) for their capacity as predictors of ecosystem collapse in landscapes subject to stochastic threats. They found that the methods currently used in Red List of Ecosystems assessments for measuring range size are the best spatial metrics for estimating risks from stochastic threats. Analyses from Norway found that the RLIe could provide time-series to reliably compare alternative policy scenarios (Kyrkjeeide et al. 2021). The RLIe has been tested for sensitivity and responsiveness using an ecosystem simulation model of a coral reef (Rowland et al. 2020b), showing that the RLIe can differentiate between low and high threat levels, responds to both increases in threats (e.g. climate change) and decreases (e.g. effective conservation policy), and detects change in area and integrity.</w:t>
      </w:r>
      <w:r w:rsidRPr="00ED7E61">
        <w:rPr>
          <w:rStyle w:val="eop"/>
          <w:rFonts w:asciiTheme="majorBidi" w:eastAsiaTheme="majorEastAsia" w:hAnsiTheme="majorBidi" w:cstheme="majorBidi"/>
          <w:color w:val="000000"/>
        </w:rPr>
        <w:t> </w:t>
      </w:r>
    </w:p>
    <w:p w14:paraId="079523C9" w14:textId="25892444"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5c. Data collection method</w:t>
      </w:r>
    </w:p>
    <w:p w14:paraId="43D6F998" w14:textId="06C66794" w:rsidR="008344AF" w:rsidRPr="00ED7E61" w:rsidRDefault="003D6BBD" w:rsidP="00B10F0C">
      <w:pPr>
        <w:pStyle w:val="CBDNormalNumber"/>
        <w:rPr>
          <w:rStyle w:val="normaltextrun"/>
          <w:sz w:val="24"/>
          <w:szCs w:val="24"/>
          <w:lang w:val="en-AU"/>
        </w:rPr>
      </w:pPr>
      <w:r w:rsidRPr="00ED7E61">
        <w:rPr>
          <w:rStyle w:val="normaltextrun"/>
          <w:rFonts w:asciiTheme="majorBidi" w:eastAsiaTheme="majorEastAsia" w:hAnsiTheme="majorBidi" w:cstheme="majorBidi"/>
          <w:color w:val="000000"/>
          <w:lang w:val="en-AU"/>
        </w:rPr>
        <w:t>The reported data will ideally stem from national Red List of Ecosystems assessments. However, data can also come from regional, global and sub-national assessments, subject to national validation (see section 5e). Ideally, data should come from comprehensive assessments of all ecosystems in all ecosystem functional groups within a country. If this is not possible, data can be used from assessments of all ecosystems within an ecosystem functional group (nationally or globally), or in a sub-national area such as a province. </w:t>
      </w:r>
      <w:r w:rsidRPr="00ED7E61">
        <w:rPr>
          <w:rStyle w:val="normaltextrun"/>
          <w:lang w:val="en-AU"/>
        </w:rPr>
        <w:t> </w:t>
      </w:r>
    </w:p>
    <w:p w14:paraId="1CB8C8AC" w14:textId="124AAF23" w:rsidR="008344AF"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color w:val="000000"/>
        </w:rPr>
        <w:t xml:space="preserve">The Red List of Ecosystems is the global standard for assessing risk of ecosystem collapse and biodiversity loss to all marine, freshwater, and terrestrial ecosystems. Red List of Ecosystems assessments </w:t>
      </w:r>
      <w:r w:rsidRPr="00B3383B">
        <w:t>collate</w:t>
      </w:r>
      <w:r w:rsidRPr="00ED7E61">
        <w:rPr>
          <w:rStyle w:val="normaltextrun"/>
          <w:rFonts w:asciiTheme="majorBidi" w:eastAsiaTheme="majorEastAsia" w:hAnsiTheme="majorBidi" w:cstheme="majorBidi"/>
          <w:color w:val="000000"/>
        </w:rPr>
        <w:t xml:space="preserve"> standardised knowledge, maps and data about ecosystems, and apply quantitative criteria to estimate relative risks of ecosystem collapse to identify threatened ecosystems. The five criteria are: (A) change in ecosystem area; (B) restricted ecosystem distribution; (C) change in the abiotic environment (e.g. hydrological processes); (D) change in biotic processes and components (e.g.</w:t>
      </w:r>
      <w:r w:rsidR="00D63349">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color w:val="000000"/>
        </w:rPr>
        <w:t>species interactions); and (E) the probability of collapse estimated using dynamic ecosystem models (where such models are available). Change in area and integrity (Criteria A, C and D) is assessed over a 50-year timeframe (past and/or future), and/or since the onset of industrialised change (1750 at the earliest). Change in integrity (Criteria C and D) is measured using ecosystem-specific metrics, to capture different ways in which ecosystems respond to drivers of biodiversity loss. For example, integrity can be tracked in forests using the proportion of old-growth (Burns et al. 2015), in coral reefs using coral cover and fish abundance (Obura et al. 2022), and in rivers using hydrological flow (Ghoraba et al. 2019). </w:t>
      </w:r>
      <w:r w:rsidRPr="00ED7E61">
        <w:rPr>
          <w:rStyle w:val="eop"/>
          <w:rFonts w:asciiTheme="majorBidi" w:eastAsiaTheme="majorEastAsia" w:hAnsiTheme="majorBidi" w:cstheme="majorBidi"/>
          <w:color w:val="000000"/>
        </w:rPr>
        <w:t> </w:t>
      </w:r>
    </w:p>
    <w:p w14:paraId="4415D4A7" w14:textId="4B470682" w:rsidR="008344AF" w:rsidRPr="00ED7E61" w:rsidRDefault="003D6BBD" w:rsidP="00B10F0C">
      <w:pPr>
        <w:pStyle w:val="CBDNormalNumber"/>
      </w:pPr>
      <w:bookmarkStart w:id="21" w:name="_Hlk162967754"/>
      <w:r w:rsidRPr="00ED7E61">
        <w:rPr>
          <w:rStyle w:val="normaltextrun"/>
          <w:rFonts w:asciiTheme="majorBidi" w:eastAsiaTheme="majorEastAsia" w:hAnsiTheme="majorBidi" w:cstheme="majorBidi"/>
          <w:color w:val="000000"/>
        </w:rPr>
        <w:t xml:space="preserve">Through </w:t>
      </w:r>
      <w:r w:rsidRPr="00B3383B">
        <w:t>assessment</w:t>
      </w:r>
      <w:r w:rsidRPr="00ED7E61">
        <w:rPr>
          <w:rStyle w:val="normaltextrun"/>
          <w:rFonts w:asciiTheme="majorBidi" w:eastAsiaTheme="majorEastAsia" w:hAnsiTheme="majorBidi" w:cstheme="majorBidi"/>
          <w:color w:val="000000"/>
        </w:rPr>
        <w:t xml:space="preserve"> against one or more criteria, ecosystems are assigned to ordinal risk categories: </w:t>
      </w:r>
      <w:r w:rsidRPr="00ED7E61">
        <w:rPr>
          <w:rStyle w:val="normaltextrun"/>
          <w:rFonts w:asciiTheme="majorBidi" w:eastAsiaTheme="majorEastAsia" w:hAnsiTheme="majorBidi" w:cstheme="majorBidi"/>
          <w:i/>
          <w:iCs/>
          <w:color w:val="000000"/>
        </w:rPr>
        <w:t>Collapsed</w:t>
      </w:r>
      <w:r w:rsidRPr="00ED7E61">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i/>
          <w:iCs/>
          <w:color w:val="000000"/>
        </w:rPr>
        <w:t>Critically Endangered</w:t>
      </w:r>
      <w:r w:rsidRPr="00ED7E61">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i/>
          <w:iCs/>
          <w:color w:val="000000"/>
        </w:rPr>
        <w:t>Endangered</w:t>
      </w:r>
      <w:r w:rsidRPr="00ED7E61">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i/>
          <w:iCs/>
          <w:color w:val="000000"/>
        </w:rPr>
        <w:t>Vulnerable</w:t>
      </w:r>
      <w:r w:rsidRPr="00ED7E61">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i/>
          <w:iCs/>
          <w:color w:val="000000"/>
        </w:rPr>
        <w:t>Near Threatened</w:t>
      </w:r>
      <w:r w:rsidRPr="00ED7E61">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i/>
          <w:iCs/>
          <w:color w:val="000000"/>
        </w:rPr>
        <w:t>Least</w:t>
      </w:r>
      <w:r w:rsidRPr="00ED7E61">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i/>
          <w:iCs/>
          <w:color w:val="000000"/>
        </w:rPr>
        <w:t>Concern</w:t>
      </w:r>
      <w:r w:rsidRPr="00ED7E61">
        <w:rPr>
          <w:rStyle w:val="normaltextrun"/>
          <w:rFonts w:asciiTheme="majorBidi" w:eastAsiaTheme="majorEastAsia" w:hAnsiTheme="majorBidi" w:cstheme="majorBidi"/>
          <w:color w:val="000000"/>
        </w:rPr>
        <w:t xml:space="preserve">; if there are insufficient data to assign a risk category, a criterion or ecosystem is considered </w:t>
      </w:r>
      <w:r w:rsidRPr="00ED7E61">
        <w:rPr>
          <w:rStyle w:val="normaltextrun"/>
          <w:rFonts w:asciiTheme="majorBidi" w:eastAsiaTheme="majorEastAsia" w:hAnsiTheme="majorBidi" w:cstheme="majorBidi"/>
          <w:i/>
          <w:iCs/>
          <w:color w:val="000000"/>
        </w:rPr>
        <w:t>Data Deficient</w:t>
      </w:r>
      <w:r w:rsidRPr="00ED7E61">
        <w:rPr>
          <w:rStyle w:val="normaltextrun"/>
          <w:rFonts w:asciiTheme="majorBidi" w:eastAsiaTheme="majorEastAsia" w:hAnsiTheme="majorBidi" w:cstheme="majorBidi"/>
          <w:color w:val="000000"/>
        </w:rPr>
        <w:t xml:space="preserve">, or </w:t>
      </w:r>
      <w:r w:rsidRPr="00ED7E61">
        <w:rPr>
          <w:rStyle w:val="normaltextrun"/>
          <w:rFonts w:asciiTheme="majorBidi" w:eastAsiaTheme="majorEastAsia" w:hAnsiTheme="majorBidi" w:cstheme="majorBidi"/>
          <w:i/>
          <w:iCs/>
          <w:color w:val="000000"/>
        </w:rPr>
        <w:t>Not Evaluated</w:t>
      </w:r>
      <w:r w:rsidRPr="00ED7E61">
        <w:rPr>
          <w:rStyle w:val="normaltextrun"/>
          <w:rFonts w:asciiTheme="majorBidi" w:eastAsiaTheme="majorEastAsia" w:hAnsiTheme="majorBidi" w:cstheme="majorBidi"/>
          <w:color w:val="000000"/>
        </w:rPr>
        <w:t xml:space="preserve"> if not assessed. Ecosystems listed as </w:t>
      </w:r>
      <w:r w:rsidRPr="00ED7E61">
        <w:rPr>
          <w:rStyle w:val="normaltextrun"/>
          <w:rFonts w:asciiTheme="majorBidi" w:eastAsiaTheme="majorEastAsia" w:hAnsiTheme="majorBidi" w:cstheme="majorBidi"/>
          <w:i/>
          <w:iCs/>
          <w:color w:val="000000"/>
        </w:rPr>
        <w:t>Critically Endangered</w:t>
      </w:r>
      <w:r w:rsidRPr="00ED7E61">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i/>
          <w:iCs/>
          <w:color w:val="000000"/>
        </w:rPr>
        <w:t>Endangered</w:t>
      </w:r>
      <w:r w:rsidRPr="00ED7E61">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i/>
          <w:iCs/>
          <w:color w:val="000000"/>
        </w:rPr>
        <w:t>Vulnerable</w:t>
      </w:r>
      <w:r w:rsidRPr="00ED7E61">
        <w:rPr>
          <w:rStyle w:val="normaltextrun"/>
          <w:rFonts w:asciiTheme="majorBidi" w:eastAsiaTheme="majorEastAsia" w:hAnsiTheme="majorBidi" w:cstheme="majorBidi"/>
          <w:color w:val="000000"/>
        </w:rPr>
        <w:t xml:space="preserve"> are considered threatened, and ecosystems in those categories can collectively be referred to as “</w:t>
      </w:r>
      <w:r w:rsidRPr="00FB1598">
        <w:rPr>
          <w:rStyle w:val="normaltextrun"/>
          <w:rFonts w:asciiTheme="majorBidi" w:eastAsiaTheme="majorEastAsia" w:hAnsiTheme="majorBidi" w:cstheme="majorBidi"/>
          <w:i/>
          <w:iCs/>
          <w:color w:val="000000"/>
        </w:rPr>
        <w:t>threatened</w:t>
      </w:r>
      <w:r w:rsidRPr="00ED7E61">
        <w:rPr>
          <w:rStyle w:val="normaltextrun"/>
          <w:rFonts w:asciiTheme="majorBidi" w:eastAsiaTheme="majorEastAsia" w:hAnsiTheme="majorBidi" w:cstheme="majorBidi"/>
          <w:color w:val="000000"/>
        </w:rPr>
        <w:t>”. </w:t>
      </w:r>
      <w:r w:rsidRPr="00ED7E61">
        <w:rPr>
          <w:rStyle w:val="eop"/>
          <w:rFonts w:asciiTheme="majorBidi" w:eastAsiaTheme="majorEastAsia" w:hAnsiTheme="majorBidi" w:cstheme="majorBidi"/>
          <w:color w:val="000000"/>
        </w:rPr>
        <w:t> </w:t>
      </w:r>
    </w:p>
    <w:bookmarkEnd w:id="21"/>
    <w:p w14:paraId="6561FD36" w14:textId="4200B23B" w:rsidR="008344AF"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color w:val="000000"/>
        </w:rPr>
        <w:t>Detailed guidelines are available to support the assessment of each criterion (</w:t>
      </w:r>
      <w:r w:rsidRPr="00ED7E61">
        <w:rPr>
          <w:rStyle w:val="normaltextrun"/>
          <w:rFonts w:asciiTheme="majorBidi" w:eastAsiaTheme="majorEastAsia" w:hAnsiTheme="majorBidi" w:cstheme="majorBidi"/>
          <w:color w:val="000000"/>
          <w:lang w:val="en-AU"/>
        </w:rPr>
        <w:t>IUCN, 2024</w:t>
      </w:r>
      <w:r w:rsidRPr="00ED7E61">
        <w:rPr>
          <w:rStyle w:val="normaltextrun"/>
          <w:rFonts w:asciiTheme="majorBidi" w:eastAsiaTheme="majorEastAsia" w:hAnsiTheme="majorBidi" w:cstheme="majorBidi"/>
          <w:color w:val="000000"/>
        </w:rPr>
        <w:t xml:space="preserve">; Keith et al. </w:t>
      </w:r>
      <w:r w:rsidRPr="00B3383B">
        <w:t>2013</w:t>
      </w:r>
      <w:r w:rsidRPr="00ED7E61">
        <w:rPr>
          <w:rStyle w:val="normaltextrun"/>
          <w:rFonts w:asciiTheme="majorBidi" w:eastAsiaTheme="majorEastAsia" w:hAnsiTheme="majorBidi" w:cstheme="majorBidi"/>
          <w:color w:val="000000"/>
        </w:rPr>
        <w:t>). Ideally, as many criteria as possible should be assessed, but the scope can be tailored to the resources and data available. Guidelines to support rapid assessments using one or a few criteria have been developed (e.g. Holness &amp; Botts 2022) and used in national assessments across Africa (e.g. NEMA 2020).</w:t>
      </w:r>
      <w:r w:rsidRPr="00ED7E61">
        <w:rPr>
          <w:rStyle w:val="eop"/>
          <w:rFonts w:asciiTheme="majorBidi" w:eastAsiaTheme="majorEastAsia" w:hAnsiTheme="majorBidi" w:cstheme="majorBidi"/>
          <w:color w:val="000000"/>
        </w:rPr>
        <w:t> </w:t>
      </w:r>
    </w:p>
    <w:p w14:paraId="3ED86BE4" w14:textId="6FA55989" w:rsidR="003D6BBD"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color w:val="000000"/>
          <w:lang w:val="en-AU"/>
        </w:rPr>
        <w:t>Data used in Red List of Ecosystems assessments can come from a diverse range of sources (see reviews in Rowland et al</w:t>
      </w:r>
      <w:r w:rsidR="00FF0D09">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2018, Murray et al</w:t>
      </w:r>
      <w:r w:rsidR="00FF0D09">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2018). Ecosystem classifications and maps used in these assessments typically come from national ecosystem inventories (e.g. forest types), local experts (e.g. within universities or environment institutes), government agencies, or when these are not available, from global classifications and maps of ecosystem types (e.g. the Global Ecosystem Typology, </w:t>
      </w:r>
      <w:hyperlink r:id="rId93" w:tgtFrame="_blank" w:history="1">
        <w:r w:rsidRPr="00ED7E61">
          <w:rPr>
            <w:rStyle w:val="normaltextrun"/>
            <w:rFonts w:asciiTheme="majorBidi" w:eastAsiaTheme="majorEastAsia" w:hAnsiTheme="majorBidi" w:cstheme="majorBidi"/>
            <w:color w:val="467886"/>
            <w:u w:val="single"/>
            <w:lang w:val="en-AU"/>
          </w:rPr>
          <w:t>https://global-ecosystems.org/</w:t>
        </w:r>
      </w:hyperlink>
      <w:r w:rsidRPr="00ED7E61">
        <w:rPr>
          <w:rStyle w:val="normaltextrun"/>
          <w:rFonts w:asciiTheme="majorBidi" w:eastAsiaTheme="majorEastAsia" w:hAnsiTheme="majorBidi" w:cstheme="majorBidi"/>
          <w:color w:val="000000"/>
          <w:lang w:val="en-AU"/>
        </w:rPr>
        <w:t>). Data on change in ecosystem area (for Criterion A) typically comes from similar data, although an increasing number of global datasets are also available – many of these are listed as data sources for Headline Indicator A.2 (extent of natural ecosystems) and as complementary indicators in the Global Biodiversity Framework monitoring framework (e.g. tree cover loss, wetland extent trends index, and trends in mangrove extent). Assessing Criteria C and D requires ecosystem-specific variables, which may come from a range of data sources, including scientific literature, reports, experts, historical accounts, and existing indicators (including some listed as complementary indicators in the monitoring framework, e.g. live coral cover). These data may be field-based empirical data, remotely sensed (e.g. satellite imagery, see Murray et al</w:t>
      </w:r>
      <w:r w:rsidR="00FF0D09">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2018), modelled (extrapolating from field and/or remotely sensed data) or a combination. The Red List of Ecosystems guidelines (IUCN, 2024)</w:t>
      </w:r>
      <w:r w:rsidRPr="00ED7E61" w:rsidDel="00933D28">
        <w:rPr>
          <w:rStyle w:val="normaltextrun"/>
          <w:rFonts w:asciiTheme="majorBidi" w:eastAsiaTheme="majorEastAsia" w:hAnsiTheme="majorBidi" w:cstheme="majorBidi"/>
          <w:color w:val="000000"/>
          <w:lang w:val="en-AU"/>
        </w:rPr>
        <w:t xml:space="preserve"> </w:t>
      </w:r>
      <w:r w:rsidRPr="00ED7E61">
        <w:rPr>
          <w:rStyle w:val="normaltextrun"/>
          <w:rFonts w:asciiTheme="majorBidi" w:eastAsiaTheme="majorEastAsia" w:hAnsiTheme="majorBidi" w:cstheme="majorBidi"/>
          <w:color w:val="000000"/>
          <w:lang w:val="en-AU"/>
        </w:rPr>
        <w:t>provide advice on the types of data needed, and how it should be analysed. Further guidance and reviews are currently being developed to provide further support for assessors.</w:t>
      </w:r>
      <w:r w:rsidRPr="00ED7E61">
        <w:rPr>
          <w:rStyle w:val="eop"/>
          <w:rFonts w:asciiTheme="majorBidi" w:eastAsiaTheme="majorEastAsia" w:hAnsiTheme="majorBidi" w:cstheme="majorBidi"/>
          <w:color w:val="000000"/>
        </w:rPr>
        <w:t> </w:t>
      </w:r>
    </w:p>
    <w:p w14:paraId="6B41F755" w14:textId="1940FF3A"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5d. Accessibility of methodology</w:t>
      </w:r>
    </w:p>
    <w:p w14:paraId="10A798BB" w14:textId="6D5ABDFE" w:rsidR="008344AF" w:rsidRPr="00ED7E61" w:rsidRDefault="003D6BBD" w:rsidP="00B10F0C">
      <w:pPr>
        <w:pStyle w:val="CBDNormalNumber"/>
        <w:rPr>
          <w:rStyle w:val="normaltextrun"/>
          <w:rFonts w:eastAsiaTheme="majorEastAsia"/>
          <w:color w:val="000000"/>
          <w:sz w:val="24"/>
          <w:szCs w:val="24"/>
          <w:lang w:val="en-CA"/>
        </w:rPr>
      </w:pPr>
      <w:r w:rsidRPr="00ED7E61">
        <w:rPr>
          <w:rStyle w:val="normaltextrun"/>
          <w:rFonts w:asciiTheme="majorBidi" w:eastAsiaTheme="majorEastAsia" w:hAnsiTheme="majorBidi" w:cstheme="majorBidi"/>
          <w:color w:val="000000"/>
        </w:rPr>
        <w:t>Application of the Red List of Ecosystems framework for undertaking Red List of Ecosystems assessments is supported by a range of resources, all accessible via the Red List of Ecosystems website (iucnrle.org):</w:t>
      </w:r>
      <w:r w:rsidRPr="00ED7E61">
        <w:rPr>
          <w:rStyle w:val="normaltextrun"/>
        </w:rPr>
        <w:t> </w:t>
      </w:r>
    </w:p>
    <w:p w14:paraId="43B71933" w14:textId="2F3E40B7" w:rsidR="008344AF" w:rsidRPr="00ED7E61" w:rsidRDefault="003D6BBD" w:rsidP="00B10F0C">
      <w:pPr>
        <w:pStyle w:val="CBDNormalNumber"/>
        <w:numPr>
          <w:ilvl w:val="1"/>
          <w:numId w:val="66"/>
        </w:numPr>
        <w:tabs>
          <w:tab w:val="clear" w:pos="567"/>
          <w:tab w:val="clear" w:pos="1134"/>
          <w:tab w:val="clear" w:pos="2268"/>
          <w:tab w:val="left" w:pos="1985"/>
        </w:tabs>
        <w:ind w:left="567" w:firstLine="567"/>
      </w:pPr>
      <w:r w:rsidRPr="00ED7E61">
        <w:t xml:space="preserve">Formal guidelines published by IUCN (IUCN, 2024): </w:t>
      </w:r>
      <w:hyperlink r:id="rId94" w:history="1">
        <w:r w:rsidRPr="00ED7E61">
          <w:rPr>
            <w:rStyle w:val="normaltextrun"/>
            <w:color w:val="467886"/>
          </w:rPr>
          <w:t>https://portals.iucn.org/library/node/51533</w:t>
        </w:r>
      </w:hyperlink>
      <w:r w:rsidR="0097105B" w:rsidRPr="00B3383B">
        <w:rPr>
          <w:rStyle w:val="normaltextrun"/>
          <w:rFonts w:asciiTheme="majorBidi" w:eastAsiaTheme="majorEastAsia" w:hAnsiTheme="majorBidi" w:cstheme="majorBidi"/>
          <w:lang w:val="en-AU"/>
        </w:rPr>
        <w:t>;</w:t>
      </w:r>
    </w:p>
    <w:p w14:paraId="3CA14738" w14:textId="024577A3" w:rsidR="008344AF" w:rsidRPr="00ED7E61" w:rsidRDefault="003D6BBD" w:rsidP="00B10F0C">
      <w:pPr>
        <w:pStyle w:val="CBDNormalNumber"/>
        <w:numPr>
          <w:ilvl w:val="1"/>
          <w:numId w:val="66"/>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000000"/>
          <w:lang w:val="en-AU"/>
        </w:rPr>
        <w:t>Multiple peer-reviewed scientific papers have been published to describe the assessment methods in detail (e.g. Keith et al</w:t>
      </w:r>
      <w:r w:rsidR="00FF0D09">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2013, and others – see reference list below)</w:t>
      </w:r>
      <w:r w:rsidR="0097105B">
        <w:rPr>
          <w:rStyle w:val="eop"/>
          <w:rFonts w:asciiTheme="majorBidi" w:eastAsiaTheme="majorEastAsia" w:hAnsiTheme="majorBidi" w:cstheme="majorBidi"/>
          <w:color w:val="000000"/>
        </w:rPr>
        <w:t>;</w:t>
      </w:r>
    </w:p>
    <w:p w14:paraId="48DC0DD4" w14:textId="55DA7AB0" w:rsidR="008344AF" w:rsidRPr="00ED7E61" w:rsidRDefault="003D6BBD" w:rsidP="00B10F0C">
      <w:pPr>
        <w:pStyle w:val="CBDNormalNumber"/>
        <w:numPr>
          <w:ilvl w:val="1"/>
          <w:numId w:val="66"/>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000000"/>
          <w:lang w:val="en-AU"/>
        </w:rPr>
        <w:t xml:space="preserve">Free online training material via </w:t>
      </w:r>
      <w:hyperlink r:id="rId95" w:tgtFrame="_blank" w:history="1">
        <w:r w:rsidRPr="00ED7E61">
          <w:rPr>
            <w:rStyle w:val="normaltextrun"/>
            <w:rFonts w:asciiTheme="majorBidi" w:eastAsiaTheme="majorEastAsia" w:hAnsiTheme="majorBidi" w:cstheme="majorBidi"/>
            <w:color w:val="467886"/>
            <w:u w:val="single"/>
            <w:lang w:val="en-AU"/>
          </w:rPr>
          <w:t>FutureLearn</w:t>
        </w:r>
      </w:hyperlink>
      <w:r w:rsidRPr="00ED7E61">
        <w:rPr>
          <w:rStyle w:val="normaltextrun"/>
          <w:rFonts w:asciiTheme="majorBidi" w:eastAsiaTheme="majorEastAsia" w:hAnsiTheme="majorBidi" w:cstheme="majorBidi"/>
          <w:color w:val="000000"/>
          <w:lang w:val="en-AU"/>
        </w:rPr>
        <w:t xml:space="preserve"> (in partnership with Deakin University and IUCN) and </w:t>
      </w:r>
      <w:hyperlink r:id="rId96" w:tgtFrame="_blank" w:history="1">
        <w:r w:rsidRPr="00ED7E61">
          <w:rPr>
            <w:rStyle w:val="normaltextrun"/>
            <w:rFonts w:asciiTheme="majorBidi" w:eastAsiaTheme="majorEastAsia" w:hAnsiTheme="majorBidi" w:cstheme="majorBidi"/>
            <w:color w:val="467886"/>
            <w:u w:val="single"/>
            <w:lang w:val="en-AU"/>
          </w:rPr>
          <w:t>IUCN Academy</w:t>
        </w:r>
      </w:hyperlink>
      <w:r w:rsidR="0097105B">
        <w:rPr>
          <w:rStyle w:val="eop"/>
          <w:rFonts w:asciiTheme="majorBidi" w:eastAsiaTheme="majorEastAsia" w:hAnsiTheme="majorBidi" w:cstheme="majorBidi"/>
          <w:color w:val="000000"/>
        </w:rPr>
        <w:t>;</w:t>
      </w:r>
    </w:p>
    <w:p w14:paraId="5472FD25" w14:textId="07AF899F" w:rsidR="008344AF" w:rsidRPr="00ED7E61" w:rsidRDefault="003D6BBD" w:rsidP="00B10F0C">
      <w:pPr>
        <w:pStyle w:val="CBDNormalNumber"/>
        <w:numPr>
          <w:ilvl w:val="1"/>
          <w:numId w:val="66"/>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000000"/>
          <w:lang w:val="en-AU"/>
        </w:rPr>
        <w:t xml:space="preserve">Tools to support assessment (available at </w:t>
      </w:r>
      <w:hyperlink r:id="rId97" w:tgtFrame="_blank" w:history="1">
        <w:r w:rsidRPr="00ED7E61">
          <w:rPr>
            <w:rStyle w:val="normaltextrun"/>
            <w:rFonts w:asciiTheme="majorBidi" w:eastAsiaTheme="majorEastAsia" w:hAnsiTheme="majorBidi" w:cstheme="majorBidi"/>
            <w:color w:val="467886"/>
            <w:u w:val="single"/>
            <w:lang w:val="en-AU"/>
          </w:rPr>
          <w:t>https://iucnrle.org/rle-material-and-tools</w:t>
        </w:r>
      </w:hyperlink>
      <w:r w:rsidRPr="00ED7E61">
        <w:rPr>
          <w:rStyle w:val="normaltextrun"/>
          <w:rFonts w:asciiTheme="majorBidi" w:eastAsiaTheme="majorEastAsia" w:hAnsiTheme="majorBidi" w:cstheme="majorBidi"/>
          <w:color w:val="000000"/>
          <w:lang w:val="en-AU"/>
        </w:rPr>
        <w:t>)</w:t>
      </w:r>
      <w:r w:rsidR="0097105B">
        <w:rPr>
          <w:rStyle w:val="eop"/>
          <w:rFonts w:asciiTheme="majorBidi" w:eastAsiaTheme="majorEastAsia" w:hAnsiTheme="majorBidi" w:cstheme="majorBidi"/>
          <w:color w:val="000000"/>
        </w:rPr>
        <w:t>;</w:t>
      </w:r>
    </w:p>
    <w:p w14:paraId="14F0A3D6" w14:textId="3AFAD63B" w:rsidR="003D6BBD" w:rsidRPr="00ED7E61" w:rsidRDefault="003D6BBD" w:rsidP="00B10F0C">
      <w:pPr>
        <w:pStyle w:val="CBDNormalNumber"/>
        <w:numPr>
          <w:ilvl w:val="1"/>
          <w:numId w:val="66"/>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000000"/>
          <w:lang w:val="en-AU"/>
        </w:rPr>
        <w:t xml:space="preserve">A growing database of assessments </w:t>
      </w:r>
      <w:hyperlink r:id="rId98" w:tgtFrame="_blank" w:history="1">
        <w:r w:rsidRPr="00ED7E61">
          <w:rPr>
            <w:rStyle w:val="normaltextrun"/>
            <w:rFonts w:asciiTheme="majorBidi" w:eastAsiaTheme="majorEastAsia" w:hAnsiTheme="majorBidi" w:cstheme="majorBidi"/>
            <w:color w:val="467886"/>
            <w:u w:val="single"/>
            <w:lang w:val="en-AU"/>
          </w:rPr>
          <w:t>https://iucnrle.org/rle-database</w:t>
        </w:r>
      </w:hyperlink>
      <w:r w:rsidR="0097105B">
        <w:rPr>
          <w:rStyle w:val="eop"/>
          <w:rFonts w:asciiTheme="majorBidi" w:eastAsiaTheme="majorEastAsia" w:hAnsiTheme="majorBidi" w:cstheme="majorBidi"/>
          <w:color w:val="000000"/>
        </w:rPr>
        <w:t>.</w:t>
      </w:r>
    </w:p>
    <w:p w14:paraId="778ADDB2" w14:textId="511DB9E6" w:rsidR="008344AF" w:rsidRPr="00ED7E61" w:rsidRDefault="003D6BBD" w:rsidP="00B10F0C">
      <w:pPr>
        <w:pStyle w:val="CBDNormalNumber"/>
        <w:rPr>
          <w:rStyle w:val="normaltextrun"/>
          <w:rFonts w:eastAsiaTheme="majorEastAsia"/>
          <w:color w:val="000000"/>
        </w:rPr>
      </w:pPr>
      <w:r w:rsidRPr="00ED7E61">
        <w:rPr>
          <w:rStyle w:val="normaltextrun"/>
          <w:rFonts w:asciiTheme="majorBidi" w:eastAsiaTheme="majorEastAsia" w:hAnsiTheme="majorBidi" w:cstheme="majorBidi"/>
          <w:color w:val="000000"/>
        </w:rPr>
        <w:t xml:space="preserve">The Red List Index of Ecosystems can be calculated for any set of ecosystem types for which Red List of Ecosystems assessments have been undertaken. The method for calculating the RLIe was published </w:t>
      </w:r>
      <w:r w:rsidRPr="00B3383B">
        <w:t>in</w:t>
      </w:r>
      <w:r w:rsidRPr="00ED7E61">
        <w:rPr>
          <w:rStyle w:val="normaltextrun"/>
          <w:rFonts w:asciiTheme="majorBidi" w:eastAsiaTheme="majorEastAsia" w:hAnsiTheme="majorBidi" w:cstheme="majorBidi"/>
          <w:color w:val="000000"/>
        </w:rPr>
        <w:t xml:space="preserve"> an open-access peer-reviewed paper (Rowland et al. 2020).</w:t>
      </w:r>
    </w:p>
    <w:p w14:paraId="317BBE14" w14:textId="77777777" w:rsidR="003D6BBD" w:rsidRPr="00ED7E61" w:rsidRDefault="003D6BBD" w:rsidP="00B10F0C">
      <w:pPr>
        <w:pStyle w:val="CBDNormalNumber"/>
        <w:rPr>
          <w:rStyle w:val="normaltextrun"/>
          <w:rFonts w:asciiTheme="majorBidi" w:eastAsiaTheme="majorEastAsia" w:hAnsiTheme="majorBidi" w:cstheme="majorBidi"/>
          <w:color w:val="000000"/>
        </w:rPr>
      </w:pPr>
      <w:r w:rsidRPr="00ED7E61">
        <w:rPr>
          <w:rStyle w:val="normaltextrun"/>
          <w:rFonts w:asciiTheme="majorBidi" w:eastAsiaTheme="majorEastAsia" w:hAnsiTheme="majorBidi" w:cstheme="majorBidi"/>
        </w:rPr>
        <w:t xml:space="preserve">Scripts to calculate the indicator using the program </w:t>
      </w:r>
      <w:r w:rsidRPr="00ED7E61">
        <w:rPr>
          <w:rStyle w:val="normaltextrun"/>
          <w:rFonts w:asciiTheme="majorBidi" w:eastAsiaTheme="majorEastAsia" w:hAnsiTheme="majorBidi" w:cstheme="majorBidi"/>
          <w:i/>
          <w:iCs/>
        </w:rPr>
        <w:t>RStudio</w:t>
      </w:r>
      <w:r w:rsidRPr="00ED7E61">
        <w:rPr>
          <w:rStyle w:val="normaltextrun"/>
          <w:rFonts w:asciiTheme="majorBidi" w:eastAsiaTheme="majorEastAsia" w:hAnsiTheme="majorBidi" w:cstheme="majorBidi"/>
        </w:rPr>
        <w:t xml:space="preserve"> are publicly available via the Red List of </w:t>
      </w:r>
      <w:r w:rsidRPr="00B3383B">
        <w:t>Ecosystems</w:t>
      </w:r>
      <w:r w:rsidRPr="00ED7E61">
        <w:rPr>
          <w:rStyle w:val="normaltextrun"/>
          <w:rFonts w:asciiTheme="majorBidi" w:eastAsiaTheme="majorEastAsia" w:hAnsiTheme="majorBidi" w:cstheme="majorBidi"/>
        </w:rPr>
        <w:t xml:space="preserve"> GitHub site (</w:t>
      </w:r>
      <w:hyperlink r:id="rId99" w:tgtFrame="_blank" w:history="1">
        <w:r w:rsidRPr="00ED7E61">
          <w:rPr>
            <w:rStyle w:val="normaltextrun"/>
            <w:rFonts w:asciiTheme="majorBidi" w:eastAsiaTheme="majorEastAsia" w:hAnsiTheme="majorBidi" w:cstheme="majorBidi"/>
            <w:color w:val="467886"/>
            <w:u w:val="single"/>
          </w:rPr>
          <w:t>https://github.com/red-list-ecosystem/rle_indices</w:t>
        </w:r>
      </w:hyperlink>
      <w:r w:rsidRPr="00ED7E61">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color w:val="000000"/>
        </w:rPr>
        <w:t>The script provides the code to calculate the indicator and includes examples of the indicator outputs using sample data from the continental assessment of 136 temperate and tropical forests across 51 countries/territories in the Caribbean and Americas (Ferrer-Paris et al. 2019). The sample data are provided to demonstrate the structure of the data required to calculate the indicator. The RLIe can also be calculated in a spreadsheet, using the formula and weightings in 5b; a reporting template with such a calculation will be developed as part of the reporting advice.</w:t>
      </w:r>
    </w:p>
    <w:p w14:paraId="3ED63EBE" w14:textId="28D372A9" w:rsidR="003D6BBD" w:rsidRPr="00ED7E61" w:rsidRDefault="003D6BBD" w:rsidP="005B0D1E">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5e. Data sources</w:t>
      </w:r>
    </w:p>
    <w:p w14:paraId="0DDD4EE9" w14:textId="2096CE93" w:rsidR="008344AF" w:rsidRPr="00ED7E61" w:rsidRDefault="003D6BBD" w:rsidP="00B10F0C">
      <w:pPr>
        <w:pStyle w:val="CBDNormalNumber"/>
        <w:rPr>
          <w:rStyle w:val="normaltextrun"/>
          <w:sz w:val="24"/>
          <w:szCs w:val="24"/>
          <w:lang w:val="en-CA"/>
        </w:rPr>
      </w:pPr>
      <w:r w:rsidRPr="00ED7E61">
        <w:rPr>
          <w:rStyle w:val="normaltextrun"/>
          <w:rFonts w:asciiTheme="majorBidi" w:eastAsiaTheme="majorEastAsia" w:hAnsiTheme="majorBidi" w:cstheme="majorBidi"/>
          <w:color w:val="000000"/>
        </w:rPr>
        <w:t xml:space="preserve">The </w:t>
      </w:r>
      <w:r w:rsidRPr="00B3383B">
        <w:t>ideal</w:t>
      </w:r>
      <w:r w:rsidRPr="00ED7E61">
        <w:rPr>
          <w:rStyle w:val="normaltextrun"/>
          <w:rFonts w:asciiTheme="majorBidi" w:eastAsiaTheme="majorEastAsia" w:hAnsiTheme="majorBidi" w:cstheme="majorBidi"/>
          <w:color w:val="000000"/>
        </w:rPr>
        <w:t xml:space="preserve"> data for reporting on </w:t>
      </w:r>
      <w:r w:rsidR="008C72FA" w:rsidRPr="00ED7E61">
        <w:rPr>
          <w:rStyle w:val="normaltextrun"/>
          <w:rFonts w:asciiTheme="majorBidi" w:eastAsiaTheme="majorEastAsia" w:hAnsiTheme="majorBidi" w:cstheme="majorBidi"/>
          <w:color w:val="000000"/>
        </w:rPr>
        <w:t xml:space="preserve">headline indicator </w:t>
      </w:r>
      <w:r w:rsidRPr="00ED7E61">
        <w:rPr>
          <w:rStyle w:val="normaltextrun"/>
          <w:rFonts w:asciiTheme="majorBidi" w:eastAsiaTheme="majorEastAsia" w:hAnsiTheme="majorBidi" w:cstheme="majorBidi"/>
          <w:color w:val="000000"/>
        </w:rPr>
        <w:t>A.1 are national Red List of Ecosystems assessments, typically done by governments or in partnership with government (e.g. with partners in universities or NGOs). Thus the data should ideally come from national databases. </w:t>
      </w:r>
      <w:r w:rsidRPr="00ED7E61">
        <w:rPr>
          <w:rStyle w:val="normaltextrun"/>
        </w:rPr>
        <w:t> </w:t>
      </w:r>
    </w:p>
    <w:p w14:paraId="74B8D010" w14:textId="52E284F3" w:rsidR="008344AF"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color w:val="000000"/>
          <w:lang w:val="en-AU"/>
        </w:rPr>
        <w:t>Where national data do not exist, there are several other sources of assessment data that can be used for national reporting, including from regional and sub-national assessments. A review published in 2024 estimates that Red List of Ecosystems assessments are available for 63 countries for all terrestrial ecosystem types, 41 countries for all freshwater ecosystems (including freshwater-transitional ecosystem types such as wetlands), and 32 countries for all marine ecosystems (including marine transitional ecosystem types such as mangroves). A further 30 countries have assessments for subsets or groups of terrestrial ecosystems, for example, temperate and tropical forest ecosystem types in the Americas, while 49 have subsets of marine and marine-transitional ecosystem types, e.g. all coral reefs (Obura et al</w:t>
      </w:r>
      <w:r w:rsidR="00FF0D09">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2021) or mangroves (Etter et al</w:t>
      </w:r>
      <w:r w:rsidR="00FF0D09">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2020a), and 47 have subsets of freshwater ecosystems (see figure </w:t>
      </w:r>
      <w:r w:rsidR="00F44FDE">
        <w:rPr>
          <w:rStyle w:val="normaltextrun"/>
          <w:rFonts w:asciiTheme="majorBidi" w:eastAsiaTheme="majorEastAsia" w:hAnsiTheme="majorBidi" w:cstheme="majorBidi"/>
          <w:color w:val="000000"/>
          <w:lang w:val="en-AU"/>
        </w:rPr>
        <w:t>IV</w:t>
      </w:r>
      <w:r w:rsidRPr="00ED7E61">
        <w:rPr>
          <w:rStyle w:val="normaltextrun"/>
          <w:rFonts w:asciiTheme="majorBidi" w:eastAsiaTheme="majorEastAsia" w:hAnsiTheme="majorBidi" w:cstheme="majorBidi"/>
          <w:color w:val="000000"/>
          <w:lang w:val="en-AU"/>
        </w:rPr>
        <w:t xml:space="preserve"> and Nicholson et al. 2024). </w:t>
      </w:r>
      <w:r w:rsidRPr="00ED7E61">
        <w:rPr>
          <w:rStyle w:val="eop"/>
          <w:rFonts w:asciiTheme="majorBidi" w:eastAsiaTheme="majorEastAsia" w:hAnsiTheme="majorBidi" w:cstheme="majorBidi"/>
          <w:color w:val="000000"/>
        </w:rPr>
        <w:t> </w:t>
      </w:r>
    </w:p>
    <w:p w14:paraId="7D7F204F" w14:textId="4FCF6745" w:rsidR="008344AF"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color w:val="000000"/>
          <w:lang w:val="en-AU"/>
        </w:rPr>
        <w:t xml:space="preserve">Data used </w:t>
      </w:r>
      <w:r w:rsidRPr="00B3383B">
        <w:t>from</w:t>
      </w:r>
      <w:r w:rsidRPr="00ED7E61">
        <w:rPr>
          <w:rStyle w:val="normaltextrun"/>
          <w:rFonts w:asciiTheme="majorBidi" w:eastAsiaTheme="majorEastAsia" w:hAnsiTheme="majorBidi" w:cstheme="majorBidi"/>
          <w:color w:val="000000"/>
          <w:lang w:val="en-AU"/>
        </w:rPr>
        <w:t xml:space="preserve"> sources other than national Red List of Ecosystems assessments will require validation to be used in national reporting, e.g. from national biodiversity experts. Guidelines and tools </w:t>
      </w:r>
      <w:r w:rsidR="006C4161" w:rsidRPr="00ED7E61">
        <w:rPr>
          <w:rStyle w:val="normaltextrun"/>
          <w:rFonts w:asciiTheme="majorBidi" w:eastAsiaTheme="majorEastAsia" w:hAnsiTheme="majorBidi" w:cstheme="majorBidi"/>
          <w:color w:val="000000"/>
          <w:lang w:val="en-AU"/>
        </w:rPr>
        <w:t xml:space="preserve">are being </w:t>
      </w:r>
      <w:r w:rsidRPr="00ED7E61">
        <w:rPr>
          <w:rStyle w:val="normaltextrun"/>
          <w:rFonts w:asciiTheme="majorBidi" w:eastAsiaTheme="majorEastAsia" w:hAnsiTheme="majorBidi" w:cstheme="majorBidi"/>
          <w:color w:val="000000"/>
          <w:lang w:val="en-AU"/>
        </w:rPr>
        <w:t>developed by IUCN, partners and the CBD in 2024/2025 to support countries in this validation process.</w:t>
      </w:r>
      <w:r w:rsidRPr="00ED7E61">
        <w:rPr>
          <w:rStyle w:val="eop"/>
          <w:rFonts w:asciiTheme="majorBidi" w:eastAsiaTheme="majorEastAsia" w:hAnsiTheme="majorBidi" w:cstheme="majorBidi"/>
          <w:color w:val="000000"/>
        </w:rPr>
        <w:t> </w:t>
      </w:r>
    </w:p>
    <w:p w14:paraId="18E5CFB7" w14:textId="1A0BA9AA" w:rsidR="003D6BBD"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color w:val="000000"/>
          <w:lang w:val="en-AU"/>
        </w:rPr>
        <w:t xml:space="preserve">Red List of Ecosystems assessments are typically published in technical reports, and/or peer-reviewed </w:t>
      </w:r>
      <w:r w:rsidRPr="00B3383B">
        <w:t>publications</w:t>
      </w:r>
      <w:r w:rsidRPr="00ED7E61">
        <w:rPr>
          <w:rStyle w:val="normaltextrun"/>
          <w:rFonts w:asciiTheme="majorBidi" w:eastAsiaTheme="majorEastAsia" w:hAnsiTheme="majorBidi" w:cstheme="majorBidi"/>
          <w:color w:val="000000"/>
          <w:lang w:val="en-AU"/>
        </w:rPr>
        <w:t>. An increasing number of assessments are available in a publicly-available, centralised database of assessments, including some national assessments (e.g. Colombia – the database is available via the Red List of Ecosystems website: iucnrle.org). This database will become a key source of data at national, regional and global scales in the medium term. In the short-term, Red List of Ecosystems assessments may be accessed from relevant national agencies, NGOs, or other data holders/providers.</w:t>
      </w:r>
    </w:p>
    <w:p w14:paraId="176D127A" w14:textId="4C789E4C"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5f. Availability and release calendar</w:t>
      </w:r>
    </w:p>
    <w:p w14:paraId="75F9FB04" w14:textId="3568DBA0" w:rsidR="008344AF"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To date, over 4</w:t>
      </w:r>
      <w:r w:rsidR="00927083">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000 ecosystems have been assessed using the Red List of Ecosystems framework in over 110 countries (Nicholson et al. 2024). For countries where assessments are not available, global terrestrial assessments are anticipated to be available for key ecosystems by 2026-2027, in particular key terrestrial and freshwater ecosystem types, with anticipated updates every 5 years. Some countries have already undertaken repeat assessments (e.g. South Africa, Norway, and Finland) providing time-series. At a national level, the release will vary by country. </w:t>
      </w:r>
      <w:r w:rsidRPr="00ED7E61">
        <w:rPr>
          <w:rStyle w:val="normaltextrun"/>
          <w:lang w:val="en-AU"/>
        </w:rPr>
        <w:t> </w:t>
      </w:r>
    </w:p>
    <w:p w14:paraId="57481699" w14:textId="52B5E2AC" w:rsidR="003D6BBD" w:rsidRPr="00ED7E61" w:rsidRDefault="003D6BBD"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color w:val="000000"/>
          <w:lang w:val="en-AU"/>
        </w:rPr>
        <w:t xml:space="preserve">The RLIe can already be calculated for all countries that have completed Red List of Ecosystems assessments </w:t>
      </w:r>
      <w:r w:rsidRPr="00B3383B">
        <w:t>and</w:t>
      </w:r>
      <w:r w:rsidRPr="00ED7E61">
        <w:rPr>
          <w:rStyle w:val="normaltextrun"/>
          <w:rFonts w:asciiTheme="majorBidi" w:eastAsiaTheme="majorEastAsia" w:hAnsiTheme="majorBidi" w:cstheme="majorBidi"/>
          <w:color w:val="000000"/>
          <w:lang w:val="en-AU"/>
        </w:rPr>
        <w:t xml:space="preserve"> a time-series for those countries with repeat assessments. Countries can use available code or seek assistance to calculate RLIe values from their National Red List of Ecosystems assessments. </w:t>
      </w:r>
      <w:r w:rsidRPr="00ED7E61">
        <w:rPr>
          <w:rStyle w:val="eop"/>
          <w:rFonts w:asciiTheme="majorBidi" w:eastAsiaTheme="majorEastAsia" w:hAnsiTheme="majorBidi" w:cstheme="majorBidi"/>
          <w:color w:val="000000"/>
        </w:rPr>
        <w:t> </w:t>
      </w:r>
    </w:p>
    <w:p w14:paraId="16E42C3E" w14:textId="05824262"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5g. Time series</w:t>
      </w:r>
    </w:p>
    <w:p w14:paraId="4A82108D" w14:textId="5D777A7D" w:rsidR="003D6BBD"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 xml:space="preserve">The Red List of Ecosystems uses data on ecosystem trends to assess risk of collapse (Criteria A, C and D), and is </w:t>
      </w:r>
      <w:r w:rsidRPr="00B3383B">
        <w:t>therefore</w:t>
      </w:r>
      <w:r w:rsidRPr="00ED7E61">
        <w:rPr>
          <w:rStyle w:val="normaltextrun"/>
          <w:rFonts w:asciiTheme="majorBidi" w:eastAsiaTheme="majorEastAsia" w:hAnsiTheme="majorBidi" w:cstheme="majorBidi"/>
          <w:color w:val="000000"/>
          <w:lang w:val="en-AU"/>
        </w:rPr>
        <w:t xml:space="preserve"> inherently trend-based, even when presented as a snapshot or single time point (e.g. in </w:t>
      </w:r>
      <w:r w:rsidR="00FB33CD">
        <w:rPr>
          <w:rStyle w:val="normaltextrun"/>
          <w:rFonts w:asciiTheme="majorBidi" w:eastAsiaTheme="majorEastAsia" w:hAnsiTheme="majorBidi" w:cstheme="majorBidi"/>
          <w:color w:val="000000"/>
          <w:lang w:val="en-AU"/>
        </w:rPr>
        <w:t>f</w:t>
      </w:r>
      <w:r w:rsidRPr="00ED7E61">
        <w:rPr>
          <w:rStyle w:val="normaltextrun"/>
          <w:rFonts w:asciiTheme="majorBidi" w:eastAsiaTheme="majorEastAsia" w:hAnsiTheme="majorBidi" w:cstheme="majorBidi"/>
          <w:color w:val="000000"/>
          <w:lang w:val="en-AU"/>
        </w:rPr>
        <w:t xml:space="preserve">igure </w:t>
      </w:r>
      <w:r w:rsidR="00FB33CD">
        <w:rPr>
          <w:rStyle w:val="normaltextrun"/>
          <w:rFonts w:asciiTheme="majorBidi" w:eastAsiaTheme="majorEastAsia" w:hAnsiTheme="majorBidi" w:cstheme="majorBidi"/>
          <w:color w:val="000000"/>
          <w:lang w:val="en-AU"/>
        </w:rPr>
        <w:t>I</w:t>
      </w:r>
      <w:r w:rsidRPr="00ED7E61">
        <w:rPr>
          <w:rStyle w:val="normaltextrun"/>
          <w:rFonts w:asciiTheme="majorBidi" w:eastAsiaTheme="majorEastAsia" w:hAnsiTheme="majorBidi" w:cstheme="majorBidi"/>
          <w:color w:val="000000"/>
          <w:lang w:val="en-AU"/>
        </w:rPr>
        <w:t>). Subject to national validation, up to 90 countries could submit national reports, based on regional and national assessments. As noted, some countries have already undertaken repeat assessments (e.g. South Africa, Norway, and Finland) providing time-series of change in risk. The IUCN has committed to support the ongoing development and application of the Red List of Ecosystems, with a goal of assessing key ecosystem groups globally in 2026-2027.</w:t>
      </w:r>
      <w:r w:rsidRPr="00ED7E61">
        <w:rPr>
          <w:rStyle w:val="normaltextrun"/>
          <w:lang w:val="en-AU"/>
        </w:rPr>
        <w:t> </w:t>
      </w:r>
    </w:p>
    <w:p w14:paraId="7A3E57F6" w14:textId="4BA2E8F9"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5h. Data providers</w:t>
      </w:r>
    </w:p>
    <w:p w14:paraId="44C16AC8" w14:textId="77777777" w:rsidR="003D6BBD"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 xml:space="preserve">The preferred primary source will be national Red List of Ecosystems assessments (see section 5e), typically undertaken by government environmental agencies, often in partnership with universities, NGOs and </w:t>
      </w:r>
      <w:r w:rsidRPr="00B3383B">
        <w:t>other</w:t>
      </w:r>
      <w:r w:rsidRPr="00ED7E61">
        <w:rPr>
          <w:rStyle w:val="normaltextrun"/>
          <w:rFonts w:asciiTheme="majorBidi" w:eastAsiaTheme="majorEastAsia" w:hAnsiTheme="majorBidi" w:cstheme="majorBidi"/>
          <w:color w:val="000000"/>
          <w:lang w:val="en-AU"/>
        </w:rPr>
        <w:t xml:space="preserve"> partners. These assessments will typically be available via government databases and/or reports, and/or in the scientific literature. They may also be available in the Red List of Ecosystems Database. </w:t>
      </w:r>
      <w:r w:rsidRPr="00ED7E61">
        <w:rPr>
          <w:rStyle w:val="normaltextrun"/>
          <w:lang w:val="en-AU"/>
        </w:rPr>
        <w:t> </w:t>
      </w:r>
    </w:p>
    <w:p w14:paraId="4B2A6295" w14:textId="2A244F38" w:rsidR="003D6BBD" w:rsidRPr="00ED7E61" w:rsidRDefault="003D6BBD" w:rsidP="00B10F0C">
      <w:pPr>
        <w:pStyle w:val="CBDNormalNumber"/>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Where </w:t>
      </w:r>
      <w:r w:rsidRPr="00B3383B">
        <w:t>national</w:t>
      </w:r>
      <w:r w:rsidRPr="00ED7E61">
        <w:rPr>
          <w:rStyle w:val="normaltextrun"/>
          <w:rFonts w:asciiTheme="majorBidi" w:eastAsiaTheme="majorEastAsia" w:hAnsiTheme="majorBidi" w:cstheme="majorBidi"/>
          <w:color w:val="000000"/>
          <w:lang w:val="en-AU"/>
        </w:rPr>
        <w:t xml:space="preserve"> assessments are not available, data can come from sub-national, regional or global assessments, as outlined in section 5e, subject to national validation. Some of these are available in the Red List of Ecosystems database (</w:t>
      </w:r>
      <w:hyperlink r:id="rId100" w:history="1">
        <w:r w:rsidR="00927083" w:rsidRPr="00934982">
          <w:rPr>
            <w:rStyle w:val="Hyperlink"/>
            <w:rFonts w:asciiTheme="majorBidi" w:eastAsiaTheme="majorEastAsia" w:hAnsiTheme="majorBidi" w:cstheme="majorBidi"/>
            <w:lang w:val="en-AU"/>
          </w:rPr>
          <w:t>https://assessments.iucnrle.org</w:t>
        </w:r>
      </w:hyperlink>
      <w:r w:rsidRPr="00ED7E61">
        <w:rPr>
          <w:rStyle w:val="normaltextrun"/>
          <w:rFonts w:asciiTheme="majorBidi" w:eastAsiaTheme="majorEastAsia" w:hAnsiTheme="majorBidi" w:cstheme="majorBidi"/>
          <w:color w:val="000000"/>
          <w:lang w:val="en-AU"/>
        </w:rPr>
        <w:t>),</w:t>
      </w:r>
      <w:r w:rsidR="00927083">
        <w:rPr>
          <w:rStyle w:val="normaltextrun"/>
          <w:rFonts w:asciiTheme="majorBidi" w:eastAsiaTheme="majorEastAsia" w:hAnsiTheme="majorBidi" w:cstheme="majorBidi"/>
          <w:color w:val="000000"/>
          <w:lang w:val="en-AU"/>
        </w:rPr>
        <w:t xml:space="preserve"> </w:t>
      </w:r>
      <w:r w:rsidRPr="00ED7E61">
        <w:rPr>
          <w:rStyle w:val="normaltextrun"/>
          <w:rFonts w:asciiTheme="majorBidi" w:eastAsiaTheme="majorEastAsia" w:hAnsiTheme="majorBidi" w:cstheme="majorBidi"/>
          <w:color w:val="000000"/>
          <w:lang w:val="en-AU"/>
        </w:rPr>
        <w:t>or may be available via reports, scientific publications or partner organisations (e.g. NGOs). See section 5e.</w:t>
      </w:r>
      <w:r w:rsidRPr="00ED7E61">
        <w:rPr>
          <w:rStyle w:val="normaltextrun"/>
          <w:lang w:val="en-AU"/>
        </w:rPr>
        <w:t> </w:t>
      </w:r>
    </w:p>
    <w:p w14:paraId="1BE96B09" w14:textId="2E89E19C"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5i. Data compilers</w:t>
      </w:r>
    </w:p>
    <w:p w14:paraId="1B608CC1" w14:textId="0BD13370" w:rsidR="003D6BBD" w:rsidRPr="00ED7E61" w:rsidRDefault="003D6BBD" w:rsidP="00B10F0C">
      <w:pPr>
        <w:pStyle w:val="CBDNormalNumber"/>
        <w:rPr>
          <w:rStyle w:val="normaltextrun"/>
          <w:rFonts w:asciiTheme="majorBidi" w:eastAsiaTheme="majorEastAsia" w:hAnsiTheme="majorBidi" w:cstheme="majorBidi"/>
          <w:b/>
          <w:bCs/>
          <w:sz w:val="24"/>
          <w:szCs w:val="24"/>
          <w:lang w:val="en-CA"/>
        </w:rPr>
      </w:pPr>
      <w:r w:rsidRPr="00ED7E61">
        <w:rPr>
          <w:rStyle w:val="normaltextrun"/>
          <w:rFonts w:asciiTheme="majorBidi" w:eastAsiaTheme="majorEastAsia" w:hAnsiTheme="majorBidi" w:cstheme="majorBidi"/>
          <w:color w:val="000000"/>
          <w:lang w:val="en-AU"/>
        </w:rPr>
        <w:t>Data to calculate the indicator are currently compiled independently by the assessment teams for available national or global assessments. It is anticipated that in the medium term, tools hosted by IUCN and the IUCN Commission on Ecosystem Management, including the Red List of Ecosystems database, may provide national and global-level indicators, but these are not yet available.</w:t>
      </w:r>
    </w:p>
    <w:p w14:paraId="620494FD" w14:textId="73AF0E40"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5j. Gaps in data coverage</w:t>
      </w:r>
    </w:p>
    <w:p w14:paraId="64D495AF" w14:textId="1DC2A0CB" w:rsidR="003D6BBD"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To date, over 4</w:t>
      </w:r>
      <w:r w:rsidR="00927083">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000 </w:t>
      </w:r>
      <w:r w:rsidRPr="00B3383B">
        <w:t>ecosystems</w:t>
      </w:r>
      <w:r w:rsidRPr="00ED7E61">
        <w:rPr>
          <w:rStyle w:val="normaltextrun"/>
          <w:rFonts w:asciiTheme="majorBidi" w:eastAsiaTheme="majorEastAsia" w:hAnsiTheme="majorBidi" w:cstheme="majorBidi"/>
          <w:color w:val="000000"/>
          <w:lang w:val="en-AU"/>
        </w:rPr>
        <w:t xml:space="preserve"> have been assessed in over 100 countries (Nicholson et al. 2024; iucnrle.org/rle-in-progress). The current goal is to assess key ecosystem groups by 2026-2027. Figure </w:t>
      </w:r>
      <w:r w:rsidR="00FB33CD">
        <w:rPr>
          <w:rStyle w:val="normaltextrun"/>
          <w:rFonts w:asciiTheme="majorBidi" w:eastAsiaTheme="majorEastAsia" w:hAnsiTheme="majorBidi" w:cstheme="majorBidi"/>
          <w:color w:val="000000"/>
          <w:lang w:val="en-AU"/>
        </w:rPr>
        <w:t>IV</w:t>
      </w:r>
      <w:r w:rsidRPr="00ED7E61">
        <w:rPr>
          <w:rStyle w:val="normaltextrun"/>
          <w:rFonts w:asciiTheme="majorBidi" w:eastAsiaTheme="majorEastAsia" w:hAnsiTheme="majorBidi" w:cstheme="majorBidi"/>
          <w:color w:val="000000"/>
          <w:lang w:val="en-AU"/>
        </w:rPr>
        <w:t xml:space="preserve"> shows the spatial coverage at the start of 2024, based on data in Nicholson et al. (2024). Subject to national validation, up to 90 countries may be able to report based on these data. </w:t>
      </w:r>
      <w:r w:rsidRPr="00ED7E61">
        <w:rPr>
          <w:rStyle w:val="normaltextrun"/>
          <w:lang w:val="en-AU"/>
        </w:rPr>
        <w:t> </w:t>
      </w:r>
    </w:p>
    <w:p w14:paraId="4A7F4A5E" w14:textId="77777777" w:rsidR="003D6BBD" w:rsidRPr="00ED7E61" w:rsidRDefault="003D6BBD" w:rsidP="00B10F0C">
      <w:pPr>
        <w:pStyle w:val="CBDNormalNumber"/>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Assessment effort are biased towards terrestrial ecosystem types, with more countries having assessments of all terrestrial ecosystems than freshwater or marine, while South America has much greater spatial coverage than Northern Africa, South Asia or Eastern Europe. Spatial gaps will be closed </w:t>
      </w:r>
      <w:r w:rsidRPr="00B3383B">
        <w:t>through</w:t>
      </w:r>
      <w:r w:rsidRPr="00ED7E61">
        <w:rPr>
          <w:rStyle w:val="normaltextrun"/>
          <w:rFonts w:asciiTheme="majorBidi" w:eastAsiaTheme="majorEastAsia" w:hAnsiTheme="majorBidi" w:cstheme="majorBidi"/>
          <w:color w:val="000000"/>
          <w:lang w:val="en-AU"/>
        </w:rPr>
        <w:t xml:space="preserve"> a combination of targeted global-level projects across broad thematic ecosystem groups (e.g. forests, mangroves, coral reefs), and national assessments. National reporting of Not Evaluated and Data Deficient categories could provide further evidence on existing data gaps and help guide future efforts.</w:t>
      </w:r>
      <w:r w:rsidRPr="00ED7E61">
        <w:rPr>
          <w:rStyle w:val="normaltextrun"/>
          <w:lang w:val="en-AU"/>
        </w:rPr>
        <w:t> </w:t>
      </w:r>
    </w:p>
    <w:p w14:paraId="21142811"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5k. Treatment of missing values</w:t>
      </w:r>
      <w:r w:rsidRPr="00ED7E61">
        <w:rPr>
          <w:rStyle w:val="eop"/>
          <w:rFonts w:asciiTheme="majorBidi" w:eastAsiaTheme="majorEastAsia" w:hAnsiTheme="majorBidi" w:cstheme="majorBidi"/>
          <w:b/>
          <w:bCs/>
          <w:sz w:val="22"/>
          <w:szCs w:val="22"/>
        </w:rPr>
        <w:t> </w:t>
      </w:r>
    </w:p>
    <w:p w14:paraId="6F1D9C4B" w14:textId="2584F96D" w:rsidR="008344AF"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 xml:space="preserve">There are multiple forms of missing data that need to be addressed for headline indicator A.1, including lack of assessments, and uncertain assessments. Explicitly reporting on ecosystems that are Not </w:t>
      </w:r>
      <w:r w:rsidRPr="00B3383B">
        <w:t>Evaluated</w:t>
      </w:r>
      <w:r w:rsidRPr="00ED7E61">
        <w:rPr>
          <w:rStyle w:val="normaltextrun"/>
          <w:rFonts w:asciiTheme="majorBidi" w:eastAsiaTheme="majorEastAsia" w:hAnsiTheme="majorBidi" w:cstheme="majorBidi"/>
          <w:color w:val="000000"/>
          <w:lang w:val="en-AU"/>
        </w:rPr>
        <w:t>, Data Deficient or Not Applicable (i.e. marine ecosystems in a landlocked country, or polar ecosystem functional groups in a tropical country), at ecosystem type, ecosystem functional group or biome level, will help identify data and knowledge gaps for targeted work. In some cases</w:t>
      </w:r>
      <w:r w:rsidR="008C72FA" w:rsidRPr="00ED7E61">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it will be appropriate to report these in the national reporting tables (see Table 2 for Myanmar); reporting guidance will be developed in 2024/2025.</w:t>
      </w:r>
      <w:r w:rsidRPr="00ED7E61">
        <w:rPr>
          <w:rStyle w:val="normaltextrun"/>
          <w:lang w:val="en-AU"/>
        </w:rPr>
        <w:t> </w:t>
      </w:r>
    </w:p>
    <w:p w14:paraId="7B393E4F" w14:textId="61B0DBA1" w:rsidR="008344AF" w:rsidRPr="00ED7E61" w:rsidRDefault="003D6BBD" w:rsidP="00B10F0C">
      <w:pPr>
        <w:pStyle w:val="CBDNormalNumber"/>
        <w:rPr>
          <w:rFonts w:asciiTheme="majorBidi" w:hAnsiTheme="majorBidi" w:cstheme="majorBidi"/>
        </w:rPr>
      </w:pPr>
      <w:r w:rsidRPr="00B3383B">
        <w:t>Guidelines</w:t>
      </w:r>
      <w:r w:rsidRPr="00ED7E61">
        <w:rPr>
          <w:rStyle w:val="normaltextrun"/>
          <w:rFonts w:asciiTheme="majorBidi" w:eastAsiaTheme="majorEastAsia" w:hAnsiTheme="majorBidi" w:cstheme="majorBidi"/>
          <w:color w:val="000000"/>
          <w:lang w:val="en-AU"/>
        </w:rPr>
        <w:t xml:space="preserve"> will be developed to support countries in reporting in the face of missing data on Red List status of their ecosystems. These will range from countries with near-complete national assessments (e.g. most ecosystem functional groups are comprehensively assessed, i.e. all ecosystem types assessed), to those with comprehensive assessments for only some ecosystem functional groups, to those with no or very little data. </w:t>
      </w:r>
      <w:r w:rsidRPr="00ED7E61">
        <w:rPr>
          <w:rStyle w:val="eop"/>
          <w:rFonts w:asciiTheme="majorBidi" w:eastAsiaTheme="majorEastAsia" w:hAnsiTheme="majorBidi" w:cstheme="majorBidi"/>
          <w:color w:val="000000"/>
        </w:rPr>
        <w:t> </w:t>
      </w:r>
    </w:p>
    <w:p w14:paraId="4F7D1A92" w14:textId="77777777" w:rsidR="003D6BBD" w:rsidRPr="00ED7E61" w:rsidRDefault="003D6BBD"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color w:val="000000"/>
          <w:lang w:val="en-AU"/>
        </w:rPr>
        <w:t>Countries may also have available Red List of Ecosystems assessments (e.g. regional assessments), that require validation for use in national reporting. Guidelines for validation and data-quality assessment will also be developed, with the aim of developing consistent validation protocols for headline indicators A.2 Extent of natural ecosystems and B1 Services provided by ecosystems, which may also rely on non-government data sources.</w:t>
      </w:r>
      <w:r w:rsidRPr="00ED7E61">
        <w:rPr>
          <w:rStyle w:val="eop"/>
          <w:rFonts w:asciiTheme="majorBidi" w:eastAsiaTheme="majorEastAsia" w:hAnsiTheme="majorBidi" w:cstheme="majorBidi"/>
          <w:color w:val="000000"/>
        </w:rPr>
        <w:t> </w:t>
      </w:r>
    </w:p>
    <w:p w14:paraId="6C45471C" w14:textId="2EF80973" w:rsidR="003D6BBD" w:rsidRPr="00ED7E61" w:rsidRDefault="003D6BBD" w:rsidP="00B3383B">
      <w:pPr>
        <w:pStyle w:val="paragraph"/>
        <w:keepNext/>
        <w:keepLines/>
        <w:spacing w:before="0" w:beforeAutospacing="0" w:after="0" w:afterAutospacing="0"/>
        <w:textAlignment w:val="baseline"/>
        <w:rPr>
          <w:rFonts w:asciiTheme="majorBidi" w:hAnsiTheme="majorBidi" w:cstheme="majorBidi"/>
          <w:sz w:val="22"/>
          <w:szCs w:val="22"/>
        </w:rPr>
      </w:pPr>
      <w:r w:rsidRPr="00B3383B">
        <w:rPr>
          <w:rStyle w:val="normaltextrun"/>
          <w:rFonts w:asciiTheme="majorBidi" w:eastAsiaTheme="majorEastAsia" w:hAnsiTheme="majorBidi" w:cstheme="majorBidi"/>
          <w:color w:val="000000"/>
          <w:sz w:val="22"/>
          <w:szCs w:val="22"/>
          <w:lang w:val="en-GB"/>
        </w:rPr>
        <w:t>Table 2</w:t>
      </w:r>
      <w:r w:rsidRPr="00ED7E61">
        <w:rPr>
          <w:rStyle w:val="normaltextrun"/>
          <w:rFonts w:asciiTheme="majorBidi" w:eastAsiaTheme="majorEastAsia" w:hAnsiTheme="majorBidi" w:cstheme="majorBidi"/>
          <w:i/>
          <w:iCs/>
          <w:color w:val="000000"/>
          <w:sz w:val="22"/>
          <w:szCs w:val="22"/>
          <w:lang w:val="en-GB"/>
        </w:rPr>
        <w:t xml:space="preserve"> </w:t>
      </w:r>
      <w:r w:rsidR="0006542F">
        <w:rPr>
          <w:rStyle w:val="normaltextrun"/>
          <w:rFonts w:asciiTheme="majorBidi" w:eastAsiaTheme="majorEastAsia" w:hAnsiTheme="majorBidi" w:cstheme="majorBidi"/>
          <w:i/>
          <w:iCs/>
          <w:color w:val="000000"/>
          <w:sz w:val="22"/>
          <w:szCs w:val="22"/>
          <w:lang w:val="en-GB"/>
        </w:rPr>
        <w:br/>
      </w:r>
      <w:r w:rsidRPr="00B3383B">
        <w:rPr>
          <w:rStyle w:val="normaltextrun"/>
          <w:rFonts w:asciiTheme="majorBidi" w:eastAsiaTheme="majorEastAsia" w:hAnsiTheme="majorBidi" w:cstheme="majorBidi"/>
          <w:b/>
          <w:bCs/>
          <w:color w:val="000000"/>
          <w:sz w:val="22"/>
          <w:szCs w:val="22"/>
          <w:lang w:val="en-GB"/>
        </w:rPr>
        <w:t>Example table for reporting on A1 Red list of ecosystems</w:t>
      </w:r>
      <w:r w:rsidRPr="00ED7E61">
        <w:rPr>
          <w:rStyle w:val="normaltextrun"/>
          <w:rFonts w:asciiTheme="majorBidi" w:eastAsiaTheme="majorEastAsia" w:hAnsiTheme="majorBidi" w:cstheme="majorBidi"/>
          <w:i/>
          <w:iCs/>
          <w:color w:val="000000"/>
          <w:sz w:val="22"/>
          <w:szCs w:val="22"/>
          <w:lang w:val="en-GB"/>
        </w:rPr>
        <w:t xml:space="preserve"> </w:t>
      </w:r>
      <w:r w:rsidR="0006542F">
        <w:rPr>
          <w:rStyle w:val="normaltextrun"/>
          <w:rFonts w:asciiTheme="majorBidi" w:eastAsiaTheme="majorEastAsia" w:hAnsiTheme="majorBidi" w:cstheme="majorBidi"/>
          <w:i/>
          <w:iCs/>
          <w:color w:val="000000"/>
          <w:sz w:val="22"/>
          <w:szCs w:val="22"/>
          <w:lang w:val="en-GB"/>
        </w:rPr>
        <w:br/>
        <w:t>T</w:t>
      </w:r>
      <w:r w:rsidRPr="00ED7E61">
        <w:rPr>
          <w:rStyle w:val="normaltextrun"/>
          <w:rFonts w:asciiTheme="majorBidi" w:eastAsiaTheme="majorEastAsia" w:hAnsiTheme="majorBidi" w:cstheme="majorBidi"/>
          <w:i/>
          <w:iCs/>
          <w:color w:val="000000"/>
          <w:sz w:val="22"/>
          <w:szCs w:val="22"/>
          <w:lang w:val="en-GB"/>
        </w:rPr>
        <w:t>he number of ecosystems per risk category per ecosystem functional group, showing results for Myanmar, including Data Deficient ecosystem types that were assessed but where there were insufficient data or information to assign them to a risk category (Murray et al. 2020).</w:t>
      </w:r>
      <w:r w:rsidRPr="00ED7E61">
        <w:rPr>
          <w:rStyle w:val="eop"/>
          <w:rFonts w:asciiTheme="majorBidi" w:eastAsiaTheme="majorEastAsia" w:hAnsiTheme="majorBidi" w:cstheme="majorBidi"/>
          <w:color w:val="000000"/>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990"/>
        <w:gridCol w:w="1125"/>
        <w:gridCol w:w="1125"/>
        <w:gridCol w:w="990"/>
        <w:gridCol w:w="1125"/>
        <w:gridCol w:w="990"/>
        <w:gridCol w:w="990"/>
      </w:tblGrid>
      <w:tr w:rsidR="003D6BBD" w:rsidRPr="00ED7E61" w14:paraId="211F00EC" w14:textId="77777777" w:rsidTr="00A96B0B">
        <w:trPr>
          <w:trHeight w:val="315"/>
        </w:trPr>
        <w:tc>
          <w:tcPr>
            <w:tcW w:w="1695" w:type="dxa"/>
            <w:tcBorders>
              <w:top w:val="single" w:sz="6" w:space="0" w:color="999999"/>
              <w:left w:val="single" w:sz="6" w:space="0" w:color="999999"/>
              <w:bottom w:val="single" w:sz="12" w:space="0" w:color="666666"/>
              <w:right w:val="single" w:sz="6" w:space="0" w:color="999999"/>
            </w:tcBorders>
            <w:shd w:val="clear" w:color="auto" w:fill="auto"/>
            <w:hideMark/>
          </w:tcPr>
          <w:p w14:paraId="38C5F6A2" w14:textId="77777777" w:rsidR="003D6BBD" w:rsidRPr="00ED7E61" w:rsidRDefault="003D6BBD" w:rsidP="00B3383B">
            <w:pPr>
              <w:pStyle w:val="paragraph"/>
              <w:keepNext/>
              <w:keepLines/>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E</w:t>
            </w:r>
            <w:r w:rsidRPr="00ED7E61">
              <w:rPr>
                <w:rStyle w:val="normaltextrun"/>
                <w:rFonts w:eastAsiaTheme="majorEastAsia"/>
                <w:sz w:val="18"/>
                <w:szCs w:val="18"/>
                <w:lang w:val="en-GB"/>
              </w:rPr>
              <w:t>cosystem functional group</w:t>
            </w:r>
            <w:r w:rsidRPr="00ED7E61">
              <w:rPr>
                <w:rStyle w:val="eop"/>
                <w:rFonts w:eastAsiaTheme="majorEastAsia"/>
                <w:b/>
                <w:bCs/>
                <w:sz w:val="18"/>
                <w:szCs w:val="18"/>
              </w:rPr>
              <w:t> </w:t>
            </w:r>
          </w:p>
        </w:tc>
        <w:tc>
          <w:tcPr>
            <w:tcW w:w="990" w:type="dxa"/>
            <w:tcBorders>
              <w:top w:val="single" w:sz="6" w:space="0" w:color="999999"/>
              <w:left w:val="single" w:sz="6" w:space="0" w:color="999999"/>
              <w:bottom w:val="single" w:sz="12" w:space="0" w:color="666666"/>
              <w:right w:val="single" w:sz="6" w:space="0" w:color="999999"/>
            </w:tcBorders>
            <w:shd w:val="clear" w:color="auto" w:fill="auto"/>
            <w:hideMark/>
          </w:tcPr>
          <w:p w14:paraId="1D936943" w14:textId="77777777" w:rsidR="003D6BBD" w:rsidRPr="00ED7E61" w:rsidRDefault="003D6BBD" w:rsidP="00B3383B">
            <w:pPr>
              <w:pStyle w:val="paragraph"/>
              <w:keepNext/>
              <w:keepLines/>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Collapsed</w:t>
            </w:r>
            <w:r w:rsidRPr="00ED7E61">
              <w:rPr>
                <w:rStyle w:val="eop"/>
                <w:rFonts w:eastAsiaTheme="majorEastAsia"/>
                <w:b/>
                <w:bCs/>
                <w:color w:val="000000"/>
                <w:sz w:val="18"/>
                <w:szCs w:val="18"/>
              </w:rPr>
              <w:t> </w:t>
            </w:r>
          </w:p>
        </w:tc>
        <w:tc>
          <w:tcPr>
            <w:tcW w:w="1125" w:type="dxa"/>
            <w:tcBorders>
              <w:top w:val="single" w:sz="6" w:space="0" w:color="999999"/>
              <w:left w:val="single" w:sz="6" w:space="0" w:color="999999"/>
              <w:bottom w:val="single" w:sz="12" w:space="0" w:color="666666"/>
              <w:right w:val="single" w:sz="6" w:space="0" w:color="999999"/>
            </w:tcBorders>
            <w:shd w:val="clear" w:color="auto" w:fill="auto"/>
            <w:hideMark/>
          </w:tcPr>
          <w:p w14:paraId="3B3A02F6" w14:textId="77777777" w:rsidR="003D6BBD" w:rsidRPr="00ED7E61" w:rsidRDefault="003D6BBD" w:rsidP="00B3383B">
            <w:pPr>
              <w:pStyle w:val="paragraph"/>
              <w:keepNext/>
              <w:keepLines/>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Critically Endangered</w:t>
            </w:r>
            <w:r w:rsidRPr="00ED7E61">
              <w:rPr>
                <w:rStyle w:val="eop"/>
                <w:rFonts w:eastAsiaTheme="majorEastAsia"/>
                <w:b/>
                <w:bCs/>
                <w:color w:val="000000"/>
                <w:sz w:val="18"/>
                <w:szCs w:val="18"/>
              </w:rPr>
              <w:t> </w:t>
            </w:r>
          </w:p>
        </w:tc>
        <w:tc>
          <w:tcPr>
            <w:tcW w:w="1125" w:type="dxa"/>
            <w:tcBorders>
              <w:top w:val="single" w:sz="6" w:space="0" w:color="999999"/>
              <w:left w:val="single" w:sz="6" w:space="0" w:color="999999"/>
              <w:bottom w:val="single" w:sz="12" w:space="0" w:color="666666"/>
              <w:right w:val="single" w:sz="6" w:space="0" w:color="999999"/>
            </w:tcBorders>
            <w:shd w:val="clear" w:color="auto" w:fill="auto"/>
            <w:hideMark/>
          </w:tcPr>
          <w:p w14:paraId="3B90661E" w14:textId="77777777" w:rsidR="003D6BBD" w:rsidRPr="00ED7E61" w:rsidRDefault="003D6BBD" w:rsidP="00B3383B">
            <w:pPr>
              <w:pStyle w:val="paragraph"/>
              <w:keepNext/>
              <w:keepLines/>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Endangered</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12" w:space="0" w:color="666666"/>
              <w:right w:val="single" w:sz="6" w:space="0" w:color="999999"/>
            </w:tcBorders>
            <w:shd w:val="clear" w:color="auto" w:fill="auto"/>
            <w:hideMark/>
          </w:tcPr>
          <w:p w14:paraId="2DAA6311" w14:textId="77777777" w:rsidR="003D6BBD" w:rsidRPr="00ED7E61" w:rsidRDefault="003D6BBD" w:rsidP="00B3383B">
            <w:pPr>
              <w:pStyle w:val="paragraph"/>
              <w:keepNext/>
              <w:keepLines/>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Vulnerable</w:t>
            </w:r>
            <w:r w:rsidRPr="00ED7E61">
              <w:rPr>
                <w:rStyle w:val="eop"/>
                <w:rFonts w:eastAsiaTheme="majorEastAsia"/>
                <w:b/>
                <w:bCs/>
                <w:color w:val="000000"/>
                <w:sz w:val="18"/>
                <w:szCs w:val="18"/>
              </w:rPr>
              <w:t> </w:t>
            </w:r>
          </w:p>
        </w:tc>
        <w:tc>
          <w:tcPr>
            <w:tcW w:w="1125" w:type="dxa"/>
            <w:tcBorders>
              <w:top w:val="single" w:sz="6" w:space="0" w:color="999999"/>
              <w:left w:val="single" w:sz="6" w:space="0" w:color="999999"/>
              <w:bottom w:val="single" w:sz="12" w:space="0" w:color="666666"/>
              <w:right w:val="single" w:sz="6" w:space="0" w:color="999999"/>
            </w:tcBorders>
            <w:shd w:val="clear" w:color="auto" w:fill="auto"/>
            <w:hideMark/>
          </w:tcPr>
          <w:p w14:paraId="7CA758AA" w14:textId="77777777" w:rsidR="003D6BBD" w:rsidRPr="00ED7E61" w:rsidRDefault="003D6BBD" w:rsidP="00B3383B">
            <w:pPr>
              <w:pStyle w:val="paragraph"/>
              <w:keepNext/>
              <w:keepLines/>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Near Threatened</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12" w:space="0" w:color="666666"/>
              <w:right w:val="single" w:sz="6" w:space="0" w:color="999999"/>
            </w:tcBorders>
            <w:shd w:val="clear" w:color="auto" w:fill="auto"/>
            <w:hideMark/>
          </w:tcPr>
          <w:p w14:paraId="3B017BA0" w14:textId="77777777" w:rsidR="003D6BBD" w:rsidRPr="00ED7E61" w:rsidRDefault="003D6BBD" w:rsidP="00B3383B">
            <w:pPr>
              <w:pStyle w:val="paragraph"/>
              <w:keepNext/>
              <w:keepLines/>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Least Concern</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12" w:space="0" w:color="666666"/>
              <w:right w:val="single" w:sz="6" w:space="0" w:color="999999"/>
            </w:tcBorders>
            <w:shd w:val="clear" w:color="auto" w:fill="auto"/>
            <w:hideMark/>
          </w:tcPr>
          <w:p w14:paraId="42F08B5B" w14:textId="77777777" w:rsidR="003D6BBD" w:rsidRPr="00ED7E61" w:rsidRDefault="003D6BBD" w:rsidP="00B3383B">
            <w:pPr>
              <w:pStyle w:val="paragraph"/>
              <w:keepNext/>
              <w:keepLines/>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Data Deficient</w:t>
            </w:r>
            <w:r w:rsidRPr="00ED7E61">
              <w:rPr>
                <w:rStyle w:val="eop"/>
                <w:rFonts w:eastAsiaTheme="majorEastAsia"/>
                <w:b/>
                <w:bCs/>
                <w:color w:val="000000"/>
                <w:sz w:val="18"/>
                <w:szCs w:val="18"/>
              </w:rPr>
              <w:t> </w:t>
            </w:r>
          </w:p>
        </w:tc>
      </w:tr>
      <w:tr w:rsidR="003D6BBD" w:rsidRPr="00ED7E61" w14:paraId="113E655C"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3D730F90" w14:textId="77777777" w:rsidR="003D6BBD" w:rsidRPr="00ED7E61" w:rsidRDefault="003D6BBD" w:rsidP="00B3383B">
            <w:pPr>
              <w:pStyle w:val="paragraph"/>
              <w:keepNext/>
              <w:keepLines/>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F2.4 Freeze-thaw freshwater lakes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228D923" w14:textId="77777777" w:rsidR="003D6BBD" w:rsidRPr="00ED7E61" w:rsidRDefault="003D6BBD" w:rsidP="00B3383B">
            <w:pPr>
              <w:pStyle w:val="paragraph"/>
              <w:keepNext/>
              <w:keepLines/>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41ED4AD" w14:textId="77777777" w:rsidR="003D6BBD" w:rsidRPr="00ED7E61" w:rsidRDefault="003D6BBD" w:rsidP="00B3383B">
            <w:pPr>
              <w:pStyle w:val="paragraph"/>
              <w:keepNext/>
              <w:keepLines/>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DD1DD32" w14:textId="77777777" w:rsidR="003D6BBD" w:rsidRPr="00ED7E61" w:rsidRDefault="003D6BBD" w:rsidP="00B3383B">
            <w:pPr>
              <w:pStyle w:val="paragraph"/>
              <w:keepNext/>
              <w:keepLines/>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71FAABE" w14:textId="77777777" w:rsidR="003D6BBD" w:rsidRPr="00ED7E61" w:rsidRDefault="003D6BBD" w:rsidP="00B3383B">
            <w:pPr>
              <w:pStyle w:val="paragraph"/>
              <w:keepNext/>
              <w:keepLines/>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4E62438" w14:textId="77777777" w:rsidR="003D6BBD" w:rsidRPr="00ED7E61" w:rsidRDefault="003D6BBD" w:rsidP="00B3383B">
            <w:pPr>
              <w:pStyle w:val="paragraph"/>
              <w:keepNext/>
              <w:keepLines/>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C087972" w14:textId="77777777" w:rsidR="003D6BBD" w:rsidRPr="00ED7E61" w:rsidRDefault="003D6BBD" w:rsidP="00B3383B">
            <w:pPr>
              <w:pStyle w:val="paragraph"/>
              <w:keepNext/>
              <w:keepLines/>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C27E30E" w14:textId="77777777" w:rsidR="003D6BBD" w:rsidRPr="00ED7E61" w:rsidRDefault="003D6BBD" w:rsidP="00B3383B">
            <w:pPr>
              <w:pStyle w:val="paragraph"/>
              <w:keepNext/>
              <w:keepLines/>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r>
      <w:tr w:rsidR="003D6BBD" w:rsidRPr="00ED7E61" w14:paraId="610C0C66"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21C322A9"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MFT1.2 Intertidal forests and shrublands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61575A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04E58DD"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2</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8B3D2AE"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5A6202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12B26F8"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F82CC8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7ED98CF"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r>
      <w:tr w:rsidR="003D6BBD" w:rsidRPr="00ED7E61" w14:paraId="59B6190D"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26447EAC"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MFT1.3 Coastal saltmarshes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CBC4941"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E530201"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180AD76"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08B848D"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368D24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7583C26"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F083A6C"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r>
      <w:tr w:rsidR="003D6BBD" w:rsidRPr="00ED7E61" w14:paraId="06FF441F"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39EBDD11"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MT1.2 Muddy shorelines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88CAABF"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77F257F"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3CE574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DF5EB1F"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E49D8EF"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214060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53896D6"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r>
      <w:tr w:rsidR="003D6BBD" w:rsidRPr="00ED7E61" w14:paraId="1C60FCBA"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09E50B78"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MT1.3 Sandy shorelines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2F5A288"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4690E21"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D4FCFD9"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9E572BA"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26F1A92"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B5B1414"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01E1039"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r>
      <w:tr w:rsidR="003D6BBD" w:rsidRPr="00ED7E61" w14:paraId="08E7C018"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4FCC30E1"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S1.1 Aerobic caves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77C10A3"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D972272"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A11321A"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0BBDC4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1FD3DB2"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B34A337"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D664EBE"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r>
      <w:tr w:rsidR="003D6BBD" w:rsidRPr="00ED7E61" w14:paraId="4189105F"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3DC10FF1"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T1.1 Tropical-subtropical lowland rainforests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28D655F"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576B8A9"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69732B7"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2</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181721E"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3</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E03C85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22A34A2"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8320225"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4</w:t>
            </w:r>
            <w:r w:rsidRPr="00ED7E61">
              <w:rPr>
                <w:rStyle w:val="eop"/>
                <w:rFonts w:eastAsiaTheme="majorEastAsia"/>
                <w:color w:val="000000"/>
                <w:sz w:val="18"/>
                <w:szCs w:val="18"/>
              </w:rPr>
              <w:t> </w:t>
            </w:r>
          </w:p>
        </w:tc>
      </w:tr>
      <w:tr w:rsidR="003D6BBD" w:rsidRPr="00ED7E61" w14:paraId="00770232"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4245D890"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T1.2 Tropical-subtropical dry forests and scrubs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C91F42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650BFA8"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2D5660C"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2</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FB8C847"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5</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EE8379D"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DAA6A8F"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2</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DC6D8C5"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4</w:t>
            </w:r>
            <w:r w:rsidRPr="00ED7E61">
              <w:rPr>
                <w:rStyle w:val="eop"/>
                <w:rFonts w:eastAsiaTheme="majorEastAsia"/>
                <w:color w:val="000000"/>
                <w:sz w:val="18"/>
                <w:szCs w:val="18"/>
              </w:rPr>
              <w:t> </w:t>
            </w:r>
          </w:p>
        </w:tc>
      </w:tr>
      <w:tr w:rsidR="003D6BBD" w:rsidRPr="00ED7E61" w14:paraId="25F9B94D"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709BD8C1"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T1.3 Tropical-subtropical montane rainforests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5D764D8"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34473B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418AEC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1F65DC4"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377EEA3"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B0AB32A"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48824D3"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r>
      <w:tr w:rsidR="003D6BBD" w:rsidRPr="00ED7E61" w14:paraId="3619484B"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7846822E"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T2.1 Boreal and temperate montane forests and woodlands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3FD1C4A"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0332D34"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65A1A6E"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9B4AF12"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3AD3FD2"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87645EA"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C64E7B1"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r>
      <w:tr w:rsidR="003D6BBD" w:rsidRPr="00ED7E61" w14:paraId="385C8394"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02F73AAB"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T2.4 Warm temperate rainforests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192684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8B7EB9A"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2D64212"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0B17F3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4691554"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E63F688"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BF59B88"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3</w:t>
            </w:r>
            <w:r w:rsidRPr="00ED7E61">
              <w:rPr>
                <w:rStyle w:val="eop"/>
                <w:rFonts w:eastAsiaTheme="majorEastAsia"/>
                <w:color w:val="000000"/>
                <w:sz w:val="18"/>
                <w:szCs w:val="18"/>
              </w:rPr>
              <w:t> </w:t>
            </w:r>
          </w:p>
        </w:tc>
      </w:tr>
      <w:tr w:rsidR="003D6BBD" w:rsidRPr="00ED7E61" w14:paraId="23F54167"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50309011"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T4.2 Pyric tussock savannas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213CB11"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C6244C8"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0F5A55D"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AD5D29A"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3</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7FD346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7D09184"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4</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76B219C"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r>
      <w:tr w:rsidR="003D6BBD" w:rsidRPr="00ED7E61" w14:paraId="0306A666"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12DADD32"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T4.5 Temperate subhumid grasslands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164734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5A803ED"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9AB625C"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EE90CEF"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DA1F86E"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9C4520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B8AB32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r>
      <w:tr w:rsidR="003D6BBD" w:rsidRPr="00ED7E61" w14:paraId="217AEFB2"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312A4D61"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T6.1 Ice sheets, glaciers and perennial snowfields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EE7502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AFB4881"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5195043"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728D42F"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460F19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6219BAE"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25E29EA"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r>
      <w:tr w:rsidR="003D6BBD" w:rsidRPr="00ED7E61" w14:paraId="1C7AFF8E"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044A328B"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T6.2 Polar/alpine cliffs, screes, outcrops and lava flows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D81BEC9"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580F903"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FDDD9AF"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CF4D024"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6E1A614"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9AD4586"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751140D"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r>
      <w:tr w:rsidR="003D6BBD" w:rsidRPr="00ED7E61" w14:paraId="56BADE0D"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35AAB358"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T6.4 Temperate alpine meadows and shrublands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0AEF8C1"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389F064"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DD7CB92"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AA9966D"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6FCAD24"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68AF3E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BBAC24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r>
      <w:tr w:rsidR="003D6BBD" w:rsidRPr="00ED7E61" w14:paraId="2DD0CC30"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59E57987"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TF1.1 Tropical flooded forests and peat forests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37423F5"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99447C5"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2</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8921B45"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82D0393"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1EF129E"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BAA06AC"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4CED512"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r>
      <w:tr w:rsidR="003D6BBD" w:rsidRPr="00ED7E61" w14:paraId="61A3FE6E"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3E360D34"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TF1.4 Seasonal floodplain marshes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3AA54D79"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299DCA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3B3716D"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1</w:t>
            </w:r>
            <w:r w:rsidRPr="00ED7E61">
              <w:rPr>
                <w:rStyle w:val="eop"/>
                <w:rFonts w:eastAsiaTheme="majorEastAsia"/>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6132C4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0895824C"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6AB4586D"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23B13DFE"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r>
      <w:tr w:rsidR="003D6BBD" w:rsidRPr="00ED7E61" w14:paraId="123D0290" w14:textId="77777777" w:rsidTr="00A96B0B">
        <w:trPr>
          <w:trHeight w:val="315"/>
        </w:trPr>
        <w:tc>
          <w:tcPr>
            <w:tcW w:w="1695" w:type="dxa"/>
            <w:tcBorders>
              <w:top w:val="single" w:sz="6" w:space="0" w:color="999999"/>
              <w:left w:val="single" w:sz="6" w:space="0" w:color="999999"/>
              <w:bottom w:val="single" w:sz="6" w:space="0" w:color="999999"/>
              <w:right w:val="single" w:sz="6" w:space="0" w:color="999999"/>
            </w:tcBorders>
            <w:shd w:val="clear" w:color="auto" w:fill="auto"/>
            <w:hideMark/>
          </w:tcPr>
          <w:p w14:paraId="6B64B4E6" w14:textId="77777777" w:rsidR="003D6BBD" w:rsidRPr="00ED7E61" w:rsidRDefault="003D6BBD" w:rsidP="00A96B0B">
            <w:pPr>
              <w:pStyle w:val="paragraph"/>
              <w:spacing w:before="0" w:beforeAutospacing="0" w:after="0" w:afterAutospacing="0"/>
              <w:textAlignment w:val="baseline"/>
              <w:rPr>
                <w:b/>
                <w:bCs/>
                <w:sz w:val="18"/>
                <w:szCs w:val="18"/>
              </w:rPr>
            </w:pPr>
            <w:r w:rsidRPr="00ED7E61">
              <w:rPr>
                <w:rStyle w:val="normaltextrun"/>
                <w:rFonts w:eastAsiaTheme="majorEastAsia"/>
                <w:color w:val="000000"/>
                <w:sz w:val="18"/>
                <w:szCs w:val="18"/>
                <w:lang w:val="en-GB"/>
              </w:rPr>
              <w:t>TM2.1 Coastal shrublands and grasslands</w:t>
            </w:r>
            <w:r w:rsidRPr="00ED7E61">
              <w:rPr>
                <w:rStyle w:val="eop"/>
                <w:rFonts w:eastAsiaTheme="majorEastAsia"/>
                <w:b/>
                <w:bCs/>
                <w:color w:val="000000"/>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117CCDD3"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color w:val="000000"/>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BF0CB46"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FB34266"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B073A90"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1125"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5F5E9BA6"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4B861A87"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eop"/>
                <w:rFonts w:eastAsiaTheme="majorEastAsia"/>
                <w:sz w:val="18"/>
                <w:szCs w:val="18"/>
              </w:rPr>
              <w:t> </w:t>
            </w:r>
          </w:p>
        </w:tc>
        <w:tc>
          <w:tcPr>
            <w:tcW w:w="990" w:type="dxa"/>
            <w:tcBorders>
              <w:top w:val="single" w:sz="6" w:space="0" w:color="999999"/>
              <w:left w:val="single" w:sz="6" w:space="0" w:color="999999"/>
              <w:bottom w:val="single" w:sz="6" w:space="0" w:color="999999"/>
              <w:right w:val="single" w:sz="6" w:space="0" w:color="999999"/>
            </w:tcBorders>
            <w:shd w:val="clear" w:color="auto" w:fill="auto"/>
            <w:vAlign w:val="center"/>
            <w:hideMark/>
          </w:tcPr>
          <w:p w14:paraId="72B4841B" w14:textId="77777777" w:rsidR="003D6BBD" w:rsidRPr="00ED7E61" w:rsidRDefault="003D6BBD" w:rsidP="00A96B0B">
            <w:pPr>
              <w:pStyle w:val="paragraph"/>
              <w:spacing w:before="0" w:beforeAutospacing="0" w:after="0" w:afterAutospacing="0"/>
              <w:jc w:val="center"/>
              <w:textAlignment w:val="baseline"/>
              <w:rPr>
                <w:sz w:val="18"/>
                <w:szCs w:val="18"/>
              </w:rPr>
            </w:pPr>
            <w:r w:rsidRPr="00ED7E61">
              <w:rPr>
                <w:rStyle w:val="normaltextrun"/>
                <w:rFonts w:eastAsiaTheme="majorEastAsia"/>
                <w:color w:val="000000"/>
                <w:sz w:val="18"/>
                <w:szCs w:val="18"/>
                <w:lang w:val="en-GB"/>
              </w:rPr>
              <w:t>2</w:t>
            </w:r>
            <w:r w:rsidRPr="00ED7E61">
              <w:rPr>
                <w:rStyle w:val="eop"/>
                <w:rFonts w:eastAsiaTheme="majorEastAsia"/>
                <w:color w:val="000000"/>
                <w:sz w:val="18"/>
                <w:szCs w:val="18"/>
              </w:rPr>
              <w:t> </w:t>
            </w:r>
          </w:p>
        </w:tc>
      </w:tr>
    </w:tbl>
    <w:p w14:paraId="6755B661" w14:textId="270AC874" w:rsidR="003D6BBD" w:rsidRPr="00ED7E61" w:rsidRDefault="003D6BBD" w:rsidP="008344AF">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color w:val="000000"/>
          <w:sz w:val="22"/>
          <w:szCs w:val="22"/>
        </w:rPr>
        <w:t> </w:t>
      </w:r>
    </w:p>
    <w:p w14:paraId="7DC5767C" w14:textId="5312F341" w:rsidR="008344AF" w:rsidRPr="00ED7E61" w:rsidRDefault="003D6BBD" w:rsidP="00B10F0C">
      <w:pPr>
        <w:pStyle w:val="CBDNormalNumber"/>
        <w:rPr>
          <w:rStyle w:val="normaltextrun"/>
          <w:sz w:val="24"/>
          <w:szCs w:val="24"/>
          <w:lang w:val="en-AU"/>
        </w:rPr>
      </w:pPr>
      <w:r w:rsidRPr="00ED7E61">
        <w:rPr>
          <w:rStyle w:val="normaltextrun"/>
          <w:rFonts w:asciiTheme="majorBidi" w:eastAsiaTheme="majorEastAsia" w:hAnsiTheme="majorBidi" w:cstheme="majorBidi"/>
          <w:color w:val="000000"/>
          <w:lang w:val="en-AU"/>
        </w:rPr>
        <w:t>National ecosystem assessments can also be incomplete where there are insufficient resources to evaluate all criteria or ecosystem types – such ecosystems are reported as Not Evaluated. Category Not Evaluated is always excluded from calculation of RLIe.  Missing data may stem from incomplete assessments, or coarse scale assessments that exclude finer scale variation in ecosystems.  </w:t>
      </w:r>
      <w:r w:rsidRPr="00ED7E61">
        <w:rPr>
          <w:rStyle w:val="normaltextrun"/>
          <w:lang w:val="en-AU"/>
        </w:rPr>
        <w:t> </w:t>
      </w:r>
    </w:p>
    <w:p w14:paraId="530394E8" w14:textId="7A234195" w:rsidR="008344AF"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color w:val="000000"/>
          <w:lang w:val="en-AU"/>
        </w:rPr>
        <w:t>Individual ecosystem assessments can also be uncertain, where insufficient data exist to assign an ecosystem type to a risk category. This can result in some poorly known ecosystem types being listed Data Deficient. Uncertainty in Red List of Ecosystems assessment can be dealt with through a range of methods, including bounds in estimates of risk category – please see the Red List of Ecosystems Guidelines for more information (IUCN, 2024). </w:t>
      </w:r>
      <w:r w:rsidRPr="00ED7E61">
        <w:rPr>
          <w:rStyle w:val="eop"/>
          <w:rFonts w:asciiTheme="majorBidi" w:eastAsiaTheme="majorEastAsia" w:hAnsiTheme="majorBidi" w:cstheme="majorBidi"/>
          <w:color w:val="000000"/>
        </w:rPr>
        <w:t> </w:t>
      </w:r>
    </w:p>
    <w:p w14:paraId="1B9BD232" w14:textId="17993C93" w:rsidR="003D6BBD" w:rsidRPr="00ED7E61" w:rsidRDefault="003D6BBD" w:rsidP="00B10F0C">
      <w:pPr>
        <w:pStyle w:val="CBDNormalNumber"/>
        <w:rPr>
          <w:rStyle w:val="eop"/>
          <w:rFonts w:asciiTheme="majorBidi" w:eastAsiaTheme="majorEastAsia" w:hAnsiTheme="majorBidi" w:cstheme="majorBidi"/>
          <w:color w:val="000000"/>
        </w:rPr>
      </w:pPr>
      <w:r w:rsidRPr="00ED7E61">
        <w:rPr>
          <w:rStyle w:val="normaltextrun"/>
          <w:rFonts w:asciiTheme="majorBidi" w:eastAsiaTheme="majorEastAsia" w:hAnsiTheme="majorBidi" w:cstheme="majorBidi"/>
          <w:color w:val="000000"/>
          <w:lang w:val="en-AU"/>
        </w:rPr>
        <w:t xml:space="preserve">Data deficient ecosystem types can be included in the Red List Index of ecosystem (RLIe) through similar </w:t>
      </w:r>
      <w:r w:rsidRPr="00B3383B">
        <w:t>means</w:t>
      </w:r>
      <w:r w:rsidRPr="00ED7E61">
        <w:rPr>
          <w:rStyle w:val="normaltextrun"/>
          <w:rFonts w:asciiTheme="majorBidi" w:eastAsiaTheme="majorEastAsia" w:hAnsiTheme="majorBidi" w:cstheme="majorBidi"/>
          <w:color w:val="000000"/>
          <w:lang w:val="en-AU"/>
        </w:rPr>
        <w:t xml:space="preserve"> to headline indicator A.3 Red List Index for species, </w:t>
      </w:r>
      <w:r w:rsidR="008C72FA" w:rsidRPr="00ED7E61">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i.e. by randomly allocating Data Deficient (DD) ecosystem types to risk categories with a probability proportional to the number of non-DD ecosystem types in each risk category, repeating this 1,000 times through a bootstrapping procedure, and reporting the mean</w:t>
      </w:r>
      <w:r w:rsidR="008C72FA" w:rsidRPr="00ED7E61">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w:t>
      </w:r>
      <w:r w:rsidRPr="00ED7E61">
        <w:rPr>
          <w:rStyle w:val="eop"/>
          <w:rFonts w:asciiTheme="majorBidi" w:eastAsiaTheme="majorEastAsia" w:hAnsiTheme="majorBidi" w:cstheme="majorBidi"/>
          <w:color w:val="000000"/>
        </w:rPr>
        <w:t> </w:t>
      </w:r>
    </w:p>
    <w:p w14:paraId="56D82C1A"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 Scale </w:t>
      </w:r>
      <w:r w:rsidRPr="00ED7E61">
        <w:rPr>
          <w:rStyle w:val="eop"/>
          <w:rFonts w:asciiTheme="majorBidi" w:eastAsiaTheme="majorEastAsia" w:hAnsiTheme="majorBidi" w:cstheme="majorBidi"/>
          <w:b/>
          <w:bCs/>
          <w:sz w:val="22"/>
          <w:szCs w:val="22"/>
        </w:rPr>
        <w:t> </w:t>
      </w:r>
    </w:p>
    <w:p w14:paraId="3E20C3C0"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6a. Scale of use </w:t>
      </w:r>
      <w:r w:rsidRPr="00ED7E61">
        <w:rPr>
          <w:rStyle w:val="eop"/>
          <w:rFonts w:asciiTheme="majorBidi" w:eastAsiaTheme="majorEastAsia" w:hAnsiTheme="majorBidi" w:cstheme="majorBidi"/>
          <w:b/>
          <w:bCs/>
          <w:sz w:val="22"/>
          <w:szCs w:val="22"/>
        </w:rPr>
        <w:t> </w:t>
      </w:r>
    </w:p>
    <w:p w14:paraId="0A028295"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1D583BD6"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National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5CFC52F0" w14:textId="77777777" w:rsidR="003D6BBD" w:rsidRPr="00ED7E61" w:rsidRDefault="003D6BBD" w:rsidP="00B10F0C">
      <w:pPr>
        <w:pStyle w:val="CBDNormalNumber"/>
        <w:rPr>
          <w:rFonts w:asciiTheme="majorBidi" w:hAnsiTheme="majorBidi" w:cstheme="majorBidi"/>
        </w:rPr>
      </w:pPr>
      <w:r w:rsidRPr="00B3383B">
        <w:t>Scale</w:t>
      </w:r>
      <w:r w:rsidRPr="00ED7E61">
        <w:rPr>
          <w:rStyle w:val="normaltextrun"/>
          <w:rFonts w:asciiTheme="majorBidi" w:eastAsiaTheme="majorEastAsia" w:hAnsiTheme="majorBidi" w:cstheme="majorBidi"/>
          <w:color w:val="000000"/>
          <w:lang w:val="en-AU"/>
        </w:rPr>
        <w:t xml:space="preserve"> of data disaggregation/aggregation: </w:t>
      </w:r>
      <w:r w:rsidRPr="00ED7E61">
        <w:rPr>
          <w:rStyle w:val="normaltextrun"/>
          <w:color w:val="000000"/>
          <w:lang w:val="en-AU"/>
        </w:rPr>
        <w:t> </w:t>
      </w:r>
    </w:p>
    <w:p w14:paraId="5706A4FE" w14:textId="77777777" w:rsidR="003D6BBD" w:rsidRPr="00ED7E61" w:rsidRDefault="003D6BBD" w:rsidP="00B10F0C">
      <w:pPr>
        <w:pStyle w:val="CBDNormalNumber"/>
        <w:numPr>
          <w:ilvl w:val="0"/>
          <w:numId w:val="41"/>
        </w:numPr>
        <w:tabs>
          <w:tab w:val="clear" w:pos="567"/>
          <w:tab w:val="clear" w:pos="1134"/>
          <w:tab w:val="clear" w:pos="2268"/>
          <w:tab w:val="left" w:pos="1985"/>
        </w:tabs>
        <w:ind w:left="567" w:firstLine="531"/>
      </w:pPr>
      <w:r w:rsidRPr="00ED7E61">
        <w:t>Global/ regional scale indicator can be disaggregated to national level: ​☒​ </w:t>
      </w:r>
    </w:p>
    <w:p w14:paraId="34F47C04" w14:textId="77777777" w:rsidR="003D6BBD" w:rsidRPr="00ED7E61" w:rsidRDefault="003D6BBD" w:rsidP="00B10F0C">
      <w:pPr>
        <w:pStyle w:val="CBDNormalNumber"/>
        <w:numPr>
          <w:ilvl w:val="0"/>
          <w:numId w:val="41"/>
        </w:numPr>
        <w:tabs>
          <w:tab w:val="clear" w:pos="567"/>
          <w:tab w:val="clear" w:pos="1134"/>
          <w:tab w:val="clear" w:pos="2268"/>
          <w:tab w:val="left" w:pos="1985"/>
        </w:tabs>
        <w:ind w:left="567" w:firstLine="531"/>
      </w:pPr>
      <w:r w:rsidRPr="00ED7E61">
        <w:t>National data is collated to form global indicator: ​☒​ </w:t>
      </w:r>
    </w:p>
    <w:p w14:paraId="224673D5" w14:textId="77777777" w:rsidR="003D6BBD" w:rsidRPr="00ED7E61" w:rsidRDefault="003D6BBD" w:rsidP="00B10F0C">
      <w:pPr>
        <w:pStyle w:val="CBDNormalNumber"/>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The indicator can be used at national, regional, and global levels, depending on data </w:t>
      </w:r>
      <w:r w:rsidRPr="00B3383B">
        <w:t>availability</w:t>
      </w:r>
      <w:r w:rsidRPr="00ED7E61">
        <w:rPr>
          <w:rStyle w:val="normaltextrun"/>
          <w:rFonts w:asciiTheme="majorBidi" w:eastAsiaTheme="majorEastAsia" w:hAnsiTheme="majorBidi" w:cstheme="majorBidi"/>
          <w:color w:val="000000"/>
          <w:lang w:val="en-AU"/>
        </w:rPr>
        <w:t>. Global/regional values can be disaggregated to national scales (e.g. Ferrer-Paris et al. 2019, Obura et al. 2022). In principle, national data can be aggregated to form regional/global assessments, though this is yet to be applied and will require more testing.  </w:t>
      </w:r>
      <w:r w:rsidRPr="00ED7E61">
        <w:rPr>
          <w:rStyle w:val="normaltextrun"/>
          <w:lang w:val="en-AU"/>
        </w:rPr>
        <w:t> </w:t>
      </w:r>
    </w:p>
    <w:p w14:paraId="5308947D"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6b. National/regional indicator production </w:t>
      </w:r>
      <w:r w:rsidRPr="00ED7E61">
        <w:rPr>
          <w:rStyle w:val="eop"/>
          <w:rFonts w:asciiTheme="majorBidi" w:eastAsiaTheme="majorEastAsia" w:hAnsiTheme="majorBidi" w:cstheme="majorBidi"/>
          <w:b/>
          <w:bCs/>
          <w:sz w:val="22"/>
          <w:szCs w:val="22"/>
        </w:rPr>
        <w:t> </w:t>
      </w:r>
    </w:p>
    <w:p w14:paraId="0B35610C" w14:textId="77777777" w:rsidR="003D6BBD" w:rsidRPr="00ED7E61" w:rsidRDefault="003D6BBD" w:rsidP="00B3383B">
      <w:pPr>
        <w:pStyle w:val="paragraph"/>
        <w:spacing w:before="12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19D8B079" w14:textId="77777777" w:rsidR="003D6BBD" w:rsidRPr="00ED7E61" w:rsidRDefault="003D6BBD" w:rsidP="003D6BBD">
      <w:pPr>
        <w:pStyle w:val="paragraph"/>
        <w:pBdr>
          <w:bottom w:val="single" w:sz="4" w:space="1" w:color="000000"/>
        </w:pBdr>
        <w:spacing w:before="0" w:beforeAutospacing="0" w:after="0" w:afterAutospacing="0"/>
        <w:textAlignment w:val="baseline"/>
        <w:rPr>
          <w:rStyle w:val="normaltextrun"/>
          <w:rFonts w:asciiTheme="majorBidi" w:eastAsiaTheme="majorEastAsia" w:hAnsiTheme="majorBidi" w:cstheme="majorBidi"/>
          <w:b/>
          <w:bCs/>
          <w:sz w:val="22"/>
          <w:szCs w:val="22"/>
          <w:lang w:val="en-GB"/>
        </w:rPr>
      </w:pPr>
    </w:p>
    <w:p w14:paraId="28F6E4C1"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6c. Sources of differences between global and national figures</w:t>
      </w:r>
      <w:r w:rsidRPr="00ED7E61">
        <w:rPr>
          <w:rStyle w:val="eop"/>
          <w:rFonts w:asciiTheme="majorBidi" w:eastAsiaTheme="majorEastAsia" w:hAnsiTheme="majorBidi" w:cstheme="majorBidi"/>
          <w:b/>
          <w:bCs/>
          <w:sz w:val="22"/>
          <w:szCs w:val="22"/>
        </w:rPr>
        <w:t> </w:t>
      </w:r>
    </w:p>
    <w:p w14:paraId="22B28EF1" w14:textId="77777777" w:rsidR="003D6BBD"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 xml:space="preserve">The </w:t>
      </w:r>
      <w:r w:rsidRPr="00B3383B">
        <w:t>procedure</w:t>
      </w:r>
      <w:r w:rsidRPr="00ED7E61">
        <w:rPr>
          <w:rStyle w:val="normaltextrun"/>
          <w:rFonts w:asciiTheme="majorBidi" w:eastAsiaTheme="majorEastAsia" w:hAnsiTheme="majorBidi" w:cstheme="majorBidi"/>
          <w:color w:val="000000"/>
          <w:lang w:val="en-AU"/>
        </w:rPr>
        <w:t xml:space="preserve"> for applying the Red List of Ecosystems framework is the same across national to global scales. The outcomes may vary between national and global levels where:</w:t>
      </w:r>
      <w:r w:rsidRPr="00ED7E61">
        <w:rPr>
          <w:rStyle w:val="normaltextrun"/>
          <w:lang w:val="en-AU"/>
        </w:rPr>
        <w:t> </w:t>
      </w:r>
    </w:p>
    <w:p w14:paraId="37226A53" w14:textId="1E21E449" w:rsidR="003D6BBD" w:rsidRPr="00ED7E61" w:rsidRDefault="003D6BBD" w:rsidP="00B10F0C">
      <w:pPr>
        <w:pStyle w:val="CBDNormalNumber"/>
        <w:numPr>
          <w:ilvl w:val="0"/>
          <w:numId w:val="42"/>
        </w:numPr>
        <w:tabs>
          <w:tab w:val="clear" w:pos="567"/>
          <w:tab w:val="clear" w:pos="1134"/>
          <w:tab w:val="clear" w:pos="2268"/>
          <w:tab w:val="left" w:pos="1985"/>
        </w:tabs>
        <w:ind w:left="567" w:firstLine="531"/>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National assessments have more detailed ecosystem units than global assessments; for example, a comparison of ecosystem classifications in South Africa found that more ecosystems were listed as threatened when using more finely defined units (Payet et al. 2013)</w:t>
      </w:r>
      <w:r w:rsidR="000504CE">
        <w:rPr>
          <w:rStyle w:val="normaltextrun"/>
          <w:lang w:val="en-AU"/>
        </w:rPr>
        <w:t>;</w:t>
      </w:r>
    </w:p>
    <w:p w14:paraId="3E55C386" w14:textId="41F92022" w:rsidR="003D6BBD" w:rsidRPr="00ED7E61" w:rsidRDefault="003D6BBD" w:rsidP="00B10F0C">
      <w:pPr>
        <w:pStyle w:val="CBDNormalNumber"/>
        <w:numPr>
          <w:ilvl w:val="0"/>
          <w:numId w:val="42"/>
        </w:numPr>
        <w:tabs>
          <w:tab w:val="clear" w:pos="567"/>
          <w:tab w:val="clear" w:pos="1134"/>
          <w:tab w:val="clear" w:pos="2268"/>
          <w:tab w:val="left" w:pos="1985"/>
        </w:tabs>
        <w:ind w:left="567" w:firstLine="531"/>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Ecosystems extend beyond national boundary, particularly for smaller countries. This can also be dealt with to some degree by aligning and aggregating similar ecosystems with the Global Ecosystem Typology, and considering how this issue is addressed in species red listing (e.g. national assessment guidelines that account for rescue effects)</w:t>
      </w:r>
      <w:r w:rsidR="000504CE">
        <w:rPr>
          <w:rStyle w:val="normaltextrun"/>
          <w:lang w:val="en-AU"/>
        </w:rPr>
        <w:t>;</w:t>
      </w:r>
    </w:p>
    <w:p w14:paraId="7B3ACF8E" w14:textId="0D52895A" w:rsidR="003D6BBD" w:rsidRPr="00ED7E61" w:rsidRDefault="003D6BBD" w:rsidP="00B10F0C">
      <w:pPr>
        <w:pStyle w:val="CBDNormalNumber"/>
        <w:numPr>
          <w:ilvl w:val="0"/>
          <w:numId w:val="42"/>
        </w:numPr>
        <w:tabs>
          <w:tab w:val="clear" w:pos="567"/>
          <w:tab w:val="clear" w:pos="1134"/>
          <w:tab w:val="clear" w:pos="2268"/>
          <w:tab w:val="left" w:pos="1985"/>
        </w:tabs>
        <w:ind w:left="567" w:firstLine="531"/>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There are inconsistencies among nations in data and indicators used in assessments, and in the criteria assessed. These inconsistencies may be resolved by learning from experiences in economics where the methods have been developed to account for ways in which national accounts, GDP and other economic indicators vary per country.</w:t>
      </w:r>
    </w:p>
    <w:p w14:paraId="2AE340A6" w14:textId="77777777" w:rsidR="003D6BBD" w:rsidRPr="00ED7E61" w:rsidRDefault="003D6BBD" w:rsidP="005B0D1E">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6d. Regional and global estimates &amp; data collection for global monitoring</w:t>
      </w:r>
      <w:r w:rsidRPr="00ED7E61">
        <w:rPr>
          <w:rStyle w:val="eop"/>
          <w:rFonts w:asciiTheme="majorBidi" w:eastAsiaTheme="majorEastAsia" w:hAnsiTheme="majorBidi" w:cstheme="majorBidi"/>
          <w:b/>
          <w:bCs/>
          <w:sz w:val="22"/>
          <w:szCs w:val="22"/>
        </w:rPr>
        <w:t> </w:t>
      </w:r>
    </w:p>
    <w:p w14:paraId="6B33FA5E" w14:textId="77777777" w:rsidR="003D6BBD" w:rsidRPr="00ED7E61" w:rsidRDefault="003D6BBD"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 Description of the methodology</w:t>
      </w:r>
      <w:r w:rsidRPr="00ED7E61">
        <w:rPr>
          <w:rStyle w:val="eop"/>
          <w:rFonts w:asciiTheme="majorBidi" w:eastAsiaTheme="majorEastAsia" w:hAnsiTheme="majorBidi" w:cstheme="majorBidi"/>
          <w:sz w:val="22"/>
          <w:szCs w:val="22"/>
        </w:rPr>
        <w:t> </w:t>
      </w:r>
    </w:p>
    <w:p w14:paraId="4418CEBA" w14:textId="77777777" w:rsidR="003D6BBD"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 xml:space="preserve">The </w:t>
      </w:r>
      <w:r w:rsidRPr="00B3383B">
        <w:t>methods</w:t>
      </w:r>
      <w:r w:rsidRPr="00ED7E61">
        <w:rPr>
          <w:rStyle w:val="normaltextrun"/>
          <w:rFonts w:asciiTheme="majorBidi" w:eastAsiaTheme="majorEastAsia" w:hAnsiTheme="majorBidi" w:cstheme="majorBidi"/>
          <w:color w:val="000000"/>
          <w:lang w:val="en-AU"/>
        </w:rPr>
        <w:t xml:space="preserve"> of conducting Red List of Ecosystems assessments are well established, and the same across national, regional and global scales. The methods of calculating the RLIe are also the same across national, regional and global scales. At present, indicators at these different scales are calculated based on assessments at the corresponding scales; country values are not yet aggregated to calculate regional or global assessments. Where ecosystem types extend beyond national boundaries, there is the possibility of aggregating data using the IUCN Global Ecosystem Typology – approaches for doing so are currently being trialled. </w:t>
      </w:r>
      <w:r w:rsidRPr="00ED7E61">
        <w:rPr>
          <w:rStyle w:val="normaltextrun"/>
          <w:lang w:val="en-AU"/>
        </w:rPr>
        <w:t> </w:t>
      </w:r>
    </w:p>
    <w:p w14:paraId="06BF82AD" w14:textId="77777777" w:rsidR="003D6BBD" w:rsidRPr="00ED7E61" w:rsidRDefault="003D6BBD" w:rsidP="00B3383B">
      <w:pPr>
        <w:pStyle w:val="paragraph"/>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7C04D6CC"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60B159E7" w14:textId="77777777" w:rsidR="003D6BBD" w:rsidRPr="00ED7E61" w:rsidRDefault="003D6BBD" w:rsidP="00B3383B">
      <w:pPr>
        <w:pStyle w:val="paragraph"/>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6d.3 Description of the mechanism for collecting data from countries</w:t>
      </w:r>
      <w:r w:rsidRPr="00ED7E61">
        <w:rPr>
          <w:rStyle w:val="eop"/>
          <w:rFonts w:asciiTheme="majorBidi" w:eastAsiaTheme="majorEastAsia" w:hAnsiTheme="majorBidi" w:cstheme="majorBidi"/>
          <w:sz w:val="22"/>
          <w:szCs w:val="22"/>
        </w:rPr>
        <w:t> </w:t>
      </w:r>
    </w:p>
    <w:p w14:paraId="0ED2CE42"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46C0D102" w14:textId="603666A1" w:rsidR="003D6BBD" w:rsidRPr="00ED7E61" w:rsidRDefault="003D6BBD" w:rsidP="00B3383B">
      <w:pPr>
        <w:pStyle w:val="paragraph"/>
        <w:spacing w:before="120" w:beforeAutospacing="0" w:after="12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 Other MEAs, processes and organi</w:t>
      </w:r>
      <w:r w:rsidR="000504CE">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ations</w:t>
      </w:r>
      <w:r w:rsidRPr="00ED7E61">
        <w:rPr>
          <w:rStyle w:val="eop"/>
          <w:rFonts w:asciiTheme="majorBidi" w:eastAsiaTheme="majorEastAsia" w:hAnsiTheme="majorBidi" w:cstheme="majorBidi"/>
          <w:b/>
          <w:bCs/>
          <w:sz w:val="22"/>
          <w:szCs w:val="22"/>
        </w:rPr>
        <w:t> </w:t>
      </w:r>
    </w:p>
    <w:p w14:paraId="38A05A76" w14:textId="77777777" w:rsidR="003D6BBD" w:rsidRPr="00ED7E61" w:rsidRDefault="003D6BBD" w:rsidP="00B3383B">
      <w:pPr>
        <w:pStyle w:val="paragraph"/>
        <w:pBdr>
          <w:bottom w:val="single" w:sz="4" w:space="1" w:color="000000"/>
        </w:pBdr>
        <w:spacing w:before="120" w:beforeAutospacing="0" w:after="12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b/>
          <w:bCs/>
          <w:sz w:val="22"/>
          <w:szCs w:val="22"/>
        </w:rPr>
        <w:t> </w:t>
      </w:r>
    </w:p>
    <w:p w14:paraId="7ABB36CF"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5CEAC3D2" w14:textId="77777777" w:rsidR="003D6BBD" w:rsidRPr="00ED7E61" w:rsidRDefault="003D6BBD" w:rsidP="00B3383B">
      <w:pPr>
        <w:pStyle w:val="paragraph"/>
        <w:pBdr>
          <w:bottom w:val="single" w:sz="4" w:space="1" w:color="000000"/>
        </w:pBdr>
        <w:spacing w:before="120" w:beforeAutospacing="0" w:after="12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7b. Biodiversity Indicator Partnership</w:t>
      </w:r>
      <w:r w:rsidRPr="00ED7E61">
        <w:rPr>
          <w:rStyle w:val="eop"/>
          <w:rFonts w:asciiTheme="majorBidi" w:eastAsiaTheme="majorEastAsia" w:hAnsiTheme="majorBidi" w:cstheme="majorBidi"/>
          <w:b/>
          <w:bCs/>
          <w:sz w:val="22"/>
          <w:szCs w:val="22"/>
        </w:rPr>
        <w:t> </w:t>
      </w:r>
    </w:p>
    <w:p w14:paraId="35673E69"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sz w:val="22"/>
          <w:szCs w:val="22"/>
        </w:rPr>
        <w:t xml:space="preserve">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17EDADBC" w14:textId="5830E5D7" w:rsidR="003D6BBD" w:rsidRPr="00ED7E61" w:rsidRDefault="003D6BBD" w:rsidP="00B3383B">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color w:val="0563C1"/>
          <w:sz w:val="22"/>
          <w:szCs w:val="22"/>
          <w:u w:val="single"/>
          <w:lang w:val="en-AU"/>
        </w:rPr>
        <w:t>https://www.bipindicators.net/indicators/red-list-index-of-ecosystems</w:t>
      </w:r>
      <w:r w:rsidRPr="00ED7E61">
        <w:rPr>
          <w:rStyle w:val="normaltextrun"/>
          <w:rFonts w:asciiTheme="majorBidi" w:eastAsiaTheme="majorEastAsia" w:hAnsiTheme="majorBidi" w:cstheme="majorBidi"/>
          <w:sz w:val="22"/>
          <w:szCs w:val="22"/>
          <w:lang w:val="en-AU"/>
        </w:rPr>
        <w:t> </w:t>
      </w:r>
    </w:p>
    <w:p w14:paraId="142ECAD5"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8. Possible Disaggregations</w:t>
      </w:r>
      <w:r w:rsidRPr="00ED7E61">
        <w:rPr>
          <w:rStyle w:val="eop"/>
          <w:rFonts w:asciiTheme="majorBidi" w:eastAsiaTheme="majorEastAsia" w:hAnsiTheme="majorBidi" w:cstheme="majorBidi"/>
          <w:b/>
          <w:bCs/>
          <w:sz w:val="22"/>
          <w:szCs w:val="22"/>
        </w:rPr>
        <w:t> </w:t>
      </w:r>
    </w:p>
    <w:p w14:paraId="6228166F" w14:textId="77777777" w:rsidR="003D6BBD"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 xml:space="preserve">The primary </w:t>
      </w:r>
      <w:r w:rsidRPr="00B3383B">
        <w:t>recommended</w:t>
      </w:r>
      <w:r w:rsidRPr="00ED7E61">
        <w:rPr>
          <w:rStyle w:val="normaltextrun"/>
          <w:rFonts w:asciiTheme="majorBidi" w:eastAsiaTheme="majorEastAsia" w:hAnsiTheme="majorBidi" w:cstheme="majorBidi"/>
          <w:color w:val="000000"/>
          <w:lang w:val="en-AU"/>
        </w:rPr>
        <w:t xml:space="preserve"> disaggregation for the Red List of Ecosystems is:</w:t>
      </w:r>
      <w:r w:rsidRPr="00ED7E61">
        <w:rPr>
          <w:rStyle w:val="normaltextrun"/>
          <w:lang w:val="en-AU"/>
        </w:rPr>
        <w:t> </w:t>
      </w:r>
    </w:p>
    <w:p w14:paraId="36F17DFC" w14:textId="31C213D4" w:rsidR="003D6BBD" w:rsidRPr="00ED7E61" w:rsidRDefault="003D6BBD" w:rsidP="00B3383B">
      <w:pPr>
        <w:pStyle w:val="CBDNormalNumber"/>
        <w:numPr>
          <w:ilvl w:val="0"/>
          <w:numId w:val="0"/>
        </w:numPr>
        <w:tabs>
          <w:tab w:val="clear" w:pos="567"/>
          <w:tab w:val="clear" w:pos="1134"/>
          <w:tab w:val="clear" w:pos="1701"/>
          <w:tab w:val="clear" w:pos="2268"/>
          <w:tab w:val="left" w:pos="1985"/>
        </w:tabs>
        <w:ind w:left="1134"/>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By Ecosystem Functional Group (based on the IUCN Global Ecosystem Typology level 3). Because the Global Ecosystem Typology is hierarchical, results can also be disaggregated to biome, which is a higher level in the hierarchy, and therefore with fewer categories (and thus potentially less informative, but more digestible for non-specialists). </w:t>
      </w:r>
      <w:r w:rsidRPr="00ED7E61">
        <w:rPr>
          <w:rStyle w:val="normaltextrun"/>
          <w:lang w:val="en-AU"/>
        </w:rPr>
        <w:t> </w:t>
      </w:r>
    </w:p>
    <w:p w14:paraId="2FFB9247" w14:textId="77777777" w:rsidR="003D6BBD" w:rsidRPr="00ED7E61" w:rsidRDefault="003D6BBD" w:rsidP="00B10F0C">
      <w:pPr>
        <w:pStyle w:val="CBDNormalNumber"/>
        <w:rPr>
          <w:rStyle w:val="normaltextrun"/>
          <w:rFonts w:eastAsiaTheme="majorEastAsia"/>
          <w:color w:val="000000"/>
          <w:lang w:val="en-AU"/>
        </w:rPr>
      </w:pPr>
      <w:r w:rsidRPr="00B3383B">
        <w:t>Potential</w:t>
      </w:r>
      <w:r w:rsidRPr="00ED7E61">
        <w:rPr>
          <w:rStyle w:val="normaltextrun"/>
          <w:rFonts w:asciiTheme="majorBidi" w:eastAsiaTheme="majorEastAsia" w:hAnsiTheme="majorBidi" w:cstheme="majorBidi"/>
          <w:color w:val="000000"/>
          <w:lang w:val="en-AU"/>
        </w:rPr>
        <w:t xml:space="preserve"> further disaggregations that are informative for this headline indicator include:</w:t>
      </w:r>
      <w:r w:rsidRPr="00ED7E61">
        <w:rPr>
          <w:rStyle w:val="normaltextrun"/>
          <w:lang w:val="en-AU"/>
        </w:rPr>
        <w:t> </w:t>
      </w:r>
    </w:p>
    <w:p w14:paraId="612768C3" w14:textId="5F9BF7CA" w:rsidR="003D6BBD" w:rsidRPr="00ED7E61" w:rsidRDefault="003D6BBD" w:rsidP="00B10F0C">
      <w:pPr>
        <w:pStyle w:val="CBDNormalNumber"/>
        <w:numPr>
          <w:ilvl w:val="0"/>
          <w:numId w:val="43"/>
        </w:numPr>
        <w:tabs>
          <w:tab w:val="clear" w:pos="567"/>
          <w:tab w:val="clear" w:pos="1134"/>
          <w:tab w:val="clear" w:pos="1701"/>
        </w:tabs>
        <w:ind w:left="1134" w:firstLine="531"/>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By Lands of indigenous peoples and local communities or Indigenous Territories, where spatial data are available, for example, intersecting national ecosystem maps with national maps of Indigenous Territories or equivalent</w:t>
      </w:r>
      <w:r w:rsidR="00E66985">
        <w:rPr>
          <w:rStyle w:val="normaltextrun"/>
          <w:lang w:val="en-AU"/>
        </w:rPr>
        <w:t>;</w:t>
      </w:r>
    </w:p>
    <w:p w14:paraId="3FEAD8CE" w14:textId="61713FA2" w:rsidR="003D6BBD" w:rsidRPr="00ED7E61" w:rsidRDefault="003D6BBD" w:rsidP="00B10F0C">
      <w:pPr>
        <w:pStyle w:val="CBDNormalNumber"/>
        <w:numPr>
          <w:ilvl w:val="0"/>
          <w:numId w:val="43"/>
        </w:numPr>
        <w:tabs>
          <w:tab w:val="clear" w:pos="567"/>
          <w:tab w:val="clear" w:pos="1134"/>
          <w:tab w:val="clear" w:pos="1701"/>
        </w:tabs>
        <w:ind w:left="1134" w:firstLine="531"/>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By protected status, by intersecting spatial data on Protected Areas and/or OECMs (see Headline Indicator 3.1)</w:t>
      </w:r>
      <w:r w:rsidR="00E66985">
        <w:rPr>
          <w:rStyle w:val="normaltextrun"/>
          <w:lang w:val="en-AU"/>
        </w:rPr>
        <w:t>;</w:t>
      </w:r>
    </w:p>
    <w:p w14:paraId="5CF1F6BD" w14:textId="4C351168" w:rsidR="008344AF" w:rsidRPr="00ED7E61" w:rsidRDefault="003D6BBD" w:rsidP="00B10F0C">
      <w:pPr>
        <w:pStyle w:val="CBDNormalNumber"/>
        <w:numPr>
          <w:ilvl w:val="0"/>
          <w:numId w:val="43"/>
        </w:numPr>
        <w:tabs>
          <w:tab w:val="clear" w:pos="567"/>
          <w:tab w:val="clear" w:pos="1134"/>
          <w:tab w:val="clear" w:pos="1701"/>
        </w:tabs>
        <w:ind w:left="1134" w:firstLine="531"/>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By threatening process to support reporting on targets or drivers of biodiversity loss, for example:</w:t>
      </w:r>
      <w:r w:rsidRPr="00ED7E61">
        <w:rPr>
          <w:rStyle w:val="normaltextrun"/>
          <w:lang w:val="en-AU"/>
        </w:rPr>
        <w:t> </w:t>
      </w:r>
    </w:p>
    <w:p w14:paraId="77C12842" w14:textId="0187D2A3" w:rsidR="008344AF" w:rsidRPr="00ED7E61" w:rsidRDefault="003D6BBD" w:rsidP="00B3383B">
      <w:pPr>
        <w:pStyle w:val="CBDNormalNumber"/>
        <w:numPr>
          <w:ilvl w:val="0"/>
          <w:numId w:val="0"/>
        </w:numPr>
        <w:tabs>
          <w:tab w:val="clear" w:pos="567"/>
          <w:tab w:val="clear" w:pos="1134"/>
          <w:tab w:val="clear" w:pos="1701"/>
        </w:tabs>
        <w:ind w:left="2268" w:hanging="567"/>
        <w:rPr>
          <w:rFonts w:asciiTheme="majorBidi" w:hAnsiTheme="majorBidi" w:cstheme="majorBidi"/>
        </w:rPr>
      </w:pPr>
      <w:r w:rsidRPr="00ED7E61">
        <w:rPr>
          <w:rStyle w:val="normaltextrun"/>
          <w:rFonts w:asciiTheme="majorBidi" w:eastAsiaTheme="majorEastAsia" w:hAnsiTheme="majorBidi" w:cstheme="majorBidi"/>
          <w:color w:val="000000"/>
          <w:lang w:val="en-AU"/>
        </w:rPr>
        <w:t>Target 8: where climate change is identified as a threat in the Red list of Ecosystems assessment, or using risk status under sub-criterion C2 (projected future change in an ecosystem’s abiotic environment, e.g. warming that leads to increased bleaching in coral reefs, Obura et al. 2021; or changes in temperature and precipitation in forest ecosystems, Ferrer-Paris et al. 2019) </w:t>
      </w:r>
      <w:r w:rsidRPr="00ED7E61">
        <w:rPr>
          <w:rStyle w:val="eop"/>
          <w:rFonts w:asciiTheme="majorBidi" w:eastAsiaTheme="majorEastAsia" w:hAnsiTheme="majorBidi" w:cstheme="majorBidi"/>
          <w:color w:val="000000"/>
        </w:rPr>
        <w:t> </w:t>
      </w:r>
    </w:p>
    <w:p w14:paraId="620448CC" w14:textId="262E46DE" w:rsidR="008344AF" w:rsidRPr="00ED7E61" w:rsidRDefault="003D6BBD" w:rsidP="00B3383B">
      <w:pPr>
        <w:pStyle w:val="CBDNormalNumber"/>
        <w:numPr>
          <w:ilvl w:val="0"/>
          <w:numId w:val="0"/>
        </w:numPr>
        <w:tabs>
          <w:tab w:val="clear" w:pos="567"/>
          <w:tab w:val="clear" w:pos="1134"/>
          <w:tab w:val="clear" w:pos="1701"/>
        </w:tabs>
        <w:ind w:left="2268" w:hanging="567"/>
        <w:rPr>
          <w:rFonts w:asciiTheme="majorBidi" w:hAnsiTheme="majorBidi" w:cstheme="majorBidi"/>
        </w:rPr>
      </w:pPr>
      <w:r w:rsidRPr="00ED7E61">
        <w:rPr>
          <w:rStyle w:val="normaltextrun"/>
          <w:rFonts w:asciiTheme="majorBidi" w:eastAsiaTheme="majorEastAsia" w:hAnsiTheme="majorBidi" w:cstheme="majorBidi"/>
          <w:color w:val="000000"/>
          <w:lang w:val="en-AU"/>
        </w:rPr>
        <w:t>Target 6: ecosystems that are threatened by invasive species</w:t>
      </w:r>
      <w:r w:rsidRPr="00ED7E61">
        <w:rPr>
          <w:rStyle w:val="eop"/>
          <w:rFonts w:asciiTheme="majorBidi" w:eastAsiaTheme="majorEastAsia" w:hAnsiTheme="majorBidi" w:cstheme="majorBidi"/>
          <w:color w:val="000000"/>
        </w:rPr>
        <w:t> </w:t>
      </w:r>
    </w:p>
    <w:p w14:paraId="40A7A76E" w14:textId="0068A31D" w:rsidR="003D6BBD" w:rsidRPr="00E66985" w:rsidRDefault="003D6BBD" w:rsidP="00B3383B">
      <w:pPr>
        <w:pStyle w:val="CBDNormalNumber"/>
        <w:numPr>
          <w:ilvl w:val="0"/>
          <w:numId w:val="0"/>
        </w:numPr>
        <w:tabs>
          <w:tab w:val="clear" w:pos="567"/>
          <w:tab w:val="clear" w:pos="1134"/>
          <w:tab w:val="clear" w:pos="1701"/>
        </w:tabs>
        <w:ind w:left="2268" w:hanging="567"/>
        <w:rPr>
          <w:rStyle w:val="normaltextrun"/>
          <w:rFonts w:asciiTheme="majorBidi" w:eastAsiaTheme="majorEastAsia" w:hAnsiTheme="majorBidi" w:cstheme="majorBidi"/>
          <w:b/>
          <w:bCs/>
        </w:rPr>
      </w:pPr>
      <w:r w:rsidRPr="00ED7E61">
        <w:rPr>
          <w:rStyle w:val="normaltextrun"/>
          <w:rFonts w:asciiTheme="majorBidi" w:eastAsiaTheme="majorEastAsia" w:hAnsiTheme="majorBidi" w:cstheme="majorBidi"/>
          <w:color w:val="000000"/>
          <w:lang w:val="en-AU"/>
        </w:rPr>
        <w:t>Target 7: ecosystems that are threatened by pollution </w:t>
      </w:r>
    </w:p>
    <w:p w14:paraId="7ACEFF60"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b/>
          <w:bCs/>
          <w:sz w:val="22"/>
          <w:szCs w:val="22"/>
        </w:rPr>
        <w:t> </w:t>
      </w:r>
    </w:p>
    <w:p w14:paraId="54C2E6DC" w14:textId="5471837B" w:rsidR="008344AF" w:rsidRPr="00ED7E61" w:rsidRDefault="003D6BBD" w:rsidP="00B10F0C">
      <w:pPr>
        <w:pStyle w:val="CBDNormalNumber"/>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 xml:space="preserve">The </w:t>
      </w:r>
      <w:r w:rsidRPr="00B3383B">
        <w:t>Red</w:t>
      </w:r>
      <w:r w:rsidRPr="00ED7E61">
        <w:rPr>
          <w:rStyle w:val="normaltextrun"/>
          <w:rFonts w:asciiTheme="majorBidi" w:eastAsiaTheme="majorEastAsia" w:hAnsiTheme="majorBidi" w:cstheme="majorBidi"/>
          <w:color w:val="000000"/>
          <w:lang w:val="en-AU"/>
        </w:rPr>
        <w:t xml:space="preserve"> List of Ecosystems and RLIe complements three other headline indicators:</w:t>
      </w:r>
      <w:r w:rsidRPr="00ED7E61">
        <w:rPr>
          <w:rStyle w:val="normaltextrun"/>
          <w:lang w:val="en-AU"/>
        </w:rPr>
        <w:t> </w:t>
      </w:r>
    </w:p>
    <w:p w14:paraId="2B75E737" w14:textId="35B24B62" w:rsidR="008344AF" w:rsidRPr="00ED7E61" w:rsidRDefault="003D6BBD" w:rsidP="00B3383B">
      <w:pPr>
        <w:pStyle w:val="CBDNormalNumber"/>
        <w:numPr>
          <w:ilvl w:val="0"/>
          <w:numId w:val="0"/>
        </w:numPr>
        <w:tabs>
          <w:tab w:val="clear" w:pos="2268"/>
        </w:tabs>
        <w:ind w:left="1134"/>
        <w:rPr>
          <w:rFonts w:asciiTheme="majorBidi" w:hAnsiTheme="majorBidi" w:cstheme="majorBidi"/>
        </w:rPr>
      </w:pPr>
      <w:r w:rsidRPr="00ED7E61">
        <w:rPr>
          <w:rStyle w:val="normaltextrun"/>
          <w:rFonts w:asciiTheme="majorBidi" w:eastAsiaTheme="majorEastAsia" w:hAnsiTheme="majorBidi" w:cstheme="majorBidi"/>
          <w:color w:val="000000"/>
          <w:lang w:val="en-AU"/>
        </w:rPr>
        <w:t xml:space="preserve">Indicator A.2 </w:t>
      </w:r>
      <w:r w:rsidRPr="00ED7E61">
        <w:rPr>
          <w:rStyle w:val="normaltextrun"/>
          <w:rFonts w:asciiTheme="majorBidi" w:eastAsiaTheme="majorEastAsia" w:hAnsiTheme="majorBidi" w:cstheme="majorBidi"/>
          <w:i/>
          <w:iCs/>
          <w:color w:val="000000"/>
          <w:lang w:val="en-AU"/>
        </w:rPr>
        <w:t>extent of natural ecosystems</w:t>
      </w:r>
      <w:r w:rsidRPr="00ED7E61">
        <w:rPr>
          <w:rStyle w:val="normaltextrun"/>
          <w:rFonts w:asciiTheme="majorBidi" w:eastAsiaTheme="majorEastAsia" w:hAnsiTheme="majorBidi" w:cstheme="majorBidi"/>
          <w:color w:val="000000"/>
          <w:lang w:val="en-AU"/>
        </w:rPr>
        <w:t>, based on the System of Environmental Economic Accounting (SEEA) ecosystem extent accounts at national levels and global datasets at global levels, provides information about the relative abundance of different natural and semi-natural ecosystem types; in contrast the Red List of Ecosystems provides information about the risk of collapse of these ecosystems. Note that change in extent is an input variable to Criterion A of the Red List of Ecosystems, and may share many of the same data sources. </w:t>
      </w:r>
      <w:r w:rsidRPr="00ED7E61">
        <w:rPr>
          <w:rStyle w:val="eop"/>
          <w:rFonts w:asciiTheme="majorBidi" w:eastAsiaTheme="majorEastAsia" w:hAnsiTheme="majorBidi" w:cstheme="majorBidi"/>
          <w:color w:val="000000"/>
        </w:rPr>
        <w:t> </w:t>
      </w:r>
    </w:p>
    <w:p w14:paraId="210CA891" w14:textId="5BCACF06" w:rsidR="008344AF" w:rsidRPr="00ED7E61" w:rsidRDefault="003D6BBD" w:rsidP="00B3383B">
      <w:pPr>
        <w:pStyle w:val="CBDNormalNumber"/>
        <w:numPr>
          <w:ilvl w:val="0"/>
          <w:numId w:val="0"/>
        </w:numPr>
        <w:tabs>
          <w:tab w:val="clear" w:pos="2268"/>
        </w:tabs>
        <w:ind w:left="1134"/>
        <w:rPr>
          <w:rFonts w:asciiTheme="majorBidi" w:hAnsiTheme="majorBidi" w:cstheme="majorBidi"/>
        </w:rPr>
      </w:pPr>
      <w:r w:rsidRPr="00ED7E61">
        <w:rPr>
          <w:rStyle w:val="normaltextrun"/>
          <w:rFonts w:asciiTheme="majorBidi" w:eastAsiaTheme="majorEastAsia" w:hAnsiTheme="majorBidi" w:cstheme="majorBidi"/>
          <w:color w:val="000000"/>
          <w:lang w:val="en-AU"/>
        </w:rPr>
        <w:t xml:space="preserve">Indicator A.3 </w:t>
      </w:r>
      <w:r w:rsidRPr="00ED7E61">
        <w:rPr>
          <w:rStyle w:val="normaltextrun"/>
          <w:rFonts w:asciiTheme="majorBidi" w:eastAsiaTheme="majorEastAsia" w:hAnsiTheme="majorBidi" w:cstheme="majorBidi"/>
          <w:i/>
          <w:iCs/>
          <w:color w:val="000000"/>
          <w:lang w:val="en-AU"/>
        </w:rPr>
        <w:t>Red List Index</w:t>
      </w:r>
      <w:r w:rsidRPr="00ED7E61">
        <w:rPr>
          <w:rStyle w:val="normaltextrun"/>
          <w:rFonts w:asciiTheme="majorBidi" w:eastAsiaTheme="majorEastAsia" w:hAnsiTheme="majorBidi" w:cstheme="majorBidi"/>
          <w:color w:val="000000"/>
          <w:lang w:val="en-AU"/>
        </w:rPr>
        <w:t>, based on data from the IUCN Red List of Threatened Species, addresses species extinction risk; the Red List of Ecosystems focusses</w:t>
      </w:r>
      <w:r w:rsidRPr="00ED7E61">
        <w:rPr>
          <w:rStyle w:val="normaltextrun"/>
          <w:rFonts w:asciiTheme="majorBidi" w:eastAsiaTheme="majorEastAsia" w:hAnsiTheme="majorBidi" w:cstheme="majorBidi"/>
          <w:color w:val="000000"/>
          <w:lang w:val="en-US"/>
        </w:rPr>
        <w:t xml:space="preserve"> on a different level of biodiversity, deepening understanding of biodiversity loss and priorities for action to reverse it.</w:t>
      </w:r>
      <w:r w:rsidRPr="00ED7E61">
        <w:rPr>
          <w:rStyle w:val="eop"/>
          <w:rFonts w:asciiTheme="majorBidi" w:eastAsiaTheme="majorEastAsia" w:hAnsiTheme="majorBidi" w:cstheme="majorBidi"/>
          <w:color w:val="000000"/>
        </w:rPr>
        <w:t> </w:t>
      </w:r>
    </w:p>
    <w:p w14:paraId="551FBED0" w14:textId="4DF098CF" w:rsidR="003D6BBD" w:rsidRPr="00ED7E61" w:rsidRDefault="003D6BBD" w:rsidP="00B3383B">
      <w:pPr>
        <w:pStyle w:val="CBDNormalNumber"/>
        <w:numPr>
          <w:ilvl w:val="0"/>
          <w:numId w:val="0"/>
        </w:numPr>
        <w:tabs>
          <w:tab w:val="clear" w:pos="2268"/>
        </w:tabs>
        <w:ind w:left="1134"/>
        <w:rPr>
          <w:rFonts w:asciiTheme="majorBidi" w:hAnsiTheme="majorBidi" w:cstheme="majorBidi"/>
        </w:rPr>
      </w:pPr>
      <w:r w:rsidRPr="00ED7E61">
        <w:rPr>
          <w:rStyle w:val="normaltextrun"/>
          <w:rFonts w:asciiTheme="majorBidi" w:eastAsiaTheme="majorEastAsia" w:hAnsiTheme="majorBidi" w:cstheme="majorBidi"/>
          <w:color w:val="000000"/>
          <w:lang w:val="en-US"/>
        </w:rPr>
        <w:t xml:space="preserve">Indicator B.1 </w:t>
      </w:r>
      <w:r w:rsidRPr="00ED7E61">
        <w:rPr>
          <w:rStyle w:val="normaltextrun"/>
          <w:rFonts w:asciiTheme="majorBidi" w:eastAsiaTheme="majorEastAsia" w:hAnsiTheme="majorBidi" w:cstheme="majorBidi"/>
          <w:i/>
          <w:iCs/>
          <w:color w:val="000000"/>
          <w:lang w:val="en-US"/>
        </w:rPr>
        <w:t>services provided by ecosystems,</w:t>
      </w:r>
      <w:r w:rsidRPr="00ED7E61">
        <w:rPr>
          <w:rStyle w:val="normaltextrun"/>
          <w:rFonts w:asciiTheme="majorBidi" w:eastAsiaTheme="majorEastAsia" w:hAnsiTheme="majorBidi" w:cstheme="majorBidi"/>
          <w:color w:val="000000"/>
          <w:lang w:val="en-US"/>
        </w:rPr>
        <w:t xml:space="preserve"> </w:t>
      </w:r>
      <w:r w:rsidRPr="00ED7E61">
        <w:rPr>
          <w:rStyle w:val="normaltextrun"/>
          <w:rFonts w:asciiTheme="majorBidi" w:eastAsiaTheme="majorEastAsia" w:hAnsiTheme="majorBidi" w:cstheme="majorBidi"/>
          <w:color w:val="000000"/>
          <w:lang w:val="en-AU"/>
        </w:rPr>
        <w:t>based on SEEA ecosystem services accounts at national levels and global datasets at global levels, provides information on how changing ecosystem extent and condition affects ecosystem services, people and the economy; whereas the Red List of Ecosystems assesses impacts of ecosystem change on risks to ecosystem-level biodiversity, and emphasises a risk-reduction strategies for ecosystem management.</w:t>
      </w:r>
      <w:r w:rsidRPr="00ED7E61">
        <w:rPr>
          <w:rStyle w:val="eop"/>
          <w:rFonts w:asciiTheme="majorBidi" w:eastAsiaTheme="majorEastAsia" w:hAnsiTheme="majorBidi" w:cstheme="majorBidi"/>
          <w:color w:val="000000"/>
        </w:rPr>
        <w:t> </w:t>
      </w:r>
    </w:p>
    <w:p w14:paraId="3DE80D33" w14:textId="58E08F31" w:rsidR="003D6BBD" w:rsidRPr="00ED7E61" w:rsidRDefault="003D6BBD" w:rsidP="00B10F0C">
      <w:pPr>
        <w:pStyle w:val="CBDNormalNumber"/>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Many of the complementary and component indicators for Goal A, such as Live Coral Cover, trends in mangrove forest fragmentation, and Forest Landscape Integrity Index, can provide input data for Red List of Ecosystems assessments (eg Obura et al</w:t>
      </w:r>
      <w:r w:rsidR="00FF0D09">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2022, Murray et al. 2020).</w:t>
      </w:r>
      <w:r w:rsidRPr="00ED7E61">
        <w:rPr>
          <w:rStyle w:val="normaltextrun"/>
          <w:lang w:val="en-AU"/>
        </w:rPr>
        <w:t> </w:t>
      </w:r>
    </w:p>
    <w:p w14:paraId="0A4F3CFD" w14:textId="7FCA4D04" w:rsidR="003D6BBD" w:rsidRPr="00ED7E61" w:rsidRDefault="003D6BBD" w:rsidP="00B10F0C">
      <w:pPr>
        <w:pStyle w:val="CBDNormalNumber"/>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Red </w:t>
      </w:r>
      <w:r w:rsidRPr="00B3383B">
        <w:t>List</w:t>
      </w:r>
      <w:r w:rsidRPr="00ED7E61">
        <w:rPr>
          <w:rStyle w:val="normaltextrun"/>
          <w:rFonts w:asciiTheme="majorBidi" w:eastAsiaTheme="majorEastAsia" w:hAnsiTheme="majorBidi" w:cstheme="majorBidi"/>
          <w:color w:val="000000"/>
          <w:lang w:val="en-AU"/>
        </w:rPr>
        <w:t xml:space="preserve"> of Ecosystems assessments can also support production of other indices, including: the Ecosystem Area Index, which aggregates data on change in ecosystem extent (criterion A); and the Ecosystem Health Index, which summarises data on changes in ecosystem integrity (Criteria C and/or D, based on ecosystem-specific indicators (see Rowland et al</w:t>
      </w:r>
      <w:r w:rsidR="00FF0D09">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2020).</w:t>
      </w:r>
      <w:r w:rsidRPr="00ED7E61">
        <w:rPr>
          <w:rStyle w:val="normaltextrun"/>
          <w:lang w:val="en-AU"/>
        </w:rPr>
        <w:t> </w:t>
      </w:r>
    </w:p>
    <w:p w14:paraId="5DAA717A" w14:textId="4946396B" w:rsidR="003D6BBD" w:rsidRPr="00ED7E61" w:rsidRDefault="003D6BBD" w:rsidP="00B3383B">
      <w:pPr>
        <w:pStyle w:val="paragraph"/>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 Data reporter</w:t>
      </w:r>
    </w:p>
    <w:p w14:paraId="6ED03FA4" w14:textId="645FAFDF"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10a. Organi</w:t>
      </w:r>
      <w:r w:rsidR="00E66985">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w:t>
      </w:r>
    </w:p>
    <w:p w14:paraId="46266D1D" w14:textId="77777777" w:rsidR="003D6BBD" w:rsidRPr="00ED7E61" w:rsidRDefault="003D6BBD" w:rsidP="00B3383B">
      <w:pPr>
        <w:pStyle w:val="CBDNormalNumber"/>
        <w:numPr>
          <w:ilvl w:val="0"/>
          <w:numId w:val="0"/>
        </w:numPr>
        <w:ind w:left="567"/>
        <w:rPr>
          <w:rStyle w:val="normaltextrun"/>
          <w:rFonts w:eastAsiaTheme="majorEastAsia"/>
          <w:color w:val="000000"/>
          <w:sz w:val="24"/>
          <w:szCs w:val="24"/>
          <w:lang w:val="en-AU"/>
        </w:rPr>
      </w:pPr>
      <w:r w:rsidRPr="00B3383B">
        <w:t>International</w:t>
      </w:r>
      <w:r w:rsidRPr="00ED7E61">
        <w:rPr>
          <w:rStyle w:val="normaltextrun"/>
          <w:rFonts w:asciiTheme="majorBidi" w:eastAsiaTheme="majorEastAsia" w:hAnsiTheme="majorBidi" w:cstheme="majorBidi"/>
          <w:color w:val="000000"/>
          <w:lang w:val="en-AU"/>
        </w:rPr>
        <w:t xml:space="preserve"> Union for Conservation of Nature (IUCN) </w:t>
      </w:r>
      <w:r w:rsidRPr="00ED7E61">
        <w:rPr>
          <w:rStyle w:val="normaltextrun"/>
          <w:lang w:val="en-AU"/>
        </w:rPr>
        <w:t> </w:t>
      </w:r>
    </w:p>
    <w:p w14:paraId="4B34D929"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B3383B">
        <w:t>Commission</w:t>
      </w:r>
      <w:r w:rsidRPr="00ED7E61">
        <w:rPr>
          <w:rStyle w:val="normaltextrun"/>
          <w:rFonts w:asciiTheme="majorBidi" w:eastAsiaTheme="majorEastAsia" w:hAnsiTheme="majorBidi" w:cstheme="majorBidi"/>
          <w:color w:val="000000"/>
          <w:lang w:val="en-AU"/>
        </w:rPr>
        <w:t xml:space="preserve"> on Ecosystem Management (CEM)</w:t>
      </w:r>
      <w:r w:rsidRPr="00ED7E61">
        <w:rPr>
          <w:rStyle w:val="normaltextrun"/>
          <w:lang w:val="en-AU"/>
        </w:rPr>
        <w:t> </w:t>
      </w:r>
    </w:p>
    <w:p w14:paraId="457BDBC0"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b/>
          <w:bCs/>
          <w:sz w:val="22"/>
          <w:szCs w:val="22"/>
        </w:rPr>
        <w:t> </w:t>
      </w:r>
    </w:p>
    <w:p w14:paraId="3BAA3722" w14:textId="77777777" w:rsidR="003D6BBD" w:rsidRPr="00ED7E61" w:rsidRDefault="003D6BBD" w:rsidP="00B3383B">
      <w:pPr>
        <w:pStyle w:val="CBDNormalNumber"/>
        <w:numPr>
          <w:ilvl w:val="0"/>
          <w:numId w:val="0"/>
        </w:numPr>
        <w:ind w:left="567"/>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This meta-data sheet was prepared by Emily Nicholson (University of Melbourne, Australia; AHTEG), with contributions from: Brett Painter (Environment and Climate Change Canada, AHTEG), Jess Rowland (Monash University, Australia), Arild Lindgaard (Norwegian government); Tytti Kontula and Anne Raunio (SYKE, Finland); Mandy Driver (independent consultant, South Africa) Andrew Skowno (SANBI, South Africa), Jose Ferrer-Paris (University of NSW, Australia), David Keith (University of NSW, Australia), Marcos Valderrabano (IUCN), Tom Brooks (IUCN), David Obura (CORDIO East Africa), Mishal Gudka (University of Melbourne, CORDIO East Africa), Julianna Santos (University of Melbourne) and the Ad Hoc Technical Expert Group (AHTEG).</w:t>
      </w:r>
      <w:r w:rsidRPr="00ED7E61">
        <w:rPr>
          <w:rStyle w:val="normaltextrun"/>
          <w:lang w:val="en-AU"/>
        </w:rPr>
        <w:t> </w:t>
      </w:r>
    </w:p>
    <w:p w14:paraId="0C11D9CA"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Emily </w:t>
      </w:r>
      <w:r w:rsidRPr="00B3383B">
        <w:t>Nicholson</w:t>
      </w:r>
      <w:r w:rsidRPr="00ED7E61">
        <w:rPr>
          <w:rStyle w:val="normaltextrun"/>
          <w:rFonts w:asciiTheme="majorBidi" w:eastAsiaTheme="majorEastAsia" w:hAnsiTheme="majorBidi" w:cstheme="majorBidi"/>
          <w:color w:val="000000"/>
          <w:lang w:val="en-AU"/>
        </w:rPr>
        <w:t xml:space="preserve"> (emily.nicholson@unimelb.edu.au)</w:t>
      </w:r>
      <w:r w:rsidRPr="00ED7E61">
        <w:rPr>
          <w:rStyle w:val="normaltextrun"/>
          <w:lang w:val="en-AU"/>
        </w:rPr>
        <w:t> </w:t>
      </w:r>
    </w:p>
    <w:p w14:paraId="23DCC3F8" w14:textId="77777777" w:rsidR="003D6BBD" w:rsidRPr="00ED7E61" w:rsidRDefault="003D6BBD" w:rsidP="00B3383B">
      <w:pPr>
        <w:pStyle w:val="CBDNormalNumber"/>
        <w:numPr>
          <w:ilvl w:val="0"/>
          <w:numId w:val="0"/>
        </w:numPr>
        <w:ind w:left="567"/>
        <w:rPr>
          <w:rStyle w:val="normaltextrun"/>
          <w:rFonts w:eastAsiaTheme="majorEastAsia"/>
          <w:color w:val="000000"/>
          <w:lang w:val="es-ES"/>
        </w:rPr>
      </w:pPr>
      <w:r w:rsidRPr="00B3383B">
        <w:t>Marcos</w:t>
      </w:r>
      <w:r w:rsidRPr="00ED7E61">
        <w:rPr>
          <w:rStyle w:val="normaltextrun"/>
          <w:rFonts w:asciiTheme="majorBidi" w:eastAsiaTheme="majorEastAsia" w:hAnsiTheme="majorBidi" w:cstheme="majorBidi"/>
          <w:color w:val="000000"/>
          <w:lang w:val="es-ES"/>
        </w:rPr>
        <w:t xml:space="preserve"> Valderrabano (marcos.valderrabano@iucn.org) </w:t>
      </w:r>
      <w:r w:rsidRPr="00ED7E61">
        <w:rPr>
          <w:rStyle w:val="normaltextrun"/>
          <w:lang w:val="es-ES"/>
        </w:rPr>
        <w:t> </w:t>
      </w:r>
    </w:p>
    <w:p w14:paraId="6756D3AA" w14:textId="77777777" w:rsidR="003D6BBD" w:rsidRPr="00ED7E61" w:rsidRDefault="003D6BBD" w:rsidP="003D6BBD">
      <w:pPr>
        <w:pStyle w:val="paragraph"/>
        <w:pBdr>
          <w:bottom w:val="single" w:sz="4" w:space="1" w:color="000000"/>
        </w:pBdr>
        <w:spacing w:before="0" w:beforeAutospacing="0" w:after="0" w:afterAutospacing="0"/>
        <w:textAlignment w:val="baseline"/>
        <w:rPr>
          <w:rStyle w:val="normaltextrun"/>
          <w:rFonts w:asciiTheme="majorBidi" w:eastAsiaTheme="majorEastAsia" w:hAnsiTheme="majorBidi" w:cstheme="majorBidi"/>
          <w:b/>
          <w:bCs/>
          <w:sz w:val="22"/>
          <w:szCs w:val="22"/>
          <w:lang w:val="es-CO"/>
        </w:rPr>
      </w:pPr>
    </w:p>
    <w:p w14:paraId="0903010B"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lang w:val="es-ES"/>
        </w:rPr>
      </w:pPr>
      <w:r w:rsidRPr="00ED7E61">
        <w:rPr>
          <w:rStyle w:val="normaltextrun"/>
          <w:rFonts w:asciiTheme="majorBidi" w:eastAsiaTheme="majorEastAsia" w:hAnsiTheme="majorBidi" w:cstheme="majorBidi"/>
          <w:b/>
          <w:bCs/>
          <w:sz w:val="22"/>
          <w:szCs w:val="22"/>
          <w:lang w:val="es-CO"/>
        </w:rPr>
        <w:t>11. References</w:t>
      </w:r>
      <w:r w:rsidRPr="00ED7E61">
        <w:rPr>
          <w:rStyle w:val="eop"/>
          <w:rFonts w:asciiTheme="majorBidi" w:eastAsiaTheme="majorEastAsia" w:hAnsiTheme="majorBidi" w:cstheme="majorBidi"/>
          <w:b/>
          <w:bCs/>
          <w:sz w:val="22"/>
          <w:szCs w:val="22"/>
          <w:lang w:val="es-ES"/>
        </w:rPr>
        <w:t> </w:t>
      </w:r>
    </w:p>
    <w:p w14:paraId="534BC622" w14:textId="77777777" w:rsidR="003D6BBD" w:rsidRPr="00ED7E61" w:rsidRDefault="003D6BBD" w:rsidP="00B3383B">
      <w:pPr>
        <w:pStyle w:val="paragraph"/>
        <w:spacing w:before="120" w:beforeAutospacing="0" w:after="120" w:afterAutospacing="0"/>
        <w:textAlignment w:val="baseline"/>
        <w:rPr>
          <w:rFonts w:asciiTheme="majorBidi" w:hAnsiTheme="majorBidi" w:cstheme="majorBidi"/>
          <w:sz w:val="22"/>
          <w:szCs w:val="22"/>
          <w:lang w:val="es-ES"/>
        </w:rPr>
      </w:pPr>
      <w:r w:rsidRPr="00ED7E61">
        <w:rPr>
          <w:rStyle w:val="normaltextrun"/>
          <w:rFonts w:asciiTheme="majorBidi" w:eastAsiaTheme="majorEastAsia" w:hAnsiTheme="majorBidi" w:cstheme="majorBidi"/>
          <w:b/>
          <w:bCs/>
          <w:color w:val="000000"/>
          <w:sz w:val="22"/>
          <w:szCs w:val="22"/>
          <w:lang w:val="es-CO"/>
        </w:rPr>
        <w:t>Website</w:t>
      </w:r>
      <w:r w:rsidRPr="00ED7E61">
        <w:rPr>
          <w:rStyle w:val="eop"/>
          <w:rFonts w:asciiTheme="majorBidi" w:eastAsiaTheme="majorEastAsia" w:hAnsiTheme="majorBidi" w:cstheme="majorBidi"/>
          <w:color w:val="000000"/>
          <w:sz w:val="22"/>
          <w:szCs w:val="22"/>
          <w:lang w:val="es-ES"/>
        </w:rPr>
        <w:t> </w:t>
      </w:r>
    </w:p>
    <w:p w14:paraId="2AC19A07" w14:textId="0CF2769E" w:rsidR="003D6BBD" w:rsidRPr="00ED7E61" w:rsidRDefault="003D6BBD" w:rsidP="003D6BBD">
      <w:pPr>
        <w:pStyle w:val="paragraph"/>
        <w:spacing w:before="0" w:beforeAutospacing="0" w:after="0" w:afterAutospacing="0"/>
        <w:textAlignment w:val="baseline"/>
        <w:rPr>
          <w:rStyle w:val="normaltextrun"/>
          <w:rFonts w:asciiTheme="majorBidi" w:eastAsiaTheme="majorEastAsia" w:hAnsiTheme="majorBidi" w:cstheme="majorBidi"/>
          <w:b/>
          <w:bCs/>
          <w:color w:val="000000"/>
          <w:sz w:val="22"/>
          <w:szCs w:val="22"/>
          <w:lang w:val="es-CO"/>
        </w:rPr>
      </w:pPr>
      <w:r w:rsidRPr="00ED7E61">
        <w:rPr>
          <w:rStyle w:val="normaltextrun"/>
          <w:rFonts w:asciiTheme="majorBidi" w:eastAsiaTheme="majorEastAsia" w:hAnsiTheme="majorBidi" w:cstheme="majorBidi"/>
          <w:color w:val="467886"/>
          <w:sz w:val="22"/>
          <w:szCs w:val="22"/>
          <w:u w:val="single"/>
          <w:lang w:val="es-CO"/>
        </w:rPr>
        <w:t>https://iucnrle.org/</w:t>
      </w:r>
      <w:r w:rsidRPr="00ED7E61">
        <w:rPr>
          <w:rStyle w:val="normaltextrun"/>
          <w:rFonts w:asciiTheme="majorBidi" w:eastAsiaTheme="majorEastAsia" w:hAnsiTheme="majorBidi" w:cstheme="majorBidi"/>
          <w:color w:val="000000"/>
          <w:sz w:val="22"/>
          <w:szCs w:val="22"/>
          <w:lang w:val="es-CO"/>
        </w:rPr>
        <w:t xml:space="preserve"> </w:t>
      </w:r>
      <w:r w:rsidRPr="00ED7E61">
        <w:rPr>
          <w:rStyle w:val="normaltextrun"/>
          <w:rFonts w:asciiTheme="majorBidi" w:eastAsiaTheme="majorEastAsia" w:hAnsiTheme="majorBidi" w:cstheme="majorBidi"/>
          <w:color w:val="467886"/>
          <w:sz w:val="22"/>
          <w:szCs w:val="22"/>
          <w:u w:val="single"/>
          <w:lang w:val="es-CO"/>
        </w:rPr>
        <w:t>https://assessments.iucnrle.org/</w:t>
      </w:r>
      <w:r w:rsidRPr="00ED7E61">
        <w:rPr>
          <w:rStyle w:val="normaltextrun"/>
          <w:rFonts w:asciiTheme="majorBidi" w:eastAsiaTheme="majorEastAsia" w:hAnsiTheme="majorBidi" w:cstheme="majorBidi"/>
          <w:color w:val="000000"/>
          <w:sz w:val="22"/>
          <w:szCs w:val="22"/>
          <w:lang w:val="es-CO"/>
        </w:rPr>
        <w:t xml:space="preserve"> ; </w:t>
      </w:r>
      <w:r w:rsidRPr="00ED7E61">
        <w:rPr>
          <w:rStyle w:val="normaltextrun"/>
          <w:rFonts w:asciiTheme="majorBidi" w:eastAsiaTheme="majorEastAsia" w:hAnsiTheme="majorBidi" w:cstheme="majorBidi"/>
          <w:color w:val="467886"/>
          <w:sz w:val="22"/>
          <w:szCs w:val="22"/>
          <w:u w:val="single"/>
          <w:lang w:val="es-CO"/>
        </w:rPr>
        <w:t>https://global-ecosystems.org/</w:t>
      </w:r>
      <w:r w:rsidRPr="00ED7E61">
        <w:rPr>
          <w:rStyle w:val="normaltextrun"/>
          <w:rFonts w:asciiTheme="majorBidi" w:eastAsiaTheme="majorEastAsia" w:hAnsiTheme="majorBidi" w:cstheme="majorBidi"/>
          <w:color w:val="000000"/>
          <w:sz w:val="22"/>
          <w:szCs w:val="22"/>
          <w:lang w:val="es-CO"/>
        </w:rPr>
        <w:t> </w:t>
      </w:r>
      <w:r w:rsidRPr="00ED7E61">
        <w:rPr>
          <w:rStyle w:val="eop"/>
          <w:rFonts w:asciiTheme="majorBidi" w:eastAsiaTheme="majorEastAsia" w:hAnsiTheme="majorBidi" w:cstheme="majorBidi"/>
          <w:color w:val="000000"/>
          <w:sz w:val="22"/>
          <w:szCs w:val="22"/>
          <w:lang w:val="es-ES"/>
        </w:rPr>
        <w:t> </w:t>
      </w:r>
    </w:p>
    <w:p w14:paraId="603ECE57" w14:textId="77777777" w:rsidR="003D6BBD" w:rsidRPr="000A273E" w:rsidRDefault="003D6BBD" w:rsidP="00B3383B">
      <w:pPr>
        <w:pStyle w:val="paragraph"/>
        <w:spacing w:before="120" w:beforeAutospacing="0" w:after="0" w:afterAutospacing="0"/>
        <w:textAlignment w:val="baseline"/>
        <w:rPr>
          <w:rFonts w:asciiTheme="majorBidi" w:hAnsiTheme="majorBidi" w:cstheme="majorBidi"/>
          <w:sz w:val="22"/>
          <w:szCs w:val="22"/>
        </w:rPr>
      </w:pPr>
      <w:r w:rsidRPr="00B3383B">
        <w:rPr>
          <w:rStyle w:val="normaltextrun"/>
          <w:rFonts w:asciiTheme="majorBidi" w:eastAsiaTheme="majorEastAsia" w:hAnsiTheme="majorBidi" w:cstheme="majorBidi"/>
          <w:b/>
          <w:bCs/>
          <w:color w:val="000000"/>
          <w:sz w:val="22"/>
          <w:szCs w:val="22"/>
        </w:rPr>
        <w:t>References</w:t>
      </w:r>
      <w:r w:rsidRPr="000A273E">
        <w:rPr>
          <w:rStyle w:val="eop"/>
          <w:rFonts w:asciiTheme="majorBidi" w:eastAsiaTheme="majorEastAsia" w:hAnsiTheme="majorBidi" w:cstheme="majorBidi"/>
          <w:color w:val="000000"/>
          <w:sz w:val="22"/>
          <w:szCs w:val="22"/>
        </w:rPr>
        <w:t> </w:t>
      </w:r>
    </w:p>
    <w:p w14:paraId="6F2F5E78" w14:textId="7BCBEB37" w:rsidR="003D6BBD" w:rsidRPr="00ED7E61" w:rsidRDefault="003D6BBD" w:rsidP="00B3383B">
      <w:pPr>
        <w:pStyle w:val="CBDNormalNumber"/>
        <w:numPr>
          <w:ilvl w:val="0"/>
          <w:numId w:val="0"/>
        </w:numPr>
        <w:ind w:left="567"/>
        <w:rPr>
          <w:rStyle w:val="normaltextrun"/>
          <w:rFonts w:eastAsiaTheme="majorEastAsia"/>
          <w:color w:val="000000"/>
          <w:sz w:val="24"/>
          <w:szCs w:val="24"/>
          <w:lang w:val="en-AU"/>
        </w:rPr>
      </w:pPr>
      <w:r w:rsidRPr="00B3383B">
        <w:rPr>
          <w:rStyle w:val="normaltextrun"/>
          <w:rFonts w:asciiTheme="majorBidi" w:eastAsiaTheme="majorEastAsia" w:hAnsiTheme="majorBidi" w:cstheme="majorBidi"/>
          <w:color w:val="000000"/>
          <w:lang w:val="en-CA"/>
        </w:rPr>
        <w:t>Bland LM et al</w:t>
      </w:r>
      <w:r w:rsidR="00FF0D09" w:rsidRPr="00B3383B">
        <w:rPr>
          <w:rStyle w:val="normaltextrun"/>
          <w:rFonts w:asciiTheme="majorBidi" w:eastAsiaTheme="majorEastAsia" w:hAnsiTheme="majorBidi" w:cstheme="majorBidi"/>
          <w:color w:val="000000"/>
          <w:lang w:val="en-CA"/>
        </w:rPr>
        <w:t>.</w:t>
      </w:r>
      <w:r w:rsidRPr="00B3383B">
        <w:rPr>
          <w:rStyle w:val="normaltextrun"/>
          <w:rFonts w:asciiTheme="majorBidi" w:eastAsiaTheme="majorEastAsia" w:hAnsiTheme="majorBidi" w:cstheme="majorBidi"/>
          <w:color w:val="000000"/>
          <w:lang w:val="en-CA"/>
        </w:rPr>
        <w:t xml:space="preserve"> </w:t>
      </w:r>
      <w:r w:rsidRPr="00ED7E61">
        <w:rPr>
          <w:rStyle w:val="normaltextrun"/>
          <w:rFonts w:asciiTheme="majorBidi" w:eastAsiaTheme="majorEastAsia" w:hAnsiTheme="majorBidi" w:cstheme="majorBidi"/>
          <w:color w:val="000000"/>
          <w:lang w:val="en-AU"/>
        </w:rPr>
        <w:t>(2019) Impacts of the IUCN Red List of Ecosystems on conservation policy and practice. Conservation Letters 12 (5): e12666. doi.org/10.1111/conl.12666 </w:t>
      </w:r>
      <w:r w:rsidRPr="00ED7E61">
        <w:rPr>
          <w:rStyle w:val="normaltextrun"/>
          <w:lang w:val="en-AU"/>
        </w:rPr>
        <w:t> </w:t>
      </w:r>
    </w:p>
    <w:p w14:paraId="07480A59"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Botts E.A., Skowno A., Driver A. et al. (2020) More than just a (red) list: Over a decade of using South Africa's threatened ecosystems in policy and practice. Biological Conservation 246, 108559.</w:t>
      </w:r>
      <w:r w:rsidRPr="00ED7E61">
        <w:rPr>
          <w:rStyle w:val="normaltextrun"/>
          <w:lang w:val="en-AU"/>
        </w:rPr>
        <w:t> </w:t>
      </w:r>
    </w:p>
    <w:p w14:paraId="71C1A968"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Burns EL, Lindenmayer DB, Stein J, Blanchard W, McBurney L, Blair D, Banks SC (2015) Ecosystem assessment of mountain ash forest in the Central Highlands of Victoria, south-eastern Australia. Austral Ecology 40:386–399. </w:t>
      </w:r>
      <w:r w:rsidRPr="00ED7E61">
        <w:rPr>
          <w:rStyle w:val="normaltextrun"/>
          <w:lang w:val="en-AU"/>
        </w:rPr>
        <w:t> </w:t>
      </w:r>
    </w:p>
    <w:p w14:paraId="2D8CFA03" w14:textId="77777777" w:rsidR="003D6BBD" w:rsidRPr="00ED7E61" w:rsidRDefault="003D6BBD" w:rsidP="00B3383B">
      <w:pPr>
        <w:pStyle w:val="CBDNormalNumber"/>
        <w:numPr>
          <w:ilvl w:val="0"/>
          <w:numId w:val="0"/>
        </w:numPr>
        <w:ind w:left="567"/>
        <w:jc w:val="left"/>
        <w:rPr>
          <w:rStyle w:val="normaltextrun"/>
          <w:rFonts w:eastAsiaTheme="majorEastAsia"/>
          <w:color w:val="000000"/>
          <w:lang w:val="es-ES"/>
        </w:rPr>
      </w:pPr>
      <w:r w:rsidRPr="00ED7E61">
        <w:rPr>
          <w:rStyle w:val="normaltextrun"/>
          <w:rFonts w:asciiTheme="majorBidi" w:eastAsiaTheme="majorEastAsia" w:hAnsiTheme="majorBidi" w:cstheme="majorBidi"/>
          <w:color w:val="000000"/>
          <w:lang w:val="en-AU"/>
        </w:rPr>
        <w:t xml:space="preserve">Butchart SHM et al. (2004). Measuring global trends in the status of biodiversity: Red List Indices for birds. </w:t>
      </w:r>
      <w:r w:rsidRPr="00ED7E61">
        <w:rPr>
          <w:rStyle w:val="normaltextrun"/>
          <w:rFonts w:asciiTheme="majorBidi" w:eastAsiaTheme="majorEastAsia" w:hAnsiTheme="majorBidi" w:cstheme="majorBidi"/>
          <w:color w:val="000000"/>
          <w:lang w:val="es-ES"/>
        </w:rPr>
        <w:t xml:space="preserve">PLoS Biology 2: e383. </w:t>
      </w:r>
      <w:hyperlink r:id="rId101" w:tgtFrame="_blank" w:history="1">
        <w:r w:rsidRPr="00ED7E61">
          <w:rPr>
            <w:rStyle w:val="normaltextrun"/>
            <w:rFonts w:asciiTheme="majorBidi" w:eastAsiaTheme="majorEastAsia" w:hAnsiTheme="majorBidi" w:cstheme="majorBidi"/>
            <w:color w:val="000000"/>
            <w:lang w:val="es-ES"/>
          </w:rPr>
          <w:t>http://www.plosbiology.org/article/info:doi/10.1371/journal.pbio.0020383</w:t>
        </w:r>
      </w:hyperlink>
      <w:r w:rsidRPr="00ED7E61">
        <w:rPr>
          <w:rStyle w:val="normaltextrun"/>
          <w:rFonts w:asciiTheme="majorBidi" w:eastAsiaTheme="majorEastAsia" w:hAnsiTheme="majorBidi" w:cstheme="majorBidi"/>
          <w:color w:val="000000"/>
          <w:lang w:val="es-ES"/>
        </w:rPr>
        <w:t>.</w:t>
      </w:r>
      <w:r w:rsidRPr="00ED7E61">
        <w:rPr>
          <w:rStyle w:val="normaltextrun"/>
          <w:color w:val="000000"/>
          <w:lang w:val="es-ES"/>
        </w:rPr>
        <w:t> </w:t>
      </w:r>
    </w:p>
    <w:p w14:paraId="1460090E"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Butchart SHM et al. (2007) Improvements to the Red List Index. PLoS ONE 2:e140.</w:t>
      </w:r>
      <w:r w:rsidRPr="00ED7E61">
        <w:rPr>
          <w:rStyle w:val="normaltextrun"/>
          <w:lang w:val="en-AU"/>
        </w:rPr>
        <w:t> </w:t>
      </w:r>
    </w:p>
    <w:p w14:paraId="434807E5"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Etter A., Andrade A., Kelly Saavedra, Amaya P., Cortés J., Arévalo P. (2020a) Colombian Ecosystems, Threats and Risks. An application of the Red List of Ecosystems to the continental terrestrial ecosystems. Pontificia Universidad Javeriana and Conservación Internacional-Colombia, Bogotá.</w:t>
      </w:r>
      <w:r w:rsidRPr="00ED7E61">
        <w:rPr>
          <w:rStyle w:val="normaltextrun"/>
          <w:lang w:val="en-AU"/>
        </w:rPr>
        <w:t> </w:t>
      </w:r>
    </w:p>
    <w:p w14:paraId="3D63C3AB"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Etter A., Andrade A., Nelson C.R., Cortés J., Saavedra K. (2020b) Assessing restoration priorities for high-risk ecosystems: An application of the IUCN Red List of Ecosystems. Land Use Policy 99, 104874.</w:t>
      </w:r>
      <w:r w:rsidRPr="00ED7E61">
        <w:rPr>
          <w:rStyle w:val="normaltextrun"/>
          <w:lang w:val="en-AU"/>
        </w:rPr>
        <w:t> </w:t>
      </w:r>
    </w:p>
    <w:p w14:paraId="37564B0B"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s-ES"/>
        </w:rPr>
        <w:t xml:space="preserve">Ferrer-Paris JR, Zager I, Keith DA, Oliveira-Miranda MA, Rodríguez JP, Josse C, González-Gil M, Miller RM, Zambrana-Torrelio C, Barrow E. (2019.. </w:t>
      </w:r>
      <w:r w:rsidRPr="00ED7E61">
        <w:rPr>
          <w:rStyle w:val="normaltextrun"/>
          <w:rFonts w:asciiTheme="majorBidi" w:eastAsiaTheme="majorEastAsia" w:hAnsiTheme="majorBidi" w:cstheme="majorBidi"/>
          <w:color w:val="000000"/>
          <w:lang w:val="en-AU"/>
        </w:rPr>
        <w:t>An ecosystem risk assessment of temperate and tropical forests of the Americas with an outlook on future conservation strategies. Conservation Letters. </w:t>
      </w:r>
      <w:r w:rsidRPr="00ED7E61">
        <w:rPr>
          <w:rStyle w:val="normaltextrun"/>
          <w:lang w:val="en-AU"/>
        </w:rPr>
        <w:t> </w:t>
      </w:r>
    </w:p>
    <w:p w14:paraId="0489A942"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Ghoraba SMM, Halmy MWA, Salem BB&amp; Badr NBE (2019) Assessing risk of collapse of Lake 417Burullus Ramsar site in Egypt using IUCN Red List of Ecosystems. Ecological Indicators 104, 172–183</w:t>
      </w:r>
      <w:r w:rsidRPr="00ED7E61">
        <w:rPr>
          <w:rStyle w:val="normaltextrun"/>
          <w:lang w:val="en-AU"/>
        </w:rPr>
        <w:t> </w:t>
      </w:r>
    </w:p>
    <w:p w14:paraId="302F0EA9"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Holness S &amp; Botts E (2022) Spatial Biodiversity Assessment and Prioritisation Technical Guide Series 2022. CBD, UNEP-WCMC, SANBI, Japan Biodiversity Fund.</w:t>
      </w:r>
      <w:r w:rsidRPr="00ED7E61">
        <w:rPr>
          <w:rStyle w:val="normaltextrun"/>
          <w:lang w:val="en-AU"/>
        </w:rPr>
        <w:t> </w:t>
      </w:r>
    </w:p>
    <w:p w14:paraId="18524064" w14:textId="77777777" w:rsidR="003D6BBD" w:rsidRPr="00ED7E61" w:rsidRDefault="003D6BBD" w:rsidP="00B3383B">
      <w:pPr>
        <w:pStyle w:val="CBDNormalNumber"/>
        <w:numPr>
          <w:ilvl w:val="0"/>
          <w:numId w:val="0"/>
        </w:numPr>
        <w:ind w:left="567"/>
        <w:rPr>
          <w:rStyle w:val="normaltextrun"/>
          <w:rFonts w:asciiTheme="majorBidi" w:eastAsiaTheme="majorEastAsia" w:hAnsiTheme="majorBidi" w:cstheme="majorBidi"/>
          <w:color w:val="000000"/>
          <w:lang w:val="en-AU"/>
        </w:rPr>
      </w:pPr>
      <w:r w:rsidRPr="00ED7E61">
        <w:rPr>
          <w:rStyle w:val="normaltextrun"/>
          <w:lang w:val="en-AU"/>
        </w:rPr>
        <w:t xml:space="preserve">IUCN (2024). Guidelines for the Application of IUCN Red List of Ecosystems Categories and Criteria, Version 2.0. Gland, Switzerland, International Union for Conservation of Nature. </w:t>
      </w:r>
      <w:hyperlink r:id="rId102" w:history="1">
        <w:r w:rsidRPr="00ED7E61">
          <w:rPr>
            <w:rStyle w:val="normaltextrun"/>
            <w:color w:val="000000"/>
            <w:lang w:val="en-AU"/>
          </w:rPr>
          <w:t>https://portals.iucn.org/library/node/51533</w:t>
        </w:r>
      </w:hyperlink>
      <w:r w:rsidRPr="00ED7E61">
        <w:rPr>
          <w:rStyle w:val="normaltextrun"/>
          <w:lang w:val="en-AU"/>
        </w:rPr>
        <w:t xml:space="preserve"> </w:t>
      </w:r>
    </w:p>
    <w:p w14:paraId="267CEB63"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Keith DA et al. (2013) Scientific Foundations for an IUCN Red List of Ecosystems. PLoS ONE 8:e62111. </w:t>
      </w:r>
      <w:r w:rsidRPr="00ED7E61">
        <w:rPr>
          <w:rStyle w:val="normaltextrun"/>
          <w:lang w:val="en-AU"/>
        </w:rPr>
        <w:t> </w:t>
      </w:r>
    </w:p>
    <w:p w14:paraId="215EEB24"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Keith DA et al. (2022). A function-based typology for Earth’s ecosystems. Nature 610 (7932): 513-518. https://global-ecosystems.org/ </w:t>
      </w:r>
      <w:r w:rsidRPr="00ED7E61">
        <w:rPr>
          <w:rStyle w:val="normaltextrun"/>
          <w:lang w:val="en-AU"/>
        </w:rPr>
        <w:t> </w:t>
      </w:r>
    </w:p>
    <w:p w14:paraId="516F8411"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Kyrkjeeide MO, Pedersen B, Evju M, Magnussen K, Mair L, Bolam FC, Mcgowan PJK, Vestergaard KM, Braa J, Rusch G. 2021. Bending the curve: Operationalizing national Red Lists to customize conservation actions to reduce extinction risk. Biological Conservation 261 </w:t>
      </w:r>
      <w:r w:rsidRPr="00ED7E61">
        <w:rPr>
          <w:rStyle w:val="normaltextrun"/>
          <w:lang w:val="en-AU"/>
        </w:rPr>
        <w:t> </w:t>
      </w:r>
    </w:p>
    <w:p w14:paraId="3E2A5EA9"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Marshall A, Schulte to Bühne H, Bland L, Pettorelli N. 2018. Assessing ecosystem collapse risk in ecosystems dominated by foundation species: The case of fringe mangroves. Ecological Indicators 91:128–137. Elsevier. Available from https://doi.org/10.1016/j.ecolind.2018.03.076. </w:t>
      </w:r>
      <w:r w:rsidRPr="00ED7E61">
        <w:rPr>
          <w:rStyle w:val="normaltextrun"/>
          <w:lang w:val="en-AU"/>
        </w:rPr>
        <w:t> </w:t>
      </w:r>
    </w:p>
    <w:p w14:paraId="7A7E551B" w14:textId="32F0F16A"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Murray NJ et al</w:t>
      </w:r>
      <w:r w:rsidR="00FF0D09">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(2017) The use of range size to assess risks to biodiversity from stochastic threats. Diversity and Distributions, 1–10. DOI: 10.1111/ddi.12533</w:t>
      </w:r>
      <w:r w:rsidRPr="00ED7E61">
        <w:rPr>
          <w:rStyle w:val="normaltextrun"/>
          <w:lang w:val="en-AU"/>
        </w:rPr>
        <w:t> </w:t>
      </w:r>
    </w:p>
    <w:p w14:paraId="5B93D33C"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B3383B">
        <w:rPr>
          <w:rStyle w:val="normaltextrun"/>
          <w:rFonts w:asciiTheme="majorBidi" w:eastAsiaTheme="majorEastAsia" w:hAnsiTheme="majorBidi" w:cstheme="majorBidi"/>
          <w:color w:val="000000"/>
          <w:lang w:val="en-CA"/>
        </w:rPr>
        <w:t xml:space="preserve">Murray, N.J., et al. </w:t>
      </w:r>
      <w:r w:rsidRPr="00ED7E61">
        <w:rPr>
          <w:rStyle w:val="normaltextrun"/>
          <w:rFonts w:asciiTheme="majorBidi" w:eastAsiaTheme="majorEastAsia" w:hAnsiTheme="majorBidi" w:cstheme="majorBidi"/>
          <w:color w:val="000000"/>
          <w:lang w:val="en-AU"/>
        </w:rPr>
        <w:t>(2018). The role of satellite remote sensing in structured ecosystem risk assessments. Science of The Total Environment 619–620: 249-257.</w:t>
      </w:r>
      <w:r w:rsidRPr="00ED7E61">
        <w:rPr>
          <w:rStyle w:val="normaltextrun"/>
          <w:lang w:val="en-AU"/>
        </w:rPr>
        <w:t> </w:t>
      </w:r>
    </w:p>
    <w:p w14:paraId="511B8A53"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Murray N.J., Keith D.A., Duncan A. et al. (2020) Myanmar's terrestrial ecosystems: Status, threats and conservation opportunities. Biological Conservation, 252, 108834.</w:t>
      </w:r>
      <w:r w:rsidRPr="00ED7E61">
        <w:rPr>
          <w:rStyle w:val="normaltextrun"/>
          <w:lang w:val="en-AU"/>
        </w:rPr>
        <w:t> </w:t>
      </w:r>
    </w:p>
    <w:p w14:paraId="289670B7"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National Environment Management Authority (NEMA), 2020. Uganda Spatial Biodiversity Assessment v1, CONNECT Project, Kampala, Uganda</w:t>
      </w:r>
      <w:r w:rsidRPr="00ED7E61">
        <w:rPr>
          <w:rStyle w:val="normaltextrun"/>
          <w:lang w:val="en-AU"/>
        </w:rPr>
        <w:t> </w:t>
      </w:r>
    </w:p>
    <w:p w14:paraId="2E6ED8CD"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Nicholson E et al. (2021) Scientific foundations for an ecosystem goal, milestones and indicators for the post-2020 Global Biodiversity Framework. Nature Ecology and Evolution:1–26. </w:t>
      </w:r>
      <w:r w:rsidRPr="00ED7E61">
        <w:rPr>
          <w:rStyle w:val="normaltextrun"/>
          <w:lang w:val="en-AU"/>
        </w:rPr>
        <w:t> </w:t>
      </w:r>
    </w:p>
    <w:p w14:paraId="6D7FEC6A"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Nicholson E., Andrade A., Brooks T.M. et al. (2024) Roles of the Red List of Ecosystems in the Kunming-Montreal Global Biodiversity Framework. Nature Ecology &amp; Evolution. https://doi.org/10.1038/s41559-023-02320-5  </w:t>
      </w:r>
      <w:r w:rsidRPr="00ED7E61">
        <w:rPr>
          <w:rStyle w:val="normaltextrun"/>
          <w:lang w:val="en-AU"/>
        </w:rPr>
        <w:t> </w:t>
      </w:r>
    </w:p>
    <w:p w14:paraId="5F9D8455" w14:textId="77777777" w:rsidR="003D6BBD" w:rsidRPr="00ED7E61" w:rsidRDefault="003D6BBD" w:rsidP="00B3383B">
      <w:pPr>
        <w:pStyle w:val="CBDNormalNumber"/>
        <w:numPr>
          <w:ilvl w:val="0"/>
          <w:numId w:val="0"/>
        </w:numPr>
        <w:ind w:left="567"/>
        <w:jc w:val="left"/>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Obura D et al. (2022) Vulnerability to collapse of coral reef ecosystems in the Western Indian Ocean. Nature Sustainability 5 (2): 104-113.</w:t>
      </w:r>
      <w:r w:rsidRPr="00ED7E61">
        <w:rPr>
          <w:rStyle w:val="normaltextrun"/>
          <w:lang w:val="en-AU"/>
        </w:rPr>
        <w:t> </w:t>
      </w:r>
    </w:p>
    <w:p w14:paraId="38EAAB63" w14:textId="77777777" w:rsidR="003D6BBD" w:rsidRPr="00ED7E61" w:rsidRDefault="003D6BBD" w:rsidP="00B3383B">
      <w:pPr>
        <w:pStyle w:val="CBDNormalNumber"/>
        <w:numPr>
          <w:ilvl w:val="0"/>
          <w:numId w:val="0"/>
        </w:numPr>
        <w:ind w:left="567"/>
        <w:jc w:val="left"/>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Payet, K. et al. (2013) The effect of land cover and ecosystem mapping on ecosystem risk assessment in the Little Karoo, South Africa. Conservation Biology. https://conbio.onlinelibrary.wiley.com/doi/abs/10.1111/cobi.12065 </w:t>
      </w:r>
      <w:r w:rsidRPr="00ED7E61">
        <w:rPr>
          <w:rStyle w:val="normaltextrun"/>
          <w:lang w:val="en-AU"/>
        </w:rPr>
        <w:t> </w:t>
      </w:r>
    </w:p>
    <w:p w14:paraId="1DBDCE22" w14:textId="77777777" w:rsidR="003D6BBD" w:rsidRPr="00ED7E61" w:rsidRDefault="003D6BBD" w:rsidP="00B3383B">
      <w:pPr>
        <w:pStyle w:val="CBDNormalNumber"/>
        <w:numPr>
          <w:ilvl w:val="0"/>
          <w:numId w:val="0"/>
        </w:numPr>
        <w:ind w:left="567"/>
        <w:jc w:val="left"/>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Rodríguez JP et al. 2015. A practical guide to the application of the IUCN Red List of Ecosystems criteria. Philosophical Transactions of the Royal Society B: Biological Sciences 370:1–9. Royal Society of London. </w:t>
      </w:r>
      <w:r w:rsidRPr="00ED7E61">
        <w:rPr>
          <w:rStyle w:val="normaltextrun"/>
          <w:lang w:val="en-AU"/>
        </w:rPr>
        <w:t> </w:t>
      </w:r>
    </w:p>
    <w:p w14:paraId="1599A7AD" w14:textId="77777777" w:rsidR="003D6BBD" w:rsidRPr="00ED7E61" w:rsidRDefault="003D6BBD" w:rsidP="00B3383B">
      <w:pPr>
        <w:pStyle w:val="CBDNormalNumber"/>
        <w:numPr>
          <w:ilvl w:val="0"/>
          <w:numId w:val="0"/>
        </w:numPr>
        <w:ind w:left="567"/>
        <w:jc w:val="left"/>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Rowland JA, Bland LM, Keith DA, Juffe-Bignoli D, Burgman MA, Etter A, Ferrer-Paris JRJR, Miller RM, Skowno AL, Nicholson E. 2020a. Ecosystem indices to support global biodiversity conservation. Conservation Letters e12680:11. Wiley-Blackwell. </w:t>
      </w:r>
      <w:r w:rsidRPr="00ED7E61">
        <w:rPr>
          <w:rStyle w:val="normaltextrun"/>
          <w:lang w:val="en-AU"/>
        </w:rPr>
        <w:t> </w:t>
      </w:r>
    </w:p>
    <w:p w14:paraId="42C2499A" w14:textId="77777777" w:rsidR="003D6BBD" w:rsidRPr="00ED7E61" w:rsidRDefault="003D6BBD" w:rsidP="00B3383B">
      <w:pPr>
        <w:pStyle w:val="CBDNormalNumber"/>
        <w:numPr>
          <w:ilvl w:val="0"/>
          <w:numId w:val="0"/>
        </w:numPr>
        <w:ind w:left="567"/>
        <w:jc w:val="left"/>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Rowland JA, Lee CKF, Bland LM, Nicholson E. 2020b. Testing the performance of ecosystem indices for biodiversity monitoring. Ecological Indicators 116:106453. Elsevier. Available from https://doi.org/10.1016/j.ecolind.2020.106453. </w:t>
      </w:r>
      <w:r w:rsidRPr="00ED7E61">
        <w:rPr>
          <w:rStyle w:val="normaltextrun"/>
          <w:lang w:val="en-AU"/>
        </w:rPr>
        <w:t> </w:t>
      </w:r>
    </w:p>
    <w:p w14:paraId="328E63CD" w14:textId="77777777" w:rsidR="003D6BBD" w:rsidRPr="00ED7E61" w:rsidRDefault="003D6BBD" w:rsidP="00B3383B">
      <w:pPr>
        <w:pStyle w:val="CBDNormalNumber"/>
        <w:numPr>
          <w:ilvl w:val="0"/>
          <w:numId w:val="0"/>
        </w:numPr>
        <w:ind w:left="567"/>
        <w:jc w:val="left"/>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Rowland JA, Nicholson E, Murray NJ, Keith DA, Lester RE, Bland LM. 2018. Selecting and applying indicators of ecosystem collapse for risk assessments. Conservation Biology 32:1233–1245. Available from http://doi.wiley.com/10.1111/cobi.13107. </w:t>
      </w:r>
      <w:r w:rsidRPr="00ED7E61">
        <w:rPr>
          <w:rStyle w:val="normaltextrun"/>
          <w:lang w:val="en-AU"/>
        </w:rPr>
        <w:t> </w:t>
      </w:r>
    </w:p>
    <w:p w14:paraId="1B97748F" w14:textId="77777777" w:rsidR="003D6BBD" w:rsidRPr="00B3383B" w:rsidRDefault="003D6BBD" w:rsidP="00B3383B">
      <w:pPr>
        <w:pStyle w:val="CBDNormalNumber"/>
        <w:numPr>
          <w:ilvl w:val="0"/>
          <w:numId w:val="0"/>
        </w:numPr>
        <w:ind w:left="567"/>
        <w:jc w:val="left"/>
        <w:rPr>
          <w:rStyle w:val="normaltextrun"/>
          <w:rFonts w:eastAsiaTheme="majorEastAsia"/>
          <w:color w:val="000000"/>
          <w:lang w:val="fr-FR"/>
        </w:rPr>
      </w:pPr>
      <w:r w:rsidRPr="00ED7E61">
        <w:rPr>
          <w:rStyle w:val="normaltextrun"/>
          <w:rFonts w:asciiTheme="majorBidi" w:eastAsiaTheme="majorEastAsia" w:hAnsiTheme="majorBidi" w:cstheme="majorBidi"/>
          <w:color w:val="000000"/>
          <w:lang w:val="en-AU"/>
        </w:rPr>
        <w:t xml:space="preserve">Skowno A.L., Monyeki M.S. (2021) South Africa’s Red List of Terrestrial Ecosystems (RLEs). </w:t>
      </w:r>
      <w:r w:rsidRPr="00B3383B">
        <w:rPr>
          <w:rStyle w:val="normaltextrun"/>
          <w:rFonts w:asciiTheme="majorBidi" w:eastAsiaTheme="majorEastAsia" w:hAnsiTheme="majorBidi" w:cstheme="majorBidi"/>
          <w:color w:val="000000"/>
          <w:lang w:val="fr-FR"/>
        </w:rPr>
        <w:t>Land 10, 1048.</w:t>
      </w:r>
      <w:r w:rsidRPr="00B3383B">
        <w:rPr>
          <w:rStyle w:val="normaltextrun"/>
          <w:lang w:val="fr-FR"/>
        </w:rPr>
        <w:t> </w:t>
      </w:r>
    </w:p>
    <w:p w14:paraId="1C5F578F" w14:textId="4CBD5188" w:rsidR="003D6BBD" w:rsidRPr="00ED7E61" w:rsidRDefault="003D6BBD" w:rsidP="00B3383B">
      <w:pPr>
        <w:pStyle w:val="CBDNormalNumber"/>
        <w:numPr>
          <w:ilvl w:val="0"/>
          <w:numId w:val="0"/>
        </w:numPr>
        <w:ind w:left="567"/>
        <w:jc w:val="left"/>
        <w:rPr>
          <w:rStyle w:val="normaltextrun"/>
          <w:rFonts w:eastAsiaTheme="majorEastAsia"/>
          <w:color w:val="000000"/>
          <w:lang w:val="en-AU"/>
        </w:rPr>
      </w:pPr>
      <w:r w:rsidRPr="000A273E">
        <w:rPr>
          <w:rStyle w:val="normaltextrun"/>
          <w:rFonts w:asciiTheme="majorBidi" w:eastAsiaTheme="majorEastAsia" w:hAnsiTheme="majorBidi" w:cstheme="majorBidi"/>
          <w:color w:val="000000"/>
          <w:lang w:val="fr-FR"/>
        </w:rPr>
        <w:t xml:space="preserve">Tan, J., Li, A., Lei, G., Bian, J., Chen, G., &amp; Ma, K. (2017). </w:t>
      </w:r>
      <w:r w:rsidRPr="00ED7E61">
        <w:rPr>
          <w:rStyle w:val="normaltextrun"/>
          <w:rFonts w:asciiTheme="majorBidi" w:eastAsiaTheme="majorEastAsia" w:hAnsiTheme="majorBidi" w:cstheme="majorBidi"/>
          <w:color w:val="000000"/>
          <w:lang w:val="en-AU"/>
        </w:rPr>
        <w:t>Preliminary assessment of ecosystem risk based on IUCN criteria in a hierarchy of spatial domains: A case study in Southwestern China. Biological Conservation, 215, 152–161. https://doi.org/10.1016/j.biocon.2017.09.011 </w:t>
      </w:r>
      <w:r w:rsidRPr="00ED7E61">
        <w:rPr>
          <w:rStyle w:val="normaltextrun"/>
          <w:lang w:val="en-AU"/>
        </w:rPr>
        <w:t> </w:t>
      </w:r>
    </w:p>
    <w:p w14:paraId="10AED8FA" w14:textId="77777777" w:rsidR="003D6BBD" w:rsidRPr="00ED7E61" w:rsidRDefault="003D6BBD" w:rsidP="00B3383B">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color w:val="000000"/>
          <w:lang w:val="en-AU"/>
        </w:rPr>
        <w:t>WEF (2020). Nature Risk Rising: Why the Crisis Engulfing Nature Matters for Business and the Economy. (World Economic Forum, in collaboration with PwC)</w:t>
      </w:r>
      <w:r w:rsidRPr="00ED7E61">
        <w:rPr>
          <w:rStyle w:val="eop"/>
          <w:rFonts w:asciiTheme="majorBidi" w:eastAsiaTheme="majorEastAsia" w:hAnsiTheme="majorBidi" w:cstheme="majorBidi"/>
          <w:color w:val="000000"/>
        </w:rPr>
        <w:t> </w:t>
      </w:r>
    </w:p>
    <w:p w14:paraId="7F366EFB"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664C8645" w14:textId="77777777" w:rsidR="003D6BBD" w:rsidRPr="00ED7E61" w:rsidRDefault="003D6BBD" w:rsidP="003D6BBD">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20C80545" w14:textId="77777777" w:rsidR="003D6BBD" w:rsidRPr="00ED7E61" w:rsidRDefault="003D6BBD" w:rsidP="003D6BBD">
      <w:pPr>
        <w:pStyle w:val="Heading3"/>
      </w:pPr>
      <w:bookmarkStart w:id="22" w:name="_Toc178285844"/>
      <w:r w:rsidRPr="00ED7E61">
        <w:rPr>
          <w:rStyle w:val="normaltextrun"/>
        </w:rPr>
        <w:t>GBF indicator metadata: A.2 Extent of natural ecosystems</w:t>
      </w:r>
      <w:bookmarkEnd w:id="22"/>
      <w:r w:rsidRPr="00ED7E61">
        <w:rPr>
          <w:rStyle w:val="normaltextrun"/>
        </w:rPr>
        <w:t xml:space="preserve">  </w:t>
      </w:r>
      <w:r w:rsidRPr="00ED7E61">
        <w:rPr>
          <w:rStyle w:val="eop"/>
        </w:rPr>
        <w:t> </w:t>
      </w:r>
    </w:p>
    <w:p w14:paraId="347EF9BD" w14:textId="77777777" w:rsidR="003D6BBD" w:rsidRPr="00ED7E61" w:rsidRDefault="003D6BBD" w:rsidP="003D6BBD">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063FA10E"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1B6FD6CF" w14:textId="6A72BE15" w:rsidR="008344AF" w:rsidRPr="00ED7E61" w:rsidRDefault="003D6BBD" w:rsidP="00B3383B">
      <w:pPr>
        <w:pStyle w:val="paragraph"/>
        <w:spacing w:before="0" w:beforeAutospacing="0" w:after="0" w:afterAutospacing="0"/>
        <w:ind w:right="-210"/>
        <w:textAlignment w:val="baseline"/>
        <w:rPr>
          <w:rStyle w:val="normaltextrun"/>
          <w:rFonts w:asciiTheme="majorBidi" w:eastAsiaTheme="majorEastAsia" w:hAnsiTheme="majorBidi" w:cstheme="majorBidi"/>
          <w:b/>
          <w:bCs/>
          <w:sz w:val="22"/>
          <w:szCs w:val="22"/>
        </w:rPr>
      </w:pPr>
      <w:r w:rsidRPr="00ED7E61">
        <w:rPr>
          <w:rStyle w:val="normaltextrun"/>
          <w:rFonts w:asciiTheme="majorBidi" w:eastAsiaTheme="majorEastAsia" w:hAnsiTheme="majorBidi" w:cstheme="majorBidi"/>
          <w:sz w:val="22"/>
          <w:szCs w:val="22"/>
          <w:lang w:val="en-GB"/>
        </w:rPr>
        <w:t>A.2 Extent of natural ecosystems</w:t>
      </w:r>
    </w:p>
    <w:p w14:paraId="20DF5F08" w14:textId="24E25F54"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297B703A" w14:textId="0C57D2F6" w:rsidR="008344AF" w:rsidRPr="00ED7E61" w:rsidRDefault="006B30FE" w:rsidP="003D6BBD">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3D6BBD" w:rsidRPr="00ED7E61">
        <w:rPr>
          <w:rStyle w:val="normaltextrun"/>
          <w:rFonts w:asciiTheme="majorBidi" w:eastAsiaTheme="majorEastAsia" w:hAnsiTheme="majorBidi" w:cstheme="majorBidi"/>
          <w:sz w:val="22"/>
          <w:szCs w:val="22"/>
        </w:rPr>
        <w:t>2024</w:t>
      </w:r>
      <w:r w:rsidR="003D6BBD" w:rsidRPr="00ED7E61">
        <w:rPr>
          <w:rStyle w:val="eop"/>
          <w:rFonts w:asciiTheme="majorBidi" w:eastAsiaTheme="majorEastAsia" w:hAnsiTheme="majorBidi" w:cstheme="majorBidi"/>
          <w:sz w:val="22"/>
          <w:szCs w:val="22"/>
        </w:rPr>
        <w:t> </w:t>
      </w:r>
    </w:p>
    <w:p w14:paraId="1C7C9BFD" w14:textId="29F7FB96" w:rsidR="003D6BBD" w:rsidRPr="00ED7E61" w:rsidRDefault="003D6BBD"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7378E710"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3DA2B76E" w14:textId="19D3E1BA" w:rsidR="008344AF" w:rsidRPr="00ED7E61" w:rsidRDefault="003D6BBD" w:rsidP="00B3383B">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rPr>
      </w:pPr>
      <w:r w:rsidRPr="00ED7E61">
        <w:rPr>
          <w:rStyle w:val="normaltextrun"/>
          <w:rFonts w:asciiTheme="majorBidi" w:eastAsiaTheme="majorEastAsia" w:hAnsiTheme="majorBidi" w:cstheme="majorBidi"/>
          <w:sz w:val="22"/>
          <w:szCs w:val="22"/>
          <w:lang w:val="en-GB"/>
        </w:rPr>
        <w:t>Headline Indicator for Goal A:</w:t>
      </w:r>
      <w:r w:rsidRPr="00ED7E61">
        <w:rPr>
          <w:rStyle w:val="normaltextrun"/>
          <w:rFonts w:asciiTheme="majorBidi" w:eastAsiaTheme="majorEastAsia" w:hAnsiTheme="majorBidi" w:cstheme="majorBidi"/>
          <w:b/>
          <w:bCs/>
          <w:sz w:val="22"/>
          <w:szCs w:val="22"/>
          <w:lang w:val="en-GB"/>
        </w:rPr>
        <w:t xml:space="preserve"> </w:t>
      </w:r>
      <w:r w:rsidRPr="00ED7E61">
        <w:rPr>
          <w:rStyle w:val="normaltextrun"/>
          <w:rFonts w:asciiTheme="majorBidi" w:eastAsiaTheme="majorEastAsia" w:hAnsiTheme="majorBidi" w:cstheme="majorBidi"/>
          <w:sz w:val="22"/>
          <w:szCs w:val="22"/>
          <w:lang w:val="en-GB"/>
        </w:rPr>
        <w:t>The integrity, connectivity and resilience of all ecosystems are maintained, enhanced, or restored, substantially increasing the area of natural ecosystems by 2050; Human induced extinction of known threatened species is halted, and, by 2050, the extinction rate and risk of all species are reduced tenfold and the abundance of native wild species is increased to healthy and resilient levels; The genetic diversity within populations of wild and domesticated species, is maintained, safeguarding their adaptive potential.</w:t>
      </w:r>
      <w:r w:rsidRPr="00ED7E61">
        <w:rPr>
          <w:rStyle w:val="eop"/>
          <w:rFonts w:asciiTheme="majorBidi" w:eastAsiaTheme="majorEastAsia" w:hAnsiTheme="majorBidi" w:cstheme="majorBidi"/>
          <w:sz w:val="22"/>
          <w:szCs w:val="22"/>
        </w:rPr>
        <w:t> </w:t>
      </w:r>
    </w:p>
    <w:p w14:paraId="1FA8D303" w14:textId="72839973"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p w14:paraId="514929AC" w14:textId="3C6DC411" w:rsidR="003D6BBD" w:rsidRPr="00ED7E61" w:rsidRDefault="003D6BBD" w:rsidP="00B3383B">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rPr>
      </w:pPr>
      <w:r w:rsidRPr="00ED7E61">
        <w:rPr>
          <w:rStyle w:val="normaltextrun"/>
          <w:rFonts w:asciiTheme="majorBidi" w:eastAsiaTheme="majorEastAsia" w:hAnsiTheme="majorBidi" w:cstheme="majorBidi"/>
          <w:sz w:val="22"/>
          <w:szCs w:val="22"/>
          <w:lang w:val="en-GB"/>
        </w:rPr>
        <w:t xml:space="preserve">Headline Indicator for </w:t>
      </w:r>
      <w:r w:rsidRPr="00ED7E61">
        <w:rPr>
          <w:rStyle w:val="normaltextrun"/>
          <w:rFonts w:asciiTheme="majorBidi" w:eastAsiaTheme="majorEastAsia" w:hAnsiTheme="majorBidi" w:cstheme="majorBidi"/>
          <w:sz w:val="22"/>
          <w:szCs w:val="22"/>
        </w:rPr>
        <w:t>Target 1: Ensure that all areas are under participatory integrated biodiversity inclusive spatial planning and/or effective management processes addressing land and sea use change, to bring the loss of areas of high biodiversity importance, including ecosystems of high ecological integrity, close to zero by 2030, while respecting the rights of indigenous peoples and local communities.</w:t>
      </w:r>
    </w:p>
    <w:p w14:paraId="7ED08552"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209792D4" w14:textId="77777777" w:rsidR="003D6BBD" w:rsidRPr="00C61E49" w:rsidRDefault="003D6BBD" w:rsidP="00B10F0C">
      <w:pPr>
        <w:pStyle w:val="CBDNormalNumber"/>
        <w:numPr>
          <w:ilvl w:val="0"/>
          <w:numId w:val="45"/>
        </w:numPr>
        <w:rPr>
          <w:rStyle w:val="normaltextrun"/>
          <w:color w:val="000000"/>
          <w:sz w:val="24"/>
          <w:szCs w:val="24"/>
          <w:lang w:val="en-AU"/>
        </w:rPr>
      </w:pPr>
      <w:r w:rsidRPr="00B3383B">
        <w:rPr>
          <w:rStyle w:val="normaltextrun"/>
        </w:rPr>
        <w:t>Natural</w:t>
      </w:r>
      <w:r w:rsidRPr="00C61E49">
        <w:rPr>
          <w:rStyle w:val="normaltextrun"/>
          <w:rFonts w:asciiTheme="majorBidi" w:eastAsiaTheme="majorEastAsia" w:hAnsiTheme="majorBidi" w:cstheme="majorBidi"/>
          <w:color w:val="000000"/>
          <w:lang w:val="en-AU"/>
        </w:rPr>
        <w:t xml:space="preserve"> ecosystems are the foundation of biodiversity, providing the conditions necessary for a wide array of life forms to coexist and thrive. The conversion of natural ecosystems to intensively modified or anthropogenic ecosystems, driven by human activities such as urban development, agriculture, and infrastructure development, is one of the main drivers of biodiversity loss and is reflected in the reduction of the area of natural ecosystems. Conversely, ecological restoration efforts can result in increases in the area of natural ecosystems. </w:t>
      </w:r>
      <w:r w:rsidRPr="00C61E49">
        <w:rPr>
          <w:rStyle w:val="normaltextrun"/>
          <w:color w:val="000000"/>
          <w:lang w:val="en-AU"/>
        </w:rPr>
        <w:t> </w:t>
      </w:r>
    </w:p>
    <w:p w14:paraId="7FD76DF6" w14:textId="77777777" w:rsidR="003D6BBD" w:rsidRPr="00ED7E61" w:rsidRDefault="003D6BBD" w:rsidP="00B10F0C">
      <w:pPr>
        <w:pStyle w:val="CBDNormalNumber"/>
        <w:numPr>
          <w:ilvl w:val="0"/>
          <w:numId w:val="45"/>
        </w:numPr>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This </w:t>
      </w:r>
      <w:r w:rsidRPr="00B3383B">
        <w:rPr>
          <w:rStyle w:val="normaltextrun"/>
        </w:rPr>
        <w:t>indicator</w:t>
      </w:r>
      <w:r w:rsidRPr="00ED7E61">
        <w:rPr>
          <w:rStyle w:val="normaltextrun"/>
          <w:rFonts w:asciiTheme="majorBidi" w:eastAsiaTheme="majorEastAsia" w:hAnsiTheme="majorBidi" w:cstheme="majorBidi"/>
          <w:color w:val="000000"/>
          <w:lang w:val="en-AU"/>
        </w:rPr>
        <w:t xml:space="preserve"> aims to show the extent of natural ecosystems as a proportion of overall area, and to track changes in this proportion over time. This responds to the element of Goal A that refers to “</w:t>
      </w:r>
      <w:r w:rsidRPr="00FB1598">
        <w:rPr>
          <w:rStyle w:val="normaltextrun"/>
          <w:rFonts w:asciiTheme="majorBidi" w:eastAsiaTheme="majorEastAsia" w:hAnsiTheme="majorBidi" w:cstheme="majorBidi"/>
          <w:i/>
          <w:iCs/>
          <w:color w:val="000000"/>
          <w:lang w:val="en-AU"/>
        </w:rPr>
        <w:t>substantially increasing the area of natural ecosystems by 2050</w:t>
      </w:r>
      <w:r w:rsidRPr="00ED7E61">
        <w:rPr>
          <w:rStyle w:val="normaltextrun"/>
          <w:rFonts w:asciiTheme="majorBidi" w:eastAsiaTheme="majorEastAsia" w:hAnsiTheme="majorBidi" w:cstheme="majorBidi"/>
          <w:color w:val="000000"/>
          <w:lang w:val="en-AU"/>
        </w:rPr>
        <w:t>”. The indicator also responds to the elements of Target 1 that refer to “</w:t>
      </w:r>
      <w:r w:rsidRPr="00FB1598">
        <w:rPr>
          <w:rStyle w:val="normaltextrun"/>
          <w:rFonts w:asciiTheme="majorBidi" w:eastAsiaTheme="majorEastAsia" w:hAnsiTheme="majorBidi" w:cstheme="majorBidi"/>
          <w:i/>
          <w:iCs/>
          <w:color w:val="000000"/>
          <w:lang w:val="en-AU"/>
        </w:rPr>
        <w:t>addressing land and sea use change</w:t>
      </w:r>
      <w:r w:rsidRPr="00ED7E61">
        <w:rPr>
          <w:rStyle w:val="normaltextrun"/>
          <w:rFonts w:asciiTheme="majorBidi" w:eastAsiaTheme="majorEastAsia" w:hAnsiTheme="majorBidi" w:cstheme="majorBidi"/>
          <w:color w:val="000000"/>
          <w:lang w:val="en-AU"/>
        </w:rPr>
        <w:t>”, “</w:t>
      </w:r>
      <w:r w:rsidRPr="00FB1598">
        <w:rPr>
          <w:rStyle w:val="normaltextrun"/>
          <w:rFonts w:asciiTheme="majorBidi" w:eastAsiaTheme="majorEastAsia" w:hAnsiTheme="majorBidi" w:cstheme="majorBidi"/>
          <w:i/>
          <w:iCs/>
          <w:color w:val="000000"/>
          <w:lang w:val="en-AU"/>
        </w:rPr>
        <w:t>to bring the loss of areas of high biodiversity importance, including ecosystems of high ecological integrity, close to zero by 2030</w:t>
      </w:r>
      <w:r w:rsidRPr="00ED7E61">
        <w:rPr>
          <w:rStyle w:val="normaltextrun"/>
          <w:rFonts w:asciiTheme="majorBidi" w:eastAsiaTheme="majorEastAsia" w:hAnsiTheme="majorBidi" w:cstheme="majorBidi"/>
          <w:color w:val="000000"/>
          <w:lang w:val="en-AU"/>
        </w:rPr>
        <w:t>”. The indicator can be disaggregated into different natural ecosystem types, providing insights into the relative abundance or scarcity of different natural ecosystem types as well as their relative rates of loss or gain over time. </w:t>
      </w:r>
      <w:r w:rsidRPr="00ED7E61">
        <w:rPr>
          <w:rStyle w:val="normaltextrun"/>
          <w:color w:val="000000"/>
          <w:lang w:val="en-AU"/>
        </w:rPr>
        <w:t> </w:t>
      </w:r>
    </w:p>
    <w:p w14:paraId="01BA5CB8" w14:textId="70E8ACC3" w:rsidR="008344AF" w:rsidRPr="00ED7E61" w:rsidRDefault="003D6BBD" w:rsidP="00B10F0C">
      <w:pPr>
        <w:pStyle w:val="CBDNormalNumber"/>
        <w:numPr>
          <w:ilvl w:val="0"/>
          <w:numId w:val="45"/>
        </w:numPr>
        <w:rPr>
          <w:rStyle w:val="normaltextrun"/>
          <w:rFonts w:eastAsiaTheme="majorEastAsia"/>
          <w:color w:val="000000"/>
          <w:lang w:val="en-AU"/>
        </w:rPr>
      </w:pPr>
      <w:r w:rsidRPr="00B3383B">
        <w:rPr>
          <w:rStyle w:val="normaltextrun"/>
        </w:rPr>
        <w:t>The</w:t>
      </w:r>
      <w:r w:rsidRPr="00ED7E61">
        <w:rPr>
          <w:rStyle w:val="normaltextrun"/>
          <w:rFonts w:asciiTheme="majorBidi" w:eastAsiaTheme="majorEastAsia" w:hAnsiTheme="majorBidi" w:cstheme="majorBidi"/>
          <w:color w:val="000000"/>
          <w:lang w:val="en-AU"/>
        </w:rPr>
        <w:t xml:space="preserve"> term </w:t>
      </w:r>
      <w:r w:rsidR="00376C66">
        <w:rPr>
          <w:rStyle w:val="normaltextrun"/>
          <w:rFonts w:asciiTheme="majorBidi" w:eastAsiaTheme="majorEastAsia" w:hAnsiTheme="majorBidi" w:cstheme="majorBidi"/>
          <w:color w:val="000000"/>
          <w:lang w:val="en-AU"/>
        </w:rPr>
        <w:t>“</w:t>
      </w:r>
      <w:r w:rsidRPr="00FB1598">
        <w:rPr>
          <w:rStyle w:val="normaltextrun"/>
          <w:rFonts w:asciiTheme="majorBidi" w:eastAsiaTheme="majorEastAsia" w:hAnsiTheme="majorBidi" w:cstheme="majorBidi"/>
          <w:i/>
          <w:iCs/>
          <w:color w:val="000000"/>
          <w:lang w:val="en-AU"/>
        </w:rPr>
        <w:t>natural ecosystem</w:t>
      </w:r>
      <w:r w:rsidR="00376C66">
        <w:rPr>
          <w:rStyle w:val="normaltextrun"/>
          <w:rFonts w:asciiTheme="majorBidi" w:eastAsiaTheme="majorEastAsia" w:hAnsiTheme="majorBidi" w:cstheme="majorBidi"/>
          <w:color w:val="000000"/>
          <w:lang w:val="en-AU"/>
        </w:rPr>
        <w:t>”</w:t>
      </w:r>
      <w:r w:rsidRPr="00ED7E61">
        <w:rPr>
          <w:rStyle w:val="normaltextrun"/>
          <w:rFonts w:asciiTheme="majorBidi" w:eastAsiaTheme="majorEastAsia" w:hAnsiTheme="majorBidi" w:cstheme="majorBidi"/>
          <w:color w:val="000000"/>
          <w:lang w:val="en-AU"/>
        </w:rPr>
        <w:t xml:space="preserve"> broadly refers to ecosystems where the impact of humans on ecosystem composition, structure and function are low compared to natural factors. It is used in the indicator in a broad sense, including natural and semi-natural ecosystems, for several reasons: </w:t>
      </w:r>
      <w:r w:rsidRPr="00ED7E61">
        <w:rPr>
          <w:rStyle w:val="normaltextrun"/>
          <w:color w:val="000000"/>
          <w:lang w:val="en-AU"/>
        </w:rPr>
        <w:t> </w:t>
      </w:r>
    </w:p>
    <w:p w14:paraId="214C060B" w14:textId="43A35593" w:rsidR="008344AF" w:rsidRPr="00ED7E61" w:rsidRDefault="003D6BBD" w:rsidP="00B10F0C">
      <w:pPr>
        <w:pStyle w:val="CBDNormalNumber"/>
        <w:numPr>
          <w:ilvl w:val="1"/>
          <w:numId w:val="44"/>
        </w:numPr>
        <w:tabs>
          <w:tab w:val="clear" w:pos="567"/>
          <w:tab w:val="clear" w:pos="1134"/>
          <w:tab w:val="clear" w:pos="2268"/>
          <w:tab w:val="left" w:pos="1985"/>
        </w:tabs>
        <w:ind w:left="567" w:firstLine="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Semi-natural ecosystems often retain substantial biodiversity and are thus important from a biodiversity perspective, along with natural ecosystems. This contrasts with anthropogenic (intensively modified) ecosystems, which are of far less importance from a biodiversity perspective. Thus, the key distinction from a biodiversity perspective is between natural or semi-natural ecosystems on the one hand and anthropogenic ecosystems on the other.</w:t>
      </w:r>
      <w:r w:rsidRPr="00ED7E61">
        <w:rPr>
          <w:rStyle w:val="normaltextrun"/>
          <w:color w:val="000000"/>
          <w:lang w:val="en-AU"/>
        </w:rPr>
        <w:t> </w:t>
      </w:r>
    </w:p>
    <w:p w14:paraId="32C53324" w14:textId="38C516D6" w:rsidR="008344AF" w:rsidRPr="00ED7E61" w:rsidRDefault="003D6BBD" w:rsidP="00B10F0C">
      <w:pPr>
        <w:pStyle w:val="CBDNormalNumber"/>
        <w:numPr>
          <w:ilvl w:val="1"/>
          <w:numId w:val="44"/>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If semi-natural ecosystems were excluded from the indicator, this may have the unintended consequence of reducing attention to their management, conservation and in some cases restoration.</w:t>
      </w:r>
      <w:r w:rsidRPr="00ED7E61">
        <w:rPr>
          <w:rStyle w:val="eop"/>
          <w:rFonts w:asciiTheme="majorBidi" w:eastAsiaTheme="majorEastAsia" w:hAnsiTheme="majorBidi" w:cstheme="majorBidi"/>
        </w:rPr>
        <w:t> </w:t>
      </w:r>
    </w:p>
    <w:p w14:paraId="145B4A54" w14:textId="77777777" w:rsidR="003D6BBD" w:rsidRPr="00ED7E61" w:rsidRDefault="003D6BBD" w:rsidP="00B10F0C">
      <w:pPr>
        <w:pStyle w:val="CBDNormalNumber"/>
        <w:numPr>
          <w:ilvl w:val="1"/>
          <w:numId w:val="44"/>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In practice there are virtually no ecosystems that are completely natural and there is no agreed scientific basis for making firm distinctions between natural, near-natural and semi-natural ecosystems, which exist on a continuum, so a narrow definition of natural ecosystems would make the indicator difficult to operationalise. </w:t>
      </w:r>
      <w:r w:rsidRPr="00ED7E61">
        <w:rPr>
          <w:rStyle w:val="eop"/>
          <w:rFonts w:asciiTheme="majorBidi" w:eastAsiaTheme="majorEastAsia" w:hAnsiTheme="majorBidi" w:cstheme="majorBidi"/>
        </w:rPr>
        <w:t> </w:t>
      </w:r>
    </w:p>
    <w:p w14:paraId="17F1A8B3" w14:textId="66237C28" w:rsidR="008344AF" w:rsidRPr="00ED7E61" w:rsidRDefault="003D6BBD" w:rsidP="00B10F0C">
      <w:pPr>
        <w:pStyle w:val="CBDNormalNumber"/>
        <w:numPr>
          <w:ilvl w:val="0"/>
          <w:numId w:val="45"/>
        </w:numPr>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The indicator focuses on conversions from natural/semi-natural to anthropogenic ecosystems and vice versa. The overall indicator will not reflect changes from natural to semi-natural ecosystems or vice versa, or changes from one natural ecosystem type to another.</w:t>
      </w:r>
      <w:r w:rsidRPr="00ED7E61">
        <w:rPr>
          <w:rStyle w:val="normaltextrun"/>
          <w:color w:val="000000"/>
          <w:lang w:val="en-AU"/>
        </w:rPr>
        <w:t> </w:t>
      </w:r>
      <w:r w:rsidR="005B187F" w:rsidRPr="00ED7E61">
        <w:rPr>
          <w:rStyle w:val="normaltextrun"/>
          <w:color w:val="000000"/>
          <w:lang w:val="en-AU"/>
        </w:rPr>
        <w:t>For simplicity, the term “</w:t>
      </w:r>
      <w:r w:rsidR="005B187F" w:rsidRPr="00FB1598">
        <w:rPr>
          <w:rStyle w:val="normaltextrun"/>
          <w:i/>
          <w:iCs/>
          <w:color w:val="000000"/>
          <w:lang w:val="en-AU"/>
        </w:rPr>
        <w:t>natural ecosystems</w:t>
      </w:r>
      <w:r w:rsidR="005B187F" w:rsidRPr="00ED7E61">
        <w:rPr>
          <w:rStyle w:val="normaltextrun"/>
          <w:color w:val="000000"/>
          <w:lang w:val="en-AU"/>
        </w:rPr>
        <w:t>” is used in the metadata to refer to natural and semi-natural ecosystems</w:t>
      </w:r>
    </w:p>
    <w:p w14:paraId="34ACAD35" w14:textId="109D2283" w:rsidR="008344AF" w:rsidRPr="00ED7E61" w:rsidRDefault="003D6BBD" w:rsidP="00B10F0C">
      <w:pPr>
        <w:pStyle w:val="CBDNormalNumber"/>
        <w:numPr>
          <w:ilvl w:val="0"/>
          <w:numId w:val="45"/>
        </w:numPr>
        <w:rPr>
          <w:rStyle w:val="eop"/>
          <w:rFonts w:asciiTheme="majorBidi" w:eastAsiaTheme="majorEastAsia" w:hAnsiTheme="majorBidi" w:cstheme="majorBidi"/>
        </w:rPr>
      </w:pPr>
      <w:r w:rsidRPr="00B3383B">
        <w:rPr>
          <w:rStyle w:val="normaltextrun"/>
        </w:rPr>
        <w:t>The</w:t>
      </w:r>
      <w:r w:rsidRPr="00ED7E61">
        <w:rPr>
          <w:rStyle w:val="normaltextrun"/>
          <w:rFonts w:asciiTheme="majorBidi" w:eastAsiaTheme="majorEastAsia" w:hAnsiTheme="majorBidi" w:cstheme="majorBidi"/>
        </w:rPr>
        <w:t xml:space="preserve"> indicator does not aim to address the ecological condition or integrity of natural ecosystems, which is captured in other indicators such as the Red List of Ecosystems (indicator A1). This means that ecosystems do not have to be in good ecological condition to be included in the indicator as natural or semi-natural. Where land uses in natural ecosystems result in some biodiversity loss and a transition to a semi-natural state (such as in managed native forests or grazed shrublands, grasslands or savannas), this decline in condition and accompanying biodiversity loss would be picked up in a Red List of Ecosystem assessment.</w:t>
      </w:r>
      <w:r w:rsidRPr="00ED7E61">
        <w:rPr>
          <w:rStyle w:val="eop"/>
          <w:rFonts w:asciiTheme="majorBidi" w:eastAsiaTheme="majorEastAsia" w:hAnsiTheme="majorBidi" w:cstheme="majorBidi"/>
        </w:rPr>
        <w:t> </w:t>
      </w:r>
    </w:p>
    <w:p w14:paraId="65B98229" w14:textId="3A2647A0" w:rsidR="008344AF" w:rsidRPr="00ED7E61" w:rsidRDefault="003D6BBD" w:rsidP="00B10F0C">
      <w:pPr>
        <w:pStyle w:val="CBDNormalNumber"/>
        <w:numPr>
          <w:ilvl w:val="0"/>
          <w:numId w:val="45"/>
        </w:numPr>
        <w:rPr>
          <w:rStyle w:val="eop"/>
          <w:rFonts w:asciiTheme="majorBidi" w:eastAsiaTheme="majorEastAsia" w:hAnsiTheme="majorBidi" w:cstheme="majorBidi"/>
        </w:rPr>
      </w:pPr>
      <w:r w:rsidRPr="00ED7E61">
        <w:rPr>
          <w:rStyle w:val="normaltextrun"/>
          <w:rFonts w:asciiTheme="majorBidi" w:eastAsiaTheme="majorEastAsia" w:hAnsiTheme="majorBidi" w:cstheme="majorBidi"/>
        </w:rPr>
        <w:t xml:space="preserve">The </w:t>
      </w:r>
      <w:hyperlink r:id="rId103" w:tgtFrame="_blank" w:history="1">
        <w:r w:rsidRPr="00ED7E61">
          <w:rPr>
            <w:rStyle w:val="normaltextrun"/>
            <w:rFonts w:asciiTheme="majorBidi" w:eastAsiaTheme="majorEastAsia" w:hAnsiTheme="majorBidi" w:cstheme="majorBidi"/>
            <w:color w:val="467886"/>
            <w:u w:val="single"/>
          </w:rPr>
          <w:t>System of Environmental-Economic Accounting (SEEA) Ecosystem Accounting</w:t>
        </w:r>
      </w:hyperlink>
      <w:r w:rsidRPr="00ED7E61">
        <w:rPr>
          <w:rStyle w:val="normaltextrun"/>
          <w:rFonts w:asciiTheme="majorBidi" w:eastAsiaTheme="majorEastAsia" w:hAnsiTheme="majorBidi" w:cstheme="majorBidi"/>
        </w:rPr>
        <w:t xml:space="preserve">, as the adopted international statistical standard for organizing data about ecosystems, measuring ecosystem services, tracking changes in ecosystem assets, and linking this information to economic and other human activity, provides the conceptual framework and methodology for the compilation of this </w:t>
      </w:r>
      <w:r w:rsidRPr="00B3383B">
        <w:rPr>
          <w:rStyle w:val="normaltextrun"/>
        </w:rPr>
        <w:t>indicator</w:t>
      </w:r>
      <w:r w:rsidRPr="00ED7E61">
        <w:rPr>
          <w:rStyle w:val="normaltextrun"/>
          <w:rFonts w:asciiTheme="majorBidi" w:eastAsiaTheme="majorEastAsia" w:hAnsiTheme="majorBidi" w:cstheme="majorBidi"/>
        </w:rPr>
        <w:t>. SEEA Ecosystem Accounting requires accounting for ecosystem extent in biophysical terms as one of five core ecosystem accounts, with the extent account providing the foundation for the other four core accounts. Because accounting tables have a standard structure and are based on standard definitions and classifications, they allow for comparison across time periods and between countries. This makes an accounting approach a powerful basis for the development of national and global indicators. An additional strength of the accounting approach is that accounts provide granular information that can be used for local application and fine-grained policy decisions as well as aggregate information for national and global reporting.</w:t>
      </w:r>
      <w:r w:rsidRPr="00ED7E61">
        <w:rPr>
          <w:rStyle w:val="eop"/>
          <w:rFonts w:asciiTheme="majorBidi" w:eastAsiaTheme="majorEastAsia" w:hAnsiTheme="majorBidi" w:cstheme="majorBidi"/>
        </w:rPr>
        <w:t> </w:t>
      </w:r>
    </w:p>
    <w:p w14:paraId="7225E7CF" w14:textId="29389C3E" w:rsidR="008344AF" w:rsidRPr="00ED7E61" w:rsidRDefault="003D6BBD" w:rsidP="00B10F0C">
      <w:pPr>
        <w:pStyle w:val="CBDNormalNumber"/>
        <w:numPr>
          <w:ilvl w:val="0"/>
          <w:numId w:val="45"/>
        </w:numPr>
        <w:rPr>
          <w:rStyle w:val="eop"/>
          <w:rFonts w:asciiTheme="majorBidi" w:eastAsiaTheme="majorEastAsia" w:hAnsiTheme="majorBidi" w:cstheme="majorBidi"/>
        </w:rPr>
      </w:pPr>
      <w:r w:rsidRPr="00B3383B">
        <w:rPr>
          <w:rStyle w:val="normaltextrun"/>
        </w:rPr>
        <w:t>An</w:t>
      </w:r>
      <w:r w:rsidRPr="00ED7E61">
        <w:rPr>
          <w:rStyle w:val="normaltextrun"/>
          <w:rFonts w:asciiTheme="majorBidi" w:eastAsiaTheme="majorEastAsia" w:hAnsiTheme="majorBidi" w:cstheme="majorBidi"/>
        </w:rPr>
        <w:t xml:space="preserve"> ecosystem extent account tracks the extent of different ecosystem types within an area (such as a country) for successive accounting periods, providing an opening extent and closing extent for each ecosystem type in each accounting period. The information on opening and closing stocks in the account tables can be used to derive a range of indicators and presented in a range of forms (e.g. summary tables, maps, graphs). </w:t>
      </w:r>
      <w:r w:rsidRPr="00ED7E61">
        <w:rPr>
          <w:rStyle w:val="eop"/>
          <w:rFonts w:asciiTheme="majorBidi" w:eastAsiaTheme="majorEastAsia" w:hAnsiTheme="majorBidi" w:cstheme="majorBidi"/>
        </w:rPr>
        <w:t> </w:t>
      </w:r>
    </w:p>
    <w:p w14:paraId="49EEBE89" w14:textId="6E8D1591" w:rsidR="003D6BBD" w:rsidRPr="00ED7E61" w:rsidRDefault="003D6BBD" w:rsidP="00B10F0C">
      <w:pPr>
        <w:pStyle w:val="CBDNormalNumber"/>
        <w:numPr>
          <w:ilvl w:val="0"/>
          <w:numId w:val="45"/>
        </w:numPr>
      </w:pPr>
      <w:r w:rsidRPr="00ED7E61">
        <w:rPr>
          <w:rStyle w:val="normaltextrun"/>
          <w:rFonts w:asciiTheme="majorBidi" w:eastAsiaTheme="majorEastAsia" w:hAnsiTheme="majorBidi" w:cstheme="majorBidi"/>
        </w:rPr>
        <w:t>In its simplest form, the indicator “</w:t>
      </w:r>
      <w:r w:rsidRPr="00FB1598">
        <w:rPr>
          <w:rStyle w:val="normaltextrun"/>
          <w:rFonts w:asciiTheme="majorBidi" w:eastAsiaTheme="majorEastAsia" w:hAnsiTheme="majorBidi" w:cstheme="majorBidi"/>
          <w:i/>
          <w:iCs/>
        </w:rPr>
        <w:t>Extent of natural ecosystems</w:t>
      </w:r>
      <w:r w:rsidRPr="00ED7E61">
        <w:rPr>
          <w:rStyle w:val="normaltextrun"/>
          <w:rFonts w:asciiTheme="majorBidi" w:eastAsiaTheme="majorEastAsia" w:hAnsiTheme="majorBidi" w:cstheme="majorBidi"/>
        </w:rPr>
        <w:t xml:space="preserve">” can be shown as natural and semi-natural ecosystems as a proportion of total area, at the national level and globally, based on the closing extent </w:t>
      </w:r>
      <w:r w:rsidRPr="00B3383B">
        <w:rPr>
          <w:rStyle w:val="normaltextrun"/>
        </w:rPr>
        <w:t>for</w:t>
      </w:r>
      <w:r w:rsidRPr="00ED7E61">
        <w:rPr>
          <w:rStyle w:val="normaltextrun"/>
          <w:rFonts w:asciiTheme="majorBidi" w:eastAsiaTheme="majorEastAsia" w:hAnsiTheme="majorBidi" w:cstheme="majorBidi"/>
        </w:rPr>
        <w:t xml:space="preserve"> a particular accounting period. This provides information about the abundance of all natural and semi-natural ecosystems relative to anthropogenic ecosystems. A mock-up (with a hypothetical global average) is provided in </w:t>
      </w:r>
      <w:r w:rsidR="00FB33CD">
        <w:rPr>
          <w:rStyle w:val="normaltextrun"/>
          <w:rFonts w:asciiTheme="majorBidi" w:eastAsiaTheme="majorEastAsia" w:hAnsiTheme="majorBidi" w:cstheme="majorBidi"/>
        </w:rPr>
        <w:t>f</w:t>
      </w:r>
      <w:r w:rsidRPr="00ED7E61">
        <w:rPr>
          <w:rStyle w:val="normaltextrun"/>
          <w:rFonts w:asciiTheme="majorBidi" w:eastAsiaTheme="majorEastAsia" w:hAnsiTheme="majorBidi" w:cstheme="majorBidi"/>
        </w:rPr>
        <w:t xml:space="preserve">igure </w:t>
      </w:r>
      <w:r w:rsidR="00FB33CD">
        <w:rPr>
          <w:rStyle w:val="normaltextrun"/>
          <w:rFonts w:asciiTheme="majorBidi" w:eastAsiaTheme="majorEastAsia" w:hAnsiTheme="majorBidi" w:cstheme="majorBidi"/>
        </w:rPr>
        <w:t>I</w:t>
      </w:r>
      <w:r w:rsidRPr="00ED7E61">
        <w:rPr>
          <w:rStyle w:val="normaltextrun"/>
          <w:rFonts w:asciiTheme="majorBidi" w:eastAsiaTheme="majorEastAsia" w:hAnsiTheme="majorBidi" w:cstheme="majorBidi"/>
        </w:rPr>
        <w:t>. An average per region could also be included.</w:t>
      </w:r>
      <w:r w:rsidRPr="00ED7E61">
        <w:rPr>
          <w:rStyle w:val="eop"/>
          <w:rFonts w:asciiTheme="majorBidi" w:eastAsiaTheme="majorEastAsia" w:hAnsiTheme="majorBidi" w:cstheme="majorBidi"/>
        </w:rPr>
        <w:t> </w:t>
      </w:r>
    </w:p>
    <w:p w14:paraId="6710686E"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7B833BEB" w14:textId="77777777" w:rsidR="003D6BBD" w:rsidRPr="00ED7E61" w:rsidRDefault="003D6BBD" w:rsidP="003D6BBD">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wacimagecontainer"/>
          <w:rFonts w:asciiTheme="majorBidi" w:eastAsiaTheme="majorEastAsia" w:hAnsiTheme="majorBidi" w:cstheme="majorBidi"/>
          <w:noProof/>
          <w:sz w:val="22"/>
          <w:szCs w:val="22"/>
          <w:lang w:val="fr-FR" w:eastAsia="fr-FR"/>
        </w:rPr>
        <w:drawing>
          <wp:inline distT="0" distB="0" distL="0" distR="0" wp14:anchorId="36F356A0" wp14:editId="3B9775DC">
            <wp:extent cx="4597400" cy="2783981"/>
            <wp:effectExtent l="0" t="0" r="0" b="0"/>
            <wp:docPr id="1104416313" name="Picture 13" descr="A graph of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16313" name="Picture 13" descr="A graph of green bars&#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06176" cy="2789295"/>
                    </a:xfrm>
                    <a:prstGeom prst="rect">
                      <a:avLst/>
                    </a:prstGeom>
                    <a:noFill/>
                    <a:ln>
                      <a:noFill/>
                    </a:ln>
                  </pic:spPr>
                </pic:pic>
              </a:graphicData>
            </a:graphic>
          </wp:inline>
        </w:drawing>
      </w:r>
      <w:r w:rsidRPr="00ED7E61">
        <w:rPr>
          <w:rStyle w:val="eop"/>
          <w:rFonts w:asciiTheme="majorBidi" w:eastAsiaTheme="majorEastAsia" w:hAnsiTheme="majorBidi" w:cstheme="majorBidi"/>
          <w:sz w:val="22"/>
          <w:szCs w:val="22"/>
        </w:rPr>
        <w:t> </w:t>
      </w:r>
    </w:p>
    <w:p w14:paraId="749E9F27" w14:textId="358140AE" w:rsidR="003D6BBD" w:rsidRPr="00B3383B" w:rsidRDefault="003D6BBD" w:rsidP="00B3383B">
      <w:pPr>
        <w:pStyle w:val="paragraph"/>
        <w:spacing w:before="0" w:beforeAutospacing="0" w:after="0" w:afterAutospacing="0"/>
        <w:textAlignment w:val="baseline"/>
        <w:rPr>
          <w:rFonts w:asciiTheme="majorBidi" w:hAnsiTheme="majorBidi" w:cstheme="majorBidi"/>
          <w:b/>
          <w:bCs/>
          <w:color w:val="0E2841"/>
          <w:sz w:val="22"/>
          <w:szCs w:val="22"/>
        </w:rPr>
      </w:pPr>
      <w:r w:rsidRPr="00B3383B">
        <w:rPr>
          <w:rStyle w:val="normaltextrun"/>
          <w:rFonts w:asciiTheme="majorBidi" w:eastAsiaTheme="majorEastAsia" w:hAnsiTheme="majorBidi" w:cstheme="majorBidi"/>
          <w:sz w:val="22"/>
          <w:szCs w:val="22"/>
          <w:lang w:val="en-GB"/>
        </w:rPr>
        <w:t xml:space="preserve">Figure </w:t>
      </w:r>
      <w:r w:rsidR="00FB33CD" w:rsidRPr="00B3383B">
        <w:rPr>
          <w:rStyle w:val="normaltextrun"/>
          <w:rFonts w:asciiTheme="majorBidi" w:eastAsiaTheme="majorEastAsia" w:hAnsiTheme="majorBidi" w:cstheme="majorBidi"/>
          <w:sz w:val="22"/>
          <w:szCs w:val="22"/>
          <w:shd w:val="clear" w:color="auto" w:fill="E1E3E6"/>
          <w:lang w:val="en-GB"/>
        </w:rPr>
        <w:t>I</w:t>
      </w:r>
      <w:r w:rsidRPr="00B3383B">
        <w:rPr>
          <w:rStyle w:val="normaltextrun"/>
          <w:rFonts w:asciiTheme="majorBidi" w:eastAsiaTheme="majorEastAsia" w:hAnsiTheme="majorBidi" w:cstheme="majorBidi"/>
          <w:sz w:val="22"/>
          <w:szCs w:val="22"/>
          <w:lang w:val="en-GB"/>
        </w:rPr>
        <w:t>.</w:t>
      </w:r>
      <w:r w:rsidRPr="00ED7E61">
        <w:rPr>
          <w:rStyle w:val="normaltextrun"/>
          <w:rFonts w:asciiTheme="majorBidi" w:eastAsiaTheme="majorEastAsia" w:hAnsiTheme="majorBidi" w:cstheme="majorBidi"/>
          <w:i/>
          <w:iCs/>
          <w:sz w:val="22"/>
          <w:szCs w:val="22"/>
          <w:lang w:val="en-GB"/>
        </w:rPr>
        <w:t xml:space="preserve"> </w:t>
      </w:r>
      <w:r w:rsidR="00C61E49">
        <w:rPr>
          <w:rStyle w:val="normaltextrun"/>
          <w:rFonts w:asciiTheme="majorBidi" w:eastAsiaTheme="majorEastAsia" w:hAnsiTheme="majorBidi" w:cstheme="majorBidi"/>
          <w:i/>
          <w:iCs/>
          <w:sz w:val="22"/>
          <w:szCs w:val="22"/>
          <w:lang w:val="en-GB"/>
        </w:rPr>
        <w:br/>
      </w:r>
      <w:r w:rsidRPr="00B3383B">
        <w:rPr>
          <w:rStyle w:val="normaltextrun"/>
          <w:rFonts w:asciiTheme="majorBidi" w:eastAsiaTheme="majorEastAsia" w:hAnsiTheme="majorBidi" w:cstheme="majorBidi"/>
          <w:b/>
          <w:bCs/>
          <w:sz w:val="22"/>
          <w:szCs w:val="22"/>
          <w:lang w:val="en-GB"/>
        </w:rPr>
        <w:t>Mock-up of indicator Proportion of natural ecosystems as at end of accounting period</w:t>
      </w:r>
      <w:r w:rsidRPr="00B3383B">
        <w:rPr>
          <w:rStyle w:val="eop"/>
          <w:rFonts w:asciiTheme="majorBidi" w:eastAsiaTheme="majorEastAsia" w:hAnsiTheme="majorBidi" w:cstheme="majorBidi"/>
          <w:b/>
          <w:bCs/>
          <w:sz w:val="22"/>
          <w:szCs w:val="22"/>
        </w:rPr>
        <w:t> </w:t>
      </w:r>
    </w:p>
    <w:p w14:paraId="2A67A770" w14:textId="2A10C482" w:rsidR="008344AF"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 xml:space="preserve">The natural ecosystems can be disaggregated into different ecosystem types, for example by realm, biome or </w:t>
      </w:r>
      <w:r w:rsidRPr="00B3383B">
        <w:rPr>
          <w:rStyle w:val="normaltextrun"/>
        </w:rPr>
        <w:t>ecosystem</w:t>
      </w:r>
      <w:r w:rsidRPr="00ED7E61">
        <w:rPr>
          <w:rStyle w:val="normaltextrun"/>
          <w:rFonts w:asciiTheme="majorBidi" w:eastAsiaTheme="majorEastAsia" w:hAnsiTheme="majorBidi" w:cstheme="majorBidi"/>
        </w:rPr>
        <w:t xml:space="preserve"> functional group, to show the relative abundance or scarcity of different ecosystem types within the broad “</w:t>
      </w:r>
      <w:r w:rsidRPr="00FB1598">
        <w:rPr>
          <w:rStyle w:val="normaltextrun"/>
          <w:rFonts w:asciiTheme="majorBidi" w:eastAsiaTheme="majorEastAsia" w:hAnsiTheme="majorBidi" w:cstheme="majorBidi"/>
          <w:i/>
          <w:iCs/>
        </w:rPr>
        <w:t>natural</w:t>
      </w:r>
      <w:r w:rsidRPr="00ED7E61">
        <w:rPr>
          <w:rStyle w:val="normaltextrun"/>
          <w:rFonts w:asciiTheme="majorBidi" w:eastAsiaTheme="majorEastAsia" w:hAnsiTheme="majorBidi" w:cstheme="majorBidi"/>
        </w:rPr>
        <w:t>” category.</w:t>
      </w:r>
      <w:r w:rsidRPr="00ED7E61">
        <w:rPr>
          <w:rStyle w:val="eop"/>
          <w:rFonts w:asciiTheme="majorBidi" w:eastAsiaTheme="majorEastAsia" w:hAnsiTheme="majorBidi" w:cstheme="majorBidi"/>
        </w:rPr>
        <w:t> </w:t>
      </w:r>
    </w:p>
    <w:p w14:paraId="6CD29211" w14:textId="77777777" w:rsidR="003D6BBD"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The focus on natural ecosystems in Indicator A2 means that it aligns with the scope of Indicator A1, the Red List of Ecosystems, as Red List assessments focus primarily on natural ecosystems. Indicator A2 complements Indicator A1, each providing a different perspective. Indicator A1 focuses on which ecosystem types are most threatened and face the greatest risk of collapse, while indicator A2 focuses on the abundance of natural ecosystems relative to anthropogenic ecosystems and the relative abundance or scarcity of different natural ecosystem types. </w:t>
      </w:r>
      <w:r w:rsidRPr="00ED7E61">
        <w:rPr>
          <w:rStyle w:val="eop"/>
          <w:rFonts w:asciiTheme="majorBidi" w:eastAsiaTheme="majorEastAsia" w:hAnsiTheme="majorBidi" w:cstheme="majorBidi"/>
        </w:rPr>
        <w:t> </w:t>
      </w:r>
    </w:p>
    <w:p w14:paraId="59332B23" w14:textId="3A9B275B" w:rsidR="003D6BBD" w:rsidRPr="00ED7E61" w:rsidRDefault="003D6BBD"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1B0AB3E3"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04A3BA99" w14:textId="77777777" w:rsidR="003D6BBD" w:rsidRPr="00ED7E61" w:rsidRDefault="003D6BBD"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AU"/>
        </w:rPr>
        <w:t>Indicator definition</w:t>
      </w:r>
      <w:r w:rsidRPr="00ED7E61">
        <w:rPr>
          <w:rStyle w:val="normaltextrun"/>
          <w:rFonts w:asciiTheme="majorBidi" w:eastAsiaTheme="majorEastAsia" w:hAnsiTheme="majorBidi" w:cstheme="majorBidi"/>
          <w:color w:val="000000"/>
          <w:sz w:val="22"/>
          <w:szCs w:val="22"/>
          <w:lang w:val="en-AU"/>
        </w:rPr>
        <w:t>: </w:t>
      </w:r>
      <w:r w:rsidRPr="00ED7E61">
        <w:rPr>
          <w:rStyle w:val="eop"/>
          <w:rFonts w:asciiTheme="majorBidi" w:eastAsiaTheme="majorEastAsia" w:hAnsiTheme="majorBidi" w:cstheme="majorBidi"/>
          <w:color w:val="000000"/>
          <w:sz w:val="22"/>
          <w:szCs w:val="22"/>
        </w:rPr>
        <w:t> </w:t>
      </w:r>
    </w:p>
    <w:p w14:paraId="32691239" w14:textId="08AC30C4" w:rsidR="008344AF"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 indicator, at the national level, is defined as the extent of natural and semi-natural ecosystems as a proportion of total area of the country at a particular point in time, expressed as a percentage. The </w:t>
      </w:r>
      <w:r w:rsidRPr="00B3383B">
        <w:rPr>
          <w:rStyle w:val="normaltextrun"/>
        </w:rPr>
        <w:t>point</w:t>
      </w:r>
      <w:r w:rsidRPr="00ED7E61">
        <w:rPr>
          <w:rStyle w:val="normaltextrun"/>
          <w:rFonts w:asciiTheme="majorBidi" w:eastAsiaTheme="majorEastAsia" w:hAnsiTheme="majorBidi" w:cstheme="majorBidi"/>
        </w:rPr>
        <w:t xml:space="preserve"> in time is the closing date of the accounting period for which the ecosystem accounts were compiled. Trends over time will be evident from changes in the proportion of total area over successive accounting periods. </w:t>
      </w:r>
      <w:r w:rsidRPr="00ED7E61">
        <w:rPr>
          <w:rStyle w:val="normaltextrun"/>
        </w:rPr>
        <w:t> </w:t>
      </w:r>
    </w:p>
    <w:p w14:paraId="378C9E93" w14:textId="7BCEC379" w:rsidR="008344AF"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 xml:space="preserve">The total </w:t>
      </w:r>
      <w:r w:rsidRPr="00B3383B">
        <w:rPr>
          <w:rStyle w:val="normaltextrun"/>
        </w:rPr>
        <w:t>surface</w:t>
      </w:r>
      <w:r w:rsidRPr="00ED7E61">
        <w:rPr>
          <w:rStyle w:val="normaltextrun"/>
          <w:rFonts w:asciiTheme="majorBidi" w:eastAsiaTheme="majorEastAsia" w:hAnsiTheme="majorBidi" w:cstheme="majorBidi"/>
        </w:rPr>
        <w:t xml:space="preserve"> area of a country includes land, inland water and, if applicable, territorial waters (i.e. ocean area to the end of the exclusive economic zone). For countries with marine territory, the indicator should be compiled ideally for the total surface area of the country, including territorial waters. However, it could be compiled only for land and inland water areas if data on the distribution of marine ecosystems are not yet available. </w:t>
      </w:r>
      <w:r w:rsidRPr="00ED7E61">
        <w:rPr>
          <w:rStyle w:val="eop"/>
          <w:rFonts w:asciiTheme="majorBidi" w:eastAsiaTheme="majorEastAsia" w:hAnsiTheme="majorBidi" w:cstheme="majorBidi"/>
        </w:rPr>
        <w:t> </w:t>
      </w:r>
    </w:p>
    <w:p w14:paraId="7ACF8D8B" w14:textId="79767584" w:rsidR="003D6BBD" w:rsidRPr="00C61E49" w:rsidRDefault="003D6BBD" w:rsidP="00B10F0C">
      <w:pPr>
        <w:pStyle w:val="CBDNormalNumber"/>
        <w:numPr>
          <w:ilvl w:val="0"/>
          <w:numId w:val="45"/>
        </w:numPr>
        <w:rPr>
          <w:rStyle w:val="normaltextrun"/>
          <w:rFonts w:asciiTheme="majorBidi" w:eastAsiaTheme="majorEastAsia" w:hAnsiTheme="majorBidi" w:cstheme="majorBidi"/>
          <w:b/>
          <w:bCs/>
          <w:color w:val="000000"/>
          <w:lang w:val="en-AU"/>
        </w:rPr>
      </w:pPr>
      <w:r w:rsidRPr="00ED7E61">
        <w:rPr>
          <w:rStyle w:val="normaltextrun"/>
          <w:rFonts w:asciiTheme="majorBidi" w:eastAsiaTheme="majorEastAsia" w:hAnsiTheme="majorBidi" w:cstheme="majorBidi"/>
        </w:rPr>
        <w:t xml:space="preserve">It is </w:t>
      </w:r>
      <w:r w:rsidRPr="00B3383B">
        <w:rPr>
          <w:rStyle w:val="normaltextrun"/>
        </w:rPr>
        <w:t>recognised</w:t>
      </w:r>
      <w:r w:rsidRPr="00ED7E61">
        <w:rPr>
          <w:rStyle w:val="normaltextrun"/>
          <w:rFonts w:asciiTheme="majorBidi" w:eastAsiaTheme="majorEastAsia" w:hAnsiTheme="majorBidi" w:cstheme="majorBidi"/>
        </w:rPr>
        <w:t xml:space="preserve"> that the indicator does not capture information about ecosystems in the high seas (i.e. areas beyond national jurisdiction).</w:t>
      </w:r>
      <w:r w:rsidRPr="00ED7E61">
        <w:rPr>
          <w:rStyle w:val="eop"/>
          <w:rFonts w:asciiTheme="majorBidi" w:eastAsiaTheme="majorEastAsia" w:hAnsiTheme="majorBidi" w:cstheme="majorBidi"/>
        </w:rPr>
        <w:t> </w:t>
      </w:r>
    </w:p>
    <w:p w14:paraId="0775F4D3"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AU"/>
        </w:rPr>
        <w:t>Other key concepts and definitions:</w:t>
      </w:r>
      <w:r w:rsidRPr="00ED7E61">
        <w:rPr>
          <w:rStyle w:val="eop"/>
          <w:rFonts w:asciiTheme="majorBidi" w:eastAsiaTheme="majorEastAsia" w:hAnsiTheme="majorBidi" w:cstheme="majorBidi"/>
          <w:color w:val="000000"/>
          <w:sz w:val="22"/>
          <w:szCs w:val="22"/>
        </w:rPr>
        <w:t> </w:t>
      </w:r>
    </w:p>
    <w:p w14:paraId="533E08B6" w14:textId="3566D248"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 </w:t>
      </w:r>
      <w:r w:rsidRPr="00B3383B">
        <w:rPr>
          <w:rStyle w:val="normaltextrun"/>
        </w:rPr>
        <w:t>concepts</w:t>
      </w:r>
      <w:r w:rsidRPr="00ED7E61">
        <w:rPr>
          <w:rStyle w:val="normaltextrun"/>
          <w:rFonts w:asciiTheme="majorBidi" w:eastAsiaTheme="majorEastAsia" w:hAnsiTheme="majorBidi" w:cstheme="majorBidi"/>
        </w:rPr>
        <w:t>, definitions and classification used are based on the SEEA Ecosystem Accounting</w:t>
      </w:r>
      <w:r w:rsidRPr="00ED7E61">
        <w:rPr>
          <w:rStyle w:val="normaltextrun"/>
          <w:rFonts w:eastAsiaTheme="majorEastAsia"/>
        </w:rPr>
        <w:t>1</w:t>
      </w:r>
      <w:r w:rsidRPr="00ED7E61">
        <w:rPr>
          <w:rStyle w:val="normaltextrun"/>
          <w:rFonts w:asciiTheme="majorBidi" w:eastAsiaTheme="majorEastAsia" w:hAnsiTheme="majorBidi" w:cstheme="majorBidi"/>
        </w:rPr>
        <w:t xml:space="preserve"> and the International Union for the Conservation of Nature’s Global Ecosystem Typology (IUCN GET)</w:t>
      </w:r>
      <w:r w:rsidR="003D4EC6">
        <w:rPr>
          <w:rStyle w:val="normaltextrun"/>
          <w:rFonts w:asciiTheme="majorBidi" w:eastAsiaTheme="majorEastAsia" w:hAnsiTheme="majorBidi" w:cstheme="majorBidi"/>
        </w:rPr>
        <w:t xml:space="preserve"> (</w:t>
      </w:r>
      <w:r w:rsidR="003D4EC6" w:rsidRPr="00ED7E61">
        <w:rPr>
          <w:rStyle w:val="normaltextrun"/>
          <w:rFonts w:asciiTheme="majorBidi" w:eastAsiaTheme="majorEastAsia" w:hAnsiTheme="majorBidi" w:cstheme="majorBidi"/>
          <w:color w:val="000000"/>
          <w:lang w:val="en-AU"/>
        </w:rPr>
        <w:t>United Nations et al. 2021)</w:t>
      </w:r>
      <w:r w:rsidRPr="00ED7E61">
        <w:rPr>
          <w:rStyle w:val="normaltextrun"/>
          <w:rFonts w:asciiTheme="majorBidi" w:eastAsiaTheme="majorEastAsia" w:hAnsiTheme="majorBidi" w:cstheme="majorBidi"/>
        </w:rPr>
        <w:t>. </w:t>
      </w:r>
      <w:r w:rsidRPr="00ED7E61">
        <w:rPr>
          <w:rStyle w:val="normaltextrun"/>
        </w:rPr>
        <w:t> </w:t>
      </w:r>
    </w:p>
    <w:p w14:paraId="66FBF1A7" w14:textId="449DF5F0" w:rsidR="008344AF" w:rsidRPr="00ED7E61" w:rsidRDefault="003D6BBD" w:rsidP="00B10F0C">
      <w:pPr>
        <w:pStyle w:val="CBDNormalNumber"/>
        <w:numPr>
          <w:ilvl w:val="0"/>
          <w:numId w:val="45"/>
        </w:numPr>
        <w:rPr>
          <w:rStyle w:val="normaltextrun"/>
          <w:rFonts w:eastAsiaTheme="majorEastAsia"/>
        </w:rPr>
      </w:pPr>
      <w:r w:rsidRPr="00ED7E61">
        <w:rPr>
          <w:rStyle w:val="normaltextrun"/>
          <w:rFonts w:asciiTheme="majorBidi" w:eastAsiaTheme="majorEastAsia" w:hAnsiTheme="majorBidi" w:cstheme="majorBidi"/>
          <w:i/>
          <w:iCs/>
        </w:rPr>
        <w:t>Ecosystem extent</w:t>
      </w:r>
      <w:r w:rsidRPr="00ED7E61">
        <w:rPr>
          <w:rStyle w:val="normaltextrun"/>
          <w:rFonts w:asciiTheme="majorBidi" w:eastAsiaTheme="majorEastAsia" w:hAnsiTheme="majorBidi" w:cstheme="majorBidi"/>
        </w:rPr>
        <w:t xml:space="preserve"> is the size of an ecosystem asset, where ecosystem assets are defined as contiguous spaces of a specific ecosystem type characterized by a distinct set of biotic and abiotic components and their interactions</w:t>
      </w:r>
      <w:r w:rsidR="003D4EC6">
        <w:rPr>
          <w:rStyle w:val="normaltextrun"/>
          <w:rFonts w:asciiTheme="majorBidi" w:eastAsiaTheme="majorEastAsia" w:hAnsiTheme="majorBidi" w:cstheme="majorBidi"/>
        </w:rPr>
        <w:t xml:space="preserve"> (</w:t>
      </w:r>
      <w:r w:rsidR="003D4EC6" w:rsidRPr="00ED7E61">
        <w:rPr>
          <w:rStyle w:val="normaltextrun"/>
          <w:rFonts w:asciiTheme="majorBidi" w:eastAsiaTheme="majorEastAsia" w:hAnsiTheme="majorBidi" w:cstheme="majorBidi"/>
          <w:color w:val="000000"/>
          <w:lang w:val="en-AU"/>
        </w:rPr>
        <w:t>United Nations 2021).</w:t>
      </w:r>
      <w:r w:rsidRPr="00ED7E61">
        <w:rPr>
          <w:rStyle w:val="normaltextrun"/>
          <w:rFonts w:asciiTheme="majorBidi" w:eastAsiaTheme="majorEastAsia" w:hAnsiTheme="majorBidi" w:cstheme="majorBidi"/>
        </w:rPr>
        <w:t xml:space="preserve">, and the specific ecosystem type reflects a distinct set of abiotic and biotic components and their interactions. An ecosystem type may have several occurrences </w:t>
      </w:r>
      <w:r w:rsidR="00596B05"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i.e. be made up of several ecosystem assets</w:t>
      </w:r>
      <w:r w:rsidR="00596B05"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The extent of all the ecosystem assets combined make up the extent of the ecosystem type. </w:t>
      </w:r>
      <w:r w:rsidRPr="00ED7E61">
        <w:rPr>
          <w:rStyle w:val="normaltextrun"/>
        </w:rPr>
        <w:t> </w:t>
      </w:r>
    </w:p>
    <w:p w14:paraId="7B48D268" w14:textId="09F84F27" w:rsidR="008344AF"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 xml:space="preserve">The total area for which ecosystem accounts are compiled is called the </w:t>
      </w:r>
      <w:r w:rsidRPr="00ED7E61">
        <w:rPr>
          <w:rStyle w:val="normaltextrun"/>
          <w:rFonts w:asciiTheme="majorBidi" w:eastAsiaTheme="majorEastAsia" w:hAnsiTheme="majorBidi" w:cstheme="majorBidi"/>
          <w:i/>
          <w:iCs/>
        </w:rPr>
        <w:t>ecosystem accounting area</w:t>
      </w:r>
      <w:r w:rsidRPr="00ED7E61">
        <w:rPr>
          <w:rStyle w:val="normaltextrun"/>
          <w:rFonts w:asciiTheme="majorBidi" w:eastAsiaTheme="majorEastAsia" w:hAnsiTheme="majorBidi" w:cstheme="majorBidi"/>
        </w:rPr>
        <w:t xml:space="preserve">. For the purposes of accounting, ecosystem types must be delineated to be spatially mutually exclusive and </w:t>
      </w:r>
      <w:r w:rsidRPr="00B3383B">
        <w:rPr>
          <w:rStyle w:val="normaltextrun"/>
        </w:rPr>
        <w:t>comprehensive</w:t>
      </w:r>
      <w:r w:rsidRPr="00ED7E61">
        <w:rPr>
          <w:rStyle w:val="normaltextrun"/>
          <w:rFonts w:asciiTheme="majorBidi" w:eastAsiaTheme="majorEastAsia" w:hAnsiTheme="majorBidi" w:cstheme="majorBidi"/>
        </w:rPr>
        <w:t xml:space="preserve"> across the ecosystem accounting area (i.e. no overlaps</w:t>
      </w:r>
      <w:r w:rsidR="003D4EC6">
        <w:rPr>
          <w:rStyle w:val="normaltextrun"/>
          <w:rFonts w:asciiTheme="majorBidi" w:eastAsiaTheme="majorEastAsia" w:hAnsiTheme="majorBidi" w:cstheme="majorBidi"/>
        </w:rPr>
        <w:t xml:space="preserve"> (</w:t>
      </w:r>
      <w:r w:rsidR="003D4EC6" w:rsidRPr="00ED7E61">
        <w:rPr>
          <w:rStyle w:val="normaltextrun"/>
          <w:rFonts w:asciiTheme="majorBidi" w:eastAsiaTheme="majorEastAsia" w:hAnsiTheme="majorBidi" w:cstheme="majorBidi"/>
          <w:color w:val="000000"/>
          <w:lang w:val="en-AU"/>
        </w:rPr>
        <w:t>ARIES for SEEA</w:t>
      </w:r>
      <w:r w:rsidR="003D4EC6">
        <w:rPr>
          <w:rStyle w:val="normaltextrun"/>
          <w:rFonts w:asciiTheme="majorBidi" w:eastAsiaTheme="majorEastAsia" w:hAnsiTheme="majorBidi" w:cstheme="majorBidi"/>
          <w:color w:val="000000"/>
          <w:lang w:val="en-AU"/>
        </w:rPr>
        <w:t>)</w:t>
      </w:r>
      <w:r w:rsidR="003D4EC6">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 xml:space="preserve">or gaps between ecosystem types and wall-to-wall coverage of the whole ecosystem accounting area). The total area is the sum of the areas of all </w:t>
      </w:r>
      <w:r w:rsidRPr="00ED7E61">
        <w:rPr>
          <w:rStyle w:val="normaltextrun"/>
          <w:rFonts w:asciiTheme="majorBidi" w:eastAsiaTheme="majorEastAsia" w:hAnsiTheme="majorBidi" w:cstheme="majorBidi"/>
          <w:lang w:val="en-AU"/>
        </w:rPr>
        <w:t>ecosystem types in that area including natural, semi-natural and anthropogenic ecosystem types. For the purposes of this indicator, the ecosystem accounting area should be the total area of the country. For countries that have marine territory, the total surface area of the country could be divided into separate ecosystem accounting areas, for example one for the land and inland water area and another for the territorial waters. Further guidance on this will be provided in compilation guidelines to be developed.</w:t>
      </w:r>
      <w:r w:rsidRPr="00ED7E61">
        <w:rPr>
          <w:rStyle w:val="eop"/>
          <w:rFonts w:asciiTheme="majorBidi" w:eastAsiaTheme="majorEastAsia" w:hAnsiTheme="majorBidi" w:cstheme="majorBidi"/>
        </w:rPr>
        <w:t> </w:t>
      </w:r>
    </w:p>
    <w:p w14:paraId="12D41209" w14:textId="4389A677" w:rsidR="008344AF"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i/>
          <w:iCs/>
          <w:lang w:val="en-AU"/>
        </w:rPr>
        <w:t>Changes in extent</w:t>
      </w:r>
      <w:r w:rsidRPr="00ED7E61">
        <w:rPr>
          <w:rStyle w:val="normaltextrun"/>
          <w:rFonts w:asciiTheme="majorBidi" w:eastAsiaTheme="majorEastAsia" w:hAnsiTheme="majorBidi" w:cstheme="majorBidi"/>
          <w:lang w:val="en-AU"/>
        </w:rPr>
        <w:t xml:space="preserve"> of natural ecosystems occur primarily through </w:t>
      </w:r>
      <w:r w:rsidRPr="00ED7E61">
        <w:rPr>
          <w:rStyle w:val="normaltextrun"/>
          <w:rFonts w:asciiTheme="majorBidi" w:eastAsiaTheme="majorEastAsia" w:hAnsiTheme="majorBidi" w:cstheme="majorBidi"/>
          <w:i/>
          <w:iCs/>
          <w:lang w:val="en-AU"/>
        </w:rPr>
        <w:t>ecosystem conversion</w:t>
      </w:r>
      <w:r w:rsidRPr="00ED7E61">
        <w:rPr>
          <w:rStyle w:val="normaltextrun"/>
          <w:rFonts w:asciiTheme="majorBidi" w:eastAsiaTheme="majorEastAsia" w:hAnsiTheme="majorBidi" w:cstheme="majorBidi"/>
          <w:lang w:val="en-AU"/>
        </w:rPr>
        <w:t xml:space="preserve">. In the SEEA Ecosystem Accounting, ecosystem conversions refer to situations in which, for a given location, there is a change in ecosystem type involving a distinct and persistent change in the ecological </w:t>
      </w:r>
      <w:r w:rsidRPr="00B3383B">
        <w:rPr>
          <w:rStyle w:val="normaltextrun"/>
        </w:rPr>
        <w:t>structure</w:t>
      </w:r>
      <w:r w:rsidRPr="00ED7E61">
        <w:rPr>
          <w:rStyle w:val="normaltextrun"/>
          <w:rFonts w:asciiTheme="majorBidi" w:eastAsiaTheme="majorEastAsia" w:hAnsiTheme="majorBidi" w:cstheme="majorBidi"/>
          <w:lang w:val="en-AU"/>
        </w:rPr>
        <w:t>, composition and function which, in turn, is reflected in the supply of a different set of ecosystem services. This definition aligns well with the approach to loss of ecosystem area (leading eventually to ecosystem collapse) in the Red List of Ecosystems. </w:t>
      </w:r>
      <w:r w:rsidRPr="00ED7E61">
        <w:rPr>
          <w:rStyle w:val="eop"/>
          <w:rFonts w:asciiTheme="majorBidi" w:eastAsiaTheme="majorEastAsia" w:hAnsiTheme="majorBidi" w:cstheme="majorBidi"/>
        </w:rPr>
        <w:t> </w:t>
      </w:r>
    </w:p>
    <w:p w14:paraId="6EDE7392" w14:textId="44563D2B" w:rsidR="008344AF"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lang w:val="en-AU"/>
        </w:rPr>
        <w:t>Reduction in the extent of natural and semi-natural ecosystems will be tracked primarily through measuring conversion of area within natural or semi-natural ecosystems to anthropogenic ecosystems. There are also instances in which the extent of natural ecosystems may increase, for example through restoration of anthropogenic ecosystems to natural or semi-natural ecosystems.</w:t>
      </w:r>
      <w:r w:rsidRPr="00ED7E61">
        <w:rPr>
          <w:rStyle w:val="eop"/>
          <w:rFonts w:asciiTheme="majorBidi" w:eastAsiaTheme="majorEastAsia" w:hAnsiTheme="majorBidi" w:cstheme="majorBidi"/>
        </w:rPr>
        <w:t> </w:t>
      </w:r>
    </w:p>
    <w:p w14:paraId="2558BF6D" w14:textId="50874123" w:rsidR="008344AF" w:rsidRPr="00ED7E61" w:rsidRDefault="003D6BBD" w:rsidP="00B10F0C">
      <w:pPr>
        <w:pStyle w:val="CBDNormalNumber"/>
        <w:numPr>
          <w:ilvl w:val="0"/>
          <w:numId w:val="45"/>
        </w:numPr>
        <w:rPr>
          <w:rFonts w:asciiTheme="majorBidi" w:hAnsiTheme="majorBidi" w:cstheme="majorBidi"/>
        </w:rPr>
      </w:pPr>
      <w:r w:rsidRPr="00B3383B">
        <w:rPr>
          <w:rStyle w:val="normaltextrun"/>
        </w:rPr>
        <w:t>Ecosystems</w:t>
      </w:r>
      <w:r w:rsidRPr="00ED7E61">
        <w:rPr>
          <w:rStyle w:val="normaltextrun"/>
          <w:rFonts w:asciiTheme="majorBidi" w:eastAsiaTheme="majorEastAsia" w:hAnsiTheme="majorBidi" w:cstheme="majorBidi"/>
        </w:rPr>
        <w:t xml:space="preserve"> are classified according to the IUCN GET, which is the </w:t>
      </w:r>
      <w:r w:rsidRPr="00ED7E61">
        <w:rPr>
          <w:rStyle w:val="normaltextrun"/>
          <w:rFonts w:asciiTheme="majorBidi" w:eastAsiaTheme="majorEastAsia" w:hAnsiTheme="majorBidi" w:cstheme="majorBidi"/>
          <w:i/>
          <w:iCs/>
        </w:rPr>
        <w:t>reference classification for ecosystem types</w:t>
      </w:r>
      <w:r w:rsidRPr="00ED7E61">
        <w:rPr>
          <w:rStyle w:val="normaltextrun"/>
          <w:rFonts w:asciiTheme="majorBidi" w:eastAsiaTheme="majorEastAsia" w:hAnsiTheme="majorBidi" w:cstheme="majorBidi"/>
        </w:rPr>
        <w:t xml:space="preserve"> in the SEEA Ecosystem Accounting and which was also endorsed by the United Nations Statistical Commission at its 55th session in March 2024 as an international statistical classification and recommended it to be included in the international family of classifications</w:t>
      </w:r>
      <w:r w:rsidR="003D4EC6">
        <w:rPr>
          <w:rStyle w:val="normaltextrun"/>
          <w:rFonts w:asciiTheme="majorBidi" w:eastAsiaTheme="majorEastAsia" w:hAnsiTheme="majorBidi" w:cstheme="majorBidi"/>
        </w:rPr>
        <w:t xml:space="preserve"> (</w:t>
      </w:r>
      <w:r w:rsidR="003D4EC6" w:rsidRPr="00ED7E61">
        <w:rPr>
          <w:rStyle w:val="normaltextrun"/>
          <w:rFonts w:asciiTheme="majorBidi" w:eastAsiaTheme="majorEastAsia" w:hAnsiTheme="majorBidi" w:cstheme="majorBidi"/>
          <w:color w:val="000000"/>
          <w:lang w:val="en-AU"/>
        </w:rPr>
        <w:t>Keith</w:t>
      </w:r>
      <w:r w:rsidR="003D4EC6">
        <w:rPr>
          <w:rStyle w:val="normaltextrun"/>
          <w:rFonts w:asciiTheme="majorBidi" w:eastAsiaTheme="majorEastAsia" w:hAnsiTheme="majorBidi" w:cstheme="majorBidi"/>
          <w:color w:val="000000"/>
          <w:lang w:val="en-AU"/>
        </w:rPr>
        <w:t xml:space="preserve"> </w:t>
      </w:r>
      <w:r w:rsidR="006B67E3">
        <w:rPr>
          <w:rStyle w:val="normaltextrun"/>
          <w:rFonts w:asciiTheme="majorBidi" w:eastAsiaTheme="majorEastAsia" w:hAnsiTheme="majorBidi" w:cstheme="majorBidi"/>
          <w:color w:val="000000"/>
          <w:lang w:val="en-AU"/>
        </w:rPr>
        <w:t>et al</w:t>
      </w:r>
      <w:r w:rsidR="00442544">
        <w:rPr>
          <w:rStyle w:val="normaltextrun"/>
          <w:rFonts w:asciiTheme="majorBidi" w:eastAsiaTheme="majorEastAsia" w:hAnsiTheme="majorBidi" w:cstheme="majorBidi"/>
          <w:color w:val="000000"/>
          <w:lang w:val="en-AU"/>
        </w:rPr>
        <w:t>.</w:t>
      </w:r>
      <w:r w:rsidR="003D4EC6">
        <w:rPr>
          <w:rStyle w:val="normaltextrun"/>
          <w:rFonts w:asciiTheme="majorBidi" w:eastAsiaTheme="majorEastAsia" w:hAnsiTheme="majorBidi" w:cstheme="majorBidi"/>
          <w:color w:val="000000"/>
          <w:lang w:val="en-AU"/>
        </w:rPr>
        <w:t xml:space="preserve"> 2020).</w:t>
      </w:r>
      <w:r w:rsidRPr="00ED7E61">
        <w:rPr>
          <w:rStyle w:val="normaltextrun"/>
          <w:rFonts w:asciiTheme="majorBidi" w:eastAsiaTheme="majorEastAsia" w:hAnsiTheme="majorBidi" w:cstheme="majorBidi"/>
        </w:rPr>
        <w:t xml:space="preserve"> The three upper levels of IUCN GET – realms, biomes and ecosystem functional groups – classify ecosystems based on their functional characteristics (such as structural roles of foundation species, water regime, climatic regime or food web structure). Level 3 – ecosystem functional groups (EFGs) – of the IUCN GET is used as the basis for this indicator.</w:t>
      </w:r>
      <w:r w:rsidRPr="00ED7E61">
        <w:rPr>
          <w:rStyle w:val="eop"/>
          <w:rFonts w:asciiTheme="majorBidi" w:eastAsiaTheme="majorEastAsia" w:hAnsiTheme="majorBidi" w:cstheme="majorBidi"/>
        </w:rPr>
        <w:t> </w:t>
      </w:r>
    </w:p>
    <w:p w14:paraId="208ACD79" w14:textId="1B6AF6CB" w:rsidR="008344AF" w:rsidRPr="00ED7E61" w:rsidRDefault="003D6BBD" w:rsidP="00B10F0C">
      <w:pPr>
        <w:pStyle w:val="CBDNormalNumber"/>
        <w:numPr>
          <w:ilvl w:val="0"/>
          <w:numId w:val="45"/>
        </w:numPr>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i/>
          <w:iCs/>
        </w:rPr>
        <w:t>Natural ecosystems</w:t>
      </w:r>
      <w:r w:rsidRPr="00ED7E61">
        <w:rPr>
          <w:rStyle w:val="normaltextrun"/>
          <w:rFonts w:asciiTheme="majorBidi" w:eastAsiaTheme="majorEastAsia" w:hAnsiTheme="majorBidi" w:cstheme="majorBidi"/>
        </w:rPr>
        <w:t xml:space="preserve"> are ecosystems in which the impacts of humans on ecosystem composition, structure and function are low compared to natural factors.</w:t>
      </w:r>
      <w:r w:rsidRPr="00ED7E61">
        <w:rPr>
          <w:rStyle w:val="superscript"/>
          <w:rFonts w:asciiTheme="majorBidi" w:hAnsiTheme="majorBidi" w:cstheme="majorBidi"/>
          <w:vertAlign w:val="superscript"/>
        </w:rPr>
        <w:t>6</w:t>
      </w:r>
      <w:r w:rsidRPr="00ED7E61">
        <w:rPr>
          <w:rStyle w:val="normaltextrun"/>
          <w:rFonts w:asciiTheme="majorBidi" w:eastAsiaTheme="majorEastAsia" w:hAnsiTheme="majorBidi" w:cstheme="majorBidi"/>
        </w:rPr>
        <w:t xml:space="preserve"> As discussed in Section 4, for the purposes of this indicator natural ecosystems are defined broadly to include natural and semi-natural ecosystems</w:t>
      </w:r>
      <w:r w:rsidR="005B187F" w:rsidRPr="00ED7E61">
        <w:rPr>
          <w:rStyle w:val="normaltextrun"/>
          <w:rFonts w:asciiTheme="majorBidi" w:eastAsiaTheme="majorEastAsia" w:hAnsiTheme="majorBidi" w:cstheme="majorBidi"/>
        </w:rPr>
        <w:t xml:space="preserve"> and </w:t>
      </w:r>
      <w:r w:rsidR="005B187F" w:rsidRPr="00B3383B">
        <w:rPr>
          <w:rStyle w:val="normaltextrun"/>
        </w:rPr>
        <w:t>for</w:t>
      </w:r>
      <w:r w:rsidR="005B187F" w:rsidRPr="00ED7E61">
        <w:rPr>
          <w:rStyle w:val="normaltextrun"/>
          <w:rFonts w:asciiTheme="majorBidi" w:eastAsiaTheme="majorEastAsia" w:hAnsiTheme="majorBidi" w:cstheme="majorBidi"/>
        </w:rPr>
        <w:t xml:space="preserve"> simplicity the term “</w:t>
      </w:r>
      <w:r w:rsidR="005B187F" w:rsidRPr="00FB1598">
        <w:rPr>
          <w:rStyle w:val="normaltextrun"/>
          <w:rFonts w:asciiTheme="majorBidi" w:eastAsiaTheme="majorEastAsia" w:hAnsiTheme="majorBidi" w:cstheme="majorBidi"/>
          <w:i/>
          <w:iCs/>
        </w:rPr>
        <w:t>natural ecosystems</w:t>
      </w:r>
      <w:r w:rsidR="005B187F" w:rsidRPr="00ED7E61">
        <w:rPr>
          <w:rStyle w:val="normaltextrun"/>
          <w:rFonts w:asciiTheme="majorBidi" w:eastAsiaTheme="majorEastAsia" w:hAnsiTheme="majorBidi" w:cstheme="majorBidi"/>
        </w:rPr>
        <w:t>” is used in the metadata to refer to natural and semi-natural ecosystems. An exception is in the definition of the indicator, where “</w:t>
      </w:r>
      <w:r w:rsidR="005B187F" w:rsidRPr="00FB1598">
        <w:rPr>
          <w:rStyle w:val="normaltextrun"/>
          <w:rFonts w:asciiTheme="majorBidi" w:eastAsiaTheme="majorEastAsia" w:hAnsiTheme="majorBidi" w:cstheme="majorBidi"/>
          <w:i/>
          <w:iCs/>
        </w:rPr>
        <w:t>natural and semi-natural</w:t>
      </w:r>
      <w:r w:rsidR="005B187F" w:rsidRPr="00ED7E61">
        <w:rPr>
          <w:rStyle w:val="normaltextrun"/>
          <w:rFonts w:asciiTheme="majorBidi" w:eastAsiaTheme="majorEastAsia" w:hAnsiTheme="majorBidi" w:cstheme="majorBidi"/>
        </w:rPr>
        <w:t>” is used for precision.</w:t>
      </w:r>
    </w:p>
    <w:p w14:paraId="4CDE9494" w14:textId="7DA90658" w:rsidR="008344AF" w:rsidRPr="00ED7E61" w:rsidRDefault="00376C66" w:rsidP="00B10F0C">
      <w:pPr>
        <w:pStyle w:val="CBDNormalNumber"/>
        <w:numPr>
          <w:ilvl w:val="0"/>
          <w:numId w:val="45"/>
        </w:numPr>
        <w:rPr>
          <w:rFonts w:asciiTheme="majorBidi" w:eastAsiaTheme="majorEastAsia" w:hAnsiTheme="majorBidi" w:cstheme="majorBidi"/>
        </w:rPr>
      </w:pPr>
      <w:r>
        <w:rPr>
          <w:rStyle w:val="normaltextrun"/>
          <w:rFonts w:asciiTheme="majorBidi" w:eastAsiaTheme="majorEastAsia" w:hAnsiTheme="majorBidi" w:cstheme="majorBidi"/>
          <w:i/>
          <w:iCs/>
        </w:rPr>
        <w:t>“</w:t>
      </w:r>
      <w:r w:rsidR="003D6BBD" w:rsidRPr="00ED7E61">
        <w:rPr>
          <w:rStyle w:val="normaltextrun"/>
          <w:rFonts w:asciiTheme="majorBidi" w:eastAsiaTheme="majorEastAsia" w:hAnsiTheme="majorBidi" w:cstheme="majorBidi"/>
          <w:i/>
          <w:iCs/>
        </w:rPr>
        <w:t>Intensively modified or anthropogenic ecosystems</w:t>
      </w:r>
      <w:r>
        <w:rPr>
          <w:rStyle w:val="normaltextrun"/>
          <w:rFonts w:asciiTheme="majorBidi" w:eastAsiaTheme="majorEastAsia" w:hAnsiTheme="majorBidi" w:cstheme="majorBidi"/>
          <w:i/>
          <w:iCs/>
        </w:rPr>
        <w:t>”</w:t>
      </w:r>
      <w:r w:rsidR="003D6BBD" w:rsidRPr="00ED7E61">
        <w:rPr>
          <w:rStyle w:val="normaltextrun"/>
          <w:rFonts w:asciiTheme="majorBidi" w:eastAsiaTheme="majorEastAsia" w:hAnsiTheme="majorBidi" w:cstheme="majorBidi"/>
        </w:rPr>
        <w:t xml:space="preserve"> are predominantly influenced by human activities where a stable natural ecological state is unattainable and future socio-economic interventions are </w:t>
      </w:r>
      <w:r w:rsidR="003D6BBD" w:rsidRPr="00B3383B">
        <w:rPr>
          <w:rStyle w:val="normaltextrun"/>
        </w:rPr>
        <w:t>required</w:t>
      </w:r>
      <w:r w:rsidR="003D6BBD" w:rsidRPr="00ED7E61">
        <w:rPr>
          <w:rStyle w:val="normaltextrun"/>
          <w:rFonts w:asciiTheme="majorBidi" w:eastAsiaTheme="majorEastAsia" w:hAnsiTheme="majorBidi" w:cstheme="majorBidi"/>
        </w:rPr>
        <w:t xml:space="preserve"> to maintain a new stable state. In some cases semi-natural ecosystems also require constant management to be maintained. </w:t>
      </w:r>
      <w:r w:rsidR="003D6BBD" w:rsidRPr="00ED7E61">
        <w:rPr>
          <w:rStyle w:val="eop"/>
          <w:rFonts w:asciiTheme="majorBidi" w:eastAsiaTheme="majorEastAsia" w:hAnsiTheme="majorBidi" w:cstheme="majorBidi"/>
        </w:rPr>
        <w:t> </w:t>
      </w:r>
    </w:p>
    <w:p w14:paraId="7BFD4FF4" w14:textId="77777777" w:rsidR="003D6BBD"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 xml:space="preserve">For the purposes of this indicator, </w:t>
      </w:r>
      <w:r w:rsidRPr="00ED7E61">
        <w:rPr>
          <w:rStyle w:val="normaltextrun"/>
          <w:rFonts w:asciiTheme="majorBidi" w:eastAsiaTheme="majorEastAsia" w:hAnsiTheme="majorBidi" w:cstheme="majorBidi"/>
          <w:i/>
          <w:iCs/>
        </w:rPr>
        <w:t>natural and anthropogenic ecosystems are identified based on the EFGs of the IUCN GET</w:t>
      </w:r>
      <w:r w:rsidRPr="00ED7E61">
        <w:rPr>
          <w:rStyle w:val="normaltextrun"/>
          <w:rFonts w:asciiTheme="majorBidi" w:eastAsiaTheme="majorEastAsia" w:hAnsiTheme="majorBidi" w:cstheme="majorBidi"/>
        </w:rPr>
        <w:t xml:space="preserve">. Of the 110 EFGs, 98 are considered natural or semi-natural and 12 are considered anthropogenic. The anthropogenic EFGs are listed in Table 1. The distinction between natural and anthropogenic ecosystem types should be made at level of EFGs rather than biomes, because some biomes </w:t>
      </w:r>
      <w:r w:rsidRPr="00B3383B">
        <w:rPr>
          <w:rStyle w:val="normaltextrun"/>
        </w:rPr>
        <w:t>include</w:t>
      </w:r>
      <w:r w:rsidRPr="00ED7E61">
        <w:rPr>
          <w:rStyle w:val="normaltextrun"/>
          <w:rFonts w:asciiTheme="majorBidi" w:eastAsiaTheme="majorEastAsia" w:hAnsiTheme="majorBidi" w:cstheme="majorBidi"/>
        </w:rPr>
        <w:t xml:space="preserve"> both semi-natural and anthropogenic ecosystem types. </w:t>
      </w:r>
      <w:r w:rsidRPr="00ED7E61">
        <w:rPr>
          <w:rStyle w:val="eop"/>
          <w:rFonts w:asciiTheme="majorBidi" w:eastAsiaTheme="majorEastAsia" w:hAnsiTheme="majorBidi" w:cstheme="majorBidi"/>
        </w:rPr>
        <w:t> </w:t>
      </w:r>
    </w:p>
    <w:p w14:paraId="260C63E9" w14:textId="6FDAC30A" w:rsidR="003D6BBD" w:rsidRPr="00ED7E61" w:rsidRDefault="003D6BBD" w:rsidP="00B3383B">
      <w:pPr>
        <w:pStyle w:val="paragraph"/>
        <w:spacing w:before="0" w:beforeAutospacing="0" w:after="120" w:afterAutospacing="0"/>
        <w:ind w:right="-120"/>
        <w:textAlignment w:val="baseline"/>
        <w:rPr>
          <w:rFonts w:asciiTheme="majorBidi" w:hAnsiTheme="majorBidi" w:cstheme="majorBidi"/>
          <w:sz w:val="22"/>
          <w:szCs w:val="22"/>
        </w:rPr>
      </w:pPr>
      <w:r w:rsidRPr="00B3383B">
        <w:rPr>
          <w:rStyle w:val="normaltextrun"/>
          <w:rFonts w:asciiTheme="majorBidi" w:eastAsiaTheme="majorEastAsia" w:hAnsiTheme="majorBidi" w:cstheme="majorBidi"/>
          <w:sz w:val="22"/>
          <w:szCs w:val="22"/>
          <w:lang w:val="en-GB"/>
        </w:rPr>
        <w:t>Table 1</w:t>
      </w:r>
      <w:r w:rsidRPr="00ED7E61">
        <w:rPr>
          <w:rStyle w:val="normaltextrun"/>
          <w:rFonts w:asciiTheme="majorBidi" w:eastAsiaTheme="majorEastAsia" w:hAnsiTheme="majorBidi" w:cstheme="majorBidi"/>
          <w:i/>
          <w:iCs/>
          <w:sz w:val="22"/>
          <w:szCs w:val="22"/>
          <w:lang w:val="en-GB"/>
        </w:rPr>
        <w:t xml:space="preserve"> </w:t>
      </w:r>
      <w:r w:rsidR="00C61E49">
        <w:rPr>
          <w:rStyle w:val="normaltextrun"/>
          <w:rFonts w:asciiTheme="majorBidi" w:eastAsiaTheme="majorEastAsia" w:hAnsiTheme="majorBidi" w:cstheme="majorBidi"/>
          <w:i/>
          <w:iCs/>
          <w:sz w:val="22"/>
          <w:szCs w:val="22"/>
          <w:lang w:val="en-GB"/>
        </w:rPr>
        <w:br/>
      </w:r>
      <w:r w:rsidRPr="00B3383B">
        <w:rPr>
          <w:rStyle w:val="normaltextrun"/>
          <w:rFonts w:asciiTheme="majorBidi" w:eastAsiaTheme="majorEastAsia" w:hAnsiTheme="majorBidi" w:cstheme="majorBidi"/>
          <w:b/>
          <w:bCs/>
          <w:sz w:val="22"/>
          <w:szCs w:val="22"/>
          <w:lang w:val="en-GB"/>
        </w:rPr>
        <w:t>List of ecosystem functional groups (EFGs) in the IUCN GET that are considered intensively modified or anthropogenic and thus excluded from “natural ecosystems” for Indicator A2 </w:t>
      </w:r>
      <w:r w:rsidRPr="00B3383B">
        <w:rPr>
          <w:rStyle w:val="eop"/>
          <w:rFonts w:asciiTheme="majorBidi" w:eastAsiaTheme="majorEastAsia" w:hAnsiTheme="majorBidi" w:cstheme="majorBidi"/>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2490"/>
        <w:gridCol w:w="4770"/>
      </w:tblGrid>
      <w:tr w:rsidR="003D6BBD" w:rsidRPr="00C61E49" w14:paraId="4456ECA2" w14:textId="77777777" w:rsidTr="00A96B0B">
        <w:trPr>
          <w:trHeight w:val="300"/>
        </w:trPr>
        <w:tc>
          <w:tcPr>
            <w:tcW w:w="945" w:type="dxa"/>
            <w:tcBorders>
              <w:top w:val="single" w:sz="12" w:space="0" w:color="auto"/>
              <w:left w:val="nil"/>
              <w:bottom w:val="single" w:sz="12" w:space="0" w:color="auto"/>
              <w:right w:val="nil"/>
            </w:tcBorders>
            <w:shd w:val="clear" w:color="auto" w:fill="FFFFFF"/>
            <w:vAlign w:val="center"/>
            <w:hideMark/>
          </w:tcPr>
          <w:p w14:paraId="4461A0BC"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i/>
                <w:iCs/>
                <w:sz w:val="20"/>
                <w:szCs w:val="20"/>
              </w:rPr>
            </w:pPr>
            <w:r w:rsidRPr="00B3383B">
              <w:rPr>
                <w:rStyle w:val="normaltextrun"/>
                <w:rFonts w:asciiTheme="majorBidi" w:eastAsiaTheme="majorEastAsia" w:hAnsiTheme="majorBidi" w:cstheme="majorBidi"/>
                <w:i/>
                <w:iCs/>
                <w:color w:val="000000"/>
                <w:sz w:val="20"/>
                <w:szCs w:val="20"/>
                <w:lang w:val="en-US"/>
              </w:rPr>
              <w:t>Realm</w:t>
            </w:r>
            <w:r w:rsidRPr="00B3383B">
              <w:rPr>
                <w:rStyle w:val="eop"/>
                <w:rFonts w:asciiTheme="majorBidi" w:eastAsiaTheme="majorEastAsia" w:hAnsiTheme="majorBidi" w:cstheme="majorBidi"/>
                <w:i/>
                <w:iCs/>
                <w:color w:val="000000"/>
                <w:sz w:val="20"/>
                <w:szCs w:val="20"/>
              </w:rPr>
              <w:t> </w:t>
            </w:r>
          </w:p>
        </w:tc>
        <w:tc>
          <w:tcPr>
            <w:tcW w:w="2490" w:type="dxa"/>
            <w:tcBorders>
              <w:top w:val="single" w:sz="12" w:space="0" w:color="auto"/>
              <w:left w:val="nil"/>
              <w:bottom w:val="single" w:sz="12" w:space="0" w:color="auto"/>
              <w:right w:val="nil"/>
            </w:tcBorders>
            <w:shd w:val="clear" w:color="auto" w:fill="FFFFFF"/>
            <w:vAlign w:val="center"/>
            <w:hideMark/>
          </w:tcPr>
          <w:p w14:paraId="706023E3"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i/>
                <w:iCs/>
                <w:sz w:val="20"/>
                <w:szCs w:val="20"/>
              </w:rPr>
            </w:pPr>
            <w:r w:rsidRPr="00B3383B">
              <w:rPr>
                <w:rStyle w:val="normaltextrun"/>
                <w:rFonts w:asciiTheme="majorBidi" w:eastAsiaTheme="majorEastAsia" w:hAnsiTheme="majorBidi" w:cstheme="majorBidi"/>
                <w:i/>
                <w:iCs/>
                <w:color w:val="000000"/>
                <w:sz w:val="20"/>
                <w:szCs w:val="20"/>
                <w:lang w:val="en-US"/>
              </w:rPr>
              <w:t>Biome</w:t>
            </w:r>
            <w:r w:rsidRPr="00B3383B">
              <w:rPr>
                <w:rStyle w:val="eop"/>
                <w:rFonts w:asciiTheme="majorBidi" w:eastAsiaTheme="majorEastAsia" w:hAnsiTheme="majorBidi" w:cstheme="majorBidi"/>
                <w:i/>
                <w:iCs/>
                <w:color w:val="000000"/>
                <w:sz w:val="20"/>
                <w:szCs w:val="20"/>
              </w:rPr>
              <w:t> </w:t>
            </w:r>
          </w:p>
        </w:tc>
        <w:tc>
          <w:tcPr>
            <w:tcW w:w="4770" w:type="dxa"/>
            <w:tcBorders>
              <w:top w:val="single" w:sz="12" w:space="0" w:color="auto"/>
              <w:left w:val="nil"/>
              <w:bottom w:val="single" w:sz="12" w:space="0" w:color="auto"/>
              <w:right w:val="nil"/>
            </w:tcBorders>
            <w:shd w:val="clear" w:color="auto" w:fill="FFFFFF"/>
            <w:vAlign w:val="center"/>
            <w:hideMark/>
          </w:tcPr>
          <w:p w14:paraId="334DA244"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i/>
                <w:iCs/>
                <w:sz w:val="20"/>
                <w:szCs w:val="20"/>
              </w:rPr>
            </w:pPr>
            <w:r w:rsidRPr="00B3383B">
              <w:rPr>
                <w:rStyle w:val="normaltextrun"/>
                <w:rFonts w:asciiTheme="majorBidi" w:eastAsiaTheme="majorEastAsia" w:hAnsiTheme="majorBidi" w:cstheme="majorBidi"/>
                <w:i/>
                <w:iCs/>
                <w:color w:val="000000"/>
                <w:sz w:val="20"/>
                <w:szCs w:val="20"/>
                <w:lang w:val="en-US"/>
              </w:rPr>
              <w:t>Ecosystem functional group</w:t>
            </w:r>
            <w:r w:rsidRPr="00B3383B">
              <w:rPr>
                <w:rStyle w:val="eop"/>
                <w:rFonts w:asciiTheme="majorBidi" w:eastAsiaTheme="majorEastAsia" w:hAnsiTheme="majorBidi" w:cstheme="majorBidi"/>
                <w:i/>
                <w:iCs/>
                <w:color w:val="000000"/>
                <w:sz w:val="20"/>
                <w:szCs w:val="20"/>
              </w:rPr>
              <w:t> </w:t>
            </w:r>
          </w:p>
        </w:tc>
      </w:tr>
      <w:tr w:rsidR="003D6BBD" w:rsidRPr="00C61E49" w14:paraId="0BF3AD09" w14:textId="77777777" w:rsidTr="00A96B0B">
        <w:trPr>
          <w:trHeight w:val="300"/>
        </w:trPr>
        <w:tc>
          <w:tcPr>
            <w:tcW w:w="945" w:type="dxa"/>
            <w:vMerge w:val="restart"/>
            <w:tcBorders>
              <w:top w:val="nil"/>
              <w:left w:val="nil"/>
              <w:bottom w:val="single" w:sz="12" w:space="0" w:color="000000"/>
              <w:right w:val="nil"/>
            </w:tcBorders>
            <w:shd w:val="clear" w:color="auto" w:fill="FFFFFF"/>
            <w:vAlign w:val="center"/>
            <w:hideMark/>
          </w:tcPr>
          <w:p w14:paraId="55C0EC33" w14:textId="77777777" w:rsidR="003D6BBD" w:rsidRPr="00B3383B" w:rsidRDefault="003D6BBD" w:rsidP="00A96B0B">
            <w:pPr>
              <w:pStyle w:val="paragraph"/>
              <w:spacing w:before="0" w:beforeAutospacing="0" w:after="0" w:afterAutospacing="0"/>
              <w:jc w:val="center"/>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Terrestrial</w:t>
            </w:r>
            <w:r w:rsidRPr="00B3383B">
              <w:rPr>
                <w:rStyle w:val="eop"/>
                <w:rFonts w:asciiTheme="majorBidi" w:eastAsiaTheme="majorEastAsia" w:hAnsiTheme="majorBidi" w:cstheme="majorBidi"/>
                <w:color w:val="000000"/>
                <w:sz w:val="20"/>
                <w:szCs w:val="20"/>
              </w:rPr>
              <w:t> </w:t>
            </w:r>
          </w:p>
        </w:tc>
        <w:tc>
          <w:tcPr>
            <w:tcW w:w="2490" w:type="dxa"/>
            <w:vMerge w:val="restart"/>
            <w:tcBorders>
              <w:top w:val="nil"/>
              <w:left w:val="nil"/>
              <w:bottom w:val="single" w:sz="12" w:space="0" w:color="000000"/>
              <w:right w:val="nil"/>
            </w:tcBorders>
            <w:shd w:val="clear" w:color="auto" w:fill="FFFFFF"/>
            <w:vAlign w:val="center"/>
            <w:hideMark/>
          </w:tcPr>
          <w:p w14:paraId="65324933"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T7 Intensive land-use systems</w:t>
            </w:r>
            <w:r w:rsidRPr="00B3383B">
              <w:rPr>
                <w:rStyle w:val="superscript"/>
                <w:rFonts w:asciiTheme="majorBidi" w:hAnsiTheme="majorBidi" w:cstheme="majorBidi"/>
                <w:color w:val="000000"/>
                <w:sz w:val="20"/>
                <w:szCs w:val="20"/>
                <w:vertAlign w:val="superscript"/>
                <w:lang w:val="en-US"/>
              </w:rPr>
              <w:t>7</w:t>
            </w:r>
            <w:r w:rsidRPr="00B3383B">
              <w:rPr>
                <w:rStyle w:val="eop"/>
                <w:rFonts w:asciiTheme="majorBidi" w:eastAsiaTheme="majorEastAsia" w:hAnsiTheme="majorBidi" w:cstheme="majorBidi"/>
                <w:color w:val="000000"/>
                <w:sz w:val="20"/>
                <w:szCs w:val="20"/>
              </w:rPr>
              <w:t> </w:t>
            </w:r>
          </w:p>
        </w:tc>
        <w:tc>
          <w:tcPr>
            <w:tcW w:w="4770" w:type="dxa"/>
            <w:tcBorders>
              <w:top w:val="nil"/>
              <w:left w:val="nil"/>
              <w:bottom w:val="nil"/>
              <w:right w:val="nil"/>
            </w:tcBorders>
            <w:shd w:val="clear" w:color="auto" w:fill="FFFFFF"/>
            <w:vAlign w:val="center"/>
            <w:hideMark/>
          </w:tcPr>
          <w:p w14:paraId="552F2036"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T7.1 Annual croplands</w:t>
            </w:r>
            <w:r w:rsidRPr="00B3383B">
              <w:rPr>
                <w:rStyle w:val="eop"/>
                <w:rFonts w:asciiTheme="majorBidi" w:eastAsiaTheme="majorEastAsia" w:hAnsiTheme="majorBidi" w:cstheme="majorBidi"/>
                <w:color w:val="000000"/>
                <w:sz w:val="20"/>
                <w:szCs w:val="20"/>
              </w:rPr>
              <w:t> </w:t>
            </w:r>
          </w:p>
        </w:tc>
      </w:tr>
      <w:tr w:rsidR="003D6BBD" w:rsidRPr="00C61E49" w14:paraId="4A09BA02" w14:textId="77777777" w:rsidTr="00A96B0B">
        <w:trPr>
          <w:trHeight w:val="285"/>
        </w:trPr>
        <w:tc>
          <w:tcPr>
            <w:tcW w:w="0" w:type="auto"/>
            <w:vMerge/>
            <w:tcBorders>
              <w:top w:val="nil"/>
              <w:left w:val="nil"/>
              <w:bottom w:val="single" w:sz="12" w:space="0" w:color="000000"/>
              <w:right w:val="nil"/>
            </w:tcBorders>
            <w:shd w:val="clear" w:color="auto" w:fill="auto"/>
            <w:vAlign w:val="center"/>
            <w:hideMark/>
          </w:tcPr>
          <w:p w14:paraId="1E41D796" w14:textId="77777777" w:rsidR="003D6BBD" w:rsidRPr="00B3383B" w:rsidRDefault="003D6BBD" w:rsidP="00A96B0B">
            <w:pPr>
              <w:rPr>
                <w:rFonts w:asciiTheme="majorBidi" w:hAnsiTheme="majorBidi" w:cstheme="majorBidi"/>
                <w:sz w:val="20"/>
                <w:szCs w:val="20"/>
              </w:rPr>
            </w:pPr>
          </w:p>
        </w:tc>
        <w:tc>
          <w:tcPr>
            <w:tcW w:w="0" w:type="auto"/>
            <w:vMerge/>
            <w:tcBorders>
              <w:top w:val="nil"/>
              <w:left w:val="nil"/>
              <w:bottom w:val="single" w:sz="12" w:space="0" w:color="000000"/>
              <w:right w:val="nil"/>
            </w:tcBorders>
            <w:shd w:val="clear" w:color="auto" w:fill="auto"/>
            <w:vAlign w:val="center"/>
            <w:hideMark/>
          </w:tcPr>
          <w:p w14:paraId="5EF85A80" w14:textId="77777777" w:rsidR="003D6BBD" w:rsidRPr="00B3383B" w:rsidRDefault="003D6BBD" w:rsidP="00A96B0B">
            <w:pPr>
              <w:rPr>
                <w:rFonts w:asciiTheme="majorBidi" w:hAnsiTheme="majorBidi" w:cstheme="majorBidi"/>
                <w:sz w:val="20"/>
                <w:szCs w:val="20"/>
              </w:rPr>
            </w:pPr>
          </w:p>
        </w:tc>
        <w:tc>
          <w:tcPr>
            <w:tcW w:w="4770" w:type="dxa"/>
            <w:tcBorders>
              <w:top w:val="nil"/>
              <w:left w:val="nil"/>
              <w:bottom w:val="nil"/>
              <w:right w:val="nil"/>
            </w:tcBorders>
            <w:shd w:val="clear" w:color="auto" w:fill="FFFFFF"/>
            <w:vAlign w:val="center"/>
            <w:hideMark/>
          </w:tcPr>
          <w:p w14:paraId="78B4C580"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T7.2 Sown pastures and fields</w:t>
            </w:r>
            <w:r w:rsidRPr="00B3383B">
              <w:rPr>
                <w:rStyle w:val="eop"/>
                <w:rFonts w:asciiTheme="majorBidi" w:eastAsiaTheme="majorEastAsia" w:hAnsiTheme="majorBidi" w:cstheme="majorBidi"/>
                <w:color w:val="000000"/>
                <w:sz w:val="20"/>
                <w:szCs w:val="20"/>
              </w:rPr>
              <w:t> </w:t>
            </w:r>
          </w:p>
        </w:tc>
      </w:tr>
      <w:tr w:rsidR="003D6BBD" w:rsidRPr="00C61E49" w14:paraId="3A7D5CA1" w14:textId="77777777" w:rsidTr="00A96B0B">
        <w:trPr>
          <w:trHeight w:val="285"/>
        </w:trPr>
        <w:tc>
          <w:tcPr>
            <w:tcW w:w="0" w:type="auto"/>
            <w:vMerge/>
            <w:tcBorders>
              <w:top w:val="nil"/>
              <w:left w:val="nil"/>
              <w:bottom w:val="single" w:sz="12" w:space="0" w:color="000000"/>
              <w:right w:val="nil"/>
            </w:tcBorders>
            <w:shd w:val="clear" w:color="auto" w:fill="auto"/>
            <w:vAlign w:val="center"/>
            <w:hideMark/>
          </w:tcPr>
          <w:p w14:paraId="7231B7F7" w14:textId="77777777" w:rsidR="003D6BBD" w:rsidRPr="00B3383B" w:rsidRDefault="003D6BBD" w:rsidP="00A96B0B">
            <w:pPr>
              <w:rPr>
                <w:rFonts w:asciiTheme="majorBidi" w:hAnsiTheme="majorBidi" w:cstheme="majorBidi"/>
                <w:sz w:val="20"/>
                <w:szCs w:val="20"/>
              </w:rPr>
            </w:pPr>
          </w:p>
        </w:tc>
        <w:tc>
          <w:tcPr>
            <w:tcW w:w="0" w:type="auto"/>
            <w:vMerge/>
            <w:tcBorders>
              <w:top w:val="nil"/>
              <w:left w:val="nil"/>
              <w:bottom w:val="single" w:sz="12" w:space="0" w:color="000000"/>
              <w:right w:val="nil"/>
            </w:tcBorders>
            <w:shd w:val="clear" w:color="auto" w:fill="auto"/>
            <w:vAlign w:val="center"/>
            <w:hideMark/>
          </w:tcPr>
          <w:p w14:paraId="786B6561" w14:textId="77777777" w:rsidR="003D6BBD" w:rsidRPr="00B3383B" w:rsidRDefault="003D6BBD" w:rsidP="00A96B0B">
            <w:pPr>
              <w:rPr>
                <w:rFonts w:asciiTheme="majorBidi" w:hAnsiTheme="majorBidi" w:cstheme="majorBidi"/>
                <w:sz w:val="20"/>
                <w:szCs w:val="20"/>
              </w:rPr>
            </w:pPr>
          </w:p>
        </w:tc>
        <w:tc>
          <w:tcPr>
            <w:tcW w:w="4770" w:type="dxa"/>
            <w:tcBorders>
              <w:top w:val="nil"/>
              <w:left w:val="nil"/>
              <w:bottom w:val="nil"/>
              <w:right w:val="nil"/>
            </w:tcBorders>
            <w:shd w:val="clear" w:color="auto" w:fill="FFFFFF"/>
            <w:vAlign w:val="center"/>
            <w:hideMark/>
          </w:tcPr>
          <w:p w14:paraId="4B1D34BF"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T7.3 Plantations</w:t>
            </w:r>
            <w:r w:rsidRPr="00B3383B">
              <w:rPr>
                <w:rStyle w:val="eop"/>
                <w:rFonts w:asciiTheme="majorBidi" w:eastAsiaTheme="majorEastAsia" w:hAnsiTheme="majorBidi" w:cstheme="majorBidi"/>
                <w:color w:val="000000"/>
                <w:sz w:val="20"/>
                <w:szCs w:val="20"/>
              </w:rPr>
              <w:t> </w:t>
            </w:r>
          </w:p>
        </w:tc>
      </w:tr>
      <w:tr w:rsidR="003D6BBD" w:rsidRPr="00C61E49" w14:paraId="506BE5F8" w14:textId="77777777" w:rsidTr="00A96B0B">
        <w:trPr>
          <w:trHeight w:val="285"/>
        </w:trPr>
        <w:tc>
          <w:tcPr>
            <w:tcW w:w="0" w:type="auto"/>
            <w:vMerge/>
            <w:tcBorders>
              <w:top w:val="nil"/>
              <w:left w:val="nil"/>
              <w:bottom w:val="single" w:sz="12" w:space="0" w:color="000000"/>
              <w:right w:val="nil"/>
            </w:tcBorders>
            <w:shd w:val="clear" w:color="auto" w:fill="auto"/>
            <w:vAlign w:val="center"/>
            <w:hideMark/>
          </w:tcPr>
          <w:p w14:paraId="76574CC6" w14:textId="77777777" w:rsidR="003D6BBD" w:rsidRPr="00B3383B" w:rsidRDefault="003D6BBD" w:rsidP="00A96B0B">
            <w:pPr>
              <w:rPr>
                <w:rFonts w:asciiTheme="majorBidi" w:hAnsiTheme="majorBidi" w:cstheme="majorBidi"/>
                <w:sz w:val="20"/>
                <w:szCs w:val="20"/>
              </w:rPr>
            </w:pPr>
          </w:p>
        </w:tc>
        <w:tc>
          <w:tcPr>
            <w:tcW w:w="0" w:type="auto"/>
            <w:vMerge/>
            <w:tcBorders>
              <w:top w:val="nil"/>
              <w:left w:val="nil"/>
              <w:bottom w:val="single" w:sz="12" w:space="0" w:color="000000"/>
              <w:right w:val="nil"/>
            </w:tcBorders>
            <w:shd w:val="clear" w:color="auto" w:fill="auto"/>
            <w:vAlign w:val="center"/>
            <w:hideMark/>
          </w:tcPr>
          <w:p w14:paraId="0E29424A" w14:textId="77777777" w:rsidR="003D6BBD" w:rsidRPr="00B3383B" w:rsidRDefault="003D6BBD" w:rsidP="00A96B0B">
            <w:pPr>
              <w:rPr>
                <w:rFonts w:asciiTheme="majorBidi" w:hAnsiTheme="majorBidi" w:cstheme="majorBidi"/>
                <w:sz w:val="20"/>
                <w:szCs w:val="20"/>
              </w:rPr>
            </w:pPr>
          </w:p>
        </w:tc>
        <w:tc>
          <w:tcPr>
            <w:tcW w:w="4770" w:type="dxa"/>
            <w:tcBorders>
              <w:top w:val="nil"/>
              <w:left w:val="nil"/>
              <w:bottom w:val="single" w:sz="6" w:space="0" w:color="auto"/>
              <w:right w:val="nil"/>
            </w:tcBorders>
            <w:shd w:val="clear" w:color="auto" w:fill="FFFFFF"/>
            <w:vAlign w:val="center"/>
            <w:hideMark/>
          </w:tcPr>
          <w:p w14:paraId="5FE0DC2F"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T7.4 Urban and industrial ecosystems</w:t>
            </w:r>
            <w:r w:rsidRPr="00B3383B">
              <w:rPr>
                <w:rStyle w:val="eop"/>
                <w:rFonts w:asciiTheme="majorBidi" w:eastAsiaTheme="majorEastAsia" w:hAnsiTheme="majorBidi" w:cstheme="majorBidi"/>
                <w:color w:val="000000"/>
                <w:sz w:val="20"/>
                <w:szCs w:val="20"/>
              </w:rPr>
              <w:t> </w:t>
            </w:r>
          </w:p>
        </w:tc>
      </w:tr>
      <w:tr w:rsidR="003D6BBD" w:rsidRPr="00C61E49" w14:paraId="72346A6C" w14:textId="77777777" w:rsidTr="00A96B0B">
        <w:trPr>
          <w:trHeight w:val="300"/>
        </w:trPr>
        <w:tc>
          <w:tcPr>
            <w:tcW w:w="945" w:type="dxa"/>
            <w:vMerge w:val="restart"/>
            <w:tcBorders>
              <w:top w:val="single" w:sz="6" w:space="0" w:color="auto"/>
              <w:left w:val="nil"/>
              <w:bottom w:val="single" w:sz="6" w:space="0" w:color="auto"/>
              <w:right w:val="nil"/>
            </w:tcBorders>
            <w:shd w:val="clear" w:color="auto" w:fill="FFFFFF"/>
            <w:vAlign w:val="center"/>
            <w:hideMark/>
          </w:tcPr>
          <w:p w14:paraId="56622E57" w14:textId="77777777" w:rsidR="003D6BBD" w:rsidRPr="00B3383B" w:rsidRDefault="003D6BBD" w:rsidP="00A96B0B">
            <w:pPr>
              <w:pStyle w:val="paragraph"/>
              <w:spacing w:before="0" w:beforeAutospacing="0" w:after="0" w:afterAutospacing="0"/>
              <w:jc w:val="center"/>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Freshwater</w:t>
            </w:r>
            <w:r w:rsidRPr="00B3383B">
              <w:rPr>
                <w:rStyle w:val="eop"/>
                <w:rFonts w:asciiTheme="majorBidi" w:eastAsiaTheme="majorEastAsia" w:hAnsiTheme="majorBidi" w:cstheme="majorBidi"/>
                <w:color w:val="000000"/>
                <w:sz w:val="20"/>
                <w:szCs w:val="20"/>
              </w:rPr>
              <w:t> </w:t>
            </w:r>
          </w:p>
        </w:tc>
        <w:tc>
          <w:tcPr>
            <w:tcW w:w="2490" w:type="dxa"/>
            <w:vMerge w:val="restart"/>
            <w:tcBorders>
              <w:top w:val="single" w:sz="6" w:space="0" w:color="auto"/>
              <w:left w:val="nil"/>
              <w:bottom w:val="single" w:sz="6" w:space="0" w:color="auto"/>
              <w:right w:val="nil"/>
            </w:tcBorders>
            <w:shd w:val="clear" w:color="auto" w:fill="FFFFFF"/>
            <w:vAlign w:val="center"/>
            <w:hideMark/>
          </w:tcPr>
          <w:p w14:paraId="0F9891E1"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F3 Artificial fresh waters</w:t>
            </w:r>
            <w:r w:rsidRPr="00B3383B">
              <w:rPr>
                <w:rStyle w:val="eop"/>
                <w:rFonts w:asciiTheme="majorBidi" w:eastAsiaTheme="majorEastAsia" w:hAnsiTheme="majorBidi" w:cstheme="majorBidi"/>
                <w:color w:val="000000"/>
                <w:sz w:val="20"/>
                <w:szCs w:val="20"/>
              </w:rPr>
              <w:t> </w:t>
            </w:r>
          </w:p>
        </w:tc>
        <w:tc>
          <w:tcPr>
            <w:tcW w:w="4770" w:type="dxa"/>
            <w:tcBorders>
              <w:top w:val="single" w:sz="6" w:space="0" w:color="auto"/>
              <w:left w:val="nil"/>
              <w:bottom w:val="nil"/>
              <w:right w:val="nil"/>
            </w:tcBorders>
            <w:shd w:val="clear" w:color="auto" w:fill="FFFFFF"/>
            <w:vAlign w:val="center"/>
            <w:hideMark/>
          </w:tcPr>
          <w:p w14:paraId="6B212925"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F3.1 Large reservoirs</w:t>
            </w:r>
            <w:r w:rsidRPr="00B3383B">
              <w:rPr>
                <w:rStyle w:val="eop"/>
                <w:rFonts w:asciiTheme="majorBidi" w:eastAsiaTheme="majorEastAsia" w:hAnsiTheme="majorBidi" w:cstheme="majorBidi"/>
                <w:color w:val="000000"/>
                <w:sz w:val="20"/>
                <w:szCs w:val="20"/>
              </w:rPr>
              <w:t> </w:t>
            </w:r>
          </w:p>
        </w:tc>
      </w:tr>
      <w:tr w:rsidR="003D6BBD" w:rsidRPr="00C61E49" w14:paraId="1DB73EAC" w14:textId="77777777" w:rsidTr="00A96B0B">
        <w:trPr>
          <w:trHeight w:val="285"/>
        </w:trPr>
        <w:tc>
          <w:tcPr>
            <w:tcW w:w="0" w:type="auto"/>
            <w:vMerge/>
            <w:tcBorders>
              <w:top w:val="single" w:sz="6" w:space="0" w:color="auto"/>
              <w:left w:val="nil"/>
              <w:bottom w:val="single" w:sz="6" w:space="0" w:color="auto"/>
              <w:right w:val="nil"/>
            </w:tcBorders>
            <w:shd w:val="clear" w:color="auto" w:fill="auto"/>
            <w:vAlign w:val="center"/>
            <w:hideMark/>
          </w:tcPr>
          <w:p w14:paraId="5FE3A658" w14:textId="77777777" w:rsidR="003D6BBD" w:rsidRPr="00B3383B" w:rsidRDefault="003D6BBD" w:rsidP="00A96B0B">
            <w:pPr>
              <w:rPr>
                <w:rFonts w:asciiTheme="majorBidi" w:hAnsiTheme="majorBidi" w:cstheme="majorBidi"/>
                <w:sz w:val="20"/>
                <w:szCs w:val="20"/>
              </w:rPr>
            </w:pPr>
          </w:p>
        </w:tc>
        <w:tc>
          <w:tcPr>
            <w:tcW w:w="0" w:type="auto"/>
            <w:vMerge/>
            <w:tcBorders>
              <w:top w:val="single" w:sz="6" w:space="0" w:color="auto"/>
              <w:left w:val="nil"/>
              <w:bottom w:val="single" w:sz="6" w:space="0" w:color="auto"/>
              <w:right w:val="nil"/>
            </w:tcBorders>
            <w:shd w:val="clear" w:color="auto" w:fill="auto"/>
            <w:vAlign w:val="center"/>
            <w:hideMark/>
          </w:tcPr>
          <w:p w14:paraId="3B717A93" w14:textId="77777777" w:rsidR="003D6BBD" w:rsidRPr="00B3383B" w:rsidRDefault="003D6BBD" w:rsidP="00A96B0B">
            <w:pPr>
              <w:rPr>
                <w:rFonts w:asciiTheme="majorBidi" w:hAnsiTheme="majorBidi" w:cstheme="majorBidi"/>
                <w:sz w:val="20"/>
                <w:szCs w:val="20"/>
              </w:rPr>
            </w:pPr>
          </w:p>
        </w:tc>
        <w:tc>
          <w:tcPr>
            <w:tcW w:w="4770" w:type="dxa"/>
            <w:tcBorders>
              <w:top w:val="nil"/>
              <w:left w:val="nil"/>
              <w:bottom w:val="nil"/>
              <w:right w:val="nil"/>
            </w:tcBorders>
            <w:shd w:val="clear" w:color="auto" w:fill="FFFFFF"/>
            <w:vAlign w:val="center"/>
            <w:hideMark/>
          </w:tcPr>
          <w:p w14:paraId="0B7835DE"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F3.2 Constructed lacustrine wetlands</w:t>
            </w:r>
            <w:r w:rsidRPr="00B3383B">
              <w:rPr>
                <w:rStyle w:val="eop"/>
                <w:rFonts w:asciiTheme="majorBidi" w:eastAsiaTheme="majorEastAsia" w:hAnsiTheme="majorBidi" w:cstheme="majorBidi"/>
                <w:color w:val="000000"/>
                <w:sz w:val="20"/>
                <w:szCs w:val="20"/>
              </w:rPr>
              <w:t> </w:t>
            </w:r>
          </w:p>
        </w:tc>
      </w:tr>
      <w:tr w:rsidR="003D6BBD" w:rsidRPr="00C61E49" w14:paraId="39641321" w14:textId="77777777" w:rsidTr="00A96B0B">
        <w:trPr>
          <w:trHeight w:val="285"/>
        </w:trPr>
        <w:tc>
          <w:tcPr>
            <w:tcW w:w="0" w:type="auto"/>
            <w:vMerge/>
            <w:tcBorders>
              <w:top w:val="single" w:sz="6" w:space="0" w:color="auto"/>
              <w:left w:val="nil"/>
              <w:bottom w:val="single" w:sz="6" w:space="0" w:color="auto"/>
              <w:right w:val="nil"/>
            </w:tcBorders>
            <w:shd w:val="clear" w:color="auto" w:fill="auto"/>
            <w:vAlign w:val="center"/>
            <w:hideMark/>
          </w:tcPr>
          <w:p w14:paraId="19EC08BB" w14:textId="77777777" w:rsidR="003D6BBD" w:rsidRPr="00B3383B" w:rsidRDefault="003D6BBD" w:rsidP="00A96B0B">
            <w:pPr>
              <w:rPr>
                <w:rFonts w:asciiTheme="majorBidi" w:hAnsiTheme="majorBidi" w:cstheme="majorBidi"/>
                <w:sz w:val="20"/>
                <w:szCs w:val="20"/>
              </w:rPr>
            </w:pPr>
          </w:p>
        </w:tc>
        <w:tc>
          <w:tcPr>
            <w:tcW w:w="0" w:type="auto"/>
            <w:vMerge/>
            <w:tcBorders>
              <w:top w:val="single" w:sz="6" w:space="0" w:color="auto"/>
              <w:left w:val="nil"/>
              <w:bottom w:val="single" w:sz="6" w:space="0" w:color="auto"/>
              <w:right w:val="nil"/>
            </w:tcBorders>
            <w:shd w:val="clear" w:color="auto" w:fill="auto"/>
            <w:vAlign w:val="center"/>
            <w:hideMark/>
          </w:tcPr>
          <w:p w14:paraId="0F17A2E9" w14:textId="77777777" w:rsidR="003D6BBD" w:rsidRPr="00B3383B" w:rsidRDefault="003D6BBD" w:rsidP="00A96B0B">
            <w:pPr>
              <w:rPr>
                <w:rFonts w:asciiTheme="majorBidi" w:hAnsiTheme="majorBidi" w:cstheme="majorBidi"/>
                <w:sz w:val="20"/>
                <w:szCs w:val="20"/>
              </w:rPr>
            </w:pPr>
          </w:p>
        </w:tc>
        <w:tc>
          <w:tcPr>
            <w:tcW w:w="4770" w:type="dxa"/>
            <w:tcBorders>
              <w:top w:val="nil"/>
              <w:left w:val="nil"/>
              <w:bottom w:val="nil"/>
              <w:right w:val="nil"/>
            </w:tcBorders>
            <w:shd w:val="clear" w:color="auto" w:fill="FFFFFF"/>
            <w:vAlign w:val="center"/>
            <w:hideMark/>
          </w:tcPr>
          <w:p w14:paraId="18D1883C"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F3.3 Rice paddies</w:t>
            </w:r>
            <w:r w:rsidRPr="00B3383B">
              <w:rPr>
                <w:rStyle w:val="eop"/>
                <w:rFonts w:asciiTheme="majorBidi" w:eastAsiaTheme="majorEastAsia" w:hAnsiTheme="majorBidi" w:cstheme="majorBidi"/>
                <w:color w:val="000000"/>
                <w:sz w:val="20"/>
                <w:szCs w:val="20"/>
              </w:rPr>
              <w:t> </w:t>
            </w:r>
          </w:p>
        </w:tc>
      </w:tr>
      <w:tr w:rsidR="003D6BBD" w:rsidRPr="00C61E49" w14:paraId="7D731E96" w14:textId="77777777" w:rsidTr="00A96B0B">
        <w:trPr>
          <w:trHeight w:val="285"/>
        </w:trPr>
        <w:tc>
          <w:tcPr>
            <w:tcW w:w="0" w:type="auto"/>
            <w:vMerge/>
            <w:tcBorders>
              <w:top w:val="single" w:sz="6" w:space="0" w:color="auto"/>
              <w:left w:val="nil"/>
              <w:bottom w:val="single" w:sz="6" w:space="0" w:color="auto"/>
              <w:right w:val="nil"/>
            </w:tcBorders>
            <w:shd w:val="clear" w:color="auto" w:fill="auto"/>
            <w:vAlign w:val="center"/>
            <w:hideMark/>
          </w:tcPr>
          <w:p w14:paraId="4F3EAEB5" w14:textId="77777777" w:rsidR="003D6BBD" w:rsidRPr="00B3383B" w:rsidRDefault="003D6BBD" w:rsidP="00A96B0B">
            <w:pPr>
              <w:rPr>
                <w:rFonts w:asciiTheme="majorBidi" w:hAnsiTheme="majorBidi" w:cstheme="majorBidi"/>
                <w:sz w:val="20"/>
                <w:szCs w:val="20"/>
              </w:rPr>
            </w:pPr>
          </w:p>
        </w:tc>
        <w:tc>
          <w:tcPr>
            <w:tcW w:w="0" w:type="auto"/>
            <w:vMerge/>
            <w:tcBorders>
              <w:top w:val="single" w:sz="6" w:space="0" w:color="auto"/>
              <w:left w:val="nil"/>
              <w:bottom w:val="single" w:sz="6" w:space="0" w:color="auto"/>
              <w:right w:val="nil"/>
            </w:tcBorders>
            <w:shd w:val="clear" w:color="auto" w:fill="auto"/>
            <w:vAlign w:val="center"/>
            <w:hideMark/>
          </w:tcPr>
          <w:p w14:paraId="32C127CD" w14:textId="77777777" w:rsidR="003D6BBD" w:rsidRPr="00B3383B" w:rsidRDefault="003D6BBD" w:rsidP="00A96B0B">
            <w:pPr>
              <w:rPr>
                <w:rFonts w:asciiTheme="majorBidi" w:hAnsiTheme="majorBidi" w:cstheme="majorBidi"/>
                <w:sz w:val="20"/>
                <w:szCs w:val="20"/>
              </w:rPr>
            </w:pPr>
          </w:p>
        </w:tc>
        <w:tc>
          <w:tcPr>
            <w:tcW w:w="4770" w:type="dxa"/>
            <w:tcBorders>
              <w:top w:val="nil"/>
              <w:left w:val="nil"/>
              <w:bottom w:val="nil"/>
              <w:right w:val="nil"/>
            </w:tcBorders>
            <w:shd w:val="clear" w:color="auto" w:fill="FFFFFF"/>
            <w:vAlign w:val="center"/>
            <w:hideMark/>
          </w:tcPr>
          <w:p w14:paraId="3720B957"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F3.4 Freshwater aquafarms</w:t>
            </w:r>
            <w:r w:rsidRPr="00B3383B">
              <w:rPr>
                <w:rStyle w:val="eop"/>
                <w:rFonts w:asciiTheme="majorBidi" w:eastAsiaTheme="majorEastAsia" w:hAnsiTheme="majorBidi" w:cstheme="majorBidi"/>
                <w:color w:val="000000"/>
                <w:sz w:val="20"/>
                <w:szCs w:val="20"/>
              </w:rPr>
              <w:t> </w:t>
            </w:r>
          </w:p>
        </w:tc>
      </w:tr>
      <w:tr w:rsidR="003D6BBD" w:rsidRPr="00C61E49" w14:paraId="70E61E06" w14:textId="77777777" w:rsidTr="00A96B0B">
        <w:trPr>
          <w:trHeight w:val="300"/>
        </w:trPr>
        <w:tc>
          <w:tcPr>
            <w:tcW w:w="0" w:type="auto"/>
            <w:vMerge/>
            <w:tcBorders>
              <w:top w:val="single" w:sz="6" w:space="0" w:color="auto"/>
              <w:left w:val="nil"/>
              <w:bottom w:val="single" w:sz="6" w:space="0" w:color="auto"/>
              <w:right w:val="nil"/>
            </w:tcBorders>
            <w:shd w:val="clear" w:color="auto" w:fill="auto"/>
            <w:vAlign w:val="center"/>
            <w:hideMark/>
          </w:tcPr>
          <w:p w14:paraId="4469547B" w14:textId="77777777" w:rsidR="003D6BBD" w:rsidRPr="00B3383B" w:rsidRDefault="003D6BBD" w:rsidP="00A96B0B">
            <w:pPr>
              <w:rPr>
                <w:rFonts w:asciiTheme="majorBidi" w:hAnsiTheme="majorBidi" w:cstheme="majorBidi"/>
                <w:sz w:val="20"/>
                <w:szCs w:val="20"/>
              </w:rPr>
            </w:pPr>
          </w:p>
        </w:tc>
        <w:tc>
          <w:tcPr>
            <w:tcW w:w="0" w:type="auto"/>
            <w:vMerge/>
            <w:tcBorders>
              <w:top w:val="single" w:sz="6" w:space="0" w:color="auto"/>
              <w:left w:val="nil"/>
              <w:bottom w:val="single" w:sz="6" w:space="0" w:color="auto"/>
              <w:right w:val="nil"/>
            </w:tcBorders>
            <w:shd w:val="clear" w:color="auto" w:fill="auto"/>
            <w:vAlign w:val="center"/>
            <w:hideMark/>
          </w:tcPr>
          <w:p w14:paraId="17DAD36B" w14:textId="77777777" w:rsidR="003D6BBD" w:rsidRPr="00B3383B" w:rsidRDefault="003D6BBD" w:rsidP="00A96B0B">
            <w:pPr>
              <w:rPr>
                <w:rFonts w:asciiTheme="majorBidi" w:hAnsiTheme="majorBidi" w:cstheme="majorBidi"/>
                <w:sz w:val="20"/>
                <w:szCs w:val="20"/>
              </w:rPr>
            </w:pPr>
          </w:p>
        </w:tc>
        <w:tc>
          <w:tcPr>
            <w:tcW w:w="4770" w:type="dxa"/>
            <w:tcBorders>
              <w:top w:val="nil"/>
              <w:left w:val="nil"/>
              <w:bottom w:val="single" w:sz="6" w:space="0" w:color="auto"/>
              <w:right w:val="nil"/>
            </w:tcBorders>
            <w:shd w:val="clear" w:color="auto" w:fill="FFFFFF"/>
            <w:vAlign w:val="center"/>
            <w:hideMark/>
          </w:tcPr>
          <w:p w14:paraId="40ED7674"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F3.5 Canals, ditches and drains</w:t>
            </w:r>
            <w:r w:rsidRPr="00B3383B">
              <w:rPr>
                <w:rStyle w:val="eop"/>
                <w:rFonts w:asciiTheme="majorBidi" w:eastAsiaTheme="majorEastAsia" w:hAnsiTheme="majorBidi" w:cstheme="majorBidi"/>
                <w:color w:val="000000"/>
                <w:sz w:val="20"/>
                <w:szCs w:val="20"/>
              </w:rPr>
              <w:t> </w:t>
            </w:r>
          </w:p>
        </w:tc>
      </w:tr>
      <w:tr w:rsidR="003D6BBD" w:rsidRPr="00C61E49" w14:paraId="0B70EF8C" w14:textId="77777777" w:rsidTr="00A96B0B">
        <w:trPr>
          <w:trHeight w:val="390"/>
        </w:trPr>
        <w:tc>
          <w:tcPr>
            <w:tcW w:w="945" w:type="dxa"/>
            <w:vMerge w:val="restart"/>
            <w:tcBorders>
              <w:top w:val="single" w:sz="6" w:space="0" w:color="auto"/>
              <w:left w:val="nil"/>
              <w:bottom w:val="single" w:sz="6" w:space="0" w:color="000000"/>
              <w:right w:val="nil"/>
            </w:tcBorders>
            <w:shd w:val="clear" w:color="auto" w:fill="FFFFFF"/>
            <w:vAlign w:val="center"/>
            <w:hideMark/>
          </w:tcPr>
          <w:p w14:paraId="471ABCDF" w14:textId="77777777" w:rsidR="003D6BBD" w:rsidRPr="00B3383B" w:rsidRDefault="003D6BBD" w:rsidP="00A96B0B">
            <w:pPr>
              <w:pStyle w:val="paragraph"/>
              <w:spacing w:before="0" w:beforeAutospacing="0" w:after="0" w:afterAutospacing="0"/>
              <w:jc w:val="center"/>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Marine</w:t>
            </w:r>
            <w:r w:rsidRPr="00B3383B">
              <w:rPr>
                <w:rStyle w:val="eop"/>
                <w:rFonts w:asciiTheme="majorBidi" w:eastAsiaTheme="majorEastAsia" w:hAnsiTheme="majorBidi" w:cstheme="majorBidi"/>
                <w:color w:val="000000"/>
                <w:sz w:val="20"/>
                <w:szCs w:val="20"/>
              </w:rPr>
              <w:t> </w:t>
            </w:r>
          </w:p>
        </w:tc>
        <w:tc>
          <w:tcPr>
            <w:tcW w:w="2490" w:type="dxa"/>
            <w:vMerge w:val="restart"/>
            <w:tcBorders>
              <w:top w:val="single" w:sz="6" w:space="0" w:color="auto"/>
              <w:left w:val="nil"/>
              <w:bottom w:val="single" w:sz="6" w:space="0" w:color="000000"/>
              <w:right w:val="nil"/>
            </w:tcBorders>
            <w:shd w:val="clear" w:color="auto" w:fill="FFFFFF"/>
            <w:vAlign w:val="center"/>
            <w:hideMark/>
          </w:tcPr>
          <w:p w14:paraId="67CC980B"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M4 Anthropogenic marine systems</w:t>
            </w:r>
            <w:r w:rsidRPr="00B3383B">
              <w:rPr>
                <w:rStyle w:val="eop"/>
                <w:rFonts w:asciiTheme="majorBidi" w:eastAsiaTheme="majorEastAsia" w:hAnsiTheme="majorBidi" w:cstheme="majorBidi"/>
                <w:color w:val="000000"/>
                <w:sz w:val="20"/>
                <w:szCs w:val="20"/>
              </w:rPr>
              <w:t> </w:t>
            </w:r>
          </w:p>
        </w:tc>
        <w:tc>
          <w:tcPr>
            <w:tcW w:w="4770" w:type="dxa"/>
            <w:tcBorders>
              <w:top w:val="nil"/>
              <w:left w:val="nil"/>
              <w:bottom w:val="nil"/>
              <w:right w:val="nil"/>
            </w:tcBorders>
            <w:shd w:val="clear" w:color="auto" w:fill="FFFFFF"/>
            <w:vAlign w:val="center"/>
            <w:hideMark/>
          </w:tcPr>
          <w:p w14:paraId="2EF1C074"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M4.1 Submerged artificial structures</w:t>
            </w:r>
            <w:r w:rsidRPr="00B3383B">
              <w:rPr>
                <w:rStyle w:val="eop"/>
                <w:rFonts w:asciiTheme="majorBidi" w:eastAsiaTheme="majorEastAsia" w:hAnsiTheme="majorBidi" w:cstheme="majorBidi"/>
                <w:color w:val="000000"/>
                <w:sz w:val="20"/>
                <w:szCs w:val="20"/>
              </w:rPr>
              <w:t> </w:t>
            </w:r>
          </w:p>
        </w:tc>
      </w:tr>
      <w:tr w:rsidR="003D6BBD" w:rsidRPr="00C61E49" w14:paraId="25885C5D" w14:textId="77777777" w:rsidTr="00A96B0B">
        <w:trPr>
          <w:trHeight w:val="390"/>
        </w:trPr>
        <w:tc>
          <w:tcPr>
            <w:tcW w:w="0" w:type="auto"/>
            <w:vMerge/>
            <w:tcBorders>
              <w:top w:val="single" w:sz="6" w:space="0" w:color="auto"/>
              <w:left w:val="nil"/>
              <w:bottom w:val="single" w:sz="6" w:space="0" w:color="000000"/>
              <w:right w:val="nil"/>
            </w:tcBorders>
            <w:shd w:val="clear" w:color="auto" w:fill="auto"/>
            <w:vAlign w:val="center"/>
            <w:hideMark/>
          </w:tcPr>
          <w:p w14:paraId="06A27354" w14:textId="77777777" w:rsidR="003D6BBD" w:rsidRPr="00B3383B" w:rsidRDefault="003D6BBD" w:rsidP="00A96B0B">
            <w:pPr>
              <w:rPr>
                <w:rFonts w:asciiTheme="majorBidi" w:hAnsiTheme="majorBidi" w:cstheme="majorBidi"/>
                <w:sz w:val="20"/>
                <w:szCs w:val="20"/>
              </w:rPr>
            </w:pPr>
          </w:p>
        </w:tc>
        <w:tc>
          <w:tcPr>
            <w:tcW w:w="0" w:type="auto"/>
            <w:vMerge/>
            <w:tcBorders>
              <w:top w:val="single" w:sz="6" w:space="0" w:color="auto"/>
              <w:left w:val="nil"/>
              <w:bottom w:val="single" w:sz="6" w:space="0" w:color="000000"/>
              <w:right w:val="nil"/>
            </w:tcBorders>
            <w:shd w:val="clear" w:color="auto" w:fill="auto"/>
            <w:vAlign w:val="center"/>
            <w:hideMark/>
          </w:tcPr>
          <w:p w14:paraId="212F0A1A" w14:textId="77777777" w:rsidR="003D6BBD" w:rsidRPr="00B3383B" w:rsidRDefault="003D6BBD" w:rsidP="00A96B0B">
            <w:pPr>
              <w:rPr>
                <w:rFonts w:asciiTheme="majorBidi" w:hAnsiTheme="majorBidi" w:cstheme="majorBidi"/>
                <w:sz w:val="20"/>
                <w:szCs w:val="20"/>
              </w:rPr>
            </w:pPr>
          </w:p>
        </w:tc>
        <w:tc>
          <w:tcPr>
            <w:tcW w:w="4770" w:type="dxa"/>
            <w:tcBorders>
              <w:top w:val="nil"/>
              <w:left w:val="nil"/>
              <w:bottom w:val="single" w:sz="6" w:space="0" w:color="auto"/>
              <w:right w:val="nil"/>
            </w:tcBorders>
            <w:shd w:val="clear" w:color="auto" w:fill="FFFFFF"/>
            <w:vAlign w:val="center"/>
            <w:hideMark/>
          </w:tcPr>
          <w:p w14:paraId="24A33DD8"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M4.2 Marine aquafarms</w:t>
            </w:r>
            <w:r w:rsidRPr="00B3383B">
              <w:rPr>
                <w:rStyle w:val="eop"/>
                <w:rFonts w:asciiTheme="majorBidi" w:eastAsiaTheme="majorEastAsia" w:hAnsiTheme="majorBidi" w:cstheme="majorBidi"/>
                <w:color w:val="000000"/>
                <w:sz w:val="20"/>
                <w:szCs w:val="20"/>
              </w:rPr>
              <w:t> </w:t>
            </w:r>
          </w:p>
        </w:tc>
      </w:tr>
      <w:tr w:rsidR="003D6BBD" w:rsidRPr="00C61E49" w14:paraId="27BDE2B6" w14:textId="77777777" w:rsidTr="00A96B0B">
        <w:trPr>
          <w:trHeight w:val="945"/>
        </w:trPr>
        <w:tc>
          <w:tcPr>
            <w:tcW w:w="945" w:type="dxa"/>
            <w:tcBorders>
              <w:top w:val="nil"/>
              <w:left w:val="nil"/>
              <w:bottom w:val="single" w:sz="6" w:space="0" w:color="auto"/>
              <w:right w:val="nil"/>
            </w:tcBorders>
            <w:shd w:val="clear" w:color="auto" w:fill="FFFFFF"/>
            <w:vAlign w:val="center"/>
            <w:hideMark/>
          </w:tcPr>
          <w:p w14:paraId="7B4C2DE7" w14:textId="77777777" w:rsidR="003D6BBD" w:rsidRPr="00B3383B" w:rsidRDefault="003D6BBD" w:rsidP="00A96B0B">
            <w:pPr>
              <w:pStyle w:val="paragraph"/>
              <w:spacing w:before="0" w:beforeAutospacing="0" w:after="0" w:afterAutospacing="0"/>
              <w:jc w:val="center"/>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Marine-terrestrial</w:t>
            </w:r>
            <w:r w:rsidRPr="00B3383B">
              <w:rPr>
                <w:rStyle w:val="eop"/>
                <w:rFonts w:asciiTheme="majorBidi" w:eastAsiaTheme="majorEastAsia" w:hAnsiTheme="majorBidi" w:cstheme="majorBidi"/>
                <w:color w:val="000000"/>
                <w:sz w:val="20"/>
                <w:szCs w:val="20"/>
              </w:rPr>
              <w:t> </w:t>
            </w:r>
          </w:p>
        </w:tc>
        <w:tc>
          <w:tcPr>
            <w:tcW w:w="2490" w:type="dxa"/>
            <w:tcBorders>
              <w:top w:val="nil"/>
              <w:left w:val="nil"/>
              <w:bottom w:val="single" w:sz="6" w:space="0" w:color="auto"/>
              <w:right w:val="nil"/>
            </w:tcBorders>
            <w:shd w:val="clear" w:color="auto" w:fill="FFFFFF"/>
            <w:vAlign w:val="center"/>
            <w:hideMark/>
          </w:tcPr>
          <w:p w14:paraId="3489FA1E"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MT3 Anthropogenic shorelines</w:t>
            </w:r>
            <w:r w:rsidRPr="00B3383B">
              <w:rPr>
                <w:rStyle w:val="eop"/>
                <w:rFonts w:asciiTheme="majorBidi" w:eastAsiaTheme="majorEastAsia" w:hAnsiTheme="majorBidi" w:cstheme="majorBidi"/>
                <w:color w:val="000000"/>
                <w:sz w:val="20"/>
                <w:szCs w:val="20"/>
              </w:rPr>
              <w:t> </w:t>
            </w:r>
          </w:p>
        </w:tc>
        <w:tc>
          <w:tcPr>
            <w:tcW w:w="4770" w:type="dxa"/>
            <w:tcBorders>
              <w:top w:val="nil"/>
              <w:left w:val="nil"/>
              <w:bottom w:val="single" w:sz="6" w:space="0" w:color="auto"/>
              <w:right w:val="nil"/>
            </w:tcBorders>
            <w:shd w:val="clear" w:color="auto" w:fill="FFFFFF"/>
            <w:vAlign w:val="center"/>
            <w:hideMark/>
          </w:tcPr>
          <w:p w14:paraId="2C4D2CD6"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color w:val="000000"/>
                <w:sz w:val="20"/>
                <w:szCs w:val="20"/>
                <w:lang w:val="en-US"/>
              </w:rPr>
              <w:t>MT 3.1 Artificial shorelines</w:t>
            </w:r>
            <w:r w:rsidRPr="00B3383B">
              <w:rPr>
                <w:rStyle w:val="eop"/>
                <w:rFonts w:asciiTheme="majorBidi" w:eastAsiaTheme="majorEastAsia" w:hAnsiTheme="majorBidi" w:cstheme="majorBidi"/>
                <w:color w:val="000000"/>
                <w:sz w:val="20"/>
                <w:szCs w:val="20"/>
              </w:rPr>
              <w:t> </w:t>
            </w:r>
          </w:p>
        </w:tc>
      </w:tr>
    </w:tbl>
    <w:p w14:paraId="3AAF3935" w14:textId="77777777" w:rsidR="003D6BBD" w:rsidRPr="00ED7E61" w:rsidRDefault="003D6BBD" w:rsidP="00B3383B">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Please refer to the IUCN GET (Keith et.al 2020) for detailed descriptive profiles for each EFG, which can also be found at </w:t>
      </w:r>
      <w:hyperlink r:id="rId105" w:tgtFrame="_blank" w:history="1">
        <w:r w:rsidRPr="00ED7E61">
          <w:rPr>
            <w:rStyle w:val="normaltextrun"/>
            <w:rFonts w:asciiTheme="majorBidi" w:eastAsiaTheme="majorEastAsia" w:hAnsiTheme="majorBidi" w:cstheme="majorBidi"/>
          </w:rPr>
          <w:t>https://global-ecosystems.org/</w:t>
        </w:r>
      </w:hyperlink>
      <w:r w:rsidRPr="00ED7E61">
        <w:rPr>
          <w:rStyle w:val="normaltextrun"/>
          <w:rFonts w:asciiTheme="majorBidi" w:eastAsiaTheme="majorEastAsia" w:hAnsiTheme="majorBidi" w:cstheme="majorBidi"/>
        </w:rPr>
        <w:t>. </w:t>
      </w:r>
      <w:r w:rsidRPr="00ED7E61">
        <w:rPr>
          <w:rStyle w:val="normaltextrun"/>
        </w:rPr>
        <w:t> </w:t>
      </w:r>
    </w:p>
    <w:p w14:paraId="7F3DCC54" w14:textId="0101DB9E" w:rsidR="003D6BBD" w:rsidRPr="00C61E49" w:rsidRDefault="003D6BBD" w:rsidP="00B3383B">
      <w:pPr>
        <w:pStyle w:val="CBDNormalNumber"/>
        <w:numPr>
          <w:ilvl w:val="0"/>
          <w:numId w:val="0"/>
        </w:numPr>
        <w:ind w:left="567"/>
        <w:rPr>
          <w:rStyle w:val="normaltextrun"/>
          <w:rFonts w:asciiTheme="majorBidi" w:eastAsiaTheme="majorEastAsia" w:hAnsiTheme="majorBidi" w:cstheme="majorBidi"/>
          <w:b/>
          <w:bCs/>
        </w:rPr>
      </w:pPr>
      <w:r w:rsidRPr="00ED7E61">
        <w:rPr>
          <w:rStyle w:val="normaltextrun"/>
          <w:rFonts w:asciiTheme="majorBidi" w:eastAsiaTheme="majorEastAsia" w:hAnsiTheme="majorBidi" w:cstheme="majorBidi"/>
        </w:rPr>
        <w:t xml:space="preserve">The </w:t>
      </w:r>
      <w:r w:rsidRPr="00B3383B">
        <w:rPr>
          <w:rStyle w:val="normaltextrun"/>
        </w:rPr>
        <w:t>IUCN</w:t>
      </w:r>
      <w:r w:rsidRPr="00ED7E61">
        <w:rPr>
          <w:rStyle w:val="normaltextrun"/>
          <w:rFonts w:asciiTheme="majorBidi" w:eastAsiaTheme="majorEastAsia" w:hAnsiTheme="majorBidi" w:cstheme="majorBidi"/>
        </w:rPr>
        <w:t xml:space="preserve"> GET is also used for summarising and disaggregation in Headline Indicator A1, the Red List of Ecosystems, which focuses on the risk of collapse of natural ecosystems.</w:t>
      </w:r>
      <w:r w:rsidRPr="00ED7E61">
        <w:rPr>
          <w:rStyle w:val="normaltextrun"/>
        </w:rPr>
        <w:t> </w:t>
      </w:r>
    </w:p>
    <w:p w14:paraId="00D4A370" w14:textId="77777777" w:rsidR="003D6BBD" w:rsidRPr="00ED7E61" w:rsidRDefault="003D6BBD"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788EA8F8" w14:textId="03FD56BA"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 indicator is drawn directly from ecosystem extent accounts compiled based on the SEEA Ecosystem Accounting framework, which organize data on the extent of different ecosystem types. An ecosystem </w:t>
      </w:r>
      <w:r w:rsidRPr="00B3383B">
        <w:rPr>
          <w:rStyle w:val="normaltextrun"/>
        </w:rPr>
        <w:t>extent</w:t>
      </w:r>
      <w:r w:rsidRPr="00ED7E61">
        <w:rPr>
          <w:rStyle w:val="normaltextrun"/>
          <w:rFonts w:asciiTheme="majorBidi" w:eastAsiaTheme="majorEastAsia" w:hAnsiTheme="majorBidi" w:cstheme="majorBidi"/>
        </w:rPr>
        <w:t xml:space="preserve"> account records the extent (area) and changes in extent, for all ecosystem types within an ecosystem accounting area (in this case a country), including natural, semi-natural and anthropogenic ecosystem types.</w:t>
      </w:r>
      <w:r w:rsidRPr="00ED7E61">
        <w:rPr>
          <w:rStyle w:val="normaltextrun"/>
          <w:rFonts w:eastAsiaTheme="majorEastAsia"/>
        </w:rPr>
        <w:t>8</w:t>
      </w:r>
      <w:r w:rsidRPr="00ED7E61">
        <w:rPr>
          <w:rStyle w:val="normaltextrun"/>
          <w:rFonts w:asciiTheme="majorBidi" w:eastAsiaTheme="majorEastAsia" w:hAnsiTheme="majorBidi" w:cstheme="majorBidi"/>
        </w:rPr>
        <w:t xml:space="preserve"> A stylized example of an ecosystem extent account is shown in Table 2, where the opening extent, closing extent, and additions and reductions in extent for each ecosystem type are recorded for a particular accounting period.</w:t>
      </w:r>
      <w:r w:rsidRPr="00ED7E61">
        <w:rPr>
          <w:rStyle w:val="normaltextrun"/>
          <w:rFonts w:asciiTheme="majorBidi" w:eastAsiaTheme="majorEastAsia" w:hAnsiTheme="majorBidi" w:cstheme="majorBidi"/>
          <w:vertAlign w:val="superscript"/>
        </w:rPr>
        <w:t xml:space="preserve"> </w:t>
      </w:r>
      <w:r w:rsidRPr="00ED7E61">
        <w:rPr>
          <w:rStyle w:val="normaltextrun"/>
          <w:rFonts w:asciiTheme="majorBidi" w:eastAsiaTheme="majorEastAsia" w:hAnsiTheme="majorBidi" w:cstheme="majorBidi"/>
        </w:rPr>
        <w:t>Entries are in measurement units such as hectares or square kilometres. Ideally accounts are compiled for successive accounting periods, with the closing extent for one accounting period becoming the opening extent for the next accounting period. The critical elements of the account table for reporting on the indicator are the opening extent of the first accounting period and the closing extent of the first and each subsequent accounting period (see Section 6d.3). </w:t>
      </w:r>
      <w:r w:rsidRPr="00ED7E61">
        <w:rPr>
          <w:rStyle w:val="normaltextrun"/>
        </w:rPr>
        <w:t> </w:t>
      </w:r>
    </w:p>
    <w:p w14:paraId="13F53586" w14:textId="77777777" w:rsidR="003D6BBD" w:rsidRPr="00ED7E61" w:rsidRDefault="003D6BBD" w:rsidP="00B10F0C">
      <w:pPr>
        <w:pStyle w:val="CBDNormalNumber"/>
        <w:numPr>
          <w:ilvl w:val="0"/>
          <w:numId w:val="45"/>
        </w:numPr>
        <w:rPr>
          <w:rStyle w:val="normaltextrun"/>
          <w:rFonts w:eastAsiaTheme="majorEastAsia"/>
        </w:rPr>
      </w:pPr>
      <w:r w:rsidRPr="00ED7E61">
        <w:rPr>
          <w:rStyle w:val="normaltextrun"/>
          <w:rFonts w:asciiTheme="majorBidi" w:eastAsiaTheme="majorEastAsia" w:hAnsiTheme="majorBidi" w:cstheme="majorBidi"/>
        </w:rPr>
        <w:t>More comprehensive versions of the ecosystem extent account table than the one shown in Table 2 are also possible (e.g. see Table 4.1 in SEEA EA), and a change matrix can be compiled alongside the extent account (described in SEEA EA), providing additional information about conversions between different ecosystem types.</w:t>
      </w:r>
      <w:r w:rsidRPr="00ED7E61">
        <w:rPr>
          <w:rStyle w:val="normaltextrun"/>
        </w:rPr>
        <w:t> </w:t>
      </w:r>
    </w:p>
    <w:p w14:paraId="41130542" w14:textId="77777777" w:rsidR="003D6BBD" w:rsidRPr="00B3383B" w:rsidRDefault="003D6BBD" w:rsidP="003D6BBD">
      <w:pPr>
        <w:pStyle w:val="paragraph"/>
        <w:spacing w:before="0" w:beforeAutospacing="0" w:after="0" w:afterAutospacing="0"/>
        <w:textAlignment w:val="baseline"/>
        <w:rPr>
          <w:rStyle w:val="normaltextrun"/>
          <w:rFonts w:asciiTheme="majorBidi" w:eastAsiaTheme="majorEastAsia" w:hAnsiTheme="majorBidi" w:cstheme="majorBidi"/>
          <w:sz w:val="22"/>
          <w:szCs w:val="22"/>
        </w:rPr>
      </w:pPr>
    </w:p>
    <w:p w14:paraId="11BD9BEE" w14:textId="3F52EBD4" w:rsidR="003D6BBD" w:rsidRPr="00B3383B" w:rsidRDefault="003D6BBD" w:rsidP="00B3383B">
      <w:pPr>
        <w:pStyle w:val="paragraph"/>
        <w:keepNext/>
        <w:keepLines/>
        <w:spacing w:before="0" w:beforeAutospacing="0" w:after="120" w:afterAutospacing="0"/>
        <w:textAlignment w:val="baseline"/>
        <w:rPr>
          <w:rFonts w:asciiTheme="majorBidi" w:hAnsiTheme="majorBidi" w:cstheme="majorBidi"/>
          <w:b/>
          <w:bCs/>
          <w:sz w:val="22"/>
          <w:szCs w:val="22"/>
        </w:rPr>
      </w:pPr>
      <w:r w:rsidRPr="00B3383B">
        <w:rPr>
          <w:rStyle w:val="normaltextrun"/>
          <w:rFonts w:asciiTheme="majorBidi" w:eastAsiaTheme="majorEastAsia" w:hAnsiTheme="majorBidi" w:cstheme="majorBidi"/>
          <w:sz w:val="22"/>
          <w:szCs w:val="22"/>
        </w:rPr>
        <w:t>Table 2</w:t>
      </w:r>
      <w:r w:rsidRPr="00ED7E61">
        <w:rPr>
          <w:rStyle w:val="normaltextrun"/>
          <w:rFonts w:asciiTheme="majorBidi" w:eastAsiaTheme="majorEastAsia" w:hAnsiTheme="majorBidi" w:cstheme="majorBidi"/>
          <w:i/>
          <w:iCs/>
          <w:sz w:val="22"/>
          <w:szCs w:val="22"/>
        </w:rPr>
        <w:t xml:space="preserve"> </w:t>
      </w:r>
      <w:r w:rsidR="00C61E49">
        <w:rPr>
          <w:rStyle w:val="normaltextrun"/>
          <w:rFonts w:asciiTheme="majorBidi" w:eastAsiaTheme="majorEastAsia" w:hAnsiTheme="majorBidi" w:cstheme="majorBidi"/>
          <w:i/>
          <w:iCs/>
          <w:sz w:val="22"/>
          <w:szCs w:val="22"/>
        </w:rPr>
        <w:br/>
      </w:r>
      <w:r w:rsidRPr="00B3383B">
        <w:rPr>
          <w:rStyle w:val="normaltextrun"/>
          <w:rFonts w:asciiTheme="majorBidi" w:eastAsiaTheme="majorEastAsia" w:hAnsiTheme="majorBidi" w:cstheme="majorBidi"/>
          <w:b/>
          <w:bCs/>
          <w:sz w:val="22"/>
          <w:szCs w:val="22"/>
        </w:rPr>
        <w:t>Stylized ecosystem extent account (units of area)</w:t>
      </w:r>
      <w:r w:rsidRPr="00B3383B">
        <w:rPr>
          <w:rStyle w:val="eop"/>
          <w:rFonts w:asciiTheme="majorBidi" w:eastAsiaTheme="majorEastAsia" w:hAnsiTheme="majorBidi" w:cstheme="majorBidi"/>
          <w:b/>
          <w:bCs/>
          <w:sz w:val="22"/>
          <w:szCs w:val="22"/>
        </w:rPr>
        <w:t> </w:t>
      </w:r>
    </w:p>
    <w:tbl>
      <w:tblPr>
        <w:tblW w:w="8577" w:type="dxa"/>
        <w:tblInd w:w="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6"/>
        <w:gridCol w:w="932"/>
        <w:gridCol w:w="899"/>
        <w:gridCol w:w="1065"/>
        <w:gridCol w:w="1215"/>
        <w:gridCol w:w="1125"/>
        <w:gridCol w:w="1035"/>
        <w:gridCol w:w="780"/>
      </w:tblGrid>
      <w:tr w:rsidR="003D6BBD" w:rsidRPr="00C61E49" w14:paraId="431F37E7" w14:textId="77777777" w:rsidTr="00B3383B">
        <w:trPr>
          <w:trHeight w:val="300"/>
        </w:trPr>
        <w:tc>
          <w:tcPr>
            <w:tcW w:w="1526" w:type="dxa"/>
            <w:vMerge w:val="restart"/>
            <w:tcBorders>
              <w:top w:val="single" w:sz="6" w:space="0" w:color="auto"/>
              <w:left w:val="single" w:sz="6" w:space="0" w:color="auto"/>
              <w:bottom w:val="single" w:sz="6" w:space="0" w:color="auto"/>
              <w:right w:val="single" w:sz="6" w:space="0" w:color="auto"/>
            </w:tcBorders>
            <w:shd w:val="clear" w:color="auto" w:fill="auto"/>
            <w:vAlign w:val="bottom"/>
            <w:hideMark/>
          </w:tcPr>
          <w:p w14:paraId="3213C2F7" w14:textId="77777777" w:rsidR="003D6BBD" w:rsidRPr="00B3383B" w:rsidRDefault="003D6BBD" w:rsidP="00B3383B">
            <w:pPr>
              <w:pStyle w:val="paragraph"/>
              <w:keepNext/>
              <w:keepLines/>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b/>
                <w:bCs/>
                <w:sz w:val="20"/>
                <w:szCs w:val="20"/>
                <w:lang w:val="en-GB"/>
              </w:rPr>
              <w:t>Accounting entries</w:t>
            </w:r>
            <w:r w:rsidRPr="00B3383B">
              <w:rPr>
                <w:rStyle w:val="eop"/>
                <w:rFonts w:asciiTheme="majorBidi" w:eastAsiaTheme="majorEastAsia" w:hAnsiTheme="majorBidi" w:cstheme="majorBidi"/>
                <w:sz w:val="20"/>
                <w:szCs w:val="20"/>
              </w:rPr>
              <w:t> </w:t>
            </w:r>
          </w:p>
        </w:tc>
        <w:tc>
          <w:tcPr>
            <w:tcW w:w="6271" w:type="dxa"/>
            <w:gridSpan w:val="6"/>
            <w:tcBorders>
              <w:top w:val="single" w:sz="6" w:space="0" w:color="auto"/>
              <w:left w:val="single" w:sz="6" w:space="0" w:color="auto"/>
              <w:bottom w:val="single" w:sz="6" w:space="0" w:color="auto"/>
              <w:right w:val="single" w:sz="6" w:space="0" w:color="auto"/>
            </w:tcBorders>
            <w:shd w:val="clear" w:color="auto" w:fill="auto"/>
            <w:hideMark/>
          </w:tcPr>
          <w:p w14:paraId="3B2B5ED7" w14:textId="77777777" w:rsidR="003D6BBD" w:rsidRPr="00B3383B" w:rsidRDefault="003D6BBD" w:rsidP="00B3383B">
            <w:pPr>
              <w:pStyle w:val="paragraph"/>
              <w:keepNext/>
              <w:keepLines/>
              <w:spacing w:before="0" w:beforeAutospacing="0" w:after="0" w:afterAutospacing="0"/>
              <w:jc w:val="center"/>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b/>
                <w:bCs/>
                <w:sz w:val="20"/>
                <w:szCs w:val="20"/>
                <w:lang w:val="en-GB"/>
              </w:rPr>
              <w:t>Ecosystem functional groups (examples)</w:t>
            </w:r>
            <w:r w:rsidRPr="00B3383B">
              <w:rPr>
                <w:rStyle w:val="eop"/>
                <w:rFonts w:asciiTheme="majorBidi" w:eastAsiaTheme="majorEastAsia" w:hAnsiTheme="majorBidi" w:cstheme="majorBidi"/>
                <w:sz w:val="20"/>
                <w:szCs w:val="20"/>
              </w:rPr>
              <w:t> </w:t>
            </w:r>
          </w:p>
        </w:tc>
        <w:tc>
          <w:tcPr>
            <w:tcW w:w="780" w:type="dxa"/>
            <w:vMerge w:val="restart"/>
            <w:tcBorders>
              <w:top w:val="single" w:sz="6" w:space="0" w:color="auto"/>
              <w:left w:val="single" w:sz="6" w:space="0" w:color="auto"/>
              <w:bottom w:val="single" w:sz="6" w:space="0" w:color="auto"/>
              <w:right w:val="single" w:sz="6" w:space="0" w:color="auto"/>
            </w:tcBorders>
            <w:shd w:val="clear" w:color="auto" w:fill="auto"/>
            <w:vAlign w:val="bottom"/>
            <w:hideMark/>
          </w:tcPr>
          <w:p w14:paraId="09E2212B" w14:textId="77777777" w:rsidR="003D6BBD" w:rsidRPr="00B3383B" w:rsidRDefault="003D6BBD" w:rsidP="00B3383B">
            <w:pPr>
              <w:pStyle w:val="paragraph"/>
              <w:keepNext/>
              <w:keepLines/>
              <w:spacing w:before="0" w:beforeAutospacing="0" w:after="0" w:afterAutospacing="0"/>
              <w:jc w:val="center"/>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b/>
                <w:bCs/>
                <w:sz w:val="20"/>
                <w:szCs w:val="20"/>
                <w:lang w:val="en-GB"/>
              </w:rPr>
              <w:t>Total</w:t>
            </w:r>
            <w:r w:rsidRPr="00B3383B">
              <w:rPr>
                <w:rStyle w:val="eop"/>
                <w:rFonts w:asciiTheme="majorBidi" w:eastAsiaTheme="majorEastAsia" w:hAnsiTheme="majorBidi" w:cstheme="majorBidi"/>
                <w:sz w:val="20"/>
                <w:szCs w:val="20"/>
              </w:rPr>
              <w:t> </w:t>
            </w:r>
          </w:p>
        </w:tc>
      </w:tr>
      <w:tr w:rsidR="003D6BBD" w:rsidRPr="00C61E49" w14:paraId="5B7EEFF7" w14:textId="77777777" w:rsidTr="00B3383B">
        <w:trPr>
          <w:trHeight w:val="300"/>
        </w:trPr>
        <w:tc>
          <w:tcPr>
            <w:tcW w:w="152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B0651F" w14:textId="77777777" w:rsidR="003D6BBD" w:rsidRPr="00B3383B" w:rsidRDefault="003D6BBD" w:rsidP="00A96B0B">
            <w:pPr>
              <w:rPr>
                <w:rFonts w:asciiTheme="majorBidi" w:hAnsiTheme="majorBidi" w:cstheme="majorBidi"/>
                <w:sz w:val="20"/>
                <w:szCs w:val="20"/>
              </w:rPr>
            </w:pPr>
          </w:p>
        </w:tc>
        <w:tc>
          <w:tcPr>
            <w:tcW w:w="932" w:type="dxa"/>
            <w:tcBorders>
              <w:top w:val="single" w:sz="6" w:space="0" w:color="auto"/>
              <w:left w:val="single" w:sz="6" w:space="0" w:color="auto"/>
              <w:bottom w:val="single" w:sz="6" w:space="0" w:color="auto"/>
              <w:right w:val="single" w:sz="6" w:space="0" w:color="auto"/>
            </w:tcBorders>
            <w:shd w:val="clear" w:color="auto" w:fill="auto"/>
            <w:hideMark/>
          </w:tcPr>
          <w:p w14:paraId="4D2425AF"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sz w:val="20"/>
                <w:szCs w:val="20"/>
                <w:lang w:val="en-GB"/>
              </w:rPr>
              <w:t>T2.6 Temperate forests and woodlands</w:t>
            </w:r>
            <w:r w:rsidRPr="00B3383B">
              <w:rPr>
                <w:rStyle w:val="eop"/>
                <w:rFonts w:asciiTheme="majorBidi" w:eastAsiaTheme="majorEastAsia" w:hAnsiTheme="majorBidi" w:cstheme="majorBidi"/>
                <w:sz w:val="20"/>
                <w:szCs w:val="20"/>
              </w:rPr>
              <w:t> </w:t>
            </w:r>
          </w:p>
        </w:tc>
        <w:tc>
          <w:tcPr>
            <w:tcW w:w="899" w:type="dxa"/>
            <w:tcBorders>
              <w:top w:val="single" w:sz="6" w:space="0" w:color="auto"/>
              <w:left w:val="single" w:sz="6" w:space="0" w:color="auto"/>
              <w:bottom w:val="single" w:sz="6" w:space="0" w:color="auto"/>
              <w:right w:val="single" w:sz="6" w:space="0" w:color="auto"/>
            </w:tcBorders>
            <w:shd w:val="clear" w:color="auto" w:fill="auto"/>
            <w:hideMark/>
          </w:tcPr>
          <w:p w14:paraId="7EC69917"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sz w:val="20"/>
                <w:szCs w:val="20"/>
                <w:lang w:val="en-GB"/>
              </w:rPr>
              <w:t>T4.5 Temperate subhumid grasslands</w:t>
            </w:r>
            <w:r w:rsidRPr="00B3383B">
              <w:rPr>
                <w:rStyle w:val="eop"/>
                <w:rFonts w:asciiTheme="majorBidi" w:eastAsiaTheme="majorEastAsia" w:hAnsiTheme="majorBidi" w:cstheme="majorBidi"/>
                <w:sz w:val="20"/>
                <w:szCs w:val="20"/>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3EC047D"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sz w:val="20"/>
                <w:szCs w:val="20"/>
                <w:lang w:val="en-GB"/>
              </w:rPr>
              <w:t>F2.3 Seasonal freshwater lakes</w:t>
            </w:r>
            <w:r w:rsidRPr="00B3383B">
              <w:rPr>
                <w:rStyle w:val="eop"/>
                <w:rFonts w:asciiTheme="majorBidi" w:eastAsiaTheme="majorEastAsia" w:hAnsiTheme="majorBidi" w:cstheme="majorBid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074F013"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sz w:val="20"/>
                <w:szCs w:val="20"/>
                <w:lang w:val="en-GB"/>
              </w:rPr>
              <w:t>T7.1 Annual croplands</w:t>
            </w:r>
            <w:r w:rsidRPr="00B3383B">
              <w:rPr>
                <w:rStyle w:val="eop"/>
                <w:rFonts w:asciiTheme="majorBidi" w:eastAsiaTheme="majorEastAsia" w:hAnsiTheme="majorBidi" w:cstheme="majorBidi"/>
                <w:sz w:val="20"/>
                <w:szCs w:val="20"/>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12AD961"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sz w:val="20"/>
                <w:szCs w:val="20"/>
                <w:lang w:val="en-GB"/>
              </w:rPr>
              <w:t>T7.4 Urban and industrial ecosystems</w:t>
            </w:r>
            <w:r w:rsidRPr="00B3383B">
              <w:rPr>
                <w:rStyle w:val="eop"/>
                <w:rFonts w:asciiTheme="majorBidi" w:eastAsiaTheme="majorEastAsia" w:hAnsiTheme="majorBidi" w:cstheme="majorBidi"/>
                <w:sz w:val="20"/>
                <w:szCs w:val="20"/>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33E214DD"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sz w:val="20"/>
                <w:szCs w:val="20"/>
                <w:lang w:val="en-GB"/>
              </w:rPr>
              <w:t>…</w:t>
            </w:r>
            <w:r w:rsidRPr="00B3383B">
              <w:rPr>
                <w:rStyle w:val="eop"/>
                <w:rFonts w:asciiTheme="majorBidi" w:eastAsiaTheme="majorEastAsia" w:hAnsiTheme="majorBidi" w:cstheme="majorBidi"/>
                <w:sz w:val="20"/>
                <w:szCs w:val="20"/>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4725BA" w14:textId="77777777" w:rsidR="003D6BBD" w:rsidRPr="00B3383B" w:rsidRDefault="003D6BBD" w:rsidP="00A96B0B">
            <w:pPr>
              <w:rPr>
                <w:rFonts w:asciiTheme="majorBidi" w:hAnsiTheme="majorBidi" w:cstheme="majorBidi"/>
                <w:sz w:val="20"/>
                <w:szCs w:val="20"/>
              </w:rPr>
            </w:pPr>
          </w:p>
        </w:tc>
      </w:tr>
      <w:tr w:rsidR="003D6BBD" w:rsidRPr="00C61E49" w14:paraId="20C0BE85" w14:textId="77777777" w:rsidTr="00B3383B">
        <w:trPr>
          <w:trHeight w:val="30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2FC8B4B2"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sz w:val="20"/>
                <w:szCs w:val="20"/>
                <w:lang w:val="en-GB"/>
              </w:rPr>
              <w:t>Opening extent</w:t>
            </w:r>
            <w:r w:rsidRPr="00B3383B">
              <w:rPr>
                <w:rStyle w:val="eop"/>
                <w:rFonts w:asciiTheme="majorBidi" w:eastAsiaTheme="majorEastAsia" w:hAnsiTheme="majorBidi" w:cstheme="majorBidi"/>
                <w:sz w:val="20"/>
                <w:szCs w:val="20"/>
              </w:rPr>
              <w:t> </w:t>
            </w:r>
          </w:p>
        </w:tc>
        <w:tc>
          <w:tcPr>
            <w:tcW w:w="932" w:type="dxa"/>
            <w:tcBorders>
              <w:top w:val="single" w:sz="6" w:space="0" w:color="auto"/>
              <w:left w:val="single" w:sz="6" w:space="0" w:color="auto"/>
              <w:bottom w:val="single" w:sz="6" w:space="0" w:color="auto"/>
              <w:right w:val="single" w:sz="6" w:space="0" w:color="auto"/>
            </w:tcBorders>
            <w:shd w:val="clear" w:color="auto" w:fill="auto"/>
            <w:hideMark/>
          </w:tcPr>
          <w:p w14:paraId="41C8D29A"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899" w:type="dxa"/>
            <w:tcBorders>
              <w:top w:val="single" w:sz="6" w:space="0" w:color="auto"/>
              <w:left w:val="single" w:sz="6" w:space="0" w:color="auto"/>
              <w:bottom w:val="single" w:sz="6" w:space="0" w:color="auto"/>
              <w:right w:val="single" w:sz="6" w:space="0" w:color="auto"/>
            </w:tcBorders>
            <w:shd w:val="clear" w:color="auto" w:fill="auto"/>
            <w:hideMark/>
          </w:tcPr>
          <w:p w14:paraId="504431CA"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336F609"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E89A770"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1E94A4F"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3DD46B47"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19244D93"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r>
      <w:tr w:rsidR="003D6BBD" w:rsidRPr="00C61E49" w14:paraId="375FECCA" w14:textId="77777777" w:rsidTr="00B3383B">
        <w:trPr>
          <w:trHeight w:val="30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1D59BE0C"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sz w:val="20"/>
                <w:szCs w:val="20"/>
                <w:lang w:val="en-GB"/>
              </w:rPr>
              <w:t>   Additions to extent</w:t>
            </w:r>
            <w:r w:rsidRPr="00B3383B">
              <w:rPr>
                <w:rStyle w:val="eop"/>
                <w:rFonts w:asciiTheme="majorBidi" w:eastAsiaTheme="majorEastAsia" w:hAnsiTheme="majorBidi" w:cstheme="majorBidi"/>
                <w:sz w:val="20"/>
                <w:szCs w:val="20"/>
              </w:rPr>
              <w:t> </w:t>
            </w:r>
          </w:p>
        </w:tc>
        <w:tc>
          <w:tcPr>
            <w:tcW w:w="932" w:type="dxa"/>
            <w:tcBorders>
              <w:top w:val="single" w:sz="6" w:space="0" w:color="auto"/>
              <w:left w:val="single" w:sz="6" w:space="0" w:color="auto"/>
              <w:bottom w:val="single" w:sz="6" w:space="0" w:color="auto"/>
              <w:right w:val="single" w:sz="6" w:space="0" w:color="auto"/>
            </w:tcBorders>
            <w:shd w:val="clear" w:color="auto" w:fill="auto"/>
            <w:hideMark/>
          </w:tcPr>
          <w:p w14:paraId="16DCA203"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899" w:type="dxa"/>
            <w:tcBorders>
              <w:top w:val="single" w:sz="6" w:space="0" w:color="auto"/>
              <w:left w:val="single" w:sz="6" w:space="0" w:color="auto"/>
              <w:bottom w:val="single" w:sz="6" w:space="0" w:color="auto"/>
              <w:right w:val="single" w:sz="6" w:space="0" w:color="auto"/>
            </w:tcBorders>
            <w:shd w:val="clear" w:color="auto" w:fill="auto"/>
            <w:hideMark/>
          </w:tcPr>
          <w:p w14:paraId="294003CA"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7DE26CA"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082D505"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632FF26"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1D7348F2"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6AC2345E"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r>
      <w:tr w:rsidR="003D6BBD" w:rsidRPr="00C61E49" w14:paraId="69977092" w14:textId="77777777" w:rsidTr="00B3383B">
        <w:trPr>
          <w:trHeight w:val="30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60BD7C6"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sz w:val="20"/>
                <w:szCs w:val="20"/>
                <w:lang w:val="en-GB"/>
              </w:rPr>
              <w:t>   Reduction to extent</w:t>
            </w:r>
            <w:r w:rsidRPr="00B3383B">
              <w:rPr>
                <w:rStyle w:val="eop"/>
                <w:rFonts w:asciiTheme="majorBidi" w:eastAsiaTheme="majorEastAsia" w:hAnsiTheme="majorBidi" w:cstheme="majorBidi"/>
                <w:sz w:val="20"/>
                <w:szCs w:val="20"/>
              </w:rPr>
              <w:t> </w:t>
            </w:r>
          </w:p>
        </w:tc>
        <w:tc>
          <w:tcPr>
            <w:tcW w:w="932" w:type="dxa"/>
            <w:tcBorders>
              <w:top w:val="single" w:sz="6" w:space="0" w:color="auto"/>
              <w:left w:val="single" w:sz="6" w:space="0" w:color="auto"/>
              <w:bottom w:val="single" w:sz="6" w:space="0" w:color="auto"/>
              <w:right w:val="single" w:sz="6" w:space="0" w:color="auto"/>
            </w:tcBorders>
            <w:shd w:val="clear" w:color="auto" w:fill="auto"/>
            <w:hideMark/>
          </w:tcPr>
          <w:p w14:paraId="3F61B154"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899" w:type="dxa"/>
            <w:tcBorders>
              <w:top w:val="single" w:sz="6" w:space="0" w:color="auto"/>
              <w:left w:val="single" w:sz="6" w:space="0" w:color="auto"/>
              <w:bottom w:val="single" w:sz="6" w:space="0" w:color="auto"/>
              <w:right w:val="single" w:sz="6" w:space="0" w:color="auto"/>
            </w:tcBorders>
            <w:shd w:val="clear" w:color="auto" w:fill="auto"/>
            <w:hideMark/>
          </w:tcPr>
          <w:p w14:paraId="21DCBAA9"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BF1A263"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FEF8442"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2B1BF14"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7FC39B6"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723EAD9E"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r>
      <w:tr w:rsidR="003D6BBD" w:rsidRPr="00C61E49" w14:paraId="25148FE6" w14:textId="77777777" w:rsidTr="00B3383B">
        <w:trPr>
          <w:trHeight w:val="30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1C679B6"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normaltextrun"/>
                <w:rFonts w:asciiTheme="majorBidi" w:eastAsiaTheme="majorEastAsia" w:hAnsiTheme="majorBidi" w:cstheme="majorBidi"/>
                <w:sz w:val="20"/>
                <w:szCs w:val="20"/>
                <w:lang w:val="en-GB"/>
              </w:rPr>
              <w:t>Closing extent</w:t>
            </w:r>
            <w:r w:rsidRPr="00B3383B">
              <w:rPr>
                <w:rStyle w:val="eop"/>
                <w:rFonts w:asciiTheme="majorBidi" w:eastAsiaTheme="majorEastAsia" w:hAnsiTheme="majorBidi" w:cstheme="majorBidi"/>
                <w:sz w:val="20"/>
                <w:szCs w:val="20"/>
              </w:rPr>
              <w:t> </w:t>
            </w:r>
          </w:p>
        </w:tc>
        <w:tc>
          <w:tcPr>
            <w:tcW w:w="932" w:type="dxa"/>
            <w:tcBorders>
              <w:top w:val="single" w:sz="6" w:space="0" w:color="auto"/>
              <w:left w:val="single" w:sz="6" w:space="0" w:color="auto"/>
              <w:bottom w:val="single" w:sz="6" w:space="0" w:color="auto"/>
              <w:right w:val="single" w:sz="6" w:space="0" w:color="auto"/>
            </w:tcBorders>
            <w:shd w:val="clear" w:color="auto" w:fill="auto"/>
            <w:hideMark/>
          </w:tcPr>
          <w:p w14:paraId="663831CD"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899" w:type="dxa"/>
            <w:tcBorders>
              <w:top w:val="single" w:sz="6" w:space="0" w:color="auto"/>
              <w:left w:val="single" w:sz="6" w:space="0" w:color="auto"/>
              <w:bottom w:val="single" w:sz="6" w:space="0" w:color="auto"/>
              <w:right w:val="single" w:sz="6" w:space="0" w:color="auto"/>
            </w:tcBorders>
            <w:shd w:val="clear" w:color="auto" w:fill="auto"/>
            <w:hideMark/>
          </w:tcPr>
          <w:p w14:paraId="14DB7AE3"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3062224"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D58AA73"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D8FE2C8"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3FBE6CE"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c>
          <w:tcPr>
            <w:tcW w:w="780" w:type="dxa"/>
            <w:tcBorders>
              <w:top w:val="single" w:sz="6" w:space="0" w:color="auto"/>
              <w:left w:val="single" w:sz="6" w:space="0" w:color="auto"/>
              <w:bottom w:val="single" w:sz="6" w:space="0" w:color="auto"/>
              <w:right w:val="single" w:sz="6" w:space="0" w:color="auto"/>
            </w:tcBorders>
            <w:shd w:val="clear" w:color="auto" w:fill="auto"/>
            <w:hideMark/>
          </w:tcPr>
          <w:p w14:paraId="71D21FA2" w14:textId="77777777" w:rsidR="003D6BBD" w:rsidRPr="00B3383B" w:rsidRDefault="003D6BBD" w:rsidP="00A96B0B">
            <w:pPr>
              <w:pStyle w:val="paragraph"/>
              <w:spacing w:before="0" w:beforeAutospacing="0" w:after="0" w:afterAutospacing="0"/>
              <w:textAlignment w:val="baseline"/>
              <w:rPr>
                <w:rFonts w:asciiTheme="majorBidi" w:hAnsiTheme="majorBidi" w:cstheme="majorBidi"/>
                <w:sz w:val="20"/>
                <w:szCs w:val="20"/>
              </w:rPr>
            </w:pPr>
            <w:r w:rsidRPr="00B3383B">
              <w:rPr>
                <w:rStyle w:val="eop"/>
                <w:rFonts w:asciiTheme="majorBidi" w:eastAsiaTheme="majorEastAsia" w:hAnsiTheme="majorBidi" w:cstheme="majorBidi"/>
                <w:sz w:val="20"/>
                <w:szCs w:val="20"/>
              </w:rPr>
              <w:t> </w:t>
            </w:r>
          </w:p>
        </w:tc>
      </w:tr>
    </w:tbl>
    <w:p w14:paraId="20E142BF"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Source: Adapted from SEEA Ecosystem Accounting, Table 2.2.</w:t>
      </w:r>
      <w:r w:rsidRPr="00ED7E61">
        <w:rPr>
          <w:rStyle w:val="eop"/>
          <w:rFonts w:asciiTheme="majorBidi" w:eastAsiaTheme="majorEastAsia" w:hAnsiTheme="majorBidi" w:cstheme="majorBidi"/>
          <w:sz w:val="22"/>
          <w:szCs w:val="22"/>
        </w:rPr>
        <w:t> </w:t>
      </w:r>
    </w:p>
    <w:p w14:paraId="226CF137" w14:textId="09B5B864" w:rsidR="008344AF"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Countries that have their own national classification system and maps for ecosystems should use that classification and spatial data for the compilation of extent accounts. The accounts can be compiled in as much detail as needed at the national level, for example at a level equivalent to Levels 5 or 6 of the GET (</w:t>
      </w:r>
      <w:r w:rsidRPr="00B3383B">
        <w:rPr>
          <w:rStyle w:val="normaltextrun"/>
        </w:rPr>
        <w:t>these</w:t>
      </w:r>
      <w:r w:rsidRPr="00ED7E61">
        <w:rPr>
          <w:rStyle w:val="normaltextrun"/>
          <w:rFonts w:asciiTheme="majorBidi" w:eastAsiaTheme="majorEastAsia" w:hAnsiTheme="majorBidi" w:cstheme="majorBidi"/>
        </w:rPr>
        <w:t xml:space="preserve"> levels are intended to be developed bottom-up, from the national or local level). </w:t>
      </w:r>
      <w:r w:rsidRPr="00ED7E61">
        <w:rPr>
          <w:rStyle w:val="normaltextrun"/>
        </w:rPr>
        <w:t> </w:t>
      </w:r>
    </w:p>
    <w:p w14:paraId="278C6AC0" w14:textId="67144E19" w:rsidR="008344AF"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lang w:val="en-NZ"/>
        </w:rPr>
        <w:t xml:space="preserve">In such cases, a bridge or concordance of this national classification system with IUCN GET Level 3 (EFGs) should be developed to facilitate consistency and comparison across countries. Each national ecosystem </w:t>
      </w:r>
      <w:r w:rsidRPr="00B3383B">
        <w:rPr>
          <w:rStyle w:val="normaltextrun"/>
        </w:rPr>
        <w:t>type</w:t>
      </w:r>
      <w:r w:rsidRPr="00ED7E61">
        <w:rPr>
          <w:rStyle w:val="normaltextrun"/>
          <w:rFonts w:asciiTheme="majorBidi" w:eastAsiaTheme="majorEastAsia" w:hAnsiTheme="majorBidi" w:cstheme="majorBidi"/>
          <w:lang w:val="en-NZ"/>
        </w:rPr>
        <w:t xml:space="preserve"> should be cross-walked to the EFG that provides the best fit (not necessarily a perfect fit) based on the descriptions of the EFGs (available at </w:t>
      </w:r>
      <w:hyperlink r:id="rId106" w:tgtFrame="_blank" w:history="1">
        <w:r w:rsidRPr="00ED7E61">
          <w:rPr>
            <w:rStyle w:val="normaltextrun"/>
            <w:rFonts w:asciiTheme="majorBidi" w:eastAsiaTheme="majorEastAsia" w:hAnsiTheme="majorBidi" w:cstheme="majorBidi"/>
            <w:color w:val="467886"/>
            <w:u w:val="single"/>
          </w:rPr>
          <w:t>https://global-ecosystems.org/</w:t>
        </w:r>
      </w:hyperlink>
      <w:r w:rsidRPr="00ED7E61">
        <w:rPr>
          <w:rStyle w:val="normaltextrun"/>
          <w:rFonts w:asciiTheme="majorBidi" w:eastAsiaTheme="majorEastAsia" w:hAnsiTheme="majorBidi" w:cstheme="majorBidi"/>
          <w:lang w:val="en-NZ"/>
        </w:rPr>
        <w:t>). </w:t>
      </w:r>
      <w:r w:rsidRPr="00ED7E61">
        <w:rPr>
          <w:rStyle w:val="eop"/>
          <w:rFonts w:asciiTheme="majorBidi" w:eastAsiaTheme="majorEastAsia" w:hAnsiTheme="majorBidi" w:cstheme="majorBidi"/>
        </w:rPr>
        <w:t> </w:t>
      </w:r>
    </w:p>
    <w:p w14:paraId="2269A4FD" w14:textId="2EFB3F8E" w:rsidR="008344AF" w:rsidRPr="00ED7E61" w:rsidRDefault="003D6BBD" w:rsidP="00B10F0C">
      <w:pPr>
        <w:pStyle w:val="CBDNormalNumber"/>
        <w:numPr>
          <w:ilvl w:val="0"/>
          <w:numId w:val="45"/>
        </w:numPr>
        <w:rPr>
          <w:rFonts w:asciiTheme="majorBidi" w:eastAsiaTheme="majorEastAsia" w:hAnsiTheme="majorBidi" w:cstheme="majorBidi"/>
        </w:rPr>
      </w:pPr>
      <w:r w:rsidRPr="00ED7E61">
        <w:rPr>
          <w:rStyle w:val="normaltextrun"/>
          <w:rFonts w:asciiTheme="majorBidi" w:eastAsiaTheme="majorEastAsia" w:hAnsiTheme="majorBidi" w:cstheme="majorBidi"/>
          <w:lang w:val="en-NZ"/>
        </w:rPr>
        <w:t xml:space="preserve">Guidance and </w:t>
      </w:r>
      <w:r w:rsidRPr="00B3383B">
        <w:rPr>
          <w:rStyle w:val="normaltextrun"/>
        </w:rPr>
        <w:t>tools</w:t>
      </w:r>
      <w:r w:rsidRPr="00ED7E61">
        <w:rPr>
          <w:rStyle w:val="normaltextrun"/>
          <w:rFonts w:asciiTheme="majorBidi" w:eastAsiaTheme="majorEastAsia" w:hAnsiTheme="majorBidi" w:cstheme="majorBidi"/>
          <w:lang w:val="en-NZ"/>
        </w:rPr>
        <w:t xml:space="preserve"> to support countries with this cross-walking process, which is required for several GBF indicators, are in the process of being developed. It is important to note that the cross-walk from national ecosystem types to EFGs is a conceptual cross-walk not a spatial cross-walk. Countries should use their own spatial data on the distribution of ecosystem types (cross-walked to EFGs) for compiling the extent account, not, for example, the indicative spatial data on distribution of EFGs that is available on the GET website.</w:t>
      </w:r>
      <w:r w:rsidRPr="00ED7E61">
        <w:rPr>
          <w:rStyle w:val="eop"/>
          <w:rFonts w:asciiTheme="majorBidi" w:eastAsiaTheme="majorEastAsia" w:hAnsiTheme="majorBidi" w:cstheme="majorBidi"/>
        </w:rPr>
        <w:t> </w:t>
      </w:r>
    </w:p>
    <w:p w14:paraId="1F2338FF" w14:textId="0B822F59" w:rsidR="008344AF" w:rsidRPr="00ED7E61" w:rsidRDefault="003D6BBD" w:rsidP="00B10F0C">
      <w:pPr>
        <w:pStyle w:val="CBDNormalNumber"/>
        <w:numPr>
          <w:ilvl w:val="0"/>
          <w:numId w:val="45"/>
        </w:numPr>
        <w:rPr>
          <w:rFonts w:asciiTheme="majorBidi" w:eastAsiaTheme="majorEastAsia" w:hAnsiTheme="majorBidi" w:cstheme="majorBidi"/>
        </w:rPr>
      </w:pPr>
      <w:r w:rsidRPr="00ED7E61">
        <w:rPr>
          <w:rStyle w:val="normaltextrun"/>
          <w:rFonts w:asciiTheme="majorBidi" w:eastAsiaTheme="majorEastAsia" w:hAnsiTheme="majorBidi" w:cstheme="majorBidi"/>
          <w:lang w:val="en-NZ"/>
        </w:rPr>
        <w:t xml:space="preserve">When no </w:t>
      </w:r>
      <w:r w:rsidRPr="00B3383B">
        <w:rPr>
          <w:rStyle w:val="normaltextrun"/>
        </w:rPr>
        <w:t>existing</w:t>
      </w:r>
      <w:r w:rsidRPr="00ED7E61">
        <w:rPr>
          <w:rStyle w:val="normaltextrun"/>
          <w:rFonts w:asciiTheme="majorBidi" w:eastAsiaTheme="majorEastAsia" w:hAnsiTheme="majorBidi" w:cstheme="majorBidi"/>
          <w:lang w:val="en-NZ"/>
        </w:rPr>
        <w:t xml:space="preserve"> national classification and/or map of ecosystem types is available, or deemed suitable for reporting, a country could opt to use global data or tools to compile extent accounts.</w:t>
      </w:r>
      <w:r w:rsidRPr="00ED7E61">
        <w:rPr>
          <w:rStyle w:val="eop"/>
          <w:rFonts w:asciiTheme="majorBidi" w:eastAsiaTheme="majorEastAsia" w:hAnsiTheme="majorBidi" w:cstheme="majorBidi"/>
        </w:rPr>
        <w:t> </w:t>
      </w:r>
    </w:p>
    <w:p w14:paraId="62B3E24B" w14:textId="6A3CE851" w:rsidR="008344AF"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 xml:space="preserve">Once </w:t>
      </w:r>
      <w:r w:rsidRPr="00B3383B">
        <w:rPr>
          <w:rStyle w:val="normaltextrun"/>
        </w:rPr>
        <w:t>national</w:t>
      </w:r>
      <w:r w:rsidRPr="00ED7E61">
        <w:rPr>
          <w:rStyle w:val="normaltextrun"/>
          <w:rFonts w:asciiTheme="majorBidi" w:eastAsiaTheme="majorEastAsia" w:hAnsiTheme="majorBidi" w:cstheme="majorBidi"/>
        </w:rPr>
        <w:t xml:space="preserve"> ecosystem types have been cross-walked to the EFGs in the GET, the extent account table based on national ecosystem types should be converted to an extent account based on GET EFGs. In some cases this will involve aggregating values for several national ecosystem types that fall within one EFG.</w:t>
      </w:r>
      <w:r w:rsidRPr="00ED7E61">
        <w:rPr>
          <w:rStyle w:val="eop"/>
          <w:rFonts w:asciiTheme="majorBidi" w:eastAsiaTheme="majorEastAsia" w:hAnsiTheme="majorBidi" w:cstheme="majorBidi"/>
        </w:rPr>
        <w:t> </w:t>
      </w:r>
    </w:p>
    <w:p w14:paraId="5111A43C" w14:textId="4AB927D7" w:rsidR="008344AF"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 xml:space="preserve">The </w:t>
      </w:r>
      <w:r w:rsidRPr="00B3383B">
        <w:rPr>
          <w:rStyle w:val="normaltextrun"/>
        </w:rPr>
        <w:t>indicator</w:t>
      </w:r>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i/>
          <w:iCs/>
        </w:rPr>
        <w:t>extent of natural and semi-natural ecosystems as a proportion of total area”</w:t>
      </w:r>
      <w:r w:rsidRPr="00ED7E61">
        <w:rPr>
          <w:rStyle w:val="normaltextrun"/>
          <w:rFonts w:asciiTheme="majorBidi" w:eastAsiaTheme="majorEastAsia" w:hAnsiTheme="majorBidi" w:cstheme="majorBidi"/>
        </w:rPr>
        <w:t xml:space="preserve">, is then obtained by summing the extent of the EFGs pertaining to natural and semi-natural ecosystems (in </w:t>
      </w:r>
      <w:r w:rsidRPr="00ED7E61">
        <w:rPr>
          <w:rStyle w:val="normaltextrun"/>
          <w:rFonts w:asciiTheme="majorBidi" w:eastAsiaTheme="majorEastAsia" w:hAnsiTheme="majorBidi" w:cstheme="majorBidi"/>
          <w:lang w:val="en-NZ"/>
        </w:rPr>
        <w:t>hectares or square kilometres</w:t>
      </w:r>
      <w:r w:rsidRPr="00ED7E61">
        <w:rPr>
          <w:rStyle w:val="normaltextrun"/>
          <w:rFonts w:asciiTheme="majorBidi" w:eastAsiaTheme="majorEastAsia" w:hAnsiTheme="majorBidi" w:cstheme="majorBidi"/>
        </w:rPr>
        <w:t>) and dividing by total area of the country (in the same units). The final indicator is expressed in percentage terms. </w:t>
      </w:r>
      <w:r w:rsidRPr="00ED7E61">
        <w:rPr>
          <w:rStyle w:val="eop"/>
          <w:rFonts w:asciiTheme="majorBidi" w:eastAsiaTheme="majorEastAsia" w:hAnsiTheme="majorBidi" w:cstheme="majorBidi"/>
        </w:rPr>
        <w:t> </w:t>
      </w:r>
    </w:p>
    <w:p w14:paraId="17723A4C" w14:textId="3B93B2A5" w:rsidR="008344AF"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As noted in Section 4, total area of the country includes land area, inland water area and, where applicable, territorial waters (to the end of the exclusive economic zone). For countries with marine territory that do not yet have data on the distribution of marine ecosystem types, the indicator can be compiled only for total land and inland water area and the associated EFGs. Further, because most marine ecosystems are natural or semi-natural, there is a risk that reporting the indicator for land and marine area combined would mask the extent of anthropogenic ecosystems in the terrestrial realm. This means that the indicator should be reported separately for terrestrial and marine realms (at the national and global level). Guidance will be needed on dealing with freshwater ecosystems and transitional ecosystems (such as coastal ecosystems) in the indicator. In addition, further guidance will be needed on how to deal with instances where a country has spatial data on some but not all ecosystem types within its area (this may be the case especially in marine areas). Compilation guidelines, to be developed, should address these issues. </w:t>
      </w:r>
      <w:r w:rsidRPr="00ED7E61">
        <w:rPr>
          <w:rStyle w:val="eop"/>
          <w:rFonts w:asciiTheme="majorBidi" w:eastAsiaTheme="majorEastAsia" w:hAnsiTheme="majorBidi" w:cstheme="majorBidi"/>
        </w:rPr>
        <w:t> </w:t>
      </w:r>
    </w:p>
    <w:p w14:paraId="68760368" w14:textId="77777777" w:rsidR="003D6BBD"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 xml:space="preserve">For reporting the indicator, countries will not be expected to submit the ecosystem extent account table. Rather, they will submit data on the extent of each EFG and the total country area in absolute terms </w:t>
      </w:r>
      <w:r w:rsidRPr="00ED7E61">
        <w:rPr>
          <w:rStyle w:val="normaltextrun"/>
          <w:rFonts w:asciiTheme="majorBidi" w:eastAsiaTheme="majorEastAsia" w:hAnsiTheme="majorBidi" w:cstheme="majorBidi"/>
          <w:lang w:val="en-NZ"/>
        </w:rPr>
        <w:t>(e.g. ha/km</w:t>
      </w:r>
      <w:r w:rsidRPr="00ED7E61">
        <w:rPr>
          <w:rStyle w:val="normaltextrun"/>
          <w:rFonts w:asciiTheme="majorBidi" w:eastAsiaTheme="majorEastAsia" w:hAnsiTheme="majorBidi" w:cstheme="majorBidi"/>
          <w:vertAlign w:val="superscript"/>
          <w:lang w:val="en-NZ"/>
        </w:rPr>
        <w:t>2</w:t>
      </w:r>
      <w:r w:rsidRPr="00ED7E61">
        <w:rPr>
          <w:rStyle w:val="normaltextrun"/>
          <w:rFonts w:asciiTheme="majorBidi" w:eastAsiaTheme="majorEastAsia" w:hAnsiTheme="majorBidi" w:cstheme="majorBidi"/>
          <w:lang w:val="en-NZ"/>
        </w:rPr>
        <w:t>)</w:t>
      </w:r>
      <w:r w:rsidRPr="00ED7E61">
        <w:rPr>
          <w:rStyle w:val="normaltextrun"/>
          <w:rFonts w:asciiTheme="majorBidi" w:eastAsiaTheme="majorEastAsia" w:hAnsiTheme="majorBidi" w:cstheme="majorBidi"/>
        </w:rPr>
        <w:t xml:space="preserve">. A globally aggregated indicator can then be obtained by summing the national values in </w:t>
      </w:r>
      <w:r w:rsidRPr="00B3383B">
        <w:rPr>
          <w:rStyle w:val="normaltextrun"/>
        </w:rPr>
        <w:t>absolute</w:t>
      </w:r>
      <w:r w:rsidRPr="00ED7E61">
        <w:rPr>
          <w:rStyle w:val="normaltextrun"/>
          <w:rFonts w:asciiTheme="majorBidi" w:eastAsiaTheme="majorEastAsia" w:hAnsiTheme="majorBidi" w:cstheme="majorBidi"/>
        </w:rPr>
        <w:t xml:space="preserve"> terms </w:t>
      </w:r>
      <w:r w:rsidRPr="00ED7E61">
        <w:rPr>
          <w:rStyle w:val="normaltextrun"/>
          <w:rFonts w:asciiTheme="majorBidi" w:eastAsiaTheme="majorEastAsia" w:hAnsiTheme="majorBidi" w:cstheme="majorBidi"/>
          <w:lang w:val="en-NZ"/>
        </w:rPr>
        <w:t>and converting them to proportions expressed in percentage terms. (See further discussion in Section 6d.)</w:t>
      </w:r>
      <w:r w:rsidRPr="00ED7E61">
        <w:rPr>
          <w:rStyle w:val="eop"/>
          <w:rFonts w:asciiTheme="majorBidi" w:eastAsiaTheme="majorEastAsia" w:hAnsiTheme="majorBidi" w:cstheme="majorBidi"/>
        </w:rPr>
        <w:t> </w:t>
      </w:r>
    </w:p>
    <w:p w14:paraId="134A5FF7"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7504333" w14:textId="77777777"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Also see </w:t>
      </w:r>
      <w:r w:rsidRPr="00B3383B">
        <w:rPr>
          <w:rStyle w:val="normaltextrun"/>
        </w:rPr>
        <w:t>Section</w:t>
      </w:r>
      <w:r w:rsidRPr="00ED7E61">
        <w:rPr>
          <w:rStyle w:val="normaltextrun"/>
          <w:rFonts w:asciiTheme="majorBidi" w:eastAsiaTheme="majorEastAsia" w:hAnsiTheme="majorBidi" w:cstheme="majorBidi"/>
        </w:rPr>
        <w:t xml:space="preserve"> 5e Data sources. The national maps and classifications of ecosystem types that underpin ecosystem extent accounts, and time series maps that show changes in extent of ecosystems, are developed based on a wide range of data sources which differ for different realms and have different collection methods. Remote sensing and earth observation data often play an important role, along with field data and expert knowledge.</w:t>
      </w:r>
      <w:r w:rsidRPr="00ED7E61">
        <w:rPr>
          <w:rStyle w:val="normaltextrun"/>
        </w:rPr>
        <w:t> </w:t>
      </w:r>
    </w:p>
    <w:p w14:paraId="4D2EC568" w14:textId="77777777" w:rsidR="003D6BBD" w:rsidRPr="00ED7E61" w:rsidRDefault="003D6BBD" w:rsidP="00B10F0C">
      <w:pPr>
        <w:pStyle w:val="CBDNormalNumber"/>
        <w:numPr>
          <w:ilvl w:val="0"/>
          <w:numId w:val="45"/>
        </w:numPr>
        <w:rPr>
          <w:rStyle w:val="normaltextrun"/>
          <w:rFonts w:eastAsiaTheme="majorEastAsia"/>
        </w:rPr>
      </w:pPr>
      <w:r w:rsidRPr="00ED7E61">
        <w:rPr>
          <w:rStyle w:val="normaltextrun"/>
          <w:rFonts w:asciiTheme="majorBidi" w:eastAsiaTheme="majorEastAsia" w:hAnsiTheme="majorBidi" w:cstheme="majorBidi"/>
        </w:rPr>
        <w:t xml:space="preserve">When </w:t>
      </w:r>
      <w:r w:rsidRPr="00B3383B">
        <w:rPr>
          <w:rStyle w:val="normaltextrun"/>
        </w:rPr>
        <w:t>national</w:t>
      </w:r>
      <w:r w:rsidRPr="00ED7E61">
        <w:rPr>
          <w:rStyle w:val="normaltextrun"/>
          <w:rFonts w:asciiTheme="majorBidi" w:eastAsiaTheme="majorEastAsia" w:hAnsiTheme="majorBidi" w:cstheme="majorBidi"/>
        </w:rPr>
        <w:t xml:space="preserve"> data is not available, global data layers may be used where they are considered suitable. </w:t>
      </w:r>
      <w:r w:rsidRPr="00ED7E61">
        <w:rPr>
          <w:rStyle w:val="normaltextrun"/>
        </w:rPr>
        <w:t> </w:t>
      </w:r>
    </w:p>
    <w:p w14:paraId="49AC5EF8"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74C41B3E" w14:textId="77777777"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The United Nations Statistical Commission at its 52nd session in 2021 adopted the SEEA Ecosystem Accounting chapters 1-7 describing the accounting framework and the biophysical accounts, including chapters on ecosystem extent, as an international statistical standard. Existing SEEA EA resources can be drawn on in compiling accounts, including freely available e-learning resources (</w:t>
      </w:r>
      <w:hyperlink r:id="rId107" w:tgtFrame="_blank" w:history="1">
        <w:r w:rsidRPr="00ED7E61">
          <w:rPr>
            <w:rStyle w:val="normaltextrun"/>
            <w:rFonts w:asciiTheme="majorBidi" w:eastAsiaTheme="majorEastAsia" w:hAnsiTheme="majorBidi" w:cstheme="majorBidi"/>
          </w:rPr>
          <w:t>SEEA e-learning resources | System of Environmental Economic Accounting</w:t>
        </w:r>
      </w:hyperlink>
      <w:r w:rsidRPr="00ED7E61">
        <w:rPr>
          <w:rStyle w:val="normaltextrun"/>
          <w:rFonts w:asciiTheme="majorBidi" w:eastAsiaTheme="majorEastAsia" w:hAnsiTheme="majorBidi" w:cstheme="majorBidi"/>
        </w:rPr>
        <w:t>). In addition, the Technical Committee on the SEEA Ecosystem Accounting is working on technical guidance notes on the compilation of ecosystem extent accounts (among others), which will assist countries in producing these accounts. Capacity development for Parties, especially for developing countries, should be provided to support the compilation of this this indicator.</w:t>
      </w:r>
      <w:r w:rsidRPr="00ED7E61">
        <w:rPr>
          <w:rStyle w:val="normaltextrun"/>
        </w:rPr>
        <w:t> </w:t>
      </w:r>
    </w:p>
    <w:p w14:paraId="225620D9" w14:textId="77777777" w:rsidR="003D6BBD" w:rsidRPr="00ED7E61" w:rsidRDefault="003D6BBD" w:rsidP="00B10F0C">
      <w:pPr>
        <w:pStyle w:val="CBDNormalNumber"/>
        <w:numPr>
          <w:ilvl w:val="0"/>
          <w:numId w:val="45"/>
        </w:numPr>
        <w:rPr>
          <w:rStyle w:val="normaltextrun"/>
          <w:rFonts w:eastAsiaTheme="majorEastAsia"/>
        </w:rPr>
      </w:pPr>
      <w:r w:rsidRPr="00ED7E61">
        <w:rPr>
          <w:rStyle w:val="normaltextrun"/>
          <w:rFonts w:asciiTheme="majorBidi" w:eastAsiaTheme="majorEastAsia" w:hAnsiTheme="majorBidi" w:cstheme="majorBidi"/>
        </w:rPr>
        <w:t xml:space="preserve">IUCN GET is a </w:t>
      </w:r>
      <w:r w:rsidRPr="00B3383B">
        <w:rPr>
          <w:rStyle w:val="normaltextrun"/>
        </w:rPr>
        <w:t>published</w:t>
      </w:r>
      <w:r w:rsidRPr="00ED7E61">
        <w:rPr>
          <w:rStyle w:val="normaltextrun"/>
          <w:rFonts w:asciiTheme="majorBidi" w:eastAsiaTheme="majorEastAsia" w:hAnsiTheme="majorBidi" w:cstheme="majorBidi"/>
        </w:rPr>
        <w:t xml:space="preserve"> and peer reviewed classification of global ecosystems which can be accessed at </w:t>
      </w:r>
      <w:hyperlink r:id="rId108" w:tgtFrame="_blank" w:history="1">
        <w:r w:rsidRPr="00ED7E61">
          <w:rPr>
            <w:rStyle w:val="normaltextrun"/>
            <w:rFonts w:asciiTheme="majorBidi" w:eastAsiaTheme="majorEastAsia" w:hAnsiTheme="majorBidi" w:cstheme="majorBidi"/>
          </w:rPr>
          <w:t>https://global-ecosystems.org/</w:t>
        </w:r>
      </w:hyperlink>
      <w:r w:rsidRPr="00ED7E61">
        <w:rPr>
          <w:rStyle w:val="normaltextrun"/>
          <w:rFonts w:asciiTheme="majorBidi" w:eastAsiaTheme="majorEastAsia" w:hAnsiTheme="majorBidi" w:cstheme="majorBidi"/>
        </w:rPr>
        <w:t>. </w:t>
      </w:r>
      <w:r w:rsidRPr="00ED7E61">
        <w:rPr>
          <w:rStyle w:val="normaltextrun"/>
        </w:rPr>
        <w:t> </w:t>
      </w:r>
    </w:p>
    <w:p w14:paraId="1C5A1D45" w14:textId="6B2DFD07" w:rsidR="003D6BBD" w:rsidRPr="00ED7E61" w:rsidRDefault="003D6BBD" w:rsidP="00212991">
      <w:pPr>
        <w:pStyle w:val="paragraph"/>
        <w:pBdr>
          <w:bottom w:val="single" w:sz="4" w:space="1" w:color="000000"/>
        </w:pBdr>
        <w:spacing w:before="0" w:beforeAutospacing="0" w:after="0" w:afterAutospacing="0"/>
        <w:textAlignment w:val="baseline"/>
        <w:rPr>
          <w:rStyle w:val="normaltextrun"/>
          <w:rFonts w:eastAsiaTheme="majorEastAsia"/>
          <w:b/>
          <w:bCs/>
          <w:lang w:val="en-GB"/>
        </w:rPr>
      </w:pPr>
      <w:r w:rsidRPr="00ED7E61">
        <w:rPr>
          <w:rStyle w:val="normaltextrun"/>
          <w:rFonts w:asciiTheme="majorBidi" w:eastAsiaTheme="majorEastAsia" w:hAnsiTheme="majorBidi" w:cstheme="majorBidi"/>
          <w:b/>
          <w:bCs/>
          <w:sz w:val="22"/>
          <w:szCs w:val="22"/>
          <w:lang w:val="en-GB"/>
        </w:rPr>
        <w:t>5e. Data sources</w:t>
      </w:r>
      <w:r w:rsidRPr="00ED7E61">
        <w:rPr>
          <w:rStyle w:val="normaltextrun"/>
          <w:rFonts w:eastAsiaTheme="majorEastAsia"/>
          <w:b/>
          <w:bCs/>
          <w:lang w:val="en-GB"/>
        </w:rPr>
        <w:t> </w:t>
      </w:r>
    </w:p>
    <w:p w14:paraId="4821A347" w14:textId="3E0050EA"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 main data requirements for this indicator are national maps of ecosystem types using national ecosystem classifications and time series maps that show changes in extent of ecosystems. In the terrestrial realm, conversion of natural </w:t>
      </w:r>
      <w:r w:rsidR="005B187F" w:rsidRPr="00ED7E61">
        <w:rPr>
          <w:rStyle w:val="normaltextrun"/>
          <w:rFonts w:asciiTheme="majorBidi" w:eastAsiaTheme="majorEastAsia" w:hAnsiTheme="majorBidi" w:cstheme="majorBidi"/>
        </w:rPr>
        <w:t xml:space="preserve">and semi-natural ecosystems </w:t>
      </w:r>
      <w:r w:rsidRPr="00ED7E61">
        <w:rPr>
          <w:rStyle w:val="normaltextrun"/>
          <w:rFonts w:asciiTheme="majorBidi" w:eastAsiaTheme="majorEastAsia" w:hAnsiTheme="majorBidi" w:cstheme="majorBidi"/>
        </w:rPr>
        <w:t xml:space="preserve">to intensively modified ecosystems would </w:t>
      </w:r>
      <w:r w:rsidRPr="00B3383B">
        <w:rPr>
          <w:rStyle w:val="normaltextrun"/>
        </w:rPr>
        <w:t>typically</w:t>
      </w:r>
      <w:r w:rsidRPr="00ED7E61">
        <w:rPr>
          <w:rStyle w:val="normaltextrun"/>
          <w:rFonts w:asciiTheme="majorBidi" w:eastAsiaTheme="majorEastAsia" w:hAnsiTheme="majorBidi" w:cstheme="majorBidi"/>
        </w:rPr>
        <w:t xml:space="preserve"> be mapped using time series land cover/land use data. Data sources could include research institutions, various government ministries and national mapping agencies.   </w:t>
      </w:r>
      <w:r w:rsidRPr="00ED7E61">
        <w:rPr>
          <w:rStyle w:val="normaltextrun"/>
        </w:rPr>
        <w:t> </w:t>
      </w:r>
    </w:p>
    <w:p w14:paraId="4D81B202" w14:textId="28F4D58B" w:rsidR="003D6BBD" w:rsidRPr="00ED7E61" w:rsidRDefault="003D6BBD" w:rsidP="00B10F0C">
      <w:pPr>
        <w:pStyle w:val="CBDNormalNumber"/>
        <w:numPr>
          <w:ilvl w:val="0"/>
          <w:numId w:val="45"/>
        </w:numPr>
        <w:rPr>
          <w:rStyle w:val="normaltextrun"/>
          <w:rFonts w:eastAsiaTheme="majorEastAsia"/>
        </w:rPr>
      </w:pPr>
      <w:r w:rsidRPr="00ED7E61">
        <w:rPr>
          <w:rStyle w:val="normaltextrun"/>
          <w:rFonts w:asciiTheme="majorBidi" w:eastAsiaTheme="majorEastAsia" w:hAnsiTheme="majorBidi" w:cstheme="majorBidi"/>
        </w:rPr>
        <w:t>In the absence of national data sources, regional and global datasets can be used, subject to criteria, standards and quality assurance, including validation at the national level through appropriate institutional processes involving relevant national experts. For example, ARIES for SEEA allows users to derive a basic ecosystem extent account (for the period between 1992 and 2020) in the terrestrial, freshwater and coastal realms using a multilayer look-up table approach which combines global data sources on land cover and other metrics to approximate EFGs (</w:t>
      </w:r>
      <w:hyperlink r:id="rId109" w:history="1">
        <w:r w:rsidR="003E7D98" w:rsidRPr="00934982">
          <w:rPr>
            <w:rStyle w:val="Hyperlink"/>
            <w:rFonts w:asciiTheme="majorBidi" w:eastAsiaTheme="majorEastAsia" w:hAnsiTheme="majorBidi" w:cstheme="majorBidi"/>
          </w:rPr>
          <w:t>https://seea.un.org/content/aries-for-seea</w:t>
        </w:r>
      </w:hyperlink>
      <w:r w:rsidRPr="00ED7E61">
        <w:rPr>
          <w:rStyle w:val="normaltextrun"/>
          <w:rFonts w:asciiTheme="majorBidi" w:eastAsiaTheme="majorEastAsia" w:hAnsiTheme="majorBidi" w:cstheme="majorBidi"/>
        </w:rPr>
        <w:t>).</w:t>
      </w:r>
      <w:r w:rsidR="003E7D98">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 xml:space="preserve">The recent initiative of the Group on Earth Observations (GEO) to establish a Global Ecosystems Atlas may also provide useful data for this indicator. </w:t>
      </w:r>
      <w:r w:rsidRPr="00ED7E61">
        <w:rPr>
          <w:rStyle w:val="normaltextrun"/>
        </w:rPr>
        <w:t> </w:t>
      </w:r>
    </w:p>
    <w:p w14:paraId="0396E10E" w14:textId="77777777" w:rsidR="003D6BBD" w:rsidRPr="00ED7E61" w:rsidRDefault="003D6BBD" w:rsidP="00B10F0C">
      <w:pPr>
        <w:pStyle w:val="CBDNormalNumber"/>
        <w:numPr>
          <w:ilvl w:val="0"/>
          <w:numId w:val="45"/>
        </w:numPr>
        <w:rPr>
          <w:rStyle w:val="normaltextrun"/>
          <w:rFonts w:eastAsiaTheme="majorEastAsia"/>
        </w:rPr>
      </w:pPr>
      <w:r w:rsidRPr="00ED7E61">
        <w:rPr>
          <w:rStyle w:val="normaltextrun"/>
          <w:rFonts w:asciiTheme="majorBidi" w:eastAsiaTheme="majorEastAsia" w:hAnsiTheme="majorBidi" w:cstheme="majorBidi"/>
        </w:rPr>
        <w:t>Data quality guidelines for this and other headline indicators should be addressed in compilation guidelines.</w:t>
      </w:r>
      <w:r w:rsidRPr="00ED7E61">
        <w:rPr>
          <w:rStyle w:val="normaltextrun"/>
        </w:rPr>
        <w:t> </w:t>
      </w:r>
    </w:p>
    <w:p w14:paraId="4E447FE5" w14:textId="77777777" w:rsidR="003D6BBD" w:rsidRPr="00ED7E61" w:rsidRDefault="003D6BBD" w:rsidP="00B3383B">
      <w:pPr>
        <w:pStyle w:val="paragraph"/>
        <w:keepNext/>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0C7FCE2E" w14:textId="6EAE1115" w:rsidR="008344AF"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 indicator methodology is based on SEEA Ecosystem Accounting, which is well developed and accepted by the </w:t>
      </w:r>
      <w:r w:rsidRPr="00B3383B">
        <w:rPr>
          <w:rStyle w:val="normaltextrun"/>
        </w:rPr>
        <w:t>international</w:t>
      </w:r>
      <w:r w:rsidRPr="00ED7E61">
        <w:rPr>
          <w:rStyle w:val="normaltextrun"/>
          <w:rFonts w:asciiTheme="majorBidi" w:eastAsiaTheme="majorEastAsia" w:hAnsiTheme="majorBidi" w:cstheme="majorBidi"/>
        </w:rPr>
        <w:t xml:space="preserve"> statistical community and other communities working on ecosystem accounting. </w:t>
      </w:r>
      <w:r w:rsidRPr="00ED7E61">
        <w:rPr>
          <w:rStyle w:val="normaltextrun"/>
        </w:rPr>
        <w:t> </w:t>
      </w:r>
    </w:p>
    <w:p w14:paraId="0BFEB71B" w14:textId="10159807" w:rsidR="008344AF" w:rsidRPr="00ED7E61" w:rsidRDefault="003D6BBD" w:rsidP="00B10F0C">
      <w:pPr>
        <w:pStyle w:val="CBDNormalNumber"/>
        <w:numPr>
          <w:ilvl w:val="0"/>
          <w:numId w:val="45"/>
        </w:numPr>
        <w:rPr>
          <w:rFonts w:asciiTheme="majorBidi" w:hAnsiTheme="majorBidi" w:cstheme="majorBidi"/>
        </w:rPr>
      </w:pPr>
      <w:r w:rsidRPr="00B3383B">
        <w:rPr>
          <w:rStyle w:val="normaltextrun"/>
        </w:rPr>
        <w:t>Since</w:t>
      </w:r>
      <w:r w:rsidRPr="00ED7E61">
        <w:rPr>
          <w:rStyle w:val="normaltextrun"/>
          <w:rFonts w:asciiTheme="majorBidi" w:eastAsiaTheme="majorEastAsia" w:hAnsiTheme="majorBidi" w:cstheme="majorBidi"/>
        </w:rPr>
        <w:t xml:space="preserve"> the adoption of the SEEA Ecosystem Accounting as an international statistical standard, an increasing number of countries have started the implementation of ecosystem extent accounts.  According to the 2023 Global Assessment of Environmental-Economic Accounting and Supporting Statistics, 33 countries compiled ecosystem extent accounts at least once during the period 2019 to 2023. </w:t>
      </w:r>
      <w:r w:rsidRPr="00ED7E61">
        <w:rPr>
          <w:rStyle w:val="eop"/>
          <w:rFonts w:asciiTheme="majorBidi" w:eastAsiaTheme="majorEastAsia" w:hAnsiTheme="majorBidi" w:cstheme="majorBidi"/>
        </w:rPr>
        <w:t> </w:t>
      </w:r>
    </w:p>
    <w:p w14:paraId="61380141" w14:textId="77777777" w:rsidR="003D6BBD" w:rsidRPr="00ED7E61" w:rsidRDefault="003D6BBD" w:rsidP="00B10F0C">
      <w:pPr>
        <w:pStyle w:val="CBDNormalNumber"/>
        <w:numPr>
          <w:ilvl w:val="0"/>
          <w:numId w:val="45"/>
        </w:numPr>
        <w:rPr>
          <w:rFonts w:asciiTheme="majorBidi" w:hAnsiTheme="majorBidi" w:cstheme="majorBidi"/>
        </w:rPr>
      </w:pPr>
      <w:r w:rsidRPr="00B3383B">
        <w:rPr>
          <w:rStyle w:val="normaltextrun"/>
        </w:rPr>
        <w:t>For</w:t>
      </w:r>
      <w:r w:rsidRPr="00ED7E61">
        <w:rPr>
          <w:rStyle w:val="normaltextrun"/>
          <w:rFonts w:asciiTheme="majorBidi" w:eastAsiaTheme="majorEastAsia" w:hAnsiTheme="majorBidi" w:cstheme="majorBidi"/>
        </w:rPr>
        <w:t xml:space="preserve"> countries with no national data on ecosystem extent, global tools and databases could be drawn on. Preliminary ecosystem extent estimates could be prepared via the ARIES for SEEA platform based on global datasets and models. These would require validation at the national level through appropriate institutional processes involving relevant national experts. </w:t>
      </w:r>
      <w:r w:rsidRPr="00ED7E61">
        <w:rPr>
          <w:rStyle w:val="eop"/>
          <w:rFonts w:asciiTheme="majorBidi" w:eastAsiaTheme="majorEastAsia" w:hAnsiTheme="majorBidi" w:cstheme="majorBidi"/>
        </w:rPr>
        <w:t> </w:t>
      </w:r>
    </w:p>
    <w:p w14:paraId="3C9506A9"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3C2D5863" w14:textId="77777777" w:rsidR="003D6BBD" w:rsidRPr="00ED7E61" w:rsidRDefault="003D6BBD" w:rsidP="00B10F0C">
      <w:pPr>
        <w:pStyle w:val="CBDNormalNumber"/>
        <w:numPr>
          <w:ilvl w:val="0"/>
          <w:numId w:val="45"/>
        </w:numPr>
        <w:rPr>
          <w:rStyle w:val="normaltextrun"/>
          <w:rFonts w:eastAsiaTheme="majorEastAsia"/>
          <w:sz w:val="24"/>
          <w:szCs w:val="24"/>
          <w:lang w:val="en-CA"/>
        </w:rPr>
      </w:pPr>
      <w:r w:rsidRPr="00B3383B">
        <w:rPr>
          <w:rStyle w:val="normaltextrun"/>
        </w:rPr>
        <w:t>Although</w:t>
      </w:r>
      <w:r w:rsidRPr="00ED7E61">
        <w:rPr>
          <w:rStyle w:val="normaltextrun"/>
          <w:rFonts w:asciiTheme="majorBidi" w:eastAsiaTheme="majorEastAsia" w:hAnsiTheme="majorBidi" w:cstheme="majorBidi"/>
        </w:rPr>
        <w:t xml:space="preserve"> it is ideal to compile ecosystem accounts on an annual basis, in practice this is seldom possible and may not be meaningful. For the ecosystem extent account, an update every three to five years may be sufficient and is likely to indicate actual changes in extent.</w:t>
      </w:r>
      <w:r w:rsidRPr="00ED7E61">
        <w:rPr>
          <w:rStyle w:val="normaltextrun"/>
        </w:rPr>
        <w:t> </w:t>
      </w:r>
    </w:p>
    <w:p w14:paraId="32A4A362"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711CC323" w14:textId="77777777"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For those countries that have national ecosystem extent accounts, the relevant national authorities, in particular national statistical offices, ministries of environment or related agencies, will provide data </w:t>
      </w:r>
      <w:r w:rsidRPr="00B3383B">
        <w:rPr>
          <w:rStyle w:val="normaltextrun"/>
        </w:rPr>
        <w:t>for</w:t>
      </w:r>
      <w:r w:rsidRPr="00ED7E61">
        <w:rPr>
          <w:rStyle w:val="normaltextrun"/>
          <w:rFonts w:asciiTheme="majorBidi" w:eastAsiaTheme="majorEastAsia" w:hAnsiTheme="majorBidi" w:cstheme="majorBidi"/>
        </w:rPr>
        <w:t xml:space="preserve"> this indicator. In the absence of national ecosystem extent accounts, data may be estimated through ARIES for SEEA or other global data platforms and mechanisms. Such estimates would require national validation through appropriate institutional processes involving relevant national experts.</w:t>
      </w:r>
      <w:r w:rsidRPr="00ED7E61">
        <w:rPr>
          <w:rStyle w:val="normaltextrun"/>
        </w:rPr>
        <w:t> </w:t>
      </w:r>
    </w:p>
    <w:p w14:paraId="7776FC10"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1F94CEC" w14:textId="02965976" w:rsidR="003D6BBD" w:rsidRPr="00B3383B"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 xml:space="preserve">For those countries that have national ecosystem extent accounts, the relevant national authorities, in </w:t>
      </w:r>
      <w:r w:rsidRPr="00B3383B">
        <w:rPr>
          <w:rStyle w:val="normaltextrun"/>
        </w:rPr>
        <w:t>particular</w:t>
      </w:r>
      <w:r w:rsidRPr="00ED7E61">
        <w:rPr>
          <w:rStyle w:val="normaltextrun"/>
          <w:rFonts w:asciiTheme="majorBidi" w:eastAsiaTheme="majorEastAsia" w:hAnsiTheme="majorBidi" w:cstheme="majorBidi"/>
        </w:rPr>
        <w:t xml:space="preserve"> the national statistical offices, ministries of environment or related agencies, will compile this indicator. In the absence of national ecosystem extent accounts, estimates may be made using ARIES for SEEA or other global data platforms using existing global data sources. Such estimates would require national validation through appropriate institutional processes involving relevant national experts.</w:t>
      </w:r>
      <w:r w:rsidRPr="00ED7E61">
        <w:rPr>
          <w:rStyle w:val="normaltextrun"/>
        </w:rPr>
        <w:t> </w:t>
      </w:r>
    </w:p>
    <w:p w14:paraId="3408DEE3" w14:textId="77777777" w:rsidR="003D6BBD" w:rsidRPr="00ED7E61" w:rsidRDefault="003D6BBD"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535B8C8C"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p>
    <w:p w14:paraId="7A2BA7C7" w14:textId="77777777" w:rsidR="003D6BBD" w:rsidRPr="00ED7E61" w:rsidRDefault="003D6BBD"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77D08416" w14:textId="77777777"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Missing values for individual countries may be estimated using global data platforms using existing global </w:t>
      </w:r>
      <w:r w:rsidRPr="00B3383B">
        <w:rPr>
          <w:rStyle w:val="normaltextrun"/>
        </w:rPr>
        <w:t>data</w:t>
      </w:r>
      <w:r w:rsidRPr="00ED7E61">
        <w:rPr>
          <w:rStyle w:val="normaltextrun"/>
          <w:rFonts w:asciiTheme="majorBidi" w:eastAsiaTheme="majorEastAsia" w:hAnsiTheme="majorBidi" w:cstheme="majorBidi"/>
        </w:rPr>
        <w:t>. Such estimates would require national validation through appropriate institutional processes involving relevant national experts.</w:t>
      </w:r>
      <w:r w:rsidRPr="00ED7E61">
        <w:rPr>
          <w:rStyle w:val="normaltextrun"/>
        </w:rPr>
        <w:t> </w:t>
      </w:r>
    </w:p>
    <w:p w14:paraId="15683781" w14:textId="63937D9F" w:rsidR="003D6BBD" w:rsidRPr="00ED7E61" w:rsidRDefault="003D6BBD" w:rsidP="00B3383B">
      <w:pPr>
        <w:pStyle w:val="paragraph"/>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p>
    <w:p w14:paraId="5A261EE9" w14:textId="3E1E24E9" w:rsidR="003D6BBD" w:rsidRPr="00ED7E61" w:rsidRDefault="003D6BBD"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w:t>
      </w:r>
    </w:p>
    <w:p w14:paraId="037CC2B0"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64459EF2"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National</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5DEF8EEA" w14:textId="77777777" w:rsidR="003D6BBD" w:rsidRPr="00ED7E61" w:rsidRDefault="003D6BBD" w:rsidP="00B10F0C">
      <w:pPr>
        <w:pStyle w:val="CBDNormalNumber"/>
        <w:numPr>
          <w:ilvl w:val="0"/>
          <w:numId w:val="45"/>
        </w:numPr>
        <w:rPr>
          <w:rFonts w:asciiTheme="majorBidi" w:hAnsiTheme="majorBidi" w:cstheme="majorBidi"/>
        </w:rPr>
      </w:pPr>
      <w:r w:rsidRPr="00B3383B">
        <w:rPr>
          <w:rStyle w:val="normaltextrun"/>
        </w:rPr>
        <w:t>Scale</w:t>
      </w:r>
      <w:r w:rsidRPr="00ED7E61">
        <w:rPr>
          <w:rStyle w:val="normaltextrun"/>
          <w:rFonts w:asciiTheme="majorBidi" w:eastAsiaTheme="majorEastAsia" w:hAnsiTheme="majorBidi" w:cstheme="majorBidi"/>
        </w:rPr>
        <w:t xml:space="preserve"> of data disaggregation/aggregation: </w:t>
      </w:r>
      <w:r w:rsidRPr="00ED7E61">
        <w:rPr>
          <w:rStyle w:val="eop"/>
          <w:rFonts w:asciiTheme="majorBidi" w:eastAsiaTheme="majorEastAsia" w:hAnsiTheme="majorBidi" w:cstheme="majorBidi"/>
        </w:rPr>
        <w:t> </w:t>
      </w:r>
    </w:p>
    <w:p w14:paraId="4A4AA184" w14:textId="77777777" w:rsidR="003D6BBD" w:rsidRPr="00ED7E61" w:rsidRDefault="003D6BBD" w:rsidP="00B10F0C">
      <w:pPr>
        <w:pStyle w:val="CBDNormalNumber"/>
        <w:numPr>
          <w:ilvl w:val="0"/>
          <w:numId w:val="46"/>
        </w:numPr>
        <w:tabs>
          <w:tab w:val="clear" w:pos="567"/>
          <w:tab w:val="clear" w:pos="1134"/>
          <w:tab w:val="clear" w:pos="1701"/>
          <w:tab w:val="clear" w:pos="2268"/>
          <w:tab w:val="left" w:pos="1985"/>
        </w:tabs>
        <w:ind w:left="1418"/>
        <w:rPr>
          <w:rStyle w:val="normaltextrun"/>
          <w:rFonts w:eastAsiaTheme="majorEastAsia"/>
        </w:rPr>
      </w:pPr>
      <w:r w:rsidRPr="00ED7E61">
        <w:rPr>
          <w:rStyle w:val="normaltextrun"/>
          <w:rFonts w:asciiTheme="majorBidi" w:eastAsiaTheme="majorEastAsia" w:hAnsiTheme="majorBidi" w:cstheme="majorBidi"/>
        </w:rPr>
        <w:t xml:space="preserve">Global/ regional scale indicator can be disaggregated to national level: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2C231E1F" w14:textId="77777777" w:rsidR="003D6BBD" w:rsidRPr="00ED7E61" w:rsidRDefault="003D6BBD" w:rsidP="00B10F0C">
      <w:pPr>
        <w:pStyle w:val="CBDNormalNumber"/>
        <w:numPr>
          <w:ilvl w:val="0"/>
          <w:numId w:val="46"/>
        </w:numPr>
        <w:tabs>
          <w:tab w:val="clear" w:pos="567"/>
          <w:tab w:val="clear" w:pos="1134"/>
          <w:tab w:val="clear" w:pos="1701"/>
          <w:tab w:val="clear" w:pos="2268"/>
          <w:tab w:val="left" w:pos="1985"/>
        </w:tabs>
        <w:ind w:left="1560"/>
        <w:rPr>
          <w:rStyle w:val="normaltextrun"/>
          <w:rFonts w:eastAsiaTheme="majorEastAsia"/>
        </w:rPr>
      </w:pPr>
      <w:r w:rsidRPr="00ED7E61">
        <w:rPr>
          <w:rStyle w:val="normaltextrun"/>
          <w:rFonts w:asciiTheme="majorBidi" w:eastAsiaTheme="majorEastAsia" w:hAnsiTheme="majorBidi" w:cstheme="majorBidi"/>
        </w:rPr>
        <w:t xml:space="preserve">National data is collated to form global indicator: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5A474495" w14:textId="77777777" w:rsidR="003D6BBD" w:rsidRPr="00ED7E61" w:rsidRDefault="003D6BBD" w:rsidP="00B10F0C">
      <w:pPr>
        <w:pStyle w:val="CBDNormalNumber"/>
        <w:numPr>
          <w:ilvl w:val="0"/>
          <w:numId w:val="45"/>
        </w:numPr>
        <w:rPr>
          <w:rStyle w:val="normaltextrun"/>
          <w:rFonts w:eastAsiaTheme="majorEastAsia"/>
        </w:rPr>
      </w:pPr>
      <w:r w:rsidRPr="00ED7E61">
        <w:rPr>
          <w:rStyle w:val="normaltextrun"/>
          <w:rFonts w:asciiTheme="majorBidi" w:eastAsiaTheme="majorEastAsia" w:hAnsiTheme="majorBidi" w:cstheme="majorBidi"/>
        </w:rPr>
        <w:t>The indicator is applicable at the global, national and regional scale. National data can be aggregated to form the global indicator provided that the underlying ecosystem classifications can be linked to IUCN GET, noting that further guidance on cross-walking national ecosystem classifications to the IUCN GET is needed. </w:t>
      </w:r>
      <w:r w:rsidRPr="00ED7E61">
        <w:rPr>
          <w:rStyle w:val="normaltextrun"/>
        </w:rPr>
        <w:t> </w:t>
      </w:r>
    </w:p>
    <w:p w14:paraId="7B1EE03E"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6A8D9BBD" w14:textId="77777777"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 SEEA Ecosystem Accounting and IUCN GET are scalable at any level, including national and regional </w:t>
      </w:r>
      <w:r w:rsidRPr="00B3383B">
        <w:rPr>
          <w:rStyle w:val="normaltextrun"/>
        </w:rPr>
        <w:t>levels</w:t>
      </w:r>
      <w:r w:rsidRPr="00ED7E61">
        <w:rPr>
          <w:rStyle w:val="normaltextrun"/>
          <w:rFonts w:asciiTheme="majorBidi" w:eastAsiaTheme="majorEastAsia" w:hAnsiTheme="majorBidi" w:cstheme="majorBidi"/>
        </w:rPr>
        <w:t>.</w:t>
      </w:r>
      <w:r w:rsidRPr="00ED7E61">
        <w:rPr>
          <w:rStyle w:val="normaltextrun"/>
        </w:rPr>
        <w:t> </w:t>
      </w:r>
    </w:p>
    <w:p w14:paraId="559C8D2E"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71E110A6" w14:textId="77777777" w:rsidR="003D6BBD" w:rsidRPr="00ED7E61" w:rsidRDefault="003D6BBD" w:rsidP="00B10F0C">
      <w:pPr>
        <w:pStyle w:val="CBDNormalNumber"/>
        <w:numPr>
          <w:ilvl w:val="0"/>
          <w:numId w:val="45"/>
        </w:numPr>
        <w:rPr>
          <w:rStyle w:val="normaltextrun"/>
          <w:rFonts w:eastAsiaTheme="majorEastAsia"/>
          <w:sz w:val="24"/>
          <w:szCs w:val="24"/>
          <w:lang w:val="en-CA"/>
        </w:rPr>
      </w:pPr>
      <w:r w:rsidRPr="00B3383B">
        <w:rPr>
          <w:rStyle w:val="normaltextrun"/>
        </w:rPr>
        <w:t>Differences</w:t>
      </w:r>
      <w:r w:rsidRPr="00ED7E61">
        <w:rPr>
          <w:rStyle w:val="normaltextrun"/>
          <w:rFonts w:asciiTheme="majorBidi" w:eastAsiaTheme="majorEastAsia" w:hAnsiTheme="majorBidi" w:cstheme="majorBidi"/>
        </w:rPr>
        <w:t xml:space="preserve"> between country produced and internationally estimated data may arise due to differences in spatial resolution of datasets, classification and mapping approaches, cross-walking approaches, projection, and definition of ecosystem conversion.</w:t>
      </w:r>
      <w:r w:rsidRPr="00ED7E61">
        <w:rPr>
          <w:rStyle w:val="normaltextrun"/>
        </w:rPr>
        <w:t> </w:t>
      </w:r>
    </w:p>
    <w:p w14:paraId="6248A292" w14:textId="77777777" w:rsidR="003D6BBD" w:rsidRPr="00ED7E61" w:rsidRDefault="003D6BBD" w:rsidP="00B10F0C">
      <w:pPr>
        <w:pStyle w:val="CBDNormalNumber"/>
        <w:numPr>
          <w:ilvl w:val="0"/>
          <w:numId w:val="45"/>
        </w:numPr>
        <w:rPr>
          <w:rStyle w:val="normaltextrun"/>
          <w:rFonts w:eastAsiaTheme="majorEastAsia"/>
        </w:rPr>
      </w:pPr>
      <w:r w:rsidRPr="00B3383B">
        <w:rPr>
          <w:rStyle w:val="normaltextrun"/>
        </w:rPr>
        <w:t>Differences</w:t>
      </w:r>
      <w:r w:rsidRPr="00ED7E61">
        <w:rPr>
          <w:rStyle w:val="normaltextrun"/>
          <w:rFonts w:asciiTheme="majorBidi" w:eastAsiaTheme="majorEastAsia" w:hAnsiTheme="majorBidi" w:cstheme="majorBidi"/>
        </w:rPr>
        <w:t xml:space="preserve"> may also arise due to territorial disputes between countries or in the case condominiums. These differences will be dealt with on a case-by-case basis. </w:t>
      </w:r>
      <w:r w:rsidRPr="00ED7E61">
        <w:rPr>
          <w:rStyle w:val="normaltextrun"/>
        </w:rPr>
        <w:t> </w:t>
      </w:r>
    </w:p>
    <w:p w14:paraId="470F0D27" w14:textId="257ADAE2" w:rsidR="003D6BBD" w:rsidRPr="00ED7E61" w:rsidRDefault="003D6BBD" w:rsidP="00B3383B">
      <w:pPr>
        <w:pStyle w:val="paragraph"/>
        <w:spacing w:before="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27786251"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 Description of the methodology</w:t>
      </w:r>
      <w:r w:rsidRPr="00ED7E61">
        <w:rPr>
          <w:rStyle w:val="eop"/>
          <w:rFonts w:asciiTheme="majorBidi" w:eastAsiaTheme="majorEastAsia" w:hAnsiTheme="majorBidi" w:cstheme="majorBidi"/>
          <w:sz w:val="22"/>
          <w:szCs w:val="22"/>
        </w:rPr>
        <w:t> </w:t>
      </w:r>
    </w:p>
    <w:p w14:paraId="50608C66" w14:textId="77777777"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Regional and global estimates are produced by aggregating country-level data. </w:t>
      </w:r>
      <w:r w:rsidRPr="00ED7E61">
        <w:rPr>
          <w:rStyle w:val="normaltextrun"/>
        </w:rPr>
        <w:t> </w:t>
      </w:r>
    </w:p>
    <w:p w14:paraId="22F71021"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7B328B1D" w14:textId="53B10345"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Countries will provide data (using a spreadsheet template or through an online data collection system) that will request them to provide values in absolute terms (e.g. ha) for all EFGs in their country (see Section 6d.3 below). These values can then be aggregated globally and converted to percentages. </w:t>
      </w:r>
      <w:r w:rsidRPr="00ED7E61">
        <w:rPr>
          <w:rStyle w:val="normaltextrun"/>
        </w:rPr>
        <w:t> </w:t>
      </w:r>
    </w:p>
    <w:p w14:paraId="5D0FE287" w14:textId="77777777"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6d.3 Description of the mechanism for collecting data from countries</w:t>
      </w:r>
      <w:r w:rsidRPr="00ED7E61">
        <w:rPr>
          <w:rStyle w:val="eop"/>
          <w:rFonts w:asciiTheme="majorBidi" w:eastAsiaTheme="majorEastAsia" w:hAnsiTheme="majorBidi" w:cstheme="majorBidi"/>
          <w:sz w:val="22"/>
          <w:szCs w:val="22"/>
        </w:rPr>
        <w:t> </w:t>
      </w:r>
    </w:p>
    <w:p w14:paraId="45722CC9" w14:textId="48D75CBC" w:rsidR="003D6BBD" w:rsidRPr="00ED7E61" w:rsidRDefault="003D6BBD" w:rsidP="00B10F0C">
      <w:pPr>
        <w:pStyle w:val="CBDNormalNumber"/>
        <w:numPr>
          <w:ilvl w:val="0"/>
          <w:numId w:val="45"/>
        </w:numP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Data will be </w:t>
      </w:r>
      <w:r w:rsidRPr="00B3383B">
        <w:rPr>
          <w:rStyle w:val="normaltextrun"/>
        </w:rPr>
        <w:t>collected</w:t>
      </w:r>
      <w:r w:rsidRPr="00ED7E61">
        <w:rPr>
          <w:rStyle w:val="normaltextrun"/>
          <w:rFonts w:asciiTheme="majorBidi" w:eastAsiaTheme="majorEastAsia" w:hAnsiTheme="majorBidi" w:cstheme="majorBidi"/>
        </w:rPr>
        <w:t xml:space="preserve"> from countries (using a spreadsheet template or an online data collection system). As noted earlier, countries will not be required to submit their ecosystem extent account tables but rather to submit data extracted from the tables. Data on actual area in absolute terms is very useful, so the reporting template will require countries to report not only on proportions in percentage terms but also on the actual areas (e.g. in ha or km2). Countries will be requested to submit data on the extent of each EFG present in the country (natural, semi-natural and anthropogenic EFGs) at the end of each accounting period</w:t>
      </w:r>
      <w:r w:rsidRPr="00ED7E61">
        <w:rPr>
          <w:rStyle w:val="normaltextrun"/>
          <w:rFonts w:eastAsiaTheme="majorEastAsia"/>
        </w:rPr>
        <w:t>10</w:t>
      </w:r>
      <w:r w:rsidRPr="00ED7E61">
        <w:rPr>
          <w:rStyle w:val="normaltextrun"/>
          <w:rFonts w:asciiTheme="majorBidi" w:eastAsiaTheme="majorEastAsia" w:hAnsiTheme="majorBidi" w:cstheme="majorBidi"/>
        </w:rPr>
        <w:t xml:space="preserve"> as well as the total area of the country. The sum of the area of all EFGs for each accounting period should equal the total area of the country (noting that separate ecosystem accounting areas may be required for land and inland water area and for territorial waters, if applicable, as discussed in Section 5a).</w:t>
      </w:r>
      <w:r w:rsidRPr="00ED7E61">
        <w:rPr>
          <w:rStyle w:val="normaltextrun"/>
          <w:rFonts w:eastAsiaTheme="majorEastAsia"/>
        </w:rPr>
        <w:t>11</w:t>
      </w:r>
      <w:r w:rsidRPr="00ED7E61">
        <w:rPr>
          <w:rStyle w:val="normaltextrun"/>
          <w:rFonts w:asciiTheme="majorBidi" w:eastAsiaTheme="majorEastAsia" w:hAnsiTheme="majorBidi" w:cstheme="majorBidi"/>
        </w:rPr>
        <w:t xml:space="preserve"> Countries should identify the EFGs  using the EFG codes and names from the GET Collecting data from countries disaggregated to EFGs allows for global aggregation to biomes or realms as needed.</w:t>
      </w:r>
      <w:r w:rsidRPr="00ED7E61">
        <w:rPr>
          <w:rStyle w:val="normaltextrun"/>
        </w:rPr>
        <w:t> </w:t>
      </w:r>
    </w:p>
    <w:p w14:paraId="3CC90735" w14:textId="37EDD5CB" w:rsidR="008344AF" w:rsidRPr="00ED7E61" w:rsidRDefault="003D6BBD" w:rsidP="00B10F0C">
      <w:pPr>
        <w:pStyle w:val="CBDNormalNumber"/>
        <w:numPr>
          <w:ilvl w:val="0"/>
          <w:numId w:val="45"/>
        </w:numPr>
        <w:rPr>
          <w:rStyle w:val="normaltextrun"/>
          <w:rFonts w:eastAsiaTheme="majorEastAsia"/>
        </w:rPr>
      </w:pPr>
      <w:r w:rsidRPr="00ED7E61">
        <w:rPr>
          <w:rStyle w:val="normaltextrun"/>
          <w:rFonts w:asciiTheme="majorBidi" w:eastAsiaTheme="majorEastAsia" w:hAnsiTheme="majorBidi" w:cstheme="majorBidi"/>
        </w:rPr>
        <w:t xml:space="preserve">The reporting template will allow countries to submit data for all the accounting periods for which they have compiled accounts. The first data point will be the opening extent of the first account compiled, followed by the closing extent for the first account and for each subsequent account, The opening extent of </w:t>
      </w:r>
      <w:r w:rsidRPr="00B3383B">
        <w:rPr>
          <w:rStyle w:val="normaltextrun"/>
        </w:rPr>
        <w:t>the</w:t>
      </w:r>
      <w:r w:rsidRPr="00ED7E61">
        <w:rPr>
          <w:rStyle w:val="normaltextrun"/>
          <w:rFonts w:asciiTheme="majorBidi" w:eastAsiaTheme="majorEastAsia" w:hAnsiTheme="majorBidi" w:cstheme="majorBidi"/>
        </w:rPr>
        <w:t xml:space="preserve"> first account provides a baseline for the country. Depending on the data available nationally, this could be the historical extent of the EFG, prior to major human modification of the landscape, or a more recent baseline. </w:t>
      </w:r>
      <w:r w:rsidRPr="00ED7E61">
        <w:rPr>
          <w:rStyle w:val="normaltextrun"/>
        </w:rPr>
        <w:t> </w:t>
      </w:r>
    </w:p>
    <w:p w14:paraId="7E02A161" w14:textId="77777777" w:rsidR="003D6BBD" w:rsidRPr="00ED7E61" w:rsidRDefault="003D6BBD" w:rsidP="00B10F0C">
      <w:pPr>
        <w:pStyle w:val="CBDNormalNumber"/>
        <w:numPr>
          <w:ilvl w:val="0"/>
          <w:numId w:val="45"/>
        </w:numPr>
        <w:rPr>
          <w:rFonts w:asciiTheme="majorBidi" w:hAnsiTheme="majorBidi" w:cstheme="majorBidi"/>
        </w:rPr>
      </w:pPr>
      <w:r w:rsidRPr="00ED7E61">
        <w:rPr>
          <w:rStyle w:val="normaltextrun"/>
          <w:rFonts w:asciiTheme="majorBidi" w:eastAsiaTheme="majorEastAsia" w:hAnsiTheme="majorBidi" w:cstheme="majorBidi"/>
        </w:rPr>
        <w:t xml:space="preserve">Country </w:t>
      </w:r>
      <w:r w:rsidRPr="00B3383B">
        <w:rPr>
          <w:rStyle w:val="normaltextrun"/>
        </w:rPr>
        <w:t>baseline</w:t>
      </w:r>
      <w:r w:rsidRPr="00ED7E61">
        <w:rPr>
          <w:rStyle w:val="normaltextrun"/>
          <w:rFonts w:asciiTheme="majorBidi" w:eastAsiaTheme="majorEastAsia" w:hAnsiTheme="majorBidi" w:cstheme="majorBidi"/>
        </w:rPr>
        <w:t xml:space="preserve"> dates are distinct from the global baseline date. The proposed baseline year for global reporting under the GBF is likely to be 2020, or alternatively an average of the values between 2010 and 2020. Collecting data for years prior to the global baseline from countries that have such data could enable additional analyses that may be useful.</w:t>
      </w:r>
      <w:r w:rsidRPr="00ED7E61">
        <w:rPr>
          <w:rStyle w:val="eop"/>
          <w:rFonts w:asciiTheme="majorBidi" w:eastAsiaTheme="majorEastAsia" w:hAnsiTheme="majorBidi" w:cstheme="majorBidi"/>
        </w:rPr>
        <w:t> </w:t>
      </w:r>
    </w:p>
    <w:p w14:paraId="45F5F056" w14:textId="77777777" w:rsidR="003D6BBD" w:rsidRPr="00ED7E61" w:rsidRDefault="003D6BBD" w:rsidP="00B3383B">
      <w:pPr>
        <w:pStyle w:val="paragraph"/>
        <w:spacing w:before="120" w:beforeAutospacing="0" w:after="120" w:afterAutospacing="0"/>
        <w:textAlignment w:val="baseline"/>
        <w:rPr>
          <w:rFonts w:asciiTheme="majorBidi" w:hAnsiTheme="majorBidi" w:cstheme="majorBidi"/>
          <w:sz w:val="22"/>
          <w:szCs w:val="22"/>
          <w:lang w:val="en-GB"/>
        </w:rPr>
      </w:pPr>
      <w:r w:rsidRPr="00ED7E61">
        <w:rPr>
          <w:rStyle w:val="normaltextrun"/>
          <w:rFonts w:asciiTheme="majorBidi" w:eastAsiaTheme="majorEastAsia" w:hAnsiTheme="majorBidi" w:cstheme="majorBidi"/>
          <w:b/>
          <w:bCs/>
          <w:sz w:val="22"/>
          <w:szCs w:val="22"/>
        </w:rPr>
        <w:t>7. Other MEAs, processes and organisations</w:t>
      </w:r>
      <w:r w:rsidRPr="00ED7E61">
        <w:rPr>
          <w:rStyle w:val="eop"/>
          <w:rFonts w:asciiTheme="majorBidi" w:eastAsiaTheme="majorEastAsia" w:hAnsiTheme="majorBidi" w:cstheme="majorBidi"/>
          <w:sz w:val="22"/>
          <w:szCs w:val="22"/>
          <w:lang w:val="en-GB"/>
        </w:rPr>
        <w:t> </w:t>
      </w:r>
    </w:p>
    <w:p w14:paraId="0711F4E1" w14:textId="77777777" w:rsidR="003D6BBD" w:rsidRPr="00ED7E61" w:rsidRDefault="003D6BBD"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56EC02DA"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373637FE" w14:textId="77777777" w:rsidR="003D6BBD" w:rsidRPr="00ED7E61" w:rsidRDefault="003D6BBD"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360EDA19"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sz w:val="22"/>
          <w:szCs w:val="22"/>
        </w:rPr>
        <w:t xml:space="preserve">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72D1CE37" w14:textId="4A958C28" w:rsidR="003D6BBD" w:rsidRPr="00ED7E61" w:rsidRDefault="003D6BBD"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7D3CD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7D3CD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70055DC0" w14:textId="77777777" w:rsidR="008344AF" w:rsidRPr="00ED7E61" w:rsidRDefault="003D6BBD" w:rsidP="00B10F0C">
      <w:pPr>
        <w:pStyle w:val="CBDNormalNumber"/>
        <w:numPr>
          <w:ilvl w:val="0"/>
          <w:numId w:val="45"/>
        </w:numPr>
        <w:rPr>
          <w:rStyle w:val="normaltextrun"/>
          <w:sz w:val="24"/>
          <w:szCs w:val="24"/>
          <w:lang w:val="en-CA"/>
        </w:rPr>
      </w:pPr>
      <w:r w:rsidRPr="00ED7E61">
        <w:rPr>
          <w:rStyle w:val="normaltextrun"/>
          <w:rFonts w:asciiTheme="majorBidi" w:eastAsiaTheme="majorEastAsia" w:hAnsiTheme="majorBidi" w:cstheme="majorBidi"/>
        </w:rPr>
        <w:t xml:space="preserve">This </w:t>
      </w:r>
      <w:r w:rsidRPr="00B3383B">
        <w:rPr>
          <w:rStyle w:val="normaltextrun"/>
        </w:rPr>
        <w:t>indicator</w:t>
      </w:r>
      <w:r w:rsidRPr="00ED7E61">
        <w:rPr>
          <w:rStyle w:val="normaltextrun"/>
          <w:rFonts w:asciiTheme="majorBidi" w:eastAsiaTheme="majorEastAsia" w:hAnsiTheme="majorBidi" w:cstheme="majorBidi"/>
        </w:rPr>
        <w:t xml:space="preserve"> can be disaggregated by realm, biome, EFG and geographical location, all of which provide useful information. </w:t>
      </w:r>
      <w:r w:rsidRPr="00ED7E61">
        <w:rPr>
          <w:rStyle w:val="normaltextrun"/>
        </w:rPr>
        <w:t> </w:t>
      </w:r>
    </w:p>
    <w:p w14:paraId="32853D6C" w14:textId="77777777" w:rsidR="008344AF" w:rsidRPr="00ED7E61" w:rsidRDefault="005B187F" w:rsidP="00B10F0C">
      <w:pPr>
        <w:pStyle w:val="CBDNormalNumber"/>
        <w:numPr>
          <w:ilvl w:val="0"/>
          <w:numId w:val="45"/>
        </w:numPr>
        <w:rPr>
          <w:rStyle w:val="eop"/>
        </w:rPr>
      </w:pPr>
      <w:r w:rsidRPr="00ED7E61">
        <w:rPr>
          <w:rStyle w:val="normaltextrun"/>
          <w:rFonts w:asciiTheme="majorBidi" w:eastAsiaTheme="majorEastAsia" w:hAnsiTheme="majorBidi" w:cstheme="majorBidi"/>
          <w:color w:val="000000"/>
          <w:lang w:val="en-AU"/>
        </w:rPr>
        <w:t xml:space="preserve">The </w:t>
      </w:r>
      <w:r w:rsidRPr="00B3383B">
        <w:rPr>
          <w:rStyle w:val="normaltextrun"/>
        </w:rPr>
        <w:t>primary</w:t>
      </w:r>
      <w:r w:rsidRPr="00ED7E61">
        <w:rPr>
          <w:rStyle w:val="normaltextrun"/>
          <w:rFonts w:asciiTheme="majorBidi" w:eastAsiaTheme="majorEastAsia" w:hAnsiTheme="majorBidi" w:cstheme="majorBidi"/>
          <w:color w:val="000000"/>
          <w:lang w:val="en-AU"/>
        </w:rPr>
        <w:t xml:space="preserve"> recommended disaggregation for A.2 Extent of natural ecosystems is:</w:t>
      </w:r>
      <w:r w:rsidRPr="00ED7E61">
        <w:rPr>
          <w:rStyle w:val="eop"/>
          <w:rFonts w:asciiTheme="majorBidi" w:eastAsiaTheme="majorEastAsia" w:hAnsiTheme="majorBidi" w:cstheme="majorBidi"/>
          <w:color w:val="000000"/>
        </w:rPr>
        <w:t> </w:t>
      </w:r>
    </w:p>
    <w:p w14:paraId="251A2424" w14:textId="55582B62" w:rsidR="005B187F" w:rsidRPr="00ED7E61" w:rsidRDefault="005B187F" w:rsidP="00B3383B">
      <w:pPr>
        <w:pStyle w:val="CBDNormalNumber"/>
        <w:numPr>
          <w:ilvl w:val="0"/>
          <w:numId w:val="0"/>
        </w:numPr>
        <w:tabs>
          <w:tab w:val="clear" w:pos="567"/>
          <w:tab w:val="clear" w:pos="1134"/>
          <w:tab w:val="clear" w:pos="1701"/>
          <w:tab w:val="clear" w:pos="2268"/>
          <w:tab w:val="left" w:pos="1985"/>
        </w:tabs>
        <w:ind w:left="1134"/>
        <w:rPr>
          <w:rStyle w:val="normaltextrun"/>
          <w:rFonts w:asciiTheme="majorBidi" w:eastAsiaTheme="majorEastAsia" w:hAnsiTheme="majorBidi" w:cstheme="majorBidi"/>
          <w:color w:val="000000"/>
          <w:lang w:val="en-AU"/>
        </w:rPr>
      </w:pPr>
      <w:r w:rsidRPr="00ED7E61">
        <w:rPr>
          <w:rStyle w:val="normaltextrun"/>
          <w:rFonts w:asciiTheme="majorBidi" w:eastAsiaTheme="majorEastAsia" w:hAnsiTheme="majorBidi" w:cstheme="majorBidi"/>
          <w:color w:val="000000"/>
          <w:lang w:val="en-AU"/>
        </w:rPr>
        <w:t>By Ecosystem Functional Group (based on the IUCN Global Ecosystem Typology level 3); this will be the expected disaggregation for national reporting. Because the Global Ecosystem Typology is hierarchical, results can also be shown by biome and realm, which are a higher level in the hierarchy, and therefore with fewer categories (and thus potentially less informative, but more digestible for non-specialists). </w:t>
      </w:r>
      <w:r w:rsidRPr="00ED7E61">
        <w:rPr>
          <w:rStyle w:val="normaltextrun"/>
          <w:lang w:val="en-AU"/>
        </w:rPr>
        <w:t> </w:t>
      </w:r>
    </w:p>
    <w:p w14:paraId="76E944FA" w14:textId="77777777" w:rsidR="005B187F" w:rsidRPr="00ED7E61" w:rsidRDefault="005B187F" w:rsidP="00B10F0C">
      <w:pPr>
        <w:pStyle w:val="CBDNormalNumber"/>
        <w:numPr>
          <w:ilvl w:val="0"/>
          <w:numId w:val="45"/>
        </w:numPr>
        <w:rPr>
          <w:rStyle w:val="normaltextrun"/>
          <w:rFonts w:eastAsiaTheme="majorEastAsia"/>
          <w:color w:val="000000"/>
          <w:lang w:val="en-AU"/>
        </w:rPr>
      </w:pPr>
      <w:r w:rsidRPr="00B3383B">
        <w:rPr>
          <w:rStyle w:val="normaltextrun"/>
        </w:rPr>
        <w:t>Potential</w:t>
      </w:r>
      <w:r w:rsidRPr="00ED7E61">
        <w:rPr>
          <w:rStyle w:val="normaltextrun"/>
          <w:rFonts w:asciiTheme="majorBidi" w:eastAsiaTheme="majorEastAsia" w:hAnsiTheme="majorBidi" w:cstheme="majorBidi"/>
          <w:color w:val="000000"/>
          <w:lang w:val="en-AU"/>
        </w:rPr>
        <w:t xml:space="preserve"> further disaggregations that are informative for this headline indicator include:</w:t>
      </w:r>
      <w:r w:rsidRPr="00ED7E61">
        <w:rPr>
          <w:rStyle w:val="normaltextrun"/>
          <w:lang w:val="en-AU"/>
        </w:rPr>
        <w:t> </w:t>
      </w:r>
    </w:p>
    <w:p w14:paraId="0308B122" w14:textId="011E9784" w:rsidR="005B187F" w:rsidRPr="00ED7E61" w:rsidRDefault="005B187F" w:rsidP="00B10F0C">
      <w:pPr>
        <w:pStyle w:val="CBDNormalNumber"/>
        <w:numPr>
          <w:ilvl w:val="0"/>
          <w:numId w:val="47"/>
        </w:numPr>
        <w:tabs>
          <w:tab w:val="clear" w:pos="567"/>
          <w:tab w:val="clear" w:pos="1134"/>
          <w:tab w:val="clear" w:pos="1701"/>
        </w:tabs>
        <w:ind w:left="1134" w:firstLine="567"/>
        <w:rPr>
          <w:rStyle w:val="normaltextrun"/>
          <w:rFonts w:asciiTheme="majorBidi" w:eastAsiaTheme="majorEastAsia" w:hAnsiTheme="majorBidi" w:cstheme="majorBidi"/>
          <w:color w:val="000000"/>
          <w:lang w:val="en-AU"/>
        </w:rPr>
      </w:pPr>
      <w:r w:rsidRPr="00ED7E61">
        <w:rPr>
          <w:rStyle w:val="normaltextrun"/>
          <w:rFonts w:asciiTheme="majorBidi" w:eastAsiaTheme="majorEastAsia" w:hAnsiTheme="majorBidi" w:cstheme="majorBidi"/>
          <w:color w:val="000000"/>
          <w:lang w:val="en-AU"/>
        </w:rPr>
        <w:t>Disaggregation by geographical location</w:t>
      </w:r>
      <w:r w:rsidR="009B72A4">
        <w:rPr>
          <w:rStyle w:val="normaltextrun"/>
          <w:rFonts w:asciiTheme="majorBidi" w:eastAsiaTheme="majorEastAsia" w:hAnsiTheme="majorBidi" w:cstheme="majorBidi"/>
          <w:color w:val="000000"/>
          <w:lang w:val="en-AU"/>
        </w:rPr>
        <w:t>;</w:t>
      </w:r>
    </w:p>
    <w:p w14:paraId="558B4F82" w14:textId="2E6D4EBC" w:rsidR="003D6BBD" w:rsidRPr="00ED7E61" w:rsidRDefault="005B187F" w:rsidP="00B10F0C">
      <w:pPr>
        <w:pStyle w:val="CBDNormalNumber"/>
        <w:numPr>
          <w:ilvl w:val="0"/>
          <w:numId w:val="47"/>
        </w:numPr>
        <w:tabs>
          <w:tab w:val="clear" w:pos="567"/>
          <w:tab w:val="clear" w:pos="1134"/>
          <w:tab w:val="clear" w:pos="1701"/>
        </w:tabs>
        <w:ind w:left="1134" w:firstLine="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Disaggregation by </w:t>
      </w:r>
      <w:r w:rsidR="003D6BBD" w:rsidRPr="00ED7E61">
        <w:rPr>
          <w:rStyle w:val="normaltextrun"/>
          <w:rFonts w:asciiTheme="majorBidi" w:eastAsiaTheme="majorEastAsia" w:hAnsiTheme="majorBidi" w:cstheme="majorBidi"/>
          <w:color w:val="000000"/>
          <w:lang w:val="en-AU"/>
        </w:rPr>
        <w:t>natural and semi-natural ecosystems, but this would need further discussion as the distinction between natural and semi-natural ecosystems can be difficult to make in practice (as discussed earlier). Those countries that are able to distinguish systematically between natural and semi-natural ecosystems could use this information on the relative share of natural and semi-natural area for analytical purposes, as it can provide additional relevant information about the interactions between people and ecosystems</w:t>
      </w:r>
      <w:r w:rsidR="009B72A4">
        <w:rPr>
          <w:rStyle w:val="normaltextrun"/>
          <w:color w:val="000000"/>
          <w:lang w:val="en-AU"/>
        </w:rPr>
        <w:t>;</w:t>
      </w:r>
    </w:p>
    <w:p w14:paraId="5C761AF2" w14:textId="6856BB9C" w:rsidR="003D6BBD" w:rsidRPr="00ED7E61" w:rsidRDefault="003D6BBD" w:rsidP="00B10F0C">
      <w:pPr>
        <w:pStyle w:val="CBDNormalNumber"/>
        <w:numPr>
          <w:ilvl w:val="0"/>
          <w:numId w:val="47"/>
        </w:numPr>
        <w:tabs>
          <w:tab w:val="clear" w:pos="567"/>
          <w:tab w:val="clear" w:pos="1134"/>
          <w:tab w:val="clear" w:pos="1701"/>
        </w:tabs>
        <w:ind w:left="1134" w:firstLine="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Subnational disaggregation may be important and useful at the country level (for example, disaggregation to provinces and municipalities). However, this would not be required for global data collection</w:t>
      </w:r>
      <w:r w:rsidR="009B72A4">
        <w:rPr>
          <w:rStyle w:val="normaltextrun"/>
          <w:color w:val="000000"/>
          <w:lang w:val="en-AU"/>
        </w:rPr>
        <w:t>;</w:t>
      </w:r>
    </w:p>
    <w:p w14:paraId="39F4A542" w14:textId="61CF740F" w:rsidR="003D6BBD" w:rsidRPr="00ED7E61" w:rsidRDefault="003D6BBD" w:rsidP="00B10F0C">
      <w:pPr>
        <w:pStyle w:val="CBDNormalNumber"/>
        <w:numPr>
          <w:ilvl w:val="0"/>
          <w:numId w:val="47"/>
        </w:numPr>
        <w:tabs>
          <w:tab w:val="clear" w:pos="567"/>
          <w:tab w:val="clear" w:pos="1134"/>
          <w:tab w:val="clear" w:pos="1701"/>
        </w:tabs>
        <w:ind w:left="1134" w:firstLine="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Disaggregation related to </w:t>
      </w:r>
      <w:r w:rsidR="00B929B4">
        <w:rPr>
          <w:rStyle w:val="normaltextrun"/>
          <w:rFonts w:asciiTheme="majorBidi" w:eastAsiaTheme="majorEastAsia" w:hAnsiTheme="majorBidi" w:cstheme="majorBidi"/>
          <w:color w:val="000000"/>
          <w:lang w:val="en-AU"/>
        </w:rPr>
        <w:t>i</w:t>
      </w:r>
      <w:r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Pr="00ED7E61">
        <w:rPr>
          <w:rStyle w:val="normaltextrun"/>
          <w:rFonts w:asciiTheme="majorBidi" w:eastAsiaTheme="majorEastAsia" w:hAnsiTheme="majorBidi" w:cstheme="majorBidi"/>
          <w:color w:val="000000"/>
          <w:lang w:val="en-AU"/>
        </w:rPr>
        <w:t xml:space="preserve">ommunities  may be relevant for this indicator. Where spatial data on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ommunities</w:t>
      </w:r>
      <w:r w:rsidR="00616510">
        <w:rPr>
          <w:rStyle w:val="normaltextrun"/>
          <w:rFonts w:asciiTheme="majorBidi" w:eastAsiaTheme="majorEastAsia" w:hAnsiTheme="majorBidi" w:cstheme="majorBidi"/>
          <w:color w:val="000000"/>
          <w:lang w:val="en-AU"/>
        </w:rPr>
        <w:t>’</w:t>
      </w:r>
      <w:r w:rsidR="00B929B4" w:rsidRPr="00ED7E61">
        <w:rPr>
          <w:rStyle w:val="normaltextrun"/>
          <w:rFonts w:asciiTheme="majorBidi" w:eastAsiaTheme="majorEastAsia" w:hAnsiTheme="majorBidi" w:cstheme="majorBidi"/>
          <w:color w:val="000000"/>
          <w:lang w:val="en-AU"/>
        </w:rPr>
        <w:t xml:space="preserve"> </w:t>
      </w:r>
      <w:r w:rsidRPr="00ED7E61">
        <w:rPr>
          <w:rStyle w:val="normaltextrun"/>
          <w:rFonts w:asciiTheme="majorBidi" w:eastAsiaTheme="majorEastAsia" w:hAnsiTheme="majorBidi" w:cstheme="majorBidi"/>
          <w:color w:val="000000"/>
          <w:lang w:val="en-AU"/>
        </w:rPr>
        <w:t xml:space="preserve">lands exists, it may in principle be possible to disaggregate the indicator on this basis. However, this is a complex issue and guidance would need to be sought from the CBD’s Working Group on Article 8(j) which addresses with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ommunities</w:t>
      </w:r>
      <w:r w:rsidRPr="00ED7E61">
        <w:rPr>
          <w:rStyle w:val="normaltextrun"/>
          <w:rFonts w:asciiTheme="majorBidi" w:eastAsiaTheme="majorEastAsia" w:hAnsiTheme="majorBidi" w:cstheme="majorBidi"/>
          <w:color w:val="000000"/>
          <w:lang w:val="en-AU"/>
        </w:rPr>
        <w:t>.</w:t>
      </w:r>
      <w:r w:rsidRPr="00ED7E61">
        <w:rPr>
          <w:rStyle w:val="normaltextrun"/>
          <w:color w:val="000000"/>
          <w:lang w:val="en-AU"/>
        </w:rPr>
        <w:t> </w:t>
      </w:r>
    </w:p>
    <w:p w14:paraId="7974ABAA"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0BEA9F08" w14:textId="77777777" w:rsidR="003D6BBD" w:rsidRPr="00ED7E61" w:rsidRDefault="003D6BBD" w:rsidP="00B3383B">
      <w:pPr>
        <w:pStyle w:val="CBDNormalNumber"/>
        <w:numPr>
          <w:ilvl w:val="0"/>
          <w:numId w:val="0"/>
        </w:numPr>
        <w:ind w:left="567"/>
        <w:rPr>
          <w:rStyle w:val="normaltextrun"/>
          <w:rFonts w:eastAsiaTheme="majorEastAsia"/>
          <w:color w:val="000000"/>
          <w:sz w:val="24"/>
          <w:szCs w:val="24"/>
          <w:lang w:val="en-AU"/>
        </w:rPr>
      </w:pPr>
      <w:r w:rsidRPr="00ED7E61">
        <w:rPr>
          <w:rStyle w:val="normaltextrun"/>
          <w:rFonts w:asciiTheme="majorBidi" w:eastAsiaTheme="majorEastAsia" w:hAnsiTheme="majorBidi" w:cstheme="majorBidi"/>
          <w:color w:val="000000"/>
          <w:lang w:val="en-AU"/>
        </w:rPr>
        <w:t>Target 2: Restore 30% of all Degraded Ecosystems </w:t>
      </w:r>
      <w:r w:rsidRPr="00ED7E61">
        <w:rPr>
          <w:rStyle w:val="normaltextrun"/>
          <w:color w:val="000000"/>
          <w:lang w:val="en-AU"/>
        </w:rPr>
        <w:t> </w:t>
      </w:r>
    </w:p>
    <w:p w14:paraId="42E3BC90" w14:textId="77777777" w:rsidR="003D6BBD" w:rsidRPr="00ED7E61" w:rsidRDefault="003D6BBD"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color w:val="000000"/>
          <w:lang w:val="en-AU"/>
        </w:rPr>
        <w:t>Target 3: Conserve 30% of Land, Waters and Seas</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35C5C52B" w14:textId="77777777" w:rsidR="003D6BBD" w:rsidRPr="00ED7E61" w:rsidRDefault="003D6BBD" w:rsidP="00B3383B">
      <w:pPr>
        <w:pStyle w:val="paragraph"/>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7F29C8D3" w14:textId="626836B2" w:rsidR="003D6BBD" w:rsidRPr="00ED7E61" w:rsidRDefault="003D6BBD"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9B72A4">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010A4E6D" w14:textId="77777777" w:rsidR="003D6BBD" w:rsidRPr="00ED7E61" w:rsidRDefault="003D6BBD"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United Nations Statistics Division (UNSD)</w:t>
      </w:r>
      <w:r w:rsidRPr="00ED7E61">
        <w:rPr>
          <w:rStyle w:val="eop"/>
          <w:rFonts w:asciiTheme="majorBidi" w:eastAsiaTheme="majorEastAsia" w:hAnsiTheme="majorBidi" w:cstheme="majorBidi"/>
          <w:sz w:val="22"/>
          <w:szCs w:val="22"/>
        </w:rPr>
        <w:t> </w:t>
      </w:r>
    </w:p>
    <w:p w14:paraId="036F642C" w14:textId="77777777" w:rsidR="003D6BBD" w:rsidRPr="00ED7E61" w:rsidRDefault="003D6BBD"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5A614331" w14:textId="77777777" w:rsidR="00196A02" w:rsidRPr="00ED7E61" w:rsidRDefault="00196A02" w:rsidP="00B3383B">
      <w:pPr>
        <w:pStyle w:val="CBDNormalNumber"/>
        <w:numPr>
          <w:ilvl w:val="0"/>
          <w:numId w:val="0"/>
        </w:numPr>
        <w:ind w:left="567"/>
        <w:rPr>
          <w:rStyle w:val="normaltextrun"/>
          <w:rFonts w:asciiTheme="majorBidi" w:eastAsiaTheme="majorEastAsia" w:hAnsiTheme="majorBidi" w:cstheme="majorBidi"/>
          <w:color w:val="000000"/>
          <w:sz w:val="24"/>
          <w:szCs w:val="24"/>
          <w:lang w:val="en-AU"/>
        </w:rPr>
      </w:pPr>
      <w:r w:rsidRPr="00ED7E61">
        <w:rPr>
          <w:rStyle w:val="normaltextrun"/>
          <w:rFonts w:asciiTheme="majorBidi" w:eastAsiaTheme="majorEastAsia" w:hAnsiTheme="majorBidi" w:cstheme="majorBidi"/>
          <w:color w:val="000000"/>
          <w:lang w:val="en-AU"/>
        </w:rPr>
        <w:t>This meta-data sheet was prepared by UNSD, with contributions from members of the AHTEG and of the Task team of the UNCEEA Technical Committee on SEEA Ecosystem Accounting.</w:t>
      </w:r>
    </w:p>
    <w:p w14:paraId="605BA170" w14:textId="3E33B57A" w:rsidR="00196A02" w:rsidRPr="00ED7E61" w:rsidRDefault="00196A02"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Ilaria Di Matteo (</w:t>
      </w:r>
      <w:hyperlink r:id="rId110" w:history="1">
        <w:r w:rsidRPr="00ED7E61">
          <w:rPr>
            <w:rStyle w:val="normaltextrun"/>
            <w:rFonts w:asciiTheme="majorBidi" w:hAnsiTheme="majorBidi" w:cstheme="majorBidi"/>
            <w:color w:val="000000"/>
            <w:lang w:val="en-AU"/>
          </w:rPr>
          <w:t>dimatteo@un.org</w:t>
        </w:r>
      </w:hyperlink>
      <w:r w:rsidRPr="00ED7E61">
        <w:rPr>
          <w:rStyle w:val="normaltextrun"/>
          <w:rFonts w:asciiTheme="majorBidi" w:hAnsiTheme="majorBidi" w:cstheme="majorBidi"/>
          <w:color w:val="000000"/>
          <w:lang w:val="en-AU"/>
        </w:rPr>
        <w:t>, seea@un.org</w:t>
      </w:r>
      <w:r w:rsidRPr="00ED7E61">
        <w:rPr>
          <w:rStyle w:val="normaltextrun"/>
          <w:rFonts w:asciiTheme="majorBidi" w:eastAsiaTheme="majorEastAsia" w:hAnsiTheme="majorBidi" w:cstheme="majorBidi"/>
          <w:color w:val="000000"/>
          <w:lang w:val="en-AU"/>
        </w:rPr>
        <w:t xml:space="preserve">),Environmental Economic Accounts Section of the UN Statistics Division </w:t>
      </w:r>
    </w:p>
    <w:p w14:paraId="0BB206DA" w14:textId="77777777" w:rsidR="00196A02" w:rsidRPr="00ED7E61" w:rsidRDefault="00196A02" w:rsidP="003D6BBD">
      <w:pPr>
        <w:pStyle w:val="paragraph"/>
        <w:spacing w:before="0" w:beforeAutospacing="0" w:after="0" w:afterAutospacing="0"/>
        <w:textAlignment w:val="baseline"/>
        <w:rPr>
          <w:rFonts w:asciiTheme="majorBidi" w:hAnsiTheme="majorBidi" w:cstheme="majorBidi"/>
          <w:sz w:val="22"/>
          <w:szCs w:val="22"/>
        </w:rPr>
      </w:pPr>
    </w:p>
    <w:p w14:paraId="0C484AF1" w14:textId="77777777" w:rsidR="003D6BBD" w:rsidRPr="00ED7E61" w:rsidRDefault="003D6BBD" w:rsidP="003D6BBD">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US"/>
        </w:rPr>
        <w:t>11. References</w:t>
      </w:r>
      <w:r w:rsidRPr="00ED7E61">
        <w:rPr>
          <w:rStyle w:val="eop"/>
          <w:rFonts w:asciiTheme="majorBidi" w:eastAsiaTheme="majorEastAsia" w:hAnsiTheme="majorBidi" w:cstheme="majorBidi"/>
          <w:sz w:val="22"/>
          <w:szCs w:val="22"/>
        </w:rPr>
        <w:t> </w:t>
      </w:r>
    </w:p>
    <w:p w14:paraId="4C6FC4DC" w14:textId="77777777" w:rsidR="003D6BBD" w:rsidRPr="00ED7E61" w:rsidRDefault="003D6BBD" w:rsidP="00B3383B">
      <w:pPr>
        <w:pStyle w:val="CBDNormalNumber"/>
        <w:numPr>
          <w:ilvl w:val="0"/>
          <w:numId w:val="0"/>
        </w:numPr>
        <w:ind w:left="567"/>
        <w:rPr>
          <w:rStyle w:val="normaltextrun"/>
          <w:rFonts w:eastAsiaTheme="majorEastAsia"/>
          <w:color w:val="000000"/>
          <w:sz w:val="24"/>
          <w:szCs w:val="24"/>
          <w:lang w:val="en-AU"/>
        </w:rPr>
      </w:pPr>
      <w:bookmarkStart w:id="23" w:name="_Hlk178271016"/>
      <w:r w:rsidRPr="00ED7E61">
        <w:rPr>
          <w:rStyle w:val="normaltextrun"/>
          <w:rFonts w:asciiTheme="majorBidi" w:eastAsiaTheme="majorEastAsia" w:hAnsiTheme="majorBidi" w:cstheme="majorBidi"/>
          <w:color w:val="000000"/>
          <w:lang w:val="en-AU"/>
        </w:rPr>
        <w:t>UN System of Environmental-Economic Accounting: https://seea.un.org/ecosystemaccounting</w:t>
      </w:r>
      <w:r w:rsidRPr="00ED7E61">
        <w:rPr>
          <w:rStyle w:val="normaltextrun"/>
          <w:color w:val="000000"/>
          <w:lang w:val="en-AU"/>
        </w:rPr>
        <w:t> </w:t>
      </w:r>
    </w:p>
    <w:p w14:paraId="76E0066F" w14:textId="69CCBB16"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United Nations et al. (2021). System of Environmental-Economic Accounting—Ecosystem Accounting (SEEA EA). White cover publication, pre-edited text subject to official editing. Available at: </w:t>
      </w:r>
      <w:hyperlink r:id="rId111" w:history="1">
        <w:r w:rsidR="003E7D98" w:rsidRPr="00934982">
          <w:rPr>
            <w:rStyle w:val="Hyperlink"/>
            <w:rFonts w:asciiTheme="majorBidi" w:eastAsiaTheme="majorEastAsia" w:hAnsiTheme="majorBidi" w:cstheme="majorBidi"/>
            <w:lang w:val="en-AU"/>
          </w:rPr>
          <w:t>https://seea.un.org/ecosystem-accounting</w:t>
        </w:r>
      </w:hyperlink>
      <w:r w:rsidRPr="00ED7E61">
        <w:rPr>
          <w:rStyle w:val="normaltextrun"/>
          <w:rFonts w:asciiTheme="majorBidi" w:eastAsiaTheme="majorEastAsia" w:hAnsiTheme="majorBidi" w:cstheme="majorBidi"/>
          <w:color w:val="000000"/>
          <w:lang w:val="en-AU"/>
        </w:rPr>
        <w:t>.</w:t>
      </w:r>
      <w:r w:rsidR="003E7D98">
        <w:rPr>
          <w:rStyle w:val="normaltextrun"/>
          <w:rFonts w:asciiTheme="majorBidi" w:eastAsiaTheme="majorEastAsia" w:hAnsiTheme="majorBidi" w:cstheme="majorBidi"/>
          <w:color w:val="000000"/>
          <w:lang w:val="en-AU"/>
        </w:rPr>
        <w:t xml:space="preserve"> </w:t>
      </w:r>
      <w:r w:rsidRPr="00ED7E61">
        <w:rPr>
          <w:rStyle w:val="normaltextrun"/>
          <w:color w:val="000000"/>
          <w:lang w:val="en-AU"/>
        </w:rPr>
        <w:t> </w:t>
      </w:r>
    </w:p>
    <w:p w14:paraId="0B63BA5A"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United Nations (2021). Guidelines on Biophysical Modelling for Ecosystem Accounting Available at: </w:t>
      </w:r>
      <w:hyperlink r:id="rId112" w:tgtFrame="_blank" w:history="1">
        <w:r w:rsidRPr="00ED7E61">
          <w:rPr>
            <w:rStyle w:val="normaltextrun"/>
            <w:rFonts w:asciiTheme="majorBidi" w:eastAsiaTheme="majorEastAsia" w:hAnsiTheme="majorBidi" w:cstheme="majorBidi"/>
            <w:color w:val="000000"/>
            <w:lang w:val="en-AU"/>
          </w:rPr>
          <w:t>https://seea.un.org/ecosystem-accounting/biophysical-modelling</w:t>
        </w:r>
      </w:hyperlink>
      <w:r w:rsidRPr="00ED7E61">
        <w:rPr>
          <w:rStyle w:val="normaltextrun"/>
          <w:rFonts w:asciiTheme="majorBidi" w:eastAsiaTheme="majorEastAsia" w:hAnsiTheme="majorBidi" w:cstheme="majorBidi"/>
          <w:color w:val="000000"/>
          <w:lang w:val="en-AU"/>
        </w:rPr>
        <w:t>  </w:t>
      </w:r>
      <w:r w:rsidRPr="00ED7E61">
        <w:rPr>
          <w:rStyle w:val="normaltextrun"/>
          <w:color w:val="000000"/>
          <w:lang w:val="en-AU"/>
        </w:rPr>
        <w:t> </w:t>
      </w:r>
    </w:p>
    <w:p w14:paraId="0BF0C313" w14:textId="477679B1"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ARIES for SEEA: </w:t>
      </w:r>
      <w:hyperlink r:id="rId113" w:history="1">
        <w:r w:rsidR="003E7D98" w:rsidRPr="00934982">
          <w:rPr>
            <w:rStyle w:val="Hyperlink"/>
            <w:rFonts w:asciiTheme="majorBidi" w:eastAsiaTheme="majorEastAsia" w:hAnsiTheme="majorBidi" w:cstheme="majorBidi"/>
            <w:lang w:val="en-AU"/>
          </w:rPr>
          <w:t>https://seea.un.org/content/aries-for-seea</w:t>
        </w:r>
      </w:hyperlink>
      <w:r w:rsidR="003E7D98">
        <w:rPr>
          <w:rStyle w:val="normaltextrun"/>
          <w:rFonts w:asciiTheme="majorBidi" w:eastAsiaTheme="majorEastAsia" w:hAnsiTheme="majorBidi" w:cstheme="majorBidi"/>
          <w:color w:val="000000"/>
          <w:lang w:val="en-AU"/>
        </w:rPr>
        <w:t xml:space="preserve"> </w:t>
      </w:r>
      <w:r w:rsidRPr="00ED7E61">
        <w:rPr>
          <w:rStyle w:val="normaltextrun"/>
          <w:color w:val="000000"/>
          <w:lang w:val="en-AU"/>
        </w:rPr>
        <w:t> </w:t>
      </w:r>
    </w:p>
    <w:p w14:paraId="2E78621B"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Keith, D.A., Ferrer-Paris, J.R., Nicholson, E. and Kingsford, R.T. (eds.) (2020). The IUCN Global Ecosystem Typology 2.0: Descriptive profiles for biomes and ecosystem functional groups. Gland, Switzerland: IUCN</w:t>
      </w:r>
      <w:r w:rsidRPr="00ED7E61">
        <w:rPr>
          <w:rStyle w:val="normaltextrun"/>
          <w:color w:val="000000"/>
          <w:lang w:val="en-AU"/>
        </w:rPr>
        <w:t> </w:t>
      </w:r>
    </w:p>
    <w:p w14:paraId="5B58741B" w14:textId="77777777" w:rsidR="003D6BBD" w:rsidRPr="00ED7E61" w:rsidRDefault="003D6BBD" w:rsidP="00B3383B">
      <w:pPr>
        <w:pStyle w:val="CBDNormalNumber"/>
        <w:numPr>
          <w:ilvl w:val="0"/>
          <w:numId w:val="0"/>
        </w:numPr>
        <w:ind w:left="567"/>
        <w:rPr>
          <w:rStyle w:val="normaltextrun"/>
          <w:rFonts w:eastAsiaTheme="majorEastAsia"/>
          <w:color w:val="000000"/>
          <w:lang w:val="en-AU"/>
        </w:rPr>
      </w:pPr>
      <w:r w:rsidRPr="00ED7E61">
        <w:rPr>
          <w:rStyle w:val="normaltextrun"/>
          <w:rFonts w:asciiTheme="majorBidi" w:eastAsiaTheme="majorEastAsia" w:hAnsiTheme="majorBidi" w:cstheme="majorBidi"/>
          <w:color w:val="000000"/>
          <w:lang w:val="en-AU"/>
        </w:rPr>
        <w:t xml:space="preserve">Assessment of Environmental-Economic Accounting and Supporting Statistics 2023. Available at </w:t>
      </w:r>
      <w:hyperlink r:id="rId114" w:tgtFrame="_blank" w:history="1">
        <w:r w:rsidRPr="00ED7E61">
          <w:rPr>
            <w:rStyle w:val="normaltextrun"/>
            <w:rFonts w:asciiTheme="majorBidi" w:eastAsiaTheme="majorEastAsia" w:hAnsiTheme="majorBidi" w:cstheme="majorBidi"/>
            <w:color w:val="000000"/>
            <w:lang w:val="en-AU"/>
          </w:rPr>
          <w:t>https://seea.un.org/content/global-assessment-environmental-economic-accounting</w:t>
        </w:r>
      </w:hyperlink>
      <w:r w:rsidRPr="00ED7E61">
        <w:rPr>
          <w:rStyle w:val="normaltextrun"/>
          <w:color w:val="000000"/>
          <w:lang w:val="en-AU"/>
        </w:rPr>
        <w:t> </w:t>
      </w:r>
    </w:p>
    <w:bookmarkEnd w:id="23"/>
    <w:p w14:paraId="448B2AB1" w14:textId="62204555" w:rsidR="003D6BBD" w:rsidRPr="00ED7E61" w:rsidRDefault="003D6BBD" w:rsidP="003D6BBD">
      <w:pPr>
        <w:pStyle w:val="paragraph"/>
        <w:spacing w:before="0" w:beforeAutospacing="0" w:after="0" w:afterAutospacing="0"/>
        <w:textAlignment w:val="baseline"/>
        <w:rPr>
          <w:rFonts w:asciiTheme="majorBidi" w:hAnsiTheme="majorBidi" w:cstheme="majorBidi"/>
          <w:sz w:val="22"/>
          <w:szCs w:val="22"/>
        </w:rPr>
      </w:pPr>
    </w:p>
    <w:p w14:paraId="7F1EA09E" w14:textId="77777777" w:rsidR="008344AF" w:rsidRPr="00ED7E61" w:rsidRDefault="008344AF">
      <w:pPr>
        <w:rPr>
          <w:rStyle w:val="normaltextrun"/>
          <w:rFonts w:asciiTheme="majorBidi" w:eastAsiaTheme="majorEastAsia" w:hAnsiTheme="majorBidi" w:cstheme="majorBidi"/>
          <w:b/>
          <w:sz w:val="28"/>
          <w:szCs w:val="28"/>
        </w:rPr>
      </w:pPr>
      <w:r w:rsidRPr="00ED7E61">
        <w:rPr>
          <w:rStyle w:val="normaltextrun"/>
        </w:rPr>
        <w:br w:type="page"/>
      </w:r>
    </w:p>
    <w:p w14:paraId="57257A8E" w14:textId="60745830" w:rsidR="00756F0F" w:rsidRPr="00ED7E61" w:rsidRDefault="00756F0F" w:rsidP="00215AED">
      <w:pPr>
        <w:pStyle w:val="Heading3"/>
      </w:pPr>
      <w:bookmarkStart w:id="24" w:name="_Toc178285845"/>
      <w:r w:rsidRPr="00ED7E61">
        <w:rPr>
          <w:rStyle w:val="normaltextrun"/>
        </w:rPr>
        <w:t>GBF indicator metadata</w:t>
      </w:r>
      <w:r w:rsidR="00956C65" w:rsidRPr="00ED7E61">
        <w:rPr>
          <w:rStyle w:val="normaltextrun"/>
        </w:rPr>
        <w:t>: A.3 Red List Index</w:t>
      </w:r>
      <w:r w:rsidR="00F9458B" w:rsidRPr="00ED7E61">
        <w:rPr>
          <w:rStyle w:val="FootnoteReference"/>
        </w:rPr>
        <w:footnoteReference w:id="27"/>
      </w:r>
      <w:bookmarkEnd w:id="24"/>
      <w:r w:rsidRPr="00ED7E61">
        <w:rPr>
          <w:rStyle w:val="eop"/>
        </w:rPr>
        <w:t> </w:t>
      </w:r>
    </w:p>
    <w:p w14:paraId="53DB8C60"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28A52335" w14:textId="77777777" w:rsidR="00756F0F" w:rsidRPr="00ED7E61" w:rsidRDefault="00756F0F"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6244640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A.3 Red List Index</w:t>
      </w:r>
      <w:r w:rsidRPr="00ED7E61">
        <w:rPr>
          <w:rStyle w:val="eop"/>
          <w:rFonts w:asciiTheme="majorBidi" w:eastAsiaTheme="majorEastAsia" w:hAnsiTheme="majorBidi" w:cstheme="majorBidi"/>
          <w:sz w:val="22"/>
          <w:szCs w:val="22"/>
        </w:rPr>
        <w:t> </w:t>
      </w:r>
    </w:p>
    <w:p w14:paraId="74BEF83F" w14:textId="77777777" w:rsidR="00756F0F" w:rsidRPr="00ED7E61" w:rsidRDefault="00756F0F"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5D468B8F" w14:textId="6EA44920"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756F0F" w:rsidRPr="00ED7E61">
        <w:rPr>
          <w:rStyle w:val="normaltextrun"/>
          <w:rFonts w:asciiTheme="majorBidi" w:eastAsiaTheme="majorEastAsia" w:hAnsiTheme="majorBidi" w:cstheme="majorBidi"/>
          <w:sz w:val="22"/>
          <w:szCs w:val="22"/>
        </w:rPr>
        <w:t>2024</w:t>
      </w:r>
      <w:r w:rsidR="00756F0F" w:rsidRPr="00ED7E61">
        <w:rPr>
          <w:rStyle w:val="eop"/>
          <w:rFonts w:asciiTheme="majorBidi" w:eastAsiaTheme="majorEastAsia" w:hAnsiTheme="majorBidi" w:cstheme="majorBidi"/>
          <w:sz w:val="22"/>
          <w:szCs w:val="22"/>
        </w:rPr>
        <w:t> </w:t>
      </w:r>
    </w:p>
    <w:p w14:paraId="7664E4C2" w14:textId="77777777" w:rsidR="00756F0F" w:rsidRPr="00ED7E61" w:rsidRDefault="00756F0F" w:rsidP="00B3383B">
      <w:pPr>
        <w:pStyle w:val="paragraph"/>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17A8D15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427337E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Headline Indicator for Goal A: The integrity, connectivity and resilience of all ecosystems are maintained, enhanced, or restored, substantially increasing the area of natural ecosystems by 2050; Human induced extinction of known threatened species is halted, and, by 2050, the extinction rate and risk of all species are reduced tenfold and the abundance of native wild species is increased to healthy and resilient levels; The genetic diversity within populations of wild and domesticated species, is maintained, safeguarding their adaptive potential.</w:t>
      </w:r>
      <w:r w:rsidRPr="00ED7E61">
        <w:rPr>
          <w:rStyle w:val="eop"/>
          <w:rFonts w:asciiTheme="majorBidi" w:eastAsiaTheme="majorEastAsia" w:hAnsiTheme="majorBidi" w:cstheme="majorBidi"/>
          <w:sz w:val="22"/>
          <w:szCs w:val="22"/>
        </w:rPr>
        <w:t> </w:t>
      </w:r>
    </w:p>
    <w:p w14:paraId="5933FE64"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p w14:paraId="3AB336FE" w14:textId="77777777" w:rsidR="00756F0F" w:rsidRPr="00ED7E61" w:rsidRDefault="00756F0F" w:rsidP="00B3383B">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Headline indicator for Target 4:  Ensure urgent management actions to halt human induced extinction of known threatened species and for the recovery and conservation of species, in particular threatened species, to significantly reduce extinction risk, as well as to maintain and restore the genetic diversity within and between populations of native, wild and domesticated species to maintain their adaptive potential, including through in situ and ex situ conservation and sustainable management practices, and effectively manage human-wildlife interactions to minimize human-wildlife conflict for coexistence.</w:t>
      </w:r>
      <w:r w:rsidRPr="00ED7E61">
        <w:rPr>
          <w:rStyle w:val="eop"/>
          <w:rFonts w:asciiTheme="majorBidi" w:eastAsiaTheme="majorEastAsia" w:hAnsiTheme="majorBidi" w:cstheme="majorBidi"/>
          <w:color w:val="000000"/>
          <w:sz w:val="22"/>
          <w:szCs w:val="22"/>
        </w:rPr>
        <w:t> </w:t>
      </w:r>
    </w:p>
    <w:p w14:paraId="085180F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As noted in CBD/ID/OM/2022/1/2 “</w:t>
      </w:r>
      <w:r w:rsidRPr="00FB1598">
        <w:rPr>
          <w:rStyle w:val="normaltextrun"/>
          <w:rFonts w:asciiTheme="majorBidi" w:eastAsiaTheme="majorEastAsia" w:hAnsiTheme="majorBidi" w:cstheme="majorBidi"/>
          <w:i/>
          <w:iCs/>
          <w:sz w:val="22"/>
          <w:szCs w:val="22"/>
        </w:rPr>
        <w:t>Report of the Expert Workshop on the Monitoring Framework for the Post-2020 Global Biodiversity Framework</w:t>
      </w:r>
      <w:r w:rsidRPr="00ED7E61">
        <w:rPr>
          <w:rStyle w:val="normaltextrun"/>
          <w:rFonts w:asciiTheme="majorBidi" w:eastAsiaTheme="majorEastAsia" w:hAnsiTheme="majorBidi" w:cstheme="majorBidi"/>
          <w:sz w:val="22"/>
          <w:szCs w:val="22"/>
        </w:rPr>
        <w:t>”, Annex III, specific disaggregations of the Red List Index are relevant to a number of other targets described in section 9.</w:t>
      </w:r>
      <w:r w:rsidRPr="00ED7E61">
        <w:rPr>
          <w:rStyle w:val="eop"/>
          <w:rFonts w:asciiTheme="majorBidi" w:eastAsiaTheme="majorEastAsia" w:hAnsiTheme="majorBidi" w:cstheme="majorBidi"/>
          <w:sz w:val="22"/>
          <w:szCs w:val="22"/>
        </w:rPr>
        <w:t> </w:t>
      </w:r>
    </w:p>
    <w:p w14:paraId="39CE7E7E"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58522977" w14:textId="3B1DD329" w:rsidR="008344AF" w:rsidRPr="00BD15B8" w:rsidRDefault="00756F0F" w:rsidP="00B10F0C">
      <w:pPr>
        <w:pStyle w:val="CBDNormalNumber"/>
        <w:numPr>
          <w:ilvl w:val="0"/>
          <w:numId w:val="49"/>
        </w:numPr>
        <w:rPr>
          <w:rStyle w:val="normaltextrun"/>
          <w:rFonts w:eastAsiaTheme="majorEastAsia"/>
          <w:color w:val="000000"/>
          <w:sz w:val="24"/>
          <w:szCs w:val="24"/>
          <w:lang w:val="en-AU"/>
        </w:rPr>
      </w:pPr>
      <w:r w:rsidRPr="00B3383B">
        <w:rPr>
          <w:rStyle w:val="normaltextrun"/>
        </w:rPr>
        <w:t>The</w:t>
      </w:r>
      <w:r w:rsidRPr="00BD15B8">
        <w:rPr>
          <w:rStyle w:val="normaltextrun"/>
          <w:rFonts w:asciiTheme="majorBidi" w:eastAsiaTheme="majorEastAsia" w:hAnsiTheme="majorBidi" w:cstheme="majorBidi"/>
          <w:color w:val="000000"/>
          <w:lang w:val="en-AU"/>
        </w:rPr>
        <w:t xml:space="preserve"> world’s species are impacted by a number of threatening processes, including habitat destruction and degradation, overexploitation, invasive alien species, human disturbance, pollution and climate change. This indicator can be used to assess overall changes in the extinction risk of groups of species as a result of these threats and the extent to which threats are being mitigated.</w:t>
      </w:r>
      <w:r w:rsidRPr="00BD15B8">
        <w:rPr>
          <w:rStyle w:val="normaltextrun"/>
          <w:color w:val="000000"/>
          <w:lang w:val="en-AU"/>
        </w:rPr>
        <w:t> </w:t>
      </w:r>
    </w:p>
    <w:p w14:paraId="236D807D" w14:textId="53074180" w:rsidR="008344AF" w:rsidRPr="00ED7E61" w:rsidRDefault="00756F0F" w:rsidP="00B10F0C">
      <w:pPr>
        <w:pStyle w:val="CBDNormalNumber"/>
      </w:pPr>
      <w:r w:rsidRPr="00ED7E61">
        <w:rPr>
          <w:rStyle w:val="normaltextrun"/>
          <w:rFonts w:asciiTheme="majorBidi" w:eastAsiaTheme="majorEastAsia" w:hAnsiTheme="majorBidi" w:cstheme="majorBidi"/>
        </w:rPr>
        <w:t>The Red List Index value ranges from 1 (all species are categorized as ‘Least Concern’) to 0 (all species are categorized as ‘Extinct’), and so indicates how far the set of species has moved overall towards extinction. Thus, the global Red List Index allows comparisons between sets of species in both their overall level of extinction risk (i.e. how threatened they are on average), and in the rate at which this risk changes over time. A downward trend in the global Red List Index over time means that the expected rate of future species extinctions is worsening (i.e. the rate of biodiversity loss is increasing). An upward trend means that the expected rate of species extinctions is abating (i.e. the rate of biodiversity loss is decreasing), and a horizontal line means that the expected rate of species extinctions is remaining the same, although in each of these cases it does not mean that biodiversity loss has stopped. An upward global Red List Index trend would indicate that the SDG Target 15.5 of reducing the degradation of natural habitats and protecting threatened species is on track. A global Red List Index value of 1 would indicate that biodiversity loss has been halted.</w:t>
      </w:r>
      <w:r w:rsidRPr="00ED7E61">
        <w:rPr>
          <w:rStyle w:val="eop"/>
          <w:rFonts w:asciiTheme="majorBidi" w:eastAsiaTheme="majorEastAsia" w:hAnsiTheme="majorBidi" w:cstheme="majorBidi"/>
        </w:rPr>
        <w:t> </w:t>
      </w:r>
    </w:p>
    <w:p w14:paraId="67551D5A" w14:textId="5E980A69" w:rsidR="008344AF" w:rsidRPr="00ED7E61" w:rsidRDefault="00756F0F" w:rsidP="00B10F0C">
      <w:pPr>
        <w:pStyle w:val="CBDNormalNumber"/>
      </w:pPr>
      <w:r w:rsidRPr="00ED7E61">
        <w:rPr>
          <w:rStyle w:val="normaltextrun"/>
          <w:rFonts w:asciiTheme="majorBidi" w:eastAsiaTheme="majorEastAsia" w:hAnsiTheme="majorBidi" w:cstheme="majorBidi"/>
        </w:rPr>
        <w:t>The name “</w:t>
      </w:r>
      <w:r w:rsidRPr="00FB1598">
        <w:rPr>
          <w:rStyle w:val="normaltextrun"/>
          <w:rFonts w:asciiTheme="majorBidi" w:eastAsiaTheme="majorEastAsia" w:hAnsiTheme="majorBidi" w:cstheme="majorBidi"/>
          <w:i/>
          <w:iCs/>
        </w:rPr>
        <w:t>Red List Index</w:t>
      </w:r>
      <w:r w:rsidRPr="00ED7E61">
        <w:rPr>
          <w:rStyle w:val="normaltextrun"/>
          <w:rFonts w:asciiTheme="majorBidi" w:eastAsiaTheme="majorEastAsia" w:hAnsiTheme="majorBidi" w:cstheme="majorBidi"/>
        </w:rPr>
        <w:t xml:space="preserve">” should not be taken to imply that the indicator is produced as a composite </w:t>
      </w:r>
      <w:r w:rsidRPr="00B3383B">
        <w:rPr>
          <w:rStyle w:val="normaltextrun"/>
        </w:rPr>
        <w:t>indicator</w:t>
      </w:r>
      <w:r w:rsidRPr="00ED7E61">
        <w:rPr>
          <w:rStyle w:val="normaltextrun"/>
          <w:rFonts w:asciiTheme="majorBidi" w:eastAsiaTheme="majorEastAsia" w:hAnsiTheme="majorBidi" w:cstheme="majorBidi"/>
        </w:rPr>
        <w:t xml:space="preserve"> of a number of disparate metrics (in the same way that, e.g. the Multidimensional Poverty Index is compiled). The Red List Index provides an indicator of trends in species’ extinction risk, as measured using the IUCN Red List Categories and Criteria (Mace et al. 2008, IUCN 2012a), and is compiled from data on changes over time in the Red List Category for each species, excluding any changes driven by improved knowledge or revised taxonomy.</w:t>
      </w:r>
      <w:r w:rsidRPr="00ED7E61">
        <w:rPr>
          <w:rStyle w:val="eop"/>
          <w:rFonts w:asciiTheme="majorBidi" w:eastAsiaTheme="majorEastAsia" w:hAnsiTheme="majorBidi" w:cstheme="majorBidi"/>
        </w:rPr>
        <w:t> </w:t>
      </w:r>
    </w:p>
    <w:p w14:paraId="60BE9467" w14:textId="09D455BC" w:rsidR="00756F0F" w:rsidRPr="00ED7E61" w:rsidRDefault="00756F0F"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rPr>
        <w:t xml:space="preserve">The Red List Index was used as an indicator towards the 2011–2020 Strategic Plan for Biodiversity (CBD 2014, Tittensor et al. 2014, CBD 2020a), the Convention on Biological Diversity’s 2010 Target (Butchart et al. 2010), Millennium Development Goal 7, Sustainable Development Goal 15.1 and is also used by Parties to the CMS (and its </w:t>
      </w:r>
      <w:r w:rsidR="003E7D98">
        <w:rPr>
          <w:rStyle w:val="normaltextrun"/>
          <w:rFonts w:asciiTheme="majorBidi" w:eastAsiaTheme="majorEastAsia" w:hAnsiTheme="majorBidi" w:cstheme="majorBidi"/>
        </w:rPr>
        <w:t>subsidiary</w:t>
      </w:r>
      <w:r w:rsidR="003E7D98" w:rsidRPr="00ED7E61">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agreements and memoranda of understanding), CITES and UNCCD (Butchart et al. 2024). It is a Headline Indicator in the Kunming-Montreal Global Biodiversity Framework (CBD 2022).</w:t>
      </w:r>
      <w:r w:rsidRPr="00ED7E61">
        <w:rPr>
          <w:rStyle w:val="eop"/>
          <w:rFonts w:asciiTheme="majorBidi" w:eastAsiaTheme="majorEastAsia" w:hAnsiTheme="majorBidi" w:cstheme="majorBidi"/>
        </w:rPr>
        <w:t> </w:t>
      </w:r>
    </w:p>
    <w:p w14:paraId="0A501F3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3ECB4F9C"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18B9F57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Indicator definition: </w:t>
      </w:r>
      <w:r w:rsidRPr="00ED7E61">
        <w:rPr>
          <w:rStyle w:val="eop"/>
          <w:rFonts w:asciiTheme="majorBidi" w:eastAsiaTheme="majorEastAsia" w:hAnsiTheme="majorBidi" w:cstheme="majorBidi"/>
          <w:sz w:val="22"/>
          <w:szCs w:val="22"/>
        </w:rPr>
        <w:t> </w:t>
      </w:r>
    </w:p>
    <w:p w14:paraId="310A3E8E" w14:textId="77777777"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The indicator “</w:t>
      </w:r>
      <w:r w:rsidRPr="00FB1598">
        <w:rPr>
          <w:rStyle w:val="normaltextrun"/>
          <w:rFonts w:asciiTheme="majorBidi" w:eastAsiaTheme="majorEastAsia" w:hAnsiTheme="majorBidi" w:cstheme="majorBidi"/>
          <w:i/>
          <w:iCs/>
        </w:rPr>
        <w:t>Red List Index</w:t>
      </w:r>
      <w:r w:rsidRPr="00ED7E61">
        <w:rPr>
          <w:rStyle w:val="normaltextrun"/>
          <w:rFonts w:asciiTheme="majorBidi" w:eastAsiaTheme="majorEastAsia" w:hAnsiTheme="majorBidi" w:cstheme="majorBidi"/>
        </w:rPr>
        <w:t>” measures change in aggregate extinction risk across groups of species. It is based on genuine changes in the number of species in each category of extinction risk on The IUCN Red List of Threatened Species (www.iucnredlist.org) and is expressed as changes in an index ranging from 0 to 1.</w:t>
      </w:r>
      <w:r w:rsidRPr="00ED7E61">
        <w:rPr>
          <w:rStyle w:val="normaltextrun"/>
        </w:rPr>
        <w:t> </w:t>
      </w:r>
    </w:p>
    <w:p w14:paraId="710E982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AU"/>
        </w:rPr>
        <w:t>Other key concepts and definitions:</w:t>
      </w:r>
      <w:r w:rsidRPr="00ED7E61">
        <w:rPr>
          <w:rStyle w:val="eop"/>
          <w:rFonts w:asciiTheme="majorBidi" w:eastAsiaTheme="majorEastAsia" w:hAnsiTheme="majorBidi" w:cstheme="majorBidi"/>
          <w:color w:val="000000"/>
          <w:sz w:val="22"/>
          <w:szCs w:val="22"/>
        </w:rPr>
        <w:t> </w:t>
      </w:r>
    </w:p>
    <w:p w14:paraId="57EF6CA7" w14:textId="6EFFC453"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Threatened species are those listed on The IUCN Red List of Threatened Species in the categories Vulnerable, Endangered, or Critically Endangered (i.e. species that are facing a high, very high, or extremely high risk of extinction in the wild in the medium-term future). Changes over time in the proportion of species threatened with extinction are largely driven by improvements in knowledge and changing taxonomy. The indicator excludes such changes to yield a more informative indicator than the simple proportion of threatened species. It therefore measures change in aggregate extinction risk across groups of species over time, resulting from genuine improvements or deteriorations in the status of individual species. It can be calculated for any representative set of species that have been assessed for The IUCN Red List of Threatened Species at least twice (Butchart et al. 2004, 2005, 2007). To calculate the Red List Index for individual countries and regions, each species contributing to the index is weighted by the proportion of its global range within the particular country or region. The resulting index therefore shows the aggregate extinction risk for species within the country or region relative to its potential contribution to global species extinction risk (within the taxonomic groups included) (Butchart et al. 2024). Complementing such national disaggregations of the global index, national RLIs can be generated from repeated assessments of national extinction risk (e.g. national Red Lists). Guidance for assessing national extinction risk of species has been developed by IUCN (IUCN 2012b), and most countries have developed national red lists for at least one taxonomic group. National RLIs may be more sensitive than disaggregated global RLIs to factors influencing biodiversity loss within each country (including national policies), but require repeated assessments of national extinction risk for multiple groups in each country (with associated costs), and cannot be directly compared between countries (Raimondo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2022, Butchart et al. 2024).</w:t>
      </w:r>
      <w:r w:rsidRPr="00ED7E61">
        <w:rPr>
          <w:rStyle w:val="normaltextrun"/>
        </w:rPr>
        <w:t> </w:t>
      </w:r>
    </w:p>
    <w:p w14:paraId="172818E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Unit of measure: </w:t>
      </w:r>
      <w:r w:rsidRPr="00ED7E61">
        <w:rPr>
          <w:rStyle w:val="eop"/>
          <w:rFonts w:asciiTheme="majorBidi" w:eastAsiaTheme="majorEastAsia" w:hAnsiTheme="majorBidi" w:cstheme="majorBidi"/>
          <w:sz w:val="22"/>
          <w:szCs w:val="22"/>
        </w:rPr>
        <w:t> </w:t>
      </w:r>
    </w:p>
    <w:p w14:paraId="78507F1A" w14:textId="77777777"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The disaggregated global Red List Index for a particular country or region is an index of the aggregate extinction risk for species within the country or region relative to its potential contribution to global species extinction risk (within the taxonomic groups included), measured on a scale of 0 to 1, where 1 is the maximum  contribution that the country or region can make to global species survival, equating to all species being classified as Least Concern on the IUCN Red List, and 0 is the minimum  contribution that the country or region can make to global species survival, equating to all species in the country or region having gone extinct.</w:t>
      </w:r>
      <w:r w:rsidRPr="00ED7E61">
        <w:rPr>
          <w:rStyle w:val="normaltextrun"/>
        </w:rPr>
        <w:t> </w:t>
      </w:r>
    </w:p>
    <w:p w14:paraId="43290E31" w14:textId="77777777" w:rsidR="00756F0F" w:rsidRPr="00ED7E61" w:rsidRDefault="00756F0F" w:rsidP="00B3383B">
      <w:pPr>
        <w:pStyle w:val="paragraph"/>
        <w:keepNext/>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6EA660FD" w14:textId="3F531A3F"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The Red List Index is calculated at a point in time by first multiplying the number of species in each Red List Category by a weight (ranging from 1 for ‘Near Threatened’ to 5 for ‘Extinct’ and ‘Extinct in the Wild’) and summing these values. This is then divided by a maximum threat score which is the total number of species multiplied by the weight assigned to the ‘Extinct’ category. This final value is subtracted from 1 to give the Red List Index value.</w:t>
      </w:r>
      <w:r w:rsidRPr="00ED7E61">
        <w:rPr>
          <w:rStyle w:val="normaltextrun"/>
        </w:rPr>
        <w:t> </w:t>
      </w:r>
      <w:r w:rsidRPr="00ED7E61">
        <w:rPr>
          <w:rStyle w:val="normaltextrun"/>
          <w:rFonts w:asciiTheme="majorBidi" w:eastAsiaTheme="majorEastAsia" w:hAnsiTheme="majorBidi" w:cstheme="majorBidi"/>
        </w:rPr>
        <w:t>Mathematically this calculation is expressed as: </w:t>
      </w:r>
      <w:r w:rsidRPr="00ED7E61">
        <w:rPr>
          <w:rStyle w:val="normaltextrun"/>
        </w:rPr>
        <w:t> </w:t>
      </w:r>
    </w:p>
    <w:p w14:paraId="7FE3AFBC" w14:textId="77777777" w:rsidR="00756F0F" w:rsidRPr="00ED7E61" w:rsidRDefault="00756F0F" w:rsidP="00B3383B">
      <w:pPr>
        <w:pStyle w:val="paragraph"/>
        <w:spacing w:before="120" w:beforeAutospacing="0" w:after="120" w:afterAutospacing="0"/>
        <w:ind w:left="709"/>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RLIt = 1 – [(Ss Wc(t,s) / (WEX * N)]</w:t>
      </w:r>
      <w:r w:rsidRPr="00ED7E61">
        <w:rPr>
          <w:rStyle w:val="eop"/>
          <w:rFonts w:asciiTheme="majorBidi" w:eastAsiaTheme="majorEastAsia" w:hAnsiTheme="majorBidi" w:cstheme="majorBidi"/>
          <w:sz w:val="22"/>
          <w:szCs w:val="22"/>
        </w:rPr>
        <w:t> </w:t>
      </w:r>
    </w:p>
    <w:p w14:paraId="5CD9B9CE" w14:textId="77777777" w:rsidR="00756F0F" w:rsidRPr="00ED7E61" w:rsidRDefault="00756F0F" w:rsidP="005B0D1E">
      <w:pPr>
        <w:pStyle w:val="paragraph"/>
        <w:spacing w:before="0" w:beforeAutospacing="0" w:after="0" w:afterAutospacing="0"/>
        <w:ind w:left="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Where Wc(t,s) is the weight for category (c) at time (t) for species (s) (the weight for ‘Critically Endangered’ = 4, ‘Endangered’ = 3, ‘Vulnerable’ = 2, ‘Near Threatened’ = 1, ‘Least Concern’ = 0. ‘Critically Endangered’ species tagged as ‘Possibly Extinct’ or ‘Possibly Extinct in the Wild’ are assigned a weight of 5); WEX = 5, the weight assigned to ‘Extinct’ or ‘Extinct in the Wild’ species; and N is the total number of assessed species, excluding those assessed as Data Deficient in the current time period, and those considered to be ‘Extinct’ in the year the set of species was first assessed.</w:t>
      </w:r>
      <w:r w:rsidRPr="00ED7E61">
        <w:rPr>
          <w:rStyle w:val="eop"/>
          <w:rFonts w:asciiTheme="majorBidi" w:eastAsiaTheme="majorEastAsia" w:hAnsiTheme="majorBidi" w:cstheme="majorBidi"/>
          <w:sz w:val="22"/>
          <w:szCs w:val="22"/>
        </w:rPr>
        <w:t> </w:t>
      </w:r>
    </w:p>
    <w:p w14:paraId="27B9ED14" w14:textId="77777777"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The formula requires that:</w:t>
      </w:r>
      <w:r w:rsidRPr="00ED7E61">
        <w:rPr>
          <w:rStyle w:val="normaltextrun"/>
        </w:rPr>
        <w:t> </w:t>
      </w:r>
    </w:p>
    <w:p w14:paraId="22C8D88E" w14:textId="77777777" w:rsidR="00756F0F" w:rsidRPr="00ED7E61" w:rsidRDefault="00756F0F" w:rsidP="00B10F0C">
      <w:pPr>
        <w:pStyle w:val="CBDNormalNumber"/>
        <w:numPr>
          <w:ilvl w:val="1"/>
          <w:numId w:val="4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Exactly the same set of species is included in all time periods, and</w:t>
      </w:r>
      <w:r w:rsidRPr="00ED7E61">
        <w:rPr>
          <w:rStyle w:val="normaltextrun"/>
        </w:rPr>
        <w:t> </w:t>
      </w:r>
    </w:p>
    <w:p w14:paraId="0E289395" w14:textId="651B9405" w:rsidR="00756F0F" w:rsidRPr="00ED7E61" w:rsidRDefault="00756F0F" w:rsidP="00B10F0C">
      <w:pPr>
        <w:pStyle w:val="CBDNormalNumber"/>
        <w:numPr>
          <w:ilvl w:val="1"/>
          <w:numId w:val="4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The only Red List Category changes are those resulting from genuine improvement or deterioration in status (i.e. excluding changes resulting from improved knowledge or taxonomic revisions), and</w:t>
      </w:r>
      <w:r w:rsidRPr="00ED7E61">
        <w:rPr>
          <w:rStyle w:val="normaltextrun"/>
        </w:rPr>
        <w:t> </w:t>
      </w:r>
    </w:p>
    <w:p w14:paraId="45B2865B" w14:textId="77777777" w:rsidR="00756F0F" w:rsidRPr="00ED7E61" w:rsidRDefault="00756F0F" w:rsidP="00B10F0C">
      <w:pPr>
        <w:pStyle w:val="CBDNormalNumber"/>
        <w:numPr>
          <w:ilvl w:val="1"/>
          <w:numId w:val="4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Data Deficient species are excluded (or treated according to the procedure described above).</w:t>
      </w:r>
      <w:r w:rsidRPr="00ED7E61">
        <w:rPr>
          <w:rStyle w:val="normaltextrun"/>
        </w:rPr>
        <w:t> </w:t>
      </w:r>
    </w:p>
    <w:p w14:paraId="6CD938FB" w14:textId="1FD17B08"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In many cases, species lists will change slightly from one assessment to the next (e.g. owing to taxonomic revisions). The conditions can therefore be met by retrospectively adjusting earlier Red List categorizations using current information and taxonomy. This is achieved by assuming that the current Red List Categories for the taxa have applied since the set of species was first assessed for the Red List, unless there is information to the contrary that genuine status changes have occurred. Such information is often contextual (e.g. relating to the known history of habitat loss within the range of the species). </w:t>
      </w:r>
      <w:r w:rsidRPr="00ED7E61">
        <w:rPr>
          <w:rStyle w:val="normaltextrun"/>
        </w:rPr>
        <w:t> </w:t>
      </w:r>
    </w:p>
    <w:p w14:paraId="29C1EEAF" w14:textId="544784DF" w:rsidR="008344A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To avoid spurious results from a biased selection of species, Red List Indices are typically calculated only for taxonomic groups in which all species worldwide have been assessed for the Red List, or for samples of species that have been systematically or randomly selected. National RLIs based on national extinction risk should similarly be compiled only for taxonomic groups in which all species in the country (or a systematic or random sample) have been assessed. The methods and scientific basis for the Red List Index were described by Butchart et al. (2004, 2005, 2007, 2010, 2024). </w:t>
      </w:r>
      <w:r w:rsidRPr="00ED7E61">
        <w:rPr>
          <w:rStyle w:val="normaltextrun"/>
        </w:rPr>
        <w:t> </w:t>
      </w:r>
    </w:p>
    <w:p w14:paraId="4107950E" w14:textId="231A6449" w:rsidR="008344AF" w:rsidRPr="00ED7E61" w:rsidRDefault="00756F0F"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rPr>
        <w:t>Butchart et al. (2010) also described the methods by which Red List Indices for different taxonomic groups are aggregated to produce a single multi-taxon Red List Index. Specifically, aggregated Red List Indices are calculated as the arithmetic mean of modelled Red List Indices. Red List Indices for each taxonomic group are interpolated linearly for years between data points and extrapolated linearly (with a slope equal to that between the two closest assessed points) to align them with years for which Red List Indices for other taxa are available. The Red List Indices for each taxonomic group for each year are modelled to take into account various sources of uncertainty: </w:t>
      </w:r>
      <w:r w:rsidRPr="00ED7E61">
        <w:rPr>
          <w:rStyle w:val="eop"/>
          <w:rFonts w:asciiTheme="majorBidi" w:eastAsiaTheme="majorEastAsia" w:hAnsiTheme="majorBidi" w:cstheme="majorBidi"/>
        </w:rPr>
        <w:t> </w:t>
      </w:r>
    </w:p>
    <w:p w14:paraId="3A2A01F7" w14:textId="0CC9253C" w:rsidR="008344AF" w:rsidRPr="00ED7E61" w:rsidRDefault="00756F0F" w:rsidP="00B10F0C">
      <w:pPr>
        <w:pStyle w:val="CBDNormalNumber"/>
        <w:numPr>
          <w:ilvl w:val="0"/>
          <w:numId w:val="50"/>
        </w:numPr>
        <w:tabs>
          <w:tab w:val="clear" w:pos="567"/>
          <w:tab w:val="clear" w:pos="1134"/>
          <w:tab w:val="clear" w:pos="1701"/>
          <w:tab w:val="clear" w:pos="2268"/>
          <w:tab w:val="left" w:pos="1985"/>
        </w:tabs>
        <w:ind w:left="567" w:firstLine="567"/>
        <w:rPr>
          <w:rStyle w:val="normaltextrun"/>
          <w:rFonts w:eastAsiaTheme="majorEastAsia"/>
        </w:rPr>
      </w:pPr>
      <w:r w:rsidRPr="00ED7E61">
        <w:rPr>
          <w:rStyle w:val="normaltextrun"/>
          <w:rFonts w:asciiTheme="majorBidi" w:eastAsiaTheme="majorEastAsia" w:hAnsiTheme="majorBidi" w:cstheme="majorBidi"/>
        </w:rPr>
        <w:t>Data Deficiency: Red List categories (from Least Concern to Extinct) are assigned to all Data Deficient species, with a probability proportional to the number of species in non-Data Deficient categories for that taxonomic group; </w:t>
      </w:r>
      <w:r w:rsidRPr="00ED7E61">
        <w:rPr>
          <w:rStyle w:val="normaltextrun"/>
        </w:rPr>
        <w:t> </w:t>
      </w:r>
    </w:p>
    <w:p w14:paraId="5C0D3D37" w14:textId="4269A711" w:rsidR="008344AF" w:rsidRPr="00ED7E61" w:rsidRDefault="00756F0F" w:rsidP="00B10F0C">
      <w:pPr>
        <w:pStyle w:val="CBDNormalNumber"/>
        <w:numPr>
          <w:ilvl w:val="0"/>
          <w:numId w:val="50"/>
        </w:numPr>
        <w:tabs>
          <w:tab w:val="clear" w:pos="567"/>
          <w:tab w:val="clear" w:pos="1134"/>
          <w:tab w:val="clear" w:pos="1701"/>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Extrapolation uncertainty: although RLIs were extrapolated linearly based on the slope of the closest two assessed point, there is uncertainty about how accurate this slope may be. To incorporate this uncertainty, rather than extrapolating deterministically, the slope used for extrapolation is selected from a normal distribution with a probability equal to the slope of the closest two assessed points, and standard deviation equal to 60% of this slope (i.e. the CV is 60%); </w:t>
      </w:r>
      <w:r w:rsidRPr="00ED7E61">
        <w:rPr>
          <w:rStyle w:val="eop"/>
          <w:rFonts w:asciiTheme="majorBidi" w:eastAsiaTheme="majorEastAsia" w:hAnsiTheme="majorBidi" w:cstheme="majorBidi"/>
        </w:rPr>
        <w:t> </w:t>
      </w:r>
    </w:p>
    <w:p w14:paraId="5DEF56C0" w14:textId="77777777" w:rsidR="00756F0F" w:rsidRPr="00ED7E61" w:rsidRDefault="00756F0F" w:rsidP="00B10F0C">
      <w:pPr>
        <w:pStyle w:val="CBDNormalNumber"/>
        <w:numPr>
          <w:ilvl w:val="0"/>
          <w:numId w:val="50"/>
        </w:numPr>
        <w:tabs>
          <w:tab w:val="clear" w:pos="567"/>
          <w:tab w:val="clear" w:pos="1134"/>
          <w:tab w:val="clear" w:pos="1701"/>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Temporal variability: the ‘true’ Red List Index likely changes from year to year, but because assessments are repeated only at multi-year intervals, the precise value for any particular year is uncertain. </w:t>
      </w:r>
      <w:r w:rsidRPr="00ED7E61">
        <w:rPr>
          <w:rStyle w:val="eop"/>
          <w:rFonts w:asciiTheme="majorBidi" w:eastAsiaTheme="majorEastAsia" w:hAnsiTheme="majorBidi" w:cstheme="majorBidi"/>
        </w:rPr>
        <w:t> </w:t>
      </w:r>
    </w:p>
    <w:p w14:paraId="779C2878" w14:textId="6DCB2F8F" w:rsidR="008344AF" w:rsidRPr="00ED7E61" w:rsidRDefault="00756F0F" w:rsidP="00B10F0C">
      <w:pPr>
        <w:pStyle w:val="CBDNormalNumber"/>
        <w:rPr>
          <w:rStyle w:val="normaltextrun"/>
        </w:rPr>
      </w:pPr>
      <w:r w:rsidRPr="00ED7E61">
        <w:rPr>
          <w:rStyle w:val="normaltextrun"/>
          <w:rFonts w:asciiTheme="majorBidi" w:eastAsiaTheme="majorEastAsia" w:hAnsiTheme="majorBidi" w:cstheme="majorBidi"/>
        </w:rPr>
        <w:t>To make this uncertainty explicit, the Red List Index value for a given taxonomic group in a given year is assigned from a moving window of five years, centred on the focal year (with the window set as 3-4 years for the first two and last two years in the series). Note that assessment uncertainty cannot yet be incorporated into the index. Practically, these uncertainties are incorporated into the aggregated Red List Indices as follows: Data Deficient species are allotted a category as described above, and a Red List Index for each taxonomic group is calculated interpolating and extrapolating as described above. A final Red List Index value is assigned to each taxonomic group for each year from a window of years as described above. Each such ‘run’ produces a Red List Index for the complete time period for each taxonomic group, incorporating the various sources of uncertainty. Ten thousand such runs are generated for each taxonomic group, and the mean is calculated.</w:t>
      </w:r>
      <w:r w:rsidRPr="00ED7E61">
        <w:rPr>
          <w:rStyle w:val="normaltextrun"/>
        </w:rPr>
        <w:t> </w:t>
      </w:r>
    </w:p>
    <w:p w14:paraId="5622AF49" w14:textId="2801C792" w:rsidR="00512F91" w:rsidRPr="00ED7E61" w:rsidRDefault="00512F91" w:rsidP="00B10F0C">
      <w:pPr>
        <w:pStyle w:val="CBDNormalNumber"/>
        <w:rPr>
          <w:rStyle w:val="eop"/>
          <w:rFonts w:asciiTheme="majorBidi" w:eastAsiaTheme="majorEastAsia" w:hAnsiTheme="majorBidi" w:cstheme="majorBidi"/>
        </w:rPr>
      </w:pPr>
      <w:r w:rsidRPr="00ED7E61">
        <w:rPr>
          <w:rStyle w:val="eop"/>
          <w:rFonts w:asciiTheme="majorBidi" w:eastAsiaTheme="majorEastAsia" w:hAnsiTheme="majorBidi" w:cstheme="majorBidi"/>
        </w:rPr>
        <w:t xml:space="preserve">If Red List assessments are produced by individual Parties, assessment objectives, scoring methods, and </w:t>
      </w:r>
      <w:r w:rsidRPr="00B3383B">
        <w:rPr>
          <w:rStyle w:val="normaltextrun"/>
        </w:rPr>
        <w:t>calculation</w:t>
      </w:r>
      <w:r w:rsidRPr="00ED7E61">
        <w:rPr>
          <w:rStyle w:val="eop"/>
          <w:rFonts w:asciiTheme="majorBidi" w:eastAsiaTheme="majorEastAsia" w:hAnsiTheme="majorBidi" w:cstheme="majorBidi"/>
        </w:rPr>
        <w:t xml:space="preserve"> methods may need to be adjusted to take into account specific national circumstances, and differences in national assessment systems in order to avoid over or under estimating the risk of extinction.</w:t>
      </w:r>
    </w:p>
    <w:p w14:paraId="454D2FA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3D291160" w14:textId="2FDAE88E" w:rsidR="00756F0F" w:rsidRPr="00ED7E61" w:rsidRDefault="00756F0F" w:rsidP="00B3383B">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A detailed description of the Red List Assessment process is provided at </w:t>
      </w:r>
      <w:hyperlink r:id="rId115" w:tgtFrame="_blank" w:history="1">
        <w:r w:rsidRPr="00ED7E61">
          <w:rPr>
            <w:rStyle w:val="normaltextrun"/>
            <w:rFonts w:asciiTheme="majorBidi" w:eastAsiaTheme="majorEastAsia" w:hAnsiTheme="majorBidi" w:cstheme="majorBidi"/>
          </w:rPr>
          <w:t>https://www.iucnredlist.org/assessment/process</w:t>
        </w:r>
      </w:hyperlink>
      <w:r w:rsidRPr="00ED7E61">
        <w:rPr>
          <w:rStyle w:val="normaltextrun"/>
          <w:rFonts w:asciiTheme="majorBidi" w:eastAsiaTheme="majorEastAsia" w:hAnsiTheme="majorBidi" w:cstheme="majorBidi"/>
        </w:rPr>
        <w:t>. </w:t>
      </w:r>
      <w:r w:rsidRPr="00ED7E61">
        <w:rPr>
          <w:rStyle w:val="normaltextrun"/>
        </w:rPr>
        <w:t> </w:t>
      </w:r>
    </w:p>
    <w:p w14:paraId="026D5DED" w14:textId="7DB54CA4" w:rsidR="00756F0F" w:rsidRPr="00ED7E61" w:rsidRDefault="00756F0F" w:rsidP="008344AF">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38B90944" w14:textId="77777777" w:rsidR="00756F0F" w:rsidRPr="00ED7E61" w:rsidRDefault="00756F0F" w:rsidP="00B3383B">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See references in section 11, and </w:t>
      </w:r>
      <w:hyperlink r:id="rId116" w:tgtFrame="_blank" w:history="1">
        <w:r w:rsidRPr="00ED7E61">
          <w:rPr>
            <w:rStyle w:val="normaltextrun"/>
            <w:rFonts w:asciiTheme="majorBidi" w:eastAsiaTheme="majorEastAsia" w:hAnsiTheme="majorBidi" w:cstheme="majorBidi"/>
          </w:rPr>
          <w:t>https://www.iucnredlist.org</w:t>
        </w:r>
      </w:hyperlink>
      <w:r w:rsidRPr="00ED7E61">
        <w:rPr>
          <w:rStyle w:val="normaltextrun"/>
        </w:rPr>
        <w:t> </w:t>
      </w:r>
    </w:p>
    <w:p w14:paraId="2DA54A1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3917999D" w14:textId="77777777"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The Red List Index is based on data from The IUCN Red List of Threatened Species (</w:t>
      </w:r>
      <w:hyperlink r:id="rId117" w:tgtFrame="_blank" w:history="1">
        <w:r w:rsidRPr="00ED7E61">
          <w:rPr>
            <w:rStyle w:val="normaltextrun"/>
            <w:rFonts w:asciiTheme="majorBidi" w:eastAsiaTheme="majorEastAsia" w:hAnsiTheme="majorBidi" w:cstheme="majorBidi"/>
          </w:rPr>
          <w:t>www.iucnredlist.org</w:t>
        </w:r>
      </w:hyperlink>
      <w:r w:rsidRPr="00ED7E61">
        <w:rPr>
          <w:rStyle w:val="normaltextrun"/>
          <w:rFonts w:asciiTheme="majorBidi" w:eastAsiaTheme="majorEastAsia" w:hAnsiTheme="majorBidi" w:cstheme="majorBidi"/>
        </w:rPr>
        <w:t>), in particular the numbers of species in each Red List category of extinction risk, and changes in these numbers over time resulting from genuine improvements or deteriorations in the status of species. Data on species’ distribution, population size, trends and other parameters that underpin Red List assessments are gathered from published and unpublished sources, species experts, scientists, and conservationists through correspondence, workshops, and electronic fora.</w:t>
      </w:r>
      <w:r w:rsidRPr="00ED7E61">
        <w:rPr>
          <w:rStyle w:val="normaltextrun"/>
        </w:rPr>
        <w:t> </w:t>
      </w:r>
    </w:p>
    <w:p w14:paraId="6D430567" w14:textId="23166A38" w:rsidR="008344AF" w:rsidRPr="00ED7E61" w:rsidRDefault="00756F0F"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rPr>
        <w:t>Red List Assessments are checked before submission to IUCN by Assessors and Red List Authority Coordinators, to ensure that all of the required supporting information is provided in the appropriate format, distribution maps follow the required mapping standards (</w:t>
      </w:r>
      <w:hyperlink r:id="rId118" w:tgtFrame="_blank" w:history="1">
        <w:r w:rsidRPr="00ED7E61">
          <w:rPr>
            <w:rStyle w:val="normaltextrun"/>
            <w:rFonts w:asciiTheme="majorBidi" w:eastAsiaTheme="majorEastAsia" w:hAnsiTheme="majorBidi" w:cstheme="majorBidi"/>
          </w:rPr>
          <w:t>https://www.iucnredlist.org/resources/mappingstandards</w:t>
        </w:r>
      </w:hyperlink>
      <w:r w:rsidRPr="00ED7E61">
        <w:rPr>
          <w:rStyle w:val="normaltextrun"/>
          <w:rFonts w:asciiTheme="majorBidi" w:eastAsiaTheme="majorEastAsia" w:hAnsiTheme="majorBidi" w:cstheme="majorBidi"/>
        </w:rPr>
        <w:t xml:space="preserve">, and the IUCN Red List Criteria have been applied appropriately and consistently following IUCN Guidelines (IUCN SPSC 2019). For further details, see </w:t>
      </w:r>
      <w:hyperlink r:id="rId119" w:tgtFrame="_blank" w:history="1">
        <w:r w:rsidRPr="00ED7E61">
          <w:rPr>
            <w:rStyle w:val="normaltextrun"/>
            <w:rFonts w:asciiTheme="majorBidi" w:eastAsiaTheme="majorEastAsia" w:hAnsiTheme="majorBidi" w:cstheme="majorBidi"/>
          </w:rPr>
          <w:t>https://www.iucnredlist.org/assessment/process</w:t>
        </w:r>
      </w:hyperlink>
      <w:r w:rsidRPr="00ED7E61">
        <w:rPr>
          <w:rStyle w:val="normaltextrun"/>
          <w:rFonts w:asciiTheme="majorBidi" w:eastAsiaTheme="majorEastAsia" w:hAnsiTheme="majorBidi" w:cstheme="majorBidi"/>
        </w:rPr>
        <w:t>. All submitted assessments must be reviewed by at least one Reviewer designated by the Red List Authority. For more details on the review process, see the Rules of Procedure (</w:t>
      </w:r>
      <w:hyperlink r:id="rId120" w:tgtFrame="_blank" w:history="1">
        <w:r w:rsidRPr="00ED7E61">
          <w:rPr>
            <w:rStyle w:val="normaltextrun"/>
            <w:rFonts w:asciiTheme="majorBidi" w:eastAsiaTheme="majorEastAsia" w:hAnsiTheme="majorBidi" w:cstheme="majorBidi"/>
          </w:rPr>
          <w:t>https://nc.iucnredlist.org/redlist/content/attachment_files/Rules_of_Procedure_for_IUCN_Red_List_2017-2020.pdf</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2E1F1E25" w14:textId="60A996EA" w:rsidR="008344AF" w:rsidRPr="00ED7E61" w:rsidRDefault="00756F0F"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rPr>
        <w:t>When Red List Indices are updated each year, the updated index (and underlying numbers of species in each Red List Category) are made available for review by countries prior to submission to the SDG Indicators Database. This is achieved through updating the country profiles in the Integrated Biodiversity Assessment Tool (</w:t>
      </w:r>
      <w:hyperlink r:id="rId121" w:tgtFrame="_blank" w:history="1">
        <w:r w:rsidRPr="00ED7E61">
          <w:rPr>
            <w:rStyle w:val="normaltextrun"/>
            <w:rFonts w:asciiTheme="majorBidi" w:eastAsiaTheme="majorEastAsia" w:hAnsiTheme="majorBidi" w:cstheme="majorBidi"/>
            <w:color w:val="467886"/>
            <w:u w:val="single"/>
          </w:rPr>
          <w:t>https://ibat-alliance.org/country_profiles</w:t>
        </w:r>
      </w:hyperlink>
      <w:r w:rsidRPr="00ED7E61">
        <w:rPr>
          <w:rStyle w:val="normaltextrun"/>
          <w:rFonts w:asciiTheme="majorBidi" w:eastAsiaTheme="majorEastAsia" w:hAnsiTheme="majorBidi" w:cstheme="majorBidi"/>
        </w:rPr>
        <w:t xml:space="preserve"> and circulating these for consultation and review to CBD National Focal Points, SDG National Statistical Office Focal Points, and IUCN State Members.</w:t>
      </w:r>
      <w:r w:rsidRPr="00ED7E61">
        <w:rPr>
          <w:rStyle w:val="eop"/>
          <w:rFonts w:asciiTheme="majorBidi" w:eastAsiaTheme="majorEastAsia" w:hAnsiTheme="majorBidi" w:cstheme="majorBidi"/>
        </w:rPr>
        <w:t> </w:t>
      </w:r>
    </w:p>
    <w:p w14:paraId="36D1F07E" w14:textId="77777777" w:rsidR="00756F0F" w:rsidRPr="00ED7E61" w:rsidRDefault="00756F0F"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rPr>
        <w:t>In sum: all global Red List assessments are peer reviewed through the relevant Red List Authority for the species or species group in question; and all Red List assessments undergo consistency checks (to ensure consistency with assessments submitted for other taxonomic groups, regions, processes, etc.) by the Red List Unit before publication on the Red List website (</w:t>
      </w:r>
      <w:hyperlink r:id="rId122" w:tgtFrame="_blank" w:history="1">
        <w:r w:rsidRPr="00ED7E61">
          <w:rPr>
            <w:rStyle w:val="normaltextrun"/>
            <w:rFonts w:asciiTheme="majorBidi" w:eastAsiaTheme="majorEastAsia" w:hAnsiTheme="majorBidi" w:cstheme="majorBidi"/>
            <w:color w:val="467886"/>
            <w:u w:val="single"/>
          </w:rPr>
          <w:t>http://www.iucnredlist.org/</w:t>
        </w:r>
      </w:hyperlink>
      <w:r w:rsidRPr="00ED7E61">
        <w:rPr>
          <w:rStyle w:val="normaltextrun"/>
          <w:rFonts w:asciiTheme="majorBidi" w:eastAsiaTheme="majorEastAsia" w:hAnsiTheme="majorBidi" w:cstheme="majorBidi"/>
        </w:rPr>
        <w:t>). Finally, the Chair of the IUCN Species Survival Commission (elected each four years by the government and non-governmental Members of IUCN) appoints a Chair for a Standards and Petitions Sub-Committee (</w:t>
      </w:r>
      <w:hyperlink r:id="rId123" w:tgtFrame="_blank" w:history="1">
        <w:r w:rsidRPr="00ED7E61">
          <w:rPr>
            <w:rStyle w:val="normaltextrun"/>
            <w:rFonts w:asciiTheme="majorBidi" w:eastAsiaTheme="majorEastAsia" w:hAnsiTheme="majorBidi" w:cstheme="majorBidi"/>
            <w:color w:val="467886"/>
            <w:u w:val="single"/>
          </w:rPr>
          <w:t>https://www.iucn.org/theme/species/about/species-survival-commission/ssc-leadership-and-steering-committee/sub-committees/standards-and-petitions-subcommittee</w:t>
        </w:r>
      </w:hyperlink>
      <w:r w:rsidRPr="00ED7E61">
        <w:rPr>
          <w:rStyle w:val="normaltextrun"/>
          <w:rFonts w:asciiTheme="majorBidi" w:eastAsiaTheme="majorEastAsia" w:hAnsiTheme="majorBidi" w:cstheme="majorBidi"/>
        </w:rPr>
        <w:t>), which is responsible for ensuring the quality and standards of the IUCN Red List and for ruling on petitions against the listings of species on the IUCN Red List.</w:t>
      </w:r>
      <w:r w:rsidRPr="00ED7E61">
        <w:rPr>
          <w:rStyle w:val="eop"/>
          <w:rFonts w:asciiTheme="majorBidi" w:eastAsiaTheme="majorEastAsia" w:hAnsiTheme="majorBidi" w:cstheme="majorBidi"/>
        </w:rPr>
        <w:t> </w:t>
      </w:r>
    </w:p>
    <w:p w14:paraId="2F03DEC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42872DD2" w14:textId="77777777"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The Red List Index is updated annually in November-December using the latest data from reassessments on the IUCN Red List.</w:t>
      </w:r>
      <w:r w:rsidRPr="00ED7E61">
        <w:rPr>
          <w:rStyle w:val="normaltextrun"/>
        </w:rPr>
        <w:t> </w:t>
      </w:r>
    </w:p>
    <w:p w14:paraId="56F5B8D7"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The IUCN Red List of Threatened Species is updated at least three times per year. Red List Indices for sets of species that have been comprehensively reassessed are usually released alongside the relevant update of the IUCN Red List. Data are stored and managed in the Species Information Service database, and are made freely available for non-commercial use through the IUCN Red List website and can be found under the Advanced Search functionality (</w:t>
      </w:r>
      <w:hyperlink r:id="rId124" w:tgtFrame="_blank" w:history="1">
        <w:r w:rsidRPr="00ED7E61">
          <w:rPr>
            <w:rStyle w:val="normaltextrun"/>
            <w:rFonts w:asciiTheme="majorBidi" w:eastAsiaTheme="majorEastAsia" w:hAnsiTheme="majorBidi" w:cstheme="majorBidi"/>
          </w:rPr>
          <w:t>www.iucnredlist.org</w:t>
        </w:r>
      </w:hyperlink>
      <w:r w:rsidRPr="00ED7E61">
        <w:rPr>
          <w:rStyle w:val="normaltextrun"/>
          <w:rFonts w:asciiTheme="majorBidi" w:eastAsiaTheme="majorEastAsia" w:hAnsiTheme="majorBidi" w:cstheme="majorBidi"/>
        </w:rPr>
        <w:t>). Re-assessments of extinction risk are required for every species assessed on The IUCN Red List of Threatened Species once every ten years, and ideally undertaken once every five years. A Red List Strategic Plan details a calendar of upcoming re-assessments for each taxonomic group.</w:t>
      </w:r>
      <w:r w:rsidRPr="00ED7E61">
        <w:rPr>
          <w:rStyle w:val="normaltextrun"/>
        </w:rPr>
        <w:t> </w:t>
      </w:r>
    </w:p>
    <w:p w14:paraId="2BC0EAF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303F8C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 xml:space="preserve">Time series available: </w:t>
      </w:r>
      <w:r w:rsidRPr="00ED7E61">
        <w:rPr>
          <w:rStyle w:val="normaltextrun"/>
          <w:rFonts w:asciiTheme="majorBidi" w:eastAsiaTheme="majorEastAsia" w:hAnsiTheme="majorBidi" w:cstheme="majorBidi"/>
          <w:sz w:val="22"/>
          <w:szCs w:val="22"/>
          <w:lang w:val="en-GB"/>
        </w:rPr>
        <w:t>1980 –2023. Updates are released annually</w:t>
      </w:r>
      <w:r w:rsidRPr="00ED7E61">
        <w:rPr>
          <w:rStyle w:val="eop"/>
          <w:rFonts w:asciiTheme="majorBidi" w:eastAsiaTheme="majorEastAsia" w:hAnsiTheme="majorBidi" w:cstheme="majorBidi"/>
          <w:sz w:val="22"/>
          <w:szCs w:val="22"/>
        </w:rPr>
        <w:t> </w:t>
      </w:r>
    </w:p>
    <w:p w14:paraId="6A6BB059"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4059402A" w14:textId="77777777"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National agencies producing relevant data include government, non-governmental organisations (NGOs), and academic institutions working jointly and separately. Data are gathered from published and unpublished sources, species experts, scientists, and conservationists through correspondence, workshops, and electronic fora. Data are submitted by national agencies to IUCN, or are gathered through initiatives of the Red List Partnership. The members of the Red List Partnership are listed at </w:t>
      </w:r>
      <w:hyperlink r:id="rId125" w:tgtFrame="_blank" w:history="1">
        <w:r w:rsidRPr="00ED7E61">
          <w:rPr>
            <w:rStyle w:val="normaltextrun"/>
            <w:rFonts w:asciiTheme="majorBidi" w:eastAsiaTheme="majorEastAsia" w:hAnsiTheme="majorBidi" w:cstheme="majorBidi"/>
          </w:rPr>
          <w:t>https://www.iucnredlist.org/about/partners</w:t>
        </w:r>
      </w:hyperlink>
      <w:r w:rsidRPr="00ED7E61">
        <w:rPr>
          <w:rStyle w:val="normaltextrun"/>
          <w:rFonts w:asciiTheme="majorBidi" w:eastAsiaTheme="majorEastAsia" w:hAnsiTheme="majorBidi" w:cstheme="majorBidi"/>
        </w:rPr>
        <w:t>, and currently include: ABQ BioPark; Arizona State University Centre for Biodiversity Outcomes; BirdLife International; Botanic Gardens Conservation International; Conservation International; Global Wildlife Conservation; Missouri Botanical Garden;  NatureServe; Royal Botanic Gardens, Kew; Sapienza University of Rome; Texas A&amp;M University; and Zoological Society of London.</w:t>
      </w:r>
      <w:r w:rsidRPr="00ED7E61">
        <w:rPr>
          <w:rStyle w:val="normaltextrun"/>
        </w:rPr>
        <w:t> </w:t>
      </w:r>
    </w:p>
    <w:p w14:paraId="3AFF726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74D5EABB" w14:textId="77777777"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Compilation and reporting of the Red List Index at the global level is conducted by the International Union for Conservation of Nature (IUCN) and BirdLife International, on behalf of the Red List Partnership. </w:t>
      </w:r>
      <w:r w:rsidRPr="00ED7E61">
        <w:rPr>
          <w:rStyle w:val="normaltextrun"/>
        </w:rPr>
        <w:t> </w:t>
      </w:r>
    </w:p>
    <w:p w14:paraId="4D9B030A"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Responsibility for overseeing Red List assessments, which underpin the Red List Index, is assigned to Red List Authorities according to the IUCN Red List Rules of Procedure (</w:t>
      </w:r>
      <w:hyperlink r:id="rId126" w:tgtFrame="_blank" w:history="1">
        <w:r w:rsidRPr="00ED7E61">
          <w:rPr>
            <w:rStyle w:val="normaltextrun"/>
            <w:rFonts w:asciiTheme="majorBidi" w:eastAsiaTheme="majorEastAsia" w:hAnsiTheme="majorBidi" w:cstheme="majorBidi"/>
          </w:rPr>
          <w:t>https://nc.iucnredlist.org/redlist/content/attachment_files/Rules_of_Procedure_for_IUCN_Red_List_2017-2020.pdf</w:t>
        </w:r>
      </w:hyperlink>
      <w:r w:rsidRPr="00ED7E61">
        <w:rPr>
          <w:rStyle w:val="normaltextrun"/>
          <w:rFonts w:asciiTheme="majorBidi" w:eastAsiaTheme="majorEastAsia" w:hAnsiTheme="majorBidi" w:cstheme="majorBidi"/>
        </w:rPr>
        <w:t xml:space="preserve">). The role of Red List Authorities is to ensure that all species within their remit are correctly assessed against the IUCN Red List Categories and Criteria at least once every ten years and, if possible, every five years. Further details of the roles and responsibilities of Red List Authorities are provided at </w:t>
      </w:r>
      <w:hyperlink r:id="rId127" w:tgtFrame="_blank" w:history="1">
        <w:r w:rsidRPr="00ED7E61">
          <w:rPr>
            <w:rStyle w:val="normaltextrun"/>
            <w:rFonts w:asciiTheme="majorBidi" w:eastAsiaTheme="majorEastAsia" w:hAnsiTheme="majorBidi" w:cstheme="majorBidi"/>
          </w:rPr>
          <w:t>https://www.iucnredlist.org/assessment/authorities</w:t>
        </w:r>
      </w:hyperlink>
      <w:r w:rsidRPr="00ED7E61">
        <w:rPr>
          <w:rStyle w:val="normaltextrun"/>
          <w:rFonts w:asciiTheme="majorBidi" w:eastAsiaTheme="majorEastAsia" w:hAnsiTheme="majorBidi" w:cstheme="majorBidi"/>
        </w:rPr>
        <w:t xml:space="preserve">, and the full list and contact details for all appointed Red List Authorities are available at </w:t>
      </w:r>
      <w:hyperlink r:id="rId128" w:tgtFrame="_blank" w:history="1">
        <w:r w:rsidRPr="00ED7E61">
          <w:rPr>
            <w:rStyle w:val="normaltextrun"/>
            <w:rFonts w:asciiTheme="majorBidi" w:eastAsiaTheme="majorEastAsia" w:hAnsiTheme="majorBidi" w:cstheme="majorBidi"/>
          </w:rPr>
          <w:t>https://www.iucn.org/commissions/ssc-groups</w:t>
        </w:r>
      </w:hyperlink>
      <w:r w:rsidRPr="00ED7E61">
        <w:rPr>
          <w:rStyle w:val="normaltextrun"/>
          <w:rFonts w:asciiTheme="majorBidi" w:eastAsiaTheme="majorEastAsia" w:hAnsiTheme="majorBidi" w:cstheme="majorBidi"/>
        </w:rPr>
        <w:t>.</w:t>
      </w:r>
      <w:r w:rsidRPr="00ED7E61">
        <w:rPr>
          <w:rStyle w:val="normaltextrun"/>
        </w:rPr>
        <w:t> </w:t>
      </w:r>
    </w:p>
    <w:p w14:paraId="2FFB86A9" w14:textId="65A97122"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lang w:val="en-GB"/>
        </w:rPr>
      </w:pPr>
      <w:r w:rsidRPr="00ED7E61">
        <w:rPr>
          <w:rStyle w:val="eop"/>
          <w:rFonts w:asciiTheme="majorBidi" w:eastAsiaTheme="majorEastAsia" w:hAnsiTheme="majorBidi" w:cstheme="majorBidi"/>
          <w:sz w:val="22"/>
          <w:szCs w:val="22"/>
          <w:lang w:val="en-GB"/>
        </w:rPr>
        <w:t> </w:t>
      </w:r>
    </w:p>
    <w:p w14:paraId="5F69D86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7DC41594" w14:textId="19F7E4DF" w:rsidR="0074409C" w:rsidRPr="00ED7E61" w:rsidRDefault="0074409C" w:rsidP="00B10F0C">
      <w:pPr>
        <w:pStyle w:val="CBDNormalNumber"/>
        <w:rPr>
          <w:rStyle w:val="normaltextrun"/>
          <w:rFonts w:asciiTheme="majorBidi" w:eastAsiaTheme="majorEastAsia" w:hAnsiTheme="majorBidi" w:cstheme="majorBidi"/>
          <w:sz w:val="24"/>
          <w:szCs w:val="24"/>
          <w:lang w:val="en-CA"/>
        </w:rPr>
      </w:pPr>
      <w:r w:rsidRPr="00ED7E61">
        <w:rPr>
          <w:rStyle w:val="normaltextrun"/>
          <w:rFonts w:asciiTheme="majorBidi" w:eastAsiaTheme="majorEastAsia" w:hAnsiTheme="majorBidi" w:cstheme="majorBidi"/>
        </w:rPr>
        <w:t>The global Red List Index is currently based on data on mammals, birds, amphibians, corals and cycads, so has biased taxonomic representation. However</w:t>
      </w:r>
      <w:r w:rsidR="005900C9"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these gaps in data coverage will be addressed in the next few years, with reptiles, freshwater fish, sharks and rays, dragonflies, freshwater decapods, and some plant groups scheduled to be integrated into the index by 2030. </w:t>
      </w:r>
    </w:p>
    <w:p w14:paraId="7A9F2361" w14:textId="667CCF6A"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There are four main sources of uncertainty associated with Red List Index values and trends</w:t>
      </w:r>
      <w:r w:rsidR="0074409C" w:rsidRPr="00ED7E61">
        <w:rPr>
          <w:rStyle w:val="normaltextrun"/>
          <w:rFonts w:asciiTheme="majorBidi" w:eastAsiaTheme="majorEastAsia" w:hAnsiTheme="majorBidi" w:cstheme="majorBidi"/>
        </w:rPr>
        <w:t>:</w:t>
      </w:r>
      <w:r w:rsidRPr="00ED7E61">
        <w:rPr>
          <w:rStyle w:val="normaltextrun"/>
        </w:rPr>
        <w:t> </w:t>
      </w:r>
    </w:p>
    <w:p w14:paraId="461D4323" w14:textId="77777777" w:rsidR="00756F0F" w:rsidRPr="00ED7E61" w:rsidRDefault="00756F0F" w:rsidP="00B10F0C">
      <w:pPr>
        <w:pStyle w:val="CBDNormalNumber"/>
        <w:numPr>
          <w:ilvl w:val="0"/>
          <w:numId w:val="51"/>
        </w:numPr>
        <w:tabs>
          <w:tab w:val="clear" w:pos="567"/>
          <w:tab w:val="clear" w:pos="1134"/>
          <w:tab w:val="clear" w:pos="2268"/>
          <w:tab w:val="left" w:pos="1985"/>
        </w:tabs>
        <w:ind w:left="567" w:firstLine="545"/>
        <w:rPr>
          <w:rStyle w:val="normaltextrun"/>
          <w:rFonts w:eastAsiaTheme="majorEastAsia"/>
        </w:rPr>
      </w:pPr>
      <w:r w:rsidRPr="00ED7E61">
        <w:rPr>
          <w:rStyle w:val="normaltextrun"/>
          <w:rFonts w:asciiTheme="majorBidi" w:eastAsiaTheme="majorEastAsia" w:hAnsiTheme="majorBidi" w:cstheme="majorBidi"/>
        </w:rPr>
        <w:t>Inadequate, incomplete or inaccurate knowledge of a species’ status. This uncertainty is minimized by assigning estimates of extinction risk to categories that are broad in magnitude and timing.</w:t>
      </w:r>
      <w:r w:rsidRPr="00ED7E61">
        <w:rPr>
          <w:rStyle w:val="normaltextrun"/>
        </w:rPr>
        <w:t> </w:t>
      </w:r>
    </w:p>
    <w:p w14:paraId="6BA57C24" w14:textId="77777777" w:rsidR="00756F0F" w:rsidRPr="00ED7E61" w:rsidRDefault="00756F0F" w:rsidP="00B10F0C">
      <w:pPr>
        <w:pStyle w:val="CBDNormalNumber"/>
        <w:numPr>
          <w:ilvl w:val="0"/>
          <w:numId w:val="51"/>
        </w:numPr>
        <w:tabs>
          <w:tab w:val="clear" w:pos="567"/>
          <w:tab w:val="clear" w:pos="1134"/>
          <w:tab w:val="clear" w:pos="2268"/>
          <w:tab w:val="left" w:pos="1985"/>
        </w:tabs>
        <w:ind w:left="567" w:firstLine="545"/>
        <w:rPr>
          <w:rStyle w:val="normaltextrun"/>
          <w:rFonts w:eastAsiaTheme="majorEastAsia"/>
        </w:rPr>
      </w:pPr>
      <w:r w:rsidRPr="00ED7E61">
        <w:rPr>
          <w:rStyle w:val="normaltextrun"/>
          <w:rFonts w:asciiTheme="majorBidi" w:eastAsiaTheme="majorEastAsia" w:hAnsiTheme="majorBidi" w:cstheme="majorBidi"/>
        </w:rPr>
        <w:t>Delays in knowledge about a species becoming available for assessment. Such delays apply to a small (and diminishing) proportion of status changes, and can be overcome in the Red List Index through back-casting (Butchart et al. 2007).</w:t>
      </w:r>
      <w:r w:rsidRPr="00ED7E61">
        <w:rPr>
          <w:rStyle w:val="normaltextrun"/>
        </w:rPr>
        <w:t> </w:t>
      </w:r>
    </w:p>
    <w:p w14:paraId="46985688" w14:textId="77777777" w:rsidR="00756F0F" w:rsidRPr="00ED7E61" w:rsidRDefault="00756F0F" w:rsidP="00B10F0C">
      <w:pPr>
        <w:pStyle w:val="CBDNormalNumber"/>
        <w:numPr>
          <w:ilvl w:val="0"/>
          <w:numId w:val="51"/>
        </w:numPr>
        <w:tabs>
          <w:tab w:val="clear" w:pos="567"/>
          <w:tab w:val="clear" w:pos="1134"/>
          <w:tab w:val="clear" w:pos="2268"/>
          <w:tab w:val="left" w:pos="1985"/>
        </w:tabs>
        <w:ind w:left="567" w:firstLine="545"/>
        <w:rPr>
          <w:rStyle w:val="normaltextrun"/>
          <w:rFonts w:eastAsiaTheme="majorEastAsia"/>
        </w:rPr>
      </w:pPr>
      <w:r w:rsidRPr="00ED7E61">
        <w:rPr>
          <w:rStyle w:val="normaltextrun"/>
          <w:rFonts w:asciiTheme="majorBidi" w:eastAsiaTheme="majorEastAsia" w:hAnsiTheme="majorBidi" w:cstheme="majorBidi"/>
        </w:rPr>
        <w:t>Inconsistency between species assessments. These can be minimized by the requirement to provide supporting documentation detailing the best available data, with justifications, sources, and estimates of uncertainty and data quality, which are checked and standardized by IUCN through Red List Authorities, a Red List Technical Working Group and an independent Standards and Petitions Sub-committee. Further, detailed Guidelines on the Application of the Categories and Criteria are maintained (IUCN SPSC 2019), as is an online training course (in English, Spanish and French).</w:t>
      </w:r>
      <w:r w:rsidRPr="00ED7E61">
        <w:rPr>
          <w:rStyle w:val="normaltextrun"/>
        </w:rPr>
        <w:t> </w:t>
      </w:r>
    </w:p>
    <w:p w14:paraId="5D3C7725" w14:textId="77777777" w:rsidR="00756F0F" w:rsidRPr="00ED7E61" w:rsidRDefault="00756F0F" w:rsidP="00B10F0C">
      <w:pPr>
        <w:pStyle w:val="CBDNormalNumber"/>
        <w:numPr>
          <w:ilvl w:val="0"/>
          <w:numId w:val="51"/>
        </w:numPr>
        <w:tabs>
          <w:tab w:val="clear" w:pos="567"/>
          <w:tab w:val="clear" w:pos="1134"/>
          <w:tab w:val="clear" w:pos="2268"/>
          <w:tab w:val="left" w:pos="1985"/>
        </w:tabs>
        <w:ind w:left="567" w:firstLine="545"/>
        <w:rPr>
          <w:rStyle w:val="normaltextrun"/>
          <w:rFonts w:eastAsiaTheme="majorEastAsia"/>
        </w:rPr>
      </w:pPr>
      <w:r w:rsidRPr="00ED7E61">
        <w:rPr>
          <w:rStyle w:val="normaltextrun"/>
          <w:rFonts w:asciiTheme="majorBidi" w:eastAsiaTheme="majorEastAsia" w:hAnsiTheme="majorBidi" w:cstheme="majorBidi"/>
        </w:rPr>
        <w:t>Species that are too poorly known for the Red List Criteria to be applied are assigned to the Data Deficient category. For birds, only 0.8% of extant species are evaluated as Data Deficient, compared with 24% of amphibians. If Data Deficient species differ in the rate at which their extinction risk is changing, the Red List Index may give a biased picture of the changing extinction risk of the overall set of species. The degree of uncertainty this introduces is estimated through a bootstrapping procedure that randomly assigns each Data Deficient species a category based on the numbers of non-Data Deficient species in each Red List category for the set of species under consideration, and repeats this for 1,000 iterations, plotting the 2.5 and 97.5 percentiles as lower and upper confidence intervals for the median.</w:t>
      </w:r>
      <w:r w:rsidRPr="00ED7E61">
        <w:rPr>
          <w:rStyle w:val="normaltextrun"/>
        </w:rPr>
        <w:t> </w:t>
      </w:r>
    </w:p>
    <w:p w14:paraId="73B3BB2D"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The main limitation of the Red List Index is related to the fact that the Red List Categories are relatively broad measures of status, and thus the Red List Index for any individual taxonomic group can practically only be updated at intervals of at least four years. However, as the overall index is aggregated across multiple taxonomic groups, with groups reassessed asynchronously, it can be updated annually. A further limitation is that the Red List Index does not reflect particularly well the deteriorating status of more common species that remain abundant and widespread but are declining slowly in terms of their range and population. Hence the Red List Index is complemented by indicators of population abundance, such as the Wild Bird Index or Living Planet Index.</w:t>
      </w:r>
      <w:r w:rsidRPr="00ED7E61">
        <w:rPr>
          <w:rStyle w:val="normaltextrun"/>
        </w:rPr>
        <w:t> </w:t>
      </w:r>
    </w:p>
    <w:p w14:paraId="5120AD6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4710B90C" w14:textId="19611A00" w:rsidR="005E56F9"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At country level</w:t>
      </w:r>
      <w:r w:rsidR="005E56F9" w:rsidRPr="00ED7E61">
        <w:rPr>
          <w:rStyle w:val="normaltextrun"/>
          <w:rFonts w:asciiTheme="majorBidi" w:eastAsiaTheme="majorEastAsia" w:hAnsiTheme="majorBidi" w:cstheme="majorBidi"/>
        </w:rPr>
        <w:t>:</w:t>
      </w:r>
      <w:r w:rsidRPr="00ED7E61">
        <w:rPr>
          <w:rStyle w:val="normaltextrun"/>
        </w:rPr>
        <w:t> </w:t>
      </w:r>
    </w:p>
    <w:p w14:paraId="0946F5AD" w14:textId="77777777" w:rsidR="00756F0F" w:rsidRPr="00ED7E61" w:rsidRDefault="00756F0F" w:rsidP="00B3383B">
      <w:pPr>
        <w:pStyle w:val="CBDNormalNumber"/>
        <w:numPr>
          <w:ilvl w:val="0"/>
          <w:numId w:val="0"/>
        </w:numPr>
        <w:tabs>
          <w:tab w:val="clear" w:pos="567"/>
          <w:tab w:val="clear" w:pos="1134"/>
          <w:tab w:val="clear" w:pos="2268"/>
          <w:tab w:val="left" w:pos="1985"/>
        </w:tabs>
        <w:ind w:left="1134"/>
        <w:rPr>
          <w:rStyle w:val="normaltextrun"/>
          <w:rFonts w:eastAsiaTheme="majorEastAsia"/>
        </w:rPr>
      </w:pPr>
      <w:r w:rsidRPr="00ED7E61">
        <w:rPr>
          <w:rStyle w:val="normaltextrun"/>
          <w:rFonts w:asciiTheme="majorBidi" w:eastAsiaTheme="majorEastAsia" w:hAnsiTheme="majorBidi" w:cstheme="majorBidi"/>
        </w:rPr>
        <w:t>Red List Indices for each taxonomic group are interpolated linearly for years between data points and extrapolated linearly (with a slope equal to that between the two closest assessed points, except for corals) back to the earliest time point and forwards to the present for years for which estimates are not available. The start year of the aggregated index is set as ten years before the first assessment year for the taxonomic group with the latest starting point. Corals are not extrapolated linearly because declines are known to have been much steeper subsequent to 1996 (owing to extreme bleaching events) than before. Therefore, the rate of decline prior to 1996 is set as the average of the rates for the other taxonomic groups.</w:t>
      </w:r>
      <w:r w:rsidRPr="00ED7E61">
        <w:rPr>
          <w:rStyle w:val="normaltextrun"/>
        </w:rPr>
        <w:t> </w:t>
      </w:r>
    </w:p>
    <w:p w14:paraId="30BA7E19" w14:textId="7440FEE0" w:rsidR="00756F0F" w:rsidRPr="00ED7E61" w:rsidRDefault="00756F0F" w:rsidP="00B10F0C">
      <w:pPr>
        <w:pStyle w:val="CBDNormalNumber"/>
        <w:rPr>
          <w:rStyle w:val="normaltextrun"/>
          <w:rFonts w:eastAsiaTheme="majorEastAsia"/>
        </w:rPr>
      </w:pPr>
      <w:r w:rsidRPr="00ED7E61">
        <w:rPr>
          <w:rStyle w:val="normaltextrun"/>
        </w:rPr>
        <w:t> </w:t>
      </w:r>
      <w:r w:rsidRPr="00ED7E61">
        <w:rPr>
          <w:rStyle w:val="normaltextrun"/>
          <w:rFonts w:asciiTheme="majorBidi" w:eastAsiaTheme="majorEastAsia" w:hAnsiTheme="majorBidi" w:cstheme="majorBidi"/>
        </w:rPr>
        <w:t>At regional and global levels</w:t>
      </w:r>
      <w:r w:rsidR="005E56F9" w:rsidRPr="00ED7E61">
        <w:rPr>
          <w:rStyle w:val="normaltextrun"/>
          <w:rFonts w:asciiTheme="majorBidi" w:eastAsiaTheme="majorEastAsia" w:hAnsiTheme="majorBidi" w:cstheme="majorBidi"/>
        </w:rPr>
        <w:t>:</w:t>
      </w:r>
      <w:r w:rsidRPr="00ED7E61">
        <w:rPr>
          <w:rStyle w:val="normaltextrun"/>
        </w:rPr>
        <w:t> </w:t>
      </w:r>
    </w:p>
    <w:p w14:paraId="7D84649D" w14:textId="77777777" w:rsidR="00756F0F" w:rsidRPr="00ED7E61" w:rsidRDefault="00756F0F" w:rsidP="00B3383B">
      <w:pPr>
        <w:pStyle w:val="CBDNormalNumber"/>
        <w:numPr>
          <w:ilvl w:val="0"/>
          <w:numId w:val="0"/>
        </w:numPr>
        <w:tabs>
          <w:tab w:val="clear" w:pos="567"/>
          <w:tab w:val="clear" w:pos="1134"/>
          <w:tab w:val="clear" w:pos="2268"/>
          <w:tab w:val="left" w:pos="1985"/>
        </w:tabs>
        <w:ind w:left="1134"/>
        <w:rPr>
          <w:rStyle w:val="normaltextrun"/>
          <w:rFonts w:eastAsiaTheme="majorEastAsia"/>
        </w:rPr>
      </w:pPr>
      <w:r w:rsidRPr="00ED7E61">
        <w:rPr>
          <w:rStyle w:val="normaltextrun"/>
          <w:rFonts w:asciiTheme="majorBidi" w:eastAsiaTheme="majorEastAsia" w:hAnsiTheme="majorBidi" w:cstheme="majorBidi"/>
        </w:rPr>
        <w:t>The Red List Index is calculated globally based on assessments of extinction risk of each species included, because many species have distributions that span many countries. Thus, while there is certainly uncertainty around the Red List Index, there are no missing values as such, and so no imputation is necessary.</w:t>
      </w:r>
      <w:r w:rsidRPr="00ED7E61">
        <w:rPr>
          <w:rStyle w:val="normaltextrun"/>
        </w:rPr>
        <w:t> </w:t>
      </w:r>
    </w:p>
    <w:p w14:paraId="59157DDD" w14:textId="77777777" w:rsidR="005900C9" w:rsidRPr="00ED7E61" w:rsidRDefault="005900C9" w:rsidP="00395866">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rPr>
      </w:pPr>
    </w:p>
    <w:p w14:paraId="5B14CB93" w14:textId="2B6EEA0B"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47D2C00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7B1D055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2363853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National</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3BF9A2DC" w14:textId="77777777" w:rsidR="00756F0F" w:rsidRPr="00ED7E61" w:rsidRDefault="00756F0F" w:rsidP="00B10F0C">
      <w:pPr>
        <w:pStyle w:val="CBDNormalNumber"/>
        <w:rPr>
          <w:rStyle w:val="normaltextrun"/>
          <w:sz w:val="24"/>
          <w:szCs w:val="24"/>
          <w:lang w:val="en-CA"/>
        </w:rPr>
      </w:pPr>
      <w:r w:rsidRPr="00ED7E61">
        <w:rPr>
          <w:rStyle w:val="normaltextrun"/>
        </w:rPr>
        <w:t>Scale of data disaggregation/aggregation:  </w:t>
      </w:r>
    </w:p>
    <w:p w14:paraId="72E9A7A3" w14:textId="77777777" w:rsidR="00756F0F" w:rsidRPr="00ED7E61" w:rsidRDefault="00756F0F" w:rsidP="00B10F0C">
      <w:pPr>
        <w:pStyle w:val="CBDNormalNumber"/>
        <w:numPr>
          <w:ilvl w:val="0"/>
          <w:numId w:val="52"/>
        </w:numPr>
        <w:tabs>
          <w:tab w:val="clear" w:pos="567"/>
          <w:tab w:val="clear" w:pos="1134"/>
          <w:tab w:val="clear" w:pos="1701"/>
          <w:tab w:val="clear" w:pos="2268"/>
          <w:tab w:val="left" w:pos="1985"/>
        </w:tabs>
        <w:rPr>
          <w:rStyle w:val="normaltextrun"/>
          <w:rFonts w:eastAsiaTheme="majorEastAsia"/>
        </w:rPr>
      </w:pPr>
      <w:r w:rsidRPr="00ED7E61">
        <w:rPr>
          <w:rStyle w:val="normaltextrun"/>
          <w:rFonts w:asciiTheme="majorBidi" w:eastAsiaTheme="majorEastAsia" w:hAnsiTheme="majorBidi" w:cstheme="majorBidi"/>
        </w:rPr>
        <w:t xml:space="preserve">Global/ regional scale indicator can be disaggregated to national level: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08D110A1" w14:textId="77777777" w:rsidR="00756F0F" w:rsidRPr="00ED7E61" w:rsidRDefault="00756F0F" w:rsidP="00B10F0C">
      <w:pPr>
        <w:pStyle w:val="CBDNormalNumber"/>
        <w:numPr>
          <w:ilvl w:val="0"/>
          <w:numId w:val="52"/>
        </w:numPr>
        <w:tabs>
          <w:tab w:val="clear" w:pos="567"/>
          <w:tab w:val="clear" w:pos="1134"/>
          <w:tab w:val="clear" w:pos="1701"/>
          <w:tab w:val="clear" w:pos="2268"/>
          <w:tab w:val="left" w:pos="1985"/>
        </w:tabs>
        <w:rPr>
          <w:rStyle w:val="normaltextrun"/>
          <w:rFonts w:eastAsiaTheme="majorEastAsia"/>
        </w:rPr>
      </w:pPr>
      <w:r w:rsidRPr="00ED7E61">
        <w:rPr>
          <w:rStyle w:val="normaltextrun"/>
          <w:rFonts w:asciiTheme="majorBidi" w:eastAsiaTheme="majorEastAsia" w:hAnsiTheme="majorBidi" w:cstheme="majorBidi"/>
        </w:rPr>
        <w:t xml:space="preserve">National data is collated to form global indicator: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2344932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5199E952" w14:textId="77777777" w:rsidR="00512F91" w:rsidRPr="00ED7E61" w:rsidRDefault="00756F0F" w:rsidP="00B10F0C">
      <w:pPr>
        <w:pStyle w:val="CBDNormalNumber"/>
        <w:rPr>
          <w:rStyle w:val="normaltextrun"/>
          <w:sz w:val="24"/>
          <w:szCs w:val="24"/>
          <w:lang w:val="en-CA"/>
        </w:rPr>
      </w:pPr>
      <w:r w:rsidRPr="00ED7E61">
        <w:rPr>
          <w:rStyle w:val="normaltextrun"/>
        </w:rPr>
        <w:t>Red List Indices for individual countries and regions can be calculated in two ways</w:t>
      </w:r>
      <w:r w:rsidR="00512F91" w:rsidRPr="00ED7E61">
        <w:rPr>
          <w:rStyle w:val="normaltextrun"/>
        </w:rPr>
        <w:t>:</w:t>
      </w:r>
    </w:p>
    <w:p w14:paraId="18CD227F" w14:textId="54FACD18" w:rsidR="00756F0F" w:rsidRPr="00ED7E61" w:rsidRDefault="00756F0F" w:rsidP="00B10F0C">
      <w:pPr>
        <w:pStyle w:val="CBDNormalNumber"/>
        <w:numPr>
          <w:ilvl w:val="0"/>
          <w:numId w:val="53"/>
        </w:numPr>
        <w:tabs>
          <w:tab w:val="clear" w:pos="567"/>
          <w:tab w:val="clear" w:pos="1134"/>
          <w:tab w:val="clear" w:pos="1701"/>
          <w:tab w:val="clear" w:pos="2268"/>
          <w:tab w:val="left" w:pos="1985"/>
        </w:tabs>
        <w:rPr>
          <w:rStyle w:val="normaltextrun"/>
          <w:rFonts w:eastAsiaTheme="majorEastAsia"/>
        </w:rPr>
      </w:pPr>
      <w:r w:rsidRPr="00ED7E61">
        <w:rPr>
          <w:rStyle w:val="normaltextrun"/>
          <w:rFonts w:asciiTheme="majorBidi" w:eastAsiaTheme="majorEastAsia" w:hAnsiTheme="majorBidi" w:cstheme="majorBidi"/>
          <w:color w:val="000000"/>
        </w:rPr>
        <w:t xml:space="preserve"> </w:t>
      </w:r>
      <w:r w:rsidR="00512F91" w:rsidRPr="00ED7E61">
        <w:rPr>
          <w:rStyle w:val="normaltextrun"/>
          <w:rFonts w:asciiTheme="majorBidi" w:eastAsiaTheme="majorEastAsia" w:hAnsiTheme="majorBidi" w:cstheme="majorBidi"/>
        </w:rPr>
        <w:t>B</w:t>
      </w:r>
      <w:r w:rsidRPr="00ED7E61">
        <w:rPr>
          <w:rStyle w:val="normaltextrun"/>
          <w:rFonts w:asciiTheme="majorBidi" w:eastAsiaTheme="majorEastAsia" w:hAnsiTheme="majorBidi" w:cstheme="majorBidi"/>
        </w:rPr>
        <w:t>y disaggregating the global index to the national or regional scale, in which each species contributing to the national or regional index is weighted by the proportion of its global range within the particular country or region. The resulting index therefore shows the aggregate extinction risk for species within the country or region relative to its potential contribution to global species extinction risk (within the taxonomic groups included). </w:t>
      </w:r>
      <w:r w:rsidRPr="00ED7E61">
        <w:rPr>
          <w:rStyle w:val="normaltextrun"/>
        </w:rPr>
        <w:t> </w:t>
      </w:r>
    </w:p>
    <w:p w14:paraId="10B11CE2" w14:textId="23F5C8B6" w:rsidR="00756F0F" w:rsidRPr="00ED7E61" w:rsidRDefault="00512F91" w:rsidP="00B10F0C">
      <w:pPr>
        <w:pStyle w:val="CBDNormalNumber"/>
        <w:numPr>
          <w:ilvl w:val="0"/>
          <w:numId w:val="53"/>
        </w:numPr>
        <w:tabs>
          <w:tab w:val="clear" w:pos="567"/>
          <w:tab w:val="clear" w:pos="1134"/>
          <w:tab w:val="clear" w:pos="1701"/>
          <w:tab w:val="clear" w:pos="2268"/>
          <w:tab w:val="left" w:pos="1985"/>
        </w:tabs>
        <w:rPr>
          <w:rStyle w:val="normaltextrun"/>
          <w:rFonts w:eastAsiaTheme="majorEastAsia"/>
        </w:rPr>
      </w:pPr>
      <w:r w:rsidRPr="00ED7E61">
        <w:rPr>
          <w:rStyle w:val="normaltextrun"/>
          <w:rFonts w:asciiTheme="majorBidi" w:eastAsiaTheme="majorEastAsia" w:hAnsiTheme="majorBidi" w:cstheme="majorBidi"/>
        </w:rPr>
        <w:t>By</w:t>
      </w:r>
      <w:r w:rsidR="00756F0F" w:rsidRPr="00ED7E61">
        <w:rPr>
          <w:rStyle w:val="normaltextrun"/>
          <w:rFonts w:asciiTheme="majorBidi" w:eastAsiaTheme="majorEastAsia" w:hAnsiTheme="majorBidi" w:cstheme="majorBidi"/>
        </w:rPr>
        <w:t xml:space="preserve"> </w:t>
      </w:r>
      <w:r w:rsidR="00320477" w:rsidRPr="00ED7E61">
        <w:rPr>
          <w:rStyle w:val="normaltextrun"/>
          <w:rFonts w:asciiTheme="majorBidi" w:eastAsiaTheme="majorEastAsia" w:hAnsiTheme="majorBidi" w:cstheme="majorBidi"/>
        </w:rPr>
        <w:t xml:space="preserve">using </w:t>
      </w:r>
      <w:r w:rsidR="00756F0F" w:rsidRPr="00ED7E61">
        <w:rPr>
          <w:rStyle w:val="normaltextrun"/>
          <w:rFonts w:asciiTheme="majorBidi" w:eastAsiaTheme="majorEastAsia" w:hAnsiTheme="majorBidi" w:cstheme="majorBidi"/>
        </w:rPr>
        <w:t>national RLIs generated from repeated assessments of national extinction risk (e.g. national Red Lists). Guidance for assessing national extinction risk of species has been developed by IUCN (IUCN 2012), and most countries have developed national red lists for at least one taxonomic group. National RLIs may be more sensitive than disaggregated global RLIs to factors influencing biodiversity loss within each country (including national policies), but require repeated assessments of national extinction risk for multiple groups in each country (with associated costs), and cannot be compared between countries.</w:t>
      </w:r>
      <w:r w:rsidR="00756F0F" w:rsidRPr="00ED7E61">
        <w:rPr>
          <w:rStyle w:val="normaltextrun"/>
        </w:rPr>
        <w:t> </w:t>
      </w:r>
    </w:p>
    <w:p w14:paraId="6213AE85" w14:textId="6A3B03C0" w:rsidR="005E56F9" w:rsidRPr="00ED7E61" w:rsidRDefault="00512F91" w:rsidP="00B10F0C">
      <w:pPr>
        <w:pStyle w:val="CBDNormalNumber"/>
        <w:rPr>
          <w:rStyle w:val="normaltextrun"/>
        </w:rPr>
      </w:pPr>
      <w:r w:rsidRPr="00ED7E61">
        <w:rPr>
          <w:rStyle w:val="normaltextrun"/>
        </w:rPr>
        <w:t xml:space="preserve">The </w:t>
      </w:r>
      <w:r w:rsidRPr="00B3383B">
        <w:rPr>
          <w:rStyle w:val="normaltextrun"/>
          <w:rFonts w:asciiTheme="majorBidi" w:eastAsiaTheme="majorEastAsia" w:hAnsiTheme="majorBidi" w:cstheme="majorBidi"/>
        </w:rPr>
        <w:t>decision</w:t>
      </w:r>
      <w:r w:rsidRPr="00ED7E61">
        <w:rPr>
          <w:rStyle w:val="normaltextrun"/>
        </w:rPr>
        <w:t xml:space="preserve"> on whether to use a disaggregation of the global index or to use a national red list assessment would need to take into account, among other things, a country’s national capacity</w:t>
      </w:r>
      <w:r w:rsidR="00320477" w:rsidRPr="00ED7E61">
        <w:rPr>
          <w:rStyle w:val="normaltextrun"/>
        </w:rPr>
        <w:t xml:space="preserve"> and the level of development of their national assessment pro</w:t>
      </w:r>
      <w:r w:rsidR="004E025B">
        <w:rPr>
          <w:rStyle w:val="normaltextrun"/>
        </w:rPr>
        <w:t>c</w:t>
      </w:r>
      <w:r w:rsidR="00320477" w:rsidRPr="00ED7E61">
        <w:rPr>
          <w:rStyle w:val="normaltextrun"/>
        </w:rPr>
        <w:t>esses</w:t>
      </w:r>
      <w:r w:rsidRPr="00ED7E61">
        <w:rPr>
          <w:rStyle w:val="normaltextrun"/>
        </w:rPr>
        <w:t xml:space="preserve">. </w:t>
      </w:r>
      <w:r w:rsidR="00320477" w:rsidRPr="00ED7E61">
        <w:rPr>
          <w:rStyle w:val="normaltextrun"/>
        </w:rPr>
        <w:t>Further Parties could use a disaggregation of the global index in conjunction with their own national assessments.</w:t>
      </w:r>
    </w:p>
    <w:p w14:paraId="1411BC9C" w14:textId="1DCE5E46" w:rsidR="005E56F9" w:rsidRPr="00ED7E61" w:rsidRDefault="00756F0F" w:rsidP="00B10F0C">
      <w:pPr>
        <w:pStyle w:val="CBDNormalNumber"/>
      </w:pPr>
      <w:r w:rsidRPr="00ED7E61">
        <w:rPr>
          <w:rStyle w:val="normaltextrun"/>
          <w:rFonts w:asciiTheme="majorBidi" w:eastAsiaTheme="majorEastAsia" w:hAnsiTheme="majorBidi" w:cstheme="majorBidi"/>
        </w:rPr>
        <w:t>The data underlying the global Red List Index are compiled under the authority of the IUCN Red List Committee, through application of the IUCN Red List Categories &amp; Criteria (</w:t>
      </w:r>
      <w:hyperlink r:id="rId129" w:tgtFrame="_blank" w:history="1">
        <w:r w:rsidRPr="00ED7E61">
          <w:rPr>
            <w:rStyle w:val="normaltextrun"/>
            <w:rFonts w:asciiTheme="majorBidi" w:eastAsiaTheme="majorEastAsia" w:hAnsiTheme="majorBidi" w:cstheme="majorBidi"/>
            <w:color w:val="467886"/>
            <w:u w:val="single"/>
          </w:rPr>
          <w:t>https://portals.iucn.org/library/node/10315</w:t>
        </w:r>
      </w:hyperlink>
      <w:r w:rsidRPr="00ED7E61">
        <w:rPr>
          <w:rStyle w:val="normaltextrun"/>
          <w:rFonts w:asciiTheme="majorBidi" w:eastAsiaTheme="majorEastAsia" w:hAnsiTheme="majorBidi" w:cstheme="majorBidi"/>
        </w:rPr>
        <w:t>). This includes submissions of endemics from national red list processes, where these have been conducted following the “</w:t>
      </w:r>
      <w:r w:rsidRPr="00FB1598">
        <w:rPr>
          <w:rStyle w:val="normaltextrun"/>
          <w:rFonts w:asciiTheme="majorBidi" w:eastAsiaTheme="majorEastAsia" w:hAnsiTheme="majorBidi" w:cstheme="majorBidi"/>
          <w:i/>
          <w:iCs/>
        </w:rPr>
        <w:t>Guidelines for application of IUCN Red List Criteria at Regional and National Levels</w:t>
      </w:r>
      <w:r w:rsidRPr="00ED7E61">
        <w:rPr>
          <w:rStyle w:val="normaltextrun"/>
          <w:rFonts w:asciiTheme="majorBidi" w:eastAsiaTheme="majorEastAsia" w:hAnsiTheme="majorBidi" w:cstheme="majorBidi"/>
        </w:rPr>
        <w:t>” (</w:t>
      </w:r>
      <w:hyperlink r:id="rId130" w:tgtFrame="_blank" w:history="1">
        <w:r w:rsidRPr="00ED7E61">
          <w:rPr>
            <w:rStyle w:val="normaltextrun"/>
            <w:rFonts w:asciiTheme="majorBidi" w:eastAsiaTheme="majorEastAsia" w:hAnsiTheme="majorBidi" w:cstheme="majorBidi"/>
            <w:color w:val="467886"/>
            <w:u w:val="single"/>
          </w:rPr>
          <w:t>https://portals.iucn.org/library/node/10336</w:t>
        </w:r>
      </w:hyperlink>
      <w:r w:rsidRPr="00ED7E61">
        <w:rPr>
          <w:rStyle w:val="normaltextrun"/>
          <w:rFonts w:asciiTheme="majorBidi" w:eastAsiaTheme="majorEastAsia" w:hAnsiTheme="majorBidi" w:cstheme="majorBidi"/>
        </w:rPr>
        <w:t>) and following the “</w:t>
      </w:r>
      <w:r w:rsidRPr="00FB1598">
        <w:rPr>
          <w:rStyle w:val="normaltextrun"/>
          <w:rFonts w:asciiTheme="majorBidi" w:eastAsiaTheme="majorEastAsia" w:hAnsiTheme="majorBidi" w:cstheme="majorBidi"/>
          <w:i/>
          <w:iCs/>
        </w:rPr>
        <w:t>Required and Recommended Supporting Information for IUCN Red List Assessments</w:t>
      </w:r>
      <w:r w:rsidRPr="00ED7E61">
        <w:rPr>
          <w:rStyle w:val="normaltextrun"/>
          <w:rFonts w:asciiTheme="majorBidi" w:eastAsiaTheme="majorEastAsia" w:hAnsiTheme="majorBidi" w:cstheme="majorBidi"/>
        </w:rPr>
        <w:t>” (</w:t>
      </w:r>
      <w:hyperlink r:id="rId131" w:tgtFrame="_blank" w:history="1">
        <w:r w:rsidRPr="00ED7E61">
          <w:rPr>
            <w:rStyle w:val="normaltextrun"/>
            <w:rFonts w:asciiTheme="majorBidi" w:eastAsiaTheme="majorEastAsia" w:hAnsiTheme="majorBidi" w:cstheme="majorBidi"/>
            <w:color w:val="467886"/>
            <w:u w:val="single"/>
          </w:rPr>
          <w:t>http://goo.gl/O52euG</w:t>
        </w:r>
      </w:hyperlink>
      <w:r w:rsidRPr="00ED7E61">
        <w:rPr>
          <w:rStyle w:val="normaltextrun"/>
          <w:rFonts w:asciiTheme="majorBidi" w:eastAsiaTheme="majorEastAsia" w:hAnsiTheme="majorBidi" w:cstheme="majorBidi"/>
        </w:rPr>
        <w:t>). Assessments may be submitted in all three IUCN languages (English, French and Spanish) and Portuguese. All assessments are peer reviewed through the relevant Red List Authority for the species or species group in question, as documented in the Red List Rules of Procedure (</w:t>
      </w:r>
      <w:hyperlink r:id="rId132" w:tgtFrame="_blank" w:history="1">
        <w:r w:rsidRPr="00ED7E61">
          <w:rPr>
            <w:rStyle w:val="normaltextrun"/>
            <w:rFonts w:asciiTheme="majorBidi" w:eastAsiaTheme="majorEastAsia" w:hAnsiTheme="majorBidi" w:cstheme="majorBidi"/>
            <w:color w:val="467886"/>
            <w:u w:val="single"/>
          </w:rPr>
          <w:t>https://cmsdocs.s3.amazonaws.com/keydocuments/Rules_of_Procedure_for_IUCN_Red_List_Assessments_2017-2020.pdf</w:t>
        </w:r>
      </w:hyperlink>
      <w:r w:rsidRPr="00ED7E61">
        <w:rPr>
          <w:rStyle w:val="normaltextrun"/>
          <w:rFonts w:asciiTheme="majorBidi" w:eastAsiaTheme="majorEastAsia" w:hAnsiTheme="majorBidi" w:cstheme="majorBidi"/>
        </w:rPr>
        <w:t>); see in particular Annex 3, the “</w:t>
      </w:r>
      <w:r w:rsidRPr="00FB1598">
        <w:rPr>
          <w:rStyle w:val="normaltextrun"/>
          <w:rFonts w:asciiTheme="majorBidi" w:eastAsiaTheme="majorEastAsia" w:hAnsiTheme="majorBidi" w:cstheme="majorBidi"/>
          <w:i/>
          <w:iCs/>
        </w:rPr>
        <w:t>Details of the Steps Involved in the IUCN Red List Process</w:t>
      </w:r>
      <w:r w:rsidRPr="00ED7E61">
        <w:rPr>
          <w:rStyle w:val="normaltextrun"/>
          <w:rFonts w:asciiTheme="majorBidi" w:eastAsiaTheme="majorEastAsia" w:hAnsiTheme="majorBidi" w:cstheme="majorBidi"/>
        </w:rPr>
        <w:t>” (</w:t>
      </w:r>
      <w:hyperlink r:id="rId133" w:tgtFrame="_blank" w:history="1">
        <w:r w:rsidRPr="00ED7E61">
          <w:rPr>
            <w:rStyle w:val="normaltextrun"/>
            <w:rFonts w:asciiTheme="majorBidi" w:eastAsiaTheme="majorEastAsia" w:hAnsiTheme="majorBidi" w:cstheme="majorBidi"/>
            <w:color w:val="467886"/>
            <w:u w:val="single"/>
          </w:rPr>
          <w:t>https://cmsdocs.s3.amazonaws.com/keydocuments/Details_of_the_Steps_Involved_in_the_IUCN_Red_List_Process.pdf</w:t>
        </w:r>
      </w:hyperlink>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27A48D8A" w14:textId="3FA154B0" w:rsidR="00756F0F" w:rsidRPr="00ED7E61" w:rsidRDefault="00756F0F"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rPr>
        <w:t>The key document providing international recommendations and guidelines to countries and all involved in application of the IUCN Red List Categories &amp; Criteria (</w:t>
      </w:r>
      <w:hyperlink r:id="rId134" w:tgtFrame="_blank" w:history="1">
        <w:r w:rsidRPr="00ED7E61">
          <w:rPr>
            <w:rStyle w:val="normaltextrun"/>
            <w:rFonts w:asciiTheme="majorBidi" w:eastAsiaTheme="majorEastAsia" w:hAnsiTheme="majorBidi" w:cstheme="majorBidi"/>
            <w:color w:val="467886"/>
            <w:u w:val="single"/>
          </w:rPr>
          <w:t>https://portals.iucn.org/library/node/10315</w:t>
        </w:r>
      </w:hyperlink>
      <w:r w:rsidRPr="00ED7E61">
        <w:rPr>
          <w:rStyle w:val="normaltextrun"/>
          <w:rFonts w:asciiTheme="majorBidi" w:eastAsiaTheme="majorEastAsia" w:hAnsiTheme="majorBidi" w:cstheme="majorBidi"/>
        </w:rPr>
        <w:t>) is the “</w:t>
      </w:r>
      <w:r w:rsidRPr="00FB1598">
        <w:rPr>
          <w:rStyle w:val="normaltextrun"/>
          <w:rFonts w:asciiTheme="majorBidi" w:eastAsiaTheme="majorEastAsia" w:hAnsiTheme="majorBidi" w:cstheme="majorBidi"/>
          <w:i/>
          <w:iCs/>
        </w:rPr>
        <w:t>Guidelines for Using the IUCN Red List Categories and Criteria</w:t>
      </w:r>
      <w:r w:rsidRPr="00ED7E61">
        <w:rPr>
          <w:rStyle w:val="normaltextrun"/>
          <w:rFonts w:asciiTheme="majorBidi" w:eastAsiaTheme="majorEastAsia" w:hAnsiTheme="majorBidi" w:cstheme="majorBidi"/>
        </w:rPr>
        <w:t xml:space="preserve">” (in English - </w:t>
      </w:r>
      <w:hyperlink r:id="rId135" w:tgtFrame="_blank" w:history="1">
        <w:r w:rsidRPr="00ED7E61">
          <w:rPr>
            <w:rStyle w:val="normaltextrun"/>
            <w:rFonts w:asciiTheme="majorBidi" w:eastAsiaTheme="majorEastAsia" w:hAnsiTheme="majorBidi" w:cstheme="majorBidi"/>
            <w:color w:val="467886"/>
            <w:u w:val="single"/>
          </w:rPr>
          <w:t>http://cmsdocs.s3.amazonaws.com/RedListGuidelines.pdf</w:t>
        </w:r>
      </w:hyperlink>
      <w:r w:rsidRPr="00ED7E61">
        <w:rPr>
          <w:rStyle w:val="normaltextrun"/>
          <w:rFonts w:asciiTheme="majorBidi" w:eastAsiaTheme="majorEastAsia" w:hAnsiTheme="majorBidi" w:cstheme="majorBidi"/>
        </w:rPr>
        <w:t xml:space="preserve"> and in French - </w:t>
      </w:r>
      <w:hyperlink r:id="rId136" w:tgtFrame="_blank" w:history="1">
        <w:r w:rsidRPr="00ED7E61">
          <w:rPr>
            <w:rStyle w:val="normaltextrun"/>
            <w:rFonts w:asciiTheme="majorBidi" w:eastAsiaTheme="majorEastAsia" w:hAnsiTheme="majorBidi" w:cstheme="majorBidi"/>
            <w:color w:val="467886"/>
            <w:u w:val="single"/>
          </w:rPr>
          <w:t>http://cmsdocs.s3.amazonaws.com/keydocuments/RedListGuidelines_FR.pdf</w:t>
        </w:r>
      </w:hyperlink>
      <w:r w:rsidRPr="00ED7E61">
        <w:rPr>
          <w:rStyle w:val="normaltextrun"/>
          <w:rFonts w:asciiTheme="majorBidi" w:eastAsiaTheme="majorEastAsia" w:hAnsiTheme="majorBidi" w:cstheme="majorBidi"/>
        </w:rPr>
        <w:t>) accompanied by the “</w:t>
      </w:r>
      <w:r w:rsidRPr="00FB1598">
        <w:rPr>
          <w:rStyle w:val="normaltextrun"/>
          <w:rFonts w:asciiTheme="majorBidi" w:eastAsiaTheme="majorEastAsia" w:hAnsiTheme="majorBidi" w:cstheme="majorBidi"/>
          <w:i/>
          <w:iCs/>
        </w:rPr>
        <w:t>Required and Recommended Supporting Information for IUCN Red List Assessments</w:t>
      </w:r>
      <w:r w:rsidRPr="00ED7E61">
        <w:rPr>
          <w:rStyle w:val="normaltextrun"/>
          <w:rFonts w:asciiTheme="majorBidi" w:eastAsiaTheme="majorEastAsia" w:hAnsiTheme="majorBidi" w:cstheme="majorBidi"/>
        </w:rPr>
        <w:t>”. For countries (and regions), this is supplemented by the “</w:t>
      </w:r>
      <w:r w:rsidRPr="00FB1598">
        <w:rPr>
          <w:rStyle w:val="normaltextrun"/>
          <w:rFonts w:asciiTheme="majorBidi" w:eastAsiaTheme="majorEastAsia" w:hAnsiTheme="majorBidi" w:cstheme="majorBidi"/>
          <w:i/>
          <w:iCs/>
        </w:rPr>
        <w:t>Guidelines for application of IUCN Red List Criteria at Regional and National Levels</w:t>
      </w:r>
      <w:r w:rsidRPr="00ED7E61">
        <w:rPr>
          <w:rStyle w:val="normaltextrun"/>
          <w:rFonts w:asciiTheme="majorBidi" w:eastAsiaTheme="majorEastAsia" w:hAnsiTheme="majorBidi" w:cstheme="majorBidi"/>
        </w:rPr>
        <w:t>” (</w:t>
      </w:r>
      <w:hyperlink r:id="rId137" w:tgtFrame="_blank" w:history="1">
        <w:r w:rsidRPr="00ED7E61">
          <w:rPr>
            <w:rStyle w:val="normaltextrun"/>
            <w:rFonts w:asciiTheme="majorBidi" w:eastAsiaTheme="majorEastAsia" w:hAnsiTheme="majorBidi" w:cstheme="majorBidi"/>
            <w:color w:val="467886"/>
            <w:u w:val="single"/>
          </w:rPr>
          <w:t>https://portals.iucn.org/library/node/10336</w:t>
        </w:r>
      </w:hyperlink>
      <w:r w:rsidRPr="00ED7E61">
        <w:rPr>
          <w:rStyle w:val="normaltextrun"/>
          <w:rFonts w:asciiTheme="majorBidi" w:eastAsiaTheme="majorEastAsia" w:hAnsiTheme="majorBidi" w:cstheme="majorBidi"/>
        </w:rPr>
        <w:t>). To support the calculation of Red List Indices for any given country (or region), “</w:t>
      </w:r>
      <w:r w:rsidRPr="00FB1598">
        <w:rPr>
          <w:rStyle w:val="normaltextrun"/>
          <w:rFonts w:asciiTheme="majorBidi" w:eastAsiaTheme="majorEastAsia" w:hAnsiTheme="majorBidi" w:cstheme="majorBidi"/>
          <w:i/>
          <w:iCs/>
        </w:rPr>
        <w:t>Code (and documentation) for calculating and plotting national RLIs weighted by the proportion of each species’ distribution within a country or region</w:t>
      </w:r>
      <w:r w:rsidRPr="00ED7E61">
        <w:rPr>
          <w:rStyle w:val="normaltextrun"/>
          <w:rFonts w:asciiTheme="majorBidi" w:eastAsiaTheme="majorEastAsia" w:hAnsiTheme="majorBidi" w:cstheme="majorBidi"/>
        </w:rPr>
        <w:t xml:space="preserve">” is posted online (Dias et al. 2020; </w:t>
      </w:r>
      <w:hyperlink r:id="rId138" w:tgtFrame="_blank" w:history="1">
        <w:r w:rsidRPr="00ED7E61">
          <w:rPr>
            <w:rStyle w:val="normaltextrun"/>
            <w:rFonts w:asciiTheme="majorBidi" w:eastAsiaTheme="majorEastAsia" w:hAnsiTheme="majorBidi" w:cstheme="majorBidi"/>
            <w:color w:val="467886"/>
            <w:u w:val="single"/>
          </w:rPr>
          <w:t>https://github.com/BirdLifeInternational/rli-codes</w:t>
        </w:r>
      </w:hyperlink>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6ED6B37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3DB07968" w14:textId="750BCF03" w:rsidR="00756F0F" w:rsidRPr="00ED7E61" w:rsidRDefault="00756F0F" w:rsidP="00B10F0C">
      <w:pPr>
        <w:pStyle w:val="CBDNormalNumber"/>
        <w:rPr>
          <w:rStyle w:val="normaltextrun"/>
          <w:sz w:val="24"/>
          <w:szCs w:val="24"/>
          <w:lang w:val="en-CA"/>
        </w:rPr>
      </w:pPr>
      <w:r w:rsidRPr="00ED7E61">
        <w:rPr>
          <w:rStyle w:val="normaltextrun"/>
        </w:rPr>
        <w:t xml:space="preserve">The </w:t>
      </w:r>
      <w:r w:rsidRPr="00B3383B">
        <w:rPr>
          <w:rStyle w:val="normaltextrun"/>
          <w:rFonts w:asciiTheme="majorBidi" w:eastAsiaTheme="majorEastAsia" w:hAnsiTheme="majorBidi" w:cstheme="majorBidi"/>
        </w:rPr>
        <w:t>national</w:t>
      </w:r>
      <w:r w:rsidRPr="00ED7E61">
        <w:rPr>
          <w:rStyle w:val="normaltextrun"/>
        </w:rPr>
        <w:t xml:space="preserve"> Red List Index for a country may differ from the relevant national disaggregation of the global Red List index because: (a) it considers national rather than global extinction risk, (b) because it takes no account of the national responsibility for the conservation of each species, treating as equal both those species that occur nowhere outside the country (i.e. national endemics) and those with large ranges that occur in many other countries, and (c) the taxonomic groups considered may differ. Any such differences will be smaller for countries within which a high proportion of species are endemic (i.e. only found in that country), as in many island nations and mountainous countries, especially in the tropics. The differences will be larger for countries within which a high proportion of species have widespread distributions across many nations. </w:t>
      </w:r>
    </w:p>
    <w:p w14:paraId="362E713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2EB9E3B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 Description of the methodology</w:t>
      </w:r>
      <w:r w:rsidRPr="00ED7E61">
        <w:rPr>
          <w:rStyle w:val="eop"/>
          <w:rFonts w:asciiTheme="majorBidi" w:eastAsiaTheme="majorEastAsia" w:hAnsiTheme="majorBidi" w:cstheme="majorBidi"/>
          <w:sz w:val="22"/>
          <w:szCs w:val="22"/>
        </w:rPr>
        <w:t> </w:t>
      </w:r>
    </w:p>
    <w:p w14:paraId="2B9DC380" w14:textId="7AE171EC"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The Red List Index can be downscaled to generate national and regional Red List Indices, weighted by the fraction of each species’ distribution occurring within the country or region, building on the method published by Rodrigues et al. (2014). These show an index of how well species are conserved in a country or region to its potential contribution to global species conservation (for the taxonomic groups of species included). </w:t>
      </w:r>
      <w:r w:rsidRPr="00ED7E61">
        <w:rPr>
          <w:rStyle w:val="normaltextrun"/>
        </w:rPr>
        <w:t>  </w:t>
      </w:r>
    </w:p>
    <w:p w14:paraId="5E61C87C"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The index is calculated as: </w:t>
      </w:r>
      <w:r w:rsidRPr="00ED7E61">
        <w:rPr>
          <w:rStyle w:val="normaltextrun"/>
        </w:rPr>
        <w:t> </w:t>
      </w:r>
    </w:p>
    <w:p w14:paraId="685525B8" w14:textId="676F5149" w:rsidR="00756F0F" w:rsidRPr="00ED7E61" w:rsidRDefault="00756F0F" w:rsidP="00B3383B">
      <w:pPr>
        <w:pStyle w:val="paragraph"/>
        <w:spacing w:before="0" w:beforeAutospacing="0" w:after="120" w:afterAutospacing="0"/>
        <w:jc w:val="center"/>
        <w:textAlignment w:val="baseline"/>
        <w:rPr>
          <w:rFonts w:asciiTheme="majorBidi" w:hAnsiTheme="majorBidi" w:cstheme="majorBidi"/>
          <w:sz w:val="22"/>
          <w:szCs w:val="22"/>
          <w:lang w:val="fr-FR"/>
        </w:rPr>
      </w:pPr>
      <w:r w:rsidRPr="00ED7E61">
        <w:rPr>
          <w:rStyle w:val="normaltextrun"/>
          <w:rFonts w:asciiTheme="majorBidi" w:eastAsiaTheme="majorEastAsia" w:hAnsiTheme="majorBidi" w:cstheme="majorBidi"/>
          <w:sz w:val="22"/>
          <w:szCs w:val="22"/>
          <w:lang w:val="fr-FR"/>
        </w:rPr>
        <w:t>RLI(t,u) = 1 – [(Ss(W(t,s) * (rsu/Rs)) / (WEX * Ss (rsu/Rs))</w:t>
      </w:r>
    </w:p>
    <w:p w14:paraId="5F5C0274" w14:textId="50774281" w:rsidR="00756F0F" w:rsidRPr="00ED7E61" w:rsidRDefault="00756F0F" w:rsidP="005B0D1E">
      <w:pPr>
        <w:pStyle w:val="paragraph"/>
        <w:spacing w:before="0" w:beforeAutospacing="0" w:after="0" w:afterAutospacing="0"/>
        <w:ind w:left="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where t is the year of comprehensive reassessment, u is the spatial unit (i.e. country), W_((t,s)) is the weight of the global Red List category for species s at time t (Least Concern =0, Near Threatened =1, </w:t>
      </w: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sz w:val="22"/>
          <w:szCs w:val="22"/>
          <w:lang w:val="en-GB"/>
        </w:rPr>
        <w:t>Vulnerable =2, Endangered =3, Critically Endangered =4, Critically Endangered (Possibly Extinct) =5, Critically Endangered (Possibly Extinct in the Wild) =5, Extinct in the Wild =5 and Extinct =5), WEX = 5 is the weight for Extinct species, r_su is the fraction of the total range of species s in unit u, and R_s is the total range size of species s.</w:t>
      </w:r>
      <w:r w:rsidRPr="00ED7E61">
        <w:rPr>
          <w:rStyle w:val="eop"/>
          <w:rFonts w:asciiTheme="majorBidi" w:eastAsiaTheme="majorEastAsia" w:hAnsiTheme="majorBidi" w:cstheme="majorBidi"/>
          <w:sz w:val="22"/>
          <w:szCs w:val="22"/>
        </w:rPr>
        <w:t> </w:t>
      </w:r>
    </w:p>
    <w:p w14:paraId="7C47A78A" w14:textId="7D283CC9" w:rsidR="005E56F9"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The index varies from 1 if the country has contributed the minimum it can to the global RLI (i.e. if the numerator is 0 because all species in the country are Least Concern) to 0 if the country has contributed the maximum it can to the global RLI (i.e. if the numerator equals the denominator because all species in the country are Extinct or Possibly Extinct). </w:t>
      </w:r>
      <w:r w:rsidRPr="00ED7E61">
        <w:rPr>
          <w:rStyle w:val="normaltextrun"/>
        </w:rPr>
        <w:t> </w:t>
      </w:r>
    </w:p>
    <w:p w14:paraId="4047E615"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The taxonomic groups included are those in which all species have been assessed for the IUCN Red List more than once. Red List categories for years in which comprehensive assessments (i.e. those in which all species in the taxonomic group have been assessed) were carried out are determined following the approach of Butchart et al. 2007, i.e. they match the current categories except for those taxa that have undergone genuine improvement or deterioration in extinction risk of sufficient magnitude to qualify for a higher or lower Red List category.</w:t>
      </w:r>
      <w:r w:rsidRPr="00ED7E61">
        <w:rPr>
          <w:rStyle w:val="normaltextrun"/>
        </w:rPr>
        <w:t> </w:t>
      </w:r>
    </w:p>
    <w:p w14:paraId="215298A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78B652FE" w14:textId="77777777"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The Red List Categories and Criteria are applied for each species on The IUCN Red List of Threatened Species and are determined globally and provided principally by the Specialist Groups and stand-alone Red List Authorities of the IUCN Species Survival Commission, IUCN Secretariat-led initiatives, and Red List partner organizations. The staff of the IUCN Global Species Programme compile, validate, and curate these data, and are responsible for publishing and communicating the results. Each individual species assessment is supported by the application of metadata and documentation standards (IUCN 2013), including classifications of, for example, threats and conservation actions (Salafsky et al. 2008). </w:t>
      </w:r>
      <w:r w:rsidRPr="00ED7E61">
        <w:rPr>
          <w:rStyle w:val="normaltextrun"/>
        </w:rPr>
        <w:t> </w:t>
      </w:r>
    </w:p>
    <w:p w14:paraId="2625C007" w14:textId="1C70D96B" w:rsidR="005E56F9"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Red List assessments are undertaken through either open workshops or through open-access web-based discussion fora. Assessments are reviewed by the appropriate Red List Authority (an individual or organization appointed by the IUCN Species Survival Commission to review assessments for specific species or groups of species) to ensure standardisation and consistency in the interpretation of information and application of the criteria. A Red List Technical Working Group and the IUCN Red List Unit work to ensure consistent categorization between species, groups and assessments. Finally, a Standards and Petitions Sub-committee monitors the process and resolves challenges and disputes over Red List assessments.</w:t>
      </w:r>
      <w:r w:rsidRPr="00ED7E61">
        <w:rPr>
          <w:rStyle w:val="normaltextrun"/>
        </w:rPr>
        <w:t> </w:t>
      </w:r>
    </w:p>
    <w:p w14:paraId="20A26D4F" w14:textId="77777777" w:rsidR="00756F0F" w:rsidRPr="00ED7E61" w:rsidRDefault="00756F0F"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rPr>
        <w:t>While global Red List Indices can be disaggregated to show trends for species at smaller spatial scales, the reverse is not true. National or regional Red List Indices cannot be aggregated to produce Red List Indices showing global trends. This is because a taxon’s global extinction risk has to be evaluated at the global scale and cannot be directly determined from multiple national scale assessments across its range (although the data from such assessments can be aggregated for inclusion in the global assessment).</w:t>
      </w:r>
      <w:r w:rsidRPr="00ED7E61">
        <w:rPr>
          <w:rStyle w:val="eop"/>
          <w:rFonts w:asciiTheme="majorBidi" w:eastAsiaTheme="majorEastAsia" w:hAnsiTheme="majorBidi" w:cstheme="majorBidi"/>
        </w:rPr>
        <w:t> </w:t>
      </w:r>
    </w:p>
    <w:p w14:paraId="12482F6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6d.3 Description of the mechanism for collecting data from countries</w:t>
      </w:r>
      <w:r w:rsidRPr="00ED7E61">
        <w:rPr>
          <w:rStyle w:val="eop"/>
          <w:rFonts w:asciiTheme="majorBidi" w:eastAsiaTheme="majorEastAsia" w:hAnsiTheme="majorBidi" w:cstheme="majorBidi"/>
          <w:sz w:val="22"/>
          <w:szCs w:val="22"/>
        </w:rPr>
        <w:t> </w:t>
      </w:r>
    </w:p>
    <w:p w14:paraId="764ED1F0" w14:textId="77777777" w:rsidR="00756F0F" w:rsidRPr="00ED7E61" w:rsidRDefault="00756F0F" w:rsidP="00B3383B">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48D8D06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organisations</w:t>
      </w:r>
      <w:r w:rsidRPr="00ED7E61">
        <w:rPr>
          <w:rStyle w:val="eop"/>
          <w:rFonts w:asciiTheme="majorBidi" w:eastAsiaTheme="majorEastAsia" w:hAnsiTheme="majorBidi" w:cstheme="majorBidi"/>
          <w:sz w:val="22"/>
          <w:szCs w:val="22"/>
        </w:rPr>
        <w:t> </w:t>
      </w:r>
    </w:p>
    <w:p w14:paraId="40BF248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7FE94294" w14:textId="6D666CA5"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Intergovernmental Science-Policy Platform on Biodiversity and Ecosystem Services (IPBES): global assessment, regional assessments, thematic assessments on sustainable use, IAS etc</w:t>
      </w:r>
      <w:r w:rsidR="00194105">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w:t>
      </w:r>
      <w:r w:rsidRPr="00ED7E61">
        <w:rPr>
          <w:rStyle w:val="normaltextrun"/>
        </w:rPr>
        <w:t> </w:t>
      </w:r>
    </w:p>
    <w:p w14:paraId="32AC2B6A"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 xml:space="preserve">Sustainable Development Goal (SDG) indicator 15.5.1. The Red List Index has been classified by the IAEG-SDGs as Tier 1. Current data are available for all countries in the world, and these are updated annually. Index values for each country are available in the UN SDG Indicators Database </w:t>
      </w:r>
      <w:hyperlink r:id="rId139" w:tgtFrame="_blank" w:history="1">
        <w:r w:rsidRPr="00ED7E61">
          <w:rPr>
            <w:rStyle w:val="normaltextrun"/>
            <w:rFonts w:asciiTheme="majorBidi" w:eastAsiaTheme="majorEastAsia" w:hAnsiTheme="majorBidi" w:cstheme="majorBidi"/>
          </w:rPr>
          <w:t>https://unstats.un.org/sdgs/indicators/database/</w:t>
        </w:r>
      </w:hyperlink>
      <w:r w:rsidRPr="00ED7E61">
        <w:rPr>
          <w:rStyle w:val="normaltextrun"/>
          <w:rFonts w:asciiTheme="majorBidi" w:eastAsiaTheme="majorEastAsia" w:hAnsiTheme="majorBidi" w:cstheme="majorBidi"/>
        </w:rPr>
        <w:t>.</w:t>
      </w:r>
      <w:r w:rsidRPr="00ED7E61">
        <w:rPr>
          <w:rStyle w:val="normaltextrun"/>
        </w:rPr>
        <w:t> </w:t>
      </w:r>
    </w:p>
    <w:p w14:paraId="120A60E5"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Strategic Plan for Migratory Species (SPMS) indicator: 5.1, 6.2 &amp; 8.1</w:t>
      </w:r>
      <w:r w:rsidRPr="00ED7E61">
        <w:rPr>
          <w:rStyle w:val="normaltextrun"/>
        </w:rPr>
        <w:t> </w:t>
      </w:r>
    </w:p>
    <w:p w14:paraId="3333ED6F"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Used by:</w:t>
      </w:r>
      <w:r w:rsidRPr="00ED7E61">
        <w:rPr>
          <w:rStyle w:val="normaltextrun"/>
        </w:rPr>
        <w:t> </w:t>
      </w:r>
    </w:p>
    <w:p w14:paraId="6A2896A9" w14:textId="77777777" w:rsidR="00756F0F" w:rsidRPr="00ED7E61" w:rsidRDefault="00756F0F" w:rsidP="00B10F0C">
      <w:pPr>
        <w:pStyle w:val="CBDNormalNumber"/>
        <w:numPr>
          <w:ilvl w:val="0"/>
          <w:numId w:val="54"/>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Convention on the Conservation of Migratory Species of Wild Animals (CMS)</w:t>
      </w:r>
      <w:r w:rsidRPr="00ED7E61">
        <w:rPr>
          <w:rStyle w:val="normaltextrun"/>
        </w:rPr>
        <w:t> </w:t>
      </w:r>
    </w:p>
    <w:p w14:paraId="3228BB58" w14:textId="77777777" w:rsidR="00756F0F" w:rsidRPr="00ED7E61" w:rsidRDefault="00756F0F" w:rsidP="00B10F0C">
      <w:pPr>
        <w:pStyle w:val="CBDNormalNumber"/>
        <w:numPr>
          <w:ilvl w:val="0"/>
          <w:numId w:val="54"/>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African-Eurasian Migratory Waterbird Agreement (AEWA), </w:t>
      </w:r>
      <w:r w:rsidRPr="00ED7E61">
        <w:rPr>
          <w:rStyle w:val="normaltextrun"/>
        </w:rPr>
        <w:t> </w:t>
      </w:r>
    </w:p>
    <w:p w14:paraId="5FA7F2A9" w14:textId="77777777" w:rsidR="00756F0F" w:rsidRPr="00ED7E61" w:rsidRDefault="00756F0F" w:rsidP="00B10F0C">
      <w:pPr>
        <w:pStyle w:val="CBDNormalNumber"/>
        <w:numPr>
          <w:ilvl w:val="0"/>
          <w:numId w:val="54"/>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Agreement on the Conservation of Albatrosses and Petrels (ACAP) </w:t>
      </w:r>
      <w:r w:rsidRPr="00ED7E61">
        <w:rPr>
          <w:rStyle w:val="normaltextrun"/>
        </w:rPr>
        <w:t> </w:t>
      </w:r>
    </w:p>
    <w:p w14:paraId="4915397A" w14:textId="77777777" w:rsidR="00756F0F" w:rsidRPr="00ED7E61" w:rsidRDefault="00756F0F" w:rsidP="00B10F0C">
      <w:pPr>
        <w:pStyle w:val="CBDNormalNumber"/>
        <w:numPr>
          <w:ilvl w:val="0"/>
          <w:numId w:val="54"/>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Raptors MOU </w:t>
      </w:r>
      <w:r w:rsidRPr="00ED7E61">
        <w:rPr>
          <w:rStyle w:val="normaltextrun"/>
        </w:rPr>
        <w:t> </w:t>
      </w:r>
    </w:p>
    <w:p w14:paraId="4E4ACF5E" w14:textId="77777777" w:rsidR="00756F0F" w:rsidRPr="00ED7E61" w:rsidRDefault="00756F0F" w:rsidP="00B10F0C">
      <w:pPr>
        <w:pStyle w:val="CBDNormalNumber"/>
        <w:numPr>
          <w:ilvl w:val="0"/>
          <w:numId w:val="54"/>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Convention on International Trade in Endangered Species of Wild Fauna and Flora (CITES) </w:t>
      </w:r>
      <w:r w:rsidRPr="00ED7E61">
        <w:rPr>
          <w:rStyle w:val="normaltextrun"/>
        </w:rPr>
        <w:t> </w:t>
      </w:r>
    </w:p>
    <w:p w14:paraId="27021F05" w14:textId="77777777" w:rsidR="00756F0F" w:rsidRPr="00ED7E61" w:rsidRDefault="00756F0F" w:rsidP="00B10F0C">
      <w:pPr>
        <w:pStyle w:val="CBDNormalNumber"/>
        <w:numPr>
          <w:ilvl w:val="0"/>
          <w:numId w:val="54"/>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United Nations Convention to Combat Desertification (UNCCD)</w:t>
      </w:r>
      <w:r w:rsidRPr="00ED7E61">
        <w:rPr>
          <w:rStyle w:val="normaltextrun"/>
        </w:rPr>
        <w:t> </w:t>
      </w:r>
    </w:p>
    <w:p w14:paraId="176CBC70"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Disaggregations of the Red List Index are also of particular relevance as indicators towards the following SDG targets (Brooks et al. 2015): SDG 2.4 Red List Index (species used for food and medicine); SDG 2.5 Red List Index (wild relatives and local breeds); SDG 12.2 Red List Index (impacts of utilisation) (Butchart 2008); SDG 12.4 Red List Index (impacts of pollution); SDG 13.1 Red List Index (impacts of climate change); SDG 14.1 Red List Index (impacts of pollution on marine species); SDG 14.2 Red List Index (marine species); SDG 14.3 Red List Index (reef-building coral species) (Carpenter et al. 2008); SDG 14.4 Red List Index (impacts of utilisation on marine species); SDG 15.1 Red List Index (terrestrial &amp; freshwater species); SDG 15.2 Red List Index (forest-specialist species); SDG 15.4 Red List Index (mountain species); SDG 15.7 Red List Index (impacts of utilisation) (Butchart 2008); and SDG 15.8 Red List Index (impacts of invasive alien species) (Butchart 2008, McGeoch et al. 2010).</w:t>
      </w:r>
      <w:r w:rsidRPr="00ED7E61">
        <w:rPr>
          <w:rStyle w:val="normaltextrun"/>
        </w:rPr>
        <w:t> </w:t>
      </w:r>
    </w:p>
    <w:p w14:paraId="4185E250"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 xml:space="preserve">Red List Index graphs and underlying index data are available for each country, SDG regions, IPBES region, CMS region and various thematic disaggregations at </w:t>
      </w:r>
      <w:hyperlink r:id="rId140" w:tgtFrame="_blank" w:history="1">
        <w:r w:rsidRPr="00ED7E61">
          <w:rPr>
            <w:rStyle w:val="normaltextrun"/>
            <w:rFonts w:asciiTheme="majorBidi" w:eastAsiaTheme="majorEastAsia" w:hAnsiTheme="majorBidi" w:cstheme="majorBidi"/>
          </w:rPr>
          <w:t>https://www.iucnredlist.org/search</w:t>
        </w:r>
      </w:hyperlink>
      <w:r w:rsidRPr="00ED7E61">
        <w:rPr>
          <w:rStyle w:val="normaltextrun"/>
          <w:rFonts w:asciiTheme="majorBidi" w:eastAsiaTheme="majorEastAsia" w:hAnsiTheme="majorBidi" w:cstheme="majorBidi"/>
        </w:rPr>
        <w:t>. Red List Index graphs are also available for each country in the BIP Indicators Dashboard (</w:t>
      </w:r>
      <w:hyperlink r:id="rId141" w:tgtFrame="_blank" w:history="1">
        <w:r w:rsidRPr="00ED7E61">
          <w:rPr>
            <w:rStyle w:val="normaltextrun"/>
            <w:rFonts w:asciiTheme="majorBidi" w:eastAsiaTheme="majorEastAsia" w:hAnsiTheme="majorBidi" w:cstheme="majorBidi"/>
          </w:rPr>
          <w:t>https://bipdashboard.natureserve.org/bip/SelectCountry.html</w:t>
        </w:r>
      </w:hyperlink>
      <w:r w:rsidRPr="00ED7E61">
        <w:rPr>
          <w:rStyle w:val="normaltextrun"/>
          <w:rFonts w:asciiTheme="majorBidi" w:eastAsiaTheme="majorEastAsia" w:hAnsiTheme="majorBidi" w:cstheme="majorBidi"/>
        </w:rPr>
        <w:t>), the Integrated Biodiversity Assessment Tool Country Profiles (</w:t>
      </w:r>
      <w:hyperlink r:id="rId142" w:tgtFrame="_blank" w:history="1">
        <w:r w:rsidRPr="00ED7E61">
          <w:rPr>
            <w:rStyle w:val="normaltextrun"/>
            <w:rFonts w:asciiTheme="majorBidi" w:eastAsiaTheme="majorEastAsia" w:hAnsiTheme="majorBidi" w:cstheme="majorBidi"/>
          </w:rPr>
          <w:t>https://ibat-alliance.org/country_profiles</w:t>
        </w:r>
      </w:hyperlink>
      <w:r w:rsidRPr="00ED7E61">
        <w:rPr>
          <w:rStyle w:val="normaltextrun"/>
          <w:rFonts w:asciiTheme="majorBidi" w:eastAsiaTheme="majorEastAsia" w:hAnsiTheme="majorBidi" w:cstheme="majorBidi"/>
        </w:rPr>
        <w:t>), and (for birds) on the BirdLife International Data Zone (</w:t>
      </w:r>
      <w:hyperlink r:id="rId143" w:tgtFrame="_blank" w:history="1">
        <w:r w:rsidRPr="00ED7E61">
          <w:rPr>
            <w:rStyle w:val="normaltextrun"/>
            <w:rFonts w:asciiTheme="majorBidi" w:eastAsiaTheme="majorEastAsia" w:hAnsiTheme="majorBidi" w:cstheme="majorBidi"/>
          </w:rPr>
          <w:t>http://datazone.birdlife.org/species/dashboard</w:t>
        </w:r>
      </w:hyperlink>
      <w:r w:rsidRPr="00ED7E61">
        <w:rPr>
          <w:rStyle w:val="normaltextrun"/>
          <w:rFonts w:asciiTheme="majorBidi" w:eastAsiaTheme="majorEastAsia" w:hAnsiTheme="majorBidi" w:cstheme="majorBidi"/>
        </w:rPr>
        <w:t>).</w:t>
      </w:r>
      <w:r w:rsidRPr="00ED7E61">
        <w:rPr>
          <w:rStyle w:val="normaltextrun"/>
        </w:rPr>
        <w:t> </w:t>
      </w:r>
    </w:p>
    <w:p w14:paraId="4847F7CB" w14:textId="77777777" w:rsidR="00756F0F" w:rsidRPr="00ED7E61" w:rsidRDefault="00756F0F"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0BFA13B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sz w:val="22"/>
          <w:szCs w:val="22"/>
        </w:rPr>
        <w:t xml:space="preserve">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13D24B3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hyperlink r:id="rId144" w:tgtFrame="_blank" w:history="1">
        <w:r w:rsidRPr="00ED7E61">
          <w:rPr>
            <w:rStyle w:val="normaltextrun"/>
            <w:rFonts w:asciiTheme="majorBidi" w:eastAsiaTheme="majorEastAsia" w:hAnsiTheme="majorBidi" w:cstheme="majorBidi"/>
            <w:color w:val="467886"/>
            <w:sz w:val="22"/>
            <w:szCs w:val="22"/>
            <w:u w:val="single"/>
            <w:lang w:val="en-GB"/>
          </w:rPr>
          <w:t>https://www.bipindicators.net/indicators/red-list-index</w:t>
        </w:r>
      </w:hyperlink>
      <w:r w:rsidRPr="00ED7E61">
        <w:rPr>
          <w:rStyle w:val="eop"/>
          <w:rFonts w:asciiTheme="majorBidi" w:eastAsiaTheme="majorEastAsia" w:hAnsiTheme="majorBidi" w:cstheme="majorBidi"/>
          <w:sz w:val="22"/>
          <w:szCs w:val="22"/>
        </w:rPr>
        <w:t> </w:t>
      </w:r>
    </w:p>
    <w:p w14:paraId="059B3AC5" w14:textId="74FE8A45"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7D3CD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7D3CD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2F2A523D" w14:textId="284D9635" w:rsidR="00756F0F"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The indicator can also be disaggregated by: realms (terrestrial, freshwater and marine), ecosystems (forest, wetland etc</w:t>
      </w:r>
      <w:r w:rsidR="00B6621B">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various political and geographic divisions (e.g. Han et al. 2014); by taxonomic subsets (e.g. Hoffmann et al. 2011); by suites of species relevant to particular international treaties or legislation (e.g. Croxall et al. 2012); by suites of species exposed to particular threatening processes (e.g. Butchart 2008); and by suites of species that deliver particular ecosystem services (e.g. Regan et al. 2015), or have particular biological or life-history traits (e.g. migratory species, as an indicator relating to ecological connectivity). It can also be disaggregated to show trends in the impacts of particular drivers (e.g. utilisation, invasive alien species, pollution etc</w:t>
      </w:r>
      <w:r w:rsidR="00B6621B">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 these disaggregations show trends in extinction risk for all species, but reflecting only changes in extinction risk driven primarily by particular drivers or their mitigation. In each case, information can be obtained from The IUCN Red List of Threatened Species to determine which species are relevant to particular subsets (e.g. which occur in particular ecosystems, habitats, and geographic areas of interest). Drivers follows the </w:t>
      </w:r>
      <w:hyperlink r:id="rId145" w:tgtFrame="_blank" w:history="1">
        <w:r w:rsidRPr="00ED7E61">
          <w:rPr>
            <w:rStyle w:val="normaltextrun"/>
            <w:rFonts w:asciiTheme="majorBidi" w:eastAsiaTheme="majorEastAsia" w:hAnsiTheme="majorBidi" w:cstheme="majorBidi"/>
          </w:rPr>
          <w:t>IUCN Threats Classification Scheme</w:t>
        </w:r>
      </w:hyperlink>
      <w:r w:rsidRPr="00ED7E61">
        <w:rPr>
          <w:rStyle w:val="normaltextrun"/>
          <w:rFonts w:asciiTheme="majorBidi" w:eastAsiaTheme="majorEastAsia" w:hAnsiTheme="majorBidi" w:cstheme="majorBidi"/>
        </w:rPr>
        <w:t xml:space="preserve">. These disaggregations are available on the IUCN Red List website at </w:t>
      </w:r>
      <w:hyperlink r:id="rId146" w:tgtFrame="_blank" w:history="1">
        <w:r w:rsidRPr="00ED7E61">
          <w:rPr>
            <w:rStyle w:val="normaltextrun"/>
            <w:rFonts w:asciiTheme="majorBidi" w:eastAsiaTheme="majorEastAsia" w:hAnsiTheme="majorBidi" w:cstheme="majorBidi"/>
          </w:rPr>
          <w:t>https://www.iucnredlist.org/search</w:t>
        </w:r>
      </w:hyperlink>
      <w:r w:rsidRPr="00ED7E61">
        <w:rPr>
          <w:rStyle w:val="normaltextrun"/>
          <w:rFonts w:asciiTheme="majorBidi" w:eastAsiaTheme="majorEastAsia" w:hAnsiTheme="majorBidi" w:cstheme="majorBidi"/>
        </w:rPr>
        <w:t>. Those shown in bold above are recommended as priority disaggregations.</w:t>
      </w:r>
      <w:r w:rsidRPr="00ED7E61">
        <w:rPr>
          <w:rStyle w:val="normaltextrun"/>
        </w:rPr>
        <w:t> </w:t>
      </w:r>
    </w:p>
    <w:p w14:paraId="05A1AA4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29EDA363" w14:textId="01FBA9CF" w:rsidR="005E56F9" w:rsidRPr="00ED7E61" w:rsidRDefault="00756F0F" w:rsidP="00B10F0C">
      <w:pPr>
        <w:pStyle w:val="CBDNormalNumber"/>
        <w:rPr>
          <w:rStyle w:val="normaltextrun"/>
          <w:rFonts w:eastAsiaTheme="majorEastAsia"/>
          <w:sz w:val="24"/>
          <w:szCs w:val="24"/>
          <w:lang w:val="en-CA"/>
        </w:rPr>
      </w:pPr>
      <w:r w:rsidRPr="00ED7E61">
        <w:rPr>
          <w:rStyle w:val="normaltextrun"/>
          <w:rFonts w:asciiTheme="majorBidi" w:eastAsiaTheme="majorEastAsia" w:hAnsiTheme="majorBidi" w:cstheme="majorBidi"/>
        </w:rPr>
        <w:t>Target 4. Ensure urgent management actions to halt human induced extinction of known threatened species and for the recovery and conservation of species, in particular threatened species, to significantly reduce extinction risk, as well as to maintain and restore the genetic diversity within and between populations of native, wild and domesticated species to maintain their adaptive potential, including through in situ and ex situ conservation and sustainable management practices, and effectively manage human-wildlife interactions to minimize human-wildlife conflict for coexistence</w:t>
      </w:r>
      <w:r w:rsidR="005E56F9" w:rsidRPr="00ED7E61">
        <w:rPr>
          <w:rStyle w:val="normaltextrun"/>
          <w:rFonts w:asciiTheme="majorBidi" w:eastAsiaTheme="majorEastAsia" w:hAnsiTheme="majorBidi" w:cstheme="majorBidi"/>
        </w:rPr>
        <w:t>:</w:t>
      </w:r>
      <w:r w:rsidRPr="00ED7E61">
        <w:rPr>
          <w:rStyle w:val="normaltextrun"/>
        </w:rPr>
        <w:t> </w:t>
      </w:r>
    </w:p>
    <w:p w14:paraId="05590E48" w14:textId="17379F6E" w:rsidR="005E56F9" w:rsidRPr="00ED7E61" w:rsidRDefault="00756F0F" w:rsidP="00B10F0C">
      <w:pPr>
        <w:pStyle w:val="CBDNormalNumber"/>
        <w:numPr>
          <w:ilvl w:val="0"/>
          <w:numId w:val="55"/>
        </w:numPr>
        <w:tabs>
          <w:tab w:val="clear" w:pos="567"/>
          <w:tab w:val="clear" w:pos="1134"/>
          <w:tab w:val="clear" w:pos="1701"/>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w:t>
      </w:r>
      <w:r w:rsidRPr="00ED7E61">
        <w:rPr>
          <w:rStyle w:val="normaltextrun"/>
        </w:rPr>
        <w:t> </w:t>
      </w:r>
    </w:p>
    <w:p w14:paraId="113DC31B" w14:textId="77777777" w:rsidR="00756F0F" w:rsidRPr="00ED7E61" w:rsidRDefault="00756F0F" w:rsidP="00B10F0C">
      <w:pPr>
        <w:pStyle w:val="CBDNormalNumber"/>
        <w:numPr>
          <w:ilvl w:val="0"/>
          <w:numId w:val="55"/>
        </w:numPr>
        <w:tabs>
          <w:tab w:val="clear" w:pos="567"/>
          <w:tab w:val="clear" w:pos="1134"/>
          <w:tab w:val="clear" w:pos="1701"/>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(migratory species) – to reflect the impact of management actions for the recovery of migratory species in relation to enhancing ecological connectivity</w:t>
      </w:r>
      <w:r w:rsidRPr="00ED7E61">
        <w:rPr>
          <w:rStyle w:val="normaltextrun"/>
        </w:rPr>
        <w:t> </w:t>
      </w:r>
    </w:p>
    <w:p w14:paraId="0B1F84D8" w14:textId="5A9F4FC6" w:rsidR="005E56F9"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Target 5. Ensure that the use, harvesting and trade of wild species is sustainable, safe and legal, preventing overexploitation, minimizing impacts on non-target species and ecosystems, and reducing the risk of pathogen spillover, applying the ecosystem approach, while respecting and protecting customary sustainable use by indigenous peoples and local communities</w:t>
      </w:r>
      <w:r w:rsidRPr="00ED7E61">
        <w:rPr>
          <w:rStyle w:val="normaltextrun"/>
        </w:rPr>
        <w:t> </w:t>
      </w:r>
    </w:p>
    <w:p w14:paraId="17B0EF81" w14:textId="3C43AC49" w:rsidR="005E56F9" w:rsidRPr="00ED7E61" w:rsidRDefault="00756F0F" w:rsidP="00B10F0C">
      <w:pPr>
        <w:pStyle w:val="CBDNormalNumber"/>
        <w:numPr>
          <w:ilvl w:val="0"/>
          <w:numId w:val="56"/>
        </w:numPr>
        <w:tabs>
          <w:tab w:val="clear" w:pos="567"/>
          <w:tab w:val="clear" w:pos="1134"/>
          <w:tab w:val="clear" w:pos="2268"/>
          <w:tab w:val="left" w:pos="1985"/>
        </w:tabs>
        <w:ind w:firstLine="558"/>
        <w:rPr>
          <w:rStyle w:val="normaltextrun"/>
          <w:rFonts w:asciiTheme="majorBidi" w:eastAsiaTheme="majorEastAsia" w:hAnsiTheme="majorBidi" w:cstheme="majorBidi"/>
          <w:sz w:val="24"/>
          <w:szCs w:val="24"/>
          <w:lang w:val="en-CA"/>
        </w:rPr>
      </w:pPr>
      <w:r w:rsidRPr="00ED7E61">
        <w:rPr>
          <w:rStyle w:val="normaltextrun"/>
          <w:rFonts w:asciiTheme="majorBidi" w:eastAsiaTheme="majorEastAsia" w:hAnsiTheme="majorBidi" w:cstheme="majorBidi"/>
        </w:rPr>
        <w:t>Red List Index (impacts of utilisation) [more relevant than the Red List Index for used species,;</w:t>
      </w:r>
      <w:r w:rsidRPr="00ED7E61">
        <w:rPr>
          <w:rStyle w:val="normaltextrun"/>
        </w:rPr>
        <w:t> </w:t>
      </w:r>
    </w:p>
    <w:p w14:paraId="34E97C69" w14:textId="0B353AD3" w:rsidR="005900C9" w:rsidRPr="00ED7E61" w:rsidRDefault="00756F0F" w:rsidP="00B10F0C">
      <w:pPr>
        <w:pStyle w:val="CBDNormalNumber"/>
        <w:numPr>
          <w:ilvl w:val="0"/>
          <w:numId w:val="56"/>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(internationally traded species) </w:t>
      </w:r>
      <w:r w:rsidRPr="00ED7E61">
        <w:rPr>
          <w:rStyle w:val="normaltextrun"/>
        </w:rPr>
        <w:t> </w:t>
      </w:r>
    </w:p>
    <w:p w14:paraId="559E6AEF" w14:textId="7AAC0930" w:rsidR="00756F0F" w:rsidRPr="00ED7E61" w:rsidRDefault="00756F0F" w:rsidP="00B10F0C">
      <w:pPr>
        <w:pStyle w:val="CBDNormalNumber"/>
        <w:numPr>
          <w:ilvl w:val="0"/>
          <w:numId w:val="56"/>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(impacts of fisheries) </w:t>
      </w:r>
      <w:r w:rsidRPr="00ED7E61">
        <w:rPr>
          <w:rStyle w:val="normaltextrun"/>
        </w:rPr>
        <w:t> </w:t>
      </w:r>
    </w:p>
    <w:p w14:paraId="39792EB0"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Target 6. Eliminate, minimize, reduce and or mitigate the impacts of invasive alien species on biodiversity and ecosystem services by identifying and managing pathways of the introduction of alien species, preventing the introduction and establishment of priority invasive alien species, reducing the rates of introduction and establishment of other known or potential invasive alien species by at least 50 per cent by 2030, and eradicating or controlling invasive alien species, especially in priority sites, such as islands.</w:t>
      </w:r>
      <w:r w:rsidRPr="00ED7E61">
        <w:rPr>
          <w:rStyle w:val="normaltextrun"/>
        </w:rPr>
        <w:t> </w:t>
      </w:r>
    </w:p>
    <w:p w14:paraId="7900E3EF" w14:textId="2885F898" w:rsidR="00756F0F" w:rsidRPr="00ED7E61" w:rsidRDefault="008D5BDD" w:rsidP="00B3383B">
      <w:pPr>
        <w:pStyle w:val="CBDNormalNumber"/>
        <w:numPr>
          <w:ilvl w:val="0"/>
          <w:numId w:val="0"/>
        </w:numPr>
        <w:tabs>
          <w:tab w:val="clear" w:pos="567"/>
          <w:tab w:val="clear" w:pos="1134"/>
          <w:tab w:val="clear" w:pos="1701"/>
          <w:tab w:val="clear" w:pos="2268"/>
          <w:tab w:val="left" w:pos="1985"/>
        </w:tabs>
        <w:ind w:left="1134"/>
        <w:rPr>
          <w:rStyle w:val="normaltextrun"/>
          <w:rFonts w:eastAsiaTheme="majorEastAsia"/>
        </w:rPr>
      </w:pPr>
      <w:r>
        <w:rPr>
          <w:rStyle w:val="normaltextrun"/>
          <w:rFonts w:asciiTheme="majorBidi" w:eastAsiaTheme="majorEastAsia" w:hAnsiTheme="majorBidi" w:cstheme="majorBidi"/>
        </w:rPr>
        <w:t xml:space="preserve">(a) </w:t>
      </w:r>
      <w:r w:rsidR="00756F0F" w:rsidRPr="00ED7E61">
        <w:rPr>
          <w:rStyle w:val="normaltextrun"/>
          <w:rFonts w:asciiTheme="majorBidi" w:eastAsiaTheme="majorEastAsia" w:hAnsiTheme="majorBidi" w:cstheme="majorBidi"/>
        </w:rPr>
        <w:t>Red List Index (impacts of invasive alien species)</w:t>
      </w:r>
    </w:p>
    <w:p w14:paraId="32354B66" w14:textId="77777777" w:rsidR="00756F0F" w:rsidRPr="00ED7E61" w:rsidRDefault="00756F0F" w:rsidP="00B10F0C">
      <w:pPr>
        <w:pStyle w:val="CBDNormalNumber"/>
        <w:rPr>
          <w:rFonts w:asciiTheme="majorBidi" w:hAnsiTheme="majorBidi" w:cstheme="majorBidi"/>
        </w:rPr>
      </w:pPr>
      <w:r w:rsidRPr="00ED7E61">
        <w:rPr>
          <w:rStyle w:val="normaltextrun"/>
          <w:rFonts w:asciiTheme="majorBidi" w:eastAsiaTheme="majorEastAsia" w:hAnsiTheme="majorBidi" w:cstheme="majorBidi"/>
        </w:rPr>
        <w:t>Target 7. Reduce pollution risks and the negative impact of pollution from all sources by 2030, to levels that are not harmful to biodiversity and ecosystem functions and services, considering cumulative effects, including: (a) by reducing excess nutrients lost to the environment by at least half, including through more efficient nutrient cycling and use; (b) by reducing the overall risk from pesticides and highly hazardous chemicals by at least half, including through integrated pest management, based on science, taking into account food security and livelihoods; and (c) by preventing, reducing, and working towards eliminating plastic pollution.</w:t>
      </w:r>
      <w:r w:rsidRPr="00ED7E61">
        <w:rPr>
          <w:rStyle w:val="eop"/>
          <w:rFonts w:asciiTheme="majorBidi" w:eastAsiaTheme="majorEastAsia" w:hAnsiTheme="majorBidi" w:cstheme="majorBidi"/>
        </w:rPr>
        <w:t> </w:t>
      </w:r>
    </w:p>
    <w:p w14:paraId="419A6065" w14:textId="7D0CA138" w:rsidR="00756F0F" w:rsidRPr="00ED7E61" w:rsidRDefault="00756F0F" w:rsidP="00B10F0C">
      <w:pPr>
        <w:pStyle w:val="CBDNormalNumber"/>
        <w:numPr>
          <w:ilvl w:val="1"/>
          <w:numId w:val="34"/>
        </w:numPr>
        <w:tabs>
          <w:tab w:val="clear" w:pos="567"/>
          <w:tab w:val="clear" w:pos="1134"/>
          <w:tab w:val="clear" w:pos="1701"/>
          <w:tab w:val="clear" w:pos="2268"/>
          <w:tab w:val="left" w:pos="1418"/>
          <w:tab w:val="left" w:pos="1985"/>
        </w:tabs>
        <w:rPr>
          <w:rFonts w:asciiTheme="majorBidi" w:hAnsiTheme="majorBidi" w:cstheme="majorBidi"/>
        </w:rPr>
      </w:pPr>
      <w:r w:rsidRPr="00ED7E61">
        <w:rPr>
          <w:rStyle w:val="normaltextrun"/>
          <w:rFonts w:asciiTheme="majorBidi" w:eastAsiaTheme="majorEastAsia" w:hAnsiTheme="majorBidi" w:cstheme="majorBidi"/>
        </w:rPr>
        <w:t>Red List Index (impacts of pollution)</w:t>
      </w:r>
    </w:p>
    <w:p w14:paraId="5A70E273"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Target 9. Ensure that the management and use of wild species are sustainable, thereby providing social, economic and environmental benefits for people, especially those in vulnerable situations and those most dependent on biodiversity, including through sustainable biodiversity-based activities, products and services that enhance biodiversity, and protecting and encouraging customary sustainable use by indigenous peoples and local communities.</w:t>
      </w:r>
      <w:r w:rsidRPr="00ED7E61">
        <w:rPr>
          <w:rStyle w:val="normaltextrun"/>
        </w:rPr>
        <w:t> </w:t>
      </w:r>
    </w:p>
    <w:p w14:paraId="37AC34DD" w14:textId="3FFC643B" w:rsidR="00756F0F" w:rsidRPr="00ED7E61" w:rsidRDefault="00756F0F" w:rsidP="00B10F0C">
      <w:pPr>
        <w:pStyle w:val="CBDNormalNumber"/>
        <w:numPr>
          <w:ilvl w:val="0"/>
          <w:numId w:val="57"/>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(species used for food and medicine)</w:t>
      </w:r>
    </w:p>
    <w:p w14:paraId="6474C904" w14:textId="77777777" w:rsidR="00756F0F" w:rsidRPr="00ED7E61" w:rsidRDefault="00756F0F" w:rsidP="00B10F0C">
      <w:pPr>
        <w:pStyle w:val="CBDNormalNumber"/>
        <w:numPr>
          <w:ilvl w:val="0"/>
          <w:numId w:val="57"/>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(impacts of fisheries)</w:t>
      </w:r>
      <w:r w:rsidRPr="00ED7E61">
        <w:rPr>
          <w:rStyle w:val="normaltextrun"/>
        </w:rPr>
        <w:t> </w:t>
      </w:r>
    </w:p>
    <w:p w14:paraId="6F508A46" w14:textId="77777777" w:rsidR="00756F0F" w:rsidRPr="00ED7E61" w:rsidRDefault="00756F0F" w:rsidP="00B10F0C">
      <w:pPr>
        <w:pStyle w:val="CBDNormalNumber"/>
        <w:numPr>
          <w:ilvl w:val="0"/>
          <w:numId w:val="57"/>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(impact of utilization) </w:t>
      </w:r>
      <w:r w:rsidRPr="00ED7E61">
        <w:rPr>
          <w:rStyle w:val="normaltextrun"/>
        </w:rPr>
        <w:t> </w:t>
      </w:r>
    </w:p>
    <w:p w14:paraId="7FD587E0"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Target 10. Ensure that areas under agriculture, aquaculture, fisheries and forestry are managed sustainably, in particular through the sustainable use of biodiversity, including through a substantial increase of the application of biodiversity friendly practices, such as sustainable intensification, agroecological and other innovative approaches, contributing to the resilience and long-term efficiency and productivity of these production systems, and to food security, conserving and restoring biodiversity and maintaining nature’s contributions to people, including ecosystem functions and services.</w:t>
      </w:r>
      <w:r w:rsidRPr="00ED7E61">
        <w:rPr>
          <w:rStyle w:val="normaltextrun"/>
        </w:rPr>
        <w:t> </w:t>
      </w:r>
    </w:p>
    <w:p w14:paraId="3DCAA4AC" w14:textId="62C70FEC" w:rsidR="00756F0F" w:rsidRPr="00ED7E61" w:rsidRDefault="00756F0F" w:rsidP="00B10F0C">
      <w:pPr>
        <w:pStyle w:val="CBDNormalNumber"/>
        <w:numPr>
          <w:ilvl w:val="0"/>
          <w:numId w:val="58"/>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(pollinating species)</w:t>
      </w:r>
      <w:r w:rsidR="00956C65" w:rsidRPr="00ED7E61">
        <w:rPr>
          <w:rStyle w:val="normaltextrun"/>
          <w:rFonts w:asciiTheme="majorBidi" w:eastAsiaTheme="majorEastAsia" w:hAnsiTheme="majorBidi" w:cstheme="majorBidi"/>
        </w:rPr>
        <w:t>, this is</w:t>
      </w:r>
      <w:r w:rsidRPr="00ED7E61">
        <w:rPr>
          <w:rStyle w:val="normaltextrun"/>
          <w:rFonts w:asciiTheme="majorBidi" w:eastAsiaTheme="majorEastAsia" w:hAnsiTheme="majorBidi" w:cstheme="majorBidi"/>
        </w:rPr>
        <w:t xml:space="preserve"> listed as a Complementary indicator</w:t>
      </w:r>
      <w:r w:rsidRPr="00ED7E61">
        <w:rPr>
          <w:rStyle w:val="normaltextrun"/>
        </w:rPr>
        <w:t> </w:t>
      </w:r>
    </w:p>
    <w:p w14:paraId="221C1D8C" w14:textId="56D8DBA6" w:rsidR="00756F0F" w:rsidRPr="00ED7E61" w:rsidRDefault="00756F0F" w:rsidP="00B10F0C">
      <w:pPr>
        <w:pStyle w:val="CBDNormalNumber"/>
        <w:numPr>
          <w:ilvl w:val="0"/>
          <w:numId w:val="58"/>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(wild relatives of domesticated species)</w:t>
      </w:r>
      <w:r w:rsidRPr="00ED7E61">
        <w:rPr>
          <w:rStyle w:val="normaltextrun"/>
        </w:rPr>
        <w:t> </w:t>
      </w:r>
    </w:p>
    <w:p w14:paraId="2BA64D24" w14:textId="586F441F" w:rsidR="00756F0F" w:rsidRPr="00ED7E61" w:rsidRDefault="00756F0F" w:rsidP="00B10F0C">
      <w:pPr>
        <w:pStyle w:val="CBDNormalNumber"/>
        <w:numPr>
          <w:ilvl w:val="0"/>
          <w:numId w:val="58"/>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(impacts of agriculture)</w:t>
      </w:r>
      <w:r w:rsidRPr="00ED7E61">
        <w:rPr>
          <w:rStyle w:val="normaltextrun"/>
        </w:rPr>
        <w:t> </w:t>
      </w:r>
    </w:p>
    <w:p w14:paraId="25EA2A48" w14:textId="3F954AC7" w:rsidR="00756F0F" w:rsidRPr="00ED7E61" w:rsidRDefault="00756F0F" w:rsidP="00B10F0C">
      <w:pPr>
        <w:pStyle w:val="CBDNormalNumber"/>
        <w:numPr>
          <w:ilvl w:val="0"/>
          <w:numId w:val="58"/>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(impacts of fisheries)</w:t>
      </w:r>
      <w:r w:rsidRPr="00ED7E61">
        <w:rPr>
          <w:rStyle w:val="normaltextrun"/>
        </w:rPr>
        <w:t> </w:t>
      </w:r>
    </w:p>
    <w:p w14:paraId="2364DB95" w14:textId="77777777" w:rsidR="00756F0F" w:rsidRPr="00ED7E61" w:rsidRDefault="00756F0F" w:rsidP="00B10F0C">
      <w:pPr>
        <w:pStyle w:val="CBDNormalNumber"/>
        <w:numPr>
          <w:ilvl w:val="0"/>
          <w:numId w:val="58"/>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Red List Index (forest specialist species)</w:t>
      </w:r>
      <w:r w:rsidRPr="00ED7E61">
        <w:rPr>
          <w:rStyle w:val="normaltextrun"/>
        </w:rPr>
        <w:t> </w:t>
      </w:r>
    </w:p>
    <w:p w14:paraId="6F48AB48" w14:textId="77777777" w:rsidR="00756F0F" w:rsidRPr="00ED7E61" w:rsidRDefault="00756F0F" w:rsidP="00B10F0C">
      <w:pPr>
        <w:pStyle w:val="CBDNormalNumber"/>
        <w:rPr>
          <w:rStyle w:val="normaltextrun"/>
          <w:rFonts w:eastAsiaTheme="majorEastAsia"/>
        </w:rPr>
      </w:pPr>
      <w:r w:rsidRPr="00ED7E61">
        <w:rPr>
          <w:rStyle w:val="normaltextrun"/>
          <w:rFonts w:asciiTheme="majorBidi" w:eastAsiaTheme="majorEastAsia" w:hAnsiTheme="majorBidi" w:cstheme="majorBidi"/>
        </w:rPr>
        <w:t>Target 21. Ensure that the best available data, information and knowledge are accessible to decision makers, practitioners and the public to guide effective and equitable governance, integrated and participatory management of biodiversity, and to strengthen communication, awareness-raising, education, monitoring, research and knowledge management and, also in this context, traditional knowledge, innovations, practices and technologies of indigenous peoples and local communities should only be accessed with their free, prior and informed consent, 14 in accordance with national legislation.</w:t>
      </w:r>
      <w:r w:rsidRPr="00ED7E61">
        <w:rPr>
          <w:rStyle w:val="normaltextrun"/>
        </w:rPr>
        <w:t> </w:t>
      </w:r>
    </w:p>
    <w:p w14:paraId="51DFE649" w14:textId="2A0493BD" w:rsidR="00756F0F" w:rsidRPr="00ED7E61" w:rsidRDefault="00756F0F" w:rsidP="00B10F0C">
      <w:pPr>
        <w:pStyle w:val="CBDNormalNumber"/>
        <w:numPr>
          <w:ilvl w:val="0"/>
          <w:numId w:val="59"/>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 xml:space="preserve">Proportion of known species assessed through the IUCN Red List </w:t>
      </w:r>
    </w:p>
    <w:p w14:paraId="1592658D" w14:textId="0CA48B30" w:rsidR="00756F0F" w:rsidRPr="00ED7E61" w:rsidRDefault="00756F0F" w:rsidP="00B10F0C">
      <w:pPr>
        <w:pStyle w:val="CBDNormalNumber"/>
        <w:numPr>
          <w:ilvl w:val="0"/>
          <w:numId w:val="59"/>
        </w:numPr>
        <w:tabs>
          <w:tab w:val="clear" w:pos="567"/>
          <w:tab w:val="clear" w:pos="1134"/>
          <w:tab w:val="clear" w:pos="2268"/>
          <w:tab w:val="left" w:pos="1985"/>
        </w:tabs>
        <w:ind w:firstLine="558"/>
        <w:rPr>
          <w:rStyle w:val="normaltextrun"/>
          <w:rFonts w:eastAsiaTheme="majorEastAsia"/>
        </w:rPr>
      </w:pPr>
      <w:r w:rsidRPr="00ED7E61">
        <w:rPr>
          <w:rStyle w:val="normaltextrun"/>
          <w:rFonts w:asciiTheme="majorBidi" w:eastAsiaTheme="majorEastAsia" w:hAnsiTheme="majorBidi" w:cstheme="majorBidi"/>
        </w:rPr>
        <w:t>Number of assessments on the IUCN Red List of threatened species</w:t>
      </w:r>
      <w:r w:rsidRPr="00ED7E61">
        <w:rPr>
          <w:rStyle w:val="normaltextrun"/>
        </w:rPr>
        <w:t> </w:t>
      </w:r>
    </w:p>
    <w:p w14:paraId="2C4E7C5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5A04A5DD" w14:textId="1F7C5588" w:rsidR="00756F0F" w:rsidRPr="00ED7E61" w:rsidRDefault="00756F0F"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FF386B">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7F5BF915" w14:textId="77777777" w:rsidR="00756F0F" w:rsidRPr="00ED7E61" w:rsidRDefault="00756F0F" w:rsidP="00B3383B">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International Union for Conservation of Nature (IUCN)</w:t>
      </w:r>
      <w:r w:rsidRPr="00ED7E61">
        <w:rPr>
          <w:rStyle w:val="normaltextrun"/>
        </w:rPr>
        <w:t> </w:t>
      </w:r>
    </w:p>
    <w:p w14:paraId="066F86C1"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BirdLife International (BLI)</w:t>
      </w:r>
      <w:r w:rsidRPr="00ED7E61">
        <w:rPr>
          <w:rStyle w:val="normaltextrun"/>
        </w:rPr>
        <w:t> </w:t>
      </w:r>
    </w:p>
    <w:p w14:paraId="7F9151C8" w14:textId="77777777" w:rsidR="00756F0F" w:rsidRPr="00ED7E61" w:rsidRDefault="00756F0F"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04FB644A" w14:textId="77777777" w:rsidR="00756F0F" w:rsidRPr="00ED7E61" w:rsidRDefault="00756F0F"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Dr Thomas Brooks (</w:t>
      </w:r>
      <w:hyperlink r:id="rId147" w:tgtFrame="_blank" w:history="1">
        <w:r w:rsidRPr="00ED7E61">
          <w:rPr>
            <w:rStyle w:val="normaltextrun"/>
            <w:rFonts w:asciiTheme="majorBidi" w:eastAsiaTheme="majorEastAsia" w:hAnsiTheme="majorBidi" w:cstheme="majorBidi"/>
            <w:color w:val="467886"/>
            <w:sz w:val="22"/>
            <w:szCs w:val="22"/>
            <w:u w:val="single"/>
            <w:lang w:val="en-GB"/>
          </w:rPr>
          <w:t>thomas.brooks@iucn.org</w:t>
        </w:r>
      </w:hyperlink>
      <w:r w:rsidRPr="00ED7E61">
        <w:rPr>
          <w:rStyle w:val="normaltextrun"/>
          <w:rFonts w:asciiTheme="majorBidi" w:eastAsiaTheme="majorEastAsia"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3B431D76" w14:textId="77777777" w:rsidR="00756F0F" w:rsidRPr="00ED7E61" w:rsidRDefault="00756F0F"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Dr Stuart Butchart (</w:t>
      </w:r>
      <w:hyperlink r:id="rId148" w:tgtFrame="_blank" w:history="1">
        <w:r w:rsidRPr="00ED7E61">
          <w:rPr>
            <w:rStyle w:val="normaltextrun"/>
            <w:rFonts w:asciiTheme="majorBidi" w:eastAsiaTheme="majorEastAsia" w:hAnsiTheme="majorBidi" w:cstheme="majorBidi"/>
            <w:color w:val="467886"/>
            <w:sz w:val="22"/>
            <w:szCs w:val="22"/>
            <w:u w:val="single"/>
            <w:lang w:val="en-GB"/>
          </w:rPr>
          <w:t>stuart.butchart@birdlife.org</w:t>
        </w:r>
      </w:hyperlink>
      <w:r w:rsidRPr="00ED7E61">
        <w:rPr>
          <w:rStyle w:val="normaltextrun"/>
          <w:rFonts w:asciiTheme="majorBidi" w:eastAsiaTheme="majorEastAsia"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18CE02A6" w14:textId="77777777" w:rsidR="00756F0F" w:rsidRPr="00ED7E61" w:rsidRDefault="00756F0F"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11. References</w:t>
      </w:r>
      <w:r w:rsidRPr="00ED7E61">
        <w:rPr>
          <w:rStyle w:val="eop"/>
          <w:rFonts w:asciiTheme="majorBidi" w:eastAsiaTheme="majorEastAsia" w:hAnsiTheme="majorBidi" w:cstheme="majorBidi"/>
          <w:sz w:val="22"/>
          <w:szCs w:val="22"/>
        </w:rPr>
        <w:t> </w:t>
      </w:r>
    </w:p>
    <w:p w14:paraId="3248586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Website:</w:t>
      </w:r>
      <w:r w:rsidRPr="00ED7E61">
        <w:rPr>
          <w:rStyle w:val="eop"/>
          <w:rFonts w:asciiTheme="majorBidi" w:eastAsiaTheme="majorEastAsia" w:hAnsiTheme="majorBidi" w:cstheme="majorBidi"/>
          <w:sz w:val="22"/>
          <w:szCs w:val="22"/>
        </w:rPr>
        <w:t> </w:t>
      </w:r>
    </w:p>
    <w:p w14:paraId="1C74F0F7" w14:textId="77777777" w:rsidR="00756F0F" w:rsidRPr="00ED7E61" w:rsidRDefault="00756F0F" w:rsidP="00B3383B">
      <w:pPr>
        <w:pStyle w:val="paragraph"/>
        <w:spacing w:before="0" w:beforeAutospacing="0" w:after="0" w:afterAutospacing="0"/>
        <w:ind w:left="567"/>
        <w:textAlignment w:val="baseline"/>
        <w:rPr>
          <w:rFonts w:asciiTheme="majorBidi" w:hAnsiTheme="majorBidi" w:cstheme="majorBidi"/>
          <w:sz w:val="22"/>
          <w:szCs w:val="22"/>
        </w:rPr>
      </w:pPr>
      <w:hyperlink r:id="rId149" w:tgtFrame="_blank" w:history="1">
        <w:r w:rsidRPr="00ED7E61">
          <w:rPr>
            <w:rStyle w:val="normaltextrun"/>
            <w:rFonts w:asciiTheme="majorBidi" w:eastAsiaTheme="majorEastAsia" w:hAnsiTheme="majorBidi" w:cstheme="majorBidi"/>
            <w:color w:val="467886"/>
            <w:sz w:val="22"/>
            <w:szCs w:val="22"/>
            <w:u w:val="single"/>
            <w:lang w:val="en-GB"/>
          </w:rPr>
          <w:t>https://www.iucn.org/assessment/red-list-index</w:t>
        </w:r>
      </w:hyperlink>
      <w:r w:rsidRPr="00ED7E61">
        <w:rPr>
          <w:rStyle w:val="normaltextrun"/>
          <w:rFonts w:asciiTheme="majorBidi" w:eastAsiaTheme="majorEastAsia" w:hAnsiTheme="majorBidi" w:cstheme="majorBidi"/>
          <w:sz w:val="22"/>
          <w:szCs w:val="22"/>
        </w:rPr>
        <w:t xml:space="preserve"> ; </w:t>
      </w:r>
      <w:r w:rsidRPr="00ED7E61">
        <w:rPr>
          <w:rStyle w:val="eop"/>
          <w:rFonts w:asciiTheme="majorBidi" w:eastAsiaTheme="majorEastAsia" w:hAnsiTheme="majorBidi" w:cstheme="majorBidi"/>
          <w:sz w:val="22"/>
          <w:szCs w:val="22"/>
        </w:rPr>
        <w:t> </w:t>
      </w:r>
    </w:p>
    <w:p w14:paraId="4D4D0361" w14:textId="77777777" w:rsidR="00756F0F" w:rsidRPr="00ED7E61" w:rsidRDefault="00756F0F"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References:</w:t>
      </w:r>
      <w:r w:rsidRPr="00ED7E61">
        <w:rPr>
          <w:rStyle w:val="eop"/>
          <w:rFonts w:asciiTheme="majorBidi" w:eastAsiaTheme="majorEastAsia" w:hAnsiTheme="majorBidi" w:cstheme="majorBidi"/>
          <w:sz w:val="22"/>
          <w:szCs w:val="22"/>
        </w:rPr>
        <w:t> </w:t>
      </w:r>
    </w:p>
    <w:p w14:paraId="1E877D4D" w14:textId="77777777" w:rsidR="00756F0F" w:rsidRPr="00ED7E61" w:rsidRDefault="00756F0F" w:rsidP="00B3383B">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These metadata are based on </w:t>
      </w:r>
      <w:hyperlink r:id="rId150" w:tgtFrame="_blank" w:history="1">
        <w:r w:rsidRPr="00ED7E61">
          <w:rPr>
            <w:rStyle w:val="normaltextrun"/>
            <w:rFonts w:asciiTheme="majorBidi" w:eastAsiaTheme="majorEastAsia" w:hAnsiTheme="majorBidi" w:cstheme="majorBidi"/>
          </w:rPr>
          <w:t>http://mdgs.un.org/unsd/mi/wiki/7-7-Proportion-of-species-threatened-with-extinction.ashx</w:t>
        </w:r>
      </w:hyperlink>
      <w:r w:rsidRPr="00ED7E61">
        <w:rPr>
          <w:rStyle w:val="normaltextrun"/>
          <w:rFonts w:asciiTheme="majorBidi" w:eastAsiaTheme="majorEastAsia" w:hAnsiTheme="majorBidi" w:cstheme="majorBidi"/>
        </w:rPr>
        <w:t xml:space="preserve">, supplemented by </w:t>
      </w:r>
      <w:hyperlink r:id="rId151" w:tgtFrame="_blank" w:history="1">
        <w:r w:rsidRPr="00ED7E61">
          <w:rPr>
            <w:rStyle w:val="normaltextrun"/>
            <w:rFonts w:asciiTheme="majorBidi" w:eastAsiaTheme="majorEastAsia" w:hAnsiTheme="majorBidi" w:cstheme="majorBidi"/>
          </w:rPr>
          <w:t>http://www.bipindicators.net/rli/2010</w:t>
        </w:r>
      </w:hyperlink>
      <w:r w:rsidRPr="00ED7E61">
        <w:rPr>
          <w:rStyle w:val="normaltextrun"/>
          <w:rFonts w:asciiTheme="majorBidi" w:eastAsiaTheme="majorEastAsia" w:hAnsiTheme="majorBidi" w:cstheme="majorBidi"/>
        </w:rPr>
        <w:t xml:space="preserve"> and the references listed below.</w:t>
      </w:r>
      <w:r w:rsidRPr="00ED7E61">
        <w:rPr>
          <w:rStyle w:val="normaltextrun"/>
        </w:rPr>
        <w:t> </w:t>
      </w:r>
    </w:p>
    <w:p w14:paraId="4EDEBD60"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lang w:val="fr-FR"/>
        </w:rPr>
        <w:t xml:space="preserve">Baillie, J. E. M. et al. </w:t>
      </w:r>
      <w:r w:rsidRPr="00ED7E61">
        <w:rPr>
          <w:rStyle w:val="normaltextrun"/>
          <w:rFonts w:asciiTheme="majorBidi" w:eastAsiaTheme="majorEastAsia" w:hAnsiTheme="majorBidi" w:cstheme="majorBidi"/>
        </w:rPr>
        <w:t xml:space="preserve">(2004). 2004 IUCN Red List of Threatened Species: a Global Species Assessment. IUCN, Gland, Switzerland and Cambridge, United Kingdom. Available from </w:t>
      </w:r>
      <w:hyperlink r:id="rId152" w:tgtFrame="_blank" w:history="1">
        <w:r w:rsidRPr="00ED7E61">
          <w:rPr>
            <w:rStyle w:val="normaltextrun"/>
            <w:rFonts w:asciiTheme="majorBidi" w:eastAsiaTheme="majorEastAsia" w:hAnsiTheme="majorBidi" w:cstheme="majorBidi"/>
          </w:rPr>
          <w:t>https://portals.iucn.org/library/node/9830</w:t>
        </w:r>
      </w:hyperlink>
      <w:r w:rsidRPr="00ED7E61">
        <w:rPr>
          <w:rStyle w:val="normaltextrun"/>
          <w:rFonts w:asciiTheme="majorBidi" w:eastAsiaTheme="majorEastAsia" w:hAnsiTheme="majorBidi" w:cstheme="majorBidi"/>
        </w:rPr>
        <w:t>. </w:t>
      </w:r>
      <w:r w:rsidRPr="00ED7E61">
        <w:rPr>
          <w:rStyle w:val="normaltextrun"/>
        </w:rPr>
        <w:t> </w:t>
      </w:r>
    </w:p>
    <w:p w14:paraId="5213F3E0"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lang w:val="fr-FR"/>
        </w:rPr>
        <w:t xml:space="preserve">Brooks, T. M. et al. </w:t>
      </w:r>
      <w:r w:rsidRPr="00ED7E61">
        <w:rPr>
          <w:rStyle w:val="normaltextrun"/>
          <w:rFonts w:asciiTheme="majorBidi" w:eastAsiaTheme="majorEastAsia" w:hAnsiTheme="majorBidi" w:cstheme="majorBidi"/>
        </w:rPr>
        <w:t xml:space="preserve">(2015). Harnessing biodiversity and conservation knowledge products to track the Aichi Targets and Sustainable Development Goals. Biodiversity 16: 157–174. Available from </w:t>
      </w:r>
      <w:hyperlink r:id="rId153" w:tgtFrame="_blank" w:history="1">
        <w:r w:rsidRPr="00ED7E61">
          <w:rPr>
            <w:rStyle w:val="normaltextrun"/>
            <w:rFonts w:asciiTheme="majorBidi" w:eastAsiaTheme="majorEastAsia" w:hAnsiTheme="majorBidi" w:cstheme="majorBidi"/>
          </w:rPr>
          <w:t>http://www.tandfonline.com/doi/pdf/10.1080/14888386.2015.1075903</w:t>
        </w:r>
      </w:hyperlink>
      <w:r w:rsidRPr="00ED7E61">
        <w:rPr>
          <w:rStyle w:val="normaltextrun"/>
          <w:rFonts w:asciiTheme="majorBidi" w:eastAsiaTheme="majorEastAsia" w:hAnsiTheme="majorBidi" w:cstheme="majorBidi"/>
        </w:rPr>
        <w:t>. </w:t>
      </w:r>
      <w:r w:rsidRPr="00ED7E61">
        <w:rPr>
          <w:rStyle w:val="normaltextrun"/>
        </w:rPr>
        <w:t> </w:t>
      </w:r>
    </w:p>
    <w:p w14:paraId="627FB6B5" w14:textId="77777777" w:rsidR="00756F0F" w:rsidRPr="00ED7E61" w:rsidRDefault="00756F0F" w:rsidP="00B3383B">
      <w:pPr>
        <w:pStyle w:val="CBDNormalNumber"/>
        <w:numPr>
          <w:ilvl w:val="0"/>
          <w:numId w:val="0"/>
        </w:numPr>
        <w:ind w:left="567"/>
        <w:rPr>
          <w:rStyle w:val="normaltextrun"/>
          <w:rFonts w:eastAsiaTheme="majorEastAsia"/>
        </w:rPr>
      </w:pPr>
      <w:r w:rsidRPr="00B3383B">
        <w:rPr>
          <w:rStyle w:val="normaltextrun"/>
          <w:rFonts w:asciiTheme="majorBidi" w:eastAsiaTheme="majorEastAsia" w:hAnsiTheme="majorBidi" w:cstheme="majorBidi"/>
          <w:lang w:val="en-CA"/>
        </w:rPr>
        <w:t xml:space="preserve">Bubb, P.J. et al. </w:t>
      </w:r>
      <w:r w:rsidRPr="00ED7E61">
        <w:rPr>
          <w:rStyle w:val="normaltextrun"/>
          <w:rFonts w:asciiTheme="majorBidi" w:eastAsiaTheme="majorEastAsia" w:hAnsiTheme="majorBidi" w:cstheme="majorBidi"/>
        </w:rPr>
        <w:t xml:space="preserve">(2009). IUCN Red List Index - Guidance for National and Regional Use. IUCN, Gland, Switzerland. Available from </w:t>
      </w:r>
      <w:hyperlink r:id="rId154" w:tgtFrame="_blank" w:history="1">
        <w:r w:rsidRPr="00ED7E61">
          <w:rPr>
            <w:rStyle w:val="normaltextrun"/>
            <w:rFonts w:asciiTheme="majorBidi" w:eastAsiaTheme="majorEastAsia" w:hAnsiTheme="majorBidi" w:cstheme="majorBidi"/>
          </w:rPr>
          <w:t>https://portals.iucn.org/library/node/9321</w:t>
        </w:r>
      </w:hyperlink>
      <w:r w:rsidRPr="00ED7E61">
        <w:rPr>
          <w:rStyle w:val="normaltextrun"/>
          <w:rFonts w:asciiTheme="majorBidi" w:eastAsiaTheme="majorEastAsia" w:hAnsiTheme="majorBidi" w:cstheme="majorBidi"/>
        </w:rPr>
        <w:t>.</w:t>
      </w:r>
      <w:r w:rsidRPr="00ED7E61">
        <w:rPr>
          <w:rStyle w:val="normaltextrun"/>
        </w:rPr>
        <w:t> </w:t>
      </w:r>
    </w:p>
    <w:p w14:paraId="589131E4"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Butchart, S. H. M. (2008). Red List Indices to measure the sustainability of species use and impacts of invasive alien species. Bird Conservation International 18 (suppl.): 245–262. Available from </w:t>
      </w:r>
      <w:hyperlink r:id="rId155" w:tgtFrame="_blank" w:history="1">
        <w:r w:rsidRPr="00ED7E61">
          <w:rPr>
            <w:rStyle w:val="normaltextrun"/>
            <w:rFonts w:asciiTheme="majorBidi" w:eastAsiaTheme="majorEastAsia" w:hAnsiTheme="majorBidi" w:cstheme="majorBidi"/>
          </w:rPr>
          <w:t>http://journals.cambridge.org/action/displayJournal?jid=BCI</w:t>
        </w:r>
      </w:hyperlink>
      <w:r w:rsidRPr="00ED7E61">
        <w:rPr>
          <w:rStyle w:val="normaltextrun"/>
          <w:rFonts w:asciiTheme="majorBidi" w:eastAsiaTheme="majorEastAsia" w:hAnsiTheme="majorBidi" w:cstheme="majorBidi"/>
        </w:rPr>
        <w:t>. </w:t>
      </w:r>
      <w:r w:rsidRPr="00ED7E61">
        <w:rPr>
          <w:rStyle w:val="normaltextrun"/>
        </w:rPr>
        <w:t> </w:t>
      </w:r>
    </w:p>
    <w:p w14:paraId="5533E67F" w14:textId="77777777" w:rsidR="00756F0F" w:rsidRPr="00ED7E61" w:rsidRDefault="00756F0F" w:rsidP="00B3383B">
      <w:pPr>
        <w:pStyle w:val="CBDNormalNumber"/>
        <w:numPr>
          <w:ilvl w:val="0"/>
          <w:numId w:val="0"/>
        </w:numPr>
        <w:ind w:left="567"/>
        <w:rPr>
          <w:rStyle w:val="normaltextrun"/>
          <w:rFonts w:eastAsiaTheme="majorEastAsia"/>
        </w:rPr>
      </w:pPr>
      <w:r w:rsidRPr="00B3383B">
        <w:rPr>
          <w:rStyle w:val="normaltextrun"/>
          <w:rFonts w:asciiTheme="majorBidi" w:eastAsiaTheme="majorEastAsia" w:hAnsiTheme="majorBidi" w:cstheme="majorBidi"/>
        </w:rPr>
        <w:t xml:space="preserve">Butchart, S. H. M. et al. </w:t>
      </w:r>
      <w:r w:rsidRPr="00ED7E61">
        <w:rPr>
          <w:rStyle w:val="normaltextrun"/>
          <w:rFonts w:asciiTheme="majorBidi" w:eastAsiaTheme="majorEastAsia" w:hAnsiTheme="majorBidi" w:cstheme="majorBidi"/>
        </w:rPr>
        <w:t xml:space="preserve">(2004). Measuring global trends in the status of biodiversity: Red List Indices for birds. PLoS Biology 2(12): e383. Available from </w:t>
      </w:r>
      <w:hyperlink r:id="rId156" w:tgtFrame="_blank" w:history="1">
        <w:r w:rsidRPr="00ED7E61">
          <w:rPr>
            <w:rStyle w:val="normaltextrun"/>
            <w:rFonts w:asciiTheme="majorBidi" w:eastAsiaTheme="majorEastAsia" w:hAnsiTheme="majorBidi" w:cstheme="majorBidi"/>
          </w:rPr>
          <w:t>http://www.plosbiology.org/article/info:doi/10.1371/journal.pbio.0020383</w:t>
        </w:r>
      </w:hyperlink>
      <w:r w:rsidRPr="00ED7E61">
        <w:rPr>
          <w:rStyle w:val="normaltextrun"/>
          <w:rFonts w:asciiTheme="majorBidi" w:eastAsiaTheme="majorEastAsia" w:hAnsiTheme="majorBidi" w:cstheme="majorBidi"/>
        </w:rPr>
        <w:t>. </w:t>
      </w:r>
      <w:r w:rsidRPr="00ED7E61">
        <w:rPr>
          <w:rStyle w:val="normaltextrun"/>
        </w:rPr>
        <w:t> </w:t>
      </w:r>
    </w:p>
    <w:p w14:paraId="431E7AD7"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lang w:val="fr-FR"/>
        </w:rPr>
        <w:t xml:space="preserve">Butchart, S. H. M. et al. </w:t>
      </w:r>
      <w:r w:rsidRPr="00ED7E61">
        <w:rPr>
          <w:rStyle w:val="normaltextrun"/>
          <w:rFonts w:asciiTheme="majorBidi" w:eastAsiaTheme="majorEastAsia" w:hAnsiTheme="majorBidi" w:cstheme="majorBidi"/>
        </w:rPr>
        <w:t xml:space="preserve">(2005). Using Red List Indices to measure progress towards the 2010 target and beyond. Philosophical Transactions of the Royal Society of London B 360: 255–268. Available from </w:t>
      </w:r>
      <w:hyperlink r:id="rId157" w:tgtFrame="_blank" w:history="1">
        <w:r w:rsidRPr="00ED7E61">
          <w:rPr>
            <w:rStyle w:val="normaltextrun"/>
            <w:rFonts w:asciiTheme="majorBidi" w:eastAsiaTheme="majorEastAsia" w:hAnsiTheme="majorBidi" w:cstheme="majorBidi"/>
          </w:rPr>
          <w:t>http://rstb.royalsocietypublishing.org/content/360/1454/255.full</w:t>
        </w:r>
      </w:hyperlink>
      <w:r w:rsidRPr="00ED7E61">
        <w:rPr>
          <w:rStyle w:val="normaltextrun"/>
          <w:rFonts w:asciiTheme="majorBidi" w:eastAsiaTheme="majorEastAsia" w:hAnsiTheme="majorBidi" w:cstheme="majorBidi"/>
        </w:rPr>
        <w:t>. </w:t>
      </w:r>
      <w:r w:rsidRPr="00ED7E61">
        <w:rPr>
          <w:rStyle w:val="normaltextrun"/>
        </w:rPr>
        <w:t> </w:t>
      </w:r>
    </w:p>
    <w:p w14:paraId="035B68BE"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lang w:val="fr-FR"/>
        </w:rPr>
        <w:t xml:space="preserve">Butchart, S. H. M. et al. </w:t>
      </w:r>
      <w:r w:rsidRPr="00ED7E61">
        <w:rPr>
          <w:rStyle w:val="normaltextrun"/>
          <w:rFonts w:asciiTheme="majorBidi" w:eastAsiaTheme="majorEastAsia" w:hAnsiTheme="majorBidi" w:cstheme="majorBidi"/>
        </w:rPr>
        <w:t xml:space="preserve">(2006). Biodiversity indicators based on trends in conservation status: strengths of the IUCN Red List Index. Conservation Biology 20: 579–581. Available from </w:t>
      </w:r>
      <w:hyperlink r:id="rId158" w:tgtFrame="_blank" w:history="1">
        <w:r w:rsidRPr="00ED7E61">
          <w:rPr>
            <w:rStyle w:val="normaltextrun"/>
            <w:rFonts w:asciiTheme="majorBidi" w:eastAsiaTheme="majorEastAsia" w:hAnsiTheme="majorBidi" w:cstheme="majorBidi"/>
          </w:rPr>
          <w:t>http://onlinelibrary.wiley.com/doi/10.1111/j.1523-1739.2006.00410.x/abstract</w:t>
        </w:r>
      </w:hyperlink>
      <w:r w:rsidRPr="00ED7E61">
        <w:rPr>
          <w:rStyle w:val="normaltextrun"/>
          <w:rFonts w:asciiTheme="majorBidi" w:eastAsiaTheme="majorEastAsia" w:hAnsiTheme="majorBidi" w:cstheme="majorBidi"/>
        </w:rPr>
        <w:t>. </w:t>
      </w:r>
      <w:r w:rsidRPr="00ED7E61">
        <w:rPr>
          <w:rStyle w:val="normaltextrun"/>
        </w:rPr>
        <w:t> </w:t>
      </w:r>
    </w:p>
    <w:p w14:paraId="64CE044F"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lang w:val="fr-FR"/>
        </w:rPr>
        <w:t xml:space="preserve">Butchart, S. H. M. et al. </w:t>
      </w:r>
      <w:r w:rsidRPr="00ED7E61">
        <w:rPr>
          <w:rStyle w:val="normaltextrun"/>
          <w:rFonts w:asciiTheme="majorBidi" w:eastAsiaTheme="majorEastAsia" w:hAnsiTheme="majorBidi" w:cstheme="majorBidi"/>
        </w:rPr>
        <w:t xml:space="preserve">(2007). Improvements to the Red List Index. PLoS ONE 2(1): e140. Available from </w:t>
      </w:r>
      <w:hyperlink r:id="rId159" w:tgtFrame="_blank" w:history="1">
        <w:r w:rsidRPr="00ED7E61">
          <w:rPr>
            <w:rStyle w:val="normaltextrun"/>
            <w:rFonts w:asciiTheme="majorBidi" w:eastAsiaTheme="majorEastAsia" w:hAnsiTheme="majorBidi" w:cstheme="majorBidi"/>
          </w:rPr>
          <w:t>http://journals.plos.org/plosone/article?id=10.1371/journal.pone.0000140</w:t>
        </w:r>
      </w:hyperlink>
      <w:r w:rsidRPr="00ED7E61">
        <w:rPr>
          <w:rStyle w:val="normaltextrun"/>
          <w:rFonts w:asciiTheme="majorBidi" w:eastAsiaTheme="majorEastAsia" w:hAnsiTheme="majorBidi" w:cstheme="majorBidi"/>
        </w:rPr>
        <w:t>. </w:t>
      </w:r>
      <w:r w:rsidRPr="00ED7E61">
        <w:rPr>
          <w:rStyle w:val="normaltextrun"/>
        </w:rPr>
        <w:t> </w:t>
      </w:r>
    </w:p>
    <w:p w14:paraId="4E8828E2" w14:textId="77777777" w:rsidR="00756F0F" w:rsidRPr="00B3383B" w:rsidRDefault="00756F0F" w:rsidP="00B3383B">
      <w:pPr>
        <w:pStyle w:val="CBDNormalNumber"/>
        <w:numPr>
          <w:ilvl w:val="0"/>
          <w:numId w:val="0"/>
        </w:numPr>
        <w:ind w:left="567"/>
        <w:rPr>
          <w:rStyle w:val="normaltextrun"/>
          <w:rFonts w:eastAsiaTheme="majorEastAsia"/>
          <w:lang w:val="fr-FR"/>
        </w:rPr>
      </w:pPr>
      <w:r w:rsidRPr="00ED7E61">
        <w:rPr>
          <w:rStyle w:val="normaltextrun"/>
          <w:rFonts w:asciiTheme="majorBidi" w:eastAsiaTheme="majorEastAsia" w:hAnsiTheme="majorBidi" w:cstheme="majorBidi"/>
          <w:lang w:val="fr-FR"/>
        </w:rPr>
        <w:t xml:space="preserve">Butchart, S. H. M. et al. </w:t>
      </w:r>
      <w:r w:rsidRPr="00ED7E61">
        <w:rPr>
          <w:rStyle w:val="normaltextrun"/>
          <w:rFonts w:asciiTheme="majorBidi" w:eastAsiaTheme="majorEastAsia" w:hAnsiTheme="majorBidi" w:cstheme="majorBidi"/>
        </w:rPr>
        <w:t xml:space="preserve">(2010). Global biodiversity: indicators of recent declines. </w:t>
      </w:r>
      <w:r w:rsidRPr="00B3383B">
        <w:rPr>
          <w:rStyle w:val="normaltextrun"/>
          <w:rFonts w:asciiTheme="majorBidi" w:eastAsiaTheme="majorEastAsia" w:hAnsiTheme="majorBidi" w:cstheme="majorBidi"/>
          <w:lang w:val="fr-FR"/>
        </w:rPr>
        <w:t xml:space="preserve">Science 328: 1164–1168. Available from </w:t>
      </w:r>
      <w:hyperlink r:id="rId160" w:tgtFrame="_blank" w:history="1">
        <w:r w:rsidRPr="00B3383B">
          <w:rPr>
            <w:rStyle w:val="normaltextrun"/>
            <w:rFonts w:asciiTheme="majorBidi" w:eastAsiaTheme="majorEastAsia" w:hAnsiTheme="majorBidi" w:cstheme="majorBidi"/>
            <w:lang w:val="fr-FR"/>
          </w:rPr>
          <w:t>http://www.sciencemag.org/content/328/5982/1164.short</w:t>
        </w:r>
      </w:hyperlink>
      <w:r w:rsidRPr="00B3383B">
        <w:rPr>
          <w:rStyle w:val="normaltextrun"/>
          <w:rFonts w:asciiTheme="majorBidi" w:eastAsiaTheme="majorEastAsia" w:hAnsiTheme="majorBidi" w:cstheme="majorBidi"/>
          <w:lang w:val="fr-FR"/>
        </w:rPr>
        <w:t>. </w:t>
      </w:r>
      <w:r w:rsidRPr="00B3383B">
        <w:rPr>
          <w:rStyle w:val="normaltextrun"/>
          <w:lang w:val="fr-FR"/>
        </w:rPr>
        <w:t> </w:t>
      </w:r>
    </w:p>
    <w:p w14:paraId="58954C4D" w14:textId="77777777" w:rsidR="00756F0F" w:rsidRPr="00525F8B" w:rsidRDefault="00756F0F" w:rsidP="00B3383B">
      <w:pPr>
        <w:pStyle w:val="CBDNormalNumber"/>
        <w:numPr>
          <w:ilvl w:val="0"/>
          <w:numId w:val="0"/>
        </w:numPr>
        <w:ind w:left="567"/>
        <w:rPr>
          <w:rStyle w:val="normaltextrun"/>
          <w:rFonts w:eastAsiaTheme="majorEastAsia"/>
          <w:lang w:val="fr-FR"/>
        </w:rPr>
      </w:pPr>
      <w:r w:rsidRPr="00ED7E61">
        <w:rPr>
          <w:rStyle w:val="normaltextrun"/>
          <w:rFonts w:asciiTheme="majorBidi" w:eastAsiaTheme="majorEastAsia" w:hAnsiTheme="majorBidi" w:cstheme="majorBidi"/>
          <w:lang w:val="fr-FR"/>
        </w:rPr>
        <w:t xml:space="preserve">Butchart, S. H. M. et al. </w:t>
      </w:r>
      <w:r w:rsidRPr="00ED7E61">
        <w:rPr>
          <w:rStyle w:val="normaltextrun"/>
          <w:rFonts w:asciiTheme="majorBidi" w:eastAsiaTheme="majorEastAsia" w:hAnsiTheme="majorBidi" w:cstheme="majorBidi"/>
        </w:rPr>
        <w:t xml:space="preserve">(2024) Measuring trends in extinction risk: a review of two decades of development and application of the Red List Index. </w:t>
      </w:r>
      <w:r w:rsidRPr="00525F8B">
        <w:rPr>
          <w:rStyle w:val="normaltextrun"/>
          <w:rFonts w:asciiTheme="majorBidi" w:eastAsiaTheme="majorEastAsia" w:hAnsiTheme="majorBidi" w:cstheme="majorBidi"/>
          <w:lang w:val="fr-FR"/>
        </w:rPr>
        <w:t>Phil. Trans. Roy. Soc. DOI: 10.1098/rstb.2023-0206.</w:t>
      </w:r>
      <w:r w:rsidRPr="00525F8B">
        <w:rPr>
          <w:rStyle w:val="normaltextrun"/>
          <w:lang w:val="fr-FR"/>
        </w:rPr>
        <w:t> </w:t>
      </w:r>
    </w:p>
    <w:p w14:paraId="729D1CE2"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lang w:val="fr-FR"/>
        </w:rPr>
        <w:t xml:space="preserve">Carpenter, K. E. et al. </w:t>
      </w:r>
      <w:r w:rsidRPr="00ED7E61">
        <w:rPr>
          <w:rStyle w:val="normaltextrun"/>
          <w:rFonts w:asciiTheme="majorBidi" w:eastAsiaTheme="majorEastAsia" w:hAnsiTheme="majorBidi" w:cstheme="majorBidi"/>
        </w:rPr>
        <w:t xml:space="preserve">(2008). One-third of reef-building corals face elevated extinction risk from climate change and local impacts. Science 321: 560–563. Available from </w:t>
      </w:r>
      <w:hyperlink r:id="rId161" w:tgtFrame="_blank" w:history="1">
        <w:r w:rsidRPr="00ED7E61">
          <w:rPr>
            <w:rStyle w:val="normaltextrun"/>
            <w:rFonts w:asciiTheme="majorBidi" w:eastAsiaTheme="majorEastAsia" w:hAnsiTheme="majorBidi" w:cstheme="majorBidi"/>
          </w:rPr>
          <w:t>http://www.sciencemag.org/content/321/5888/560.short</w:t>
        </w:r>
      </w:hyperlink>
      <w:r w:rsidRPr="00ED7E61">
        <w:rPr>
          <w:rStyle w:val="normaltextrun"/>
          <w:rFonts w:asciiTheme="majorBidi" w:eastAsiaTheme="majorEastAsia" w:hAnsiTheme="majorBidi" w:cstheme="majorBidi"/>
        </w:rPr>
        <w:t>. </w:t>
      </w:r>
      <w:r w:rsidRPr="00ED7E61">
        <w:rPr>
          <w:rStyle w:val="normaltextrun"/>
        </w:rPr>
        <w:t> </w:t>
      </w:r>
    </w:p>
    <w:p w14:paraId="1069EE0F"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CBD (2014). Global Biodiversity Outlook 4. Convention on Biological Diversity, Montréal, Canada. Available from </w:t>
      </w:r>
      <w:hyperlink r:id="rId162" w:tgtFrame="_blank" w:history="1">
        <w:r w:rsidRPr="00ED7E61">
          <w:rPr>
            <w:rStyle w:val="normaltextrun"/>
            <w:rFonts w:asciiTheme="majorBidi" w:eastAsiaTheme="majorEastAsia" w:hAnsiTheme="majorBidi" w:cstheme="majorBidi"/>
          </w:rPr>
          <w:t>https://www.cbd.int/gbo4/</w:t>
        </w:r>
      </w:hyperlink>
      <w:r w:rsidRPr="00ED7E61">
        <w:rPr>
          <w:rStyle w:val="normaltextrun"/>
          <w:rFonts w:asciiTheme="majorBidi" w:eastAsiaTheme="majorEastAsia" w:hAnsiTheme="majorBidi" w:cstheme="majorBidi"/>
        </w:rPr>
        <w:t>. </w:t>
      </w:r>
      <w:r w:rsidRPr="00ED7E61">
        <w:rPr>
          <w:rStyle w:val="normaltextrun"/>
        </w:rPr>
        <w:t> </w:t>
      </w:r>
    </w:p>
    <w:p w14:paraId="4ADE74EA"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CBD (2020a). Global Biodiversity Outlook 5. Convention on Biological Diversity, Montréal, Canada. Available from </w:t>
      </w:r>
      <w:hyperlink r:id="rId163" w:tgtFrame="_blank" w:history="1">
        <w:r w:rsidRPr="00ED7E61">
          <w:rPr>
            <w:rStyle w:val="normaltextrun"/>
            <w:rFonts w:asciiTheme="majorBidi" w:eastAsiaTheme="majorEastAsia" w:hAnsiTheme="majorBidi" w:cstheme="majorBidi"/>
          </w:rPr>
          <w:t>https://www.cbd.int/gbo5/</w:t>
        </w:r>
      </w:hyperlink>
      <w:r w:rsidRPr="00ED7E61">
        <w:rPr>
          <w:rStyle w:val="normaltextrun"/>
          <w:rFonts w:asciiTheme="majorBidi" w:eastAsiaTheme="majorEastAsia" w:hAnsiTheme="majorBidi" w:cstheme="majorBidi"/>
        </w:rPr>
        <w:t>. </w:t>
      </w:r>
      <w:r w:rsidRPr="00ED7E61">
        <w:rPr>
          <w:rStyle w:val="normaltextrun"/>
        </w:rPr>
        <w:t> </w:t>
      </w:r>
    </w:p>
    <w:p w14:paraId="53380914"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CBD (2022). Decision adopted by the Conference of the Parties to the Convention on Biological Diversity. Document CBD/COP/DEC/15/5. Available at: </w:t>
      </w:r>
      <w:hyperlink r:id="rId164" w:tgtFrame="_blank" w:history="1">
        <w:r w:rsidRPr="00ED7E61">
          <w:rPr>
            <w:rStyle w:val="normaltextrun"/>
            <w:rFonts w:asciiTheme="majorBidi" w:eastAsiaTheme="majorEastAsia" w:hAnsiTheme="majorBidi" w:cstheme="majorBidi"/>
          </w:rPr>
          <w:t>https://www.cbd.int/doc/decisions/cop-15/cop-15-dec-05-en.pdf</w:t>
        </w:r>
      </w:hyperlink>
      <w:r w:rsidRPr="00ED7E61">
        <w:rPr>
          <w:rStyle w:val="normaltextrun"/>
        </w:rPr>
        <w:t> </w:t>
      </w:r>
    </w:p>
    <w:p w14:paraId="27C11677" w14:textId="77777777" w:rsidR="00756F0F" w:rsidRPr="00B3383B" w:rsidRDefault="00756F0F" w:rsidP="00B3383B">
      <w:pPr>
        <w:pStyle w:val="CBDNormalNumber"/>
        <w:numPr>
          <w:ilvl w:val="0"/>
          <w:numId w:val="0"/>
        </w:numPr>
        <w:ind w:left="567"/>
        <w:rPr>
          <w:rStyle w:val="normaltextrun"/>
          <w:rFonts w:eastAsiaTheme="majorEastAsia"/>
          <w:lang w:val="fr-FR"/>
        </w:rPr>
      </w:pPr>
      <w:r w:rsidRPr="00B3383B">
        <w:rPr>
          <w:rStyle w:val="normaltextrun"/>
          <w:rFonts w:asciiTheme="majorBidi" w:eastAsiaTheme="majorEastAsia" w:hAnsiTheme="majorBidi" w:cstheme="majorBidi"/>
        </w:rPr>
        <w:t xml:space="preserve">Dias, M.P, Simkins, A.T., &amp; Pearmain, E.J. (2020). </w:t>
      </w:r>
      <w:r w:rsidRPr="00ED7E61">
        <w:rPr>
          <w:rStyle w:val="normaltextrun"/>
          <w:rFonts w:asciiTheme="majorBidi" w:eastAsiaTheme="majorEastAsia" w:hAnsiTheme="majorBidi" w:cstheme="majorBidi"/>
        </w:rPr>
        <w:t xml:space="preserve">Code (and documentation) for calculating and plotting national RLIs weighted by the proportion of each species’ distribution within a country or region. </w:t>
      </w:r>
      <w:r w:rsidRPr="00B3383B">
        <w:rPr>
          <w:rStyle w:val="normaltextrun"/>
          <w:rFonts w:asciiTheme="majorBidi" w:eastAsiaTheme="majorEastAsia" w:hAnsiTheme="majorBidi" w:cstheme="majorBidi"/>
          <w:lang w:val="fr-FR"/>
        </w:rPr>
        <w:t xml:space="preserve">Available at: </w:t>
      </w:r>
      <w:hyperlink r:id="rId165" w:tgtFrame="_blank" w:history="1">
        <w:r w:rsidRPr="00B3383B">
          <w:rPr>
            <w:rStyle w:val="normaltextrun"/>
            <w:rFonts w:asciiTheme="majorBidi" w:eastAsiaTheme="majorEastAsia" w:hAnsiTheme="majorBidi" w:cstheme="majorBidi"/>
            <w:lang w:val="fr-FR"/>
          </w:rPr>
          <w:t>https://github.com/BirdLifeInternational/rli-codes</w:t>
        </w:r>
      </w:hyperlink>
      <w:r w:rsidRPr="00B3383B">
        <w:rPr>
          <w:rStyle w:val="normaltextrun"/>
          <w:rFonts w:asciiTheme="majorBidi" w:eastAsiaTheme="majorEastAsia" w:hAnsiTheme="majorBidi" w:cstheme="majorBidi"/>
          <w:lang w:val="fr-FR"/>
        </w:rPr>
        <w:t>. </w:t>
      </w:r>
      <w:r w:rsidRPr="00B3383B">
        <w:rPr>
          <w:rStyle w:val="normaltextrun"/>
          <w:lang w:val="fr-FR"/>
        </w:rPr>
        <w:t> </w:t>
      </w:r>
    </w:p>
    <w:p w14:paraId="358790AC"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lang w:val="fr-FR"/>
        </w:rPr>
        <w:t xml:space="preserve">Croxall, J. P. et al. </w:t>
      </w:r>
      <w:r w:rsidRPr="00ED7E61">
        <w:rPr>
          <w:rStyle w:val="normaltextrun"/>
          <w:rFonts w:asciiTheme="majorBidi" w:eastAsiaTheme="majorEastAsia" w:hAnsiTheme="majorBidi" w:cstheme="majorBidi"/>
        </w:rPr>
        <w:t>(2012). Seabird conservation status, threats and priority actions: a global assessment. Bird Conservation International 22: 1–34. </w:t>
      </w:r>
      <w:r w:rsidRPr="00ED7E61">
        <w:rPr>
          <w:rStyle w:val="normaltextrun"/>
        </w:rPr>
        <w:t> </w:t>
      </w:r>
    </w:p>
    <w:p w14:paraId="2CC5EE3A"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Gardenfors, U. (ed.) (2010). Rödlistade arter i Sverige 2010 – The 2010 Red List of Swedish Species. ArtDatabanken, SLU, Uppsala.</w:t>
      </w:r>
      <w:r w:rsidRPr="00ED7E61">
        <w:rPr>
          <w:rStyle w:val="normaltextrun"/>
        </w:rPr>
        <w:t> </w:t>
      </w:r>
    </w:p>
    <w:p w14:paraId="4050F572"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Han, X. et al. (2014). A Biodiversity indicators dashboard: addressing challenges to monitoring progress towards the Aichi Biodiversity Targets using disaggregated global data. PLoS ONE 9(11): e112046. Available from </w:t>
      </w:r>
      <w:hyperlink r:id="rId166" w:tgtFrame="_blank" w:history="1">
        <w:r w:rsidRPr="00ED7E61">
          <w:rPr>
            <w:rStyle w:val="normaltextrun"/>
            <w:rFonts w:asciiTheme="majorBidi" w:eastAsiaTheme="majorEastAsia" w:hAnsiTheme="majorBidi" w:cstheme="majorBidi"/>
          </w:rPr>
          <w:t>http://journals.plos.org/plosone/article?id=10.1371/journal.pone.0112046</w:t>
        </w:r>
      </w:hyperlink>
      <w:r w:rsidRPr="00ED7E61">
        <w:rPr>
          <w:rStyle w:val="normaltextrun"/>
          <w:rFonts w:asciiTheme="majorBidi" w:eastAsiaTheme="majorEastAsia" w:hAnsiTheme="majorBidi" w:cstheme="majorBidi"/>
        </w:rPr>
        <w:t>. </w:t>
      </w:r>
      <w:r w:rsidRPr="00ED7E61">
        <w:rPr>
          <w:rStyle w:val="normaltextrun"/>
        </w:rPr>
        <w:t> </w:t>
      </w:r>
    </w:p>
    <w:p w14:paraId="7CE4F01A" w14:textId="77777777" w:rsidR="00756F0F" w:rsidRPr="00B3383B" w:rsidRDefault="00756F0F" w:rsidP="00B3383B">
      <w:pPr>
        <w:pStyle w:val="CBDNormalNumber"/>
        <w:numPr>
          <w:ilvl w:val="0"/>
          <w:numId w:val="0"/>
        </w:numPr>
        <w:ind w:left="567"/>
        <w:rPr>
          <w:rStyle w:val="normaltextrun"/>
          <w:rFonts w:eastAsiaTheme="majorEastAsia"/>
          <w:lang w:val="fr-FR"/>
        </w:rPr>
      </w:pPr>
      <w:r w:rsidRPr="00ED7E61">
        <w:rPr>
          <w:rStyle w:val="normaltextrun"/>
          <w:rFonts w:asciiTheme="majorBidi" w:eastAsiaTheme="majorEastAsia" w:hAnsiTheme="majorBidi" w:cstheme="majorBidi"/>
        </w:rPr>
        <w:t xml:space="preserve">Hoffmann, M. et al. (2010). The impact of conservation on the status of the world’s vertebrates. </w:t>
      </w:r>
      <w:r w:rsidRPr="00B3383B">
        <w:rPr>
          <w:rStyle w:val="normaltextrun"/>
          <w:rFonts w:asciiTheme="majorBidi" w:eastAsiaTheme="majorEastAsia" w:hAnsiTheme="majorBidi" w:cstheme="majorBidi"/>
          <w:lang w:val="fr-FR"/>
        </w:rPr>
        <w:t xml:space="preserve">Science 330: 1503–1509. Available from </w:t>
      </w:r>
      <w:hyperlink r:id="rId167" w:tgtFrame="_blank" w:history="1">
        <w:r w:rsidRPr="00B3383B">
          <w:rPr>
            <w:rStyle w:val="normaltextrun"/>
            <w:rFonts w:asciiTheme="majorBidi" w:eastAsiaTheme="majorEastAsia" w:hAnsiTheme="majorBidi" w:cstheme="majorBidi"/>
            <w:lang w:val="fr-FR"/>
          </w:rPr>
          <w:t>http://www.sciencemag.org/content/330/6010/1503.short</w:t>
        </w:r>
      </w:hyperlink>
      <w:r w:rsidRPr="00B3383B">
        <w:rPr>
          <w:rStyle w:val="normaltextrun"/>
          <w:rFonts w:asciiTheme="majorBidi" w:eastAsiaTheme="majorEastAsia" w:hAnsiTheme="majorBidi" w:cstheme="majorBidi"/>
          <w:lang w:val="fr-FR"/>
        </w:rPr>
        <w:t>. </w:t>
      </w:r>
      <w:r w:rsidRPr="00B3383B">
        <w:rPr>
          <w:rStyle w:val="normaltextrun"/>
          <w:lang w:val="fr-FR"/>
        </w:rPr>
        <w:t> </w:t>
      </w:r>
    </w:p>
    <w:p w14:paraId="75DBFF8A" w14:textId="77777777" w:rsidR="00756F0F" w:rsidRPr="00ED7E61" w:rsidRDefault="00756F0F" w:rsidP="00B3383B">
      <w:pPr>
        <w:pStyle w:val="CBDNormalNumber"/>
        <w:numPr>
          <w:ilvl w:val="0"/>
          <w:numId w:val="0"/>
        </w:numPr>
        <w:ind w:left="567"/>
        <w:rPr>
          <w:rStyle w:val="normaltextrun"/>
          <w:rFonts w:eastAsiaTheme="majorEastAsia"/>
        </w:rPr>
      </w:pPr>
      <w:r w:rsidRPr="00B3383B">
        <w:rPr>
          <w:rStyle w:val="normaltextrun"/>
          <w:rFonts w:asciiTheme="majorBidi" w:eastAsiaTheme="majorEastAsia" w:hAnsiTheme="majorBidi" w:cstheme="majorBidi"/>
          <w:lang w:val="fr-FR"/>
        </w:rPr>
        <w:t xml:space="preserve">Hoffmann, M. et al. </w:t>
      </w:r>
      <w:r w:rsidRPr="00ED7E61">
        <w:rPr>
          <w:rStyle w:val="normaltextrun"/>
          <w:rFonts w:asciiTheme="majorBidi" w:eastAsiaTheme="majorEastAsia" w:hAnsiTheme="majorBidi" w:cstheme="majorBidi"/>
        </w:rPr>
        <w:t xml:space="preserve">(2011). The changing fates of the world’s mammals. Philosophical Transactions of the Royal Society of London B 366: 2598–2610. Available from </w:t>
      </w:r>
      <w:hyperlink r:id="rId168" w:tgtFrame="_blank" w:history="1">
        <w:r w:rsidRPr="00ED7E61">
          <w:rPr>
            <w:rStyle w:val="normaltextrun"/>
            <w:rFonts w:asciiTheme="majorBidi" w:eastAsiaTheme="majorEastAsia" w:hAnsiTheme="majorBidi" w:cstheme="majorBidi"/>
          </w:rPr>
          <w:t>http://rstb.royalsocietypublishing.org/content/366/1578/2598.abstract</w:t>
        </w:r>
      </w:hyperlink>
      <w:r w:rsidRPr="00ED7E61">
        <w:rPr>
          <w:rStyle w:val="normaltextrun"/>
          <w:rFonts w:asciiTheme="majorBidi" w:eastAsiaTheme="majorEastAsia" w:hAnsiTheme="majorBidi" w:cstheme="majorBidi"/>
        </w:rPr>
        <w:t>.  </w:t>
      </w:r>
      <w:r w:rsidRPr="00ED7E61">
        <w:rPr>
          <w:rStyle w:val="normaltextrun"/>
        </w:rPr>
        <w:t> </w:t>
      </w:r>
    </w:p>
    <w:p w14:paraId="13E75921"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IUCN SPSC (2019) Guidelines for Using the IUCN Red List Categories and Criteria. Version 14. International Union for Conservation of Nature – Standards and Petitions Subcommittee, Gland, Switzerland. Available from </w:t>
      </w:r>
      <w:hyperlink r:id="rId169" w:tgtFrame="_blank" w:history="1">
        <w:r w:rsidRPr="00ED7E61">
          <w:rPr>
            <w:rStyle w:val="normaltextrun"/>
            <w:rFonts w:asciiTheme="majorBidi" w:eastAsiaTheme="majorEastAsia" w:hAnsiTheme="majorBidi" w:cstheme="majorBidi"/>
          </w:rPr>
          <w:t>http://www.iucnredlist.org/documents/RedListGuidelines.pdf</w:t>
        </w:r>
      </w:hyperlink>
      <w:r w:rsidRPr="00ED7E61">
        <w:rPr>
          <w:rStyle w:val="normaltextrun"/>
          <w:rFonts w:asciiTheme="majorBidi" w:eastAsiaTheme="majorEastAsia" w:hAnsiTheme="majorBidi" w:cstheme="majorBidi"/>
        </w:rPr>
        <w:t>. </w:t>
      </w:r>
      <w:r w:rsidRPr="00ED7E61">
        <w:rPr>
          <w:rStyle w:val="normaltextrun"/>
        </w:rPr>
        <w:t> </w:t>
      </w:r>
    </w:p>
    <w:p w14:paraId="2D53148A"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IUCN (2012a). IUCN Red List Categories and Criteria: Version 3.1. Second edition. International Union for Conservation of Nature, Gland, Switzerland. Available from </w:t>
      </w:r>
      <w:hyperlink r:id="rId170" w:tgtFrame="_blank" w:history="1">
        <w:r w:rsidRPr="00ED7E61">
          <w:rPr>
            <w:rStyle w:val="normaltextrun"/>
            <w:rFonts w:asciiTheme="majorBidi" w:eastAsiaTheme="majorEastAsia" w:hAnsiTheme="majorBidi" w:cstheme="majorBidi"/>
          </w:rPr>
          <w:t>https://portals.iucn.org/library/node/10315</w:t>
        </w:r>
      </w:hyperlink>
      <w:r w:rsidRPr="00ED7E61">
        <w:rPr>
          <w:rStyle w:val="normaltextrun"/>
          <w:rFonts w:asciiTheme="majorBidi" w:eastAsiaTheme="majorEastAsia" w:hAnsiTheme="majorBidi" w:cstheme="majorBidi"/>
        </w:rPr>
        <w:t>. </w:t>
      </w:r>
      <w:r w:rsidRPr="00ED7E61">
        <w:rPr>
          <w:rStyle w:val="normaltextrun"/>
        </w:rPr>
        <w:t> </w:t>
      </w:r>
    </w:p>
    <w:p w14:paraId="6747CBE5"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IUCN (2012b). Guidelines for Application of IUCN Red List Criteria at Regional and National Levels: Version 4.0. International Union for Conservation of Nature, Gland, Switzerland. Available from </w:t>
      </w:r>
      <w:hyperlink r:id="rId171" w:tgtFrame="_blank" w:history="1">
        <w:r w:rsidRPr="00ED7E61">
          <w:rPr>
            <w:rStyle w:val="normaltextrun"/>
            <w:rFonts w:asciiTheme="majorBidi" w:eastAsiaTheme="majorEastAsia" w:hAnsiTheme="majorBidi" w:cstheme="majorBidi"/>
          </w:rPr>
          <w:t>https://portals.iucn.org/library/node/10336</w:t>
        </w:r>
      </w:hyperlink>
      <w:r w:rsidRPr="00ED7E61">
        <w:rPr>
          <w:rStyle w:val="normaltextrun"/>
          <w:rFonts w:asciiTheme="majorBidi" w:eastAsiaTheme="majorEastAsia" w:hAnsiTheme="majorBidi" w:cstheme="majorBidi"/>
        </w:rPr>
        <w:t>. </w:t>
      </w:r>
      <w:r w:rsidRPr="00ED7E61">
        <w:rPr>
          <w:rStyle w:val="normaltextrun"/>
        </w:rPr>
        <w:t> </w:t>
      </w:r>
    </w:p>
    <w:p w14:paraId="48660142"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IUCN (2013). Documentation Standards and Consistency Checks for IUCN Red List assessments and species accounts. International Union for Conservation of Nature, Gland, Switzerland. Available from </w:t>
      </w:r>
      <w:hyperlink r:id="rId172" w:tgtFrame="_blank" w:history="1">
        <w:r w:rsidRPr="00ED7E61">
          <w:rPr>
            <w:rStyle w:val="normaltextrun"/>
            <w:rFonts w:asciiTheme="majorBidi" w:eastAsiaTheme="majorEastAsia" w:hAnsiTheme="majorBidi" w:cstheme="majorBidi"/>
          </w:rPr>
          <w:t>http://cmsdocs.s3.amazonaws.com/keydocuments/RL_Standards_Consistency.pdf</w:t>
        </w:r>
      </w:hyperlink>
      <w:r w:rsidRPr="00ED7E61">
        <w:rPr>
          <w:rStyle w:val="normaltextrun"/>
          <w:rFonts w:asciiTheme="majorBidi" w:eastAsiaTheme="majorEastAsia" w:hAnsiTheme="majorBidi" w:cstheme="majorBidi"/>
        </w:rPr>
        <w:t>. </w:t>
      </w:r>
      <w:r w:rsidRPr="00ED7E61">
        <w:rPr>
          <w:rStyle w:val="normaltextrun"/>
        </w:rPr>
        <w:t> </w:t>
      </w:r>
    </w:p>
    <w:p w14:paraId="0C4B1E7E" w14:textId="77777777" w:rsidR="00756F0F" w:rsidRPr="00B3383B" w:rsidRDefault="00756F0F" w:rsidP="00B3383B">
      <w:pPr>
        <w:pStyle w:val="CBDNormalNumber"/>
        <w:numPr>
          <w:ilvl w:val="0"/>
          <w:numId w:val="0"/>
        </w:numPr>
        <w:ind w:left="567"/>
        <w:rPr>
          <w:rStyle w:val="normaltextrun"/>
          <w:rFonts w:eastAsiaTheme="majorEastAsia"/>
          <w:lang w:val="fr-FR"/>
        </w:rPr>
      </w:pPr>
      <w:r w:rsidRPr="00ED7E61">
        <w:rPr>
          <w:rStyle w:val="normaltextrun"/>
          <w:rFonts w:asciiTheme="majorBidi" w:eastAsiaTheme="majorEastAsia" w:hAnsiTheme="majorBidi" w:cstheme="majorBidi"/>
        </w:rPr>
        <w:t xml:space="preserve">IUCN (2015). IUCN Red List of Threatened Species. Version 2015.1. International Union for Conservation of Nature, Gland, Switzerland. </w:t>
      </w:r>
      <w:r w:rsidRPr="00B3383B">
        <w:rPr>
          <w:rStyle w:val="normaltextrun"/>
          <w:rFonts w:asciiTheme="majorBidi" w:eastAsiaTheme="majorEastAsia" w:hAnsiTheme="majorBidi" w:cstheme="majorBidi"/>
          <w:lang w:val="fr-FR"/>
        </w:rPr>
        <w:t xml:space="preserve">Available from </w:t>
      </w:r>
      <w:hyperlink r:id="rId173" w:tgtFrame="_blank" w:history="1">
        <w:r w:rsidRPr="00B3383B">
          <w:rPr>
            <w:rStyle w:val="normaltextrun"/>
            <w:rFonts w:asciiTheme="majorBidi" w:eastAsiaTheme="majorEastAsia" w:hAnsiTheme="majorBidi" w:cstheme="majorBidi"/>
            <w:lang w:val="fr-FR"/>
          </w:rPr>
          <w:t>http://www.iucnredlist.org</w:t>
        </w:r>
      </w:hyperlink>
      <w:r w:rsidRPr="00B3383B">
        <w:rPr>
          <w:rStyle w:val="normaltextrun"/>
          <w:rFonts w:asciiTheme="majorBidi" w:eastAsiaTheme="majorEastAsia" w:hAnsiTheme="majorBidi" w:cstheme="majorBidi"/>
          <w:lang w:val="fr-FR"/>
        </w:rPr>
        <w:t>. </w:t>
      </w:r>
      <w:r w:rsidRPr="00B3383B">
        <w:rPr>
          <w:rStyle w:val="normaltextrun"/>
          <w:lang w:val="fr-FR"/>
        </w:rPr>
        <w:t> </w:t>
      </w:r>
    </w:p>
    <w:p w14:paraId="38DD6F43"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lang w:val="fr-FR"/>
        </w:rPr>
        <w:t xml:space="preserve">Mace, G. M. et al. </w:t>
      </w:r>
      <w:r w:rsidRPr="00ED7E61">
        <w:rPr>
          <w:rStyle w:val="normaltextrun"/>
          <w:rFonts w:asciiTheme="majorBidi" w:eastAsiaTheme="majorEastAsia" w:hAnsiTheme="majorBidi" w:cstheme="majorBidi"/>
        </w:rPr>
        <w:t xml:space="preserve">(2008) Quantification of extinction risk: IUCN’s system for classifying threatened species. Conservation Biology 22: 1424–1442. Available from </w:t>
      </w:r>
      <w:hyperlink r:id="rId174" w:tgtFrame="_blank" w:history="1">
        <w:r w:rsidRPr="00ED7E61">
          <w:rPr>
            <w:rStyle w:val="normaltextrun"/>
            <w:rFonts w:asciiTheme="majorBidi" w:eastAsiaTheme="majorEastAsia" w:hAnsiTheme="majorBidi" w:cstheme="majorBidi"/>
          </w:rPr>
          <w:t>http://onlinelibrary.wiley.com/doi/10.1111/j.1523-1739.2008.01044.x/full</w:t>
        </w:r>
      </w:hyperlink>
      <w:r w:rsidRPr="00ED7E61">
        <w:rPr>
          <w:rStyle w:val="normaltextrun"/>
          <w:rFonts w:asciiTheme="majorBidi" w:eastAsiaTheme="majorEastAsia" w:hAnsiTheme="majorBidi" w:cstheme="majorBidi"/>
        </w:rPr>
        <w:t>. </w:t>
      </w:r>
      <w:r w:rsidRPr="00ED7E61">
        <w:rPr>
          <w:rStyle w:val="normaltextrun"/>
        </w:rPr>
        <w:t> </w:t>
      </w:r>
    </w:p>
    <w:p w14:paraId="22022C9E"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lang w:val="fr-FR"/>
        </w:rPr>
        <w:t xml:space="preserve">McGeoch, M. A. et al. </w:t>
      </w:r>
      <w:r w:rsidRPr="00ED7E61">
        <w:rPr>
          <w:rStyle w:val="normaltextrun"/>
          <w:rFonts w:asciiTheme="majorBidi" w:eastAsiaTheme="majorEastAsia" w:hAnsiTheme="majorBidi" w:cstheme="majorBidi"/>
        </w:rPr>
        <w:t xml:space="preserve">(2010) Global indicators of biological invasion: species numbers, biodiversity impact and policy responses. Diversity and Distributions 16: 95–108. Available from </w:t>
      </w:r>
      <w:hyperlink r:id="rId175" w:tgtFrame="_blank" w:history="1">
        <w:r w:rsidRPr="00ED7E61">
          <w:rPr>
            <w:rStyle w:val="normaltextrun"/>
            <w:rFonts w:asciiTheme="majorBidi" w:eastAsiaTheme="majorEastAsia" w:hAnsiTheme="majorBidi" w:cstheme="majorBidi"/>
          </w:rPr>
          <w:t>http://onlinelibrary.wiley.com/doi/10.1111/j.1472-4642.2009.00633.x/abstract</w:t>
        </w:r>
      </w:hyperlink>
      <w:r w:rsidRPr="00ED7E61">
        <w:rPr>
          <w:rStyle w:val="normaltextrun"/>
          <w:rFonts w:asciiTheme="majorBidi" w:eastAsiaTheme="majorEastAsia" w:hAnsiTheme="majorBidi" w:cstheme="majorBidi"/>
        </w:rPr>
        <w:t>. </w:t>
      </w:r>
      <w:r w:rsidRPr="00ED7E61">
        <w:rPr>
          <w:rStyle w:val="normaltextrun"/>
        </w:rPr>
        <w:t> </w:t>
      </w:r>
    </w:p>
    <w:p w14:paraId="4876639E"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Pihl, S. &amp; Flensted, K. N. (2011). A Red List Index for breeding birds in Denmark in the period 1991-2009. Dansk Ornitologisk Forenings Tidsskrift 105: 211-218.</w:t>
      </w:r>
      <w:r w:rsidRPr="00ED7E61">
        <w:rPr>
          <w:rStyle w:val="normaltextrun"/>
        </w:rPr>
        <w:t> </w:t>
      </w:r>
    </w:p>
    <w:p w14:paraId="00D88369" w14:textId="1A1FFDBE" w:rsidR="00756F0F" w:rsidRPr="00B3383B" w:rsidRDefault="00756F0F" w:rsidP="00B3383B">
      <w:pPr>
        <w:pStyle w:val="CBDNormalNumber"/>
        <w:numPr>
          <w:ilvl w:val="0"/>
          <w:numId w:val="0"/>
        </w:numPr>
        <w:ind w:left="567"/>
        <w:rPr>
          <w:rStyle w:val="normaltextrun"/>
          <w:rFonts w:eastAsiaTheme="majorEastAsia"/>
          <w:lang w:val="fr-FR"/>
        </w:rPr>
      </w:pPr>
      <w:r w:rsidRPr="00ED7E61">
        <w:rPr>
          <w:rStyle w:val="normaltextrun"/>
          <w:rFonts w:asciiTheme="majorBidi" w:eastAsiaTheme="majorEastAsia" w:hAnsiTheme="majorBidi" w:cstheme="majorBidi"/>
        </w:rPr>
        <w:t>Raimondo, D., et al</w:t>
      </w:r>
      <w:r w:rsidR="002D6AA5">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(2022) Using Red List Indices to monitor extinction risk at national scales. </w:t>
      </w:r>
      <w:r w:rsidRPr="00B3383B">
        <w:rPr>
          <w:rStyle w:val="normaltextrun"/>
          <w:rFonts w:asciiTheme="majorBidi" w:eastAsiaTheme="majorEastAsia" w:hAnsiTheme="majorBidi" w:cstheme="majorBidi"/>
          <w:lang w:val="fr-FR"/>
        </w:rPr>
        <w:t xml:space="preserve">Cons Sci Practice 5: e12854. </w:t>
      </w:r>
      <w:hyperlink r:id="rId176" w:tgtFrame="_blank" w:history="1">
        <w:r w:rsidRPr="00B3383B">
          <w:rPr>
            <w:rStyle w:val="normaltextrun"/>
            <w:rFonts w:asciiTheme="majorBidi" w:eastAsiaTheme="majorEastAsia" w:hAnsiTheme="majorBidi" w:cstheme="majorBidi"/>
            <w:lang w:val="fr-FR"/>
          </w:rPr>
          <w:t>https://doi.org/10.1111/csp2.12854</w:t>
        </w:r>
      </w:hyperlink>
      <w:r w:rsidRPr="00B3383B">
        <w:rPr>
          <w:rStyle w:val="normaltextrun"/>
          <w:rFonts w:asciiTheme="majorBidi" w:eastAsiaTheme="majorEastAsia" w:hAnsiTheme="majorBidi" w:cstheme="majorBidi"/>
          <w:lang w:val="fr-FR"/>
        </w:rPr>
        <w:t> </w:t>
      </w:r>
      <w:r w:rsidRPr="00B3383B">
        <w:rPr>
          <w:rStyle w:val="normaltextrun"/>
          <w:lang w:val="fr-FR"/>
        </w:rPr>
        <w:t> </w:t>
      </w:r>
    </w:p>
    <w:p w14:paraId="0D3612E9" w14:textId="77777777" w:rsidR="00756F0F" w:rsidRPr="00B3383B" w:rsidRDefault="00756F0F" w:rsidP="00B3383B">
      <w:pPr>
        <w:pStyle w:val="CBDNormalNumber"/>
        <w:numPr>
          <w:ilvl w:val="0"/>
          <w:numId w:val="0"/>
        </w:numPr>
        <w:ind w:left="567"/>
        <w:rPr>
          <w:rStyle w:val="normaltextrun"/>
          <w:rFonts w:eastAsiaTheme="majorEastAsia"/>
          <w:lang w:val="fr-FR"/>
        </w:rPr>
      </w:pPr>
      <w:r w:rsidRPr="00B3383B">
        <w:rPr>
          <w:rStyle w:val="normaltextrun"/>
          <w:rFonts w:asciiTheme="majorBidi" w:eastAsiaTheme="majorEastAsia" w:hAnsiTheme="majorBidi" w:cstheme="majorBidi"/>
          <w:lang w:val="fr-FR"/>
        </w:rPr>
        <w:t xml:space="preserve">Regan, E. et al. </w:t>
      </w:r>
      <w:r w:rsidRPr="00ED7E61">
        <w:rPr>
          <w:rStyle w:val="normaltextrun"/>
          <w:rFonts w:asciiTheme="majorBidi" w:eastAsiaTheme="majorEastAsia" w:hAnsiTheme="majorBidi" w:cstheme="majorBidi"/>
        </w:rPr>
        <w:t xml:space="preserve">(2015). Global trends in the status of bird and mammal pollinators. </w:t>
      </w:r>
      <w:r w:rsidRPr="00B3383B">
        <w:rPr>
          <w:rStyle w:val="normaltextrun"/>
          <w:rFonts w:asciiTheme="majorBidi" w:eastAsiaTheme="majorEastAsia" w:hAnsiTheme="majorBidi" w:cstheme="majorBidi"/>
          <w:lang w:val="fr-FR"/>
        </w:rPr>
        <w:t xml:space="preserve">Conservation Letters. doi: 10.1111/conl.12162. Available from </w:t>
      </w:r>
      <w:hyperlink r:id="rId177" w:tgtFrame="_blank" w:history="1">
        <w:r w:rsidRPr="00B3383B">
          <w:rPr>
            <w:rStyle w:val="normaltextrun"/>
            <w:rFonts w:asciiTheme="majorBidi" w:eastAsiaTheme="majorEastAsia" w:hAnsiTheme="majorBidi" w:cstheme="majorBidi"/>
            <w:lang w:val="fr-FR"/>
          </w:rPr>
          <w:t>http://onlinelibrary.wiley.com/doi/10.1111/conl.12162/abstract</w:t>
        </w:r>
      </w:hyperlink>
      <w:r w:rsidRPr="00B3383B">
        <w:rPr>
          <w:rStyle w:val="normaltextrun"/>
          <w:rFonts w:asciiTheme="majorBidi" w:eastAsiaTheme="majorEastAsia" w:hAnsiTheme="majorBidi" w:cstheme="majorBidi"/>
          <w:lang w:val="fr-FR"/>
        </w:rPr>
        <w:t>. </w:t>
      </w:r>
      <w:r w:rsidRPr="00B3383B">
        <w:rPr>
          <w:rStyle w:val="normaltextrun"/>
          <w:lang w:val="fr-FR"/>
        </w:rPr>
        <w:t> </w:t>
      </w:r>
    </w:p>
    <w:p w14:paraId="6E803E39" w14:textId="77777777" w:rsidR="00756F0F" w:rsidRPr="00ED7E61" w:rsidRDefault="00756F0F" w:rsidP="00B3383B">
      <w:pPr>
        <w:pStyle w:val="CBDNormalNumber"/>
        <w:numPr>
          <w:ilvl w:val="0"/>
          <w:numId w:val="0"/>
        </w:numPr>
        <w:ind w:left="567"/>
        <w:rPr>
          <w:rStyle w:val="normaltextrun"/>
          <w:rFonts w:eastAsiaTheme="majorEastAsia"/>
        </w:rPr>
      </w:pPr>
      <w:r w:rsidRPr="001C6EE2">
        <w:rPr>
          <w:rStyle w:val="normaltextrun"/>
          <w:rFonts w:asciiTheme="majorBidi" w:eastAsiaTheme="majorEastAsia" w:hAnsiTheme="majorBidi" w:cstheme="majorBidi"/>
          <w:lang w:val="fr-FR"/>
        </w:rPr>
        <w:t xml:space="preserve">Rodrigues, A. S. L. et al. </w:t>
      </w:r>
      <w:r w:rsidRPr="00ED7E61">
        <w:rPr>
          <w:rStyle w:val="normaltextrun"/>
          <w:rFonts w:asciiTheme="majorBidi" w:eastAsiaTheme="majorEastAsia" w:hAnsiTheme="majorBidi" w:cstheme="majorBidi"/>
        </w:rPr>
        <w:t xml:space="preserve">(2014). Spatially explicit trends in the global conservation status of vertebrates. PLoS ONE 9(11): e113934. Available from </w:t>
      </w:r>
      <w:hyperlink r:id="rId178" w:tgtFrame="_blank" w:history="1">
        <w:r w:rsidRPr="00ED7E61">
          <w:rPr>
            <w:rStyle w:val="normaltextrun"/>
            <w:rFonts w:asciiTheme="majorBidi" w:eastAsiaTheme="majorEastAsia" w:hAnsiTheme="majorBidi" w:cstheme="majorBidi"/>
          </w:rPr>
          <w:t>http://journals.plos.org/plosone/article?id=10.1371/journal.pone.0113934</w:t>
        </w:r>
      </w:hyperlink>
      <w:r w:rsidRPr="00ED7E61">
        <w:rPr>
          <w:rStyle w:val="normaltextrun"/>
          <w:rFonts w:asciiTheme="majorBidi" w:eastAsiaTheme="majorEastAsia" w:hAnsiTheme="majorBidi" w:cstheme="majorBidi"/>
        </w:rPr>
        <w:t>. </w:t>
      </w:r>
      <w:r w:rsidRPr="00ED7E61">
        <w:rPr>
          <w:rStyle w:val="normaltextrun"/>
        </w:rPr>
        <w:t> </w:t>
      </w:r>
    </w:p>
    <w:p w14:paraId="48E00449" w14:textId="77777777"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Salafsky, N., et al. (2008) A standard lexicon for biodiversity conservation: unified classifications of threats and actions. Conservation Biology 22: 897–911. Available from </w:t>
      </w:r>
      <w:hyperlink r:id="rId179" w:tgtFrame="_blank" w:history="1">
        <w:r w:rsidRPr="00ED7E61">
          <w:rPr>
            <w:rStyle w:val="normaltextrun"/>
            <w:rFonts w:asciiTheme="majorBidi" w:eastAsiaTheme="majorEastAsia" w:hAnsiTheme="majorBidi" w:cstheme="majorBidi"/>
          </w:rPr>
          <w:t>http://onlinelibrary.wiley.com/doi/10.1111/j.1523-1739.2008.00937.x/full</w:t>
        </w:r>
      </w:hyperlink>
      <w:r w:rsidRPr="00ED7E61">
        <w:rPr>
          <w:rStyle w:val="normaltextrun"/>
          <w:rFonts w:asciiTheme="majorBidi" w:eastAsiaTheme="majorEastAsia" w:hAnsiTheme="majorBidi" w:cstheme="majorBidi"/>
        </w:rPr>
        <w:t>. </w:t>
      </w:r>
      <w:r w:rsidRPr="00ED7E61">
        <w:rPr>
          <w:rStyle w:val="normaltextrun"/>
        </w:rPr>
        <w:t> </w:t>
      </w:r>
    </w:p>
    <w:p w14:paraId="55113238" w14:textId="77777777" w:rsidR="00756F0F" w:rsidRPr="00B3383B" w:rsidRDefault="00756F0F" w:rsidP="00B3383B">
      <w:pPr>
        <w:pStyle w:val="CBDNormalNumber"/>
        <w:numPr>
          <w:ilvl w:val="0"/>
          <w:numId w:val="0"/>
        </w:numPr>
        <w:ind w:left="567"/>
        <w:rPr>
          <w:rStyle w:val="normaltextrun"/>
          <w:rFonts w:eastAsiaTheme="majorEastAsia"/>
          <w:lang w:val="fr-FR"/>
        </w:rPr>
      </w:pPr>
      <w:r w:rsidRPr="00ED7E61">
        <w:rPr>
          <w:rStyle w:val="normaltextrun"/>
          <w:rFonts w:asciiTheme="majorBidi" w:eastAsiaTheme="majorEastAsia" w:hAnsiTheme="majorBidi" w:cstheme="majorBidi"/>
        </w:rPr>
        <w:t xml:space="preserve">Tittensor, D. et al. (2014). A mid-term analysis of progress towards international biodiversity targets. </w:t>
      </w:r>
      <w:r w:rsidRPr="00B3383B">
        <w:rPr>
          <w:rStyle w:val="normaltextrun"/>
          <w:rFonts w:asciiTheme="majorBidi" w:eastAsiaTheme="majorEastAsia" w:hAnsiTheme="majorBidi" w:cstheme="majorBidi"/>
          <w:lang w:val="fr-FR"/>
        </w:rPr>
        <w:t xml:space="preserve">Science 346: 241–244. Available from </w:t>
      </w:r>
      <w:hyperlink r:id="rId180" w:tgtFrame="_blank" w:history="1">
        <w:r w:rsidRPr="00B3383B">
          <w:rPr>
            <w:rStyle w:val="normaltextrun"/>
            <w:rFonts w:asciiTheme="majorBidi" w:eastAsiaTheme="majorEastAsia" w:hAnsiTheme="majorBidi" w:cstheme="majorBidi"/>
            <w:lang w:val="fr-FR"/>
          </w:rPr>
          <w:t>http://www.sciencemag.org/content/346/6206/241.short</w:t>
        </w:r>
      </w:hyperlink>
      <w:r w:rsidRPr="00B3383B">
        <w:rPr>
          <w:rStyle w:val="normaltextrun"/>
          <w:rFonts w:asciiTheme="majorBidi" w:eastAsiaTheme="majorEastAsia" w:hAnsiTheme="majorBidi" w:cstheme="majorBidi"/>
          <w:lang w:val="fr-FR"/>
        </w:rPr>
        <w:t>. </w:t>
      </w:r>
      <w:r w:rsidRPr="00B3383B">
        <w:rPr>
          <w:rStyle w:val="normaltextrun"/>
          <w:lang w:val="fr-FR"/>
        </w:rPr>
        <w:t> </w:t>
      </w:r>
    </w:p>
    <w:p w14:paraId="0FC0760C" w14:textId="77777777" w:rsidR="00756F0F" w:rsidRPr="00ED7E61" w:rsidRDefault="00756F0F" w:rsidP="00B3383B">
      <w:pPr>
        <w:pStyle w:val="CBDNormalNumber"/>
        <w:numPr>
          <w:ilvl w:val="0"/>
          <w:numId w:val="0"/>
        </w:numPr>
        <w:ind w:left="567"/>
        <w:rPr>
          <w:rStyle w:val="normaltextrun"/>
          <w:rFonts w:eastAsiaTheme="majorEastAsia"/>
        </w:rPr>
      </w:pPr>
      <w:r w:rsidRPr="00B3383B">
        <w:rPr>
          <w:rStyle w:val="normaltextrun"/>
          <w:rFonts w:asciiTheme="majorBidi" w:eastAsiaTheme="majorEastAsia" w:hAnsiTheme="majorBidi" w:cstheme="majorBidi"/>
          <w:lang w:val="fr-FR"/>
        </w:rPr>
        <w:t xml:space="preserve">Visconti, P. et al. </w:t>
      </w:r>
      <w:r w:rsidRPr="00ED7E61">
        <w:rPr>
          <w:rStyle w:val="normaltextrun"/>
          <w:rFonts w:asciiTheme="majorBidi" w:eastAsiaTheme="majorEastAsia" w:hAnsiTheme="majorBidi" w:cstheme="majorBidi"/>
        </w:rPr>
        <w:t xml:space="preserve">(2015) Projecting global biodiversity indicators under future development scenarios. Conservation Letters. doi: 10.1111/conl.12159. Available from </w:t>
      </w:r>
      <w:hyperlink r:id="rId181" w:tgtFrame="_blank" w:history="1">
        <w:r w:rsidRPr="00ED7E61">
          <w:rPr>
            <w:rStyle w:val="normaltextrun"/>
            <w:rFonts w:asciiTheme="majorBidi" w:eastAsiaTheme="majorEastAsia" w:hAnsiTheme="majorBidi" w:cstheme="majorBidi"/>
          </w:rPr>
          <w:t>http://onlinelibrary.wiley.com/doi/10.1111/conl.12159/abstract</w:t>
        </w:r>
      </w:hyperlink>
      <w:r w:rsidRPr="00ED7E61">
        <w:rPr>
          <w:rStyle w:val="normaltextrun"/>
          <w:rFonts w:asciiTheme="majorBidi" w:eastAsiaTheme="majorEastAsia" w:hAnsiTheme="majorBidi" w:cstheme="majorBidi"/>
        </w:rPr>
        <w:t>.</w:t>
      </w:r>
      <w:r w:rsidRPr="00ED7E61">
        <w:rPr>
          <w:rStyle w:val="normaltextrun"/>
        </w:rPr>
        <w:t> </w:t>
      </w:r>
    </w:p>
    <w:bookmarkEnd w:id="7"/>
    <w:p w14:paraId="53656351" w14:textId="77777777" w:rsidR="00756F0F" w:rsidRPr="00ED7E61" w:rsidRDefault="00756F0F"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735499D3" w14:textId="141E5D03" w:rsidR="00215AED" w:rsidRPr="00ED7E61" w:rsidRDefault="00756F0F" w:rsidP="00215AED">
      <w:pPr>
        <w:pStyle w:val="Heading3"/>
        <w:rPr>
          <w:rStyle w:val="normaltextrun"/>
        </w:rPr>
      </w:pPr>
      <w:bookmarkStart w:id="25" w:name="_Toc178285846"/>
      <w:bookmarkEnd w:id="9"/>
      <w:r w:rsidRPr="00ED7E61">
        <w:rPr>
          <w:rStyle w:val="normaltextrun"/>
        </w:rPr>
        <w:t>GBF indicator metadata</w:t>
      </w:r>
      <w:r w:rsidR="00215AED" w:rsidRPr="00ED7E61">
        <w:rPr>
          <w:rStyle w:val="normaltextrun"/>
        </w:rPr>
        <w:t>: A.4 The proportion of populations within species with an effective population size</w:t>
      </w:r>
      <w:r w:rsidR="004E025B">
        <w:rPr>
          <w:rStyle w:val="normaltextrun"/>
        </w:rPr>
        <w:t xml:space="preserve"> </w:t>
      </w:r>
      <w:r w:rsidR="00DC0F01" w:rsidRPr="00ED7E61">
        <w:rPr>
          <w:rStyle w:val="normaltextrun"/>
        </w:rPr>
        <w:t>(</w:t>
      </w:r>
      <w:r w:rsidR="008676D1" w:rsidRPr="00ED7E61">
        <w:rPr>
          <w:rStyle w:val="normaltextrun"/>
        </w:rPr>
        <w:t>N</w:t>
      </w:r>
      <w:r w:rsidR="008676D1">
        <w:rPr>
          <w:rStyle w:val="normaltextrun"/>
        </w:rPr>
        <w:t>e</w:t>
      </w:r>
      <w:r w:rsidR="00DC0F01" w:rsidRPr="00ED7E61">
        <w:rPr>
          <w:rStyle w:val="normaltextrun"/>
        </w:rPr>
        <w:t>)</w:t>
      </w:r>
      <w:r w:rsidR="00215AED" w:rsidRPr="00ED7E61">
        <w:rPr>
          <w:rStyle w:val="normaltextrun"/>
        </w:rPr>
        <w:t xml:space="preserve"> &gt; 500</w:t>
      </w:r>
      <w:bookmarkEnd w:id="25"/>
      <w:r w:rsidR="00215AED" w:rsidRPr="00ED7E61">
        <w:rPr>
          <w:rStyle w:val="normaltextrun"/>
        </w:rPr>
        <w:t xml:space="preserve"> </w:t>
      </w:r>
    </w:p>
    <w:p w14:paraId="4FD74635"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10AD416A"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sz w:val="22"/>
          <w:szCs w:val="22"/>
        </w:rPr>
        <w:t> </w:t>
      </w:r>
    </w:p>
    <w:p w14:paraId="61B33109" w14:textId="4D15AE40"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bookmarkStart w:id="26" w:name="_Hlk163077554"/>
      <w:r w:rsidRPr="00ED7E61">
        <w:rPr>
          <w:rStyle w:val="normaltextrun"/>
          <w:rFonts w:asciiTheme="majorBidi" w:eastAsiaTheme="majorEastAsia" w:hAnsiTheme="majorBidi" w:cstheme="majorBidi"/>
          <w:sz w:val="22"/>
          <w:szCs w:val="22"/>
          <w:lang w:val="en-GB"/>
        </w:rPr>
        <w:t>A.4 The proportion of populations within species with an effective population size</w:t>
      </w:r>
      <w:r w:rsidR="00DC0F01" w:rsidRPr="00ED7E61">
        <w:rPr>
          <w:rStyle w:val="normaltextrun"/>
          <w:rFonts w:asciiTheme="majorBidi" w:eastAsiaTheme="majorEastAsia" w:hAnsiTheme="majorBidi" w:cstheme="majorBidi"/>
          <w:sz w:val="22"/>
          <w:szCs w:val="22"/>
          <w:lang w:val="en-GB"/>
        </w:rPr>
        <w:t xml:space="preserve"> (</w:t>
      </w:r>
      <w:r w:rsidR="008676D1" w:rsidRPr="00ED7E61">
        <w:rPr>
          <w:rStyle w:val="normaltextrun"/>
          <w:rFonts w:asciiTheme="majorBidi" w:eastAsiaTheme="majorEastAsia" w:hAnsiTheme="majorBidi" w:cstheme="majorBidi"/>
          <w:sz w:val="22"/>
          <w:szCs w:val="22"/>
          <w:lang w:val="en-GB"/>
        </w:rPr>
        <w:t>N</w:t>
      </w:r>
      <w:r w:rsidR="008676D1">
        <w:rPr>
          <w:rStyle w:val="normaltextrun"/>
          <w:rFonts w:asciiTheme="majorBidi" w:eastAsiaTheme="majorEastAsia" w:hAnsiTheme="majorBidi" w:cstheme="majorBidi"/>
          <w:sz w:val="22"/>
          <w:szCs w:val="22"/>
          <w:lang w:val="en-GB"/>
        </w:rPr>
        <w:t>e</w:t>
      </w:r>
      <w:r w:rsidR="00DC0F01" w:rsidRPr="00ED7E61">
        <w:rPr>
          <w:rStyle w:val="normaltextrun"/>
          <w:rFonts w:asciiTheme="majorBidi" w:eastAsiaTheme="majorEastAsia"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&gt; 500</w:t>
      </w:r>
      <w:r w:rsidRPr="00ED7E61">
        <w:rPr>
          <w:rStyle w:val="eop"/>
          <w:rFonts w:asciiTheme="majorBidi" w:eastAsiaTheme="majorEastAsia" w:hAnsiTheme="majorBidi" w:cstheme="majorBidi"/>
          <w:sz w:val="22"/>
          <w:szCs w:val="22"/>
        </w:rPr>
        <w:t> </w:t>
      </w:r>
    </w:p>
    <w:p w14:paraId="326D029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shd w:val="clear" w:color="auto" w:fill="FFFFFF"/>
          <w:lang w:val="en-GB"/>
        </w:rPr>
        <w:t>This is sometimes referred to as “</w:t>
      </w:r>
      <w:r w:rsidRPr="00FB1598">
        <w:rPr>
          <w:rStyle w:val="normaltextrun"/>
          <w:rFonts w:asciiTheme="majorBidi" w:eastAsiaTheme="majorEastAsia" w:hAnsiTheme="majorBidi" w:cstheme="majorBidi"/>
          <w:i/>
          <w:iCs/>
          <w:sz w:val="22"/>
          <w:szCs w:val="22"/>
          <w:shd w:val="clear" w:color="auto" w:fill="FFFFFF"/>
          <w:lang w:val="en-GB"/>
        </w:rPr>
        <w:t>the Ne 500 indicator</w:t>
      </w:r>
      <w:r w:rsidRPr="00ED7E61">
        <w:rPr>
          <w:rStyle w:val="normaltextrun"/>
          <w:rFonts w:asciiTheme="majorBidi" w:eastAsiaTheme="majorEastAsia" w:hAnsiTheme="majorBidi" w:cstheme="majorBidi"/>
          <w:sz w:val="22"/>
          <w:szCs w:val="22"/>
          <w:shd w:val="clear" w:color="auto" w:fill="FFFFFF"/>
          <w:lang w:val="en-GB"/>
        </w:rPr>
        <w:t>” or “</w:t>
      </w:r>
      <w:r w:rsidRPr="00FB1598">
        <w:rPr>
          <w:rStyle w:val="normaltextrun"/>
          <w:rFonts w:asciiTheme="majorBidi" w:eastAsiaTheme="majorEastAsia" w:hAnsiTheme="majorBidi" w:cstheme="majorBidi"/>
          <w:i/>
          <w:iCs/>
          <w:sz w:val="22"/>
          <w:szCs w:val="22"/>
          <w:shd w:val="clear" w:color="auto" w:fill="FFFFFF"/>
          <w:lang w:val="en-GB"/>
        </w:rPr>
        <w:t>genetic diversity within populations indicator</w:t>
      </w:r>
      <w:r w:rsidRPr="00ED7E61">
        <w:rPr>
          <w:rStyle w:val="normaltextrun"/>
          <w:rFonts w:asciiTheme="majorBidi" w:eastAsiaTheme="majorEastAsia" w:hAnsiTheme="majorBidi" w:cstheme="majorBidi"/>
          <w:sz w:val="22"/>
          <w:szCs w:val="22"/>
          <w:shd w:val="clear" w:color="auto" w:fill="FFFFFF"/>
          <w:lang w:val="en-GB"/>
        </w:rPr>
        <w:t>” or “</w:t>
      </w:r>
      <w:r w:rsidRPr="00FB1598">
        <w:rPr>
          <w:rStyle w:val="normaltextrun"/>
          <w:rFonts w:asciiTheme="majorBidi" w:eastAsiaTheme="majorEastAsia" w:hAnsiTheme="majorBidi" w:cstheme="majorBidi"/>
          <w:i/>
          <w:iCs/>
          <w:sz w:val="22"/>
          <w:szCs w:val="22"/>
          <w:shd w:val="clear" w:color="auto" w:fill="FFFFFF"/>
          <w:lang w:val="en-GB"/>
        </w:rPr>
        <w:t>Effective population size 500 indicator</w:t>
      </w:r>
      <w:r w:rsidRPr="00ED7E61">
        <w:rPr>
          <w:rStyle w:val="normaltextrun"/>
          <w:rFonts w:asciiTheme="majorBidi" w:eastAsiaTheme="majorEastAsia" w:hAnsiTheme="majorBidi" w:cstheme="majorBidi"/>
          <w:sz w:val="22"/>
          <w:szCs w:val="22"/>
          <w:shd w:val="clear" w:color="auto" w:fill="FFFFFF"/>
          <w:lang w:val="en-GB"/>
        </w:rPr>
        <w:t>”</w:t>
      </w:r>
      <w:r w:rsidRPr="00ED7E61">
        <w:rPr>
          <w:rStyle w:val="eop"/>
          <w:rFonts w:asciiTheme="majorBidi" w:eastAsiaTheme="majorEastAsia" w:hAnsiTheme="majorBidi" w:cstheme="majorBidi"/>
          <w:sz w:val="22"/>
          <w:szCs w:val="22"/>
        </w:rPr>
        <w:t> </w:t>
      </w:r>
    </w:p>
    <w:bookmarkEnd w:id="26"/>
    <w:p w14:paraId="1B08DF94"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sz w:val="22"/>
          <w:szCs w:val="22"/>
        </w:rPr>
        <w:t> </w:t>
      </w:r>
    </w:p>
    <w:p w14:paraId="00F26F4F" w14:textId="430F27FB" w:rsidR="00775978" w:rsidRPr="00ED7E61" w:rsidRDefault="00DC0F01" w:rsidP="00395866">
      <w:pPr>
        <w:pStyle w:val="paragraph"/>
        <w:spacing w:before="0" w:beforeAutospacing="0" w:after="0" w:afterAutospacing="0"/>
        <w:textAlignment w:val="baseline"/>
        <w:rPr>
          <w:rStyle w:val="normaltextrun"/>
          <w:rFonts w:asciiTheme="majorBidi" w:eastAsiaTheme="majorEastAsia" w:hAnsiTheme="majorBidi" w:cstheme="majorBidi"/>
          <w:sz w:val="22"/>
          <w:szCs w:val="22"/>
          <w:lang w:val="en-GB"/>
        </w:rPr>
      </w:pPr>
      <w:r w:rsidRPr="00ED7E61">
        <w:rPr>
          <w:rStyle w:val="normaltextrun"/>
          <w:rFonts w:asciiTheme="majorBidi" w:eastAsiaTheme="majorEastAsia" w:hAnsiTheme="majorBidi" w:cstheme="majorBidi"/>
          <w:sz w:val="22"/>
          <w:szCs w:val="22"/>
          <w:lang w:val="en-GB"/>
        </w:rPr>
        <w:t xml:space="preserve">August </w:t>
      </w:r>
      <w:r w:rsidR="00775978" w:rsidRPr="00ED7E61">
        <w:rPr>
          <w:rStyle w:val="normaltextrun"/>
          <w:rFonts w:asciiTheme="majorBidi" w:eastAsiaTheme="majorEastAsia" w:hAnsiTheme="majorBidi" w:cstheme="majorBidi"/>
          <w:sz w:val="22"/>
          <w:szCs w:val="22"/>
          <w:lang w:val="en-GB"/>
        </w:rPr>
        <w:t xml:space="preserve">2024 </w:t>
      </w:r>
    </w:p>
    <w:p w14:paraId="4E4E72D6" w14:textId="6F649699" w:rsidR="00756F0F" w:rsidRPr="00ED7E61" w:rsidRDefault="00756F0F"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sz w:val="22"/>
          <w:szCs w:val="22"/>
        </w:rPr>
        <w:t> </w:t>
      </w:r>
    </w:p>
    <w:p w14:paraId="32986CBC"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3a. Goal </w:t>
      </w:r>
      <w:r w:rsidRPr="00ED7E61">
        <w:rPr>
          <w:rStyle w:val="eop"/>
          <w:rFonts w:asciiTheme="majorBidi" w:eastAsiaTheme="majorEastAsia" w:hAnsiTheme="majorBidi" w:cstheme="majorBidi"/>
          <w:sz w:val="22"/>
          <w:szCs w:val="22"/>
        </w:rPr>
        <w:t> </w:t>
      </w:r>
    </w:p>
    <w:p w14:paraId="1C903ED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Headline indicator for Goal A: The integrity, connectivity and resilience of all ecosystems are maintained, enhanced, or restored, substantially increasing the area of natural ecosystems by 2050; Human induced extinction of known threatened species is halted, and, by 2050, the extinction rate and risk of all species are reduced tenfold and the abundance of native wild species is increased to healthy and resilient levels; The genetic diversity within populations of wild and domesticated species, is maintained, safeguarding their adaptive potential.</w:t>
      </w:r>
      <w:r w:rsidRPr="00ED7E61">
        <w:rPr>
          <w:rStyle w:val="eop"/>
          <w:rFonts w:asciiTheme="majorBidi" w:eastAsiaTheme="majorEastAsia" w:hAnsiTheme="majorBidi" w:cstheme="majorBidi"/>
          <w:sz w:val="22"/>
          <w:szCs w:val="22"/>
        </w:rPr>
        <w:t> </w:t>
      </w:r>
    </w:p>
    <w:p w14:paraId="64C79013"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3b. Target</w:t>
      </w:r>
      <w:r w:rsidRPr="00ED7E61">
        <w:rPr>
          <w:rStyle w:val="eop"/>
          <w:rFonts w:asciiTheme="majorBidi" w:eastAsiaTheme="majorEastAsia" w:hAnsiTheme="majorBidi" w:cstheme="majorBidi"/>
          <w:sz w:val="22"/>
          <w:szCs w:val="22"/>
        </w:rPr>
        <w:t> </w:t>
      </w:r>
    </w:p>
    <w:p w14:paraId="56EF1E2A" w14:textId="377DA9AB"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Headline indicator for Target 4:  Ensure urgent management actions to halt human induced extinction of known threatened species and for the recovery and conservation of species, in particular threatened species, to significantly reduce extinction risk, as well as to maintain and restore the genetic diversity within and between populations of native, wild and domesticated species to maintain their adaptive potential, including through in situ and ex situ conservation and sustainable management practices, and effectively manage human-wildlife interactions to minimize human-wildlife conflict for coexistence.</w:t>
      </w:r>
      <w:r w:rsidRPr="00ED7E61">
        <w:rPr>
          <w:rStyle w:val="eop"/>
          <w:rFonts w:asciiTheme="majorBidi" w:eastAsiaTheme="majorEastAsia" w:hAnsiTheme="majorBidi" w:cstheme="majorBidi"/>
          <w:sz w:val="22"/>
          <w:szCs w:val="22"/>
        </w:rPr>
        <w:t> </w:t>
      </w:r>
    </w:p>
    <w:p w14:paraId="2E65155D" w14:textId="6CACE8C8" w:rsidR="00756F0F" w:rsidRPr="00ED7E61" w:rsidRDefault="00756F0F" w:rsidP="00B10F0C">
      <w:pPr>
        <w:pStyle w:val="CBDNormalNumber"/>
        <w:numPr>
          <w:ilvl w:val="0"/>
          <w:numId w:val="60"/>
        </w:numPr>
        <w:tabs>
          <w:tab w:val="clear" w:pos="1701"/>
        </w:tabs>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As noted by </w:t>
      </w:r>
      <w:hyperlink r:id="rId182" w:tgtFrame="_blank" w:history="1">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2023a</w:t>
        </w:r>
      </w:hyperlink>
      <w:r w:rsidRPr="00ED7E61">
        <w:rPr>
          <w:rStyle w:val="normaltextrun"/>
          <w:rFonts w:asciiTheme="majorBidi" w:eastAsiaTheme="majorEastAsia" w:hAnsiTheme="majorBidi" w:cstheme="majorBidi"/>
        </w:rPr>
        <w:t xml:space="preserve">, and </w:t>
      </w:r>
      <w:hyperlink r:id="rId183" w:tgtFrame="_blank" w:history="1">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2023c</w:t>
        </w:r>
      </w:hyperlink>
      <w:r w:rsidRPr="00ED7E61">
        <w:rPr>
          <w:rStyle w:val="normaltextrun"/>
          <w:rFonts w:asciiTheme="majorBidi" w:eastAsiaTheme="majorEastAsia" w:hAnsiTheme="majorBidi" w:cstheme="majorBidi"/>
        </w:rPr>
        <w:t>, this indicator is also relevant to a number of targets described below and in section 9.  </w:t>
      </w:r>
      <w:r w:rsidRPr="00ED7E61">
        <w:rPr>
          <w:rStyle w:val="normaltextrun"/>
        </w:rPr>
        <w:t> </w:t>
      </w:r>
    </w:p>
    <w:p w14:paraId="76F15E08" w14:textId="4D095698"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4. Rationale</w:t>
      </w:r>
    </w:p>
    <w:p w14:paraId="24B16387" w14:textId="7A4BD850" w:rsidR="00756F0F" w:rsidRPr="00ED7E61" w:rsidRDefault="00756F0F" w:rsidP="00B10F0C">
      <w:pPr>
        <w:pStyle w:val="CBDNormalNumber"/>
        <w:numPr>
          <w:ilvl w:val="0"/>
          <w:numId w:val="60"/>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Effective population size (Ne) is a well-accepted metric for measuring the rate of loss of genetic diversity within populations</w:t>
      </w:r>
      <w:r w:rsidR="00DC0F01" w:rsidRPr="00ED7E61">
        <w:rPr>
          <w:rStyle w:val="normaltextrun"/>
          <w:rFonts w:asciiTheme="majorBidi" w:eastAsiaTheme="majorEastAsia" w:hAnsiTheme="majorBidi" w:cstheme="majorBidi"/>
        </w:rPr>
        <w:t xml:space="preserve"> </w:t>
      </w:r>
      <w:r w:rsidR="00DC0F01" w:rsidRPr="00ED7E61">
        <w:rPr>
          <w:rStyle w:val="normaltextrun"/>
        </w:rPr>
        <w:t>of wild species, or within breeds of domesticated species (though some domestic varieties can have more than one population)</w:t>
      </w:r>
      <w:r w:rsidRPr="00ED7E61">
        <w:rPr>
          <w:rStyle w:val="normaltextrun"/>
          <w:rFonts w:asciiTheme="majorBidi" w:eastAsiaTheme="majorEastAsia" w:hAnsiTheme="majorBidi" w:cstheme="majorBidi"/>
        </w:rPr>
        <w:t xml:space="preserve">. As explained below (see figure </w:t>
      </w:r>
      <w:r w:rsidR="00FB33CD">
        <w:rPr>
          <w:rStyle w:val="normaltextrun"/>
          <w:rFonts w:asciiTheme="majorBidi" w:eastAsiaTheme="majorEastAsia" w:hAnsiTheme="majorBidi" w:cstheme="majorBidi"/>
        </w:rPr>
        <w:t>I</w:t>
      </w:r>
      <w:r w:rsidRPr="00ED7E61">
        <w:rPr>
          <w:rStyle w:val="normaltextrun"/>
          <w:rFonts w:asciiTheme="majorBidi" w:eastAsiaTheme="majorEastAsia" w:hAnsiTheme="majorBidi" w:cstheme="majorBidi"/>
        </w:rPr>
        <w:t>), an Ne above 500 (usually a census population size of 5</w:t>
      </w:r>
      <w:r w:rsidR="008676D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000) will maintain genetic diversity within populations. Genetic diversity is necessary for species’ populations to remain healthy and adapt to environmental change, such as climate change, pollution, changing habitats, and pests and disease. Genetic diversity is also vital for resilience of all ecosystems, such as recovery from heat waves and ocean pollution or acidification. It is also vital for the success of ecosystem restoration and the reintroduction of populations and species. Populations with low genetic diversity suffer inbreeding, low viability, and low resilience. Unfortunately, genetic diversity has declined due to habitat loss, fragmentation, overharvest, and other human activities. Therefore, an Ne indicator is necessary to measure the conservation and sustainable use of genetic diversity</w:t>
      </w:r>
      <w:r w:rsidRPr="00ED7E61">
        <w:rPr>
          <w:rStyle w:val="normaltextrun"/>
        </w:rPr>
        <w:t> </w:t>
      </w:r>
    </w:p>
    <w:p w14:paraId="39AE6F90" w14:textId="71EEAF1A" w:rsidR="005E56F9" w:rsidRPr="00ED7E61" w:rsidRDefault="00756F0F" w:rsidP="00B10F0C">
      <w:pPr>
        <w:pStyle w:val="CBDNormalNumber"/>
        <w:numPr>
          <w:ilvl w:val="0"/>
          <w:numId w:val="60"/>
        </w:numPr>
        <w:ind w:left="567" w:firstLine="0"/>
      </w:pPr>
      <w:r w:rsidRPr="00ED7E61">
        <w:rPr>
          <w:rStyle w:val="normaltextrun"/>
          <w:rFonts w:asciiTheme="majorBidi" w:eastAsiaTheme="majorEastAsia" w:hAnsiTheme="majorBidi" w:cstheme="majorBidi"/>
        </w:rPr>
        <w:t xml:space="preserve">Genetic diversity is variation at the DNA level, including differences among individuals within populations of species and differences among populations of each species. </w:t>
      </w:r>
      <w:r w:rsidR="00DC0F01" w:rsidRPr="00ED7E61">
        <w:rPr>
          <w:rStyle w:val="normaltextrun"/>
        </w:rPr>
        <w:t>Effective population size could be assessed using genetic data from a sample of individuals from a population by a geneticist. Nevertheless</w:t>
      </w:r>
      <w:r w:rsidRPr="00ED7E61">
        <w:rPr>
          <w:rStyle w:val="normaltextrun"/>
          <w:rFonts w:asciiTheme="majorBidi" w:eastAsiaTheme="majorEastAsia" w:hAnsiTheme="majorBidi" w:cstheme="majorBidi"/>
        </w:rPr>
        <w:t>, assessing DNA with genetic sequencing technology can be time consuming, and requires substantial funds, skills and technology, making it challenging for large-scale evaluation, particularly in species-rich nations. However, genetic status of species and populations can be assessed via Ne without needing DNA data. This is the fundamental basis of this indicator - to assess genetic status without DNA sequence data. This is very important since relatively few species have DNA-based studies, especially in biodiversity hotspots. As explained in the methodology below, proxies of demographic and geographic data can approximate the Ne of populations.</w:t>
      </w:r>
      <w:r w:rsidRPr="00ED7E61">
        <w:rPr>
          <w:rStyle w:val="normaltextrun"/>
        </w:rPr>
        <w:t> </w:t>
      </w:r>
      <w:r w:rsidR="00DC0F01" w:rsidRPr="00ED7E61">
        <w:rPr>
          <w:rStyle w:val="normaltextrun"/>
        </w:rPr>
        <w:t>Note that the indicator methodology is valid and adaptable for domesticated species because breeds, or other units within domestic species, are comparable to populations (see Methodology).</w:t>
      </w:r>
    </w:p>
    <w:p w14:paraId="7C026E66" w14:textId="39397198" w:rsidR="00756F0F" w:rsidRPr="00ED7E61" w:rsidRDefault="00756F0F" w:rsidP="00B10F0C">
      <w:pPr>
        <w:pStyle w:val="CBDNormalNumber"/>
        <w:numPr>
          <w:ilvl w:val="0"/>
          <w:numId w:val="60"/>
        </w:numPr>
        <w:ind w:left="567" w:firstLine="0"/>
      </w:pPr>
      <w:r w:rsidRPr="00ED7E61">
        <w:rPr>
          <w:rStyle w:val="normaltextrun"/>
          <w:rFonts w:asciiTheme="majorBidi" w:eastAsiaTheme="majorEastAsia" w:hAnsiTheme="majorBidi" w:cstheme="majorBidi"/>
        </w:rPr>
        <w:t xml:space="preserve">In 2020, three genetic diversity indicators were proposed, including the Headline Indicator on Ne 500. They have the following important features (see </w:t>
      </w:r>
      <w:hyperlink r:id="rId184" w:tgtFrame="_blank" w:history="1">
        <w:r w:rsidRPr="00ED7E61">
          <w:rPr>
            <w:rStyle w:val="normaltextrun"/>
            <w:rFonts w:asciiTheme="majorBidi" w:eastAsiaTheme="majorEastAsia" w:hAnsiTheme="majorBidi" w:cstheme="majorBidi"/>
            <w:color w:val="1155CC"/>
            <w:u w:val="single"/>
          </w:rPr>
          <w:t>Hoban et al</w:t>
        </w:r>
        <w:r w:rsidR="00FF0D09">
          <w:rPr>
            <w:rStyle w:val="normaltextrun"/>
            <w:rFonts w:asciiTheme="majorBidi" w:eastAsiaTheme="majorEastAsia" w:hAnsiTheme="majorBidi" w:cstheme="majorBidi"/>
            <w:color w:val="1155CC"/>
            <w:u w:val="single"/>
          </w:rPr>
          <w:t>.</w:t>
        </w:r>
        <w:r w:rsidRPr="00ED7E61">
          <w:rPr>
            <w:rStyle w:val="normaltextrun"/>
            <w:rFonts w:asciiTheme="majorBidi" w:eastAsiaTheme="majorEastAsia" w:hAnsiTheme="majorBidi" w:cstheme="majorBidi"/>
            <w:color w:val="1155CC"/>
            <w:u w:val="single"/>
          </w:rPr>
          <w:t xml:space="preserve"> 2023a</w:t>
        </w:r>
      </w:hyperlink>
      <w:r w:rsidRPr="00ED7E61">
        <w:rPr>
          <w:rStyle w:val="normaltextrun"/>
          <w:rFonts w:asciiTheme="majorBidi" w:eastAsiaTheme="majorEastAsia" w:hAnsiTheme="majorBidi" w:cstheme="majorBidi"/>
        </w:rPr>
        <w:t xml:space="preserve">, and </w:t>
      </w:r>
      <w:hyperlink r:id="rId185" w:tgtFrame="_blank" w:history="1">
        <w:r w:rsidRPr="00ED7E61">
          <w:rPr>
            <w:rStyle w:val="normaltextrun"/>
            <w:rFonts w:asciiTheme="majorBidi" w:eastAsiaTheme="majorEastAsia" w:hAnsiTheme="majorBidi" w:cstheme="majorBidi"/>
            <w:color w:val="0563C1"/>
            <w:u w:val="single"/>
          </w:rPr>
          <w:t>Hoban et al</w:t>
        </w:r>
        <w:r w:rsidR="00FF0D09">
          <w:rPr>
            <w:rStyle w:val="normaltextrun"/>
            <w:rFonts w:asciiTheme="majorBidi" w:eastAsiaTheme="majorEastAsia" w:hAnsiTheme="majorBidi" w:cstheme="majorBidi"/>
            <w:color w:val="0563C1"/>
            <w:u w:val="single"/>
          </w:rPr>
          <w:t>.</w:t>
        </w:r>
        <w:r w:rsidRPr="00ED7E61">
          <w:rPr>
            <w:rStyle w:val="normaltextrun"/>
            <w:rFonts w:asciiTheme="majorBidi" w:eastAsiaTheme="majorEastAsia" w:hAnsiTheme="majorBidi" w:cstheme="majorBidi"/>
            <w:color w:val="0563C1"/>
            <w:u w:val="single"/>
          </w:rPr>
          <w:t xml:space="preserve"> 2023c</w:t>
        </w:r>
      </w:hyperlink>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0452391E"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are scientifically valid, based in core conservation and genetic concepts</w:t>
      </w:r>
      <w:r w:rsidRPr="00ED7E61">
        <w:rPr>
          <w:rStyle w:val="normaltextrun"/>
        </w:rPr>
        <w:t> </w:t>
      </w:r>
    </w:p>
    <w:p w14:paraId="6165E354"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are affordable and feasible with existing data </w:t>
      </w:r>
      <w:r w:rsidRPr="00ED7E61">
        <w:rPr>
          <w:rStyle w:val="normaltextrun"/>
        </w:rPr>
        <w:t> </w:t>
      </w:r>
    </w:p>
    <w:p w14:paraId="1CCEE688"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require a moderate to low time and resource investment</w:t>
      </w:r>
      <w:r w:rsidRPr="00ED7E61">
        <w:rPr>
          <w:rStyle w:val="normaltextrun"/>
        </w:rPr>
        <w:t> </w:t>
      </w:r>
    </w:p>
    <w:p w14:paraId="486EC127"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leverage diverse data and multiple ways of knowing including local knowledge holders</w:t>
      </w:r>
      <w:r w:rsidRPr="00ED7E61">
        <w:rPr>
          <w:rStyle w:val="normaltextrun"/>
        </w:rPr>
        <w:t> </w:t>
      </w:r>
    </w:p>
    <w:p w14:paraId="5BF4D586"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often align with other biodiversity assessments</w:t>
      </w:r>
      <w:r w:rsidRPr="00ED7E61">
        <w:rPr>
          <w:rStyle w:val="normaltextrun"/>
        </w:rPr>
        <w:t> </w:t>
      </w:r>
    </w:p>
    <w:p w14:paraId="5AB06625"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allow for easy translation into policy and management of species</w:t>
      </w:r>
      <w:r w:rsidRPr="00ED7E61">
        <w:rPr>
          <w:rStyle w:val="normaltextrun"/>
        </w:rPr>
        <w:t> </w:t>
      </w:r>
    </w:p>
    <w:p w14:paraId="3C4B8BEF"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are applicable and relevant in all countries, taxonomic groups, and ecosystems (and can be disaggregated to these levels).</w:t>
      </w:r>
      <w:r w:rsidRPr="00ED7E61">
        <w:rPr>
          <w:rStyle w:val="normaltextrun"/>
        </w:rPr>
        <w:t> </w:t>
      </w:r>
    </w:p>
    <w:p w14:paraId="39441848"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use concepts that are intuitive or accessible to non-geneticists (e.g. genetic losses due to small populations and loss of populations).</w:t>
      </w:r>
      <w:r w:rsidRPr="00ED7E61">
        <w:rPr>
          <w:rStyle w:val="normaltextrun"/>
        </w:rPr>
        <w:t> </w:t>
      </w:r>
    </w:p>
    <w:p w14:paraId="04644E70" w14:textId="1CB1B0D3"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are </w:t>
      </w:r>
      <w:r w:rsidR="00C43C39">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forward compatible</w:t>
      </w:r>
      <w:r w:rsidR="00C43C3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meaning they can incorporate new methods that arise</w:t>
      </w:r>
      <w:r w:rsidRPr="00ED7E61">
        <w:rPr>
          <w:rStyle w:val="normaltextrun"/>
        </w:rPr>
        <w:t> </w:t>
      </w:r>
    </w:p>
    <w:p w14:paraId="1721CEB8" w14:textId="77777777" w:rsidR="00756F0F" w:rsidRPr="00ED7E61" w:rsidRDefault="00756F0F" w:rsidP="00B10F0C">
      <w:pPr>
        <w:pStyle w:val="CBDNormalNumber"/>
        <w:numPr>
          <w:ilvl w:val="0"/>
          <w:numId w:val="60"/>
        </w:numPr>
        <w:ind w:left="567" w:firstLine="0"/>
        <w:rPr>
          <w:rStyle w:val="normaltextrun"/>
          <w:rFonts w:eastAsiaTheme="majorEastAsia"/>
        </w:rPr>
      </w:pPr>
      <w:r w:rsidRPr="00ED7E61">
        <w:rPr>
          <w:rStyle w:val="normaltextrun"/>
          <w:rFonts w:asciiTheme="majorBidi" w:eastAsiaTheme="majorEastAsia" w:hAnsiTheme="majorBidi" w:cstheme="majorBidi"/>
        </w:rPr>
        <w:t>Genetic diversity indicators have multiple practical uses beyond reporting. They will help countries understand and mitigate genetic diversity loss by guiding conservation action, improve allocation of resources, and communicate to the public about genetic threats to flagship species. Also, genetic diversity indicators highlight how local populations provide adaptation and resilience, which facilitates empowerment and leverage for local communities and indigenous peoples. They are useful under other legislation including national level species protections</w:t>
      </w:r>
      <w:r w:rsidRPr="00ED7E61">
        <w:rPr>
          <w:rStyle w:val="normaltextrun"/>
        </w:rPr>
        <w:t> </w:t>
      </w:r>
    </w:p>
    <w:p w14:paraId="07042CE2" w14:textId="4AB65FC3" w:rsidR="00756F0F" w:rsidRPr="00ED7E61" w:rsidRDefault="00756F0F" w:rsidP="00B10F0C">
      <w:pPr>
        <w:pStyle w:val="CBDNormalNumber"/>
        <w:numPr>
          <w:ilvl w:val="0"/>
          <w:numId w:val="60"/>
        </w:numPr>
        <w:ind w:left="567" w:firstLine="0"/>
        <w:rPr>
          <w:rStyle w:val="normaltextrun"/>
          <w:rFonts w:eastAsiaTheme="majorEastAsia"/>
        </w:rPr>
      </w:pPr>
      <w:r w:rsidRPr="00ED7E61">
        <w:rPr>
          <w:rStyle w:val="normaltextrun"/>
          <w:rFonts w:asciiTheme="majorBidi" w:eastAsiaTheme="majorEastAsia" w:hAnsiTheme="majorBidi" w:cstheme="majorBidi"/>
        </w:rPr>
        <w:t xml:space="preserve">What exactly is the Effective Population Size (Ne) 500 indicator?  This indicator is based on the knowledge that populations that are small in size (effective population size (Ne) &lt; 500) are highly susceptible to rapid loss of genetic diversity and are at high risk of extinction due to genetic threats. (figure </w:t>
      </w:r>
      <w:r w:rsidR="00FB33CD">
        <w:rPr>
          <w:rStyle w:val="normaltextrun"/>
          <w:rFonts w:asciiTheme="majorBidi" w:eastAsiaTheme="majorEastAsia" w:hAnsiTheme="majorBidi" w:cstheme="majorBidi"/>
        </w:rPr>
        <w:t>I</w:t>
      </w:r>
      <w:r w:rsidRPr="00ED7E61">
        <w:rPr>
          <w:rStyle w:val="normaltextrun"/>
          <w:rFonts w:asciiTheme="majorBidi" w:eastAsiaTheme="majorEastAsia" w:hAnsiTheme="majorBidi" w:cstheme="majorBidi"/>
        </w:rPr>
        <w:t>)</w:t>
      </w:r>
      <w:r w:rsidRPr="00ED7E61">
        <w:rPr>
          <w:rStyle w:val="normaltextrun"/>
        </w:rPr>
        <w:t> </w:t>
      </w:r>
    </w:p>
    <w:p w14:paraId="463A8AE1" w14:textId="16040F91" w:rsidR="00756F0F" w:rsidRPr="00ED7E61" w:rsidRDefault="00756F0F" w:rsidP="00B10F0C">
      <w:pPr>
        <w:pStyle w:val="CBDNormalNumber"/>
        <w:numPr>
          <w:ilvl w:val="0"/>
          <w:numId w:val="60"/>
        </w:numPr>
        <w:ind w:left="567" w:firstLine="0"/>
        <w:rPr>
          <w:rStyle w:val="normaltextrun"/>
        </w:rPr>
      </w:pPr>
      <w:r w:rsidRPr="00ED7E61">
        <w:rPr>
          <w:rStyle w:val="normaltextrun"/>
          <w:rFonts w:asciiTheme="majorBidi" w:eastAsiaTheme="majorEastAsia" w:hAnsiTheme="majorBidi" w:cstheme="majorBidi"/>
        </w:rPr>
        <w:t>Ne 500 is widely recognized by scientists and conservation practitioners as a “</w:t>
      </w:r>
      <w:r w:rsidRPr="00FB1598">
        <w:rPr>
          <w:rStyle w:val="normaltextrun"/>
          <w:rFonts w:asciiTheme="majorBidi" w:eastAsiaTheme="majorEastAsia" w:hAnsiTheme="majorBidi" w:cstheme="majorBidi"/>
          <w:i/>
          <w:iCs/>
        </w:rPr>
        <w:t>sufficient</w:t>
      </w:r>
      <w:r w:rsidRPr="00ED7E61">
        <w:rPr>
          <w:rStyle w:val="normaltextrun"/>
          <w:rFonts w:asciiTheme="majorBidi" w:eastAsiaTheme="majorEastAsia" w:hAnsiTheme="majorBidi" w:cstheme="majorBidi"/>
        </w:rPr>
        <w:t xml:space="preserve">” size to prevent loss of genetic diversity within populations (in this case, a statistic called </w:t>
      </w:r>
      <w:r w:rsidR="00C43C39">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heterozygosity</w:t>
      </w:r>
      <w:r w:rsidR="00C43C3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 Ne much higher than Ne 500 will reduce the risk of the loss of genetic diversity within populations to near zero. Much lower and genetic loss becomes rapid.</w:t>
      </w:r>
      <w:r w:rsidRPr="00ED7E61">
        <w:rPr>
          <w:rStyle w:val="normaltextrun"/>
        </w:rPr>
        <w:t> </w:t>
      </w:r>
    </w:p>
    <w:p w14:paraId="55DBC871" w14:textId="75C6F86F" w:rsidR="00DC0F01" w:rsidRPr="00ED7E61" w:rsidRDefault="00DC0F01" w:rsidP="00395866">
      <w:pPr>
        <w:pStyle w:val="paragraph"/>
        <w:spacing w:before="0" w:beforeAutospacing="0" w:after="0" w:afterAutospacing="0"/>
        <w:textAlignment w:val="baseline"/>
        <w:rPr>
          <w:rFonts w:asciiTheme="majorBidi" w:hAnsiTheme="majorBidi" w:cstheme="majorBidi"/>
          <w:sz w:val="22"/>
          <w:szCs w:val="22"/>
        </w:rPr>
      </w:pPr>
      <w:r w:rsidRPr="00ED7E61">
        <w:rPr>
          <w:noProof/>
          <w:lang w:val="fr-FR" w:eastAsia="fr-FR"/>
          <w14:ligatures w14:val="standardContextual"/>
        </w:rPr>
        <w:drawing>
          <wp:inline distT="0" distB="0" distL="0" distR="0" wp14:anchorId="6D35A984" wp14:editId="3EB51C12">
            <wp:extent cx="3171190" cy="3589020"/>
            <wp:effectExtent l="0" t="0" r="0" b="0"/>
            <wp:docPr id="39" name="image5.png" descr="A graph of a number of objec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 name="image5.png" descr="A graph of a number of objects&#10;&#10;Description automatically generated with medium confidence"/>
                    <pic:cNvPicPr/>
                  </pic:nvPicPr>
                  <pic:blipFill>
                    <a:blip r:embed="rId186"/>
                    <a:srcRect/>
                    <a:stretch>
                      <a:fillRect/>
                    </a:stretch>
                  </pic:blipFill>
                  <pic:spPr>
                    <a:xfrm>
                      <a:off x="0" y="0"/>
                      <a:ext cx="3171190" cy="3589020"/>
                    </a:xfrm>
                    <a:prstGeom prst="rect">
                      <a:avLst/>
                    </a:prstGeom>
                    <a:ln/>
                  </pic:spPr>
                </pic:pic>
              </a:graphicData>
            </a:graphic>
          </wp:inline>
        </w:drawing>
      </w:r>
    </w:p>
    <w:p w14:paraId="0805FD8A" w14:textId="64751CA4" w:rsidR="00FF6192" w:rsidRPr="00B3383B" w:rsidRDefault="00756F0F" w:rsidP="005B0D1E">
      <w:pPr>
        <w:pStyle w:val="paragraph"/>
        <w:spacing w:before="0" w:beforeAutospacing="0" w:after="0" w:afterAutospacing="0"/>
        <w:textAlignment w:val="baseline"/>
        <w:rPr>
          <w:rStyle w:val="normaltextrun"/>
          <w:rFonts w:asciiTheme="majorBidi" w:eastAsiaTheme="majorEastAsia" w:hAnsiTheme="majorBidi" w:cstheme="majorBidi"/>
          <w:sz w:val="22"/>
          <w:szCs w:val="22"/>
          <w:lang w:val="en-GB"/>
        </w:rPr>
      </w:pPr>
      <w:r w:rsidRPr="00B3383B">
        <w:rPr>
          <w:rStyle w:val="normaltextrun"/>
          <w:rFonts w:asciiTheme="majorBidi" w:eastAsiaTheme="majorEastAsia" w:hAnsiTheme="majorBidi" w:cstheme="majorBidi"/>
          <w:sz w:val="22"/>
          <w:szCs w:val="22"/>
          <w:lang w:val="en-GB"/>
        </w:rPr>
        <w:t xml:space="preserve">Figure </w:t>
      </w:r>
      <w:r w:rsidR="00FB33CD" w:rsidRPr="00B3383B">
        <w:rPr>
          <w:rStyle w:val="normaltextrun"/>
          <w:rFonts w:asciiTheme="majorBidi" w:eastAsiaTheme="majorEastAsia" w:hAnsiTheme="majorBidi" w:cstheme="majorBidi"/>
          <w:sz w:val="22"/>
          <w:szCs w:val="22"/>
          <w:lang w:val="en-GB"/>
        </w:rPr>
        <w:t>I</w:t>
      </w:r>
    </w:p>
    <w:p w14:paraId="37D91604" w14:textId="5FDE6B28" w:rsidR="00756F0F" w:rsidRPr="00B3383B" w:rsidRDefault="00756F0F" w:rsidP="005B0D1E">
      <w:pPr>
        <w:pStyle w:val="paragraph"/>
        <w:spacing w:before="0" w:beforeAutospacing="0" w:after="0" w:afterAutospacing="0"/>
        <w:textAlignment w:val="baseline"/>
        <w:rPr>
          <w:rFonts w:asciiTheme="majorBidi" w:hAnsiTheme="majorBidi" w:cstheme="majorBidi"/>
          <w:b/>
          <w:bCs/>
          <w:sz w:val="22"/>
          <w:szCs w:val="22"/>
        </w:rPr>
      </w:pPr>
      <w:r w:rsidRPr="00B3383B">
        <w:rPr>
          <w:rStyle w:val="normaltextrun"/>
          <w:rFonts w:asciiTheme="majorBidi" w:eastAsiaTheme="majorEastAsia" w:hAnsiTheme="majorBidi" w:cstheme="majorBidi"/>
          <w:b/>
          <w:bCs/>
          <w:sz w:val="22"/>
          <w:szCs w:val="22"/>
          <w:lang w:val="en-GB"/>
        </w:rPr>
        <w:t xml:space="preserve">Illustration of loss of genetic diversity when Ne&lt;500. </w:t>
      </w:r>
      <w:r w:rsidR="00DC0F01" w:rsidRPr="00B3383B">
        <w:rPr>
          <w:rStyle w:val="normaltextrun"/>
          <w:rFonts w:asciiTheme="majorBidi" w:eastAsiaTheme="majorEastAsia" w:hAnsiTheme="majorBidi" w:cstheme="majorBidi"/>
          <w:b/>
          <w:bCs/>
          <w:sz w:val="22"/>
          <w:szCs w:val="22"/>
          <w:lang w:val="en-GB"/>
        </w:rPr>
        <w:t>Inspired by</w:t>
      </w:r>
      <w:r w:rsidRPr="00B3383B">
        <w:rPr>
          <w:rStyle w:val="normaltextrun"/>
          <w:rFonts w:asciiTheme="majorBidi" w:eastAsiaTheme="majorEastAsia" w:hAnsiTheme="majorBidi" w:cstheme="majorBidi"/>
          <w:b/>
          <w:bCs/>
          <w:sz w:val="22"/>
          <w:szCs w:val="22"/>
          <w:lang w:val="en-GB"/>
        </w:rPr>
        <w:t xml:space="preserve"> from Wil</w:t>
      </w:r>
      <w:r w:rsidR="00CB5FEE" w:rsidRPr="00B3383B">
        <w:rPr>
          <w:rStyle w:val="normaltextrun"/>
          <w:rFonts w:asciiTheme="majorBidi" w:eastAsiaTheme="majorEastAsia" w:hAnsiTheme="majorBidi" w:cstheme="majorBidi"/>
          <w:b/>
          <w:bCs/>
          <w:sz w:val="22"/>
          <w:szCs w:val="22"/>
          <w:lang w:val="en-GB"/>
        </w:rPr>
        <w:t>l</w:t>
      </w:r>
      <w:r w:rsidRPr="00B3383B">
        <w:rPr>
          <w:rStyle w:val="normaltextrun"/>
          <w:rFonts w:asciiTheme="majorBidi" w:eastAsiaTheme="majorEastAsia" w:hAnsiTheme="majorBidi" w:cstheme="majorBidi"/>
          <w:b/>
          <w:bCs/>
          <w:sz w:val="22"/>
          <w:szCs w:val="22"/>
          <w:lang w:val="en-GB"/>
        </w:rPr>
        <w:t>i et al</w:t>
      </w:r>
      <w:r w:rsidR="00442544">
        <w:rPr>
          <w:rStyle w:val="normaltextrun"/>
          <w:rFonts w:asciiTheme="majorBidi" w:eastAsiaTheme="majorEastAsia" w:hAnsiTheme="majorBidi" w:cstheme="majorBidi"/>
          <w:b/>
          <w:bCs/>
          <w:sz w:val="22"/>
          <w:szCs w:val="22"/>
          <w:lang w:val="en-GB"/>
        </w:rPr>
        <w:t>.</w:t>
      </w:r>
      <w:r w:rsidRPr="00B3383B">
        <w:rPr>
          <w:rStyle w:val="normaltextrun"/>
          <w:rFonts w:asciiTheme="majorBidi" w:eastAsiaTheme="majorEastAsia" w:hAnsiTheme="majorBidi" w:cstheme="majorBidi"/>
          <w:b/>
          <w:bCs/>
          <w:sz w:val="22"/>
          <w:szCs w:val="22"/>
          <w:lang w:val="en-GB"/>
        </w:rPr>
        <w:t>, Dec 2021 PNAS</w:t>
      </w:r>
      <w:r w:rsidRPr="00B3383B">
        <w:rPr>
          <w:rStyle w:val="eop"/>
          <w:rFonts w:asciiTheme="majorBidi" w:eastAsiaTheme="majorEastAsia" w:hAnsiTheme="majorBidi" w:cstheme="majorBidi"/>
          <w:b/>
          <w:bCs/>
          <w:sz w:val="22"/>
          <w:szCs w:val="22"/>
        </w:rPr>
        <w:t> </w:t>
      </w:r>
    </w:p>
    <w:p w14:paraId="1E2E5832" w14:textId="043EE21B" w:rsidR="00756F0F" w:rsidRPr="00ED7E61" w:rsidRDefault="00756F0F" w:rsidP="00B10F0C">
      <w:pPr>
        <w:pStyle w:val="CBDNormalNumber"/>
        <w:numPr>
          <w:ilvl w:val="0"/>
          <w:numId w:val="60"/>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Ne can be measured with and without DNA data. </w:t>
      </w:r>
      <w:r w:rsidR="00DC0F01" w:rsidRPr="00ED7E61">
        <w:rPr>
          <w:rStyle w:val="normaltextrun"/>
        </w:rPr>
        <w:t xml:space="preserve">With DNA data, multi-generational contemporary Ne can be calculated using established methods (Waples 2004). </w:t>
      </w:r>
      <w:r w:rsidRPr="00ED7E61">
        <w:rPr>
          <w:rStyle w:val="normaltextrun"/>
          <w:rFonts w:asciiTheme="majorBidi" w:eastAsiaTheme="majorEastAsia" w:hAnsiTheme="majorBidi" w:cstheme="majorBidi"/>
        </w:rPr>
        <w:t xml:space="preserve">Without DNA data, Ne can be approximated from population census size. Typically, Ne is about 0.1 of the census size. As </w:t>
      </w:r>
      <w:hyperlink r:id="rId187" w:tgtFrame="_blank" w:history="1">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(2023b</w:t>
        </w:r>
      </w:hyperlink>
      <w:r w:rsidRPr="00ED7E61">
        <w:rPr>
          <w:rStyle w:val="normaltextrun"/>
          <w:rFonts w:asciiTheme="majorBidi" w:eastAsiaTheme="majorEastAsia" w:hAnsiTheme="majorBidi" w:cstheme="majorBidi"/>
        </w:rPr>
        <w:t xml:space="preserve">), </w:t>
      </w:r>
      <w:hyperlink r:id="rId188" w:tgtFrame="_blank" w:history="1">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2023c</w:t>
        </w:r>
      </w:hyperlink>
      <w:r w:rsidRPr="00ED7E61">
        <w:rPr>
          <w:rStyle w:val="normaltextrun"/>
          <w:rFonts w:asciiTheme="majorBidi" w:eastAsiaTheme="majorEastAsia" w:hAnsiTheme="majorBidi" w:cstheme="majorBidi"/>
        </w:rPr>
        <w:t xml:space="preserve"> and </w:t>
      </w:r>
      <w:hyperlink r:id="rId189" w:tgtFrame="_blank" w:history="1">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(2020)</w:t>
        </w:r>
      </w:hyperlink>
      <w:r w:rsidRPr="00ED7E61">
        <w:rPr>
          <w:rStyle w:val="normaltextrun"/>
          <w:rFonts w:asciiTheme="majorBidi" w:eastAsiaTheme="majorEastAsia" w:hAnsiTheme="majorBidi" w:cstheme="majorBidi"/>
        </w:rPr>
        <w:t xml:space="preserve"> and as a pilot application (explained below) show, there are many sources of census size data which countries can employ, including existing in-country data, expertise, and biodiversity infrastructure. </w:t>
      </w:r>
      <w:r w:rsidRPr="00ED7E61">
        <w:rPr>
          <w:rStyle w:val="normaltextrun"/>
        </w:rPr>
        <w:t> </w:t>
      </w:r>
    </w:p>
    <w:p w14:paraId="498C164A" w14:textId="1FF5A327" w:rsidR="00756F0F" w:rsidRPr="00ED7E61" w:rsidRDefault="00756F0F" w:rsidP="00B10F0C">
      <w:pPr>
        <w:pStyle w:val="CBDNormalNumber"/>
        <w:numPr>
          <w:ilvl w:val="0"/>
          <w:numId w:val="60"/>
        </w:numPr>
        <w:ind w:left="567" w:firstLine="0"/>
        <w:rPr>
          <w:rStyle w:val="normaltextrun"/>
        </w:rPr>
      </w:pPr>
      <w:r w:rsidRPr="00ED7E61">
        <w:rPr>
          <w:rStyle w:val="normaltextrun"/>
          <w:rFonts w:asciiTheme="majorBidi" w:eastAsiaTheme="majorEastAsia" w:hAnsiTheme="majorBidi" w:cstheme="majorBidi"/>
        </w:rPr>
        <w:t>The Ne 500 indicator is likely the best evidence of genetic status and risk of genetic erosion when DNA sequencing is not available (the case for most species globally). This indicator provides a measure of the loss or maintenance of genetic diversity within populations and is feasible and scalable for many species per country. Maintaining effective sizes above 500 will protect the genetic diversity within populations for many generations.</w:t>
      </w:r>
      <w:r w:rsidRPr="00ED7E61">
        <w:rPr>
          <w:rStyle w:val="normaltextrun"/>
        </w:rPr>
        <w:t> </w:t>
      </w:r>
      <w:r w:rsidR="00960CA6" w:rsidRPr="00ED7E61">
        <w:rPr>
          <w:rStyle w:val="normaltextrun"/>
        </w:rPr>
        <w:t>Effective size has already been used in livestock and fisheries management for decades, to conserve genetic diversity (though domesticated breeds may be allowed to have lower Ne because they do not experience as much natural selection).</w:t>
      </w:r>
    </w:p>
    <w:p w14:paraId="1E3FE510" w14:textId="065469F2" w:rsidR="00756F0F" w:rsidRPr="00ED7E61" w:rsidRDefault="00756F0F" w:rsidP="00B10F0C">
      <w:pPr>
        <w:pStyle w:val="CBDNormalNumber"/>
        <w:numPr>
          <w:ilvl w:val="0"/>
          <w:numId w:val="60"/>
        </w:numPr>
        <w:ind w:left="567" w:firstLine="0"/>
        <w:rPr>
          <w:rStyle w:val="normaltextrun"/>
          <w:rFonts w:eastAsiaTheme="majorEastAsia"/>
        </w:rPr>
      </w:pPr>
      <w:r w:rsidRPr="00ED7E61">
        <w:rPr>
          <w:rStyle w:val="normaltextrun"/>
          <w:rFonts w:asciiTheme="majorBidi" w:eastAsiaTheme="majorEastAsia" w:hAnsiTheme="majorBidi" w:cstheme="majorBidi"/>
        </w:rPr>
        <w:t>Thus, this indicator is directly relevant to Goal A, as it informs the health and resilience of species’ populations, their genetic diversity, and the threat of species extinction. Knowledge of species population’s effective size is relevant to Target 4 as it facilitates active management of species, ex situ breeding programs and informs the conservation efforts and recovery process of species populations following environmental disruption. The Ne 500 indicator is a Headline indicator for Goal A and Target 4. As noted by 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(2023a), the Ne 500 indicator is relevant to other targets such as sustainable harvest Targets 5</w:t>
      </w:r>
      <w:r w:rsidR="00960CA6"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9</w:t>
      </w:r>
      <w:r w:rsidR="00960CA6" w:rsidRPr="00ED7E61">
        <w:rPr>
          <w:rStyle w:val="normaltextrun"/>
          <w:rFonts w:asciiTheme="majorBidi" w:eastAsiaTheme="majorEastAsia" w:hAnsiTheme="majorBidi" w:cstheme="majorBidi"/>
        </w:rPr>
        <w:t xml:space="preserve"> and 10</w:t>
      </w:r>
      <w:r w:rsidRPr="00ED7E61">
        <w:rPr>
          <w:rStyle w:val="normaltextrun"/>
          <w:rFonts w:asciiTheme="majorBidi" w:eastAsiaTheme="majorEastAsia" w:hAnsiTheme="majorBidi" w:cstheme="majorBidi"/>
        </w:rPr>
        <w:t xml:space="preserve"> because harvested </w:t>
      </w:r>
      <w:r w:rsidR="00960CA6" w:rsidRPr="00ED7E61">
        <w:rPr>
          <w:rStyle w:val="normaltextrun"/>
          <w:rFonts w:asciiTheme="majorBidi" w:eastAsiaTheme="majorEastAsia" w:hAnsiTheme="majorBidi" w:cstheme="majorBidi"/>
        </w:rPr>
        <w:t xml:space="preserve">managed and cultivated </w:t>
      </w:r>
      <w:r w:rsidRPr="00ED7E61">
        <w:rPr>
          <w:rStyle w:val="normaltextrun"/>
          <w:rFonts w:asciiTheme="majorBidi" w:eastAsiaTheme="majorEastAsia" w:hAnsiTheme="majorBidi" w:cstheme="majorBidi"/>
        </w:rPr>
        <w:t>populations should be maintained at or above Ne 500. To ensure all genetically distinct populations are represented at sufficient sizes to maintain their persistence, it is relevant for Targets 1</w:t>
      </w:r>
      <w:r w:rsidR="00960CA6" w:rsidRPr="00ED7E61">
        <w:rPr>
          <w:rStyle w:val="normaltextrun"/>
          <w:rFonts w:asciiTheme="majorBidi" w:eastAsiaTheme="majorEastAsia" w:hAnsiTheme="majorBidi" w:cstheme="majorBidi"/>
        </w:rPr>
        <w:t>, 2 and</w:t>
      </w:r>
      <w:r w:rsidRPr="00ED7E61">
        <w:rPr>
          <w:rStyle w:val="normaltextrun"/>
          <w:rFonts w:asciiTheme="majorBidi" w:eastAsiaTheme="majorEastAsia" w:hAnsiTheme="majorBidi" w:cstheme="majorBidi"/>
        </w:rPr>
        <w:t xml:space="preserve"> 3 on biodiversity inclusive spatial planning</w:t>
      </w:r>
      <w:r w:rsidR="00960CA6" w:rsidRPr="00ED7E61">
        <w:rPr>
          <w:rStyle w:val="normaltextrun"/>
          <w:rFonts w:asciiTheme="majorBidi" w:eastAsiaTheme="majorEastAsia" w:hAnsiTheme="majorBidi" w:cstheme="majorBidi"/>
        </w:rPr>
        <w:t>, ecological restoration</w:t>
      </w:r>
      <w:r w:rsidRPr="00ED7E61">
        <w:rPr>
          <w:rStyle w:val="normaltextrun"/>
          <w:rFonts w:asciiTheme="majorBidi" w:eastAsiaTheme="majorEastAsia" w:hAnsiTheme="majorBidi" w:cstheme="majorBidi"/>
        </w:rPr>
        <w:t xml:space="preserve"> and representative protected areas, respectively, and Target 12 for increasing area and connectivity of green and blue spaces in urban environments to promote gene flow and species recovery. </w:t>
      </w:r>
      <w:r w:rsidRPr="00ED7E61">
        <w:rPr>
          <w:rStyle w:val="normaltextrun"/>
        </w:rPr>
        <w:t> </w:t>
      </w:r>
    </w:p>
    <w:p w14:paraId="14434891" w14:textId="34D5EBDE" w:rsidR="00756F0F" w:rsidRPr="00ED7E61" w:rsidRDefault="005E56F9" w:rsidP="00B10F0C">
      <w:pPr>
        <w:pStyle w:val="CBDNormalNumber"/>
        <w:numPr>
          <w:ilvl w:val="0"/>
          <w:numId w:val="60"/>
        </w:numPr>
        <w:ind w:left="567" w:firstLine="0"/>
        <w:rPr>
          <w:rStyle w:val="normaltextrun"/>
        </w:rPr>
      </w:pPr>
      <w:r w:rsidRPr="00ED7E61">
        <w:rPr>
          <w:noProof/>
          <w:lang w:val="fr-FR" w:eastAsia="fr-FR"/>
        </w:rPr>
        <w:drawing>
          <wp:anchor distT="0" distB="0" distL="0" distR="0" simplePos="0" relativeHeight="251658240" behindDoc="0" locked="0" layoutInCell="1" hidden="0" allowOverlap="1" wp14:anchorId="13B2064A" wp14:editId="00CC80DB">
            <wp:simplePos x="0" y="0"/>
            <wp:positionH relativeFrom="margin">
              <wp:align>left</wp:align>
            </wp:positionH>
            <wp:positionV relativeFrom="paragraph">
              <wp:posOffset>1198880</wp:posOffset>
            </wp:positionV>
            <wp:extent cx="5731510" cy="2484120"/>
            <wp:effectExtent l="0" t="0" r="2540" b="0"/>
            <wp:wrapSquare wrapText="bothSides" distT="0" distB="0" distL="0" distR="0"/>
            <wp:docPr id="31" name="image7.png" descr="A diagram of different types of genetic diversity&#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7.png" descr="A diagram of different types of genetic diversity&#10;&#10;Description automatically generated"/>
                    <pic:cNvPicPr preferRelativeResize="0"/>
                  </pic:nvPicPr>
                  <pic:blipFill>
                    <a:blip r:embed="rId190"/>
                    <a:srcRect/>
                    <a:stretch>
                      <a:fillRect/>
                    </a:stretch>
                  </pic:blipFill>
                  <pic:spPr>
                    <a:xfrm>
                      <a:off x="0" y="0"/>
                      <a:ext cx="5731510" cy="2484120"/>
                    </a:xfrm>
                    <a:prstGeom prst="rect">
                      <a:avLst/>
                    </a:prstGeom>
                    <a:ln/>
                  </pic:spPr>
                </pic:pic>
              </a:graphicData>
            </a:graphic>
            <wp14:sizeRelV relativeFrom="margin">
              <wp14:pctHeight>0</wp14:pctHeight>
            </wp14:sizeRelV>
          </wp:anchor>
        </w:drawing>
      </w:r>
      <w:r w:rsidR="00756F0F" w:rsidRPr="00ED7E61">
        <w:rPr>
          <w:rStyle w:val="normaltextrun"/>
          <w:rFonts w:asciiTheme="majorBidi" w:eastAsiaTheme="majorEastAsia" w:hAnsiTheme="majorBidi" w:cstheme="majorBidi"/>
        </w:rPr>
        <w:t xml:space="preserve">The indicator is complementary to, and can be reported in, a genetic scorecard </w:t>
      </w:r>
      <w:hyperlink r:id="rId191" w:tgtFrame="_blank" w:history="1">
        <w:r w:rsidR="00756F0F" w:rsidRPr="00ED7E61">
          <w:rPr>
            <w:rStyle w:val="normaltextrun"/>
            <w:rFonts w:asciiTheme="majorBidi" w:eastAsiaTheme="majorEastAsia" w:hAnsiTheme="majorBidi" w:cstheme="majorBidi"/>
          </w:rPr>
          <w:t>(O’Brien et al. 2022</w:t>
        </w:r>
      </w:hyperlink>
      <w:r w:rsidR="00756F0F" w:rsidRPr="00ED7E61">
        <w:rPr>
          <w:rStyle w:val="normaltextrun"/>
          <w:rFonts w:asciiTheme="majorBidi" w:eastAsiaTheme="majorEastAsia" w:hAnsiTheme="majorBidi" w:cstheme="majorBidi"/>
        </w:rPr>
        <w:t>), a contribute to other indicators or initiatives (e.g. Key Biodiversity Areas, spatial planning, assessing protection level of species).  Note: the Ne 500 indicator is relevant for genetic diversity within populations and a separate indicator (i.e. complementary indicator for Goal A the “</w:t>
      </w:r>
      <w:r w:rsidR="00756F0F" w:rsidRPr="00FB1598">
        <w:rPr>
          <w:rStyle w:val="normaltextrun"/>
          <w:rFonts w:asciiTheme="majorBidi" w:eastAsiaTheme="majorEastAsia" w:hAnsiTheme="majorBidi" w:cstheme="majorBidi"/>
          <w:i/>
          <w:iCs/>
          <w:u w:val="single"/>
        </w:rPr>
        <w:t>proportion of populations maintained</w:t>
      </w:r>
      <w:r w:rsidR="00756F0F" w:rsidRPr="00ED7E61">
        <w:rPr>
          <w:rStyle w:val="normaltextrun"/>
          <w:rFonts w:asciiTheme="majorBidi" w:eastAsiaTheme="majorEastAsia" w:hAnsiTheme="majorBidi" w:cstheme="majorBidi"/>
        </w:rPr>
        <w:t>”) is necessary for maintaining genetic diversity among populations. Experts agree that both indicators are critical for assessing and monitoring the genetic health of species (Hoban et al</w:t>
      </w:r>
      <w:r w:rsidR="00FF0D09">
        <w:rPr>
          <w:rStyle w:val="normaltextrun"/>
          <w:rFonts w:asciiTheme="majorBidi" w:eastAsiaTheme="majorEastAsia" w:hAnsiTheme="majorBidi" w:cstheme="majorBidi"/>
        </w:rPr>
        <w:t>.</w:t>
      </w:r>
      <w:r w:rsidR="00756F0F" w:rsidRPr="00ED7E61">
        <w:rPr>
          <w:rStyle w:val="normaltextrun"/>
          <w:rFonts w:asciiTheme="majorBidi" w:eastAsiaTheme="majorEastAsia" w:hAnsiTheme="majorBidi" w:cstheme="majorBidi"/>
        </w:rPr>
        <w:t xml:space="preserve"> 2020, Hoban et al</w:t>
      </w:r>
      <w:r w:rsidR="00FF0D09">
        <w:rPr>
          <w:rStyle w:val="normaltextrun"/>
          <w:rFonts w:asciiTheme="majorBidi" w:eastAsiaTheme="majorEastAsia" w:hAnsiTheme="majorBidi" w:cstheme="majorBidi"/>
        </w:rPr>
        <w:t>.</w:t>
      </w:r>
      <w:r w:rsidR="00756F0F" w:rsidRPr="00ED7E61">
        <w:rPr>
          <w:rStyle w:val="normaltextrun"/>
          <w:rFonts w:asciiTheme="majorBidi" w:eastAsiaTheme="majorEastAsia" w:hAnsiTheme="majorBidi" w:cstheme="majorBidi"/>
        </w:rPr>
        <w:t xml:space="preserve"> 2023b).</w:t>
      </w:r>
      <w:r w:rsidR="00756F0F" w:rsidRPr="00ED7E61">
        <w:rPr>
          <w:rStyle w:val="normaltextrun"/>
        </w:rPr>
        <w:t> </w:t>
      </w:r>
    </w:p>
    <w:p w14:paraId="29FC1044" w14:textId="1DD0A1DC" w:rsidR="00491FD3" w:rsidRPr="00ED7E61" w:rsidRDefault="00491FD3" w:rsidP="00960CA6">
      <w:pPr>
        <w:pStyle w:val="paragraph"/>
        <w:spacing w:before="0" w:beforeAutospacing="0" w:after="0" w:afterAutospacing="0"/>
        <w:textAlignment w:val="baseline"/>
        <w:rPr>
          <w:rStyle w:val="eop"/>
          <w:rFonts w:asciiTheme="majorBidi" w:eastAsiaTheme="majorEastAsia" w:hAnsiTheme="majorBidi" w:cstheme="majorBidi"/>
          <w:sz w:val="22"/>
          <w:szCs w:val="22"/>
        </w:rPr>
      </w:pPr>
    </w:p>
    <w:p w14:paraId="0B3FEE04" w14:textId="53F772CF" w:rsidR="00DA2A18" w:rsidRPr="00ED7E61" w:rsidRDefault="00DA2A18" w:rsidP="00DA2A18">
      <w:pPr>
        <w:pStyle w:val="paragraph"/>
        <w:spacing w:before="0" w:beforeAutospacing="0" w:after="0" w:afterAutospacing="0"/>
        <w:textAlignment w:val="baseline"/>
        <w:rPr>
          <w:rFonts w:asciiTheme="majorBidi" w:hAnsiTheme="majorBidi" w:cstheme="majorBidi"/>
          <w:sz w:val="22"/>
          <w:szCs w:val="22"/>
        </w:rPr>
      </w:pPr>
      <w:r w:rsidRPr="00B3383B">
        <w:rPr>
          <w:rStyle w:val="normaltextrun"/>
          <w:rFonts w:asciiTheme="majorBidi" w:eastAsiaTheme="majorEastAsia" w:hAnsiTheme="majorBidi" w:cstheme="majorBidi"/>
          <w:sz w:val="22"/>
          <w:szCs w:val="22"/>
          <w:lang w:val="en-GB"/>
        </w:rPr>
        <w:t xml:space="preserve">Figure </w:t>
      </w:r>
      <w:r w:rsidR="00FB33CD" w:rsidRPr="00B3383B">
        <w:rPr>
          <w:rStyle w:val="normaltextrun"/>
          <w:rFonts w:asciiTheme="majorBidi" w:eastAsiaTheme="majorEastAsia" w:hAnsiTheme="majorBidi" w:cstheme="majorBidi"/>
          <w:sz w:val="22"/>
          <w:szCs w:val="22"/>
          <w:lang w:val="en-GB"/>
        </w:rPr>
        <w:t>II</w:t>
      </w:r>
      <w:r w:rsidR="00FF6192">
        <w:rPr>
          <w:rStyle w:val="normaltextrun"/>
          <w:rFonts w:asciiTheme="majorBidi" w:eastAsiaTheme="majorEastAsia" w:hAnsiTheme="majorBidi" w:cstheme="majorBidi"/>
          <w:b/>
          <w:bCs/>
          <w:i/>
          <w:iCs/>
          <w:sz w:val="22"/>
          <w:szCs w:val="22"/>
          <w:lang w:val="en-GB"/>
        </w:rPr>
        <w:br/>
      </w:r>
      <w:r w:rsidR="00CB5FEE" w:rsidRPr="00B3383B">
        <w:rPr>
          <w:rStyle w:val="normaltextrun"/>
          <w:rFonts w:asciiTheme="majorBidi" w:eastAsiaTheme="majorEastAsia" w:hAnsiTheme="majorBidi" w:cstheme="majorBidi"/>
          <w:b/>
          <w:bCs/>
          <w:sz w:val="22"/>
          <w:szCs w:val="22"/>
          <w:lang w:val="en-GB"/>
        </w:rPr>
        <w:t>Graphical representation of genetic diversity los</w:t>
      </w:r>
      <w:r w:rsidR="00960CA6" w:rsidRPr="00B3383B">
        <w:rPr>
          <w:rStyle w:val="normaltextrun"/>
          <w:rFonts w:asciiTheme="majorBidi" w:eastAsiaTheme="majorEastAsia" w:hAnsiTheme="majorBidi" w:cstheme="majorBidi"/>
          <w:b/>
          <w:bCs/>
          <w:sz w:val="22"/>
          <w:szCs w:val="22"/>
          <w:lang w:val="en-GB"/>
        </w:rPr>
        <w:t>s through loss of populations (left) and reduction in population size (right)</w:t>
      </w:r>
      <w:r w:rsidRPr="00B3383B">
        <w:rPr>
          <w:rStyle w:val="normaltextrun"/>
          <w:rFonts w:asciiTheme="majorBidi" w:eastAsiaTheme="majorEastAsia" w:hAnsiTheme="majorBidi" w:cstheme="majorBidi"/>
          <w:b/>
          <w:bCs/>
          <w:sz w:val="22"/>
          <w:szCs w:val="22"/>
          <w:lang w:val="en-GB"/>
        </w:rPr>
        <w:t>.</w:t>
      </w:r>
      <w:r w:rsidRPr="00ED7E61">
        <w:rPr>
          <w:rStyle w:val="normaltextrun"/>
          <w:rFonts w:asciiTheme="majorBidi" w:eastAsiaTheme="majorEastAsia" w:hAnsiTheme="majorBidi" w:cstheme="majorBidi"/>
          <w:i/>
          <w:iCs/>
          <w:sz w:val="22"/>
          <w:szCs w:val="22"/>
          <w:lang w:val="en-GB"/>
        </w:rPr>
        <w:t> </w:t>
      </w:r>
      <w:r w:rsidR="00FF6192">
        <w:rPr>
          <w:rStyle w:val="normaltextrun"/>
          <w:rFonts w:asciiTheme="majorBidi" w:eastAsiaTheme="majorEastAsia" w:hAnsiTheme="majorBidi" w:cstheme="majorBidi"/>
          <w:i/>
          <w:iCs/>
          <w:sz w:val="22"/>
          <w:szCs w:val="22"/>
          <w:lang w:val="en-GB"/>
        </w:rPr>
        <w:br/>
      </w:r>
      <w:r w:rsidRPr="00ED7E61">
        <w:rPr>
          <w:rStyle w:val="normaltextrun"/>
          <w:rFonts w:asciiTheme="majorBidi" w:eastAsiaTheme="majorEastAsia" w:hAnsiTheme="majorBidi" w:cstheme="majorBidi"/>
          <w:i/>
          <w:iCs/>
          <w:sz w:val="22"/>
          <w:szCs w:val="22"/>
          <w:lang w:val="en-GB"/>
        </w:rPr>
        <w:t xml:space="preserve">The Headline Indicator A.4 is shown on the right- </w:t>
      </w:r>
      <w:r w:rsidR="00960CA6" w:rsidRPr="00ED7E61">
        <w:rPr>
          <w:rStyle w:val="normaltextrun"/>
          <w:rFonts w:asciiTheme="majorBidi" w:eastAsiaTheme="majorEastAsia" w:hAnsiTheme="majorBidi" w:cstheme="majorBidi"/>
          <w:i/>
          <w:iCs/>
          <w:sz w:val="22"/>
          <w:szCs w:val="22"/>
          <w:lang w:val="en-GB"/>
        </w:rPr>
        <w:t xml:space="preserve">when </w:t>
      </w:r>
      <w:r w:rsidRPr="00ED7E61">
        <w:rPr>
          <w:rStyle w:val="normaltextrun"/>
          <w:rFonts w:asciiTheme="majorBidi" w:eastAsiaTheme="majorEastAsia" w:hAnsiTheme="majorBidi" w:cstheme="majorBidi"/>
          <w:i/>
          <w:iCs/>
          <w:sz w:val="22"/>
          <w:szCs w:val="22"/>
          <w:lang w:val="en-GB"/>
        </w:rPr>
        <w:t xml:space="preserve">small populations lose genetic diversity.  Complementary indicator on loss of populations is shown on the </w:t>
      </w:r>
      <w:r w:rsidR="00527059" w:rsidRPr="00ED7E61">
        <w:rPr>
          <w:rStyle w:val="normaltextrun"/>
          <w:rFonts w:asciiTheme="majorBidi" w:eastAsiaTheme="majorEastAsia" w:hAnsiTheme="majorBidi" w:cstheme="majorBidi"/>
          <w:i/>
          <w:iCs/>
          <w:sz w:val="22"/>
          <w:szCs w:val="22"/>
          <w:lang w:val="en-GB"/>
        </w:rPr>
        <w:t>left</w:t>
      </w:r>
      <w:r w:rsidR="00960CA6" w:rsidRPr="00ED7E61">
        <w:rPr>
          <w:rStyle w:val="normaltextrun"/>
          <w:rFonts w:asciiTheme="majorBidi" w:eastAsiaTheme="majorEastAsia" w:hAnsiTheme="majorBidi" w:cstheme="majorBidi"/>
          <w:i/>
          <w:iCs/>
          <w:sz w:val="22"/>
          <w:szCs w:val="22"/>
          <w:lang w:val="en-GB"/>
        </w:rPr>
        <w:t xml:space="preserve"> where species lose genetic diversity when distinct populations are lost</w:t>
      </w:r>
      <w:r w:rsidRPr="00ED7E61">
        <w:rPr>
          <w:rStyle w:val="normaltextrun"/>
          <w:rFonts w:asciiTheme="majorBidi" w:eastAsiaTheme="majorEastAsia" w:hAnsiTheme="majorBidi" w:cstheme="majorBidi"/>
          <w:i/>
          <w:iCs/>
          <w:sz w:val="22"/>
          <w:szCs w:val="22"/>
          <w:lang w:val="en-GB"/>
        </w:rPr>
        <w:t>. Legend: Colo</w:t>
      </w:r>
      <w:r w:rsidR="00EC1EE5" w:rsidRPr="00ED7E61">
        <w:rPr>
          <w:rStyle w:val="normaltextrun"/>
          <w:rFonts w:asciiTheme="majorBidi" w:eastAsiaTheme="majorEastAsia" w:hAnsiTheme="majorBidi" w:cstheme="majorBidi"/>
          <w:i/>
          <w:iCs/>
          <w:sz w:val="22"/>
          <w:szCs w:val="22"/>
          <w:lang w:val="en-GB"/>
        </w:rPr>
        <w:t>u</w:t>
      </w:r>
      <w:r w:rsidRPr="00ED7E61">
        <w:rPr>
          <w:rStyle w:val="normaltextrun"/>
          <w:rFonts w:asciiTheme="majorBidi" w:eastAsiaTheme="majorEastAsia" w:hAnsiTheme="majorBidi" w:cstheme="majorBidi"/>
          <w:i/>
          <w:iCs/>
          <w:sz w:val="22"/>
          <w:szCs w:val="22"/>
          <w:lang w:val="en-GB"/>
        </w:rPr>
        <w:t>rs represent different genetic compositions</w:t>
      </w:r>
      <w:r w:rsidRPr="00ED7E61">
        <w:rPr>
          <w:rStyle w:val="normaltextrun"/>
          <w:rFonts w:asciiTheme="majorBidi" w:eastAsiaTheme="majorEastAsia"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303E92B7" w14:textId="77777777" w:rsidR="005F3651" w:rsidRPr="00ED7E61" w:rsidRDefault="005F3651" w:rsidP="00395866">
      <w:pPr>
        <w:pStyle w:val="paragraph"/>
        <w:spacing w:before="0" w:beforeAutospacing="0" w:after="0" w:afterAutospacing="0"/>
        <w:textAlignment w:val="baseline"/>
        <w:rPr>
          <w:rFonts w:asciiTheme="majorBidi" w:hAnsiTheme="majorBidi" w:cstheme="majorBidi"/>
          <w:sz w:val="22"/>
          <w:szCs w:val="22"/>
        </w:rPr>
      </w:pPr>
    </w:p>
    <w:p w14:paraId="7443AD8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 Definitions, concepts and classifications</w:t>
      </w:r>
      <w:r w:rsidRPr="00ED7E61">
        <w:rPr>
          <w:rStyle w:val="eop"/>
          <w:rFonts w:asciiTheme="majorBidi" w:eastAsiaTheme="majorEastAsia" w:hAnsiTheme="majorBidi" w:cstheme="majorBidi"/>
          <w:sz w:val="22"/>
          <w:szCs w:val="22"/>
        </w:rPr>
        <w:t> </w:t>
      </w:r>
    </w:p>
    <w:p w14:paraId="6364FF7D" w14:textId="77777777" w:rsidR="00756F0F" w:rsidRPr="00ED7E61" w:rsidRDefault="00756F0F"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5a. Definition: </w:t>
      </w:r>
      <w:r w:rsidRPr="00ED7E61">
        <w:rPr>
          <w:rStyle w:val="eop"/>
          <w:rFonts w:asciiTheme="majorBidi" w:eastAsiaTheme="majorEastAsia" w:hAnsiTheme="majorBidi" w:cstheme="majorBidi"/>
          <w:sz w:val="22"/>
          <w:szCs w:val="22"/>
        </w:rPr>
        <w:t> </w:t>
      </w:r>
    </w:p>
    <w:p w14:paraId="34AA4A8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AU"/>
        </w:rPr>
        <w:t>Indicator definition</w:t>
      </w:r>
      <w:r w:rsidRPr="00ED7E61">
        <w:rPr>
          <w:rStyle w:val="normaltextrun"/>
          <w:rFonts w:asciiTheme="majorBidi" w:eastAsiaTheme="majorEastAsia" w:hAnsiTheme="majorBidi" w:cstheme="majorBidi"/>
          <w:color w:val="000000"/>
          <w:sz w:val="22"/>
          <w:szCs w:val="22"/>
          <w:lang w:val="en-AU"/>
        </w:rPr>
        <w:t>: </w:t>
      </w:r>
      <w:r w:rsidRPr="00ED7E61">
        <w:rPr>
          <w:rStyle w:val="eop"/>
          <w:rFonts w:asciiTheme="majorBidi" w:eastAsiaTheme="majorEastAsia" w:hAnsiTheme="majorBidi" w:cstheme="majorBidi"/>
          <w:color w:val="000000"/>
          <w:sz w:val="22"/>
          <w:szCs w:val="22"/>
        </w:rPr>
        <w:t> </w:t>
      </w:r>
    </w:p>
    <w:p w14:paraId="03FA215F" w14:textId="0E3A4437" w:rsidR="00756F0F" w:rsidRPr="00ED7E61" w:rsidRDefault="00756F0F" w:rsidP="00B10F0C">
      <w:pPr>
        <w:pStyle w:val="CBDNormalNumber"/>
        <w:numPr>
          <w:ilvl w:val="0"/>
          <w:numId w:val="60"/>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indicator, “</w:t>
      </w:r>
      <w:r w:rsidRPr="00FB1598">
        <w:rPr>
          <w:rStyle w:val="normaltextrun"/>
          <w:rFonts w:asciiTheme="majorBidi" w:eastAsiaTheme="majorEastAsia" w:hAnsiTheme="majorBidi" w:cstheme="majorBidi"/>
          <w:i/>
          <w:iCs/>
        </w:rPr>
        <w:t>The proportion of populations within species with a genetically effective population size &gt; 500.</w:t>
      </w:r>
      <w:r w:rsidRPr="00ED7E61">
        <w:rPr>
          <w:rStyle w:val="normaltextrun"/>
          <w:rFonts w:asciiTheme="majorBidi" w:eastAsiaTheme="majorEastAsia" w:hAnsiTheme="majorBidi" w:cstheme="majorBidi"/>
        </w:rPr>
        <w:t>” is calculated by taking each population</w:t>
      </w:r>
      <w:r w:rsidR="00960CA6" w:rsidRPr="00ED7E61">
        <w:rPr>
          <w:rStyle w:val="normaltextrun"/>
          <w:rFonts w:asciiTheme="majorBidi" w:eastAsiaTheme="majorEastAsia" w:hAnsiTheme="majorBidi" w:cstheme="majorBidi"/>
        </w:rPr>
        <w:t xml:space="preserve"> (or breed)</w:t>
      </w:r>
      <w:r w:rsidRPr="00ED7E61">
        <w:rPr>
          <w:rStyle w:val="normaltextrun"/>
          <w:rFonts w:asciiTheme="majorBidi" w:eastAsiaTheme="majorEastAsia" w:hAnsiTheme="majorBidi" w:cstheme="majorBidi"/>
        </w:rPr>
        <w:t xml:space="preserve"> of a species, determining if each population is above the threshold of Ne 500, calculating a proportion of populations above the threshold for each species, and then taking a mean of these proportions across all species examined, as explained in </w:t>
      </w:r>
      <w:hyperlink r:id="rId192" w:tgtFrame="_blank" w:history="1">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(2023b)</w:t>
        </w:r>
      </w:hyperlink>
      <w:r w:rsidRPr="00ED7E61">
        <w:rPr>
          <w:rStyle w:val="normaltextrun"/>
          <w:rFonts w:asciiTheme="majorBidi" w:eastAsiaTheme="majorEastAsia" w:hAnsiTheme="majorBidi" w:cstheme="majorBidi"/>
        </w:rPr>
        <w:t xml:space="preserve"> and </w:t>
      </w:r>
      <w:hyperlink r:id="rId193" w:tgtFrame="_blank" w:history="1">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2023c</w:t>
        </w:r>
      </w:hyperlink>
      <w:r w:rsidRPr="00ED7E61">
        <w:rPr>
          <w:rStyle w:val="normaltextrun"/>
          <w:rFonts w:asciiTheme="majorBidi" w:eastAsiaTheme="majorEastAsia" w:hAnsiTheme="majorBidi" w:cstheme="majorBidi"/>
        </w:rPr>
        <w:t xml:space="preserve">. As a proportion it ranges from 0 to 1, with 1 as the desired value. As explained in </w:t>
      </w:r>
      <w:hyperlink r:id="rId194" w:tgtFrame="_blank" w:history="1">
        <w:r w:rsidR="00960CA6"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00960CA6" w:rsidRPr="00ED7E61">
          <w:rPr>
            <w:rStyle w:val="normaltextrun"/>
            <w:rFonts w:asciiTheme="majorBidi" w:eastAsiaTheme="majorEastAsia" w:hAnsiTheme="majorBidi" w:cstheme="majorBidi"/>
          </w:rPr>
          <w:t xml:space="preserve"> (2023b)</w:t>
        </w:r>
      </w:hyperlink>
      <w:r w:rsidR="00960CA6" w:rsidRPr="00ED7E61">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which contains the basic equations for calculation, the indicator can be weighted by taxonomic groups or other categories to offset any biases in the species selected (e.g. due to having more birds, more rare species etc.).</w:t>
      </w:r>
    </w:p>
    <w:p w14:paraId="2DDEE47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AU"/>
        </w:rPr>
        <w:t>Other key concepts and definitions:</w:t>
      </w:r>
      <w:r w:rsidRPr="00ED7E61">
        <w:rPr>
          <w:rStyle w:val="eop"/>
          <w:rFonts w:asciiTheme="majorBidi" w:eastAsiaTheme="majorEastAsia" w:hAnsiTheme="majorBidi" w:cstheme="majorBidi"/>
          <w:color w:val="000000"/>
          <w:sz w:val="22"/>
          <w:szCs w:val="22"/>
        </w:rPr>
        <w:t> </w:t>
      </w:r>
    </w:p>
    <w:p w14:paraId="6C51B803" w14:textId="741BA845" w:rsidR="00960CA6" w:rsidRPr="00B3383B" w:rsidRDefault="00756F0F" w:rsidP="00B10F0C">
      <w:pPr>
        <w:pStyle w:val="CBDNormalNumber"/>
        <w:numPr>
          <w:ilvl w:val="0"/>
          <w:numId w:val="60"/>
        </w:numPr>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Effective population size (Ne) is a way to quantify the rate of genetic change, or genetic erosion. Effective population size of a population is related to the number of </w:t>
      </w:r>
      <w:r w:rsidR="00960CA6" w:rsidRPr="00ED7E61">
        <w:rPr>
          <w:rStyle w:val="normaltextrun"/>
          <w:rFonts w:asciiTheme="majorBidi" w:eastAsiaTheme="majorEastAsia" w:hAnsiTheme="majorBidi" w:cstheme="majorBidi"/>
        </w:rPr>
        <w:t xml:space="preserve">breeding adults </w:t>
      </w:r>
      <w:r w:rsidRPr="00ED7E61">
        <w:rPr>
          <w:rStyle w:val="normaltextrun"/>
          <w:rFonts w:asciiTheme="majorBidi" w:eastAsiaTheme="majorEastAsia" w:hAnsiTheme="majorBidi" w:cstheme="majorBidi"/>
        </w:rPr>
        <w:t>contribut</w:t>
      </w:r>
      <w:r w:rsidR="00960CA6" w:rsidRPr="00ED7E61">
        <w:rPr>
          <w:rStyle w:val="normaltextrun"/>
          <w:rFonts w:asciiTheme="majorBidi" w:eastAsiaTheme="majorEastAsia" w:hAnsiTheme="majorBidi" w:cstheme="majorBidi"/>
        </w:rPr>
        <w:t>ing</w:t>
      </w:r>
      <w:r w:rsidRPr="00ED7E61">
        <w:rPr>
          <w:rStyle w:val="normaltextrun"/>
          <w:rFonts w:asciiTheme="majorBidi" w:eastAsiaTheme="majorEastAsia" w:hAnsiTheme="majorBidi" w:cstheme="majorBidi"/>
        </w:rPr>
        <w:t xml:space="preserve"> offspring to the next generation,</w:t>
      </w:r>
      <w:r w:rsidR="00960CA6" w:rsidRPr="00ED7E61">
        <w:rPr>
          <w:rStyle w:val="normaltextrun"/>
          <w:rFonts w:asciiTheme="majorBidi" w:eastAsiaTheme="majorEastAsia" w:hAnsiTheme="majorBidi" w:cstheme="majorBidi"/>
        </w:rPr>
        <w:t xml:space="preserve"> averaged across very recent time,</w:t>
      </w:r>
      <w:r w:rsidRPr="00ED7E61">
        <w:rPr>
          <w:rStyle w:val="normaltextrun"/>
          <w:rFonts w:asciiTheme="majorBidi" w:eastAsiaTheme="majorEastAsia" w:hAnsiTheme="majorBidi" w:cstheme="majorBidi"/>
        </w:rPr>
        <w:t xml:space="preserve"> the relative evenness of their offspring production, sex ratio, and other factors. The current state of Ne has important meaning as it represents ongoing genetic erosion. Any population with Ne below 500 is likely </w:t>
      </w:r>
      <w:r w:rsidR="008676D1">
        <w:rPr>
          <w:rStyle w:val="normaltextrun"/>
          <w:rFonts w:asciiTheme="majorBidi" w:eastAsiaTheme="majorEastAsia" w:hAnsiTheme="majorBidi" w:cstheme="majorBidi"/>
        </w:rPr>
        <w:t xml:space="preserve">to be </w:t>
      </w:r>
      <w:r w:rsidRPr="00ED7E61">
        <w:rPr>
          <w:rStyle w:val="normaltextrun"/>
          <w:rFonts w:asciiTheme="majorBidi" w:eastAsiaTheme="majorEastAsia" w:hAnsiTheme="majorBidi" w:cstheme="majorBidi"/>
        </w:rPr>
        <w:t>losing genetic diversity fairly quickly, and signals ongoing loss of genetic diversity. </w:t>
      </w:r>
      <w:r w:rsidRPr="00ED7E61">
        <w:rPr>
          <w:rStyle w:val="normaltextrun"/>
        </w:rPr>
        <w:t> </w:t>
      </w:r>
      <w:r w:rsidR="00960CA6" w:rsidRPr="00ED7E61">
        <w:rPr>
          <w:rStyle w:val="normaltextrun"/>
        </w:rPr>
        <w:t>For domesticated breeds, a lower Ne may suffice, but Ne 500 is a conservative and useful threshold that could be applied to domestic breeds</w:t>
      </w:r>
      <w:r w:rsidR="00FF6192">
        <w:rPr>
          <w:rStyle w:val="normaltextrun"/>
        </w:rPr>
        <w:t>.</w:t>
      </w:r>
    </w:p>
    <w:p w14:paraId="153B40FC" w14:textId="0DC67459" w:rsidR="00756F0F" w:rsidRPr="00ED7E61" w:rsidRDefault="00756F0F" w:rsidP="00B10F0C">
      <w:pPr>
        <w:pStyle w:val="CBDNormalNumber"/>
        <w:numPr>
          <w:ilvl w:val="0"/>
          <w:numId w:val="60"/>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effective population size may be a fraction (e.g. 10%) of the species census population size (Nc), which is the number of adult individuals present in a discrete area. As noted below, a fraction of 1/10th is widely recognized as a slightly conservative and reliable ratio between Ne:Nc. When knowledge exists for a certain taxonomic group, an alternate fraction may be used.</w:t>
      </w:r>
      <w:r w:rsidRPr="00ED7E61">
        <w:rPr>
          <w:rStyle w:val="normaltextrun"/>
        </w:rPr>
        <w:t> </w:t>
      </w:r>
    </w:p>
    <w:p w14:paraId="4510AC2E" w14:textId="248892D9" w:rsidR="00960CA6" w:rsidRPr="00ED7E61" w:rsidRDefault="00756F0F" w:rsidP="00B10F0C">
      <w:pPr>
        <w:pStyle w:val="CBDNormalNumber"/>
        <w:numPr>
          <w:ilvl w:val="0"/>
          <w:numId w:val="60"/>
        </w:numPr>
        <w:ind w:left="567" w:firstLine="0"/>
      </w:pPr>
      <w:r w:rsidRPr="00ED7E61">
        <w:rPr>
          <w:rStyle w:val="normaltextrun"/>
          <w:rFonts w:asciiTheme="majorBidi" w:eastAsiaTheme="majorEastAsia" w:hAnsiTheme="majorBidi" w:cstheme="majorBidi"/>
        </w:rPr>
        <w:t>To maintain genetic diversity typically means that the amount of genetic diversity (alleles, heterozygosity) does not decrease, and there is no loss of within-population genetic diversity or among population genetic diversity; the precise genetic composition may shift for adapting to environmental change. The Ne 500 indicator ensures maintenance of within-population genetic diversity. Some scientists have argued for a more conservative minimum Ne of 1</w:t>
      </w:r>
      <w:r w:rsidR="008676D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000, though the Ne 500 recommendation remains common and well supported.</w:t>
      </w:r>
      <w:r w:rsidRPr="00ED7E61">
        <w:rPr>
          <w:rStyle w:val="normaltextrun"/>
        </w:rPr>
        <w:t> </w:t>
      </w:r>
      <w:r w:rsidR="00960CA6" w:rsidRPr="00ED7E61">
        <w:rPr>
          <w:rStyle w:val="normaltextrun"/>
        </w:rPr>
        <w:t>For some domesticated species alternative minimum Ne values have been recommended by organizations such as the UN Food and Agriculture Organization</w:t>
      </w:r>
    </w:p>
    <w:p w14:paraId="272DAC2F" w14:textId="77777777" w:rsidR="00756F0F" w:rsidRPr="00ED7E61" w:rsidRDefault="00756F0F" w:rsidP="00B10F0C">
      <w:pPr>
        <w:pStyle w:val="CBDNormalNumber"/>
        <w:numPr>
          <w:ilvl w:val="0"/>
          <w:numId w:val="60"/>
        </w:numPr>
        <w:ind w:left="567" w:firstLine="0"/>
        <w:rPr>
          <w:rStyle w:val="normaltextrun"/>
          <w:rFonts w:eastAsiaTheme="majorEastAsia"/>
        </w:rPr>
      </w:pPr>
      <w:r w:rsidRPr="00ED7E61">
        <w:rPr>
          <w:rStyle w:val="normaltextrun"/>
          <w:rFonts w:asciiTheme="majorBidi" w:eastAsiaTheme="majorEastAsia" w:hAnsiTheme="majorBidi" w:cstheme="majorBidi"/>
        </w:rPr>
        <w:t>To safeguard genetic diversity means to protect genetic diversity e.g. with in situ and ex situ protective measures (e.g. seed banks and botanic gardens, well managed protected areas, translocations, etc.)</w:t>
      </w:r>
      <w:r w:rsidRPr="00ED7E61">
        <w:rPr>
          <w:rStyle w:val="normaltextrun"/>
        </w:rPr>
        <w:t> </w:t>
      </w:r>
    </w:p>
    <w:p w14:paraId="1E335BE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5b. Method of computation</w:t>
      </w:r>
      <w:r w:rsidRPr="00ED7E61">
        <w:rPr>
          <w:rStyle w:val="eop"/>
          <w:rFonts w:asciiTheme="majorBidi" w:eastAsiaTheme="majorEastAsia" w:hAnsiTheme="majorBidi" w:cstheme="majorBidi"/>
          <w:sz w:val="22"/>
          <w:szCs w:val="22"/>
        </w:rPr>
        <w:t> </w:t>
      </w:r>
    </w:p>
    <w:p w14:paraId="33592B58" w14:textId="7625C0A8" w:rsidR="00756F0F" w:rsidRPr="00ED7E61" w:rsidRDefault="00756F0F" w:rsidP="00B10F0C">
      <w:pPr>
        <w:pStyle w:val="CBDNormalNumber"/>
        <w:numPr>
          <w:ilvl w:val="0"/>
          <w:numId w:val="60"/>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Effective population size (Ne) can be calculated for most species through a simple mathematical transformation of the population's census size (Nc). Following the widely accepted rule of thumb of 1:10 effective-to-census size ratio, the default is multiplication of Nc by 0.1 (</w:t>
      </w:r>
      <w:hyperlink r:id="rId195" w:tgtFrame="_blank" w:history="1">
        <w:r w:rsidRPr="00ED7E61">
          <w:rPr>
            <w:rStyle w:val="normaltextrun"/>
            <w:rFonts w:asciiTheme="majorBidi" w:eastAsiaTheme="majorEastAsia" w:hAnsiTheme="majorBidi" w:cstheme="majorBidi"/>
          </w:rPr>
          <w:t>Hoban et al. 2020</w:t>
        </w:r>
      </w:hyperlink>
      <w:r w:rsidRPr="00ED7E61">
        <w:rPr>
          <w:rStyle w:val="normaltextrun"/>
          <w:rFonts w:asciiTheme="majorBidi" w:eastAsiaTheme="majorEastAsia" w:hAnsiTheme="majorBidi" w:cstheme="majorBidi"/>
        </w:rPr>
        <w:t>). For example, this would equate to a census size of 5</w:t>
      </w:r>
      <w:r w:rsidR="008676D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000 having an effective size of 500. However, for some taxonomic groups, a more refined ratio could be employed (see Step 2 below).</w:t>
      </w:r>
      <w:r w:rsidRPr="00ED7E61">
        <w:rPr>
          <w:rStyle w:val="normaltextrun"/>
        </w:rPr>
        <w:t> </w:t>
      </w:r>
    </w:p>
    <w:p w14:paraId="7EE0AFEC" w14:textId="66B69911" w:rsidR="00756F0F" w:rsidRPr="00ED7E61" w:rsidRDefault="00756F0F" w:rsidP="00B10F0C">
      <w:pPr>
        <w:pStyle w:val="CBDNormalNumber"/>
        <w:numPr>
          <w:ilvl w:val="0"/>
          <w:numId w:val="60"/>
        </w:numPr>
        <w:ind w:left="567" w:firstLine="0"/>
        <w:rPr>
          <w:rStyle w:val="normaltextrun"/>
          <w:rFonts w:eastAsiaTheme="majorEastAsia"/>
        </w:rPr>
      </w:pPr>
      <w:r w:rsidRPr="00ED7E61">
        <w:rPr>
          <w:rStyle w:val="normaltextrun"/>
          <w:rFonts w:asciiTheme="majorBidi" w:eastAsiaTheme="majorEastAsia" w:hAnsiTheme="majorBidi" w:cstheme="majorBidi"/>
        </w:rPr>
        <w:t>Choosing species to evaluate. Biased selection of species is an important concern for the indicator.  For example, selecting only charismatic species (butterflies, orchids, etc.), species of economic value or rare/ endangered species would result in an indicator that represents the genetic condition of species in that subset rather than all species. To avoid misleading results from a biased selection, the indicator could be calculated for</w:t>
      </w:r>
      <w:r w:rsidR="005E56F9" w:rsidRPr="00ED7E61">
        <w:rPr>
          <w:rStyle w:val="normaltextrun"/>
          <w:rFonts w:asciiTheme="majorBidi" w:eastAsiaTheme="majorEastAsia" w:hAnsiTheme="majorBidi" w:cstheme="majorBidi"/>
        </w:rPr>
        <w:t>:</w:t>
      </w:r>
      <w:r w:rsidRPr="00ED7E61">
        <w:rPr>
          <w:rStyle w:val="normaltextrun"/>
        </w:rPr>
        <w:t> </w:t>
      </w:r>
    </w:p>
    <w:p w14:paraId="3A6C3617"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A randomly selected subset of all known species in a country</w:t>
      </w:r>
      <w:r w:rsidRPr="00ED7E61">
        <w:rPr>
          <w:rStyle w:val="normaltextrun"/>
        </w:rPr>
        <w:t> </w:t>
      </w:r>
    </w:p>
    <w:p w14:paraId="6463E2C6"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A systematically selected set of all known species in a country</w:t>
      </w:r>
      <w:r w:rsidRPr="00ED7E61">
        <w:rPr>
          <w:rStyle w:val="normaltextrun"/>
        </w:rPr>
        <w:t> </w:t>
      </w:r>
    </w:p>
    <w:p w14:paraId="66FFBEA3" w14:textId="23350169" w:rsidR="00756F0F" w:rsidRPr="00ED7E61" w:rsidRDefault="00756F0F" w:rsidP="00B10F0C">
      <w:pPr>
        <w:pStyle w:val="CBDNormalNumber"/>
        <w:numPr>
          <w:ilvl w:val="0"/>
          <w:numId w:val="60"/>
        </w:numPr>
        <w:ind w:left="567" w:firstLine="0"/>
        <w:rPr>
          <w:rStyle w:val="normaltextrun"/>
          <w:rFonts w:eastAsiaTheme="majorEastAsia"/>
        </w:rPr>
      </w:pPr>
      <w:r w:rsidRPr="00ED7E61">
        <w:rPr>
          <w:rStyle w:val="normaltextrun"/>
          <w:rFonts w:asciiTheme="majorBidi" w:eastAsiaTheme="majorEastAsia" w:hAnsiTheme="majorBidi" w:cstheme="majorBidi"/>
        </w:rPr>
        <w:t>A systematic assessment involves pre-defining certain categories, in particular taxonomic groups, e.g. plants, vertebrates, invertebrates, fungi, algae.</w:t>
      </w:r>
      <w:r w:rsidR="005B788A" w:rsidRPr="00ED7E61">
        <w:rPr>
          <w:rStyle w:val="normaltextrun"/>
          <w:rFonts w:asciiTheme="majorBidi" w:eastAsiaTheme="majorEastAsia" w:hAnsiTheme="majorBidi" w:cstheme="majorBidi"/>
        </w:rPr>
        <w:t xml:space="preserve"> </w:t>
      </w:r>
      <w:r w:rsidR="00960CA6" w:rsidRPr="00ED7E61">
        <w:rPr>
          <w:rStyle w:val="normaltextrun"/>
        </w:rPr>
        <w:t xml:space="preserve">Arguably, the systematic approach may be preferred simply because some groups (e.g. invertebrates and plants) have many species, and a more even representation across taxonomic groups may be desired. </w:t>
      </w:r>
      <w:r w:rsidRPr="00ED7E61">
        <w:rPr>
          <w:rStyle w:val="normaltextrun"/>
          <w:rFonts w:asciiTheme="majorBidi" w:eastAsiaTheme="majorEastAsia" w:hAnsiTheme="majorBidi" w:cstheme="majorBidi"/>
        </w:rPr>
        <w:t xml:space="preserve">Then a number of species within each group should be chosen randomly (see </w:t>
      </w:r>
      <w:hyperlink r:id="rId196" w:tgtFrame="_blank" w:history="1">
        <w:r w:rsidRPr="00ED7E61">
          <w:rPr>
            <w:rStyle w:val="normaltextrun"/>
            <w:rFonts w:asciiTheme="majorBidi" w:eastAsiaTheme="majorEastAsia" w:hAnsiTheme="majorBidi" w:cstheme="majorBidi"/>
          </w:rPr>
          <w:t>Baille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w:t>
        </w:r>
      </w:hyperlink>
      <w:hyperlink r:id="rId197" w:tgtFrame="_blank" w:history="1">
        <w:r w:rsidRPr="00ED7E61">
          <w:rPr>
            <w:rStyle w:val="normaltextrun"/>
            <w:rFonts w:asciiTheme="majorBidi" w:eastAsiaTheme="majorEastAsia" w:hAnsiTheme="majorBidi" w:cstheme="majorBidi"/>
          </w:rPr>
          <w:t>00</w:t>
        </w:r>
      </w:hyperlink>
      <w:hyperlink r:id="rId198" w:tgtFrame="_blank" w:history="1">
        <w:r w:rsidRPr="00ED7E61">
          <w:rPr>
            <w:rStyle w:val="normaltextrun"/>
            <w:rFonts w:asciiTheme="majorBidi" w:eastAsiaTheme="majorEastAsia" w:hAnsiTheme="majorBidi" w:cstheme="majorBidi"/>
          </w:rPr>
          <w:t>8</w:t>
        </w:r>
      </w:hyperlink>
      <w:r w:rsidRPr="00ED7E61">
        <w:rPr>
          <w:rStyle w:val="normaltextrun"/>
          <w:rFonts w:asciiTheme="majorBidi" w:eastAsiaTheme="majorEastAsia" w:hAnsiTheme="majorBidi" w:cstheme="majorBidi"/>
        </w:rPr>
        <w:t>).  The indicator will be less accurate when small numbers of species are used.  At minimum, 100 species should be used, though ideally many more will be used (</w:t>
      </w:r>
      <w:hyperlink r:id="rId199" w:tgtFrame="_blank" w:history="1">
        <w:r w:rsidRPr="00ED7E61">
          <w:rPr>
            <w:rStyle w:val="normaltextrun"/>
            <w:rFonts w:asciiTheme="majorBidi" w:eastAsiaTheme="majorEastAsia" w:hAnsiTheme="majorBidi" w:cstheme="majorBidi"/>
          </w:rPr>
          <w:t>Baille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2008</w:t>
        </w:r>
      </w:hyperlink>
      <w:r w:rsidRPr="00ED7E61">
        <w:rPr>
          <w:rStyle w:val="normaltextrun"/>
          <w:rFonts w:asciiTheme="majorBidi" w:eastAsiaTheme="majorEastAsia" w:hAnsiTheme="majorBidi" w:cstheme="majorBidi"/>
        </w:rPr>
        <w:t xml:space="preserve"> recommend 900 species with sufficient data; however, to allow for species missing data, the initial list of taxa to evaluate should be 1</w:t>
      </w:r>
      <w:r w:rsidR="008676D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500).  IUCN has published guidelines on selecting species and populations for monitoring of genetic diversity </w:t>
      </w:r>
      <w:hyperlink r:id="rId200" w:tgtFrame="_blank" w:history="1">
        <w:r w:rsidRPr="00ED7E61">
          <w:rPr>
            <w:rStyle w:val="normaltextrun"/>
            <w:rFonts w:asciiTheme="majorBidi" w:eastAsiaTheme="majorEastAsia" w:hAnsiTheme="majorBidi" w:cstheme="majorBidi"/>
          </w:rPr>
          <w:t>(Hvilsom et al. 2022)</w:t>
        </w:r>
      </w:hyperlink>
      <w:r w:rsidRPr="00ED7E61">
        <w:rPr>
          <w:rStyle w:val="normaltextrun"/>
        </w:rPr>
        <w:t> </w:t>
      </w:r>
      <w:r w:rsidR="00960CA6" w:rsidRPr="00ED7E61">
        <w:rPr>
          <w:rStyle w:val="normaltextrun"/>
        </w:rPr>
        <w:t>An alternative approach, which is sometimes used in the Red List Index, is to focus on calculating the indicator for all species within certain taxonomic groups (e.g. birds, gymnosperms, mammals) in a country. As with the RLI, the indicator would be thus presented as, for example, “</w:t>
      </w:r>
      <w:r w:rsidR="00960CA6" w:rsidRPr="00FB1598">
        <w:rPr>
          <w:rStyle w:val="normaltextrun"/>
          <w:i/>
          <w:iCs/>
        </w:rPr>
        <w:t>the Ne 500 indicator for gymnosperms</w:t>
      </w:r>
      <w:r w:rsidR="00960CA6" w:rsidRPr="00ED7E61">
        <w:rPr>
          <w:rStyle w:val="normaltextrun"/>
        </w:rPr>
        <w:t>” </w:t>
      </w:r>
    </w:p>
    <w:p w14:paraId="7C4164F4" w14:textId="6A029C0D" w:rsidR="00756F0F" w:rsidRPr="00ED7E61" w:rsidRDefault="00756F0F" w:rsidP="00B10F0C">
      <w:pPr>
        <w:pStyle w:val="CBDNormalNumber"/>
        <w:numPr>
          <w:ilvl w:val="0"/>
          <w:numId w:val="60"/>
        </w:numPr>
        <w:ind w:left="567" w:firstLine="0"/>
        <w:rPr>
          <w:rStyle w:val="normaltextrun"/>
          <w:rFonts w:eastAsiaTheme="majorEastAsia"/>
        </w:rPr>
      </w:pPr>
      <w:r w:rsidRPr="00ED7E61">
        <w:rPr>
          <w:rStyle w:val="normaltextrun"/>
          <w:rFonts w:asciiTheme="majorBidi" w:eastAsiaTheme="majorEastAsia" w:hAnsiTheme="majorBidi" w:cstheme="majorBidi"/>
        </w:rPr>
        <w:t xml:space="preserve">Again, the set of species should be as unbiased as possible. As explained below, analysis of the indicator may wish to disaggregate for particular subsets e.g. harvested species, pollinators, keystone </w:t>
      </w:r>
      <w:r w:rsidR="00960CA6" w:rsidRPr="00ED7E61">
        <w:rPr>
          <w:rStyle w:val="normaltextrun"/>
          <w:rFonts w:asciiTheme="majorBidi" w:eastAsiaTheme="majorEastAsia" w:hAnsiTheme="majorBidi" w:cstheme="majorBidi"/>
        </w:rPr>
        <w:t xml:space="preserve">or threatened </w:t>
      </w:r>
      <w:r w:rsidRPr="00ED7E61">
        <w:rPr>
          <w:rStyle w:val="normaltextrun"/>
          <w:rFonts w:asciiTheme="majorBidi" w:eastAsiaTheme="majorEastAsia" w:hAnsiTheme="majorBidi" w:cstheme="majorBidi"/>
        </w:rPr>
        <w:t>species, but the overall indicator value should represent all species.</w:t>
      </w:r>
      <w:r w:rsidRPr="00ED7E61">
        <w:rPr>
          <w:rStyle w:val="normaltextrun"/>
        </w:rPr>
        <w:t> </w:t>
      </w:r>
    </w:p>
    <w:p w14:paraId="73CADA80" w14:textId="5EA8D229" w:rsidR="00756F0F" w:rsidRPr="00ED7E61" w:rsidRDefault="00756F0F" w:rsidP="00B3383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b/>
          <w:bCs/>
          <w:i/>
          <w:iCs/>
          <w:color w:val="000000"/>
        </w:rPr>
        <w:t>Step 1</w:t>
      </w:r>
      <w:r w:rsidRPr="00ED7E61">
        <w:rPr>
          <w:rStyle w:val="normaltextrun"/>
          <w:rFonts w:asciiTheme="majorBidi" w:eastAsiaTheme="majorEastAsia" w:hAnsiTheme="majorBidi" w:cstheme="majorBidi"/>
          <w:i/>
          <w:iCs/>
          <w:color w:val="000000"/>
        </w:rPr>
        <w:t>: Define population boundaries and compile data on census size (N</w:t>
      </w:r>
      <w:r w:rsidRPr="00ED7E61">
        <w:rPr>
          <w:rStyle w:val="normaltextrun"/>
          <w:rFonts w:asciiTheme="majorBidi" w:eastAsiaTheme="majorEastAsia" w:hAnsiTheme="majorBidi" w:cstheme="majorBidi"/>
          <w:i/>
          <w:iCs/>
          <w:color w:val="000000"/>
          <w:vertAlign w:val="subscript"/>
        </w:rPr>
        <w:t>c</w:t>
      </w:r>
      <w:r w:rsidRPr="00ED7E61">
        <w:rPr>
          <w:rStyle w:val="normaltextrun"/>
          <w:rFonts w:asciiTheme="majorBidi" w:eastAsiaTheme="majorEastAsia" w:hAnsiTheme="majorBidi" w:cstheme="majorBidi"/>
          <w:i/>
          <w:iCs/>
          <w:color w:val="000000"/>
        </w:rPr>
        <w:t>). </w:t>
      </w:r>
      <w:r w:rsidRPr="00ED7E61">
        <w:rPr>
          <w:rStyle w:val="eop"/>
          <w:rFonts w:asciiTheme="majorBidi" w:eastAsiaTheme="majorEastAsia" w:hAnsiTheme="majorBidi" w:cstheme="majorBidi"/>
          <w:color w:val="000000"/>
        </w:rPr>
        <w:t> </w:t>
      </w:r>
    </w:p>
    <w:p w14:paraId="482D5610" w14:textId="3506E65C" w:rsidR="00756F0F" w:rsidRPr="00ED7E61" w:rsidRDefault="00756F0F" w:rsidP="00B10F0C">
      <w:pPr>
        <w:pStyle w:val="CBDNormalNumber"/>
        <w:numPr>
          <w:ilvl w:val="0"/>
          <w:numId w:val="60"/>
        </w:numPr>
        <w:ind w:left="567" w:firstLine="0"/>
        <w:rPr>
          <w:rStyle w:val="normaltextrun"/>
          <w:rFonts w:eastAsiaTheme="majorEastAsia"/>
        </w:rPr>
      </w:pPr>
      <w:r w:rsidRPr="00ED7E61">
        <w:rPr>
          <w:rStyle w:val="normaltextrun"/>
          <w:rFonts w:asciiTheme="majorBidi" w:eastAsiaTheme="majorEastAsia" w:hAnsiTheme="majorBidi" w:cstheme="majorBidi"/>
        </w:rPr>
        <w:t xml:space="preserve">For each focal species it is first necessary to define </w:t>
      </w:r>
      <w:r w:rsidR="00C43C39">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populations</w:t>
      </w:r>
      <w:r w:rsidR="00C43C3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and to collect data on census population sizes. Many local and national biodiversity monitoring programs (e.g. at species or ecosystem level) have already defined populations based on geographic isolation, occupying distinct habitats or ecoregions, association with a geographic feature like a mountain range or lake, etc. Full guidance on defining populations for a wide variety of organisms are provided in the guidance manual for this indicator (</w:t>
      </w:r>
      <w:r w:rsidR="00960CA6" w:rsidRPr="00ED7E61">
        <w:rPr>
          <w:rStyle w:val="normaltextrun"/>
        </w:rPr>
        <w:t>Mastretta-Yanes et al</w:t>
      </w:r>
      <w:r w:rsidR="00FF0D09">
        <w:rPr>
          <w:rStyle w:val="normaltextrun"/>
        </w:rPr>
        <w:t>.</w:t>
      </w:r>
      <w:r w:rsidR="00960CA6" w:rsidRPr="00ED7E61">
        <w:rPr>
          <w:rStyle w:val="normaltextrun"/>
        </w:rPr>
        <w:t xml:space="preserve"> (2024), </w:t>
      </w:r>
      <w:hyperlink r:id="rId201" w:tgtFrame="_blank" w:history="1">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(2023b)</w:t>
        </w:r>
      </w:hyperlink>
      <w:r w:rsidRPr="00ED7E61">
        <w:rPr>
          <w:rStyle w:val="normaltextrun"/>
          <w:rFonts w:asciiTheme="majorBidi" w:eastAsiaTheme="majorEastAsia" w:hAnsiTheme="majorBidi" w:cstheme="majorBidi"/>
        </w:rPr>
        <w:t xml:space="preserve"> and Supporting Information therein). After defining populations, it is necessary to collect data on census population sizes (or to use genetic data). Again, many biodiversity monitoring programs for priority species will have this data available - in some cases in a centralized national database, while in other cases, it may be scattered among different national reports and assessments. "</w:t>
      </w:r>
      <w:r w:rsidRPr="00FB1598">
        <w:rPr>
          <w:rStyle w:val="normaltextrun"/>
          <w:rFonts w:asciiTheme="majorBidi" w:eastAsiaTheme="majorEastAsia" w:hAnsiTheme="majorBidi" w:cstheme="majorBidi"/>
          <w:i/>
          <w:iCs/>
        </w:rPr>
        <w:t>Available data</w:t>
      </w:r>
      <w:r w:rsidRPr="00ED7E61">
        <w:rPr>
          <w:rStyle w:val="normaltextrun"/>
          <w:rFonts w:asciiTheme="majorBidi" w:eastAsiaTheme="majorEastAsia" w:hAnsiTheme="majorBidi" w:cstheme="majorBidi"/>
        </w:rPr>
        <w:t xml:space="preserve">" should be considered broadly and it includes citizen science, local knowledge, indigenous knowledge, and informal data held by small NGOs and similar groups. </w:t>
      </w:r>
      <w:hyperlink r:id="rId202" w:tgtFrame="_blank" w:history="1">
        <w:r w:rsidRPr="00ED7E61">
          <w:rPr>
            <w:rStyle w:val="normaltextrun"/>
            <w:rFonts w:asciiTheme="majorBidi" w:eastAsiaTheme="majorEastAsia" w:hAnsiTheme="majorBidi" w:cstheme="majorBidi"/>
          </w:rPr>
          <w:t>A recent webinar</w:t>
        </w:r>
      </w:hyperlink>
      <w:r w:rsidRPr="00ED7E61">
        <w:rPr>
          <w:rStyle w:val="normaltextrun"/>
          <w:rFonts w:asciiTheme="majorBidi" w:eastAsiaTheme="majorEastAsia" w:hAnsiTheme="majorBidi" w:cstheme="majorBidi"/>
        </w:rPr>
        <w:t xml:space="preserve"> hosted by the CBD Secretariat and GEO BON showcased the different resources available to countries, emphasizing the flexibility of this indicator.</w:t>
      </w:r>
      <w:r w:rsidRPr="00ED7E61">
        <w:rPr>
          <w:rStyle w:val="normaltextrun"/>
        </w:rPr>
        <w:t> </w:t>
      </w:r>
    </w:p>
    <w:p w14:paraId="0E4B7D81" w14:textId="1118C6BD"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i/>
          <w:iCs/>
          <w:color w:val="000000"/>
          <w:sz w:val="22"/>
          <w:szCs w:val="22"/>
          <w:lang w:val="en-GB"/>
        </w:rPr>
        <w:t xml:space="preserve">Step 2: </w:t>
      </w:r>
      <w:r w:rsidRPr="00ED7E61">
        <w:rPr>
          <w:rStyle w:val="normaltextrun"/>
          <w:rFonts w:asciiTheme="majorBidi" w:eastAsiaTheme="majorEastAsia" w:hAnsiTheme="majorBidi" w:cstheme="majorBidi"/>
          <w:i/>
          <w:iCs/>
          <w:color w:val="000000"/>
          <w:sz w:val="22"/>
          <w:szCs w:val="22"/>
          <w:lang w:val="en-GB"/>
        </w:rPr>
        <w:t>Calculate each population’s N</w:t>
      </w:r>
      <w:r w:rsidRPr="00ED7E61">
        <w:rPr>
          <w:rStyle w:val="normaltextrun"/>
          <w:rFonts w:asciiTheme="majorBidi" w:eastAsiaTheme="majorEastAsia" w:hAnsiTheme="majorBidi" w:cstheme="majorBidi"/>
          <w:i/>
          <w:iCs/>
          <w:color w:val="000000"/>
          <w:sz w:val="22"/>
          <w:szCs w:val="22"/>
          <w:vertAlign w:val="subscript"/>
          <w:lang w:val="en-GB"/>
        </w:rPr>
        <w:t>e</w:t>
      </w:r>
      <w:r w:rsidRPr="00ED7E61">
        <w:rPr>
          <w:rStyle w:val="normaltextrun"/>
          <w:rFonts w:asciiTheme="majorBidi" w:eastAsiaTheme="majorEastAsia" w:hAnsiTheme="majorBidi" w:cstheme="majorBidi"/>
          <w:i/>
          <w:iCs/>
          <w:color w:val="000000"/>
          <w:sz w:val="22"/>
          <w:szCs w:val="22"/>
          <w:lang w:val="en-GB"/>
        </w:rPr>
        <w:t>. </w:t>
      </w:r>
      <w:r w:rsidRPr="00ED7E61">
        <w:rPr>
          <w:rStyle w:val="eop"/>
          <w:rFonts w:asciiTheme="majorBidi" w:eastAsiaTheme="majorEastAsia" w:hAnsiTheme="majorBidi" w:cstheme="majorBidi"/>
          <w:color w:val="000000"/>
          <w:sz w:val="22"/>
          <w:szCs w:val="22"/>
        </w:rPr>
        <w:t> </w:t>
      </w:r>
    </w:p>
    <w:p w14:paraId="0292FA80" w14:textId="6AD07CFC" w:rsidR="00960CA6" w:rsidRPr="00ED7E61" w:rsidRDefault="00756F0F" w:rsidP="00B10F0C">
      <w:pPr>
        <w:pStyle w:val="CBDNormalNumber"/>
        <w:numPr>
          <w:ilvl w:val="0"/>
          <w:numId w:val="60"/>
        </w:numPr>
        <w:ind w:left="567" w:firstLine="0"/>
        <w:rPr>
          <w:rStyle w:val="normaltextrun"/>
          <w:rFonts w:eastAsiaTheme="majorEastAsia"/>
          <w:sz w:val="24"/>
          <w:szCs w:val="24"/>
          <w:lang w:val="en-CA"/>
        </w:rPr>
      </w:pPr>
      <w:r w:rsidRPr="00ED7E61">
        <w:rPr>
          <w:rStyle w:val="eop"/>
          <w:rFonts w:asciiTheme="majorBidi" w:eastAsiaTheme="majorEastAsia" w:hAnsiTheme="majorBidi" w:cstheme="majorBidi"/>
          <w:color w:val="000000"/>
        </w:rPr>
        <w:t> </w:t>
      </w:r>
      <w:r w:rsidR="00960CA6" w:rsidRPr="00ED7E61">
        <w:rPr>
          <w:rStyle w:val="normaltextrun"/>
          <w:rFonts w:eastAsiaTheme="majorEastAsia"/>
        </w:rPr>
        <w:t>This entails first choosing a ratio of effective-to-census size and multiplying the population’s census size by this ratio to obtain the population’s effective size. As mentioned above, the default ratio, which is slightly conservative, is 1/10th or 0.1 (thus the minimum Nc would be 5</w:t>
      </w:r>
      <w:r w:rsidR="008676D1">
        <w:rPr>
          <w:rStyle w:val="normaltextrun"/>
          <w:rFonts w:eastAsiaTheme="majorEastAsia"/>
        </w:rPr>
        <w:t>,</w:t>
      </w:r>
      <w:r w:rsidR="00960CA6" w:rsidRPr="00ED7E61">
        <w:rPr>
          <w:rStyle w:val="normaltextrun"/>
          <w:rFonts w:eastAsiaTheme="majorEastAsia"/>
        </w:rPr>
        <w:t xml:space="preserve">000). Alternatively, a taxon-level ratio can be obtained from recent reviews of the literature that have compiled average values for groups such as mammals, bony fish, annual plants, trees, etc. (see </w:t>
      </w:r>
      <w:hyperlink r:id="rId203" w:tgtFrame="_blank" w:history="1">
        <w:r w:rsidR="00960CA6" w:rsidRPr="00ED7E61">
          <w:rPr>
            <w:rStyle w:val="normaltextrun"/>
            <w:rFonts w:eastAsiaTheme="majorEastAsia"/>
          </w:rPr>
          <w:t>Hoban et al</w:t>
        </w:r>
        <w:r w:rsidR="00FF0D09">
          <w:rPr>
            <w:rStyle w:val="normaltextrun"/>
            <w:rFonts w:eastAsiaTheme="majorEastAsia"/>
          </w:rPr>
          <w:t>.</w:t>
        </w:r>
        <w:r w:rsidR="00960CA6" w:rsidRPr="00ED7E61">
          <w:rPr>
            <w:rStyle w:val="normaltextrun"/>
            <w:rFonts w:eastAsiaTheme="majorEastAsia"/>
          </w:rPr>
          <w:t xml:space="preserve"> 2021</w:t>
        </w:r>
      </w:hyperlink>
      <w:r w:rsidR="00960CA6" w:rsidRPr="00ED7E61">
        <w:rPr>
          <w:rStyle w:val="normaltextrun"/>
          <w:rFonts w:eastAsiaTheme="majorEastAsia"/>
        </w:rPr>
        <w:t>, Waples 2024).  An alternative is a species specific Ne/Nc ratio from formulas that take into account a species’ biological characteristics (especially the male-female sex ratio and the variance in offspring production), or from published literature on the species or even populations that are the focus of study. For instance, the ratio in large-bodied mammals and in some trees is often closer to 0.3 (thus the minimum Nc would be 1</w:t>
      </w:r>
      <w:r w:rsidR="008676D1">
        <w:rPr>
          <w:rStyle w:val="normaltextrun"/>
          <w:rFonts w:eastAsiaTheme="majorEastAsia"/>
        </w:rPr>
        <w:t>,</w:t>
      </w:r>
      <w:r w:rsidR="00960CA6" w:rsidRPr="00ED7E61">
        <w:rPr>
          <w:rStyle w:val="normaltextrun"/>
          <w:rFonts w:eastAsiaTheme="majorEastAsia"/>
        </w:rPr>
        <w:t>500). These are all valid ways of obtaining the ratio. To incorporate uncertainty in calculations, the calculation can be repeated using multiple Ne/Nc ratios.  The order of preference is arguably to use the species- specific, then taxon-level, then general 0.1 ratio. But it is entirely acceptable and useful to use the well-recognized 0.1 ratio.</w:t>
      </w:r>
      <w:r w:rsidR="00960CA6" w:rsidRPr="00ED7E61">
        <w:rPr>
          <w:rStyle w:val="normaltextrun"/>
        </w:rPr>
        <w:t> For domesticated species, the formula of Latter et al</w:t>
      </w:r>
      <w:r w:rsidR="00FF0D09">
        <w:rPr>
          <w:rStyle w:val="normaltextrun"/>
        </w:rPr>
        <w:t>.</w:t>
      </w:r>
      <w:r w:rsidR="00960CA6" w:rsidRPr="00ED7E61">
        <w:rPr>
          <w:rStyle w:val="normaltextrun"/>
        </w:rPr>
        <w:t xml:space="preserve"> (1959) may be used. We note that in a recent pilot project the use of the precise Ne/Nc ratio did not strongly impact indicator results, e.g. using a 0.2 ratio instead of 0.1 (Mastretta Yanes and da Silva et al</w:t>
      </w:r>
      <w:r w:rsidR="00FF0D09">
        <w:rPr>
          <w:rStyle w:val="normaltextrun"/>
        </w:rPr>
        <w:t>.</w:t>
      </w:r>
      <w:r w:rsidR="00960CA6" w:rsidRPr="00ED7E61">
        <w:rPr>
          <w:rStyle w:val="normaltextrun"/>
        </w:rPr>
        <w:t xml:space="preserve"> 2024). Lastly</w:t>
      </w:r>
      <w:r w:rsidR="00C81B06" w:rsidRPr="00ED7E61">
        <w:rPr>
          <w:rStyle w:val="normaltextrun"/>
        </w:rPr>
        <w:t>,</w:t>
      </w:r>
      <w:r w:rsidR="00960CA6" w:rsidRPr="00ED7E61">
        <w:rPr>
          <w:rStyle w:val="normaltextrun"/>
        </w:rPr>
        <w:t xml:space="preserve"> we emphasise that for comparability through time, the same method (e.g. ratio) should be used consistently across reporting periods.</w:t>
      </w:r>
    </w:p>
    <w:p w14:paraId="4C94D516" w14:textId="587B27D7" w:rsidR="00C81B06" w:rsidRPr="00ED7E61" w:rsidRDefault="00960CA6" w:rsidP="00B10F0C">
      <w:pPr>
        <w:pStyle w:val="CBDNormalNumber"/>
        <w:numPr>
          <w:ilvl w:val="0"/>
          <w:numId w:val="60"/>
        </w:numPr>
        <w:ind w:left="567" w:firstLine="0"/>
        <w:rPr>
          <w:rStyle w:val="normaltextrun"/>
          <w:rFonts w:eastAsiaTheme="majorEastAsia"/>
        </w:rPr>
      </w:pPr>
      <w:r w:rsidRPr="00ED7E61">
        <w:rPr>
          <w:rStyle w:val="normaltextrun"/>
          <w:rFonts w:eastAsiaTheme="majorEastAsia"/>
        </w:rPr>
        <w:t xml:space="preserve">For some organisms, assessment of Nc is fairly straightforward. It is the number of reproductively mature individuals, that is, those which are of sufficient maturity to produce gametes or offspring. A count of mature individuals may mean an actual count of all organisms, an estimate made by counting within given units of area and extrapolating, or an estimate from a model such as a capture-mark-recapture model.  The </w:t>
      </w:r>
      <w:hyperlink r:id="rId204" w:tgtFrame="_blank" w:history="1">
        <w:r w:rsidRPr="00ED7E61">
          <w:rPr>
            <w:rStyle w:val="normaltextrun"/>
            <w:rFonts w:eastAsiaTheme="majorEastAsia"/>
          </w:rPr>
          <w:t>IUCN Red List Guidelines</w:t>
        </w:r>
      </w:hyperlink>
      <w:r w:rsidRPr="00ED7E61">
        <w:rPr>
          <w:rStyle w:val="normaltextrun"/>
          <w:rFonts w:eastAsiaTheme="majorEastAsia"/>
        </w:rPr>
        <w:t xml:space="preserve"> (IUCN Standards and Petitions Committee 2022) contains extensive discussion on consideration of reproductively suppressed individuals, trees, fish, and other cases of interest, and it adhering to this guidance in its entirety, except when working with clonal organisms.</w:t>
      </w:r>
      <w:r w:rsidRPr="00ED7E61">
        <w:rPr>
          <w:rStyle w:val="normaltextrun"/>
        </w:rPr>
        <w:t> </w:t>
      </w:r>
    </w:p>
    <w:p w14:paraId="4EA271D7" w14:textId="64C01E4D" w:rsidR="00756F0F" w:rsidRPr="00ED7E61" w:rsidRDefault="00960CA6" w:rsidP="00B10F0C">
      <w:pPr>
        <w:pStyle w:val="CBDNormalNumber"/>
        <w:numPr>
          <w:ilvl w:val="0"/>
          <w:numId w:val="60"/>
        </w:numPr>
        <w:ind w:left="567" w:firstLine="0"/>
        <w:rPr>
          <w:rFonts w:asciiTheme="majorBidi" w:hAnsiTheme="majorBidi" w:cstheme="majorBidi"/>
        </w:rPr>
      </w:pPr>
      <w:r w:rsidRPr="00ED7E61">
        <w:rPr>
          <w:rStyle w:val="normaltextrun"/>
          <w:rFonts w:eastAsiaTheme="majorEastAsia"/>
        </w:rPr>
        <w:t>Clonal organisms. In assessing Nc for the use of converting to Ne, it is important to use the “</w:t>
      </w:r>
      <w:r w:rsidRPr="00FB1598">
        <w:rPr>
          <w:rStyle w:val="normaltextrun"/>
          <w:rFonts w:eastAsiaTheme="majorEastAsia"/>
          <w:i/>
          <w:iCs/>
        </w:rPr>
        <w:t>genet</w:t>
      </w:r>
      <w:r w:rsidRPr="00ED7E61">
        <w:rPr>
          <w:rStyle w:val="normaltextrun"/>
          <w:rFonts w:eastAsiaTheme="majorEastAsia"/>
        </w:rPr>
        <w:t>” (the genetically distinct organism) as opposed to the “</w:t>
      </w:r>
      <w:r w:rsidRPr="00FB1598">
        <w:rPr>
          <w:rStyle w:val="normaltextrun"/>
          <w:rFonts w:eastAsiaTheme="majorEastAsia"/>
          <w:i/>
          <w:iCs/>
        </w:rPr>
        <w:t>ramet</w:t>
      </w:r>
      <w:r w:rsidRPr="00ED7E61">
        <w:rPr>
          <w:rStyle w:val="normaltextrun"/>
          <w:rFonts w:eastAsiaTheme="majorEastAsia"/>
        </w:rPr>
        <w:t>” (each distinct part which is capable of surviving on its own).  An extreme example is a Populus clone which may have thousands of stems aboveground which are each capable of reproduction, but which are identical in their genotype.  The assessor should consider each entire clone as a mature individual when counting Nc, not each stem.  This can be done similar to the advice on page 28 of the aforementioned IUCN Red List Guidelines, e.g. “</w:t>
      </w:r>
      <w:r w:rsidRPr="00FB1598">
        <w:rPr>
          <w:rStyle w:val="normaltextrun"/>
          <w:rFonts w:eastAsiaTheme="majorEastAsia"/>
          <w:i/>
          <w:iCs/>
        </w:rPr>
        <w:t>For diffuse, wholly visible organisms in continuous habitats (e.g. reef-forming corals, algal mats) assessors may assume an average area occupied by a genet and estimate the number of genets from the area covered by the taxon. The area covered by the taxon should be estimated at a scale (grid size; e.g. 1 m</w:t>
      </w:r>
      <w:r w:rsidRPr="00FB1598">
        <w:rPr>
          <w:rStyle w:val="normaltextrun"/>
          <w:rFonts w:eastAsiaTheme="majorEastAsia"/>
          <w:i/>
          <w:iCs/>
          <w:vertAlign w:val="superscript"/>
        </w:rPr>
        <w:t>2</w:t>
      </w:r>
      <w:r w:rsidRPr="00FB1598">
        <w:rPr>
          <w:rStyle w:val="normaltextrun"/>
          <w:rFonts w:eastAsiaTheme="majorEastAsia"/>
          <w:i/>
          <w:iCs/>
        </w:rPr>
        <w:t>) that is as close as practicable to the area assumed to be occupied by a genet.</w:t>
      </w:r>
      <w:r w:rsidRPr="00ED7E61">
        <w:rPr>
          <w:rStyle w:val="normaltextrun"/>
          <w:rFonts w:eastAsiaTheme="majorEastAsia"/>
        </w:rPr>
        <w:t>” The typical area covered by a genet can be determined by consulting scientific literature on a similar organism (as above, many estimates are available for corals and Populus), contacting an expert in that species or genus, which may include contacting an IUCN Specialist Group for that taxon or the IUCN Conservation Genetic Specialist Group</w:t>
      </w:r>
      <w:r w:rsidRPr="00ED7E61">
        <w:rPr>
          <w:rStyle w:val="eop"/>
          <w:rFonts w:asciiTheme="majorBidi" w:eastAsiaTheme="majorEastAsia" w:hAnsiTheme="majorBidi" w:cstheme="majorBidi"/>
          <w:color w:val="000000"/>
        </w:rPr>
        <w:t> </w:t>
      </w:r>
    </w:p>
    <w:p w14:paraId="23421048" w14:textId="64135779" w:rsidR="00756F0F" w:rsidRPr="00ED7E61" w:rsidRDefault="00756F0F" w:rsidP="00C81B0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i/>
          <w:iCs/>
          <w:color w:val="000000"/>
          <w:sz w:val="22"/>
          <w:szCs w:val="22"/>
          <w:lang w:val="en-GB"/>
        </w:rPr>
        <w:t>Step 3:</w:t>
      </w:r>
      <w:r w:rsidRPr="00ED7E61">
        <w:rPr>
          <w:rStyle w:val="normaltextrun"/>
          <w:rFonts w:asciiTheme="majorBidi" w:eastAsiaTheme="majorEastAsia" w:hAnsiTheme="majorBidi" w:cstheme="majorBidi"/>
          <w:i/>
          <w:iCs/>
          <w:color w:val="000000"/>
          <w:sz w:val="22"/>
          <w:szCs w:val="22"/>
          <w:lang w:val="en-GB"/>
        </w:rPr>
        <w:t xml:space="preserve"> Calculate the proportion of populations above the 500 N</w:t>
      </w:r>
      <w:r w:rsidRPr="00ED7E61">
        <w:rPr>
          <w:rStyle w:val="normaltextrun"/>
          <w:rFonts w:asciiTheme="majorBidi" w:eastAsiaTheme="majorEastAsia" w:hAnsiTheme="majorBidi" w:cstheme="majorBidi"/>
          <w:i/>
          <w:iCs/>
          <w:color w:val="000000"/>
          <w:sz w:val="22"/>
          <w:szCs w:val="22"/>
          <w:vertAlign w:val="subscript"/>
          <w:lang w:val="en-GB"/>
        </w:rPr>
        <w:t>e</w:t>
      </w:r>
      <w:r w:rsidRPr="00ED7E61">
        <w:rPr>
          <w:rStyle w:val="normaltextrun"/>
          <w:rFonts w:asciiTheme="majorBidi" w:eastAsiaTheme="majorEastAsia" w:hAnsiTheme="majorBidi" w:cstheme="majorBidi"/>
          <w:i/>
          <w:iCs/>
          <w:color w:val="000000"/>
          <w:sz w:val="22"/>
          <w:szCs w:val="22"/>
          <w:lang w:val="en-GB"/>
        </w:rPr>
        <w:t xml:space="preserve"> threshold. </w:t>
      </w:r>
      <w:r w:rsidRPr="00ED7E61">
        <w:rPr>
          <w:rStyle w:val="eop"/>
          <w:rFonts w:asciiTheme="majorBidi" w:eastAsiaTheme="majorEastAsia" w:hAnsiTheme="majorBidi" w:cstheme="majorBidi"/>
          <w:color w:val="000000"/>
          <w:sz w:val="22"/>
          <w:szCs w:val="22"/>
        </w:rPr>
        <w:t> </w:t>
      </w:r>
    </w:p>
    <w:p w14:paraId="463D94D2" w14:textId="39F9A30B" w:rsidR="00960CA6" w:rsidRPr="00ED7E61" w:rsidRDefault="00960CA6" w:rsidP="00B10F0C">
      <w:pPr>
        <w:pStyle w:val="CBDNormalNumber"/>
        <w:numPr>
          <w:ilvl w:val="0"/>
          <w:numId w:val="60"/>
        </w:numPr>
        <w:ind w:left="567" w:firstLine="0"/>
        <w:rPr>
          <w:rStyle w:val="normaltextrun"/>
          <w:rFonts w:eastAsiaTheme="majorEastAsia"/>
          <w:sz w:val="24"/>
          <w:szCs w:val="24"/>
          <w:lang w:val="en-CA"/>
        </w:rPr>
      </w:pPr>
      <w:r w:rsidRPr="00ED7E61">
        <w:rPr>
          <w:rStyle w:val="normaltextrun"/>
          <w:rFonts w:eastAsiaTheme="majorEastAsia"/>
        </w:rPr>
        <w:t xml:space="preserve">For each species, count the number of populations with Ne above 500 and the number with Ne below 500; these two added together should equal the total number of populations. For a given species, the indicator can be reported as a proportion (from 0 to 1) of all populations that are above 500, or in the form of a ratio </w:t>
      </w:r>
      <w:r w:rsidR="00C43C39">
        <w:rPr>
          <w:rStyle w:val="normaltextrun"/>
          <w:rFonts w:eastAsiaTheme="majorEastAsia"/>
        </w:rPr>
        <w:t>"</w:t>
      </w:r>
      <w:r w:rsidRPr="00FB1598">
        <w:rPr>
          <w:rStyle w:val="normaltextrun"/>
          <w:rFonts w:eastAsiaTheme="majorEastAsia"/>
          <w:i/>
          <w:iCs/>
        </w:rPr>
        <w:t>number of populations above 500</w:t>
      </w:r>
      <w:r w:rsidR="00C43C39">
        <w:rPr>
          <w:rStyle w:val="normaltextrun"/>
          <w:rFonts w:eastAsiaTheme="majorEastAsia"/>
        </w:rPr>
        <w:t>”</w:t>
      </w:r>
      <w:r w:rsidRPr="00ED7E61">
        <w:rPr>
          <w:rStyle w:val="normaltextrun"/>
          <w:rFonts w:eastAsiaTheme="majorEastAsia"/>
        </w:rPr>
        <w:t>:</w:t>
      </w:r>
      <w:r w:rsidR="00C43C39">
        <w:rPr>
          <w:rStyle w:val="normaltextrun"/>
          <w:rFonts w:eastAsiaTheme="majorEastAsia"/>
        </w:rPr>
        <w:t>”</w:t>
      </w:r>
      <w:r w:rsidRPr="00FB1598">
        <w:rPr>
          <w:rStyle w:val="normaltextrun"/>
          <w:rFonts w:eastAsiaTheme="majorEastAsia"/>
          <w:i/>
          <w:iCs/>
        </w:rPr>
        <w:t>total number of populations</w:t>
      </w:r>
      <w:r w:rsidRPr="00ED7E61">
        <w:rPr>
          <w:rStyle w:val="normaltextrun"/>
          <w:rFonts w:eastAsiaTheme="majorEastAsia"/>
        </w:rPr>
        <w:t>.</w:t>
      </w:r>
      <w:r w:rsidR="00C43C39">
        <w:rPr>
          <w:rStyle w:val="normaltextrun"/>
          <w:rFonts w:eastAsiaTheme="majorEastAsia"/>
        </w:rPr>
        <w:t>”</w:t>
      </w:r>
      <w:r w:rsidRPr="00ED7E61">
        <w:rPr>
          <w:rStyle w:val="normaltextrun"/>
          <w:rFonts w:eastAsiaTheme="majorEastAsia"/>
        </w:rPr>
        <w:t xml:space="preserve"> Recently extinct populations would have a size of 0 to avoid an increase in the indicator value when populations are lost. To obtain a country level indicator value across species in a given country or geographic location, a simple average of the proportion from Step 3 for all the relevant species should be performed. If taxonomic groups are not represented evenly, the indicator value is the mean of each taxonomic group’s means, which down-weights overly represented taxonomic groups, e.g. mammals. Additionally, when calculating the country wide indicator value across species, each species can be weighted by the proportion of its geographic range in the country, from 0 to 1, to reflect national responsibility, with full weight for endemic species​​. Transboundary/transnational populations can be weighted similarly (e.g. by the proportion of that population falling within the Parties borders). The indicator would range between 0 and 1 (with 1 being the desired state - all populations above an effective size of 500).</w:t>
      </w:r>
      <w:r w:rsidRPr="00ED7E61">
        <w:rPr>
          <w:rStyle w:val="normaltextrun"/>
        </w:rPr>
        <w:t> </w:t>
      </w:r>
    </w:p>
    <w:p w14:paraId="43830E7C" w14:textId="7BB0D6DD" w:rsidR="00960CA6" w:rsidRPr="00ED7E61" w:rsidRDefault="00960CA6" w:rsidP="00B10F0C">
      <w:pPr>
        <w:pStyle w:val="CBDNormalNumber"/>
        <w:numPr>
          <w:ilvl w:val="0"/>
          <w:numId w:val="60"/>
        </w:numPr>
        <w:ind w:left="567" w:firstLine="0"/>
        <w:rPr>
          <w:rStyle w:val="normaltextrun"/>
          <w:rFonts w:eastAsiaTheme="majorEastAsia"/>
        </w:rPr>
      </w:pPr>
      <w:r w:rsidRPr="00ED7E61">
        <w:rPr>
          <w:rStyle w:val="normaltextrun"/>
          <w:rFonts w:eastAsiaTheme="majorEastAsia"/>
        </w:rPr>
        <w:t xml:space="preserve">Equations for indicator calculation are given in </w:t>
      </w:r>
      <w:hyperlink r:id="rId205" w:tgtFrame="_blank" w:history="1">
        <w:r w:rsidRPr="00ED7E61">
          <w:rPr>
            <w:rStyle w:val="normaltextrun"/>
            <w:rFonts w:eastAsiaTheme="majorEastAsia"/>
          </w:rPr>
          <w:t>Hoban et al</w:t>
        </w:r>
        <w:r w:rsidR="00FF0D09">
          <w:rPr>
            <w:rStyle w:val="normaltextrun"/>
            <w:rFonts w:eastAsiaTheme="majorEastAsia"/>
          </w:rPr>
          <w:t>.</w:t>
        </w:r>
        <w:r w:rsidRPr="00ED7E61">
          <w:rPr>
            <w:rStyle w:val="normaltextrun"/>
            <w:rFonts w:eastAsiaTheme="majorEastAsia"/>
          </w:rPr>
          <w:t xml:space="preserve"> (2023b)</w:t>
        </w:r>
      </w:hyperlink>
      <w:r w:rsidRPr="00ED7E61">
        <w:rPr>
          <w:rStyle w:val="normaltextrun"/>
          <w:rFonts w:eastAsiaTheme="majorEastAsia"/>
        </w:rPr>
        <w:t>.</w:t>
      </w:r>
      <w:r w:rsidRPr="00ED7E61">
        <w:rPr>
          <w:rStyle w:val="normaltextrun"/>
        </w:rPr>
        <w:t> </w:t>
      </w:r>
    </w:p>
    <w:p w14:paraId="15CF8EDB" w14:textId="550FB943" w:rsidR="00960CA6" w:rsidRPr="00ED7E61" w:rsidRDefault="00960CA6" w:rsidP="00B10F0C">
      <w:pPr>
        <w:pStyle w:val="CBDNormalNumber"/>
        <w:numPr>
          <w:ilvl w:val="0"/>
          <w:numId w:val="60"/>
        </w:numPr>
        <w:ind w:left="567" w:firstLine="0"/>
        <w:rPr>
          <w:rStyle w:val="normaltextrun"/>
          <w:rFonts w:eastAsiaTheme="majorEastAsia"/>
        </w:rPr>
      </w:pPr>
      <w:r w:rsidRPr="00ED7E61">
        <w:rPr>
          <w:rStyle w:val="normaltextrun"/>
          <w:rFonts w:eastAsiaTheme="majorEastAsia"/>
        </w:rPr>
        <w:t>What to do if a population goes extinct? Any population that goes extinct after the country’s baseline year (each country is directed by the CBD to choose a baseline, which defaults to 2010-2020 but which may be adjusted to country context) is assigned an Nc and Ne of 0 and are therefore below Ne 500.  These populations must be retained in the calculation in order to avoid the perverse incentive to “</w:t>
      </w:r>
      <w:r w:rsidRPr="00FB1598">
        <w:rPr>
          <w:rStyle w:val="normaltextrun"/>
          <w:rFonts w:eastAsiaTheme="majorEastAsia"/>
          <w:i/>
          <w:iCs/>
        </w:rPr>
        <w:t>raise</w:t>
      </w:r>
      <w:r w:rsidRPr="00ED7E61">
        <w:rPr>
          <w:rStyle w:val="normaltextrun"/>
          <w:rFonts w:eastAsiaTheme="majorEastAsia"/>
        </w:rPr>
        <w:t>” the indicator value through population extinction</w:t>
      </w:r>
      <w:r w:rsidRPr="00ED7E61">
        <w:rPr>
          <w:rStyle w:val="normaltextrun"/>
        </w:rPr>
        <w:t> </w:t>
      </w:r>
    </w:p>
    <w:p w14:paraId="62828203" w14:textId="5743264A"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i/>
          <w:iCs/>
          <w:color w:val="000000"/>
          <w:sz w:val="22"/>
          <w:szCs w:val="22"/>
          <w:lang w:val="en-GB"/>
        </w:rPr>
        <w:t>Step 4</w:t>
      </w:r>
      <w:r w:rsidRPr="00ED7E61">
        <w:rPr>
          <w:rStyle w:val="normaltextrun"/>
          <w:rFonts w:asciiTheme="majorBidi" w:eastAsiaTheme="majorEastAsia" w:hAnsiTheme="majorBidi" w:cstheme="majorBidi"/>
          <w:i/>
          <w:iCs/>
          <w:color w:val="000000"/>
          <w:sz w:val="22"/>
          <w:szCs w:val="22"/>
          <w:lang w:val="en-GB"/>
        </w:rPr>
        <w:t>: Temporal change in the indicator can be calculated using multiple time point values of population size</w:t>
      </w:r>
      <w:r w:rsidRPr="00ED7E61">
        <w:rPr>
          <w:rStyle w:val="eop"/>
          <w:rFonts w:asciiTheme="majorBidi" w:eastAsiaTheme="majorEastAsia" w:hAnsiTheme="majorBidi" w:cstheme="majorBidi"/>
          <w:color w:val="000000"/>
          <w:sz w:val="22"/>
          <w:szCs w:val="22"/>
        </w:rPr>
        <w:t> </w:t>
      </w:r>
    </w:p>
    <w:p w14:paraId="43C2952A" w14:textId="3AE9BC5C" w:rsidR="00756F0F" w:rsidRPr="00ED7E61" w:rsidRDefault="00756F0F" w:rsidP="00B10F0C">
      <w:pPr>
        <w:pStyle w:val="CBDNormalNumber"/>
        <w:numPr>
          <w:ilvl w:val="0"/>
          <w:numId w:val="60"/>
        </w:numPr>
        <w:ind w:left="567" w:firstLine="0"/>
        <w:rPr>
          <w:rStyle w:val="normaltextrun"/>
          <w:rFonts w:eastAsiaTheme="majorEastAsia"/>
          <w:sz w:val="24"/>
          <w:szCs w:val="24"/>
          <w:lang w:val="en-CA"/>
        </w:rPr>
      </w:pPr>
      <w:r w:rsidRPr="00ED7E61">
        <w:rPr>
          <w:rStyle w:val="normaltextrun"/>
          <w:rFonts w:eastAsiaTheme="majorEastAsia"/>
        </w:rPr>
        <w:t>An important consideration is that calculating temporal change in the indicator requires the use of the same set of species at all time points, similar to the Red List Index (Bubb et al</w:t>
      </w:r>
      <w:r w:rsidR="00FF0D09">
        <w:rPr>
          <w:rStyle w:val="normaltextrun"/>
          <w:rFonts w:eastAsiaTheme="majorEastAsia"/>
        </w:rPr>
        <w:t>.</w:t>
      </w:r>
      <w:r w:rsidRPr="00ED7E61">
        <w:rPr>
          <w:rStyle w:val="normaltextrun"/>
          <w:rFonts w:eastAsiaTheme="majorEastAsia"/>
        </w:rPr>
        <w:t xml:space="preserve"> 2009, “</w:t>
      </w:r>
      <w:r w:rsidRPr="00FB1598">
        <w:rPr>
          <w:rStyle w:val="normaltextrun"/>
          <w:rFonts w:eastAsiaTheme="majorEastAsia"/>
          <w:i/>
          <w:iCs/>
        </w:rPr>
        <w:t>IUCN Red List index : guidance for national and regional use. Version 1.1</w:t>
      </w:r>
      <w:r w:rsidRPr="00ED7E61">
        <w:rPr>
          <w:rStyle w:val="normaltextrun"/>
          <w:rFonts w:eastAsiaTheme="majorEastAsia"/>
        </w:rPr>
        <w:t>”).  As a default guidance, all species used in the first time point should be included in the second</w:t>
      </w:r>
      <w:r w:rsidRPr="00ED7E61">
        <w:rPr>
          <w:rStyle w:val="normaltextrun"/>
        </w:rPr>
        <w:t> </w:t>
      </w:r>
    </w:p>
    <w:p w14:paraId="1AE15190" w14:textId="38F0A4DA" w:rsidR="00756F0F" w:rsidRPr="00ED7E61" w:rsidRDefault="00756F0F" w:rsidP="00B10F0C">
      <w:pPr>
        <w:pStyle w:val="CBDNormalNumber"/>
        <w:numPr>
          <w:ilvl w:val="0"/>
          <w:numId w:val="60"/>
        </w:numPr>
        <w:ind w:left="567" w:firstLine="0"/>
        <w:rPr>
          <w:rStyle w:val="normaltextrun"/>
          <w:rFonts w:eastAsiaTheme="majorEastAsia"/>
        </w:rPr>
      </w:pPr>
      <w:r w:rsidRPr="00ED7E61">
        <w:rPr>
          <w:rStyle w:val="normaltextrun"/>
          <w:rFonts w:eastAsiaTheme="majorEastAsia"/>
        </w:rPr>
        <w:t>However, the country may wish to change or add to the species lists over time (e.g. owing to taxonomic revisions, additional data sources, etc.). In such cases, countries can do one of the following:</w:t>
      </w:r>
      <w:r w:rsidRPr="00ED7E61">
        <w:rPr>
          <w:rStyle w:val="normaltextrun"/>
        </w:rPr>
        <w:t> </w:t>
      </w:r>
    </w:p>
    <w:p w14:paraId="5102CAF7"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Any species in which taxonomic revisions or data errors are identified to have impacted the indicator value, should be removed from both time points</w:t>
      </w:r>
      <w:r w:rsidRPr="00ED7E61">
        <w:rPr>
          <w:rStyle w:val="normaltextrun"/>
        </w:rPr>
        <w:t> </w:t>
      </w:r>
    </w:p>
    <w:p w14:paraId="733154C5"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Indicator values for any species affected by new knowledge or taxonomic changes can have their current and former indicator value retrospectively calculated.  In other words, the entity being evaluated in the current time point can be re-evaluated for its previous time point using the most up to date guidance and data available</w:t>
      </w:r>
      <w:r w:rsidRPr="00ED7E61">
        <w:rPr>
          <w:rStyle w:val="eop"/>
          <w:rFonts w:asciiTheme="majorBidi" w:eastAsiaTheme="majorEastAsia" w:hAnsiTheme="majorBidi" w:cstheme="majorBidi"/>
          <w:color w:val="000000"/>
        </w:rPr>
        <w:t> </w:t>
      </w:r>
    </w:p>
    <w:p w14:paraId="126EA3F7" w14:textId="1F646D94" w:rsidR="009A563F" w:rsidRPr="00ED7E61" w:rsidRDefault="00756F0F" w:rsidP="00B10F0C">
      <w:pPr>
        <w:pStyle w:val="CBDNormalNumber"/>
        <w:numPr>
          <w:ilvl w:val="0"/>
          <w:numId w:val="60"/>
        </w:numPr>
        <w:ind w:left="567" w:firstLine="0"/>
        <w:rPr>
          <w:rStyle w:val="normaltextrun"/>
          <w:rFonts w:eastAsiaTheme="majorEastAsia"/>
        </w:rPr>
      </w:pPr>
      <w:r w:rsidRPr="00ED7E61">
        <w:rPr>
          <w:rStyle w:val="normaltextrun"/>
          <w:rFonts w:eastAsiaTheme="majorEastAsia"/>
        </w:rPr>
        <w:t>In addition, it is anticipated that biodiversity monitoring capacity within countries will increase over time, and thus countries may wish to increase the number of species included in their indicator calculation, e.g. from 100 to 1</w:t>
      </w:r>
      <w:r w:rsidR="00050BB9">
        <w:rPr>
          <w:rStyle w:val="normaltextrun"/>
          <w:rFonts w:eastAsiaTheme="majorEastAsia"/>
        </w:rPr>
        <w:t>,</w:t>
      </w:r>
      <w:r w:rsidRPr="00ED7E61">
        <w:rPr>
          <w:rStyle w:val="normaltextrun"/>
          <w:rFonts w:eastAsiaTheme="majorEastAsia"/>
        </w:rPr>
        <w:t>000 species.  In such cases, the species being newly evaluated can have retrospective indicator calculations made, assuming historic data is available.​​ This highlights a broader opportunity, that such retrospective evaluation could extend indicator calculation into the past</w:t>
      </w:r>
      <w:r w:rsidRPr="00ED7E61">
        <w:rPr>
          <w:rStyle w:val="normaltextrun"/>
        </w:rPr>
        <w:t> </w:t>
      </w:r>
    </w:p>
    <w:p w14:paraId="0FE4535D" w14:textId="7776D323" w:rsidR="009A563F" w:rsidRPr="00ED7E61" w:rsidRDefault="00756F0F" w:rsidP="00B10F0C">
      <w:pPr>
        <w:pStyle w:val="CBDNormalNumber"/>
        <w:numPr>
          <w:ilvl w:val="0"/>
          <w:numId w:val="60"/>
        </w:numPr>
        <w:ind w:left="567" w:firstLine="0"/>
        <w:rPr>
          <w:rFonts w:asciiTheme="majorBidi" w:hAnsiTheme="majorBidi" w:cstheme="majorBidi"/>
        </w:rPr>
      </w:pPr>
      <w:r w:rsidRPr="00ED7E61">
        <w:rPr>
          <w:rStyle w:val="normaltextrun"/>
          <w:rFonts w:eastAsiaTheme="majorEastAsia"/>
        </w:rPr>
        <w:t xml:space="preserve">Temporal increases in the proportion of populations with Ne above 500 would indicate improvement in the maintenance of genetic diversity (on average slowing the rate of genetic erosion and eventually </w:t>
      </w:r>
      <w:r w:rsidR="00C43C39">
        <w:rPr>
          <w:rStyle w:val="normaltextrun"/>
          <w:rFonts w:eastAsiaTheme="majorEastAsia"/>
        </w:rPr>
        <w:t>“</w:t>
      </w:r>
      <w:r w:rsidRPr="00FB1598">
        <w:rPr>
          <w:rStyle w:val="normaltextrun"/>
          <w:rFonts w:eastAsiaTheme="majorEastAsia"/>
          <w:i/>
          <w:iCs/>
        </w:rPr>
        <w:t>bending the curve</w:t>
      </w:r>
      <w:r w:rsidR="00C43C39">
        <w:rPr>
          <w:rStyle w:val="normaltextrun"/>
          <w:rFonts w:eastAsiaTheme="majorEastAsia"/>
        </w:rPr>
        <w:t>”</w:t>
      </w:r>
      <w:r w:rsidRPr="00ED7E61">
        <w:rPr>
          <w:rStyle w:val="normaltextrun"/>
          <w:rFonts w:eastAsiaTheme="majorEastAsia"/>
        </w:rPr>
        <w:t xml:space="preserve"> such that genetic diversity is restored via natural processes of mutation, migration, etc.). Decreases would indicate worsening (accelerating rate of genetic erosion). Static values would indicate a stable state of the indicator (stable rate of genetic erosion - though not necessarily a halting of genetic erosion - it is only halted when Ne &gt;500).  The indicator is designed to be recalculated as new data are compiled, which in many species is a timescale of 2 to 5 years, thus the indicator would be calculated and reported on typically once every 4 years (fitting the timespan of CBD reporting).</w:t>
      </w:r>
      <w:r w:rsidRPr="00ED7E61">
        <w:rPr>
          <w:rStyle w:val="eop"/>
          <w:rFonts w:asciiTheme="majorBidi" w:eastAsiaTheme="majorEastAsia" w:hAnsiTheme="majorBidi" w:cstheme="majorBidi"/>
          <w:color w:val="000000"/>
        </w:rPr>
        <w:t> </w:t>
      </w:r>
    </w:p>
    <w:p w14:paraId="728312B4" w14:textId="77777777" w:rsidR="00756F0F" w:rsidRPr="00ED7E61" w:rsidRDefault="00756F0F" w:rsidP="00B10F0C">
      <w:pPr>
        <w:pStyle w:val="CBDNormalNumber"/>
        <w:numPr>
          <w:ilvl w:val="0"/>
          <w:numId w:val="60"/>
        </w:numPr>
        <w:ind w:left="567" w:firstLine="0"/>
        <w:rPr>
          <w:rFonts w:asciiTheme="majorBidi" w:hAnsiTheme="majorBidi" w:cstheme="majorBidi"/>
        </w:rPr>
      </w:pPr>
      <w:r w:rsidRPr="00ED7E61">
        <w:rPr>
          <w:rStyle w:val="normaltextrun"/>
          <w:rFonts w:asciiTheme="majorBidi" w:eastAsiaTheme="majorEastAsia" w:hAnsiTheme="majorBidi" w:cstheme="majorBidi"/>
          <w:i/>
          <w:iCs/>
          <w:color w:val="000000"/>
        </w:rPr>
        <w:t>Management based on the indicator</w:t>
      </w:r>
      <w:r w:rsidRPr="00ED7E61">
        <w:rPr>
          <w:rStyle w:val="normaltextrun"/>
          <w:rFonts w:asciiTheme="majorBidi" w:eastAsiaTheme="majorEastAsia" w:hAnsiTheme="majorBidi" w:cstheme="majorBidi"/>
          <w:color w:val="000000"/>
        </w:rPr>
        <w:t>: The indicator is designed for use in practical biodiversity management – not just for reporting to the CBD.  For example, it can be used for: raising alarm in regions or taxonomic groups with low indicator values, prioritizing which species and populations are most in need of management to halt genetic erosion, designing management strategies (e.g. reintroduction, population supplementation), setting achievable goals, tracking the consequences or effectiveness of management (e.g. if the indicator value improves), and communicating to the public about genetic diversity conservation.</w:t>
      </w:r>
      <w:r w:rsidRPr="00ED7E61">
        <w:rPr>
          <w:rStyle w:val="eop"/>
          <w:rFonts w:asciiTheme="majorBidi" w:eastAsiaTheme="majorEastAsia" w:hAnsiTheme="majorBidi" w:cstheme="majorBidi"/>
          <w:color w:val="000000"/>
        </w:rPr>
        <w:t> </w:t>
      </w:r>
    </w:p>
    <w:p w14:paraId="2971723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F3EB818" w14:textId="3685EB58" w:rsidR="009A563F" w:rsidRPr="00ED7E61" w:rsidRDefault="00960CA6" w:rsidP="00B10F0C">
      <w:pPr>
        <w:pStyle w:val="CBDNormalNumber"/>
        <w:numPr>
          <w:ilvl w:val="0"/>
          <w:numId w:val="60"/>
        </w:numPr>
        <w:ind w:left="567" w:firstLine="0"/>
        <w:rPr>
          <w:rStyle w:val="normaltextrun"/>
          <w:rFonts w:eastAsiaTheme="majorEastAsia"/>
          <w:color w:val="000000"/>
          <w:sz w:val="24"/>
          <w:szCs w:val="24"/>
          <w:lang w:val="en-CA"/>
        </w:rPr>
      </w:pPr>
      <w:r w:rsidRPr="00ED7E61">
        <w:rPr>
          <w:rStyle w:val="normaltextrun"/>
          <w:rFonts w:asciiTheme="majorBidi" w:eastAsiaTheme="majorEastAsia" w:hAnsiTheme="majorBidi" w:cstheme="majorBidi"/>
          <w:color w:val="000000"/>
        </w:rPr>
        <w:t>In most cases, the indicator will be calculated using a transformation of census size (Nc), though analysis of DNA data can also be used to obtain Ne and assess if Ne &gt;500. The guidance manual (see Mastretta-Yanes et al</w:t>
      </w:r>
      <w:r w:rsidR="00FF0D09">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2024; </w:t>
      </w:r>
      <w:hyperlink r:id="rId206" w:tgtFrame="_blank" w:history="1">
        <w:r w:rsidRPr="00ED7E61">
          <w:rPr>
            <w:rStyle w:val="normaltextrun"/>
            <w:rFonts w:asciiTheme="majorBidi" w:eastAsiaTheme="majorEastAsia" w:hAnsiTheme="majorBidi" w:cstheme="majorBidi"/>
            <w:color w:val="000000"/>
          </w:rPr>
          <w:t>Hoban et al</w:t>
        </w:r>
        <w:r w:rsidR="00FF0D09">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(2023b)</w:t>
        </w:r>
      </w:hyperlink>
      <w:r w:rsidRPr="00ED7E61">
        <w:rPr>
          <w:rStyle w:val="normaltextrun"/>
          <w:rFonts w:asciiTheme="majorBidi" w:eastAsiaTheme="majorEastAsia" w:hAnsiTheme="majorBidi" w:cstheme="majorBidi"/>
          <w:color w:val="000000"/>
        </w:rPr>
        <w:t xml:space="preserve"> and Supporting Information therein, and </w:t>
      </w:r>
      <w:hyperlink r:id="rId207" w:tgtFrame="_blank" w:history="1">
        <w:r w:rsidRPr="00ED7E61">
          <w:rPr>
            <w:rStyle w:val="normaltextrun"/>
            <w:rFonts w:asciiTheme="majorBidi" w:eastAsiaTheme="majorEastAsia" w:hAnsiTheme="majorBidi" w:cstheme="majorBidi"/>
            <w:color w:val="000000"/>
          </w:rPr>
          <w:t>Hoban et al</w:t>
        </w:r>
        <w:r w:rsidR="00FF0D09">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2023c</w:t>
        </w:r>
      </w:hyperlink>
      <w:r w:rsidRPr="00ED7E61">
        <w:rPr>
          <w:rStyle w:val="normaltextrun"/>
          <w:rFonts w:asciiTheme="majorBidi" w:eastAsiaTheme="majorEastAsia" w:hAnsiTheme="majorBidi" w:cstheme="majorBidi"/>
          <w:color w:val="000000"/>
        </w:rPr>
        <w:t xml:space="preserve">) details other methods of calculating the indicator when other data are available. The census size of local populations of target species can be obtained from a variety of sources, including national biodiversity monitoring databases and programs, endangered species management and recovery plans, detailed population information contained in some Red List assessments, collaboration with local knowledge holders, citizen science, and expert consultation. Detailed guidance on these calculations and a variety of example calculations is available now and will be revised following input from Parties as more Parties undertake this indicator.  Demonstrations of the data collection can also be seen in a recent </w:t>
      </w:r>
      <w:hyperlink r:id="rId208" w:tgtFrame="_blank" w:history="1">
        <w:r w:rsidRPr="00ED7E61">
          <w:rPr>
            <w:rStyle w:val="normaltextrun"/>
            <w:rFonts w:asciiTheme="majorBidi" w:eastAsiaTheme="majorEastAsia" w:hAnsiTheme="majorBidi" w:cstheme="majorBidi"/>
            <w:color w:val="000000"/>
          </w:rPr>
          <w:t>CBD webinar</w:t>
        </w:r>
      </w:hyperlink>
      <w:r w:rsidRPr="00ED7E61">
        <w:rPr>
          <w:rStyle w:val="normaltextrun"/>
          <w:rFonts w:asciiTheme="majorBidi" w:eastAsiaTheme="majorEastAsia" w:hAnsiTheme="majorBidi" w:cstheme="majorBidi"/>
          <w:color w:val="000000"/>
        </w:rPr>
        <w:t>.</w:t>
      </w:r>
      <w:r w:rsidRPr="00ED7E61">
        <w:rPr>
          <w:rStyle w:val="normaltextrun"/>
          <w:color w:val="000000"/>
        </w:rPr>
        <w:t> </w:t>
      </w:r>
    </w:p>
    <w:p w14:paraId="630F3272" w14:textId="3080232A" w:rsidR="00960CA6" w:rsidRPr="00ED7E61" w:rsidRDefault="00960CA6" w:rsidP="00B10F0C">
      <w:pPr>
        <w:pStyle w:val="CBDNormalNumber"/>
        <w:numPr>
          <w:ilvl w:val="0"/>
          <w:numId w:val="60"/>
        </w:numPr>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The full data collection form can be found online here: </w:t>
      </w:r>
      <w:hyperlink r:id="rId209" w:tgtFrame="_blank" w:history="1">
        <w:r w:rsidRPr="00ED7E61">
          <w:rPr>
            <w:rStyle w:val="normaltextrun"/>
            <w:rFonts w:asciiTheme="majorBidi" w:eastAsiaTheme="majorEastAsia" w:hAnsiTheme="majorBidi" w:cstheme="majorBidi"/>
            <w:color w:val="0563C1"/>
            <w:u w:val="single"/>
          </w:rPr>
          <w:t>https://ee.kobotoolbox.org/preview/2KDHEWrb</w:t>
        </w:r>
      </w:hyperlink>
      <w:r w:rsidRPr="00ED7E61">
        <w:rPr>
          <w:rStyle w:val="normaltextrun"/>
          <w:rFonts w:asciiTheme="majorBidi" w:eastAsiaTheme="majorEastAsia" w:hAnsiTheme="majorBidi" w:cstheme="majorBidi"/>
        </w:rPr>
        <w:t>.  An online data collection form using Kobotoolb</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ox (www.kobotoolbox.org/) have been created and a guidance document (Mastretta-Yanes et al (2024) and its online documentation at </w:t>
      </w:r>
      <w:hyperlink r:id="rId210" w:history="1">
        <w:r w:rsidRPr="00ED7E61">
          <w:rPr>
            <w:rStyle w:val="Hyperlink"/>
            <w:rFonts w:asciiTheme="majorBidi" w:eastAsiaTheme="majorEastAsia" w:hAnsiTheme="majorBidi" w:cstheme="majorBidi"/>
          </w:rPr>
          <w:t>https://ccgenetics.github.io/guidelines-genetic-diversity-indicators/</w:t>
        </w:r>
      </w:hyperlink>
      <w:r w:rsidRPr="00ED7E61">
        <w:rPr>
          <w:rStyle w:val="normaltextrun"/>
          <w:rFonts w:asciiTheme="majorBidi" w:eastAsiaTheme="majorEastAsia" w:hAnsiTheme="majorBidi" w:cstheme="majorBidi"/>
        </w:rPr>
        <w:t xml:space="preserve"> for anyone to use. Kobo is a free and flexible data collection tool commonly used in social, environmental and epidemiological research.  The data form adapts to the type of fundamental source data available and can accommodate qualitative and quantitative data and different levels of certainty.  </w:t>
      </w:r>
      <w:r w:rsidRPr="00ED7E61">
        <w:rPr>
          <w:rStyle w:val="eop"/>
          <w:rFonts w:asciiTheme="majorBidi" w:eastAsiaTheme="majorEastAsia" w:hAnsiTheme="majorBidi" w:cstheme="majorBidi"/>
        </w:rPr>
        <w:t> </w:t>
      </w:r>
    </w:p>
    <w:p w14:paraId="5B99486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0D8284F9" w14:textId="71F098E6" w:rsidR="00756F0F" w:rsidRPr="00B3383B" w:rsidRDefault="00960CA6" w:rsidP="00B10F0C">
      <w:pPr>
        <w:pStyle w:val="CBDNormalNumber"/>
        <w:numPr>
          <w:ilvl w:val="0"/>
          <w:numId w:val="60"/>
        </w:numPr>
        <w:ind w:left="567" w:firstLine="0"/>
        <w:rPr>
          <w:rFonts w:asciiTheme="majorBidi" w:hAnsiTheme="majorBidi" w:cstheme="majorBidi"/>
        </w:rPr>
      </w:pPr>
      <w:r w:rsidRPr="00ED7E61">
        <w:rPr>
          <w:rStyle w:val="normaltextrun"/>
          <w:rFonts w:asciiTheme="majorBidi" w:eastAsiaTheme="majorEastAsia" w:hAnsiTheme="majorBidi" w:cstheme="majorBidi"/>
        </w:rPr>
        <w:t>Parties can directly calculate country-level values of this indicator by leveraging national data, expertise and biodiversity assessments, and by following the published guidance manual (Mastretta-Yanes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(2024) and its online documentation at https://ccgenetics.github.io/guidelines-genetic-diversity-indicators/). The method has been peer reviewed in several publications (see list of References below, or </w:t>
      </w:r>
      <w:hyperlink r:id="rId211" w:history="1">
        <w:r w:rsidR="00FF0D09" w:rsidRPr="00F233CE">
          <w:rPr>
            <w:rStyle w:val="Hyperlink"/>
            <w:rFonts w:asciiTheme="majorBidi" w:eastAsiaTheme="majorEastAsia" w:hAnsiTheme="majorBidi" w:cstheme="majorBidi"/>
          </w:rPr>
          <w:t>https://www.coalitionforconservationgenetics.org/publications</w:t>
        </w:r>
      </w:hyperlink>
      <w:r w:rsidRPr="00ED7E61">
        <w:rPr>
          <w:rStyle w:val="normaltextrun"/>
          <w:rFonts w:asciiTheme="majorBidi" w:eastAsiaTheme="majorEastAsia" w:hAnsiTheme="majorBidi" w:cstheme="majorBidi"/>
        </w:rPr>
        <w:t>), and a detailed methodology has been made available (see Mastretta-Yanes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2024, and Supporting Information for </w:t>
      </w:r>
      <w:hyperlink r:id="rId212" w:tgtFrame="_blank" w:history="1">
        <w:r w:rsidRPr="00ED7E61">
          <w:rPr>
            <w:rStyle w:val="normaltextrun"/>
            <w:rFonts w:asciiTheme="majorBidi" w:eastAsiaTheme="majorEastAsia" w:hAnsiTheme="majorBidi" w:cstheme="majorBidi"/>
          </w:rPr>
          <w:t>Hoban et al. 2023b</w:t>
        </w:r>
      </w:hyperlink>
      <w:r w:rsidRPr="00ED7E61">
        <w:rPr>
          <w:rStyle w:val="normaltextrun"/>
          <w:rFonts w:asciiTheme="majorBidi" w:eastAsiaTheme="majorEastAsia" w:hAnsiTheme="majorBidi" w:cstheme="majorBidi"/>
        </w:rPr>
        <w:t xml:space="preserve"> and  </w:t>
      </w:r>
      <w:hyperlink r:id="rId213" w:tgtFrame="_blank" w:history="1">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2023c</w:t>
        </w:r>
      </w:hyperlink>
      <w:r w:rsidRPr="00ED7E61">
        <w:rPr>
          <w:rStyle w:val="normaltextrun"/>
          <w:rFonts w:asciiTheme="majorBidi" w:eastAsiaTheme="majorEastAsia" w:hAnsiTheme="majorBidi" w:cstheme="majorBidi"/>
        </w:rPr>
        <w:t>)</w:t>
      </w:r>
      <w:r w:rsidRPr="00ED7E61">
        <w:rPr>
          <w:rStyle w:val="normaltextrun"/>
        </w:rPr>
        <w:t> </w:t>
      </w:r>
    </w:p>
    <w:p w14:paraId="6333EC2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lang w:val="en-GB"/>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lang w:val="en-GB"/>
        </w:rPr>
        <w:t> </w:t>
      </w:r>
    </w:p>
    <w:p w14:paraId="6E77994E" w14:textId="248ECD1F" w:rsidR="009A563F" w:rsidRPr="00ED7E61" w:rsidRDefault="00960CA6" w:rsidP="00B10F0C">
      <w:pPr>
        <w:pStyle w:val="CBDNormalNumber"/>
        <w:numPr>
          <w:ilvl w:val="0"/>
          <w:numId w:val="60"/>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As explained in </w:t>
      </w:r>
      <w:hyperlink r:id="rId214" w:tgtFrame="_blank" w:history="1">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(2023b)</w:t>
        </w:r>
      </w:hyperlink>
      <w:r w:rsidRPr="00ED7E61">
        <w:rPr>
          <w:rStyle w:val="normaltextrun"/>
          <w:rFonts w:asciiTheme="majorBidi" w:eastAsiaTheme="majorEastAsia" w:hAnsiTheme="majorBidi" w:cstheme="majorBidi"/>
        </w:rPr>
        <w:t xml:space="preserve"> the indicator is flexible and adaptable to the data sources already existing in each country.  Examples from different countries illustrate the diverse options available. Recovery plans for dozens to thousands of threatened species are mandated by national legislation (Australia- </w:t>
      </w:r>
      <w:hyperlink r:id="rId215" w:tgtFrame="_blank" w:history="1">
        <w:r w:rsidRPr="00ED7E61">
          <w:rPr>
            <w:rStyle w:val="normaltextrun"/>
            <w:rFonts w:asciiTheme="majorBidi" w:eastAsiaTheme="majorEastAsia" w:hAnsiTheme="majorBidi" w:cstheme="majorBidi"/>
          </w:rPr>
          <w:t>the Environment Protection and Biodiversity Conservation Act</w:t>
        </w:r>
      </w:hyperlink>
      <w:r w:rsidRPr="00ED7E61">
        <w:rPr>
          <w:rStyle w:val="normaltextrun"/>
          <w:rFonts w:asciiTheme="majorBidi" w:eastAsiaTheme="majorEastAsia" w:hAnsiTheme="majorBidi" w:cstheme="majorBidi"/>
        </w:rPr>
        <w:t xml:space="preserve">; South Africa- </w:t>
      </w:r>
      <w:hyperlink r:id="rId216" w:tgtFrame="_blank" w:history="1">
        <w:r w:rsidRPr="00ED7E61">
          <w:rPr>
            <w:rStyle w:val="normaltextrun"/>
            <w:rFonts w:asciiTheme="majorBidi" w:eastAsiaTheme="majorEastAsia" w:hAnsiTheme="majorBidi" w:cstheme="majorBidi"/>
          </w:rPr>
          <w:t>Biodiversity Management Plans</w:t>
        </w:r>
      </w:hyperlink>
      <w:r w:rsidRPr="00ED7E61">
        <w:rPr>
          <w:rStyle w:val="normaltextrun"/>
          <w:rFonts w:asciiTheme="majorBidi" w:eastAsiaTheme="majorEastAsia" w:hAnsiTheme="majorBidi" w:cstheme="majorBidi"/>
        </w:rPr>
        <w:t xml:space="preserve">; USA- </w:t>
      </w:r>
      <w:hyperlink r:id="rId217" w:tgtFrame="_blank" w:history="1">
        <w:r w:rsidRPr="00ED7E61">
          <w:rPr>
            <w:rStyle w:val="normaltextrun"/>
            <w:rFonts w:asciiTheme="majorBidi" w:eastAsiaTheme="majorEastAsia" w:hAnsiTheme="majorBidi" w:cstheme="majorBidi"/>
          </w:rPr>
          <w:t>the Endangered Species Act</w:t>
        </w:r>
      </w:hyperlink>
      <w:r w:rsidRPr="00ED7E61">
        <w:rPr>
          <w:rStyle w:val="normaltextrun"/>
          <w:rFonts w:asciiTheme="majorBidi" w:eastAsiaTheme="majorEastAsia" w:hAnsiTheme="majorBidi" w:cstheme="majorBidi"/>
        </w:rPr>
        <w:t xml:space="preserve">). These documents typically detail species biology and demographic status. In Japan, many threatened vascular plants have been surveyed for census size for over two decades by the Japanese Society for Plant Taxonomy, while for common trees, statistical estimates for population size were estimated from vegetation survey data. In Mexico, taxonomic experts who recently helped validate distribution models for crop wild relatives were consulted for indicator values. In France, Belgium, UK and Sweden, much biodiversity data from experts, local knowledge holders, and diverse sources are collected in easy to access web-based portals (France- INPN, Belgium - </w:t>
      </w:r>
      <w:hyperlink r:id="rId218" w:tgtFrame="_blank" w:history="1">
        <w:r w:rsidRPr="00ED7E61">
          <w:rPr>
            <w:rStyle w:val="normaltextrun"/>
            <w:rFonts w:asciiTheme="majorBidi" w:eastAsiaTheme="majorEastAsia" w:hAnsiTheme="majorBidi" w:cstheme="majorBidi"/>
          </w:rPr>
          <w:t>www.observations.be</w:t>
        </w:r>
      </w:hyperlink>
      <w:r w:rsidRPr="00ED7E61">
        <w:rPr>
          <w:rStyle w:val="normaltextrun"/>
          <w:rFonts w:asciiTheme="majorBidi" w:eastAsiaTheme="majorEastAsia" w:hAnsiTheme="majorBidi" w:cstheme="majorBidi"/>
        </w:rPr>
        <w:t xml:space="preserve">, UK- </w:t>
      </w:r>
      <w:hyperlink r:id="rId219" w:tgtFrame="_blank" w:history="1">
        <w:r w:rsidRPr="00ED7E61">
          <w:rPr>
            <w:rStyle w:val="normaltextrun"/>
            <w:rFonts w:asciiTheme="majorBidi" w:eastAsiaTheme="majorEastAsia" w:hAnsiTheme="majorBidi" w:cstheme="majorBidi"/>
          </w:rPr>
          <w:t>https://nbnatlas.org/</w:t>
        </w:r>
      </w:hyperlink>
      <w:r w:rsidRPr="00ED7E61">
        <w:rPr>
          <w:rStyle w:val="normaltextrun"/>
          <w:rFonts w:asciiTheme="majorBidi" w:eastAsiaTheme="majorEastAsia" w:hAnsiTheme="majorBidi" w:cstheme="majorBidi"/>
        </w:rPr>
        <w:t>, Sweden-  Swedish Biodiversity Data Infrastructure (SBDI)- https://biodiversitydata.se). In Colombia, the Biodiversity Information System (SIB) repository compiles species surveys from throughout the country (</w:t>
      </w:r>
      <w:hyperlink r:id="rId220" w:tgtFrame="_blank" w:history="1">
        <w:r w:rsidRPr="00ED7E61">
          <w:rPr>
            <w:rStyle w:val="normaltextrun"/>
            <w:rFonts w:asciiTheme="majorBidi" w:eastAsiaTheme="majorEastAsia" w:hAnsiTheme="majorBidi" w:cstheme="majorBidi"/>
          </w:rPr>
          <w:t>https://biodiversidad.co/</w:t>
        </w:r>
      </w:hyperlink>
      <w:r w:rsidRPr="00ED7E61">
        <w:rPr>
          <w:rStyle w:val="normaltextrun"/>
          <w:rFonts w:asciiTheme="majorBidi" w:eastAsiaTheme="majorEastAsia" w:hAnsiTheme="majorBidi" w:cstheme="majorBidi"/>
        </w:rPr>
        <w:t>), which is mandated by many public and private organizations. These data are reviewed by national experts for validation and used to create freely available species distribution models (</w:t>
      </w:r>
      <w:hyperlink r:id="rId221" w:tgtFrame="_blank" w:history="1">
        <w:r w:rsidRPr="00ED7E61">
          <w:rPr>
            <w:rStyle w:val="normaltextrun"/>
            <w:rFonts w:asciiTheme="majorBidi" w:eastAsiaTheme="majorEastAsia" w:hAnsiTheme="majorBidi" w:cstheme="majorBidi"/>
          </w:rPr>
          <w:t>http://biomodelos.humboldt.org.co/</w:t>
        </w:r>
      </w:hyperlink>
      <w:r w:rsidRPr="00ED7E61">
        <w:rPr>
          <w:rStyle w:val="normaltextrun"/>
          <w:rFonts w:asciiTheme="majorBidi" w:eastAsiaTheme="majorEastAsia" w:hAnsiTheme="majorBidi" w:cstheme="majorBidi"/>
        </w:rPr>
        <w:t>), and for conservation prioritization.</w:t>
      </w:r>
      <w:r w:rsidRPr="00ED7E61">
        <w:rPr>
          <w:rStyle w:val="normaltextrun"/>
        </w:rPr>
        <w:t> For some domesticated species, the UN Food and Agriculture Organization the Domestic Animal Diversity Information System (DAD-IS) has estimates of population sizes of numerous breeds.</w:t>
      </w:r>
    </w:p>
    <w:p w14:paraId="48E06E0C" w14:textId="088D1761" w:rsidR="00960CA6" w:rsidRPr="00ED7E61" w:rsidRDefault="00960CA6" w:rsidP="00B10F0C">
      <w:pPr>
        <w:pStyle w:val="CBDNormalNumber"/>
        <w:numPr>
          <w:ilvl w:val="0"/>
          <w:numId w:val="60"/>
        </w:numPr>
        <w:ind w:left="567" w:firstLine="0"/>
        <w:rPr>
          <w:rFonts w:asciiTheme="majorBidi" w:hAnsiTheme="majorBidi" w:cstheme="majorBidi"/>
        </w:rPr>
      </w:pPr>
      <w:r w:rsidRPr="00ED7E61">
        <w:rPr>
          <w:rStyle w:val="normaltextrun"/>
          <w:rFonts w:asciiTheme="majorBidi" w:eastAsiaTheme="majorEastAsia" w:hAnsiTheme="majorBidi" w:cstheme="majorBidi"/>
        </w:rPr>
        <w:t>GEO BON, through its working groups, and national and thematic Biodiversity Observation Networks, and the Coalition for Conservation Genetics, is able to provide capacity support, training and consultation. Considering that currently the workflow is manual rather than fully automated, the indicator would be calculated for a relatively small number of representative species per country. This may range from dozens on the low end to 1</w:t>
      </w:r>
      <w:r w:rsidR="00050BB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000 or more on the high end, but for many countries will be on the scale of 100 species. As noted above, data sources include national biodiversity monitoring databases and programs, citizen science, local knowledge, endangered species management and recovery plans, detailed population information contained in some Red List assessments, and expert consultation. Detailed guidance on these calculations and a variety of example calculations is now available (see References).</w:t>
      </w:r>
      <w:r w:rsidRPr="00ED7E61">
        <w:rPr>
          <w:rStyle w:val="eop"/>
          <w:rFonts w:asciiTheme="majorBidi" w:eastAsiaTheme="majorEastAsia" w:hAnsiTheme="majorBidi" w:cstheme="majorBidi"/>
        </w:rPr>
        <w:t> </w:t>
      </w:r>
    </w:p>
    <w:p w14:paraId="68139B6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54CFD891" w14:textId="56AC9F0C" w:rsidR="00960CA6" w:rsidRPr="00ED7E61" w:rsidRDefault="00960CA6" w:rsidP="00B10F0C">
      <w:pPr>
        <w:pStyle w:val="CBDNormalNumber"/>
        <w:numPr>
          <w:ilvl w:val="0"/>
          <w:numId w:val="60"/>
        </w:numPr>
        <w:ind w:left="567" w:firstLine="0"/>
        <w:rPr>
          <w:rStyle w:val="normaltextrun"/>
          <w:sz w:val="24"/>
          <w:szCs w:val="24"/>
          <w:lang w:val="en-CA"/>
        </w:rPr>
      </w:pPr>
      <w:r w:rsidRPr="00ED7E61">
        <w:rPr>
          <w:rStyle w:val="normaltextrun"/>
        </w:rPr>
        <w:t>Ready for deployment and updated approximately every four years.  The guidance manual is available now and an indicator is being calculated, see Mastretta-Yanes et al</w:t>
      </w:r>
      <w:r w:rsidR="00FF0D09">
        <w:rPr>
          <w:rStyle w:val="normaltextrun"/>
        </w:rPr>
        <w:t>.</w:t>
      </w:r>
      <w:r w:rsidRPr="00ED7E61">
        <w:rPr>
          <w:rStyle w:val="normaltextrun"/>
        </w:rPr>
        <w:t xml:space="preserve"> (2024), its Online documentation, and </w:t>
      </w:r>
      <w:hyperlink r:id="rId222" w:tgtFrame="_blank" w:history="1">
        <w:r w:rsidRPr="00ED7E61">
          <w:rPr>
            <w:rStyle w:val="normaltextrun"/>
          </w:rPr>
          <w:t>Hoban et al</w:t>
        </w:r>
        <w:r w:rsidR="00FF0D09">
          <w:rPr>
            <w:rStyle w:val="normaltextrun"/>
          </w:rPr>
          <w:t>.</w:t>
        </w:r>
        <w:r w:rsidRPr="00ED7E61">
          <w:rPr>
            <w:rStyle w:val="normaltextrun"/>
          </w:rPr>
          <w:t xml:space="preserve"> (2023b)</w:t>
        </w:r>
      </w:hyperlink>
      <w:r w:rsidRPr="00ED7E61">
        <w:rPr>
          <w:rStyle w:val="normaltextrun"/>
        </w:rPr>
        <w:t>. </w:t>
      </w:r>
    </w:p>
    <w:p w14:paraId="44B40639" w14:textId="0431A2D0" w:rsidR="00960CA6" w:rsidRPr="00ED7E61" w:rsidRDefault="00960CA6" w:rsidP="00B10F0C">
      <w:pPr>
        <w:pStyle w:val="CBDNormalNumber"/>
        <w:numPr>
          <w:ilvl w:val="0"/>
          <w:numId w:val="60"/>
        </w:numPr>
        <w:ind w:left="567" w:firstLine="0"/>
        <w:rPr>
          <w:rStyle w:val="normaltextrun"/>
        </w:rPr>
      </w:pPr>
      <w:r w:rsidRPr="00ED7E61">
        <w:rPr>
          <w:rStyle w:val="normaltextrun"/>
        </w:rPr>
        <w:t>Genetic diversity indicators have been demonstrated as feasible and affordable including in middle income and megadiverse countries. They have been calculated for &gt;900 species and thousands of populations in nine countries: Australia, Belgium, Colombia, France, Japan, Mexico, South Africa, Sweden, and USA (</w:t>
      </w:r>
      <w:r w:rsidR="00FB33CD">
        <w:rPr>
          <w:rStyle w:val="normaltextrun"/>
        </w:rPr>
        <w:t>f</w:t>
      </w:r>
      <w:r w:rsidRPr="00ED7E61">
        <w:rPr>
          <w:rStyle w:val="normaltextrun"/>
        </w:rPr>
        <w:t xml:space="preserve">igure </w:t>
      </w:r>
      <w:r w:rsidR="00FB33CD">
        <w:rPr>
          <w:rStyle w:val="normaltextrun"/>
        </w:rPr>
        <w:t>III</w:t>
      </w:r>
      <w:r w:rsidRPr="00ED7E61">
        <w:rPr>
          <w:rStyle w:val="normaltextrun"/>
        </w:rPr>
        <w:t>). Data are available and can be compiled quickly. Results from the nine-country deployment highlight that most populations are very small and in danger of imminent genetic losses. Early use of these indicators shows we are at a threshold of dramatic genetic diversity decline unless swift action is taken, guided by genetic diversity indicators.  </w:t>
      </w:r>
    </w:p>
    <w:p w14:paraId="5CC99656"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11DEB835" w14:textId="77777777" w:rsidR="00956C65" w:rsidRPr="00ED7E61" w:rsidRDefault="00956C65" w:rsidP="00395866">
      <w:pPr>
        <w:pStyle w:val="paragraph"/>
        <w:spacing w:before="0" w:beforeAutospacing="0" w:after="0" w:afterAutospacing="0"/>
        <w:jc w:val="center"/>
        <w:textAlignment w:val="baseline"/>
        <w:rPr>
          <w:rStyle w:val="normaltextrun"/>
          <w:rFonts w:asciiTheme="majorBidi" w:eastAsiaTheme="majorEastAsia" w:hAnsiTheme="majorBidi" w:cstheme="majorBidi"/>
          <w:b/>
          <w:bCs/>
          <w:i/>
          <w:iCs/>
          <w:sz w:val="22"/>
          <w:szCs w:val="22"/>
          <w:lang w:val="en-GB"/>
        </w:rPr>
      </w:pPr>
      <w:r w:rsidRPr="00ED7E61">
        <w:rPr>
          <w:rFonts w:asciiTheme="majorBidi" w:hAnsiTheme="majorBidi" w:cstheme="majorBidi"/>
          <w:noProof/>
          <w:sz w:val="22"/>
          <w:szCs w:val="22"/>
          <w:lang w:val="fr-FR" w:eastAsia="fr-FR"/>
        </w:rPr>
        <w:drawing>
          <wp:inline distT="0" distB="0" distL="0" distR="0" wp14:anchorId="2B560FE9" wp14:editId="28427AB1">
            <wp:extent cx="3263900" cy="2377510"/>
            <wp:effectExtent l="0" t="0" r="0" b="3810"/>
            <wp:docPr id="586050492" name="Picture 2" descr="A graph showing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50492" name="Picture 2" descr="A graph showing different colors and sizes&#10;&#10;Description automatically generated"/>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75661" cy="2386077"/>
                    </a:xfrm>
                    <a:prstGeom prst="rect">
                      <a:avLst/>
                    </a:prstGeom>
                    <a:noFill/>
                    <a:ln>
                      <a:noFill/>
                    </a:ln>
                  </pic:spPr>
                </pic:pic>
              </a:graphicData>
            </a:graphic>
          </wp:inline>
        </w:drawing>
      </w:r>
    </w:p>
    <w:p w14:paraId="4C586376" w14:textId="0F5C28AE" w:rsidR="00956C65" w:rsidRPr="00ED7E61" w:rsidRDefault="00756F0F" w:rsidP="00395866">
      <w:pPr>
        <w:pStyle w:val="paragraph"/>
        <w:spacing w:before="0" w:beforeAutospacing="0" w:after="0" w:afterAutospacing="0"/>
        <w:textAlignment w:val="baseline"/>
        <w:rPr>
          <w:rStyle w:val="normaltextrun"/>
          <w:rFonts w:asciiTheme="majorBidi" w:eastAsiaTheme="majorEastAsia" w:hAnsiTheme="majorBidi" w:cstheme="majorBidi"/>
          <w:sz w:val="22"/>
          <w:szCs w:val="22"/>
          <w:lang w:val="en-GB"/>
        </w:rPr>
      </w:pPr>
      <w:r w:rsidRPr="00B3383B">
        <w:rPr>
          <w:rStyle w:val="normaltextrun"/>
          <w:rFonts w:asciiTheme="majorBidi" w:eastAsiaTheme="majorEastAsia" w:hAnsiTheme="majorBidi" w:cstheme="majorBidi"/>
          <w:sz w:val="22"/>
          <w:szCs w:val="22"/>
          <w:lang w:val="en-GB"/>
        </w:rPr>
        <w:t xml:space="preserve">Figure </w:t>
      </w:r>
      <w:r w:rsidR="00FB33CD" w:rsidRPr="00B3383B">
        <w:rPr>
          <w:rStyle w:val="normaltextrun"/>
          <w:rFonts w:asciiTheme="majorBidi" w:eastAsiaTheme="majorEastAsia" w:hAnsiTheme="majorBidi" w:cstheme="majorBidi"/>
          <w:sz w:val="22"/>
          <w:szCs w:val="22"/>
          <w:lang w:val="en-GB"/>
        </w:rPr>
        <w:t>III</w:t>
      </w:r>
      <w:r w:rsidRPr="00ED7E61">
        <w:rPr>
          <w:rStyle w:val="normaltextrun"/>
          <w:rFonts w:asciiTheme="majorBidi" w:eastAsiaTheme="majorEastAsia" w:hAnsiTheme="majorBidi" w:cstheme="majorBidi"/>
          <w:b/>
          <w:bCs/>
          <w:i/>
          <w:iCs/>
          <w:sz w:val="22"/>
          <w:szCs w:val="22"/>
          <w:lang w:val="en-GB"/>
        </w:rPr>
        <w:t xml:space="preserve"> </w:t>
      </w:r>
      <w:r w:rsidR="00FF6192">
        <w:rPr>
          <w:rStyle w:val="normaltextrun"/>
          <w:rFonts w:asciiTheme="majorBidi" w:eastAsiaTheme="majorEastAsia" w:hAnsiTheme="majorBidi" w:cstheme="majorBidi"/>
          <w:b/>
          <w:bCs/>
          <w:i/>
          <w:iCs/>
          <w:sz w:val="22"/>
          <w:szCs w:val="22"/>
          <w:lang w:val="en-GB"/>
        </w:rPr>
        <w:br/>
      </w:r>
      <w:r w:rsidRPr="00B3383B">
        <w:rPr>
          <w:rStyle w:val="normaltextrun"/>
          <w:rFonts w:asciiTheme="majorBidi" w:eastAsiaTheme="majorEastAsia" w:hAnsiTheme="majorBidi" w:cstheme="majorBidi"/>
          <w:b/>
          <w:bCs/>
          <w:sz w:val="22"/>
          <w:szCs w:val="22"/>
          <w:lang w:val="en-GB"/>
        </w:rPr>
        <w:t>Initial unpublished preliminary results of the first deployment of indicator A.4</w:t>
      </w:r>
      <w:r w:rsidRPr="00B3383B">
        <w:rPr>
          <w:rStyle w:val="eop"/>
          <w:rFonts w:asciiTheme="majorBidi" w:eastAsiaTheme="majorEastAsia" w:hAnsiTheme="majorBidi" w:cstheme="majorBidi"/>
          <w:b/>
          <w:bCs/>
          <w:sz w:val="22"/>
          <w:szCs w:val="22"/>
        </w:rPr>
        <w:t> </w:t>
      </w:r>
    </w:p>
    <w:p w14:paraId="5D096B79" w14:textId="65ECE6A0"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The amount of data available: </w:t>
      </w:r>
    </w:p>
    <w:p w14:paraId="4D6CE5BC"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Overall, &gt;64% of species investigated have enough data to calculate the headline indicator (grey shows species without sufficient data). This is shown in the chart at right. This does vary by country. All countries have approximately 50% or more of species with enough data.</w:t>
      </w:r>
      <w:r w:rsidRPr="00ED7E61">
        <w:rPr>
          <w:rStyle w:val="normaltextrun"/>
        </w:rPr>
        <w:t> </w:t>
      </w:r>
    </w:p>
    <w:p w14:paraId="65B642E6" w14:textId="5D9161A3"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Figure </w:t>
      </w:r>
      <w:r w:rsidR="00FB33CD">
        <w:rPr>
          <w:rStyle w:val="normaltextrun"/>
          <w:rFonts w:asciiTheme="majorBidi" w:eastAsiaTheme="majorEastAsia" w:hAnsiTheme="majorBidi" w:cstheme="majorBidi"/>
        </w:rPr>
        <w:t>IV</w:t>
      </w:r>
      <w:r w:rsidRPr="00ED7E61">
        <w:rPr>
          <w:rStyle w:val="normaltextrun"/>
          <w:rFonts w:asciiTheme="majorBidi" w:eastAsiaTheme="majorEastAsia" w:hAnsiTheme="majorBidi" w:cstheme="majorBidi"/>
        </w:rPr>
        <w:t xml:space="preserve"> shows the actual indicator values calculated for more than 900 species. It was found that the median across all species for Proportion of populations below Ne</w:t>
      </w:r>
      <w:r w:rsidR="00050BB9">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500 is 0, i.e. 58% of species assessed have that indicator value.  Even more worrying, ~70% of species have an indicator value less than 0.25.  This means that the majority of species assessed have less than 25% of their populations large enough to sustain genetic diversity- most species are likely in danger of or are already experiencing significant genetic losses.</w:t>
      </w:r>
      <w:r w:rsidRPr="00ED7E61">
        <w:rPr>
          <w:rStyle w:val="normaltextrun"/>
        </w:rPr>
        <w:t> </w:t>
      </w:r>
    </w:p>
    <w:p w14:paraId="5C87853A" w14:textId="77777777" w:rsidR="00960CA6" w:rsidRPr="00ED7E61" w:rsidRDefault="00960CA6"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There are differences in indicator values among taxonomic groups e.g. indicator values tend to be lower for mammals for example. Data are more available for some groups than others e.g. angiosperms, mammals, birds have more data available than invertebrates, especially clams and mussels. The indicators are not greatly influenced by the method used to define populations meaning that a variety of data are acceptable for defining populations.</w:t>
      </w:r>
      <w:r w:rsidRPr="00ED7E61">
        <w:rPr>
          <w:rStyle w:val="normaltextrun"/>
        </w:rPr>
        <w:t> </w:t>
      </w:r>
    </w:p>
    <w:p w14:paraId="560EFB3A" w14:textId="155FDBEE" w:rsidR="00960CA6" w:rsidRPr="00ED7E61" w:rsidRDefault="00960CA6"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Pr>
      </w:pPr>
      <w:r w:rsidRPr="00ED7E61">
        <w:rPr>
          <w:rStyle w:val="normaltextrun"/>
          <w:rFonts w:asciiTheme="majorBidi" w:eastAsiaTheme="majorEastAsia" w:hAnsiTheme="majorBidi" w:cstheme="majorBidi"/>
        </w:rPr>
        <w:t xml:space="preserve">Results on the populations maintained indicator are also included which is an important complement to the Headline indicator on Ne 500.  The investigation on 900 species showed that the median across all species for Proportion of populations maintained is 1, i.e. 55% of species have that indicator value. This means that most species still maintain all their populations. However, 38% of species have an indicator value less than 0.90, meaning that they have lost at least 10% of their original populations. Proportion of populations maintained should be reported jointly with the Ne indicator, to ensure that goal A and Target 4 are fully met - maintaining species' adaptive potential and reducing extinction risk. This is a possibility where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 xml:space="preserve">ommunities </w:t>
      </w:r>
      <w:r w:rsidRPr="00ED7E61">
        <w:rPr>
          <w:rStyle w:val="normaltextrun"/>
          <w:rFonts w:asciiTheme="majorBidi" w:eastAsiaTheme="majorEastAsia" w:hAnsiTheme="majorBidi" w:cstheme="majorBidi"/>
        </w:rPr>
        <w:t>can be included and empowered.</w:t>
      </w:r>
      <w:r w:rsidRPr="00ED7E61">
        <w:rPr>
          <w:rStyle w:val="normaltextrun"/>
        </w:rPr>
        <w:t> </w:t>
      </w:r>
    </w:p>
    <w:p w14:paraId="17C8D543" w14:textId="77777777" w:rsidR="00960CA6" w:rsidRPr="00ED7E61" w:rsidRDefault="00960CA6"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We note that genetic indicators are not well correlated with Red List status.  Numerous species have Least Concern or Near Threatened Red List status but have low (poor) genetic indicator values, showing genetic threats or genetic erosion but not an immediate danger of species extinction under Red List criteria.  This shows that genetic indicators are needed apart from the Red List to achieve the goal to conserve genetic diversity.</w:t>
      </w:r>
    </w:p>
    <w:p w14:paraId="4975D71E" w14:textId="76E8EC71" w:rsidR="00756F0F" w:rsidRPr="00ED7E61" w:rsidRDefault="00960CA6" w:rsidP="00395866">
      <w:pPr>
        <w:pStyle w:val="paragraph"/>
        <w:spacing w:before="0" w:beforeAutospacing="0" w:after="0" w:afterAutospacing="0"/>
        <w:textAlignment w:val="baseline"/>
        <w:rPr>
          <w:rFonts w:asciiTheme="majorBidi" w:hAnsiTheme="majorBidi" w:cstheme="majorBidi"/>
          <w:sz w:val="22"/>
          <w:szCs w:val="22"/>
        </w:rPr>
      </w:pPr>
      <w:r w:rsidRPr="00ED7E61">
        <w:rPr>
          <w:rFonts w:eastAsia="Arial"/>
          <w:noProof/>
          <w:sz w:val="22"/>
          <w:szCs w:val="22"/>
          <w:lang w:val="fr-FR" w:eastAsia="fr-FR"/>
        </w:rPr>
        <w:drawing>
          <wp:inline distT="114300" distB="114300" distL="114300" distR="114300" wp14:anchorId="3449373A" wp14:editId="77D87D70">
            <wp:extent cx="5914417" cy="3647873"/>
            <wp:effectExtent l="0" t="0" r="3810" b="0"/>
            <wp:docPr id="33" name="image8.png" descr="A graph of different colored squar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3" name="image8.png" descr="A graph of different colored squares&#10;&#10;Description automatically generated with medium confidence"/>
                    <pic:cNvPicPr preferRelativeResize="0"/>
                  </pic:nvPicPr>
                  <pic:blipFill>
                    <a:blip r:embed="rId224"/>
                    <a:srcRect/>
                    <a:stretch>
                      <a:fillRect/>
                    </a:stretch>
                  </pic:blipFill>
                  <pic:spPr>
                    <a:xfrm>
                      <a:off x="0" y="0"/>
                      <a:ext cx="5934590" cy="3660315"/>
                    </a:xfrm>
                    <a:prstGeom prst="rect">
                      <a:avLst/>
                    </a:prstGeom>
                    <a:ln/>
                  </pic:spPr>
                </pic:pic>
              </a:graphicData>
            </a:graphic>
          </wp:inline>
        </w:drawing>
      </w:r>
    </w:p>
    <w:p w14:paraId="48CA7C34" w14:textId="77777777" w:rsidR="00756F0F" w:rsidRPr="00ED7E61" w:rsidRDefault="00756F0F" w:rsidP="00395866">
      <w:pPr>
        <w:shd w:val="clear" w:color="auto" w:fill="FFFFFF"/>
        <w:rPr>
          <w:rFonts w:asciiTheme="majorBidi" w:hAnsiTheme="majorBidi" w:cstheme="majorBidi"/>
          <w:color w:val="000000"/>
          <w:sz w:val="22"/>
          <w:szCs w:val="22"/>
        </w:rPr>
      </w:pPr>
      <w:r w:rsidRPr="00ED7E61">
        <w:rPr>
          <w:rStyle w:val="eop"/>
          <w:rFonts w:asciiTheme="majorBidi" w:eastAsiaTheme="majorEastAsia" w:hAnsiTheme="majorBidi" w:cstheme="majorBidi"/>
          <w:color w:val="000000"/>
          <w:sz w:val="22"/>
          <w:szCs w:val="22"/>
        </w:rPr>
        <w:t> </w:t>
      </w:r>
    </w:p>
    <w:p w14:paraId="1B0BBCB9" w14:textId="0C7063B3" w:rsidR="00756F0F" w:rsidRPr="00B3383B" w:rsidRDefault="00756F0F" w:rsidP="005B0D1E">
      <w:pPr>
        <w:pStyle w:val="paragraph"/>
        <w:spacing w:before="0" w:beforeAutospacing="0" w:after="0" w:afterAutospacing="0"/>
        <w:textAlignment w:val="baseline"/>
        <w:rPr>
          <w:rStyle w:val="eop"/>
          <w:rFonts w:asciiTheme="majorBidi" w:eastAsiaTheme="majorEastAsia" w:hAnsiTheme="majorBidi" w:cstheme="majorBidi"/>
          <w:b/>
          <w:bCs/>
          <w:sz w:val="22"/>
          <w:szCs w:val="22"/>
        </w:rPr>
      </w:pPr>
      <w:r w:rsidRPr="00B3383B">
        <w:rPr>
          <w:rStyle w:val="normaltextrun"/>
          <w:rFonts w:asciiTheme="majorBidi" w:eastAsiaTheme="majorEastAsia" w:hAnsiTheme="majorBidi" w:cstheme="majorBidi"/>
          <w:sz w:val="22"/>
          <w:szCs w:val="22"/>
          <w:lang w:val="en-GB"/>
        </w:rPr>
        <w:t xml:space="preserve">Figure </w:t>
      </w:r>
      <w:r w:rsidR="00FB33CD" w:rsidRPr="00B3383B">
        <w:rPr>
          <w:rStyle w:val="normaltextrun"/>
          <w:rFonts w:asciiTheme="majorBidi" w:eastAsiaTheme="majorEastAsia" w:hAnsiTheme="majorBidi" w:cstheme="majorBidi"/>
          <w:sz w:val="22"/>
          <w:szCs w:val="22"/>
          <w:lang w:val="en-GB"/>
        </w:rPr>
        <w:t>IV</w:t>
      </w:r>
      <w:r w:rsidRPr="00ED7E61">
        <w:rPr>
          <w:rStyle w:val="normaltextrun"/>
          <w:rFonts w:asciiTheme="majorBidi" w:eastAsiaTheme="majorEastAsia" w:hAnsiTheme="majorBidi" w:cstheme="majorBidi"/>
          <w:i/>
          <w:iCs/>
          <w:sz w:val="22"/>
          <w:szCs w:val="22"/>
          <w:lang w:val="en-GB"/>
        </w:rPr>
        <w:t xml:space="preserve"> </w:t>
      </w:r>
      <w:r w:rsidR="00FF6192">
        <w:rPr>
          <w:rStyle w:val="normaltextrun"/>
          <w:rFonts w:asciiTheme="majorBidi" w:eastAsiaTheme="majorEastAsia" w:hAnsiTheme="majorBidi" w:cstheme="majorBidi"/>
          <w:i/>
          <w:iCs/>
          <w:sz w:val="22"/>
          <w:szCs w:val="22"/>
          <w:lang w:val="en-GB"/>
        </w:rPr>
        <w:br/>
      </w:r>
      <w:r w:rsidR="00FF6192" w:rsidRPr="00B3383B">
        <w:rPr>
          <w:rStyle w:val="normaltextrun"/>
          <w:rFonts w:asciiTheme="majorBidi" w:eastAsiaTheme="majorEastAsia" w:hAnsiTheme="majorBidi" w:cstheme="majorBidi"/>
          <w:b/>
          <w:bCs/>
          <w:sz w:val="22"/>
          <w:szCs w:val="22"/>
          <w:lang w:val="en-GB"/>
        </w:rPr>
        <w:t>A</w:t>
      </w:r>
      <w:r w:rsidRPr="00B3383B">
        <w:rPr>
          <w:rStyle w:val="normaltextrun"/>
          <w:rFonts w:asciiTheme="majorBidi" w:eastAsiaTheme="majorEastAsia" w:hAnsiTheme="majorBidi" w:cstheme="majorBidi"/>
          <w:b/>
          <w:bCs/>
          <w:sz w:val="22"/>
          <w:szCs w:val="22"/>
          <w:lang w:val="en-GB"/>
        </w:rPr>
        <w:t>ctual indicator values calculated for more than 900 species</w:t>
      </w:r>
      <w:r w:rsidRPr="00B3383B">
        <w:rPr>
          <w:rStyle w:val="eop"/>
          <w:rFonts w:asciiTheme="majorBidi" w:eastAsiaTheme="majorEastAsia" w:hAnsiTheme="majorBidi" w:cstheme="majorBidi"/>
          <w:b/>
          <w:bCs/>
          <w:sz w:val="22"/>
          <w:szCs w:val="22"/>
        </w:rPr>
        <w:t> </w:t>
      </w:r>
    </w:p>
    <w:p w14:paraId="59B75BF8" w14:textId="0986F956" w:rsidR="00956C65" w:rsidRPr="00ED7E61" w:rsidRDefault="00956C65"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Fonts w:asciiTheme="majorBidi" w:hAnsiTheme="majorBidi" w:cstheme="majorBidi"/>
          <w:sz w:val="22"/>
          <w:szCs w:val="22"/>
        </w:rPr>
        <w:t xml:space="preserve"> </w:t>
      </w:r>
    </w:p>
    <w:p w14:paraId="2C53B2E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2038D35" w14:textId="2910CE63"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 xml:space="preserve">Date range is dependent on data availability at the national scale. Typically, Nc will be obtained from the past decade </w:t>
      </w:r>
      <w:r w:rsidR="00E51D62" w:rsidRPr="00ED7E61">
        <w:rPr>
          <w:rStyle w:val="normaltextrun"/>
        </w:rPr>
        <w:t>(</w:t>
      </w:r>
      <w:r w:rsidRPr="00ED7E61">
        <w:rPr>
          <w:rStyle w:val="normaltextrun"/>
        </w:rPr>
        <w:t>e.g. post 2010</w:t>
      </w:r>
      <w:r w:rsidR="00E51D62" w:rsidRPr="00ED7E61">
        <w:rPr>
          <w:rStyle w:val="normaltextrun"/>
        </w:rPr>
        <w:t>)</w:t>
      </w:r>
      <w:r w:rsidRPr="00ED7E61">
        <w:rPr>
          <w:rStyle w:val="normaltextrun"/>
        </w:rPr>
        <w:t>.  Going forward it will be reported every 2 to 5 years, typically every 4 years, making it suited to the CBD reporting schedule. As the indicator is increasingly deployed, indicator calculation can be made in temporal windows, including through the use of older biodiversity observation data, reports and consultation with knowledge holders, likely extending indicator assessment at least back to the 1990s. This is noted above under Step 4 of Method of Computation, 5b.</w:t>
      </w:r>
    </w:p>
    <w:p w14:paraId="7D4CE7B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0A616F69" w14:textId="1984FFBF"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The data are sourced from in-country existing biodiversity and environment agencies, thus leveraging in-country resources and ongoing programs. Other data may be obtained from conservation organizations, scientific societies, national and public repositories (e.g. Global Biodiversity Information Facility, GBIF, Red List assessments), citizen scientists, and the contributions of local and indigenous peoples and traditional knowledge holders. </w:t>
      </w:r>
    </w:p>
    <w:p w14:paraId="56FBB73B" w14:textId="7973A1BF" w:rsidR="00756F0F" w:rsidRPr="00ED7E61" w:rsidRDefault="00756F0F" w:rsidP="00B10F0C">
      <w:pPr>
        <w:pStyle w:val="CBDNormalNumber"/>
        <w:numPr>
          <w:ilvl w:val="0"/>
          <w:numId w:val="60"/>
        </w:numPr>
        <w:ind w:left="567" w:firstLine="0"/>
        <w:rPr>
          <w:rStyle w:val="normaltextrun"/>
        </w:rPr>
      </w:pPr>
      <w:r w:rsidRPr="00ED7E61">
        <w:rPr>
          <w:rStyle w:val="normaltextrun"/>
        </w:rPr>
        <w:t xml:space="preserve">Example data sources from countries that participated in piloting the indicator from 2021-2023 can be found in </w:t>
      </w:r>
      <w:hyperlink r:id="rId225" w:tgtFrame="_blank" w:history="1">
        <w:r w:rsidRPr="00ED7E61">
          <w:rPr>
            <w:rStyle w:val="normaltextrun"/>
          </w:rPr>
          <w:t>Hoban et al</w:t>
        </w:r>
        <w:r w:rsidR="00FF0D09">
          <w:rPr>
            <w:rStyle w:val="normaltextrun"/>
          </w:rPr>
          <w:t>.</w:t>
        </w:r>
        <w:r w:rsidRPr="00ED7E61">
          <w:rPr>
            <w:rStyle w:val="normaltextrun"/>
          </w:rPr>
          <w:t xml:space="preserve"> (2023b)</w:t>
        </w:r>
      </w:hyperlink>
      <w:r w:rsidRPr="00ED7E61">
        <w:rPr>
          <w:rStyle w:val="normaltextrun"/>
        </w:rPr>
        <w:t> </w:t>
      </w:r>
    </w:p>
    <w:p w14:paraId="11B1331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5601DF55" w14:textId="77777777"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The following organizations are responsible for maintenance of the methodology and tools for use: GEO BON, The Morton Arboretum, Stockholm University, GBIKE, Coalition for Conservation Genetics.  Actual compilation of data is performed by in-country agencies.  </w:t>
      </w:r>
    </w:p>
    <w:p w14:paraId="20E1A1E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0B0C4B6C" w14:textId="1E540467"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Expected (and demonstrated in the pilot application to 900 species) taxonomic gaps include cryptic (e.g. elusive, located underground, etc.) species, micro-organisms, fungi, invertebrates. However, current projects deploying the indicator have shown it can be calculated for cryptic species and invertebrates. Expected thematic and geographic gaps include species from understudied realms and areas (e.g. deep sea, mountains, and islands). These gaps are unfortunately typical for other biodiversity indicators such as the Red List Index.   </w:t>
      </w:r>
    </w:p>
    <w:p w14:paraId="5D89DF43" w14:textId="51BD7A42" w:rsidR="00960CA6" w:rsidRPr="00ED7E61" w:rsidRDefault="00960CA6" w:rsidP="00B10F0C">
      <w:pPr>
        <w:pStyle w:val="CBDNormalNumber"/>
        <w:numPr>
          <w:ilvl w:val="0"/>
          <w:numId w:val="60"/>
        </w:numPr>
        <w:ind w:left="567" w:firstLine="0"/>
        <w:rPr>
          <w:rStyle w:val="normaltextrun"/>
        </w:rPr>
      </w:pPr>
      <w:r w:rsidRPr="00ED7E61">
        <w:rPr>
          <w:rStyle w:val="normaltextrun"/>
        </w:rPr>
        <w:t>The indicator can be calculated in any species, and thus has no theoretical gaps, and (weighted) averages can be calculated across populations or species taking into account range sizes.  </w:t>
      </w:r>
    </w:p>
    <w:p w14:paraId="74D3224B" w14:textId="49482E53" w:rsidR="00756F0F" w:rsidRPr="00ED7E61" w:rsidRDefault="00756F0F" w:rsidP="00B10F0C">
      <w:pPr>
        <w:pStyle w:val="CBDNormalNumber"/>
        <w:numPr>
          <w:ilvl w:val="0"/>
          <w:numId w:val="60"/>
        </w:numPr>
        <w:ind w:left="567" w:firstLine="0"/>
        <w:rPr>
          <w:rStyle w:val="normaltextrun"/>
        </w:rPr>
      </w:pPr>
      <w:r w:rsidRPr="00ED7E61">
        <w:rPr>
          <w:rStyle w:val="normaltextrun"/>
        </w:rPr>
        <w:t>Note that the Ne 500 indicator should be complemented with the “</w:t>
      </w:r>
      <w:r w:rsidRPr="00FB1598">
        <w:rPr>
          <w:rStyle w:val="normaltextrun"/>
          <w:i/>
          <w:iCs/>
        </w:rPr>
        <w:t>proportion of populations maintained</w:t>
      </w:r>
      <w:r w:rsidRPr="00ED7E61">
        <w:rPr>
          <w:rStyle w:val="normaltextrun"/>
        </w:rPr>
        <w:t>” indicator , and with expert and local knowledge including as compiled in the “</w:t>
      </w:r>
      <w:r w:rsidRPr="00FB1598">
        <w:rPr>
          <w:rStyle w:val="normaltextrun"/>
          <w:i/>
          <w:iCs/>
        </w:rPr>
        <w:t>genetic scorecard for wild species</w:t>
      </w:r>
      <w:r w:rsidRPr="00ED7E61">
        <w:rPr>
          <w:rStyle w:val="normaltextrun"/>
        </w:rPr>
        <w:t>” indicator, the “</w:t>
      </w:r>
      <w:r w:rsidRPr="00FB1598">
        <w:rPr>
          <w:rStyle w:val="normaltextrun"/>
          <w:i/>
          <w:iCs/>
        </w:rPr>
        <w:t>comprehensiveness indicator</w:t>
      </w:r>
      <w:r w:rsidRPr="00ED7E61">
        <w:rPr>
          <w:rStyle w:val="normaltextrun"/>
        </w:rPr>
        <w:t xml:space="preserve">” (all three suggested as complementary indicators for Goal A: </w:t>
      </w:r>
      <w:hyperlink r:id="rId226" w:tgtFrame="_blank" w:history="1">
        <w:r w:rsidRPr="00ED7E61">
          <w:rPr>
            <w:rStyle w:val="normaltextrun"/>
          </w:rPr>
          <w:t>CBD/COP/15/L.26</w:t>
        </w:r>
      </w:hyperlink>
      <w:r w:rsidRPr="00ED7E61">
        <w:rPr>
          <w:rStyle w:val="normaltextrun"/>
        </w:rPr>
        <w:t>), and the proposed indicator “</w:t>
      </w:r>
      <w:r w:rsidRPr="00FB1598">
        <w:rPr>
          <w:rStyle w:val="normaltextrun"/>
          <w:i/>
          <w:iCs/>
        </w:rPr>
        <w:t>number of species and populations in which DNA based monitoring is used</w:t>
      </w:r>
      <w:r w:rsidRPr="00ED7E61">
        <w:rPr>
          <w:rStyle w:val="normaltextrun"/>
        </w:rPr>
        <w:t xml:space="preserve">” </w:t>
      </w:r>
      <w:hyperlink r:id="rId227" w:tgtFrame="_blank" w:history="1">
        <w:r w:rsidRPr="00ED7E61">
          <w:rPr>
            <w:rStyle w:val="normaltextrun"/>
          </w:rPr>
          <w:t>Hoban et al</w:t>
        </w:r>
        <w:r w:rsidR="00FF0D09">
          <w:rPr>
            <w:rStyle w:val="normaltextrun"/>
          </w:rPr>
          <w:t>.</w:t>
        </w:r>
        <w:r w:rsidRPr="00ED7E61">
          <w:rPr>
            <w:rStyle w:val="normaltextrun"/>
          </w:rPr>
          <w:t xml:space="preserve"> (2020)</w:t>
        </w:r>
      </w:hyperlink>
      <w:r w:rsidRPr="00ED7E61">
        <w:rPr>
          <w:rStyle w:val="normaltextrun"/>
        </w:rPr>
        <w:t>. </w:t>
      </w:r>
    </w:p>
    <w:p w14:paraId="62D7893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5k. Treatment of missing values</w:t>
      </w:r>
      <w:r w:rsidRPr="00ED7E61">
        <w:rPr>
          <w:rStyle w:val="eop"/>
          <w:rFonts w:asciiTheme="majorBidi" w:eastAsiaTheme="majorEastAsia" w:hAnsiTheme="majorBidi" w:cstheme="majorBidi"/>
          <w:sz w:val="22"/>
          <w:szCs w:val="22"/>
        </w:rPr>
        <w:t> </w:t>
      </w:r>
    </w:p>
    <w:p w14:paraId="0580C7DC" w14:textId="77777777" w:rsidR="00960CA6" w:rsidRPr="00ED7E61" w:rsidRDefault="00960CA6" w:rsidP="00B10F0C">
      <w:pPr>
        <w:pStyle w:val="CBDNormalNumber"/>
        <w:numPr>
          <w:ilvl w:val="0"/>
          <w:numId w:val="60"/>
        </w:numPr>
        <w:ind w:left="567" w:firstLine="0"/>
        <w:rPr>
          <w:rStyle w:val="normaltextrun"/>
          <w:sz w:val="24"/>
          <w:szCs w:val="24"/>
          <w:lang w:val="en-CA"/>
        </w:rPr>
      </w:pPr>
      <w:r w:rsidRPr="00ED7E61">
        <w:rPr>
          <w:rStyle w:val="normaltextrun"/>
        </w:rPr>
        <w:t>Species with missing data may be aggregated with taxonomically related species, or species with similar characteristics and life history traits (e.g. life span, body size, reproductive output, trophic position, etc.).  Populations with missing data can be treated as NAs in the dataset. </w:t>
      </w:r>
    </w:p>
    <w:p w14:paraId="0177A5D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 Scale</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620EC3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6a. Scale of use </w:t>
      </w:r>
      <w:r w:rsidRPr="00ED7E61">
        <w:rPr>
          <w:rStyle w:val="eop"/>
          <w:rFonts w:asciiTheme="majorBidi" w:eastAsiaTheme="majorEastAsia" w:hAnsiTheme="majorBidi" w:cstheme="majorBidi"/>
          <w:sz w:val="22"/>
          <w:szCs w:val="22"/>
        </w:rPr>
        <w:t> </w:t>
      </w:r>
    </w:p>
    <w:p w14:paraId="1812C7A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Scale of application (please check all relevant boxes):</w:t>
      </w:r>
      <w:r w:rsidRPr="00ED7E61">
        <w:rPr>
          <w:rStyle w:val="normaltextrun"/>
          <w:rFonts w:asciiTheme="majorBidi" w:eastAsiaTheme="majorEastAsia" w:hAnsiTheme="majorBidi" w:cstheme="majorBidi"/>
          <w:i/>
          <w:iCs/>
          <w:sz w:val="22"/>
          <w:szCs w:val="22"/>
          <w:lang w:val="en-GB"/>
        </w:rPr>
        <w:t> </w:t>
      </w:r>
      <w:r w:rsidRPr="00ED7E61">
        <w:rPr>
          <w:rStyle w:val="eop"/>
          <w:rFonts w:asciiTheme="majorBidi" w:eastAsiaTheme="majorEastAsia" w:hAnsiTheme="majorBidi" w:cstheme="majorBidi"/>
          <w:sz w:val="22"/>
          <w:szCs w:val="22"/>
        </w:rPr>
        <w:t> </w:t>
      </w:r>
    </w:p>
    <w:p w14:paraId="23830C7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Global: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 xml:space="preserve">Regional: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National</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758127A9" w14:textId="77777777"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Scale of data disaggregation/aggregation:  </w:t>
      </w:r>
    </w:p>
    <w:p w14:paraId="76DB6BB6"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Global/ regional scale indicator can be disaggregated to national level: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5AC025EB"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National data is collated to form global indicator: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187B8B81" w14:textId="77777777" w:rsidR="00756F0F" w:rsidRPr="00ED7E61" w:rsidRDefault="00756F0F" w:rsidP="00B10F0C">
      <w:pPr>
        <w:pStyle w:val="CBDNormalNumber"/>
        <w:numPr>
          <w:ilvl w:val="0"/>
          <w:numId w:val="60"/>
        </w:numPr>
        <w:ind w:left="567" w:firstLine="0"/>
        <w:rPr>
          <w:rFonts w:asciiTheme="majorBidi" w:hAnsiTheme="majorBidi" w:cstheme="majorBidi"/>
        </w:rPr>
      </w:pPr>
      <w:r w:rsidRPr="00ED7E61">
        <w:rPr>
          <w:rStyle w:val="normaltextrun"/>
        </w:rPr>
        <w:t>Data is applicable at the local, national, regional and global scales.</w:t>
      </w:r>
      <w:r w:rsidRPr="00ED7E61">
        <w:rPr>
          <w:rStyle w:val="eop"/>
          <w:rFonts w:asciiTheme="majorBidi" w:eastAsiaTheme="majorEastAsia" w:hAnsiTheme="majorBidi" w:cstheme="majorBidi"/>
        </w:rPr>
        <w:t> </w:t>
      </w:r>
    </w:p>
    <w:p w14:paraId="56A3934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6b. National/regional indicator production </w:t>
      </w:r>
      <w:r w:rsidRPr="00ED7E61">
        <w:rPr>
          <w:rStyle w:val="eop"/>
          <w:rFonts w:asciiTheme="majorBidi" w:eastAsiaTheme="majorEastAsia" w:hAnsiTheme="majorBidi" w:cstheme="majorBidi"/>
          <w:sz w:val="22"/>
          <w:szCs w:val="22"/>
        </w:rPr>
        <w:t> </w:t>
      </w:r>
    </w:p>
    <w:p w14:paraId="5C54F1B7" w14:textId="77777777"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The guidance documents currently developed explain national methodology. Underlying data will be accessible and usable by countries. The existing data collection tool allows easy organization and storage of data and thus tracking across time. </w:t>
      </w:r>
    </w:p>
    <w:p w14:paraId="41C9CFCC" w14:textId="77777777" w:rsidR="00756F0F" w:rsidRPr="00ED7E61" w:rsidRDefault="00756F0F" w:rsidP="00B10F0C">
      <w:pPr>
        <w:pStyle w:val="CBDNormalNumber"/>
        <w:numPr>
          <w:ilvl w:val="0"/>
          <w:numId w:val="60"/>
        </w:numPr>
        <w:ind w:left="567" w:firstLine="0"/>
        <w:rPr>
          <w:rStyle w:val="normaltextrun"/>
        </w:rPr>
      </w:pPr>
      <w:r w:rsidRPr="00ED7E61">
        <w:rPr>
          <w:rStyle w:val="normaltextrun"/>
        </w:rPr>
        <w:t>Countries can collaborate on transnational calculations if desired, and the same is true for regions, including the European Union, for example.  Otherwise, regional calculation is a mean or weighted mean of component countries. </w:t>
      </w:r>
    </w:p>
    <w:p w14:paraId="7635A88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6c. Sources of differences between global and national figures</w:t>
      </w:r>
      <w:r w:rsidRPr="00ED7E61">
        <w:rPr>
          <w:rStyle w:val="eop"/>
          <w:rFonts w:asciiTheme="majorBidi" w:eastAsiaTheme="majorEastAsia" w:hAnsiTheme="majorBidi" w:cstheme="majorBidi"/>
          <w:sz w:val="22"/>
          <w:szCs w:val="22"/>
        </w:rPr>
        <w:t> </w:t>
      </w:r>
    </w:p>
    <w:p w14:paraId="038F9166" w14:textId="6D082697"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The guidance document explains national methodology. The global figure is a mean, or weighted mean, of all contributing countries.  </w:t>
      </w:r>
    </w:p>
    <w:p w14:paraId="35C9B2D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6d. Regional and global estimates &amp; data collection for global monitoring</w:t>
      </w:r>
      <w:r w:rsidRPr="00ED7E61">
        <w:rPr>
          <w:rStyle w:val="eop"/>
          <w:rFonts w:asciiTheme="majorBidi" w:eastAsiaTheme="majorEastAsia" w:hAnsiTheme="majorBidi" w:cstheme="majorBidi"/>
          <w:sz w:val="22"/>
          <w:szCs w:val="22"/>
        </w:rPr>
        <w:t> </w:t>
      </w:r>
    </w:p>
    <w:p w14:paraId="15DE080B" w14:textId="77777777" w:rsidR="00756F0F" w:rsidRPr="00ED7E61" w:rsidRDefault="00756F0F"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6d.1 Description of the methodology</w:t>
      </w:r>
      <w:r w:rsidRPr="00ED7E61">
        <w:rPr>
          <w:rStyle w:val="eop"/>
          <w:rFonts w:asciiTheme="majorBidi" w:eastAsiaTheme="majorEastAsia" w:hAnsiTheme="majorBidi" w:cstheme="majorBidi"/>
          <w:sz w:val="22"/>
          <w:szCs w:val="22"/>
        </w:rPr>
        <w:t> </w:t>
      </w:r>
    </w:p>
    <w:p w14:paraId="01E75B1A" w14:textId="17F95BEA"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 xml:space="preserve">Methods and mathematical formulas for aggregating at these scales, and for weighting countries are described in </w:t>
      </w:r>
      <w:hyperlink r:id="rId228" w:tgtFrame="_blank" w:history="1">
        <w:r w:rsidRPr="00ED7E61">
          <w:rPr>
            <w:rStyle w:val="normaltextrun"/>
          </w:rPr>
          <w:t>Hoban et al</w:t>
        </w:r>
        <w:r w:rsidR="00FF0D09">
          <w:rPr>
            <w:rStyle w:val="normaltextrun"/>
          </w:rPr>
          <w:t>.</w:t>
        </w:r>
        <w:r w:rsidRPr="00ED7E61">
          <w:rPr>
            <w:rStyle w:val="normaltextrun"/>
          </w:rPr>
          <w:t xml:space="preserve"> (2023b)</w:t>
        </w:r>
      </w:hyperlink>
      <w:r w:rsidRPr="00ED7E61">
        <w:rPr>
          <w:rStyle w:val="normaltextrun"/>
        </w:rPr>
        <w:t>. </w:t>
      </w:r>
    </w:p>
    <w:p w14:paraId="239EA467" w14:textId="77777777" w:rsidR="00756F0F" w:rsidRPr="00ED7E61" w:rsidRDefault="00756F0F" w:rsidP="00B10F0C">
      <w:pPr>
        <w:pStyle w:val="CBDNormalNumber"/>
        <w:numPr>
          <w:ilvl w:val="0"/>
          <w:numId w:val="60"/>
        </w:numPr>
        <w:ind w:left="567" w:firstLine="0"/>
        <w:rPr>
          <w:rStyle w:val="normaltextrun"/>
        </w:rPr>
      </w:pPr>
      <w:r w:rsidRPr="00ED7E61">
        <w:rPr>
          <w:rStyle w:val="normaltextrun"/>
        </w:rPr>
        <w:t>The pilot application in 900 species showed that data gaps vary by country, but all countries examined have a large number of species with sufficient data available. </w:t>
      </w:r>
    </w:p>
    <w:p w14:paraId="1815C07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6d.2 Additional methodological details</w:t>
      </w:r>
      <w:r w:rsidRPr="00ED7E61">
        <w:rPr>
          <w:rStyle w:val="eop"/>
          <w:rFonts w:asciiTheme="majorBidi" w:eastAsiaTheme="majorEastAsia" w:hAnsiTheme="majorBidi" w:cstheme="majorBidi"/>
          <w:sz w:val="22"/>
          <w:szCs w:val="22"/>
        </w:rPr>
        <w:t> </w:t>
      </w:r>
    </w:p>
    <w:p w14:paraId="15864751" w14:textId="77777777"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See previous answer </w:t>
      </w:r>
    </w:p>
    <w:p w14:paraId="5B6AA1F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6d.3 Description of the mechanism for collecting data from countries</w:t>
      </w:r>
      <w:r w:rsidRPr="00ED7E61">
        <w:rPr>
          <w:rStyle w:val="eop"/>
          <w:rFonts w:asciiTheme="majorBidi" w:eastAsiaTheme="majorEastAsia" w:hAnsiTheme="majorBidi" w:cstheme="majorBidi"/>
          <w:sz w:val="22"/>
          <w:szCs w:val="22"/>
        </w:rPr>
        <w:t> </w:t>
      </w:r>
    </w:p>
    <w:p w14:paraId="79013BEC" w14:textId="068D80BB" w:rsidR="00960CA6" w:rsidRPr="00ED7E61" w:rsidRDefault="00960CA6" w:rsidP="00B10F0C">
      <w:pPr>
        <w:pStyle w:val="CBDNormalNumber"/>
        <w:numPr>
          <w:ilvl w:val="0"/>
          <w:numId w:val="60"/>
        </w:numPr>
        <w:ind w:left="567" w:firstLine="0"/>
        <w:rPr>
          <w:rStyle w:val="normaltextrun"/>
          <w:sz w:val="24"/>
          <w:szCs w:val="24"/>
          <w:lang w:val="en-CA"/>
        </w:rPr>
      </w:pPr>
      <w:r w:rsidRPr="00ED7E61">
        <w:rPr>
          <w:rStyle w:val="normaltextrun"/>
        </w:rPr>
        <w:t xml:space="preserve">As noted above, national agencies, or conservation organizations can compile the indicator at national levels using the resources provided in </w:t>
      </w:r>
      <w:hyperlink r:id="rId229" w:tgtFrame="_blank" w:history="1">
        <w:r w:rsidRPr="00ED7E61">
          <w:rPr>
            <w:rStyle w:val="normaltextrun"/>
          </w:rPr>
          <w:t>Hoban et al</w:t>
        </w:r>
        <w:r w:rsidR="00FF0D09">
          <w:rPr>
            <w:rStyle w:val="normaltextrun"/>
          </w:rPr>
          <w:t>.</w:t>
        </w:r>
        <w:r w:rsidRPr="00ED7E61">
          <w:rPr>
            <w:rStyle w:val="normaltextrun"/>
          </w:rPr>
          <w:t xml:space="preserve"> (2023b; see Supporting Information)</w:t>
        </w:r>
      </w:hyperlink>
      <w:r w:rsidRPr="00ED7E61">
        <w:rPr>
          <w:rStyle w:val="normaltextrun"/>
        </w:rPr>
        <w:t>.  Consultation and questions about data validation can be made to the custodians of the indicator (GEO BON, Morton Arboretum, Stockholm University, GBIKE, and Coalition for Conservation Genetics). </w:t>
      </w:r>
    </w:p>
    <w:p w14:paraId="3F64B902" w14:textId="6F37BA35" w:rsidR="00960CA6" w:rsidRPr="00ED7E61" w:rsidRDefault="00960CA6" w:rsidP="00B10F0C">
      <w:pPr>
        <w:pStyle w:val="CBDNormalNumber"/>
        <w:numPr>
          <w:ilvl w:val="0"/>
          <w:numId w:val="60"/>
        </w:numPr>
        <w:ind w:left="567" w:firstLine="0"/>
        <w:rPr>
          <w:rStyle w:val="normaltextrun"/>
        </w:rPr>
      </w:pPr>
      <w:r w:rsidRPr="00ED7E61">
        <w:rPr>
          <w:rStyle w:val="normaltextrun"/>
        </w:rPr>
        <w:t>The guidance (documents and videos) has been improved with a new published version released in July 2024 (Mastretta-Yanes et al</w:t>
      </w:r>
      <w:r w:rsidR="00FF0D09">
        <w:rPr>
          <w:rStyle w:val="normaltextrun"/>
        </w:rPr>
        <w:t>.</w:t>
      </w:r>
      <w:r w:rsidRPr="00ED7E61">
        <w:rPr>
          <w:rStyle w:val="normaltextrun"/>
        </w:rPr>
        <w:t xml:space="preserve"> 2024 and </w:t>
      </w:r>
      <w:hyperlink r:id="rId230" w:history="1">
        <w:r w:rsidRPr="00ED7E61">
          <w:rPr>
            <w:rStyle w:val="normaltextrun"/>
          </w:rPr>
          <w:t>https://ccgenetics.github.io/guidelines-genetic-diversity-indicators/</w:t>
        </w:r>
      </w:hyperlink>
      <w:r w:rsidRPr="00ED7E61">
        <w:rPr>
          <w:rStyle w:val="normaltextrun"/>
        </w:rPr>
        <w:t xml:space="preserve">), and will continue to be updated periodically to meet Parties’ needs, and there are a series of online tools (mapping tools, easy data entry) in development that will help make it even easier to calculate the indicator (GEOBON offers </w:t>
      </w:r>
      <w:hyperlink r:id="rId231" w:tgtFrame="_blank" w:history="1">
        <w:r w:rsidRPr="00ED7E61">
          <w:rPr>
            <w:rStyle w:val="normaltextrun"/>
          </w:rPr>
          <w:t>BON-in-a-Box</w:t>
        </w:r>
      </w:hyperlink>
      <w:r w:rsidRPr="00ED7E61">
        <w:rPr>
          <w:rStyle w:val="normaltextrun"/>
        </w:rPr>
        <w:t xml:space="preserve"> to support calculation of the indicator).  </w:t>
      </w:r>
    </w:p>
    <w:p w14:paraId="36702D5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 Other MEAs, processes and organisations</w:t>
      </w:r>
      <w:r w:rsidRPr="00ED7E61">
        <w:rPr>
          <w:rStyle w:val="eop"/>
          <w:rFonts w:asciiTheme="majorBidi" w:eastAsiaTheme="majorEastAsia" w:hAnsiTheme="majorBidi" w:cstheme="majorBidi"/>
          <w:sz w:val="22"/>
          <w:szCs w:val="22"/>
        </w:rPr>
        <w:t> </w:t>
      </w:r>
    </w:p>
    <w:p w14:paraId="088744A9"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4861BEC4" w14:textId="77777777" w:rsidR="00756F0F" w:rsidRPr="00ED7E61" w:rsidRDefault="00756F0F" w:rsidP="00B3383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68E047F5"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7F356B46" w14:textId="77777777" w:rsidR="00756F0F" w:rsidRPr="00ED7E61" w:rsidRDefault="00756F0F" w:rsidP="00B3383B">
      <w:pPr>
        <w:pStyle w:val="paragraph"/>
        <w:spacing w:before="120" w:beforeAutospacing="0" w:after="0" w:afterAutospacing="0"/>
        <w:ind w:left="567"/>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color w:val="000000"/>
          <w:sz w:val="22"/>
          <w:szCs w:val="22"/>
          <w:lang w:val="en-GB"/>
        </w:rPr>
        <w:t xml:space="preserve">Yes: </w:t>
      </w:r>
      <w:r w:rsidRPr="00ED7E61">
        <w:rPr>
          <w:rStyle w:val="contentcontrolboundarysink"/>
          <w:rFonts w:asciiTheme="majorBidi" w:hAnsiTheme="majorBidi" w:cstheme="majorBidi"/>
          <w:color w:val="0F4761"/>
          <w:sz w:val="22"/>
          <w:szCs w:val="22"/>
          <w:lang w:val="en-GB"/>
        </w:rPr>
        <w:t>​</w:t>
      </w:r>
      <w:r w:rsidRPr="00ED7E61">
        <w:rPr>
          <w:rStyle w:val="normaltextrun"/>
          <w:rFonts w:ascii="Segoe UI Symbol" w:eastAsiaTheme="majorEastAsia" w:hAnsi="Segoe UI Symbol" w:cs="Segoe UI Symbol"/>
          <w:color w:val="000000"/>
          <w:sz w:val="22"/>
          <w:szCs w:val="22"/>
          <w:lang w:val="en-GB"/>
        </w:rPr>
        <w:t>☐</w:t>
      </w:r>
      <w:r w:rsidRPr="00ED7E61">
        <w:rPr>
          <w:rStyle w:val="contentcontrolboundarysink"/>
          <w:rFonts w:asciiTheme="majorBidi" w:hAnsiTheme="majorBidi" w:cstheme="majorBidi"/>
          <w:color w:val="0F4761"/>
          <w:sz w:val="22"/>
          <w:szCs w:val="22"/>
          <w:lang w:val="en-GB"/>
        </w:rPr>
        <w:t>​</w:t>
      </w:r>
      <w:r w:rsidRPr="00ED7E61">
        <w:rPr>
          <w:rStyle w:val="normaltextrun"/>
          <w:rFonts w:asciiTheme="majorBidi" w:eastAsiaTheme="majorEastAsia" w:hAnsiTheme="majorBidi" w:cstheme="majorBidi"/>
          <w:color w:val="000000"/>
          <w:sz w:val="22"/>
          <w:szCs w:val="22"/>
          <w:lang w:val="en-GB"/>
        </w:rPr>
        <w:t xml:space="preserve"> No: </w:t>
      </w:r>
      <w:r w:rsidRPr="00ED7E61">
        <w:rPr>
          <w:rStyle w:val="contentcontrolboundarysink"/>
          <w:rFonts w:asciiTheme="majorBidi" w:hAnsiTheme="majorBidi" w:cstheme="majorBidi"/>
          <w:color w:val="0F4761"/>
          <w:sz w:val="22"/>
          <w:szCs w:val="22"/>
          <w:lang w:val="en-GB"/>
        </w:rPr>
        <w:t>​</w:t>
      </w:r>
      <w:r w:rsidRPr="00ED7E61">
        <w:rPr>
          <w:rStyle w:val="normaltextrun"/>
          <w:rFonts w:ascii="Segoe UI Symbol" w:eastAsiaTheme="majorEastAsia" w:hAnsi="Segoe UI Symbol" w:cs="Segoe UI Symbol"/>
          <w:color w:val="000000"/>
          <w:sz w:val="22"/>
          <w:szCs w:val="22"/>
          <w:lang w:val="en-GB"/>
        </w:rPr>
        <w:t>☒</w:t>
      </w:r>
      <w:r w:rsidRPr="00ED7E61">
        <w:rPr>
          <w:rStyle w:val="contentcontrolboundarysink"/>
          <w:rFonts w:asciiTheme="majorBidi" w:hAnsiTheme="majorBidi" w:cstheme="majorBidi"/>
          <w:color w:val="0F4761"/>
          <w:sz w:val="22"/>
          <w:szCs w:val="22"/>
          <w:lang w:val="en-GB"/>
        </w:rPr>
        <w:t>​</w:t>
      </w:r>
      <w:r w:rsidRPr="00ED7E61">
        <w:rPr>
          <w:rStyle w:val="eop"/>
          <w:rFonts w:asciiTheme="majorBidi" w:eastAsiaTheme="majorEastAsia" w:hAnsiTheme="majorBidi" w:cstheme="majorBidi"/>
          <w:color w:val="000000"/>
          <w:sz w:val="22"/>
          <w:szCs w:val="22"/>
        </w:rPr>
        <w:t> </w:t>
      </w:r>
    </w:p>
    <w:p w14:paraId="3F616480" w14:textId="08739E6F" w:rsidR="00756F0F" w:rsidRPr="00ED7E61" w:rsidRDefault="00756F0F"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u w:val="single"/>
          <w:lang w:val="en-GB"/>
        </w:rPr>
        <w:t xml:space="preserve">8. </w:t>
      </w:r>
      <w:r w:rsidR="007D3CD8" w:rsidRPr="00ED7E61">
        <w:rPr>
          <w:rStyle w:val="normaltextrun"/>
          <w:rFonts w:asciiTheme="majorBidi" w:eastAsiaTheme="majorEastAsia" w:hAnsiTheme="majorBidi" w:cstheme="majorBidi"/>
          <w:b/>
          <w:bCs/>
          <w:sz w:val="22"/>
          <w:szCs w:val="22"/>
          <w:u w:val="single"/>
          <w:lang w:val="en-GB"/>
        </w:rPr>
        <w:t xml:space="preserve">Possible </w:t>
      </w:r>
      <w:r w:rsidRPr="00ED7E61">
        <w:rPr>
          <w:rStyle w:val="normaltextrun"/>
          <w:rFonts w:asciiTheme="majorBidi" w:eastAsiaTheme="majorEastAsia" w:hAnsiTheme="majorBidi" w:cstheme="majorBidi"/>
          <w:b/>
          <w:bCs/>
          <w:sz w:val="22"/>
          <w:szCs w:val="22"/>
          <w:u w:val="single"/>
          <w:lang w:val="en-GB"/>
        </w:rPr>
        <w:t>Disaggregation</w:t>
      </w:r>
      <w:r w:rsidR="007D3CD8" w:rsidRPr="00ED7E61">
        <w:rPr>
          <w:rStyle w:val="normaltextrun"/>
          <w:rFonts w:asciiTheme="majorBidi" w:eastAsiaTheme="majorEastAsia" w:hAnsiTheme="majorBidi" w:cstheme="majorBidi"/>
          <w:b/>
          <w:bCs/>
          <w:sz w:val="22"/>
          <w:szCs w:val="22"/>
          <w:u w:val="single"/>
          <w:lang w:val="en-GB"/>
        </w:rPr>
        <w:t>s</w:t>
      </w:r>
      <w:r w:rsidRPr="00ED7E61">
        <w:rPr>
          <w:rStyle w:val="eop"/>
          <w:rFonts w:asciiTheme="majorBidi" w:eastAsiaTheme="majorEastAsia" w:hAnsiTheme="majorBidi" w:cstheme="majorBidi"/>
          <w:sz w:val="22"/>
          <w:szCs w:val="22"/>
        </w:rPr>
        <w:t> </w:t>
      </w:r>
    </w:p>
    <w:p w14:paraId="50AF61AB" w14:textId="77777777" w:rsidR="00960CA6" w:rsidRPr="00ED7E61" w:rsidRDefault="00960CA6" w:rsidP="00B10F0C">
      <w:pPr>
        <w:pStyle w:val="CBDNormalNumber"/>
        <w:numPr>
          <w:ilvl w:val="0"/>
          <w:numId w:val="60"/>
        </w:numPr>
        <w:ind w:left="567" w:firstLine="0"/>
        <w:rPr>
          <w:rStyle w:val="normaltextrun"/>
          <w:sz w:val="24"/>
          <w:szCs w:val="24"/>
          <w:lang w:val="en-CA"/>
        </w:rPr>
      </w:pPr>
      <w:r w:rsidRPr="00ED7E61">
        <w:rPr>
          <w:rStyle w:val="normaltextrun"/>
        </w:rPr>
        <w:t>Species, taxa, rarity categories, habitat type, guilds. Of particular interest may be disaggregation between taxonomic groups e.g. birds, mammals, etc., and between threatened and non-threatened species.</w:t>
      </w:r>
    </w:p>
    <w:p w14:paraId="7C695096" w14:textId="77777777" w:rsidR="00756F0F" w:rsidRPr="00ED7E61" w:rsidRDefault="00756F0F" w:rsidP="005B0D1E">
      <w:pPr>
        <w:pStyle w:val="paragraph"/>
        <w:spacing w:before="0" w:beforeAutospacing="0" w:after="0" w:afterAutospacing="0"/>
        <w:textAlignment w:val="baseline"/>
        <w:rPr>
          <w:rStyle w:val="normaltextrun"/>
          <w:rFonts w:eastAsiaTheme="majorEastAsia"/>
          <w:b/>
          <w:bCs/>
          <w:u w:val="single"/>
          <w:lang w:val="en-GB"/>
        </w:rPr>
      </w:pPr>
      <w:r w:rsidRPr="00ED7E61">
        <w:rPr>
          <w:rStyle w:val="normaltextrun"/>
          <w:rFonts w:asciiTheme="majorBidi" w:eastAsiaTheme="majorEastAsia" w:hAnsiTheme="majorBidi" w:cstheme="majorBidi"/>
          <w:b/>
          <w:bCs/>
          <w:sz w:val="22"/>
          <w:szCs w:val="22"/>
          <w:u w:val="single"/>
          <w:lang w:val="en-GB"/>
        </w:rPr>
        <w:t>9. Related goals, targets and indicators</w:t>
      </w:r>
      <w:r w:rsidRPr="00ED7E61">
        <w:rPr>
          <w:rStyle w:val="normaltextrun"/>
          <w:rFonts w:eastAsiaTheme="majorEastAsia"/>
          <w:b/>
          <w:bCs/>
          <w:u w:val="single"/>
          <w:lang w:val="en-GB"/>
        </w:rPr>
        <w:t> </w:t>
      </w:r>
    </w:p>
    <w:p w14:paraId="6F45800D" w14:textId="021162EE" w:rsidR="00756F0F" w:rsidRPr="00ED7E61" w:rsidRDefault="00756F0F" w:rsidP="00B10F0C">
      <w:pPr>
        <w:pStyle w:val="CBDNormalNumber"/>
        <w:numPr>
          <w:ilvl w:val="0"/>
          <w:numId w:val="60"/>
        </w:numPr>
        <w:ind w:left="567" w:firstLine="0"/>
        <w:rPr>
          <w:rStyle w:val="normaltextrun"/>
          <w:sz w:val="24"/>
          <w:szCs w:val="24"/>
          <w:lang w:val="en-CA"/>
        </w:rPr>
      </w:pPr>
      <w:r w:rsidRPr="00ED7E61">
        <w:rPr>
          <w:rStyle w:val="normaltextrun"/>
        </w:rPr>
        <w:t xml:space="preserve">As noted by </w:t>
      </w:r>
      <w:hyperlink r:id="rId232" w:tgtFrame="_blank" w:history="1">
        <w:r w:rsidRPr="00ED7E61">
          <w:rPr>
            <w:rStyle w:val="normaltextrun"/>
          </w:rPr>
          <w:t>Hoban et al</w:t>
        </w:r>
        <w:r w:rsidR="00FF0D09">
          <w:rPr>
            <w:rStyle w:val="normaltextrun"/>
          </w:rPr>
          <w:t>.</w:t>
        </w:r>
        <w:r w:rsidRPr="00ED7E61">
          <w:rPr>
            <w:rStyle w:val="normaltextrun"/>
          </w:rPr>
          <w:t xml:space="preserve"> 2023a</w:t>
        </w:r>
      </w:hyperlink>
      <w:r w:rsidRPr="00ED7E61">
        <w:rPr>
          <w:rStyle w:val="normaltextrun"/>
        </w:rPr>
        <w:t>, this indicator is also relevant to Targets 1, 2, 3, 5, 9, 10 and 12. </w:t>
      </w:r>
    </w:p>
    <w:p w14:paraId="584E72C6" w14:textId="77777777" w:rsidR="00756F0F" w:rsidRPr="00ED7E61" w:rsidRDefault="00756F0F" w:rsidP="00B10F0C">
      <w:pPr>
        <w:pStyle w:val="CBDNormalNumber"/>
        <w:numPr>
          <w:ilvl w:val="0"/>
          <w:numId w:val="60"/>
        </w:numPr>
        <w:ind w:left="567" w:firstLine="0"/>
        <w:rPr>
          <w:rStyle w:val="normaltextrun"/>
        </w:rPr>
      </w:pPr>
      <w:r w:rsidRPr="00ED7E61">
        <w:rPr>
          <w:rStyle w:val="normaltextrun"/>
        </w:rPr>
        <w:t>Linked to and is complemented by other important genetic diversity indicators (</w:t>
      </w:r>
      <w:hyperlink r:id="rId233" w:tgtFrame="_blank" w:history="1">
        <w:r w:rsidRPr="00ED7E61">
          <w:rPr>
            <w:rStyle w:val="normaltextrun"/>
          </w:rPr>
          <w:t>CBD/COP/15/5</w:t>
        </w:r>
      </w:hyperlink>
      <w:r w:rsidRPr="00ED7E61">
        <w:rPr>
          <w:rStyle w:val="normaltextrun"/>
        </w:rPr>
        <w:t>), including: </w:t>
      </w:r>
    </w:p>
    <w:p w14:paraId="5496001A"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Proportion of populations maintained within species</w:t>
      </w:r>
      <w:r w:rsidRPr="00ED7E61">
        <w:rPr>
          <w:rStyle w:val="normaltextrun"/>
        </w:rPr>
        <w:t> </w:t>
      </w:r>
    </w:p>
    <w:p w14:paraId="198ECE0C"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Genetic diversity scorecard for wild species </w:t>
      </w:r>
      <w:hyperlink r:id="rId234" w:tgtFrame="_blank" w:history="1">
        <w:r w:rsidRPr="00ED7E61">
          <w:rPr>
            <w:rStyle w:val="normaltextrun"/>
            <w:rFonts w:asciiTheme="majorBidi" w:eastAsiaTheme="majorEastAsia" w:hAnsiTheme="majorBidi" w:cstheme="majorBidi"/>
          </w:rPr>
          <w:t>(O’Brien et al. 2022)</w:t>
        </w:r>
      </w:hyperlink>
      <w:r w:rsidRPr="00ED7E61">
        <w:rPr>
          <w:rStyle w:val="normaltextrun"/>
        </w:rPr>
        <w:t> </w:t>
      </w:r>
    </w:p>
    <w:p w14:paraId="16836BB8" w14:textId="7F3DB68C"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Comprehensiveness of conservation of socioeconomically as well as culturally valuable species  </w:t>
      </w:r>
      <w:hyperlink r:id="rId235" w:tgtFrame="_blank" w:history="1">
        <w:r w:rsidRPr="00ED7E61">
          <w:rPr>
            <w:rStyle w:val="normaltextrun"/>
            <w:rFonts w:asciiTheme="majorBidi" w:eastAsiaTheme="majorEastAsia" w:hAnsiTheme="majorBidi" w:cstheme="majorBidi"/>
          </w:rPr>
          <w:t>(Khoury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2019)</w:t>
        </w:r>
      </w:hyperlink>
      <w:r w:rsidRPr="00ED7E61">
        <w:rPr>
          <w:rStyle w:val="normaltextrun"/>
          <w:rFonts w:asciiTheme="majorBidi" w:eastAsiaTheme="majorEastAsia" w:hAnsiTheme="majorBidi" w:cstheme="majorBidi"/>
        </w:rPr>
        <w:t>, </w:t>
      </w:r>
      <w:r w:rsidRPr="00ED7E61">
        <w:rPr>
          <w:rStyle w:val="normaltextrun"/>
        </w:rPr>
        <w:t> </w:t>
      </w:r>
    </w:p>
    <w:p w14:paraId="4AC81EA7"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Proportion of local breeds classified as being at risk, extinction </w:t>
      </w:r>
      <w:r w:rsidRPr="00ED7E61">
        <w:rPr>
          <w:rStyle w:val="normaltextrun"/>
        </w:rPr>
        <w:t> </w:t>
      </w:r>
    </w:p>
    <w:p w14:paraId="7A4CB7F8" w14:textId="77777777" w:rsidR="00756F0F" w:rsidRPr="00ED7E61" w:rsidRDefault="00756F0F" w:rsidP="00B10F0C">
      <w:pPr>
        <w:pStyle w:val="CBDNormalNumber"/>
        <w:numPr>
          <w:ilvl w:val="1"/>
          <w:numId w:val="6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Number of plant and animal genetic resources for food and agriculture secured in either medium- or long-term conservation facilities</w:t>
      </w:r>
      <w:r w:rsidRPr="00ED7E61">
        <w:rPr>
          <w:rStyle w:val="normaltextrun"/>
        </w:rPr>
        <w:t> </w:t>
      </w:r>
    </w:p>
    <w:p w14:paraId="58F3ECAA" w14:textId="67DB08BF" w:rsidR="00960CA6" w:rsidRPr="00ED7E61" w:rsidRDefault="00960CA6" w:rsidP="00B10F0C">
      <w:pPr>
        <w:pStyle w:val="CBDNormalNumber"/>
        <w:numPr>
          <w:ilvl w:val="0"/>
          <w:numId w:val="60"/>
        </w:numPr>
        <w:ind w:left="567" w:firstLine="0"/>
        <w:rPr>
          <w:rStyle w:val="normaltextrun"/>
        </w:rPr>
      </w:pPr>
      <w:r w:rsidRPr="00ED7E61">
        <w:rPr>
          <w:rStyle w:val="normaltextrun"/>
        </w:rPr>
        <w:t xml:space="preserve">The Species Habitat Index (SHI) could be a useful related indicator, for comparison, but is not a replacement for this Headline Indicator because it does not relate to maintaining genetic diversity within populations, cannot apply to domesticated species or breeds, and only considers genetic diversity lost due to habitat loss. </w:t>
      </w:r>
    </w:p>
    <w:p w14:paraId="20CB18D1" w14:textId="0398D025" w:rsidR="00960CA6" w:rsidRPr="00ED7E61" w:rsidRDefault="00960CA6" w:rsidP="00B10F0C">
      <w:pPr>
        <w:pStyle w:val="CBDNormalNumber"/>
        <w:numPr>
          <w:ilvl w:val="0"/>
          <w:numId w:val="60"/>
        </w:numPr>
        <w:ind w:left="567" w:firstLine="0"/>
        <w:rPr>
          <w:rStyle w:val="normaltextrun"/>
        </w:rPr>
      </w:pPr>
      <w:r w:rsidRPr="00ED7E61">
        <w:rPr>
          <w:rStyle w:val="normaltextrun"/>
        </w:rPr>
        <w:t>The caretakers of this indicator have also developed guidance and suggestions for NBSAPs and are available to help support capacity as countries develop their NBSAPs.  A peer reviewed publication and policy brief in multiple languages can be found here: https://www.coalitionforconservationgenetics.org/resources-database/genetic-diversity-can-now-be-monitored-worldwide-ezylk </w:t>
      </w:r>
    </w:p>
    <w:p w14:paraId="1E4C2428" w14:textId="2A83C259" w:rsidR="00756F0F" w:rsidRPr="00ED7E61" w:rsidRDefault="00756F0F"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6A13E4E0" w14:textId="58EB87BD"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96790B">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1840571E" w14:textId="77777777" w:rsidR="00756F0F" w:rsidRPr="00ED7E61" w:rsidRDefault="00756F0F" w:rsidP="00B3383B">
      <w:pPr>
        <w:pStyle w:val="CBDNormalNumber"/>
        <w:numPr>
          <w:ilvl w:val="0"/>
          <w:numId w:val="0"/>
        </w:numPr>
        <w:ind w:left="567"/>
        <w:rPr>
          <w:rStyle w:val="contentcontrolboundarysink"/>
          <w:sz w:val="24"/>
          <w:szCs w:val="24"/>
          <w:lang w:val="en-CA"/>
        </w:rPr>
      </w:pPr>
      <w:r w:rsidRPr="00ED7E61">
        <w:rPr>
          <w:rStyle w:val="contentcontrolboundarysink"/>
        </w:rPr>
        <w:t>Group on Earth Observations Biodiversity Observation Network (GEO BON) </w:t>
      </w:r>
    </w:p>
    <w:p w14:paraId="775AE965" w14:textId="77777777" w:rsidR="00756F0F" w:rsidRPr="00ED7E61" w:rsidRDefault="00756F0F" w:rsidP="00B3383B">
      <w:pPr>
        <w:pStyle w:val="CBDNormalNumber"/>
        <w:numPr>
          <w:ilvl w:val="0"/>
          <w:numId w:val="0"/>
        </w:numPr>
        <w:ind w:left="567"/>
        <w:rPr>
          <w:rStyle w:val="contentcontrolboundarysink"/>
        </w:rPr>
      </w:pPr>
      <w:r w:rsidRPr="00ED7E61">
        <w:rPr>
          <w:rStyle w:val="contentcontrolboundarysink"/>
        </w:rPr>
        <w:t>The Morton Arboretum </w:t>
      </w:r>
    </w:p>
    <w:p w14:paraId="75B8BD2D" w14:textId="77777777" w:rsidR="00756F0F" w:rsidRPr="00ED7E61" w:rsidRDefault="00756F0F" w:rsidP="00B3383B">
      <w:pPr>
        <w:pStyle w:val="CBDNormalNumber"/>
        <w:numPr>
          <w:ilvl w:val="0"/>
          <w:numId w:val="0"/>
        </w:numPr>
        <w:ind w:left="567"/>
        <w:rPr>
          <w:rStyle w:val="contentcontrolboundarysink"/>
        </w:rPr>
      </w:pPr>
      <w:r w:rsidRPr="00ED7E61">
        <w:rPr>
          <w:rStyle w:val="contentcontrolboundarysink"/>
        </w:rPr>
        <w:t>Stockholm University </w:t>
      </w:r>
    </w:p>
    <w:p w14:paraId="4B3E605B" w14:textId="77777777" w:rsidR="00756F0F" w:rsidRPr="00ED7E61" w:rsidRDefault="00756F0F" w:rsidP="00B3383B">
      <w:pPr>
        <w:pStyle w:val="CBDNormalNumber"/>
        <w:numPr>
          <w:ilvl w:val="0"/>
          <w:numId w:val="0"/>
        </w:numPr>
        <w:ind w:left="567"/>
        <w:rPr>
          <w:rStyle w:val="contentcontrolboundarysink"/>
        </w:rPr>
      </w:pPr>
      <w:r w:rsidRPr="00ED7E61">
        <w:rPr>
          <w:rStyle w:val="contentcontrolboundarysink"/>
        </w:rPr>
        <w:t>G-BiKE </w:t>
      </w:r>
    </w:p>
    <w:p w14:paraId="25151DF3" w14:textId="6FCD70B7" w:rsidR="00756F0F" w:rsidRPr="00ED7E61" w:rsidRDefault="00756F0F" w:rsidP="00B3383B">
      <w:pPr>
        <w:pStyle w:val="CBDNormalNumber"/>
        <w:numPr>
          <w:ilvl w:val="0"/>
          <w:numId w:val="0"/>
        </w:numPr>
        <w:ind w:left="567"/>
      </w:pPr>
      <w:r w:rsidRPr="00ED7E61">
        <w:rPr>
          <w:rStyle w:val="contentcontrolboundarysink"/>
        </w:rPr>
        <w:t>Coalition for Conservation Genetics </w:t>
      </w:r>
    </w:p>
    <w:p w14:paraId="362ABFC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210C209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lang w:val="es-ES"/>
        </w:rPr>
      </w:pPr>
      <w:r w:rsidRPr="00ED7E61">
        <w:rPr>
          <w:rStyle w:val="normaltextrun"/>
          <w:rFonts w:asciiTheme="majorBidi" w:eastAsiaTheme="majorEastAsia" w:hAnsiTheme="majorBidi" w:cstheme="majorBidi"/>
          <w:color w:val="000000"/>
          <w:sz w:val="22"/>
          <w:szCs w:val="22"/>
          <w:lang w:val="es-CO"/>
        </w:rPr>
        <w:t>Sean Hoban (</w:t>
      </w:r>
      <w:hyperlink r:id="rId236" w:tgtFrame="_blank" w:history="1">
        <w:r w:rsidRPr="00ED7E61">
          <w:rPr>
            <w:rStyle w:val="normaltextrun"/>
            <w:rFonts w:asciiTheme="majorBidi" w:eastAsiaTheme="majorEastAsia" w:hAnsiTheme="majorBidi" w:cstheme="majorBidi"/>
            <w:color w:val="0563C1"/>
            <w:sz w:val="22"/>
            <w:szCs w:val="22"/>
            <w:u w:val="single"/>
            <w:lang w:val="es-CO"/>
          </w:rPr>
          <w:t>shoban@mortonarb.org</w:t>
        </w:r>
      </w:hyperlink>
      <w:r w:rsidRPr="00ED7E61">
        <w:rPr>
          <w:rStyle w:val="normaltextrun"/>
          <w:rFonts w:asciiTheme="majorBidi" w:eastAsiaTheme="majorEastAsia" w:hAnsiTheme="majorBidi" w:cstheme="majorBidi"/>
          <w:color w:val="000000"/>
          <w:sz w:val="22"/>
          <w:szCs w:val="22"/>
          <w:lang w:val="es-CO"/>
        </w:rPr>
        <w:t>)</w:t>
      </w:r>
      <w:r w:rsidRPr="00ED7E61">
        <w:rPr>
          <w:rStyle w:val="eop"/>
          <w:rFonts w:asciiTheme="majorBidi" w:eastAsiaTheme="majorEastAsia" w:hAnsiTheme="majorBidi" w:cstheme="majorBidi"/>
          <w:color w:val="000000"/>
          <w:sz w:val="22"/>
          <w:szCs w:val="22"/>
          <w:lang w:val="es-ES"/>
        </w:rPr>
        <w:t> </w:t>
      </w:r>
    </w:p>
    <w:p w14:paraId="694B1EE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lang w:val="fi-FI"/>
        </w:rPr>
      </w:pPr>
      <w:r w:rsidRPr="00ED7E61">
        <w:rPr>
          <w:rStyle w:val="normaltextrun"/>
          <w:rFonts w:asciiTheme="majorBidi" w:eastAsiaTheme="majorEastAsia" w:hAnsiTheme="majorBidi" w:cstheme="majorBidi"/>
          <w:color w:val="000000"/>
          <w:sz w:val="22"/>
          <w:szCs w:val="22"/>
          <w:lang w:val="fi-FI"/>
        </w:rPr>
        <w:t>Linda Laikre (</w:t>
      </w:r>
      <w:hyperlink r:id="rId237" w:tgtFrame="_blank" w:history="1">
        <w:r w:rsidRPr="00ED7E61">
          <w:rPr>
            <w:rStyle w:val="normaltextrun"/>
            <w:rFonts w:asciiTheme="majorBidi" w:eastAsiaTheme="majorEastAsia" w:hAnsiTheme="majorBidi" w:cstheme="majorBidi"/>
            <w:color w:val="0563C1"/>
            <w:sz w:val="22"/>
            <w:szCs w:val="22"/>
            <w:u w:val="single"/>
            <w:lang w:val="fi-FI"/>
          </w:rPr>
          <w:t>linda.laikre@popgen.su.se</w:t>
        </w:r>
      </w:hyperlink>
      <w:r w:rsidRPr="00ED7E61">
        <w:rPr>
          <w:rStyle w:val="normaltextrun"/>
          <w:rFonts w:asciiTheme="majorBidi" w:eastAsiaTheme="majorEastAsia" w:hAnsiTheme="majorBidi" w:cstheme="majorBidi"/>
          <w:color w:val="000000"/>
          <w:sz w:val="22"/>
          <w:szCs w:val="22"/>
          <w:lang w:val="fi-FI"/>
        </w:rPr>
        <w:t>)</w:t>
      </w:r>
      <w:r w:rsidRPr="00ED7E61">
        <w:rPr>
          <w:rStyle w:val="eop"/>
          <w:rFonts w:asciiTheme="majorBidi" w:eastAsiaTheme="majorEastAsia" w:hAnsiTheme="majorBidi" w:cstheme="majorBidi"/>
          <w:color w:val="000000"/>
          <w:sz w:val="22"/>
          <w:szCs w:val="22"/>
          <w:lang w:val="fi-FI"/>
        </w:rPr>
        <w:t> </w:t>
      </w:r>
    </w:p>
    <w:p w14:paraId="01ECE91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lang w:val="es-ES"/>
        </w:rPr>
      </w:pPr>
      <w:r w:rsidRPr="00ED7E61">
        <w:rPr>
          <w:rStyle w:val="normaltextrun"/>
          <w:rFonts w:asciiTheme="majorBidi" w:eastAsiaTheme="majorEastAsia" w:hAnsiTheme="majorBidi" w:cstheme="majorBidi"/>
          <w:color w:val="000000"/>
          <w:sz w:val="22"/>
          <w:szCs w:val="22"/>
          <w:lang w:val="es-CO"/>
        </w:rPr>
        <w:t>Alicia Mastretta-Yanes (</w:t>
      </w:r>
      <w:hyperlink r:id="rId238" w:tgtFrame="_blank" w:history="1">
        <w:r w:rsidRPr="00ED7E61">
          <w:rPr>
            <w:rStyle w:val="normaltextrun"/>
            <w:rFonts w:asciiTheme="majorBidi" w:eastAsiaTheme="majorEastAsia" w:hAnsiTheme="majorBidi" w:cstheme="majorBidi"/>
            <w:color w:val="0563C1"/>
            <w:sz w:val="22"/>
            <w:szCs w:val="22"/>
            <w:u w:val="single"/>
            <w:lang w:val="es-CO"/>
          </w:rPr>
          <w:t>amastretta@conabio.gob.mx</w:t>
        </w:r>
      </w:hyperlink>
      <w:r w:rsidRPr="00ED7E61">
        <w:rPr>
          <w:rStyle w:val="normaltextrun"/>
          <w:rFonts w:asciiTheme="majorBidi" w:eastAsiaTheme="majorEastAsia" w:hAnsiTheme="majorBidi" w:cstheme="majorBidi"/>
          <w:color w:val="000000"/>
          <w:sz w:val="22"/>
          <w:szCs w:val="22"/>
          <w:lang w:val="es-CO"/>
        </w:rPr>
        <w:t>) </w:t>
      </w:r>
      <w:r w:rsidRPr="00ED7E61">
        <w:rPr>
          <w:rStyle w:val="eop"/>
          <w:rFonts w:asciiTheme="majorBidi" w:eastAsiaTheme="majorEastAsia" w:hAnsiTheme="majorBidi" w:cstheme="majorBidi"/>
          <w:color w:val="000000"/>
          <w:sz w:val="22"/>
          <w:szCs w:val="22"/>
          <w:lang w:val="es-ES"/>
        </w:rPr>
        <w:t> </w:t>
      </w:r>
    </w:p>
    <w:p w14:paraId="78B7168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lang w:val="es-ES"/>
        </w:rPr>
      </w:pPr>
      <w:r w:rsidRPr="00ED7E61">
        <w:rPr>
          <w:rStyle w:val="normaltextrun"/>
          <w:rFonts w:asciiTheme="majorBidi" w:eastAsiaTheme="majorEastAsia" w:hAnsiTheme="majorBidi" w:cstheme="majorBidi"/>
          <w:color w:val="000000"/>
          <w:sz w:val="22"/>
          <w:szCs w:val="22"/>
          <w:lang w:val="es-CO"/>
        </w:rPr>
        <w:t>Jessica da Silva (</w:t>
      </w:r>
      <w:hyperlink r:id="rId239" w:tgtFrame="_blank" w:history="1">
        <w:r w:rsidRPr="00ED7E61">
          <w:rPr>
            <w:rStyle w:val="normaltextrun"/>
            <w:rFonts w:asciiTheme="majorBidi" w:eastAsiaTheme="majorEastAsia" w:hAnsiTheme="majorBidi" w:cstheme="majorBidi"/>
            <w:color w:val="0563C1"/>
            <w:sz w:val="22"/>
            <w:szCs w:val="22"/>
            <w:u w:val="single"/>
            <w:lang w:val="es-CO"/>
          </w:rPr>
          <w:t>J.DaSilva@sanbi.org.za</w:t>
        </w:r>
      </w:hyperlink>
      <w:r w:rsidRPr="00ED7E61">
        <w:rPr>
          <w:rStyle w:val="normaltextrun"/>
          <w:rFonts w:asciiTheme="majorBidi" w:eastAsiaTheme="majorEastAsia" w:hAnsiTheme="majorBidi" w:cstheme="majorBidi"/>
          <w:color w:val="000000"/>
          <w:sz w:val="22"/>
          <w:szCs w:val="22"/>
          <w:lang w:val="es-CO"/>
        </w:rPr>
        <w:t>) </w:t>
      </w:r>
      <w:r w:rsidRPr="00ED7E61">
        <w:rPr>
          <w:rStyle w:val="eop"/>
          <w:rFonts w:asciiTheme="majorBidi" w:eastAsiaTheme="majorEastAsia" w:hAnsiTheme="majorBidi" w:cstheme="majorBidi"/>
          <w:color w:val="000000"/>
          <w:sz w:val="22"/>
          <w:szCs w:val="22"/>
          <w:lang w:val="es-ES"/>
        </w:rPr>
        <w:t> </w:t>
      </w:r>
    </w:p>
    <w:p w14:paraId="22E75C7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lang w:val="fr-FR"/>
        </w:rPr>
      </w:pPr>
      <w:r w:rsidRPr="00ED7E61">
        <w:rPr>
          <w:rStyle w:val="normaltextrun"/>
          <w:rFonts w:asciiTheme="majorBidi" w:eastAsiaTheme="majorEastAsia" w:hAnsiTheme="majorBidi" w:cstheme="majorBidi"/>
          <w:color w:val="000000"/>
          <w:sz w:val="22"/>
          <w:szCs w:val="22"/>
          <w:lang w:val="fr-FR"/>
        </w:rPr>
        <w:t>GEO BON (</w:t>
      </w:r>
      <w:hyperlink r:id="rId240" w:tgtFrame="_blank" w:history="1">
        <w:r w:rsidRPr="00ED7E61">
          <w:rPr>
            <w:rStyle w:val="normaltextrun"/>
            <w:rFonts w:asciiTheme="majorBidi" w:eastAsiaTheme="majorEastAsia" w:hAnsiTheme="majorBidi" w:cstheme="majorBidi"/>
            <w:color w:val="0563C1"/>
            <w:sz w:val="22"/>
            <w:szCs w:val="22"/>
            <w:u w:val="single"/>
            <w:lang w:val="fr-FR"/>
          </w:rPr>
          <w:t>info@geobon.org</w:t>
        </w:r>
      </w:hyperlink>
      <w:r w:rsidRPr="00ED7E61">
        <w:rPr>
          <w:rStyle w:val="normaltextrun"/>
          <w:rFonts w:asciiTheme="majorBidi" w:eastAsiaTheme="majorEastAsia" w:hAnsiTheme="majorBidi" w:cstheme="majorBidi"/>
          <w:color w:val="000000"/>
          <w:sz w:val="22"/>
          <w:szCs w:val="22"/>
          <w:lang w:val="fr-FR"/>
        </w:rPr>
        <w:t>)</w:t>
      </w:r>
      <w:r w:rsidRPr="00ED7E61">
        <w:rPr>
          <w:rStyle w:val="eop"/>
          <w:rFonts w:asciiTheme="majorBidi" w:eastAsiaTheme="majorEastAsia" w:hAnsiTheme="majorBidi" w:cstheme="majorBidi"/>
          <w:color w:val="000000"/>
          <w:sz w:val="22"/>
          <w:szCs w:val="22"/>
          <w:lang w:val="fr-FR"/>
        </w:rPr>
        <w:t> </w:t>
      </w:r>
    </w:p>
    <w:p w14:paraId="20D1EBC3" w14:textId="77777777" w:rsidR="00756F0F" w:rsidRPr="00ED7E61" w:rsidRDefault="00756F0F"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11. References</w:t>
      </w:r>
      <w:r w:rsidRPr="00ED7E61">
        <w:rPr>
          <w:rStyle w:val="eop"/>
          <w:rFonts w:asciiTheme="majorBidi" w:eastAsiaTheme="majorEastAsia" w:hAnsiTheme="majorBidi" w:cstheme="majorBidi"/>
          <w:sz w:val="22"/>
          <w:szCs w:val="22"/>
        </w:rPr>
        <w:t> </w:t>
      </w:r>
    </w:p>
    <w:p w14:paraId="304E5EB9" w14:textId="77777777" w:rsidR="00756F0F" w:rsidRPr="00ED7E61" w:rsidRDefault="00756F0F" w:rsidP="00395866">
      <w:pPr>
        <w:pStyle w:val="paragraph"/>
        <w:spacing w:before="0" w:beforeAutospacing="0" w:after="0" w:afterAutospacing="0"/>
        <w:ind w:left="720" w:hanging="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Relevant background.</w:t>
      </w:r>
      <w:r w:rsidRPr="00ED7E61">
        <w:rPr>
          <w:rStyle w:val="eop"/>
          <w:rFonts w:asciiTheme="majorBidi" w:eastAsiaTheme="majorEastAsia" w:hAnsiTheme="majorBidi" w:cstheme="majorBidi"/>
          <w:sz w:val="22"/>
          <w:szCs w:val="22"/>
        </w:rPr>
        <w:t> </w:t>
      </w:r>
    </w:p>
    <w:p w14:paraId="44764901" w14:textId="50737263"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b/>
          <w:bCs/>
        </w:rPr>
        <w:t> </w:t>
      </w:r>
      <w:r w:rsidRPr="00ED7E61">
        <w:rPr>
          <w:rStyle w:val="normaltextrun"/>
          <w:rFonts w:asciiTheme="majorBidi" w:eastAsiaTheme="majorEastAsia" w:hAnsiTheme="majorBidi" w:cstheme="majorBidi"/>
        </w:rPr>
        <w:t>Hoban et al</w:t>
      </w:r>
      <w:r w:rsidR="00FF0D0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(2023a). Genetic diversity Goals and Targets have improved, but remain insufficient. Conservation Genetics 24, 181–191.. </w:t>
      </w:r>
      <w:hyperlink r:id="rId241" w:tgtFrame="_blank" w:history="1">
        <w:r w:rsidRPr="00ED7E61">
          <w:rPr>
            <w:rStyle w:val="normaltextrun"/>
            <w:rFonts w:asciiTheme="majorBidi" w:eastAsiaTheme="majorEastAsia" w:hAnsiTheme="majorBidi" w:cstheme="majorBidi"/>
            <w:color w:val="0000FF"/>
          </w:rPr>
          <w:t>https://doi.org/10.1007/s10592-022-01492-0</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762B0F1E" w14:textId="6E641040"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color w:val="000000"/>
        </w:rPr>
        <w:t xml:space="preserve">Hoban, S., Bruford, M., Funk, W.C., Galbusera, P., Griffith, M.P., Grueber, C.E., Heuertz, M., Hunter, M.E., Hvilsom, C., Kalamujic, S.B., Kershaw, F., et al. (2021). Global commitments to conserving and monitoring genetic diversity are now necessary and feasible. </w:t>
      </w:r>
      <w:r w:rsidRPr="00ED7E61">
        <w:rPr>
          <w:rStyle w:val="normaltextrun"/>
          <w:rFonts w:asciiTheme="majorBidi" w:eastAsiaTheme="majorEastAsia" w:hAnsiTheme="majorBidi" w:cstheme="majorBidi"/>
          <w:i/>
          <w:iCs/>
          <w:color w:val="000000"/>
        </w:rPr>
        <w:t>BioScience</w:t>
      </w:r>
      <w:r w:rsidRPr="00ED7E61">
        <w:rPr>
          <w:rStyle w:val="normaltextrun"/>
          <w:rFonts w:asciiTheme="majorBidi" w:eastAsiaTheme="majorEastAsia" w:hAnsiTheme="majorBidi" w:cstheme="majorBidi"/>
          <w:color w:val="000000"/>
        </w:rPr>
        <w:t>, 71, 964–976.</w:t>
      </w:r>
      <w:r w:rsidRPr="00ED7E61">
        <w:rPr>
          <w:rStyle w:val="eop"/>
          <w:rFonts w:asciiTheme="majorBidi" w:eastAsiaTheme="majorEastAsia" w:hAnsiTheme="majorBidi" w:cstheme="majorBidi"/>
          <w:color w:val="000000"/>
        </w:rPr>
        <w:t> </w:t>
      </w:r>
    </w:p>
    <w:p w14:paraId="0F40C2D1" w14:textId="2A723FF6"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color w:val="000000"/>
        </w:rPr>
        <w:t xml:space="preserve">Laikre, L., Hohenlohe, P.A., Allendorf, F.W., Bertola, L.D., Breed, M.F., Bruford, M.W., Funk, W.C., Gajardo, G., González-Rodríguez, A., Grueber, C.E., Hedrick, P.W., et al. (2021). Authors’ Reply to Letter to the Editor: Continued improvement to genetic diversity indicator for CBD. </w:t>
      </w:r>
      <w:r w:rsidRPr="00ED7E61">
        <w:rPr>
          <w:rStyle w:val="normaltextrun"/>
          <w:rFonts w:asciiTheme="majorBidi" w:eastAsiaTheme="majorEastAsia" w:hAnsiTheme="majorBidi" w:cstheme="majorBidi"/>
          <w:i/>
          <w:iCs/>
          <w:color w:val="000000"/>
        </w:rPr>
        <w:t>Conservation Genetics</w:t>
      </w:r>
      <w:r w:rsidRPr="00ED7E61">
        <w:rPr>
          <w:rStyle w:val="normaltextrun"/>
          <w:rFonts w:asciiTheme="majorBidi" w:eastAsiaTheme="majorEastAsia" w:hAnsiTheme="majorBidi" w:cstheme="majorBidi"/>
          <w:color w:val="000000"/>
        </w:rPr>
        <w:t xml:space="preserve">,22, 533–536. </w:t>
      </w:r>
      <w:hyperlink r:id="rId242" w:tgtFrame="_blank" w:history="1">
        <w:r w:rsidRPr="00ED7E61">
          <w:rPr>
            <w:rStyle w:val="normaltextrun"/>
            <w:rFonts w:asciiTheme="majorBidi" w:eastAsiaTheme="majorEastAsia" w:hAnsiTheme="majorBidi" w:cstheme="majorBidi"/>
            <w:color w:val="0563C1"/>
            <w:u w:val="single"/>
          </w:rPr>
          <w:t>https://doi.org/10.1007/s10592-021-01359-w</w:t>
        </w:r>
      </w:hyperlink>
      <w:r w:rsidRPr="00ED7E61">
        <w:rPr>
          <w:rStyle w:val="eop"/>
          <w:rFonts w:asciiTheme="majorBidi" w:eastAsiaTheme="majorEastAsia" w:hAnsiTheme="majorBidi" w:cstheme="majorBidi"/>
          <w:color w:val="000000"/>
        </w:rPr>
        <w:t> </w:t>
      </w:r>
    </w:p>
    <w:p w14:paraId="7246D466" w14:textId="77725D80"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color w:val="000000"/>
        </w:rPr>
        <w:t xml:space="preserve">Laikre, L., Nilsson, T., Primmer, C.R., Ryman, N. and Allendorf, F.W. (2009). Importance of genetics in the interpretation of favourable conservation status. </w:t>
      </w:r>
      <w:r w:rsidRPr="00ED7E61">
        <w:rPr>
          <w:rStyle w:val="normaltextrun"/>
          <w:rFonts w:asciiTheme="majorBidi" w:eastAsiaTheme="majorEastAsia" w:hAnsiTheme="majorBidi" w:cstheme="majorBidi"/>
          <w:i/>
          <w:iCs/>
          <w:color w:val="000000"/>
        </w:rPr>
        <w:t>Conservation Biology</w:t>
      </w:r>
      <w:r w:rsidRPr="00ED7E61">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i/>
          <w:iCs/>
          <w:color w:val="000000"/>
        </w:rPr>
        <w:t>23,</w:t>
      </w:r>
      <w:r w:rsidRPr="00ED7E61">
        <w:rPr>
          <w:rStyle w:val="normaltextrun"/>
          <w:rFonts w:asciiTheme="majorBidi" w:eastAsiaTheme="majorEastAsia" w:hAnsiTheme="majorBidi" w:cstheme="majorBidi"/>
          <w:color w:val="000000"/>
        </w:rPr>
        <w:t xml:space="preserve"> 1378-1381.</w:t>
      </w:r>
      <w:r w:rsidRPr="00ED7E61">
        <w:rPr>
          <w:rStyle w:val="eop"/>
          <w:rFonts w:asciiTheme="majorBidi" w:eastAsiaTheme="majorEastAsia" w:hAnsiTheme="majorBidi" w:cstheme="majorBidi"/>
          <w:color w:val="000000"/>
        </w:rPr>
        <w:t> </w:t>
      </w:r>
    </w:p>
    <w:p w14:paraId="16AADBC4" w14:textId="77777777" w:rsidR="00756F0F"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color w:val="000000"/>
        </w:rPr>
        <w:t xml:space="preserve">Frankham, R. (1995). Effective population size/adult population size ratios in wildlife: a review. </w:t>
      </w:r>
      <w:r w:rsidRPr="00ED7E61">
        <w:rPr>
          <w:rStyle w:val="normaltextrun"/>
          <w:rFonts w:asciiTheme="majorBidi" w:eastAsiaTheme="majorEastAsia" w:hAnsiTheme="majorBidi" w:cstheme="majorBidi"/>
          <w:i/>
          <w:iCs/>
          <w:color w:val="000000"/>
        </w:rPr>
        <w:t>Genetic Research</w:t>
      </w:r>
      <w:r w:rsidRPr="00ED7E61">
        <w:rPr>
          <w:rStyle w:val="normaltextrun"/>
          <w:rFonts w:asciiTheme="majorBidi" w:eastAsiaTheme="majorEastAsia" w:hAnsiTheme="majorBidi" w:cstheme="majorBidi"/>
          <w:color w:val="000000"/>
        </w:rPr>
        <w:t>, 66, 95–107.</w:t>
      </w:r>
      <w:r w:rsidRPr="00ED7E61">
        <w:rPr>
          <w:rStyle w:val="eop"/>
          <w:rFonts w:asciiTheme="majorBidi" w:eastAsiaTheme="majorEastAsia" w:hAnsiTheme="majorBidi" w:cstheme="majorBidi"/>
          <w:color w:val="000000"/>
        </w:rPr>
        <w:t> </w:t>
      </w:r>
    </w:p>
    <w:p w14:paraId="33BD9B3C" w14:textId="77777777" w:rsidR="00756F0F" w:rsidRPr="00ED7E61" w:rsidRDefault="00756F0F" w:rsidP="00395866">
      <w:pPr>
        <w:pStyle w:val="paragraph"/>
        <w:spacing w:before="0" w:beforeAutospacing="0" w:after="0" w:afterAutospacing="0"/>
        <w:ind w:left="720" w:hanging="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GB"/>
        </w:rPr>
        <w:t>Description of the indicator. </w:t>
      </w:r>
      <w:r w:rsidRPr="00ED7E61">
        <w:rPr>
          <w:rStyle w:val="eop"/>
          <w:rFonts w:asciiTheme="majorBidi" w:eastAsiaTheme="majorEastAsia" w:hAnsiTheme="majorBidi" w:cstheme="majorBidi"/>
          <w:color w:val="000000"/>
          <w:sz w:val="22"/>
          <w:szCs w:val="22"/>
        </w:rPr>
        <w:t> </w:t>
      </w:r>
    </w:p>
    <w:p w14:paraId="4E716F72" w14:textId="391DBC21"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color w:val="000000"/>
        </w:rPr>
        <w:t xml:space="preserve">Hoban, S., Paz-Vinas, I., Aitken, S., Bertola, L., Breed, M.F., Bruford, M., Funk, C., Grueber, C., Heuertz, M., Hohenlohe, P., Hunter, M., et al. (2021). Effective population size remains a suitable, pragmatic indicator of genetic diversity for all species, including forest trees. </w:t>
      </w:r>
      <w:r w:rsidRPr="00ED7E61">
        <w:rPr>
          <w:rStyle w:val="normaltextrun"/>
          <w:rFonts w:asciiTheme="majorBidi" w:eastAsiaTheme="majorEastAsia" w:hAnsiTheme="majorBidi" w:cstheme="majorBidi"/>
          <w:i/>
          <w:iCs/>
          <w:color w:val="000000"/>
        </w:rPr>
        <w:t>Biological Conservation</w:t>
      </w:r>
      <w:r w:rsidRPr="00ED7E61">
        <w:rPr>
          <w:rStyle w:val="normaltextrun"/>
          <w:rFonts w:asciiTheme="majorBidi" w:eastAsiaTheme="majorEastAsia" w:hAnsiTheme="majorBidi" w:cstheme="majorBidi"/>
          <w:color w:val="000000"/>
        </w:rPr>
        <w:t>, 253, 108906.</w:t>
      </w:r>
      <w:r w:rsidRPr="00ED7E61">
        <w:rPr>
          <w:rStyle w:val="eop"/>
          <w:rFonts w:asciiTheme="majorBidi" w:eastAsiaTheme="majorEastAsia" w:hAnsiTheme="majorBidi" w:cstheme="majorBidi"/>
          <w:color w:val="000000"/>
        </w:rPr>
        <w:t> </w:t>
      </w:r>
    </w:p>
    <w:p w14:paraId="714061E4" w14:textId="5ACF79E9" w:rsidR="00756F0F" w:rsidRPr="00ED7E61" w:rsidRDefault="00756F0F" w:rsidP="00B3383B">
      <w:pPr>
        <w:pStyle w:val="CBDNormalNumber"/>
        <w:numPr>
          <w:ilvl w:val="0"/>
          <w:numId w:val="0"/>
        </w:numPr>
        <w:ind w:left="567"/>
        <w:rPr>
          <w:rFonts w:asciiTheme="majorBidi" w:hAnsiTheme="majorBidi" w:cstheme="majorBidi"/>
        </w:rPr>
      </w:pPr>
      <w:r w:rsidRPr="00525F8B">
        <w:rPr>
          <w:rStyle w:val="normaltextrun"/>
          <w:rFonts w:asciiTheme="majorBidi" w:eastAsiaTheme="majorEastAsia" w:hAnsiTheme="majorBidi" w:cstheme="majorBidi"/>
          <w:color w:val="000000"/>
          <w:lang w:val="en-CA"/>
        </w:rPr>
        <w:t xml:space="preserve">Hoban, S., Bruford, M., D’Urban Jackson, J., Lopes-Fernandes, M., Heuertz, M., Hohenlohe, P.A., et al. </w:t>
      </w:r>
      <w:r w:rsidRPr="00ED7E61">
        <w:rPr>
          <w:rStyle w:val="normaltextrun"/>
          <w:rFonts w:asciiTheme="majorBidi" w:eastAsiaTheme="majorEastAsia" w:hAnsiTheme="majorBidi" w:cstheme="majorBidi"/>
          <w:color w:val="000000"/>
        </w:rPr>
        <w:t>(2020). Genetic diversity targets and indicators in the CBD post-2020 Global Biodiversity Framework must be improved</w:t>
      </w:r>
      <w:r w:rsidRPr="00ED7E61">
        <w:rPr>
          <w:rStyle w:val="normaltextrun"/>
          <w:rFonts w:asciiTheme="majorBidi" w:eastAsiaTheme="majorEastAsia" w:hAnsiTheme="majorBidi" w:cstheme="majorBidi"/>
          <w:i/>
          <w:iCs/>
          <w:color w:val="000000"/>
        </w:rPr>
        <w:t>. Biological Conservation</w:t>
      </w:r>
      <w:r w:rsidRPr="00ED7E61">
        <w:rPr>
          <w:rStyle w:val="normaltextrun"/>
          <w:rFonts w:asciiTheme="majorBidi" w:eastAsiaTheme="majorEastAsia" w:hAnsiTheme="majorBidi" w:cstheme="majorBidi"/>
          <w:color w:val="000000"/>
        </w:rPr>
        <w:t xml:space="preserve">, 248, 108654. </w:t>
      </w:r>
      <w:hyperlink r:id="rId243" w:tgtFrame="_blank" w:history="1">
        <w:r w:rsidRPr="00ED7E61">
          <w:rPr>
            <w:rStyle w:val="normaltextrun"/>
            <w:rFonts w:asciiTheme="majorBidi" w:eastAsiaTheme="majorEastAsia" w:hAnsiTheme="majorBidi" w:cstheme="majorBidi"/>
            <w:color w:val="000000"/>
          </w:rPr>
          <w:t>https://doi.org/10.1016/j.biocon.2020.108654</w:t>
        </w:r>
      </w:hyperlink>
      <w:r w:rsidRPr="00ED7E61">
        <w:rPr>
          <w:rStyle w:val="eop"/>
          <w:rFonts w:asciiTheme="majorBidi" w:eastAsiaTheme="majorEastAsia" w:hAnsiTheme="majorBidi" w:cstheme="majorBidi"/>
          <w:color w:val="000000"/>
        </w:rPr>
        <w:t> </w:t>
      </w:r>
    </w:p>
    <w:p w14:paraId="4DF8628F" w14:textId="77777777" w:rsidR="00756F0F" w:rsidRPr="00ED7E61" w:rsidRDefault="00756F0F" w:rsidP="00395866">
      <w:pPr>
        <w:pStyle w:val="paragraph"/>
        <w:spacing w:before="0" w:beforeAutospacing="0" w:after="0" w:afterAutospacing="0"/>
        <w:ind w:left="720" w:hanging="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GB"/>
        </w:rPr>
        <w:t>Resources and guidance, description of methods for indicator deployment.</w:t>
      </w:r>
      <w:r w:rsidRPr="00ED7E61">
        <w:rPr>
          <w:rStyle w:val="normaltextrun"/>
          <w:rFonts w:asciiTheme="majorBidi" w:eastAsiaTheme="majorEastAsia" w:hAnsiTheme="majorBidi" w:cstheme="majorBidi"/>
          <w:color w:val="000000"/>
          <w:sz w:val="22"/>
          <w:szCs w:val="22"/>
          <w:lang w:val="en-GB"/>
        </w:rPr>
        <w:t> </w:t>
      </w:r>
      <w:r w:rsidRPr="00ED7E61">
        <w:rPr>
          <w:rStyle w:val="eop"/>
          <w:rFonts w:asciiTheme="majorBidi" w:eastAsiaTheme="majorEastAsia" w:hAnsiTheme="majorBidi" w:cstheme="majorBidi"/>
          <w:color w:val="000000"/>
          <w:sz w:val="22"/>
          <w:szCs w:val="22"/>
        </w:rPr>
        <w:t> </w:t>
      </w:r>
    </w:p>
    <w:p w14:paraId="648D8471" w14:textId="6152AF3F" w:rsidR="00E51D62" w:rsidRPr="00525F8B" w:rsidRDefault="00756F0F" w:rsidP="00B3383B">
      <w:pPr>
        <w:pStyle w:val="CBDNormalNumber"/>
        <w:numPr>
          <w:ilvl w:val="0"/>
          <w:numId w:val="0"/>
        </w:numPr>
        <w:ind w:left="567"/>
        <w:rPr>
          <w:rFonts w:asciiTheme="majorBidi" w:hAnsiTheme="majorBidi" w:cstheme="majorBidi"/>
          <w:lang w:val="fr-FR"/>
        </w:rPr>
      </w:pPr>
      <w:r w:rsidRPr="00ED7E61">
        <w:rPr>
          <w:rStyle w:val="normaltextrun"/>
          <w:rFonts w:asciiTheme="majorBidi" w:eastAsiaTheme="majorEastAsia" w:hAnsiTheme="majorBidi" w:cstheme="majorBidi"/>
          <w:color w:val="000000"/>
        </w:rPr>
        <w:t>Hoban et al</w:t>
      </w:r>
      <w:r w:rsidR="00FF0D09">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(2023b). Monitoring status and trends in genetic diversity for the Convention on Biological Diversity: an ongoing assessment of genetic indicators in nine countries. </w:t>
      </w:r>
      <w:r w:rsidRPr="00525F8B">
        <w:rPr>
          <w:rStyle w:val="normaltextrun"/>
          <w:rFonts w:asciiTheme="majorBidi" w:eastAsiaTheme="majorEastAsia" w:hAnsiTheme="majorBidi" w:cstheme="majorBidi"/>
          <w:color w:val="000000"/>
          <w:lang w:val="fr-FR"/>
        </w:rPr>
        <w:t>Conservation Letters 00, e12953. https://doi.org/10.1111/conl.12953 </w:t>
      </w:r>
      <w:r w:rsidRPr="00525F8B">
        <w:rPr>
          <w:rStyle w:val="eop"/>
          <w:rFonts w:asciiTheme="majorBidi" w:eastAsiaTheme="majorEastAsia" w:hAnsiTheme="majorBidi" w:cstheme="majorBidi"/>
          <w:color w:val="000000"/>
          <w:lang w:val="fr-FR"/>
        </w:rPr>
        <w:t> </w:t>
      </w:r>
    </w:p>
    <w:p w14:paraId="50E8EA99" w14:textId="366413E4" w:rsidR="00E51D62" w:rsidRPr="00ED7E61" w:rsidRDefault="007D21A2" w:rsidP="00B3383B">
      <w:pPr>
        <w:pStyle w:val="CBDNormalNumber"/>
        <w:numPr>
          <w:ilvl w:val="0"/>
          <w:numId w:val="0"/>
        </w:numPr>
        <w:ind w:left="567"/>
        <w:rPr>
          <w:rStyle w:val="normaltextrun"/>
          <w:rFonts w:asciiTheme="majorBidi" w:eastAsiaTheme="majorEastAsia" w:hAnsiTheme="majorBidi" w:cstheme="majorBidi"/>
          <w:color w:val="000000"/>
        </w:rPr>
      </w:pPr>
      <w:r w:rsidRPr="00525F8B">
        <w:rPr>
          <w:rStyle w:val="normaltextrun"/>
          <w:rFonts w:asciiTheme="majorBidi" w:eastAsiaTheme="majorEastAsia" w:hAnsiTheme="majorBidi" w:cstheme="majorBidi"/>
          <w:color w:val="000000"/>
          <w:lang w:val="fr-FR"/>
        </w:rPr>
        <w:t xml:space="preserve">Published guidelines: Mastretta-Yanes et al. </w:t>
      </w:r>
      <w:r w:rsidRPr="00ED7E61">
        <w:rPr>
          <w:rStyle w:val="normaltextrun"/>
          <w:rFonts w:asciiTheme="majorBidi" w:eastAsiaTheme="majorEastAsia" w:hAnsiTheme="majorBidi" w:cstheme="majorBidi"/>
          <w:color w:val="000000"/>
        </w:rPr>
        <w:t xml:space="preserve">(2024) Guideline Materials and Documentation for the Genetic Diversity Indicators of the Monitoring Framework for the Kunming-Montreal Global Biodiversity Framework. Biodiversity Informatics 18. https://doi.org/10.17161/bi.v18i.22332. Online guidelines: https://ccgenetics.github.io/guidelines-genetic-diversity-indicators/ . </w:t>
      </w:r>
    </w:p>
    <w:p w14:paraId="6500C193" w14:textId="3BF3FDD8"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color w:val="000000"/>
        </w:rPr>
        <w:t>Supporting Information for:  Hoban et al. (2023b) Monitoring status and trends in genetic diversity for the Convention on Biological Diversity: an ongoing assessment of genetic indicators in nine countries. Conservation Letters 00, e12953. https://doi.org/10.1111/conl.12953 </w:t>
      </w:r>
      <w:r w:rsidRPr="00ED7E61">
        <w:rPr>
          <w:rStyle w:val="eop"/>
          <w:rFonts w:asciiTheme="majorBidi" w:eastAsiaTheme="majorEastAsia" w:hAnsiTheme="majorBidi" w:cstheme="majorBidi"/>
          <w:color w:val="000000"/>
        </w:rPr>
        <w:t> </w:t>
      </w:r>
    </w:p>
    <w:p w14:paraId="77AF78BC" w14:textId="183997DF" w:rsidR="00756F0F"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color w:val="000000"/>
        </w:rPr>
        <w:t xml:space="preserve">Hoban, S., da Silva, J., Hughes, A., Hunter, M., Stroil, B.K., Laikre, L., Yanes, A.M., Millette, K., Paz-Vinas, I., Ruiz, L. et al. (2023c). Too simple, too complex, or just right? Advantages, challenges and resolutions for indicators of genetic diversity. </w:t>
      </w:r>
      <w:r w:rsidRPr="00ED7E61">
        <w:rPr>
          <w:rStyle w:val="normaltextrun"/>
          <w:rFonts w:asciiTheme="majorBidi" w:eastAsiaTheme="majorEastAsia" w:hAnsiTheme="majorBidi" w:cstheme="majorBidi"/>
          <w:i/>
          <w:iCs/>
          <w:color w:val="000000"/>
        </w:rPr>
        <w:t>Bioarxiv preprint</w:t>
      </w:r>
      <w:r w:rsidRPr="00ED7E61">
        <w:rPr>
          <w:rStyle w:val="eop"/>
          <w:rFonts w:asciiTheme="majorBidi" w:eastAsiaTheme="majorEastAsia" w:hAnsiTheme="majorBidi" w:cstheme="majorBidi"/>
          <w:color w:val="000000"/>
        </w:rPr>
        <w:t> </w:t>
      </w:r>
    </w:p>
    <w:p w14:paraId="21B7ABB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12. Graphs and diagrams</w:t>
      </w:r>
      <w:r w:rsidRPr="00ED7E61">
        <w:rPr>
          <w:rStyle w:val="eop"/>
          <w:rFonts w:asciiTheme="majorBidi" w:eastAsiaTheme="majorEastAsia" w:hAnsiTheme="majorBidi" w:cstheme="majorBidi"/>
          <w:sz w:val="22"/>
          <w:szCs w:val="22"/>
        </w:rPr>
        <w:t> </w:t>
      </w:r>
    </w:p>
    <w:p w14:paraId="1E42BEFB" w14:textId="1A5E0F2E" w:rsidR="00756F0F" w:rsidRPr="00ED7E61" w:rsidRDefault="00756F0F" w:rsidP="00395866">
      <w:pPr>
        <w:shd w:val="clear" w:color="auto" w:fill="FFFFFF"/>
        <w:rPr>
          <w:rFonts w:asciiTheme="majorBidi" w:hAnsiTheme="majorBidi" w:cstheme="majorBidi"/>
          <w:color w:val="000000"/>
          <w:sz w:val="22"/>
          <w:szCs w:val="22"/>
        </w:rPr>
      </w:pPr>
    </w:p>
    <w:p w14:paraId="59CABF37" w14:textId="28FD8FDC" w:rsidR="00956C65" w:rsidRPr="00ED7E61" w:rsidRDefault="00956C65" w:rsidP="00395866">
      <w:pPr>
        <w:pStyle w:val="paragraph"/>
        <w:spacing w:before="0" w:beforeAutospacing="0" w:after="0" w:afterAutospacing="0"/>
        <w:textAlignment w:val="baseline"/>
        <w:rPr>
          <w:rFonts w:asciiTheme="majorBidi" w:hAnsiTheme="majorBidi" w:cstheme="majorBidi"/>
          <w:sz w:val="22"/>
          <w:szCs w:val="22"/>
        </w:rPr>
      </w:pPr>
    </w:p>
    <w:p w14:paraId="355A022E" w14:textId="77777777" w:rsidR="009A563F" w:rsidRPr="00ED7E61" w:rsidRDefault="007D21A2" w:rsidP="007D21A2">
      <w:pPr>
        <w:pStyle w:val="paragraph"/>
        <w:spacing w:before="0" w:beforeAutospacing="0" w:after="0" w:afterAutospacing="0"/>
        <w:textAlignment w:val="baseline"/>
        <w:rPr>
          <w:rStyle w:val="normaltextrun"/>
          <w:rFonts w:asciiTheme="majorBidi" w:eastAsiaTheme="majorEastAsia" w:hAnsiTheme="majorBidi" w:cstheme="majorBidi"/>
          <w:sz w:val="22"/>
          <w:szCs w:val="22"/>
          <w:lang w:val="en-GB"/>
        </w:rPr>
      </w:pPr>
      <w:r w:rsidRPr="00ED7E61">
        <w:rPr>
          <w:noProof/>
          <w:sz w:val="22"/>
          <w:szCs w:val="22"/>
          <w:lang w:val="fr-FR" w:eastAsia="fr-FR"/>
        </w:rPr>
        <w:drawing>
          <wp:inline distT="114300" distB="114300" distL="114300" distR="114300" wp14:anchorId="728E84D9" wp14:editId="608B6806">
            <wp:extent cx="3745149" cy="3579778"/>
            <wp:effectExtent l="0" t="0" r="1905" b="1905"/>
            <wp:docPr id="41" name="image10.png" descr="A diagram of a map with different colored trees&#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10.png" descr="A diagram of a map with different colored trees&#10;&#10;Description automatically generated"/>
                    <pic:cNvPicPr preferRelativeResize="0"/>
                  </pic:nvPicPr>
                  <pic:blipFill>
                    <a:blip r:embed="rId244"/>
                    <a:srcRect/>
                    <a:stretch>
                      <a:fillRect/>
                    </a:stretch>
                  </pic:blipFill>
                  <pic:spPr>
                    <a:xfrm>
                      <a:off x="0" y="0"/>
                      <a:ext cx="3753338" cy="3587606"/>
                    </a:xfrm>
                    <a:prstGeom prst="rect">
                      <a:avLst/>
                    </a:prstGeom>
                    <a:ln/>
                  </pic:spPr>
                </pic:pic>
              </a:graphicData>
            </a:graphic>
          </wp:inline>
        </w:drawing>
      </w:r>
    </w:p>
    <w:p w14:paraId="658A1D91" w14:textId="3769FC9D" w:rsidR="007D21A2" w:rsidRPr="00B3383B" w:rsidRDefault="007D21A2" w:rsidP="007D21A2">
      <w:pPr>
        <w:pStyle w:val="paragraph"/>
        <w:spacing w:before="0" w:beforeAutospacing="0" w:after="0" w:afterAutospacing="0"/>
        <w:textAlignment w:val="baseline"/>
        <w:rPr>
          <w:rFonts w:asciiTheme="majorBidi" w:hAnsiTheme="majorBidi" w:cstheme="majorBidi"/>
          <w:i/>
          <w:iCs/>
          <w:sz w:val="22"/>
          <w:szCs w:val="22"/>
        </w:rPr>
      </w:pPr>
      <w:r w:rsidRPr="00ED7E61">
        <w:rPr>
          <w:rStyle w:val="normaltextrun"/>
          <w:rFonts w:asciiTheme="majorBidi" w:eastAsiaTheme="majorEastAsia" w:hAnsiTheme="majorBidi" w:cstheme="majorBidi"/>
          <w:sz w:val="22"/>
          <w:szCs w:val="22"/>
          <w:lang w:val="en-GB"/>
        </w:rPr>
        <w:t xml:space="preserve">Figure </w:t>
      </w:r>
      <w:r w:rsidR="00FB33CD">
        <w:rPr>
          <w:rStyle w:val="normaltextrun"/>
          <w:rFonts w:asciiTheme="majorBidi" w:eastAsiaTheme="majorEastAsia" w:hAnsiTheme="majorBidi" w:cstheme="majorBidi"/>
          <w:sz w:val="22"/>
          <w:szCs w:val="22"/>
          <w:lang w:val="en-GB"/>
        </w:rPr>
        <w:t>I</w:t>
      </w:r>
      <w:r w:rsidRPr="00ED7E61">
        <w:rPr>
          <w:rStyle w:val="normaltextrun"/>
          <w:rFonts w:asciiTheme="majorBidi" w:eastAsiaTheme="majorEastAsia" w:hAnsiTheme="majorBidi" w:cstheme="majorBidi"/>
          <w:sz w:val="22"/>
          <w:szCs w:val="22"/>
          <w:lang w:val="en-GB"/>
        </w:rPr>
        <w:t xml:space="preserve">. </w:t>
      </w:r>
      <w:r w:rsidR="0096790B">
        <w:rPr>
          <w:rStyle w:val="normaltextrun"/>
          <w:rFonts w:asciiTheme="majorBidi" w:eastAsiaTheme="majorEastAsia" w:hAnsiTheme="majorBidi" w:cstheme="majorBidi"/>
          <w:sz w:val="22"/>
          <w:szCs w:val="22"/>
          <w:lang w:val="en-GB"/>
        </w:rPr>
        <w:br/>
      </w:r>
      <w:r w:rsidRPr="00B3383B">
        <w:rPr>
          <w:rStyle w:val="normaltextrun"/>
          <w:rFonts w:asciiTheme="majorBidi" w:eastAsiaTheme="majorEastAsia" w:hAnsiTheme="majorBidi" w:cstheme="majorBidi"/>
          <w:b/>
          <w:bCs/>
          <w:sz w:val="22"/>
          <w:szCs w:val="22"/>
          <w:lang w:val="en-GB"/>
        </w:rPr>
        <w:t>Example of the three genetic diversity indicators, for four hypothetical populations in Illinois, USA</w:t>
      </w:r>
      <w:r w:rsidRPr="00ED7E61">
        <w:rPr>
          <w:rStyle w:val="normaltextrun"/>
          <w:rFonts w:asciiTheme="majorBidi" w:eastAsiaTheme="majorEastAsia" w:hAnsiTheme="majorBidi" w:cstheme="majorBidi"/>
          <w:sz w:val="22"/>
          <w:szCs w:val="22"/>
          <w:lang w:val="en-GB"/>
        </w:rPr>
        <w:t xml:space="preserve">. </w:t>
      </w:r>
      <w:r w:rsidRPr="00B3383B">
        <w:rPr>
          <w:rStyle w:val="normaltextrun"/>
          <w:rFonts w:asciiTheme="majorBidi" w:eastAsiaTheme="majorEastAsia" w:hAnsiTheme="majorBidi" w:cstheme="majorBidi"/>
          <w:i/>
          <w:iCs/>
          <w:sz w:val="22"/>
          <w:szCs w:val="22"/>
          <w:lang w:val="en-GB"/>
        </w:rPr>
        <w:t xml:space="preserve">One tree = 1,000 plants (five trees = 5,000 plants). Colors illustrate genetic variation within and among populations. Baseline monitoring occurred in 2010, with the species represented by 4 populations. In 2020, 1 of 4 extant populations has </w:t>
      </w:r>
      <w:r w:rsidRPr="0096790B">
        <w:rPr>
          <w:rStyle w:val="normaltextrun"/>
          <w:rFonts w:asciiTheme="majorBidi" w:eastAsiaTheme="majorEastAsia" w:hAnsiTheme="majorBidi" w:cstheme="majorBidi"/>
          <w:i/>
          <w:iCs/>
          <w:sz w:val="22"/>
          <w:szCs w:val="22"/>
          <w:lang w:val="en-GB"/>
        </w:rPr>
        <w:t>N</w:t>
      </w:r>
      <w:r w:rsidRPr="0096790B">
        <w:rPr>
          <w:rStyle w:val="normaltextrun"/>
          <w:rFonts w:asciiTheme="majorBidi" w:eastAsiaTheme="majorEastAsia" w:hAnsiTheme="majorBidi" w:cstheme="majorBidi"/>
          <w:i/>
          <w:iCs/>
          <w:sz w:val="22"/>
          <w:szCs w:val="22"/>
          <w:vertAlign w:val="subscript"/>
          <w:lang w:val="en-GB"/>
        </w:rPr>
        <w:t>c</w:t>
      </w:r>
      <w:r w:rsidRPr="00B3383B">
        <w:rPr>
          <w:rStyle w:val="normaltextrun"/>
          <w:rFonts w:asciiTheme="majorBidi" w:eastAsiaTheme="majorEastAsia" w:hAnsiTheme="majorBidi" w:cstheme="majorBidi"/>
          <w:i/>
          <w:iCs/>
          <w:sz w:val="22"/>
          <w:szCs w:val="22"/>
          <w:lang w:val="en-GB"/>
        </w:rPr>
        <w:t xml:space="preserve"> &gt; 5,000 (</w:t>
      </w:r>
      <w:r w:rsidRPr="0096790B">
        <w:rPr>
          <w:rStyle w:val="normaltextrun"/>
          <w:rFonts w:asciiTheme="majorBidi" w:eastAsiaTheme="majorEastAsia" w:hAnsiTheme="majorBidi" w:cstheme="majorBidi"/>
          <w:i/>
          <w:iCs/>
          <w:sz w:val="22"/>
          <w:szCs w:val="22"/>
          <w:lang w:val="en-GB"/>
        </w:rPr>
        <w:t>N</w:t>
      </w:r>
      <w:r w:rsidRPr="0096790B">
        <w:rPr>
          <w:rStyle w:val="normaltextrun"/>
          <w:rFonts w:asciiTheme="majorBidi" w:eastAsiaTheme="majorEastAsia" w:hAnsiTheme="majorBidi" w:cstheme="majorBidi"/>
          <w:i/>
          <w:iCs/>
          <w:sz w:val="22"/>
          <w:szCs w:val="22"/>
          <w:vertAlign w:val="subscript"/>
          <w:lang w:val="en-GB"/>
        </w:rPr>
        <w:t>e</w:t>
      </w:r>
      <w:r w:rsidRPr="00B3383B">
        <w:rPr>
          <w:rStyle w:val="normaltextrun"/>
          <w:rFonts w:asciiTheme="majorBidi" w:eastAsiaTheme="majorEastAsia" w:hAnsiTheme="majorBidi" w:cstheme="majorBidi"/>
          <w:i/>
          <w:iCs/>
          <w:sz w:val="22"/>
          <w:szCs w:val="22"/>
          <w:lang w:val="en-GB"/>
        </w:rPr>
        <w:t xml:space="preserve">&gt;500 considering an effective to census size ratio of </w:t>
      </w:r>
      <w:r w:rsidRPr="0096790B">
        <w:rPr>
          <w:rStyle w:val="normaltextrun"/>
          <w:rFonts w:asciiTheme="majorBidi" w:eastAsiaTheme="majorEastAsia" w:hAnsiTheme="majorBidi" w:cstheme="majorBidi"/>
          <w:i/>
          <w:iCs/>
          <w:sz w:val="22"/>
          <w:szCs w:val="22"/>
          <w:lang w:val="en-GB"/>
        </w:rPr>
        <w:t>N</w:t>
      </w:r>
      <w:r w:rsidRPr="0096790B">
        <w:rPr>
          <w:rStyle w:val="normaltextrun"/>
          <w:rFonts w:asciiTheme="majorBidi" w:eastAsiaTheme="majorEastAsia" w:hAnsiTheme="majorBidi" w:cstheme="majorBidi"/>
          <w:i/>
          <w:iCs/>
          <w:sz w:val="22"/>
          <w:szCs w:val="22"/>
          <w:vertAlign w:val="subscript"/>
          <w:lang w:val="en-GB"/>
        </w:rPr>
        <w:t>e</w:t>
      </w:r>
      <w:r w:rsidRPr="0096790B">
        <w:rPr>
          <w:rStyle w:val="normaltextrun"/>
          <w:rFonts w:asciiTheme="majorBidi" w:eastAsiaTheme="majorEastAsia" w:hAnsiTheme="majorBidi" w:cstheme="majorBidi"/>
          <w:i/>
          <w:iCs/>
          <w:sz w:val="22"/>
          <w:szCs w:val="22"/>
          <w:lang w:val="en-GB"/>
        </w:rPr>
        <w:t>/N</w:t>
      </w:r>
      <w:r w:rsidRPr="0096790B">
        <w:rPr>
          <w:rStyle w:val="normaltextrun"/>
          <w:rFonts w:asciiTheme="majorBidi" w:eastAsiaTheme="majorEastAsia" w:hAnsiTheme="majorBidi" w:cstheme="majorBidi"/>
          <w:i/>
          <w:iCs/>
          <w:sz w:val="22"/>
          <w:szCs w:val="22"/>
          <w:vertAlign w:val="subscript"/>
          <w:lang w:val="en-GB"/>
        </w:rPr>
        <w:t>c</w:t>
      </w:r>
      <w:r w:rsidRPr="00B3383B">
        <w:rPr>
          <w:rStyle w:val="normaltextrun"/>
          <w:rFonts w:asciiTheme="majorBidi" w:eastAsiaTheme="majorEastAsia" w:hAnsiTheme="majorBidi" w:cstheme="majorBidi"/>
          <w:i/>
          <w:iCs/>
          <w:sz w:val="22"/>
          <w:szCs w:val="22"/>
          <w:lang w:val="en-GB"/>
        </w:rPr>
        <w:t xml:space="preserve"> = 0.1) and thus large enough to maintain genetic diversity (indicator 1). Note that one population recently became extinct and was considered to have an Ne = 0. Three of four populations are maintained (indicator 2). DNA-based methods have been used to monitor genetic diversity in two populations (indicator 3 - a value of 1 means that one or more populations of the species is monitored with DNA-based methods).</w:t>
      </w:r>
      <w:r w:rsidRPr="00B3383B">
        <w:rPr>
          <w:rStyle w:val="eop"/>
          <w:rFonts w:asciiTheme="majorBidi" w:eastAsiaTheme="majorEastAsia" w:hAnsiTheme="majorBidi" w:cstheme="majorBidi"/>
          <w:i/>
          <w:iCs/>
          <w:sz w:val="22"/>
          <w:szCs w:val="22"/>
        </w:rPr>
        <w:t> </w:t>
      </w:r>
    </w:p>
    <w:p w14:paraId="521680E3" w14:textId="7F2AAF36" w:rsidR="00956C65" w:rsidRPr="00ED7E61" w:rsidRDefault="00956C65"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445B717C" w14:textId="232D1BF2" w:rsidR="00956C65" w:rsidRPr="00B3383B" w:rsidRDefault="00956C65" w:rsidP="00395866">
      <w:pPr>
        <w:pStyle w:val="paragraph"/>
        <w:spacing w:before="0" w:beforeAutospacing="0" w:after="0" w:afterAutospacing="0"/>
        <w:textAlignment w:val="baseline"/>
        <w:rPr>
          <w:rFonts w:asciiTheme="majorBidi" w:hAnsiTheme="majorBidi" w:cstheme="majorBidi"/>
          <w:i/>
          <w:iCs/>
          <w:sz w:val="22"/>
          <w:szCs w:val="22"/>
        </w:rPr>
      </w:pPr>
      <w:r w:rsidRPr="00ED7E61">
        <w:rPr>
          <w:rStyle w:val="wacimagecontainer"/>
          <w:rFonts w:asciiTheme="majorBidi" w:eastAsiaTheme="majorEastAsia" w:hAnsiTheme="majorBidi" w:cstheme="majorBidi"/>
          <w:noProof/>
          <w:sz w:val="22"/>
          <w:szCs w:val="22"/>
          <w:lang w:val="fr-FR" w:eastAsia="fr-FR"/>
        </w:rPr>
        <w:drawing>
          <wp:inline distT="0" distB="0" distL="0" distR="0" wp14:anchorId="0F989929" wp14:editId="167C6A30">
            <wp:extent cx="5734050" cy="3467100"/>
            <wp:effectExtent l="0" t="0" r="0" b="0"/>
            <wp:docPr id="356520152" name="Picture 6" descr="A diagram of life cycle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20152" name="Picture 6" descr="A diagram of life cycle of fish&#10;&#10;Description automatically generated"/>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34050" cy="3467100"/>
                    </a:xfrm>
                    <a:prstGeom prst="rect">
                      <a:avLst/>
                    </a:prstGeom>
                    <a:noFill/>
                    <a:ln>
                      <a:noFill/>
                    </a:ln>
                  </pic:spPr>
                </pic:pic>
              </a:graphicData>
            </a:graphic>
          </wp:inline>
        </w:drawing>
      </w:r>
      <w:r w:rsidRPr="00ED7E61">
        <w:rPr>
          <w:rStyle w:val="normaltextrun"/>
          <w:rFonts w:asciiTheme="majorBidi" w:eastAsiaTheme="majorEastAsia" w:hAnsiTheme="majorBidi" w:cstheme="majorBidi"/>
          <w:sz w:val="22"/>
          <w:szCs w:val="22"/>
          <w:lang w:val="en-GB"/>
        </w:rPr>
        <w:t xml:space="preserve">Figure </w:t>
      </w:r>
      <w:r w:rsidR="00FB33CD">
        <w:rPr>
          <w:rStyle w:val="normaltextrun"/>
          <w:rFonts w:asciiTheme="majorBidi" w:eastAsiaTheme="majorEastAsia" w:hAnsiTheme="majorBidi" w:cstheme="majorBidi"/>
          <w:sz w:val="22"/>
          <w:szCs w:val="22"/>
          <w:lang w:val="en-GB"/>
        </w:rPr>
        <w:t>II.</w:t>
      </w:r>
      <w:r w:rsidRPr="00ED7E61">
        <w:rPr>
          <w:rStyle w:val="normaltextrun"/>
          <w:rFonts w:asciiTheme="majorBidi" w:eastAsiaTheme="majorEastAsia" w:hAnsiTheme="majorBidi" w:cstheme="majorBidi"/>
          <w:sz w:val="22"/>
          <w:szCs w:val="22"/>
          <w:lang w:val="en-GB"/>
        </w:rPr>
        <w:t xml:space="preserve"> </w:t>
      </w:r>
      <w:r w:rsidR="00A26683">
        <w:rPr>
          <w:rStyle w:val="normaltextrun"/>
          <w:rFonts w:asciiTheme="majorBidi" w:eastAsiaTheme="majorEastAsia" w:hAnsiTheme="majorBidi" w:cstheme="majorBidi"/>
          <w:sz w:val="22"/>
          <w:szCs w:val="22"/>
          <w:lang w:val="en-GB"/>
        </w:rPr>
        <w:br/>
      </w:r>
      <w:r w:rsidRPr="00B3383B">
        <w:rPr>
          <w:rStyle w:val="normaltextrun"/>
          <w:rFonts w:asciiTheme="majorBidi" w:eastAsiaTheme="majorEastAsia" w:hAnsiTheme="majorBidi" w:cstheme="majorBidi"/>
          <w:b/>
          <w:bCs/>
          <w:sz w:val="22"/>
          <w:szCs w:val="22"/>
          <w:lang w:val="en-GB"/>
        </w:rPr>
        <w:t>Pictorial representation of how genetic diversity is found within and among populations</w:t>
      </w:r>
      <w:r w:rsidRPr="00ED7E61">
        <w:rPr>
          <w:rStyle w:val="normaltextrun"/>
          <w:rFonts w:asciiTheme="majorBidi" w:eastAsiaTheme="majorEastAsia" w:hAnsiTheme="majorBidi" w:cstheme="majorBidi"/>
          <w:sz w:val="22"/>
          <w:szCs w:val="22"/>
          <w:lang w:val="en-GB"/>
        </w:rPr>
        <w:t xml:space="preserve"> </w:t>
      </w:r>
      <w:r w:rsidRPr="00B3383B">
        <w:rPr>
          <w:rStyle w:val="normaltextrun"/>
          <w:rFonts w:asciiTheme="majorBidi" w:eastAsiaTheme="majorEastAsia" w:hAnsiTheme="majorBidi" w:cstheme="majorBidi"/>
          <w:b/>
          <w:bCs/>
          <w:sz w:val="22"/>
          <w:szCs w:val="22"/>
          <w:lang w:val="en-GB"/>
        </w:rPr>
        <w:t>(see color variations) and is the foundation for species adaptability and for entire ecosystems.</w:t>
      </w:r>
      <w:r w:rsidRPr="00ED7E61">
        <w:rPr>
          <w:rStyle w:val="normaltextrun"/>
          <w:rFonts w:asciiTheme="majorBidi" w:eastAsiaTheme="majorEastAsia" w:hAnsiTheme="majorBidi" w:cstheme="majorBidi"/>
          <w:sz w:val="22"/>
          <w:szCs w:val="22"/>
          <w:lang w:val="en-GB"/>
        </w:rPr>
        <w:t xml:space="preserve">  </w:t>
      </w:r>
      <w:r w:rsidR="001E4724">
        <w:rPr>
          <w:rStyle w:val="normaltextrun"/>
          <w:rFonts w:asciiTheme="majorBidi" w:eastAsiaTheme="majorEastAsia" w:hAnsiTheme="majorBidi" w:cstheme="majorBidi"/>
          <w:sz w:val="22"/>
          <w:szCs w:val="22"/>
          <w:lang w:val="en-GB"/>
        </w:rPr>
        <w:br/>
      </w:r>
      <w:r w:rsidRPr="00B3383B">
        <w:rPr>
          <w:rStyle w:val="normaltextrun"/>
          <w:rFonts w:asciiTheme="majorBidi" w:eastAsiaTheme="majorEastAsia" w:hAnsiTheme="majorBidi" w:cstheme="majorBidi"/>
          <w:i/>
          <w:iCs/>
          <w:sz w:val="22"/>
          <w:szCs w:val="22"/>
          <w:lang w:val="en-GB"/>
        </w:rPr>
        <w:t>Genetic diversity ultimately is seen at the DNA level and can be conserved with large (</w:t>
      </w:r>
      <w:r w:rsidRPr="001E4724">
        <w:rPr>
          <w:rStyle w:val="normaltextrun"/>
          <w:rFonts w:asciiTheme="majorBidi" w:eastAsiaTheme="majorEastAsia" w:hAnsiTheme="majorBidi" w:cstheme="majorBidi"/>
          <w:i/>
          <w:iCs/>
          <w:sz w:val="22"/>
          <w:szCs w:val="22"/>
          <w:lang w:val="en-GB"/>
        </w:rPr>
        <w:t>N</w:t>
      </w:r>
      <w:r w:rsidRPr="001E4724">
        <w:rPr>
          <w:rStyle w:val="normaltextrun"/>
          <w:rFonts w:asciiTheme="majorBidi" w:eastAsiaTheme="majorEastAsia" w:hAnsiTheme="majorBidi" w:cstheme="majorBidi"/>
          <w:i/>
          <w:iCs/>
          <w:sz w:val="22"/>
          <w:szCs w:val="22"/>
          <w:vertAlign w:val="subscript"/>
          <w:lang w:val="en-GB"/>
        </w:rPr>
        <w:t>e</w:t>
      </w:r>
      <w:r w:rsidRPr="00B3383B">
        <w:rPr>
          <w:rStyle w:val="normaltextrun"/>
          <w:rFonts w:asciiTheme="majorBidi" w:eastAsiaTheme="majorEastAsia" w:hAnsiTheme="majorBidi" w:cstheme="majorBidi"/>
          <w:i/>
          <w:iCs/>
          <w:sz w:val="22"/>
          <w:szCs w:val="22"/>
          <w:lang w:val="en-GB"/>
        </w:rPr>
        <w:t xml:space="preserve"> </w:t>
      </w:r>
      <w:r w:rsidRPr="00B3383B">
        <w:rPr>
          <w:rStyle w:val="normaltextrun"/>
          <w:rFonts w:ascii="Cambria Math" w:eastAsiaTheme="majorEastAsia" w:hAnsi="Cambria Math" w:cs="Cambria Math"/>
          <w:i/>
          <w:iCs/>
          <w:sz w:val="22"/>
          <w:szCs w:val="22"/>
          <w:lang w:val="en-GB"/>
        </w:rPr>
        <w:t>⩾</w:t>
      </w:r>
      <w:r w:rsidRPr="00B3383B">
        <w:rPr>
          <w:rStyle w:val="normaltextrun"/>
          <w:rFonts w:asciiTheme="majorBidi" w:eastAsiaTheme="majorEastAsia" w:hAnsiTheme="majorBidi" w:cstheme="majorBidi"/>
          <w:i/>
          <w:iCs/>
          <w:sz w:val="22"/>
          <w:szCs w:val="22"/>
          <w:lang w:val="en-GB"/>
        </w:rPr>
        <w:t>500) populations and by making sure distinct populations are not lost.</w:t>
      </w:r>
      <w:r w:rsidRPr="00B3383B">
        <w:rPr>
          <w:rStyle w:val="eop"/>
          <w:rFonts w:asciiTheme="majorBidi" w:eastAsiaTheme="majorEastAsia" w:hAnsiTheme="majorBidi" w:cstheme="majorBidi"/>
          <w:i/>
          <w:iCs/>
          <w:sz w:val="22"/>
          <w:szCs w:val="22"/>
        </w:rPr>
        <w:t> </w:t>
      </w:r>
    </w:p>
    <w:p w14:paraId="031D86E8" w14:textId="6BFEB775" w:rsidR="00956C65" w:rsidRPr="00ED7E61" w:rsidRDefault="007D21A2" w:rsidP="00395866">
      <w:pPr>
        <w:pStyle w:val="paragraph"/>
        <w:spacing w:before="0" w:beforeAutospacing="0" w:after="0" w:afterAutospacing="0"/>
        <w:textAlignment w:val="baseline"/>
        <w:rPr>
          <w:rFonts w:asciiTheme="majorBidi" w:hAnsiTheme="majorBidi" w:cstheme="majorBidi"/>
          <w:sz w:val="22"/>
          <w:szCs w:val="22"/>
        </w:rPr>
      </w:pPr>
      <w:r w:rsidRPr="00ED7E61">
        <w:rPr>
          <w:noProof/>
          <w:sz w:val="22"/>
          <w:szCs w:val="22"/>
          <w:lang w:val="fr-FR" w:eastAsia="fr-FR"/>
        </w:rPr>
        <w:drawing>
          <wp:inline distT="0" distB="0" distL="0" distR="0" wp14:anchorId="25D101D6" wp14:editId="5E402BCF">
            <wp:extent cx="5904689" cy="3171217"/>
            <wp:effectExtent l="0" t="0" r="1270" b="3810"/>
            <wp:docPr id="36" name="image2.png" descr="A diagram of a green circle with red circles and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6" name="image2.png" descr="A diagram of a green circle with red circles and white text&#10;&#10;Description automatically generated"/>
                    <pic:cNvPicPr preferRelativeResize="0"/>
                  </pic:nvPicPr>
                  <pic:blipFill>
                    <a:blip r:embed="rId246"/>
                    <a:srcRect/>
                    <a:stretch>
                      <a:fillRect/>
                    </a:stretch>
                  </pic:blipFill>
                  <pic:spPr>
                    <a:xfrm>
                      <a:off x="0" y="0"/>
                      <a:ext cx="5911584" cy="3174920"/>
                    </a:xfrm>
                    <a:prstGeom prst="rect">
                      <a:avLst/>
                    </a:prstGeom>
                    <a:ln/>
                  </pic:spPr>
                </pic:pic>
              </a:graphicData>
            </a:graphic>
          </wp:inline>
        </w:drawing>
      </w:r>
      <w:r w:rsidR="00956C65" w:rsidRPr="00ED7E61">
        <w:rPr>
          <w:rStyle w:val="eop"/>
          <w:rFonts w:asciiTheme="majorBidi" w:eastAsiaTheme="majorEastAsia" w:hAnsiTheme="majorBidi" w:cstheme="majorBidi"/>
          <w:sz w:val="22"/>
          <w:szCs w:val="22"/>
        </w:rPr>
        <w:t> </w:t>
      </w:r>
    </w:p>
    <w:p w14:paraId="30C2058D" w14:textId="705CE84A" w:rsidR="00956C65" w:rsidRPr="001E4724" w:rsidRDefault="00956C65" w:rsidP="00B3383B">
      <w:pPr>
        <w:pStyle w:val="paragraph"/>
        <w:spacing w:before="0" w:beforeAutospacing="0" w:after="0" w:afterAutospacing="0"/>
        <w:ind w:left="567"/>
        <w:textAlignment w:val="baseline"/>
        <w:rPr>
          <w:rStyle w:val="normaltextrun"/>
          <w:rFonts w:asciiTheme="majorBidi" w:eastAsiaTheme="majorEastAsia" w:hAnsiTheme="majorBidi" w:cstheme="majorBidi"/>
          <w:b/>
          <w:bCs/>
          <w:sz w:val="22"/>
          <w:szCs w:val="22"/>
        </w:rPr>
      </w:pPr>
      <w:r w:rsidRPr="00ED7E61">
        <w:rPr>
          <w:rStyle w:val="normaltextrun"/>
          <w:rFonts w:asciiTheme="majorBidi" w:eastAsiaTheme="majorEastAsia" w:hAnsiTheme="majorBidi" w:cstheme="majorBidi"/>
          <w:sz w:val="22"/>
          <w:szCs w:val="22"/>
          <w:lang w:val="en-GB"/>
        </w:rPr>
        <w:t xml:space="preserve">Figure </w:t>
      </w:r>
      <w:r w:rsidR="00FB33CD">
        <w:rPr>
          <w:rStyle w:val="normaltextrun"/>
          <w:rFonts w:asciiTheme="majorBidi" w:eastAsiaTheme="majorEastAsia" w:hAnsiTheme="majorBidi" w:cstheme="majorBidi"/>
          <w:sz w:val="22"/>
          <w:szCs w:val="22"/>
          <w:lang w:val="en-GB"/>
        </w:rPr>
        <w:t>III.</w:t>
      </w:r>
      <w:r w:rsidRPr="00ED7E61">
        <w:rPr>
          <w:rStyle w:val="normaltextrun"/>
          <w:rFonts w:asciiTheme="majorBidi" w:eastAsiaTheme="majorEastAsia" w:hAnsiTheme="majorBidi" w:cstheme="majorBidi"/>
          <w:sz w:val="22"/>
          <w:szCs w:val="22"/>
          <w:lang w:val="en-GB"/>
        </w:rPr>
        <w:t xml:space="preserve"> </w:t>
      </w:r>
      <w:r w:rsidR="0070233C">
        <w:rPr>
          <w:rStyle w:val="normaltextrun"/>
          <w:rFonts w:asciiTheme="majorBidi" w:eastAsiaTheme="majorEastAsia" w:hAnsiTheme="majorBidi" w:cstheme="majorBidi"/>
          <w:sz w:val="22"/>
          <w:szCs w:val="22"/>
          <w:lang w:val="en-GB"/>
        </w:rPr>
        <w:br/>
      </w:r>
      <w:r w:rsidRPr="00B3383B">
        <w:rPr>
          <w:rStyle w:val="normaltextrun"/>
          <w:rFonts w:asciiTheme="majorBidi" w:eastAsiaTheme="majorEastAsia" w:hAnsiTheme="majorBidi" w:cstheme="majorBidi"/>
          <w:b/>
          <w:bCs/>
          <w:sz w:val="22"/>
          <w:szCs w:val="22"/>
          <w:lang w:val="en-GB"/>
        </w:rPr>
        <w:t xml:space="preserve">Pictorial representation of </w:t>
      </w:r>
      <w:r w:rsidRPr="00B3383B">
        <w:rPr>
          <w:rStyle w:val="normaltextrun"/>
          <w:rFonts w:asciiTheme="majorBidi" w:eastAsiaTheme="majorEastAsia" w:hAnsiTheme="majorBidi" w:cstheme="majorBidi"/>
          <w:b/>
          <w:bCs/>
          <w:i/>
          <w:iCs/>
          <w:sz w:val="22"/>
          <w:szCs w:val="22"/>
          <w:lang w:val="en-GB"/>
        </w:rPr>
        <w:t>N</w:t>
      </w:r>
      <w:r w:rsidRPr="00B3383B">
        <w:rPr>
          <w:rStyle w:val="normaltextrun"/>
          <w:rFonts w:asciiTheme="majorBidi" w:eastAsiaTheme="majorEastAsia" w:hAnsiTheme="majorBidi" w:cstheme="majorBidi"/>
          <w:b/>
          <w:bCs/>
          <w:i/>
          <w:iCs/>
          <w:sz w:val="22"/>
          <w:szCs w:val="22"/>
          <w:vertAlign w:val="subscript"/>
          <w:lang w:val="en-GB"/>
        </w:rPr>
        <w:t>e</w:t>
      </w:r>
      <w:r w:rsidRPr="00B3383B">
        <w:rPr>
          <w:rStyle w:val="normaltextrun"/>
          <w:rFonts w:asciiTheme="majorBidi" w:eastAsiaTheme="majorEastAsia" w:hAnsiTheme="majorBidi" w:cstheme="majorBidi"/>
          <w:b/>
          <w:bCs/>
          <w:sz w:val="22"/>
          <w:szCs w:val="22"/>
          <w:lang w:val="en-GB"/>
        </w:rPr>
        <w:t xml:space="preserve"> relative to the census size of a population.  </w:t>
      </w:r>
      <w:r w:rsidR="001E4724">
        <w:rPr>
          <w:rStyle w:val="normaltextrun"/>
          <w:rFonts w:asciiTheme="majorBidi" w:eastAsiaTheme="majorEastAsia" w:hAnsiTheme="majorBidi" w:cstheme="majorBidi"/>
          <w:b/>
          <w:bCs/>
          <w:sz w:val="22"/>
          <w:szCs w:val="22"/>
          <w:lang w:val="en-GB"/>
        </w:rPr>
        <w:br/>
      </w:r>
      <w:r w:rsidRPr="001E4724">
        <w:rPr>
          <w:rStyle w:val="normaltextrun"/>
          <w:rFonts w:asciiTheme="majorBidi" w:eastAsiaTheme="majorEastAsia" w:hAnsiTheme="majorBidi" w:cstheme="majorBidi"/>
          <w:i/>
          <w:iCs/>
          <w:sz w:val="22"/>
          <w:szCs w:val="22"/>
          <w:lang w:val="en-GB"/>
        </w:rPr>
        <w:t>N</w:t>
      </w:r>
      <w:r w:rsidRPr="001E4724">
        <w:rPr>
          <w:rStyle w:val="normaltextrun"/>
          <w:rFonts w:asciiTheme="majorBidi" w:eastAsiaTheme="majorEastAsia" w:hAnsiTheme="majorBidi" w:cstheme="majorBidi"/>
          <w:i/>
          <w:iCs/>
          <w:sz w:val="22"/>
          <w:szCs w:val="22"/>
          <w:vertAlign w:val="subscript"/>
          <w:lang w:val="en-GB"/>
        </w:rPr>
        <w:t>e</w:t>
      </w:r>
      <w:r w:rsidRPr="001E4724">
        <w:rPr>
          <w:rStyle w:val="normaltextrun"/>
          <w:rFonts w:asciiTheme="majorBidi" w:eastAsiaTheme="majorEastAsia" w:hAnsiTheme="majorBidi" w:cstheme="majorBidi"/>
          <w:i/>
          <w:iCs/>
          <w:sz w:val="22"/>
          <w:szCs w:val="22"/>
          <w:lang w:val="en-GB"/>
        </w:rPr>
        <w:t xml:space="preserve"> </w:t>
      </w:r>
      <w:r w:rsidRPr="00B3383B">
        <w:rPr>
          <w:rStyle w:val="normaltextrun"/>
          <w:rFonts w:asciiTheme="majorBidi" w:eastAsiaTheme="majorEastAsia" w:hAnsiTheme="majorBidi" w:cstheme="majorBidi"/>
          <w:i/>
          <w:iCs/>
          <w:sz w:val="22"/>
          <w:szCs w:val="22"/>
          <w:lang w:val="en-GB"/>
        </w:rPr>
        <w:t xml:space="preserve">is smaller than </w:t>
      </w:r>
      <w:r w:rsidRPr="001E4724">
        <w:rPr>
          <w:rStyle w:val="normaltextrun"/>
          <w:rFonts w:asciiTheme="majorBidi" w:eastAsiaTheme="majorEastAsia" w:hAnsiTheme="majorBidi" w:cstheme="majorBidi"/>
          <w:i/>
          <w:iCs/>
          <w:sz w:val="22"/>
          <w:szCs w:val="22"/>
          <w:lang w:val="en-GB"/>
        </w:rPr>
        <w:t>N</w:t>
      </w:r>
      <w:r w:rsidRPr="001E4724">
        <w:rPr>
          <w:rStyle w:val="normaltextrun"/>
          <w:rFonts w:asciiTheme="majorBidi" w:eastAsiaTheme="majorEastAsia" w:hAnsiTheme="majorBidi" w:cstheme="majorBidi"/>
          <w:i/>
          <w:iCs/>
          <w:sz w:val="22"/>
          <w:szCs w:val="22"/>
          <w:vertAlign w:val="subscript"/>
          <w:lang w:val="en-GB"/>
        </w:rPr>
        <w:t>c,</w:t>
      </w:r>
      <w:r w:rsidRPr="00B3383B">
        <w:rPr>
          <w:rStyle w:val="normaltextrun"/>
          <w:rFonts w:asciiTheme="majorBidi" w:eastAsiaTheme="majorEastAsia" w:hAnsiTheme="majorBidi" w:cstheme="majorBidi"/>
          <w:i/>
          <w:iCs/>
          <w:sz w:val="22"/>
          <w:szCs w:val="22"/>
          <w:lang w:val="en-GB"/>
        </w:rPr>
        <w:t xml:space="preserve"> but it is the </w:t>
      </w:r>
      <w:r w:rsidRPr="001E4724">
        <w:rPr>
          <w:rStyle w:val="normaltextrun"/>
          <w:rFonts w:asciiTheme="majorBidi" w:eastAsiaTheme="majorEastAsia" w:hAnsiTheme="majorBidi" w:cstheme="majorBidi"/>
          <w:i/>
          <w:iCs/>
          <w:sz w:val="22"/>
          <w:szCs w:val="22"/>
          <w:lang w:val="en-GB"/>
        </w:rPr>
        <w:t>N</w:t>
      </w:r>
      <w:r w:rsidRPr="001E4724">
        <w:rPr>
          <w:rStyle w:val="normaltextrun"/>
          <w:rFonts w:asciiTheme="majorBidi" w:eastAsiaTheme="majorEastAsia" w:hAnsiTheme="majorBidi" w:cstheme="majorBidi"/>
          <w:i/>
          <w:iCs/>
          <w:sz w:val="22"/>
          <w:szCs w:val="22"/>
          <w:vertAlign w:val="subscript"/>
          <w:lang w:val="en-GB"/>
        </w:rPr>
        <w:t>e</w:t>
      </w:r>
      <w:r w:rsidRPr="00B3383B">
        <w:rPr>
          <w:rStyle w:val="normaltextrun"/>
          <w:rFonts w:asciiTheme="majorBidi" w:eastAsiaTheme="majorEastAsia" w:hAnsiTheme="majorBidi" w:cstheme="majorBidi"/>
          <w:i/>
          <w:iCs/>
          <w:sz w:val="22"/>
          <w:szCs w:val="22"/>
          <w:lang w:val="en-GB"/>
        </w:rPr>
        <w:t xml:space="preserve"> which determines the rate of loss of genetic diversity within populations, and thus whether they can maintain adaptive capacity</w:t>
      </w:r>
    </w:p>
    <w:p w14:paraId="2925CDD3" w14:textId="77777777" w:rsidR="00354DB5" w:rsidRDefault="00354DB5" w:rsidP="00395866">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rPr>
        <w:sectPr w:rsidR="00354DB5" w:rsidSect="00B3383B">
          <w:pgSz w:w="12240" w:h="15840"/>
          <w:pgMar w:top="1134" w:right="1440" w:bottom="1134" w:left="1440" w:header="709" w:footer="709" w:gutter="0"/>
          <w:cols w:space="708"/>
          <w:docGrid w:linePitch="360"/>
        </w:sectPr>
      </w:pPr>
    </w:p>
    <w:p w14:paraId="6E777FB4" w14:textId="7EF69F91" w:rsidR="00756F0F" w:rsidRPr="00ED7E61" w:rsidRDefault="00756F0F" w:rsidP="00255AA5">
      <w:pPr>
        <w:pStyle w:val="Heading3"/>
      </w:pPr>
      <w:bookmarkStart w:id="27" w:name="_Toc178285847"/>
      <w:r w:rsidRPr="00ED7E61">
        <w:rPr>
          <w:rStyle w:val="normaltextrun"/>
        </w:rPr>
        <w:t>GBF indicator metadata</w:t>
      </w:r>
      <w:r w:rsidR="00956C65" w:rsidRPr="00ED7E61">
        <w:rPr>
          <w:rStyle w:val="normaltextrun"/>
        </w:rPr>
        <w:t>: B.1 Services provided by ecosystems</w:t>
      </w:r>
      <w:bookmarkEnd w:id="27"/>
    </w:p>
    <w:p w14:paraId="796B08BC"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1A3B0750"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sz w:val="22"/>
          <w:szCs w:val="22"/>
        </w:rPr>
        <w:t> </w:t>
      </w:r>
    </w:p>
    <w:p w14:paraId="65945B02" w14:textId="77777777" w:rsidR="00756F0F" w:rsidRPr="00ED7E61" w:rsidRDefault="00756F0F" w:rsidP="00395866">
      <w:pPr>
        <w:pStyle w:val="paragraph"/>
        <w:spacing w:before="0" w:beforeAutospacing="0" w:after="0" w:afterAutospacing="0"/>
        <w:ind w:right="-21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B.1 Services provided by ecosystems</w:t>
      </w:r>
      <w:r w:rsidRPr="00ED7E61">
        <w:rPr>
          <w:rStyle w:val="eop"/>
          <w:rFonts w:asciiTheme="majorBidi" w:eastAsiaTheme="majorEastAsia" w:hAnsiTheme="majorBidi" w:cstheme="majorBidi"/>
          <w:sz w:val="22"/>
          <w:szCs w:val="22"/>
        </w:rPr>
        <w:t> </w:t>
      </w:r>
    </w:p>
    <w:p w14:paraId="0774387E"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sz w:val="22"/>
          <w:szCs w:val="22"/>
        </w:rPr>
        <w:t> </w:t>
      </w:r>
    </w:p>
    <w:p w14:paraId="10A7E84F" w14:textId="7483FF2E"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lang w:val="en-GB"/>
        </w:rPr>
        <w:t>September</w:t>
      </w:r>
      <w:r w:rsidRPr="00ED7E61">
        <w:rPr>
          <w:rStyle w:val="normaltextrun"/>
          <w:rFonts w:asciiTheme="majorBidi" w:eastAsiaTheme="majorEastAsia" w:hAnsiTheme="majorBidi" w:cstheme="majorBidi"/>
          <w:sz w:val="22"/>
          <w:szCs w:val="22"/>
          <w:lang w:val="en-GB"/>
        </w:rPr>
        <w:t xml:space="preserve"> </w:t>
      </w:r>
      <w:r w:rsidR="00756F0F" w:rsidRPr="00ED7E61">
        <w:rPr>
          <w:rStyle w:val="normaltextrun"/>
          <w:rFonts w:asciiTheme="majorBidi" w:eastAsiaTheme="majorEastAsia" w:hAnsiTheme="majorBidi" w:cstheme="majorBidi"/>
          <w:sz w:val="22"/>
          <w:szCs w:val="22"/>
          <w:lang w:val="en-GB"/>
        </w:rPr>
        <w:t>2024</w:t>
      </w:r>
      <w:r w:rsidR="00756F0F" w:rsidRPr="00ED7E61">
        <w:rPr>
          <w:rStyle w:val="eop"/>
          <w:rFonts w:asciiTheme="majorBidi" w:eastAsiaTheme="majorEastAsia" w:hAnsiTheme="majorBidi" w:cstheme="majorBidi"/>
          <w:sz w:val="22"/>
          <w:szCs w:val="22"/>
        </w:rPr>
        <w:t> </w:t>
      </w:r>
    </w:p>
    <w:p w14:paraId="1487CA76" w14:textId="77777777" w:rsidR="00756F0F" w:rsidRPr="00ED7E61" w:rsidRDefault="00756F0F" w:rsidP="00B3383B">
      <w:pPr>
        <w:pStyle w:val="paragraph"/>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sz w:val="22"/>
          <w:szCs w:val="22"/>
        </w:rPr>
        <w:t> </w:t>
      </w:r>
    </w:p>
    <w:p w14:paraId="386EC75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3a. Goal </w:t>
      </w:r>
      <w:r w:rsidRPr="00ED7E61">
        <w:rPr>
          <w:rStyle w:val="eop"/>
          <w:rFonts w:asciiTheme="majorBidi" w:eastAsiaTheme="majorEastAsia" w:hAnsiTheme="majorBidi" w:cstheme="majorBidi"/>
          <w:sz w:val="22"/>
          <w:szCs w:val="22"/>
        </w:rPr>
        <w:t> </w:t>
      </w:r>
    </w:p>
    <w:p w14:paraId="0CE23079" w14:textId="6D7DA8E6"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Headline indicator for Goal B: Biodiversity is sustainably used and managed and nature’s contributions to people, including ecosystem functions and services, are valued, maintained and enhanced, with those currently in decline being restored, supporting the achievement of sustainable development for the benefit of present and future generations by 2050.</w:t>
      </w:r>
      <w:r w:rsidRPr="00ED7E61">
        <w:rPr>
          <w:rStyle w:val="eop"/>
          <w:rFonts w:asciiTheme="majorBidi" w:eastAsiaTheme="majorEastAsia" w:hAnsiTheme="majorBidi" w:cstheme="majorBidi"/>
          <w:sz w:val="22"/>
          <w:szCs w:val="22"/>
        </w:rPr>
        <w:t> </w:t>
      </w:r>
    </w:p>
    <w:p w14:paraId="5C6A3998"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3b. Target</w:t>
      </w:r>
      <w:r w:rsidRPr="00ED7E61">
        <w:rPr>
          <w:rStyle w:val="eop"/>
          <w:rFonts w:asciiTheme="majorBidi" w:eastAsiaTheme="majorEastAsia" w:hAnsiTheme="majorBidi" w:cstheme="majorBidi"/>
          <w:sz w:val="22"/>
          <w:szCs w:val="22"/>
        </w:rPr>
        <w:t> </w:t>
      </w:r>
    </w:p>
    <w:p w14:paraId="7230596D" w14:textId="08C57AAA"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Headline indicator for Target 11: Restore, maintain and enhance nature’s contributions to people, including ecosystem functions and services, such as regulation of air, water, and climate, soil health, pollination and reduction of disease risk, as well as protection from natural hazards and disasters, through nature-based solutions and/or ecosystem-based approaches for the benefit of all people and nature. </w:t>
      </w:r>
      <w:r w:rsidRPr="00ED7E61">
        <w:rPr>
          <w:rStyle w:val="eop"/>
          <w:rFonts w:asciiTheme="majorBidi" w:eastAsiaTheme="majorEastAsia" w:hAnsiTheme="majorBidi" w:cstheme="majorBidi"/>
          <w:sz w:val="22"/>
          <w:szCs w:val="22"/>
        </w:rPr>
        <w:t> </w:t>
      </w:r>
    </w:p>
    <w:p w14:paraId="43E3A94D"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4. Rationale</w:t>
      </w:r>
      <w:r w:rsidRPr="00ED7E61">
        <w:rPr>
          <w:rStyle w:val="eop"/>
          <w:rFonts w:asciiTheme="majorBidi" w:eastAsiaTheme="majorEastAsia" w:hAnsiTheme="majorBidi" w:cstheme="majorBidi"/>
          <w:sz w:val="22"/>
          <w:szCs w:val="22"/>
        </w:rPr>
        <w:t> </w:t>
      </w:r>
    </w:p>
    <w:p w14:paraId="0FE2CEC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rPr>
      </w:pPr>
      <w:r w:rsidRPr="00ED7E61">
        <w:rPr>
          <w:rStyle w:val="normaltextrun"/>
          <w:rFonts w:asciiTheme="majorBidi" w:eastAsiaTheme="majorEastAsia" w:hAnsiTheme="majorBidi" w:cstheme="majorBidi"/>
          <w:b/>
          <w:bCs/>
          <w:lang w:val="en-GB"/>
        </w:rPr>
        <w:t>Purpose of the indicator</w:t>
      </w:r>
      <w:r w:rsidRPr="00ED7E61">
        <w:rPr>
          <w:rStyle w:val="eop"/>
          <w:rFonts w:asciiTheme="majorBidi" w:eastAsiaTheme="majorEastAsia" w:hAnsiTheme="majorBidi" w:cstheme="majorBidi"/>
          <w:b/>
          <w:bCs/>
        </w:rPr>
        <w:t> </w:t>
      </w:r>
    </w:p>
    <w:p w14:paraId="0B249AE4" w14:textId="77777777" w:rsidR="00756F0F" w:rsidRPr="00ED7E61" w:rsidRDefault="00756F0F" w:rsidP="00B10F0C">
      <w:pPr>
        <w:pStyle w:val="CBDNormalNumber"/>
        <w:numPr>
          <w:ilvl w:val="0"/>
          <w:numId w:val="61"/>
        </w:numPr>
        <w:tabs>
          <w:tab w:val="clear" w:pos="1701"/>
        </w:tabs>
        <w:ind w:left="567" w:hanging="24"/>
        <w:rPr>
          <w:rStyle w:val="contentcontrolboundarysink"/>
          <w:sz w:val="24"/>
          <w:szCs w:val="24"/>
          <w:lang w:val="en-CA"/>
        </w:rPr>
      </w:pPr>
      <w:r w:rsidRPr="00ED7E61">
        <w:rPr>
          <w:rStyle w:val="contentcontrolboundarysink"/>
        </w:rPr>
        <w:t>Ecosystem services are critical for the wellbeing of people and make important contributions to the economy. Examples include harvested wild species, pollination of crops, water purification by filtering and regulating water quality, climate regulation by sequestering carbon dioxide, influencing local and global climate patterns, nature-based recreation and many more. Conserving, managing and sustaining ecosystems and biodiversity is fundamental to maintaining and enhancing ecosystem services. </w:t>
      </w:r>
    </w:p>
    <w:p w14:paraId="7327FFC1" w14:textId="40BF667E" w:rsidR="009A563F" w:rsidRPr="00ED7E61" w:rsidRDefault="00756F0F" w:rsidP="00B10F0C">
      <w:pPr>
        <w:pStyle w:val="CBDNormalNumber"/>
        <w:numPr>
          <w:ilvl w:val="0"/>
          <w:numId w:val="61"/>
        </w:numPr>
        <w:ind w:left="567" w:firstLine="0"/>
        <w:rPr>
          <w:rStyle w:val="contentcontrolboundarysink"/>
        </w:rPr>
      </w:pPr>
      <w:r w:rsidRPr="00ED7E61">
        <w:rPr>
          <w:rStyle w:val="contentcontrolboundarysink"/>
        </w:rPr>
        <w:t>This indicator aims to track trends in the provision of ecosystem services, responding to the wording in Goal B that ecosystem services should be “</w:t>
      </w:r>
      <w:r w:rsidRPr="00FB1598">
        <w:rPr>
          <w:rStyle w:val="contentcontrolboundarysink"/>
          <w:i/>
          <w:iCs/>
        </w:rPr>
        <w:t>maintained and enhanced, with those currently in decline being restored</w:t>
      </w:r>
      <w:r w:rsidRPr="00ED7E61">
        <w:rPr>
          <w:rStyle w:val="contentcontrolboundarysink"/>
        </w:rPr>
        <w:t>”. The index is intended to show whether the provision of ecosystem services is, on average, increasing, stable or decreasing, as well as the rate of these increases or decreases. Together with ecosystem-related headline indicators for Goal A (A1 Red List of ecosystems and A2 Extent of natural ecosystems), indicator B1 provides insight into changes in the state and trends of ecosystems and the services they provide. </w:t>
      </w:r>
    </w:p>
    <w:p w14:paraId="47D34F4E" w14:textId="0D975A99" w:rsidR="009A563F" w:rsidRPr="00ED7E61" w:rsidRDefault="00756F0F" w:rsidP="00B10F0C">
      <w:pPr>
        <w:pStyle w:val="CBDNormalNumber"/>
        <w:numPr>
          <w:ilvl w:val="0"/>
          <w:numId w:val="61"/>
        </w:numPr>
        <w:ind w:left="567" w:firstLine="0"/>
        <w:rPr>
          <w:rFonts w:asciiTheme="majorBidi" w:hAnsiTheme="majorBidi" w:cstheme="majorBidi"/>
        </w:rPr>
      </w:pPr>
      <w:r w:rsidRPr="00ED7E61">
        <w:rPr>
          <w:rStyle w:val="normaltextrun"/>
          <w:rFonts w:asciiTheme="majorBidi" w:eastAsiaTheme="majorEastAsia" w:hAnsiTheme="majorBidi" w:cstheme="majorBidi"/>
        </w:rPr>
        <w:t>The index of change in ecosystem services has the potential to be disaggregated in several ways, including by different categories of ecosystem service and by ecosystem type. As described further in Section 5, ecosystem services can be divided at a broad level into provisioning, regulating and cultural services, often with differing directions of change. Three sub-indices, one for each broad category of ecosystem services, will illuminate these differences. Combined with information from Indicators A1 and A2, disaggregation of the overall index by ecosystem type could provide valuable information to direct conservation, management and restoration efforts to enhance ecosystem service provision.</w:t>
      </w:r>
      <w:r w:rsidRPr="00ED7E61">
        <w:rPr>
          <w:rStyle w:val="eop"/>
          <w:rFonts w:asciiTheme="majorBidi" w:eastAsiaTheme="majorEastAsia" w:hAnsiTheme="majorBidi" w:cstheme="majorBidi"/>
        </w:rPr>
        <w:t> </w:t>
      </w:r>
    </w:p>
    <w:p w14:paraId="6B893E07" w14:textId="54DBCA21" w:rsidR="00756F0F" w:rsidRPr="00ED7E61" w:rsidRDefault="00756F0F" w:rsidP="00B10F0C">
      <w:pPr>
        <w:pStyle w:val="CBDNormalNumber"/>
        <w:numPr>
          <w:ilvl w:val="0"/>
          <w:numId w:val="61"/>
        </w:numPr>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Because the primary purpose of monitoring and reporting on headline indicators is to support Parties in their national implementation of the goals and targets of the </w:t>
      </w:r>
      <w:r w:rsidR="00E51D62" w:rsidRPr="00ED7E61">
        <w:rPr>
          <w:rStyle w:val="normaltextrun"/>
          <w:rFonts w:asciiTheme="majorBidi" w:eastAsiaTheme="majorEastAsia" w:hAnsiTheme="majorBidi" w:cstheme="majorBidi"/>
        </w:rPr>
        <w:t>Kunmin</w:t>
      </w:r>
      <w:r w:rsidR="009C2718">
        <w:rPr>
          <w:rStyle w:val="normaltextrun"/>
          <w:rFonts w:asciiTheme="majorBidi" w:eastAsiaTheme="majorEastAsia" w:hAnsiTheme="majorBidi" w:cstheme="majorBidi"/>
        </w:rPr>
        <w:t>g</w:t>
      </w:r>
      <w:r w:rsidR="00E51D62" w:rsidRPr="00ED7E61">
        <w:rPr>
          <w:rStyle w:val="normaltextrun"/>
          <w:rFonts w:asciiTheme="majorBidi" w:eastAsiaTheme="majorEastAsia" w:hAnsiTheme="majorBidi" w:cstheme="majorBidi"/>
        </w:rPr>
        <w:t>-Montreal Global Biodiversity Framework</w:t>
      </w:r>
      <w:r w:rsidRPr="00ED7E61">
        <w:rPr>
          <w:rStyle w:val="normaltextrun"/>
          <w:rFonts w:asciiTheme="majorBidi" w:eastAsiaTheme="majorEastAsia" w:hAnsiTheme="majorBidi" w:cstheme="majorBidi"/>
        </w:rPr>
        <w:t>, the indicator is designed to enable countries to select ecosystem services that they consider important and policy relevant to be included in the indicator, based on guidelines within this metadata document and supporting compilation guidelines (to be developed). The indicator also reflects ecosystem services that are of global relevance and that will be included in the indicator by all countries. Global aggregation of the indicator will provide a view of global progress towards maintaining, enhancing and restoring ecosystem services. The intended audience of the headline indicator is broad, reflecting the whole-of-society approach of the GBF.</w:t>
      </w:r>
      <w:r w:rsidRPr="00ED7E61">
        <w:rPr>
          <w:rStyle w:val="eop"/>
          <w:rFonts w:asciiTheme="majorBidi" w:eastAsiaTheme="majorEastAsia" w:hAnsiTheme="majorBidi" w:cstheme="majorBidi"/>
        </w:rPr>
        <w:t> </w:t>
      </w:r>
    </w:p>
    <w:p w14:paraId="0B1D861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rPr>
      </w:pPr>
      <w:r w:rsidRPr="00ED7E61">
        <w:rPr>
          <w:rStyle w:val="normaltextrun"/>
          <w:rFonts w:asciiTheme="majorBidi" w:eastAsiaTheme="majorEastAsia" w:hAnsiTheme="majorBidi" w:cstheme="majorBidi"/>
          <w:b/>
          <w:bCs/>
          <w:lang w:val="en-GB"/>
        </w:rPr>
        <w:t>An accounting approach to the indicator</w:t>
      </w:r>
      <w:r w:rsidRPr="00ED7E61">
        <w:rPr>
          <w:rStyle w:val="eop"/>
          <w:rFonts w:asciiTheme="majorBidi" w:eastAsiaTheme="majorEastAsia" w:hAnsiTheme="majorBidi" w:cstheme="majorBidi"/>
        </w:rPr>
        <w:t> </w:t>
      </w:r>
    </w:p>
    <w:p w14:paraId="06ADB111" w14:textId="77777777" w:rsidR="00756F0F" w:rsidRPr="00ED7E61" w:rsidRDefault="00756F0F" w:rsidP="00B10F0C">
      <w:pPr>
        <w:pStyle w:val="CBDNormalNumber"/>
        <w:numPr>
          <w:ilvl w:val="0"/>
          <w:numId w:val="61"/>
        </w:numPr>
        <w:ind w:left="567" w:firstLine="0"/>
        <w:rPr>
          <w:rStyle w:val="contentcontrolboundarysink"/>
          <w:sz w:val="24"/>
          <w:szCs w:val="24"/>
          <w:lang w:val="en-CA"/>
        </w:rPr>
      </w:pPr>
      <w:r w:rsidRPr="00ED7E61">
        <w:rPr>
          <w:rStyle w:val="contentcontrolboundarysink"/>
        </w:rPr>
        <w:t xml:space="preserve">The </w:t>
      </w:r>
      <w:hyperlink r:id="rId247" w:tgtFrame="_blank" w:history="1">
        <w:r w:rsidRPr="00ED7E61">
          <w:rPr>
            <w:rStyle w:val="contentcontrolboundarysink"/>
          </w:rPr>
          <w:t>System of Environmental-Economic Accounting (SEEA) Ecosystem Accounting</w:t>
        </w:r>
      </w:hyperlink>
      <w:r w:rsidRPr="00ED7E61">
        <w:rPr>
          <w:rStyle w:val="contentcontrolboundarysink"/>
        </w:rPr>
        <w:t>, as the adopted international statistical standard for organizing data about ecosystem assets and services and linking this information to economic and other human activity, provides the conceptual framework and part of the methodology for the compilation of this indicator. SEEA Ecosystem Accounting is aligned with the System of National Accounts (SNA), which underpins the development of economic statistics such as Gross Domestic Product (GDP), to illuminate the relationship between the environment and the economy, highlighting the contribution of ecosystems to the economy.  </w:t>
      </w:r>
    </w:p>
    <w:p w14:paraId="506EA00F" w14:textId="77777777" w:rsidR="00756F0F" w:rsidRPr="00ED7E61" w:rsidRDefault="00756F0F" w:rsidP="00B10F0C">
      <w:pPr>
        <w:pStyle w:val="CBDNormalNumber"/>
        <w:numPr>
          <w:ilvl w:val="0"/>
          <w:numId w:val="61"/>
        </w:numPr>
        <w:ind w:left="567" w:firstLine="0"/>
        <w:rPr>
          <w:rStyle w:val="contentcontrolboundarysink"/>
        </w:rPr>
      </w:pPr>
      <w:r w:rsidRPr="00ED7E61">
        <w:rPr>
          <w:rStyle w:val="contentcontrolboundarysink"/>
        </w:rPr>
        <w:t>Flows of ecosystem services in SEEA Ecosystem Accounting describe the contributions that ecosystems make to benefits used in economic and other human activity, which are a central part of describing nature’s contribution to people. Ecosystem services accounts should reflect both the supply of ecosystem services by different ecosystem types and the use of ecosystem services by different types of users, such as businesses, government and households. SEEA Ecosystem Accounting requires accounting for ecosystem services in biophysical terms, with the option of building on the biophysical accounts to develop accounts in monetary terms. Because accounting tables have a standard structure and are based on standard definitions and classifications, they allow for comparison across time periods and between countries. This makes an accounting approach a powerful basis for the development of national and global indicators. An additional strength of the accounting approach is that accounts provide granular information that can be used for local application and fine-grained policy decisions as well as aggregate information for national and global reporting.  </w:t>
      </w:r>
    </w:p>
    <w:p w14:paraId="5E129760" w14:textId="3534C81F" w:rsidR="00756F0F" w:rsidRPr="00ED7E61" w:rsidRDefault="00756F0F" w:rsidP="009A563F">
      <w:pPr>
        <w:pStyle w:val="paragraph"/>
        <w:spacing w:before="0" w:beforeAutospacing="0" w:after="0" w:afterAutospacing="0"/>
        <w:textAlignment w:val="baseline"/>
        <w:rPr>
          <w:rFonts w:asciiTheme="majorBidi" w:hAnsiTheme="majorBidi" w:cstheme="majorBidi"/>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b/>
          <w:bCs/>
          <w:lang w:val="en-GB"/>
        </w:rPr>
        <w:t>Considerations for selection of ecosystem services for inclusion in the indicator</w:t>
      </w:r>
      <w:r w:rsidRPr="00ED7E61">
        <w:rPr>
          <w:rStyle w:val="eop"/>
          <w:rFonts w:asciiTheme="majorBidi" w:eastAsiaTheme="majorEastAsia" w:hAnsiTheme="majorBidi" w:cstheme="majorBidi"/>
        </w:rPr>
        <w:t> </w:t>
      </w:r>
    </w:p>
    <w:p w14:paraId="0A46389C" w14:textId="77777777" w:rsidR="00756F0F" w:rsidRPr="00ED7E61" w:rsidRDefault="00756F0F" w:rsidP="00B10F0C">
      <w:pPr>
        <w:pStyle w:val="CBDNormalNumber"/>
        <w:numPr>
          <w:ilvl w:val="0"/>
          <w:numId w:val="61"/>
        </w:numPr>
        <w:ind w:left="567" w:firstLine="0"/>
        <w:rPr>
          <w:rStyle w:val="contentcontrolboundarysink"/>
          <w:sz w:val="24"/>
          <w:szCs w:val="24"/>
          <w:lang w:val="en-CA"/>
        </w:rPr>
      </w:pPr>
      <w:r w:rsidRPr="00ED7E61">
        <w:rPr>
          <w:rStyle w:val="contentcontrolboundarysink"/>
        </w:rPr>
        <w:t>There are several considerations about the types of ecosystem services and their beneficiaries that should inform the selection of ecosystem services for the indicator at the national level. These include: </w:t>
      </w:r>
    </w:p>
    <w:p w14:paraId="42F68061" w14:textId="77777777"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Whether people in vulnerable situations (such as low-income households, children and youth, women and girls, indigenous peoples, persons with disabilities, among others) depend on the ecosystem service. Parties are encouraged to include such ecosystem services in their selection of ecosystem services for the indicator acknowledging that worldwide there is unequal access to ecosystem services by different social groups. This consideration is also significant for Target 9 (“</w:t>
      </w:r>
      <w:r w:rsidRPr="00FB1598">
        <w:rPr>
          <w:rStyle w:val="normaltextrun"/>
          <w:rFonts w:asciiTheme="majorBidi" w:eastAsiaTheme="majorEastAsia" w:hAnsiTheme="majorBidi" w:cstheme="majorBidi"/>
          <w:i/>
          <w:iCs/>
        </w:rPr>
        <w:t>providing social, economic and environmental benefits for people, especially those in vulnerable situations and those most dependent on biodiversity</w:t>
      </w:r>
      <w:r w:rsidRPr="00ED7E61">
        <w:rPr>
          <w:rStyle w:val="normaltextrun"/>
          <w:rFonts w:asciiTheme="majorBidi" w:eastAsiaTheme="majorEastAsia" w:hAnsiTheme="majorBidi" w:cstheme="majorBidi"/>
        </w:rPr>
        <w:t>”), for which this indicator will contribute information.</w:t>
      </w:r>
      <w:r w:rsidRPr="00ED7E61">
        <w:rPr>
          <w:rStyle w:val="normaltextrun"/>
        </w:rPr>
        <w:t> </w:t>
      </w:r>
    </w:p>
    <w:p w14:paraId="05A7DC90" w14:textId="77777777"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Whether the ecosystem service is significant for indigenous peoples and local communities. Parties are encouraged to include such ecosystem services in their selection of ecosystem services for this indicator, with special attention to services that are necessary for the maintenance of cultural integrity and livelihoods. The selection of ecosystem services should recognize and consider multiple value perspectives on nature, including the diverse value systems and concepts embodied by indigenous peoples and local communities (IPBES, 2022).</w:t>
      </w:r>
      <w:r w:rsidRPr="00ED7E61">
        <w:rPr>
          <w:rStyle w:val="normaltextrun"/>
        </w:rPr>
        <w:t> </w:t>
      </w:r>
    </w:p>
    <w:p w14:paraId="13C53331" w14:textId="77777777"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Whether it is possible to assess if provision of the ecosystem service is sustainable or not. Goal B emphasises that ecosystem services should support sustainable development for the benefit of current and future generations. Some (not all) ecosystem services can be used above their regeneration or absorption rate, with a negative impact on the capacity of the ecosystem to generate such services in the future. In such cases, the current use of the ecosystem service is not sustainable and does not support sustainable development. Ideally the indicator would distinguish between sustainable and unsustainable current use of ecosystem services. In practice it is often difficult to identify when the current use of an ecosystem service has crossed a sustainability threshold, but where possible Parties will be encouraged to flag ecosystem services where sustainability thresholds may have been crossed. Nevertheless, it is likely to be challenging to address this aspect fully in the indicator. </w:t>
      </w:r>
      <w:r w:rsidRPr="00ED7E61">
        <w:rPr>
          <w:rStyle w:val="normaltextrun"/>
        </w:rPr>
        <w:t> </w:t>
      </w:r>
    </w:p>
    <w:p w14:paraId="0F499F18" w14:textId="77777777"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Whether the ecosystem service is provided by natural, semi-natural or anthropogenic ecosystem type(s). Ecosystem services from natural and semi-natural ecosystems are well-suited to this indicator. Provisioning ecosystem services from intensively modified or anthropogenic ecosystem types such as croplands and plantations should be approached with caution in selecting ecosystem services for this indicator, for several reasons. First, conversion of natural ecosystems to intensively modified or anthropogenic ecosystems is one of the main threats to biodiversity, so increases in the provision of these ecosystem services is frequently associated with biodiversity loss. Second, it is often difficult to tease out the contribution of the ecosystem from the contributions of produced capital and labour to provision of these services, making it difficult to quantify the ecosystem service as distinct from the total harvested biomass. Finally, these ecosystem services are often captured in accounting frameworks outside of ecosystem accounts (such as the System of National Accounts and its associated mainstream economic indicators), so are not “</w:t>
      </w:r>
      <w:r w:rsidRPr="00FB1598">
        <w:rPr>
          <w:rStyle w:val="normaltextrun"/>
          <w:rFonts w:asciiTheme="majorBidi" w:eastAsiaTheme="majorEastAsia" w:hAnsiTheme="majorBidi" w:cstheme="majorBidi"/>
          <w:i/>
          <w:iCs/>
        </w:rPr>
        <w:t>hidden</w:t>
      </w:r>
      <w:r w:rsidRPr="00ED7E61">
        <w:rPr>
          <w:rStyle w:val="normaltextrun"/>
          <w:rFonts w:asciiTheme="majorBidi" w:eastAsiaTheme="majorEastAsia" w:hAnsiTheme="majorBidi" w:cstheme="majorBidi"/>
        </w:rPr>
        <w:t>” but rather already accounted for in standard economic measures. </w:t>
      </w:r>
      <w:r w:rsidRPr="00ED7E61">
        <w:rPr>
          <w:rStyle w:val="normaltextrun"/>
        </w:rPr>
        <w:t> </w:t>
      </w:r>
    </w:p>
    <w:p w14:paraId="56988CEC" w14:textId="1AAC9FC4" w:rsidR="00756F0F" w:rsidRPr="00ED7E61" w:rsidRDefault="00756F0F" w:rsidP="00B10F0C">
      <w:pPr>
        <w:pStyle w:val="CBDNormalNumber"/>
        <w:numPr>
          <w:ilvl w:val="0"/>
          <w:numId w:val="61"/>
        </w:numPr>
        <w:ind w:left="567" w:firstLine="0"/>
        <w:rPr>
          <w:rStyle w:val="contentcontrolboundarysink"/>
        </w:rPr>
      </w:pPr>
      <w:r w:rsidRPr="00ED7E61">
        <w:rPr>
          <w:rStyle w:val="contentcontrolboundarysink"/>
        </w:rPr>
        <w:t xml:space="preserve">In selecting ecosystem services to include in the indicator, Parties are encouraged to </w:t>
      </w:r>
      <w:r w:rsidR="0029290C" w:rsidRPr="00ED7E61">
        <w:rPr>
          <w:rStyle w:val="contentcontrolboundarysink"/>
        </w:rPr>
        <w:t xml:space="preserve">take into account data available and to </w:t>
      </w:r>
      <w:r w:rsidRPr="00ED7E61">
        <w:rPr>
          <w:rStyle w:val="contentcontrolboundarysink"/>
        </w:rPr>
        <w:t xml:space="preserve">consider the alignment and compatibility of the ecosystem service with the overall intent of the </w:t>
      </w:r>
      <w:r w:rsidR="00E51D62" w:rsidRPr="00ED7E61">
        <w:rPr>
          <w:rStyle w:val="contentcontrolboundarysink"/>
        </w:rPr>
        <w:t>Kunming-Montreal Global Biodiversity Framework</w:t>
      </w:r>
      <w:r w:rsidRPr="00ED7E61">
        <w:rPr>
          <w:rStyle w:val="contentcontrolboundarysink"/>
        </w:rPr>
        <w:t xml:space="preserve">.  It is also important to consider the monitoring framework </w:t>
      </w:r>
      <w:r w:rsidR="00E51D62" w:rsidRPr="00ED7E61">
        <w:rPr>
          <w:rStyle w:val="contentcontrolboundarysink"/>
        </w:rPr>
        <w:t xml:space="preserve">for the Kunming-Montreal Global Biodiversity Framework </w:t>
      </w:r>
      <w:r w:rsidRPr="00ED7E61">
        <w:rPr>
          <w:rStyle w:val="contentcontrolboundarysink"/>
        </w:rPr>
        <w:t>as a whole, with different indicators giving information about different aspects. In particular, indicators A1 (Red List of Ecosystems), A2 (Extent of natural ecosystems) and B1 should be considered together as a suite of indicators related to ecosystems. Indicator A1 captures information about risks to ecosystems, including as a result of decline in their condition, while indicator A2 captures information about the abundance of natural and semi-natural ecosystems relative to anthropogenic ecosystems.  </w:t>
      </w:r>
    </w:p>
    <w:p w14:paraId="356321A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 Definitions, concepts and classifications</w:t>
      </w:r>
      <w:r w:rsidRPr="00ED7E61">
        <w:rPr>
          <w:rStyle w:val="eop"/>
          <w:rFonts w:asciiTheme="majorBidi" w:eastAsiaTheme="majorEastAsia" w:hAnsiTheme="majorBidi" w:cstheme="majorBidi"/>
          <w:sz w:val="22"/>
          <w:szCs w:val="22"/>
        </w:rPr>
        <w:t> </w:t>
      </w:r>
    </w:p>
    <w:p w14:paraId="370F27C3"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5a. Definition: </w:t>
      </w:r>
      <w:r w:rsidRPr="00ED7E61">
        <w:rPr>
          <w:rStyle w:val="eop"/>
          <w:rFonts w:asciiTheme="majorBidi" w:eastAsiaTheme="majorEastAsia" w:hAnsiTheme="majorBidi" w:cstheme="majorBidi"/>
          <w:sz w:val="22"/>
          <w:szCs w:val="22"/>
        </w:rPr>
        <w:t> </w:t>
      </w:r>
    </w:p>
    <w:p w14:paraId="18166594" w14:textId="1115B148" w:rsidR="009A563F" w:rsidRPr="00ED7E61" w:rsidRDefault="00756F0F" w:rsidP="00B10F0C">
      <w:pPr>
        <w:pStyle w:val="CBDNormalNumber"/>
        <w:numPr>
          <w:ilvl w:val="0"/>
          <w:numId w:val="61"/>
        </w:numPr>
        <w:ind w:left="567" w:firstLine="0"/>
        <w:rPr>
          <w:rStyle w:val="contentcontrolboundarysink"/>
          <w:sz w:val="24"/>
          <w:szCs w:val="24"/>
          <w:lang w:val="en-CA"/>
        </w:rPr>
      </w:pPr>
      <w:r w:rsidRPr="00ED7E61">
        <w:rPr>
          <w:rStyle w:val="contentcontrolboundarysink"/>
        </w:rPr>
        <w:t>The proposed indicator is defined as the average rate of change in the provision of a set of ecosystem services in a particular time period compared to a baseline year, for a country or globally.  </w:t>
      </w:r>
    </w:p>
    <w:p w14:paraId="068AF9D8" w14:textId="06E17842" w:rsidR="009A563F" w:rsidRPr="00ED7E61" w:rsidRDefault="00756F0F" w:rsidP="00B10F0C">
      <w:pPr>
        <w:pStyle w:val="CBDNormalNumber"/>
        <w:numPr>
          <w:ilvl w:val="0"/>
          <w:numId w:val="61"/>
        </w:numPr>
        <w:ind w:left="567" w:firstLine="0"/>
        <w:rPr>
          <w:rFonts w:asciiTheme="majorBidi" w:hAnsiTheme="majorBidi" w:cstheme="majorBidi"/>
        </w:rPr>
      </w:pPr>
      <w:r w:rsidRPr="00ED7E61">
        <w:rPr>
          <w:rStyle w:val="normaltextrun"/>
          <w:rFonts w:asciiTheme="majorBidi" w:eastAsiaTheme="majorEastAsia" w:hAnsiTheme="majorBidi" w:cstheme="majorBidi"/>
        </w:rPr>
        <w:t>The concepts, definitions and classifications used in this indicator are based on the SEEA Ecosystem Accounting statistical standard that was adopted by the United Nations Statistical Commission in March 2021.</w:t>
      </w:r>
      <w:r w:rsidRPr="00ED7E61">
        <w:rPr>
          <w:rStyle w:val="superscript"/>
          <w:rFonts w:asciiTheme="majorBidi" w:hAnsiTheme="majorBidi" w:cstheme="majorBidi"/>
          <w:vertAlign w:val="superscript"/>
        </w:rPr>
        <w:t>12</w:t>
      </w:r>
      <w:r w:rsidRPr="00ED7E61">
        <w:rPr>
          <w:rStyle w:val="normaltextrun"/>
          <w:rFonts w:asciiTheme="majorBidi" w:eastAsiaTheme="majorEastAsia" w:hAnsiTheme="majorBidi" w:cstheme="majorBidi"/>
        </w:rPr>
        <w:t xml:space="preserve"> Ecosystem services are defined as the contributions of ecosystems to the benefits that are used in economic and other human activity, while benefits are defined as the goods and services that are ultimately used and enjoyed by people and society. For accounting purposes, the focus is usually on final ecosystem services only, which are those ecosystem services in which the user of the service is an economic unit </w:t>
      </w:r>
      <w:r w:rsidR="00E51D62"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i.e. business, government or household</w:t>
      </w:r>
      <w:r w:rsidR="00E51D62" w:rsidRPr="00ED7E61">
        <w:rPr>
          <w:rStyle w:val="normaltextrun"/>
          <w:rFonts w:asciiTheme="majorBidi" w:eastAsiaTheme="majorEastAsia" w:hAnsiTheme="majorBidi" w:cstheme="majorBidi"/>
        </w:rPr>
        <w:t>)</w:t>
      </w:r>
      <w:r w:rsidRPr="00ED7E61">
        <w:rPr>
          <w:rStyle w:val="superscript"/>
          <w:rFonts w:asciiTheme="majorBidi" w:hAnsiTheme="majorBidi" w:cstheme="majorBidi"/>
          <w:vertAlign w:val="superscript"/>
        </w:rPr>
        <w:t>13</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4AA16435" w14:textId="31B19F60" w:rsidR="009A563F" w:rsidRPr="00ED7E61" w:rsidRDefault="00756F0F" w:rsidP="00B10F0C">
      <w:pPr>
        <w:pStyle w:val="CBDNormalNumber"/>
        <w:numPr>
          <w:ilvl w:val="0"/>
          <w:numId w:val="61"/>
        </w:numPr>
        <w:ind w:left="567" w:firstLine="0"/>
        <w:rPr>
          <w:rFonts w:asciiTheme="majorBidi" w:hAnsiTheme="majorBidi" w:cstheme="majorBidi"/>
        </w:rPr>
      </w:pPr>
      <w:r w:rsidRPr="00ED7E61">
        <w:rPr>
          <w:rStyle w:val="normaltextrun"/>
          <w:rFonts w:asciiTheme="majorBidi" w:eastAsiaTheme="majorEastAsia" w:hAnsiTheme="majorBidi" w:cstheme="majorBidi"/>
        </w:rPr>
        <w:t>In ecosystem accounting, ecosystem services are conceptualised as flows between ecosystem assets and economic units. This results in an alignment between supply and use (i.e. supply needs to match use of a particular service), which is a foundational accounting concept. This means that an ecosystem service is recorded in the tables only when it is used. Explained differently, ecosystem services must actually be used to be included in the account, while ecosystem services that could potentially be used are excluded. For the purpose of this indicator the terms “</w:t>
      </w:r>
      <w:r w:rsidRPr="00FB1598">
        <w:rPr>
          <w:rStyle w:val="normaltextrun"/>
          <w:rFonts w:asciiTheme="majorBidi" w:eastAsiaTheme="majorEastAsia" w:hAnsiTheme="majorBidi" w:cstheme="majorBidi"/>
          <w:i/>
          <w:iCs/>
        </w:rPr>
        <w:t>supply of ecosystem services</w:t>
      </w:r>
      <w:r w:rsidRPr="00ED7E61">
        <w:rPr>
          <w:rStyle w:val="normaltextrun"/>
          <w:rFonts w:asciiTheme="majorBidi" w:eastAsiaTheme="majorEastAsia" w:hAnsiTheme="majorBidi" w:cstheme="majorBidi"/>
        </w:rPr>
        <w:t>” and “</w:t>
      </w:r>
      <w:r w:rsidRPr="00FB1598">
        <w:rPr>
          <w:rStyle w:val="normaltextrun"/>
          <w:rFonts w:asciiTheme="majorBidi" w:eastAsiaTheme="majorEastAsia" w:hAnsiTheme="majorBidi" w:cstheme="majorBidi"/>
          <w:i/>
          <w:iCs/>
        </w:rPr>
        <w:t>ecosystem service supply</w:t>
      </w:r>
      <w:r w:rsidRPr="00ED7E61">
        <w:rPr>
          <w:rStyle w:val="normaltextrun"/>
          <w:rFonts w:asciiTheme="majorBidi" w:eastAsiaTheme="majorEastAsia" w:hAnsiTheme="majorBidi" w:cstheme="majorBidi"/>
        </w:rPr>
        <w:t>” are avoided as they do not capture the use aspect of ecosystem services. Rather, the terms ecosystem service provision or provision of ecosystem services are used, with the intention of capturing the combination of supply and use that characterises ecosystem services in an accounting context. The account table follows a standard structure, shown in Table 7.1 of SEEA Ecosystem Accounting. </w:t>
      </w:r>
      <w:r w:rsidRPr="00ED7E61">
        <w:rPr>
          <w:rStyle w:val="eop"/>
          <w:rFonts w:asciiTheme="majorBidi" w:eastAsiaTheme="majorEastAsia" w:hAnsiTheme="majorBidi" w:cstheme="majorBidi"/>
        </w:rPr>
        <w:t> </w:t>
      </w:r>
    </w:p>
    <w:p w14:paraId="68AB6C88" w14:textId="12CF28DD" w:rsidR="009A563F" w:rsidRPr="00ED7E61" w:rsidRDefault="00756F0F" w:rsidP="00B10F0C">
      <w:pPr>
        <w:pStyle w:val="CBDNormalNumber"/>
        <w:numPr>
          <w:ilvl w:val="0"/>
          <w:numId w:val="61"/>
        </w:numPr>
        <w:ind w:left="567" w:firstLine="0"/>
        <w:rPr>
          <w:rFonts w:asciiTheme="majorBidi" w:hAnsiTheme="majorBidi" w:cstheme="majorBidi"/>
        </w:rPr>
      </w:pPr>
      <w:r w:rsidRPr="00ED7E61">
        <w:rPr>
          <w:rStyle w:val="normaltextrun"/>
          <w:rFonts w:asciiTheme="majorBidi" w:eastAsiaTheme="majorEastAsia" w:hAnsiTheme="majorBidi" w:cstheme="majorBidi"/>
        </w:rPr>
        <w:t>The total area for which the accounts are compiled is called the ecosystem accounting area. For the purposes of this indicator, the ecosystem accounting area should be the total area of the country. For countries that have marine territory, the total surface area of the country could be divided into separate ecosystem accounting areas, for example one for the land and inland water area and another for the territorial waters (sea area to the end of the exclusive economic zone). Further guidance on this will be provided in compilation guidelines to be developed.</w:t>
      </w:r>
      <w:r w:rsidRPr="00ED7E61">
        <w:rPr>
          <w:rStyle w:val="eop"/>
          <w:rFonts w:asciiTheme="majorBidi" w:eastAsiaTheme="majorEastAsia" w:hAnsiTheme="majorBidi" w:cstheme="majorBidi"/>
        </w:rPr>
        <w:t> </w:t>
      </w:r>
    </w:p>
    <w:p w14:paraId="3E43D6C6" w14:textId="305F5232" w:rsidR="009A563F" w:rsidRPr="00ED7E61" w:rsidRDefault="00756F0F" w:rsidP="00B10F0C">
      <w:pPr>
        <w:pStyle w:val="CBDNormalNumber"/>
        <w:numPr>
          <w:ilvl w:val="0"/>
          <w:numId w:val="61"/>
        </w:numPr>
        <w:ind w:left="567" w:firstLine="0"/>
        <w:rPr>
          <w:rFonts w:asciiTheme="majorBidi" w:hAnsiTheme="majorBidi" w:cstheme="majorBidi"/>
          <w:color w:val="000000"/>
        </w:rPr>
      </w:pPr>
      <w:r w:rsidRPr="00ED7E61">
        <w:rPr>
          <w:rStyle w:val="normaltextrun"/>
          <w:rFonts w:asciiTheme="majorBidi" w:eastAsiaTheme="majorEastAsia" w:hAnsiTheme="majorBidi" w:cstheme="majorBidi"/>
          <w:color w:val="000000"/>
        </w:rPr>
        <w:t>Ecosystem services are commonly grouped as provisioning, regulating and maintenance, and cultural services. SEEA Ecosystem Accounting includes a reference list of ecosystem services, grouped according to these broad categories, which has been adopted as part of the SEEA Ecosystem Accounting international statistical standard. There was detailed and extensive consultation on the development of this reference list and cross walks exist with all other major ecosystem services classifications. Within provisioning services, the SEEA Ecosystem Accounting reference list identifies ten sub-types of ecosystem services; within regulating services there are sixteen sub-types; and within cultural services there are five sub-types. </w:t>
      </w:r>
      <w:r w:rsidRPr="00ED7E61">
        <w:rPr>
          <w:rStyle w:val="eop"/>
          <w:rFonts w:asciiTheme="majorBidi" w:eastAsiaTheme="majorEastAsia" w:hAnsiTheme="majorBidi" w:cstheme="majorBidi"/>
          <w:color w:val="000000"/>
        </w:rPr>
        <w:t> </w:t>
      </w:r>
    </w:p>
    <w:p w14:paraId="335CF527" w14:textId="53E10C93" w:rsidR="009A563F" w:rsidRPr="00ED7E61" w:rsidRDefault="00756F0F" w:rsidP="00B10F0C">
      <w:pPr>
        <w:pStyle w:val="CBDNormalNumber"/>
        <w:numPr>
          <w:ilvl w:val="0"/>
          <w:numId w:val="61"/>
        </w:numPr>
        <w:ind w:left="567" w:firstLine="0"/>
        <w:rPr>
          <w:rFonts w:asciiTheme="majorBidi" w:hAnsiTheme="majorBidi" w:cstheme="majorBidi"/>
          <w:color w:val="000000"/>
        </w:rPr>
      </w:pPr>
      <w:r w:rsidRPr="00ED7E61">
        <w:rPr>
          <w:rStyle w:val="normaltextrun"/>
          <w:rFonts w:asciiTheme="majorBidi" w:eastAsiaTheme="majorEastAsia" w:hAnsiTheme="majorBidi" w:cstheme="majorBidi"/>
          <w:color w:val="000000"/>
        </w:rPr>
        <w:t>SEEA Ecosystem Accounting uses the IUCN’s Global Ecosystem Typology as the reference classification for ecosystem types, which was also endorsed by the United Nations Statistical Commission at its 55</w:t>
      </w:r>
      <w:r w:rsidRPr="00ED7E61">
        <w:rPr>
          <w:rStyle w:val="normaltextrun"/>
          <w:rFonts w:asciiTheme="majorBidi" w:eastAsiaTheme="majorEastAsia" w:hAnsiTheme="majorBidi" w:cstheme="majorBidi"/>
          <w:color w:val="000000"/>
          <w:vertAlign w:val="superscript"/>
        </w:rPr>
        <w:t>th</w:t>
      </w:r>
      <w:r w:rsidRPr="00ED7E61">
        <w:rPr>
          <w:rStyle w:val="normaltextrun"/>
          <w:rFonts w:asciiTheme="majorBidi" w:eastAsiaTheme="majorEastAsia" w:hAnsiTheme="majorBidi" w:cstheme="majorBidi"/>
          <w:color w:val="000000"/>
        </w:rPr>
        <w:t xml:space="preserve"> session in March 2024 as an international statistical classification and recommended it to be included in the international family of classifications. Parties are able to use their national ecosystem classifications as the basis for their ecosystem accounts and ideally to cross-walk national ecosystem types to the Ecosystem Functional Groups (Level 3) of the Global Ecosystem Typology. </w:t>
      </w:r>
      <w:r w:rsidRPr="00ED7E61">
        <w:rPr>
          <w:rStyle w:val="eop"/>
          <w:rFonts w:asciiTheme="majorBidi" w:eastAsiaTheme="majorEastAsia" w:hAnsiTheme="majorBidi" w:cstheme="majorBidi"/>
          <w:color w:val="000000"/>
        </w:rPr>
        <w:t> </w:t>
      </w:r>
    </w:p>
    <w:p w14:paraId="7516AD75" w14:textId="4B4ED155" w:rsidR="009A563F" w:rsidRPr="00ED7E61" w:rsidRDefault="00756F0F" w:rsidP="00B10F0C">
      <w:pPr>
        <w:pStyle w:val="CBDNormalNumber"/>
        <w:numPr>
          <w:ilvl w:val="0"/>
          <w:numId w:val="61"/>
        </w:numPr>
        <w:ind w:left="567" w:firstLine="0"/>
        <w:rPr>
          <w:rFonts w:asciiTheme="majorBidi" w:hAnsiTheme="majorBidi" w:cstheme="majorBidi"/>
          <w:color w:val="000000"/>
        </w:rPr>
      </w:pPr>
      <w:r w:rsidRPr="00ED7E61">
        <w:rPr>
          <w:rStyle w:val="normaltextrun"/>
          <w:rFonts w:asciiTheme="majorBidi" w:eastAsiaTheme="majorEastAsia" w:hAnsiTheme="majorBidi" w:cstheme="majorBidi"/>
          <w:color w:val="000000"/>
        </w:rPr>
        <w:t>The biophysical ecosystem services accounts describe the flows of ecosystem services provided by ecosystem assets, grouped according to ecosystem type, in volume terms per accounting period. Metrics from the accounts are commonly in physical units such as cubic meters or tonnes. Indicators that can be derived from the account tables include percentage change over an accounting period or with respect to a baseline period.</w:t>
      </w:r>
      <w:r w:rsidRPr="00ED7E61">
        <w:rPr>
          <w:rStyle w:val="eop"/>
          <w:rFonts w:asciiTheme="majorBidi" w:eastAsiaTheme="majorEastAsia" w:hAnsiTheme="majorBidi" w:cstheme="majorBidi"/>
          <w:color w:val="000000"/>
        </w:rPr>
        <w:t> </w:t>
      </w:r>
    </w:p>
    <w:p w14:paraId="2FB1F53D" w14:textId="77777777" w:rsidR="00756F0F" w:rsidRPr="00ED7E61" w:rsidRDefault="00756F0F" w:rsidP="00B10F0C">
      <w:pPr>
        <w:pStyle w:val="CBDNormalNumber"/>
        <w:numPr>
          <w:ilvl w:val="0"/>
          <w:numId w:val="61"/>
        </w:numPr>
        <w:ind w:left="567" w:firstLine="0"/>
        <w:rPr>
          <w:rFonts w:asciiTheme="majorBidi" w:hAnsiTheme="majorBidi" w:cstheme="majorBidi"/>
        </w:rPr>
      </w:pPr>
      <w:r w:rsidRPr="00ED7E61">
        <w:rPr>
          <w:rStyle w:val="normaltextrun"/>
          <w:rFonts w:asciiTheme="majorBidi" w:eastAsiaTheme="majorEastAsia" w:hAnsiTheme="majorBidi" w:cstheme="majorBidi"/>
        </w:rPr>
        <w:t>The biophysical quantity for each ecosystem service may also be expressed in monetary terms where monetary valuation of the service is undertaken. Monetary valuation in an accounting context is approached differently to monetary valuation in environmental economics, and includes only exchange values rather than both exchange values and welfare values. The monetary ecosystem services accounts describe the ecosystem services provided by the ecosystem asset in monetary terms per accounting period, which can be aggregated to a single monetary value per accounting period. Indicators that can be derived from the account tables include percentage change in value over an accounting period or with respect to a baseline period.</w:t>
      </w:r>
      <w:r w:rsidRPr="00ED7E61">
        <w:rPr>
          <w:rStyle w:val="eop"/>
          <w:rFonts w:asciiTheme="majorBidi" w:eastAsiaTheme="majorEastAsia" w:hAnsiTheme="majorBidi" w:cstheme="majorBidi"/>
        </w:rPr>
        <w:t> </w:t>
      </w:r>
    </w:p>
    <w:p w14:paraId="5919E70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5b. Method of computation</w:t>
      </w:r>
      <w:r w:rsidRPr="00ED7E61">
        <w:rPr>
          <w:rStyle w:val="eop"/>
          <w:rFonts w:asciiTheme="majorBidi" w:eastAsiaTheme="majorEastAsia" w:hAnsiTheme="majorBidi" w:cstheme="majorBidi"/>
          <w:sz w:val="22"/>
          <w:szCs w:val="22"/>
        </w:rPr>
        <w:t> </w:t>
      </w:r>
    </w:p>
    <w:p w14:paraId="51C09E0E"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indicator is computed in three stages: 1) selection of ecosystem services for inclusion in the indicator, 2) compilation of ecosystem services accounts, and 3) calculation of an aggregate index based on information from the accounts.</w:t>
      </w:r>
      <w:r w:rsidRPr="00ED7E61">
        <w:rPr>
          <w:rStyle w:val="normaltextrun"/>
        </w:rPr>
        <w:t> </w:t>
      </w:r>
    </w:p>
    <w:p w14:paraId="657C66D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i/>
          <w:iCs/>
          <w:color w:val="000000"/>
          <w:sz w:val="22"/>
          <w:szCs w:val="22"/>
        </w:rPr>
      </w:pPr>
      <w:r w:rsidRPr="00ED7E61">
        <w:rPr>
          <w:rStyle w:val="normaltextrun"/>
          <w:rFonts w:asciiTheme="majorBidi" w:eastAsiaTheme="majorEastAsia" w:hAnsiTheme="majorBidi" w:cstheme="majorBidi"/>
          <w:i/>
          <w:iCs/>
          <w:color w:val="000000"/>
          <w:sz w:val="22"/>
          <w:szCs w:val="22"/>
          <w:lang w:val="en-GB"/>
        </w:rPr>
        <w:t>Stage 1 Selection of ecosystem system services to be included</w:t>
      </w:r>
      <w:r w:rsidRPr="00ED7E61">
        <w:rPr>
          <w:rStyle w:val="eop"/>
          <w:rFonts w:asciiTheme="majorBidi" w:eastAsiaTheme="majorEastAsia" w:hAnsiTheme="majorBidi" w:cstheme="majorBidi"/>
          <w:i/>
          <w:iCs/>
          <w:color w:val="000000"/>
          <w:sz w:val="22"/>
          <w:szCs w:val="22"/>
        </w:rPr>
        <w:t> </w:t>
      </w:r>
    </w:p>
    <w:p w14:paraId="77CC648C" w14:textId="394313C3" w:rsidR="009A563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first stage in computing the indicator is to select ecosystem services that will be included in the indicator. As described above, the SEEA Ecosystem Accounting reference list of ecosystem services is used as the basis for the indicator and should thus be used in the selection of ecosystem services to be included in the indicator. </w:t>
      </w:r>
      <w:r w:rsidRPr="00ED7E61">
        <w:rPr>
          <w:rStyle w:val="normaltextrun"/>
        </w:rPr>
        <w:t> </w:t>
      </w:r>
    </w:p>
    <w:p w14:paraId="6B19479E" w14:textId="77777777" w:rsidR="00756F0F" w:rsidRPr="00ED7E61" w:rsidRDefault="00756F0F" w:rsidP="00B10F0C">
      <w:pPr>
        <w:pStyle w:val="CBDNormalNumber"/>
        <w:numPr>
          <w:ilvl w:val="0"/>
          <w:numId w:val="61"/>
        </w:numPr>
        <w:ind w:left="567" w:firstLine="0"/>
        <w:rPr>
          <w:rFonts w:asciiTheme="majorBidi" w:hAnsiTheme="majorBidi" w:cstheme="majorBidi"/>
        </w:rPr>
      </w:pPr>
      <w:r w:rsidRPr="00ED7E61">
        <w:rPr>
          <w:rStyle w:val="normaltextrun"/>
          <w:rFonts w:asciiTheme="majorBidi" w:eastAsiaTheme="majorEastAsia" w:hAnsiTheme="majorBidi" w:cstheme="majorBidi"/>
        </w:rPr>
        <w:t>The selection of ecosystem services for this indicator takes a blended approach, reflecting both national and global priorities, based on the rationale explained in Section 4. The following starting point is used as the basis for the selection of ecosystem services by Parties for inclusion in the indicator at the national level:</w:t>
      </w:r>
      <w:r w:rsidRPr="00ED7E61">
        <w:rPr>
          <w:rStyle w:val="eop"/>
          <w:rFonts w:asciiTheme="majorBidi" w:eastAsiaTheme="majorEastAsia" w:hAnsiTheme="majorBidi" w:cstheme="majorBidi"/>
        </w:rPr>
        <w:t> </w:t>
      </w:r>
    </w:p>
    <w:p w14:paraId="43DD6605" w14:textId="7BAC3705"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Required ecosystem services of global relevance to be included by all Parties (e.g. global climate regulation services (GCRS)). </w:t>
      </w:r>
      <w:r w:rsidRPr="00ED7E61">
        <w:rPr>
          <w:rStyle w:val="normaltextrun"/>
        </w:rPr>
        <w:t> </w:t>
      </w:r>
    </w:p>
    <w:p w14:paraId="1F9F9DC4" w14:textId="77777777"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Recommended ecosystem services to be included by Parties from the SEEA Ecosystem Accounting reference list of ecosystem services, such that there is a combination of provisioning services, regulating services and cultural services. Alongside the recommended ecosystem services, there may also be a list of ecosystem services that Parties are discouraged from selecting. </w:t>
      </w:r>
      <w:r w:rsidRPr="00ED7E61">
        <w:rPr>
          <w:rStyle w:val="normaltextrun"/>
        </w:rPr>
        <w:t> </w:t>
      </w:r>
    </w:p>
    <w:p w14:paraId="49743AC6" w14:textId="77777777"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Parties may include additional ecosystem services that they consider important or policy relevant if they wish to. </w:t>
      </w:r>
      <w:r w:rsidRPr="00ED7E61">
        <w:rPr>
          <w:rStyle w:val="eop"/>
          <w:rFonts w:asciiTheme="majorBidi" w:eastAsiaTheme="majorEastAsia" w:hAnsiTheme="majorBidi" w:cstheme="majorBidi"/>
        </w:rPr>
        <w:t> </w:t>
      </w:r>
    </w:p>
    <w:p w14:paraId="0AFF9E37" w14:textId="77777777"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From the recommended ecosystem services, Parties should select services based on a combination of importance or policy relevance of the service and data availability. In the selection of ecosystem services Parties should also consider the alignment and compatibility of the ecosystem service with the overall intent of the GBF, including the factors raised in the rationale in Section 4 related to dependence of people in vulnerable situations on the ecosystem service, its significance for indigenous peoples and local communities, whether it is possible to access if provision of the service is sustainable or not, whether the service is provided by anthropogenic ecosystem type(s) that impact negatively on biodiversity, the ease with which the contribution of the ecosystem to the service can be isolated and quantified, and the extent to which the service is already accounted for in standard economic measures. Relevance to Targets 9 and 11, for which ecosystem services accounts are also the basis for the headline indicator, should also be considered. </w:t>
      </w:r>
      <w:r w:rsidRPr="00ED7E61">
        <w:rPr>
          <w:rStyle w:val="normaltextrun"/>
        </w:rPr>
        <w:t> </w:t>
      </w:r>
    </w:p>
    <w:p w14:paraId="0B65671F" w14:textId="2BCA60C4" w:rsidR="00756F0F" w:rsidRPr="00ED7E61" w:rsidRDefault="00585E26"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 xml:space="preserve">For the first reporting period, in 2026, countries should report on any and all ecosystem services they have data available for. </w:t>
      </w:r>
      <w:r w:rsidR="00756F0F" w:rsidRPr="00ED7E61">
        <w:rPr>
          <w:rStyle w:val="normaltextrun"/>
          <w:rFonts w:asciiTheme="majorBidi" w:eastAsiaTheme="majorEastAsia" w:hAnsiTheme="majorBidi" w:cstheme="majorBidi"/>
        </w:rPr>
        <w:t>Compilation guidelines</w:t>
      </w:r>
      <w:r w:rsidRPr="00ED7E61">
        <w:rPr>
          <w:rStyle w:val="normaltextrun"/>
          <w:rFonts w:asciiTheme="majorBidi" w:eastAsiaTheme="majorEastAsia" w:hAnsiTheme="majorBidi" w:cstheme="majorBidi"/>
        </w:rPr>
        <w:t xml:space="preserve"> will be</w:t>
      </w:r>
      <w:r w:rsidR="00756F0F" w:rsidRPr="00ED7E61">
        <w:rPr>
          <w:rStyle w:val="normaltextrun"/>
          <w:rFonts w:asciiTheme="majorBidi" w:eastAsiaTheme="majorEastAsia" w:hAnsiTheme="majorBidi" w:cstheme="majorBidi"/>
        </w:rPr>
        <w:t xml:space="preserve"> developed</w:t>
      </w:r>
      <w:r w:rsidRPr="00ED7E61">
        <w:rPr>
          <w:rStyle w:val="normaltextrun"/>
          <w:rFonts w:asciiTheme="majorBidi" w:eastAsiaTheme="majorEastAsia" w:hAnsiTheme="majorBidi" w:cstheme="majorBidi"/>
        </w:rPr>
        <w:t xml:space="preserve"> to</w:t>
      </w:r>
      <w:r w:rsidR="00756F0F" w:rsidRPr="00ED7E61">
        <w:rPr>
          <w:rStyle w:val="normaltextrun"/>
          <w:rFonts w:asciiTheme="majorBidi" w:eastAsiaTheme="majorEastAsia" w:hAnsiTheme="majorBidi" w:cstheme="majorBidi"/>
        </w:rPr>
        <w:t xml:space="preserve"> provide additional guidance on selection of ecosystem services for inclusion in the indicator, </w:t>
      </w:r>
      <w:r w:rsidRPr="00ED7E61">
        <w:rPr>
          <w:rStyle w:val="normaltextrun"/>
          <w:rFonts w:asciiTheme="majorBidi" w:eastAsiaTheme="majorEastAsia" w:hAnsiTheme="majorBidi" w:cstheme="majorBidi"/>
        </w:rPr>
        <w:t xml:space="preserve">in subsequent reporting periods, </w:t>
      </w:r>
      <w:r w:rsidR="00756F0F" w:rsidRPr="00ED7E61">
        <w:rPr>
          <w:rStyle w:val="normaltextrun"/>
          <w:rFonts w:asciiTheme="majorBidi" w:eastAsiaTheme="majorEastAsia" w:hAnsiTheme="majorBidi" w:cstheme="majorBidi"/>
        </w:rPr>
        <w:t>including which services of global relevance are required to be included, the minimum number of services to be included per broad ecosystem service category, and more detail on factors to consider in the selection process. </w:t>
      </w:r>
      <w:r w:rsidR="00756F0F" w:rsidRPr="00ED7E61">
        <w:rPr>
          <w:rStyle w:val="normaltextrun"/>
        </w:rPr>
        <w:t> </w:t>
      </w:r>
    </w:p>
    <w:p w14:paraId="4C31BA2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Stage 2 Compilation of ecosystem services accounts</w:t>
      </w:r>
      <w:r w:rsidRPr="00ED7E61">
        <w:rPr>
          <w:rStyle w:val="eop"/>
          <w:rFonts w:asciiTheme="majorBidi" w:eastAsiaTheme="majorEastAsia" w:hAnsiTheme="majorBidi" w:cstheme="majorBidi"/>
          <w:sz w:val="22"/>
          <w:szCs w:val="22"/>
        </w:rPr>
        <w:t> </w:t>
      </w:r>
    </w:p>
    <w:p w14:paraId="2ABF0BE3"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 second stage of developing the indicator is to compile accounts for each of the ecosystem services selected. The accounts should be compiled ideally at the national level, based on the SEEA Ecosystem Accounting. Methods for this are described in SEEA Ecosystem Accounting, with some supporting material already available (for example, </w:t>
      </w:r>
      <w:hyperlink r:id="rId248" w:tgtFrame="_blank" w:history="1">
        <w:r w:rsidRPr="00ED7E61">
          <w:rPr>
            <w:rStyle w:val="normaltextrun"/>
            <w:rFonts w:asciiTheme="majorBidi" w:eastAsiaTheme="majorEastAsia" w:hAnsiTheme="majorBidi" w:cstheme="majorBidi"/>
          </w:rPr>
          <w:t>SEEA e-learning resources | System of Environmental Economic Accounting</w:t>
        </w:r>
      </w:hyperlink>
      <w:r w:rsidRPr="00ED7E61">
        <w:rPr>
          <w:rStyle w:val="normaltextrun"/>
          <w:rFonts w:asciiTheme="majorBidi" w:eastAsiaTheme="majorEastAsia" w:hAnsiTheme="majorBidi" w:cstheme="majorBidi"/>
        </w:rPr>
        <w:t>) and more in development. For an example of an ecosystem services accounting table, see Table 7.1 in SEEA Ecosystem Accounting.</w:t>
      </w:r>
      <w:r w:rsidRPr="00ED7E61">
        <w:rPr>
          <w:rStyle w:val="normaltextrun"/>
        </w:rPr>
        <w:t> </w:t>
      </w:r>
    </w:p>
    <w:p w14:paraId="7E37D343" w14:textId="77777777"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There may be some iteration between selection of ecosystem services and compilation of the accounts, as data needs and data availability for specific ecosystem services are determined.</w:t>
      </w:r>
      <w:r w:rsidRPr="00ED7E61">
        <w:rPr>
          <w:rStyle w:val="normaltextrun"/>
        </w:rPr>
        <w:t> </w:t>
      </w:r>
    </w:p>
    <w:p w14:paraId="3EB09C5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i/>
          <w:iCs/>
          <w:color w:val="000000"/>
          <w:sz w:val="22"/>
          <w:szCs w:val="22"/>
        </w:rPr>
      </w:pPr>
      <w:r w:rsidRPr="00ED7E61">
        <w:rPr>
          <w:rStyle w:val="normaltextrun"/>
          <w:rFonts w:asciiTheme="majorBidi" w:eastAsiaTheme="majorEastAsia" w:hAnsiTheme="majorBidi" w:cstheme="majorBidi"/>
          <w:i/>
          <w:iCs/>
          <w:color w:val="000000"/>
          <w:sz w:val="22"/>
          <w:szCs w:val="22"/>
          <w:lang w:val="en-GB"/>
        </w:rPr>
        <w:t>Stage 3 Indicator calculation</w:t>
      </w:r>
      <w:r w:rsidRPr="00ED7E61">
        <w:rPr>
          <w:rStyle w:val="eop"/>
          <w:rFonts w:asciiTheme="majorBidi" w:eastAsiaTheme="majorEastAsia" w:hAnsiTheme="majorBidi" w:cstheme="majorBidi"/>
          <w:i/>
          <w:iCs/>
          <w:color w:val="000000"/>
          <w:sz w:val="22"/>
          <w:szCs w:val="22"/>
        </w:rPr>
        <w:t> </w:t>
      </w:r>
    </w:p>
    <w:p w14:paraId="186A77C5"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third stage of developing the indicator involves taking information from the ecosystem services accounts to develop an aggregate index of change in ecosystem service provision. Since, in physical terms, each ecosystem service is measured in a different unit, a simple summation across ecosystem services is not possible. Hence, an indicator that would allow aggregation across ecosystem services needs to be developed. Several options were identified, including aggregation of trends (rates of change) in quantitative terms using an averaging method, semi-qualitative approaches, and aggregation in monetary terms. </w:t>
      </w:r>
      <w:r w:rsidRPr="00ED7E61">
        <w:rPr>
          <w:rStyle w:val="normaltextrun"/>
        </w:rPr>
        <w:t> </w:t>
      </w:r>
    </w:p>
    <w:p w14:paraId="478182F4" w14:textId="59DFA12D" w:rsidR="00756F0F" w:rsidRPr="00ED7E61" w:rsidRDefault="00756F0F" w:rsidP="00B10F0C">
      <w:pPr>
        <w:pStyle w:val="CBDNormalNumber"/>
        <w:numPr>
          <w:ilvl w:val="0"/>
          <w:numId w:val="61"/>
        </w:numPr>
        <w:ind w:left="567" w:firstLine="0"/>
        <w:rPr>
          <w:rStyle w:val="normaltextrun"/>
        </w:rPr>
      </w:pPr>
      <w:r w:rsidRPr="00ED7E61">
        <w:rPr>
          <w:rStyle w:val="normaltextrun"/>
          <w:rFonts w:asciiTheme="majorBidi" w:eastAsiaTheme="majorEastAsia" w:hAnsiTheme="majorBidi" w:cstheme="majorBidi"/>
        </w:rPr>
        <w:t xml:space="preserve">Based on initial exploration and testing experts converged that an aggregation method using a geometric mean of trends of ecosystem services seems to be the most viable option. The chain method for calculating the geometric mean has the advantage that it allows for different time series lengths with different starting years for different ecosystem services, which means that additional ecosystem services can be added to the index as datasets and accounts for additional ecosystem services become available. </w:t>
      </w:r>
    </w:p>
    <w:p w14:paraId="1DAC8598" w14:textId="18C7AFEF" w:rsidR="00585E26" w:rsidRPr="00ED7E61" w:rsidRDefault="00756F0F" w:rsidP="00B10F0C">
      <w:pPr>
        <w:pStyle w:val="CBDNormalNumber"/>
        <w:numPr>
          <w:ilvl w:val="0"/>
          <w:numId w:val="61"/>
        </w:numPr>
        <w:ind w:left="567" w:firstLine="0"/>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 xml:space="preserve">In addition to a single aggregate index, three sub-indices, one for each broad category of ecosystem services (i.e. provisioning, regulating and cultural) should be calculated and reported. Because trends in provisioning, regulating and cultural ecosystem services often move in different directions, which can be masked by the overall index, it will be important to present the overall index and the three sub-indices together, not just the overall index. </w:t>
      </w:r>
      <w:r w:rsidR="00585E26" w:rsidRPr="00ED7E61">
        <w:rPr>
          <w:rStyle w:val="normaltextrun"/>
          <w:rFonts w:asciiTheme="majorBidi" w:eastAsiaTheme="majorEastAsia" w:hAnsiTheme="majorBidi" w:cstheme="majorBidi"/>
        </w:rPr>
        <w:t>Further guidance on the aggregation method and disaggregations will be provided in the compilation guidelines.</w:t>
      </w:r>
    </w:p>
    <w:p w14:paraId="4E89A1EE" w14:textId="557A63DC"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In addition to the aggregate index in biophysical terms, aggregate measures of ecosystem services in monetary terms could be reported by Parties as a component or complementary indicator. If monetary ecosystem services accounts have been developed, aggregate measures in monetary terms can be derived by summing total supply or use for each ecosystem service for the same period, with care taken to use constant prices across accounting periods to ensure that the values are expressed in real rather than nominal terms. The monetary value of ecosystem services can be expressed as a percentage of gross value added (GVA) from the national (economic) accounts. </w:t>
      </w:r>
      <w:r w:rsidRPr="00ED7E61">
        <w:rPr>
          <w:rStyle w:val="normaltextrun"/>
        </w:rPr>
        <w:t> </w:t>
      </w:r>
    </w:p>
    <w:p w14:paraId="111618C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17C0702B"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compilation of ecosystem services accounts should ideally be based on national time-series datasets for ecosystem services, which could combine data from a range of sources to provide the best available estimates of ecosystem service supply and use. For many ecosystem services, some form of modelling is required to produce these estimates. If suitable national datasets are not available and cannot be developed with current resources, an alternative is to use available global datasets and models to develop initial estimates for the accounts, subject to criteria, standards and quality assurance. Validation by relevant national experts through appropriate institutional processes would be required to assess whether the results from global datasets and models are credible. Several global tools are available, such as ARIES for SEEA, InVEST, ESTIMAP. In some cases, these global tools allow for the incorporation of national datasets and/or models. Further guidance for some ecosystem services is available in Guidelines on Biophysical Modelling for Ecosystem Accounting (United Nations 2021). In addition, a wealth of literature is available on measuring ecosystem services.</w:t>
      </w:r>
      <w:r w:rsidRPr="00ED7E61">
        <w:rPr>
          <w:rStyle w:val="normaltextrun"/>
        </w:rPr>
        <w:t> </w:t>
      </w:r>
    </w:p>
    <w:p w14:paraId="4C9BE31C" w14:textId="77777777"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Data quality guidelines for this and other headline indicators should be addressed in compilation guidelines.</w:t>
      </w:r>
      <w:r w:rsidRPr="00ED7E61">
        <w:rPr>
          <w:rStyle w:val="normaltextrun"/>
        </w:rPr>
        <w:t> </w:t>
      </w:r>
    </w:p>
    <w:p w14:paraId="1364799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1098AC0F"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methodology for ecosystem services accounts in biophysical terms is well developed and accepted by the international statistical community as part of the SEEA Ecosystem Accounting framework.  The United Nations Statistical Commission at its 52nd session in 2021 adopted the SEEA Ecosystem Accounting chapters 1-7 describing the accounting framework and the biophysical accounts, including chapters on ecosystem services, as an international statistical standard, whereas chapters 8-11, which deal with accounts in monetary terms, were adopted as internationally recognized statistical principles and recommendations for the valuation of ecosystem services.</w:t>
      </w:r>
      <w:r w:rsidRPr="00ED7E61">
        <w:rPr>
          <w:rStyle w:val="normaltextrun"/>
        </w:rPr>
        <w:t> </w:t>
      </w:r>
    </w:p>
    <w:p w14:paraId="4C0D8301" w14:textId="77777777"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 xml:space="preserve">As noted in Section 5b.2, some material is available to support the development of ecosystem accounts including ecosystem services accounts (for example, </w:t>
      </w:r>
      <w:hyperlink r:id="rId249" w:tgtFrame="_blank" w:history="1">
        <w:r w:rsidRPr="00ED7E61">
          <w:rPr>
            <w:rStyle w:val="normaltextrun"/>
            <w:rFonts w:asciiTheme="majorBidi" w:eastAsiaTheme="majorEastAsia" w:hAnsiTheme="majorBidi" w:cstheme="majorBidi"/>
          </w:rPr>
          <w:t>SEEA e-learning resources | System of Environmental Economic Accounting</w:t>
        </w:r>
      </w:hyperlink>
      <w:r w:rsidRPr="00ED7E61">
        <w:rPr>
          <w:rStyle w:val="normaltextrun"/>
          <w:rFonts w:asciiTheme="majorBidi" w:eastAsiaTheme="majorEastAsia" w:hAnsiTheme="majorBidi" w:cstheme="majorBidi"/>
        </w:rPr>
        <w:t>), with more in development. In addition, capacity development for Parties, especially for developing countries, should be provided to support the compilation of this this indicator.</w:t>
      </w:r>
      <w:r w:rsidRPr="00ED7E61">
        <w:rPr>
          <w:rStyle w:val="normaltextrun"/>
        </w:rPr>
        <w:t> </w:t>
      </w:r>
    </w:p>
    <w:p w14:paraId="3D67A91C" w14:textId="77777777"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As noted in Section 5b.3, further testing is underway to finalise the methodology for developing an aggregate index of trends in ecosystem services that draws on data from ecosystem services accounts. </w:t>
      </w:r>
      <w:r w:rsidRPr="00ED7E61">
        <w:rPr>
          <w:rStyle w:val="normaltextrun"/>
        </w:rPr>
        <w:t> </w:t>
      </w:r>
    </w:p>
    <w:p w14:paraId="4CCF78A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4E548492"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See Section 5c Data collection method. A very wide range of data sources go into the compilation of ecosystem services accounts, and these differ depending on which ecosystem service is being measured. Data could be sourced from research institutions, various government ministries, national mapping agencies, national statistical offices, various government departments and other organs of state at the national or sub-national level (such as municipalities). Remote sensing and earth observation data play an important role for some ecosystem services. </w:t>
      </w:r>
      <w:r w:rsidRPr="00ED7E61">
        <w:rPr>
          <w:rStyle w:val="normaltextrun"/>
        </w:rPr>
        <w:t> </w:t>
      </w:r>
    </w:p>
    <w:p w14:paraId="1B6EB01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0065BD58"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According to the Global Assessment of Environmental-Economic Accounting and Supporting Statistics (2023) undertaken by the UNSD, 22 countries compiled biophysical ecosystem services accounts at least once and 15 countries compiled monetary ecosystem services accounts at least once during the period 2019 to 2023. Ideally ecosystem services accounts would be compiled annually, but in practice few countries would have the capacity to do this, so accounting periods of three to five years are more likely</w:t>
      </w:r>
      <w:r w:rsidRPr="00ED7E61">
        <w:rPr>
          <w:rStyle w:val="normaltextrun"/>
        </w:rPr>
        <w:t> </w:t>
      </w:r>
    </w:p>
    <w:p w14:paraId="5A1D96C9" w14:textId="77777777"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Global tools and databases to support ecosystem services accounting are currently under development (see Section 5c).</w:t>
      </w:r>
      <w:r w:rsidRPr="00ED7E61">
        <w:rPr>
          <w:rStyle w:val="normaltextrun"/>
        </w:rPr>
        <w:t> </w:t>
      </w:r>
    </w:p>
    <w:p w14:paraId="3C2E713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5CBB1FAE"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Data for the indicator in the form of ecosystem services accounts are not yet available for most countries. Time series for different ecosystem services accounts will differ. As ecosystem services accounts are developed at the national level, time series for different ecosystem services will depend on data availability, with back casting possible in some cases. </w:t>
      </w:r>
      <w:r w:rsidRPr="00ED7E61">
        <w:rPr>
          <w:rStyle w:val="normaltextrun"/>
        </w:rPr>
        <w:t> </w:t>
      </w:r>
    </w:p>
    <w:p w14:paraId="65B2EA90" w14:textId="6BE74254" w:rsidR="00756F0F" w:rsidRPr="00ED7E61" w:rsidRDefault="00756F0F" w:rsidP="00B10F0C">
      <w:pPr>
        <w:pStyle w:val="CBDNormalNumber"/>
        <w:numPr>
          <w:ilvl w:val="0"/>
          <w:numId w:val="61"/>
        </w:numPr>
        <w:ind w:left="567" w:firstLine="0"/>
      </w:pPr>
      <w:r w:rsidRPr="00ED7E61">
        <w:rPr>
          <w:rStyle w:val="normaltextrun"/>
          <w:rFonts w:asciiTheme="majorBidi" w:eastAsiaTheme="majorEastAsia" w:hAnsiTheme="majorBidi" w:cstheme="majorBidi"/>
        </w:rPr>
        <w:t>The proposed baseline year for global reporting under the GBF is likely to be 2020, or alternatively an average of the values between 2010 and 2020.Country baseline dates may be distinct from the global baseline data, depending on data available at the national level. </w:t>
      </w:r>
      <w:r w:rsidRPr="00ED7E61">
        <w:rPr>
          <w:rStyle w:val="normaltextrun"/>
        </w:rPr>
        <w:t> </w:t>
      </w:r>
    </w:p>
    <w:p w14:paraId="1BDD7B8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1AD9462F"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As discussed in Section 5e, a wide range of data sources go into the compilation of ecosystem services accounts. Data providers could include research institutions, various government ministries, national mapping agencies, national statistical offices, various government departments and other organs of state at the national or sub-national level (such as municipalities). Remote sensing and earth observation data play an important role for some ecosystem services.</w:t>
      </w:r>
      <w:r w:rsidRPr="00ED7E61">
        <w:rPr>
          <w:rStyle w:val="normaltextrun"/>
        </w:rPr>
        <w:t> </w:t>
      </w:r>
    </w:p>
    <w:p w14:paraId="1C6645E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1A93832F"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For countries that have national ecosystem services accounts, the relevant national authorities, in particular the national statistical offices, ministries of environment or related agencies, will compile this indicator. Missing values for individual countries may be estimated using ARIES for SEEA or another international data platform by the custodian agency using existing global data sources, subject to criteria, standards and quality assurance including national validation.</w:t>
      </w:r>
      <w:r w:rsidRPr="00ED7E61">
        <w:rPr>
          <w:rStyle w:val="normaltextrun"/>
        </w:rPr>
        <w:t> </w:t>
      </w:r>
    </w:p>
    <w:p w14:paraId="281C6FA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65F326E3"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There are substantial data gaps at this stage for reliable estimates of a suite of ecosystem services in all countries. </w:t>
      </w:r>
      <w:r w:rsidRPr="00ED7E61">
        <w:rPr>
          <w:rStyle w:val="normaltextrun"/>
        </w:rPr>
        <w:t> </w:t>
      </w:r>
    </w:p>
    <w:p w14:paraId="3C27C38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5k. Treatment of missing values</w:t>
      </w:r>
      <w:r w:rsidRPr="00ED7E61">
        <w:rPr>
          <w:rStyle w:val="eop"/>
          <w:rFonts w:asciiTheme="majorBidi" w:eastAsiaTheme="majorEastAsia" w:hAnsiTheme="majorBidi" w:cstheme="majorBidi"/>
          <w:sz w:val="22"/>
          <w:szCs w:val="22"/>
        </w:rPr>
        <w:t> </w:t>
      </w:r>
    </w:p>
    <w:p w14:paraId="5C8515EA"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Missing values for this indicator could result from several factors, including but not limited to temporal gaps (e.g. once-off datasets, very short time-series or interrupted time series), spatial gaps (e.g. data available only for some sub-regions or local areas within a country), or complete lack of data for some ecosystem services at the national or global level. </w:t>
      </w:r>
      <w:r w:rsidRPr="00ED7E61">
        <w:rPr>
          <w:rStyle w:val="normaltextrun"/>
        </w:rPr>
        <w:t> </w:t>
      </w:r>
    </w:p>
    <w:p w14:paraId="78A6A638" w14:textId="77777777"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As noted in earlier sections, for some ecosystem services, missing values for individual countries may be estimated using ARIES for SEEA or other global modelling platforms based on existing global data, subject to criteria, standards and quality assurance including national validation through appropriate institutional processes involving relevant national experts. </w:t>
      </w:r>
      <w:r w:rsidRPr="00ED7E61">
        <w:rPr>
          <w:rStyle w:val="normaltextrun"/>
        </w:rPr>
        <w:t> </w:t>
      </w:r>
    </w:p>
    <w:p w14:paraId="2C43A7F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 Scale</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3A9028EB"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6a. Scale of use </w:t>
      </w:r>
      <w:r w:rsidRPr="00ED7E61">
        <w:rPr>
          <w:rStyle w:val="eop"/>
          <w:rFonts w:asciiTheme="majorBidi" w:eastAsiaTheme="majorEastAsia" w:hAnsiTheme="majorBidi" w:cstheme="majorBidi"/>
          <w:sz w:val="22"/>
          <w:szCs w:val="22"/>
        </w:rPr>
        <w:t> </w:t>
      </w:r>
    </w:p>
    <w:p w14:paraId="477E85F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Scale of application (please check all relevant boxes):</w:t>
      </w:r>
      <w:r w:rsidRPr="00ED7E61">
        <w:rPr>
          <w:rStyle w:val="normaltextrun"/>
          <w:rFonts w:asciiTheme="majorBidi" w:eastAsiaTheme="majorEastAsia" w:hAnsiTheme="majorBidi" w:cstheme="majorBidi"/>
          <w:i/>
          <w:iCs/>
          <w:sz w:val="22"/>
          <w:szCs w:val="22"/>
          <w:lang w:val="en-GB"/>
        </w:rPr>
        <w:t> </w:t>
      </w:r>
      <w:r w:rsidRPr="00ED7E61">
        <w:rPr>
          <w:rStyle w:val="eop"/>
          <w:rFonts w:asciiTheme="majorBidi" w:eastAsiaTheme="majorEastAsia" w:hAnsiTheme="majorBidi" w:cstheme="majorBidi"/>
          <w:sz w:val="22"/>
          <w:szCs w:val="22"/>
        </w:rPr>
        <w:t> </w:t>
      </w:r>
    </w:p>
    <w:p w14:paraId="5BE5BF8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Global: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 xml:space="preserve">Regional: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National</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233DE58C" w14:textId="65B4C7C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eop"/>
          <w:rFonts w:asciiTheme="majorBidi" w:eastAsiaTheme="majorEastAsia" w:hAnsiTheme="majorBidi" w:cstheme="majorBidi"/>
        </w:rPr>
        <w:t> </w:t>
      </w:r>
      <w:r w:rsidRPr="00ED7E61">
        <w:rPr>
          <w:rStyle w:val="normaltextrun"/>
          <w:rFonts w:asciiTheme="majorBidi" w:eastAsiaTheme="majorEastAsia" w:hAnsiTheme="majorBidi" w:cstheme="majorBidi"/>
        </w:rPr>
        <w:t>Scale of data disaggregation/aggregation: </w:t>
      </w:r>
      <w:r w:rsidRPr="00ED7E61">
        <w:rPr>
          <w:rStyle w:val="normaltextrun"/>
        </w:rPr>
        <w:t> </w:t>
      </w:r>
    </w:p>
    <w:p w14:paraId="189BE7F4" w14:textId="77777777"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Global/ regional scale indicator can be disaggregated to national level: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301E490B" w14:textId="77777777"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National data is collated to form global indicator: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14E4F6D4" w14:textId="77777777"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The indicator is applicable at the global, regional and national scale. National data can be aggregated to global indicators provided that the underlying classifications are harmonized across countries.</w:t>
      </w:r>
      <w:r w:rsidRPr="00ED7E61">
        <w:rPr>
          <w:rStyle w:val="normaltextrun"/>
        </w:rPr>
        <w:t> </w:t>
      </w:r>
    </w:p>
    <w:p w14:paraId="2EDDCF9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6b. National/regional indicator production </w:t>
      </w:r>
      <w:r w:rsidRPr="00ED7E61">
        <w:rPr>
          <w:rStyle w:val="eop"/>
          <w:rFonts w:asciiTheme="majorBidi" w:eastAsiaTheme="majorEastAsia" w:hAnsiTheme="majorBidi" w:cstheme="majorBidi"/>
          <w:sz w:val="22"/>
          <w:szCs w:val="22"/>
        </w:rPr>
        <w:t> </w:t>
      </w:r>
    </w:p>
    <w:p w14:paraId="0E71FD59" w14:textId="77777777" w:rsidR="00756F0F" w:rsidRPr="00ED7E61" w:rsidRDefault="00756F0F" w:rsidP="00B3383B">
      <w:pPr>
        <w:pStyle w:val="paragraph"/>
        <w:spacing w:before="120" w:beforeAutospacing="0" w:after="12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4610EDD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6c. Sources of differences between global and national figures</w:t>
      </w:r>
      <w:r w:rsidRPr="00ED7E61">
        <w:rPr>
          <w:rStyle w:val="eop"/>
          <w:rFonts w:asciiTheme="majorBidi" w:eastAsiaTheme="majorEastAsia" w:hAnsiTheme="majorBidi" w:cstheme="majorBidi"/>
          <w:sz w:val="22"/>
          <w:szCs w:val="22"/>
        </w:rPr>
        <w:t> </w:t>
      </w:r>
    </w:p>
    <w:p w14:paraId="12820969"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Differences between country-produced and internationally estimated data may arise due to differences in spatial resolution and projections of datasets, classification and modelling approaches, and definitions of particular ecosystem services.</w:t>
      </w:r>
      <w:r w:rsidRPr="00ED7E61">
        <w:rPr>
          <w:rStyle w:val="normaltextrun"/>
        </w:rPr>
        <w:t> </w:t>
      </w:r>
    </w:p>
    <w:p w14:paraId="21AFB79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6d. Regional and global estimates &amp; data collection for global monitoring</w:t>
      </w:r>
      <w:r w:rsidRPr="00ED7E61">
        <w:rPr>
          <w:rStyle w:val="eop"/>
          <w:rFonts w:asciiTheme="majorBidi" w:eastAsiaTheme="majorEastAsia" w:hAnsiTheme="majorBidi" w:cstheme="majorBidi"/>
          <w:sz w:val="22"/>
          <w:szCs w:val="22"/>
        </w:rPr>
        <w:t> </w:t>
      </w:r>
    </w:p>
    <w:p w14:paraId="6D24044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6d.1 Description of the methodology</w:t>
      </w:r>
      <w:r w:rsidRPr="00ED7E61">
        <w:rPr>
          <w:rStyle w:val="eop"/>
          <w:rFonts w:asciiTheme="majorBidi" w:eastAsiaTheme="majorEastAsia" w:hAnsiTheme="majorBidi" w:cstheme="majorBidi"/>
          <w:sz w:val="22"/>
          <w:szCs w:val="22"/>
        </w:rPr>
        <w:t> </w:t>
      </w:r>
    </w:p>
    <w:p w14:paraId="19C44C58"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Regional and global estimates are produced by aggregating country-level data.</w:t>
      </w:r>
      <w:r w:rsidRPr="00ED7E61">
        <w:rPr>
          <w:rStyle w:val="normaltextrun"/>
        </w:rPr>
        <w:t> </w:t>
      </w:r>
    </w:p>
    <w:p w14:paraId="1AB182E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6d.2 Additional methodological details</w:t>
      </w:r>
      <w:r w:rsidRPr="00ED7E61">
        <w:rPr>
          <w:rStyle w:val="eop"/>
          <w:rFonts w:asciiTheme="majorBidi" w:eastAsiaTheme="majorEastAsia" w:hAnsiTheme="majorBidi" w:cstheme="majorBidi"/>
          <w:sz w:val="22"/>
          <w:szCs w:val="22"/>
        </w:rPr>
        <w:t> </w:t>
      </w:r>
    </w:p>
    <w:p w14:paraId="26F74424"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Countries will provide data (using a spreadsheet template or through an online data collection system] that will request them to provide values in absolute terms for each ecosystem service included in the indicator as well as the overall index and sub-indices. This will provide flexibility in terms of methods for global aggregation. Also see Section 6d.3 below. </w:t>
      </w:r>
      <w:r w:rsidRPr="00ED7E61">
        <w:rPr>
          <w:rStyle w:val="normaltextrun"/>
        </w:rPr>
        <w:t> </w:t>
      </w:r>
    </w:p>
    <w:p w14:paraId="76FDCE5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6d.3 Description of the mechanism for collecting data from countries</w:t>
      </w:r>
      <w:r w:rsidRPr="00ED7E61">
        <w:rPr>
          <w:rStyle w:val="eop"/>
          <w:rFonts w:asciiTheme="majorBidi" w:eastAsiaTheme="majorEastAsia" w:hAnsiTheme="majorBidi" w:cstheme="majorBidi"/>
          <w:sz w:val="22"/>
          <w:szCs w:val="22"/>
        </w:rPr>
        <w:t> </w:t>
      </w:r>
    </w:p>
    <w:p w14:paraId="01E23228"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Data will be collected from countries (using a spreadsheet template or an online data collection system). Countries will not be required to submit their ecosystem services account tables but rather to submit data extracted from the tables. Data in absolute terms is very useful, so the reporting template will require countries to report not only their overall index and three sub-indices but also absolute values for provision of each ecosystem service. Wherever possible, these absolute values should be disaggregated by ecosystem functional group, using the EFG codes and names from the GET. This will align this indicator with indicators A1 and A2 and will allow for global aggregation to ecosystem functional groups, biomes or realms as needed. </w:t>
      </w:r>
      <w:r w:rsidRPr="00ED7E61">
        <w:rPr>
          <w:rStyle w:val="normaltextrun"/>
        </w:rPr>
        <w:t> </w:t>
      </w:r>
    </w:p>
    <w:p w14:paraId="5DAAEBE4" w14:textId="77777777"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The reporting template will allow countries to submit data for all the accounting periods for which they have compiled accounts. As noted in Section 5g, the proposed baseline year for global reporting under the GBF is likely to be 2020, or alternatively an average of the values between 2010 and 2020. Country baseline dates may be distinct from the global baseline data, depending on data available at the national level. Collecting data for years prior to the global baseline from countries that have such data could enable additional analyses that may be useful.</w:t>
      </w:r>
      <w:r w:rsidRPr="00ED7E61">
        <w:rPr>
          <w:rStyle w:val="normaltextrun"/>
        </w:rPr>
        <w:t> </w:t>
      </w:r>
    </w:p>
    <w:p w14:paraId="01286EFD" w14:textId="36B8FC59"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 Other MEAs, processes and organi</w:t>
      </w:r>
      <w:r w:rsidR="00B10F0C">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ations</w:t>
      </w:r>
      <w:r w:rsidRPr="00ED7E61">
        <w:rPr>
          <w:rStyle w:val="eop"/>
          <w:rFonts w:asciiTheme="majorBidi" w:eastAsiaTheme="majorEastAsia" w:hAnsiTheme="majorBidi" w:cstheme="majorBidi"/>
          <w:sz w:val="22"/>
          <w:szCs w:val="22"/>
        </w:rPr>
        <w:t> </w:t>
      </w:r>
    </w:p>
    <w:p w14:paraId="07368C46" w14:textId="77777777" w:rsidR="00756F0F" w:rsidRPr="00ED7E61" w:rsidRDefault="00756F0F" w:rsidP="00B3383B">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52AFFAEC" w14:textId="77777777" w:rsidR="00756F0F" w:rsidRPr="00ED7E61" w:rsidRDefault="00756F0F" w:rsidP="00B3383B">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443A1C7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0463ED63" w14:textId="77777777" w:rsidR="00756F0F" w:rsidRPr="00ED7E61" w:rsidRDefault="00756F0F" w:rsidP="00B3383B">
      <w:pPr>
        <w:pStyle w:val="paragraph"/>
        <w:spacing w:before="12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No: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089699C1" w14:textId="370545D4"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 xml:space="preserve">8. </w:t>
      </w:r>
      <w:r w:rsidR="007D3CD8" w:rsidRPr="00ED7E61">
        <w:rPr>
          <w:rStyle w:val="normaltextrun"/>
          <w:rFonts w:asciiTheme="majorBidi" w:eastAsiaTheme="majorEastAsia" w:hAnsiTheme="majorBidi" w:cstheme="majorBidi"/>
          <w:b/>
          <w:bCs/>
          <w:sz w:val="22"/>
          <w:szCs w:val="22"/>
          <w:lang w:val="en-GB"/>
        </w:rPr>
        <w:t xml:space="preserve">Possible </w:t>
      </w:r>
      <w:r w:rsidRPr="00ED7E61">
        <w:rPr>
          <w:rStyle w:val="normaltextrun"/>
          <w:rFonts w:asciiTheme="majorBidi" w:eastAsiaTheme="majorEastAsia" w:hAnsiTheme="majorBidi" w:cstheme="majorBidi"/>
          <w:b/>
          <w:bCs/>
          <w:sz w:val="22"/>
          <w:szCs w:val="22"/>
          <w:lang w:val="en-GB"/>
        </w:rPr>
        <w:t>Disaggregation</w:t>
      </w:r>
      <w:r w:rsidR="007D3CD8" w:rsidRPr="00ED7E61">
        <w:rPr>
          <w:rStyle w:val="normaltextrun"/>
          <w:rFonts w:asciiTheme="majorBidi" w:eastAsiaTheme="majorEastAsia" w:hAnsiTheme="majorBidi" w:cstheme="majorBidi"/>
          <w:b/>
          <w:bCs/>
          <w:sz w:val="22"/>
          <w:szCs w:val="22"/>
          <w:lang w:val="en-GB"/>
        </w:rPr>
        <w:t>s</w:t>
      </w:r>
      <w:r w:rsidRPr="00ED7E61">
        <w:rPr>
          <w:rStyle w:val="eop"/>
          <w:rFonts w:asciiTheme="majorBidi" w:eastAsiaTheme="majorEastAsia" w:hAnsiTheme="majorBidi" w:cstheme="majorBidi"/>
          <w:sz w:val="22"/>
          <w:szCs w:val="22"/>
        </w:rPr>
        <w:t> </w:t>
      </w:r>
    </w:p>
    <w:p w14:paraId="149529BA" w14:textId="1C1D8C32"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This indicator </w:t>
      </w:r>
      <w:r w:rsidR="00585E26" w:rsidRPr="00ED7E61">
        <w:rPr>
          <w:rStyle w:val="normaltextrun"/>
          <w:rFonts w:asciiTheme="majorBidi" w:eastAsiaTheme="majorEastAsia" w:hAnsiTheme="majorBidi" w:cstheme="majorBidi"/>
        </w:rPr>
        <w:t xml:space="preserve">should </w:t>
      </w:r>
      <w:r w:rsidRPr="00ED7E61">
        <w:rPr>
          <w:rStyle w:val="normaltextrun"/>
          <w:rFonts w:asciiTheme="majorBidi" w:eastAsiaTheme="majorEastAsia" w:hAnsiTheme="majorBidi" w:cstheme="majorBidi"/>
        </w:rPr>
        <w:t>be disaggregated by ecosystem service category (provisioning, regulating, cultural), ecosystem types (for example by realm, biome or ecosystem functional group). It may be possible to disaggregate by type of user (business, households and government – the economic units typically included in ecosystem services accounts).</w:t>
      </w:r>
      <w:r w:rsidRPr="00ED7E61">
        <w:rPr>
          <w:rStyle w:val="normaltextrun"/>
        </w:rPr>
        <w:t> </w:t>
      </w:r>
    </w:p>
    <w:p w14:paraId="396E8948" w14:textId="77777777"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Subnational disaggregation may be important and useful at the country level (for example, disaggregation to provinces and municipalities). However, this would not be required for global data collection</w:t>
      </w:r>
      <w:r w:rsidRPr="00ED7E61">
        <w:rPr>
          <w:rStyle w:val="normaltextrun"/>
        </w:rPr>
        <w:t> </w:t>
      </w:r>
    </w:p>
    <w:p w14:paraId="60955849" w14:textId="3BE9A282" w:rsidR="00756F0F" w:rsidRPr="00ED7E61" w:rsidRDefault="00756F0F" w:rsidP="00B10F0C">
      <w:pPr>
        <w:pStyle w:val="CBDNormalNumber"/>
        <w:numPr>
          <w:ilvl w:val="0"/>
          <w:numId w:val="61"/>
        </w:numPr>
        <w:ind w:left="567" w:firstLine="0"/>
        <w:rPr>
          <w:rStyle w:val="normaltextrun"/>
          <w:rFonts w:eastAsiaTheme="majorEastAsia"/>
        </w:rPr>
      </w:pPr>
      <w:r w:rsidRPr="00ED7E61">
        <w:rPr>
          <w:rStyle w:val="normaltextrun"/>
          <w:rFonts w:asciiTheme="majorBidi" w:eastAsiaTheme="majorEastAsia" w:hAnsiTheme="majorBidi" w:cstheme="majorBidi"/>
        </w:rPr>
        <w:t xml:space="preserve">Disaggregation related to </w:t>
      </w:r>
      <w:r w:rsidR="00E51D62" w:rsidRPr="00ED7E61">
        <w:rPr>
          <w:rStyle w:val="normaltextrun"/>
          <w:rFonts w:asciiTheme="majorBidi" w:eastAsiaTheme="majorEastAsia" w:hAnsiTheme="majorBidi" w:cstheme="majorBidi"/>
        </w:rPr>
        <w:t>i</w:t>
      </w:r>
      <w:r w:rsidRPr="00ED7E61">
        <w:rPr>
          <w:rStyle w:val="normaltextrun"/>
          <w:rFonts w:asciiTheme="majorBidi" w:eastAsiaTheme="majorEastAsia" w:hAnsiTheme="majorBidi" w:cstheme="majorBidi"/>
        </w:rPr>
        <w:t xml:space="preserve">ndigenous </w:t>
      </w:r>
      <w:r w:rsidR="00E51D62" w:rsidRPr="00ED7E61">
        <w:rPr>
          <w:rStyle w:val="normaltextrun"/>
          <w:rFonts w:asciiTheme="majorBidi" w:eastAsiaTheme="majorEastAsia" w:hAnsiTheme="majorBidi" w:cstheme="majorBidi"/>
        </w:rPr>
        <w:t>p</w:t>
      </w:r>
      <w:r w:rsidRPr="00ED7E61">
        <w:rPr>
          <w:rStyle w:val="normaltextrun"/>
          <w:rFonts w:asciiTheme="majorBidi" w:eastAsiaTheme="majorEastAsia" w:hAnsiTheme="majorBidi" w:cstheme="majorBidi"/>
        </w:rPr>
        <w:t xml:space="preserve">eoples and </w:t>
      </w:r>
      <w:r w:rsidR="00E51D62" w:rsidRPr="00ED7E61">
        <w:rPr>
          <w:rStyle w:val="normaltextrun"/>
          <w:rFonts w:asciiTheme="majorBidi" w:eastAsiaTheme="majorEastAsia" w:hAnsiTheme="majorBidi" w:cstheme="majorBidi"/>
        </w:rPr>
        <w:t>l</w:t>
      </w:r>
      <w:r w:rsidRPr="00ED7E61">
        <w:rPr>
          <w:rStyle w:val="normaltextrun"/>
          <w:rFonts w:asciiTheme="majorBidi" w:eastAsiaTheme="majorEastAsia" w:hAnsiTheme="majorBidi" w:cstheme="majorBidi"/>
        </w:rPr>
        <w:t xml:space="preserve">ocal </w:t>
      </w:r>
      <w:r w:rsidR="00E51D62" w:rsidRPr="00ED7E61">
        <w:rPr>
          <w:rStyle w:val="normaltextrun"/>
          <w:rFonts w:asciiTheme="majorBidi" w:eastAsiaTheme="majorEastAsia" w:hAnsiTheme="majorBidi" w:cstheme="majorBidi"/>
        </w:rPr>
        <w:t>c</w:t>
      </w:r>
      <w:r w:rsidRPr="00ED7E61">
        <w:rPr>
          <w:rStyle w:val="normaltextrun"/>
          <w:rFonts w:asciiTheme="majorBidi" w:eastAsiaTheme="majorEastAsia" w:hAnsiTheme="majorBidi" w:cstheme="majorBidi"/>
        </w:rPr>
        <w:t>ommunities may be relevant for this indicator, if suitably granular data are available. However, this is a complex issue and guidance would need to be sought from the CBD’s Working Group on Article 8(j).</w:t>
      </w:r>
      <w:r w:rsidRPr="00ED7E61">
        <w:rPr>
          <w:rStyle w:val="normaltextrun"/>
        </w:rPr>
        <w:t> </w:t>
      </w:r>
    </w:p>
    <w:p w14:paraId="5C68CD2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3B930279"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indicator Services provided by ecosystems complements two other indicators</w:t>
      </w:r>
      <w:r w:rsidRPr="00ED7E61">
        <w:rPr>
          <w:rStyle w:val="normaltextrun"/>
        </w:rPr>
        <w:t> </w:t>
      </w:r>
    </w:p>
    <w:p w14:paraId="58D20498" w14:textId="0C43690F"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Target 8: </w:t>
      </w:r>
      <w:r w:rsidRPr="00ED7E61">
        <w:rPr>
          <w:rStyle w:val="normaltextrun"/>
        </w:rPr>
        <w:t> </w:t>
      </w:r>
      <w:r w:rsidRPr="00ED7E61">
        <w:rPr>
          <w:rStyle w:val="normaltextrun"/>
          <w:rFonts w:asciiTheme="majorBidi" w:eastAsiaTheme="majorEastAsia" w:hAnsiTheme="majorBidi" w:cstheme="majorBidi"/>
        </w:rPr>
        <w:t>Component indicator total climate regulation services provided by ecosystems by ecosystem type </w:t>
      </w:r>
      <w:r w:rsidRPr="00ED7E61">
        <w:rPr>
          <w:rStyle w:val="normaltextrun"/>
        </w:rPr>
        <w:t> </w:t>
      </w:r>
    </w:p>
    <w:p w14:paraId="092116B5" w14:textId="721C5020" w:rsidR="00756F0F" w:rsidRPr="00ED7E61" w:rsidRDefault="00756F0F" w:rsidP="00B10F0C">
      <w:pPr>
        <w:pStyle w:val="CBDNormalNumber"/>
        <w:numPr>
          <w:ilvl w:val="1"/>
          <w:numId w:val="6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Target 9:</w:t>
      </w:r>
      <w:r w:rsidRPr="00ED7E61">
        <w:rPr>
          <w:rStyle w:val="normaltextrun"/>
        </w:rPr>
        <w:t> </w:t>
      </w:r>
      <w:r w:rsidRPr="00ED7E61">
        <w:rPr>
          <w:rStyle w:val="normaltextrun"/>
          <w:rFonts w:asciiTheme="majorBidi" w:eastAsiaTheme="majorEastAsia" w:hAnsiTheme="majorBidi" w:cstheme="majorBidi"/>
        </w:rPr>
        <w:t>Headline indicator Benefits from the sustainable use of wild species </w:t>
      </w:r>
      <w:r w:rsidRPr="00ED7E61">
        <w:rPr>
          <w:rStyle w:val="normaltextrun"/>
        </w:rPr>
        <w:t> </w:t>
      </w:r>
    </w:p>
    <w:p w14:paraId="5570D97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6553C7E1" w14:textId="7BEACEDB"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FB6DE2">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5A27E32B" w14:textId="77777777" w:rsidR="00756F0F" w:rsidRPr="00ED7E61" w:rsidRDefault="00756F0F" w:rsidP="00B10F0C">
      <w:pPr>
        <w:pStyle w:val="CBDNormalNumber"/>
        <w:numPr>
          <w:ilvl w:val="0"/>
          <w:numId w:val="61"/>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United Nations Statistics Division (UNSD)</w:t>
      </w:r>
      <w:r w:rsidRPr="00ED7E61">
        <w:rPr>
          <w:rStyle w:val="normaltextrun"/>
        </w:rPr>
        <w:t> </w:t>
      </w:r>
    </w:p>
    <w:p w14:paraId="4742E00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43CCF12E" w14:textId="77777777" w:rsidR="00585E26" w:rsidRPr="00ED7E61" w:rsidRDefault="00585E26" w:rsidP="00B10F0C">
      <w:pPr>
        <w:pStyle w:val="CBDNormalNumber"/>
        <w:numPr>
          <w:ilvl w:val="0"/>
          <w:numId w:val="61"/>
        </w:numPr>
        <w:ind w:left="567" w:firstLine="0"/>
        <w:rPr>
          <w:rStyle w:val="normaltextrun"/>
          <w:rFonts w:asciiTheme="majorBidi" w:eastAsiaTheme="majorEastAsia" w:hAnsiTheme="majorBidi" w:cstheme="majorBidi"/>
          <w:sz w:val="24"/>
          <w:szCs w:val="24"/>
          <w:lang w:val="en-CA"/>
        </w:rPr>
      </w:pPr>
      <w:r w:rsidRPr="00ED7E61">
        <w:rPr>
          <w:rStyle w:val="normaltextrun"/>
          <w:rFonts w:asciiTheme="majorBidi" w:eastAsiaTheme="majorEastAsia" w:hAnsiTheme="majorBidi" w:cstheme="majorBidi"/>
        </w:rPr>
        <w:t>This meta-data sheet was prepared by UNSD, with contributions from members of the AHTEG and of the Task team of the UNCEEA Technical Committee on SEEA Ecosystem Accounting.</w:t>
      </w:r>
    </w:p>
    <w:p w14:paraId="2552A822" w14:textId="1A847F56" w:rsidR="00585E26" w:rsidRPr="00B3383B" w:rsidRDefault="00585E26" w:rsidP="00B10F0C">
      <w:pPr>
        <w:pStyle w:val="CBDNormalNumber"/>
        <w:numPr>
          <w:ilvl w:val="0"/>
          <w:numId w:val="61"/>
        </w:numPr>
        <w:ind w:left="567" w:firstLine="0"/>
        <w:rPr>
          <w:rFonts w:asciiTheme="majorBidi" w:hAnsiTheme="majorBidi" w:cstheme="majorBidi"/>
        </w:rPr>
      </w:pPr>
      <w:r w:rsidRPr="00ED7E61">
        <w:rPr>
          <w:rStyle w:val="normaltextrun"/>
          <w:rFonts w:asciiTheme="majorBidi" w:eastAsiaTheme="majorEastAsia" w:hAnsiTheme="majorBidi" w:cstheme="majorBidi"/>
        </w:rPr>
        <w:t>Ilaria Di Matteo (</w:t>
      </w:r>
      <w:hyperlink r:id="rId250" w:history="1">
        <w:r w:rsidRPr="00ED7E61">
          <w:rPr>
            <w:rStyle w:val="normaltextrun"/>
          </w:rPr>
          <w:t>dimatteo@un.org</w:t>
        </w:r>
      </w:hyperlink>
      <w:r w:rsidRPr="00ED7E61">
        <w:rPr>
          <w:rStyle w:val="normaltextrun"/>
          <w:rFonts w:asciiTheme="majorBidi" w:eastAsiaTheme="majorEastAsia" w:hAnsiTheme="majorBidi" w:cstheme="majorBidi"/>
        </w:rPr>
        <w:t xml:space="preserve">, </w:t>
      </w:r>
      <w:hyperlink r:id="rId251" w:history="1">
        <w:r w:rsidRPr="00ED7E61">
          <w:rPr>
            <w:rStyle w:val="normaltextrun"/>
          </w:rPr>
          <w:t>seea@un.org</w:t>
        </w:r>
      </w:hyperlink>
      <w:r w:rsidRPr="00ED7E61">
        <w:rPr>
          <w:rStyle w:val="normaltextrun"/>
          <w:rFonts w:asciiTheme="majorBidi" w:eastAsiaTheme="majorEastAsia" w:hAnsiTheme="majorBidi" w:cstheme="majorBidi"/>
        </w:rPr>
        <w:t>)</w:t>
      </w:r>
      <w:r w:rsidRPr="00ED7E61">
        <w:rPr>
          <w:rStyle w:val="normaltextrun"/>
        </w:rPr>
        <w:t xml:space="preserve">, </w:t>
      </w:r>
      <w:r w:rsidRPr="00ED7E61">
        <w:rPr>
          <w:rStyle w:val="normaltextrun"/>
          <w:rFonts w:asciiTheme="majorBidi" w:eastAsiaTheme="majorEastAsia" w:hAnsiTheme="majorBidi" w:cstheme="majorBidi"/>
        </w:rPr>
        <w:t xml:space="preserve">Environmental Economic Accounts Section of the UN Statistics Division  </w:t>
      </w:r>
    </w:p>
    <w:p w14:paraId="4868F7FF"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11. References</w:t>
      </w:r>
      <w:r w:rsidRPr="00ED7E61">
        <w:rPr>
          <w:rStyle w:val="eop"/>
          <w:rFonts w:asciiTheme="majorBidi" w:eastAsiaTheme="majorEastAsia" w:hAnsiTheme="majorBidi" w:cstheme="majorBidi"/>
          <w:sz w:val="22"/>
          <w:szCs w:val="22"/>
        </w:rPr>
        <w:t> </w:t>
      </w:r>
    </w:p>
    <w:p w14:paraId="7162A7EE" w14:textId="307CC013"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ARIES for SEEA: </w:t>
      </w:r>
      <w:r w:rsidRPr="00ED7E61">
        <w:rPr>
          <w:rStyle w:val="normaltextrun"/>
          <w:rFonts w:asciiTheme="majorBidi" w:eastAsiaTheme="majorEastAsia" w:hAnsiTheme="majorBidi" w:cstheme="majorBidi"/>
          <w:color w:val="467886"/>
          <w:u w:val="single"/>
        </w:rPr>
        <w:t>https://seea.un.org/content/aries-for-seea</w:t>
      </w:r>
      <w:r w:rsidRPr="00ED7E61">
        <w:rPr>
          <w:rStyle w:val="eop"/>
          <w:rFonts w:asciiTheme="majorBidi" w:eastAsiaTheme="majorEastAsia" w:hAnsiTheme="majorBidi" w:cstheme="majorBidi"/>
          <w:color w:val="467886"/>
        </w:rPr>
        <w:t> </w:t>
      </w:r>
    </w:p>
    <w:p w14:paraId="7775A1E9" w14:textId="220B2453"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Assessment of Environmental-Economic Accounting and Supporting Statistics 2022. Available at </w:t>
      </w:r>
      <w:hyperlink r:id="rId252" w:tgtFrame="_blank" w:history="1">
        <w:r w:rsidRPr="00ED7E61">
          <w:rPr>
            <w:rStyle w:val="normaltextrun"/>
            <w:rFonts w:asciiTheme="majorBidi" w:eastAsiaTheme="majorEastAsia" w:hAnsiTheme="majorBidi" w:cstheme="majorBidi"/>
            <w:color w:val="467886"/>
            <w:u w:val="single"/>
          </w:rPr>
          <w:t>https://seea.un.org/content/global-assessment-environmental-economic-accounting</w:t>
        </w:r>
      </w:hyperlink>
      <w:r w:rsidRPr="00ED7E61">
        <w:rPr>
          <w:rStyle w:val="eop"/>
          <w:rFonts w:asciiTheme="majorBidi" w:eastAsiaTheme="majorEastAsia" w:hAnsiTheme="majorBidi" w:cstheme="majorBidi"/>
        </w:rPr>
        <w:t> </w:t>
      </w:r>
    </w:p>
    <w:p w14:paraId="433F8726" w14:textId="09AB3DA7"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IPBES (2022). Summary for Policymakers of the Methodological Assessment Report on the Diverse Values and Valuation of Nature of the Intergovernmental Science-Policy Platform on Biodiversity and Ecosystem Services. Pascual, U., Balvanera, P., Christie, M., Baptiste, B., González-Jiménez, D., Anderson, C.B., Athayde, S., Barton, D.N., Chaplin-Kramer, R., Jacobs, S., Kelemen, E., Kumar, R., Lazos, E., Martin, A., Mwampamba, T.H., Nakangu, B., O'Farrell, P., Raymond, C.M., Subramanian, S.M., Termansen, M., Van Noordwijk, M., and Vatn, A. (eds.). IPBES secretariat, Bonn, Germany. https://doi.org/10.5281/zenodo.6522392</w:t>
      </w:r>
      <w:r w:rsidRPr="00ED7E61">
        <w:rPr>
          <w:rStyle w:val="eop"/>
          <w:rFonts w:asciiTheme="majorBidi" w:eastAsiaTheme="majorEastAsia" w:hAnsiTheme="majorBidi" w:cstheme="majorBidi"/>
        </w:rPr>
        <w:t> </w:t>
      </w:r>
    </w:p>
    <w:p w14:paraId="4B15A69E" w14:textId="09D79BDE"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UN System of Environmental-Economic Accounting: </w:t>
      </w:r>
      <w:hyperlink r:id="rId253" w:tgtFrame="_blank" w:history="1">
        <w:r w:rsidRPr="00ED7E61">
          <w:rPr>
            <w:rStyle w:val="normaltextrun"/>
            <w:rFonts w:asciiTheme="majorBidi" w:eastAsiaTheme="majorEastAsia" w:hAnsiTheme="majorBidi" w:cstheme="majorBidi"/>
            <w:color w:val="467886"/>
            <w:u w:val="single"/>
          </w:rPr>
          <w:t>https://seea.un.org/ecosystem-accounting</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4E2CA408" w14:textId="1B2E2EEF" w:rsidR="00E51D62" w:rsidRPr="00ED7E61" w:rsidRDefault="00756F0F" w:rsidP="00B3383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United Nations et al. (2021). System of Environmental-Economic Accounting—Ecosystem Accounting (SEEA EA). White cover publication, pre-edited text subject to official editing. Available at: </w:t>
      </w:r>
      <w:r w:rsidRPr="00ED7E61">
        <w:rPr>
          <w:rStyle w:val="normaltextrun"/>
          <w:rFonts w:asciiTheme="majorBidi" w:eastAsiaTheme="majorEastAsia" w:hAnsiTheme="majorBidi" w:cstheme="majorBidi"/>
          <w:color w:val="467886"/>
          <w:u w:val="single"/>
        </w:rPr>
        <w:t>https://seea.un.org/ecosystem-accounting</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1BA64162" w14:textId="5051120A" w:rsidR="00756F0F" w:rsidRPr="00ED7E61" w:rsidRDefault="00756F0F"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rPr>
        <w:t xml:space="preserve">United Nations (2021). Guidelines on Biophysical Modelling for Ecosystem Accounting. Available at: </w:t>
      </w:r>
      <w:hyperlink r:id="rId254" w:tgtFrame="_blank" w:history="1">
        <w:r w:rsidRPr="00ED7E61">
          <w:rPr>
            <w:rStyle w:val="normaltextrun"/>
            <w:rFonts w:asciiTheme="majorBidi" w:eastAsiaTheme="majorEastAsia" w:hAnsiTheme="majorBidi" w:cstheme="majorBidi"/>
            <w:color w:val="467886"/>
            <w:u w:val="single"/>
          </w:rPr>
          <w:t>https://seea.un.org/ecosystem-accounting/biophysical-modelling</w:t>
        </w:r>
      </w:hyperlink>
      <w:r w:rsidRPr="00ED7E61">
        <w:rPr>
          <w:rStyle w:val="eop"/>
          <w:rFonts w:asciiTheme="majorBidi" w:eastAsiaTheme="majorEastAsia" w:hAnsiTheme="majorBidi" w:cstheme="majorBidi"/>
        </w:rPr>
        <w:t> </w:t>
      </w:r>
      <w:r w:rsidRPr="00ED7E61">
        <w:rPr>
          <w:rStyle w:val="normaltextrun"/>
          <w:rFonts w:asciiTheme="majorBidi" w:eastAsiaTheme="majorEastAsia" w:hAnsiTheme="majorBidi" w:cstheme="majorBidi"/>
          <w:b/>
          <w:bCs/>
          <w:sz w:val="22"/>
          <w:szCs w:val="22"/>
          <w:lang w:val="en-GB"/>
        </w:rPr>
        <w:br w:type="page"/>
      </w:r>
    </w:p>
    <w:p w14:paraId="504FA57E" w14:textId="77777777" w:rsidR="00C9506C" w:rsidRPr="00ED7E61" w:rsidRDefault="00C9506C" w:rsidP="00C9506C">
      <w:pPr>
        <w:pStyle w:val="Heading3"/>
      </w:pPr>
      <w:bookmarkStart w:id="28" w:name="_Toc178285848"/>
      <w:bookmarkStart w:id="29" w:name="_Hlk173421056"/>
      <w:r w:rsidRPr="00ED7E61">
        <w:rPr>
          <w:rStyle w:val="normaltextrun"/>
        </w:rPr>
        <w:t>GBF indicator metadata: B.b Goal B binary indicator</w:t>
      </w:r>
      <w:bookmarkEnd w:id="28"/>
      <w:r w:rsidRPr="00ED7E61">
        <w:rPr>
          <w:rStyle w:val="normaltextrun"/>
        </w:rPr>
        <w:t xml:space="preserve"> </w:t>
      </w:r>
    </w:p>
    <w:p w14:paraId="1A8CA3EC" w14:textId="77777777" w:rsidR="00C9506C" w:rsidRPr="00ED7E61" w:rsidRDefault="00C9506C" w:rsidP="00C9506C">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lang w:val="en-GB"/>
        </w:rPr>
      </w:pPr>
    </w:p>
    <w:p w14:paraId="207963B6"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6499EB25" w14:textId="26D875AD" w:rsidR="00C9506C" w:rsidRPr="00ED7E61" w:rsidRDefault="00C9506C" w:rsidP="00C9506C">
      <w:pPr>
        <w:rPr>
          <w:rFonts w:asciiTheme="majorBidi" w:hAnsiTheme="majorBidi" w:cstheme="majorBidi"/>
          <w:sz w:val="22"/>
          <w:szCs w:val="22"/>
        </w:rPr>
      </w:pPr>
      <w:bookmarkStart w:id="30" w:name="_Hlk173420888"/>
      <w:r w:rsidRPr="00ED7E61">
        <w:rPr>
          <w:rFonts w:asciiTheme="majorBidi" w:hAnsiTheme="majorBidi" w:cstheme="majorBidi"/>
          <w:color w:val="000000" w:themeColor="text1"/>
          <w:sz w:val="22"/>
          <w:szCs w:val="22"/>
        </w:rPr>
        <w:t xml:space="preserve">Number of countries with policies or action plans for implementing and monitoring the sustainable use of </w:t>
      </w:r>
      <w:bookmarkStart w:id="31" w:name="_Hlk173420881"/>
      <w:r w:rsidRPr="00ED7E61">
        <w:rPr>
          <w:rFonts w:asciiTheme="majorBidi" w:hAnsiTheme="majorBidi" w:cstheme="majorBidi"/>
          <w:color w:val="000000" w:themeColor="text1"/>
          <w:sz w:val="22"/>
          <w:szCs w:val="22"/>
        </w:rPr>
        <w:t xml:space="preserve">biodiversity and the maintenance and enhancement of nature’s contributions to people, including ecosystem functions and services. </w:t>
      </w:r>
      <w:bookmarkEnd w:id="30"/>
      <w:bookmarkEnd w:id="31"/>
    </w:p>
    <w:p w14:paraId="7FDECF11" w14:textId="77777777" w:rsidR="00C9506C" w:rsidRPr="00ED7E61" w:rsidRDefault="00C9506C" w:rsidP="00C9506C">
      <w:pPr>
        <w:jc w:val="both"/>
        <w:rPr>
          <w:rFonts w:asciiTheme="majorBidi" w:hAnsiTheme="majorBidi" w:cstheme="majorBidi"/>
          <w:sz w:val="22"/>
          <w:szCs w:val="22"/>
        </w:rPr>
      </w:pPr>
    </w:p>
    <w:p w14:paraId="21BABD35" w14:textId="3FB513B4"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13F961D0" w14:textId="77777777" w:rsidR="00C9506C" w:rsidRPr="00ED7E61" w:rsidRDefault="00C9506C" w:rsidP="00B3383B">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612A2DF2" w14:textId="77777777" w:rsidR="00C9506C" w:rsidRPr="00ED7E61" w:rsidRDefault="00C9506C" w:rsidP="00C9506C">
      <w:pPr>
        <w:rPr>
          <w:rFonts w:asciiTheme="majorBidi" w:hAnsiTheme="majorBidi" w:cstheme="majorBidi"/>
          <w:sz w:val="22"/>
          <w:szCs w:val="22"/>
        </w:rPr>
      </w:pPr>
      <w:r w:rsidRPr="00ED7E61">
        <w:rPr>
          <w:rFonts w:asciiTheme="majorBidi" w:hAnsiTheme="majorBidi" w:cstheme="majorBidi"/>
          <w:sz w:val="22"/>
          <w:szCs w:val="22"/>
        </w:rPr>
        <w:t>Binary indicator for Goal B. Biodiversity is sustainably used and managed and nature’s contributions to people, including ecosystem functions and services, are valued, maintained and enhanced, with those currently in decline being restored, supporting the achievement of sustainable development for the benefit of present and future generations by 2050.</w:t>
      </w:r>
    </w:p>
    <w:p w14:paraId="2A317E66" w14:textId="77777777" w:rsidR="00C9506C" w:rsidRPr="00ED7E61" w:rsidRDefault="00C9506C" w:rsidP="00C9506C">
      <w:pPr>
        <w:jc w:val="both"/>
        <w:rPr>
          <w:rFonts w:asciiTheme="majorBidi" w:hAnsiTheme="majorBidi" w:cstheme="majorBidi"/>
          <w:sz w:val="22"/>
          <w:szCs w:val="22"/>
        </w:rPr>
      </w:pPr>
    </w:p>
    <w:p w14:paraId="47CACE98"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Target</w:t>
      </w:r>
    </w:p>
    <w:p w14:paraId="4A647842" w14:textId="77777777" w:rsidR="00C9506C" w:rsidRPr="00ED7E61" w:rsidRDefault="00C9506C" w:rsidP="00C9506C">
      <w:pPr>
        <w:rPr>
          <w:rFonts w:asciiTheme="majorBidi" w:hAnsiTheme="majorBidi" w:cstheme="majorBidi"/>
          <w:sz w:val="22"/>
          <w:szCs w:val="22"/>
        </w:rPr>
      </w:pPr>
      <w:r w:rsidRPr="00ED7E61">
        <w:rPr>
          <w:rFonts w:asciiTheme="majorBidi" w:hAnsiTheme="majorBidi" w:cstheme="majorBidi"/>
          <w:sz w:val="22"/>
          <w:szCs w:val="22"/>
        </w:rPr>
        <w:t>N/A</w:t>
      </w:r>
    </w:p>
    <w:p w14:paraId="0B664A0E" w14:textId="77777777"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Bidi" w:hAnsiTheme="majorBidi" w:cstheme="majorBidi"/>
          <w:sz w:val="22"/>
          <w:szCs w:val="22"/>
        </w:rPr>
      </w:pPr>
    </w:p>
    <w:p w14:paraId="6E33B8E6"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51494A23" w14:textId="77777777" w:rsidR="00C9506C" w:rsidRPr="00ED7E61" w:rsidRDefault="00C9506C" w:rsidP="00B10F0C">
      <w:pPr>
        <w:pStyle w:val="CBDNormalNumber"/>
        <w:numPr>
          <w:ilvl w:val="0"/>
          <w:numId w:val="62"/>
        </w:numPr>
        <w:tabs>
          <w:tab w:val="clear" w:pos="1701"/>
        </w:tabs>
        <w:ind w:left="567" w:hanging="24"/>
        <w:rPr>
          <w:rStyle w:val="normaltextrun"/>
          <w:rFonts w:eastAsiaTheme="majorEastAsia"/>
          <w:sz w:val="24"/>
          <w:szCs w:val="24"/>
          <w:lang w:val="en-CA"/>
        </w:rPr>
      </w:pPr>
      <w:r w:rsidRPr="00ED7E61">
        <w:rPr>
          <w:rStyle w:val="normaltextrun"/>
          <w:rFonts w:eastAsiaTheme="majorEastAsia"/>
        </w:rPr>
        <w:t>Goal B focuses on the sustainable use and management of biodiversity and the restoration, maintenance and enhancement of nature’s contributions, including ecosystem functions and services. This vision is central to the Framework and essential to the achievement of the Sustainable Development Goals. People and nations around the world rely on healthy ecosystems and biodiversity for their livelihoods, economies, health and wellbeing. The degradation of ecosystems and loss of nature’s contributions to people (NCP) has been linked to declines in quality of life and predictions of large-scale economic damage for all Parties to the convention. Ensuring that we restore NCP where they have been lost and maintain and enhance those that societies currently benefit from is essential for present and future generations to thrive.</w:t>
      </w:r>
    </w:p>
    <w:p w14:paraId="45636065" w14:textId="77777777"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Achieving this goal requires a concerted effort from Parties to implement and enforce policies on the sustainable use of biodiversity and the maintenance and enhancement of NCP. These require that biodiversity-dependent activities follow rules that ensure a healthy continuation of populations and ecosystems. Moreover, it requires that NCP be properly accounted for and valued in political and economic decision-making. As such, this indicator tracks the existence of policies and action plans to ensure the sustainable use of biodiversity and maintenance, enhancement and restoration of NCP by all Parties.</w:t>
      </w:r>
    </w:p>
    <w:p w14:paraId="14666169" w14:textId="512DE592"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9F29FB">
        <w:rPr>
          <w:rFonts w:asciiTheme="majorBidi" w:hAnsiTheme="majorBidi" w:cstheme="majorBidi"/>
          <w:b/>
          <w:bCs/>
          <w:sz w:val="22"/>
          <w:szCs w:val="22"/>
        </w:rPr>
        <w:t>a</w:t>
      </w:r>
      <w:r w:rsidRPr="00ED7E61">
        <w:rPr>
          <w:rFonts w:asciiTheme="majorBidi" w:hAnsiTheme="majorBidi" w:cstheme="majorBidi"/>
          <w:b/>
          <w:bCs/>
          <w:sz w:val="22"/>
          <w:szCs w:val="22"/>
        </w:rPr>
        <w:t>nd Classifications</w:t>
      </w:r>
    </w:p>
    <w:p w14:paraId="36B3A9A0" w14:textId="77777777" w:rsidR="00C9506C" w:rsidRPr="00ED7E61" w:rsidRDefault="00C9506C" w:rsidP="00C9506C">
      <w:pPr>
        <w:jc w:val="both"/>
        <w:rPr>
          <w:rFonts w:asciiTheme="majorBidi" w:hAnsiTheme="majorBidi" w:cstheme="majorBidi"/>
          <w:i/>
          <w:iCs/>
          <w:sz w:val="22"/>
          <w:szCs w:val="22"/>
        </w:rPr>
      </w:pPr>
      <w:r w:rsidRPr="00ED7E61">
        <w:rPr>
          <w:rFonts w:asciiTheme="majorBidi" w:hAnsiTheme="majorBidi" w:cstheme="majorBidi"/>
          <w:i/>
          <w:iCs/>
          <w:sz w:val="22"/>
          <w:szCs w:val="22"/>
        </w:rPr>
        <w:t>Definition</w:t>
      </w:r>
    </w:p>
    <w:p w14:paraId="257F269C" w14:textId="4376D694" w:rsidR="00C9506C" w:rsidRPr="00ED7E61" w:rsidRDefault="00C9506C" w:rsidP="00B10F0C">
      <w:pPr>
        <w:pStyle w:val="CBDNormalNumber"/>
        <w:numPr>
          <w:ilvl w:val="0"/>
          <w:numId w:val="62"/>
        </w:numPr>
        <w:ind w:left="567" w:firstLine="0"/>
        <w:rPr>
          <w:rStyle w:val="normaltextrun"/>
          <w:rFonts w:eastAsiaTheme="majorEastAsia"/>
          <w:sz w:val="24"/>
          <w:szCs w:val="24"/>
          <w:lang w:val="en-CA"/>
        </w:rPr>
      </w:pPr>
      <w:r w:rsidRPr="00ED7E61">
        <w:rPr>
          <w:rStyle w:val="normaltextrun"/>
          <w:rFonts w:eastAsiaTheme="majorEastAsia"/>
        </w:rPr>
        <w:t>Maintenance of biodiversity and NCP: Measures put in place to keep the existing quantity and quality of biodiversity and nature’s contribution to people.</w:t>
      </w:r>
    </w:p>
    <w:p w14:paraId="19F8ED17" w14:textId="0983EDDA"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Enhancement of biodiversity and NCP:   Measures put in place to improve the quality and quantity of biodiversity and nature’s contribution to people.</w:t>
      </w:r>
    </w:p>
    <w:p w14:paraId="7DAC4A97" w14:textId="77777777"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Nature’s contribution to people: Nature’s contributions to people (a concept similar to and inclusive of ecosystem services) refers to all the contributions from biodiversity to people’s well-being or quality of life. They include (a) material contributions, such as the production of food, feed, fibre, medicines and energy, (b) regulating services, such as the regulation of air and water quality, climate regulation, pollination, regulation of pests and diseases and provision of habitat, and (c) other non-material contributions, such as learning, inspiration, health, physical, psychological, spiritual well-being and experiences and supporting identities and culture, as well as maintaining options for future generations.</w:t>
      </w:r>
    </w:p>
    <w:p w14:paraId="55B68EBF" w14:textId="23703F71"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Sustainable use: Sustainable use is defined by the Convention on Biological Diversity as “</w:t>
      </w:r>
      <w:r w:rsidRPr="00FB1598">
        <w:rPr>
          <w:rStyle w:val="normaltextrun"/>
          <w:rFonts w:eastAsiaTheme="majorEastAsia"/>
          <w:i/>
          <w:iCs/>
        </w:rPr>
        <w:t>the use of components of biological diversity in a way and at a rate that does not lead to the long-term decline of biological diversity, thereby maintaining its potential to meet the needs and aspirations of present and future generations</w:t>
      </w:r>
      <w:r w:rsidRPr="00ED7E61">
        <w:rPr>
          <w:rStyle w:val="normaltextrun"/>
          <w:rFonts w:eastAsiaTheme="majorEastAsia"/>
        </w:rPr>
        <w:t>.”</w:t>
      </w:r>
    </w:p>
    <w:p w14:paraId="578F1405" w14:textId="77777777"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Ecosystem functions: The flow of energy and materials through the biotic and abiotic components of an ecosystem. It includes many processes such as biomass production, trophic transfer through plants and animals, nutrient cycling, water dynamics and heat transfer.</w:t>
      </w:r>
    </w:p>
    <w:p w14:paraId="26FFED78" w14:textId="77777777"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Ecosystem service: A service that is provided by an ecosystem as an intrinsic property of its functionality (e.g. pollination, nutrient cycling, nitrogen fixation, fruit and seed dispersal) contributing to the benefits (and occasionally disbenefits) that people obtain from ecosystems. These include provisioning services such as food and water; regulating services such as flood and disease control; and cultural services such as recreation and sense of place. This includes the whole pathway from ecological processes through to final ecosystem services, goods and anthropocentric values to people. In the original definition of the Millennium Ecosystem Assessment the concept of ecosystem goods and services is synonymous with ecosystem services.</w:t>
      </w:r>
    </w:p>
    <w:p w14:paraId="4345CC6A" w14:textId="77777777"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Action plan: A recognized program or strategy with a course of action to deliver on the Framework's goals.</w:t>
      </w:r>
    </w:p>
    <w:p w14:paraId="67BFE4B5" w14:textId="77777777"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Policy: A set or framework of general objectives and management principles that the undertaking uses for decision-making. A policy implements the undertaking’s strategy or management decisions related to a matter. Each policy is under the responsibility of defined person(s), specifies its perimeter of application, and includes one or more objectives (linked when applicable to measurable targets). A policy is validated and reviewed following the undertakings’ applicable governance rules. A policy is implemented through actions or action plans.</w:t>
      </w:r>
    </w:p>
    <w:p w14:paraId="28F85FB7"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5B7CAECB" w14:textId="00D7C577" w:rsidR="00C9506C" w:rsidRPr="00ED7E61" w:rsidRDefault="00C9506C" w:rsidP="00B10F0C">
      <w:pPr>
        <w:pStyle w:val="CBDNormalNumber"/>
        <w:numPr>
          <w:ilvl w:val="0"/>
          <w:numId w:val="62"/>
        </w:numPr>
        <w:ind w:left="567" w:firstLine="0"/>
        <w:rPr>
          <w:rStyle w:val="normaltextrun"/>
          <w:rFonts w:eastAsiaTheme="majorEastAsia"/>
          <w:sz w:val="24"/>
          <w:szCs w:val="24"/>
          <w:lang w:val="en-CA"/>
        </w:rPr>
      </w:pPr>
      <w:r w:rsidRPr="00ED7E61">
        <w:rPr>
          <w:rStyle w:val="normaltextrun"/>
          <w:rFonts w:eastAsiaTheme="majorEastAsia"/>
        </w:rPr>
        <w:t>This indicator is a binary indicator and must be compiled from the answers to four questions:</w:t>
      </w:r>
    </w:p>
    <w:p w14:paraId="53F4526C" w14:textId="433E944C"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B.1 Does your country have policies and/or action plans aiming to ensure the maintenance, enhancement and restoration of nature’s contributions to people, including of ecosystem functions and services?</w:t>
      </w:r>
    </w:p>
    <w:p w14:paraId="3E0E090A" w14:textId="01FA3EBC"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B.2 Does your country have policies and/or action plans aiming to ensure the sustainable use of biodiversity?</w:t>
      </w:r>
    </w:p>
    <w:p w14:paraId="5C9FE05A" w14:textId="5AC04577"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asciiTheme="majorBidi" w:eastAsiaTheme="majorEastAsia" w:hAnsiTheme="majorBidi" w:cstheme="majorBidi"/>
        </w:rPr>
      </w:pPr>
      <w:r w:rsidRPr="00ED7E61">
        <w:rPr>
          <w:rStyle w:val="normaltextrun"/>
          <w:rFonts w:eastAsiaTheme="majorEastAsia"/>
        </w:rPr>
        <w:t xml:space="preserve">B.3 </w:t>
      </w:r>
      <w:r w:rsidRPr="00ED7E61">
        <w:rPr>
          <w:rStyle w:val="normaltextrun"/>
          <w:rFonts w:asciiTheme="majorBidi" w:eastAsiaTheme="majorEastAsia" w:hAnsiTheme="majorBidi" w:cstheme="majorBidi"/>
        </w:rPr>
        <w:t xml:space="preserve">Does your country monitor the sustainable use of biodiversity? </w:t>
      </w:r>
    </w:p>
    <w:p w14:paraId="7C6ECC8F" w14:textId="77777777"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B.4 Does your country monitor the maintenance, restoration and enhancement of nature’s contributions to people, including ecosystem functions and services for the benefit of present and future generations?</w:t>
      </w:r>
    </w:p>
    <w:p w14:paraId="47999F4C" w14:textId="27FAABD5"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There are four possible answers to each of these questions</w:t>
      </w:r>
      <w:r w:rsidR="009A563F" w:rsidRPr="00ED7E61">
        <w:rPr>
          <w:rStyle w:val="FootnoteReference"/>
          <w:rFonts w:eastAsiaTheme="majorEastAsia"/>
        </w:rPr>
        <w:footnoteReference w:id="28"/>
      </w:r>
      <w:r w:rsidRPr="00ED7E61">
        <w:rPr>
          <w:rStyle w:val="normaltextrun"/>
          <w:rFonts w:eastAsiaTheme="majorEastAsia"/>
        </w:rPr>
        <w:t>:</w:t>
      </w:r>
    </w:p>
    <w:p w14:paraId="6B80EFE3" w14:textId="77777777"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eastAsiaTheme="majorEastAsia"/>
          <w:sz w:val="24"/>
          <w:szCs w:val="24"/>
          <w:lang w:val="en-CA"/>
        </w:rPr>
      </w:pPr>
      <w:r w:rsidRPr="00ED7E61">
        <w:rPr>
          <w:rStyle w:val="normaltextrun"/>
          <w:rFonts w:eastAsiaTheme="majorEastAsia"/>
        </w:rPr>
        <w:t>No</w:t>
      </w:r>
    </w:p>
    <w:p w14:paraId="4C7FCA08" w14:textId="01CF618A"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Under development</w:t>
      </w:r>
    </w:p>
    <w:p w14:paraId="5D766467" w14:textId="0BDD9C24"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Partially</w:t>
      </w:r>
    </w:p>
    <w:p w14:paraId="21F6B8E8" w14:textId="4FBBBC9D"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Fully</w:t>
      </w:r>
    </w:p>
    <w:p w14:paraId="244C615A" w14:textId="254887C8"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A “</w:t>
      </w:r>
      <w:r w:rsidRPr="00FB1598">
        <w:rPr>
          <w:rStyle w:val="normaltextrun"/>
          <w:rFonts w:eastAsiaTheme="majorEastAsia"/>
          <w:i/>
          <w:iCs/>
        </w:rPr>
        <w:t>No</w:t>
      </w:r>
      <w:r w:rsidRPr="00ED7E61">
        <w:rPr>
          <w:rStyle w:val="normaltextrun"/>
          <w:rFonts w:eastAsiaTheme="majorEastAsia"/>
        </w:rPr>
        <w:t xml:space="preserve">” answer implies that there are no policies or action plans currently in place at the national level to ensure the maintenance, enhancement and restoration of NCP (B.1) nor the sustainable use of biodiversity (B.2) and that no monitoring of </w:t>
      </w:r>
      <w:r w:rsidR="003D4EC6">
        <w:rPr>
          <w:rStyle w:val="normaltextrun"/>
          <w:rFonts w:eastAsiaTheme="majorEastAsia"/>
        </w:rPr>
        <w:t>the</w:t>
      </w:r>
      <w:r w:rsidR="003D4EC6" w:rsidRPr="00ED7E61">
        <w:rPr>
          <w:rStyle w:val="normaltextrun"/>
          <w:rFonts w:eastAsiaTheme="majorEastAsia"/>
        </w:rPr>
        <w:t xml:space="preserve"> </w:t>
      </w:r>
      <w:r w:rsidRPr="00ED7E61">
        <w:rPr>
          <w:rStyle w:val="normaltextrun"/>
          <w:rFonts w:eastAsiaTheme="majorEastAsia"/>
        </w:rPr>
        <w:t>sustainable use of biodiversity (B.3) nor maintenance, enhancement and restoration of NCP is taking place (B.4). Therefore, no policies nor action plans exist in the country for the specific requirements of each question in turn.</w:t>
      </w:r>
    </w:p>
    <w:p w14:paraId="1B06AEBE" w14:textId="005E187F"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An “</w:t>
      </w:r>
      <w:r w:rsidRPr="00FB1598">
        <w:rPr>
          <w:rStyle w:val="normaltextrun"/>
          <w:rFonts w:eastAsiaTheme="majorEastAsia"/>
          <w:i/>
          <w:iCs/>
        </w:rPr>
        <w:t>Under development</w:t>
      </w:r>
      <w:r w:rsidRPr="00ED7E61">
        <w:rPr>
          <w:rStyle w:val="normaltextrun"/>
          <w:rFonts w:eastAsiaTheme="majorEastAsia"/>
        </w:rPr>
        <w:t>” answer implies a concerted effort at the national level to put in place policies or action plans for NCP maintenance, restoration or enhancement (B.1) or for the sustainable use of biodiversity (B.2). These plans or policies may be in the draft stage, have been published for review or pending acceptance/ratification. In either case, there must be a clear official proposal for a national level policy or action plan to select this answer, ongoing efforts to draft texts is insufficient. Monitoring of sustainable use of biodiversity (B.3) and either maintenance, enhancement or restoration of NCP is in development (B.4), monitoring programs and reporting systems may be in the design phase or be completed and accepted but not resourced, and therefore have not begun.</w:t>
      </w:r>
    </w:p>
    <w:p w14:paraId="10E0FCB0" w14:textId="6F134F36" w:rsidR="00C9506C"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A “</w:t>
      </w:r>
      <w:r w:rsidRPr="00FB1598">
        <w:rPr>
          <w:rStyle w:val="normaltextrun"/>
          <w:rFonts w:eastAsiaTheme="majorEastAsia"/>
          <w:i/>
          <w:iCs/>
        </w:rPr>
        <w:t>Partially</w:t>
      </w:r>
      <w:r w:rsidRPr="00ED7E61">
        <w:rPr>
          <w:rStyle w:val="normaltextrun"/>
          <w:rFonts w:eastAsiaTheme="majorEastAsia"/>
        </w:rPr>
        <w:t>” answer implies that some of the elements in the question have been met but not all. That is, policies and/or action plans are in place to:</w:t>
      </w:r>
    </w:p>
    <w:p w14:paraId="224AB272" w14:textId="77777777"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ensure the maintenance, enhancement or restoration of NCP but not all three (B.1)</w:t>
      </w:r>
    </w:p>
    <w:p w14:paraId="26AC9655" w14:textId="77777777"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these fail to include ecosystem functions or services or both (B.1)</w:t>
      </w:r>
    </w:p>
    <w:p w14:paraId="46100954" w14:textId="77777777" w:rsidR="00C9506C" w:rsidRPr="00ED7E61" w:rsidRDefault="00C9506C" w:rsidP="00B10F0C">
      <w:pPr>
        <w:pStyle w:val="CBDNormalNumber"/>
        <w:numPr>
          <w:ilvl w:val="1"/>
          <w:numId w:val="62"/>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these do not account for the sustainable use of all aspects of biodiversity, e.g. not including genetic diversity (B.2)</w:t>
      </w:r>
    </w:p>
    <w:p w14:paraId="2B7B8A5C" w14:textId="48A86A92" w:rsidR="009A563F" w:rsidRPr="00ED7E61" w:rsidRDefault="00C9506C" w:rsidP="00B10F0C">
      <w:pPr>
        <w:pStyle w:val="CBDNormalNumber"/>
        <w:numPr>
          <w:ilvl w:val="0"/>
          <w:numId w:val="62"/>
        </w:numPr>
        <w:ind w:left="567" w:firstLine="0"/>
        <w:rPr>
          <w:rStyle w:val="normaltextrun"/>
          <w:rFonts w:eastAsiaTheme="majorEastAsia"/>
        </w:rPr>
      </w:pPr>
      <w:r w:rsidRPr="00ED7E61">
        <w:rPr>
          <w:rStyle w:val="normaltextrun"/>
          <w:rFonts w:eastAsiaTheme="majorEastAsia"/>
        </w:rPr>
        <w:t>Monitoring of the sustainable use of biodiversity (B.3) has begun but only addresses some aspects of biodiversity (for example only species or genetic diversity). Monitoring of the maintenance, enhancement or restoration of NCP is taking place but not all three (B.4). If any one of the cases outlined above applies, only partial achievement has been reached.</w:t>
      </w:r>
    </w:p>
    <w:p w14:paraId="0305C474" w14:textId="5D0654BE" w:rsidR="00C9506C" w:rsidRPr="00ED7E61" w:rsidRDefault="00C9506C" w:rsidP="00B10F0C">
      <w:pPr>
        <w:pStyle w:val="CBDNormalNumber"/>
        <w:numPr>
          <w:ilvl w:val="0"/>
          <w:numId w:val="62"/>
        </w:numPr>
        <w:ind w:left="567" w:firstLine="0"/>
      </w:pPr>
      <w:r w:rsidRPr="00ED7E61">
        <w:t>A “</w:t>
      </w:r>
      <w:r w:rsidRPr="00FB1598">
        <w:rPr>
          <w:i/>
          <w:iCs/>
        </w:rPr>
        <w:t>Fully</w:t>
      </w:r>
      <w:r w:rsidRPr="00ED7E61">
        <w:t>” answer implies that all the conditions outlined in “</w:t>
      </w:r>
      <w:r w:rsidRPr="00FB1598">
        <w:rPr>
          <w:i/>
          <w:iCs/>
        </w:rPr>
        <w:t>Partially</w:t>
      </w:r>
      <w:r w:rsidRPr="00ED7E61">
        <w:t xml:space="preserve">” have been met. Namely that both policies and/or actions are in place at the national level for maintenance, enhancement and restoration of NCP, including ecosystem functions and services (B.1) and to ensure the sustainable use of biodiversity (B.2). Additionally, monitoring is in place and ongoing for </w:t>
      </w:r>
      <w:r w:rsidRPr="00ED7E61">
        <w:rPr>
          <w:color w:val="000000" w:themeColor="text1"/>
        </w:rPr>
        <w:t xml:space="preserve">the </w:t>
      </w:r>
      <w:r w:rsidRPr="00ED7E61">
        <w:t>sustainable use of all aspects of biodiversity (B.3) and for the maintenance, enhancement and restoration of NCP (B.4).</w:t>
      </w:r>
    </w:p>
    <w:p w14:paraId="0F4E40B4" w14:textId="7EB5A363" w:rsidR="009A563F" w:rsidRPr="00ED7E61" w:rsidRDefault="009A563F">
      <w:pPr>
        <w:rPr>
          <w:rFonts w:asciiTheme="majorBidi" w:eastAsiaTheme="majorEastAsia" w:hAnsiTheme="majorBidi" w:cstheme="majorBidi"/>
          <w:b/>
          <w:color w:val="000000" w:themeColor="text1"/>
          <w:sz w:val="22"/>
          <w:szCs w:val="22"/>
          <w:lang w:val="en-US"/>
        </w:rPr>
      </w:pPr>
      <w:r w:rsidRPr="00ED7E61">
        <w:rPr>
          <w:color w:val="000000" w:themeColor="text1"/>
          <w:sz w:val="22"/>
          <w:szCs w:val="22"/>
          <w:lang w:val="en-US"/>
        </w:rPr>
        <w:br w:type="page"/>
      </w:r>
    </w:p>
    <w:p w14:paraId="6D4077B2" w14:textId="77777777" w:rsidR="0081052F" w:rsidRPr="00ED7E61" w:rsidRDefault="0081052F" w:rsidP="00965B3D">
      <w:pPr>
        <w:pStyle w:val="Heading3"/>
      </w:pPr>
      <w:bookmarkStart w:id="32" w:name="_Toc178285849"/>
      <w:bookmarkEnd w:id="29"/>
      <w:r w:rsidRPr="00ED7E61">
        <w:rPr>
          <w:rStyle w:val="normaltextrun"/>
        </w:rPr>
        <w:t>GBF indicator metadata: C.1 Monetary benefits received in accordance with applicable internationally agreed ABS instruments</w:t>
      </w:r>
      <w:bookmarkEnd w:id="32"/>
    </w:p>
    <w:p w14:paraId="5D3CD668" w14:textId="77777777" w:rsidR="0081052F" w:rsidRPr="00ED7E61" w:rsidRDefault="0081052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01FA3F9B"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7866DF64" w14:textId="77777777" w:rsidR="0081052F" w:rsidRPr="00ED7E61" w:rsidRDefault="0081052F" w:rsidP="00395866">
      <w:pPr>
        <w:pStyle w:val="paragraph"/>
        <w:pBdr>
          <w:bottom w:val="single" w:sz="4" w:space="1" w:color="000000"/>
        </w:pBdr>
        <w:spacing w:before="0" w:beforeAutospacing="0" w:after="0" w:afterAutospacing="0"/>
        <w:textAlignment w:val="baseline"/>
        <w:rPr>
          <w:rStyle w:val="normaltextrun"/>
          <w:rFonts w:asciiTheme="majorBidi" w:eastAsiaTheme="majorEastAsia" w:hAnsiTheme="majorBidi" w:cstheme="majorBidi"/>
          <w:sz w:val="22"/>
          <w:szCs w:val="22"/>
        </w:rPr>
      </w:pPr>
      <w:r w:rsidRPr="00ED7E61">
        <w:rPr>
          <w:rStyle w:val="normaltextrun"/>
          <w:rFonts w:asciiTheme="majorBidi" w:eastAsiaTheme="majorEastAsia" w:hAnsiTheme="majorBidi" w:cstheme="majorBidi"/>
          <w:sz w:val="22"/>
          <w:szCs w:val="22"/>
        </w:rPr>
        <w:t xml:space="preserve">C.1 Monetary benefits received in accordance with applicable internationally agreed ABS instruments </w:t>
      </w:r>
    </w:p>
    <w:p w14:paraId="1D95077A" w14:textId="77777777"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794C9F5F" w14:textId="31018CCF" w:rsidR="0081052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81052F" w:rsidRPr="00ED7E61">
        <w:rPr>
          <w:rStyle w:val="normaltextrun"/>
          <w:rFonts w:asciiTheme="majorBidi" w:eastAsiaTheme="majorEastAsia" w:hAnsiTheme="majorBidi" w:cstheme="majorBidi"/>
          <w:sz w:val="22"/>
          <w:szCs w:val="22"/>
        </w:rPr>
        <w:t>2024</w:t>
      </w:r>
      <w:r w:rsidR="0081052F" w:rsidRPr="00ED7E61">
        <w:rPr>
          <w:rStyle w:val="eop"/>
          <w:rFonts w:asciiTheme="majorBidi" w:eastAsiaTheme="majorEastAsia" w:hAnsiTheme="majorBidi" w:cstheme="majorBidi"/>
          <w:sz w:val="22"/>
          <w:szCs w:val="22"/>
        </w:rPr>
        <w:t> </w:t>
      </w:r>
    </w:p>
    <w:p w14:paraId="0B8AE75E" w14:textId="77777777" w:rsidR="0081052F" w:rsidRPr="00ED7E61" w:rsidRDefault="0081052F"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6ADAAB55" w14:textId="77777777"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61EBBFD5" w14:textId="77777777" w:rsidR="0081052F" w:rsidRPr="00ED7E61" w:rsidRDefault="0081052F" w:rsidP="00395866">
      <w:pPr>
        <w:rPr>
          <w:rFonts w:asciiTheme="majorBidi" w:hAnsiTheme="majorBidi" w:cstheme="majorBidi"/>
          <w:color w:val="000000" w:themeColor="text1"/>
          <w:sz w:val="22"/>
          <w:szCs w:val="22"/>
          <w:lang w:val="en-US" w:eastAsia="de-DE"/>
        </w:rPr>
      </w:pPr>
      <w:r w:rsidRPr="00ED7E61">
        <w:rPr>
          <w:rFonts w:asciiTheme="majorBidi" w:hAnsiTheme="majorBidi" w:cstheme="majorBidi"/>
          <w:color w:val="000000" w:themeColor="text1"/>
          <w:sz w:val="22"/>
          <w:szCs w:val="22"/>
          <w:lang w:val="en-US" w:eastAsia="de-DE"/>
        </w:rPr>
        <w:t>Goal C. The monetary and non-monetary benefits from the utilization of genetic resources and digital sequence information on genetic resources, and of traditional knowledge associated with genetic resources, as applicable, are shared fairly and equitably, including, as appropriate with indigenous peoples and local communities, and substantially increased by 2050, while ensuring traditional knowledge associated with genetic resources is appropriately protected, thereby contributing to the conservation and sustainable use of biodiversity, in accordance with internationally agreed access and benefit-sharing instruments.</w:t>
      </w:r>
    </w:p>
    <w:p w14:paraId="2C2B3435" w14:textId="77777777"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p w14:paraId="107EA954" w14:textId="77777777" w:rsidR="0081052F" w:rsidRPr="00ED7E61" w:rsidRDefault="0081052F" w:rsidP="00395866">
      <w:pPr>
        <w:rPr>
          <w:rFonts w:asciiTheme="majorBidi" w:hAnsiTheme="majorBidi" w:cstheme="majorBidi"/>
          <w:color w:val="000000" w:themeColor="text1"/>
          <w:sz w:val="22"/>
          <w:szCs w:val="22"/>
          <w:lang w:val="en-US" w:eastAsia="de-DE"/>
        </w:rPr>
      </w:pPr>
      <w:r w:rsidRPr="00ED7E61">
        <w:rPr>
          <w:rFonts w:asciiTheme="majorBidi" w:hAnsiTheme="majorBidi" w:cstheme="majorBidi"/>
          <w:color w:val="000000" w:themeColor="text1"/>
          <w:sz w:val="22"/>
          <w:szCs w:val="22"/>
          <w:lang w:val="en-US" w:eastAsia="de-DE"/>
        </w:rPr>
        <w:t>Target 13: Take effective legal, policy, administrative and capacity-building measures at all levels, as appropriate, to ensure the fair and equitable sharing of benefits that arise from the utilization of genetic resources and from digital sequence information on genetic resources, as well as traditional knowledge associated with genetic resources, and facilitating appropriate access to genetic resources, and by 2030, facilitating a significant increase of the benefits shared, in accordance with applicable international access and benefit-sharing instruments.</w:t>
      </w:r>
      <w:r w:rsidRPr="00ED7E61" w:rsidDel="00C2604A">
        <w:rPr>
          <w:rFonts w:asciiTheme="majorBidi" w:hAnsiTheme="majorBidi" w:cstheme="majorBidi"/>
          <w:color w:val="000000" w:themeColor="text1"/>
          <w:sz w:val="22"/>
          <w:szCs w:val="22"/>
          <w:lang w:val="en-US" w:eastAsia="de-DE"/>
        </w:rPr>
        <w:t xml:space="preserve"> </w:t>
      </w:r>
    </w:p>
    <w:p w14:paraId="6632A759" w14:textId="77777777"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0B77D153" w14:textId="323B78D7" w:rsidR="009A563F" w:rsidRPr="00ED7E61" w:rsidRDefault="0025590A" w:rsidP="00B10F0C">
      <w:pPr>
        <w:pStyle w:val="CBDNormalNumber"/>
        <w:numPr>
          <w:ilvl w:val="0"/>
          <w:numId w:val="63"/>
        </w:numPr>
        <w:tabs>
          <w:tab w:val="clear" w:pos="1701"/>
        </w:tabs>
        <w:ind w:left="567" w:hanging="24"/>
        <w:rPr>
          <w:rStyle w:val="normaltextrun"/>
          <w:rFonts w:eastAsiaTheme="majorEastAsia"/>
          <w:sz w:val="24"/>
          <w:szCs w:val="24"/>
          <w:lang w:val="en-CA"/>
        </w:rPr>
      </w:pPr>
      <w:r w:rsidRPr="00ED7E61">
        <w:rPr>
          <w:rStyle w:val="normaltextrun"/>
          <w:rFonts w:eastAsiaTheme="majorEastAsia"/>
        </w:rPr>
        <w:t xml:space="preserve">This indicator would aim to measure the trend in the amount of monetary benefits received by countries from the implementation of applicable international access and benefit-sharing instruments during the reporting period. This indicator could compile, inter alia, monetary benefits received by countries bilaterally from the implementation of ABS under the Convention and its Nagoya Protocol as well as multilateral ABS instruments, namely the International Treaty on Plant Genetic Resources for Food and Agriculture, or for example the new multilateral instruments for digital sequence information (DSI) under the Convention and for marine genetic resources and DSI under the United Nations Convention on the Law of the Sea on the conservation and sustainable use of marine biological diversity of areas beyond national jurisdiction (BBNJ).  This does not prejudge that other ABS-related instruments could be also incorporated in the future to support the conservation and sustainable use of biodiversity goals of the KMGBF. Information on monetary benefits from the different instruments could be presented in an aggregated manner with the possibility to disaggregate it by instrument. </w:t>
      </w:r>
    </w:p>
    <w:p w14:paraId="73C50BFA" w14:textId="23839DF8" w:rsidR="009A563F" w:rsidRPr="00ED7E61" w:rsidRDefault="0025590A" w:rsidP="00B10F0C">
      <w:pPr>
        <w:pStyle w:val="CBDNormalNumber"/>
        <w:numPr>
          <w:ilvl w:val="0"/>
          <w:numId w:val="63"/>
        </w:numPr>
        <w:ind w:left="567" w:firstLine="0"/>
        <w:rPr>
          <w:lang w:eastAsia="de-DE"/>
        </w:rPr>
      </w:pPr>
      <w:r w:rsidRPr="00ED7E61">
        <w:rPr>
          <w:lang w:eastAsia="de-DE"/>
        </w:rPr>
        <w:t>The indicator refers to monetary benefits “</w:t>
      </w:r>
      <w:r w:rsidRPr="00FB1598">
        <w:rPr>
          <w:i/>
          <w:iCs/>
          <w:lang w:eastAsia="de-DE"/>
        </w:rPr>
        <w:t>received</w:t>
      </w:r>
      <w:r w:rsidRPr="00ED7E61">
        <w:rPr>
          <w:lang w:eastAsia="de-DE"/>
        </w:rPr>
        <w:t xml:space="preserve">” to avoid double accounting. National reporting on monetary benefits received bilaterally would not be relevant for all CBD Parties, as some countries do not regulate access to genetic resources and/or do not require or receive benefits from ABS agreements. Possible ways to disaggregate the indicator, without adding undue complexity for reporting, would need to be defined (e.g. monetary benefits from genetic resources, associated traditional knowledge, amount per type of beneficiaries, e.g. women or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ommunities</w:t>
      </w:r>
      <w:r w:rsidRPr="00ED7E61">
        <w:rPr>
          <w:lang w:eastAsia="de-DE"/>
        </w:rPr>
        <w:t>). For the multilateral instruments, disaggregation by categories of distribution and beneficiary types could be considered by the governing bodies</w:t>
      </w:r>
    </w:p>
    <w:p w14:paraId="1BAD952A" w14:textId="06C001E9" w:rsidR="0025590A" w:rsidRPr="00ED7E61" w:rsidRDefault="0025590A" w:rsidP="00B10F0C">
      <w:pPr>
        <w:pStyle w:val="CBDNormalNumber"/>
        <w:numPr>
          <w:ilvl w:val="0"/>
          <w:numId w:val="63"/>
        </w:numPr>
        <w:ind w:left="567" w:firstLine="0"/>
        <w:rPr>
          <w:lang w:eastAsia="de-DE"/>
        </w:rPr>
      </w:pPr>
      <w:r w:rsidRPr="00ED7E61">
        <w:rPr>
          <w:lang w:eastAsia="de-DE"/>
        </w:rPr>
        <w:t>Complementary indicators may serve as an indication of progress towards Goal C. For example, the number of internationally recognized certificates of compliance indicate that an ABS agreement has been concluded, and therefore that there is or will be benefits shared in accordance with mutually agreed terms (MAT).  The number of users that have provided information relevant to the utilization of genetic resources to designated checkpoints</w:t>
      </w:r>
      <w:r w:rsidRPr="00ED7E61">
        <w:t xml:space="preserve"> or </w:t>
      </w:r>
      <w:r w:rsidRPr="00ED7E61">
        <w:rPr>
          <w:lang w:eastAsia="de-DE"/>
        </w:rPr>
        <w:t>the number of checkpoint communiqués published in the ABS Clearing-House can also serve as proxies as they indicate that utilization of genetic resources is taking place and that benefits are or will be shared in accordance with MAT.</w:t>
      </w:r>
    </w:p>
    <w:p w14:paraId="40D321E1"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7EC78E6D" w14:textId="77777777" w:rsidR="0081052F" w:rsidRPr="00ED7E61" w:rsidRDefault="0081052F" w:rsidP="00B3383B">
      <w:pPr>
        <w:pStyle w:val="paragraph"/>
        <w:pBdr>
          <w:bottom w:val="single" w:sz="4" w:space="3"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48AFD5B2"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K</w:t>
      </w:r>
      <w:r w:rsidRPr="00ED7E61">
        <w:rPr>
          <w:rStyle w:val="normaltextrun"/>
          <w:rFonts w:asciiTheme="majorBidi" w:eastAsiaTheme="majorEastAsia" w:hAnsiTheme="majorBidi" w:cstheme="majorBidi"/>
          <w:b/>
          <w:bCs/>
          <w:color w:val="000000"/>
          <w:sz w:val="22"/>
          <w:szCs w:val="22"/>
          <w:lang w:val="en-AU"/>
        </w:rPr>
        <w:t>ey concepts:</w:t>
      </w:r>
      <w:r w:rsidRPr="00ED7E61">
        <w:rPr>
          <w:rStyle w:val="eop"/>
          <w:rFonts w:asciiTheme="majorBidi" w:eastAsiaTheme="majorEastAsia" w:hAnsiTheme="majorBidi" w:cstheme="majorBidi"/>
          <w:color w:val="000000"/>
          <w:sz w:val="22"/>
          <w:szCs w:val="22"/>
        </w:rPr>
        <w:t> </w:t>
      </w:r>
    </w:p>
    <w:p w14:paraId="1CA5EF4C" w14:textId="77777777" w:rsidR="0081052F" w:rsidRPr="00ED7E61" w:rsidRDefault="0081052F" w:rsidP="00B10F0C">
      <w:pPr>
        <w:pStyle w:val="CBDNormalNumber"/>
        <w:numPr>
          <w:ilvl w:val="0"/>
          <w:numId w:val="63"/>
        </w:numPr>
        <w:ind w:left="567" w:firstLine="0"/>
        <w:rPr>
          <w:lang w:eastAsia="de-DE"/>
        </w:rPr>
      </w:pPr>
      <w:r w:rsidRPr="00ED7E61">
        <w:rPr>
          <w:lang w:eastAsia="de-DE"/>
        </w:rPr>
        <w:t xml:space="preserve">There are two types of benefit-sharing: </w:t>
      </w:r>
    </w:p>
    <w:p w14:paraId="4DE1B3CD" w14:textId="33A92F66" w:rsidR="0025590A" w:rsidRPr="00ED7E61" w:rsidRDefault="0025590A" w:rsidP="00B10F0C">
      <w:pPr>
        <w:pStyle w:val="CBDNormalNumber"/>
        <w:numPr>
          <w:ilvl w:val="1"/>
          <w:numId w:val="6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Bilateral benefit sharing: Under the CBD and its Nagoya Protocol bilateral benefit-sharing system for </w:t>
      </w:r>
      <w:r w:rsidR="00E51D62" w:rsidRPr="00ED7E61">
        <w:rPr>
          <w:rStyle w:val="normaltextrun"/>
          <w:rFonts w:eastAsiaTheme="majorEastAsia"/>
        </w:rPr>
        <w:t xml:space="preserve">genetic resources </w:t>
      </w:r>
      <w:r w:rsidRPr="00ED7E61">
        <w:rPr>
          <w:rStyle w:val="normaltextrun"/>
          <w:rFonts w:eastAsiaTheme="majorEastAsia"/>
        </w:rPr>
        <w:t xml:space="preserve">and </w:t>
      </w:r>
      <w:r w:rsidR="00E51D62" w:rsidRPr="00ED7E61">
        <w:rPr>
          <w:rStyle w:val="normaltextrun"/>
          <w:rFonts w:eastAsiaTheme="majorEastAsia"/>
        </w:rPr>
        <w:t xml:space="preserve">associated traditional knowledge </w:t>
      </w:r>
      <w:r w:rsidRPr="00ED7E61">
        <w:rPr>
          <w:rStyle w:val="normaltextrun"/>
          <w:rFonts w:eastAsiaTheme="majorEastAsia"/>
        </w:rPr>
        <w:t xml:space="preserve">is foreseen, thus the recipient of benefits is likely to be a country or recognized providers of </w:t>
      </w:r>
      <w:r w:rsidR="00E51D62" w:rsidRPr="00ED7E61">
        <w:rPr>
          <w:rStyle w:val="normaltextrun"/>
          <w:rFonts w:eastAsiaTheme="majorEastAsia"/>
        </w:rPr>
        <w:t>genetic resources</w:t>
      </w:r>
      <w:r w:rsidRPr="00ED7E61">
        <w:rPr>
          <w:rStyle w:val="normaltextrun"/>
          <w:rFonts w:eastAsiaTheme="majorEastAsia"/>
        </w:rPr>
        <w:t xml:space="preserve"> and </w:t>
      </w:r>
      <w:r w:rsidR="00E51D62" w:rsidRPr="00ED7E61">
        <w:rPr>
          <w:rStyle w:val="normaltextrun"/>
          <w:rFonts w:eastAsiaTheme="majorEastAsia"/>
        </w:rPr>
        <w:t>associated traditional knowledge</w:t>
      </w:r>
      <w:r w:rsidRPr="00ED7E61">
        <w:rPr>
          <w:rStyle w:val="normaltextrun"/>
          <w:rFonts w:eastAsiaTheme="majorEastAsia"/>
        </w:rPr>
        <w:t xml:space="preserve"> within a country and the user is likely to be a legal or private person. </w:t>
      </w:r>
    </w:p>
    <w:p w14:paraId="66BBAD51" w14:textId="0B4FF27D" w:rsidR="0025590A" w:rsidRPr="003D4EC6" w:rsidRDefault="0025590A" w:rsidP="00B10F0C">
      <w:pPr>
        <w:pStyle w:val="CBDNormalNumber"/>
        <w:numPr>
          <w:ilvl w:val="1"/>
          <w:numId w:val="63"/>
        </w:numPr>
        <w:tabs>
          <w:tab w:val="clear" w:pos="1701"/>
          <w:tab w:val="clear" w:pos="2268"/>
          <w:tab w:val="left" w:pos="1985"/>
        </w:tabs>
        <w:ind w:left="1276" w:firstLine="0"/>
        <w:rPr>
          <w:rStyle w:val="normaltextrun"/>
          <w:rFonts w:eastAsiaTheme="majorEastAsia"/>
        </w:rPr>
      </w:pPr>
      <w:r w:rsidRPr="00ED7E61">
        <w:rPr>
          <w:rStyle w:val="normaltextrun"/>
          <w:rFonts w:eastAsiaTheme="majorEastAsia"/>
        </w:rPr>
        <w:t xml:space="preserve">Multilateral benefit sharing: Under international </w:t>
      </w:r>
      <w:r w:rsidR="00E51D62" w:rsidRPr="00ED7E61">
        <w:rPr>
          <w:rStyle w:val="normaltextrun"/>
          <w:rFonts w:eastAsiaTheme="majorEastAsia"/>
        </w:rPr>
        <w:t xml:space="preserve">access and benefit sharing </w:t>
      </w:r>
      <w:r w:rsidRPr="00ED7E61">
        <w:rPr>
          <w:rStyle w:val="normaltextrun"/>
          <w:rFonts w:eastAsiaTheme="majorEastAsia"/>
        </w:rPr>
        <w:t xml:space="preserve">instruments that rely on multilateral approaches to benefit-sharing, a single fund would receive all the monetary benefits, such as the one established under the </w:t>
      </w:r>
      <w:r w:rsidR="003D4EC6">
        <w:rPr>
          <w:rStyle w:val="normaltextrun"/>
          <w:rFonts w:eastAsiaTheme="majorEastAsia"/>
        </w:rPr>
        <w:t xml:space="preserve"> I</w:t>
      </w:r>
      <w:r w:rsidR="003D4EC6" w:rsidRPr="003D4EC6">
        <w:rPr>
          <w:rStyle w:val="normaltextrun"/>
          <w:rFonts w:eastAsiaTheme="majorEastAsia"/>
        </w:rPr>
        <w:t>nternational Treaty on Plant Genetic Resources for Food and Agriculture</w:t>
      </w:r>
      <w:r w:rsidRPr="003D4EC6">
        <w:rPr>
          <w:rStyle w:val="normaltextrun"/>
          <w:rFonts w:eastAsiaTheme="majorEastAsia"/>
        </w:rPr>
        <w:t xml:space="preserve">, and  for example, presumably the multilateral mechanism for </w:t>
      </w:r>
      <w:r w:rsidR="00E51D62" w:rsidRPr="003D4EC6">
        <w:rPr>
          <w:rStyle w:val="normaltextrun"/>
          <w:rFonts w:eastAsiaTheme="majorEastAsia"/>
        </w:rPr>
        <w:t xml:space="preserve">digital sequence information </w:t>
      </w:r>
      <w:r w:rsidRPr="003D4EC6">
        <w:rPr>
          <w:rStyle w:val="normaltextrun"/>
          <w:rFonts w:eastAsiaTheme="majorEastAsia"/>
        </w:rPr>
        <w:t>which calls for a “</w:t>
      </w:r>
      <w:r w:rsidRPr="00FB1598">
        <w:rPr>
          <w:rStyle w:val="normaltextrun"/>
          <w:rFonts w:eastAsiaTheme="majorEastAsia"/>
          <w:i/>
          <w:iCs/>
        </w:rPr>
        <w:t>global fund</w:t>
      </w:r>
      <w:r w:rsidRPr="003D4EC6">
        <w:rPr>
          <w:rStyle w:val="normaltextrun"/>
          <w:rFonts w:eastAsiaTheme="majorEastAsia"/>
        </w:rPr>
        <w:t>”, the fund foreseen by the Agreement under the United Nations Convention on the Law of the Sea on the conservation and sustainable use of marine biological diversity of areas beyond national jurisdiction (BBNJ), among others</w:t>
      </w:r>
    </w:p>
    <w:p w14:paraId="349B1E35" w14:textId="77777777" w:rsidR="0081052F" w:rsidRPr="00ED7E61" w:rsidRDefault="0081052F" w:rsidP="00395866">
      <w:pPr>
        <w:pStyle w:val="paragraph"/>
        <w:pBdr>
          <w:bottom w:val="single" w:sz="4" w:space="1" w:color="000000"/>
        </w:pBdr>
        <w:spacing w:before="0" w:beforeAutospacing="0" w:after="0" w:afterAutospacing="0"/>
        <w:textAlignment w:val="baseline"/>
        <w:rPr>
          <w:rStyle w:val="normaltextrun"/>
          <w:rFonts w:asciiTheme="majorBidi" w:eastAsiaTheme="majorEastAsia" w:hAnsiTheme="majorBidi" w:cstheme="majorBidi"/>
          <w:sz w:val="22"/>
          <w:szCs w:val="22"/>
          <w:lang w:val="en-GB"/>
        </w:rPr>
      </w:pPr>
    </w:p>
    <w:p w14:paraId="3DE2B464"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1F6168CD" w14:textId="77777777" w:rsidR="0025590A" w:rsidRPr="00ED7E61" w:rsidRDefault="0025590A" w:rsidP="00B10F0C">
      <w:pPr>
        <w:pStyle w:val="CBDNormalNumber"/>
        <w:numPr>
          <w:ilvl w:val="0"/>
          <w:numId w:val="63"/>
        </w:numPr>
        <w:ind w:left="567" w:firstLine="0"/>
        <w:rPr>
          <w:lang w:eastAsia="de-DE"/>
        </w:rPr>
      </w:pPr>
      <w:r w:rsidRPr="00ED7E61">
        <w:rPr>
          <w:lang w:eastAsia="de-DE"/>
        </w:rPr>
        <w:t xml:space="preserve">Monetary benefits can all be measured in terms of the amount of money received and they can be aggregated and reported as a single monetary number for each year. Table 1 provides a list of types of monetary benefits which should be included in national reporting. </w:t>
      </w:r>
    </w:p>
    <w:p w14:paraId="1288D287" w14:textId="6DA1D80F" w:rsidR="0025590A" w:rsidRPr="00B3383B" w:rsidRDefault="0025590A" w:rsidP="00B3383B">
      <w:pPr>
        <w:pStyle w:val="Caption"/>
        <w:spacing w:after="120"/>
        <w:rPr>
          <w:rFonts w:asciiTheme="majorBidi" w:eastAsia="Times New Roman" w:hAnsiTheme="majorBidi" w:cstheme="majorBidi"/>
          <w:b/>
          <w:bCs/>
          <w:i w:val="0"/>
          <w:color w:val="auto"/>
          <w:sz w:val="22"/>
          <w:szCs w:val="22"/>
        </w:rPr>
      </w:pPr>
      <w:bookmarkStart w:id="33" w:name="_32hioqz" w:colFirst="0" w:colLast="0"/>
      <w:bookmarkStart w:id="34" w:name="_Ref160454145"/>
      <w:bookmarkEnd w:id="33"/>
      <w:r w:rsidRPr="00ED7E61">
        <w:rPr>
          <w:rFonts w:asciiTheme="majorBidi" w:eastAsia="Times New Roman" w:hAnsiTheme="majorBidi" w:cstheme="majorBidi"/>
          <w:iCs w:val="0"/>
          <w:color w:val="auto"/>
          <w:sz w:val="22"/>
          <w:szCs w:val="22"/>
        </w:rPr>
        <w:t xml:space="preserve">Table </w:t>
      </w:r>
      <w:bookmarkEnd w:id="34"/>
      <w:r w:rsidRPr="00ED7E61">
        <w:rPr>
          <w:rFonts w:asciiTheme="majorBidi" w:eastAsia="Times New Roman" w:hAnsiTheme="majorBidi" w:cstheme="majorBidi"/>
          <w:iCs w:val="0"/>
          <w:color w:val="auto"/>
          <w:sz w:val="22"/>
          <w:szCs w:val="22"/>
        </w:rPr>
        <w:t xml:space="preserve">1. </w:t>
      </w:r>
      <w:r w:rsidR="00AA4310">
        <w:rPr>
          <w:rFonts w:asciiTheme="majorBidi" w:eastAsia="Times New Roman" w:hAnsiTheme="majorBidi" w:cstheme="majorBidi"/>
          <w:iCs w:val="0"/>
          <w:color w:val="auto"/>
          <w:sz w:val="22"/>
          <w:szCs w:val="22"/>
        </w:rPr>
        <w:br/>
      </w:r>
      <w:r w:rsidRPr="00B3383B">
        <w:rPr>
          <w:rFonts w:asciiTheme="majorBidi" w:eastAsia="Times New Roman" w:hAnsiTheme="majorBidi" w:cstheme="majorBidi"/>
          <w:b/>
          <w:bCs/>
          <w:i w:val="0"/>
          <w:color w:val="auto"/>
          <w:sz w:val="22"/>
          <w:szCs w:val="22"/>
        </w:rPr>
        <w:t xml:space="preserve">List of monetary benefits for which data should be collected </w:t>
      </w:r>
    </w:p>
    <w:tbl>
      <w:tblPr>
        <w:tblW w:w="894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7"/>
        <w:gridCol w:w="5015"/>
      </w:tblGrid>
      <w:tr w:rsidR="0025590A" w:rsidRPr="00AA4310" w14:paraId="04B4BED7" w14:textId="77777777" w:rsidTr="00A96B0B">
        <w:tc>
          <w:tcPr>
            <w:tcW w:w="3927" w:type="dxa"/>
          </w:tcPr>
          <w:p w14:paraId="260145DC"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Monetary Benefit</w:t>
            </w:r>
          </w:p>
        </w:tc>
        <w:tc>
          <w:tcPr>
            <w:tcW w:w="5014" w:type="dxa"/>
          </w:tcPr>
          <w:p w14:paraId="19E1C0F9"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Notes on collecting data</w:t>
            </w:r>
          </w:p>
        </w:tc>
      </w:tr>
      <w:tr w:rsidR="0025590A" w:rsidRPr="00AA4310" w14:paraId="787F797A" w14:textId="77777777" w:rsidTr="00A96B0B">
        <w:trPr>
          <w:trHeight w:val="220"/>
        </w:trPr>
        <w:tc>
          <w:tcPr>
            <w:tcW w:w="3927" w:type="dxa"/>
          </w:tcPr>
          <w:p w14:paraId="250A024B" w14:textId="0DDBD294"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*(a)</w:t>
            </w:r>
            <w:r w:rsidR="00303035" w:rsidRPr="00B3383B">
              <w:rPr>
                <w:rFonts w:asciiTheme="majorBidi" w:hAnsiTheme="majorBidi" w:cstheme="majorBidi"/>
                <w:sz w:val="18"/>
                <w:szCs w:val="18"/>
              </w:rPr>
              <w:t xml:space="preserve"> </w:t>
            </w:r>
            <w:r w:rsidRPr="00B3383B">
              <w:rPr>
                <w:rFonts w:asciiTheme="majorBidi" w:hAnsiTheme="majorBidi" w:cstheme="majorBidi"/>
                <w:sz w:val="18"/>
                <w:szCs w:val="18"/>
              </w:rPr>
              <w:t>Access fees/fee per sample collected or otherwise acquired</w:t>
            </w:r>
          </w:p>
        </w:tc>
        <w:tc>
          <w:tcPr>
            <w:tcW w:w="5014" w:type="dxa"/>
          </w:tcPr>
          <w:p w14:paraId="0C06B5F7"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Easy to implement, payment during access application</w:t>
            </w:r>
          </w:p>
        </w:tc>
      </w:tr>
      <w:tr w:rsidR="0025590A" w:rsidRPr="00AA4310" w14:paraId="0E572FF5" w14:textId="77777777" w:rsidTr="00A96B0B">
        <w:trPr>
          <w:trHeight w:val="220"/>
        </w:trPr>
        <w:tc>
          <w:tcPr>
            <w:tcW w:w="3927" w:type="dxa"/>
          </w:tcPr>
          <w:p w14:paraId="4D6438BA"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(b)  Up-front payments</w:t>
            </w:r>
          </w:p>
        </w:tc>
        <w:tc>
          <w:tcPr>
            <w:tcW w:w="5014" w:type="dxa"/>
          </w:tcPr>
          <w:p w14:paraId="18E117B5"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Easy to implement, payment during access application</w:t>
            </w:r>
          </w:p>
        </w:tc>
      </w:tr>
      <w:tr w:rsidR="0025590A" w:rsidRPr="00AA4310" w14:paraId="647B6F6A" w14:textId="77777777" w:rsidTr="00A96B0B">
        <w:trPr>
          <w:trHeight w:val="220"/>
        </w:trPr>
        <w:tc>
          <w:tcPr>
            <w:tcW w:w="3927" w:type="dxa"/>
          </w:tcPr>
          <w:p w14:paraId="41D77C22"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(c)  Milestone payments</w:t>
            </w:r>
          </w:p>
        </w:tc>
        <w:tc>
          <w:tcPr>
            <w:tcW w:w="5014" w:type="dxa"/>
          </w:tcPr>
          <w:p w14:paraId="02C1EBB0"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 xml:space="preserve">Happens during utilization, CNA or other authority need check in/receive several reports over time, milestones need to be clearly defined and agreed on </w:t>
            </w:r>
          </w:p>
        </w:tc>
      </w:tr>
      <w:tr w:rsidR="0025590A" w:rsidRPr="00AA4310" w14:paraId="02DD37DC" w14:textId="77777777" w:rsidTr="00A96B0B">
        <w:trPr>
          <w:trHeight w:val="220"/>
        </w:trPr>
        <w:tc>
          <w:tcPr>
            <w:tcW w:w="3927" w:type="dxa"/>
          </w:tcPr>
          <w:p w14:paraId="6E6E235A" w14:textId="33335126"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 xml:space="preserve">*(d) Payment of royalties </w:t>
            </w:r>
          </w:p>
        </w:tc>
        <w:tc>
          <w:tcPr>
            <w:tcW w:w="5014" w:type="dxa"/>
          </w:tcPr>
          <w:p w14:paraId="124F2F7B"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After successful utilization/commercialization, regular annual reports on revenue needed</w:t>
            </w:r>
          </w:p>
        </w:tc>
      </w:tr>
      <w:tr w:rsidR="0025590A" w:rsidRPr="00AA4310" w14:paraId="698DABB4" w14:textId="77777777" w:rsidTr="00A96B0B">
        <w:trPr>
          <w:trHeight w:val="220"/>
        </w:trPr>
        <w:tc>
          <w:tcPr>
            <w:tcW w:w="3927" w:type="dxa"/>
          </w:tcPr>
          <w:p w14:paraId="7BB4B2E8"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 xml:space="preserve">(e)  License fees in case of commercialization </w:t>
            </w:r>
          </w:p>
        </w:tc>
        <w:tc>
          <w:tcPr>
            <w:tcW w:w="5014" w:type="dxa"/>
          </w:tcPr>
          <w:p w14:paraId="5E407321"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 xml:space="preserve">After successful utilization/commercialization </w:t>
            </w:r>
          </w:p>
        </w:tc>
      </w:tr>
      <w:tr w:rsidR="0025590A" w:rsidRPr="00AA4310" w14:paraId="3C5ABD22" w14:textId="77777777" w:rsidTr="00A96B0B">
        <w:trPr>
          <w:trHeight w:val="220"/>
        </w:trPr>
        <w:tc>
          <w:tcPr>
            <w:tcW w:w="3927" w:type="dxa"/>
          </w:tcPr>
          <w:p w14:paraId="7B00F5BF"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 xml:space="preserve">(f)  Special fees to be paid to trust funds supporting conservation and sustainable use of biodiversity </w:t>
            </w:r>
          </w:p>
        </w:tc>
        <w:tc>
          <w:tcPr>
            <w:tcW w:w="5014" w:type="dxa"/>
          </w:tcPr>
          <w:p w14:paraId="6EE0AD06" w14:textId="336B4858"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Can happen at several time points along the value chain</w:t>
            </w:r>
          </w:p>
        </w:tc>
      </w:tr>
      <w:tr w:rsidR="0025590A" w:rsidRPr="00AA4310" w14:paraId="4A928C53" w14:textId="77777777" w:rsidTr="00A96B0B">
        <w:trPr>
          <w:trHeight w:val="220"/>
        </w:trPr>
        <w:tc>
          <w:tcPr>
            <w:tcW w:w="3927" w:type="dxa"/>
          </w:tcPr>
          <w:p w14:paraId="0016A83B"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(g)  Salaries and preferential terms where mutually agreed</w:t>
            </w:r>
          </w:p>
        </w:tc>
        <w:tc>
          <w:tcPr>
            <w:tcW w:w="5014" w:type="dxa"/>
          </w:tcPr>
          <w:p w14:paraId="0040A1F9" w14:textId="1975053D"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Can happen at several time points along the value chain</w:t>
            </w:r>
          </w:p>
        </w:tc>
      </w:tr>
      <w:tr w:rsidR="0025590A" w:rsidRPr="00AA4310" w14:paraId="2F44069C" w14:textId="77777777" w:rsidTr="00A96B0B">
        <w:trPr>
          <w:trHeight w:val="220"/>
        </w:trPr>
        <w:tc>
          <w:tcPr>
            <w:tcW w:w="3927" w:type="dxa"/>
          </w:tcPr>
          <w:p w14:paraId="731E1C7E" w14:textId="3956C39C"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 xml:space="preserve">*(h) Research funding </w:t>
            </w:r>
          </w:p>
        </w:tc>
        <w:tc>
          <w:tcPr>
            <w:tcW w:w="5014" w:type="dxa"/>
          </w:tcPr>
          <w:p w14:paraId="6537F878" w14:textId="6901347E"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Can happen at several time points along the value chain</w:t>
            </w:r>
          </w:p>
        </w:tc>
      </w:tr>
      <w:tr w:rsidR="0025590A" w:rsidRPr="00AA4310" w14:paraId="0EA5DAE7" w14:textId="77777777" w:rsidTr="00A96B0B">
        <w:trPr>
          <w:trHeight w:val="220"/>
        </w:trPr>
        <w:tc>
          <w:tcPr>
            <w:tcW w:w="3927" w:type="dxa"/>
          </w:tcPr>
          <w:p w14:paraId="5FBE618A"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 xml:space="preserve">(i)  Joint ventures </w:t>
            </w:r>
          </w:p>
        </w:tc>
        <w:tc>
          <w:tcPr>
            <w:tcW w:w="5014" w:type="dxa"/>
          </w:tcPr>
          <w:p w14:paraId="25B0E74A" w14:textId="6805DE4C"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Can happen at several time points along the value chain</w:t>
            </w:r>
          </w:p>
        </w:tc>
      </w:tr>
      <w:tr w:rsidR="0025590A" w:rsidRPr="00AA4310" w14:paraId="54469BFB" w14:textId="77777777" w:rsidTr="00A96B0B">
        <w:trPr>
          <w:trHeight w:val="220"/>
        </w:trPr>
        <w:tc>
          <w:tcPr>
            <w:tcW w:w="3927" w:type="dxa"/>
          </w:tcPr>
          <w:p w14:paraId="0BCB7B4E"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 xml:space="preserve">(j)  Joint ownership of relevant intellectual property rights </w:t>
            </w:r>
          </w:p>
        </w:tc>
        <w:tc>
          <w:tcPr>
            <w:tcW w:w="5014" w:type="dxa"/>
          </w:tcPr>
          <w:p w14:paraId="18461955" w14:textId="77777777" w:rsidR="0025590A" w:rsidRPr="00B3383B" w:rsidRDefault="0025590A" w:rsidP="00A96B0B">
            <w:pPr>
              <w:rPr>
                <w:rFonts w:asciiTheme="majorBidi" w:hAnsiTheme="majorBidi" w:cstheme="majorBidi"/>
                <w:sz w:val="18"/>
                <w:szCs w:val="18"/>
              </w:rPr>
            </w:pPr>
            <w:r w:rsidRPr="00B3383B">
              <w:rPr>
                <w:rFonts w:asciiTheme="majorBidi" w:hAnsiTheme="majorBidi" w:cstheme="majorBidi"/>
                <w:sz w:val="18"/>
                <w:szCs w:val="18"/>
              </w:rPr>
              <w:t>Royalties are generated after the licensing of intellectual property (if successful)</w:t>
            </w:r>
          </w:p>
        </w:tc>
      </w:tr>
    </w:tbl>
    <w:p w14:paraId="33DADEAD" w14:textId="77777777" w:rsidR="0025590A" w:rsidRPr="00ED7E61" w:rsidRDefault="0025590A" w:rsidP="0025590A">
      <w:pPr>
        <w:rPr>
          <w:rFonts w:asciiTheme="majorBidi" w:hAnsiTheme="majorBidi" w:cstheme="majorBidi"/>
          <w:sz w:val="22"/>
          <w:szCs w:val="22"/>
        </w:rPr>
      </w:pPr>
    </w:p>
    <w:p w14:paraId="3EE1B55D" w14:textId="1988D6C9" w:rsidR="009A563F" w:rsidRPr="00ED7E61" w:rsidRDefault="0025590A" w:rsidP="00B10F0C">
      <w:pPr>
        <w:pStyle w:val="CBDNormalNumber"/>
        <w:numPr>
          <w:ilvl w:val="0"/>
          <w:numId w:val="63"/>
        </w:numPr>
        <w:ind w:left="567" w:firstLine="0"/>
        <w:rPr>
          <w:lang w:eastAsia="de-DE"/>
        </w:rPr>
      </w:pPr>
      <w:r w:rsidRPr="00ED7E61">
        <w:rPr>
          <w:lang w:eastAsia="de-DE"/>
        </w:rPr>
        <w:t xml:space="preserve">The headline indicator for monetary benefit-sharing would enable countries to report on monetary benefits across all international instruments into a single overarching indicator. This information would be collected at national level for the benefits shared bilaterally, and by the relevant treaty secretariats for those benefits shared multilaterally. The information collected by the treaty secretariats, if so decided by their membership, will be made available to SCBD and may be used by countries for their use in a section of the national reports. Parties to the CBD that have regulated access to their genetic resources and require monetary benefit-sharing will include in their national reports the total amount, in US dollars, of the monetary benefits received at the national level during the reporting period. </w:t>
      </w:r>
    </w:p>
    <w:p w14:paraId="3A014E4E" w14:textId="5DF794B2" w:rsidR="009A563F" w:rsidRPr="00ED7E61" w:rsidRDefault="0025590A" w:rsidP="00B10F0C">
      <w:pPr>
        <w:pStyle w:val="CBDNormalNumber"/>
        <w:numPr>
          <w:ilvl w:val="0"/>
          <w:numId w:val="63"/>
        </w:numPr>
        <w:ind w:left="567" w:firstLine="0"/>
        <w:rPr>
          <w:rFonts w:asciiTheme="majorBidi" w:hAnsiTheme="majorBidi" w:cstheme="majorBidi"/>
        </w:rPr>
      </w:pPr>
      <w:r w:rsidRPr="00ED7E61">
        <w:rPr>
          <w:rFonts w:asciiTheme="majorBidi" w:hAnsiTheme="majorBidi" w:cstheme="majorBidi"/>
        </w:rPr>
        <w:t>Parties, in providing this information, will consider different types of monetary benefit, such as those included in annex to the Nagoya Protocol, or the Bonn Guidelines on Access to Genetic Resources and Fair and Equitable Sharing of the Benefits Arising Out of Their Utilization</w:t>
      </w:r>
      <w:r w:rsidR="00E51D62" w:rsidRPr="00ED7E61">
        <w:rPr>
          <w:rFonts w:asciiTheme="majorBidi" w:hAnsiTheme="majorBidi" w:cstheme="majorBidi"/>
        </w:rPr>
        <w:t>.</w:t>
      </w:r>
    </w:p>
    <w:p w14:paraId="03ECD90C" w14:textId="7E106819" w:rsidR="0081052F" w:rsidRPr="00ED7E61" w:rsidRDefault="0025590A" w:rsidP="00B10F0C">
      <w:pPr>
        <w:pStyle w:val="CBDNormalNumber"/>
        <w:numPr>
          <w:ilvl w:val="0"/>
          <w:numId w:val="63"/>
        </w:numPr>
        <w:ind w:left="567" w:firstLine="0"/>
        <w:rPr>
          <w:rFonts w:asciiTheme="majorBidi" w:hAnsiTheme="majorBidi" w:cstheme="majorBidi"/>
        </w:rPr>
      </w:pPr>
      <w:r w:rsidRPr="00ED7E61">
        <w:rPr>
          <w:rFonts w:asciiTheme="majorBidi" w:hAnsiTheme="majorBidi" w:cstheme="majorBidi"/>
        </w:rPr>
        <w:t>However, the collection of information on monetary benefits at national level is not without challenges. Few countries have readily available information on monetary benefits, as many countries do not yet have a fully operational ABS framework or have only concluded agreements for non-commercial use which do not involve monetary benefits</w:t>
      </w:r>
      <w:r w:rsidR="00E51D62" w:rsidRPr="00ED7E61">
        <w:rPr>
          <w:rFonts w:asciiTheme="majorBidi" w:hAnsiTheme="majorBidi" w:cstheme="majorBidi"/>
        </w:rPr>
        <w:t>.</w:t>
      </w:r>
    </w:p>
    <w:p w14:paraId="304F6432"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70C3ACE6" w14:textId="56767573" w:rsidR="0081052F" w:rsidRPr="00ED7E61" w:rsidRDefault="0081052F" w:rsidP="00B10F0C">
      <w:pPr>
        <w:pStyle w:val="CBDNormalNumber"/>
        <w:numPr>
          <w:ilvl w:val="0"/>
          <w:numId w:val="63"/>
        </w:numPr>
        <w:ind w:left="567" w:firstLine="0"/>
        <w:rPr>
          <w:rFonts w:asciiTheme="majorBidi" w:hAnsiTheme="majorBidi" w:cstheme="majorBidi"/>
        </w:rPr>
      </w:pPr>
      <w:r w:rsidRPr="00ED7E61">
        <w:rPr>
          <w:rFonts w:asciiTheme="majorBidi" w:hAnsiTheme="majorBidi" w:cstheme="majorBidi"/>
        </w:rPr>
        <w:t>This information will be collected through the national reporting under the Convention where Parties report which monetary (and/or in the case of indicator C.2 which non-monetary benefits</w:t>
      </w:r>
      <w:r w:rsidR="0029290C" w:rsidRPr="00ED7E61">
        <w:rPr>
          <w:rFonts w:asciiTheme="majorBidi" w:hAnsiTheme="majorBidi" w:cstheme="majorBidi"/>
        </w:rPr>
        <w:t>)</w:t>
      </w:r>
      <w:r w:rsidRPr="00ED7E61">
        <w:rPr>
          <w:rFonts w:asciiTheme="majorBidi" w:hAnsiTheme="majorBidi" w:cstheme="majorBidi"/>
        </w:rPr>
        <w:t xml:space="preserve"> they have received, including the amount of monetary benefits received during the reporting period (in US dollars).</w:t>
      </w:r>
      <w:r w:rsidRPr="00ED7E61">
        <w:t>  It will be based on the categories in table 1 noting that the monetary benefits that are considered to be the most important for reporting purposes are highlighted with a (*).</w:t>
      </w:r>
    </w:p>
    <w:p w14:paraId="5A7F4D7F" w14:textId="6AADC1A8" w:rsidR="0081052F" w:rsidRPr="00ED7E61" w:rsidRDefault="0081052F" w:rsidP="009A563F">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60CCE1CB" w14:textId="77777777" w:rsidR="0081052F" w:rsidRPr="00ED7E61" w:rsidRDefault="0081052F" w:rsidP="00B10F0C">
      <w:pPr>
        <w:pStyle w:val="CBDNormalNumber"/>
        <w:numPr>
          <w:ilvl w:val="0"/>
          <w:numId w:val="63"/>
        </w:numPr>
        <w:ind w:left="567" w:firstLine="0"/>
      </w:pPr>
      <w:r w:rsidRPr="00ED7E61">
        <w:t xml:space="preserve">This methodology is available online and more information can be found in CBD/SBSTTA/26/INF/12. </w:t>
      </w:r>
    </w:p>
    <w:p w14:paraId="09E4B138"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7BCAC3A2" w14:textId="3B5A2C85" w:rsidR="0025590A" w:rsidRPr="00ED7E61" w:rsidRDefault="0025590A" w:rsidP="00B10F0C">
      <w:pPr>
        <w:pStyle w:val="CBDNormalNumber"/>
        <w:numPr>
          <w:ilvl w:val="0"/>
          <w:numId w:val="63"/>
        </w:numPr>
        <w:ind w:left="567" w:firstLine="0"/>
      </w:pPr>
      <w:r w:rsidRPr="00ED7E61">
        <w:t>To be able to report on indicators measured at the national level for bilateral benefit-sharing it is necessary that countries implement tools that facilitate collection, compilation and report of information in accordance with national legislation.</w:t>
      </w:r>
      <w:r w:rsidRPr="00ED7E61">
        <w:rPr>
          <w:rFonts w:asciiTheme="majorBidi" w:hAnsiTheme="majorBidi" w:cstheme="majorBidi"/>
        </w:rPr>
        <w:t xml:space="preserve"> </w:t>
      </w:r>
      <w:r w:rsidRPr="00ED7E61">
        <w:t>For the multilateral instruments, the Secretariats may be the curators of the data that needs to be provided, and information will be provided to the Parties to these instruments for its inclusion and use in the national report.</w:t>
      </w:r>
    </w:p>
    <w:p w14:paraId="2CC02A0B" w14:textId="103987F9" w:rsidR="0025590A" w:rsidRPr="00ED7E61" w:rsidRDefault="0025590A" w:rsidP="00B10F0C">
      <w:pPr>
        <w:pStyle w:val="CBDNormalNumber"/>
        <w:numPr>
          <w:ilvl w:val="0"/>
          <w:numId w:val="63"/>
        </w:numPr>
        <w:ind w:left="567" w:firstLine="0"/>
      </w:pPr>
      <w:r w:rsidRPr="00ED7E61">
        <w:t>Some recommendations are included in this section for gathering information related to monetary bilaterally shared, while bearing in mind that countries may have different circumstances, priorities and capacities in this regard</w:t>
      </w:r>
    </w:p>
    <w:p w14:paraId="38EB4C35" w14:textId="77777777" w:rsidR="0025590A" w:rsidRPr="00ED7E61" w:rsidRDefault="0025590A" w:rsidP="0025590A">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t>Establish a national fund as central tool for monetary benefits collection</w:t>
      </w:r>
    </w:p>
    <w:p w14:paraId="35D76572" w14:textId="2AE1F2D8" w:rsidR="0025590A" w:rsidRPr="00ED7E61" w:rsidRDefault="0025590A" w:rsidP="00B10F0C">
      <w:pPr>
        <w:pStyle w:val="CBDNormalNumber"/>
        <w:numPr>
          <w:ilvl w:val="0"/>
          <w:numId w:val="63"/>
        </w:numPr>
        <w:ind w:left="567" w:firstLine="0"/>
      </w:pPr>
      <w:r w:rsidRPr="00ED7E61">
        <w:t xml:space="preserve">At the national level, the approach of establishing a mechanism (a specific fund or an account) that centralizes the reception of monetary benefits could help with data reporting. A centralized system eases the accountability of the transactions and the calculation of the monetary benefits received and seems to be a good managing tool to receive payments based on ABS agreements of notifications. Such a fund creates the potential to have a quick overview on the monetary flows and creates the opportunity to assess allocations used for conservation and protection of biodiversity. In general, money from the fund can be distributed to the provider of a </w:t>
      </w:r>
      <w:r w:rsidR="00E51D62" w:rsidRPr="00ED7E61">
        <w:t xml:space="preserve">genetic resource </w:t>
      </w:r>
      <w:r w:rsidRPr="00ED7E61">
        <w:t>or may be used for conservation projects (18). This type of fund allows easy identification of the payments made by users and avoids the risks associated with payments made to the general budget of a country, where it will be more difficult to track the initial payment and almost impossible to ensure that the funds are used for biodiversity policy objectives. However, ministries of finance often pursue the principle of universality of the government budget whereby all resources are directed to a common pool or fund, to be allocated and used for expenditures according to the current priorities of the government, where earmarking is forbidden or highly discouraged. Thus, inevitably, like with much of ABS, each country will have unique circumstances.</w:t>
      </w:r>
    </w:p>
    <w:p w14:paraId="235B983D" w14:textId="77777777" w:rsidR="0025590A" w:rsidRPr="00ED7E61" w:rsidRDefault="0025590A" w:rsidP="0025590A">
      <w:pPr>
        <w:pStyle w:val="paragraph"/>
        <w:spacing w:before="0" w:beforeAutospacing="0" w:after="0" w:afterAutospacing="0"/>
        <w:textAlignment w:val="baseline"/>
        <w:rPr>
          <w:rStyle w:val="normaltextrun"/>
          <w:rFonts w:asciiTheme="majorBidi" w:eastAsiaTheme="majorEastAsia" w:hAnsiTheme="majorBidi" w:cstheme="majorBidi"/>
          <w:sz w:val="22"/>
          <w:szCs w:val="22"/>
          <w:lang w:val="en-GB"/>
        </w:rPr>
      </w:pPr>
      <w:r w:rsidRPr="00ED7E61">
        <w:rPr>
          <w:rStyle w:val="normaltextrun"/>
          <w:rFonts w:asciiTheme="majorBidi" w:eastAsiaTheme="majorEastAsia" w:hAnsiTheme="majorBidi" w:cstheme="majorBidi"/>
          <w:b/>
          <w:bCs/>
          <w:sz w:val="22"/>
          <w:szCs w:val="22"/>
          <w:lang w:val="en-GB"/>
        </w:rPr>
        <w:t>Anticipate confidentiality issues during non-disclosure agreements negotiations</w:t>
      </w:r>
    </w:p>
    <w:p w14:paraId="0BEC1D20" w14:textId="03D18240" w:rsidR="0025590A" w:rsidRPr="00ED7E61" w:rsidRDefault="0025590A" w:rsidP="00B10F0C">
      <w:pPr>
        <w:pStyle w:val="CBDNormalNumber"/>
        <w:numPr>
          <w:ilvl w:val="0"/>
          <w:numId w:val="63"/>
        </w:numPr>
        <w:ind w:left="567" w:firstLine="0"/>
      </w:pPr>
      <w:r w:rsidRPr="00ED7E61">
        <w:t xml:space="preserve">For some countries confidentiality issues are an important obstacle to report on monetary benefits as information on monetary benefits may be difficult to report due to non-disclosure agreements (NDA) that restrict parties to disclose confidential information included in the </w:t>
      </w:r>
      <w:r w:rsidR="00E51D62" w:rsidRPr="00ED7E61">
        <w:t xml:space="preserve">mutually agreed terms </w:t>
      </w:r>
      <w:r w:rsidRPr="00ED7E61">
        <w:t xml:space="preserve">and other ABS-related documents. Confidential information usually includes trade secrets like new methods, formulas or designs. In the case of commercial utilization of </w:t>
      </w:r>
      <w:r w:rsidR="00E51D62" w:rsidRPr="00ED7E61">
        <w:t xml:space="preserve">genetic resources </w:t>
      </w:r>
      <w:r w:rsidRPr="00ED7E61">
        <w:t xml:space="preserve">or </w:t>
      </w:r>
      <w:r w:rsidR="00E51D62" w:rsidRPr="00ED7E61">
        <w:t>associated traditional knowledge</w:t>
      </w:r>
      <w:r w:rsidRPr="00ED7E61">
        <w:t xml:space="preserve">, information on monetary benefits is also sensitive and usually declared as confidential. On the other hand, based on some interviews with ABS experts from the private sector, confidentiality issues would be prevented if those are discussed and agreed at an early stage of </w:t>
      </w:r>
      <w:r w:rsidR="00E51D62" w:rsidRPr="00ED7E61">
        <w:t xml:space="preserve">mutually agreed terms </w:t>
      </w:r>
      <w:r w:rsidRPr="00ED7E61">
        <w:t xml:space="preserve">negotiations and if aggregated data is reported. To this end, standardized language can be included in non-disclosure agreements that explicitly allows the recipient of the confidential information to report on benefits received, at the aggregate level, in their national reports under the CBD and the </w:t>
      </w:r>
      <w:r w:rsidR="00E51D62" w:rsidRPr="00ED7E61">
        <w:t>Nagoya Protocol</w:t>
      </w:r>
      <w:r w:rsidRPr="00ED7E61">
        <w:t>, while fully respecting confidentiality of the agreement</w:t>
      </w:r>
    </w:p>
    <w:p w14:paraId="7C261A9B" w14:textId="77777777" w:rsidR="0025590A" w:rsidRPr="00ED7E61" w:rsidRDefault="0025590A" w:rsidP="0025590A">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t xml:space="preserve">Develop a national repository where all information in the reporting process on benefits is stored and information is managed </w:t>
      </w:r>
    </w:p>
    <w:p w14:paraId="5CD79F2C" w14:textId="177E816F" w:rsidR="0025590A" w:rsidRPr="00ED7E61" w:rsidRDefault="0025590A" w:rsidP="00B10F0C">
      <w:pPr>
        <w:pStyle w:val="CBDNormalNumber"/>
        <w:numPr>
          <w:ilvl w:val="0"/>
          <w:numId w:val="63"/>
        </w:numPr>
        <w:ind w:left="567" w:firstLine="0"/>
      </w:pPr>
      <w:r w:rsidRPr="00ED7E61">
        <w:t xml:space="preserve">In case various beneficiaries directly receive monetary benefits from the user, in an independent and decentralized manner, collecting aggregate data will be challenging. The alternative in case of multiple recipients of monetary benefits is to implement a mechanism (e.g. an online tool) with relevant national safeguards to compile at the national level the information related to the effective amount and date of those payments and include in the </w:t>
      </w:r>
      <w:r w:rsidR="00E51D62" w:rsidRPr="00ED7E61">
        <w:t xml:space="preserve">mutually agreed terms </w:t>
      </w:r>
      <w:r w:rsidRPr="00ED7E61">
        <w:t>clauses related to the user’s obligation to report to just one centralized national authority on monetary benefits shared directly with multiple beneficiaries.</w:t>
      </w:r>
    </w:p>
    <w:p w14:paraId="5702465B" w14:textId="2F875A63" w:rsidR="0025590A" w:rsidRPr="00ED7E61" w:rsidRDefault="0025590A" w:rsidP="00B10F0C">
      <w:pPr>
        <w:pStyle w:val="CBDNormalNumber"/>
        <w:numPr>
          <w:ilvl w:val="0"/>
          <w:numId w:val="63"/>
        </w:numPr>
        <w:ind w:left="567" w:firstLine="0"/>
      </w:pPr>
      <w:r w:rsidRPr="00ED7E61">
        <w:t xml:space="preserve">Data management systems for ABS agreements granting and benefits reporting are a good tool to monitor benefit-sharing at national level and could potentially generate reminders about check in and reporting duties of users of </w:t>
      </w:r>
      <w:r w:rsidR="00E51D62" w:rsidRPr="00ED7E61">
        <w:t xml:space="preserve">genetic resources </w:t>
      </w:r>
      <w:r w:rsidRPr="00ED7E61">
        <w:t xml:space="preserve">or </w:t>
      </w:r>
      <w:r w:rsidR="00E51D62" w:rsidRPr="00ED7E61">
        <w:t>associated traditional knowledge</w:t>
      </w:r>
      <w:r w:rsidRPr="00ED7E61">
        <w:t xml:space="preserve">. Some countries have already introduced national virtual systems to apply for access to </w:t>
      </w:r>
      <w:r w:rsidR="00E51D62" w:rsidRPr="00ED7E61">
        <w:t xml:space="preserve">genetic resources </w:t>
      </w:r>
      <w:r w:rsidRPr="00ED7E61">
        <w:t>and report on benefit-sharing. Once the application is successfully processed the corresponding permit is granted and uploaded to the platform. The commitments on both monetary and non-monetary benefit sharing and corresponding deadlines can also be programmed in the system, which could send out reminders to users on reporting obligations for the concluded benefit-sharing activities. The users could upload benefit-sharing reports (e.g. research results or capacity building reports) and appropriate information to support the report.  </w:t>
      </w:r>
    </w:p>
    <w:p w14:paraId="0D51F611" w14:textId="77777777" w:rsidR="0025590A" w:rsidRPr="00ED7E61" w:rsidRDefault="0025590A" w:rsidP="00B10F0C">
      <w:pPr>
        <w:pStyle w:val="CBDNormalNumber"/>
        <w:numPr>
          <w:ilvl w:val="0"/>
          <w:numId w:val="63"/>
        </w:numPr>
        <w:ind w:left="567" w:firstLine="0"/>
      </w:pPr>
      <w:r w:rsidRPr="00ED7E61">
        <w:t>The design of these repositories can include different information and disaggregation according to national priorities and legislation, while bearing mind the needs for reporting at international level.</w:t>
      </w:r>
    </w:p>
    <w:p w14:paraId="443E0F5B"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1BDFEA6E" w14:textId="76A35C2E" w:rsidR="0081052F" w:rsidRPr="00ED7E61" w:rsidRDefault="0081052F" w:rsidP="00B10F0C">
      <w:pPr>
        <w:pStyle w:val="CBDNormalNumber"/>
        <w:numPr>
          <w:ilvl w:val="0"/>
          <w:numId w:val="63"/>
        </w:numPr>
        <w:ind w:left="567" w:firstLine="0"/>
      </w:pPr>
      <w:r w:rsidRPr="00ED7E61">
        <w:t xml:space="preserve">This data will be collected through national reports as per the timing of those reports. Parties could share data through their national CHMs </w:t>
      </w:r>
      <w:r w:rsidR="004518E1" w:rsidRPr="00ED7E61">
        <w:t xml:space="preserve">or through their ABS </w:t>
      </w:r>
      <w:r w:rsidR="00E51D62" w:rsidRPr="00ED7E61">
        <w:t xml:space="preserve">clearing houses </w:t>
      </w:r>
      <w:r w:rsidRPr="00ED7E61">
        <w:t xml:space="preserve">and other national data portals on an annual basis. </w:t>
      </w:r>
    </w:p>
    <w:p w14:paraId="783145AA"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154A8472" w14:textId="77777777" w:rsidR="0081052F" w:rsidRPr="00ED7E61" w:rsidRDefault="0081052F" w:rsidP="00B10F0C">
      <w:pPr>
        <w:pStyle w:val="CBDNormalNumber"/>
        <w:numPr>
          <w:ilvl w:val="0"/>
          <w:numId w:val="63"/>
        </w:numPr>
        <w:ind w:left="567" w:firstLine="0"/>
      </w:pPr>
      <w:r w:rsidRPr="00ED7E61">
        <w:t>Not currently available.</w:t>
      </w:r>
    </w:p>
    <w:p w14:paraId="66C7BC4A"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178F498A" w14:textId="77777777" w:rsidR="0081052F" w:rsidRPr="00ED7E61" w:rsidRDefault="0081052F" w:rsidP="00B10F0C">
      <w:pPr>
        <w:pStyle w:val="CBDNormalNumber"/>
        <w:numPr>
          <w:ilvl w:val="0"/>
          <w:numId w:val="63"/>
        </w:numPr>
        <w:ind w:left="567" w:firstLine="0"/>
      </w:pPr>
      <w:r w:rsidRPr="00ED7E61">
        <w:t xml:space="preserve">Parties should report the data directly. </w:t>
      </w:r>
    </w:p>
    <w:p w14:paraId="6F04E0C3"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92F8A6F" w14:textId="77777777" w:rsidR="0081052F" w:rsidRPr="00ED7E61" w:rsidRDefault="0081052F" w:rsidP="00B10F0C">
      <w:pPr>
        <w:pStyle w:val="CBDNormalNumber"/>
        <w:numPr>
          <w:ilvl w:val="0"/>
          <w:numId w:val="63"/>
        </w:numPr>
        <w:ind w:left="567" w:firstLine="0"/>
      </w:pPr>
      <w:r w:rsidRPr="00ED7E61">
        <w:t xml:space="preserve">At the global level, the Secretariat of the Convention on Biological Diversity will compile the data. </w:t>
      </w:r>
    </w:p>
    <w:p w14:paraId="1FDE85E4"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52D359E9" w14:textId="1938755D" w:rsidR="0025590A" w:rsidRPr="00ED7E61" w:rsidRDefault="0025590A" w:rsidP="00B10F0C">
      <w:pPr>
        <w:pStyle w:val="CBDNormalNumber"/>
        <w:numPr>
          <w:ilvl w:val="0"/>
          <w:numId w:val="63"/>
        </w:numPr>
        <w:ind w:left="567" w:firstLine="0"/>
      </w:pPr>
      <w:r w:rsidRPr="00ED7E61">
        <w:t>As mentioned above national data compilation for bilateral benefit-sharing may be challenging due to the existing systems for recording data, confidentiality issues and national capacity and given that the collection of benefit-sharing data was not mandatory or foreseen under the Nagoya Protocol</w:t>
      </w:r>
    </w:p>
    <w:p w14:paraId="091FA0BA"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1D65C16F" w14:textId="741DD159" w:rsidR="0081052F" w:rsidRPr="00ED7E61" w:rsidRDefault="0081052F" w:rsidP="00B10F0C">
      <w:pPr>
        <w:pStyle w:val="CBDNormalNumber"/>
        <w:numPr>
          <w:ilvl w:val="0"/>
          <w:numId w:val="63"/>
        </w:numPr>
        <w:ind w:left="567" w:firstLine="0"/>
      </w:pPr>
      <w:r w:rsidRPr="00ED7E61">
        <w:t xml:space="preserve">Missing data should not be </w:t>
      </w:r>
      <w:r w:rsidR="0025590A" w:rsidRPr="00ED7E61">
        <w:t>included</w:t>
      </w:r>
      <w:r w:rsidRPr="00ED7E61">
        <w:t>.</w:t>
      </w:r>
    </w:p>
    <w:p w14:paraId="63BA8C33"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06A1684F" w14:textId="77777777"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792B41C3"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0B86D658"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National</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4ED9B53A" w14:textId="77777777" w:rsidR="0081052F" w:rsidRPr="00ED7E61" w:rsidRDefault="0081052F" w:rsidP="00B10F0C">
      <w:pPr>
        <w:pStyle w:val="CBDNormalNumber"/>
        <w:numPr>
          <w:ilvl w:val="0"/>
          <w:numId w:val="63"/>
        </w:numPr>
        <w:ind w:left="567" w:firstLine="0"/>
      </w:pPr>
      <w:r w:rsidRPr="00ED7E61">
        <w:t>Scale of data disaggregation/aggregation:  </w:t>
      </w:r>
    </w:p>
    <w:p w14:paraId="110A41F2" w14:textId="77777777" w:rsidR="0081052F" w:rsidRPr="00ED7E61" w:rsidRDefault="0081052F" w:rsidP="00B10F0C">
      <w:pPr>
        <w:pStyle w:val="CBDNormalNumber"/>
        <w:numPr>
          <w:ilvl w:val="1"/>
          <w:numId w:val="6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Global/ regional scale indicator can be disaggregated to national level: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5190AC84" w14:textId="77777777" w:rsidR="0081052F" w:rsidRPr="00ED7E61" w:rsidRDefault="0081052F" w:rsidP="00B10F0C">
      <w:pPr>
        <w:pStyle w:val="CBDNormalNumber"/>
        <w:numPr>
          <w:ilvl w:val="1"/>
          <w:numId w:val="6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National data is collated to form global indicator: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3637285C" w14:textId="77777777" w:rsidR="0081052F" w:rsidRPr="00ED7E61" w:rsidRDefault="0081052F" w:rsidP="00B10F0C">
      <w:pPr>
        <w:pStyle w:val="CBDNormalNumber"/>
        <w:numPr>
          <w:ilvl w:val="0"/>
          <w:numId w:val="63"/>
        </w:numPr>
        <w:ind w:left="567" w:firstLine="0"/>
      </w:pPr>
      <w:r w:rsidRPr="00ED7E61">
        <w:t>The indicator is available for use at the national, regional and global level. It should be noted that national data would be aggregated in USD.</w:t>
      </w:r>
    </w:p>
    <w:p w14:paraId="7D14142E"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065722D9" w14:textId="77777777" w:rsidR="0081052F" w:rsidRPr="00ED7E61" w:rsidRDefault="0081052F" w:rsidP="00B10F0C">
      <w:pPr>
        <w:pStyle w:val="CBDNormalNumber"/>
        <w:numPr>
          <w:ilvl w:val="0"/>
          <w:numId w:val="63"/>
        </w:numPr>
        <w:ind w:left="567" w:firstLine="0"/>
        <w:rPr>
          <w:rFonts w:asciiTheme="majorBidi" w:hAnsiTheme="majorBidi" w:cstheme="majorBidi"/>
        </w:rPr>
      </w:pPr>
      <w:r w:rsidRPr="00ED7E61">
        <w:t>This data would be compiled and reported at the national level.</w:t>
      </w:r>
    </w:p>
    <w:p w14:paraId="57E0954E"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5DCCAD32" w14:textId="77777777" w:rsidR="0081052F" w:rsidRPr="00ED7E61" w:rsidRDefault="0081052F" w:rsidP="00B3383B">
      <w:pPr>
        <w:pStyle w:val="CBDNormalNumber"/>
        <w:numPr>
          <w:ilvl w:val="0"/>
          <w:numId w:val="0"/>
        </w:numPr>
        <w:ind w:left="567"/>
      </w:pPr>
      <w:r w:rsidRPr="00ED7E61">
        <w:t>NA</w:t>
      </w:r>
    </w:p>
    <w:p w14:paraId="101D4B88"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4EE75741" w14:textId="77777777" w:rsidR="0081052F" w:rsidRPr="00ED7E61" w:rsidRDefault="0081052F" w:rsidP="00B10F0C">
      <w:pPr>
        <w:pStyle w:val="CBDNormalNumber"/>
        <w:numPr>
          <w:ilvl w:val="0"/>
          <w:numId w:val="63"/>
        </w:numPr>
        <w:ind w:left="567" w:firstLine="0"/>
      </w:pPr>
      <w:r w:rsidRPr="00ED7E61">
        <w:t>Regional and global data would be the aggregate of national data in United States dollars. Missing data would not be estimated in developing the regional or global figures.</w:t>
      </w:r>
    </w:p>
    <w:p w14:paraId="1C0B30F5" w14:textId="62E70254"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w:t>
      </w:r>
      <w:r w:rsidR="00B10F0C">
        <w:rPr>
          <w:rStyle w:val="normaltextrun"/>
          <w:rFonts w:asciiTheme="majorBidi" w:eastAsiaTheme="majorEastAsia" w:hAnsiTheme="majorBidi" w:cstheme="majorBidi"/>
          <w:b/>
          <w:bCs/>
          <w:sz w:val="22"/>
          <w:szCs w:val="22"/>
        </w:rPr>
        <w:t>z</w:t>
      </w:r>
      <w:r w:rsidRPr="00ED7E61">
        <w:rPr>
          <w:rStyle w:val="normaltextrun"/>
          <w:rFonts w:asciiTheme="majorBidi" w:eastAsiaTheme="majorEastAsia" w:hAnsiTheme="majorBidi" w:cstheme="majorBidi"/>
          <w:b/>
          <w:bCs/>
          <w:sz w:val="22"/>
          <w:szCs w:val="22"/>
        </w:rPr>
        <w:t>ations</w:t>
      </w:r>
      <w:r w:rsidRPr="00ED7E61">
        <w:rPr>
          <w:rStyle w:val="eop"/>
          <w:rFonts w:asciiTheme="majorBidi" w:eastAsiaTheme="majorEastAsia" w:hAnsiTheme="majorBidi" w:cstheme="majorBidi"/>
          <w:sz w:val="22"/>
          <w:szCs w:val="22"/>
        </w:rPr>
        <w:t> </w:t>
      </w:r>
    </w:p>
    <w:p w14:paraId="7461E065" w14:textId="77777777"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191A4AF1" w14:textId="53513E23" w:rsidR="0025590A" w:rsidRPr="00ED7E61" w:rsidRDefault="0025590A" w:rsidP="00B10F0C">
      <w:pPr>
        <w:pStyle w:val="CBDNormalNumber"/>
        <w:numPr>
          <w:ilvl w:val="0"/>
          <w:numId w:val="63"/>
        </w:numPr>
        <w:ind w:left="567" w:firstLine="0"/>
      </w:pPr>
      <w:r w:rsidRPr="00ED7E61">
        <w:t xml:space="preserve">This data may also be reported in the national reports under the Nagoya Protocol on Access and Benefit-sharing and data sources to be identified, for the International Treaty on Plant Genetic Resources for Food and Agriculture and other multilateral mechanisms on ABS (such as </w:t>
      </w:r>
      <w:r w:rsidR="006B30FE">
        <w:t>Digital Sequence Information</w:t>
      </w:r>
      <w:r w:rsidRPr="00ED7E61">
        <w:t>, BBNJ and others) for the Parties to such instruments.</w:t>
      </w:r>
    </w:p>
    <w:p w14:paraId="6AB737E4"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0DDA82B1" w14:textId="7851B967" w:rsidR="0081052F" w:rsidRPr="00ED7E61" w:rsidRDefault="0081052F" w:rsidP="00B3383B">
      <w:pPr>
        <w:pStyle w:val="CBDNormalNumber"/>
        <w:numPr>
          <w:ilvl w:val="0"/>
          <w:numId w:val="0"/>
        </w:numPr>
        <w:ind w:left="567"/>
        <w:rPr>
          <w:rStyle w:val="normaltextrun"/>
          <w:rFonts w:asciiTheme="majorBidi" w:eastAsiaTheme="majorEastAsia" w:hAnsiTheme="majorBidi" w:cstheme="majorBidi"/>
          <w:b/>
          <w:bCs/>
        </w:rPr>
      </w:pPr>
      <w:r w:rsidRPr="00ED7E61">
        <w:rPr>
          <w:rStyle w:val="contentcontrolboundarysink"/>
          <w:rFonts w:asciiTheme="majorBidi" w:hAnsiTheme="majorBidi" w:cstheme="majorBidi"/>
        </w:rPr>
        <w:t>​​</w:t>
      </w:r>
      <w:r w:rsidRPr="00ED7E61">
        <w:rPr>
          <w:rStyle w:val="normaltextrun"/>
          <w:rFonts w:asciiTheme="majorBidi" w:eastAsiaTheme="majorEastAsia" w:hAnsiTheme="majorBidi" w:cstheme="majorBidi"/>
        </w:rPr>
        <w:t xml:space="preserve"> </w:t>
      </w:r>
      <w:r w:rsidRPr="00ED7E61">
        <w:t xml:space="preserve">No </w:t>
      </w:r>
    </w:p>
    <w:p w14:paraId="12D471D5" w14:textId="5E79C492"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7D3CD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Pr="00ED7E61">
        <w:rPr>
          <w:rStyle w:val="eop"/>
          <w:rFonts w:asciiTheme="majorBidi" w:eastAsiaTheme="majorEastAsia" w:hAnsiTheme="majorBidi" w:cstheme="majorBidi"/>
          <w:sz w:val="22"/>
          <w:szCs w:val="22"/>
        </w:rPr>
        <w:t> </w:t>
      </w:r>
    </w:p>
    <w:p w14:paraId="096F9DF7" w14:textId="1A11EDCF" w:rsidR="0081052F" w:rsidRPr="00B3383B" w:rsidRDefault="0025590A" w:rsidP="00B10F0C">
      <w:pPr>
        <w:pStyle w:val="CBDNormalNumber"/>
        <w:numPr>
          <w:ilvl w:val="0"/>
          <w:numId w:val="63"/>
        </w:numPr>
        <w:ind w:left="567" w:firstLine="0"/>
        <w:rPr>
          <w:rFonts w:asciiTheme="majorBidi" w:hAnsiTheme="majorBidi" w:cstheme="majorBidi"/>
        </w:rPr>
      </w:pPr>
      <w:r w:rsidRPr="00ED7E61">
        <w:t xml:space="preserve">Countries should be able to disaggregate the information by monetary benefits received by different beneficiaries recognized in their national legislation and report on benefits received by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 xml:space="preserve">ommunities </w:t>
      </w:r>
      <w:r w:rsidRPr="00ED7E61">
        <w:t>and by ABS instrument</w:t>
      </w:r>
    </w:p>
    <w:p w14:paraId="1A0BD14B"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5268E570" w14:textId="331F7191" w:rsidR="0081052F" w:rsidRPr="00ED7E61" w:rsidRDefault="0081052F" w:rsidP="00B10F0C">
      <w:pPr>
        <w:pStyle w:val="CBDNormalNumber"/>
        <w:numPr>
          <w:ilvl w:val="0"/>
          <w:numId w:val="63"/>
        </w:numPr>
        <w:ind w:left="567" w:firstLine="0"/>
      </w:pPr>
      <w:r w:rsidRPr="00ED7E61">
        <w:t xml:space="preserve">This indicator has linkages across the framework, including with Target </w:t>
      </w:r>
      <w:r w:rsidR="004518E1" w:rsidRPr="00ED7E61">
        <w:t xml:space="preserve">15, 19 and </w:t>
      </w:r>
      <w:r w:rsidRPr="00ED7E61">
        <w:t xml:space="preserve">22. </w:t>
      </w:r>
    </w:p>
    <w:p w14:paraId="1D36E690"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5E37D2DD" w14:textId="3CDCE5E8"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FC7747">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1EA15D1A" w14:textId="77777777" w:rsidR="0081052F" w:rsidRPr="00ED7E61" w:rsidRDefault="0081052F" w:rsidP="00B3383B">
      <w:pPr>
        <w:pStyle w:val="CBDNormalNumber"/>
        <w:numPr>
          <w:ilvl w:val="0"/>
          <w:numId w:val="0"/>
        </w:numPr>
        <w:ind w:left="567"/>
      </w:pPr>
      <w:r w:rsidRPr="00ED7E61">
        <w:t>SCBD</w:t>
      </w:r>
    </w:p>
    <w:p w14:paraId="2F7D68BE"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792800A2" w14:textId="77777777" w:rsidR="0081052F" w:rsidRPr="00ED7E61" w:rsidRDefault="0081052F" w:rsidP="00B3383B">
      <w:pPr>
        <w:pStyle w:val="CBDNormalNumber"/>
        <w:numPr>
          <w:ilvl w:val="0"/>
          <w:numId w:val="0"/>
        </w:numPr>
        <w:ind w:left="567"/>
      </w:pPr>
      <w:r w:rsidRPr="00ED7E61">
        <w:t>Jillian Campbell, SCBD, cambell7@un.org</w:t>
      </w:r>
    </w:p>
    <w:p w14:paraId="0EAD4F39" w14:textId="438DB8C1" w:rsidR="0081052F" w:rsidRPr="00ED7E61" w:rsidRDefault="0081052F" w:rsidP="00B3383B">
      <w:pPr>
        <w:pStyle w:val="CBDNormalNumber"/>
        <w:numPr>
          <w:ilvl w:val="0"/>
          <w:numId w:val="0"/>
        </w:numPr>
        <w:ind w:left="567"/>
        <w:rPr>
          <w:lang w:val="es-ES"/>
        </w:rPr>
      </w:pPr>
      <w:r w:rsidRPr="00ED7E61">
        <w:rPr>
          <w:lang w:val="es-ES"/>
        </w:rPr>
        <w:t xml:space="preserve">Beatriz Gomez, SCBD, beatriz.gomez@un.org </w:t>
      </w:r>
    </w:p>
    <w:p w14:paraId="6C5ADAAF" w14:textId="726012B9" w:rsidR="00605E72" w:rsidRPr="00FB1598" w:rsidRDefault="00605E72" w:rsidP="00B3383B">
      <w:pPr>
        <w:pStyle w:val="CBDNormalNumber"/>
        <w:numPr>
          <w:ilvl w:val="0"/>
          <w:numId w:val="0"/>
        </w:numPr>
        <w:ind w:left="567"/>
        <w:rPr>
          <w:rStyle w:val="normaltextrun"/>
          <w:rFonts w:asciiTheme="majorBidi" w:eastAsiaTheme="majorEastAsia" w:hAnsiTheme="majorBidi" w:cstheme="majorBidi"/>
        </w:rPr>
      </w:pPr>
      <w:r w:rsidRPr="00FB1598">
        <w:rPr>
          <w:lang w:val="en-CA"/>
        </w:rPr>
        <w:t xml:space="preserve">Alvaro Toledo, </w:t>
      </w:r>
      <w:r w:rsidR="006B30FE">
        <w:rPr>
          <w:rStyle w:val="normaltextrun"/>
          <w:rFonts w:eastAsiaTheme="majorEastAsia"/>
        </w:rPr>
        <w:t>I</w:t>
      </w:r>
      <w:r w:rsidR="006B30FE" w:rsidRPr="003D4EC6">
        <w:rPr>
          <w:rStyle w:val="normaltextrun"/>
          <w:rFonts w:eastAsiaTheme="majorEastAsia"/>
        </w:rPr>
        <w:t>nternational Treaty on Plant Genetic Resources for Food and Agriculture</w:t>
      </w:r>
      <w:r w:rsidR="006B30FE" w:rsidRPr="00FB1598" w:rsidDel="006B30FE">
        <w:rPr>
          <w:lang w:val="en-CA"/>
        </w:rPr>
        <w:t xml:space="preserve"> </w:t>
      </w:r>
      <w:r w:rsidRPr="00FB1598">
        <w:rPr>
          <w:lang w:val="en-CA"/>
        </w:rPr>
        <w:t xml:space="preserve">Secretariat, alvaro.toledo@fao.org  </w:t>
      </w:r>
    </w:p>
    <w:p w14:paraId="06C3C2F4" w14:textId="6218CC1A"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lang w:val="en-US"/>
        </w:rPr>
      </w:pPr>
      <w:r w:rsidRPr="00ED7E61">
        <w:rPr>
          <w:rStyle w:val="normaltextrun"/>
          <w:rFonts w:asciiTheme="majorBidi" w:eastAsiaTheme="majorEastAsia" w:hAnsiTheme="majorBidi" w:cstheme="majorBidi"/>
          <w:b/>
          <w:bCs/>
          <w:sz w:val="22"/>
          <w:szCs w:val="22"/>
          <w:lang w:val="en-US"/>
        </w:rPr>
        <w:t>11. References</w:t>
      </w:r>
      <w:r w:rsidRPr="00ED7E61">
        <w:rPr>
          <w:rStyle w:val="eop"/>
          <w:rFonts w:asciiTheme="majorBidi" w:eastAsiaTheme="majorEastAsia" w:hAnsiTheme="majorBidi" w:cstheme="majorBidi"/>
          <w:sz w:val="22"/>
          <w:szCs w:val="22"/>
          <w:lang w:val="en-US"/>
        </w:rPr>
        <w:t> </w:t>
      </w:r>
    </w:p>
    <w:p w14:paraId="1F1AB4FA" w14:textId="77777777" w:rsidR="0081052F" w:rsidRPr="00ED7E61" w:rsidRDefault="0081052F" w:rsidP="00B3383B">
      <w:pPr>
        <w:pStyle w:val="CBDNormalNumber"/>
        <w:numPr>
          <w:ilvl w:val="0"/>
          <w:numId w:val="0"/>
        </w:numPr>
        <w:ind w:left="567"/>
      </w:pPr>
      <w:r w:rsidRPr="00ED7E61">
        <w:t>United Nations Environment Programme. Convention on biological diversity [Internet]. 1992. Available from: https://wedocs.unep.org/20.500.11822/8340</w:t>
      </w:r>
    </w:p>
    <w:p w14:paraId="5E9DA659" w14:textId="77777777" w:rsidR="0081052F" w:rsidRPr="00ED7E61" w:rsidRDefault="0081052F" w:rsidP="00B3383B">
      <w:pPr>
        <w:pStyle w:val="CBDNormalNumber"/>
        <w:numPr>
          <w:ilvl w:val="0"/>
          <w:numId w:val="0"/>
        </w:numPr>
        <w:ind w:left="567"/>
      </w:pPr>
      <w:r w:rsidRPr="00ED7E61">
        <w:t>Conference of the Parties to the Convention on Biological Diversity. Access and benefit-sharing as related to genetic resources. In: UN Doc [Internet]. COP 6 Decision VI/24; 2002. Available from: https://www.cbd.int/decision/cop/?id=7198</w:t>
      </w:r>
    </w:p>
    <w:p w14:paraId="610381C4" w14:textId="77777777" w:rsidR="0081052F" w:rsidRPr="00ED7E61" w:rsidRDefault="0081052F" w:rsidP="00B3383B">
      <w:pPr>
        <w:pStyle w:val="CBDNormalNumber"/>
        <w:numPr>
          <w:ilvl w:val="0"/>
          <w:numId w:val="0"/>
        </w:numPr>
        <w:ind w:left="567"/>
      </w:pPr>
      <w:r w:rsidRPr="00ED7E61">
        <w:t>Conference of the Parties to the Convention on Biological Diversity. Nagoya Protocol on Access to Genetic Resources and the Fair and Equitable Sharing of Benefits Arising from their Utilization to the Convention on Biological Diversity: Text and Annex [Internet]. 2011. Available from: https://wedocs.unep.org/20.500.11822/27555</w:t>
      </w:r>
    </w:p>
    <w:p w14:paraId="5E962972" w14:textId="77777777" w:rsidR="0081052F" w:rsidRPr="00ED7E61" w:rsidRDefault="0081052F" w:rsidP="00B3383B">
      <w:pPr>
        <w:pStyle w:val="CBDNormalNumber"/>
        <w:numPr>
          <w:ilvl w:val="0"/>
          <w:numId w:val="0"/>
        </w:numPr>
        <w:ind w:left="567"/>
      </w:pPr>
      <w:r w:rsidRPr="00ED7E61">
        <w:t>Food and Agriculture Organization of the United Nations. International Treaty on Plant Genetic Resources for Food and Agriculture [Internet]. 2001. Available from: https://www.fao.org/plant-treaty/overview/texts-treaty/en/</w:t>
      </w:r>
    </w:p>
    <w:p w14:paraId="41C0F42C" w14:textId="77777777" w:rsidR="0081052F" w:rsidRPr="00ED7E61" w:rsidRDefault="0081052F" w:rsidP="00B3383B">
      <w:pPr>
        <w:pStyle w:val="CBDNormalNumber"/>
        <w:numPr>
          <w:ilvl w:val="0"/>
          <w:numId w:val="0"/>
        </w:numPr>
        <w:ind w:left="567"/>
      </w:pPr>
      <w:r w:rsidRPr="00ED7E61">
        <w:t>Food and Agriculture Organization of the United Nations. The Standard Material Transfer Agreement. In: FAO Doc [Internet]. RESOLUTION 2/2006; 2006. Available from: https://www.fao.org/3/be006e/be006e.pdf</w:t>
      </w:r>
    </w:p>
    <w:p w14:paraId="22641C32" w14:textId="77777777" w:rsidR="0081052F" w:rsidRPr="00ED7E61" w:rsidRDefault="0081052F" w:rsidP="00B3383B">
      <w:pPr>
        <w:pStyle w:val="CBDNormalNumber"/>
        <w:numPr>
          <w:ilvl w:val="0"/>
          <w:numId w:val="0"/>
        </w:numPr>
        <w:ind w:left="567"/>
      </w:pPr>
      <w:r w:rsidRPr="00ED7E61">
        <w:t>Conference of the Parties to the Convention on Biological Diversity. Kunming-Montreal Global Biodiversity Framework. In: UN Doc [Internet]. CBD/COP/DEC/15/4; 2022. Available from: https://www.cbd.int/doc/decisions/cop-15/cop-15-dec-04-en.pdf</w:t>
      </w:r>
    </w:p>
    <w:p w14:paraId="759A6654" w14:textId="77777777" w:rsidR="0081052F" w:rsidRPr="00ED7E61" w:rsidRDefault="0081052F" w:rsidP="00B3383B">
      <w:pPr>
        <w:pStyle w:val="CBDNormalNumber"/>
        <w:numPr>
          <w:ilvl w:val="0"/>
          <w:numId w:val="0"/>
        </w:numPr>
        <w:ind w:left="567"/>
      </w:pPr>
      <w:r w:rsidRPr="00ED7E61">
        <w:t>Conference of the Parties to the Convention on Biological Diversity. Digital sequence information on genetic resources. In: UN Doc [Internet]. CBD/COP/DEC/15/9; 2022. Available from: https://www.cbd.int/doc/decisions/cop-15/cop-15-dec-09-en.pdf</w:t>
      </w:r>
    </w:p>
    <w:p w14:paraId="3F549F40" w14:textId="77777777" w:rsidR="0081052F" w:rsidRPr="00ED7E61" w:rsidRDefault="0081052F" w:rsidP="00B3383B">
      <w:pPr>
        <w:pStyle w:val="CBDNormalNumber"/>
        <w:numPr>
          <w:ilvl w:val="0"/>
          <w:numId w:val="0"/>
        </w:numPr>
        <w:ind w:left="567"/>
      </w:pPr>
      <w:r w:rsidRPr="00ED7E61">
        <w:t>Conference of the Parties to the Convention on Biological Diversity. Monitoring framework for the Kunming-Montreal Global Biodiversity Framework. In: UN Doc [Internet]. CBD/COP/DEC/15/5; 2022. Available from: https://www.cbd.int/doc/decisions/cop-15/cop-15-dec-05-en.pdf</w:t>
      </w:r>
    </w:p>
    <w:p w14:paraId="2C6E221C" w14:textId="77777777" w:rsidR="0081052F" w:rsidRPr="00ED7E61" w:rsidRDefault="0081052F" w:rsidP="00B3383B">
      <w:pPr>
        <w:pStyle w:val="CBDNormalNumber"/>
        <w:numPr>
          <w:ilvl w:val="0"/>
          <w:numId w:val="0"/>
        </w:numPr>
        <w:ind w:left="567"/>
      </w:pPr>
      <w:r w:rsidRPr="00ED7E61">
        <w:t>Subsidiary Body on Scientific, Technical and, Subsidiary Body on Scientific, Technical and Technological Advice, Conference of the Parties to the Convention on Biological Diversity. 25/1. Monitoring framework for the Kunming-Montreal Global Biodiversity Framework. In: UN Doc [Internet]. 1/14 CBD/SBSTTA/REC/25/1; 2023. Available from: https://www.cbd.int/doc/recommendations/sbstta-25/sbstta-25-rec-01-en.pdf</w:t>
      </w:r>
    </w:p>
    <w:p w14:paraId="181F4711" w14:textId="77777777" w:rsidR="0081052F" w:rsidRPr="00ED7E61" w:rsidRDefault="0081052F" w:rsidP="00B3383B">
      <w:pPr>
        <w:pStyle w:val="CBDNormalNumber"/>
        <w:numPr>
          <w:ilvl w:val="0"/>
          <w:numId w:val="0"/>
        </w:numPr>
        <w:ind w:left="567"/>
      </w:pPr>
      <w:r w:rsidRPr="00ED7E61">
        <w:t>United Nations. Sustainable development: Convention on Biological Diversity - Resolution adopted by the General Assembly on 19 December 2023. In: UN Doc [Internet]. A/RES/78/155; 2023. Available from: https://www.undocs.org/Home/Mobile?FinalSymbol=A%2FRES%2F78%2F155&amp;Language=E&amp;DeviceType=Desktop&amp;LangRequested=False</w:t>
      </w:r>
    </w:p>
    <w:p w14:paraId="02F6282D" w14:textId="77777777" w:rsidR="0081052F" w:rsidRPr="00ED7E61" w:rsidRDefault="0081052F" w:rsidP="00B3383B">
      <w:pPr>
        <w:pStyle w:val="CBDNormalNumber"/>
        <w:numPr>
          <w:ilvl w:val="0"/>
          <w:numId w:val="0"/>
        </w:numPr>
        <w:ind w:left="567"/>
      </w:pPr>
      <w:r w:rsidRPr="00ED7E61">
        <w:t>World Health Organization. Bureau’s text of the WHO convention, agreement or other international instrument on pandemic prevention, preparedness and response (WHO CA+) [Internet]. A/INB/5/6; 2023. Available from: https://apps.who.int/gb/inb/pdf_files/inb5/A_INB5_6-en.pdf</w:t>
      </w:r>
    </w:p>
    <w:p w14:paraId="38700763" w14:textId="77777777" w:rsidR="0081052F" w:rsidRPr="00ED7E61" w:rsidRDefault="0081052F" w:rsidP="00B3383B">
      <w:pPr>
        <w:pStyle w:val="CBDNormalNumber"/>
        <w:numPr>
          <w:ilvl w:val="0"/>
          <w:numId w:val="0"/>
        </w:numPr>
        <w:ind w:left="567"/>
      </w:pPr>
      <w:r w:rsidRPr="00ED7E61">
        <w:t xml:space="preserve">Secretariat of the Convention on Biological Diversity. NOTIFICATION - Survey on indicators on access and benefit-sharing for the Kunming-Montreal Global Biodiversity Framework. </w:t>
      </w:r>
      <w:r w:rsidRPr="00ED7E61">
        <w:rPr>
          <w:lang w:val="fr-FR"/>
        </w:rPr>
        <w:t xml:space="preserve">In: UN Doc [Internet]. SCBD/NPU/DC/TS/BG/RKi/91289; 2023. </w:t>
      </w:r>
      <w:r w:rsidRPr="00ED7E61">
        <w:t>Available from: https://www.cbd.int/doc/notifications/2023/ntf-2023-103-abs-en.pdf</w:t>
      </w:r>
    </w:p>
    <w:p w14:paraId="3CD82DEB" w14:textId="77777777" w:rsidR="0081052F" w:rsidRPr="00ED7E61" w:rsidRDefault="0081052F" w:rsidP="00B3383B">
      <w:pPr>
        <w:pStyle w:val="CBDNormalNumber"/>
        <w:numPr>
          <w:ilvl w:val="0"/>
          <w:numId w:val="0"/>
        </w:numPr>
        <w:ind w:left="567"/>
      </w:pPr>
      <w:r w:rsidRPr="00ED7E61">
        <w:t xml:space="preserve">Greiber T. An Explanatory Guide to the Nagoya Protocol on Access and Benefit-sharing. IUCN; 2012. 395 p. </w:t>
      </w:r>
    </w:p>
    <w:p w14:paraId="4C666FC1" w14:textId="77777777" w:rsidR="0081052F" w:rsidRPr="00ED7E61" w:rsidRDefault="0081052F" w:rsidP="00B3383B">
      <w:pPr>
        <w:pStyle w:val="CBDNormalNumber"/>
        <w:numPr>
          <w:ilvl w:val="0"/>
          <w:numId w:val="0"/>
        </w:numPr>
        <w:ind w:left="567"/>
      </w:pPr>
      <w:r w:rsidRPr="00ED7E61">
        <w:t>Conference of the Parties to the Convention on Biological Diversity. NP-1/3. Monitoring and reporting (Article 29). In: UN Doc [Internet]. UNEP/CBD/NP/COP-MOP/DEC/1/3; 2014. Available from: https://www.cbd.int/doc/decisions/np-mop-01/np-mop-01-dec-03-en.pdf</w:t>
      </w:r>
    </w:p>
    <w:p w14:paraId="10DA21B9" w14:textId="77777777" w:rsidR="0081052F" w:rsidRPr="00ED7E61" w:rsidRDefault="0081052F" w:rsidP="00B3383B">
      <w:pPr>
        <w:pStyle w:val="CBDNormalNumber"/>
        <w:numPr>
          <w:ilvl w:val="0"/>
          <w:numId w:val="0"/>
        </w:numPr>
        <w:ind w:left="567"/>
      </w:pPr>
      <w:r w:rsidRPr="00ED7E61">
        <w:t>Conference of the Parties to the Convention on Biological Diversity. NP-3/4. Monitoring and reporting (Article 29). In: UN Doc [Internet]. CBD/NP/MOP/DEC/3/4; 2018. Available from: https://www.cbd.int/doc/decisions/np-mop-03/np-mop-03-dec-04-en.pdf</w:t>
      </w:r>
    </w:p>
    <w:p w14:paraId="1B4C6B2F" w14:textId="77777777" w:rsidR="0081052F" w:rsidRPr="00ED7E61" w:rsidRDefault="0081052F" w:rsidP="00B3383B">
      <w:pPr>
        <w:pStyle w:val="CBDNormalNumber"/>
        <w:numPr>
          <w:ilvl w:val="0"/>
          <w:numId w:val="0"/>
        </w:numPr>
        <w:ind w:left="567"/>
      </w:pPr>
      <w:r w:rsidRPr="00ED7E61">
        <w:t>Conference of the Parties to the Convention on Biological Diversity. DECISION ADOPTED BY THE PARTIES TO THE NAGOYA PROTOCOL ON ACCESS AND BENEFIT-SHARING, NP-4/3. Monitoring and reporting (Article 29). In: UN Doc [Internet]. CBD/NP/MOP/DEC/4/3; 2022. Available from: https://www.cbd.int/doc/decisions/np-mop-04/np-mop-04-dec-03-en.pdf</w:t>
      </w:r>
    </w:p>
    <w:p w14:paraId="5DB8ADA8" w14:textId="77777777" w:rsidR="0081052F" w:rsidRPr="00ED7E61" w:rsidRDefault="0081052F" w:rsidP="00B3383B">
      <w:pPr>
        <w:pStyle w:val="CBDNormalNumber"/>
        <w:numPr>
          <w:ilvl w:val="0"/>
          <w:numId w:val="0"/>
        </w:numPr>
        <w:ind w:left="567"/>
      </w:pPr>
      <w:r w:rsidRPr="00ED7E61">
        <w:t>Conference of the Parties to the Convention on Biological Diversity. DECISION ADOPTED BY THE CONFERENCE OF THE PARTIES TO THE CONVENTION ON BIOLOGICAL DIVERSITY, IX/14. Technology transfer and cooperation. In: UN Doc [Internet]. UNEP/CBD/COP/DEC/IX/14; 2008. Available from: https://www.cbd.int/doc/decisions/cop-09/cop-09-dec-14-en.pdf</w:t>
      </w:r>
    </w:p>
    <w:p w14:paraId="10EB0018" w14:textId="77777777" w:rsidR="0081052F" w:rsidRPr="00ED7E61" w:rsidRDefault="0081052F" w:rsidP="00B3383B">
      <w:pPr>
        <w:pStyle w:val="CBDNormalNumber"/>
        <w:numPr>
          <w:ilvl w:val="0"/>
          <w:numId w:val="0"/>
        </w:numPr>
        <w:ind w:left="567"/>
      </w:pPr>
      <w:r w:rsidRPr="00ED7E61">
        <w:t xml:space="preserve">Ebert AW, Engels JMM, Schafleitner R, Hintum T van, Mwila G. Critical Review of the Increasing Complexity of Access and Benefit-Sharing Policies of Genetic Resources for Genebank Curators and Plant Breeders–A Public and Private Sector Perspective. Plants. 2023 Aug;12(16):2992. </w:t>
      </w:r>
    </w:p>
    <w:p w14:paraId="226F4813" w14:textId="77777777" w:rsidR="0081052F" w:rsidRPr="00ED7E61" w:rsidRDefault="0081052F" w:rsidP="00B3383B">
      <w:pPr>
        <w:pStyle w:val="CBDNormalNumber"/>
        <w:numPr>
          <w:ilvl w:val="0"/>
          <w:numId w:val="0"/>
        </w:numPr>
        <w:ind w:left="567"/>
      </w:pPr>
      <w:r w:rsidRPr="00ED7E61">
        <w:t>Conference of the Parties to the Convention on Biological Diversity. DECISION ADOPTED BY THE CONFERENCE OF THE PARTIES TO THE CONVENTION ON BIOLOGICAL DIVERSITY, 15/6. Mechanisms for planning, monitoring, reporting and review. In: UN Doc [Internet]. CBD/COP/DEC/15/6; 2022. Available from: https://www.cbd.int/doc/decisions/cop-15/cop-15-dec-06-en.pdf</w:t>
      </w:r>
    </w:p>
    <w:p w14:paraId="222CD2F3" w14:textId="77777777" w:rsidR="0081052F" w:rsidRPr="00ED7E61" w:rsidRDefault="0081052F" w:rsidP="00B3383B">
      <w:pPr>
        <w:pStyle w:val="CBDNormalNumber"/>
        <w:numPr>
          <w:ilvl w:val="0"/>
          <w:numId w:val="0"/>
        </w:numPr>
        <w:ind w:left="567"/>
      </w:pPr>
      <w:r w:rsidRPr="00ED7E61">
        <w:t xml:space="preserve">Scholz AH, Lange M, Habekost P, Oldham P, Cancio I, Cochrane G, et al. Myth-busting the provider-user relationship for digital sequence information. GigaScience. 2021 Dec;10(12). </w:t>
      </w:r>
    </w:p>
    <w:p w14:paraId="2CA58A26" w14:textId="77777777" w:rsidR="0081052F" w:rsidRPr="00ED7E61" w:rsidRDefault="0081052F" w:rsidP="00B3383B">
      <w:pPr>
        <w:pStyle w:val="CBDNormalNumber"/>
        <w:numPr>
          <w:ilvl w:val="0"/>
          <w:numId w:val="0"/>
        </w:numPr>
        <w:ind w:left="567"/>
      </w:pPr>
      <w:r w:rsidRPr="00ED7E61">
        <w:t xml:space="preserve">Sebo P, de Lucia S, Vernaz N. Accuracy of PubMed-based author lists of publications and use of author identifiers to address author name ambiguity: a cross-sectional study. Scientometrics. 2021 Mar;126(5):4121–35. </w:t>
      </w:r>
    </w:p>
    <w:p w14:paraId="65B18D6C" w14:textId="77777777" w:rsidR="0081052F" w:rsidRPr="00ED7E61" w:rsidRDefault="0081052F" w:rsidP="00B3383B">
      <w:pPr>
        <w:pStyle w:val="CBDNormalNumber"/>
        <w:numPr>
          <w:ilvl w:val="0"/>
          <w:numId w:val="0"/>
        </w:numPr>
        <w:ind w:left="567"/>
      </w:pPr>
      <w:r w:rsidRPr="00ED7E61">
        <w:t xml:space="preserve">Rosonovski S, Levchenko M, Bhatnagar R, Chandrasekaran U, Faulk L, Hassan I, et al. Europe PMC in 2023. Nucleic Acids Research. 2023 Nov;52(D1):D1668–76. </w:t>
      </w:r>
    </w:p>
    <w:p w14:paraId="678B5C39" w14:textId="77777777" w:rsidR="0081052F" w:rsidRPr="00ED7E61" w:rsidRDefault="0081052F" w:rsidP="00B3383B">
      <w:pPr>
        <w:pStyle w:val="CBDNormalNumber"/>
        <w:numPr>
          <w:ilvl w:val="0"/>
          <w:numId w:val="0"/>
        </w:numPr>
        <w:ind w:left="567"/>
      </w:pPr>
      <w:r w:rsidRPr="00ED7E61">
        <w:t>Marden E, Abbott RJ, Austerlitz F, Ortiz</w:t>
      </w:r>
      <w:r w:rsidRPr="00ED7E61">
        <w:rPr>
          <w:rFonts w:hint="eastAsia"/>
        </w:rPr>
        <w:t>‐</w:t>
      </w:r>
      <w:r w:rsidRPr="00ED7E61">
        <w:t>Barrientos D, Baucom RS, Bongaerts P, et al. Sharing and reporting benefits from biodiversity research. Molecular Ecology. 2020 Nov;30(5):1103</w:t>
      </w:r>
      <w:r w:rsidRPr="00ED7E61">
        <w:rPr>
          <w:rFonts w:hint="eastAsia"/>
        </w:rPr>
        <w:t>–</w:t>
      </w:r>
      <w:r w:rsidRPr="00ED7E61">
        <w:t xml:space="preserve">7. </w:t>
      </w:r>
    </w:p>
    <w:p w14:paraId="685DD770" w14:textId="77777777" w:rsidR="0081052F" w:rsidRPr="00ED7E61" w:rsidRDefault="0081052F" w:rsidP="00B3383B">
      <w:pPr>
        <w:pStyle w:val="CBDNormalNumber"/>
        <w:numPr>
          <w:ilvl w:val="0"/>
          <w:numId w:val="0"/>
        </w:numPr>
        <w:ind w:left="567"/>
      </w:pPr>
      <w:r w:rsidRPr="00ED7E61">
        <w:t>Food and agriculture organization of the United Nations. Introduction to the international treaty on plant genetic resources for food and agriculture [Internet]. 2011. Available from: http://www.itpgrfa.net/International/sites/default/files/edm1_full_en.pdf</w:t>
      </w:r>
    </w:p>
    <w:p w14:paraId="731ED0A1" w14:textId="77777777" w:rsidR="0081052F" w:rsidRPr="00ED7E61" w:rsidRDefault="0081052F" w:rsidP="00B3383B">
      <w:pPr>
        <w:pStyle w:val="CBDNormalNumber"/>
        <w:numPr>
          <w:ilvl w:val="0"/>
          <w:numId w:val="0"/>
        </w:numPr>
        <w:ind w:left="567"/>
      </w:pPr>
      <w:r w:rsidRPr="00ED7E61">
        <w:t>International Treaty on Plant Genetic Resources for Food and Agriculture. Eighth meeting of the Standing Committee on the Funding Strategy and Resource Mobilization (SFC-8) - Meeting proceedings [Internet]. Food and agriculture organization of the United Nations. Governing Body of the International Treaty on Plant Genetic Resources for Food and Agriculture; 2023. Available from: https://www.fao.org/3/cc8199en/cc8199en.pdf</w:t>
      </w:r>
    </w:p>
    <w:p w14:paraId="0036B4BE" w14:textId="77777777" w:rsidR="0081052F" w:rsidRPr="00ED7E61" w:rsidRDefault="0081052F" w:rsidP="00B3383B">
      <w:pPr>
        <w:pStyle w:val="CBDNormalNumber"/>
        <w:numPr>
          <w:ilvl w:val="0"/>
          <w:numId w:val="0"/>
        </w:numPr>
        <w:ind w:left="567"/>
      </w:pPr>
      <w:r w:rsidRPr="00ED7E61">
        <w:t>International Treaty on Plant Genetic Resources for Food and Agriculture. Implementation of the funding strategy [Internet]. Food and Agriculture Organization. Governing Body of the International Treaty on Plant Genetic Resources for Food and Agriculture; 2023. Available from: https://www.fao.org/3/no028en/no028en.pdf</w:t>
      </w:r>
    </w:p>
    <w:p w14:paraId="4DC08110" w14:textId="77777777" w:rsidR="0081052F" w:rsidRPr="00ED7E61" w:rsidRDefault="0081052F" w:rsidP="00B3383B">
      <w:pPr>
        <w:pStyle w:val="CBDNormalNumber"/>
        <w:numPr>
          <w:ilvl w:val="0"/>
          <w:numId w:val="0"/>
        </w:numPr>
        <w:ind w:left="567"/>
      </w:pPr>
      <w:r w:rsidRPr="00ED7E61">
        <w:t>Food and Agriculture Organization of the United Nations. ITPGRFA TENTH SESSION OF THE GOVERNING BODY - The Benefit-sharing Fund: 2022-2023 Report. In: FAO Doc [Internet]. IT/GB-10/23/10/Inf.1; 2023. Available from: https://www.fao.org/3/cc8470en/cc8470en.pdf</w:t>
      </w:r>
    </w:p>
    <w:p w14:paraId="6D242AD0" w14:textId="77777777" w:rsidR="0081052F" w:rsidRPr="00ED7E61" w:rsidRDefault="0081052F" w:rsidP="00B3383B">
      <w:pPr>
        <w:pStyle w:val="CBDNormalNumber"/>
        <w:numPr>
          <w:ilvl w:val="0"/>
          <w:numId w:val="0"/>
        </w:numPr>
        <w:ind w:left="567"/>
      </w:pPr>
      <w:r w:rsidRPr="00ED7E61">
        <w:t>Galluzzi G, López Noriega I, Halewood M. Non-monetary benefit sharing mechanisms within the projects funded by the Benefit Sharing Fund. International Treaty on Plant Genetic Resources for Food and Agriculture [Internet]. 2014; Available from: https://www.fao.org/publications/card/en/c/84d6161c-0dba-41ab-99eb-3fbb5ba5999f</w:t>
      </w:r>
    </w:p>
    <w:p w14:paraId="1F8B5A49" w14:textId="77777777" w:rsidR="0081052F" w:rsidRPr="00ED7E61" w:rsidRDefault="0081052F" w:rsidP="00B3383B">
      <w:pPr>
        <w:pStyle w:val="CBDNormalNumber"/>
        <w:numPr>
          <w:ilvl w:val="0"/>
          <w:numId w:val="0"/>
        </w:numPr>
        <w:ind w:left="567"/>
      </w:pPr>
      <w:r w:rsidRPr="00ED7E61">
        <w:t xml:space="preserve">Scholz AH, Freitag J, Lyal CHC, Sara R, Cepeda ML, Cancio I, et al. Multilateral benefit-sharing from digital sequence information will support both science and biodiversity conservation. Nat Commun. 2022 Feb 23;13(1):1086. </w:t>
      </w:r>
    </w:p>
    <w:p w14:paraId="40136B93" w14:textId="77777777" w:rsidR="0081052F" w:rsidRPr="00ED7E61" w:rsidRDefault="0081052F" w:rsidP="00B3383B">
      <w:pPr>
        <w:pStyle w:val="CBDNormalNumber"/>
        <w:numPr>
          <w:ilvl w:val="0"/>
          <w:numId w:val="0"/>
        </w:numPr>
        <w:ind w:left="567"/>
      </w:pPr>
      <w:r w:rsidRPr="00ED7E61">
        <w:t>United Nations. Agreement under the United Nations Convention on the Law of the Sea on the Conservation and Sustainable Use of Marine Biological Diversity of Areas beyond National Jurisdiction [Internet]. 2023. Available from: https://wedocs.unep.org/20.500.11822/8340</w:t>
      </w:r>
    </w:p>
    <w:p w14:paraId="5C32C30E" w14:textId="77777777" w:rsidR="002946B5" w:rsidRPr="00ED7E61" w:rsidRDefault="002946B5" w:rsidP="00B10F0C">
      <w:pPr>
        <w:pStyle w:val="CBDNormalNumber"/>
        <w:numPr>
          <w:ilvl w:val="0"/>
          <w:numId w:val="63"/>
        </w:numPr>
        <w:ind w:left="567" w:firstLine="0"/>
        <w:rPr>
          <w:rStyle w:val="normaltextrun"/>
          <w:rFonts w:asciiTheme="majorBidi" w:eastAsiaTheme="majorEastAsia" w:hAnsiTheme="majorBidi" w:cstheme="majorBidi"/>
          <w:b/>
          <w:bCs/>
        </w:rPr>
      </w:pPr>
      <w:r w:rsidRPr="00ED7E61">
        <w:br w:type="page"/>
      </w:r>
    </w:p>
    <w:p w14:paraId="07C71B23" w14:textId="14EC158E" w:rsidR="0081052F" w:rsidRPr="00ED7E61" w:rsidRDefault="0081052F" w:rsidP="00965B3D">
      <w:pPr>
        <w:pStyle w:val="Heading3"/>
      </w:pPr>
      <w:bookmarkStart w:id="35" w:name="_Toc178285850"/>
      <w:r w:rsidRPr="00ED7E61">
        <w:rPr>
          <w:rStyle w:val="normaltextrun"/>
        </w:rPr>
        <w:t>GBF indicator metadata: </w:t>
      </w:r>
      <w:r w:rsidRPr="00ED7E61">
        <w:rPr>
          <w:rStyle w:val="eop"/>
        </w:rPr>
        <w:t>C.2 Non-monetary benefits arising from applicable internationally agreed ABS instruments</w:t>
      </w:r>
      <w:bookmarkEnd w:id="35"/>
      <w:r w:rsidRPr="00ED7E61">
        <w:rPr>
          <w:rStyle w:val="eop"/>
        </w:rPr>
        <w:t xml:space="preserve">  </w:t>
      </w:r>
    </w:p>
    <w:p w14:paraId="7C68CAA1" w14:textId="77777777" w:rsidR="0081052F" w:rsidRPr="00ED7E61" w:rsidRDefault="0081052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5B32762D"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39EC8792"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lang w:val="en-US"/>
        </w:rPr>
        <w:t>C.2 Non-monetary benefits arising from applicable internationally agreed ABS instruments. </w:t>
      </w:r>
      <w:r w:rsidRPr="00ED7E61">
        <w:rPr>
          <w:rStyle w:val="eop"/>
          <w:rFonts w:asciiTheme="majorBidi" w:eastAsiaTheme="majorEastAsia" w:hAnsiTheme="majorBidi" w:cstheme="majorBidi"/>
          <w:color w:val="242424"/>
          <w:sz w:val="22"/>
          <w:szCs w:val="22"/>
        </w:rPr>
        <w:t> </w:t>
      </w:r>
    </w:p>
    <w:p w14:paraId="4219C31B" w14:textId="77777777"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715EBF31" w14:textId="6B7A0D90" w:rsidR="0081052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81052F" w:rsidRPr="00ED7E61">
        <w:rPr>
          <w:rStyle w:val="normaltextrun"/>
          <w:rFonts w:asciiTheme="majorBidi" w:eastAsiaTheme="majorEastAsia" w:hAnsiTheme="majorBidi" w:cstheme="majorBidi"/>
          <w:sz w:val="22"/>
          <w:szCs w:val="22"/>
        </w:rPr>
        <w:t>2024</w:t>
      </w:r>
      <w:r w:rsidR="0081052F" w:rsidRPr="00ED7E61">
        <w:rPr>
          <w:rStyle w:val="eop"/>
          <w:rFonts w:asciiTheme="majorBidi" w:eastAsiaTheme="majorEastAsia" w:hAnsiTheme="majorBidi" w:cstheme="majorBidi"/>
          <w:sz w:val="22"/>
          <w:szCs w:val="22"/>
        </w:rPr>
        <w:t> </w:t>
      </w:r>
    </w:p>
    <w:p w14:paraId="5AD9B994" w14:textId="77777777" w:rsidR="0081052F" w:rsidRPr="00ED7E61" w:rsidRDefault="0081052F"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6DB1497D" w14:textId="77777777"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455D41BD"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Headline Indicator for </w:t>
      </w:r>
      <w:r w:rsidRPr="00ED7E61">
        <w:rPr>
          <w:rStyle w:val="normaltextrun"/>
          <w:rFonts w:asciiTheme="majorBidi" w:eastAsiaTheme="majorEastAsia" w:hAnsiTheme="majorBidi" w:cstheme="majorBidi"/>
          <w:b/>
          <w:bCs/>
          <w:color w:val="242424"/>
          <w:sz w:val="22"/>
          <w:szCs w:val="22"/>
          <w:lang w:val="en-US"/>
        </w:rPr>
        <w:t>Goal C.</w:t>
      </w:r>
      <w:r w:rsidRPr="00ED7E61">
        <w:rPr>
          <w:rStyle w:val="normaltextrun"/>
          <w:rFonts w:asciiTheme="majorBidi" w:eastAsiaTheme="majorEastAsia" w:hAnsiTheme="majorBidi" w:cstheme="majorBidi"/>
          <w:color w:val="242424"/>
          <w:sz w:val="22"/>
          <w:szCs w:val="22"/>
          <w:lang w:val="en-US"/>
        </w:rPr>
        <w:t xml:space="preserve"> </w:t>
      </w:r>
      <w:r w:rsidRPr="00ED7E61">
        <w:rPr>
          <w:rFonts w:asciiTheme="majorBidi" w:hAnsiTheme="majorBidi" w:cstheme="majorBidi"/>
          <w:color w:val="000000" w:themeColor="text1"/>
          <w:sz w:val="22"/>
          <w:szCs w:val="22"/>
          <w:lang w:val="en-US" w:eastAsia="de-DE"/>
        </w:rPr>
        <w:t xml:space="preserve">The monetary and </w:t>
      </w:r>
      <w:r w:rsidRPr="00ED7E61">
        <w:rPr>
          <w:rFonts w:asciiTheme="majorBidi" w:hAnsiTheme="majorBidi" w:cstheme="majorBidi"/>
          <w:b/>
          <w:bCs/>
          <w:color w:val="000000" w:themeColor="text1"/>
          <w:sz w:val="22"/>
          <w:szCs w:val="22"/>
          <w:lang w:val="en-US" w:eastAsia="de-DE"/>
        </w:rPr>
        <w:t>non-monetary benefits</w:t>
      </w:r>
      <w:r w:rsidRPr="00ED7E61">
        <w:rPr>
          <w:rFonts w:asciiTheme="majorBidi" w:hAnsiTheme="majorBidi" w:cstheme="majorBidi"/>
          <w:color w:val="000000" w:themeColor="text1"/>
          <w:sz w:val="22"/>
          <w:szCs w:val="22"/>
          <w:lang w:val="en-US" w:eastAsia="de-DE"/>
        </w:rPr>
        <w:t xml:space="preserve"> from the utilization of genetic resources and digital sequence information on genetic resources, and of traditional knowledge associated with genetic resources, as applicable, are shared fairly and equitably, including, as appropriate with indigenous peoples and local communities, and substantially increased by 2050, while ensuring traditional knowledge associated with genetic resources is appropriately protected, thereby contributing to the conservation and sustainable use of biodiversity, in accordance with internationally agreed access and benefit-sharing instruments.</w:t>
      </w:r>
    </w:p>
    <w:p w14:paraId="25AFB6EB" w14:textId="77777777"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p w14:paraId="6109253E"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Headline indicator for </w:t>
      </w:r>
      <w:r w:rsidRPr="00ED7E61">
        <w:rPr>
          <w:rStyle w:val="normaltextrun"/>
          <w:rFonts w:asciiTheme="majorBidi" w:eastAsiaTheme="majorEastAsia" w:hAnsiTheme="majorBidi" w:cstheme="majorBidi"/>
          <w:b/>
          <w:bCs/>
          <w:color w:val="242424"/>
          <w:sz w:val="22"/>
          <w:szCs w:val="22"/>
          <w:lang w:val="en-US"/>
        </w:rPr>
        <w:t>Target 13</w:t>
      </w:r>
      <w:r w:rsidRPr="00ED7E61">
        <w:rPr>
          <w:rStyle w:val="normaltextrun"/>
          <w:rFonts w:asciiTheme="majorBidi" w:eastAsiaTheme="majorEastAsia" w:hAnsiTheme="majorBidi" w:cstheme="majorBidi"/>
          <w:color w:val="242424"/>
          <w:sz w:val="22"/>
          <w:szCs w:val="22"/>
          <w:lang w:val="en-US"/>
        </w:rPr>
        <w:t xml:space="preserve">: </w:t>
      </w:r>
      <w:r w:rsidRPr="00ED7E61">
        <w:rPr>
          <w:rFonts w:asciiTheme="majorBidi" w:hAnsiTheme="majorBidi" w:cstheme="majorBidi"/>
          <w:color w:val="000000" w:themeColor="text1"/>
          <w:sz w:val="22"/>
          <w:szCs w:val="22"/>
          <w:lang w:val="en-US"/>
        </w:rPr>
        <w:t>Take effective legal, policy, administrative and capacity-building measures at all levels, as appropriate, to ensure the fair and equitable sharing of benefits that arise from the utilization of genetic resources and from digital sequence information on genetic resources, as well as traditional knowledge associated with genetic resources, and facilitating appropriate access to genetic resources, and by 2030, facilitating a significant increase of the benefits shared, in accordance with applicable international access and benefit-sharing instruments.</w:t>
      </w:r>
      <w:r w:rsidRPr="00ED7E61">
        <w:rPr>
          <w:rStyle w:val="normaltextrun"/>
          <w:rFonts w:asciiTheme="majorBidi" w:eastAsiaTheme="majorEastAsia" w:hAnsiTheme="majorBidi" w:cstheme="majorBidi"/>
          <w:color w:val="242424"/>
          <w:sz w:val="22"/>
          <w:szCs w:val="22"/>
          <w:lang w:val="en-US"/>
        </w:rPr>
        <w:t> </w:t>
      </w:r>
      <w:r w:rsidRPr="00ED7E61">
        <w:rPr>
          <w:rStyle w:val="eop"/>
          <w:rFonts w:asciiTheme="majorBidi" w:eastAsiaTheme="majorEastAsia" w:hAnsiTheme="majorBidi" w:cstheme="majorBidi"/>
          <w:color w:val="242424"/>
          <w:sz w:val="22"/>
          <w:szCs w:val="22"/>
        </w:rPr>
        <w:t> </w:t>
      </w:r>
    </w:p>
    <w:p w14:paraId="36E6AD7E"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27EDDB34" w14:textId="4467304B" w:rsidR="009A563F" w:rsidRPr="00ED7E61" w:rsidRDefault="00CB0D9F" w:rsidP="00B10F0C">
      <w:pPr>
        <w:pStyle w:val="CBDNormalNumber"/>
        <w:numPr>
          <w:ilvl w:val="0"/>
          <w:numId w:val="64"/>
        </w:numPr>
        <w:tabs>
          <w:tab w:val="clear" w:pos="1701"/>
        </w:tabs>
        <w:ind w:left="567" w:firstLine="0"/>
      </w:pPr>
      <w:r w:rsidRPr="00ED7E61">
        <w:t xml:space="preserve">The importance of non-monetary benefits from ABS processes and their contribution to the conservation and sustainable use of biodiversity and to sustainable development is increasingly acknowledged and documented. This indicator would aim to measure the average rate of change in the types of non-monetary benefits shared, and aims to track trends in selected types of non-monetary benefits received by countries from the implementation of applicable international access and benefit-sharing instruments during the reporting period. This indicator serves as a proxy for many different types of non-monetary benefits. It aims to measure trends in a key subset of non-monetary benefits arising from applicable international access and benefit-sharing instruments, namely the CBD, the Nagoya Protocol and the </w:t>
      </w:r>
      <w:r w:rsidR="006B30FE">
        <w:rPr>
          <w:rStyle w:val="normaltextrun"/>
          <w:rFonts w:eastAsiaTheme="majorEastAsia"/>
        </w:rPr>
        <w:t>I</w:t>
      </w:r>
      <w:r w:rsidR="006B30FE" w:rsidRPr="003D4EC6">
        <w:rPr>
          <w:rStyle w:val="normaltextrun"/>
          <w:rFonts w:eastAsiaTheme="majorEastAsia"/>
        </w:rPr>
        <w:t>nternational Treaty on Plant Genetic Resources for Food and Agriculture</w:t>
      </w:r>
      <w:r w:rsidRPr="00ED7E61">
        <w:t>.</w:t>
      </w:r>
    </w:p>
    <w:p w14:paraId="00A8870A" w14:textId="31347C9A" w:rsidR="009A563F" w:rsidRPr="00ED7E61" w:rsidRDefault="00CB0D9F" w:rsidP="00B10F0C">
      <w:pPr>
        <w:pStyle w:val="CBDNormalNumber"/>
        <w:numPr>
          <w:ilvl w:val="0"/>
          <w:numId w:val="64"/>
        </w:numPr>
        <w:ind w:left="567" w:firstLine="0"/>
        <w:rPr>
          <w:rFonts w:asciiTheme="majorBidi" w:hAnsiTheme="majorBidi" w:cstheme="majorBidi"/>
          <w:color w:val="000000" w:themeColor="text1"/>
          <w:lang w:val="en-US" w:eastAsia="de-DE"/>
        </w:rPr>
      </w:pPr>
      <w:r w:rsidRPr="00ED7E61">
        <w:rPr>
          <w:rFonts w:asciiTheme="majorBidi" w:hAnsiTheme="majorBidi" w:cstheme="majorBidi"/>
          <w:color w:val="000000" w:themeColor="text1"/>
          <w:lang w:val="en-US" w:eastAsia="de-DE"/>
        </w:rPr>
        <w:t>The methodology also considers the possibility of accommodating new multilateral ABS instruments, which will contribute to conservation and sustainable use of biodiversity, such as the United Nations Convention on the Law of the Sea on the Conservation and Sustainable Use of Marine Biological Diversity of Areas Beyond National Jurisdiction, or benefit-sharing from digital sequence information (DSI) on genetic resources (GR) and others</w:t>
      </w:r>
    </w:p>
    <w:p w14:paraId="2BEF7BD6" w14:textId="459D0061" w:rsidR="00CB0D9F" w:rsidRPr="00ED7E61" w:rsidRDefault="00CB0D9F" w:rsidP="00B10F0C">
      <w:pPr>
        <w:pStyle w:val="CBDNormalNumber"/>
        <w:numPr>
          <w:ilvl w:val="0"/>
          <w:numId w:val="64"/>
        </w:numPr>
        <w:ind w:left="567" w:firstLine="0"/>
        <w:rPr>
          <w:rFonts w:asciiTheme="majorBidi" w:hAnsiTheme="majorBidi" w:cstheme="majorBidi"/>
          <w:color w:val="000000" w:themeColor="text1"/>
          <w:lang w:val="en-US" w:eastAsia="de-DE"/>
        </w:rPr>
      </w:pPr>
      <w:r w:rsidRPr="00ED7E61">
        <w:rPr>
          <w:rFonts w:asciiTheme="majorBidi" w:hAnsiTheme="majorBidi" w:cstheme="majorBidi"/>
          <w:color w:val="000000" w:themeColor="text1"/>
          <w:lang w:val="en-US" w:eastAsia="de-DE"/>
        </w:rPr>
        <w:t>Information on non-monetary benefits from the different instruments could be presented in an aggregated manner with the possibility to disaggregate it by instrument.</w:t>
      </w:r>
    </w:p>
    <w:p w14:paraId="2B02AFB5" w14:textId="77777777" w:rsidR="0081052F" w:rsidRPr="00ED7E61" w:rsidRDefault="0081052F"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211B8F71" w14:textId="77777777" w:rsidR="0081052F" w:rsidRPr="00ED7E61" w:rsidRDefault="0081052F" w:rsidP="00B3383B">
      <w:pPr>
        <w:pStyle w:val="paragraph"/>
        <w:pBdr>
          <w:bottom w:val="single" w:sz="4" w:space="3"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and concepts: </w:t>
      </w:r>
      <w:r w:rsidRPr="00ED7E61">
        <w:rPr>
          <w:rStyle w:val="eop"/>
          <w:rFonts w:asciiTheme="majorBidi" w:eastAsiaTheme="majorEastAsia" w:hAnsiTheme="majorBidi" w:cstheme="majorBidi"/>
          <w:sz w:val="22"/>
          <w:szCs w:val="22"/>
        </w:rPr>
        <w:t> </w:t>
      </w:r>
    </w:p>
    <w:p w14:paraId="48EE546F" w14:textId="14A97712" w:rsidR="00CB0D9F" w:rsidRPr="00ED7E61" w:rsidRDefault="00CB0D9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This indicator measures the average rate of change in the types of non-monetary benefits shared and aims to track trends in a group of selected types of non-monetary benefits which serve as proxies for the different existing types of non-monetary benefits. This indicator could compile, inter alia, non-monetary benefits received by countries bilaterally from the implementation of ABS under the Convention and its Nagoya Protocol as well as multilateral ABS instruments during the reporting period. To avoid double counting, only countries that regulate access to GR or to ATK, as appropriate, would need to report on non-monetary benefits received bilaterally</w:t>
      </w:r>
    </w:p>
    <w:p w14:paraId="5A123859" w14:textId="77777777" w:rsidR="0038066B" w:rsidRPr="00ED7E61" w:rsidRDefault="0038066B" w:rsidP="00395866">
      <w:pPr>
        <w:pStyle w:val="paragraph"/>
        <w:pBdr>
          <w:bottom w:val="single" w:sz="4" w:space="1" w:color="000000"/>
        </w:pBdr>
        <w:spacing w:before="0" w:beforeAutospacing="0" w:after="0" w:afterAutospacing="0"/>
        <w:textAlignment w:val="baseline"/>
        <w:rPr>
          <w:rStyle w:val="normaltextrun"/>
          <w:rFonts w:asciiTheme="majorBidi" w:eastAsiaTheme="majorEastAsia" w:hAnsiTheme="majorBidi" w:cstheme="majorBidi"/>
          <w:sz w:val="22"/>
          <w:szCs w:val="22"/>
          <w:lang w:val="en-GB"/>
        </w:rPr>
      </w:pPr>
    </w:p>
    <w:p w14:paraId="671DE010" w14:textId="77777777" w:rsidR="0081052F" w:rsidRPr="00ED7E61" w:rsidRDefault="0081052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Reporting would be on the following types of non-monetary benefits:</w:t>
      </w:r>
    </w:p>
    <w:p w14:paraId="0029A247" w14:textId="4449B65F"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Number of research and development results arising from ABS instruments (globally aggregated and subsequently pre-populated into national reports)</w:t>
      </w:r>
    </w:p>
    <w:p w14:paraId="584336D0" w14:textId="5AE62344"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Number of joint scientific publications arising from ABS instruments with authors from the provider country, where appropriate (globally aggregated and subsequently pre-populated into national reports)</w:t>
      </w:r>
    </w:p>
    <w:p w14:paraId="259AAC2C" w14:textId="49E3CFDA"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Number of scientific publications relevant to conservation, sustainable use, food security, and public health arising from ABS instruments (globally aggregated and subsequently pre-populated into national reports)</w:t>
      </w:r>
    </w:p>
    <w:p w14:paraId="39CBD758" w14:textId="43A9CA77"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Number of technology transfer events arising from ABS instruments (nationally collected) </w:t>
      </w:r>
    </w:p>
    <w:p w14:paraId="5C11301F" w14:textId="63C92320"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Number of projects contributing to sustainable development arising from ABS instruments (nationally collected) </w:t>
      </w:r>
    </w:p>
    <w:p w14:paraId="1A6FF758" w14:textId="3655720B"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Indicator related to capacity-building and development as part of the non-monetary benefits arising from ABS instruments (TBD)</w:t>
      </w:r>
    </w:p>
    <w:p w14:paraId="5470BBE4" w14:textId="68C83AD4" w:rsidR="0081052F" w:rsidRPr="00ED7E61" w:rsidRDefault="0081052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Information on three types of non-monetary benefits can be in</w:t>
      </w:r>
      <w:r w:rsidR="00B25DD1" w:rsidRPr="00ED7E61">
        <w:rPr>
          <w:color w:val="000000" w:themeColor="text1"/>
          <w:lang w:val="en-US" w:eastAsia="de-DE"/>
        </w:rPr>
        <w:t>i</w:t>
      </w:r>
      <w:r w:rsidRPr="00ED7E61">
        <w:rPr>
          <w:color w:val="000000" w:themeColor="text1"/>
          <w:lang w:val="en-US" w:eastAsia="de-DE"/>
        </w:rPr>
        <w:t>tially collected at the global level following an established methodology (see section 5</w:t>
      </w:r>
      <w:r w:rsidR="00927A83" w:rsidRPr="00ED7E61">
        <w:rPr>
          <w:color w:val="000000" w:themeColor="text1"/>
          <w:lang w:val="en-US" w:eastAsia="de-DE"/>
        </w:rPr>
        <w:t>(e)</w:t>
      </w:r>
      <w:r w:rsidRPr="00ED7E61">
        <w:rPr>
          <w:color w:val="000000" w:themeColor="text1"/>
          <w:lang w:val="en-US" w:eastAsia="de-DE"/>
        </w:rPr>
        <w:t xml:space="preserve"> below) and made available to countries for their use in the national report. The use of a global methodology and compilation ensures that the national data provided is comparable, can easily be aggregated and analyses of trends over time are consistent. Countries can edit and add additional information to their national data as appropriate.</w:t>
      </w:r>
    </w:p>
    <w:p w14:paraId="4F4F5EB3" w14:textId="2A74EC5A" w:rsidR="00172A35" w:rsidRPr="00ED7E61" w:rsidRDefault="0081052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 xml:space="preserve">The ability of countries to collect the information on non-monetary benefits may vary from country to country. For some countries it may take some time before it is possible to provide this mandatory information. </w:t>
      </w:r>
    </w:p>
    <w:p w14:paraId="0261AD6B" w14:textId="5698B142" w:rsidR="0081052F" w:rsidRPr="00ED7E61" w:rsidRDefault="0081052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Additional types of non-monetary benefits received: Parties may include in their national reports any other type of non-monetary benefits received in accordance with national priorities and circumstances. The reported information cannot be aggregated globally but can help countries to measure trends over</w:t>
      </w:r>
      <w:r w:rsidR="00930026">
        <w:rPr>
          <w:color w:val="000000" w:themeColor="text1"/>
          <w:lang w:val="en-US" w:eastAsia="de-DE"/>
        </w:rPr>
        <w:t xml:space="preserve"> </w:t>
      </w:r>
      <w:r w:rsidRPr="00ED7E61">
        <w:rPr>
          <w:color w:val="000000" w:themeColor="text1"/>
          <w:lang w:val="en-US" w:eastAsia="de-DE"/>
        </w:rPr>
        <w:t>time according to their national priorities.</w:t>
      </w:r>
    </w:p>
    <w:p w14:paraId="78468383"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17001A2E" w14:textId="45B48523" w:rsidR="00172A35" w:rsidRPr="00ED7E61" w:rsidRDefault="0081052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There are many types of non-monetary benefits that can be included in ABS agreements (a list of 17 benefits is provided, for example, in the Annex of the Nagoya Protocol) but there are significant challenges to measuring all of them. First, there is currently no way to aggregate information on non-monetary benefits in a comprehensive manner across all possible types as these can be quantified with very different parameters (i.e. to aggregate across, for example, contribution to local economy, institutional capacity-building, and or sharing of research and development results). Second, there is little national data currently available on non-monetary benefits and significant challenges in monitoring or reporting on some non-monetary benefits remain. Third, different types of non-monetary benefits may be prioritized at the national level depending on the circumstances and these may be measured or accounted differently.</w:t>
      </w:r>
    </w:p>
    <w:p w14:paraId="46097140" w14:textId="77777777" w:rsidR="00CB0D9F" w:rsidRPr="00ED7E61" w:rsidRDefault="00CB0D9F" w:rsidP="00B10F0C">
      <w:pPr>
        <w:pStyle w:val="CBDNormalNumber"/>
        <w:numPr>
          <w:ilvl w:val="0"/>
          <w:numId w:val="64"/>
        </w:numPr>
        <w:ind w:left="567" w:firstLine="0"/>
        <w:rPr>
          <w:rFonts w:asciiTheme="majorBidi" w:hAnsiTheme="majorBidi" w:cstheme="majorBidi"/>
          <w:color w:val="000000" w:themeColor="text1"/>
          <w:lang w:eastAsia="de-DE"/>
        </w:rPr>
      </w:pPr>
      <w:r w:rsidRPr="00ED7E61">
        <w:rPr>
          <w:rFonts w:asciiTheme="majorBidi" w:hAnsiTheme="majorBidi" w:cstheme="majorBidi"/>
          <w:color w:val="000000" w:themeColor="text1"/>
          <w:lang w:val="en-US" w:eastAsia="de-DE"/>
        </w:rPr>
        <w:t xml:space="preserve">To simplify the challenge of monitoring non-monetary benefits, the 17 benefits suggested in the Nagoya Protocol Annex and the Bonn Guidelines were consolidated into five categories that reflect six total proposed indicators as follows. </w:t>
      </w:r>
      <w:r w:rsidRPr="00ED7E61">
        <w:rPr>
          <w:rFonts w:asciiTheme="majorBidi" w:hAnsiTheme="majorBidi" w:cstheme="majorBidi"/>
          <w:color w:val="000000" w:themeColor="text1"/>
          <w:lang w:eastAsia="de-DE"/>
        </w:rPr>
        <w:t xml:space="preserve">Finding an appropriate indicator to measure non-monetary benefits related to capacity-building, development and training poses its own challenges. </w:t>
      </w:r>
    </w:p>
    <w:p w14:paraId="0B197640" w14:textId="104FBEE6" w:rsidR="0081052F" w:rsidRPr="00ED7E61" w:rsidRDefault="0081052F" w:rsidP="00395866">
      <w:pPr>
        <w:rPr>
          <w:rFonts w:asciiTheme="majorBidi" w:hAnsiTheme="majorBidi" w:cstheme="majorBidi"/>
          <w:b/>
          <w:bCs/>
          <w:color w:val="000000" w:themeColor="text1"/>
          <w:sz w:val="22"/>
          <w:szCs w:val="22"/>
          <w:lang w:eastAsia="de-DE"/>
        </w:rPr>
      </w:pPr>
      <w:r w:rsidRPr="00B3383B">
        <w:rPr>
          <w:rFonts w:asciiTheme="majorBidi" w:hAnsiTheme="majorBidi" w:cstheme="majorBidi"/>
          <w:color w:val="000000" w:themeColor="text1"/>
          <w:sz w:val="22"/>
          <w:szCs w:val="22"/>
          <w:lang w:eastAsia="de-DE"/>
        </w:rPr>
        <w:t>Table 1</w:t>
      </w:r>
      <w:r w:rsidR="00F0383A">
        <w:rPr>
          <w:rFonts w:asciiTheme="majorBidi" w:hAnsiTheme="majorBidi" w:cstheme="majorBidi"/>
          <w:b/>
          <w:bCs/>
          <w:color w:val="000000" w:themeColor="text1"/>
          <w:sz w:val="22"/>
          <w:szCs w:val="22"/>
          <w:lang w:eastAsia="de-DE"/>
        </w:rPr>
        <w:br/>
      </w:r>
      <w:r w:rsidRPr="00ED7E61">
        <w:rPr>
          <w:rFonts w:asciiTheme="majorBidi" w:hAnsiTheme="majorBidi" w:cstheme="majorBidi"/>
          <w:b/>
          <w:bCs/>
          <w:color w:val="000000" w:themeColor="text1"/>
          <w:sz w:val="22"/>
          <w:szCs w:val="22"/>
          <w:lang w:eastAsia="de-DE"/>
        </w:rPr>
        <w:t xml:space="preserve">Non-monetary benefits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62"/>
        <w:gridCol w:w="4536"/>
        <w:gridCol w:w="2127"/>
      </w:tblGrid>
      <w:tr w:rsidR="0081052F" w:rsidRPr="00ED7E61" w14:paraId="3FC6A031" w14:textId="77777777" w:rsidTr="00AA4CEC">
        <w:trPr>
          <w:trHeight w:val="141"/>
        </w:trPr>
        <w:tc>
          <w:tcPr>
            <w:tcW w:w="2262" w:type="dxa"/>
            <w:tcMar>
              <w:top w:w="20" w:type="dxa"/>
              <w:left w:w="20" w:type="dxa"/>
              <w:bottom w:w="20" w:type="dxa"/>
              <w:right w:w="20" w:type="dxa"/>
            </w:tcMar>
          </w:tcPr>
          <w:p w14:paraId="6ADA37DC"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Category </w:t>
            </w:r>
          </w:p>
        </w:tc>
        <w:tc>
          <w:tcPr>
            <w:tcW w:w="4536" w:type="dxa"/>
            <w:tcMar>
              <w:top w:w="0" w:type="dxa"/>
              <w:left w:w="100" w:type="dxa"/>
              <w:bottom w:w="0" w:type="dxa"/>
              <w:right w:w="100" w:type="dxa"/>
            </w:tcMar>
          </w:tcPr>
          <w:p w14:paraId="509DDF1E"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Non-monetary Benefits</w:t>
            </w:r>
          </w:p>
        </w:tc>
        <w:tc>
          <w:tcPr>
            <w:tcW w:w="2127" w:type="dxa"/>
            <w:tcMar>
              <w:top w:w="0" w:type="dxa"/>
              <w:left w:w="100" w:type="dxa"/>
              <w:bottom w:w="0" w:type="dxa"/>
              <w:right w:w="100" w:type="dxa"/>
            </w:tcMar>
          </w:tcPr>
          <w:p w14:paraId="538566D3"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Reporting notes</w:t>
            </w:r>
          </w:p>
        </w:tc>
      </w:tr>
      <w:tr w:rsidR="0081052F" w:rsidRPr="00ED7E61" w14:paraId="7151C743" w14:textId="77777777" w:rsidTr="00AA4CEC">
        <w:trPr>
          <w:trHeight w:val="326"/>
        </w:trPr>
        <w:tc>
          <w:tcPr>
            <w:tcW w:w="2262" w:type="dxa"/>
            <w:vMerge w:val="restart"/>
            <w:tcMar>
              <w:top w:w="20" w:type="dxa"/>
              <w:left w:w="20" w:type="dxa"/>
              <w:bottom w:w="20" w:type="dxa"/>
              <w:right w:w="20" w:type="dxa"/>
            </w:tcMar>
          </w:tcPr>
          <w:p w14:paraId="41FC5516"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Sharing of information, research results</w:t>
            </w:r>
          </w:p>
          <w:p w14:paraId="08590C4E"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 </w:t>
            </w:r>
          </w:p>
        </w:tc>
        <w:tc>
          <w:tcPr>
            <w:tcW w:w="4536" w:type="dxa"/>
            <w:tcMar>
              <w:top w:w="0" w:type="dxa"/>
              <w:left w:w="100" w:type="dxa"/>
              <w:bottom w:w="0" w:type="dxa"/>
              <w:right w:w="100" w:type="dxa"/>
            </w:tcMar>
          </w:tcPr>
          <w:p w14:paraId="5B39C19C"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(a) Sharing of research and development results </w:t>
            </w:r>
          </w:p>
        </w:tc>
        <w:tc>
          <w:tcPr>
            <w:tcW w:w="2127" w:type="dxa"/>
            <w:vMerge w:val="restart"/>
            <w:tcMar>
              <w:top w:w="0" w:type="dxa"/>
              <w:left w:w="100" w:type="dxa"/>
              <w:bottom w:w="0" w:type="dxa"/>
              <w:right w:w="100" w:type="dxa"/>
            </w:tcMar>
          </w:tcPr>
          <w:p w14:paraId="51C55D21" w14:textId="77777777" w:rsidR="0081052F" w:rsidRPr="00B3383B" w:rsidRDefault="0081052F" w:rsidP="00395866">
            <w:pPr>
              <w:contextualSpacing/>
              <w:rPr>
                <w:rFonts w:asciiTheme="majorBidi" w:eastAsia="Arial"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Number of research and development res</w:t>
            </w:r>
            <w:r w:rsidRPr="00B3383B">
              <w:rPr>
                <w:rFonts w:asciiTheme="majorBidi" w:eastAsia="Arial" w:hAnsiTheme="majorBidi" w:cstheme="majorBidi"/>
                <w:color w:val="000000" w:themeColor="text1"/>
                <w:sz w:val="20"/>
                <w:szCs w:val="20"/>
                <w:lang w:val="en-US" w:eastAsia="de-DE"/>
              </w:rPr>
              <w:t>ults shared from ABS agreements</w:t>
            </w:r>
          </w:p>
          <w:p w14:paraId="1B92A491" w14:textId="77777777" w:rsidR="0081052F" w:rsidRPr="00B3383B" w:rsidRDefault="0081052F" w:rsidP="00395866">
            <w:pPr>
              <w:contextualSpacing/>
              <w:rPr>
                <w:rFonts w:asciiTheme="majorBidi" w:eastAsia="Arial" w:hAnsiTheme="majorBidi" w:cstheme="majorBidi"/>
                <w:color w:val="000000" w:themeColor="text1"/>
                <w:sz w:val="20"/>
                <w:szCs w:val="20"/>
                <w:lang w:val="en-US" w:eastAsia="de-DE"/>
              </w:rPr>
            </w:pPr>
          </w:p>
          <w:p w14:paraId="63BFFF87" w14:textId="77777777" w:rsidR="0081052F" w:rsidRPr="00B3383B" w:rsidRDefault="0081052F" w:rsidP="00395866">
            <w:pPr>
              <w:contextualSpacing/>
              <w:rPr>
                <w:rFonts w:asciiTheme="majorBidi" w:eastAsia="Arial" w:hAnsiTheme="majorBidi" w:cstheme="majorBidi"/>
                <w:color w:val="000000" w:themeColor="text1"/>
                <w:sz w:val="20"/>
                <w:szCs w:val="20"/>
                <w:lang w:val="en-US"/>
              </w:rPr>
            </w:pPr>
            <w:r w:rsidRPr="00B3383B">
              <w:rPr>
                <w:rFonts w:asciiTheme="majorBidi" w:eastAsia="Arial" w:hAnsiTheme="majorBidi" w:cstheme="majorBidi"/>
                <w:color w:val="000000" w:themeColor="text1"/>
                <w:sz w:val="20"/>
                <w:szCs w:val="20"/>
                <w:lang w:val="en-US"/>
              </w:rPr>
              <w:t>Number of scientific publications relevant to conservation, sustainable use, food security, and public health</w:t>
            </w:r>
          </w:p>
          <w:p w14:paraId="57BAC85D"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p w14:paraId="33A58E53"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r>
      <w:tr w:rsidR="0081052F" w:rsidRPr="00ED7E61" w14:paraId="58B5BF4C" w14:textId="77777777" w:rsidTr="00AA4CEC">
        <w:trPr>
          <w:trHeight w:val="862"/>
        </w:trPr>
        <w:tc>
          <w:tcPr>
            <w:tcW w:w="2262" w:type="dxa"/>
            <w:vMerge/>
            <w:tcMar>
              <w:top w:w="100" w:type="dxa"/>
              <w:left w:w="100" w:type="dxa"/>
              <w:bottom w:w="100" w:type="dxa"/>
              <w:right w:w="100" w:type="dxa"/>
            </w:tcMar>
          </w:tcPr>
          <w:p w14:paraId="69564F9F"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c>
          <w:tcPr>
            <w:tcW w:w="4536" w:type="dxa"/>
            <w:tcMar>
              <w:top w:w="0" w:type="dxa"/>
              <w:left w:w="100" w:type="dxa"/>
              <w:bottom w:w="0" w:type="dxa"/>
              <w:right w:w="100" w:type="dxa"/>
            </w:tcMar>
          </w:tcPr>
          <w:p w14:paraId="2F397163"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(k) Access to scientific information relevant to conservation and sustainable use of biological diversity, including biological inventories and taxonomic studies</w:t>
            </w:r>
          </w:p>
        </w:tc>
        <w:tc>
          <w:tcPr>
            <w:tcW w:w="2127" w:type="dxa"/>
            <w:vMerge/>
            <w:tcMar>
              <w:top w:w="100" w:type="dxa"/>
              <w:left w:w="100" w:type="dxa"/>
              <w:bottom w:w="100" w:type="dxa"/>
              <w:right w:w="100" w:type="dxa"/>
            </w:tcMar>
          </w:tcPr>
          <w:p w14:paraId="49BFA8A6"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r>
      <w:tr w:rsidR="0081052F" w:rsidRPr="00ED7E61" w14:paraId="0114B9E3" w14:textId="77777777" w:rsidTr="00AA4CEC">
        <w:trPr>
          <w:trHeight w:val="923"/>
        </w:trPr>
        <w:tc>
          <w:tcPr>
            <w:tcW w:w="2262" w:type="dxa"/>
            <w:vMerge/>
            <w:tcMar>
              <w:top w:w="100" w:type="dxa"/>
              <w:left w:w="100" w:type="dxa"/>
              <w:bottom w:w="100" w:type="dxa"/>
              <w:right w:w="100" w:type="dxa"/>
            </w:tcMar>
          </w:tcPr>
          <w:p w14:paraId="4F789C07"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c>
          <w:tcPr>
            <w:tcW w:w="4536" w:type="dxa"/>
            <w:tcMar>
              <w:top w:w="0" w:type="dxa"/>
              <w:left w:w="100" w:type="dxa"/>
              <w:bottom w:w="0" w:type="dxa"/>
              <w:right w:w="100" w:type="dxa"/>
            </w:tcMar>
          </w:tcPr>
          <w:p w14:paraId="61069514"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(m)  Research directed towards priority needs, such as health and food security, taking into account domestic uses of genetic resources in the Party providing genetic resources; </w:t>
            </w:r>
          </w:p>
        </w:tc>
        <w:tc>
          <w:tcPr>
            <w:tcW w:w="2127" w:type="dxa"/>
            <w:vMerge/>
            <w:tcMar>
              <w:top w:w="100" w:type="dxa"/>
              <w:left w:w="100" w:type="dxa"/>
              <w:bottom w:w="100" w:type="dxa"/>
              <w:right w:w="100" w:type="dxa"/>
            </w:tcMar>
          </w:tcPr>
          <w:p w14:paraId="5492069E"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r>
      <w:tr w:rsidR="0081052F" w:rsidRPr="00ED7E61" w14:paraId="71F53586" w14:textId="77777777" w:rsidTr="00AA4CEC">
        <w:trPr>
          <w:trHeight w:val="529"/>
        </w:trPr>
        <w:tc>
          <w:tcPr>
            <w:tcW w:w="2262" w:type="dxa"/>
            <w:vMerge/>
            <w:tcMar>
              <w:top w:w="100" w:type="dxa"/>
              <w:left w:w="100" w:type="dxa"/>
              <w:bottom w:w="100" w:type="dxa"/>
              <w:right w:w="100" w:type="dxa"/>
            </w:tcMar>
          </w:tcPr>
          <w:p w14:paraId="132BEED1"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c>
          <w:tcPr>
            <w:tcW w:w="4536" w:type="dxa"/>
            <w:tcMar>
              <w:top w:w="0" w:type="dxa"/>
              <w:left w:w="100" w:type="dxa"/>
              <w:bottom w:w="0" w:type="dxa"/>
              <w:right w:w="100" w:type="dxa"/>
            </w:tcMar>
          </w:tcPr>
          <w:p w14:paraId="177587FE"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(e)  Admittance to ex situ facilities of genetic resources and to databases</w:t>
            </w:r>
          </w:p>
        </w:tc>
        <w:tc>
          <w:tcPr>
            <w:tcW w:w="2127" w:type="dxa"/>
            <w:vMerge/>
            <w:tcMar>
              <w:top w:w="100" w:type="dxa"/>
              <w:left w:w="100" w:type="dxa"/>
              <w:bottom w:w="100" w:type="dxa"/>
              <w:right w:w="100" w:type="dxa"/>
            </w:tcMar>
          </w:tcPr>
          <w:p w14:paraId="12EEE5DE"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r>
      <w:tr w:rsidR="0081052F" w:rsidRPr="00ED7E61" w14:paraId="0B08F0C0" w14:textId="77777777" w:rsidTr="00AA4CEC">
        <w:trPr>
          <w:trHeight w:val="1144"/>
        </w:trPr>
        <w:tc>
          <w:tcPr>
            <w:tcW w:w="2262" w:type="dxa"/>
            <w:vMerge w:val="restart"/>
            <w:tcMar>
              <w:top w:w="20" w:type="dxa"/>
              <w:left w:w="20" w:type="dxa"/>
              <w:bottom w:w="20" w:type="dxa"/>
              <w:right w:w="20" w:type="dxa"/>
            </w:tcMar>
          </w:tcPr>
          <w:p w14:paraId="67133CE4"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Scientific collaboration and/or joint publications</w:t>
            </w:r>
          </w:p>
          <w:p w14:paraId="6813EBF0"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 </w:t>
            </w:r>
          </w:p>
        </w:tc>
        <w:tc>
          <w:tcPr>
            <w:tcW w:w="4536" w:type="dxa"/>
            <w:tcMar>
              <w:top w:w="0" w:type="dxa"/>
              <w:left w:w="100" w:type="dxa"/>
              <w:bottom w:w="0" w:type="dxa"/>
              <w:right w:w="100" w:type="dxa"/>
            </w:tcMar>
          </w:tcPr>
          <w:p w14:paraId="5F4F52B7"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(b) Collaboration, cooperation and contribution in scientific research and development programs, particularly biotechnological research activities, where possible in the Party providing genetic resources</w:t>
            </w:r>
          </w:p>
        </w:tc>
        <w:tc>
          <w:tcPr>
            <w:tcW w:w="2127" w:type="dxa"/>
            <w:vMerge w:val="restart"/>
            <w:shd w:val="clear" w:color="auto" w:fill="auto"/>
            <w:tcMar>
              <w:top w:w="0" w:type="dxa"/>
              <w:left w:w="100" w:type="dxa"/>
              <w:bottom w:w="0" w:type="dxa"/>
              <w:right w:w="100" w:type="dxa"/>
            </w:tcMar>
          </w:tcPr>
          <w:p w14:paraId="01253257"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Number of joint scientific publications from ABS agreements with authors from the provider country</w:t>
            </w:r>
          </w:p>
        </w:tc>
      </w:tr>
      <w:tr w:rsidR="0081052F" w:rsidRPr="00ED7E61" w14:paraId="12F8DEAC" w14:textId="77777777" w:rsidTr="00AA4CEC">
        <w:trPr>
          <w:trHeight w:val="790"/>
        </w:trPr>
        <w:tc>
          <w:tcPr>
            <w:tcW w:w="2262" w:type="dxa"/>
            <w:vMerge/>
            <w:tcMar>
              <w:top w:w="100" w:type="dxa"/>
              <w:left w:w="100" w:type="dxa"/>
              <w:bottom w:w="100" w:type="dxa"/>
              <w:right w:w="100" w:type="dxa"/>
            </w:tcMar>
          </w:tcPr>
          <w:p w14:paraId="7108B19E"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c>
          <w:tcPr>
            <w:tcW w:w="4536" w:type="dxa"/>
            <w:shd w:val="clear" w:color="auto" w:fill="auto"/>
            <w:tcMar>
              <w:top w:w="0" w:type="dxa"/>
              <w:left w:w="100" w:type="dxa"/>
              <w:bottom w:w="0" w:type="dxa"/>
              <w:right w:w="100" w:type="dxa"/>
            </w:tcMar>
          </w:tcPr>
          <w:p w14:paraId="7592E4C2"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(n)  Institutional and professional relationships that can arise from an access and benefit-sharing agreement and subsequent collaborative activities</w:t>
            </w:r>
          </w:p>
        </w:tc>
        <w:tc>
          <w:tcPr>
            <w:tcW w:w="2127" w:type="dxa"/>
            <w:vMerge/>
            <w:tcMar>
              <w:top w:w="100" w:type="dxa"/>
              <w:left w:w="100" w:type="dxa"/>
              <w:bottom w:w="100" w:type="dxa"/>
              <w:right w:w="100" w:type="dxa"/>
            </w:tcMar>
          </w:tcPr>
          <w:p w14:paraId="1F5ECD5B"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r>
      <w:tr w:rsidR="0081052F" w:rsidRPr="00ED7E61" w14:paraId="0D34C7B4" w14:textId="77777777" w:rsidTr="00AA4CEC">
        <w:trPr>
          <w:trHeight w:val="677"/>
        </w:trPr>
        <w:tc>
          <w:tcPr>
            <w:tcW w:w="2262" w:type="dxa"/>
            <w:vMerge w:val="restart"/>
            <w:tcMar>
              <w:top w:w="20" w:type="dxa"/>
              <w:left w:w="20" w:type="dxa"/>
              <w:bottom w:w="20" w:type="dxa"/>
              <w:right w:w="20" w:type="dxa"/>
            </w:tcMar>
          </w:tcPr>
          <w:p w14:paraId="70833251"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Capacity-building, capacity development and/or trainings</w:t>
            </w:r>
          </w:p>
          <w:p w14:paraId="742E325A"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 </w:t>
            </w:r>
          </w:p>
        </w:tc>
        <w:tc>
          <w:tcPr>
            <w:tcW w:w="4536" w:type="dxa"/>
            <w:tcMar>
              <w:top w:w="0" w:type="dxa"/>
              <w:left w:w="100" w:type="dxa"/>
              <w:bottom w:w="0" w:type="dxa"/>
              <w:right w:w="100" w:type="dxa"/>
            </w:tcMar>
          </w:tcPr>
          <w:p w14:paraId="2B4E9A50"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 (d)  Collaboration, cooperation and contribution in education and training</w:t>
            </w:r>
          </w:p>
        </w:tc>
        <w:tc>
          <w:tcPr>
            <w:tcW w:w="2127" w:type="dxa"/>
            <w:vMerge w:val="restart"/>
            <w:shd w:val="clear" w:color="auto" w:fill="auto"/>
            <w:tcMar>
              <w:top w:w="0" w:type="dxa"/>
              <w:left w:w="100" w:type="dxa"/>
              <w:bottom w:w="0" w:type="dxa"/>
              <w:right w:w="100" w:type="dxa"/>
            </w:tcMar>
          </w:tcPr>
          <w:p w14:paraId="0182AD08"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TBD (see Target 20)</w:t>
            </w:r>
          </w:p>
        </w:tc>
      </w:tr>
      <w:tr w:rsidR="0081052F" w:rsidRPr="00ED7E61" w14:paraId="6D996BF1" w14:textId="77777777" w:rsidTr="00AA4CEC">
        <w:trPr>
          <w:trHeight w:val="905"/>
        </w:trPr>
        <w:tc>
          <w:tcPr>
            <w:tcW w:w="2262" w:type="dxa"/>
            <w:vMerge/>
            <w:tcMar>
              <w:top w:w="100" w:type="dxa"/>
              <w:left w:w="100" w:type="dxa"/>
              <w:bottom w:w="100" w:type="dxa"/>
              <w:right w:w="100" w:type="dxa"/>
            </w:tcMar>
          </w:tcPr>
          <w:p w14:paraId="3CDDF5EB"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c>
          <w:tcPr>
            <w:tcW w:w="4536" w:type="dxa"/>
            <w:tcMar>
              <w:top w:w="0" w:type="dxa"/>
              <w:left w:w="100" w:type="dxa"/>
              <w:bottom w:w="0" w:type="dxa"/>
              <w:right w:w="100" w:type="dxa"/>
            </w:tcMar>
          </w:tcPr>
          <w:p w14:paraId="2A302030"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(j) Training related to genetic resources with the full participation of countries providing genetic resources, and where possible, in such countries</w:t>
            </w:r>
          </w:p>
        </w:tc>
        <w:tc>
          <w:tcPr>
            <w:tcW w:w="2127" w:type="dxa"/>
            <w:vMerge/>
            <w:tcMar>
              <w:top w:w="100" w:type="dxa"/>
              <w:left w:w="100" w:type="dxa"/>
              <w:bottom w:w="100" w:type="dxa"/>
              <w:right w:w="100" w:type="dxa"/>
            </w:tcMar>
          </w:tcPr>
          <w:p w14:paraId="134F8B23"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r>
      <w:tr w:rsidR="0081052F" w:rsidRPr="00ED7E61" w14:paraId="5DC98B05" w14:textId="77777777" w:rsidTr="00AA4CEC">
        <w:trPr>
          <w:trHeight w:val="221"/>
        </w:trPr>
        <w:tc>
          <w:tcPr>
            <w:tcW w:w="2262" w:type="dxa"/>
            <w:vMerge/>
            <w:tcMar>
              <w:top w:w="100" w:type="dxa"/>
              <w:left w:w="100" w:type="dxa"/>
              <w:bottom w:w="100" w:type="dxa"/>
              <w:right w:w="100" w:type="dxa"/>
            </w:tcMar>
          </w:tcPr>
          <w:p w14:paraId="31CEFF87"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c>
          <w:tcPr>
            <w:tcW w:w="4536" w:type="dxa"/>
            <w:tcMar>
              <w:top w:w="0" w:type="dxa"/>
              <w:left w:w="100" w:type="dxa"/>
              <w:bottom w:w="0" w:type="dxa"/>
              <w:right w:w="100" w:type="dxa"/>
            </w:tcMar>
          </w:tcPr>
          <w:p w14:paraId="6D2DA4FF"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(h) Institutional capacity-building</w:t>
            </w:r>
          </w:p>
        </w:tc>
        <w:tc>
          <w:tcPr>
            <w:tcW w:w="2127" w:type="dxa"/>
            <w:vMerge/>
            <w:tcMar>
              <w:top w:w="100" w:type="dxa"/>
              <w:left w:w="100" w:type="dxa"/>
              <w:bottom w:w="100" w:type="dxa"/>
              <w:right w:w="100" w:type="dxa"/>
            </w:tcMar>
          </w:tcPr>
          <w:p w14:paraId="0B1FCB5E"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r>
      <w:tr w:rsidR="0081052F" w:rsidRPr="00ED7E61" w14:paraId="7FF02521" w14:textId="77777777" w:rsidTr="00AA4CEC">
        <w:trPr>
          <w:trHeight w:val="857"/>
        </w:trPr>
        <w:tc>
          <w:tcPr>
            <w:tcW w:w="2262" w:type="dxa"/>
            <w:vMerge/>
            <w:tcMar>
              <w:top w:w="100" w:type="dxa"/>
              <w:left w:w="100" w:type="dxa"/>
              <w:bottom w:w="100" w:type="dxa"/>
              <w:right w:w="100" w:type="dxa"/>
            </w:tcMar>
          </w:tcPr>
          <w:p w14:paraId="17E72FA9"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c>
          <w:tcPr>
            <w:tcW w:w="4536" w:type="dxa"/>
            <w:shd w:val="clear" w:color="auto" w:fill="auto"/>
            <w:tcMar>
              <w:top w:w="0" w:type="dxa"/>
              <w:left w:w="100" w:type="dxa"/>
              <w:bottom w:w="0" w:type="dxa"/>
              <w:right w:w="100" w:type="dxa"/>
            </w:tcMar>
          </w:tcPr>
          <w:p w14:paraId="1B1C2F01"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(i)  Human and material resources to strengthen the capacities for the administration and enforcement of access regulations</w:t>
            </w:r>
          </w:p>
        </w:tc>
        <w:tc>
          <w:tcPr>
            <w:tcW w:w="2127" w:type="dxa"/>
            <w:vMerge/>
            <w:tcMar>
              <w:top w:w="100" w:type="dxa"/>
              <w:left w:w="100" w:type="dxa"/>
              <w:bottom w:w="100" w:type="dxa"/>
              <w:right w:w="100" w:type="dxa"/>
            </w:tcMar>
          </w:tcPr>
          <w:p w14:paraId="2343ED37"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tc>
      </w:tr>
      <w:tr w:rsidR="0081052F" w:rsidRPr="00ED7E61" w14:paraId="5C8CC2D8" w14:textId="77777777" w:rsidTr="00AA4CEC">
        <w:trPr>
          <w:trHeight w:val="1869"/>
        </w:trPr>
        <w:tc>
          <w:tcPr>
            <w:tcW w:w="2262" w:type="dxa"/>
            <w:vMerge w:val="restart"/>
            <w:tcMar>
              <w:top w:w="20" w:type="dxa"/>
              <w:left w:w="20" w:type="dxa"/>
              <w:bottom w:w="20" w:type="dxa"/>
              <w:right w:w="20" w:type="dxa"/>
            </w:tcMar>
          </w:tcPr>
          <w:p w14:paraId="3ACD4E23"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Access to and transfer of technology</w:t>
            </w:r>
            <w:r w:rsidRPr="00B3383B">
              <w:rPr>
                <w:rFonts w:asciiTheme="majorBidi" w:hAnsiTheme="majorBidi" w:cstheme="majorBidi"/>
                <w:color w:val="000000" w:themeColor="text1"/>
                <w:sz w:val="20"/>
                <w:szCs w:val="20"/>
                <w:vertAlign w:val="superscript"/>
                <w:lang w:val="en-US" w:eastAsia="de-DE"/>
              </w:rPr>
              <w:footnoteReference w:id="29"/>
            </w:r>
          </w:p>
        </w:tc>
        <w:tc>
          <w:tcPr>
            <w:tcW w:w="4536" w:type="dxa"/>
            <w:tcMar>
              <w:top w:w="0" w:type="dxa"/>
              <w:left w:w="100" w:type="dxa"/>
              <w:bottom w:w="0" w:type="dxa"/>
              <w:right w:w="100" w:type="dxa"/>
            </w:tcMar>
          </w:tcPr>
          <w:p w14:paraId="713B64F6"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(f) Transfer to the provider of the genetic resources of knowledge and technology under fair and most favorable terms, including on concessional and preferential terms where agreed, in particular, knowledge and technology that make use of genetic resources, including biotechnology, or that are relevant to the conservation and sustainable utilization of biological diversity </w:t>
            </w:r>
          </w:p>
        </w:tc>
        <w:tc>
          <w:tcPr>
            <w:tcW w:w="2127" w:type="dxa"/>
            <w:vMerge w:val="restart"/>
            <w:shd w:val="clear" w:color="auto" w:fill="auto"/>
            <w:tcMar>
              <w:top w:w="0" w:type="dxa"/>
              <w:left w:w="100" w:type="dxa"/>
              <w:bottom w:w="0" w:type="dxa"/>
              <w:right w:w="100" w:type="dxa"/>
            </w:tcMar>
          </w:tcPr>
          <w:p w14:paraId="0E9D1FD1"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Number of technology transfer events. </w:t>
            </w:r>
          </w:p>
          <w:p w14:paraId="3CDA3E83"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p>
          <w:p w14:paraId="1B9CFA2A"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(Technology transfer events may include joint patents, licenses and other intellectual property rights (IPR); new products, processes or services that have been exchanged; new startups.) </w:t>
            </w:r>
          </w:p>
          <w:p w14:paraId="7035D72D"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 </w:t>
            </w:r>
          </w:p>
        </w:tc>
      </w:tr>
      <w:tr w:rsidR="0081052F" w:rsidRPr="00ED7E61" w14:paraId="329ABD02" w14:textId="77777777" w:rsidTr="00AA4CEC">
        <w:trPr>
          <w:trHeight w:val="160"/>
        </w:trPr>
        <w:tc>
          <w:tcPr>
            <w:tcW w:w="2262" w:type="dxa"/>
            <w:vMerge/>
            <w:tcMar>
              <w:top w:w="100" w:type="dxa"/>
              <w:left w:w="100" w:type="dxa"/>
              <w:bottom w:w="100" w:type="dxa"/>
              <w:right w:w="100" w:type="dxa"/>
            </w:tcMar>
          </w:tcPr>
          <w:p w14:paraId="1F1BCF15" w14:textId="77777777" w:rsidR="0081052F" w:rsidRPr="00ED7E61" w:rsidRDefault="0081052F" w:rsidP="00395866">
            <w:pPr>
              <w:contextualSpacing/>
              <w:rPr>
                <w:rFonts w:asciiTheme="majorBidi" w:hAnsiTheme="majorBidi" w:cstheme="majorBidi"/>
                <w:color w:val="000000" w:themeColor="text1"/>
                <w:sz w:val="22"/>
                <w:szCs w:val="22"/>
                <w:lang w:val="en-US"/>
              </w:rPr>
            </w:pPr>
          </w:p>
        </w:tc>
        <w:tc>
          <w:tcPr>
            <w:tcW w:w="4536" w:type="dxa"/>
            <w:shd w:val="clear" w:color="auto" w:fill="auto"/>
            <w:tcMar>
              <w:top w:w="0" w:type="dxa"/>
              <w:left w:w="100" w:type="dxa"/>
              <w:bottom w:w="0" w:type="dxa"/>
              <w:right w:w="100" w:type="dxa"/>
            </w:tcMar>
          </w:tcPr>
          <w:p w14:paraId="08E420B7"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 (h) Strengthening capacities for technology transfer</w:t>
            </w:r>
          </w:p>
        </w:tc>
        <w:tc>
          <w:tcPr>
            <w:tcW w:w="2127" w:type="dxa"/>
            <w:vMerge/>
            <w:tcMar>
              <w:top w:w="100" w:type="dxa"/>
              <w:left w:w="100" w:type="dxa"/>
              <w:bottom w:w="100" w:type="dxa"/>
              <w:right w:w="100" w:type="dxa"/>
            </w:tcMar>
          </w:tcPr>
          <w:p w14:paraId="32C7B5EB" w14:textId="77777777" w:rsidR="0081052F" w:rsidRPr="00ED7E61" w:rsidRDefault="0081052F" w:rsidP="00395866">
            <w:pPr>
              <w:contextualSpacing/>
              <w:rPr>
                <w:rFonts w:asciiTheme="majorBidi" w:hAnsiTheme="majorBidi" w:cstheme="majorBidi"/>
                <w:color w:val="000000" w:themeColor="text1"/>
                <w:sz w:val="22"/>
                <w:szCs w:val="22"/>
                <w:lang w:val="en-US"/>
              </w:rPr>
            </w:pPr>
          </w:p>
        </w:tc>
      </w:tr>
      <w:tr w:rsidR="0081052F" w:rsidRPr="00ED7E61" w14:paraId="59455119" w14:textId="77777777" w:rsidTr="00AA4CEC">
        <w:trPr>
          <w:trHeight w:val="20"/>
        </w:trPr>
        <w:tc>
          <w:tcPr>
            <w:tcW w:w="2262" w:type="dxa"/>
            <w:vMerge/>
            <w:tcMar>
              <w:top w:w="100" w:type="dxa"/>
              <w:left w:w="100" w:type="dxa"/>
              <w:bottom w:w="100" w:type="dxa"/>
              <w:right w:w="100" w:type="dxa"/>
            </w:tcMar>
          </w:tcPr>
          <w:p w14:paraId="7551B7E3" w14:textId="77777777" w:rsidR="0081052F" w:rsidRPr="00ED7E61" w:rsidRDefault="0081052F" w:rsidP="00395866">
            <w:pPr>
              <w:contextualSpacing/>
              <w:rPr>
                <w:rFonts w:asciiTheme="majorBidi" w:hAnsiTheme="majorBidi" w:cstheme="majorBidi"/>
                <w:color w:val="000000" w:themeColor="text1"/>
                <w:sz w:val="22"/>
                <w:szCs w:val="22"/>
                <w:lang w:val="en-US"/>
              </w:rPr>
            </w:pPr>
          </w:p>
        </w:tc>
        <w:tc>
          <w:tcPr>
            <w:tcW w:w="4536" w:type="dxa"/>
            <w:shd w:val="clear" w:color="auto" w:fill="auto"/>
            <w:tcMar>
              <w:top w:w="0" w:type="dxa"/>
              <w:left w:w="100" w:type="dxa"/>
              <w:bottom w:w="0" w:type="dxa"/>
              <w:right w:w="100" w:type="dxa"/>
            </w:tcMar>
          </w:tcPr>
          <w:p w14:paraId="5B086837"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(c) Participation in product development</w:t>
            </w:r>
          </w:p>
        </w:tc>
        <w:tc>
          <w:tcPr>
            <w:tcW w:w="2127" w:type="dxa"/>
            <w:vMerge/>
            <w:tcMar>
              <w:top w:w="100" w:type="dxa"/>
              <w:left w:w="100" w:type="dxa"/>
              <w:bottom w:w="100" w:type="dxa"/>
              <w:right w:w="100" w:type="dxa"/>
            </w:tcMar>
          </w:tcPr>
          <w:p w14:paraId="6C92DD6B" w14:textId="77777777" w:rsidR="0081052F" w:rsidRPr="00ED7E61" w:rsidRDefault="0081052F" w:rsidP="00395866">
            <w:pPr>
              <w:contextualSpacing/>
              <w:rPr>
                <w:rFonts w:asciiTheme="majorBidi" w:hAnsiTheme="majorBidi" w:cstheme="majorBidi"/>
                <w:color w:val="000000" w:themeColor="text1"/>
                <w:sz w:val="22"/>
                <w:szCs w:val="22"/>
                <w:lang w:val="en-US"/>
              </w:rPr>
            </w:pPr>
          </w:p>
        </w:tc>
      </w:tr>
      <w:tr w:rsidR="0081052F" w:rsidRPr="00ED7E61" w14:paraId="2A3FA5D2" w14:textId="77777777" w:rsidTr="00AA4CEC">
        <w:trPr>
          <w:trHeight w:val="466"/>
        </w:trPr>
        <w:tc>
          <w:tcPr>
            <w:tcW w:w="2262" w:type="dxa"/>
            <w:vMerge/>
            <w:tcMar>
              <w:top w:w="100" w:type="dxa"/>
              <w:left w:w="100" w:type="dxa"/>
              <w:bottom w:w="100" w:type="dxa"/>
              <w:right w:w="100" w:type="dxa"/>
            </w:tcMar>
          </w:tcPr>
          <w:p w14:paraId="53451668" w14:textId="77777777" w:rsidR="0081052F" w:rsidRPr="00ED7E61" w:rsidRDefault="0081052F" w:rsidP="00395866">
            <w:pPr>
              <w:contextualSpacing/>
              <w:rPr>
                <w:rFonts w:asciiTheme="majorBidi" w:hAnsiTheme="majorBidi" w:cstheme="majorBidi"/>
                <w:color w:val="000000" w:themeColor="text1"/>
                <w:sz w:val="22"/>
                <w:szCs w:val="22"/>
                <w:lang w:val="en-US"/>
              </w:rPr>
            </w:pPr>
          </w:p>
        </w:tc>
        <w:tc>
          <w:tcPr>
            <w:tcW w:w="4536" w:type="dxa"/>
            <w:shd w:val="clear" w:color="auto" w:fill="auto"/>
            <w:tcMar>
              <w:top w:w="0" w:type="dxa"/>
              <w:left w:w="100" w:type="dxa"/>
              <w:bottom w:w="0" w:type="dxa"/>
              <w:right w:w="100" w:type="dxa"/>
            </w:tcMar>
          </w:tcPr>
          <w:p w14:paraId="1C7963F5"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(q)  Joint ownership of relevant intellectual property rights. </w:t>
            </w:r>
          </w:p>
        </w:tc>
        <w:tc>
          <w:tcPr>
            <w:tcW w:w="2127" w:type="dxa"/>
            <w:vMerge/>
            <w:tcMar>
              <w:top w:w="100" w:type="dxa"/>
              <w:left w:w="100" w:type="dxa"/>
              <w:bottom w:w="100" w:type="dxa"/>
              <w:right w:w="100" w:type="dxa"/>
            </w:tcMar>
          </w:tcPr>
          <w:p w14:paraId="77FC6F1D" w14:textId="77777777" w:rsidR="0081052F" w:rsidRPr="00B3383B" w:rsidRDefault="0081052F" w:rsidP="00395866">
            <w:pPr>
              <w:contextualSpacing/>
              <w:rPr>
                <w:rFonts w:asciiTheme="majorBidi" w:hAnsiTheme="majorBidi" w:cstheme="majorBidi"/>
                <w:color w:val="000000" w:themeColor="text1"/>
                <w:sz w:val="20"/>
                <w:szCs w:val="20"/>
                <w:lang w:val="en-US"/>
              </w:rPr>
            </w:pPr>
          </w:p>
        </w:tc>
      </w:tr>
      <w:tr w:rsidR="0081052F" w:rsidRPr="00ED7E61" w14:paraId="1C54195F" w14:textId="77777777" w:rsidTr="00AA4CEC">
        <w:trPr>
          <w:trHeight w:val="30"/>
        </w:trPr>
        <w:tc>
          <w:tcPr>
            <w:tcW w:w="2262" w:type="dxa"/>
            <w:vMerge w:val="restart"/>
            <w:shd w:val="clear" w:color="auto" w:fill="auto"/>
            <w:tcMar>
              <w:top w:w="20" w:type="dxa"/>
              <w:left w:w="20" w:type="dxa"/>
              <w:bottom w:w="20" w:type="dxa"/>
              <w:right w:w="20" w:type="dxa"/>
            </w:tcMar>
          </w:tcPr>
          <w:p w14:paraId="66C92D8C"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Sustainable development benefits</w:t>
            </w:r>
          </w:p>
          <w:p w14:paraId="4EE53FE8" w14:textId="77777777" w:rsidR="0081052F" w:rsidRPr="00ED7E61" w:rsidRDefault="0081052F" w:rsidP="00395866">
            <w:pPr>
              <w:contextualSpacing/>
              <w:rPr>
                <w:rFonts w:asciiTheme="majorBidi" w:hAnsiTheme="majorBidi" w:cstheme="majorBidi"/>
                <w:color w:val="000000" w:themeColor="text1"/>
                <w:sz w:val="22"/>
                <w:szCs w:val="22"/>
                <w:lang w:val="en-US" w:eastAsia="de-DE"/>
              </w:rPr>
            </w:pPr>
            <w:r w:rsidRPr="00ED7E61">
              <w:rPr>
                <w:rFonts w:asciiTheme="majorBidi" w:hAnsiTheme="majorBidi" w:cstheme="majorBidi"/>
                <w:color w:val="000000" w:themeColor="text1"/>
                <w:sz w:val="22"/>
                <w:szCs w:val="22"/>
                <w:lang w:val="en-US" w:eastAsia="de-DE"/>
              </w:rPr>
              <w:t xml:space="preserve"> </w:t>
            </w:r>
          </w:p>
        </w:tc>
        <w:tc>
          <w:tcPr>
            <w:tcW w:w="4536" w:type="dxa"/>
            <w:shd w:val="clear" w:color="auto" w:fill="auto"/>
            <w:tcMar>
              <w:top w:w="0" w:type="dxa"/>
              <w:left w:w="100" w:type="dxa"/>
              <w:bottom w:w="0" w:type="dxa"/>
              <w:right w:w="100" w:type="dxa"/>
            </w:tcMar>
          </w:tcPr>
          <w:p w14:paraId="4BD17E46"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(l)  Contributions to the local economy</w:t>
            </w:r>
          </w:p>
        </w:tc>
        <w:tc>
          <w:tcPr>
            <w:tcW w:w="2127" w:type="dxa"/>
            <w:vMerge w:val="restart"/>
            <w:shd w:val="clear" w:color="auto" w:fill="auto"/>
            <w:tcMar>
              <w:top w:w="0" w:type="dxa"/>
              <w:left w:w="100" w:type="dxa"/>
              <w:bottom w:w="0" w:type="dxa"/>
              <w:right w:w="100" w:type="dxa"/>
            </w:tcMar>
          </w:tcPr>
          <w:p w14:paraId="3EE618D9"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Number of projects contributing to sustainable development </w:t>
            </w:r>
          </w:p>
        </w:tc>
      </w:tr>
      <w:tr w:rsidR="0081052F" w:rsidRPr="00ED7E61" w14:paraId="50384E67" w14:textId="77777777" w:rsidTr="00AA4CEC">
        <w:trPr>
          <w:trHeight w:val="61"/>
        </w:trPr>
        <w:tc>
          <w:tcPr>
            <w:tcW w:w="2262" w:type="dxa"/>
            <w:vMerge/>
            <w:tcMar>
              <w:top w:w="100" w:type="dxa"/>
              <w:left w:w="100" w:type="dxa"/>
              <w:bottom w:w="100" w:type="dxa"/>
              <w:right w:w="100" w:type="dxa"/>
            </w:tcMar>
          </w:tcPr>
          <w:p w14:paraId="615E1180" w14:textId="77777777" w:rsidR="0081052F" w:rsidRPr="00ED7E61" w:rsidRDefault="0081052F" w:rsidP="00395866">
            <w:pPr>
              <w:contextualSpacing/>
              <w:rPr>
                <w:rFonts w:asciiTheme="majorBidi" w:hAnsiTheme="majorBidi" w:cstheme="majorBidi"/>
                <w:color w:val="000000" w:themeColor="text1"/>
                <w:sz w:val="22"/>
                <w:szCs w:val="22"/>
                <w:lang w:val="en-US"/>
              </w:rPr>
            </w:pPr>
          </w:p>
        </w:tc>
        <w:tc>
          <w:tcPr>
            <w:tcW w:w="4536" w:type="dxa"/>
            <w:shd w:val="clear" w:color="auto" w:fill="auto"/>
            <w:tcMar>
              <w:top w:w="0" w:type="dxa"/>
              <w:left w:w="100" w:type="dxa"/>
              <w:bottom w:w="0" w:type="dxa"/>
              <w:right w:w="100" w:type="dxa"/>
            </w:tcMar>
          </w:tcPr>
          <w:p w14:paraId="70D239FB"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 xml:space="preserve">(o)  Food and livelihood security benefits </w:t>
            </w:r>
          </w:p>
        </w:tc>
        <w:tc>
          <w:tcPr>
            <w:tcW w:w="2127" w:type="dxa"/>
            <w:vMerge/>
            <w:tcMar>
              <w:top w:w="100" w:type="dxa"/>
              <w:left w:w="100" w:type="dxa"/>
              <w:bottom w:w="100" w:type="dxa"/>
              <w:right w:w="100" w:type="dxa"/>
            </w:tcMar>
          </w:tcPr>
          <w:p w14:paraId="4C075442" w14:textId="77777777" w:rsidR="0081052F" w:rsidRPr="00ED7E61" w:rsidRDefault="0081052F" w:rsidP="00395866">
            <w:pPr>
              <w:contextualSpacing/>
              <w:rPr>
                <w:rFonts w:asciiTheme="majorBidi" w:hAnsiTheme="majorBidi" w:cstheme="majorBidi"/>
                <w:color w:val="000000" w:themeColor="text1"/>
                <w:sz w:val="22"/>
                <w:szCs w:val="22"/>
                <w:lang w:val="en-US"/>
              </w:rPr>
            </w:pPr>
          </w:p>
        </w:tc>
      </w:tr>
      <w:tr w:rsidR="0081052F" w:rsidRPr="00ED7E61" w14:paraId="54EA7751" w14:textId="77777777" w:rsidTr="00AA4CEC">
        <w:trPr>
          <w:trHeight w:val="150"/>
        </w:trPr>
        <w:tc>
          <w:tcPr>
            <w:tcW w:w="2262" w:type="dxa"/>
            <w:vMerge/>
            <w:tcMar>
              <w:top w:w="100" w:type="dxa"/>
              <w:left w:w="100" w:type="dxa"/>
              <w:bottom w:w="100" w:type="dxa"/>
              <w:right w:w="100" w:type="dxa"/>
            </w:tcMar>
          </w:tcPr>
          <w:p w14:paraId="1B24AAE0" w14:textId="77777777" w:rsidR="0081052F" w:rsidRPr="00ED7E61" w:rsidRDefault="0081052F" w:rsidP="00395866">
            <w:pPr>
              <w:contextualSpacing/>
              <w:rPr>
                <w:rFonts w:asciiTheme="majorBidi" w:hAnsiTheme="majorBidi" w:cstheme="majorBidi"/>
                <w:color w:val="000000" w:themeColor="text1"/>
                <w:sz w:val="22"/>
                <w:szCs w:val="22"/>
                <w:lang w:val="en-US"/>
              </w:rPr>
            </w:pPr>
          </w:p>
        </w:tc>
        <w:tc>
          <w:tcPr>
            <w:tcW w:w="4536" w:type="dxa"/>
            <w:shd w:val="clear" w:color="auto" w:fill="auto"/>
            <w:tcMar>
              <w:top w:w="0" w:type="dxa"/>
              <w:left w:w="100" w:type="dxa"/>
              <w:bottom w:w="0" w:type="dxa"/>
              <w:right w:w="100" w:type="dxa"/>
            </w:tcMar>
          </w:tcPr>
          <w:p w14:paraId="68BC049A" w14:textId="77777777" w:rsidR="0081052F" w:rsidRPr="00B3383B" w:rsidRDefault="0081052F" w:rsidP="00395866">
            <w:pPr>
              <w:contextualSpacing/>
              <w:rPr>
                <w:rFonts w:asciiTheme="majorBidi" w:hAnsiTheme="majorBidi" w:cstheme="majorBidi"/>
                <w:color w:val="000000" w:themeColor="text1"/>
                <w:sz w:val="20"/>
                <w:szCs w:val="20"/>
                <w:lang w:val="en-US" w:eastAsia="de-DE"/>
              </w:rPr>
            </w:pPr>
            <w:r w:rsidRPr="00B3383B">
              <w:rPr>
                <w:rFonts w:asciiTheme="majorBidi" w:hAnsiTheme="majorBidi" w:cstheme="majorBidi"/>
                <w:color w:val="000000" w:themeColor="text1"/>
                <w:sz w:val="20"/>
                <w:szCs w:val="20"/>
                <w:lang w:val="en-US" w:eastAsia="de-DE"/>
              </w:rPr>
              <w:t>(p)  Social recognition</w:t>
            </w:r>
          </w:p>
        </w:tc>
        <w:tc>
          <w:tcPr>
            <w:tcW w:w="2127" w:type="dxa"/>
            <w:vMerge/>
            <w:tcMar>
              <w:top w:w="100" w:type="dxa"/>
              <w:left w:w="100" w:type="dxa"/>
              <w:bottom w:w="100" w:type="dxa"/>
              <w:right w:w="100" w:type="dxa"/>
            </w:tcMar>
          </w:tcPr>
          <w:p w14:paraId="10096EC0" w14:textId="77777777" w:rsidR="0081052F" w:rsidRPr="00ED7E61" w:rsidRDefault="0081052F" w:rsidP="00395866">
            <w:pPr>
              <w:contextualSpacing/>
              <w:rPr>
                <w:rFonts w:asciiTheme="majorBidi" w:hAnsiTheme="majorBidi" w:cstheme="majorBidi"/>
                <w:color w:val="000000" w:themeColor="text1"/>
                <w:sz w:val="22"/>
                <w:szCs w:val="22"/>
                <w:lang w:val="en-US"/>
              </w:rPr>
            </w:pPr>
          </w:p>
        </w:tc>
      </w:tr>
    </w:tbl>
    <w:p w14:paraId="41F047C6" w14:textId="39646C07" w:rsidR="0081052F" w:rsidRPr="00ED7E61" w:rsidRDefault="0081052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In light of all of the above, the headline indicator is computed in three stages 1) selection of types of non-monetary benefits for inclusion in the indicator, 2) compilation of information, and 3) resulting aggregations and disa</w:t>
      </w:r>
      <w:r w:rsidR="00930026">
        <w:rPr>
          <w:color w:val="000000" w:themeColor="text1"/>
          <w:lang w:val="en-US" w:eastAsia="de-DE"/>
        </w:rPr>
        <w:t>g</w:t>
      </w:r>
      <w:r w:rsidRPr="00ED7E61">
        <w:rPr>
          <w:color w:val="000000" w:themeColor="text1"/>
          <w:lang w:val="en-US" w:eastAsia="de-DE"/>
        </w:rPr>
        <w:t>gregations.</w:t>
      </w:r>
    </w:p>
    <w:p w14:paraId="39FE5F9B"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EA68DA1" w14:textId="77777777" w:rsidR="0081052F" w:rsidRPr="00ED7E61" w:rsidRDefault="0081052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 xml:space="preserve">This information will be collected through the national reporting under the Convention where Parties report which non-monetary benefits they have received.  The reporting should at a minimum include: </w:t>
      </w:r>
    </w:p>
    <w:p w14:paraId="06944EE8" w14:textId="77777777"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Number of research and development results arising from ABS instruments (globally aggregated and subsequently pre-populated into national reports)</w:t>
      </w:r>
    </w:p>
    <w:p w14:paraId="02A3BFAD" w14:textId="1B21F237"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Number of joint scientific publications arising from ABS instruments with authors from the provider country, where appropriate (globally aggregated and subsequently pre-populated into national reports)</w:t>
      </w:r>
    </w:p>
    <w:p w14:paraId="5EFCF576" w14:textId="0055ECD8"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Number of scientific publications relevant to conservation, sustainable use, food security, and public health arising from ABS instruments (globally aggregated and subsequently pre-populated into national reports)</w:t>
      </w:r>
    </w:p>
    <w:p w14:paraId="296190C1" w14:textId="77777777"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Number of technology transfer events arising from ABS instruments (nationally collected)</w:t>
      </w:r>
      <w:bookmarkStart w:id="36" w:name="_Hlk161646498"/>
      <w:r w:rsidRPr="00ED7E61">
        <w:rPr>
          <w:rStyle w:val="normaltextrun"/>
          <w:rFonts w:eastAsiaTheme="majorEastAsia"/>
        </w:rPr>
        <w:t xml:space="preserve"> </w:t>
      </w:r>
      <w:bookmarkEnd w:id="36"/>
    </w:p>
    <w:p w14:paraId="1EFB0146" w14:textId="77777777"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Number of projects contributing to sustainable development arising from ABS instruments (nationally collected) </w:t>
      </w:r>
    </w:p>
    <w:p w14:paraId="1E6CA702" w14:textId="77777777"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Indicator related to capacity-building and development as part of the non-monetary benefits arising from ABS instruments (TBD)</w:t>
      </w:r>
    </w:p>
    <w:p w14:paraId="1410D168" w14:textId="45E2DC17" w:rsidR="0081052F" w:rsidRPr="00ED7E61" w:rsidRDefault="0081052F" w:rsidP="00267162">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643E350E" w14:textId="77777777" w:rsidR="0081052F" w:rsidRPr="00ED7E61" w:rsidRDefault="0081052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 xml:space="preserve">This methodology is available online and more information can be found in CBD/SBSTTA/26/INF/12. </w:t>
      </w:r>
    </w:p>
    <w:p w14:paraId="418655B8"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p>
    <w:p w14:paraId="59934271"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40A6AB04" w14:textId="2051DE0E" w:rsidR="00172A35" w:rsidRPr="00ED7E61" w:rsidRDefault="00CB0D9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 xml:space="preserve">To be able to report on indicators measured at the national level for bilateral benefit-sharing, it is necessary that countries implement tools that facilitate collection, compilation and report of information in accordance with national legislation. </w:t>
      </w:r>
    </w:p>
    <w:p w14:paraId="5F08F8BE" w14:textId="1A25AD9C" w:rsidR="00CB0D9F" w:rsidRPr="00ED7E61" w:rsidRDefault="00CB0D9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 xml:space="preserve">Compilation of information for the globally collected types of non-monetary benefits will use, subject to the availability of funds, the initial methodology and prototype databases developed by the Leibniz Institute DSMZ within the Examining Trends in Non-Monetary Benefit-Sharing project (funded by the German Federal Agency of Nature Conservation. </w:t>
      </w:r>
    </w:p>
    <w:p w14:paraId="763B87DB" w14:textId="5C9119FD" w:rsidR="00CB0D9F" w:rsidRPr="00ED7E61" w:rsidRDefault="00CB0D9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 xml:space="preserve">This project has developed methods and a pilot database to quantify the three proposed required non-monetary benefits based on the robustness of the scientific publication ecosystem. A database of publications in which an ABS permit is directly listed (cited) in the text of the publication can provide quantification of the three proposed indicators. In order for these methods to capture more data, Parties to the </w:t>
      </w:r>
      <w:r w:rsidR="00267162" w:rsidRPr="00ED7E61">
        <w:rPr>
          <w:color w:val="000000" w:themeColor="text1"/>
          <w:lang w:val="en-US" w:eastAsia="de-DE"/>
        </w:rPr>
        <w:t xml:space="preserve">Nagoya </w:t>
      </w:r>
      <w:r w:rsidR="00DE7CC0" w:rsidRPr="00ED7E61">
        <w:rPr>
          <w:color w:val="000000" w:themeColor="text1"/>
          <w:lang w:val="en-US" w:eastAsia="de-DE"/>
        </w:rPr>
        <w:t>Protocol</w:t>
      </w:r>
      <w:r w:rsidRPr="00ED7E61">
        <w:rPr>
          <w:color w:val="000000" w:themeColor="text1"/>
          <w:lang w:val="en-US" w:eastAsia="de-DE"/>
        </w:rPr>
        <w:t xml:space="preserve"> must fulfill their obligation</w:t>
      </w:r>
      <w:r w:rsidRPr="00FB1598">
        <w:rPr>
          <w:color w:val="000000" w:themeColor="text1"/>
          <w:vertAlign w:val="superscript"/>
          <w:lang w:val="en-US" w:eastAsia="de-DE"/>
        </w:rPr>
        <w:footnoteReference w:id="30"/>
      </w:r>
      <w:r w:rsidRPr="00ED7E61">
        <w:rPr>
          <w:color w:val="000000" w:themeColor="text1"/>
          <w:lang w:val="en-US" w:eastAsia="de-DE"/>
        </w:rPr>
        <w:t xml:space="preserve"> to generate IRCCs and scientific practices for citing IRCCs or ABS permits codes in scientific publications need to be better standardized. Making this information available to countries would help reinforce the national systems for monitoring the utilization of genetic resources, as well as help to make the contribution of ABS towards conservation, sustainable use and the advancement of science and research more visible.  </w:t>
      </w:r>
    </w:p>
    <w:p w14:paraId="64D7DFE8" w14:textId="3467AE4C" w:rsidR="00CB0D9F" w:rsidRPr="00ED7E61" w:rsidRDefault="00CB0D9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The information collected globally will be disaggregated to the national level and made available for countries to report on in their national reports. This approach would be an efficient use of resources and avoid the need for every country to build up a national database to keep track of some types of non-monetary benefits (research results, international collaborations, and research focused on priority areas resulting from ABS agreements).</w:t>
      </w:r>
      <w:r w:rsidR="00267162" w:rsidRPr="00ED7E61">
        <w:rPr>
          <w:color w:val="000000" w:themeColor="text1"/>
          <w:lang w:val="en-US" w:eastAsia="de-DE"/>
        </w:rPr>
        <w:t xml:space="preserve"> </w:t>
      </w:r>
      <w:r w:rsidRPr="00ED7E61">
        <w:rPr>
          <w:color w:val="000000" w:themeColor="text1"/>
          <w:lang w:val="en-US" w:eastAsia="de-DE"/>
        </w:rPr>
        <w:t>However, if the methodology is used for the collection of information, its sustainability and continuity should be ensured.</w:t>
      </w:r>
    </w:p>
    <w:p w14:paraId="7D5A1841" w14:textId="08A6A439" w:rsidR="00CB0D9F" w:rsidRPr="00ED7E61" w:rsidRDefault="00CB0D9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 xml:space="preserve">Compilation of information for other types of non-monetary benefits received bilaterally would be done at national level. Most countries mentioned receiving non-monetary benefits. However, the data on non-monetary benefits is not generally compiled or readily available and for many countries reporting this information may be challenging, particularly when the national systems recognize different providers for </w:t>
      </w:r>
      <w:r w:rsidR="00267162" w:rsidRPr="00ED7E61">
        <w:rPr>
          <w:color w:val="000000" w:themeColor="text1"/>
          <w:lang w:val="en-US" w:eastAsia="de-DE"/>
        </w:rPr>
        <w:t xml:space="preserve">genetic resources </w:t>
      </w:r>
      <w:r w:rsidRPr="00ED7E61">
        <w:rPr>
          <w:color w:val="000000" w:themeColor="text1"/>
          <w:lang w:val="en-US" w:eastAsia="de-DE"/>
        </w:rPr>
        <w:t xml:space="preserve">and </w:t>
      </w:r>
      <w:r w:rsidR="00267162" w:rsidRPr="00ED7E61">
        <w:rPr>
          <w:color w:val="000000" w:themeColor="text1"/>
          <w:lang w:val="en-US" w:eastAsia="de-DE"/>
        </w:rPr>
        <w:t xml:space="preserve">associated traditional knowledge </w:t>
      </w:r>
      <w:r w:rsidRPr="00ED7E61">
        <w:rPr>
          <w:color w:val="000000" w:themeColor="text1"/>
          <w:lang w:val="en-US" w:eastAsia="de-DE"/>
        </w:rPr>
        <w:t>and different beneficiaries.</w:t>
      </w:r>
    </w:p>
    <w:p w14:paraId="046175D2" w14:textId="7BF6D853" w:rsidR="00CB0D9F" w:rsidRPr="00ED7E61" w:rsidRDefault="00CB0D9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Some recommendations also included in the methodology for C1 above could help Parties reporting on non-monetary benefits:</w:t>
      </w:r>
    </w:p>
    <w:p w14:paraId="36473AD8" w14:textId="084BCC7B" w:rsidR="00CB0D9F" w:rsidRPr="00ED7E61" w:rsidRDefault="00CB0D9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For countries that have multiple authorities involved in negotiating </w:t>
      </w:r>
      <w:r w:rsidR="00267162" w:rsidRPr="00ED7E61">
        <w:rPr>
          <w:rStyle w:val="normaltextrun"/>
          <w:rFonts w:eastAsiaTheme="majorEastAsia"/>
        </w:rPr>
        <w:t xml:space="preserve">prior informed consent </w:t>
      </w:r>
      <w:r w:rsidRPr="00ED7E61">
        <w:rPr>
          <w:rStyle w:val="normaltextrun"/>
          <w:rFonts w:eastAsiaTheme="majorEastAsia"/>
        </w:rPr>
        <w:t xml:space="preserve">and </w:t>
      </w:r>
      <w:r w:rsidR="00267162" w:rsidRPr="00ED7E61">
        <w:rPr>
          <w:rStyle w:val="normaltextrun"/>
          <w:rFonts w:eastAsiaTheme="majorEastAsia"/>
        </w:rPr>
        <w:t>mutually agreed terms</w:t>
      </w:r>
      <w:r w:rsidRPr="00ED7E61">
        <w:rPr>
          <w:rStyle w:val="normaltextrun"/>
          <w:rFonts w:eastAsiaTheme="majorEastAsia"/>
        </w:rPr>
        <w:t xml:space="preserve">, they might consider including in their MAT clauses that obligate a user to report to a single centralized national authority for benefits even if they are shared with multiple beneficiaries. </w:t>
      </w:r>
    </w:p>
    <w:p w14:paraId="65A93A92" w14:textId="6029F05C" w:rsidR="00CB0D9F" w:rsidRPr="00ED7E61" w:rsidRDefault="00CB0D9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A national data management system (e.g. a virtual platform or system appropriate for the national circumstances) where all information in the reporting process on benefits is stored and information is managed.  Data management systems for ABS agreements granting and benefits reporting are a good tool to monitor benefit-sharing at national level and could potentially generate reminders about check in and reporting duties of users of </w:t>
      </w:r>
      <w:r w:rsidR="00267162" w:rsidRPr="00ED7E61">
        <w:rPr>
          <w:rStyle w:val="normaltextrun"/>
          <w:rFonts w:eastAsiaTheme="majorEastAsia"/>
        </w:rPr>
        <w:t xml:space="preserve">genetic resources </w:t>
      </w:r>
      <w:r w:rsidRPr="00ED7E61">
        <w:rPr>
          <w:rStyle w:val="normaltextrun"/>
          <w:rFonts w:eastAsiaTheme="majorEastAsia"/>
        </w:rPr>
        <w:t xml:space="preserve">or </w:t>
      </w:r>
      <w:r w:rsidR="00267162" w:rsidRPr="00ED7E61">
        <w:rPr>
          <w:rStyle w:val="normaltextrun"/>
          <w:rFonts w:eastAsiaTheme="majorEastAsia"/>
        </w:rPr>
        <w:t>associated traditional knowledge</w:t>
      </w:r>
      <w:r w:rsidRPr="00ED7E61">
        <w:rPr>
          <w:rStyle w:val="normaltextrun"/>
          <w:rFonts w:eastAsiaTheme="majorEastAsia"/>
        </w:rPr>
        <w:t xml:space="preserve">. Some countries have already introduced national virtual systems to apply for access to </w:t>
      </w:r>
      <w:r w:rsidR="00267162" w:rsidRPr="00ED7E61">
        <w:rPr>
          <w:rStyle w:val="normaltextrun"/>
          <w:rFonts w:eastAsiaTheme="majorEastAsia"/>
        </w:rPr>
        <w:t xml:space="preserve">genetic resources </w:t>
      </w:r>
      <w:r w:rsidRPr="00ED7E61">
        <w:rPr>
          <w:rStyle w:val="normaltextrun"/>
          <w:rFonts w:eastAsiaTheme="majorEastAsia"/>
        </w:rPr>
        <w:t>and report on benefit-sharing. Once the application is successfully processed, the corresponding permit is granted and uploaded to the platform. The commitments on both monetary and non-monetary benefit sharing and corresponding deadlines are also programmed in the system, which will send out reminders to users on reporting obligations for the concluded benefit-sharing activities. The users can upload benefit-sharing reports (e.g. research results or capacity building reports) and appropriate information to support the report. The design of these repositories can include different information and disaggregation according to national priorities and legislation, while bearing mind the needs for reporting at international level.</w:t>
      </w:r>
    </w:p>
    <w:p w14:paraId="530C9C90" w14:textId="67E61FED" w:rsidR="00CB0D9F" w:rsidRPr="00ED7E61" w:rsidRDefault="00CB0D9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 xml:space="preserve">The recommendations could also help strengthen national ABS systems. A better understanding of benefits received would help countries to measure the effectiveness of their ABS system and mobilize political will and resources for implementing Target 13 and achieve Goal C of the </w:t>
      </w:r>
      <w:r w:rsidR="00267162" w:rsidRPr="00ED7E61">
        <w:rPr>
          <w:color w:val="000000" w:themeColor="text1"/>
          <w:lang w:val="en-US" w:eastAsia="de-DE"/>
        </w:rPr>
        <w:t>Kunming-Montreal Global Biodiversity Framework</w:t>
      </w:r>
      <w:r w:rsidRPr="00ED7E61">
        <w:rPr>
          <w:color w:val="000000" w:themeColor="text1"/>
          <w:lang w:val="en-US" w:eastAsia="de-DE"/>
        </w:rPr>
        <w:t xml:space="preserve">. </w:t>
      </w:r>
    </w:p>
    <w:p w14:paraId="3DC0D986" w14:textId="6262B730" w:rsidR="00CB0D9F" w:rsidRPr="00ED7E61" w:rsidRDefault="00CB0D9F" w:rsidP="00B10F0C">
      <w:pPr>
        <w:pStyle w:val="CBDNormalNumber"/>
        <w:numPr>
          <w:ilvl w:val="0"/>
          <w:numId w:val="64"/>
        </w:numPr>
        <w:ind w:left="567" w:firstLine="0"/>
        <w:rPr>
          <w:rFonts w:asciiTheme="majorBidi" w:hAnsiTheme="majorBidi" w:cstheme="majorBidi"/>
        </w:rPr>
      </w:pPr>
      <w:r w:rsidRPr="00ED7E61">
        <w:rPr>
          <w:color w:val="000000" w:themeColor="text1"/>
          <w:lang w:val="en-US" w:eastAsia="de-DE"/>
        </w:rPr>
        <w:t>As an alternative or complementary approach, Parties could also decide to establish a global standardized reporting system for non-monetary benefits by users of genetic resources and associated traditional knowledge. This reporting tool would enable users to report on the</w:t>
      </w:r>
      <w:r w:rsidRPr="00ED7E61">
        <w:rPr>
          <w:rFonts w:asciiTheme="majorBidi" w:hAnsiTheme="majorBidi" w:cstheme="majorBidi"/>
        </w:rPr>
        <w:t xml:space="preserve"> benefits shared in their work under an ABS agreement. The information collected and disaggregated by country could be shared with countries for their consideration in their reporting under the different types of non-monetary benefits included in their reporting.</w:t>
      </w:r>
    </w:p>
    <w:p w14:paraId="2A65CD1C" w14:textId="459EE9C2" w:rsidR="00CB0D9F" w:rsidRPr="00ED7E61" w:rsidRDefault="00CB0D9F" w:rsidP="00B10F0C">
      <w:pPr>
        <w:pStyle w:val="CBDNormalNumber"/>
        <w:numPr>
          <w:ilvl w:val="0"/>
          <w:numId w:val="64"/>
        </w:numPr>
        <w:ind w:left="567" w:firstLine="0"/>
        <w:rPr>
          <w:color w:val="000000" w:themeColor="text1"/>
          <w:lang w:val="en-US" w:eastAsia="de-DE"/>
        </w:rPr>
      </w:pPr>
      <w:r w:rsidRPr="00ED7E61">
        <w:rPr>
          <w:color w:val="000000" w:themeColor="text1"/>
          <w:lang w:val="en-US" w:eastAsia="de-DE"/>
        </w:rPr>
        <w:t>The methodology proposed for globally collected non-monetary benefits can either be expanded to include non-monetary benefit arising from other international ABS Instruments (</w:t>
      </w:r>
      <w:r w:rsidR="006B30FE">
        <w:rPr>
          <w:rStyle w:val="normaltextrun"/>
          <w:rFonts w:eastAsiaTheme="majorEastAsia"/>
        </w:rPr>
        <w:t>I</w:t>
      </w:r>
      <w:r w:rsidR="006B30FE" w:rsidRPr="003D4EC6">
        <w:rPr>
          <w:rStyle w:val="normaltextrun"/>
          <w:rFonts w:eastAsiaTheme="majorEastAsia"/>
        </w:rPr>
        <w:t>nternational Treaty on Plant Genetic Resources for Food and Agriculture</w:t>
      </w:r>
      <w:r w:rsidR="006B30FE" w:rsidRPr="00ED7E61" w:rsidDel="006B30FE">
        <w:rPr>
          <w:color w:val="000000" w:themeColor="text1"/>
          <w:lang w:val="en-US" w:eastAsia="de-DE"/>
        </w:rPr>
        <w:t xml:space="preserve"> </w:t>
      </w:r>
      <w:r w:rsidRPr="00ED7E61">
        <w:rPr>
          <w:color w:val="000000" w:themeColor="text1"/>
          <w:lang w:val="en-US" w:eastAsia="de-DE"/>
        </w:rPr>
        <w:t>and others) or the secretariats of the relevant treaties as decided by their relevant governing bodies can compile the data and share it with countries, as appropriate.</w:t>
      </w:r>
    </w:p>
    <w:p w14:paraId="55710386"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6BA0FF13" w14:textId="3826ED25" w:rsidR="0081052F" w:rsidRPr="00ED7E61" w:rsidRDefault="0081052F" w:rsidP="00B10F0C">
      <w:pPr>
        <w:pStyle w:val="CBDNormalNumber"/>
        <w:numPr>
          <w:ilvl w:val="0"/>
          <w:numId w:val="64"/>
        </w:numPr>
        <w:ind w:left="567" w:firstLine="0"/>
        <w:rPr>
          <w:rFonts w:asciiTheme="majorBidi" w:hAnsiTheme="majorBidi" w:cstheme="majorBidi"/>
        </w:rPr>
      </w:pPr>
      <w:r w:rsidRPr="00ED7E61">
        <w:t>This data will be collected through national reports as per the timing of those reports. Parties could share data through their national CHMs</w:t>
      </w:r>
      <w:r w:rsidR="004518E1" w:rsidRPr="00ED7E61">
        <w:t>, ABS CHs</w:t>
      </w:r>
      <w:r w:rsidRPr="00ED7E61">
        <w:t xml:space="preserve"> and other national data portals on an annual basis. </w:t>
      </w:r>
    </w:p>
    <w:p w14:paraId="1A665C1D"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3E880B3" w14:textId="77777777" w:rsidR="0081052F" w:rsidRPr="00ED7E61" w:rsidRDefault="0081052F" w:rsidP="00B10F0C">
      <w:pPr>
        <w:pStyle w:val="CBDNormalNumber"/>
        <w:numPr>
          <w:ilvl w:val="0"/>
          <w:numId w:val="64"/>
        </w:numPr>
        <w:ind w:left="567" w:firstLine="0"/>
      </w:pPr>
      <w:r w:rsidRPr="00ED7E61">
        <w:t>Not currently available.</w:t>
      </w:r>
    </w:p>
    <w:p w14:paraId="699E4DC2"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7919F98B" w14:textId="2F35F418" w:rsidR="0081052F" w:rsidRPr="00ED7E61" w:rsidRDefault="0081052F" w:rsidP="00B10F0C">
      <w:pPr>
        <w:pStyle w:val="CBDNormalNumber"/>
        <w:numPr>
          <w:ilvl w:val="0"/>
          <w:numId w:val="64"/>
        </w:numPr>
        <w:ind w:left="567" w:firstLine="0"/>
      </w:pPr>
      <w:r w:rsidRPr="00ED7E61">
        <w:t xml:space="preserve">Parties should report the data directly with some global data available </w:t>
      </w:r>
      <w:r w:rsidR="004518E1" w:rsidRPr="00ED7E61">
        <w:t xml:space="preserve">on the number of research publications. </w:t>
      </w:r>
      <w:r w:rsidRPr="00ED7E61">
        <w:t xml:space="preserve"> </w:t>
      </w:r>
    </w:p>
    <w:p w14:paraId="7487432D"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13FCC0BD" w14:textId="77777777" w:rsidR="00CB0D9F" w:rsidRPr="00ED7E61" w:rsidRDefault="00CB0D9F" w:rsidP="00B10F0C">
      <w:pPr>
        <w:pStyle w:val="CBDNormalNumber"/>
        <w:numPr>
          <w:ilvl w:val="0"/>
          <w:numId w:val="64"/>
        </w:numPr>
        <w:ind w:left="567" w:firstLine="0"/>
      </w:pPr>
      <w:r w:rsidRPr="00ED7E61">
        <w:t>At the global level, the Secretariat of the Convention on Biological Diversity will compile the data. Compilation of information for the globally collected types of non-monetary benefits under the CBD and the Nagoya Protocol will use the methodology developed by the Leibniz Institute DSMZ within the Examining Trends in Non-Monetary Benefit-Sharing project (funded through 2025 by the German Federal Agency of Nature Conservation). The Secretariat will work with Leibniz Institute DSMZ on this.</w:t>
      </w:r>
    </w:p>
    <w:p w14:paraId="627AD1D3" w14:textId="77777777" w:rsidR="00CB0D9F" w:rsidRPr="00ED7E61" w:rsidRDefault="00CB0D9F" w:rsidP="00B10F0C">
      <w:pPr>
        <w:pStyle w:val="CBDNormalNumber"/>
        <w:numPr>
          <w:ilvl w:val="0"/>
          <w:numId w:val="64"/>
        </w:numPr>
        <w:ind w:left="567" w:firstLine="0"/>
      </w:pPr>
      <w:r w:rsidRPr="00ED7E61">
        <w:t xml:space="preserve">The information collected globally will be disaggregated to the national level and made available for countries to report on in their national reports (and NBSAPs). This approach would be an efficient use of resources and avoid the need for every country to build up a national database to keep track of some types of non-monetary benefits (research results, international collaborations, and research focused on priority areas resulting from ABS agreements). </w:t>
      </w:r>
    </w:p>
    <w:p w14:paraId="52022253"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0DD083DF" w14:textId="182A7A9A" w:rsidR="00CB0D9F" w:rsidRPr="00ED7E61" w:rsidRDefault="00CB0D9F" w:rsidP="00B10F0C">
      <w:pPr>
        <w:pStyle w:val="CBDNormalNumber"/>
        <w:numPr>
          <w:ilvl w:val="0"/>
          <w:numId w:val="64"/>
        </w:numPr>
        <w:ind w:left="567" w:firstLine="0"/>
      </w:pPr>
      <w:r w:rsidRPr="00ED7E61">
        <w:t>As mentioned above national data compilation for bilateral benefits may be challenging due to the existing systems for recording data, confidentiality issues and national capacity and as the compilation of data was not mandatory nor foreseen by the CBD or Nagoya Protocol.</w:t>
      </w:r>
    </w:p>
    <w:p w14:paraId="197D34A9"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7359F4AF" w14:textId="5E5B45B6" w:rsidR="0081052F" w:rsidRPr="00ED7E61" w:rsidRDefault="0081052F" w:rsidP="00B10F0C">
      <w:pPr>
        <w:pStyle w:val="CBDNormalNumber"/>
        <w:numPr>
          <w:ilvl w:val="0"/>
          <w:numId w:val="64"/>
        </w:numPr>
        <w:ind w:left="567" w:firstLine="0"/>
      </w:pPr>
      <w:r w:rsidRPr="00ED7E61">
        <w:t>Missing data should not be i</w:t>
      </w:r>
      <w:r w:rsidR="0028566A">
        <w:t>m</w:t>
      </w:r>
      <w:r w:rsidRPr="00ED7E61">
        <w:t>puted.</w:t>
      </w:r>
    </w:p>
    <w:p w14:paraId="5D0CCDBE"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4F3DC8B7" w14:textId="77777777" w:rsidR="0081052F" w:rsidRPr="00ED7E61" w:rsidRDefault="0081052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1049F464"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003166FD"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National</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0248B668" w14:textId="77777777" w:rsidR="0081052F" w:rsidRPr="00ED7E61" w:rsidRDefault="0081052F" w:rsidP="00B10F0C">
      <w:pPr>
        <w:pStyle w:val="CBDNormalNumber"/>
        <w:numPr>
          <w:ilvl w:val="0"/>
          <w:numId w:val="64"/>
        </w:numPr>
        <w:ind w:left="567" w:firstLine="0"/>
      </w:pPr>
      <w:r w:rsidRPr="00ED7E61">
        <w:t>Scale of data disaggregation/aggregation:  </w:t>
      </w:r>
    </w:p>
    <w:p w14:paraId="3A8A53A1" w14:textId="77777777"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Global/ regional scale indicator can be disaggregated to national level: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67B710E7" w14:textId="77777777" w:rsidR="0081052F" w:rsidRPr="00ED7E61" w:rsidRDefault="0081052F" w:rsidP="00B10F0C">
      <w:pPr>
        <w:pStyle w:val="CBDNormalNumber"/>
        <w:numPr>
          <w:ilvl w:val="1"/>
          <w:numId w:val="6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National data is collated to form global indicator: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75106E7E" w14:textId="77777777" w:rsidR="0081052F" w:rsidRPr="00ED7E61" w:rsidRDefault="0081052F" w:rsidP="00B10F0C">
      <w:pPr>
        <w:pStyle w:val="CBDNormalNumber"/>
        <w:numPr>
          <w:ilvl w:val="0"/>
          <w:numId w:val="64"/>
        </w:numPr>
        <w:ind w:left="567" w:firstLine="0"/>
      </w:pPr>
      <w:r w:rsidRPr="00ED7E61">
        <w:t>The indicator is available for use at the national, regional and global level. However, regional and global aggregation may have some gaps.</w:t>
      </w:r>
    </w:p>
    <w:p w14:paraId="126BCC4A"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4C88F7BE" w14:textId="77777777" w:rsidR="0081052F" w:rsidRPr="00ED7E61" w:rsidRDefault="0081052F" w:rsidP="00B10F0C">
      <w:pPr>
        <w:pStyle w:val="CBDNormalNumber"/>
        <w:numPr>
          <w:ilvl w:val="0"/>
          <w:numId w:val="64"/>
        </w:numPr>
        <w:ind w:left="567" w:firstLine="0"/>
      </w:pPr>
      <w:r w:rsidRPr="00ED7E61">
        <w:t>This data would be compiled and reported at the national level.</w:t>
      </w:r>
    </w:p>
    <w:p w14:paraId="3D950B17"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19D74DBF" w14:textId="457BBE46" w:rsidR="0081052F" w:rsidRPr="00ED7E61" w:rsidRDefault="0081052F" w:rsidP="00B10F0C">
      <w:pPr>
        <w:pStyle w:val="CBDNormalNumber"/>
        <w:numPr>
          <w:ilvl w:val="0"/>
          <w:numId w:val="64"/>
        </w:numPr>
        <w:ind w:left="567" w:firstLine="0"/>
      </w:pPr>
      <w:r w:rsidRPr="00ED7E61">
        <w:t>The information on the number of publications which will be estimated using the Leibniz Institute DSMZ methodology</w:t>
      </w:r>
      <w:r w:rsidR="005B6436" w:rsidRPr="00ED7E61">
        <w:t>,</w:t>
      </w:r>
      <w:r w:rsidRPr="00ED7E61">
        <w:t xml:space="preserve"> </w:t>
      </w:r>
      <w:r w:rsidR="00AA147C" w:rsidRPr="00ED7E61">
        <w:t xml:space="preserve">which </w:t>
      </w:r>
      <w:r w:rsidRPr="00ED7E61">
        <w:t>may differ from national estimates of the number of publications. This could be due to including different publication databases in the search</w:t>
      </w:r>
      <w:r w:rsidR="003B7C81" w:rsidRPr="00ED7E61">
        <w:t xml:space="preserve"> or different publication availabilities</w:t>
      </w:r>
      <w:r w:rsidRPr="00ED7E61">
        <w:t>. Parties should use national data if available.</w:t>
      </w:r>
    </w:p>
    <w:p w14:paraId="73CE4A70"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4C0A916A" w14:textId="77777777" w:rsidR="0081052F" w:rsidRPr="00ED7E61" w:rsidRDefault="0081052F" w:rsidP="00B10F0C">
      <w:pPr>
        <w:pStyle w:val="CBDNormalNumber"/>
        <w:numPr>
          <w:ilvl w:val="0"/>
          <w:numId w:val="64"/>
        </w:numPr>
        <w:ind w:left="567" w:firstLine="0"/>
      </w:pPr>
      <w:r w:rsidRPr="00ED7E61">
        <w:t xml:space="preserve">Data could be aggregated from national reports depending on the data received. For the research publications, global level estimates are available. </w:t>
      </w:r>
    </w:p>
    <w:p w14:paraId="4C796A8C" w14:textId="46563075"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w:t>
      </w:r>
      <w:r w:rsidR="00B10F0C">
        <w:rPr>
          <w:rStyle w:val="normaltextrun"/>
          <w:rFonts w:asciiTheme="majorBidi" w:eastAsiaTheme="majorEastAsia" w:hAnsiTheme="majorBidi" w:cstheme="majorBidi"/>
          <w:b/>
          <w:bCs/>
          <w:sz w:val="22"/>
          <w:szCs w:val="22"/>
        </w:rPr>
        <w:t>z</w:t>
      </w:r>
      <w:r w:rsidRPr="00ED7E61">
        <w:rPr>
          <w:rStyle w:val="normaltextrun"/>
          <w:rFonts w:asciiTheme="majorBidi" w:eastAsiaTheme="majorEastAsia" w:hAnsiTheme="majorBidi" w:cstheme="majorBidi"/>
          <w:b/>
          <w:bCs/>
          <w:sz w:val="22"/>
          <w:szCs w:val="22"/>
        </w:rPr>
        <w:t>ations</w:t>
      </w:r>
      <w:r w:rsidRPr="00ED7E61">
        <w:rPr>
          <w:rStyle w:val="eop"/>
          <w:rFonts w:asciiTheme="majorBidi" w:eastAsiaTheme="majorEastAsia" w:hAnsiTheme="majorBidi" w:cstheme="majorBidi"/>
          <w:sz w:val="22"/>
          <w:szCs w:val="22"/>
        </w:rPr>
        <w:t> </w:t>
      </w:r>
    </w:p>
    <w:p w14:paraId="68F94AEF"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6017B592" w14:textId="2713877D" w:rsidR="00CB0D9F" w:rsidRPr="00ED7E61" w:rsidRDefault="00CB0D9F" w:rsidP="00B10F0C">
      <w:pPr>
        <w:pStyle w:val="CBDNormalNumber"/>
        <w:numPr>
          <w:ilvl w:val="0"/>
          <w:numId w:val="64"/>
        </w:numPr>
        <w:ind w:left="567" w:firstLine="0"/>
      </w:pPr>
      <w:r w:rsidRPr="00ED7E61">
        <w:t>This data may also be reported in the national reports under the Nagoya Protocol on Access and Benefit-sharing and data sources to be identified for the International Treaty on Plant Genetic Resources for Food and Agriculture and other multilateral mechanisms on ABS (for example DSI, BBNJ or others) for the Parties to such instruments.</w:t>
      </w:r>
    </w:p>
    <w:p w14:paraId="63F9D595"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lang w:val="en-GB"/>
        </w:rPr>
      </w:pPr>
    </w:p>
    <w:p w14:paraId="02839544"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0D0206E8" w14:textId="77777777" w:rsidR="0081052F" w:rsidRPr="00ED7E61" w:rsidRDefault="0081052F" w:rsidP="00B3383B">
      <w:pPr>
        <w:pStyle w:val="CBDNormalNumber"/>
        <w:numPr>
          <w:ilvl w:val="0"/>
          <w:numId w:val="0"/>
        </w:numPr>
        <w:ind w:left="567"/>
        <w:rPr>
          <w:rFonts w:asciiTheme="majorBidi" w:hAnsiTheme="majorBidi" w:cstheme="majorBidi"/>
          <w:color w:val="0F4761"/>
        </w:rPr>
      </w:pPr>
      <w:r w:rsidRPr="00ED7E61">
        <w:rPr>
          <w:rStyle w:val="contentcontrolboundarysink"/>
          <w:rFonts w:asciiTheme="majorBidi" w:hAnsiTheme="majorBidi" w:cstheme="majorBidi"/>
        </w:rPr>
        <w:t>​​</w:t>
      </w:r>
      <w:r w:rsidRPr="00ED7E61">
        <w:rPr>
          <w:rStyle w:val="normaltextrun"/>
          <w:rFonts w:asciiTheme="majorBidi" w:eastAsiaTheme="majorEastAsia" w:hAnsiTheme="majorBidi" w:cstheme="majorBidi"/>
        </w:rPr>
        <w:t xml:space="preserve"> </w:t>
      </w:r>
      <w:r w:rsidRPr="00ED7E61">
        <w:t xml:space="preserve">No </w:t>
      </w:r>
    </w:p>
    <w:p w14:paraId="35E32E79" w14:textId="7D0B05A9"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047A9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047A9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3B18EEAF" w14:textId="7C7A9210" w:rsidR="00CB0D9F" w:rsidRPr="00ED7E61" w:rsidRDefault="00CB0D9F" w:rsidP="00B10F0C">
      <w:pPr>
        <w:pStyle w:val="CBDNormalNumber"/>
        <w:numPr>
          <w:ilvl w:val="0"/>
          <w:numId w:val="64"/>
        </w:numPr>
        <w:ind w:left="567" w:firstLine="0"/>
      </w:pPr>
      <w:r w:rsidRPr="00ED7E61">
        <w:t xml:space="preserve">Countries should be able to disaggregate the information on benefits by gender and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 xml:space="preserve">ommunities </w:t>
      </w:r>
      <w:r w:rsidRPr="00ED7E61">
        <w:t>if possible and by ABS instrument</w:t>
      </w:r>
    </w:p>
    <w:p w14:paraId="4A616CD6"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169917A0" w14:textId="77777777" w:rsidR="0081052F" w:rsidRPr="00ED7E61" w:rsidRDefault="0081052F" w:rsidP="00B10F0C">
      <w:pPr>
        <w:pStyle w:val="CBDNormalNumber"/>
        <w:numPr>
          <w:ilvl w:val="0"/>
          <w:numId w:val="64"/>
        </w:numPr>
        <w:ind w:left="567" w:firstLine="0"/>
      </w:pPr>
      <w:r w:rsidRPr="00ED7E61">
        <w:t xml:space="preserve">This indicator has linkages across the framework, including with Target 22. </w:t>
      </w:r>
    </w:p>
    <w:p w14:paraId="0A2C0C5A"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56E28726" w14:textId="2463794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B10F0C">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4B67AE52" w14:textId="77777777" w:rsidR="0081052F" w:rsidRPr="00ED7E61" w:rsidRDefault="0081052F" w:rsidP="00B3383B">
      <w:pPr>
        <w:pStyle w:val="CBDNormalNumber"/>
        <w:numPr>
          <w:ilvl w:val="0"/>
          <w:numId w:val="0"/>
        </w:numPr>
        <w:ind w:left="567"/>
      </w:pPr>
      <w:r w:rsidRPr="00ED7E61">
        <w:t>SCBD</w:t>
      </w:r>
    </w:p>
    <w:p w14:paraId="639760BF" w14:textId="77777777" w:rsidR="0081052F" w:rsidRPr="00ED7E61" w:rsidRDefault="0081052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41675AE0" w14:textId="77777777" w:rsidR="0081052F" w:rsidRPr="00ED7E61" w:rsidRDefault="0081052F" w:rsidP="00B3383B">
      <w:pPr>
        <w:pStyle w:val="CBDNormalNumber"/>
        <w:numPr>
          <w:ilvl w:val="0"/>
          <w:numId w:val="0"/>
        </w:numPr>
        <w:ind w:left="567"/>
      </w:pPr>
      <w:r w:rsidRPr="00ED7E61">
        <w:t>Jillian Campbell, SCBD, cambell7@un.org</w:t>
      </w:r>
    </w:p>
    <w:p w14:paraId="351614E6" w14:textId="77777777" w:rsidR="0081052F" w:rsidRPr="00ED7E61" w:rsidRDefault="0081052F" w:rsidP="00B3383B">
      <w:pPr>
        <w:pStyle w:val="CBDNormalNumber"/>
        <w:numPr>
          <w:ilvl w:val="0"/>
          <w:numId w:val="0"/>
        </w:numPr>
        <w:ind w:left="567"/>
        <w:rPr>
          <w:lang w:val="es-ES"/>
        </w:rPr>
      </w:pPr>
      <w:r w:rsidRPr="00ED7E61">
        <w:rPr>
          <w:lang w:val="es-ES"/>
        </w:rPr>
        <w:t xml:space="preserve">Beatriz Gomez, SCBD, beatriz.gomez@un.org </w:t>
      </w:r>
    </w:p>
    <w:p w14:paraId="2B2C8702" w14:textId="77777777" w:rsidR="0081052F" w:rsidRPr="00ED7E61" w:rsidRDefault="0081052F" w:rsidP="00B3383B">
      <w:pPr>
        <w:pStyle w:val="CBDNormalNumber"/>
        <w:numPr>
          <w:ilvl w:val="0"/>
          <w:numId w:val="0"/>
        </w:numPr>
        <w:ind w:left="567"/>
      </w:pPr>
      <w:r w:rsidRPr="00ED7E61">
        <w:t xml:space="preserve">Leibniz Institute DSMZ German Collection of Microorganisms and Cell Cultures Dr. Amber Hartman Scholz, (amber.h.scholz@dsmz.de) </w:t>
      </w:r>
    </w:p>
    <w:p w14:paraId="66442E31" w14:textId="054260CF" w:rsidR="0081052F" w:rsidRPr="00FB1598" w:rsidRDefault="0081052F" w:rsidP="00B3383B">
      <w:pPr>
        <w:pStyle w:val="CBDNormalNumber"/>
        <w:numPr>
          <w:ilvl w:val="0"/>
          <w:numId w:val="0"/>
        </w:numPr>
        <w:ind w:left="567"/>
        <w:rPr>
          <w:lang w:val="en-CA"/>
        </w:rPr>
      </w:pPr>
      <w:r w:rsidRPr="00FB1598">
        <w:rPr>
          <w:lang w:val="en-CA"/>
        </w:rPr>
        <w:t xml:space="preserve">Daniele Manzella, </w:t>
      </w:r>
      <w:r w:rsidR="006B30FE">
        <w:rPr>
          <w:rStyle w:val="normaltextrun"/>
          <w:rFonts w:eastAsiaTheme="majorEastAsia"/>
        </w:rPr>
        <w:t>I</w:t>
      </w:r>
      <w:r w:rsidR="006B30FE" w:rsidRPr="003D4EC6">
        <w:rPr>
          <w:rStyle w:val="normaltextrun"/>
          <w:rFonts w:eastAsiaTheme="majorEastAsia"/>
        </w:rPr>
        <w:t>nternational Treaty on Plant Genetic Resources for Food and Agriculture</w:t>
      </w:r>
      <w:r w:rsidR="006B30FE" w:rsidRPr="00FB1598" w:rsidDel="006B30FE">
        <w:rPr>
          <w:lang w:val="en-CA"/>
        </w:rPr>
        <w:t xml:space="preserve"> </w:t>
      </w:r>
      <w:r w:rsidRPr="00FB1598">
        <w:rPr>
          <w:lang w:val="en-CA"/>
        </w:rPr>
        <w:t>Secretariat, Daniele.Manzella@fao.org</w:t>
      </w:r>
    </w:p>
    <w:p w14:paraId="67C5E7A4" w14:textId="09515B40" w:rsidR="0081052F" w:rsidRPr="00ED7E61" w:rsidRDefault="0081052F" w:rsidP="00172A35">
      <w:pPr>
        <w:pStyle w:val="paragraph"/>
        <w:pBdr>
          <w:bottom w:val="single" w:sz="4" w:space="1" w:color="000000"/>
        </w:pBdr>
        <w:spacing w:before="0" w:beforeAutospacing="0" w:after="0" w:afterAutospacing="0"/>
        <w:textAlignment w:val="baseline"/>
        <w:rPr>
          <w:rFonts w:asciiTheme="majorBidi" w:hAnsiTheme="majorBidi" w:cstheme="majorBidi"/>
          <w:sz w:val="22"/>
          <w:szCs w:val="22"/>
          <w:lang w:val="en-US"/>
        </w:rPr>
      </w:pPr>
      <w:r w:rsidRPr="00ED7E61">
        <w:rPr>
          <w:rStyle w:val="normaltextrun"/>
          <w:rFonts w:asciiTheme="majorBidi" w:eastAsiaTheme="majorEastAsia" w:hAnsiTheme="majorBidi" w:cstheme="majorBidi"/>
          <w:b/>
          <w:bCs/>
          <w:sz w:val="22"/>
          <w:szCs w:val="22"/>
          <w:lang w:val="en-US"/>
        </w:rPr>
        <w:t>11. References</w:t>
      </w:r>
      <w:r w:rsidRPr="00ED7E61">
        <w:rPr>
          <w:rStyle w:val="eop"/>
          <w:rFonts w:asciiTheme="majorBidi" w:eastAsiaTheme="majorEastAsia" w:hAnsiTheme="majorBidi" w:cstheme="majorBidi"/>
          <w:sz w:val="22"/>
          <w:szCs w:val="22"/>
          <w:lang w:val="en-US"/>
        </w:rPr>
        <w:t> </w:t>
      </w:r>
    </w:p>
    <w:p w14:paraId="2E54624F" w14:textId="77777777" w:rsidR="0081052F" w:rsidRPr="00ED7E61" w:rsidRDefault="0081052F" w:rsidP="00B3383B">
      <w:pPr>
        <w:pStyle w:val="CBDNormalNumber"/>
        <w:numPr>
          <w:ilvl w:val="0"/>
          <w:numId w:val="0"/>
        </w:numPr>
        <w:ind w:left="567"/>
      </w:pPr>
      <w:r w:rsidRPr="00ED7E61">
        <w:t>United Nations Environment Programme. Convention on biological diversity [Internet]. 1992. Available from: https://wedocs.unep.org/20.500.11822/8340</w:t>
      </w:r>
    </w:p>
    <w:p w14:paraId="764C4178" w14:textId="77777777" w:rsidR="0081052F" w:rsidRPr="00ED7E61" w:rsidRDefault="0081052F" w:rsidP="00B3383B">
      <w:pPr>
        <w:pStyle w:val="CBDNormalNumber"/>
        <w:numPr>
          <w:ilvl w:val="0"/>
          <w:numId w:val="0"/>
        </w:numPr>
        <w:ind w:left="567"/>
      </w:pPr>
      <w:r w:rsidRPr="00ED7E61">
        <w:t>Conference of the Parties to the Convention on Biological Diversity. Access and benefit-sharing as related to genetic resources. In: UN Doc [Internet]. COP 6 Decision VI/24; 2002. Available from: https://www.cbd.int/decision/cop/?id=7198</w:t>
      </w:r>
    </w:p>
    <w:p w14:paraId="66789173" w14:textId="77777777" w:rsidR="0081052F" w:rsidRPr="00ED7E61" w:rsidRDefault="0081052F" w:rsidP="00B3383B">
      <w:pPr>
        <w:pStyle w:val="CBDNormalNumber"/>
        <w:numPr>
          <w:ilvl w:val="0"/>
          <w:numId w:val="0"/>
        </w:numPr>
        <w:ind w:left="567"/>
      </w:pPr>
      <w:r w:rsidRPr="00ED7E61">
        <w:t>Conference of the Parties to the Convention on Biological Diversity. Nagoya Protocol on Access to Genetic Resources and the Fair and Equitable Sharing of Benefits Arising from their Utilization to the Convention on Biological Diversity: Text and Annex [Internet]. 2011. Available from: https://wedocs.unep.org/20.500.11822/27555</w:t>
      </w:r>
    </w:p>
    <w:p w14:paraId="3A70E888" w14:textId="77777777" w:rsidR="0081052F" w:rsidRPr="00ED7E61" w:rsidRDefault="0081052F" w:rsidP="00B3383B">
      <w:pPr>
        <w:pStyle w:val="CBDNormalNumber"/>
        <w:numPr>
          <w:ilvl w:val="0"/>
          <w:numId w:val="0"/>
        </w:numPr>
        <w:ind w:left="567"/>
      </w:pPr>
      <w:r w:rsidRPr="00ED7E61">
        <w:t>Food and Agriculture Organization of the United Nations. International Treaty on Plant Genetic Resources for Food and Agriculture [Internet]. 2001. Available from: https://www.fao.org/plant-treaty/overview/texts-treaty/en/</w:t>
      </w:r>
    </w:p>
    <w:p w14:paraId="189577A2" w14:textId="77777777" w:rsidR="0081052F" w:rsidRPr="00ED7E61" w:rsidRDefault="0081052F" w:rsidP="00B3383B">
      <w:pPr>
        <w:pStyle w:val="CBDNormalNumber"/>
        <w:numPr>
          <w:ilvl w:val="0"/>
          <w:numId w:val="0"/>
        </w:numPr>
        <w:ind w:left="567"/>
      </w:pPr>
      <w:r w:rsidRPr="00ED7E61">
        <w:t>Food and Agriculture Organization of the United Nations. The Standard Material Transfer Agreement. In: FAO Doc [Internet]. RESOLUTION 2/2006; 2006. Available from: https://www.fao.org/3/be006e/be006e.pdf</w:t>
      </w:r>
    </w:p>
    <w:p w14:paraId="391B4D9B" w14:textId="77777777" w:rsidR="0081052F" w:rsidRPr="00ED7E61" w:rsidRDefault="0081052F" w:rsidP="00B3383B">
      <w:pPr>
        <w:pStyle w:val="CBDNormalNumber"/>
        <w:numPr>
          <w:ilvl w:val="0"/>
          <w:numId w:val="0"/>
        </w:numPr>
        <w:ind w:left="567"/>
      </w:pPr>
      <w:r w:rsidRPr="00ED7E61">
        <w:t>Conference of the Parties to the Convention on Biological Diversity. Kunming-Montreal Global Biodiversity Framework. In: UN Doc [Internet]. CBD/COP/DEC/15/4; 2022. Available from: https://www.cbd.int/doc/decisions/cop-15/cop-15-dec-04-en.pdf</w:t>
      </w:r>
    </w:p>
    <w:p w14:paraId="677CFF49" w14:textId="77777777" w:rsidR="0081052F" w:rsidRPr="00ED7E61" w:rsidRDefault="0081052F" w:rsidP="00B3383B">
      <w:pPr>
        <w:pStyle w:val="CBDNormalNumber"/>
        <w:numPr>
          <w:ilvl w:val="0"/>
          <w:numId w:val="0"/>
        </w:numPr>
        <w:ind w:left="567"/>
      </w:pPr>
      <w:r w:rsidRPr="00ED7E61">
        <w:t>Conference of the Parties to the Convention on Biological Diversity. Digital sequence information on genetic resources. In: UN Doc [Internet]. CBD/COP/DEC/15/9; 2022. Available from: https://www.cbd.int/doc/decisions/cop-15/cop-15-dec-09-en.pdf</w:t>
      </w:r>
    </w:p>
    <w:p w14:paraId="415A7467" w14:textId="77777777" w:rsidR="0081052F" w:rsidRPr="00ED7E61" w:rsidRDefault="0081052F" w:rsidP="00B3383B">
      <w:pPr>
        <w:pStyle w:val="CBDNormalNumber"/>
        <w:numPr>
          <w:ilvl w:val="0"/>
          <w:numId w:val="0"/>
        </w:numPr>
        <w:ind w:left="567"/>
      </w:pPr>
      <w:r w:rsidRPr="00ED7E61">
        <w:t>Conference of the Parties to the Convention on Biological Diversity. Monitoring framework for the Kunming-Montreal Global Biodiversity Framework. In: UN Doc [Internet]. CBD/COP/DEC/15/5; 2022. Available from: https://www.cbd.int/doc/decisions/cop-15/cop-15-dec-05-en.pdf</w:t>
      </w:r>
    </w:p>
    <w:p w14:paraId="463067F0" w14:textId="77777777" w:rsidR="0081052F" w:rsidRPr="00ED7E61" w:rsidRDefault="0081052F" w:rsidP="00B3383B">
      <w:pPr>
        <w:pStyle w:val="CBDNormalNumber"/>
        <w:numPr>
          <w:ilvl w:val="0"/>
          <w:numId w:val="0"/>
        </w:numPr>
        <w:ind w:left="567"/>
      </w:pPr>
      <w:r w:rsidRPr="00ED7E61">
        <w:t>Subsidiary Body on Scientific, Technical and, Subsidiary Body on Scientific, Technical and Technological Advice, Conference of the Parties to the Convention on Biological Diversity. 25/1. Monitoring framework for the Kunming-Montreal Global Biodiversity Framework. In: UN Doc [Internet]. 1/14 CBD/SBSTTA/REC/25/1; 2023. Available from: https://www.cbd.int/doc/recommendations/sbstta-25/sbstta-25-rec-01-en.pdf</w:t>
      </w:r>
    </w:p>
    <w:p w14:paraId="4A1037D5" w14:textId="77777777" w:rsidR="0081052F" w:rsidRPr="00ED7E61" w:rsidRDefault="0081052F" w:rsidP="00B3383B">
      <w:pPr>
        <w:pStyle w:val="CBDNormalNumber"/>
        <w:numPr>
          <w:ilvl w:val="0"/>
          <w:numId w:val="0"/>
        </w:numPr>
        <w:ind w:left="567"/>
      </w:pPr>
      <w:r w:rsidRPr="00ED7E61">
        <w:t>United Nations. Sustainable development: Convention on Biological Diversity - Resolution adopted by the General Assembly on 19 December 2023. In: UN Doc [Internet]. A/RES/78/155; 2023. Available from: https://www.undocs.org/Home/Mobile?FinalSymbol=A%2FRES%2F78%2F155&amp;Language=E&amp;DeviceType=Desktop&amp;LangRequested=False</w:t>
      </w:r>
    </w:p>
    <w:p w14:paraId="6B3AB174" w14:textId="77777777" w:rsidR="0081052F" w:rsidRPr="00ED7E61" w:rsidRDefault="0081052F" w:rsidP="00B3383B">
      <w:pPr>
        <w:pStyle w:val="CBDNormalNumber"/>
        <w:numPr>
          <w:ilvl w:val="0"/>
          <w:numId w:val="0"/>
        </w:numPr>
        <w:ind w:left="567"/>
      </w:pPr>
      <w:r w:rsidRPr="00ED7E61">
        <w:t>World Health Organization. Bureau’s text of the WHO convention, agreement or other international instrument on pandemic prevention, preparedness and response (WHO CA+) [Internet]. A/INB/5/6; 2023. Available from: https://apps.who.int/gb/inb/pdf_files/inb5/A_INB5_6-en.pdf</w:t>
      </w:r>
    </w:p>
    <w:p w14:paraId="45B6AF7E" w14:textId="77777777" w:rsidR="0081052F" w:rsidRPr="00ED7E61" w:rsidRDefault="0081052F" w:rsidP="00B3383B">
      <w:pPr>
        <w:pStyle w:val="CBDNormalNumber"/>
        <w:numPr>
          <w:ilvl w:val="0"/>
          <w:numId w:val="0"/>
        </w:numPr>
        <w:ind w:left="567"/>
      </w:pPr>
      <w:r w:rsidRPr="00ED7E61">
        <w:t xml:space="preserve">Secretariat of the Convention on Biological Diversity. NOTIFICATION - Survey on indicators on access and benefit-sharing for the Kunming-Montreal Global Biodiversity Framework. </w:t>
      </w:r>
      <w:r w:rsidRPr="00ED7E61">
        <w:rPr>
          <w:lang w:val="fr-FR"/>
        </w:rPr>
        <w:t xml:space="preserve">In: UN Doc [Internet]. SCBD/NPU/DC/TS/BG/RKi/91289; 2023. </w:t>
      </w:r>
      <w:r w:rsidRPr="00ED7E61">
        <w:t>Available from: https://www.cbd.int/doc/notifications/2023/ntf-2023-103-abs-en.pdf</w:t>
      </w:r>
    </w:p>
    <w:p w14:paraId="0C775476" w14:textId="77777777" w:rsidR="0081052F" w:rsidRPr="00ED7E61" w:rsidRDefault="0081052F" w:rsidP="00B10F0C">
      <w:pPr>
        <w:pStyle w:val="CBDNormalNumber"/>
        <w:numPr>
          <w:ilvl w:val="0"/>
          <w:numId w:val="64"/>
        </w:numPr>
        <w:ind w:left="567" w:firstLine="0"/>
      </w:pPr>
      <w:r w:rsidRPr="00ED7E61">
        <w:t xml:space="preserve">Greiber T. An Explanatory Guide to the Nagoya Protocol on Access and Benefit-sharing. IUCN; 2012. 395 p. </w:t>
      </w:r>
    </w:p>
    <w:p w14:paraId="58EFE49E" w14:textId="77777777" w:rsidR="0081052F" w:rsidRPr="00ED7E61" w:rsidRDefault="0081052F" w:rsidP="00B3383B">
      <w:pPr>
        <w:pStyle w:val="CBDNormalNumber"/>
        <w:numPr>
          <w:ilvl w:val="0"/>
          <w:numId w:val="0"/>
        </w:numPr>
        <w:ind w:left="567"/>
      </w:pPr>
      <w:r w:rsidRPr="00ED7E61">
        <w:t>Conference of the Parties to the Convention on Biological Diversity. NP-1/3. Monitoring and reporting (Article 29). In: UN Doc [Internet]. UNEP/CBD/NP/COP-MOP/DEC/1/3; 2014. Available from: https://www.cbd.int/doc/decisions/np-mop-01/np-mop-01-dec-03-en.pdf</w:t>
      </w:r>
    </w:p>
    <w:p w14:paraId="0622729E" w14:textId="77777777" w:rsidR="0081052F" w:rsidRPr="00ED7E61" w:rsidRDefault="0081052F" w:rsidP="00B3383B">
      <w:pPr>
        <w:pStyle w:val="CBDNormalNumber"/>
        <w:numPr>
          <w:ilvl w:val="0"/>
          <w:numId w:val="0"/>
        </w:numPr>
        <w:ind w:left="567"/>
      </w:pPr>
      <w:r w:rsidRPr="00ED7E61">
        <w:t>Conference of the Parties to the Convention on Biological Diversity. NP-3/4. Monitoring and reporting (Article 29). In: UN Doc [Internet]. CBD/NP/MOP/DEC/3/4; 2018. Available from: https://www.cbd.int/doc/decisions/np-mop-03/np-mop-03-dec-04-en.pdf</w:t>
      </w:r>
    </w:p>
    <w:p w14:paraId="7293DC7B" w14:textId="77777777" w:rsidR="0081052F" w:rsidRPr="00ED7E61" w:rsidRDefault="0081052F" w:rsidP="00B3383B">
      <w:pPr>
        <w:pStyle w:val="CBDNormalNumber"/>
        <w:numPr>
          <w:ilvl w:val="0"/>
          <w:numId w:val="0"/>
        </w:numPr>
        <w:ind w:left="567"/>
      </w:pPr>
      <w:r w:rsidRPr="00ED7E61">
        <w:t>Conference of the Parties to the Convention on Biological Diversity. DECISION ADOPTED BY THE PARTIES TO THE NAGOYA PROTOCOL ON ACCESS AND BENEFIT-SHARING, NP-4/3. Monitoring and reporting (Article 29). In: UN Doc [Internet]. CBD/NP/MOP/DEC/4/3; 2022. Available from: https://www.cbd.int/doc/decisions/np-mop-04/np-mop-04-dec-03-en.pdf</w:t>
      </w:r>
    </w:p>
    <w:p w14:paraId="2D7E46A8" w14:textId="77777777" w:rsidR="0081052F" w:rsidRPr="00ED7E61" w:rsidRDefault="0081052F" w:rsidP="00B3383B">
      <w:pPr>
        <w:pStyle w:val="CBDNormalNumber"/>
        <w:numPr>
          <w:ilvl w:val="0"/>
          <w:numId w:val="0"/>
        </w:numPr>
        <w:ind w:left="567"/>
      </w:pPr>
      <w:r w:rsidRPr="00ED7E61">
        <w:t>Conference of the Parties to the Convention on Biological Diversity. DECISION ADOPTED BY THE CONFERENCE OF THE PARTIES TO THE CONVENTION ON BIOLOGICAL DIVERSITY, IX/14. Technology transfer and cooperation. In: UN Doc [Internet]. UNEP/CBD/COP/DEC/IX/14; 2008. Available from: https://www.cbd.int/doc/decisions/cop-09/cop-09-dec-14-en.pdf</w:t>
      </w:r>
    </w:p>
    <w:p w14:paraId="60696B21" w14:textId="77777777" w:rsidR="0081052F" w:rsidRPr="00ED7E61" w:rsidRDefault="0081052F" w:rsidP="00B3383B">
      <w:pPr>
        <w:pStyle w:val="CBDNormalNumber"/>
        <w:numPr>
          <w:ilvl w:val="0"/>
          <w:numId w:val="0"/>
        </w:numPr>
        <w:ind w:left="567"/>
      </w:pPr>
      <w:r w:rsidRPr="00ED7E61">
        <w:t xml:space="preserve">Ebert AW, Engels JMM, Schafleitner R, Hintum T van, Mwila G. Critical Review of the Increasing Complexity of Access and Benefit-Sharing Policies of Genetic Resources for Genebank Curators and Plant Breeders–A Public and Private Sector Perspective. Plants. 2023 Aug;12(16):2992. </w:t>
      </w:r>
    </w:p>
    <w:p w14:paraId="473FB17F" w14:textId="77777777" w:rsidR="0081052F" w:rsidRPr="00ED7E61" w:rsidRDefault="0081052F" w:rsidP="00B3383B">
      <w:pPr>
        <w:pStyle w:val="CBDNormalNumber"/>
        <w:numPr>
          <w:ilvl w:val="0"/>
          <w:numId w:val="0"/>
        </w:numPr>
        <w:ind w:left="567"/>
      </w:pPr>
      <w:r w:rsidRPr="00ED7E61">
        <w:t>Conference of the Parties to the Convention on Biological Diversity. DECISION ADOPTED BY THE CONFERENCE OF THE PARTIES TO THE CONVENTION ON BIOLOGICAL DIVERSITY, 15/6. Mechanisms for planning, monitoring, reporting and review. In: UN Doc [Internet]. CBD/COP/DEC/15/6; 2022. Available from: https://www.cbd.int/doc/decisions/cop-15/cop-15-dec-06-en.pdf</w:t>
      </w:r>
    </w:p>
    <w:p w14:paraId="71892D2D" w14:textId="77777777" w:rsidR="0081052F" w:rsidRPr="00ED7E61" w:rsidRDefault="0081052F" w:rsidP="00B3383B">
      <w:pPr>
        <w:pStyle w:val="CBDNormalNumber"/>
        <w:numPr>
          <w:ilvl w:val="0"/>
          <w:numId w:val="0"/>
        </w:numPr>
        <w:ind w:left="567"/>
      </w:pPr>
      <w:r w:rsidRPr="00ED7E61">
        <w:t xml:space="preserve">Scholz AH, Lange M, Habekost P, Oldham P, Cancio I, Cochrane G, et al. Myth-busting the provider-user relationship for digital sequence information. GigaScience. 2021 Dec;10(12). </w:t>
      </w:r>
    </w:p>
    <w:p w14:paraId="36970199" w14:textId="77777777" w:rsidR="0081052F" w:rsidRPr="00ED7E61" w:rsidRDefault="0081052F" w:rsidP="00B3383B">
      <w:pPr>
        <w:pStyle w:val="CBDNormalNumber"/>
        <w:numPr>
          <w:ilvl w:val="0"/>
          <w:numId w:val="0"/>
        </w:numPr>
        <w:ind w:left="567"/>
      </w:pPr>
      <w:r w:rsidRPr="00ED7E61">
        <w:t xml:space="preserve">Sebo P, de Lucia S, Vernaz N. Accuracy of PubMed-based author lists of publications and use of author identifiers to address author name ambiguity: a cross-sectional study. Scientometrics. 2021 Mar;126(5):4121–35. </w:t>
      </w:r>
    </w:p>
    <w:p w14:paraId="5A2513F0" w14:textId="77777777" w:rsidR="0081052F" w:rsidRPr="00ED7E61" w:rsidRDefault="0081052F" w:rsidP="00B3383B">
      <w:pPr>
        <w:pStyle w:val="CBDNormalNumber"/>
        <w:numPr>
          <w:ilvl w:val="0"/>
          <w:numId w:val="0"/>
        </w:numPr>
        <w:ind w:left="567"/>
      </w:pPr>
      <w:r w:rsidRPr="00ED7E61">
        <w:t xml:space="preserve">Rosonovski S, Levchenko M, Bhatnagar R, Chandrasekaran U, Faulk L, Hassan I, et al. Europe PMC in 2023. Nucleic Acids Research. 2023 Nov;52(D1):D1668–76. </w:t>
      </w:r>
    </w:p>
    <w:p w14:paraId="5B7AB15B" w14:textId="77777777" w:rsidR="0081052F" w:rsidRPr="00ED7E61" w:rsidRDefault="0081052F" w:rsidP="00B10F0C">
      <w:pPr>
        <w:pStyle w:val="CBDNormalNumber"/>
        <w:numPr>
          <w:ilvl w:val="0"/>
          <w:numId w:val="64"/>
        </w:numPr>
        <w:ind w:left="567" w:firstLine="0"/>
      </w:pPr>
      <w:r w:rsidRPr="00ED7E61">
        <w:t>Marden E, Abbott RJ, Austerlitz F, Ortiz</w:t>
      </w:r>
      <w:r w:rsidRPr="00ED7E61">
        <w:rPr>
          <w:rFonts w:hint="eastAsia"/>
        </w:rPr>
        <w:t>‐</w:t>
      </w:r>
      <w:r w:rsidRPr="00ED7E61">
        <w:t>Barrientos D, Baucom RS, Bongaerts P, et al. Sharing and reporting benefits from biodiversity research. Molecular Ecology. 2020 Nov;30(5):1103</w:t>
      </w:r>
      <w:r w:rsidRPr="00ED7E61">
        <w:rPr>
          <w:rFonts w:hint="eastAsia"/>
        </w:rPr>
        <w:t>–</w:t>
      </w:r>
      <w:r w:rsidRPr="00ED7E61">
        <w:t xml:space="preserve">7. </w:t>
      </w:r>
    </w:p>
    <w:p w14:paraId="0CF2E1BA" w14:textId="77777777" w:rsidR="0081052F" w:rsidRPr="00ED7E61" w:rsidRDefault="0081052F" w:rsidP="00B3383B">
      <w:pPr>
        <w:pStyle w:val="CBDNormalNumber"/>
        <w:numPr>
          <w:ilvl w:val="0"/>
          <w:numId w:val="0"/>
        </w:numPr>
        <w:ind w:left="567"/>
      </w:pPr>
      <w:r w:rsidRPr="00ED7E61">
        <w:t>Food and agriculture organization of the United Nations. Introduction to the international treaty on plant genetic resources for food and agriculture [Internet]. 2011. Available from: http://www.itpgrfa.net/International/sites/default/files/edm1_full_en.pdf</w:t>
      </w:r>
    </w:p>
    <w:p w14:paraId="5CCA6519" w14:textId="77777777" w:rsidR="0081052F" w:rsidRPr="00ED7E61" w:rsidRDefault="0081052F" w:rsidP="00B3383B">
      <w:pPr>
        <w:pStyle w:val="CBDNormalNumber"/>
        <w:numPr>
          <w:ilvl w:val="0"/>
          <w:numId w:val="0"/>
        </w:numPr>
        <w:ind w:left="567"/>
      </w:pPr>
      <w:r w:rsidRPr="00ED7E61">
        <w:t>International Treaty on Plant Genetic Resources for Food and Agriculture. Eighth meeting of the Standing Committee on the Funding Strategy and Resource Mobilization (SFC-8) - Meeting proceedings [Internet]. Food and agriculture organization of the United Nations. Governing Body of the International Treaty on Plant Genetic Resources for Food and Agriculture; 2023. Available from: https://www.fao.org/3/cc8199en/cc8199en.pdf</w:t>
      </w:r>
    </w:p>
    <w:p w14:paraId="5B9569B0" w14:textId="77777777" w:rsidR="0081052F" w:rsidRPr="00ED7E61" w:rsidRDefault="0081052F" w:rsidP="00B3383B">
      <w:pPr>
        <w:pStyle w:val="CBDNormalNumber"/>
        <w:numPr>
          <w:ilvl w:val="0"/>
          <w:numId w:val="0"/>
        </w:numPr>
        <w:ind w:left="567"/>
      </w:pPr>
      <w:r w:rsidRPr="00ED7E61">
        <w:t>International Treaty on Plant Genetic Resources for Food and Agriculture. Implementation of the funding strategy [Internet]. Food and Agriculture Organization. Governing Body of the International Treaty on Plant Genetic Resources for Food and Agriculture; 2023. Available from: https://www.fao.org/3/no028en/no028en.pdf</w:t>
      </w:r>
    </w:p>
    <w:p w14:paraId="0E047D93" w14:textId="77777777" w:rsidR="0081052F" w:rsidRPr="00ED7E61" w:rsidRDefault="0081052F" w:rsidP="00B3383B">
      <w:pPr>
        <w:pStyle w:val="CBDNormalNumber"/>
        <w:numPr>
          <w:ilvl w:val="0"/>
          <w:numId w:val="0"/>
        </w:numPr>
        <w:ind w:left="567"/>
      </w:pPr>
      <w:r w:rsidRPr="00ED7E61">
        <w:t>Food and Agriculture Organization of the United Nations. ITPGRFA TENTH SESSION OF THE GOVERNING BODY - The Benefit-sharing Fund: 2022-2023 Report. In: FAO Doc [Internet]. IT/GB-10/23/10/Inf.1; 2023. Available from: https://www.fao.org/3/cc8470en/cc8470en.pdf</w:t>
      </w:r>
    </w:p>
    <w:p w14:paraId="5D5234CF" w14:textId="77777777" w:rsidR="0081052F" w:rsidRPr="00ED7E61" w:rsidRDefault="0081052F" w:rsidP="00B3383B">
      <w:pPr>
        <w:pStyle w:val="CBDNormalNumber"/>
        <w:numPr>
          <w:ilvl w:val="0"/>
          <w:numId w:val="0"/>
        </w:numPr>
        <w:ind w:left="567"/>
      </w:pPr>
      <w:r w:rsidRPr="00ED7E61">
        <w:t>Galluzzi G, López Noriega I, Halewood M. Non-monetary benefit sharing mechanisms within the projects funded by the Benefit Sharing Fund. International Treaty on Plant Genetic Resources for Food and Agriculture [Internet]. 2014; Available from: https://www.fao.org/publications/card/en/c/84d6161c-0dba-41ab-99eb-3fbb5ba5999f</w:t>
      </w:r>
    </w:p>
    <w:p w14:paraId="35C0E32F" w14:textId="77777777" w:rsidR="0081052F" w:rsidRPr="00ED7E61" w:rsidRDefault="0081052F" w:rsidP="00B3383B">
      <w:pPr>
        <w:pStyle w:val="CBDNormalNumber"/>
        <w:numPr>
          <w:ilvl w:val="0"/>
          <w:numId w:val="0"/>
        </w:numPr>
        <w:ind w:left="567"/>
      </w:pPr>
      <w:r w:rsidRPr="00ED7E61">
        <w:t xml:space="preserve">Scholz AH, Freitag J, Lyal CHC, Sara R, Cepeda ML, Cancio I, et al. Multilateral benefit-sharing from digital sequence information will support both science and biodiversity conservation. Nat Commun. 2022 Feb 23;13(1):1086. </w:t>
      </w:r>
    </w:p>
    <w:p w14:paraId="43D850D3" w14:textId="77777777" w:rsidR="0081052F" w:rsidRPr="00ED7E61" w:rsidRDefault="0081052F" w:rsidP="00B3383B">
      <w:pPr>
        <w:pStyle w:val="CBDNormalNumber"/>
        <w:numPr>
          <w:ilvl w:val="0"/>
          <w:numId w:val="0"/>
        </w:numPr>
        <w:ind w:left="567"/>
      </w:pPr>
      <w:r w:rsidRPr="00ED7E61">
        <w:t>United Nations. Agreement under the United Nations Convention on the Law of the Sea on the Conservation and Sustainable Use of Marine Biological Diversity of Areas beyond National Jurisdiction [Internet]. 2023. Available from: https://wedocs.unep.org/20.500.11822/8340</w:t>
      </w:r>
    </w:p>
    <w:p w14:paraId="02F5792A" w14:textId="77777777" w:rsidR="0081052F" w:rsidRPr="00ED7E61" w:rsidRDefault="0081052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3DBDF22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74421CDF" w14:textId="77777777" w:rsidR="00756F0F" w:rsidRPr="00ED7E61" w:rsidRDefault="00756F0F"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3AFEAC50" w14:textId="6E971E7D" w:rsidR="00756F0F" w:rsidRPr="00ED7E61" w:rsidRDefault="00756F0F" w:rsidP="00965B3D">
      <w:pPr>
        <w:pStyle w:val="Heading3"/>
      </w:pPr>
      <w:bookmarkStart w:id="37" w:name="_Toc178285851"/>
      <w:r w:rsidRPr="00ED7E61">
        <w:rPr>
          <w:rStyle w:val="normaltextrun"/>
        </w:rPr>
        <w:t>GBF indicator metadata</w:t>
      </w:r>
      <w:r w:rsidR="0081052F" w:rsidRPr="00ED7E61">
        <w:rPr>
          <w:rStyle w:val="normaltextrun"/>
        </w:rPr>
        <w:t xml:space="preserve">: </w:t>
      </w:r>
      <w:r w:rsidR="0081052F" w:rsidRPr="00ED7E61">
        <w:rPr>
          <w:rStyle w:val="eop"/>
        </w:rPr>
        <w:t>D.1 International public funding, including official development assistance (ODA), for conservation and sustainable use of biodiversity, and ecosystems</w:t>
      </w:r>
      <w:bookmarkEnd w:id="37"/>
    </w:p>
    <w:p w14:paraId="5725481C"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4C4C4C3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26149EF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D.1 International public funding, including official development assistance (ODA),</w:t>
      </w:r>
      <w:r w:rsidRPr="00ED7E61">
        <w:rPr>
          <w:rStyle w:val="normaltextrun"/>
          <w:rFonts w:asciiTheme="majorBidi" w:eastAsiaTheme="majorEastAsia" w:hAnsiTheme="majorBidi" w:cstheme="majorBidi"/>
          <w:b/>
          <w:bCs/>
          <w:color w:val="000000"/>
          <w:sz w:val="22"/>
          <w:szCs w:val="22"/>
          <w:lang w:val="en-GB"/>
        </w:rPr>
        <w:t xml:space="preserve"> </w:t>
      </w:r>
      <w:r w:rsidRPr="00ED7E61">
        <w:rPr>
          <w:rStyle w:val="normaltextrun"/>
          <w:rFonts w:asciiTheme="majorBidi" w:eastAsiaTheme="majorEastAsia" w:hAnsiTheme="majorBidi" w:cstheme="majorBidi"/>
          <w:color w:val="000000"/>
          <w:sz w:val="22"/>
          <w:szCs w:val="22"/>
          <w:lang w:val="en-GB"/>
        </w:rPr>
        <w:t>for conservation and sustainable use of biodiversity, and ecosystems</w:t>
      </w:r>
      <w:r w:rsidRPr="00ED7E61">
        <w:rPr>
          <w:rStyle w:val="eop"/>
          <w:rFonts w:asciiTheme="majorBidi" w:eastAsiaTheme="majorEastAsia" w:hAnsiTheme="majorBidi" w:cstheme="majorBidi"/>
          <w:color w:val="000000"/>
          <w:sz w:val="22"/>
          <w:szCs w:val="22"/>
        </w:rPr>
        <w:t> </w:t>
      </w:r>
    </w:p>
    <w:p w14:paraId="002434EB"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080EC928" w14:textId="5E889560"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756F0F" w:rsidRPr="00ED7E61">
        <w:rPr>
          <w:rStyle w:val="normaltextrun"/>
          <w:rFonts w:asciiTheme="majorBidi" w:eastAsiaTheme="majorEastAsia" w:hAnsiTheme="majorBidi" w:cstheme="majorBidi"/>
          <w:sz w:val="22"/>
          <w:szCs w:val="22"/>
        </w:rPr>
        <w:t>2024</w:t>
      </w:r>
      <w:r w:rsidR="00756F0F" w:rsidRPr="00ED7E61">
        <w:rPr>
          <w:rStyle w:val="eop"/>
          <w:rFonts w:asciiTheme="majorBidi" w:eastAsiaTheme="majorEastAsia" w:hAnsiTheme="majorBidi" w:cstheme="majorBidi"/>
          <w:sz w:val="22"/>
          <w:szCs w:val="22"/>
        </w:rPr>
        <w:t> </w:t>
      </w:r>
    </w:p>
    <w:p w14:paraId="3A47B656" w14:textId="77777777" w:rsidR="00756F0F" w:rsidRPr="00ED7E61" w:rsidRDefault="00756F0F" w:rsidP="00B3383B">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6C2AC8F0"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406B8996"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Headline Indicator for </w:t>
      </w:r>
      <w:r w:rsidRPr="00ED7E61">
        <w:rPr>
          <w:rStyle w:val="normaltextrun"/>
          <w:rFonts w:asciiTheme="majorBidi" w:eastAsiaTheme="majorEastAsia" w:hAnsiTheme="majorBidi" w:cstheme="majorBidi"/>
          <w:color w:val="000000"/>
          <w:sz w:val="22"/>
          <w:szCs w:val="22"/>
          <w:lang w:val="en-GB"/>
        </w:rPr>
        <w:t>Goal D Adequate means of implementation, including financial resources, capacity-building, technical and scientific cooperation, and access to and transfer of technology to fully implement the Kunming-Montreal Global Biodiversity Framework are secured and equitably accessible to all Parties, especially developing country Parties, in particular the least developed countries and small island developing States, as well as countries with economies in transition, progressively closing the biodiversity finance gap of $700 billion per year, and aligning financial flows with the Kunming-Montreal Global Biodiversity Framework and the 2050 Vision for biodiversity. </w:t>
      </w:r>
      <w:r w:rsidRPr="00ED7E61">
        <w:rPr>
          <w:rStyle w:val="eop"/>
          <w:rFonts w:asciiTheme="majorBidi" w:eastAsiaTheme="majorEastAsia" w:hAnsiTheme="majorBidi" w:cstheme="majorBidi"/>
          <w:color w:val="000000"/>
          <w:sz w:val="22"/>
          <w:szCs w:val="22"/>
        </w:rPr>
        <w:t> </w:t>
      </w:r>
    </w:p>
    <w:p w14:paraId="788A16A1" w14:textId="77777777" w:rsidR="00756F0F" w:rsidRPr="00ED7E61" w:rsidRDefault="00756F0F" w:rsidP="00B3383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p w14:paraId="64932834"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Headline indicator for Target 19 Substantially and progressively increase the level of financial resources from all sources, in an effective, timely and easily accessible manner, including domestic, international, public and private resources, in accordance with Article 20 of the Convention, to implement national biodiversity strategies and action plans, mobilizing at least $200 billion per year by 2030, including by: </w:t>
      </w:r>
      <w:r w:rsidRPr="00ED7E61">
        <w:rPr>
          <w:rStyle w:val="eop"/>
          <w:rFonts w:asciiTheme="majorBidi" w:eastAsiaTheme="majorEastAsia" w:hAnsiTheme="majorBidi" w:cstheme="majorBidi"/>
          <w:color w:val="000000"/>
          <w:sz w:val="22"/>
          <w:szCs w:val="22"/>
        </w:rPr>
        <w:t> </w:t>
      </w:r>
    </w:p>
    <w:p w14:paraId="7C7A4DB2"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(a)</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Increasing total biodiversity related international financial resources from developed countries, including official development assistance, and from countries that voluntarily assume obligations of developed country Parties, to developing countries, in particular the least developed countries and small island developing States, as well as countries with economies in transition, to at least $20 billion per year by 2025, and to at least $30 billion per year by 2030; </w:t>
      </w:r>
      <w:r w:rsidRPr="00ED7E61">
        <w:rPr>
          <w:rStyle w:val="eop"/>
          <w:rFonts w:asciiTheme="majorBidi" w:eastAsiaTheme="majorEastAsia" w:hAnsiTheme="majorBidi" w:cstheme="majorBidi"/>
          <w:color w:val="000000"/>
          <w:sz w:val="22"/>
          <w:szCs w:val="22"/>
        </w:rPr>
        <w:t> </w:t>
      </w:r>
    </w:p>
    <w:p w14:paraId="7B039AB3"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(b)</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Significantly increasing domestic resource mobilization, facilitated by the preparation and implementation of national biodiversity finance plans or similar instruments according to national needs, priorities and circumstances; </w:t>
      </w:r>
      <w:r w:rsidRPr="00ED7E61">
        <w:rPr>
          <w:rStyle w:val="eop"/>
          <w:rFonts w:asciiTheme="majorBidi" w:eastAsiaTheme="majorEastAsia" w:hAnsiTheme="majorBidi" w:cstheme="majorBidi"/>
          <w:color w:val="000000"/>
          <w:sz w:val="22"/>
          <w:szCs w:val="22"/>
        </w:rPr>
        <w:t> </w:t>
      </w:r>
    </w:p>
    <w:p w14:paraId="5452BABD"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(c)</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Leveraging private finance, promoting blended finance, implementing strategies for raising new and additional resources, and encouraging the private sector to invest in biodiversity, including through impact funds and other instruments; </w:t>
      </w:r>
      <w:r w:rsidRPr="00ED7E61">
        <w:rPr>
          <w:rStyle w:val="eop"/>
          <w:rFonts w:asciiTheme="majorBidi" w:eastAsiaTheme="majorEastAsia" w:hAnsiTheme="majorBidi" w:cstheme="majorBidi"/>
          <w:color w:val="000000"/>
          <w:sz w:val="22"/>
          <w:szCs w:val="22"/>
        </w:rPr>
        <w:t> </w:t>
      </w:r>
    </w:p>
    <w:p w14:paraId="04D2CC4A"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(d)</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Stimulating innovative schemes such as payment for ecosystem services, green bonds, biodiversity offsets and credits, and benefit sharing mechanisms, with environmental and social safeguards; </w:t>
      </w:r>
      <w:r w:rsidRPr="00ED7E61">
        <w:rPr>
          <w:rStyle w:val="eop"/>
          <w:rFonts w:asciiTheme="majorBidi" w:eastAsiaTheme="majorEastAsia" w:hAnsiTheme="majorBidi" w:cstheme="majorBidi"/>
          <w:color w:val="000000"/>
          <w:sz w:val="22"/>
          <w:szCs w:val="22"/>
        </w:rPr>
        <w:t> </w:t>
      </w:r>
    </w:p>
    <w:p w14:paraId="25F3EE61" w14:textId="17731BA9"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(e) </w:t>
      </w:r>
      <w:r w:rsidR="006A21E0">
        <w:rPr>
          <w:rStyle w:val="normaltextrun"/>
          <w:rFonts w:asciiTheme="majorBidi" w:eastAsiaTheme="majorEastAsia" w:hAnsiTheme="majorBidi" w:cstheme="majorBidi"/>
          <w:color w:val="000000"/>
          <w:sz w:val="22"/>
          <w:szCs w:val="22"/>
          <w:lang w:val="en-GB"/>
        </w:rPr>
        <w:tab/>
      </w:r>
      <w:r w:rsidRPr="00ED7E61">
        <w:rPr>
          <w:rStyle w:val="normaltextrun"/>
          <w:rFonts w:asciiTheme="majorBidi" w:eastAsiaTheme="majorEastAsia" w:hAnsiTheme="majorBidi" w:cstheme="majorBidi"/>
          <w:color w:val="000000"/>
          <w:sz w:val="22"/>
          <w:szCs w:val="22"/>
          <w:lang w:val="en-GB"/>
        </w:rPr>
        <w:t>Optimizing co-benefits and synergies of finance targeting the biodiversity and climate crises; </w:t>
      </w:r>
      <w:r w:rsidRPr="00ED7E61">
        <w:rPr>
          <w:rStyle w:val="eop"/>
          <w:rFonts w:asciiTheme="majorBidi" w:eastAsiaTheme="majorEastAsia" w:hAnsiTheme="majorBidi" w:cstheme="majorBidi"/>
          <w:color w:val="000000"/>
          <w:sz w:val="22"/>
          <w:szCs w:val="22"/>
        </w:rPr>
        <w:t> </w:t>
      </w:r>
    </w:p>
    <w:p w14:paraId="1A0CBB42" w14:textId="4C7904BC"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(f) </w:t>
      </w:r>
      <w:r w:rsidR="006A21E0">
        <w:rPr>
          <w:rStyle w:val="normaltextrun"/>
          <w:rFonts w:asciiTheme="majorBidi" w:eastAsiaTheme="majorEastAsia" w:hAnsiTheme="majorBidi" w:cstheme="majorBidi"/>
          <w:color w:val="000000"/>
          <w:sz w:val="22"/>
          <w:szCs w:val="22"/>
          <w:lang w:val="en-GB"/>
        </w:rPr>
        <w:tab/>
      </w:r>
      <w:r w:rsidRPr="00ED7E61">
        <w:rPr>
          <w:rStyle w:val="normaltextrun"/>
          <w:rFonts w:asciiTheme="majorBidi" w:eastAsiaTheme="majorEastAsia" w:hAnsiTheme="majorBidi" w:cstheme="majorBidi"/>
          <w:color w:val="000000"/>
          <w:sz w:val="22"/>
          <w:szCs w:val="22"/>
          <w:lang w:val="en-GB"/>
        </w:rPr>
        <w:t>Enhancing the role of collective actions, including by indigenous peoples and local communities, Mother Earth centric actions and non-market-based approaches including community based natural resource management and civil society cooperation and solidarity aimed at the conservation of biodiversity; </w:t>
      </w:r>
      <w:r w:rsidRPr="00ED7E61">
        <w:rPr>
          <w:rStyle w:val="eop"/>
          <w:rFonts w:asciiTheme="majorBidi" w:eastAsiaTheme="majorEastAsia" w:hAnsiTheme="majorBidi" w:cstheme="majorBidi"/>
          <w:color w:val="000000"/>
          <w:sz w:val="22"/>
          <w:szCs w:val="22"/>
        </w:rPr>
        <w:t> </w:t>
      </w:r>
    </w:p>
    <w:p w14:paraId="75789968" w14:textId="180E3460"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(g) </w:t>
      </w:r>
      <w:r w:rsidR="006A21E0">
        <w:rPr>
          <w:rStyle w:val="normaltextrun"/>
          <w:rFonts w:asciiTheme="majorBidi" w:eastAsiaTheme="majorEastAsia" w:hAnsiTheme="majorBidi" w:cstheme="majorBidi"/>
          <w:color w:val="000000"/>
          <w:sz w:val="22"/>
          <w:szCs w:val="22"/>
          <w:lang w:val="en-GB"/>
        </w:rPr>
        <w:tab/>
      </w:r>
      <w:r w:rsidRPr="00ED7E61">
        <w:rPr>
          <w:rStyle w:val="normaltextrun"/>
          <w:rFonts w:asciiTheme="majorBidi" w:eastAsiaTheme="majorEastAsia" w:hAnsiTheme="majorBidi" w:cstheme="majorBidi"/>
          <w:color w:val="000000"/>
          <w:sz w:val="22"/>
          <w:szCs w:val="22"/>
          <w:lang w:val="en-GB"/>
        </w:rPr>
        <w:t>Enhancing the effectiveness, efficiency and transparency of resource provision and use. </w:t>
      </w:r>
      <w:r w:rsidRPr="00ED7E61">
        <w:rPr>
          <w:rStyle w:val="eop"/>
          <w:rFonts w:asciiTheme="majorBidi" w:eastAsiaTheme="majorEastAsia" w:hAnsiTheme="majorBidi" w:cstheme="majorBidi"/>
          <w:color w:val="000000"/>
          <w:sz w:val="22"/>
          <w:szCs w:val="22"/>
        </w:rPr>
        <w:t> </w:t>
      </w:r>
    </w:p>
    <w:p w14:paraId="2EA22118" w14:textId="77777777" w:rsidR="00756F0F" w:rsidRPr="00ED7E61" w:rsidRDefault="00756F0F" w:rsidP="00F72564">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1CDC685E" w14:textId="294F6B27" w:rsidR="00756F0F" w:rsidRPr="00ED7E61" w:rsidRDefault="00756F0F" w:rsidP="00B10F0C">
      <w:pPr>
        <w:pStyle w:val="CBDNormalNumber"/>
        <w:numPr>
          <w:ilvl w:val="0"/>
          <w:numId w:val="67"/>
        </w:numPr>
        <w:tabs>
          <w:tab w:val="clear" w:pos="1701"/>
        </w:tabs>
        <w:ind w:left="567" w:firstLine="0"/>
      </w:pPr>
      <w:r w:rsidRPr="00ED7E61">
        <w:t xml:space="preserve">This indicator quantifies total international public finance flows with biodiversity objectives extended to developing countries by bilateral providers of development co-operation, South-South and triangular Co-operation, as well as multilateral providers of development co-operation. </w:t>
      </w:r>
      <w:r w:rsidR="00301700" w:rsidRPr="00ED7E61">
        <w:t>It would also capture financing provided directly to indigenous people</w:t>
      </w:r>
      <w:r w:rsidR="00616510">
        <w:t>s</w:t>
      </w:r>
      <w:r w:rsidR="00301700" w:rsidRPr="00ED7E61">
        <w:t xml:space="preserve"> and local communities. </w:t>
      </w:r>
      <w:r w:rsidRPr="00ED7E61">
        <w:t>It includes official development assistance (ODA) and other official flows (OOF), or alternatively total official support for sustainable development (TOSSD), for biodiversity. The indicator improves visibility and fosters transparency of support to developing countries by all Parties.  </w:t>
      </w:r>
    </w:p>
    <w:p w14:paraId="4E9C9F0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698E01A5" w14:textId="77777777" w:rsidR="00756F0F" w:rsidRPr="00ED7E61" w:rsidRDefault="00756F0F" w:rsidP="00F72564">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07E20DEE" w14:textId="77777777" w:rsidR="00756F0F" w:rsidRPr="00ED7E61" w:rsidRDefault="00756F0F" w:rsidP="00B10F0C">
      <w:pPr>
        <w:pStyle w:val="CBDNormalNumber"/>
        <w:numPr>
          <w:ilvl w:val="0"/>
          <w:numId w:val="67"/>
        </w:numPr>
        <w:ind w:left="567" w:firstLine="0"/>
      </w:pPr>
      <w:r w:rsidRPr="00ED7E61">
        <w:t>The indicator measures all international public finance disbursements to developing countries in constant prices, in particular least developed countries and small island developing states, for conservation and the sustainable use of biodiversity and ecosystems, in line with the Convention on Biological Diversity (CBD).  Commitments and flows in current prices can also be measured. </w:t>
      </w:r>
    </w:p>
    <w:p w14:paraId="063D2806" w14:textId="77777777" w:rsidR="00756F0F" w:rsidRPr="00ED7E61" w:rsidRDefault="00756F0F" w:rsidP="00B10F0C">
      <w:pPr>
        <w:pStyle w:val="CBDNormalNumber"/>
        <w:numPr>
          <w:ilvl w:val="0"/>
          <w:numId w:val="67"/>
        </w:numPr>
        <w:ind w:left="567" w:firstLine="0"/>
      </w:pPr>
      <w:r w:rsidRPr="00ED7E61">
        <w:t>The total amount of international public finance flows is composed of:   </w:t>
      </w:r>
    </w:p>
    <w:p w14:paraId="7335295F" w14:textId="38D77C36"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Official Development Assistance (ODA) and other official flows (OOF) for developmental purposes that have been marked as targeting the objectives of the CBD (using the so-called biodiversity marker scores “</w:t>
      </w:r>
      <w:r w:rsidRPr="00FB1598">
        <w:rPr>
          <w:rStyle w:val="normaltextrun"/>
          <w:rFonts w:eastAsiaTheme="majorEastAsia"/>
          <w:i/>
          <w:iCs/>
        </w:rPr>
        <w:t>principal</w:t>
      </w:r>
      <w:r w:rsidRPr="00ED7E61">
        <w:rPr>
          <w:rStyle w:val="normaltextrun"/>
          <w:rFonts w:eastAsiaTheme="majorEastAsia"/>
        </w:rPr>
        <w:t>” or “</w:t>
      </w:r>
      <w:r w:rsidRPr="00FB1598">
        <w:rPr>
          <w:rStyle w:val="normaltextrun"/>
          <w:rFonts w:eastAsiaTheme="majorEastAsia"/>
          <w:i/>
          <w:iCs/>
        </w:rPr>
        <w:t>significant</w:t>
      </w:r>
      <w:r w:rsidRPr="00ED7E61">
        <w:rPr>
          <w:rStyle w:val="normaltextrun"/>
          <w:rFonts w:eastAsiaTheme="majorEastAsia"/>
        </w:rPr>
        <w:t>”) in the Creditor Reporting System (CRS) of the OECD Development Assistance Committee (DAC)</w:t>
      </w:r>
      <w:r w:rsidR="003F212A" w:rsidRPr="00ED7E61">
        <w:rPr>
          <w:rStyle w:val="FootnoteReference"/>
        </w:rPr>
        <w:footnoteReference w:id="31"/>
      </w:r>
      <w:r w:rsidR="00DE7CC0">
        <w:rPr>
          <w:rStyle w:val="normaltextrun"/>
          <w:rFonts w:eastAsiaTheme="majorEastAsia"/>
        </w:rPr>
        <w:t>.</w:t>
      </w:r>
    </w:p>
    <w:p w14:paraId="59810E62" w14:textId="43C18AB3"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sz w:val="24"/>
          <w:szCs w:val="24"/>
          <w:lang w:val="en-CA"/>
        </w:rPr>
      </w:pPr>
      <w:r w:rsidRPr="00ED7E61">
        <w:rPr>
          <w:rStyle w:val="normaltextrun"/>
          <w:rFonts w:eastAsiaTheme="majorEastAsia"/>
        </w:rPr>
        <w:t>For countries that report on Total Official Support for Sustainable Development (TOSSD), such as South-South and triangular Cooperation providers, this includes flows targeting Sustainable Development Goals (SDGs) 14 and 15 and/or targeting biodiversity-related sectors</w:t>
      </w:r>
      <w:r w:rsidR="003F212A" w:rsidRPr="00ED7E61">
        <w:rPr>
          <w:rStyle w:val="FootnoteReference"/>
          <w:rFonts w:eastAsiaTheme="majorEastAsia"/>
        </w:rPr>
        <w:footnoteReference w:id="32"/>
      </w:r>
      <w:r w:rsidR="00DE7CC0">
        <w:rPr>
          <w:rStyle w:val="normaltextrun"/>
        </w:rPr>
        <w:t xml:space="preserve">. </w:t>
      </w:r>
    </w:p>
    <w:p w14:paraId="47119C98" w14:textId="3723941D"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sz w:val="24"/>
          <w:szCs w:val="24"/>
          <w:lang w:val="en-CA"/>
        </w:rPr>
      </w:pPr>
      <w:r w:rsidRPr="00ED7E61">
        <w:rPr>
          <w:rStyle w:val="normaltextrun"/>
          <w:rFonts w:eastAsiaTheme="majorEastAsia"/>
        </w:rPr>
        <w:t>Outflows of multilateral institutions, such as multilateral and regional development banks, vertical funds or international institutions. These are defined as institutions included in the list of ODA-eligible international organi</w:t>
      </w:r>
      <w:r w:rsidR="00B10F0C">
        <w:rPr>
          <w:rStyle w:val="normaltextrun"/>
          <w:rFonts w:eastAsiaTheme="majorEastAsia"/>
        </w:rPr>
        <w:t>z</w:t>
      </w:r>
      <w:r w:rsidRPr="00ED7E61">
        <w:rPr>
          <w:rStyle w:val="normaltextrun"/>
          <w:rFonts w:eastAsiaTheme="majorEastAsia"/>
        </w:rPr>
        <w:t xml:space="preserve">ations (Annex 2 of CRS reporting </w:t>
      </w:r>
      <w:hyperlink r:id="rId255" w:tgtFrame="_blank" w:history="1">
        <w:r w:rsidRPr="00ED7E61">
          <w:rPr>
            <w:rStyle w:val="normaltextrun"/>
            <w:rFonts w:eastAsiaTheme="majorEastAsia"/>
          </w:rPr>
          <w:t>guidelines</w:t>
        </w:r>
      </w:hyperlink>
      <w:r w:rsidRPr="00ED7E61">
        <w:rPr>
          <w:rStyle w:val="normaltextrun"/>
          <w:rFonts w:eastAsiaTheme="majorEastAsia"/>
        </w:rPr>
        <w:t>). Multilateral institutions’ biodiversity-related outflows can be identified through the biodiversity Rio marker, SDGs 14/15 and purpose sectors, as well as through keyword searches – depending on the granularity of the institutions’ reporting to the OECD. </w:t>
      </w:r>
      <w:r w:rsidRPr="00ED7E61">
        <w:rPr>
          <w:rStyle w:val="normaltextrun"/>
        </w:rPr>
        <w:t> </w:t>
      </w:r>
    </w:p>
    <w:p w14:paraId="09B148A4" w14:textId="094DD370" w:rsidR="00756F0F" w:rsidRPr="00ED7E61" w:rsidRDefault="00756F0F" w:rsidP="00B10F0C">
      <w:pPr>
        <w:pStyle w:val="CBDNormalNumber"/>
        <w:numPr>
          <w:ilvl w:val="0"/>
          <w:numId w:val="67"/>
        </w:numPr>
        <w:ind w:left="567" w:firstLine="0"/>
      </w:pPr>
      <w:r w:rsidRPr="00ED7E61">
        <w:t>Both ODA and OOF, as well as TOSSD, are composed of flows disbursed to developing countries by official agencies, including state and local governments, or by their executive agencies – although commitment flows can also be identified. For ODA and OOF, developing countries include countries on the DAC List of ODA Recipients. The TOSSD list of recipients is broader, based on the DAC List as in 2015.</w:t>
      </w:r>
    </w:p>
    <w:p w14:paraId="713C71C0" w14:textId="053C1F33" w:rsidR="00756F0F" w:rsidRPr="00ED7E61" w:rsidRDefault="00756F0F" w:rsidP="00B10F0C">
      <w:pPr>
        <w:pStyle w:val="CBDNormalNumber"/>
        <w:numPr>
          <w:ilvl w:val="0"/>
          <w:numId w:val="67"/>
        </w:numPr>
        <w:ind w:left="567" w:firstLine="0"/>
      </w:pPr>
      <w:r w:rsidRPr="00ED7E61">
        <w:t>Multilateral expenditures (outflows) for biodiversity include a mix of activities financed with core contributions and earmarked contributions to multilateral organi</w:t>
      </w:r>
      <w:r w:rsidR="00B10F0C">
        <w:t>z</w:t>
      </w:r>
      <w:r w:rsidRPr="00ED7E61">
        <w:t>ations. These resources are provided by official agencies as defined above but also include other resources that multilateral organi</w:t>
      </w:r>
      <w:r w:rsidR="00B10F0C">
        <w:t>z</w:t>
      </w:r>
      <w:r w:rsidRPr="00ED7E61">
        <w:t>ations receive as grants from the private sector or leverage from international capital markets</w:t>
      </w:r>
      <w:r w:rsidR="009753DA" w:rsidRPr="00ED7E61">
        <w:rPr>
          <w:rStyle w:val="FootnoteReference"/>
        </w:rPr>
        <w:footnoteReference w:id="33"/>
      </w:r>
      <w:r w:rsidR="00DE7CC0">
        <w:t xml:space="preserve">. </w:t>
      </w:r>
      <w:r w:rsidRPr="00ED7E61">
        <w:t>To avoid double counting, therefore, unearmarked (estimated imputed shares) and earmarked contributions from provider countries can be included as part of the provider country reporting, unless a separate indicator is created to track multilateral institution outflows. In this case, caution needs to be taken to ensure to present bilateral from multilateral flows separately. If a separate indicator is introduced for multilateral organi</w:t>
      </w:r>
      <w:r w:rsidR="00B10F0C">
        <w:t>z</w:t>
      </w:r>
      <w:r w:rsidRPr="00ED7E61">
        <w:t>ations, these can include the outflows (expenditures on activities in developing countries) reported to the CRS and/or TOSSD. Outflows from the regular budgets are available in the CRS and TOSSD. Outflows from earmarked contributions are available in the TOSSD framework </w:t>
      </w:r>
    </w:p>
    <w:p w14:paraId="36E4B91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7F9DF914" w14:textId="77777777" w:rsidR="00756F0F" w:rsidRPr="00ED7E61" w:rsidRDefault="00756F0F" w:rsidP="00B10F0C">
      <w:pPr>
        <w:pStyle w:val="CBDNormalNumber"/>
        <w:numPr>
          <w:ilvl w:val="0"/>
          <w:numId w:val="67"/>
        </w:numPr>
        <w:ind w:left="567" w:firstLine="0"/>
      </w:pPr>
      <w:r w:rsidRPr="00ED7E61">
        <w:t>Options for countries:  </w:t>
      </w:r>
    </w:p>
    <w:p w14:paraId="588AAB67" w14:textId="13B58846" w:rsidR="00172A35"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A country can compute their international financial flows by using the DAC CRS based on the Rio marker for biodiversity. The indicator is calculated as the sum of all ODA and OOF activities marked for biodiversity with either the principal or significant score. This can include multi-bi allocations. Given that Rio markers are not applicable to core contributions to multilateral organi</w:t>
      </w:r>
      <w:r w:rsidR="00B10F0C">
        <w:rPr>
          <w:rStyle w:val="normaltextrun"/>
          <w:rFonts w:eastAsiaTheme="majorEastAsia"/>
        </w:rPr>
        <w:t>z</w:t>
      </w:r>
      <w:r w:rsidRPr="00ED7E61">
        <w:rPr>
          <w:rStyle w:val="normaltextrun"/>
          <w:rFonts w:eastAsiaTheme="majorEastAsia"/>
        </w:rPr>
        <w:t>ations, imputed multilateral flows would need to be calculated based on current and estimated multilateral institutions’ outflows for biodiversity. </w:t>
      </w:r>
      <w:r w:rsidRPr="00ED7E61">
        <w:rPr>
          <w:rStyle w:val="normaltextrun"/>
        </w:rPr>
        <w:t> </w:t>
      </w:r>
    </w:p>
    <w:p w14:paraId="126D1F32" w14:textId="47CD0C2F" w:rsidR="00172A35" w:rsidRPr="00ED7E61" w:rsidRDefault="00756F0F" w:rsidP="00B10F0C">
      <w:pPr>
        <w:pStyle w:val="CBDNormalNumber"/>
        <w:numPr>
          <w:ilvl w:val="2"/>
          <w:numId w:val="67"/>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Taken together, the bilateral, the multi-bi and the imputed multilateral flows would give the total international finance for biodiversity per providing country.</w:t>
      </w:r>
      <w:r w:rsidRPr="00ED7E61">
        <w:rPr>
          <w:rStyle w:val="eop"/>
          <w:rFonts w:asciiTheme="majorBidi" w:eastAsiaTheme="majorEastAsia" w:hAnsiTheme="majorBidi" w:cstheme="majorBidi"/>
        </w:rPr>
        <w:t> </w:t>
      </w:r>
    </w:p>
    <w:p w14:paraId="5260D5BE" w14:textId="77777777" w:rsidR="00756F0F" w:rsidRPr="00ED7E61" w:rsidRDefault="00756F0F" w:rsidP="00B10F0C">
      <w:pPr>
        <w:pStyle w:val="CBDNormalNumber"/>
        <w:numPr>
          <w:ilvl w:val="2"/>
          <w:numId w:val="67"/>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Imputed multilateral flows could be calculated by the OECD based on current reporting of multilateral institutions to the CRS and/or TOSSD, as some institutions report using the Rio markers. For other institutions, estimates could also be calculated. </w:t>
      </w:r>
      <w:r w:rsidRPr="00ED7E61">
        <w:rPr>
          <w:rStyle w:val="eop"/>
          <w:rFonts w:asciiTheme="majorBidi" w:eastAsiaTheme="majorEastAsia" w:hAnsiTheme="majorBidi" w:cstheme="majorBidi"/>
        </w:rPr>
        <w:t> </w:t>
      </w:r>
    </w:p>
    <w:p w14:paraId="67F4C8B1"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Alternatively, and/or in complement to the above, a country can sum up all activities identified in their TOSSD reporting as additional to ODA and OOF and that have been marked with the SDG14, SDG15 and/or the sector code “</w:t>
      </w:r>
      <w:r w:rsidRPr="00FB1598">
        <w:rPr>
          <w:rStyle w:val="normaltextrun"/>
          <w:rFonts w:eastAsiaTheme="majorEastAsia"/>
          <w:i/>
          <w:iCs/>
        </w:rPr>
        <w:t>biodiversity</w:t>
      </w:r>
      <w:r w:rsidRPr="00ED7E61">
        <w:rPr>
          <w:rStyle w:val="normaltextrun"/>
          <w:rFonts w:eastAsiaTheme="majorEastAsia"/>
        </w:rPr>
        <w:t>” or “</w:t>
      </w:r>
      <w:r w:rsidRPr="00FB1598">
        <w:rPr>
          <w:rStyle w:val="normaltextrun"/>
          <w:rFonts w:eastAsiaTheme="majorEastAsia"/>
          <w:i/>
          <w:iCs/>
        </w:rPr>
        <w:t>biosphere protection</w:t>
      </w:r>
      <w:r w:rsidRPr="00ED7E61">
        <w:rPr>
          <w:rStyle w:val="normaltextrun"/>
          <w:rFonts w:eastAsiaTheme="majorEastAsia"/>
        </w:rPr>
        <w:t>”.  </w:t>
      </w:r>
      <w:r w:rsidRPr="00ED7E61">
        <w:rPr>
          <w:rStyle w:val="normaltextrun"/>
        </w:rPr>
        <w:t> </w:t>
      </w:r>
    </w:p>
    <w:p w14:paraId="34C41301"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Alternatively, a country can report on biodiversity-related international financial flows using other methods (e.g. using own data sources, using more disaggregation than OECD DAC Rio marker data, using ODA/OOF commitments), as long as the flow targets the objectives of the CBD (in line with the OECD DAC Rio marker definition). </w:t>
      </w:r>
      <w:r w:rsidRPr="00ED7E61">
        <w:rPr>
          <w:rStyle w:val="normaltextrun"/>
        </w:rPr>
        <w:t> </w:t>
      </w:r>
    </w:p>
    <w:p w14:paraId="6119EBFF" w14:textId="63C724CD" w:rsidR="00756F0F" w:rsidRPr="00ED7E61" w:rsidRDefault="00756F0F" w:rsidP="00B10F0C">
      <w:pPr>
        <w:pStyle w:val="CBDNormalNumber"/>
        <w:numPr>
          <w:ilvl w:val="0"/>
          <w:numId w:val="67"/>
        </w:numPr>
        <w:ind w:left="567" w:firstLine="0"/>
      </w:pPr>
      <w:r w:rsidRPr="00ED7E61">
        <w:t xml:space="preserve">For information, the OECD DAC Rio marker helps track biodiversity-related activities when targeting the objectives of the CBD, with a </w:t>
      </w:r>
      <w:r w:rsidR="001B59DF">
        <w:t>“</w:t>
      </w:r>
      <w:r w:rsidRPr="00FB1598">
        <w:rPr>
          <w:i/>
          <w:iCs/>
        </w:rPr>
        <w:t>principal objective</w:t>
      </w:r>
      <w:r w:rsidR="001B59DF">
        <w:t>”</w:t>
      </w:r>
      <w:r w:rsidRPr="00ED7E61">
        <w:t xml:space="preserve"> or a </w:t>
      </w:r>
      <w:r w:rsidR="001B59DF">
        <w:t>“</w:t>
      </w:r>
      <w:r w:rsidRPr="00FB1598">
        <w:rPr>
          <w:i/>
          <w:iCs/>
        </w:rPr>
        <w:t>significant objective</w:t>
      </w:r>
      <w:r w:rsidR="001B59DF">
        <w:t>”</w:t>
      </w:r>
      <w:r w:rsidRPr="00ED7E61">
        <w:t>. Activities marked as “</w:t>
      </w:r>
      <w:r w:rsidRPr="00FB1598">
        <w:rPr>
          <w:i/>
          <w:iCs/>
        </w:rPr>
        <w:t>principal</w:t>
      </w:r>
      <w:r w:rsidRPr="00ED7E61">
        <w:t>” would not have been funded but for that objective; activities marked “</w:t>
      </w:r>
      <w:r w:rsidRPr="00FB1598">
        <w:rPr>
          <w:i/>
          <w:iCs/>
        </w:rPr>
        <w:t>significant</w:t>
      </w:r>
      <w:r w:rsidRPr="00ED7E61">
        <w:t>” have other primary objectives, but have been formulated or adjusted to help meet biodiversity concerns. The Rio markers were designed to track the degree to which members are integrating and mainstreaming environmental considerations into their development co-operation activities, and thus apply to the entirety of an activity reported – not to the allocation of finance associated with the biodiversity-specific component of that activity. Hence, when reporting on this target, countries could report only a portion of their development finance targeting biodiversity as a “</w:t>
      </w:r>
      <w:r w:rsidRPr="00FB1598">
        <w:rPr>
          <w:i/>
          <w:iCs/>
        </w:rPr>
        <w:t>significant</w:t>
      </w:r>
      <w:r w:rsidRPr="00ED7E61">
        <w:t>” objective, using a coefficient to adjust the volume of finance counted. There is no agreed definition or common approach for this practice, but the most common coefficient applied to countries’ “</w:t>
      </w:r>
      <w:r w:rsidRPr="00FB1598">
        <w:rPr>
          <w:i/>
          <w:iCs/>
        </w:rPr>
        <w:t>significant</w:t>
      </w:r>
      <w:r w:rsidRPr="00ED7E61">
        <w:t>” flows is 40%, along with the full account of “</w:t>
      </w:r>
      <w:r w:rsidRPr="00FB1598">
        <w:rPr>
          <w:i/>
          <w:iCs/>
        </w:rPr>
        <w:t>principal</w:t>
      </w:r>
      <w:r w:rsidRPr="00ED7E61">
        <w:t>” flows. When reporting, countries would need to specify the coefficients used for the amounts disbursed to developing countries. </w:t>
      </w:r>
    </w:p>
    <w:p w14:paraId="3A7F7F49" w14:textId="2AE138BA" w:rsidR="00756F0F" w:rsidRPr="00ED7E61" w:rsidRDefault="00756F0F" w:rsidP="00B10F0C">
      <w:pPr>
        <w:pStyle w:val="CBDNormalNumber"/>
        <w:numPr>
          <w:ilvl w:val="0"/>
          <w:numId w:val="67"/>
        </w:numPr>
        <w:ind w:left="567" w:firstLine="0"/>
      </w:pPr>
      <w:r w:rsidRPr="00ED7E61">
        <w:t xml:space="preserve">Two biodiversity-specific activity codes (biodiversity and biosphere protection) have the </w:t>
      </w:r>
      <w:r w:rsidR="001B59DF">
        <w:t>“</w:t>
      </w:r>
      <w:r w:rsidRPr="00FB1598">
        <w:rPr>
          <w:i/>
          <w:iCs/>
        </w:rPr>
        <w:t>principal</w:t>
      </w:r>
      <w:r w:rsidR="001B59DF">
        <w:t>”</w:t>
      </w:r>
      <w:r w:rsidRPr="00ED7E61">
        <w:t xml:space="preserve"> score of the Rio marker assigned by default (hence would be accounted in full). Additional information might be available through activities reported to SDGs 14 and 15. When looking at complementary data based on the SDGs 14 and 15, TOSSD represents a better source of information because the reporting is part of the eligibility criteria (at the target level) and therefore better reported and verified by reporters and the Secretariat. Contrary to what happens in TOSSD, the reporting on the SDG focus of ODA flows is voluntary in the CRS and the coverage is lower. </w:t>
      </w:r>
    </w:p>
    <w:p w14:paraId="4842F1B4" w14:textId="77777777" w:rsidR="00756F0F" w:rsidRPr="00ED7E61" w:rsidRDefault="00756F0F" w:rsidP="00B10F0C">
      <w:pPr>
        <w:pStyle w:val="CBDNormalNumber"/>
        <w:numPr>
          <w:ilvl w:val="0"/>
          <w:numId w:val="67"/>
        </w:numPr>
        <w:ind w:left="567" w:firstLine="0"/>
      </w:pPr>
      <w:r w:rsidRPr="00ED7E61">
        <w:t>Options for multilateral institutions (should a specific indicator be created for multilateral institutions to report separately and voluntarily on their biodiversity-related outflows):  </w:t>
      </w:r>
    </w:p>
    <w:p w14:paraId="4B3F6C98"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A multilateral institution may report biodiversity-related outflows, either using Rio marker data reported to the OECD, applying the same methodology as explained above for bilateral providers of development co-operation.</w:t>
      </w:r>
      <w:r w:rsidRPr="00ED7E61">
        <w:rPr>
          <w:rStyle w:val="normaltextrun"/>
        </w:rPr>
        <w:t> </w:t>
      </w:r>
    </w:p>
    <w:p w14:paraId="5B35D3C4"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A multilateral institution may report biodiversity-related outflows applying other methods, as long as the outflows captured target the objectives of the CBD (in line with the OECD DAC Rio marker definition). </w:t>
      </w:r>
      <w:r w:rsidRPr="00ED7E61">
        <w:rPr>
          <w:rStyle w:val="normaltextrun"/>
        </w:rPr>
        <w:t> </w:t>
      </w:r>
    </w:p>
    <w:p w14:paraId="0668E636" w14:textId="2231D92D" w:rsidR="00756F0F" w:rsidRPr="00F72564" w:rsidRDefault="00756F0F" w:rsidP="00B10F0C">
      <w:pPr>
        <w:pStyle w:val="CBDNormalNumber"/>
        <w:numPr>
          <w:ilvl w:val="0"/>
          <w:numId w:val="67"/>
        </w:numPr>
        <w:ind w:left="567" w:firstLine="0"/>
      </w:pPr>
      <w:r w:rsidRPr="00ED7E61">
        <w:t>As noted earlier, the figures of multilateral flows would need to be presented separately from those of bilateral flows, to avoid double counting (except for multi-bi flows, which can be accounted for by bilateral providers). This would require developing a separate complementary indicator for multilateral institutions.  </w:t>
      </w:r>
    </w:p>
    <w:p w14:paraId="01546BC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1EB67F31" w14:textId="77777777" w:rsidR="00756F0F" w:rsidRPr="00ED7E61" w:rsidRDefault="00756F0F" w:rsidP="00B10F0C">
      <w:pPr>
        <w:pStyle w:val="CBDNormalNumber"/>
        <w:numPr>
          <w:ilvl w:val="0"/>
          <w:numId w:val="67"/>
        </w:numPr>
        <w:ind w:left="567" w:firstLine="0"/>
      </w:pPr>
      <w:r w:rsidRPr="00ED7E61">
        <w:t>Depending on the reporting option selected by the country/institution, data may be collected through information already reported to the OECD DAC Secretariat and the Secretariat of the International Forum on TOSSD:  </w:t>
      </w:r>
    </w:p>
    <w:p w14:paraId="5A3A377E" w14:textId="28016D3C"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 OECD DAC Secretariat collects individual aid activities on ODA and OOF in the Creditor Reporting System (CRS) via annual reporting tables compiled by national statistical reporters (in aid agencies, ministries of foreign affairs, etc</w:t>
      </w:r>
      <w:r w:rsidR="00B6621B">
        <w:rPr>
          <w:rStyle w:val="normaltextrun"/>
          <w:rFonts w:eastAsiaTheme="majorEastAsia"/>
        </w:rPr>
        <w:t>.</w:t>
      </w:r>
      <w:r w:rsidRPr="00ED7E61">
        <w:rPr>
          <w:rStyle w:val="normaltextrun"/>
          <w:rFonts w:eastAsiaTheme="majorEastAsia"/>
        </w:rPr>
        <w:t>).  </w:t>
      </w:r>
      <w:r w:rsidRPr="00ED7E61">
        <w:rPr>
          <w:rStyle w:val="normaltextrun"/>
        </w:rPr>
        <w:t> </w:t>
      </w:r>
    </w:p>
    <w:p w14:paraId="066FC710"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 Secretariat of the International Forum on TOSSD also collects activity-level information on support for sustainable development, including South-South and triangular Cooperation flows, through annual reporting tables filled by national statistical reporters, for inclusion in the TOSSD database. </w:t>
      </w:r>
      <w:r w:rsidRPr="00ED7E61">
        <w:rPr>
          <w:rStyle w:val="normaltextrun"/>
        </w:rPr>
        <w:t> </w:t>
      </w:r>
    </w:p>
    <w:p w14:paraId="677F6E1E" w14:textId="64EC77BE" w:rsidR="00756F0F" w:rsidRPr="00ED7E61" w:rsidRDefault="00756F0F" w:rsidP="00B10F0C">
      <w:pPr>
        <w:pStyle w:val="CBDNormalNumber"/>
        <w:numPr>
          <w:ilvl w:val="0"/>
          <w:numId w:val="67"/>
        </w:numPr>
        <w:ind w:left="567" w:firstLine="0"/>
      </w:pPr>
      <w:r w:rsidRPr="00ED7E61">
        <w:t>Alternatively, a country/institution may report independently from these data collection methods, ensuring international comparability.   </w:t>
      </w:r>
    </w:p>
    <w:p w14:paraId="1EB0617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6F9819FF" w14:textId="77777777" w:rsidR="00756F0F" w:rsidRPr="00ED7E61" w:rsidRDefault="00756F0F" w:rsidP="00B10F0C">
      <w:pPr>
        <w:pStyle w:val="CBDNormalNumber"/>
        <w:numPr>
          <w:ilvl w:val="0"/>
          <w:numId w:val="67"/>
        </w:numPr>
        <w:ind w:left="567" w:firstLine="0"/>
      </w:pPr>
      <w:r w:rsidRPr="00ED7E61">
        <w:t>Countries and institutions reporting via the OECD databases can refer to:  </w:t>
      </w:r>
    </w:p>
    <w:p w14:paraId="392A50EF"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Methodology on the Rio marker for biodiversity, available here: </w:t>
      </w:r>
      <w:hyperlink r:id="rId256" w:tgtFrame="_blank" w:history="1">
        <w:r w:rsidRPr="00ED7E61">
          <w:rPr>
            <w:rStyle w:val="normaltextrun"/>
            <w:rFonts w:eastAsiaTheme="majorEastAsia"/>
          </w:rPr>
          <w:t>https-J/one.oecd org/document/DCD/DAC/STAT(2023)9/..</w:t>
        </w:r>
      </w:hyperlink>
      <w:r w:rsidRPr="00ED7E61">
        <w:rPr>
          <w:rStyle w:val="normaltextrun"/>
          <w:rFonts w:eastAsiaTheme="majorEastAsia"/>
        </w:rPr>
        <w:t xml:space="preserve"> (Annex 20). </w:t>
      </w:r>
      <w:r w:rsidRPr="00ED7E61">
        <w:rPr>
          <w:rStyle w:val="normaltextrun"/>
        </w:rPr>
        <w:t> </w:t>
      </w:r>
    </w:p>
    <w:p w14:paraId="276FC00F"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Information on the OECD DAC CRS itself is available here: </w:t>
      </w:r>
      <w:hyperlink r:id="rId257" w:tgtFrame="_blank" w:history="1">
        <w:r w:rsidRPr="00ED7E61">
          <w:rPr>
            <w:rStyle w:val="normaltextrun"/>
            <w:rFonts w:eastAsiaTheme="majorEastAsia"/>
          </w:rPr>
          <w:t>https-J/one oecd org/document/DCD/DAC/STAT(2020)</w:t>
        </w:r>
        <w:r w:rsidRPr="00FB1598">
          <w:rPr>
            <w:rStyle w:val="normaltextrun"/>
            <w:rFonts w:eastAsiaTheme="majorEastAsia"/>
            <w:vertAlign w:val="superscript"/>
          </w:rPr>
          <w:t>44</w:t>
        </w:r>
      </w:hyperlink>
      <w:r w:rsidRPr="00ED7E61">
        <w:rPr>
          <w:rStyle w:val="normaltextrun"/>
        </w:rPr>
        <w:t> </w:t>
      </w:r>
    </w:p>
    <w:p w14:paraId="0527D41F"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The TOSSD methodology (reporting instructions) is available here: </w:t>
      </w:r>
      <w:hyperlink r:id="rId258" w:tgtFrame="_blank" w:history="1">
        <w:r w:rsidRPr="00ED7E61">
          <w:rPr>
            <w:rStyle w:val="normaltextrun"/>
            <w:rFonts w:eastAsiaTheme="majorEastAsia"/>
          </w:rPr>
          <w:t>https://www.tossd.org/docs/reporting-instructions.pdf</w:t>
        </w:r>
      </w:hyperlink>
      <w:r w:rsidRPr="00ED7E61">
        <w:rPr>
          <w:rStyle w:val="normaltextrun"/>
        </w:rPr>
        <w:t> </w:t>
      </w:r>
    </w:p>
    <w:p w14:paraId="6401667A" w14:textId="77777777" w:rsidR="00756F0F" w:rsidRPr="00ED7E61" w:rsidRDefault="00756F0F" w:rsidP="00B10F0C">
      <w:pPr>
        <w:pStyle w:val="CBDNormalNumber"/>
        <w:numPr>
          <w:ilvl w:val="0"/>
          <w:numId w:val="67"/>
        </w:numPr>
        <w:ind w:left="567" w:firstLine="0"/>
      </w:pPr>
      <w:r w:rsidRPr="00ED7E61">
        <w:t>For other countries/institutions, reported data needs to ensure international comparability and the use of these methodological guidelines, notably on what constitutes international public finance for biodiversity (i.e. flows targeting the CBD objectives, as per the Rio marker definition). </w:t>
      </w:r>
    </w:p>
    <w:p w14:paraId="24C53F8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1478C0FC" w14:textId="5E1B6661" w:rsidR="00172A35" w:rsidRPr="00ED7E61" w:rsidRDefault="00756F0F" w:rsidP="00B10F0C">
      <w:pPr>
        <w:pStyle w:val="CBDNormalNumber"/>
        <w:numPr>
          <w:ilvl w:val="0"/>
          <w:numId w:val="67"/>
        </w:numPr>
        <w:ind w:left="567" w:firstLine="0"/>
      </w:pPr>
      <w:r w:rsidRPr="00ED7E61">
        <w:t>The OECD/DAC collects data on official resource flows through the Creditor Reporting System (CRS) (CRS data are considered complete from 1995 for commitments at an activity level and 2002 for disbursements). The Rio marker for biodiversity was introduced in 2002 and tracking against the SDGs was introduced in 2018. The data are provided by 32 DAC donors, 17 other bilateral providers of development cooperation and 64 multilateral organi</w:t>
      </w:r>
      <w:r w:rsidR="00B10F0C">
        <w:t>z</w:t>
      </w:r>
      <w:r w:rsidRPr="00ED7E61">
        <w:t>ations. </w:t>
      </w:r>
    </w:p>
    <w:p w14:paraId="216425DD" w14:textId="69700ADC" w:rsidR="00172A35" w:rsidRPr="00ED7E61" w:rsidRDefault="00756F0F" w:rsidP="00B10F0C">
      <w:pPr>
        <w:pStyle w:val="CBDNormalNumber"/>
        <w:numPr>
          <w:ilvl w:val="0"/>
          <w:numId w:val="67"/>
        </w:numPr>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 xml:space="preserve">The CRS also includes non-ODA information, e.g. Other Official Flows from bilateral donors, private flows from philanthropic institutions providing development finance for biodiversity, and private finance flows mobilised through public </w:t>
      </w:r>
      <w:r w:rsidRPr="00ED7E61">
        <w:rPr>
          <w:rStyle w:val="normaltextrun"/>
          <w:rFonts w:asciiTheme="majorBidi" w:eastAsiaTheme="majorEastAsia" w:hAnsiTheme="majorBidi" w:cstheme="majorBidi"/>
        </w:rPr>
        <w:t>interventions (e.g. using guarantees or other forms of finance, including blended finance). Some of this information may be useful for CBD Parties when reporting to indicator 19 D.3 on private finance for biodiversity.  </w:t>
      </w:r>
      <w:r w:rsidRPr="00ED7E61">
        <w:rPr>
          <w:rStyle w:val="eop"/>
          <w:rFonts w:asciiTheme="majorBidi" w:eastAsiaTheme="majorEastAsia" w:hAnsiTheme="majorBidi" w:cstheme="majorBidi"/>
        </w:rPr>
        <w:t> </w:t>
      </w:r>
    </w:p>
    <w:p w14:paraId="5D8E6DF7" w14:textId="142F5346" w:rsidR="00756F0F" w:rsidRPr="00ED7E61" w:rsidRDefault="00756F0F" w:rsidP="00B10F0C">
      <w:pPr>
        <w:pStyle w:val="CBDNormalNumber"/>
        <w:numPr>
          <w:ilvl w:val="0"/>
          <w:numId w:val="67"/>
        </w:numPr>
        <w:ind w:left="567" w:firstLine="0"/>
        <w:rPr>
          <w:rFonts w:asciiTheme="majorBidi" w:hAnsiTheme="majorBidi" w:cstheme="majorBidi"/>
        </w:rPr>
      </w:pPr>
      <w:r w:rsidRPr="00ED7E61">
        <w:rPr>
          <w:rStyle w:val="normaltextrun"/>
          <w:rFonts w:asciiTheme="majorBidi" w:eastAsiaTheme="majorEastAsia" w:hAnsiTheme="majorBidi" w:cstheme="majorBidi"/>
        </w:rPr>
        <w:t>TOSSD is a data source complementary to the CRS (see method of computation section) for providers that do not report on ODA/OOF, particularly South-South and triangular co-operation providers, that do not use the biodiversity Rio marker, or that report additional biodiversity-related activities (e.g. to developing countries not eligible to receive ODA/OOF). As such, TOSSD measures all official resources flowing into developing countries for their sustainable development, distinguishing between cross-border flows (pillar I) and global and regional expenditures, including for international public goods (pillar II). An activity is deemed to support sustainable development if it directly contributes to at least one SDG target and if no substantial detrimental effect is anticipated on one or more of the other targets. TOSSD data are available at the activity level from 2019. TOSSD includes data from 128 bilateral and multilateral providers.</w:t>
      </w:r>
      <w:r w:rsidRPr="00ED7E61">
        <w:rPr>
          <w:rStyle w:val="eop"/>
          <w:rFonts w:asciiTheme="majorBidi" w:eastAsiaTheme="majorEastAsia" w:hAnsiTheme="majorBidi" w:cstheme="majorBidi"/>
        </w:rPr>
        <w:t> </w:t>
      </w:r>
    </w:p>
    <w:p w14:paraId="3C1D95D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56093AC8"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Availability: In the CRS, the Rio marker on biodiversity was introduced in 2002, with improvements in reporting over time. Additional information is available through the SDGs, purpose codes and keyword searches. TOSSD data is available since 2019. Both TOSSD and CRS are reported yearly. In TOSSD, the Rio markers do not exist and identification can be made using the SDGs, sector codes and keywords. </w:t>
      </w:r>
      <w:r w:rsidRPr="00ED7E61">
        <w:rPr>
          <w:rStyle w:val="normaltextrun"/>
        </w:rPr>
        <w:t> </w:t>
      </w:r>
    </w:p>
    <w:p w14:paraId="3B20EBEA" w14:textId="77777777" w:rsidR="00756F0F" w:rsidRPr="00ED7E61" w:rsidRDefault="00756F0F" w:rsidP="00B10F0C">
      <w:pPr>
        <w:pStyle w:val="CBDNormalNumber"/>
        <w:numPr>
          <w:ilvl w:val="0"/>
          <w:numId w:val="67"/>
        </w:numPr>
        <w:ind w:left="567" w:firstLine="0"/>
        <w:rPr>
          <w:rStyle w:val="normaltextrun"/>
          <w:rFonts w:eastAsiaTheme="majorEastAsia"/>
        </w:rPr>
      </w:pPr>
      <w:r w:rsidRPr="00ED7E61">
        <w:rPr>
          <w:rStyle w:val="normaltextrun"/>
          <w:rFonts w:asciiTheme="majorBidi" w:eastAsiaTheme="majorEastAsia" w:hAnsiTheme="majorBidi" w:cstheme="majorBidi"/>
        </w:rPr>
        <w:t>Provisional data classification: Tier I </w:t>
      </w:r>
      <w:r w:rsidRPr="00ED7E61">
        <w:rPr>
          <w:rStyle w:val="normaltextrun"/>
        </w:rPr>
        <w:t> </w:t>
      </w:r>
    </w:p>
    <w:p w14:paraId="79074101" w14:textId="77777777" w:rsidR="00756F0F" w:rsidRPr="00ED7E61" w:rsidRDefault="00756F0F" w:rsidP="00B10F0C">
      <w:pPr>
        <w:pStyle w:val="CBDNormalNumber"/>
        <w:numPr>
          <w:ilvl w:val="0"/>
          <w:numId w:val="67"/>
        </w:numPr>
        <w:ind w:left="567" w:firstLine="0"/>
        <w:rPr>
          <w:rStyle w:val="normaltextrun"/>
          <w:rFonts w:eastAsiaTheme="majorEastAsia"/>
        </w:rPr>
      </w:pPr>
      <w:r w:rsidRPr="00ED7E61">
        <w:rPr>
          <w:rStyle w:val="normaltextrun"/>
          <w:rFonts w:asciiTheme="majorBidi" w:eastAsiaTheme="majorEastAsia" w:hAnsiTheme="majorBidi" w:cstheme="majorBidi"/>
        </w:rPr>
        <w:t>Release Calendar: On an annual basis. </w:t>
      </w:r>
      <w:r w:rsidRPr="00ED7E61">
        <w:rPr>
          <w:rStyle w:val="normaltextrun"/>
        </w:rPr>
        <w:t> </w:t>
      </w:r>
    </w:p>
    <w:p w14:paraId="2655AAC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3F84EE28"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CRS data are available since 1995 for commitments on an annual basis. The Rio marker on biodiversity is available since 2002. TOSSD data are available on an annual basis since 2019.  </w:t>
      </w:r>
      <w:r w:rsidRPr="00ED7E61">
        <w:rPr>
          <w:rStyle w:val="normaltextrun"/>
        </w:rPr>
        <w:t> </w:t>
      </w:r>
    </w:p>
    <w:p w14:paraId="69B13CE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4F7AA251"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Countries and institutions (provided a separate indicator is approved) are providers of biodiversity-related international public flows. This data can be reported directly to the CBD or through data already collected by the OECD and the International Forum on TOSSD. </w:t>
      </w:r>
      <w:r w:rsidRPr="00ED7E61">
        <w:rPr>
          <w:rStyle w:val="normaltextrun"/>
        </w:rPr>
        <w:t> </w:t>
      </w:r>
    </w:p>
    <w:p w14:paraId="2EB1D7F1" w14:textId="77777777" w:rsidR="00756F0F" w:rsidRPr="00ED7E61" w:rsidRDefault="00756F0F" w:rsidP="00B10F0C">
      <w:pPr>
        <w:pStyle w:val="CBDNormalNumber"/>
        <w:numPr>
          <w:ilvl w:val="0"/>
          <w:numId w:val="67"/>
        </w:numPr>
        <w:ind w:left="567" w:firstLine="0"/>
        <w:rPr>
          <w:rStyle w:val="normaltextrun"/>
          <w:rFonts w:eastAsiaTheme="majorEastAsia"/>
        </w:rPr>
      </w:pPr>
      <w:r w:rsidRPr="00ED7E61">
        <w:rPr>
          <w:rStyle w:val="normaltextrun"/>
          <w:rFonts w:asciiTheme="majorBidi" w:eastAsiaTheme="majorEastAsia" w:hAnsiTheme="majorBidi" w:cstheme="majorBidi"/>
        </w:rPr>
        <w:t>A statistical reporter is responsible for the collection of CRS and/or TOSSD data in each providing country/agency/institution. This reporter is usually located in the national aid agency, Ministry of Foreign Affairs or Finance etc. </w:t>
      </w:r>
      <w:r w:rsidRPr="00ED7E61">
        <w:rPr>
          <w:rStyle w:val="normaltextrun"/>
        </w:rPr>
        <w:t> </w:t>
      </w:r>
    </w:p>
    <w:p w14:paraId="77B5FC35" w14:textId="77777777" w:rsidR="00756F0F" w:rsidRPr="00ED7E61" w:rsidRDefault="00756F0F" w:rsidP="00B10F0C">
      <w:pPr>
        <w:pStyle w:val="CBDNormalNumber"/>
        <w:numPr>
          <w:ilvl w:val="0"/>
          <w:numId w:val="67"/>
        </w:numPr>
        <w:ind w:left="567" w:firstLine="0"/>
        <w:rPr>
          <w:rStyle w:val="normaltextrun"/>
          <w:rFonts w:eastAsiaTheme="majorEastAsia"/>
        </w:rPr>
      </w:pPr>
      <w:r w:rsidRPr="00ED7E61">
        <w:rPr>
          <w:rStyle w:val="normaltextrun"/>
          <w:rFonts w:asciiTheme="majorBidi" w:eastAsiaTheme="majorEastAsia" w:hAnsiTheme="majorBidi" w:cstheme="majorBidi"/>
        </w:rPr>
        <w:t>The OECD Secretariat, in consultation with countries, validates the CRS data before they are published online; while the Secretariat of the International Forum on TOSSD does the same for TOSSD data. </w:t>
      </w:r>
      <w:r w:rsidRPr="00ED7E61">
        <w:rPr>
          <w:rStyle w:val="normaltextrun"/>
        </w:rPr>
        <w:t> </w:t>
      </w:r>
    </w:p>
    <w:p w14:paraId="1B997E4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A8E61E7"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Data will be compiled by the CBD Secretariat building upon individual country/institution reports and on data already reported to the OECD Development Co-operation Directorate and the Secretariat of the International Forum on TOSSD.   </w:t>
      </w:r>
      <w:r w:rsidRPr="00ED7E61">
        <w:rPr>
          <w:rStyle w:val="normaltextrun"/>
        </w:rPr>
        <w:t> </w:t>
      </w:r>
    </w:p>
    <w:p w14:paraId="734EBB4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2E735CE6"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In the CRS, providers beyond the OECD DAC membership do not systematically report using the biodiversity Rio marker. For these providers, information may therefore be available with Rio marker data, or not. In which case, it may be better to use TOSSD data. If the country does not report on TOSSD, project-level descriptions, where a keyword search can be performed by the OECD, can provide biodiversity-related information. </w:t>
      </w:r>
      <w:r w:rsidRPr="00ED7E61">
        <w:rPr>
          <w:rStyle w:val="normaltextrun"/>
        </w:rPr>
        <w:t> </w:t>
      </w:r>
    </w:p>
    <w:p w14:paraId="1ABFAFC2" w14:textId="5547D808" w:rsidR="00756F0F" w:rsidRPr="00ED7E61" w:rsidRDefault="00756F0F" w:rsidP="00B10F0C">
      <w:pPr>
        <w:pStyle w:val="CBDNormalNumber"/>
        <w:numPr>
          <w:ilvl w:val="0"/>
          <w:numId w:val="67"/>
        </w:numPr>
        <w:ind w:left="567" w:firstLine="0"/>
        <w:rPr>
          <w:rStyle w:val="normaltextrun"/>
          <w:rFonts w:eastAsiaTheme="majorEastAsia"/>
        </w:rPr>
      </w:pPr>
      <w:r w:rsidRPr="00ED7E61">
        <w:rPr>
          <w:rStyle w:val="normaltextrun"/>
          <w:rFonts w:asciiTheme="majorBidi" w:eastAsiaTheme="majorEastAsia" w:hAnsiTheme="majorBidi" w:cstheme="majorBidi"/>
        </w:rPr>
        <w:t>For DAC members, the main data gap relates to OOF. In addition</w:t>
      </w:r>
      <w:r w:rsidR="00267162"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some modalities, such as debt relief operations or general budget support, are also not tracked through the Rio marker system (except debt-for-nature swaps). Work is on-going to increase the coverage of the indicator in relation to biodiversity-related finance beyond ODA from OECD DAC members.</w:t>
      </w:r>
      <w:r w:rsidRPr="00ED7E61">
        <w:rPr>
          <w:rStyle w:val="normaltextrun"/>
        </w:rPr>
        <w:t> </w:t>
      </w:r>
    </w:p>
    <w:p w14:paraId="46C674E7" w14:textId="1D4A044D" w:rsidR="00756F0F" w:rsidRPr="00ED7E61" w:rsidRDefault="00756F0F" w:rsidP="00B10F0C">
      <w:pPr>
        <w:pStyle w:val="CBDNormalNumber"/>
        <w:numPr>
          <w:ilvl w:val="0"/>
          <w:numId w:val="67"/>
        </w:numPr>
        <w:ind w:left="567" w:firstLine="0"/>
        <w:rPr>
          <w:rStyle w:val="normaltextrun"/>
          <w:rFonts w:eastAsiaTheme="majorEastAsia"/>
        </w:rPr>
      </w:pPr>
      <w:r w:rsidRPr="00ED7E61">
        <w:rPr>
          <w:rStyle w:val="normaltextrun"/>
          <w:rFonts w:asciiTheme="majorBidi" w:eastAsiaTheme="majorEastAsia" w:hAnsiTheme="majorBidi" w:cstheme="majorBidi"/>
        </w:rPr>
        <w:t>Available data includes information on other dimensions that cut across with biodiversity objectives, including gender, the intersection with other Rio markers (climate change adaptation and mitigation, desertification), or capacity development type of activities (e.g. technical assistance, scholarships, etc</w:t>
      </w:r>
      <w:r w:rsidR="00B6621B">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and the development, transfer, dissemination and diffusion of technology. For other issue areas (e.g. capturing specific sub-themes such as the participation of indigenous peoples and local communities  and youth), keyword searches can be performed by the OECD or activities may be reported by countries, until a systematic method is identified to track such flows.</w:t>
      </w:r>
      <w:r w:rsidRPr="00ED7E61">
        <w:rPr>
          <w:rStyle w:val="normaltextrun"/>
        </w:rPr>
        <w:t> </w:t>
      </w:r>
    </w:p>
    <w:p w14:paraId="467F8A13" w14:textId="77777777" w:rsidR="00756F0F" w:rsidRPr="00ED7E61" w:rsidRDefault="00756F0F" w:rsidP="00B10F0C">
      <w:pPr>
        <w:pStyle w:val="CBDNormalNumber"/>
        <w:numPr>
          <w:ilvl w:val="0"/>
          <w:numId w:val="67"/>
        </w:numPr>
        <w:ind w:left="567" w:firstLine="0"/>
        <w:rPr>
          <w:rStyle w:val="normaltextrun"/>
          <w:rFonts w:eastAsiaTheme="majorEastAsia"/>
        </w:rPr>
      </w:pPr>
      <w:r w:rsidRPr="00ED7E61">
        <w:rPr>
          <w:rStyle w:val="normaltextrun"/>
          <w:rFonts w:asciiTheme="majorBidi" w:eastAsiaTheme="majorEastAsia" w:hAnsiTheme="majorBidi" w:cstheme="majorBidi"/>
        </w:rPr>
        <w:t>In TOSSD, the coverage in terms of providers is wider, although the Rio marker methodology does not exist. Biodiversity related activities can be reported through the SDG focus field or biodiversity-related sector codes. For TOSSD, reporting on the SDG focus field was challenging in the first year of data collection in 2019, but the use of the code has steadily improved in coverage and quality since then, and the number of South-South and triangular co-operation providers is growing over time. </w:t>
      </w:r>
      <w:r w:rsidRPr="00ED7E61">
        <w:rPr>
          <w:rStyle w:val="normaltextrun"/>
        </w:rPr>
        <w:t> </w:t>
      </w:r>
    </w:p>
    <w:p w14:paraId="25E0D1AC" w14:textId="77777777" w:rsidR="00756F0F" w:rsidRPr="00ED7E61" w:rsidRDefault="00756F0F" w:rsidP="00B10F0C">
      <w:pPr>
        <w:pStyle w:val="CBDNormalNumber"/>
        <w:numPr>
          <w:ilvl w:val="0"/>
          <w:numId w:val="67"/>
        </w:numPr>
        <w:ind w:left="567" w:firstLine="0"/>
        <w:rPr>
          <w:rStyle w:val="normaltextrun"/>
          <w:rFonts w:eastAsiaTheme="majorEastAsia"/>
        </w:rPr>
      </w:pPr>
      <w:r w:rsidRPr="00ED7E61">
        <w:rPr>
          <w:rStyle w:val="normaltextrun"/>
          <w:rFonts w:asciiTheme="majorBidi" w:eastAsiaTheme="majorEastAsia" w:hAnsiTheme="majorBidi" w:cstheme="majorBidi"/>
        </w:rPr>
        <w:t>Multilateral institutions report to the OECD on a voluntary basis but do not all use the biodiversity Rio marker or comprehensively indicate their biodiversity-related outflows. This data can be estimated through their reporting on the SDGs or purpose codes, or the use of keyword searches. A more robust breakdown of multilateral flows would be possible through the direct identification and reporting of biodiversity-related flows to the OECD, provided these flows aim at targeting the objectives of the CBD. Multilateral institutions report in the CRS activities financed with their core budget (while earmarked activities are attributed to bilateral donors) and in the TOSSD framework biodiversity-related activities financed with both the core budget and earmarked contributions (both ODA and beyond ODA-related). </w:t>
      </w:r>
      <w:r w:rsidRPr="00ED7E61">
        <w:rPr>
          <w:rStyle w:val="normaltextrun"/>
        </w:rPr>
        <w:t> </w:t>
      </w:r>
    </w:p>
    <w:p w14:paraId="3CD8740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56E6E689"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Countries (and should an indicator be developed, multilateral institutions) are responsible for the compilation and reporting of their biodiversity-related public international finance to the CBD. They need to ensure avoiding missing values, as well as enabling international comparability of their reported flows, using this metadata sheet as guidance. Countries (and institutions) may decide to report data through the OECD DAC CRS and TOSSD databases. </w:t>
      </w:r>
      <w:r w:rsidRPr="00ED7E61">
        <w:rPr>
          <w:rStyle w:val="normaltextrun"/>
        </w:rPr>
        <w:t> </w:t>
      </w:r>
    </w:p>
    <w:p w14:paraId="7326FAF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3977F1B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497FB9E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440B283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National</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7B1264EC"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Scale of data disaggregation/aggregation: Activity/project level</w:t>
      </w:r>
      <w:r w:rsidRPr="00ED7E61">
        <w:rPr>
          <w:rStyle w:val="normaltextrun"/>
        </w:rPr>
        <w:t> </w:t>
      </w:r>
    </w:p>
    <w:p w14:paraId="0BB6B29D"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Global/ regional scale indicator can be disaggregated to national level: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7AEEF4B1"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National data is collated to form global indicator: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5241074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23C075B3"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 DAC statistical Reporting Directives govern the reporting of DAC statistics and are reviewed and agreed by the DAC Working Party of Development Finance Statistics (WP-STAT), see: </w:t>
      </w:r>
      <w:hyperlink r:id="rId259" w:tgtFrame="_blank" w:history="1">
        <w:r w:rsidRPr="00ED7E61">
          <w:rPr>
            <w:rStyle w:val="normaltextrun"/>
            <w:rFonts w:asciiTheme="majorBidi" w:eastAsiaTheme="majorEastAsia" w:hAnsiTheme="majorBidi" w:cstheme="majorBidi"/>
          </w:rPr>
          <w:t>https://one.oecd.org/document/DCD/DAC/STAT(2020)44..</w:t>
        </w:r>
      </w:hyperlink>
      <w:r w:rsidRPr="00ED7E61">
        <w:rPr>
          <w:rStyle w:val="normaltextrun"/>
          <w:rFonts w:asciiTheme="majorBidi" w:eastAsiaTheme="majorEastAsia" w:hAnsiTheme="majorBidi" w:cstheme="majorBidi"/>
        </w:rPr>
        <w:t>. (Annex 20). The International Forum on TOSSD governs the reporting of TOSSD statistics.  </w:t>
      </w:r>
      <w:r w:rsidRPr="00ED7E61">
        <w:rPr>
          <w:rStyle w:val="normaltextrun"/>
        </w:rPr>
        <w:t> </w:t>
      </w:r>
    </w:p>
    <w:p w14:paraId="29701E2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4D40CA7A"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DAC and TOSSD statistics are standardised on a calendar year basis for all providers and may differ from fiscal year data available in budget documents for some countries. Some countries and institutions provide more comprehensive information than others. </w:t>
      </w:r>
      <w:r w:rsidRPr="00ED7E61">
        <w:rPr>
          <w:rStyle w:val="normaltextrun"/>
        </w:rPr>
        <w:t> </w:t>
      </w:r>
    </w:p>
    <w:p w14:paraId="49A4992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4A93C65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 Description of the methodology</w:t>
      </w:r>
      <w:r w:rsidRPr="00ED7E61">
        <w:rPr>
          <w:rStyle w:val="eop"/>
          <w:rFonts w:asciiTheme="majorBidi" w:eastAsiaTheme="majorEastAsia" w:hAnsiTheme="majorBidi" w:cstheme="majorBidi"/>
          <w:sz w:val="22"/>
          <w:szCs w:val="22"/>
        </w:rPr>
        <w:t> </w:t>
      </w:r>
    </w:p>
    <w:p w14:paraId="222D6774"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Data are reported at a country / multilateral institution level</w:t>
      </w:r>
      <w:r w:rsidRPr="00ED7E61">
        <w:rPr>
          <w:rStyle w:val="normaltextrun"/>
        </w:rPr>
        <w:t> </w:t>
      </w:r>
    </w:p>
    <w:p w14:paraId="42E6912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225C427E"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486F98C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6d.3 Description of the mechanism for collecting data from countries</w:t>
      </w:r>
      <w:r w:rsidRPr="00ED7E61">
        <w:rPr>
          <w:rStyle w:val="eop"/>
          <w:rFonts w:asciiTheme="majorBidi" w:eastAsiaTheme="majorEastAsia" w:hAnsiTheme="majorBidi" w:cstheme="majorBidi"/>
          <w:sz w:val="22"/>
          <w:szCs w:val="22"/>
        </w:rPr>
        <w:t> </w:t>
      </w:r>
    </w:p>
    <w:p w14:paraId="7C446B7E"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Data are reported via an annual questionnaire (at an aggregate level and at an activity level) by national statistical reporters in aid agencies, ministries of foreign affairs, etc. </w:t>
      </w:r>
      <w:r w:rsidRPr="00ED7E61">
        <w:rPr>
          <w:rStyle w:val="normaltextrun"/>
        </w:rPr>
        <w:t> </w:t>
      </w:r>
    </w:p>
    <w:p w14:paraId="1CE0D19B" w14:textId="3CE4DD28"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lang w:val="en-GB"/>
        </w:rPr>
      </w:pPr>
    </w:p>
    <w:p w14:paraId="77D5D9CF" w14:textId="3D32562E"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w:t>
      </w:r>
      <w:r w:rsidR="00B10F0C">
        <w:rPr>
          <w:rStyle w:val="normaltextrun"/>
          <w:rFonts w:asciiTheme="majorBidi" w:eastAsiaTheme="majorEastAsia" w:hAnsiTheme="majorBidi" w:cstheme="majorBidi"/>
          <w:b/>
          <w:bCs/>
          <w:sz w:val="22"/>
          <w:szCs w:val="22"/>
        </w:rPr>
        <w:t>z</w:t>
      </w:r>
      <w:r w:rsidRPr="00ED7E61">
        <w:rPr>
          <w:rStyle w:val="normaltextrun"/>
          <w:rFonts w:asciiTheme="majorBidi" w:eastAsiaTheme="majorEastAsia" w:hAnsiTheme="majorBidi" w:cstheme="majorBidi"/>
          <w:b/>
          <w:bCs/>
          <w:sz w:val="22"/>
          <w:szCs w:val="22"/>
        </w:rPr>
        <w:t>ations</w:t>
      </w:r>
      <w:r w:rsidRPr="00ED7E61">
        <w:rPr>
          <w:rStyle w:val="eop"/>
          <w:rFonts w:asciiTheme="majorBidi" w:eastAsiaTheme="majorEastAsia" w:hAnsiTheme="majorBidi" w:cstheme="majorBidi"/>
          <w:sz w:val="22"/>
          <w:szCs w:val="22"/>
        </w:rPr>
        <w:t> </w:t>
      </w:r>
    </w:p>
    <w:p w14:paraId="6211C45F" w14:textId="77777777" w:rsidR="00756F0F" w:rsidRPr="00ED7E61" w:rsidRDefault="00756F0F" w:rsidP="00F72564">
      <w:pPr>
        <w:pStyle w:val="paragraph"/>
        <w:pBdr>
          <w:bottom w:val="single" w:sz="4" w:space="1" w:color="000000"/>
        </w:pBdr>
        <w:spacing w:before="120" w:beforeAutospacing="0" w:after="12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5EA7592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Sustainable Development Goal (SDG) goal 15</w:t>
      </w:r>
      <w:r w:rsidRPr="00ED7E61">
        <w:rPr>
          <w:rStyle w:val="eop"/>
          <w:rFonts w:asciiTheme="majorBidi" w:eastAsiaTheme="majorEastAsia" w:hAnsiTheme="majorBidi" w:cstheme="majorBidi"/>
          <w:sz w:val="22"/>
          <w:szCs w:val="22"/>
        </w:rPr>
        <w:t> </w:t>
      </w:r>
    </w:p>
    <w:p w14:paraId="551556C2" w14:textId="77777777" w:rsidR="00756F0F" w:rsidRPr="00ED7E61" w:rsidRDefault="00756F0F" w:rsidP="00F72564">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2EAE45E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sz w:val="22"/>
          <w:szCs w:val="22"/>
        </w:rPr>
        <w:t xml:space="preserve">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6EBC078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hyperlink r:id="rId260" w:tgtFrame="_blank" w:history="1">
        <w:r w:rsidRPr="00ED7E61">
          <w:rPr>
            <w:rStyle w:val="normaltextrun"/>
            <w:rFonts w:asciiTheme="majorBidi" w:eastAsiaTheme="majorEastAsia" w:hAnsiTheme="majorBidi" w:cstheme="majorBidi"/>
            <w:color w:val="467886"/>
            <w:sz w:val="22"/>
            <w:szCs w:val="22"/>
            <w:u w:val="single"/>
            <w:lang w:val="en-GB"/>
          </w:rPr>
          <w:t>https://www.bipindicators.net/indicators/official-development-assistance-provided-in-support-of-the-convention</w:t>
        </w:r>
      </w:hyperlink>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3E78CB3C" w14:textId="79485EE3" w:rsidR="00756F0F" w:rsidRPr="00ED7E61" w:rsidRDefault="00756F0F" w:rsidP="00F72564">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047A9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047A9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3B19A1E0"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This indicator could be disaggregated by:</w:t>
      </w:r>
      <w:r w:rsidRPr="00ED7E61">
        <w:rPr>
          <w:rStyle w:val="normaltextrun"/>
        </w:rPr>
        <w:t> </w:t>
      </w:r>
    </w:p>
    <w:p w14:paraId="6163E97C"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Recipient country (or region, including for Small Island Developing States, Least Developed Countries or fragile contexts)  </w:t>
      </w:r>
      <w:r w:rsidRPr="00ED7E61">
        <w:rPr>
          <w:rStyle w:val="normaltextrun"/>
        </w:rPr>
        <w:t> </w:t>
      </w:r>
    </w:p>
    <w:p w14:paraId="51013574"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Income group  </w:t>
      </w:r>
      <w:r w:rsidRPr="00ED7E61">
        <w:rPr>
          <w:rStyle w:val="normaltextrun"/>
        </w:rPr>
        <w:t> </w:t>
      </w:r>
    </w:p>
    <w:p w14:paraId="366C8333"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Type of finance  </w:t>
      </w:r>
      <w:r w:rsidRPr="00ED7E61">
        <w:rPr>
          <w:rStyle w:val="normaltextrun"/>
        </w:rPr>
        <w:t> </w:t>
      </w:r>
    </w:p>
    <w:p w14:paraId="7BF2101E"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Type of aid  </w:t>
      </w:r>
      <w:r w:rsidRPr="00ED7E61">
        <w:rPr>
          <w:rStyle w:val="normaltextrun"/>
        </w:rPr>
        <w:t> </w:t>
      </w:r>
    </w:p>
    <w:p w14:paraId="106151E0"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Sector and sub sector  </w:t>
      </w:r>
      <w:r w:rsidRPr="00ED7E61">
        <w:rPr>
          <w:rStyle w:val="normaltextrun"/>
        </w:rPr>
        <w:t> </w:t>
      </w:r>
    </w:p>
    <w:p w14:paraId="008EC556" w14:textId="3B93B173"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Policy marker or cross-cutting issues (e.g. climate change adaptation or mitigation, gender,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ommunities</w:t>
      </w:r>
      <w:r w:rsidRPr="00ED7E61">
        <w:rPr>
          <w:rStyle w:val="normaltextrun"/>
          <w:rFonts w:eastAsiaTheme="majorEastAsia"/>
        </w:rPr>
        <w:t>, youth) </w:t>
      </w:r>
      <w:r w:rsidRPr="00ED7E61">
        <w:rPr>
          <w:rStyle w:val="normaltextrun"/>
        </w:rPr>
        <w:t> </w:t>
      </w:r>
    </w:p>
    <w:p w14:paraId="0035283F"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Capacity building and development, and technical and scientific cooperation </w:t>
      </w:r>
      <w:r w:rsidRPr="00ED7E61">
        <w:rPr>
          <w:rStyle w:val="normaltextrun"/>
        </w:rPr>
        <w:t> </w:t>
      </w:r>
    </w:p>
    <w:p w14:paraId="1255AE9D"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Development, transfer, dissemination and diffusion of technology</w:t>
      </w:r>
      <w:r w:rsidRPr="00ED7E61">
        <w:rPr>
          <w:rStyle w:val="normaltextrun"/>
        </w:rPr>
        <w:t> </w:t>
      </w:r>
    </w:p>
    <w:p w14:paraId="7C188513" w14:textId="77777777" w:rsidR="00756F0F" w:rsidRPr="00ED7E61" w:rsidRDefault="00756F0F" w:rsidP="00B10F0C">
      <w:pPr>
        <w:pStyle w:val="CBDNormalNumber"/>
        <w:numPr>
          <w:ilvl w:val="1"/>
          <w:numId w:val="6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Channel of delivery  </w:t>
      </w:r>
      <w:r w:rsidRPr="00ED7E61">
        <w:rPr>
          <w:rStyle w:val="normaltextrun"/>
        </w:rPr>
        <w:t> </w:t>
      </w:r>
    </w:p>
    <w:p w14:paraId="53B61BA5" w14:textId="00D9E6EA" w:rsidR="00756F0F" w:rsidRPr="00ED7E61" w:rsidRDefault="00756F0F" w:rsidP="00B10F0C">
      <w:pPr>
        <w:pStyle w:val="CBDNormalNumber"/>
        <w:numPr>
          <w:ilvl w:val="0"/>
          <w:numId w:val="67"/>
        </w:numPr>
        <w:ind w:left="567" w:firstLine="0"/>
        <w:rPr>
          <w:rStyle w:val="normaltextrun"/>
          <w:rFonts w:eastAsiaTheme="majorEastAsia"/>
        </w:rPr>
      </w:pPr>
      <w:r w:rsidRPr="00ED7E61">
        <w:rPr>
          <w:rStyle w:val="normaltextrun"/>
          <w:rFonts w:asciiTheme="majorBidi" w:eastAsiaTheme="majorEastAsia" w:hAnsiTheme="majorBidi" w:cstheme="majorBidi"/>
        </w:rPr>
        <w:t xml:space="preserve">Additional complementary indicators would be needed to have further information available (e.g. on </w:t>
      </w:r>
      <w:r w:rsidR="00BE7FA9" w:rsidRPr="00ED7E61">
        <w:rPr>
          <w:rStyle w:val="normaltextrun"/>
          <w:rFonts w:asciiTheme="majorBidi" w:eastAsiaTheme="majorEastAsia" w:hAnsiTheme="majorBidi" w:cstheme="majorBidi"/>
        </w:rPr>
        <w:t>indigenous people</w:t>
      </w:r>
      <w:r w:rsidR="00616510">
        <w:rPr>
          <w:rStyle w:val="normaltextrun"/>
          <w:rFonts w:asciiTheme="majorBidi" w:eastAsiaTheme="majorEastAsia" w:hAnsiTheme="majorBidi" w:cstheme="majorBidi"/>
        </w:rPr>
        <w:t>s</w:t>
      </w:r>
      <w:r w:rsidR="00BE7FA9" w:rsidRPr="00ED7E61">
        <w:rPr>
          <w:rStyle w:val="normaltextrun"/>
          <w:rFonts w:asciiTheme="majorBidi" w:eastAsiaTheme="majorEastAsia" w:hAnsiTheme="majorBidi" w:cstheme="majorBidi"/>
        </w:rPr>
        <w:t xml:space="preserve"> and local communities </w:t>
      </w:r>
      <w:r w:rsidRPr="00ED7E61">
        <w:rPr>
          <w:rStyle w:val="normaltextrun"/>
          <w:rFonts w:asciiTheme="majorBidi" w:eastAsiaTheme="majorEastAsia" w:hAnsiTheme="majorBidi" w:cstheme="majorBidi"/>
        </w:rPr>
        <w:t>or youth). Countries and institutions may be interested in disaggregating further along other variables.   </w:t>
      </w:r>
      <w:r w:rsidRPr="00ED7E61">
        <w:rPr>
          <w:rStyle w:val="normaltextrun"/>
        </w:rPr>
        <w:t> </w:t>
      </w:r>
    </w:p>
    <w:p w14:paraId="0C4F589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5B0675EA" w14:textId="77777777" w:rsidR="00756F0F" w:rsidRPr="00ED7E61" w:rsidRDefault="00756F0F" w:rsidP="00F72564">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157001CC" w14:textId="77777777" w:rsidR="00756F0F" w:rsidRPr="00ED7E61" w:rsidRDefault="00756F0F" w:rsidP="00172A35">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0501BCE4" w14:textId="6B980789" w:rsidR="00756F0F" w:rsidRPr="00ED7E61" w:rsidRDefault="00756F0F" w:rsidP="00F72564">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F72564">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2EB818C6" w14:textId="77777777" w:rsidR="00756F0F" w:rsidRPr="00ED7E61" w:rsidRDefault="00756F0F" w:rsidP="00B10F0C">
      <w:pPr>
        <w:pStyle w:val="CBDNormalNumber"/>
        <w:numPr>
          <w:ilvl w:val="0"/>
          <w:numId w:val="67"/>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For countries and institutions wishing to use the OECD databases, the OECD DAC Secretariat or the International TOSSD Forum would have the databases from which to source the information. Otherwise, the country or institution would be the data reporter.</w:t>
      </w:r>
      <w:r w:rsidRPr="00ED7E61">
        <w:rPr>
          <w:rStyle w:val="normaltextrun"/>
        </w:rPr>
        <w:t> </w:t>
      </w:r>
    </w:p>
    <w:p w14:paraId="679B224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457E8FB3" w14:textId="77777777" w:rsidR="00756F0F" w:rsidRPr="00ED7E61" w:rsidRDefault="00756F0F" w:rsidP="00F72564">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CRS (</w:t>
      </w:r>
      <w:hyperlink r:id="rId261" w:tgtFrame="_blank" w:history="1">
        <w:r w:rsidRPr="00ED7E61">
          <w:rPr>
            <w:rStyle w:val="normaltextrun"/>
            <w:rFonts w:asciiTheme="majorBidi" w:eastAsiaTheme="majorEastAsia" w:hAnsiTheme="majorBidi" w:cstheme="majorBidi"/>
          </w:rPr>
          <w:t>Juan.CASADOASENSIO@oecd.org</w:t>
        </w:r>
      </w:hyperlink>
      <w:r w:rsidRPr="00ED7E61">
        <w:rPr>
          <w:rStyle w:val="normaltextrun"/>
          <w:rFonts w:asciiTheme="majorBidi" w:eastAsiaTheme="majorEastAsia" w:hAnsiTheme="majorBidi" w:cstheme="majorBidi"/>
        </w:rPr>
        <w:t>)</w:t>
      </w:r>
      <w:r w:rsidRPr="00ED7E61">
        <w:rPr>
          <w:rStyle w:val="normaltextrun"/>
        </w:rPr>
        <w:t> </w:t>
      </w:r>
    </w:p>
    <w:p w14:paraId="235BAFAE" w14:textId="77777777" w:rsidR="00756F0F" w:rsidRPr="00ED7E61" w:rsidRDefault="00756F0F" w:rsidP="00F72564">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CRS (</w:t>
      </w:r>
      <w:hyperlink r:id="rId262" w:tgtFrame="_blank" w:history="1">
        <w:r w:rsidRPr="00ED7E61">
          <w:rPr>
            <w:rStyle w:val="normaltextrun"/>
            <w:rFonts w:asciiTheme="majorBidi" w:eastAsiaTheme="majorEastAsia" w:hAnsiTheme="majorBidi" w:cstheme="majorBidi"/>
          </w:rPr>
          <w:t>Giorgio.GUALBERTl@oecd.org</w:t>
        </w:r>
      </w:hyperlink>
      <w:r w:rsidRPr="00ED7E61">
        <w:rPr>
          <w:rStyle w:val="normaltextrun"/>
          <w:rFonts w:asciiTheme="majorBidi" w:eastAsiaTheme="majorEastAsia" w:hAnsiTheme="majorBidi" w:cstheme="majorBidi"/>
        </w:rPr>
        <w:t>)</w:t>
      </w:r>
      <w:r w:rsidRPr="00ED7E61">
        <w:rPr>
          <w:rStyle w:val="normaltextrun"/>
        </w:rPr>
        <w:t> </w:t>
      </w:r>
    </w:p>
    <w:p w14:paraId="0F6F5E09" w14:textId="77777777" w:rsidR="00756F0F" w:rsidRPr="00ED7E61" w:rsidRDefault="00756F0F" w:rsidP="00F72564">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TOSSD (</w:t>
      </w:r>
      <w:hyperlink r:id="rId263" w:tgtFrame="_blank" w:history="1">
        <w:r w:rsidRPr="00ED7E61">
          <w:rPr>
            <w:rStyle w:val="normaltextrun"/>
            <w:rFonts w:asciiTheme="majorBidi" w:eastAsiaTheme="majorEastAsia" w:hAnsiTheme="majorBidi" w:cstheme="majorBidi"/>
          </w:rPr>
          <w:t>Marisa.BerbegalIbanez@oecd.org</w:t>
        </w:r>
      </w:hyperlink>
      <w:r w:rsidRPr="00ED7E61">
        <w:rPr>
          <w:rStyle w:val="normaltextrun"/>
          <w:rFonts w:asciiTheme="majorBidi" w:eastAsiaTheme="majorEastAsia" w:hAnsiTheme="majorBidi" w:cstheme="majorBidi"/>
        </w:rPr>
        <w:t>) </w:t>
      </w:r>
      <w:r w:rsidRPr="00ED7E61">
        <w:rPr>
          <w:rStyle w:val="normaltextrun"/>
        </w:rPr>
        <w:t> </w:t>
      </w:r>
    </w:p>
    <w:p w14:paraId="3E773F1C" w14:textId="77777777" w:rsidR="00756F0F" w:rsidRPr="00ED7E61" w:rsidRDefault="00756F0F" w:rsidP="00F72564">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OECD CBD Focal Point (</w:t>
      </w:r>
      <w:hyperlink r:id="rId264" w:tgtFrame="_blank" w:history="1">
        <w:r w:rsidRPr="00ED7E61">
          <w:rPr>
            <w:rStyle w:val="normaltextrun"/>
            <w:rFonts w:asciiTheme="majorBidi" w:eastAsiaTheme="majorEastAsia" w:hAnsiTheme="majorBidi" w:cstheme="majorBidi"/>
          </w:rPr>
          <w:t>Katia.KAROUSAKIS@oecd.org</w:t>
        </w:r>
      </w:hyperlink>
      <w:r w:rsidRPr="00ED7E61">
        <w:rPr>
          <w:rStyle w:val="normaltextrun"/>
          <w:rFonts w:asciiTheme="majorBidi" w:eastAsiaTheme="majorEastAsia" w:hAnsiTheme="majorBidi" w:cstheme="majorBidi"/>
        </w:rPr>
        <w:t>) </w:t>
      </w:r>
      <w:r w:rsidRPr="00ED7E61">
        <w:rPr>
          <w:rStyle w:val="normaltextrun"/>
        </w:rPr>
        <w:t> </w:t>
      </w:r>
    </w:p>
    <w:p w14:paraId="7FBCE5B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11. References</w:t>
      </w:r>
      <w:r w:rsidRPr="00ED7E61">
        <w:rPr>
          <w:rStyle w:val="eop"/>
          <w:rFonts w:asciiTheme="majorBidi" w:eastAsiaTheme="majorEastAsia" w:hAnsiTheme="majorBidi" w:cstheme="majorBidi"/>
          <w:sz w:val="22"/>
          <w:szCs w:val="22"/>
        </w:rPr>
        <w:t> </w:t>
      </w:r>
    </w:p>
    <w:p w14:paraId="0CC5A7CD" w14:textId="77777777" w:rsidR="00756F0F" w:rsidRPr="00ED7E61" w:rsidRDefault="00756F0F" w:rsidP="00F72564">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A CRS glossary with key terms and concepts is available here: </w:t>
      </w:r>
      <w:hyperlink r:id="rId265" w:tgtFrame="_blank" w:history="1">
        <w:r w:rsidRPr="00ED7E61">
          <w:rPr>
            <w:rStyle w:val="normaltextrun"/>
            <w:rFonts w:asciiTheme="majorBidi" w:eastAsiaTheme="majorEastAsia" w:hAnsiTheme="majorBidi" w:cstheme="majorBidi"/>
          </w:rPr>
          <w:t>https://www.oecd.org/dac/dac-glossary.htm</w:t>
        </w:r>
      </w:hyperlink>
      <w:r w:rsidRPr="00ED7E61">
        <w:rPr>
          <w:rStyle w:val="normaltextrun"/>
          <w:rFonts w:asciiTheme="majorBidi" w:eastAsiaTheme="majorEastAsia" w:hAnsiTheme="majorBidi" w:cstheme="majorBidi"/>
        </w:rPr>
        <w:t> </w:t>
      </w:r>
      <w:r w:rsidRPr="00ED7E61">
        <w:rPr>
          <w:rStyle w:val="normaltextrun"/>
        </w:rPr>
        <w:t> </w:t>
      </w:r>
    </w:p>
    <w:p w14:paraId="7A202541" w14:textId="77777777" w:rsidR="00756F0F" w:rsidRPr="00ED7E61" w:rsidRDefault="00756F0F" w:rsidP="00F72564">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OECD (2023), Biodiversity and development finance 2015-2021, Progress towards Target 19 of the Kunming-Montreal Global Biodiversity Framework, </w:t>
      </w:r>
      <w:hyperlink r:id="rId266" w:tgtFrame="_blank" w:history="1">
        <w:r w:rsidRPr="00ED7E61">
          <w:rPr>
            <w:rStyle w:val="normaltextrun"/>
            <w:rFonts w:asciiTheme="majorBidi" w:eastAsiaTheme="majorEastAsia" w:hAnsiTheme="majorBidi" w:cstheme="majorBidi"/>
          </w:rPr>
          <w:t>https://www.oecd.org/dac/biodiversity-development-finance-target19-2015-2021.pdf </w:t>
        </w:r>
      </w:hyperlink>
      <w:r w:rsidRPr="00ED7E61">
        <w:rPr>
          <w:rStyle w:val="normaltextrun"/>
        </w:rPr>
        <w:t> </w:t>
      </w:r>
    </w:p>
    <w:p w14:paraId="3E42272C" w14:textId="77777777" w:rsidR="00756F0F" w:rsidRPr="00ED7E61" w:rsidRDefault="00756F0F" w:rsidP="00F72564">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OECD (2023), A decade of development finance for biodiversity, 2011-2020,</w:t>
      </w:r>
      <w:hyperlink r:id="rId267" w:tgtFrame="_blank" w:history="1">
        <w:r w:rsidRPr="00ED7E61">
          <w:rPr>
            <w:rStyle w:val="normaltextrun"/>
            <w:rFonts w:asciiTheme="majorBidi" w:eastAsiaTheme="majorEastAsia" w:hAnsiTheme="majorBidi" w:cstheme="majorBidi"/>
          </w:rPr>
          <w:t>https://www.oecd-ilibrary.org/development/a-decade..</w:t>
        </w:r>
      </w:hyperlink>
      <w:r w:rsidRPr="00ED7E61">
        <w:rPr>
          <w:rStyle w:val="normaltextrun"/>
          <w:rFonts w:asciiTheme="majorBidi" w:eastAsiaTheme="majorEastAsia" w:hAnsiTheme="majorBidi" w:cstheme="majorBidi"/>
        </w:rPr>
        <w:t>. </w:t>
      </w:r>
      <w:r w:rsidRPr="00ED7E61">
        <w:rPr>
          <w:rStyle w:val="normaltextrun"/>
        </w:rPr>
        <w:t> </w:t>
      </w:r>
    </w:p>
    <w:p w14:paraId="0AE5A6DE" w14:textId="296D0314" w:rsidR="00756F0F" w:rsidRPr="00ED7E61" w:rsidRDefault="00756F0F" w:rsidP="00F72564">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 xml:space="preserve">OECD (2018), Review of the definition and eligibility criteria for the Rio Marker for </w:t>
      </w:r>
      <w:hyperlink r:id="rId268" w:tgtFrame="_blank" w:history="1">
        <w:r w:rsidRPr="00ED7E61">
          <w:rPr>
            <w:rStyle w:val="normaltextrun"/>
            <w:rFonts w:asciiTheme="majorBidi" w:eastAsiaTheme="majorEastAsia" w:hAnsiTheme="majorBidi" w:cstheme="majorBidi"/>
          </w:rPr>
          <w:t>Biodiversity,</w:t>
        </w:r>
      </w:hyperlink>
      <w:r w:rsidRPr="00ED7E61">
        <w:rPr>
          <w:rStyle w:val="normaltextrun"/>
          <w:rFonts w:asciiTheme="majorBidi" w:eastAsiaTheme="majorEastAsia" w:hAnsiTheme="majorBidi" w:cstheme="majorBidi"/>
        </w:rPr>
        <w:t xml:space="preserve"> </w:t>
      </w:r>
      <w:hyperlink r:id="rId269" w:tgtFrame="_blank" w:history="1">
        <w:r w:rsidRPr="00ED7E61">
          <w:rPr>
            <w:rStyle w:val="normaltextrun"/>
            <w:rFonts w:asciiTheme="majorBidi" w:eastAsiaTheme="majorEastAsia" w:hAnsiTheme="majorBidi" w:cstheme="majorBidi"/>
          </w:rPr>
          <w:t>https·//one oecd org/document/DCD/DAC/SJAI(2018)25</w:t>
        </w:r>
      </w:hyperlink>
      <w:r w:rsidRPr="00ED7E61">
        <w:rPr>
          <w:rStyle w:val="normaltextrun"/>
        </w:rPr>
        <w:t> </w:t>
      </w:r>
    </w:p>
    <w:p w14:paraId="300320A2" w14:textId="77777777" w:rsidR="00BE7FA9" w:rsidRPr="00ED7E61" w:rsidRDefault="00BE7FA9">
      <w:pPr>
        <w:rPr>
          <w:rStyle w:val="normaltextrun"/>
          <w:rFonts w:asciiTheme="majorBidi" w:eastAsiaTheme="majorEastAsia" w:hAnsiTheme="majorBidi" w:cstheme="majorBidi"/>
          <w:b/>
          <w:bCs/>
          <w:sz w:val="22"/>
          <w:szCs w:val="22"/>
        </w:rPr>
      </w:pPr>
      <w:r w:rsidRPr="00ED7E61">
        <w:rPr>
          <w:rStyle w:val="normaltextrun"/>
          <w:rFonts w:asciiTheme="majorBidi" w:eastAsiaTheme="majorEastAsia" w:hAnsiTheme="majorBidi" w:cstheme="majorBidi"/>
          <w:b/>
          <w:bCs/>
          <w:sz w:val="22"/>
          <w:szCs w:val="22"/>
        </w:rPr>
        <w:br w:type="page"/>
      </w:r>
    </w:p>
    <w:p w14:paraId="5A761E92" w14:textId="2F4EF86D" w:rsidR="00756F0F" w:rsidRPr="00ED7E61" w:rsidRDefault="00756F0F" w:rsidP="00395866">
      <w:pPr>
        <w:rPr>
          <w:rStyle w:val="normaltextrun"/>
          <w:rFonts w:asciiTheme="majorBidi" w:eastAsiaTheme="majorEastAsia" w:hAnsiTheme="majorBidi" w:cstheme="majorBidi"/>
          <w:b/>
          <w:bCs/>
          <w:sz w:val="22"/>
          <w:szCs w:val="22"/>
          <w:lang w:val="en-GB"/>
        </w:rPr>
      </w:pPr>
    </w:p>
    <w:p w14:paraId="4F091EE4" w14:textId="56F3837D" w:rsidR="00756F0F" w:rsidRPr="00ED7E61" w:rsidRDefault="00756F0F" w:rsidP="005B0D1E">
      <w:pPr>
        <w:pStyle w:val="Heading3"/>
        <w:rPr>
          <w:rStyle w:val="normaltextrun"/>
        </w:rPr>
      </w:pPr>
      <w:bookmarkStart w:id="38" w:name="_Toc178285852"/>
      <w:r w:rsidRPr="00ED7E61">
        <w:rPr>
          <w:rStyle w:val="normaltextrun"/>
        </w:rPr>
        <w:t>GBF indicator metadata</w:t>
      </w:r>
      <w:r w:rsidR="0081052F" w:rsidRPr="00ED7E61">
        <w:rPr>
          <w:rStyle w:val="normaltextrun"/>
        </w:rPr>
        <w:t>: D.2 Domestic public funding on conservation and sustainable use of biodiversity and ecosystems</w:t>
      </w:r>
      <w:bookmarkEnd w:id="38"/>
    </w:p>
    <w:p w14:paraId="2BF2F768"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230A1DC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56265D8C"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rPr>
        <w:t>D.2 Domestic public funding on conservation and sustainable use of biodiversity and ecosystems</w:t>
      </w:r>
      <w:r w:rsidRPr="00ED7E61">
        <w:rPr>
          <w:rStyle w:val="normaltextrun"/>
          <w:rFonts w:asciiTheme="majorBidi" w:eastAsiaTheme="majorEastAsia" w:hAnsiTheme="majorBidi" w:cstheme="majorBidi"/>
          <w:b/>
          <w:bCs/>
          <w:color w:val="000000"/>
          <w:sz w:val="22"/>
          <w:szCs w:val="22"/>
        </w:rPr>
        <w:t>.</w:t>
      </w:r>
      <w:r w:rsidRPr="00ED7E61">
        <w:rPr>
          <w:rStyle w:val="eop"/>
          <w:rFonts w:asciiTheme="majorBidi" w:eastAsiaTheme="majorEastAsia" w:hAnsiTheme="majorBidi" w:cstheme="majorBidi"/>
          <w:color w:val="000000"/>
          <w:sz w:val="22"/>
          <w:szCs w:val="22"/>
        </w:rPr>
        <w:t> </w:t>
      </w:r>
    </w:p>
    <w:p w14:paraId="18DFAB6A"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000000"/>
          <w:sz w:val="22"/>
          <w:szCs w:val="22"/>
        </w:rPr>
        <w:t>Note: Monetary value of domestic public expenditure on biodiversity per year in national currency.</w:t>
      </w:r>
      <w:r w:rsidRPr="00ED7E61">
        <w:rPr>
          <w:rStyle w:val="eop"/>
          <w:rFonts w:asciiTheme="majorBidi" w:eastAsiaTheme="majorEastAsia" w:hAnsiTheme="majorBidi" w:cstheme="majorBidi"/>
          <w:color w:val="000000"/>
          <w:sz w:val="22"/>
          <w:szCs w:val="22"/>
        </w:rPr>
        <w:t> </w:t>
      </w:r>
    </w:p>
    <w:p w14:paraId="57BFB608" w14:textId="77777777" w:rsidR="00756F0F" w:rsidRPr="00ED7E61" w:rsidRDefault="00756F0F" w:rsidP="00F72564">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70B73768" w14:textId="2C0B5A73"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756F0F" w:rsidRPr="00ED7E61">
        <w:rPr>
          <w:rStyle w:val="normaltextrun"/>
          <w:rFonts w:asciiTheme="majorBidi" w:eastAsiaTheme="majorEastAsia" w:hAnsiTheme="majorBidi" w:cstheme="majorBidi"/>
          <w:sz w:val="22"/>
          <w:szCs w:val="22"/>
        </w:rPr>
        <w:t>2024</w:t>
      </w:r>
      <w:r w:rsidR="00756F0F" w:rsidRPr="00ED7E61">
        <w:rPr>
          <w:rStyle w:val="eop"/>
          <w:rFonts w:asciiTheme="majorBidi" w:eastAsiaTheme="majorEastAsia" w:hAnsiTheme="majorBidi" w:cstheme="majorBidi"/>
          <w:sz w:val="22"/>
          <w:szCs w:val="22"/>
        </w:rPr>
        <w:t> </w:t>
      </w:r>
    </w:p>
    <w:p w14:paraId="3FD57D34" w14:textId="77777777" w:rsidR="00756F0F" w:rsidRPr="00ED7E61" w:rsidRDefault="00756F0F" w:rsidP="00F72564">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7C31076F" w14:textId="77777777" w:rsidR="00756F0F" w:rsidRPr="00ED7E61" w:rsidRDefault="00756F0F" w:rsidP="00F72564">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7FF71B77"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Headline Indicator for </w:t>
      </w:r>
      <w:r w:rsidRPr="00ED7E61">
        <w:rPr>
          <w:rStyle w:val="normaltextrun"/>
          <w:rFonts w:asciiTheme="majorBidi" w:eastAsiaTheme="majorEastAsia" w:hAnsiTheme="majorBidi" w:cstheme="majorBidi"/>
          <w:color w:val="000000"/>
          <w:sz w:val="22"/>
          <w:szCs w:val="22"/>
          <w:lang w:val="en-GB"/>
        </w:rPr>
        <w:t>Goal D Adequate means of implementation, including financial resources, capacity-building, technical and scientific cooperation, and access to and transfer of technology to fully implement the Kunming-Montreal Global Biodiversity Framework are secured and equitably accessible to all Parties, especially developing country Parties, in particular the least developed countries and small island developing States, as well as countries with economies in transition, progressively closing the biodiversity finance gap of $700 billion per year, and aligning financial flows with the Kunming-Montreal Global Biodiversity Framework and the 2050 Vision for biodiversity. </w:t>
      </w:r>
      <w:r w:rsidRPr="00ED7E61">
        <w:rPr>
          <w:rStyle w:val="eop"/>
          <w:rFonts w:asciiTheme="majorBidi" w:eastAsiaTheme="majorEastAsia" w:hAnsiTheme="majorBidi" w:cstheme="majorBidi"/>
          <w:color w:val="000000"/>
          <w:sz w:val="22"/>
          <w:szCs w:val="22"/>
        </w:rPr>
        <w:t> </w:t>
      </w:r>
    </w:p>
    <w:p w14:paraId="45E5A50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3b. Target</w:t>
      </w:r>
      <w:r w:rsidRPr="00ED7E61">
        <w:rPr>
          <w:rStyle w:val="eop"/>
          <w:rFonts w:asciiTheme="majorBidi" w:eastAsiaTheme="majorEastAsia" w:hAnsiTheme="majorBidi" w:cstheme="majorBidi"/>
          <w:sz w:val="22"/>
          <w:szCs w:val="22"/>
        </w:rPr>
        <w:t> </w:t>
      </w:r>
    </w:p>
    <w:p w14:paraId="15F9070A"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Headline indicator for Target 19 Substantially and progressively increase the level of financial resources from all sources, in an effective, timely and easily accessible manner, including domestic, international, public and private resources, in accordance with Article 20 of the Convention, to implement national biodiversity strategies and action plans, mobilizing at least $200 billion per year by 2030, including by: </w:t>
      </w:r>
      <w:r w:rsidRPr="00ED7E61">
        <w:rPr>
          <w:rStyle w:val="eop"/>
          <w:rFonts w:asciiTheme="majorBidi" w:eastAsiaTheme="majorEastAsia" w:hAnsiTheme="majorBidi" w:cstheme="majorBidi"/>
          <w:color w:val="000000"/>
          <w:sz w:val="22"/>
          <w:szCs w:val="22"/>
        </w:rPr>
        <w:t> </w:t>
      </w:r>
    </w:p>
    <w:p w14:paraId="0D8FCA07"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(a) </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Increasing total biodiversity related international financial resources from developed countries, including official development assistance, and from countries that voluntarily assume obligations of developed country Parties, to developing countries, in particular the least developed countries and small island developing States, as well as countries with economies in transition, to at least $20 billion per year by 2025, and to at least $30 billion per year by 2030; </w:t>
      </w:r>
      <w:r w:rsidRPr="00ED7E61">
        <w:rPr>
          <w:rStyle w:val="eop"/>
          <w:rFonts w:asciiTheme="majorBidi" w:eastAsiaTheme="majorEastAsia" w:hAnsiTheme="majorBidi" w:cstheme="majorBidi"/>
          <w:color w:val="000000"/>
          <w:sz w:val="22"/>
          <w:szCs w:val="22"/>
        </w:rPr>
        <w:t> </w:t>
      </w:r>
    </w:p>
    <w:p w14:paraId="60461547"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(b)</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Significantly increasing domestic resource mobilization, facilitated by the preparation and implementation of national biodiversity finance plans or similar instruments according to national needs, priorities and circumstances; </w:t>
      </w:r>
      <w:r w:rsidRPr="00ED7E61">
        <w:rPr>
          <w:rStyle w:val="eop"/>
          <w:rFonts w:asciiTheme="majorBidi" w:eastAsiaTheme="majorEastAsia" w:hAnsiTheme="majorBidi" w:cstheme="majorBidi"/>
          <w:color w:val="000000"/>
          <w:sz w:val="22"/>
          <w:szCs w:val="22"/>
        </w:rPr>
        <w:t> </w:t>
      </w:r>
    </w:p>
    <w:p w14:paraId="7BAB4178"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(c)</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Leveraging private finance, promoting blended finance, implementing strategies for raising new and additional resources, and encouraging the private sector to invest in biodiversity, including through impact funds and other instruments; </w:t>
      </w:r>
      <w:r w:rsidRPr="00ED7E61">
        <w:rPr>
          <w:rStyle w:val="eop"/>
          <w:rFonts w:asciiTheme="majorBidi" w:eastAsiaTheme="majorEastAsia" w:hAnsiTheme="majorBidi" w:cstheme="majorBidi"/>
          <w:color w:val="000000"/>
          <w:sz w:val="22"/>
          <w:szCs w:val="22"/>
        </w:rPr>
        <w:t> </w:t>
      </w:r>
    </w:p>
    <w:p w14:paraId="73FBA262"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(d)</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Stimulating innovative schemes such as payment for ecosystem services, green bonds, biodiversity offsets and credits, and benefit sharing mechanisms, with environmental and social safeguards; </w:t>
      </w:r>
      <w:r w:rsidRPr="00ED7E61">
        <w:rPr>
          <w:rStyle w:val="eop"/>
          <w:rFonts w:asciiTheme="majorBidi" w:eastAsiaTheme="majorEastAsia" w:hAnsiTheme="majorBidi" w:cstheme="majorBidi"/>
          <w:color w:val="000000"/>
          <w:sz w:val="22"/>
          <w:szCs w:val="22"/>
        </w:rPr>
        <w:t> </w:t>
      </w:r>
    </w:p>
    <w:p w14:paraId="17918B4E" w14:textId="3BB7D11E"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(e) </w:t>
      </w:r>
      <w:r w:rsidR="00CA0DFC">
        <w:rPr>
          <w:rStyle w:val="normaltextrun"/>
          <w:rFonts w:asciiTheme="majorBidi" w:eastAsiaTheme="majorEastAsia" w:hAnsiTheme="majorBidi" w:cstheme="majorBidi"/>
          <w:color w:val="000000"/>
          <w:sz w:val="22"/>
          <w:szCs w:val="22"/>
          <w:lang w:val="en-GB"/>
        </w:rPr>
        <w:tab/>
      </w:r>
      <w:r w:rsidRPr="00ED7E61">
        <w:rPr>
          <w:rStyle w:val="normaltextrun"/>
          <w:rFonts w:asciiTheme="majorBidi" w:eastAsiaTheme="majorEastAsia" w:hAnsiTheme="majorBidi" w:cstheme="majorBidi"/>
          <w:color w:val="000000"/>
          <w:sz w:val="22"/>
          <w:szCs w:val="22"/>
          <w:lang w:val="en-GB"/>
        </w:rPr>
        <w:t>Optimizing co-benefits and synergies of finance targeting the biodiversity and climate crises; </w:t>
      </w:r>
      <w:r w:rsidRPr="00ED7E61">
        <w:rPr>
          <w:rStyle w:val="eop"/>
          <w:rFonts w:asciiTheme="majorBidi" w:eastAsiaTheme="majorEastAsia" w:hAnsiTheme="majorBidi" w:cstheme="majorBidi"/>
          <w:color w:val="000000"/>
          <w:sz w:val="22"/>
          <w:szCs w:val="22"/>
        </w:rPr>
        <w:t> </w:t>
      </w:r>
    </w:p>
    <w:p w14:paraId="4599F2FF" w14:textId="126F0995"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(f) </w:t>
      </w:r>
      <w:r w:rsidR="00CA0DFC">
        <w:rPr>
          <w:rStyle w:val="normaltextrun"/>
          <w:rFonts w:asciiTheme="majorBidi" w:eastAsiaTheme="majorEastAsia" w:hAnsiTheme="majorBidi" w:cstheme="majorBidi"/>
          <w:color w:val="000000"/>
          <w:sz w:val="22"/>
          <w:szCs w:val="22"/>
          <w:lang w:val="en-GB"/>
        </w:rPr>
        <w:tab/>
      </w:r>
      <w:r w:rsidRPr="00ED7E61">
        <w:rPr>
          <w:rStyle w:val="normaltextrun"/>
          <w:rFonts w:asciiTheme="majorBidi" w:eastAsiaTheme="majorEastAsia" w:hAnsiTheme="majorBidi" w:cstheme="majorBidi"/>
          <w:color w:val="000000"/>
          <w:sz w:val="22"/>
          <w:szCs w:val="22"/>
          <w:lang w:val="en-GB"/>
        </w:rPr>
        <w:t>Enhancing the role of collective actions, including by indigenous peoples and local communities, Mother Earth centric actions and non-market-based approaches including community based natural resource management and civil society cooperation and solidarity aimed at the conservation of biodiversity; </w:t>
      </w:r>
      <w:r w:rsidRPr="00ED7E61">
        <w:rPr>
          <w:rStyle w:val="eop"/>
          <w:rFonts w:asciiTheme="majorBidi" w:eastAsiaTheme="majorEastAsia" w:hAnsiTheme="majorBidi" w:cstheme="majorBidi"/>
          <w:color w:val="000000"/>
          <w:sz w:val="22"/>
          <w:szCs w:val="22"/>
        </w:rPr>
        <w:t> </w:t>
      </w:r>
    </w:p>
    <w:p w14:paraId="3E0BFB4D" w14:textId="117B7401"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(g) </w:t>
      </w:r>
      <w:r w:rsidR="006A21E0">
        <w:rPr>
          <w:rStyle w:val="normaltextrun"/>
          <w:rFonts w:asciiTheme="majorBidi" w:eastAsiaTheme="majorEastAsia" w:hAnsiTheme="majorBidi" w:cstheme="majorBidi"/>
          <w:color w:val="000000"/>
          <w:sz w:val="22"/>
          <w:szCs w:val="22"/>
          <w:lang w:val="en-GB"/>
        </w:rPr>
        <w:tab/>
      </w:r>
      <w:r w:rsidRPr="00ED7E61">
        <w:rPr>
          <w:rStyle w:val="normaltextrun"/>
          <w:rFonts w:asciiTheme="majorBidi" w:eastAsiaTheme="majorEastAsia" w:hAnsiTheme="majorBidi" w:cstheme="majorBidi"/>
          <w:color w:val="000000"/>
          <w:sz w:val="22"/>
          <w:szCs w:val="22"/>
          <w:lang w:val="en-GB"/>
        </w:rPr>
        <w:t>Enhancing the effectiveness, efficiency and transparency of resource provision and use. </w:t>
      </w:r>
      <w:r w:rsidRPr="00ED7E61">
        <w:rPr>
          <w:rStyle w:val="eop"/>
          <w:rFonts w:asciiTheme="majorBidi" w:eastAsiaTheme="majorEastAsia" w:hAnsiTheme="majorBidi" w:cstheme="majorBidi"/>
          <w:color w:val="000000"/>
          <w:sz w:val="22"/>
          <w:szCs w:val="22"/>
        </w:rPr>
        <w:t> </w:t>
      </w:r>
    </w:p>
    <w:p w14:paraId="6CB48A91" w14:textId="77777777" w:rsidR="00756F0F" w:rsidRPr="00ED7E61" w:rsidRDefault="00756F0F" w:rsidP="00525F8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6534D575" w14:textId="58F9E2AA" w:rsidR="00756F0F" w:rsidRPr="00ED7E61" w:rsidRDefault="00756F0F" w:rsidP="00B10F0C">
      <w:pPr>
        <w:pStyle w:val="CBDNormalNumber"/>
        <w:numPr>
          <w:ilvl w:val="0"/>
          <w:numId w:val="68"/>
        </w:numPr>
        <w:tabs>
          <w:tab w:val="clear" w:pos="1701"/>
        </w:tabs>
        <w:ind w:left="567" w:hanging="24"/>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Draft Goal D relates to the means of implementation for the post-2020 global biodiversity framework. The post-2020 global biodiversity framework will need to be implemented primarily through activities at the national and/or subnational levels, with supporting and/or enabling action at the regional and global levels. </w:t>
      </w:r>
      <w:r w:rsidR="00DC0F01" w:rsidRPr="00ED7E61">
        <w:rPr>
          <w:rStyle w:val="normaltextrun"/>
          <w:rFonts w:asciiTheme="majorBidi" w:eastAsiaTheme="majorEastAsia" w:hAnsiTheme="majorBidi" w:cstheme="majorBidi"/>
        </w:rPr>
        <w:t>It would also capture financing provided directly to indigenous people</w:t>
      </w:r>
      <w:r w:rsidR="00616510">
        <w:rPr>
          <w:rStyle w:val="normaltextrun"/>
          <w:rFonts w:asciiTheme="majorBidi" w:eastAsiaTheme="majorEastAsia" w:hAnsiTheme="majorBidi" w:cstheme="majorBidi"/>
        </w:rPr>
        <w:t>s</w:t>
      </w:r>
      <w:r w:rsidR="00DC0F01" w:rsidRPr="00ED7E61">
        <w:rPr>
          <w:rStyle w:val="normaltextrun"/>
          <w:rFonts w:asciiTheme="majorBidi" w:eastAsiaTheme="majorEastAsia" w:hAnsiTheme="majorBidi" w:cstheme="majorBidi"/>
        </w:rPr>
        <w:t xml:space="preserve"> and local communities. </w:t>
      </w:r>
      <w:r w:rsidRPr="00ED7E61">
        <w:rPr>
          <w:rStyle w:val="normaltextrun"/>
          <w:rFonts w:asciiTheme="majorBidi" w:eastAsiaTheme="majorEastAsia" w:hAnsiTheme="majorBidi" w:cstheme="majorBidi"/>
        </w:rPr>
        <w:t>However, the capacity for implementing the Convention in terms of human, technical and financial resources is limited in most countries, especially in developing countries, in particular the least developed countries and small island developing States, as well as countries with economies in transition. Reaching the 2050 Vision for biodiversity will require that the necessary means of implementation are available to enable Parties and stakeholders to undertake the necessary actions.</w:t>
      </w:r>
      <w:r w:rsidRPr="00ED7E61">
        <w:rPr>
          <w:rStyle w:val="normaltextrun"/>
        </w:rPr>
        <w:t> </w:t>
      </w:r>
    </w:p>
    <w:p w14:paraId="36EDE237" w14:textId="1AC0935E" w:rsidR="00756F0F" w:rsidRPr="00ED7E61" w:rsidRDefault="00756F0F" w:rsidP="00B10F0C">
      <w:pPr>
        <w:pStyle w:val="CBDNormalNumber"/>
        <w:numPr>
          <w:ilvl w:val="0"/>
          <w:numId w:val="68"/>
        </w:numPr>
        <w:ind w:left="567" w:firstLine="0"/>
        <w:rPr>
          <w:rStyle w:val="normaltextrun"/>
          <w:rFonts w:eastAsiaTheme="majorEastAsia"/>
        </w:rPr>
      </w:pPr>
      <w:r w:rsidRPr="00ED7E61">
        <w:rPr>
          <w:rStyle w:val="normaltextrun"/>
          <w:rFonts w:asciiTheme="majorBidi" w:eastAsiaTheme="majorEastAsia" w:hAnsiTheme="majorBidi" w:cstheme="majorBidi"/>
        </w:rPr>
        <w:t>Target 19 refers to an increase of resources for biodiversity from all sources, including international, national, public and private. Target 19 (b) refers to domestic funding aiming at monitoring over time the trend in mobilizing resources for the implementation of the GBF. Inadequate funding levels are a major impediment to effective biodiversity conservation in many countries and may be associated with failures to meet global targets. Conservation investment has been demonstrated to reduce biodiversity loss. Spending on biodiversity provides a very high social return on investment. Thus, while increased biodiversity resource mobilization from all sources is not only necessary to reduce, halt and reverse biodiversity loss (i.e.</w:t>
      </w:r>
      <w:r w:rsidR="00105D64">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to bend the curve on biodiversity loss) it is also likely to generate net economic benefits for both present and future generations. Current global biodiversity finance is of the order of $100 billion per year, while estimates of funding needs for a comprehensive post 2020 global biodiversity framework are of the order of $800 billion per year, giving a funding gap of the order of $700 billion per year. This indicator will provide information on domestic resource mobilization at the national level based on a bottom-up approach, useful for global and regional assessments. </w:t>
      </w:r>
      <w:r w:rsidRPr="00ED7E61">
        <w:rPr>
          <w:rStyle w:val="normaltextrun"/>
        </w:rPr>
        <w:t> </w:t>
      </w:r>
    </w:p>
    <w:p w14:paraId="5F0C235B" w14:textId="77777777" w:rsidR="00756F0F" w:rsidRPr="00ED7E61" w:rsidRDefault="00756F0F" w:rsidP="00B10F0C">
      <w:pPr>
        <w:pStyle w:val="CBDNormalNumber"/>
        <w:numPr>
          <w:ilvl w:val="0"/>
          <w:numId w:val="68"/>
        </w:numPr>
        <w:ind w:left="567" w:firstLine="0"/>
        <w:rPr>
          <w:rStyle w:val="normaltextrun"/>
          <w:rFonts w:eastAsiaTheme="majorEastAsia"/>
        </w:rPr>
      </w:pPr>
      <w:r w:rsidRPr="00ED7E61">
        <w:rPr>
          <w:rStyle w:val="normaltextrun"/>
          <w:rFonts w:asciiTheme="majorBidi" w:eastAsiaTheme="majorEastAsia" w:hAnsiTheme="majorBidi" w:cstheme="majorBidi"/>
        </w:rPr>
        <w:t>The rationale for domestic public expenditure on biodiversity conservation is firmly grounded in the fundamental importance of this tool for preserving nature and ensuring the health and functionality of ecosystems. Currently, domestic public expenditure represents the predominant share of global financial resources allocated to the protection of biodiversity. This financial commitment reflects a national dedication to maintaining ecological balance, fostering resilience in ecosystems, and promoting the responsible use of natural resources within the country's borders. Moreover, it constitutes a tangible contribution to achieving international conservation goals and emphasizes a commitment to environmental stewardship for the well-being of both present and future generations.</w:t>
      </w:r>
      <w:r w:rsidRPr="00ED7E61">
        <w:rPr>
          <w:rStyle w:val="normaltextrun"/>
        </w:rPr>
        <w:t> </w:t>
      </w:r>
    </w:p>
    <w:p w14:paraId="6FB54FE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19C7DFDC" w14:textId="77777777" w:rsidR="00756F0F" w:rsidRPr="00ED7E61" w:rsidRDefault="00756F0F" w:rsidP="00525F8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23E3CD92" w14:textId="77777777" w:rsidR="00756F0F" w:rsidRPr="00ED7E61" w:rsidRDefault="00756F0F" w:rsidP="00B10F0C">
      <w:pPr>
        <w:pStyle w:val="CBDNormalNumber"/>
        <w:numPr>
          <w:ilvl w:val="0"/>
          <w:numId w:val="68"/>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following definitions can be used to identify biodiversity expenditures: </w:t>
      </w:r>
      <w:r w:rsidRPr="00ED7E61">
        <w:rPr>
          <w:rStyle w:val="normaltextrun"/>
        </w:rPr>
        <w:t> </w:t>
      </w:r>
    </w:p>
    <w:p w14:paraId="69DFDB79" w14:textId="087A8ADA" w:rsidR="00756F0F" w:rsidRPr="00ED7E61" w:rsidRDefault="00756F0F" w:rsidP="00B10F0C">
      <w:pPr>
        <w:pStyle w:val="CBDNormalNumber"/>
        <w:numPr>
          <w:ilvl w:val="1"/>
          <w:numId w:val="6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UNDP’s Biodiversity Finance Initiative (BIOFIN) defines biodiversity national expenditures: A “</w:t>
      </w:r>
      <w:r w:rsidRPr="00FB1598">
        <w:rPr>
          <w:rStyle w:val="normaltextrun"/>
          <w:rFonts w:eastAsiaTheme="majorEastAsia"/>
          <w:i/>
          <w:iCs/>
        </w:rPr>
        <w:t>biodiversity expenditure</w:t>
      </w:r>
      <w:r w:rsidRPr="00ED7E61">
        <w:rPr>
          <w:rStyle w:val="normaltextrun"/>
          <w:rFonts w:eastAsiaTheme="majorEastAsia"/>
        </w:rPr>
        <w:t>” is any expenditure whose purpose is to have a positive impact or to reduce or eliminate pressures on biodiversity. These biodiversity public expenditures include “</w:t>
      </w:r>
      <w:r w:rsidRPr="00FB1598">
        <w:rPr>
          <w:rStyle w:val="normaltextrun"/>
          <w:rFonts w:eastAsiaTheme="majorEastAsia"/>
          <w:i/>
          <w:iCs/>
        </w:rPr>
        <w:t>direct</w:t>
      </w:r>
      <w:r w:rsidRPr="004C2D9A">
        <w:rPr>
          <w:rStyle w:val="normaltextrun"/>
          <w:rFonts w:eastAsiaTheme="majorEastAsia"/>
        </w:rPr>
        <w:t>” expenditures that have biodiversity as their principal purpose, or</w:t>
      </w:r>
      <w:r w:rsidRPr="00FB1598">
        <w:rPr>
          <w:rStyle w:val="normaltextrun"/>
          <w:rFonts w:eastAsiaTheme="majorEastAsia"/>
          <w:i/>
          <w:iCs/>
        </w:rPr>
        <w:t xml:space="preserve"> </w:t>
      </w:r>
      <w:r w:rsidR="004C2D9A">
        <w:rPr>
          <w:rStyle w:val="normaltextrun"/>
          <w:rFonts w:eastAsiaTheme="majorEastAsia"/>
          <w:i/>
          <w:iCs/>
        </w:rPr>
        <w:t>“</w:t>
      </w:r>
      <w:r w:rsidRPr="00FB1598">
        <w:rPr>
          <w:rStyle w:val="normaltextrun"/>
          <w:rFonts w:eastAsiaTheme="majorEastAsia"/>
          <w:i/>
          <w:iCs/>
        </w:rPr>
        <w:t>causa finali</w:t>
      </w:r>
      <w:r w:rsidRPr="00ED7E61">
        <w:rPr>
          <w:rStyle w:val="normaltextrun"/>
          <w:rFonts w:eastAsiaTheme="majorEastAsia"/>
        </w:rPr>
        <w:t>s</w:t>
      </w:r>
      <w:r w:rsidR="004C2D9A">
        <w:rPr>
          <w:rStyle w:val="normaltextrun"/>
          <w:rFonts w:eastAsiaTheme="majorEastAsia"/>
        </w:rPr>
        <w:t>”</w:t>
      </w:r>
      <w:r w:rsidRPr="00ED7E61">
        <w:rPr>
          <w:rStyle w:val="normaltextrun"/>
          <w:rFonts w:eastAsiaTheme="majorEastAsia"/>
        </w:rPr>
        <w:t>, as well as “</w:t>
      </w:r>
      <w:r w:rsidRPr="00FB1598">
        <w:rPr>
          <w:rStyle w:val="normaltextrun"/>
          <w:rFonts w:eastAsiaTheme="majorEastAsia"/>
          <w:i/>
          <w:iCs/>
        </w:rPr>
        <w:t>indirect</w:t>
      </w:r>
      <w:r w:rsidRPr="00ED7E61">
        <w:rPr>
          <w:rStyle w:val="normaltextrun"/>
          <w:rFonts w:eastAsiaTheme="majorEastAsia"/>
        </w:rPr>
        <w:t>” expenditures that have biodiversity as their secondary or joint purpose. </w:t>
      </w:r>
      <w:r w:rsidRPr="00ED7E61">
        <w:rPr>
          <w:rStyle w:val="normaltextrun"/>
        </w:rPr>
        <w:t> </w:t>
      </w:r>
    </w:p>
    <w:p w14:paraId="29D9D836" w14:textId="6726D023" w:rsidR="00172A35" w:rsidRPr="00ED7E61" w:rsidRDefault="00756F0F" w:rsidP="00B10F0C">
      <w:pPr>
        <w:pStyle w:val="CBDNormalNumber"/>
        <w:numPr>
          <w:ilvl w:val="1"/>
          <w:numId w:val="6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In terms of the categories, BIOFIN uses nine categories for recording primary and secondary expenditures: (1) Biodiversity awareness and knowledge, (2) Green economy, (3) Pollution management, (4) Sustainable use, (5) Biosafety, (6) Protected areas and OECM, (7) Restoration, (8) Access and benefit sharing, and (9) Biodiversity and development planning and finance.</w:t>
      </w:r>
      <w:r w:rsidRPr="00ED7E61">
        <w:rPr>
          <w:rStyle w:val="normaltextrun"/>
        </w:rPr>
        <w:t> </w:t>
      </w:r>
    </w:p>
    <w:p w14:paraId="6215F1DA" w14:textId="4A91B078" w:rsidR="00172A35" w:rsidRPr="00ED7E61" w:rsidRDefault="00756F0F" w:rsidP="00B10F0C">
      <w:pPr>
        <w:pStyle w:val="CBDNormalNumber"/>
        <w:numPr>
          <w:ilvl w:val="1"/>
          <w:numId w:val="68"/>
        </w:numPr>
        <w:tabs>
          <w:tab w:val="clear" w:pos="567"/>
          <w:tab w:val="clear" w:pos="1134"/>
          <w:tab w:val="clear" w:pos="1701"/>
          <w:tab w:val="clear" w:pos="2268"/>
          <w:tab w:val="left" w:pos="1985"/>
        </w:tabs>
        <w:ind w:left="1276" w:firstLine="56"/>
      </w:pPr>
      <w:r w:rsidRPr="00ED7E61">
        <w:rPr>
          <w:rStyle w:val="normaltextrun"/>
          <w:rFonts w:asciiTheme="majorBidi" w:eastAsiaTheme="majorEastAsia" w:hAnsiTheme="majorBidi" w:cstheme="majorBidi"/>
        </w:rPr>
        <w:t xml:space="preserve">The Classification of Environmental Purposes (CEP) is an international statistics standard. It was adopted by the UN Statistical Commission in March 2024 and replaces the Classification of Environmental Protection Activities (CEPA; UN, 2000). It will be used for SEEA accounts, </w:t>
      </w:r>
      <w:r w:rsidR="00BE7FA9"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i.e. classifying activities, products, expenditure and other transactions related to environmental protection and management of natural resource (e.g. environmental protection and expenditure accounts [EPEA]). The most relevant “</w:t>
      </w:r>
      <w:r w:rsidRPr="00FB1598">
        <w:rPr>
          <w:rStyle w:val="normaltextrun"/>
          <w:rFonts w:asciiTheme="majorBidi" w:eastAsiaTheme="majorEastAsia" w:hAnsiTheme="majorBidi" w:cstheme="majorBidi"/>
          <w:i/>
          <w:iCs/>
        </w:rPr>
        <w:t>Division</w:t>
      </w:r>
      <w:r w:rsidRPr="00ED7E61">
        <w:rPr>
          <w:rStyle w:val="normaltextrun"/>
          <w:rFonts w:asciiTheme="majorBidi" w:eastAsiaTheme="majorEastAsia" w:hAnsiTheme="majorBidi" w:cstheme="majorBidi"/>
        </w:rPr>
        <w:t>” (first level of disaggregation) for biodiversity is Division 05 Soil, surface and groundwater, biodiversity and forest. This covers activities, expenditures and products aimed at protection and remediation of soil and water, biodiversity and forests. </w:t>
      </w:r>
      <w:r w:rsidRPr="00ED7E61">
        <w:rPr>
          <w:rStyle w:val="eop"/>
          <w:rFonts w:asciiTheme="majorBidi" w:eastAsiaTheme="majorEastAsia" w:hAnsiTheme="majorBidi" w:cstheme="majorBidi"/>
        </w:rPr>
        <w:t> </w:t>
      </w:r>
    </w:p>
    <w:p w14:paraId="1788CD28" w14:textId="3B03815D" w:rsidR="00756F0F" w:rsidRPr="00ED7E61" w:rsidRDefault="00756F0F" w:rsidP="00B10F0C">
      <w:pPr>
        <w:pStyle w:val="CBDNormalNumber"/>
        <w:numPr>
          <w:ilvl w:val="1"/>
          <w:numId w:val="68"/>
        </w:numPr>
        <w:tabs>
          <w:tab w:val="clear" w:pos="567"/>
          <w:tab w:val="clear" w:pos="1134"/>
          <w:tab w:val="clear" w:pos="1701"/>
          <w:tab w:val="clear" w:pos="2268"/>
          <w:tab w:val="left" w:pos="1985"/>
        </w:tabs>
        <w:ind w:left="1276" w:firstLine="56"/>
      </w:pPr>
      <w:r w:rsidRPr="00ED7E61">
        <w:rPr>
          <w:rStyle w:val="normaltextrun"/>
          <w:rFonts w:asciiTheme="majorBidi" w:eastAsiaTheme="majorEastAsia" w:hAnsiTheme="majorBidi" w:cstheme="majorBidi"/>
        </w:rPr>
        <w:t>Division 05 is disaggregated into the following “</w:t>
      </w:r>
      <w:r w:rsidRPr="00FB1598">
        <w:rPr>
          <w:rStyle w:val="normaltextrun"/>
          <w:rFonts w:asciiTheme="majorBidi" w:eastAsiaTheme="majorEastAsia" w:hAnsiTheme="majorBidi" w:cstheme="majorBidi"/>
          <w:i/>
          <w:iCs/>
        </w:rPr>
        <w:t>groups</w:t>
      </w:r>
      <w:r w:rsidRPr="00ED7E61">
        <w:rPr>
          <w:rStyle w:val="normaltextrun"/>
          <w:rFonts w:asciiTheme="majorBidi" w:eastAsiaTheme="majorEastAsia" w:hAnsiTheme="majorBidi" w:cstheme="majorBidi"/>
        </w:rPr>
        <w:t>” (level 2): 501 Protection of soil, surface and groundwater, 502 Protection of biodiversity and landscape, 503 Management of forest resources. The Group 502 Protection of biodiversity and landscapes covers activities, expenditures and products aimed at protecting and replenishment of wild fauna and flora, safeguarding and restoring their habitats, ecosystems of which they are part, natural or semi-natural terrestrial, marine and other aquatic ecosystems. Such activities, measures and products are included regardless of the type of areas involved (terrestrial, freshwater incl. wetlands, and marine areas) and whether they occur in areas which are classified as protected areas. Groups are further disaggregated into classes (level 3)</w:t>
      </w:r>
      <w:r w:rsidRPr="00ED7E61">
        <w:rPr>
          <w:rStyle w:val="eop"/>
          <w:rFonts w:asciiTheme="majorBidi" w:eastAsiaTheme="majorEastAsia" w:hAnsiTheme="majorBidi" w:cstheme="majorBidi"/>
        </w:rPr>
        <w:t> </w:t>
      </w:r>
    </w:p>
    <w:p w14:paraId="7633315F" w14:textId="77777777" w:rsidR="00756F0F" w:rsidRPr="00ED7E61" w:rsidRDefault="00756F0F" w:rsidP="00B10F0C">
      <w:pPr>
        <w:pStyle w:val="CBDNormalNumber"/>
        <w:numPr>
          <w:ilvl w:val="0"/>
          <w:numId w:val="68"/>
        </w:numPr>
        <w:ind w:left="567" w:firstLine="0"/>
        <w:rPr>
          <w:rStyle w:val="normaltextrun"/>
          <w:rFonts w:eastAsiaTheme="majorEastAsia"/>
        </w:rPr>
      </w:pPr>
      <w:r w:rsidRPr="00ED7E61">
        <w:rPr>
          <w:rStyle w:val="normaltextrun"/>
          <w:rFonts w:asciiTheme="majorBidi" w:eastAsiaTheme="majorEastAsia" w:hAnsiTheme="majorBidi" w:cstheme="majorBidi"/>
        </w:rPr>
        <w:t>For further detail on the definitions of the other categories, see the CEP document. </w:t>
      </w:r>
      <w:r w:rsidRPr="00ED7E61">
        <w:rPr>
          <w:rStyle w:val="normaltextrun"/>
        </w:rPr>
        <w:t> </w:t>
      </w:r>
    </w:p>
    <w:p w14:paraId="28A0F43A" w14:textId="57083A42" w:rsidR="00756F0F" w:rsidRPr="00ED7E61" w:rsidRDefault="00756F0F" w:rsidP="00B10F0C">
      <w:pPr>
        <w:pStyle w:val="CBDNormalNumber"/>
        <w:numPr>
          <w:ilvl w:val="0"/>
          <w:numId w:val="68"/>
        </w:numPr>
        <w:ind w:left="567" w:firstLine="0"/>
        <w:rPr>
          <w:rStyle w:val="normaltextrun"/>
          <w:rFonts w:eastAsiaTheme="majorEastAsia"/>
        </w:rPr>
      </w:pPr>
      <w:r w:rsidRPr="00ED7E61">
        <w:rPr>
          <w:rStyle w:val="eop"/>
          <w:rFonts w:asciiTheme="majorBidi" w:eastAsiaTheme="majorEastAsia" w:hAnsiTheme="majorBidi" w:cstheme="majorBidi"/>
        </w:rPr>
        <w:t> </w:t>
      </w:r>
      <w:r w:rsidRPr="00ED7E61">
        <w:rPr>
          <w:rStyle w:val="normaltextrun"/>
          <w:rFonts w:asciiTheme="majorBidi" w:eastAsiaTheme="majorEastAsia" w:hAnsiTheme="majorBidi" w:cstheme="majorBidi"/>
        </w:rPr>
        <w:t>The Classification of the Functions of Government (COFOG) COFOG was developed in 1999 by the OECD and published by the UN Statistical Division as an international statistical standard for classifying the purposes (functions) of government activities. It classifies government expenditure data from the System of National Accounts by the purpose for which the funds are used. The first-level COFOG splits expenditure data into ten “</w:t>
      </w:r>
      <w:r w:rsidRPr="00FB1598">
        <w:rPr>
          <w:rStyle w:val="normaltextrun"/>
          <w:rFonts w:asciiTheme="majorBidi" w:eastAsiaTheme="majorEastAsia" w:hAnsiTheme="majorBidi" w:cstheme="majorBidi"/>
          <w:i/>
          <w:iCs/>
        </w:rPr>
        <w:t>functional</w:t>
      </w:r>
      <w:r w:rsidRPr="00ED7E61">
        <w:rPr>
          <w:rStyle w:val="normaltextrun"/>
          <w:rFonts w:asciiTheme="majorBidi" w:eastAsiaTheme="majorEastAsia" w:hAnsiTheme="majorBidi" w:cstheme="majorBidi"/>
        </w:rPr>
        <w:t>” groups or sub-sectors of expenditures, and second-level COFOG further splits each first-level group into up to nine sub-groups. Group 5.4: “</w:t>
      </w:r>
      <w:r w:rsidRPr="00FB1598">
        <w:rPr>
          <w:rStyle w:val="normaltextrun"/>
          <w:rFonts w:asciiTheme="majorBidi" w:eastAsiaTheme="majorEastAsia" w:hAnsiTheme="majorBidi" w:cstheme="majorBidi"/>
          <w:i/>
          <w:iCs/>
        </w:rPr>
        <w:t>Protection of Biodiversity and Landscape</w:t>
      </w:r>
      <w:r w:rsidRPr="00ED7E61">
        <w:rPr>
          <w:rStyle w:val="normaltextrun"/>
          <w:rFonts w:asciiTheme="majorBidi" w:eastAsiaTheme="majorEastAsia" w:hAnsiTheme="majorBidi" w:cstheme="majorBidi"/>
        </w:rPr>
        <w:t>” covers activities relating to the protection of fauna and flora species (including the reintroduction of extinct species and the recovery of species menaced by extinction), the protection of habitats (including the management of natural parks and reserves) and the protection of landscapes for their aesthetic values (including the rehabilitation of damaged landscapes to improve their aesthetic value). COFOG data can be used in the development of EPEA.</w:t>
      </w:r>
      <w:r w:rsidRPr="00ED7E61">
        <w:rPr>
          <w:rStyle w:val="normaltextrun"/>
        </w:rPr>
        <w:t> </w:t>
      </w:r>
    </w:p>
    <w:p w14:paraId="41C623BF" w14:textId="77777777" w:rsidR="00756F0F" w:rsidRPr="00ED7E61" w:rsidRDefault="00756F0F" w:rsidP="00B10F0C">
      <w:pPr>
        <w:pStyle w:val="CBDNormalNumber"/>
        <w:numPr>
          <w:ilvl w:val="0"/>
          <w:numId w:val="68"/>
        </w:numPr>
        <w:ind w:left="567" w:firstLine="0"/>
        <w:rPr>
          <w:rStyle w:val="normaltextrun"/>
          <w:rFonts w:eastAsiaTheme="majorEastAsia"/>
        </w:rPr>
      </w:pPr>
      <w:r w:rsidRPr="00ED7E61">
        <w:rPr>
          <w:rStyle w:val="normaltextrun"/>
          <w:rFonts w:asciiTheme="majorBidi" w:eastAsiaTheme="majorEastAsia" w:hAnsiTheme="majorBidi" w:cstheme="majorBidi"/>
        </w:rPr>
        <w:t>Note: international funding should not be accounted under D.2, even ODA that flows through national budgets.</w:t>
      </w:r>
      <w:r w:rsidRPr="00ED7E61">
        <w:rPr>
          <w:rStyle w:val="normaltextrun"/>
        </w:rPr>
        <w:t> </w:t>
      </w:r>
    </w:p>
    <w:p w14:paraId="6956259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28ECC51C" w14:textId="77777777" w:rsidR="00756F0F" w:rsidRPr="00ED7E61" w:rsidRDefault="00756F0F" w:rsidP="00B10F0C">
      <w:pPr>
        <w:pStyle w:val="CBDNormalNumber"/>
        <w:numPr>
          <w:ilvl w:val="0"/>
          <w:numId w:val="68"/>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Countries will report the monetary value of domestic public expenditure in national currency per year during the CBD national reporting cycle. </w:t>
      </w:r>
      <w:r w:rsidRPr="00ED7E61">
        <w:rPr>
          <w:rStyle w:val="normaltextrun"/>
        </w:rPr>
        <w:t> </w:t>
      </w:r>
    </w:p>
    <w:p w14:paraId="1E527FF1" w14:textId="77777777" w:rsidR="00756F0F" w:rsidRPr="00ED7E61" w:rsidRDefault="00756F0F" w:rsidP="00B10F0C">
      <w:pPr>
        <w:pStyle w:val="CBDNormalNumber"/>
        <w:numPr>
          <w:ilvl w:val="0"/>
          <w:numId w:val="68"/>
        </w:numPr>
        <w:ind w:left="567" w:firstLine="0"/>
        <w:rPr>
          <w:rStyle w:val="normaltextrun"/>
          <w:rFonts w:eastAsiaTheme="majorEastAsia"/>
        </w:rPr>
      </w:pPr>
      <w:r w:rsidRPr="00ED7E61">
        <w:rPr>
          <w:rStyle w:val="normaltextrun"/>
          <w:rFonts w:asciiTheme="majorBidi" w:eastAsiaTheme="majorEastAsia" w:hAnsiTheme="majorBidi" w:cstheme="majorBidi"/>
        </w:rPr>
        <w:t>Data should come directly from countries. Countries should include in their report what the reported expenditure includes, and which methodology and/or statistical framework has been used. </w:t>
      </w:r>
      <w:r w:rsidRPr="00ED7E61">
        <w:rPr>
          <w:rStyle w:val="normaltextrun"/>
        </w:rPr>
        <w:t> </w:t>
      </w:r>
    </w:p>
    <w:p w14:paraId="5E02FFF0" w14:textId="77777777" w:rsidR="00756F0F" w:rsidRPr="00ED7E61" w:rsidRDefault="00756F0F" w:rsidP="00B10F0C">
      <w:pPr>
        <w:pStyle w:val="CBDNormalNumber"/>
        <w:numPr>
          <w:ilvl w:val="0"/>
          <w:numId w:val="68"/>
        </w:numPr>
        <w:ind w:left="567" w:firstLine="0"/>
        <w:rPr>
          <w:rStyle w:val="normaltextrun"/>
          <w:rFonts w:eastAsiaTheme="majorEastAsia"/>
        </w:rPr>
      </w:pPr>
      <w:r w:rsidRPr="00ED7E61">
        <w:rPr>
          <w:rStyle w:val="normaltextrun"/>
          <w:rFonts w:asciiTheme="majorBidi" w:eastAsiaTheme="majorEastAsia" w:hAnsiTheme="majorBidi" w:cstheme="majorBidi"/>
        </w:rPr>
        <w:t>Developing country Parties should exclude from the reporting on domestic expenditures for biodiversity those flows that were supported by developed country Parties, or other providers of international public finance, such as multilateral institutions, or international private finance, such as private philanthropy (these flows are captured through the D.1 and D.3 indicators, respectively). </w:t>
      </w:r>
      <w:r w:rsidRPr="00ED7E61">
        <w:rPr>
          <w:rStyle w:val="normaltextrun"/>
        </w:rPr>
        <w:t> </w:t>
      </w:r>
    </w:p>
    <w:p w14:paraId="34218DA7" w14:textId="77777777" w:rsidR="00756F0F" w:rsidRPr="00ED7E61" w:rsidRDefault="00756F0F" w:rsidP="00B10F0C">
      <w:pPr>
        <w:pStyle w:val="CBDNormalNumber"/>
        <w:numPr>
          <w:ilvl w:val="0"/>
          <w:numId w:val="68"/>
        </w:numPr>
        <w:ind w:left="567" w:firstLine="0"/>
        <w:rPr>
          <w:rStyle w:val="normaltextrun"/>
          <w:rFonts w:eastAsiaTheme="majorEastAsia"/>
        </w:rPr>
      </w:pPr>
      <w:r w:rsidRPr="00ED7E61">
        <w:rPr>
          <w:rStyle w:val="normaltextrun"/>
          <w:rFonts w:asciiTheme="majorBidi" w:eastAsiaTheme="majorEastAsia" w:hAnsiTheme="majorBidi" w:cstheme="majorBidi"/>
        </w:rPr>
        <w:t> The reporting template will provide a dropdown menu for countries to select which data source and/or methodology was used to report for this headline indicator, including but not limited to the following:</w:t>
      </w:r>
      <w:r w:rsidRPr="00ED7E61">
        <w:rPr>
          <w:rStyle w:val="normaltextrun"/>
        </w:rPr>
        <w:t> </w:t>
      </w:r>
    </w:p>
    <w:p w14:paraId="064415FD" w14:textId="77777777" w:rsidR="00756F0F" w:rsidRPr="00ED7E61" w:rsidRDefault="00756F0F" w:rsidP="00B10F0C">
      <w:pPr>
        <w:pStyle w:val="CBDNormalNumber"/>
        <w:numPr>
          <w:ilvl w:val="1"/>
          <w:numId w:val="68"/>
        </w:numPr>
        <w:tabs>
          <w:tab w:val="clear" w:pos="567"/>
          <w:tab w:val="clear" w:pos="1134"/>
          <w:tab w:val="clear" w:pos="1701"/>
          <w:tab w:val="clear" w:pos="2268"/>
          <w:tab w:val="left" w:pos="1985"/>
        </w:tabs>
        <w:ind w:left="1276" w:firstLine="56"/>
        <w:rPr>
          <w:rStyle w:val="normaltextrun"/>
          <w:rFonts w:eastAsiaTheme="majorEastAsia"/>
        </w:rPr>
      </w:pPr>
      <w:hyperlink r:id="rId270" w:tgtFrame="_blank" w:history="1">
        <w:r w:rsidRPr="00ED7E61">
          <w:rPr>
            <w:rStyle w:val="normaltextrun"/>
            <w:rFonts w:eastAsiaTheme="majorEastAsia"/>
          </w:rPr>
          <w:t>BIOFIN</w:t>
        </w:r>
      </w:hyperlink>
      <w:r w:rsidRPr="00ED7E61">
        <w:rPr>
          <w:rStyle w:val="normaltextrun"/>
          <w:rFonts w:eastAsiaTheme="majorEastAsia"/>
        </w:rPr>
        <w:t>: UNDP’s Biodiversity Finance Initiative (BIOFIN) developed a methodology providing guidance to estimate national expenditures for biodiversity; these included public, NGOs and donors.  For the purpose of reporting on D2, countries will only report on public funding. The methodology focuses on recording primary and secondary expenditures in nine categories; for the latter, BIOFIN uses attribution rates to account for positive impact on biodiversity. These categories: (1) Biodiversity awareness and knowledge, (2) Green economy, (3) Pollution management, (4) Sustainable use, (4) Biosafety, (5) Protected areas and OECM, (6) Restoration, (7) Access and benefit sharing, and (9) Biodiversity and development planning and finance. It is highly recommended to report on expenditures and not planned budget.     </w:t>
      </w:r>
      <w:r w:rsidRPr="00ED7E61">
        <w:rPr>
          <w:rStyle w:val="normaltextrun"/>
        </w:rPr>
        <w:t> </w:t>
      </w:r>
    </w:p>
    <w:p w14:paraId="7D0C47F9" w14:textId="4CEBF098" w:rsidR="00756F0F" w:rsidRPr="00ED7E61" w:rsidRDefault="00756F0F" w:rsidP="00B10F0C">
      <w:pPr>
        <w:pStyle w:val="CBDNormalNumber"/>
        <w:numPr>
          <w:ilvl w:val="1"/>
          <w:numId w:val="6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CEP: The Classification of Environmental Purposes (CEP)</w:t>
      </w:r>
      <w:r w:rsidR="009753DA" w:rsidRPr="00ED7E61">
        <w:rPr>
          <w:rStyle w:val="FootnoteReference"/>
          <w:rFonts w:eastAsiaTheme="majorEastAsia"/>
        </w:rPr>
        <w:footnoteReference w:id="34"/>
      </w:r>
      <w:r w:rsidRPr="00ED7E61">
        <w:rPr>
          <w:rStyle w:val="normaltextrun"/>
          <w:rFonts w:eastAsiaTheme="majorEastAsia"/>
        </w:rPr>
        <w:t xml:space="preserve"> will be used for SEEA accounts, i.e. classifying activities, products, expenditure and other transactions related to environmental protection and management of natural resource. The most relevant division is: 5 Soil, surface and groundwater, biodiversity and forest which encompasses 501 Protection of soil, surface and groundwater, 502 Protection of biodiversity and landscape, 503 Management of forest resources. A share of expenditure classified in other divisions may also be considered biodiversity relevant. Countries should indicate in their reporting which divisions/groups they have included and what, if any, coefficient they have applied (i.e. what share of expenditure they have counted as biodiversity expenditure). </w:t>
      </w:r>
      <w:r w:rsidRPr="00ED7E61">
        <w:rPr>
          <w:rStyle w:val="normaltextrun"/>
        </w:rPr>
        <w:t> </w:t>
      </w:r>
    </w:p>
    <w:p w14:paraId="5B321D15" w14:textId="77777777" w:rsidR="00756F0F" w:rsidRPr="00ED7E61" w:rsidRDefault="00756F0F" w:rsidP="00B10F0C">
      <w:pPr>
        <w:pStyle w:val="CBDNormalNumber"/>
        <w:numPr>
          <w:ilvl w:val="1"/>
          <w:numId w:val="68"/>
        </w:numPr>
        <w:tabs>
          <w:tab w:val="clear" w:pos="567"/>
          <w:tab w:val="clear" w:pos="1134"/>
          <w:tab w:val="clear" w:pos="1701"/>
          <w:tab w:val="clear" w:pos="2268"/>
          <w:tab w:val="left" w:pos="1985"/>
        </w:tabs>
        <w:ind w:left="1276" w:firstLine="56"/>
        <w:rPr>
          <w:rStyle w:val="normaltextrun"/>
          <w:rFonts w:eastAsiaTheme="majorEastAsia"/>
          <w:sz w:val="24"/>
          <w:szCs w:val="24"/>
          <w:lang w:val="en-CA"/>
        </w:rPr>
      </w:pPr>
      <w:r w:rsidRPr="00ED7E61">
        <w:rPr>
          <w:rStyle w:val="normaltextrun"/>
          <w:rFonts w:eastAsiaTheme="majorEastAsia"/>
        </w:rPr>
        <w:t>Please note that CEP is an international statistical classification system which is replacing CEPA. The 27 EU countries are required to develop and report data from environmental protection and expenditure accounts (EPEA). The EPEA have been classified according to the CEPA and from 2025 should be classified according to the new CEP. The CEP is the first statistical classification of activities or products that allows mapping to “</w:t>
      </w:r>
      <w:r w:rsidRPr="00FB1598">
        <w:rPr>
          <w:rStyle w:val="normaltextrun"/>
          <w:rFonts w:eastAsiaTheme="majorEastAsia"/>
          <w:i/>
          <w:iCs/>
        </w:rPr>
        <w:t>policy areas</w:t>
      </w:r>
      <w:r w:rsidRPr="00ED7E61">
        <w:rPr>
          <w:rStyle w:val="normaltextrun"/>
          <w:rFonts w:eastAsiaTheme="majorEastAsia"/>
        </w:rPr>
        <w:t>” such as for biodiversity (as well climate change mitigation, circular economy, etc.). It therefore allows for SEEA-based applications for those policy areas (see the Annex of the CEP for further detail). The CEP can also be used, for example, in biodiversity budget tagging.  </w:t>
      </w:r>
      <w:r w:rsidRPr="00ED7E61">
        <w:rPr>
          <w:rStyle w:val="normaltextrun"/>
        </w:rPr>
        <w:t> </w:t>
      </w:r>
    </w:p>
    <w:p w14:paraId="0DEEA53C" w14:textId="17DB7B30" w:rsidR="00756F0F" w:rsidRPr="00525F8B" w:rsidRDefault="00756F0F" w:rsidP="00B10F0C">
      <w:pPr>
        <w:pStyle w:val="CBDNormalNumber"/>
        <w:numPr>
          <w:ilvl w:val="1"/>
          <w:numId w:val="68"/>
        </w:numPr>
        <w:tabs>
          <w:tab w:val="clear" w:pos="567"/>
          <w:tab w:val="clear" w:pos="1134"/>
          <w:tab w:val="clear" w:pos="1701"/>
          <w:tab w:val="clear" w:pos="2268"/>
          <w:tab w:val="left" w:pos="1985"/>
        </w:tabs>
        <w:ind w:left="1276" w:firstLine="56"/>
        <w:rPr>
          <w:rFonts w:eastAsiaTheme="majorEastAsia"/>
        </w:rPr>
      </w:pPr>
      <w:hyperlink r:id="rId271" w:tgtFrame="_blank" w:history="1">
        <w:r w:rsidRPr="00ED7E61">
          <w:rPr>
            <w:rStyle w:val="normaltextrun"/>
            <w:rFonts w:eastAsiaTheme="majorEastAsia"/>
          </w:rPr>
          <w:t>COFOG</w:t>
        </w:r>
      </w:hyperlink>
      <w:r w:rsidRPr="00ED7E61">
        <w:rPr>
          <w:rStyle w:val="normaltextrun"/>
          <w:rFonts w:eastAsiaTheme="majorEastAsia"/>
        </w:rPr>
        <w:t>: Under COFOG, governments code each purchase, wage payment, transfer, loan disbursement or other outlay under one of ten divisions, according to the primary function or purpose that the transaction serves. Each of these divisions is then broken down into groups, which, in turn, are subdivided into classes. Expenditure for which environmental protection is the primary purpose (irrespective of the sector) are coded under Division 5, Environment Protection. Activities relating to the protection of fauna and flora species (including the reintroduction of extinct species and the recovery of species menaced by extinction), the protection of habitats (including the management of natural parks and reserves) and the protection of landscapes for their aesthetic values (including the rehabilitation of damaged landscapes to improve their aesthetic value) are coded under Group 5.4: Protection of Biodiversity and Landscape. COFOG does not capture sustainable use activities.</w:t>
      </w:r>
      <w:r w:rsidRPr="00ED7E61">
        <w:rPr>
          <w:rStyle w:val="normaltextrun"/>
        </w:rPr>
        <w:t> </w:t>
      </w:r>
    </w:p>
    <w:p w14:paraId="1745958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3867F16" w14:textId="77777777" w:rsidR="00756F0F" w:rsidRPr="00ED7E61" w:rsidRDefault="00756F0F" w:rsidP="00B10F0C">
      <w:pPr>
        <w:pStyle w:val="CBDNormalNumber"/>
        <w:numPr>
          <w:ilvl w:val="0"/>
          <w:numId w:val="68"/>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Data will be reported directly from countries through the CBD Secretariat through the national reporting cycles.</w:t>
      </w:r>
      <w:r w:rsidRPr="00ED7E61">
        <w:rPr>
          <w:rStyle w:val="normaltextrun"/>
        </w:rPr>
        <w:t> </w:t>
      </w:r>
    </w:p>
    <w:p w14:paraId="39C6526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0854D480"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UNDP-</w:t>
      </w:r>
      <w:r w:rsidRPr="00ED7E61">
        <w:rPr>
          <w:rStyle w:val="normaltextrun"/>
          <w:rFonts w:asciiTheme="majorBidi" w:eastAsiaTheme="majorEastAsia" w:hAnsiTheme="majorBidi" w:cstheme="majorBidi"/>
          <w:b/>
          <w:bCs/>
          <w:sz w:val="22"/>
          <w:szCs w:val="22"/>
        </w:rPr>
        <w:t>BIOFIN</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3968EF1E" w14:textId="6A8EEA40" w:rsidR="00756F0F" w:rsidRPr="00ED7E61" w:rsidRDefault="00525F8B" w:rsidP="00525F8B">
      <w:pPr>
        <w:pStyle w:val="CBDNormalNumber"/>
        <w:numPr>
          <w:ilvl w:val="0"/>
          <w:numId w:val="0"/>
        </w:numPr>
        <w:ind w:left="567"/>
        <w:rPr>
          <w:rStyle w:val="normaltextrun"/>
          <w:rFonts w:eastAsiaTheme="majorEastAsia"/>
          <w:sz w:val="24"/>
          <w:szCs w:val="24"/>
          <w:lang w:val="en-CA"/>
        </w:rPr>
      </w:pPr>
      <w:hyperlink r:id="rId272" w:history="1">
        <w:r w:rsidRPr="004C58D6">
          <w:rPr>
            <w:rStyle w:val="Hyperlink"/>
            <w:rFonts w:asciiTheme="majorBidi" w:eastAsiaTheme="majorEastAsia" w:hAnsiTheme="majorBidi" w:cstheme="majorBidi"/>
          </w:rPr>
          <w:t>https://www.biofin.org/sites/default/files/content/publications/workbook_2018/</w:t>
        </w:r>
      </w:hyperlink>
      <w:r w:rsidR="00756F0F" w:rsidRPr="00ED7E61">
        <w:rPr>
          <w:rStyle w:val="normaltextrun"/>
        </w:rPr>
        <w:t> </w:t>
      </w:r>
    </w:p>
    <w:p w14:paraId="600F26D2" w14:textId="4A6E6C9C" w:rsidR="00756F0F" w:rsidRPr="00525F8B" w:rsidRDefault="00525F8B" w:rsidP="00525F8B">
      <w:pPr>
        <w:pStyle w:val="CBDNormalNumber"/>
        <w:numPr>
          <w:ilvl w:val="0"/>
          <w:numId w:val="0"/>
        </w:numPr>
        <w:ind w:left="567"/>
        <w:rPr>
          <w:rFonts w:eastAsiaTheme="majorEastAsia"/>
        </w:rPr>
      </w:pPr>
      <w:hyperlink r:id="rId273" w:history="1">
        <w:r w:rsidRPr="004C58D6">
          <w:rPr>
            <w:rStyle w:val="Hyperlink"/>
            <w:rFonts w:asciiTheme="majorBidi" w:eastAsiaTheme="majorEastAsia" w:hAnsiTheme="majorBidi" w:cstheme="majorBidi"/>
          </w:rPr>
          <w:t>https://www.biofin.org/biofin-around-world</w:t>
        </w:r>
      </w:hyperlink>
      <w:r w:rsidR="00756F0F" w:rsidRPr="00ED7E61">
        <w:rPr>
          <w:rStyle w:val="normaltextrun"/>
        </w:rPr>
        <w:t> </w:t>
      </w:r>
    </w:p>
    <w:p w14:paraId="40514239" w14:textId="6FA386D5"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CEP</w:t>
      </w:r>
      <w:r w:rsidRPr="00ED7E61">
        <w:rPr>
          <w:rStyle w:val="normaltextrun"/>
          <w:rFonts w:asciiTheme="majorBidi" w:eastAsiaTheme="majorEastAsia" w:hAnsiTheme="majorBidi" w:cstheme="majorBidi"/>
          <w:sz w:val="22"/>
          <w:szCs w:val="22"/>
        </w:rPr>
        <w:t>:</w:t>
      </w:r>
    </w:p>
    <w:p w14:paraId="086648D2" w14:textId="4285BE24" w:rsidR="00756F0F" w:rsidRPr="00ED7E61" w:rsidRDefault="00525F8B" w:rsidP="00525F8B">
      <w:pPr>
        <w:pStyle w:val="CBDNormalNumber"/>
        <w:numPr>
          <w:ilvl w:val="0"/>
          <w:numId w:val="0"/>
        </w:numPr>
        <w:ind w:left="567"/>
        <w:rPr>
          <w:rStyle w:val="normaltextrun"/>
          <w:rFonts w:eastAsiaTheme="majorEastAsia"/>
          <w:sz w:val="24"/>
          <w:szCs w:val="24"/>
          <w:lang w:val="en-CA"/>
        </w:rPr>
      </w:pPr>
      <w:hyperlink r:id="rId274" w:history="1">
        <w:r w:rsidRPr="004C58D6">
          <w:rPr>
            <w:rStyle w:val="Hyperlink"/>
            <w:rFonts w:asciiTheme="majorBidi" w:eastAsiaTheme="majorEastAsia" w:hAnsiTheme="majorBidi" w:cstheme="majorBidi"/>
          </w:rPr>
          <w:t>https://unstats.un.org/UNSDWebsite/statcom/session_55/documents/BG-4e-CEP-E.pdf</w:t>
        </w:r>
      </w:hyperlink>
      <w:r w:rsidR="00756F0F" w:rsidRPr="00ED7E61">
        <w:rPr>
          <w:rStyle w:val="normaltextrun"/>
        </w:rPr>
        <w:t> </w:t>
      </w:r>
    </w:p>
    <w:p w14:paraId="57045809" w14:textId="77777777" w:rsidR="00756F0F" w:rsidRPr="00ED7E61" w:rsidRDefault="00756F0F" w:rsidP="00B10F0C">
      <w:pPr>
        <w:pStyle w:val="CBDNormalNumber"/>
        <w:numPr>
          <w:ilvl w:val="0"/>
          <w:numId w:val="68"/>
        </w:numPr>
        <w:ind w:left="567" w:firstLine="0"/>
        <w:rPr>
          <w:rStyle w:val="normaltextrun"/>
          <w:rFonts w:eastAsiaTheme="majorEastAsia"/>
        </w:rPr>
      </w:pPr>
      <w:r w:rsidRPr="00ED7E61">
        <w:rPr>
          <w:rStyle w:val="normaltextrun"/>
          <w:rFonts w:asciiTheme="majorBidi" w:eastAsiaTheme="majorEastAsia" w:hAnsiTheme="majorBidi" w:cstheme="majorBidi"/>
        </w:rPr>
        <w:t>CEP is a classification system (replacing the CEPA and the CREMA in March 2024) used to classify data according to the SEEA. For 27 EU Members States, data are reported to EUROSTAT.</w:t>
      </w:r>
      <w:r w:rsidRPr="00ED7E61">
        <w:rPr>
          <w:rStyle w:val="normaltextrun"/>
        </w:rPr>
        <w:t> </w:t>
      </w:r>
    </w:p>
    <w:p w14:paraId="5CB2308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COFOG</w:t>
      </w:r>
      <w:r w:rsidRPr="00ED7E61">
        <w:rPr>
          <w:rStyle w:val="normaltextrun"/>
          <w:rFonts w:asciiTheme="majorBidi" w:eastAsiaTheme="majorEastAsia" w:hAnsiTheme="majorBidi" w:cstheme="majorBidi"/>
          <w:b/>
          <w:bCs/>
          <w:color w:val="467886"/>
          <w:sz w:val="22"/>
          <w:szCs w:val="22"/>
          <w:u w:val="single"/>
        </w:rPr>
        <w:t xml:space="preserve"> </w:t>
      </w:r>
      <w:r w:rsidRPr="00ED7E61">
        <w:rPr>
          <w:rStyle w:val="normaltextrun"/>
          <w:rFonts w:asciiTheme="majorBidi" w:eastAsiaTheme="majorEastAsia" w:hAnsiTheme="majorBidi" w:cstheme="majorBidi"/>
          <w:sz w:val="22"/>
          <w:szCs w:val="22"/>
        </w:rPr>
        <w:t>(COFOG is both a classification system and a database)</w:t>
      </w:r>
      <w:r w:rsidRPr="00ED7E61">
        <w:rPr>
          <w:rStyle w:val="eop"/>
          <w:rFonts w:asciiTheme="majorBidi" w:eastAsiaTheme="majorEastAsia" w:hAnsiTheme="majorBidi" w:cstheme="majorBidi"/>
          <w:sz w:val="22"/>
          <w:szCs w:val="22"/>
        </w:rPr>
        <w:t> </w:t>
      </w:r>
    </w:p>
    <w:p w14:paraId="3AFB9988" w14:textId="3075FF3B" w:rsidR="00756F0F" w:rsidRPr="00ED7E61" w:rsidRDefault="00525F8B" w:rsidP="00525F8B">
      <w:pPr>
        <w:pStyle w:val="CBDNormalNumber"/>
        <w:numPr>
          <w:ilvl w:val="0"/>
          <w:numId w:val="0"/>
        </w:numPr>
        <w:ind w:left="567"/>
        <w:rPr>
          <w:rStyle w:val="normaltextrun"/>
          <w:rFonts w:eastAsiaTheme="majorEastAsia"/>
          <w:sz w:val="24"/>
          <w:szCs w:val="24"/>
          <w:lang w:val="en-CA"/>
        </w:rPr>
      </w:pPr>
      <w:hyperlink r:id="rId275" w:history="1">
        <w:r w:rsidRPr="004C58D6">
          <w:rPr>
            <w:rStyle w:val="Hyperlink"/>
            <w:rFonts w:asciiTheme="majorBidi" w:eastAsiaTheme="majorEastAsia" w:hAnsiTheme="majorBidi" w:cstheme="majorBidi"/>
          </w:rPr>
          <w:t>https://data.imf.org/?sk=5804c5e1-0502-4672-bdcd-671bcdc565a9</w:t>
        </w:r>
      </w:hyperlink>
      <w:r w:rsidR="00756F0F" w:rsidRPr="00ED7E61">
        <w:rPr>
          <w:rStyle w:val="normaltextrun"/>
        </w:rPr>
        <w:t> </w:t>
      </w:r>
    </w:p>
    <w:p w14:paraId="613DD9F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1CE081C0" w14:textId="522BCC7A" w:rsidR="00756F0F" w:rsidRPr="00ED7E61" w:rsidRDefault="00756F0F" w:rsidP="00B10F0C">
      <w:pPr>
        <w:pStyle w:val="CBDNormalNumber"/>
        <w:numPr>
          <w:ilvl w:val="0"/>
          <w:numId w:val="68"/>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Primarily derived from government records (national budgets and accounts) on public expenditures, and when available regional/multilateral databases e.g. Eurostat.</w:t>
      </w:r>
      <w:r w:rsidRPr="00ED7E61">
        <w:rPr>
          <w:rStyle w:val="normaltextrun"/>
        </w:rPr>
        <w:t> </w:t>
      </w:r>
    </w:p>
    <w:p w14:paraId="6BDE571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4BC13F31" w14:textId="77777777" w:rsidR="00756F0F" w:rsidRPr="00ED7E61" w:rsidRDefault="00756F0F" w:rsidP="00B10F0C">
      <w:pPr>
        <w:pStyle w:val="CBDNormalNumber"/>
        <w:numPr>
          <w:ilvl w:val="0"/>
          <w:numId w:val="68"/>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Reporting will follow CBD’s national reporting cycle.</w:t>
      </w:r>
      <w:r w:rsidRPr="00ED7E61">
        <w:rPr>
          <w:rStyle w:val="normaltextrun"/>
        </w:rPr>
        <w:t> </w:t>
      </w:r>
    </w:p>
    <w:p w14:paraId="4FA2094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1649BCE9" w14:textId="77777777" w:rsidR="00756F0F" w:rsidRPr="00ED7E61" w:rsidRDefault="00756F0F" w:rsidP="00B10F0C">
      <w:pPr>
        <w:pStyle w:val="CBDNormalNumber"/>
        <w:numPr>
          <w:ilvl w:val="0"/>
          <w:numId w:val="68"/>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baseline for countries to report 2020 onwards, and should follow the CBD national reporting timeline.</w:t>
      </w:r>
      <w:r w:rsidRPr="00ED7E61">
        <w:rPr>
          <w:rStyle w:val="normaltextrun"/>
        </w:rPr>
        <w:t> </w:t>
      </w:r>
    </w:p>
    <w:p w14:paraId="25E0F64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425423FC" w14:textId="77777777" w:rsidR="00756F0F" w:rsidRPr="00ED7E61" w:rsidRDefault="00756F0F" w:rsidP="00B10F0C">
      <w:pPr>
        <w:pStyle w:val="CBDNormalNumber"/>
        <w:numPr>
          <w:ilvl w:val="0"/>
          <w:numId w:val="68"/>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Countries through national reports to the CBD, Statistical offices or Ministries of Finance preferably or Ministers of Environment.</w:t>
      </w:r>
      <w:r w:rsidRPr="00ED7E61">
        <w:rPr>
          <w:rStyle w:val="normaltextrun"/>
        </w:rPr>
        <w:t> </w:t>
      </w:r>
    </w:p>
    <w:p w14:paraId="30F5448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4C51C70E" w14:textId="77777777" w:rsidR="00756F0F" w:rsidRPr="00ED7E61" w:rsidRDefault="00756F0F" w:rsidP="00525F8B">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CBD Secretariat through country national reporting.</w:t>
      </w:r>
      <w:r w:rsidRPr="00ED7E61">
        <w:rPr>
          <w:rStyle w:val="normaltextrun"/>
        </w:rPr>
        <w:t> </w:t>
      </w:r>
    </w:p>
    <w:p w14:paraId="784E34C8" w14:textId="77777777" w:rsidR="00756F0F" w:rsidRPr="00ED7E61" w:rsidRDefault="00756F0F" w:rsidP="00525F8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EUROSTAT, OECD and IMF for COFOG</w:t>
      </w:r>
      <w:r w:rsidRPr="00ED7E61">
        <w:rPr>
          <w:rStyle w:val="normaltextrun"/>
        </w:rPr>
        <w:t> </w:t>
      </w:r>
    </w:p>
    <w:p w14:paraId="6B4BCE8C" w14:textId="77777777" w:rsidR="00756F0F" w:rsidRPr="00ED7E61" w:rsidRDefault="00756F0F" w:rsidP="00525F8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EUROSTAT and OECD for EPEA</w:t>
      </w:r>
      <w:r w:rsidRPr="00ED7E61">
        <w:rPr>
          <w:rStyle w:val="normaltextrun"/>
        </w:rPr>
        <w:t> </w:t>
      </w:r>
    </w:p>
    <w:p w14:paraId="563FAE4B" w14:textId="77777777" w:rsidR="00756F0F" w:rsidRPr="00ED7E61" w:rsidRDefault="00756F0F" w:rsidP="00525F8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UNDP-BIOFIN (Compiles data but does not have a database)</w:t>
      </w:r>
      <w:r w:rsidRPr="00ED7E61">
        <w:rPr>
          <w:rStyle w:val="eop"/>
          <w:rFonts w:asciiTheme="majorBidi" w:eastAsiaTheme="majorEastAsia" w:hAnsiTheme="majorBidi" w:cstheme="majorBidi"/>
        </w:rPr>
        <w:t> </w:t>
      </w:r>
    </w:p>
    <w:p w14:paraId="640E609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169B750B" w14:textId="77777777" w:rsidR="00756F0F" w:rsidRPr="00ED7E61" w:rsidRDefault="00756F0F" w:rsidP="00B10F0C">
      <w:pPr>
        <w:pStyle w:val="CBDNormalNumber"/>
        <w:numPr>
          <w:ilvl w:val="0"/>
          <w:numId w:val="68"/>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Each of the methodologies or systems of classification available have gaps and challenges, mainly:</w:t>
      </w:r>
      <w:r w:rsidRPr="00ED7E61">
        <w:rPr>
          <w:rStyle w:val="normaltextrun"/>
        </w:rPr>
        <w:t> </w:t>
      </w:r>
    </w:p>
    <w:p w14:paraId="64E5DCB8" w14:textId="77777777" w:rsidR="00756F0F" w:rsidRPr="00ED7E61" w:rsidRDefault="00756F0F" w:rsidP="00B10F0C">
      <w:pPr>
        <w:pStyle w:val="CBDNormalNumber"/>
        <w:numPr>
          <w:ilvl w:val="1"/>
          <w:numId w:val="6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None of these are applied by all CBD Parties, they differ in relation to what each methodology or framework considers as biodiversity expenditures.</w:t>
      </w:r>
      <w:r w:rsidRPr="00ED7E61">
        <w:rPr>
          <w:rStyle w:val="normaltextrun"/>
        </w:rPr>
        <w:t> </w:t>
      </w:r>
    </w:p>
    <w:p w14:paraId="615161BF" w14:textId="77777777" w:rsidR="00756F0F" w:rsidRPr="00ED7E61" w:rsidRDefault="00756F0F" w:rsidP="00B10F0C">
      <w:pPr>
        <w:pStyle w:val="CBDNormalNumber"/>
        <w:numPr>
          <w:ilvl w:val="1"/>
          <w:numId w:val="6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COFOG: Based on primary purposes, covering “</w:t>
      </w:r>
      <w:r w:rsidRPr="00FB1598">
        <w:rPr>
          <w:rStyle w:val="normaltextrun"/>
          <w:rFonts w:eastAsiaTheme="majorEastAsia"/>
          <w:i/>
          <w:iCs/>
        </w:rPr>
        <w:t>biodiversity and landscape protection</w:t>
      </w:r>
      <w:r w:rsidRPr="00ED7E61">
        <w:rPr>
          <w:rStyle w:val="normaltextrun"/>
          <w:rFonts w:eastAsiaTheme="majorEastAsia"/>
        </w:rPr>
        <w:t>”. It does not capture sustainable use activities. It is an international statistical classification system. While COFOG has global coverage, not all countries disaggregate data on expenditure on environment protection. Data on biodiversity and landscape protection are available for 59 countries (2020). </w:t>
      </w:r>
      <w:r w:rsidRPr="00ED7E61">
        <w:rPr>
          <w:rStyle w:val="normaltextrun"/>
        </w:rPr>
        <w:t> </w:t>
      </w:r>
    </w:p>
    <w:p w14:paraId="0A1FD39A" w14:textId="77777777" w:rsidR="00756F0F" w:rsidRPr="00ED7E61" w:rsidRDefault="00756F0F" w:rsidP="00B10F0C">
      <w:pPr>
        <w:pStyle w:val="CBDNormalNumber"/>
        <w:numPr>
          <w:ilvl w:val="1"/>
          <w:numId w:val="6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EPEA: Not all countries have developed an EPEA according to the SEEA framework. The 27 EU countries are required to develop an EPEA and these statistics are compiled by Eurostat. EPEA from OECD countries are compiled by the OECD. The EPEA have been classified according to the CEPA and from 2025 should be classified according to the new CEP. The CEP is the first statistical classification of activities or products that allows mapping to “</w:t>
      </w:r>
      <w:r w:rsidRPr="00FB1598">
        <w:rPr>
          <w:rStyle w:val="normaltextrun"/>
          <w:rFonts w:eastAsiaTheme="majorEastAsia"/>
          <w:i/>
          <w:iCs/>
        </w:rPr>
        <w:t>policy areas</w:t>
      </w:r>
      <w:r w:rsidRPr="00ED7E61">
        <w:rPr>
          <w:rStyle w:val="normaltextrun"/>
          <w:rFonts w:eastAsiaTheme="majorEastAsia"/>
        </w:rPr>
        <w:t>” including for biodiversity, climate change mitigation and circular economy, etc. It therefore allows for SEEA-based applications for those policy areas (see the Annex of the CEP for further detail). CEP is based on primary purposes, covering biodiversity protection and resource management.  </w:t>
      </w:r>
      <w:r w:rsidRPr="00ED7E61">
        <w:rPr>
          <w:rStyle w:val="normaltextrun"/>
        </w:rPr>
        <w:t> </w:t>
      </w:r>
    </w:p>
    <w:p w14:paraId="02056E0D" w14:textId="77777777" w:rsidR="00756F0F" w:rsidRPr="00ED7E61" w:rsidRDefault="00756F0F" w:rsidP="00B10F0C">
      <w:pPr>
        <w:pStyle w:val="CBDNormalNumber"/>
        <w:numPr>
          <w:ilvl w:val="1"/>
          <w:numId w:val="6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BIOFIN: Based on primary and secondary purposes, covering a wide range of activities related to the conservation and sustainable use of biodiversity. It has been used by 41 countries.</w:t>
      </w:r>
      <w:r w:rsidRPr="00ED7E61">
        <w:rPr>
          <w:rStyle w:val="normaltextrun"/>
        </w:rPr>
        <w:t> </w:t>
      </w:r>
    </w:p>
    <w:p w14:paraId="255B978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45D1EA38" w14:textId="77777777" w:rsidR="00756F0F" w:rsidRPr="00ED7E61" w:rsidRDefault="00756F0F" w:rsidP="00525F8B">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211349B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7BFF2C51" w14:textId="77777777" w:rsidR="00756F0F" w:rsidRPr="00ED7E61" w:rsidRDefault="00756F0F" w:rsidP="00525F8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07542CE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434AFE4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National</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2F0975EF" w14:textId="77777777" w:rsidR="00756F0F" w:rsidRPr="00ED7E61" w:rsidRDefault="00756F0F" w:rsidP="00B10F0C">
      <w:pPr>
        <w:pStyle w:val="CBDNormalNumber"/>
        <w:numPr>
          <w:ilvl w:val="0"/>
          <w:numId w:val="68"/>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Scale of data disaggregation/aggregation: </w:t>
      </w:r>
      <w:r w:rsidRPr="00ED7E61">
        <w:rPr>
          <w:rStyle w:val="normaltextrun"/>
        </w:rPr>
        <w:t> </w:t>
      </w:r>
    </w:p>
    <w:p w14:paraId="18FE15A3" w14:textId="77777777" w:rsidR="00756F0F" w:rsidRPr="00ED7E61" w:rsidRDefault="00756F0F" w:rsidP="00B10F0C">
      <w:pPr>
        <w:pStyle w:val="CBDNormalNumber"/>
        <w:numPr>
          <w:ilvl w:val="1"/>
          <w:numId w:val="6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Global/ regional scale indicator can be disaggregated to national level: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6690D073" w14:textId="77777777" w:rsidR="00756F0F" w:rsidRPr="00ED7E61" w:rsidRDefault="00756F0F" w:rsidP="00B10F0C">
      <w:pPr>
        <w:pStyle w:val="CBDNormalNumber"/>
        <w:numPr>
          <w:ilvl w:val="1"/>
          <w:numId w:val="6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National data is collated to form global indicator: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5C99BB7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10BACA4F" w14:textId="77777777" w:rsidR="00756F0F" w:rsidRPr="00ED7E61" w:rsidRDefault="00756F0F" w:rsidP="00525F8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i/>
          <w:iCs/>
        </w:rPr>
        <w:t>N/A</w:t>
      </w:r>
      <w:r w:rsidRPr="00ED7E61">
        <w:rPr>
          <w:rStyle w:val="eop"/>
          <w:rFonts w:asciiTheme="majorBidi" w:eastAsiaTheme="majorEastAsia" w:hAnsiTheme="majorBidi" w:cstheme="majorBidi"/>
        </w:rPr>
        <w:t> </w:t>
      </w:r>
    </w:p>
    <w:p w14:paraId="68F0040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5AD662E4" w14:textId="77777777" w:rsidR="00756F0F" w:rsidRPr="00ED7E61" w:rsidRDefault="00756F0F" w:rsidP="00525F8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i/>
          <w:iCs/>
        </w:rPr>
        <w:t>N/A</w:t>
      </w:r>
      <w:r w:rsidRPr="00ED7E61">
        <w:rPr>
          <w:rStyle w:val="eop"/>
          <w:rFonts w:asciiTheme="majorBidi" w:eastAsiaTheme="majorEastAsia" w:hAnsiTheme="majorBidi" w:cstheme="majorBidi"/>
        </w:rPr>
        <w:t> </w:t>
      </w:r>
    </w:p>
    <w:p w14:paraId="3142A0F6" w14:textId="77777777" w:rsidR="00756F0F" w:rsidRPr="00ED7E61" w:rsidRDefault="00756F0F" w:rsidP="00BE7FA9">
      <w:pPr>
        <w:pStyle w:val="paragraph"/>
        <w:spacing w:before="0" w:beforeAutospacing="0" w:after="0" w:afterAutospacing="0"/>
        <w:jc w:val="both"/>
        <w:textAlignment w:val="baseline"/>
        <w:rPr>
          <w:rFonts w:asciiTheme="majorBidi" w:hAnsiTheme="majorBidi" w:cstheme="majorBidi"/>
          <w:sz w:val="22"/>
          <w:szCs w:val="22"/>
          <w:lang w:val="en-GB"/>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lang w:val="en-GB"/>
        </w:rPr>
        <w:t> </w:t>
      </w:r>
    </w:p>
    <w:p w14:paraId="4802E3A4" w14:textId="14E78DEE" w:rsidR="00756F0F" w:rsidRPr="00ED7E61" w:rsidRDefault="00D620E3" w:rsidP="00525F8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i/>
          <w:iCs/>
        </w:rPr>
        <w:t>NA</w:t>
      </w:r>
    </w:p>
    <w:p w14:paraId="31E3F08F" w14:textId="679602E8"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w:t>
      </w:r>
      <w:r w:rsidR="00B10F0C">
        <w:rPr>
          <w:rStyle w:val="normaltextrun"/>
          <w:rFonts w:asciiTheme="majorBidi" w:eastAsiaTheme="majorEastAsia" w:hAnsiTheme="majorBidi" w:cstheme="majorBidi"/>
          <w:b/>
          <w:bCs/>
          <w:sz w:val="22"/>
          <w:szCs w:val="22"/>
        </w:rPr>
        <w:t>z</w:t>
      </w:r>
      <w:r w:rsidRPr="00ED7E61">
        <w:rPr>
          <w:rStyle w:val="normaltextrun"/>
          <w:rFonts w:asciiTheme="majorBidi" w:eastAsiaTheme="majorEastAsia" w:hAnsiTheme="majorBidi" w:cstheme="majorBidi"/>
          <w:b/>
          <w:bCs/>
          <w:sz w:val="22"/>
          <w:szCs w:val="22"/>
        </w:rPr>
        <w:t>ations</w:t>
      </w:r>
      <w:r w:rsidRPr="00ED7E61">
        <w:rPr>
          <w:rStyle w:val="eop"/>
          <w:rFonts w:asciiTheme="majorBidi" w:eastAsiaTheme="majorEastAsia" w:hAnsiTheme="majorBidi" w:cstheme="majorBidi"/>
          <w:sz w:val="22"/>
          <w:szCs w:val="22"/>
        </w:rPr>
        <w:t> </w:t>
      </w:r>
    </w:p>
    <w:p w14:paraId="1090599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0CC9E62D" w14:textId="77777777" w:rsidR="00756F0F" w:rsidRPr="00ED7E61" w:rsidRDefault="00756F0F" w:rsidP="00525F8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i/>
          <w:iCs/>
        </w:rPr>
        <w:t>N/A</w:t>
      </w:r>
      <w:r w:rsidRPr="00ED7E61">
        <w:rPr>
          <w:rStyle w:val="eop"/>
          <w:rFonts w:asciiTheme="majorBidi" w:eastAsiaTheme="majorEastAsia" w:hAnsiTheme="majorBidi" w:cstheme="majorBidi"/>
        </w:rPr>
        <w:t> </w:t>
      </w:r>
    </w:p>
    <w:p w14:paraId="38900A8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08F120D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sz w:val="22"/>
          <w:szCs w:val="22"/>
        </w:rPr>
        <w:t xml:space="preserve">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258556E9" w14:textId="01B9DE4A"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047A9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047A9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0763DFB8" w14:textId="77777777" w:rsidR="00756F0F" w:rsidRPr="00ED7E61" w:rsidRDefault="00756F0F" w:rsidP="00525F8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i/>
          <w:iCs/>
        </w:rPr>
        <w:t>N/A</w:t>
      </w:r>
      <w:r w:rsidRPr="00ED7E61">
        <w:rPr>
          <w:rStyle w:val="eop"/>
          <w:rFonts w:asciiTheme="majorBidi" w:eastAsiaTheme="majorEastAsia" w:hAnsiTheme="majorBidi" w:cstheme="majorBidi"/>
        </w:rPr>
        <w:t> </w:t>
      </w:r>
    </w:p>
    <w:p w14:paraId="1D8A5CB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60141EF7" w14:textId="77777777" w:rsidR="00756F0F" w:rsidRPr="00ED7E61" w:rsidRDefault="00756F0F" w:rsidP="00525F8B">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Target 18.1 Positive incentives in place to promote biodiversity conservation and sustainable use. </w:t>
      </w:r>
      <w:r w:rsidRPr="00ED7E61">
        <w:rPr>
          <w:rStyle w:val="normaltextrun"/>
        </w:rPr>
        <w:t> </w:t>
      </w:r>
    </w:p>
    <w:p w14:paraId="7EF4C9EF" w14:textId="77777777" w:rsidR="00756F0F" w:rsidRPr="00ED7E61" w:rsidRDefault="00756F0F" w:rsidP="00525F8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Target 19.</w:t>
      </w:r>
      <w:r w:rsidRPr="00ED7E61">
        <w:rPr>
          <w:rStyle w:val="normaltextrun"/>
        </w:rPr>
        <w:t> </w:t>
      </w:r>
    </w:p>
    <w:p w14:paraId="0FF3DEB9" w14:textId="77777777" w:rsidR="00756F0F" w:rsidRPr="00ED7E61" w:rsidRDefault="00756F0F" w:rsidP="00525F8B">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Goal D.1 International public funding, including official development assistance (ODA) for conservation and sustainable use of biodiversity and ecosystems</w:t>
      </w:r>
      <w:r w:rsidRPr="00ED7E61">
        <w:rPr>
          <w:rStyle w:val="normaltextrun"/>
        </w:rPr>
        <w:t> </w:t>
      </w:r>
    </w:p>
    <w:p w14:paraId="2B6E9E8F" w14:textId="4213BC62" w:rsidR="00756F0F" w:rsidRPr="00ED7E61" w:rsidRDefault="00756F0F" w:rsidP="00BE7FA9">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4DC5A326" w14:textId="1FBA276F"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B10F0C">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3210C26C" w14:textId="77777777" w:rsidR="00756F0F" w:rsidRPr="00ED7E61" w:rsidRDefault="00756F0F" w:rsidP="00525F8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i/>
          <w:iCs/>
        </w:rPr>
        <w:t>N/A</w:t>
      </w:r>
      <w:r w:rsidRPr="00ED7E61">
        <w:rPr>
          <w:rStyle w:val="eop"/>
          <w:rFonts w:asciiTheme="majorBidi" w:eastAsiaTheme="majorEastAsia" w:hAnsiTheme="majorBidi" w:cstheme="majorBidi"/>
        </w:rPr>
        <w:t> </w:t>
      </w:r>
    </w:p>
    <w:p w14:paraId="47FF660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2BF8F3C1" w14:textId="77777777" w:rsidR="00756F0F" w:rsidRPr="00ED7E61" w:rsidRDefault="00756F0F" w:rsidP="00525F8B">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i/>
          <w:iCs/>
        </w:rPr>
        <w:t>N/A</w:t>
      </w:r>
      <w:r w:rsidRPr="00ED7E61">
        <w:rPr>
          <w:rStyle w:val="eop"/>
          <w:rFonts w:asciiTheme="majorBidi" w:eastAsiaTheme="majorEastAsia" w:hAnsiTheme="majorBidi" w:cstheme="majorBidi"/>
        </w:rPr>
        <w:t> </w:t>
      </w:r>
    </w:p>
    <w:p w14:paraId="08AC003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11. References</w:t>
      </w:r>
      <w:r w:rsidRPr="00ED7E61">
        <w:rPr>
          <w:rStyle w:val="eop"/>
          <w:rFonts w:asciiTheme="majorBidi" w:eastAsiaTheme="majorEastAsia" w:hAnsiTheme="majorBidi" w:cstheme="majorBidi"/>
          <w:sz w:val="22"/>
          <w:szCs w:val="22"/>
        </w:rPr>
        <w:t> </w:t>
      </w:r>
    </w:p>
    <w:p w14:paraId="4991144C" w14:textId="77777777" w:rsidR="00756F0F" w:rsidRPr="00ED7E61" w:rsidRDefault="00756F0F" w:rsidP="00525F8B">
      <w:pPr>
        <w:pStyle w:val="CBDNormalNumber"/>
        <w:numPr>
          <w:ilvl w:val="0"/>
          <w:numId w:val="0"/>
        </w:numPr>
        <w:ind w:left="567"/>
        <w:rPr>
          <w:rStyle w:val="normaltextrun"/>
          <w:rFonts w:eastAsiaTheme="majorEastAsia"/>
          <w:i/>
          <w:iCs/>
          <w:sz w:val="24"/>
          <w:szCs w:val="24"/>
          <w:lang w:val="en-CA"/>
        </w:rPr>
      </w:pPr>
      <w:r w:rsidRPr="00ED7E61">
        <w:rPr>
          <w:rStyle w:val="normaltextrun"/>
          <w:rFonts w:asciiTheme="majorBidi" w:eastAsiaTheme="majorEastAsia" w:hAnsiTheme="majorBidi" w:cstheme="majorBidi"/>
          <w:i/>
          <w:iCs/>
        </w:rPr>
        <w:t>N/A</w:t>
      </w:r>
      <w:r w:rsidRPr="00ED7E61">
        <w:rPr>
          <w:rStyle w:val="normaltextrun"/>
          <w:i/>
          <w:iCs/>
        </w:rPr>
        <w:t> </w:t>
      </w:r>
    </w:p>
    <w:p w14:paraId="7FB2092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090CF4F3" w14:textId="15BD2DF1" w:rsidR="00A37367" w:rsidRPr="00ED7E61" w:rsidRDefault="00A37367"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6C16B4CC" w14:textId="0E22987F" w:rsidR="00756F0F" w:rsidRPr="00ED7E61" w:rsidRDefault="00756F0F" w:rsidP="00965B3D">
      <w:pPr>
        <w:pStyle w:val="Heading3"/>
      </w:pPr>
      <w:bookmarkStart w:id="39" w:name="_Toc178285853"/>
      <w:bookmarkStart w:id="40" w:name="_Hlk178002946"/>
      <w:r w:rsidRPr="00ED7E61">
        <w:rPr>
          <w:rStyle w:val="normaltextrun"/>
        </w:rPr>
        <w:t>GBF indicator metadata</w:t>
      </w:r>
      <w:r w:rsidR="002946B5" w:rsidRPr="00ED7E61">
        <w:rPr>
          <w:rStyle w:val="normaltextrun"/>
        </w:rPr>
        <w:t>: D.3 Private funding (domestic and international) on conservation and sustainable use of biodiversity and ecosystems</w:t>
      </w:r>
      <w:bookmarkEnd w:id="39"/>
      <w:r w:rsidR="002946B5" w:rsidRPr="00ED7E61">
        <w:rPr>
          <w:rStyle w:val="normaltextrun"/>
        </w:rPr>
        <w:t xml:space="preserve">  </w:t>
      </w:r>
      <w:r w:rsidRPr="00ED7E61">
        <w:rPr>
          <w:rStyle w:val="normaltextrun"/>
        </w:rPr>
        <w:t> </w:t>
      </w:r>
      <w:r w:rsidRPr="00ED7E61">
        <w:rPr>
          <w:rStyle w:val="eop"/>
        </w:rPr>
        <w:t> </w:t>
      </w:r>
    </w:p>
    <w:p w14:paraId="3E22F1D1"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5DA3B49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6C53101D"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D.3</w:t>
      </w:r>
      <w:r w:rsidRPr="00ED7E61">
        <w:rPr>
          <w:rStyle w:val="normaltextrun"/>
          <w:rFonts w:asciiTheme="majorBidi" w:eastAsiaTheme="majorEastAsia" w:hAnsiTheme="majorBidi" w:cstheme="majorBidi"/>
          <w:sz w:val="22"/>
          <w:szCs w:val="22"/>
          <w:lang w:val="en-GB"/>
        </w:rPr>
        <w:t xml:space="preserve"> Private funding (domestic and international) on conservation and sustainable use of biodiversity and ecosystems </w:t>
      </w:r>
      <w:r w:rsidRPr="00ED7E61">
        <w:rPr>
          <w:rStyle w:val="eop"/>
          <w:rFonts w:asciiTheme="majorBidi" w:eastAsiaTheme="majorEastAsia" w:hAnsiTheme="majorBidi" w:cstheme="majorBidi"/>
          <w:sz w:val="22"/>
          <w:szCs w:val="22"/>
        </w:rPr>
        <w:t> </w:t>
      </w:r>
    </w:p>
    <w:p w14:paraId="499E28E3" w14:textId="063EF48C" w:rsidR="00756F0F" w:rsidRPr="00ED7E61" w:rsidRDefault="003F212A" w:rsidP="00B10F0C">
      <w:pPr>
        <w:pStyle w:val="CBDNormalNumber"/>
        <w:numPr>
          <w:ilvl w:val="0"/>
          <w:numId w:val="69"/>
        </w:numPr>
        <w:tabs>
          <w:tab w:val="clear" w:pos="1701"/>
        </w:tabs>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Possible </w:t>
      </w:r>
      <w:r w:rsidR="00756F0F" w:rsidRPr="00ED7E61">
        <w:rPr>
          <w:rStyle w:val="normaltextrun"/>
          <w:rFonts w:asciiTheme="majorBidi" w:eastAsiaTheme="majorEastAsia" w:hAnsiTheme="majorBidi" w:cstheme="majorBidi"/>
        </w:rPr>
        <w:t>Disaggregation of the headline indicator:</w:t>
      </w:r>
      <w:r w:rsidR="00756F0F" w:rsidRPr="00ED7E61">
        <w:rPr>
          <w:rStyle w:val="normaltextrun"/>
        </w:rPr>
        <w:t> </w:t>
      </w:r>
    </w:p>
    <w:p w14:paraId="53936C26" w14:textId="77777777" w:rsidR="00756F0F" w:rsidRPr="00ED7E61" w:rsidRDefault="00756F0F" w:rsidP="00B10F0C">
      <w:pPr>
        <w:pStyle w:val="CBDNormalNumber"/>
        <w:numPr>
          <w:ilvl w:val="1"/>
          <w:numId w:val="6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International Private Philanthropy for development*</w:t>
      </w:r>
      <w:r w:rsidRPr="00ED7E61">
        <w:rPr>
          <w:rStyle w:val="normaltextrun"/>
        </w:rPr>
        <w:t> </w:t>
      </w:r>
    </w:p>
    <w:p w14:paraId="59A8C5EB" w14:textId="77777777" w:rsidR="00756F0F" w:rsidRPr="00ED7E61" w:rsidRDefault="00756F0F" w:rsidP="00B10F0C">
      <w:pPr>
        <w:pStyle w:val="CBDNormalNumber"/>
        <w:numPr>
          <w:ilvl w:val="1"/>
          <w:numId w:val="6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Private finance mobilised by official development finance for biodiversity*</w:t>
      </w:r>
      <w:r w:rsidRPr="00ED7E61">
        <w:rPr>
          <w:rStyle w:val="normaltextrun"/>
        </w:rPr>
        <w:t> </w:t>
      </w:r>
    </w:p>
    <w:p w14:paraId="3ABDB997" w14:textId="77777777" w:rsidR="00756F0F" w:rsidRPr="00ED7E61" w:rsidRDefault="00756F0F" w:rsidP="00B10F0C">
      <w:pPr>
        <w:pStyle w:val="CBDNormalNumber"/>
        <w:numPr>
          <w:ilvl w:val="1"/>
          <w:numId w:val="6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Biodiversity offsets*</w:t>
      </w:r>
      <w:r w:rsidRPr="00ED7E61">
        <w:rPr>
          <w:rStyle w:val="normaltextrun"/>
        </w:rPr>
        <w:t> </w:t>
      </w:r>
    </w:p>
    <w:p w14:paraId="1B859AF1" w14:textId="77777777" w:rsidR="00756F0F" w:rsidRPr="00ED7E61" w:rsidRDefault="00756F0F" w:rsidP="00B10F0C">
      <w:pPr>
        <w:pStyle w:val="CBDNormalNumber"/>
        <w:numPr>
          <w:ilvl w:val="1"/>
          <w:numId w:val="6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Payments for Ecosystem Services*</w:t>
      </w:r>
      <w:r w:rsidRPr="00ED7E61">
        <w:rPr>
          <w:rStyle w:val="normaltextrun"/>
        </w:rPr>
        <w:t> </w:t>
      </w:r>
    </w:p>
    <w:p w14:paraId="6F95D528" w14:textId="77777777" w:rsidR="00756F0F" w:rsidRPr="00ED7E61" w:rsidRDefault="00756F0F" w:rsidP="00B10F0C">
      <w:pPr>
        <w:pStyle w:val="CBDNormalNumber"/>
        <w:numPr>
          <w:ilvl w:val="1"/>
          <w:numId w:val="6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Domestic Private Donations</w:t>
      </w:r>
      <w:r w:rsidRPr="00ED7E61">
        <w:rPr>
          <w:rStyle w:val="normaltextrun"/>
        </w:rPr>
        <w:t> </w:t>
      </w:r>
    </w:p>
    <w:p w14:paraId="672FF1E9" w14:textId="77777777" w:rsidR="00756F0F" w:rsidRPr="00ED7E61" w:rsidRDefault="00756F0F" w:rsidP="00B10F0C">
      <w:pPr>
        <w:pStyle w:val="CBDNormalNumber"/>
        <w:numPr>
          <w:ilvl w:val="1"/>
          <w:numId w:val="6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Private benefit sharing schemes</w:t>
      </w:r>
      <w:r w:rsidRPr="00ED7E61">
        <w:rPr>
          <w:rStyle w:val="normaltextrun"/>
        </w:rPr>
        <w:t> </w:t>
      </w:r>
    </w:p>
    <w:p w14:paraId="356053CF" w14:textId="77777777" w:rsidR="00756F0F" w:rsidRPr="00ED7E61" w:rsidRDefault="00756F0F" w:rsidP="00B10F0C">
      <w:pPr>
        <w:pStyle w:val="CBDNormalNumber"/>
        <w:numPr>
          <w:ilvl w:val="1"/>
          <w:numId w:val="6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Other instruments</w:t>
      </w:r>
      <w:r w:rsidRPr="00ED7E61">
        <w:rPr>
          <w:rStyle w:val="normaltextrun"/>
        </w:rPr>
        <w:t> </w:t>
      </w:r>
    </w:p>
    <w:p w14:paraId="3EE792FC" w14:textId="6234462C" w:rsidR="003F212A" w:rsidRPr="00ED7E61" w:rsidRDefault="003F212A" w:rsidP="00B10F0C">
      <w:pPr>
        <w:pStyle w:val="CBDNormalNumber"/>
        <w:numPr>
          <w:ilvl w:val="0"/>
          <w:numId w:val="69"/>
        </w:numPr>
        <w:tabs>
          <w:tab w:val="left" w:pos="4678"/>
        </w:tabs>
        <w:ind w:left="567" w:firstLine="0"/>
        <w:rPr>
          <w:rFonts w:eastAsiaTheme="majorEastAsia"/>
        </w:rPr>
      </w:pPr>
      <w:r w:rsidRPr="00ED7E61">
        <w:rPr>
          <w:rStyle w:val="normaltextrun"/>
          <w:color w:val="000000"/>
        </w:rPr>
        <w:t xml:space="preserve">Parties can report on private funding </w:t>
      </w:r>
      <w:r w:rsidR="00E202FA" w:rsidRPr="00ED7E61">
        <w:rPr>
          <w:rStyle w:val="normaltextrun"/>
          <w:color w:val="000000"/>
        </w:rPr>
        <w:t xml:space="preserve">(domestic and international) </w:t>
      </w:r>
      <w:r w:rsidRPr="00ED7E61">
        <w:rPr>
          <w:rStyle w:val="normaltextrun"/>
          <w:color w:val="000000"/>
        </w:rPr>
        <w:t>on conservation and sustainable use of biodiversity and ecosystems across all relevant sectors.</w:t>
      </w:r>
      <w:r w:rsidRPr="00ED7E61">
        <w:t xml:space="preserve"> These possible disaggregations are provided for the information of Parties to take into account, as appropriate, and subject to their national circumstances and priorities.</w:t>
      </w:r>
    </w:p>
    <w:p w14:paraId="4B7BEFB6" w14:textId="1030E5AB"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All monetary values are to be reported in national currency. </w:t>
      </w:r>
      <w:r w:rsidRPr="00ED7E61">
        <w:rPr>
          <w:rStyle w:val="normaltextrun"/>
        </w:rPr>
        <w:t> </w:t>
      </w:r>
    </w:p>
    <w:p w14:paraId="6CA7E5D7" w14:textId="6D5E6DE6"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Countries should ensure the methodologies used for potential “</w:t>
      </w:r>
      <w:r w:rsidRPr="00FB1598">
        <w:rPr>
          <w:rStyle w:val="normaltextrun"/>
          <w:rFonts w:asciiTheme="majorBidi" w:eastAsiaTheme="majorEastAsia" w:hAnsiTheme="majorBidi" w:cstheme="majorBidi"/>
          <w:i/>
          <w:iCs/>
        </w:rPr>
        <w:t>other instruments</w:t>
      </w:r>
      <w:r w:rsidRPr="00ED7E61">
        <w:rPr>
          <w:rStyle w:val="normaltextrun"/>
          <w:rFonts w:asciiTheme="majorBidi" w:eastAsiaTheme="majorEastAsia" w:hAnsiTheme="majorBidi" w:cstheme="majorBidi"/>
        </w:rPr>
        <w:t>” do not double count with previous categories (for instance, biodiversity-relevant bonds).</w:t>
      </w:r>
      <w:r w:rsidRPr="00ED7E61">
        <w:rPr>
          <w:rStyle w:val="normaltextrun"/>
        </w:rPr>
        <w:t> </w:t>
      </w:r>
    </w:p>
    <w:p w14:paraId="00296950" w14:textId="77777777"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Elements marked with * have a methodology available.</w:t>
      </w:r>
      <w:r w:rsidRPr="00ED7E61">
        <w:rPr>
          <w:rStyle w:val="normaltextrun"/>
        </w:rPr>
        <w:t> </w:t>
      </w:r>
    </w:p>
    <w:p w14:paraId="4FB9CD7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260B6EC6" w14:textId="755038D6"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756F0F" w:rsidRPr="00ED7E61">
        <w:rPr>
          <w:rStyle w:val="normaltextrun"/>
          <w:rFonts w:asciiTheme="majorBidi" w:eastAsiaTheme="majorEastAsia" w:hAnsiTheme="majorBidi" w:cstheme="majorBidi"/>
          <w:sz w:val="22"/>
          <w:szCs w:val="22"/>
        </w:rPr>
        <w:t>2024</w:t>
      </w:r>
      <w:r w:rsidR="00756F0F" w:rsidRPr="00ED7E61">
        <w:rPr>
          <w:rStyle w:val="eop"/>
          <w:rFonts w:asciiTheme="majorBidi" w:eastAsiaTheme="majorEastAsia" w:hAnsiTheme="majorBidi" w:cstheme="majorBidi"/>
          <w:sz w:val="22"/>
          <w:szCs w:val="22"/>
        </w:rPr>
        <w:t> </w:t>
      </w:r>
    </w:p>
    <w:p w14:paraId="1FA57A6C" w14:textId="77777777" w:rsidR="00756F0F" w:rsidRPr="00ED7E61" w:rsidRDefault="00756F0F" w:rsidP="0078186A">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2A564891" w14:textId="77777777" w:rsidR="00756F0F" w:rsidRPr="00ED7E61" w:rsidRDefault="00756F0F" w:rsidP="0078186A">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4B2AB984"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Headline Indicator for </w:t>
      </w:r>
      <w:r w:rsidRPr="00ED7E61">
        <w:rPr>
          <w:rStyle w:val="normaltextrun"/>
          <w:rFonts w:asciiTheme="majorBidi" w:eastAsiaTheme="majorEastAsia" w:hAnsiTheme="majorBidi" w:cstheme="majorBidi"/>
          <w:color w:val="000000"/>
          <w:sz w:val="22"/>
          <w:szCs w:val="22"/>
          <w:lang w:val="en-GB"/>
        </w:rPr>
        <w:t>Goal D Adequate means of implementation, including financial resources, capacity-building, technical and scientific cooperation, and access to and transfer of technology to fully implement the Kunming-Montreal Global Biodiversity Framework are secured and equitably accessible to all Parties, especially developing country Parties, in particular the least developed countries and small island developing States, as well as countries with economies in transition, progressively closing the biodiversity finance gap of $700 billion per year, and aligning financial flows with the Kunming-Montreal Global Biodiversity Framework and the 2050 Vision for biodiversity. </w:t>
      </w:r>
      <w:r w:rsidRPr="00ED7E61">
        <w:rPr>
          <w:rStyle w:val="eop"/>
          <w:rFonts w:asciiTheme="majorBidi" w:eastAsiaTheme="majorEastAsia" w:hAnsiTheme="majorBidi" w:cstheme="majorBidi"/>
          <w:color w:val="000000"/>
          <w:sz w:val="22"/>
          <w:szCs w:val="22"/>
        </w:rPr>
        <w:t> </w:t>
      </w:r>
    </w:p>
    <w:p w14:paraId="411BEACC" w14:textId="77777777" w:rsidR="00756F0F" w:rsidRPr="00ED7E61" w:rsidRDefault="00756F0F" w:rsidP="0078186A">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bookmarkEnd w:id="40"/>
    <w:p w14:paraId="670B78E3"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Headline indicator for Target 19 Substantially and progressively increase the level of financial resources from all sources, in an effective, timely and easily accessible manner, including domestic, international, public and private resources, in accordance with Article 20 of the Convention, to implement national biodiversity strategies and action plans, mobilizing at least $200 billion per year by 2030, including by: </w:t>
      </w:r>
      <w:r w:rsidRPr="00ED7E61">
        <w:rPr>
          <w:rStyle w:val="eop"/>
          <w:rFonts w:asciiTheme="majorBidi" w:eastAsiaTheme="majorEastAsia" w:hAnsiTheme="majorBidi" w:cstheme="majorBidi"/>
          <w:color w:val="000000"/>
          <w:sz w:val="22"/>
          <w:szCs w:val="22"/>
        </w:rPr>
        <w:t> </w:t>
      </w:r>
    </w:p>
    <w:p w14:paraId="3E298211"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(a) </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Increasing total biodiversity related international financial resources from developed countries, including official development assistance, and from countries that voluntarily assume obligations of developed country Parties, to developing countries, in particular the least developed countries and small island developing States, as well as countries with economies in transition, to at least $20 billion per year by 2025, and to at least $30 billion per year by 2030; </w:t>
      </w:r>
      <w:r w:rsidRPr="00ED7E61">
        <w:rPr>
          <w:rStyle w:val="eop"/>
          <w:rFonts w:asciiTheme="majorBidi" w:eastAsiaTheme="majorEastAsia" w:hAnsiTheme="majorBidi" w:cstheme="majorBidi"/>
          <w:color w:val="000000"/>
          <w:sz w:val="22"/>
          <w:szCs w:val="22"/>
        </w:rPr>
        <w:t> </w:t>
      </w:r>
    </w:p>
    <w:p w14:paraId="596FABB4"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(b)</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Significantly increasing domestic resource mobilization, facilitated by the preparation and implementation of national biodiversity finance plans or similar instruments according to national needs, priorities and circumstances; </w:t>
      </w:r>
      <w:r w:rsidRPr="00ED7E61">
        <w:rPr>
          <w:rStyle w:val="eop"/>
          <w:rFonts w:asciiTheme="majorBidi" w:eastAsiaTheme="majorEastAsia" w:hAnsiTheme="majorBidi" w:cstheme="majorBidi"/>
          <w:color w:val="000000"/>
          <w:sz w:val="22"/>
          <w:szCs w:val="22"/>
        </w:rPr>
        <w:t> </w:t>
      </w:r>
    </w:p>
    <w:p w14:paraId="2C1AF6F4"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(c)</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Leveraging private finance, promoting blended finance, implementing strategies for raising new and additional resources, and encouraging the private sector to invest in biodiversity, including through impact funds and other instruments; </w:t>
      </w:r>
      <w:r w:rsidRPr="00ED7E61">
        <w:rPr>
          <w:rStyle w:val="eop"/>
          <w:rFonts w:asciiTheme="majorBidi" w:eastAsiaTheme="majorEastAsia" w:hAnsiTheme="majorBidi" w:cstheme="majorBidi"/>
          <w:color w:val="000000"/>
          <w:sz w:val="22"/>
          <w:szCs w:val="22"/>
        </w:rPr>
        <w:t> </w:t>
      </w:r>
    </w:p>
    <w:p w14:paraId="2180AAF6" w14:textId="77777777"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(d)</w:t>
      </w:r>
      <w:r w:rsidRPr="00ED7E61">
        <w:rPr>
          <w:rStyle w:val="tabchar"/>
          <w:rFonts w:asciiTheme="majorBidi" w:hAnsiTheme="majorBidi" w:cstheme="majorBidi"/>
          <w:color w:val="000000"/>
          <w:sz w:val="22"/>
          <w:szCs w:val="22"/>
        </w:rPr>
        <w:tab/>
      </w:r>
      <w:r w:rsidRPr="00ED7E61">
        <w:rPr>
          <w:rStyle w:val="normaltextrun"/>
          <w:rFonts w:asciiTheme="majorBidi" w:eastAsiaTheme="majorEastAsia" w:hAnsiTheme="majorBidi" w:cstheme="majorBidi"/>
          <w:color w:val="000000"/>
          <w:sz w:val="22"/>
          <w:szCs w:val="22"/>
          <w:lang w:val="en-GB"/>
        </w:rPr>
        <w:t>Stimulating innovative schemes such as payment for ecosystem services, green bonds, biodiversity offsets and credits, and benefit sharing mechanisms, with environmental and social safeguards; </w:t>
      </w:r>
      <w:r w:rsidRPr="00ED7E61">
        <w:rPr>
          <w:rStyle w:val="eop"/>
          <w:rFonts w:asciiTheme="majorBidi" w:eastAsiaTheme="majorEastAsia" w:hAnsiTheme="majorBidi" w:cstheme="majorBidi"/>
          <w:color w:val="000000"/>
          <w:sz w:val="22"/>
          <w:szCs w:val="22"/>
        </w:rPr>
        <w:t> </w:t>
      </w:r>
    </w:p>
    <w:p w14:paraId="602B5B4F" w14:textId="593E631B"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(e) </w:t>
      </w:r>
      <w:r w:rsidR="006A21E0">
        <w:rPr>
          <w:rStyle w:val="normaltextrun"/>
          <w:rFonts w:asciiTheme="majorBidi" w:eastAsiaTheme="majorEastAsia" w:hAnsiTheme="majorBidi" w:cstheme="majorBidi"/>
          <w:color w:val="000000"/>
          <w:sz w:val="22"/>
          <w:szCs w:val="22"/>
          <w:lang w:val="en-GB"/>
        </w:rPr>
        <w:tab/>
      </w:r>
      <w:r w:rsidRPr="00ED7E61">
        <w:rPr>
          <w:rStyle w:val="normaltextrun"/>
          <w:rFonts w:asciiTheme="majorBidi" w:eastAsiaTheme="majorEastAsia" w:hAnsiTheme="majorBidi" w:cstheme="majorBidi"/>
          <w:color w:val="000000"/>
          <w:sz w:val="22"/>
          <w:szCs w:val="22"/>
          <w:lang w:val="en-GB"/>
        </w:rPr>
        <w:t>Optimizing co-benefits and synergies of finance targeting the biodiversity and climate crises; </w:t>
      </w:r>
      <w:r w:rsidRPr="00ED7E61">
        <w:rPr>
          <w:rStyle w:val="eop"/>
          <w:rFonts w:asciiTheme="majorBidi" w:eastAsiaTheme="majorEastAsia" w:hAnsiTheme="majorBidi" w:cstheme="majorBidi"/>
          <w:color w:val="000000"/>
          <w:sz w:val="22"/>
          <w:szCs w:val="22"/>
        </w:rPr>
        <w:t> </w:t>
      </w:r>
    </w:p>
    <w:p w14:paraId="7A5ACB86" w14:textId="6546E11F"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(f) </w:t>
      </w:r>
      <w:r w:rsidR="006A21E0">
        <w:rPr>
          <w:rStyle w:val="normaltextrun"/>
          <w:rFonts w:asciiTheme="majorBidi" w:eastAsiaTheme="majorEastAsia" w:hAnsiTheme="majorBidi" w:cstheme="majorBidi"/>
          <w:color w:val="000000"/>
          <w:sz w:val="22"/>
          <w:szCs w:val="22"/>
          <w:lang w:val="en-GB"/>
        </w:rPr>
        <w:tab/>
      </w:r>
      <w:r w:rsidRPr="00ED7E61">
        <w:rPr>
          <w:rStyle w:val="normaltextrun"/>
          <w:rFonts w:asciiTheme="majorBidi" w:eastAsiaTheme="majorEastAsia" w:hAnsiTheme="majorBidi" w:cstheme="majorBidi"/>
          <w:color w:val="000000"/>
          <w:sz w:val="22"/>
          <w:szCs w:val="22"/>
          <w:lang w:val="en-GB"/>
        </w:rPr>
        <w:t>Enhancing the role of collective actions, including by indigenous peoples and local communities, Mother Earth centric actions and non-market-based approaches including community based natural resource management and civil society cooperation and solidarity aimed at the conservation of biodiversity; </w:t>
      </w:r>
      <w:r w:rsidRPr="00ED7E61">
        <w:rPr>
          <w:rStyle w:val="eop"/>
          <w:rFonts w:asciiTheme="majorBidi" w:eastAsiaTheme="majorEastAsia" w:hAnsiTheme="majorBidi" w:cstheme="majorBidi"/>
          <w:color w:val="000000"/>
          <w:sz w:val="22"/>
          <w:szCs w:val="22"/>
        </w:rPr>
        <w:t> </w:t>
      </w:r>
    </w:p>
    <w:p w14:paraId="083ECE1E" w14:textId="2B960CC6" w:rsidR="00756F0F" w:rsidRPr="00ED7E61" w:rsidRDefault="00756F0F" w:rsidP="00395866">
      <w:pPr>
        <w:pStyle w:val="paragraph"/>
        <w:spacing w:before="0" w:beforeAutospacing="0" w:after="0" w:afterAutospacing="0"/>
        <w:ind w:left="495" w:hanging="495"/>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(g) </w:t>
      </w:r>
      <w:r w:rsidR="006A21E0">
        <w:rPr>
          <w:rStyle w:val="normaltextrun"/>
          <w:rFonts w:asciiTheme="majorBidi" w:eastAsiaTheme="majorEastAsia" w:hAnsiTheme="majorBidi" w:cstheme="majorBidi"/>
          <w:color w:val="000000"/>
          <w:sz w:val="22"/>
          <w:szCs w:val="22"/>
          <w:lang w:val="en-GB"/>
        </w:rPr>
        <w:tab/>
      </w:r>
      <w:r w:rsidRPr="00ED7E61">
        <w:rPr>
          <w:rStyle w:val="normaltextrun"/>
          <w:rFonts w:asciiTheme="majorBidi" w:eastAsiaTheme="majorEastAsia" w:hAnsiTheme="majorBidi" w:cstheme="majorBidi"/>
          <w:color w:val="000000"/>
          <w:sz w:val="22"/>
          <w:szCs w:val="22"/>
          <w:lang w:val="en-GB"/>
        </w:rPr>
        <w:t>Enhancing the effectiveness, efficiency and transparency of resource provision and use. </w:t>
      </w:r>
      <w:r w:rsidRPr="00ED7E61">
        <w:rPr>
          <w:rStyle w:val="eop"/>
          <w:rFonts w:asciiTheme="majorBidi" w:eastAsiaTheme="majorEastAsia" w:hAnsiTheme="majorBidi" w:cstheme="majorBidi"/>
          <w:color w:val="000000"/>
          <w:sz w:val="22"/>
          <w:szCs w:val="22"/>
        </w:rPr>
        <w:t> </w:t>
      </w:r>
    </w:p>
    <w:p w14:paraId="6C7600E1" w14:textId="77777777" w:rsidR="00756F0F" w:rsidRPr="00ED7E61" w:rsidRDefault="00756F0F" w:rsidP="0078186A">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060CA97C" w14:textId="18E4E13C"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Goal D relates to the means of implementation for the post-2020 global biodiversity framework. The post-2020 global biodiversity framework will need to be implemented primarily through activities at the national and/or subnational levels, with supporting action at the regional and global levels. However, the capacity for implementing the Convention in terms of human, technical and financial resources is limited in most countries, especially in developing countries, in particular the least developed countries and small island developing States, as well as countries with economies in transition. Reaching the 2050 Vision for biodiversity will require that the necessary means of implementation are available to enable Parties and stakeholders to undertake the necessary actions.</w:t>
      </w:r>
      <w:r w:rsidRPr="00ED7E61">
        <w:rPr>
          <w:rStyle w:val="normaltextrun"/>
        </w:rPr>
        <w:t> </w:t>
      </w:r>
    </w:p>
    <w:p w14:paraId="2ECEA355" w14:textId="44C06378"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Inadequate funding levels are a major impediment to effective biodiversity conservation in many countries and may be associated with failures to meet global targets. Conservation investment has been demonstrated to reduce biodiversity loss. Spending on biodiversity provides a very high social return on investment. Thus, while increased biodiversity resource mobili</w:t>
      </w:r>
      <w:r w:rsidR="00B10F0C">
        <w:rPr>
          <w:rStyle w:val="normaltextrun"/>
          <w:rFonts w:asciiTheme="majorBidi" w:eastAsiaTheme="majorEastAsia" w:hAnsiTheme="majorBidi" w:cstheme="majorBidi"/>
        </w:rPr>
        <w:t>z</w:t>
      </w:r>
      <w:r w:rsidRPr="00ED7E61">
        <w:rPr>
          <w:rStyle w:val="normaltextrun"/>
          <w:rFonts w:asciiTheme="majorBidi" w:eastAsiaTheme="majorEastAsia" w:hAnsiTheme="majorBidi" w:cstheme="majorBidi"/>
        </w:rPr>
        <w:t>ation from all sources is not only necessary to reduce, halt and reverse biodiversity loss (</w:t>
      </w:r>
      <w:r w:rsidR="00BE7FA9" w:rsidRPr="00ED7E61">
        <w:rPr>
          <w:rStyle w:val="normaltextrun"/>
          <w:rFonts w:asciiTheme="majorBidi" w:eastAsiaTheme="majorEastAsia" w:hAnsiTheme="majorBidi" w:cstheme="majorBidi"/>
        </w:rPr>
        <w:t>i.</w:t>
      </w:r>
      <w:r w:rsidRPr="00ED7E61">
        <w:rPr>
          <w:rStyle w:val="normaltextrun"/>
          <w:rFonts w:asciiTheme="majorBidi" w:eastAsiaTheme="majorEastAsia" w:hAnsiTheme="majorBidi" w:cstheme="majorBidi"/>
        </w:rPr>
        <w:t>e.to bend the curve on biodiversity loss) it is also likely to generate net economic benefits for both present and future generations. Current global biodiversity finance is of the order of USD 100 billion per year, while estimates of funding needs for a comprehensive post 2020 global biodiversity framework are of the order of USD 800 billion per year, giving a funding gap of the order of USD700 billion per year. This indicator will monitor the extent to which the gap between available financial resources and those necessary to achieve the 2050 Vision, is closed.</w:t>
      </w:r>
      <w:r w:rsidRPr="00ED7E61">
        <w:rPr>
          <w:rStyle w:val="normaltextrun"/>
        </w:rPr>
        <w:t> </w:t>
      </w:r>
    </w:p>
    <w:p w14:paraId="2BC877F5" w14:textId="094F5CEB"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This indicator aims to quantify total international and domestic private finance flows with biodiversity objectives. It includes international and domestic private philanthropy with biodiversity objectives, and to the extent that data is available, private funding for non-philanthropic investments in biodiversity. </w:t>
      </w:r>
      <w:r w:rsidRPr="00ED7E61">
        <w:rPr>
          <w:rStyle w:val="normaltextrun"/>
        </w:rPr>
        <w:t> </w:t>
      </w:r>
      <w:r w:rsidR="00DC0F01" w:rsidRPr="00ED7E61">
        <w:rPr>
          <w:rStyle w:val="normaltextrun"/>
          <w:rFonts w:asciiTheme="majorBidi" w:eastAsiaTheme="majorEastAsia" w:hAnsiTheme="majorBidi" w:cstheme="majorBidi"/>
        </w:rPr>
        <w:t>It would also capture financing provided directly to indigenous people</w:t>
      </w:r>
      <w:r w:rsidR="00616510">
        <w:rPr>
          <w:rStyle w:val="normaltextrun"/>
          <w:rFonts w:asciiTheme="majorBidi" w:eastAsiaTheme="majorEastAsia" w:hAnsiTheme="majorBidi" w:cstheme="majorBidi"/>
        </w:rPr>
        <w:t>s</w:t>
      </w:r>
      <w:r w:rsidR="00DC0F01" w:rsidRPr="00ED7E61">
        <w:rPr>
          <w:rStyle w:val="normaltextrun"/>
          <w:rFonts w:asciiTheme="majorBidi" w:eastAsiaTheme="majorEastAsia" w:hAnsiTheme="majorBidi" w:cstheme="majorBidi"/>
        </w:rPr>
        <w:t xml:space="preserve"> and local communities. </w:t>
      </w:r>
      <w:r w:rsidRPr="00ED7E61">
        <w:rPr>
          <w:rStyle w:val="normaltextrun"/>
          <w:rFonts w:asciiTheme="majorBidi" w:eastAsiaTheme="majorEastAsia" w:hAnsiTheme="majorBidi" w:cstheme="majorBidi"/>
        </w:rPr>
        <w:t>Private philanthropy is one source of finance for biodiversity conservation and sustainable use. Often these investments in biodiversity do not offer a financial return and therefore are not attractive to the private sector seeking to maximise their profits. While the private sector plays a pivotal role in investing in the sustainable use of biodiversity as part of a broader strategy to mitigate risk and build corporate resilience and reputation, private philanthropy can invest in the protection and preservation of biodiversity and ecosystems for the greater benefits to society without necessarily having a financial return. Measuring private philanthropy finance therefore captures one element of private financial flows towards the protection of biodiversity.    </w:t>
      </w:r>
      <w:r w:rsidRPr="00ED7E61">
        <w:rPr>
          <w:rStyle w:val="normaltextrun"/>
        </w:rPr>
        <w:t> </w:t>
      </w:r>
    </w:p>
    <w:p w14:paraId="44AEB3A4" w14:textId="77777777"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While private philanthropy plays an important role in mobilising finance for biodiversity, non-philanthropic funds are critical to achieve biodiversity-related outcomes in the private sector. Through economic expenditures such as the purchase of biodiversity offsets as part of a mitigation hierarchy strategy, the purchase of nature-based carbon offsets in a greenhouse gas mitigation strategy, the payment for ecosystem services as a risk reduction and cost saving strategy, and investments in natural resource-based supply chains that adhere to sustainability standards, private entities can direct their expenditures to contributions related to biodiversity. In addition to these economic expenditures, financial markets play an equally important role in directing their capital investments towards those in which positive impacts on nature are intended, alongside financial returns.</w:t>
      </w:r>
      <w:r w:rsidRPr="00ED7E61">
        <w:rPr>
          <w:rStyle w:val="normaltextrun"/>
        </w:rPr>
        <w:t> </w:t>
      </w:r>
    </w:p>
    <w:p w14:paraId="7D2E78E9" w14:textId="77777777" w:rsidR="00756F0F" w:rsidRPr="00ED7E61" w:rsidRDefault="00756F0F" w:rsidP="00B10F0C">
      <w:pPr>
        <w:pStyle w:val="CBDNormalNumber"/>
        <w:numPr>
          <w:ilvl w:val="0"/>
          <w:numId w:val="69"/>
        </w:numPr>
        <w:ind w:left="567" w:firstLine="0"/>
        <w:rPr>
          <w:rFonts w:asciiTheme="majorBidi" w:hAnsiTheme="majorBidi" w:cstheme="majorBidi"/>
        </w:rPr>
      </w:pPr>
      <w:r w:rsidRPr="00ED7E61">
        <w:rPr>
          <w:rStyle w:val="normaltextrun"/>
          <w:rFonts w:asciiTheme="majorBidi" w:eastAsiaTheme="majorEastAsia" w:hAnsiTheme="majorBidi" w:cstheme="majorBidi"/>
        </w:rPr>
        <w:t>While a robust dataset to measure and report on all streams of private finance for biodiversity is not readily available, this methodology draws on a variety of available resources for countries to quantitatively report on private finance for biodiversity, depending on their national circumstances</w:t>
      </w:r>
      <w:r w:rsidRPr="00ED7E61">
        <w:rPr>
          <w:rStyle w:val="normaltextrun"/>
          <w:rFonts w:asciiTheme="majorBidi" w:eastAsiaTheme="majorEastAsia" w:hAnsiTheme="majorBidi" w:cstheme="majorBidi"/>
          <w:color w:val="262626"/>
        </w:rPr>
        <w:t>.</w:t>
      </w:r>
      <w:r w:rsidRPr="00ED7E61">
        <w:rPr>
          <w:rStyle w:val="eop"/>
          <w:rFonts w:asciiTheme="majorBidi" w:eastAsiaTheme="majorEastAsia" w:hAnsiTheme="majorBidi" w:cstheme="majorBidi"/>
          <w:color w:val="262626"/>
        </w:rPr>
        <w:t> </w:t>
      </w:r>
    </w:p>
    <w:p w14:paraId="7AE176C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3696C57A" w14:textId="77777777" w:rsidR="00756F0F" w:rsidRPr="00ED7E61" w:rsidRDefault="00756F0F" w:rsidP="0078186A">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5122A5AC" w14:textId="2C54996F"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indicator measures, where information is available, international and domestic private finance for biodiversity conservation and sustainable use. The total amount of private finance captured by this indicator is composed of</w:t>
      </w:r>
      <w:r w:rsidR="00172A35" w:rsidRPr="00ED7E61">
        <w:rPr>
          <w:rStyle w:val="normaltextrun"/>
          <w:rFonts w:asciiTheme="majorBidi" w:eastAsiaTheme="majorEastAsia" w:hAnsiTheme="majorBidi" w:cstheme="majorBidi"/>
        </w:rPr>
        <w:t>:</w:t>
      </w:r>
      <w:r w:rsidRPr="00ED7E61">
        <w:rPr>
          <w:rStyle w:val="normaltextrun"/>
        </w:rPr>
        <w:t> </w:t>
      </w:r>
    </w:p>
    <w:p w14:paraId="4CF55EE7" w14:textId="7417FE26"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International private philanthropy from foundations for development includes foundations reporting their data on grants and program/mission-related investments to the Creditor Reporting System (CRS) of the OECD Development Assistance Committee (DAC). Philanthropic finance targeting the objectives of the CBD is tracked using the Rio marker for biodiversity (scores “</w:t>
      </w:r>
      <w:r w:rsidRPr="00FB1598">
        <w:rPr>
          <w:rStyle w:val="normaltextrun"/>
          <w:rFonts w:eastAsiaTheme="majorEastAsia"/>
          <w:i/>
          <w:iCs/>
        </w:rPr>
        <w:t>principal</w:t>
      </w:r>
      <w:r w:rsidRPr="00ED7E61">
        <w:rPr>
          <w:rStyle w:val="normaltextrun"/>
          <w:rFonts w:eastAsiaTheme="majorEastAsia"/>
        </w:rPr>
        <w:t>” or “</w:t>
      </w:r>
      <w:r w:rsidRPr="00FB1598">
        <w:rPr>
          <w:rStyle w:val="normaltextrun"/>
          <w:rFonts w:eastAsiaTheme="majorEastAsia"/>
          <w:i/>
          <w:iCs/>
        </w:rPr>
        <w:t>significant</w:t>
      </w:r>
      <w:r w:rsidRPr="00ED7E61">
        <w:rPr>
          <w:rStyle w:val="normaltextrun"/>
          <w:rFonts w:eastAsiaTheme="majorEastAsia"/>
        </w:rPr>
        <w:t>”) or in specific cases other available statistical tools </w:t>
      </w:r>
      <w:r w:rsidRPr="00ED7E61">
        <w:rPr>
          <w:rStyle w:val="normaltextrun"/>
        </w:rPr>
        <w:t> </w:t>
      </w:r>
    </w:p>
    <w:p w14:paraId="7C46A3BF" w14:textId="684A848F"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Private finance mobilised by official development finance includes data reported to the Creditor Reporting System (CRS) of the OECD Development Assistance Committee (DAC) by bilateral and multilateral development finance providers using leveraging mechanisms to attract private investors such as guarantees, syndicated loans, shares in collective investment vehicles, direct investment in companies / SPVs, credit lines, simple co-financing arrangements, project finance schemes and, in some cases, technical assistance.  Since data on mobilised private finance data is collected at the activity level, biodiversity-related data can be fetched through the use of purpose codes and keyword searches. For multilateral organi</w:t>
      </w:r>
      <w:r w:rsidR="00B10F0C">
        <w:rPr>
          <w:rStyle w:val="normaltextrun"/>
          <w:rFonts w:eastAsiaTheme="majorEastAsia"/>
        </w:rPr>
        <w:t>z</w:t>
      </w:r>
      <w:r w:rsidRPr="00ED7E61">
        <w:rPr>
          <w:rStyle w:val="normaltextrun"/>
          <w:rFonts w:eastAsiaTheme="majorEastAsia"/>
        </w:rPr>
        <w:t>ations, only aggregates can be disclosed to the public for confidentiality reasons</w:t>
      </w:r>
      <w:r w:rsidRPr="00ED7E61">
        <w:rPr>
          <w:rStyle w:val="normaltextrun"/>
        </w:rPr>
        <w:t> </w:t>
      </w:r>
    </w:p>
    <w:p w14:paraId="3D04E2CE" w14:textId="71A56C1E"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Domestic private donations include funding to implement conservation programs with no financial return.  This class of funding includes only those revenues generated from individual donations, corporate grants, and investment income (which could be channel</w:t>
      </w:r>
      <w:r w:rsidR="00340C3B">
        <w:rPr>
          <w:rStyle w:val="normaltextrun"/>
          <w:rFonts w:eastAsiaTheme="majorEastAsia"/>
        </w:rPr>
        <w:t>l</w:t>
      </w:r>
      <w:r w:rsidRPr="00ED7E61">
        <w:rPr>
          <w:rStyle w:val="normaltextrun"/>
          <w:rFonts w:eastAsiaTheme="majorEastAsia"/>
        </w:rPr>
        <w:t>ed through non-governmental organizations), and excludes revenue received from international private philanthropy from institutionalized philanthropic organizations and from public sources to reduce the risk of double counting.</w:t>
      </w:r>
      <w:r w:rsidRPr="00ED7E61">
        <w:rPr>
          <w:rStyle w:val="normaltextrun"/>
        </w:rPr>
        <w:t> </w:t>
      </w:r>
    </w:p>
    <w:p w14:paraId="048EB35C" w14:textId="41CA1F14" w:rsidR="00BE7FA9"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Biodiversity offsets are “</w:t>
      </w:r>
      <w:r w:rsidRPr="00FB1598">
        <w:rPr>
          <w:rStyle w:val="normaltextrun"/>
          <w:rFonts w:eastAsiaTheme="majorEastAsia"/>
          <w:i/>
          <w:iCs/>
        </w:rPr>
        <w:t>measurable conservation outcomes resulting from actions designed to compensate for significant residual adverse biodiversity impacts arising from project development after appropriate prevention and mitigation measures have been taken</w:t>
      </w:r>
      <w:r w:rsidRPr="00ED7E61">
        <w:rPr>
          <w:rStyle w:val="normaltextrun"/>
          <w:rFonts w:eastAsiaTheme="majorEastAsia"/>
        </w:rPr>
        <w:t>.”</w:t>
      </w:r>
      <w:r w:rsidR="00340C3B">
        <w:rPr>
          <w:rStyle w:val="normaltextrun"/>
          <w:rFonts w:eastAsiaTheme="majorEastAsia"/>
        </w:rPr>
        <w:t xml:space="preserve"> </w:t>
      </w:r>
      <w:r w:rsidRPr="00ED7E61">
        <w:rPr>
          <w:rStyle w:val="normaltextrun"/>
          <w:rFonts w:eastAsiaTheme="majorEastAsia"/>
        </w:rPr>
        <w:t xml:space="preserve">(BBOP 2018). They are usually under a no net loss or a net gain objective.  There are three main types of biodiversity offsets: </w:t>
      </w:r>
    </w:p>
    <w:p w14:paraId="565CAC3A" w14:textId="577DDCF5" w:rsidR="00BE7FA9" w:rsidRPr="00ED7E61" w:rsidRDefault="00756F0F" w:rsidP="00B10F0C">
      <w:pPr>
        <w:pStyle w:val="CBDNormalNumber"/>
        <w:numPr>
          <w:ilvl w:val="2"/>
          <w:numId w:val="69"/>
        </w:numPr>
        <w:tabs>
          <w:tab w:val="clear" w:pos="567"/>
          <w:tab w:val="clear" w:pos="1134"/>
          <w:tab w:val="clear" w:pos="1701"/>
          <w:tab w:val="clear" w:pos="2268"/>
          <w:tab w:val="left" w:pos="1985"/>
        </w:tabs>
        <w:rPr>
          <w:rStyle w:val="normaltextrun"/>
          <w:rFonts w:eastAsiaTheme="majorEastAsia"/>
        </w:rPr>
      </w:pPr>
      <w:r w:rsidRPr="00ED7E61">
        <w:rPr>
          <w:rStyle w:val="normaltextrun"/>
          <w:rFonts w:eastAsiaTheme="majorEastAsia"/>
        </w:rPr>
        <w:t xml:space="preserve">One-off biodiversity offsets; </w:t>
      </w:r>
    </w:p>
    <w:p w14:paraId="7A692248" w14:textId="1292853D" w:rsidR="00BE7FA9" w:rsidRPr="00ED7E61" w:rsidRDefault="00BE7FA9" w:rsidP="00B10F0C">
      <w:pPr>
        <w:pStyle w:val="CBDNormalNumber"/>
        <w:numPr>
          <w:ilvl w:val="2"/>
          <w:numId w:val="69"/>
        </w:numPr>
        <w:tabs>
          <w:tab w:val="clear" w:pos="567"/>
          <w:tab w:val="clear" w:pos="1134"/>
          <w:tab w:val="clear" w:pos="1701"/>
          <w:tab w:val="clear" w:pos="2268"/>
          <w:tab w:val="left" w:pos="1985"/>
        </w:tabs>
        <w:rPr>
          <w:rStyle w:val="normaltextrun"/>
          <w:rFonts w:eastAsiaTheme="majorEastAsia"/>
        </w:rPr>
      </w:pPr>
      <w:r w:rsidRPr="00ED7E61">
        <w:rPr>
          <w:rStyle w:val="normaltextrun"/>
          <w:rFonts w:eastAsiaTheme="majorEastAsia"/>
        </w:rPr>
        <w:t>P</w:t>
      </w:r>
      <w:r w:rsidR="00756F0F" w:rsidRPr="00ED7E61">
        <w:rPr>
          <w:rStyle w:val="normaltextrun"/>
          <w:rFonts w:eastAsiaTheme="majorEastAsia"/>
        </w:rPr>
        <w:t xml:space="preserve">ayments in-lieu and </w:t>
      </w:r>
    </w:p>
    <w:p w14:paraId="7F7DBB98" w14:textId="1A0E2DA9" w:rsidR="00756F0F" w:rsidRPr="00ED7E61" w:rsidRDefault="00BE7FA9" w:rsidP="00B10F0C">
      <w:pPr>
        <w:pStyle w:val="CBDNormalNumber"/>
        <w:numPr>
          <w:ilvl w:val="2"/>
          <w:numId w:val="69"/>
        </w:numPr>
        <w:tabs>
          <w:tab w:val="clear" w:pos="567"/>
          <w:tab w:val="clear" w:pos="1134"/>
          <w:tab w:val="clear" w:pos="1701"/>
          <w:tab w:val="clear" w:pos="2268"/>
          <w:tab w:val="left" w:pos="1985"/>
        </w:tabs>
        <w:rPr>
          <w:rStyle w:val="normaltextrun"/>
          <w:rFonts w:eastAsiaTheme="majorEastAsia"/>
        </w:rPr>
      </w:pPr>
      <w:r w:rsidRPr="00ED7E61">
        <w:rPr>
          <w:rStyle w:val="normaltextrun"/>
          <w:rFonts w:eastAsiaTheme="majorEastAsia"/>
        </w:rPr>
        <w:t>B</w:t>
      </w:r>
      <w:r w:rsidR="00756F0F" w:rsidRPr="00ED7E61">
        <w:rPr>
          <w:rStyle w:val="normaltextrun"/>
          <w:rFonts w:eastAsiaTheme="majorEastAsia"/>
        </w:rPr>
        <w:t>iobanking</w:t>
      </w:r>
      <w:r w:rsidR="00756F0F" w:rsidRPr="00ED7E61">
        <w:rPr>
          <w:rStyle w:val="normaltextrun"/>
        </w:rPr>
        <w:t> </w:t>
      </w:r>
    </w:p>
    <w:p w14:paraId="1592B05B" w14:textId="77777777"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Payments for ecosystem services (PES) is a voluntary transaction between ecosystem service users and service providers that are conditional on agreed rules of natural resource management for generating offsite services (Wunder, 2015). Ecosystem service providers and users may be individuals, companies or aggregations of actors. In some cases, a government may act on behalf of users</w:t>
      </w:r>
      <w:r w:rsidRPr="00ED7E61">
        <w:rPr>
          <w:rStyle w:val="normaltextrun"/>
        </w:rPr>
        <w:t> </w:t>
      </w:r>
    </w:p>
    <w:p w14:paraId="6905C244" w14:textId="77777777"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Private benefit sharing schemes refers to programs that channel private funding from the users of genetic resources to the people and communities providing the genetic resources</w:t>
      </w:r>
      <w:r w:rsidRPr="00ED7E61">
        <w:rPr>
          <w:rStyle w:val="normaltextrun"/>
        </w:rPr>
        <w:t> </w:t>
      </w:r>
    </w:p>
    <w:p w14:paraId="1CFA9F12" w14:textId="77777777"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Other instruments include debt and equity instruments, insurance schemes, and other biodiversity-relevant financial instruments the country wishes to report on.  As financial markets evolve rapidly, this list is not intended to be exhaustive, and countries are encouraged to report on innovative finance mechanisms being deployed in their country targeted towards biodiversity-related activities</w:t>
      </w:r>
      <w:r w:rsidRPr="00ED7E61">
        <w:rPr>
          <w:rStyle w:val="normaltextrun"/>
        </w:rPr>
        <w:t> </w:t>
      </w:r>
    </w:p>
    <w:p w14:paraId="55B52C6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2274AA4F"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Countries will report the monetary value of domestic public expenditure in national currency per year during the CBD national reporting cycle. </w:t>
      </w:r>
      <w:r w:rsidRPr="00ED7E61">
        <w:rPr>
          <w:rStyle w:val="normaltextrun"/>
        </w:rPr>
        <w:t> </w:t>
      </w:r>
    </w:p>
    <w:p w14:paraId="70B65217"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10101"/>
          <w:sz w:val="22"/>
          <w:szCs w:val="22"/>
          <w:lang w:val="en-GB"/>
        </w:rPr>
        <w:t>Options for the Secretariat for global indicators</w:t>
      </w:r>
      <w:r w:rsidRPr="00ED7E61">
        <w:rPr>
          <w:rStyle w:val="eop"/>
          <w:rFonts w:asciiTheme="majorBidi" w:eastAsiaTheme="majorEastAsia" w:hAnsiTheme="majorBidi" w:cstheme="majorBidi"/>
          <w:color w:val="010101"/>
          <w:sz w:val="22"/>
          <w:szCs w:val="22"/>
        </w:rPr>
        <w:t> </w:t>
      </w:r>
    </w:p>
    <w:p w14:paraId="1D7841CE"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International Private Philanthropy: The Secretariat can compute biodiversity-related international private philanthropic flows for biodiversity at the global level, drawing on the OECD Creditor Reporting System (CRS).  Data is available in gross disbursements and commitments and in current and constant prices, USD.  Biodiversity-related activities can be tracked based on sector/purpose codes, SDG focus and the Rio marker on biological diversity, or keyword search in the description fields</w:t>
      </w:r>
      <w:r w:rsidRPr="00ED7E61">
        <w:rPr>
          <w:rStyle w:val="normaltextrun"/>
        </w:rPr>
        <w:t> </w:t>
      </w:r>
    </w:p>
    <w:p w14:paraId="298142A5" w14:textId="257341FF"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Private finance mobilized by official development finance</w:t>
      </w:r>
      <w:r w:rsidR="00172A35"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The Secretariat can compute biodiversity-related private finance mobilized by official development finance at the global level, drawing on the OECD Creditor Reporting System.  Mobilised private finance can be tracked based on sector/purpose codes and a keyword search in the description fields in the Creditor Reporting System (CRS) of the OECD Development Assistance Committee (DAC)</w:t>
      </w:r>
      <w:r w:rsidRPr="00ED7E61">
        <w:rPr>
          <w:rStyle w:val="normaltextrun"/>
        </w:rPr>
        <w:t> </w:t>
      </w:r>
    </w:p>
    <w:p w14:paraId="7220E7CA" w14:textId="40AC9167" w:rsidR="00225324" w:rsidRPr="00225324" w:rsidRDefault="00756F0F" w:rsidP="00B10F0C">
      <w:pPr>
        <w:pStyle w:val="CBDNormalNumber"/>
        <w:numPr>
          <w:ilvl w:val="0"/>
          <w:numId w:val="69"/>
        </w:numPr>
        <w:ind w:left="567" w:firstLine="0"/>
        <w:rPr>
          <w:rFonts w:asciiTheme="majorBidi" w:eastAsiaTheme="majorEastAsia" w:hAnsiTheme="majorBidi" w:cstheme="majorBidi"/>
          <w:lang w:val="en-CA"/>
        </w:rPr>
      </w:pPr>
      <w:r w:rsidRPr="00ED7E61">
        <w:rPr>
          <w:rStyle w:val="normaltextrun"/>
          <w:rFonts w:asciiTheme="majorBidi" w:eastAsiaTheme="majorEastAsia" w:hAnsiTheme="majorBidi" w:cstheme="majorBidi"/>
        </w:rPr>
        <w:t>Private finance from biodiversity offsets and PES: The Secretariat can compute private finance from biodiversity offsets and payments for ecosystems services drawing on the OECD PINE database</w:t>
      </w:r>
      <w:r w:rsidR="00225324">
        <w:rPr>
          <w:rStyle w:val="normaltextrun"/>
          <w:rFonts w:asciiTheme="majorBidi" w:eastAsiaTheme="majorEastAsia" w:hAnsiTheme="majorBidi" w:cstheme="majorBidi"/>
        </w:rPr>
        <w:t xml:space="preserve">, </w:t>
      </w:r>
      <w:r w:rsidR="00225324" w:rsidRPr="00FB1598">
        <w:rPr>
          <w:rStyle w:val="normaltextrun"/>
          <w:rFonts w:eastAsiaTheme="majorEastAsia"/>
        </w:rPr>
        <w:t>if such figures have been reported</w:t>
      </w:r>
      <w:r w:rsidR="00225324">
        <w:rPr>
          <w:rFonts w:asciiTheme="majorBidi" w:eastAsiaTheme="majorEastAsia" w:hAnsiTheme="majorBidi" w:cstheme="majorBidi"/>
          <w:lang w:val="en-CA"/>
        </w:rPr>
        <w:t>.</w:t>
      </w:r>
    </w:p>
    <w:p w14:paraId="4BD77A7A" w14:textId="77777777" w:rsidR="00756F0F" w:rsidRPr="00ED7E61" w:rsidRDefault="00756F0F" w:rsidP="0078186A">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b/>
          <w:bCs/>
          <w:color w:val="010101"/>
        </w:rPr>
        <w:t>Options for countries for national reporting</w:t>
      </w:r>
      <w:r w:rsidRPr="00ED7E61">
        <w:rPr>
          <w:rStyle w:val="eop"/>
          <w:rFonts w:asciiTheme="majorBidi" w:eastAsiaTheme="majorEastAsia" w:hAnsiTheme="majorBidi" w:cstheme="majorBidi"/>
          <w:color w:val="010101"/>
        </w:rPr>
        <w:t> </w:t>
      </w:r>
    </w:p>
    <w:p w14:paraId="24827C7A"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International Private Philanthropy: A country can compute their international biodiversity-related philanthropic flows by using the DAC Creditor Reporting System based on the amount of flows to their country as a recipient of philanthropic finance. The indicator could be calculated as the sum of all philanthropic activities marked for biodiversity with either the principal or significant score, or countries could apply an attribution score to funding where biodiversity was a significant objective rather than the principal objective</w:t>
      </w:r>
      <w:r w:rsidRPr="00ED7E61">
        <w:rPr>
          <w:rStyle w:val="normaltextrun"/>
        </w:rPr>
        <w:t> </w:t>
      </w:r>
    </w:p>
    <w:p w14:paraId="3CEE2C36" w14:textId="77777777"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Domestic private contributions: Countries may be able to collect private funding from domestic donations and contributions using other sources, for example from tax filings, other charities/initiatives that publish open and standardized grants data, from each organization’s publicly available information such as annual/financial reports, and from surveys collecting information directly. These domestic private donations may flow through conservation non-governmental organizations, or they may be household investments in property and land that benefit biodiversity . Caution should be exercised to deduct from the conservation NGO’s spending any financial resources received from public entities, international private philanthropic foundations already reporting to the OECD CRS, and financial resources received from domestic public entities that have been reported under D1, if those funds are accounted for separately using either the Secretariat-calculated global option or the national reporting option for flows to recipient country.</w:t>
      </w:r>
      <w:r w:rsidRPr="00ED7E61">
        <w:rPr>
          <w:rStyle w:val="normaltextrun"/>
        </w:rPr>
        <w:t> </w:t>
      </w:r>
    </w:p>
    <w:p w14:paraId="0F5B4EE9" w14:textId="54D0C704" w:rsidR="00756F0F" w:rsidRPr="00225324" w:rsidRDefault="00756F0F" w:rsidP="00B10F0C">
      <w:pPr>
        <w:pStyle w:val="CBDNormalNumber"/>
        <w:numPr>
          <w:ilvl w:val="0"/>
          <w:numId w:val="69"/>
        </w:numPr>
        <w:ind w:left="567" w:firstLine="0"/>
        <w:rPr>
          <w:rStyle w:val="normaltextrun"/>
          <w:rFonts w:eastAsiaTheme="majorEastAsia"/>
        </w:rPr>
      </w:pPr>
      <w:r w:rsidRPr="00225324">
        <w:rPr>
          <w:rStyle w:val="normaltextrun"/>
          <w:rFonts w:asciiTheme="majorBidi" w:eastAsiaTheme="majorEastAsia" w:hAnsiTheme="majorBidi" w:cstheme="majorBidi"/>
        </w:rPr>
        <w:t xml:space="preserve">Payments for Ecosystem Services and Biodiversity Offsets:  Countries may report on </w:t>
      </w:r>
      <w:r w:rsidR="00225324" w:rsidRPr="00FB1598">
        <w:rPr>
          <w:rStyle w:val="normaltextrun"/>
          <w:rFonts w:eastAsiaTheme="majorEastAsia"/>
        </w:rPr>
        <w:t>private finance mobilised by</w:t>
      </w:r>
      <w:r w:rsidR="00225324" w:rsidRPr="00FB1598">
        <w:rPr>
          <w:rStyle w:val="normaltextrun"/>
        </w:rPr>
        <w:t xml:space="preserve"> </w:t>
      </w:r>
      <w:r w:rsidRPr="00225324">
        <w:rPr>
          <w:rStyle w:val="normaltextrun"/>
          <w:rFonts w:asciiTheme="majorBidi" w:eastAsiaTheme="majorEastAsia" w:hAnsiTheme="majorBidi" w:cstheme="majorBidi"/>
        </w:rPr>
        <w:t>biodiversity offsets and payments for ecosystem services as reported to the OECD Policy Instruments for Environment (PINE) database, if such figures have been reported, or else report directly to the CBD.  If the country has not reported to the OECD’s PINE database, a country may derive estimates for private funding for PES schemes and biodiversity offsets by employing other data collection methods, such as through direct outreach and publicly available information.</w:t>
      </w:r>
      <w:r w:rsidRPr="00ED7E61">
        <w:rPr>
          <w:rStyle w:val="normaltextrun"/>
        </w:rPr>
        <w:t> </w:t>
      </w:r>
    </w:p>
    <w:p w14:paraId="3CEF0521" w14:textId="77777777"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Private benefit sharing schemes: requires guidance for computation</w:t>
      </w:r>
      <w:r w:rsidRPr="00ED7E61">
        <w:rPr>
          <w:rStyle w:val="normaltextrun"/>
        </w:rPr>
        <w:t> </w:t>
      </w:r>
    </w:p>
    <w:p w14:paraId="38A49D94" w14:textId="1B0F1B81"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Other instruments: Countries may report on other instruments based on a consistent, transparent and robust methodology. Countries should ensure said methodology does not lead to double counting with previous categories (for instance, biodiversity-relevant bonds)</w:t>
      </w:r>
      <w:r w:rsidRPr="00ED7E61">
        <w:rPr>
          <w:rStyle w:val="normaltextrun"/>
        </w:rPr>
        <w:t> </w:t>
      </w:r>
    </w:p>
    <w:p w14:paraId="1E3E0166"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10101"/>
          <w:sz w:val="22"/>
          <w:szCs w:val="22"/>
          <w:lang w:val="en-GB"/>
        </w:rPr>
        <w:t>Alternative options for countries for national reporting</w:t>
      </w:r>
      <w:r w:rsidRPr="00ED7E61">
        <w:rPr>
          <w:rStyle w:val="eop"/>
          <w:rFonts w:asciiTheme="majorBidi" w:eastAsiaTheme="majorEastAsia" w:hAnsiTheme="majorBidi" w:cstheme="majorBidi"/>
          <w:color w:val="010101"/>
          <w:sz w:val="22"/>
          <w:szCs w:val="22"/>
        </w:rPr>
        <w:t> </w:t>
      </w:r>
    </w:p>
    <w:p w14:paraId="4BC8563C"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Countries may alternatively report on private domestic funding from their Environmental Protection Expenditure Accounts, established following the System of Environmental Economic Accounting framework, for private expenditures, if such accounts have been implemented</w:t>
      </w:r>
      <w:r w:rsidRPr="00ED7E61">
        <w:rPr>
          <w:rStyle w:val="normaltextrun"/>
        </w:rPr>
        <w:t> </w:t>
      </w:r>
    </w:p>
    <w:p w14:paraId="5FA10DC4" w14:textId="77777777" w:rsidR="00756F0F" w:rsidRPr="00ED7E61" w:rsidRDefault="00756F0F" w:rsidP="00B10F0C">
      <w:pPr>
        <w:pStyle w:val="CBDNormalNumber"/>
        <w:numPr>
          <w:ilvl w:val="0"/>
          <w:numId w:val="69"/>
        </w:numPr>
        <w:ind w:left="567" w:firstLine="0"/>
        <w:rPr>
          <w:rFonts w:asciiTheme="majorBidi" w:hAnsiTheme="majorBidi" w:cstheme="majorBidi"/>
        </w:rPr>
      </w:pPr>
      <w:r w:rsidRPr="00ED7E61">
        <w:rPr>
          <w:rStyle w:val="normaltextrun"/>
          <w:rFonts w:asciiTheme="majorBidi" w:eastAsiaTheme="majorEastAsia" w:hAnsiTheme="majorBidi" w:cstheme="majorBidi"/>
        </w:rPr>
        <w:t>Countries may alternatively report on private funding collected through existing biodiversity expenditure reviews as part of participation in the UNDP’s Biodiversity Finance Initiative, or alternative initiatives to collect private funding for biodiversity.</w:t>
      </w:r>
      <w:r w:rsidRPr="00ED7E61">
        <w:rPr>
          <w:rStyle w:val="eop"/>
          <w:rFonts w:asciiTheme="majorBidi" w:eastAsiaTheme="majorEastAsia" w:hAnsiTheme="majorBidi" w:cstheme="majorBidi"/>
          <w:color w:val="010101"/>
        </w:rPr>
        <w:t> </w:t>
      </w:r>
    </w:p>
    <w:p w14:paraId="409A0D7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71037255" w14:textId="1BFD8288"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Depending on the reporting option selected by the country, data may be collected through information already reported to the OECD DAC Secretariat, with data collection methods described below. All other data collection will occur at the national level based on the approaches described in the previous section</w:t>
      </w:r>
      <w:r w:rsidR="00172A35" w:rsidRPr="00ED7E61">
        <w:rPr>
          <w:rStyle w:val="normaltextrun"/>
        </w:rPr>
        <w:t>;</w:t>
      </w:r>
    </w:p>
    <w:p w14:paraId="2C461A7F" w14:textId="0EFECBE4"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Private Philanthropy for development.  The OECD DAC Secretariat collects individual aid activities on private philanthropy for development in the Creditor Reporting System (CRS) via annual collection directly from private foundations</w:t>
      </w:r>
      <w:r w:rsidR="00BE7FA9" w:rsidRPr="00ED7E61">
        <w:rPr>
          <w:rStyle w:val="normaltextrun"/>
          <w:rFonts w:asciiTheme="majorBidi" w:eastAsiaTheme="majorEastAsia" w:hAnsiTheme="majorBidi" w:cstheme="majorBidi"/>
        </w:rPr>
        <w:t>.</w:t>
      </w:r>
      <w:r w:rsidRPr="00ED7E61">
        <w:rPr>
          <w:rStyle w:val="normaltextrun"/>
        </w:rPr>
        <w:t> </w:t>
      </w:r>
    </w:p>
    <w:p w14:paraId="1873381B" w14:textId="277257EA"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Private finance mobilized by official development finance interventions. As part of the Creditor Reporting System (CRS), the OECD DAC Secretariat has been collecting data on private finance mobilized by bilateral and multilateral providers since 2012.  While data are collected at the activity level from all providers, they are not disclosed to the public at the same level of disaggregation due to confidentiality constraints (e.g. multilateral development banks)</w:t>
      </w:r>
      <w:r w:rsidR="00BE7FA9" w:rsidRPr="00ED7E61">
        <w:rPr>
          <w:rStyle w:val="normaltextrun"/>
          <w:rFonts w:asciiTheme="majorBidi" w:eastAsiaTheme="majorEastAsia" w:hAnsiTheme="majorBidi" w:cstheme="majorBidi"/>
        </w:rPr>
        <w:t>.</w:t>
      </w:r>
      <w:r w:rsidRPr="00ED7E61">
        <w:rPr>
          <w:rStyle w:val="normaltextrun"/>
        </w:rPr>
        <w:t> </w:t>
      </w:r>
    </w:p>
    <w:p w14:paraId="173C1F9B" w14:textId="27523D8C"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 xml:space="preserve">For the case of private funding for biodiversity offsets and PES collected in the OECD PINE database, see the metadata sheet on 18.1. The OECD PINE database also collects data on the finance mobilized by </w:t>
      </w:r>
      <w:r w:rsidR="00225324">
        <w:rPr>
          <w:rStyle w:val="normaltextrun"/>
          <w:rFonts w:asciiTheme="majorBidi" w:eastAsiaTheme="majorEastAsia" w:hAnsiTheme="majorBidi" w:cstheme="majorBidi"/>
        </w:rPr>
        <w:t xml:space="preserve">other </w:t>
      </w:r>
      <w:r w:rsidRPr="00ED7E61">
        <w:rPr>
          <w:rStyle w:val="normaltextrun"/>
          <w:rFonts w:asciiTheme="majorBidi" w:eastAsiaTheme="majorEastAsia" w:hAnsiTheme="majorBidi" w:cstheme="majorBidi"/>
        </w:rPr>
        <w:t>positive incentives</w:t>
      </w:r>
      <w:r w:rsidR="00BE7FA9" w:rsidRPr="00ED7E61">
        <w:rPr>
          <w:rStyle w:val="normaltextrun"/>
          <w:rFonts w:asciiTheme="majorBidi" w:eastAsiaTheme="majorEastAsia" w:hAnsiTheme="majorBidi" w:cstheme="majorBidi"/>
        </w:rPr>
        <w:t>.</w:t>
      </w:r>
      <w:r w:rsidRPr="00ED7E61">
        <w:rPr>
          <w:rStyle w:val="normaltextrun"/>
        </w:rPr>
        <w:t> </w:t>
      </w:r>
    </w:p>
    <w:p w14:paraId="78952ED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0E32A40F" w14:textId="51061192" w:rsidR="00756F0F" w:rsidRPr="00ED7E61" w:rsidRDefault="00756F0F" w:rsidP="00B10F0C">
      <w:pPr>
        <w:pStyle w:val="CBDNormalNumber"/>
        <w:numPr>
          <w:ilvl w:val="0"/>
          <w:numId w:val="69"/>
        </w:numPr>
        <w:ind w:left="567" w:firstLine="0"/>
        <w:rPr>
          <w:rFonts w:asciiTheme="majorBidi" w:hAnsiTheme="majorBidi" w:cstheme="majorBidi"/>
        </w:rPr>
      </w:pPr>
      <w:r w:rsidRPr="00ED7E61">
        <w:rPr>
          <w:rStyle w:val="normaltextrun"/>
          <w:rFonts w:asciiTheme="majorBidi" w:eastAsiaTheme="majorEastAsia" w:hAnsiTheme="majorBidi" w:cstheme="majorBidi"/>
        </w:rPr>
        <w:t>Countries reporting via the OECD database can refer to</w:t>
      </w:r>
      <w:r w:rsidR="00172A35"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b/>
          <w:bCs/>
        </w:rPr>
        <w:t> </w:t>
      </w:r>
      <w:r w:rsidRPr="00ED7E61">
        <w:rPr>
          <w:rStyle w:val="eop"/>
          <w:rFonts w:asciiTheme="majorBidi" w:eastAsiaTheme="majorEastAsia" w:hAnsiTheme="majorBidi" w:cstheme="majorBidi"/>
        </w:rPr>
        <w:t> </w:t>
      </w:r>
    </w:p>
    <w:p w14:paraId="47CC7E88" w14:textId="77777777"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Methodology on the Rio marker for biodiversity, available here: </w:t>
      </w:r>
      <w:hyperlink r:id="rId276" w:tgtFrame="_blank" w:history="1">
        <w:r w:rsidRPr="00ED7E61">
          <w:rPr>
            <w:rStyle w:val="normaltextrun"/>
            <w:rFonts w:eastAsiaTheme="majorEastAsia"/>
          </w:rPr>
          <w:t>https://one.oecd.org/document/DCD/DAC/STAT(2023)9/ADD2/final/en/pdf</w:t>
        </w:r>
      </w:hyperlink>
      <w:r w:rsidRPr="00ED7E61">
        <w:rPr>
          <w:rStyle w:val="normaltextrun"/>
          <w:rFonts w:eastAsiaTheme="majorEastAsia"/>
        </w:rPr>
        <w:t>  (Annex 20).</w:t>
      </w:r>
      <w:r w:rsidRPr="00ED7E61">
        <w:rPr>
          <w:rStyle w:val="normaltextrun"/>
        </w:rPr>
        <w:t> </w:t>
      </w:r>
    </w:p>
    <w:p w14:paraId="0B1F1242" w14:textId="77777777"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Information on the OECD DAC CRS itself is available here: </w:t>
      </w:r>
      <w:hyperlink r:id="rId277" w:tgtFrame="_blank" w:history="1">
        <w:r w:rsidRPr="00ED7E61">
          <w:rPr>
            <w:rStyle w:val="normaltextrun"/>
            <w:rFonts w:eastAsiaTheme="majorEastAsia"/>
          </w:rPr>
          <w:t>https://one.oecd.org/document/DCD/DAC/STAT(2023)9/FINAL/en/pdf</w:t>
        </w:r>
      </w:hyperlink>
      <w:r w:rsidRPr="00ED7E61">
        <w:rPr>
          <w:rStyle w:val="normaltextrun"/>
          <w:rFonts w:eastAsiaTheme="majorEastAsia"/>
        </w:rPr>
        <w:t> </w:t>
      </w:r>
      <w:r w:rsidRPr="00ED7E61">
        <w:rPr>
          <w:rStyle w:val="normaltextrun"/>
        </w:rPr>
        <w:t> </w:t>
      </w:r>
    </w:p>
    <w:p w14:paraId="420C2234" w14:textId="77777777"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Information on private philanthropy for development is available here: </w:t>
      </w:r>
      <w:hyperlink r:id="rId278" w:tgtFrame="_blank" w:history="1">
        <w:r w:rsidRPr="00ED7E61">
          <w:rPr>
            <w:rStyle w:val="normaltextrun"/>
            <w:rFonts w:eastAsiaTheme="majorEastAsia"/>
          </w:rPr>
          <w:t>https://www.oecd.org/development/financing-sustainable-development/development-finance-standards/beyond-oda-foundations</w:t>
        </w:r>
      </w:hyperlink>
      <w:r w:rsidRPr="00ED7E61">
        <w:rPr>
          <w:rStyle w:val="normaltextrun"/>
          <w:rFonts w:eastAsiaTheme="majorEastAsia"/>
        </w:rPr>
        <w:t xml:space="preserve"> and </w:t>
      </w:r>
      <w:hyperlink r:id="rId279" w:tgtFrame="_blank" w:history="1">
        <w:r w:rsidRPr="00ED7E61">
          <w:rPr>
            <w:rStyle w:val="normaltextrun"/>
            <w:rFonts w:eastAsiaTheme="majorEastAsia"/>
          </w:rPr>
          <w:t>https://one.oecd.org/document/DCD/DAC/STAT(2023)9/FINAL/en/pdf</w:t>
        </w:r>
      </w:hyperlink>
      <w:r w:rsidRPr="00ED7E61">
        <w:rPr>
          <w:rStyle w:val="normaltextrun"/>
        </w:rPr>
        <w:t> </w:t>
      </w:r>
    </w:p>
    <w:p w14:paraId="6688EF84" w14:textId="77777777"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Information on private finance mobilized by official development finance is available here: </w:t>
      </w:r>
      <w:hyperlink r:id="rId280" w:tgtFrame="_blank" w:history="1">
        <w:r w:rsidRPr="00ED7E61">
          <w:rPr>
            <w:rStyle w:val="normaltextrun"/>
            <w:rFonts w:eastAsiaTheme="majorEastAsia"/>
          </w:rPr>
          <w:t>oe.cd/mobilisation</w:t>
        </w:r>
      </w:hyperlink>
      <w:r w:rsidRPr="00ED7E61">
        <w:rPr>
          <w:rStyle w:val="normaltextrun"/>
          <w:rFonts w:eastAsiaTheme="majorEastAsia"/>
        </w:rPr>
        <w:t>.</w:t>
      </w:r>
      <w:r w:rsidRPr="00ED7E61">
        <w:rPr>
          <w:rStyle w:val="normaltextrun"/>
        </w:rPr>
        <w:t> </w:t>
      </w:r>
    </w:p>
    <w:p w14:paraId="2E5997DC" w14:textId="116BCB9E" w:rsidR="00756F0F" w:rsidRPr="00ED7E61" w:rsidRDefault="00756F0F" w:rsidP="00B10F0C">
      <w:pPr>
        <w:pStyle w:val="CBDNormalNumber"/>
        <w:numPr>
          <w:ilvl w:val="1"/>
          <w:numId w:val="6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OECD PINE website, on the </w:t>
      </w:r>
      <w:r w:rsidR="00225324">
        <w:rPr>
          <w:rStyle w:val="normaltextrun"/>
          <w:rFonts w:eastAsiaTheme="majorEastAsia"/>
        </w:rPr>
        <w:t>“About”</w:t>
      </w:r>
      <w:r w:rsidRPr="00ED7E61">
        <w:rPr>
          <w:rStyle w:val="normaltextrun"/>
          <w:rFonts w:eastAsiaTheme="majorEastAsia"/>
        </w:rPr>
        <w:t xml:space="preserve"> page, regarding methodology.</w:t>
      </w:r>
      <w:r w:rsidRPr="00ED7E61">
        <w:rPr>
          <w:rStyle w:val="normaltextrun"/>
        </w:rPr>
        <w:t> </w:t>
      </w:r>
    </w:p>
    <w:p w14:paraId="3E23A4E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7879B416"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OECD Creditor Reporting System</w:t>
      </w:r>
      <w:r w:rsidRPr="00ED7E61">
        <w:rPr>
          <w:rStyle w:val="normaltextrun"/>
        </w:rPr>
        <w:t> </w:t>
      </w:r>
    </w:p>
    <w:p w14:paraId="6FFEBA75" w14:textId="77777777" w:rsidR="00756F0F" w:rsidRPr="00ED7E61" w:rsidRDefault="00756F0F" w:rsidP="00222E6C">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OECD Policy Instruments for Environment database</w:t>
      </w:r>
      <w:r w:rsidRPr="00ED7E61">
        <w:rPr>
          <w:rStyle w:val="normaltextrun"/>
        </w:rPr>
        <w:t> </w:t>
      </w:r>
    </w:p>
    <w:p w14:paraId="1A440E1F" w14:textId="77777777" w:rsidR="00756F0F" w:rsidRPr="00ED7E61" w:rsidRDefault="00756F0F" w:rsidP="00222E6C">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Conservation NGO Annual Reports</w:t>
      </w:r>
      <w:r w:rsidRPr="00ED7E61">
        <w:rPr>
          <w:rStyle w:val="normaltextrun"/>
        </w:rPr>
        <w:t> </w:t>
      </w:r>
    </w:p>
    <w:p w14:paraId="3FDE793A" w14:textId="77777777" w:rsidR="00756F0F" w:rsidRPr="00ED7E61" w:rsidRDefault="00756F0F" w:rsidP="00222E6C">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Government records</w:t>
      </w:r>
      <w:r w:rsidRPr="00ED7E61">
        <w:rPr>
          <w:rStyle w:val="normaltextrun"/>
        </w:rPr>
        <w:t> </w:t>
      </w:r>
    </w:p>
    <w:p w14:paraId="51BFF0F6" w14:textId="5CCD2DA4" w:rsidR="00756F0F" w:rsidRPr="00B10F0C" w:rsidRDefault="00756F0F" w:rsidP="00B10F0C">
      <w:pPr>
        <w:pStyle w:val="CBDNormalNumber"/>
        <w:numPr>
          <w:ilvl w:val="0"/>
          <w:numId w:val="0"/>
        </w:numPr>
        <w:ind w:left="567"/>
        <w:rPr>
          <w:rFonts w:eastAsiaTheme="majorEastAsia"/>
        </w:rPr>
      </w:pPr>
      <w:r w:rsidRPr="00ED7E61">
        <w:rPr>
          <w:rStyle w:val="normaltextrun"/>
          <w:rFonts w:asciiTheme="majorBidi" w:eastAsiaTheme="majorEastAsia" w:hAnsiTheme="majorBidi" w:cstheme="majorBidi"/>
        </w:rPr>
        <w:t>Publicly available information</w:t>
      </w:r>
      <w:r w:rsidRPr="00ED7E61">
        <w:rPr>
          <w:rStyle w:val="normaltextrun"/>
        </w:rPr>
        <w:t> </w:t>
      </w:r>
    </w:p>
    <w:p w14:paraId="4B8BE9A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519089A8"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30FDDCE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160F7E54"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CRS data are available since 1996 on an annual basis. The Rio marker on biodiversity is available since 2002</w:t>
      </w:r>
      <w:r w:rsidRPr="00ED7E61">
        <w:rPr>
          <w:rStyle w:val="normaltextrun"/>
        </w:rPr>
        <w:t> </w:t>
      </w:r>
    </w:p>
    <w:p w14:paraId="6B6E2724" w14:textId="77777777" w:rsidR="00756F0F" w:rsidRPr="00ED7E61" w:rsidRDefault="00756F0F" w:rsidP="00B10F0C">
      <w:pPr>
        <w:pStyle w:val="CBDNormalNumber"/>
        <w:numPr>
          <w:ilvl w:val="0"/>
          <w:numId w:val="69"/>
        </w:numPr>
        <w:ind w:left="567" w:firstLine="0"/>
        <w:rPr>
          <w:rFonts w:asciiTheme="majorBidi" w:hAnsiTheme="majorBidi" w:cstheme="majorBidi"/>
        </w:rPr>
      </w:pPr>
      <w:r w:rsidRPr="00ED7E61">
        <w:rPr>
          <w:rStyle w:val="normaltextrun"/>
          <w:rFonts w:asciiTheme="majorBidi" w:eastAsiaTheme="majorEastAsia" w:hAnsiTheme="majorBidi" w:cstheme="majorBidi"/>
        </w:rPr>
        <w:t>For the OECD PINE database, see the metadata sheet for 18.1</w:t>
      </w:r>
      <w:r w:rsidRPr="00ED7E61">
        <w:rPr>
          <w:rStyle w:val="normaltextrun"/>
        </w:rPr>
        <w:t> </w:t>
      </w:r>
    </w:p>
    <w:p w14:paraId="7BE08CF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708D7197"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Countries and philanthropic foundations provide biodiversity-related international private flows.  This data can be reported directly to the CBD or through data already collected and validated by the OECD prior to publishing online.</w:t>
      </w:r>
      <w:r w:rsidRPr="00ED7E61">
        <w:rPr>
          <w:rStyle w:val="normaltextrun"/>
        </w:rPr>
        <w:t> </w:t>
      </w:r>
    </w:p>
    <w:p w14:paraId="7D4BAA28" w14:textId="77777777"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For the OECD PINE database, see the metadata sheet for 18.1</w:t>
      </w:r>
      <w:r w:rsidRPr="00ED7E61">
        <w:rPr>
          <w:rStyle w:val="normaltextrun"/>
        </w:rPr>
        <w:t> </w:t>
      </w:r>
    </w:p>
    <w:p w14:paraId="5ACBCDE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57A7A748"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OECD CRS database</w:t>
      </w:r>
      <w:r w:rsidRPr="00ED7E61">
        <w:rPr>
          <w:rStyle w:val="normaltextrun"/>
        </w:rPr>
        <w:t> </w:t>
      </w:r>
    </w:p>
    <w:p w14:paraId="55C9591C" w14:textId="77777777" w:rsidR="00756F0F" w:rsidRPr="00ED7E61" w:rsidRDefault="00756F0F" w:rsidP="00222E6C">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OECD PINE database</w:t>
      </w:r>
      <w:r w:rsidRPr="00ED7E61">
        <w:rPr>
          <w:rStyle w:val="normaltextrun"/>
        </w:rPr>
        <w:t> </w:t>
      </w:r>
    </w:p>
    <w:p w14:paraId="286C6CDA" w14:textId="77777777" w:rsidR="00756F0F" w:rsidRPr="00ED7E61" w:rsidRDefault="00756F0F" w:rsidP="00222E6C">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CBD Secretariat through country national reporting</w:t>
      </w:r>
      <w:r w:rsidRPr="00ED7E61">
        <w:rPr>
          <w:rStyle w:val="normaltextrun"/>
        </w:rPr>
        <w:t> </w:t>
      </w:r>
    </w:p>
    <w:p w14:paraId="6298AD54" w14:textId="77777777" w:rsidR="00756F0F" w:rsidRPr="00ED7E61" w:rsidRDefault="00756F0F" w:rsidP="00222E6C">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EUROSTAT (for the EPEA database, which uses the CEP classification) and National Statistical Offices</w:t>
      </w:r>
      <w:r w:rsidRPr="00ED7E61">
        <w:rPr>
          <w:rStyle w:val="normaltextrun"/>
        </w:rPr>
        <w:t> </w:t>
      </w:r>
    </w:p>
    <w:p w14:paraId="163E49F5" w14:textId="77777777" w:rsidR="00756F0F" w:rsidRPr="00ED7E61" w:rsidRDefault="00756F0F" w:rsidP="00222E6C">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UNDP-BIOFIN</w:t>
      </w:r>
      <w:r w:rsidRPr="00ED7E61">
        <w:rPr>
          <w:rStyle w:val="normaltextrun"/>
        </w:rPr>
        <w:t> </w:t>
      </w:r>
    </w:p>
    <w:p w14:paraId="6EA7F8B1" w14:textId="77777777" w:rsidR="00756F0F" w:rsidRPr="00ED7E61" w:rsidRDefault="00756F0F" w:rsidP="00222E6C">
      <w:pPr>
        <w:pStyle w:val="CBDNormalNumber"/>
        <w:numPr>
          <w:ilvl w:val="0"/>
          <w:numId w:val="0"/>
        </w:numPr>
        <w:ind w:left="567"/>
        <w:rPr>
          <w:rStyle w:val="normaltextrun"/>
          <w:rFonts w:eastAsiaTheme="majorEastAsia"/>
        </w:rPr>
      </w:pPr>
      <w:r w:rsidRPr="00ED7E61">
        <w:rPr>
          <w:rStyle w:val="normaltextrun"/>
          <w:rFonts w:asciiTheme="majorBidi" w:eastAsiaTheme="majorEastAsia" w:hAnsiTheme="majorBidi" w:cstheme="majorBidi"/>
        </w:rPr>
        <w:t>Countries through surveys and other available information</w:t>
      </w:r>
      <w:r w:rsidRPr="00ED7E61">
        <w:rPr>
          <w:rStyle w:val="normaltextrun"/>
        </w:rPr>
        <w:t> </w:t>
      </w:r>
    </w:p>
    <w:p w14:paraId="3CFCA37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43174413" w14:textId="77777777" w:rsidR="00756F0F" w:rsidRPr="00ED7E61" w:rsidRDefault="00756F0F" w:rsidP="00222E6C">
      <w:pPr>
        <w:pStyle w:val="paragraph"/>
        <w:spacing w:before="12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Gaps in the OECD-CRS Database</w:t>
      </w:r>
      <w:r w:rsidRPr="00ED7E61">
        <w:rPr>
          <w:rStyle w:val="eop"/>
          <w:rFonts w:asciiTheme="majorBidi" w:eastAsiaTheme="majorEastAsia" w:hAnsiTheme="majorBidi" w:cstheme="majorBidi"/>
          <w:sz w:val="22"/>
          <w:szCs w:val="22"/>
        </w:rPr>
        <w:t> </w:t>
      </w:r>
    </w:p>
    <w:p w14:paraId="6E9B69D0"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In the CRS, providers beyond the DAC membership do not systematically report using the biodiversity Rio marker. Multilateral institutions report to the OECD on a voluntary basis but do not all use the biodiversity Rio marker or comprehensively indicate their biodiversity-related outflows. This data can be estimated through their reporting on the SDGs or purpose codes, or the use of keyword searches. A more robust breakdown of multilateral flows would be possible through the direct identification and reporting of biodiversity-related flows to the OECD, provided these flows comply with the definition of the Rio marker on biodiversity (i.e. flows targeting the objectives of the CBD). Multilateral institutions report in the CRS activities financed with their core budget.</w:t>
      </w:r>
      <w:r w:rsidRPr="00ED7E61">
        <w:rPr>
          <w:rStyle w:val="normaltextrun"/>
        </w:rPr>
        <w:t> </w:t>
      </w:r>
    </w:p>
    <w:p w14:paraId="5B373364" w14:textId="77777777"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Related to private finance mobilized by official development finance, the data may not adequately capture financial flows to projects/interventions where biodiversity may not have been the primary objective, such as investments in agriculture, but have a significant biodiversity benefit.  Due to confidentiality concerns, data on private finance mobilized by some official providers (multilateral development banks in particular is only made publicly available at the aggregate level. This work will explore further the available data on private finance mobilized and also address the capacity building needs to improve the biodiversity flagging of the underlying activities</w:t>
      </w:r>
      <w:r w:rsidRPr="00ED7E61">
        <w:rPr>
          <w:rStyle w:val="normaltextrun"/>
        </w:rPr>
        <w:t> </w:t>
      </w:r>
    </w:p>
    <w:p w14:paraId="6FBB73A5"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Gaps in the OECD PINE Database</w:t>
      </w:r>
      <w:r w:rsidRPr="00ED7E61">
        <w:rPr>
          <w:rStyle w:val="eop"/>
          <w:rFonts w:asciiTheme="majorBidi" w:eastAsiaTheme="majorEastAsia" w:hAnsiTheme="majorBidi" w:cstheme="majorBidi"/>
          <w:sz w:val="22"/>
          <w:szCs w:val="22"/>
        </w:rPr>
        <w:t> </w:t>
      </w:r>
    </w:p>
    <w:p w14:paraId="05506580" w14:textId="6F6F2AF6"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 OECD PINE database includes data from </w:t>
      </w:r>
      <w:r w:rsidR="00225324">
        <w:rPr>
          <w:rStyle w:val="normaltextrun"/>
          <w:rFonts w:asciiTheme="majorBidi" w:eastAsiaTheme="majorEastAsia" w:hAnsiTheme="majorBidi" w:cstheme="majorBidi"/>
        </w:rPr>
        <w:t>more than</w:t>
      </w:r>
      <w:r w:rsidRPr="00ED7E61">
        <w:rPr>
          <w:rStyle w:val="normaltextrun"/>
          <w:rFonts w:asciiTheme="majorBidi" w:eastAsiaTheme="majorEastAsia" w:hAnsiTheme="majorBidi" w:cstheme="majorBidi"/>
        </w:rPr>
        <w:t>1</w:t>
      </w:r>
      <w:r w:rsidR="00225324">
        <w:rPr>
          <w:rStyle w:val="normaltextrun"/>
          <w:rFonts w:asciiTheme="majorBidi" w:eastAsiaTheme="majorEastAsia" w:hAnsiTheme="majorBidi" w:cstheme="majorBidi"/>
        </w:rPr>
        <w:t>40</w:t>
      </w:r>
      <w:r w:rsidRPr="00ED7E61">
        <w:rPr>
          <w:rStyle w:val="normaltextrun"/>
          <w:rFonts w:asciiTheme="majorBidi" w:eastAsiaTheme="majorEastAsia" w:hAnsiTheme="majorBidi" w:cstheme="majorBidi"/>
        </w:rPr>
        <w:t xml:space="preserve"> countries. Limited data are available on biodiversity offsets and PES as these instruments have only recently been integrated into </w:t>
      </w:r>
      <w:r w:rsidR="00225324">
        <w:rPr>
          <w:rStyle w:val="normaltextrun"/>
          <w:rFonts w:asciiTheme="majorBidi" w:eastAsiaTheme="majorEastAsia" w:hAnsiTheme="majorBidi" w:cstheme="majorBidi"/>
        </w:rPr>
        <w:t xml:space="preserve">the </w:t>
      </w:r>
      <w:r w:rsidRPr="00ED7E61">
        <w:rPr>
          <w:rStyle w:val="normaltextrun"/>
          <w:rFonts w:asciiTheme="majorBidi" w:eastAsiaTheme="majorEastAsia" w:hAnsiTheme="majorBidi" w:cstheme="majorBidi"/>
        </w:rPr>
        <w:t>PINE</w:t>
      </w:r>
      <w:r w:rsidR="00225324">
        <w:rPr>
          <w:rStyle w:val="normaltextrun"/>
          <w:rFonts w:asciiTheme="majorBidi" w:eastAsiaTheme="majorEastAsia" w:hAnsiTheme="majorBidi" w:cstheme="majorBidi"/>
        </w:rPr>
        <w:t xml:space="preserve"> database</w:t>
      </w:r>
      <w:r w:rsidRPr="00ED7E61">
        <w:rPr>
          <w:rStyle w:val="normaltextrun"/>
          <w:rFonts w:asciiTheme="majorBidi" w:eastAsiaTheme="majorEastAsia" w:hAnsiTheme="majorBidi" w:cstheme="majorBidi"/>
        </w:rPr>
        <w:t>.  All countries are welcome and encouraged to contribute data, and to disaggregate monetary flows from private and public sectors.  The data collection method may result in some reporting bias, as OECD members and active accession countries are likely to report data more regularly.  All figures should be interpreted in this context. </w:t>
      </w:r>
      <w:r w:rsidRPr="00ED7E61">
        <w:rPr>
          <w:rStyle w:val="normaltextrun"/>
        </w:rPr>
        <w:t> </w:t>
      </w:r>
    </w:p>
    <w:p w14:paraId="785289FB"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Other gaps in data coverage</w:t>
      </w:r>
      <w:r w:rsidRPr="00ED7E61">
        <w:rPr>
          <w:rStyle w:val="eop"/>
          <w:rFonts w:asciiTheme="majorBidi" w:eastAsiaTheme="majorEastAsia" w:hAnsiTheme="majorBidi" w:cstheme="majorBidi"/>
          <w:sz w:val="22"/>
          <w:szCs w:val="22"/>
        </w:rPr>
        <w:t> </w:t>
      </w:r>
    </w:p>
    <w:p w14:paraId="11846204" w14:textId="2AFF6273"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Datasets on private funding for biodiversity are limited. While the OECD-CRS database captures a significant amount of international biodiversity-related private philanthropy for development, it does not comprehensively capture all other private grants and donations for biodiversity-related activities, such as direct donations by high-net-worth-individuals and smaller private philanthropic foundations. Some private philanthropies</w:t>
      </w:r>
      <w:r w:rsidR="00A35D79" w:rsidRPr="00ED7E61">
        <w:rPr>
          <w:rStyle w:val="FootnoteReference"/>
          <w:rFonts w:asciiTheme="majorBidi" w:eastAsiaTheme="majorEastAsia" w:hAnsiTheme="majorBidi" w:cstheme="majorBidi"/>
        </w:rPr>
        <w:footnoteReference w:id="35"/>
      </w:r>
      <w:r w:rsidRPr="00ED7E61">
        <w:rPr>
          <w:rStyle w:val="normaltextrun"/>
          <w:rFonts w:asciiTheme="majorBidi" w:eastAsiaTheme="majorEastAsia" w:hAnsiTheme="majorBidi" w:cstheme="majorBidi"/>
        </w:rPr>
        <w:t xml:space="preserve"> also do not wish to report their data to OECD-CRS. In addition, the numerous channels, actors, and instruments for biodiversity conservation funding are not captured in a global dataset that countries can draw on for national reporting. Innovative finance mechanisms for biodiversity are continuously evolving and are not adequately captured in the proposed methodology here given the gaps in identifying, tracking, and reporting on these private financial flows. As new mechanisms and strategies evolve over time, countries are encouraged to track the private financial flows as a result of these efforts</w:t>
      </w:r>
      <w:r w:rsidR="00172A35" w:rsidRPr="00ED7E61">
        <w:rPr>
          <w:rStyle w:val="normaltextrun"/>
          <w:rFonts w:asciiTheme="majorBidi" w:eastAsiaTheme="majorEastAsia" w:hAnsiTheme="majorBidi" w:cstheme="majorBidi"/>
        </w:rPr>
        <w:t>.</w:t>
      </w:r>
      <w:r w:rsidRPr="00ED7E61">
        <w:rPr>
          <w:rStyle w:val="normaltextrun"/>
        </w:rPr>
        <w:t> </w:t>
      </w:r>
    </w:p>
    <w:p w14:paraId="1EB0E26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02EB91E5"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2248C24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5C52E215" w14:textId="77777777" w:rsidR="00756F0F" w:rsidRPr="00ED7E61" w:rsidRDefault="00756F0F" w:rsidP="00222E6C">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72B835DD" w14:textId="77777777" w:rsidR="00756F0F" w:rsidRPr="00ED7E61" w:rsidRDefault="00756F0F" w:rsidP="00222E6C">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1FF75141" w14:textId="77777777" w:rsidR="00756F0F" w:rsidRPr="00ED7E61" w:rsidRDefault="00756F0F" w:rsidP="00222E6C">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National</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6DF4E8BA"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Scale of data disaggregation/aggregation: </w:t>
      </w:r>
      <w:r w:rsidRPr="00ED7E61">
        <w:rPr>
          <w:rStyle w:val="normaltextrun"/>
        </w:rPr>
        <w:t> </w:t>
      </w:r>
    </w:p>
    <w:p w14:paraId="679117A9" w14:textId="77777777" w:rsidR="00756F0F" w:rsidRPr="00ED7E61" w:rsidRDefault="00756F0F" w:rsidP="00B10F0C">
      <w:pPr>
        <w:pStyle w:val="CBDNormalNumber"/>
        <w:numPr>
          <w:ilvl w:val="1"/>
          <w:numId w:val="6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Global/ regional scale indicator can be disaggregated to national level: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4445A468" w14:textId="77777777" w:rsidR="00756F0F" w:rsidRPr="00ED7E61" w:rsidRDefault="00756F0F" w:rsidP="00B10F0C">
      <w:pPr>
        <w:pStyle w:val="CBDNormalNumber"/>
        <w:numPr>
          <w:ilvl w:val="1"/>
          <w:numId w:val="6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National data is collated to form global indicator: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3EC106D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lang w:val="en-GB"/>
        </w:rPr>
      </w:pPr>
      <w:r w:rsidRPr="00ED7E61">
        <w:rPr>
          <w:rStyle w:val="eop"/>
          <w:rFonts w:asciiTheme="majorBidi" w:eastAsiaTheme="majorEastAsia" w:hAnsiTheme="majorBidi" w:cstheme="majorBidi"/>
          <w:sz w:val="22"/>
          <w:szCs w:val="22"/>
          <w:lang w:val="en-GB"/>
        </w:rPr>
        <w:t> </w:t>
      </w:r>
    </w:p>
    <w:p w14:paraId="0E3056E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6F819102"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58A4FE6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4CC16973"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32F7300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4FFB434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 Description of the methodology</w:t>
      </w:r>
      <w:r w:rsidRPr="00ED7E61">
        <w:rPr>
          <w:rStyle w:val="eop"/>
          <w:rFonts w:asciiTheme="majorBidi" w:eastAsiaTheme="majorEastAsia" w:hAnsiTheme="majorBidi" w:cstheme="majorBidi"/>
          <w:sz w:val="22"/>
          <w:szCs w:val="22"/>
        </w:rPr>
        <w:t> </w:t>
      </w:r>
    </w:p>
    <w:p w14:paraId="7551E658"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61FEA41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00EA1CBE"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305D475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6d.3 Description of the mechanism for collecting data from countries</w:t>
      </w:r>
      <w:r w:rsidRPr="00ED7E61">
        <w:rPr>
          <w:rStyle w:val="eop"/>
          <w:rFonts w:asciiTheme="majorBidi" w:eastAsiaTheme="majorEastAsia" w:hAnsiTheme="majorBidi" w:cstheme="majorBidi"/>
          <w:sz w:val="22"/>
          <w:szCs w:val="22"/>
        </w:rPr>
        <w:t> </w:t>
      </w:r>
    </w:p>
    <w:p w14:paraId="0586B5CB"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1BF8DBEA" w14:textId="729ECCBC"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w:t>
      </w:r>
      <w:r w:rsidR="00B10F0C">
        <w:rPr>
          <w:rStyle w:val="normaltextrun"/>
          <w:rFonts w:asciiTheme="majorBidi" w:eastAsiaTheme="majorEastAsia" w:hAnsiTheme="majorBidi" w:cstheme="majorBidi"/>
          <w:b/>
          <w:bCs/>
          <w:sz w:val="22"/>
          <w:szCs w:val="22"/>
        </w:rPr>
        <w:t>z</w:t>
      </w:r>
      <w:r w:rsidRPr="00ED7E61">
        <w:rPr>
          <w:rStyle w:val="normaltextrun"/>
          <w:rFonts w:asciiTheme="majorBidi" w:eastAsiaTheme="majorEastAsia" w:hAnsiTheme="majorBidi" w:cstheme="majorBidi"/>
          <w:b/>
          <w:bCs/>
          <w:sz w:val="22"/>
          <w:szCs w:val="22"/>
        </w:rPr>
        <w:t>ations</w:t>
      </w:r>
      <w:r w:rsidRPr="00ED7E61">
        <w:rPr>
          <w:rStyle w:val="eop"/>
          <w:rFonts w:asciiTheme="majorBidi" w:eastAsiaTheme="majorEastAsia" w:hAnsiTheme="majorBidi" w:cstheme="majorBidi"/>
          <w:sz w:val="22"/>
          <w:szCs w:val="22"/>
        </w:rPr>
        <w:t> </w:t>
      </w:r>
    </w:p>
    <w:p w14:paraId="351973D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2C7CE5EB"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4E8D210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1739EC85" w14:textId="77777777" w:rsidR="00756F0F" w:rsidRPr="00ED7E61" w:rsidRDefault="00756F0F" w:rsidP="00222E6C">
      <w:pPr>
        <w:pStyle w:val="paragraph"/>
        <w:spacing w:before="0" w:beforeAutospacing="0" w:after="0" w:afterAutospacing="0"/>
        <w:ind w:left="567"/>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sz w:val="22"/>
          <w:szCs w:val="22"/>
        </w:rPr>
        <w:t xml:space="preserve">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24335E9E" w14:textId="28223EF9" w:rsidR="00756F0F" w:rsidRPr="00ED7E61" w:rsidRDefault="00756F0F" w:rsidP="00222E6C">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047A9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047A9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61C1A4FE"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Private biodiversity-related international philanthropic contributions from the OECD CRS database can be disaggregated by recipient, sector/purpose code, DSG focus, and Rio Marker</w:t>
      </w:r>
      <w:r w:rsidRPr="00ED7E61">
        <w:rPr>
          <w:rStyle w:val="normaltextrun"/>
        </w:rPr>
        <w:t> </w:t>
      </w:r>
    </w:p>
    <w:p w14:paraId="5CE39D0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230D1ACC"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Target 18.1 Positive incentives in place to promote biodiversity conservation and sustainable use. </w:t>
      </w:r>
      <w:r w:rsidRPr="00ED7E61">
        <w:rPr>
          <w:rStyle w:val="normaltextrun"/>
        </w:rPr>
        <w:t> </w:t>
      </w:r>
    </w:p>
    <w:p w14:paraId="48C9CF7D" w14:textId="77777777"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Target 19 on Domestic Expenditure</w:t>
      </w:r>
      <w:r w:rsidRPr="00ED7E61">
        <w:rPr>
          <w:rStyle w:val="normaltextrun"/>
        </w:rPr>
        <w:t> </w:t>
      </w:r>
    </w:p>
    <w:p w14:paraId="0129BDEA" w14:textId="77777777"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Target 15 on Business Disclosures</w:t>
      </w:r>
      <w:r w:rsidRPr="00ED7E61">
        <w:rPr>
          <w:rStyle w:val="normaltextrun"/>
        </w:rPr>
        <w:t> </w:t>
      </w:r>
    </w:p>
    <w:p w14:paraId="396762C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4E44F237" w14:textId="202F3C01" w:rsidR="00756F0F" w:rsidRPr="00ED7E61" w:rsidRDefault="00756F0F" w:rsidP="00222E6C">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222E6C">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460CF455" w14:textId="77777777" w:rsidR="00756F0F" w:rsidRPr="00ED7E61" w:rsidRDefault="00756F0F" w:rsidP="00B10F0C">
      <w:pPr>
        <w:pStyle w:val="CBDNormalNumber"/>
        <w:numPr>
          <w:ilvl w:val="0"/>
          <w:numId w:val="69"/>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Organization for Economic Cooperation and Development for the OECD CRS and PINE databases</w:t>
      </w:r>
      <w:r w:rsidRPr="00ED7E61">
        <w:rPr>
          <w:rStyle w:val="normaltextrun"/>
        </w:rPr>
        <w:t> </w:t>
      </w:r>
    </w:p>
    <w:p w14:paraId="7A063E3D" w14:textId="77777777" w:rsidR="00756F0F" w:rsidRPr="00ED7E61" w:rsidRDefault="00756F0F" w:rsidP="00B10F0C">
      <w:pPr>
        <w:pStyle w:val="CBDNormalNumber"/>
        <w:numPr>
          <w:ilvl w:val="0"/>
          <w:numId w:val="69"/>
        </w:numPr>
        <w:ind w:left="567" w:firstLine="0"/>
        <w:rPr>
          <w:rStyle w:val="normaltextrun"/>
          <w:rFonts w:eastAsiaTheme="majorEastAsia"/>
        </w:rPr>
      </w:pPr>
      <w:r w:rsidRPr="00ED7E61">
        <w:rPr>
          <w:rStyle w:val="normaltextrun"/>
          <w:rFonts w:asciiTheme="majorBidi" w:eastAsiaTheme="majorEastAsia" w:hAnsiTheme="majorBidi" w:cstheme="majorBidi"/>
        </w:rPr>
        <w:t>Eurostat and other statistical agencies for environmental economic accounts including environmental protection expenditure accounts</w:t>
      </w:r>
      <w:r w:rsidRPr="00ED7E61">
        <w:rPr>
          <w:rStyle w:val="normaltextrun"/>
        </w:rPr>
        <w:t> </w:t>
      </w:r>
    </w:p>
    <w:p w14:paraId="5C8E907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6447F047"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36D9BA9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11. References</w:t>
      </w:r>
      <w:r w:rsidRPr="00ED7E61">
        <w:rPr>
          <w:rStyle w:val="eop"/>
          <w:rFonts w:asciiTheme="majorBidi" w:eastAsiaTheme="majorEastAsia" w:hAnsiTheme="majorBidi" w:cstheme="majorBidi"/>
          <w:sz w:val="22"/>
          <w:szCs w:val="22"/>
        </w:rPr>
        <w:t> </w:t>
      </w:r>
    </w:p>
    <w:p w14:paraId="59D83B26"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57620A2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12. Graphs and diagrams</w:t>
      </w:r>
      <w:r w:rsidRPr="00ED7E61">
        <w:rPr>
          <w:rStyle w:val="eop"/>
          <w:rFonts w:asciiTheme="majorBidi" w:eastAsiaTheme="majorEastAsia" w:hAnsiTheme="majorBidi" w:cstheme="majorBidi"/>
          <w:sz w:val="22"/>
          <w:szCs w:val="22"/>
        </w:rPr>
        <w:t> </w:t>
      </w:r>
    </w:p>
    <w:p w14:paraId="672C62D7"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5F1A6335" w14:textId="77777777" w:rsidR="00EE1A31" w:rsidRPr="00ED7E61" w:rsidRDefault="00EE1A31" w:rsidP="00965B3D">
      <w:pPr>
        <w:pStyle w:val="paragraph"/>
        <w:spacing w:before="0" w:beforeAutospacing="0" w:after="0" w:afterAutospacing="0"/>
        <w:textAlignment w:val="baseline"/>
        <w:rPr>
          <w:rStyle w:val="normaltextrun"/>
          <w:rFonts w:asciiTheme="majorBidi" w:eastAsiaTheme="majorEastAsia" w:hAnsiTheme="majorBidi" w:cstheme="majorBidi"/>
          <w:b/>
          <w:bCs/>
          <w:i/>
          <w:iCs/>
          <w:sz w:val="22"/>
          <w:szCs w:val="22"/>
          <w:lang w:val="en-GB"/>
        </w:rPr>
      </w:pPr>
    </w:p>
    <w:p w14:paraId="0D43D0BD" w14:textId="7DAB8918" w:rsidR="00EE1A31" w:rsidRPr="00ED7E61" w:rsidRDefault="00EE1A31" w:rsidP="00965B3D">
      <w:pPr>
        <w:pStyle w:val="paragraph"/>
        <w:spacing w:before="0" w:beforeAutospacing="0" w:after="0" w:afterAutospacing="0"/>
        <w:textAlignment w:val="baseline"/>
        <w:rPr>
          <w:rStyle w:val="normaltextrun"/>
          <w:rFonts w:asciiTheme="majorBidi" w:eastAsiaTheme="majorEastAsia" w:hAnsiTheme="majorBidi" w:cstheme="majorBidi"/>
          <w:b/>
          <w:bCs/>
          <w:i/>
          <w:iCs/>
          <w:sz w:val="22"/>
          <w:szCs w:val="22"/>
          <w:lang w:val="en-GB"/>
        </w:rPr>
      </w:pPr>
      <w:r w:rsidRPr="00ED7E61">
        <w:rPr>
          <w:noProof/>
          <w:lang w:val="fr-FR" w:eastAsia="fr-FR"/>
        </w:rPr>
        <w:drawing>
          <wp:inline distT="0" distB="0" distL="0" distR="0" wp14:anchorId="38B764E4" wp14:editId="6EA64C60">
            <wp:extent cx="4572000" cy="2076450"/>
            <wp:effectExtent l="0" t="0" r="0" b="0"/>
            <wp:docPr id="1395180083" name="Picture 139518008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80083" name="Picture 1395180083" descr="A graph of a number of people&#10;&#10;Description automatically generated with medium confidence"/>
                    <pic:cNvPicPr/>
                  </pic:nvPicPr>
                  <pic:blipFill>
                    <a:blip r:embed="rId281">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139BE2CC" w14:textId="07C0C57C" w:rsidR="00756F0F" w:rsidRPr="00B3383B" w:rsidRDefault="00756F0F" w:rsidP="00B3383B">
      <w:pPr>
        <w:pStyle w:val="paragraph"/>
        <w:spacing w:before="0" w:beforeAutospacing="0" w:after="0" w:afterAutospacing="0"/>
        <w:ind w:left="567"/>
        <w:textAlignment w:val="baseline"/>
        <w:rPr>
          <w:rFonts w:asciiTheme="majorBidi" w:hAnsiTheme="majorBidi" w:cstheme="majorBidi"/>
          <w:b/>
          <w:bCs/>
          <w:sz w:val="22"/>
          <w:szCs w:val="22"/>
        </w:rPr>
      </w:pPr>
      <w:r w:rsidRPr="00B3383B">
        <w:rPr>
          <w:rStyle w:val="normaltextrun"/>
          <w:rFonts w:asciiTheme="majorBidi" w:eastAsiaTheme="majorEastAsia" w:hAnsiTheme="majorBidi" w:cstheme="majorBidi"/>
          <w:sz w:val="22"/>
          <w:szCs w:val="22"/>
          <w:lang w:val="en-GB"/>
        </w:rPr>
        <w:t xml:space="preserve">Figure </w:t>
      </w:r>
      <w:r w:rsidR="00FF6CC0" w:rsidRPr="00B3383B">
        <w:rPr>
          <w:rStyle w:val="normaltextrun"/>
          <w:rFonts w:asciiTheme="majorBidi" w:eastAsiaTheme="majorEastAsia" w:hAnsiTheme="majorBidi" w:cstheme="majorBidi"/>
          <w:sz w:val="22"/>
          <w:szCs w:val="22"/>
          <w:lang w:val="en-GB"/>
        </w:rPr>
        <w:t>I</w:t>
      </w:r>
      <w:r w:rsidR="00FF6CC0">
        <w:rPr>
          <w:rStyle w:val="normaltextrun"/>
          <w:rFonts w:asciiTheme="majorBidi" w:eastAsiaTheme="majorEastAsia" w:hAnsiTheme="majorBidi" w:cstheme="majorBidi"/>
          <w:b/>
          <w:bCs/>
          <w:i/>
          <w:iCs/>
          <w:sz w:val="22"/>
          <w:szCs w:val="22"/>
          <w:lang w:val="en-GB"/>
        </w:rPr>
        <w:br/>
      </w:r>
      <w:r w:rsidRPr="00B3383B">
        <w:rPr>
          <w:rStyle w:val="normaltextrun"/>
          <w:rFonts w:asciiTheme="majorBidi" w:eastAsiaTheme="majorEastAsia" w:hAnsiTheme="majorBidi" w:cstheme="majorBidi"/>
          <w:b/>
          <w:bCs/>
          <w:sz w:val="22"/>
          <w:szCs w:val="22"/>
          <w:lang w:val="en-GB"/>
        </w:rPr>
        <w:t xml:space="preserve">Private </w:t>
      </w:r>
      <w:r w:rsidR="001443EC" w:rsidRPr="00B3383B">
        <w:rPr>
          <w:rStyle w:val="normaltextrun"/>
          <w:rFonts w:asciiTheme="majorBidi" w:eastAsiaTheme="majorEastAsia" w:hAnsiTheme="majorBidi" w:cstheme="majorBidi"/>
          <w:b/>
          <w:bCs/>
          <w:sz w:val="22"/>
          <w:szCs w:val="22"/>
          <w:lang w:val="en-GB"/>
        </w:rPr>
        <w:t>philanthropy</w:t>
      </w:r>
      <w:r w:rsidRPr="00B3383B">
        <w:rPr>
          <w:rStyle w:val="normaltextrun"/>
          <w:rFonts w:asciiTheme="majorBidi" w:eastAsiaTheme="majorEastAsia" w:hAnsiTheme="majorBidi" w:cstheme="majorBidi"/>
          <w:b/>
          <w:bCs/>
          <w:sz w:val="22"/>
          <w:szCs w:val="22"/>
          <w:lang w:val="en-GB"/>
        </w:rPr>
        <w:t xml:space="preserve"> for development. Source: OECD (2023). Estimates based on OECD DAC statistics from the OECD, Creditor Reporting System</w:t>
      </w:r>
      <w:r w:rsidRPr="00B3383B">
        <w:rPr>
          <w:rStyle w:val="eop"/>
          <w:rFonts w:asciiTheme="majorBidi" w:eastAsiaTheme="majorEastAsia" w:hAnsiTheme="majorBidi" w:cstheme="majorBidi"/>
          <w:b/>
          <w:bCs/>
          <w:sz w:val="22"/>
          <w:szCs w:val="22"/>
        </w:rPr>
        <w:t>  </w:t>
      </w:r>
    </w:p>
    <w:p w14:paraId="218A354B" w14:textId="77777777" w:rsidR="00756F0F" w:rsidRPr="00ED7E61" w:rsidRDefault="00756F0F" w:rsidP="00965B3D">
      <w:pPr>
        <w:pStyle w:val="Heading3"/>
        <w:rPr>
          <w:rStyle w:val="normaltextrun"/>
        </w:rPr>
      </w:pPr>
      <w:r w:rsidRPr="00ED7E61">
        <w:rPr>
          <w:rStyle w:val="normaltextrun"/>
        </w:rPr>
        <w:br w:type="page"/>
      </w:r>
    </w:p>
    <w:p w14:paraId="72E0E4F2" w14:textId="02356E80" w:rsidR="00D620E3" w:rsidRPr="00ED7E61" w:rsidRDefault="00D620E3" w:rsidP="00965B3D">
      <w:pPr>
        <w:pStyle w:val="Heading3"/>
      </w:pPr>
      <w:bookmarkStart w:id="41" w:name="_Toc178285854"/>
      <w:r w:rsidRPr="00ED7E61">
        <w:rPr>
          <w:rStyle w:val="Heading3Char"/>
          <w:b/>
        </w:rPr>
        <w:t xml:space="preserve">GBF indicator: </w:t>
      </w:r>
      <w:r w:rsidRPr="00ED7E61">
        <w:t>1.1. Percent of land and seas covered by biodiversity-inclusive spatial plans</w:t>
      </w:r>
      <w:bookmarkEnd w:id="41"/>
      <w:r w:rsidRPr="00ED7E61">
        <w:t xml:space="preserve"> </w:t>
      </w:r>
    </w:p>
    <w:p w14:paraId="38BBFAD2" w14:textId="58C33786" w:rsidR="00D620E3" w:rsidRPr="00ED7E61" w:rsidRDefault="00D620E3" w:rsidP="00395866">
      <w:pPr>
        <w:pStyle w:val="paragraph"/>
        <w:spacing w:before="0" w:beforeAutospacing="0" w:after="0" w:afterAutospacing="0"/>
        <w:jc w:val="center"/>
        <w:textAlignment w:val="baseline"/>
        <w:rPr>
          <w:rFonts w:asciiTheme="majorBidi" w:hAnsiTheme="majorBidi" w:cstheme="majorBidi"/>
          <w:sz w:val="22"/>
          <w:szCs w:val="22"/>
        </w:rPr>
      </w:pPr>
    </w:p>
    <w:p w14:paraId="1E921B24" w14:textId="6BCB106B" w:rsidR="00D620E3" w:rsidRPr="00ED7E61" w:rsidRDefault="00965B3D" w:rsidP="00B10F0C">
      <w:pPr>
        <w:pStyle w:val="CBDNormalNumber"/>
        <w:numPr>
          <w:ilvl w:val="0"/>
          <w:numId w:val="70"/>
        </w:numPr>
        <w:tabs>
          <w:tab w:val="clear" w:pos="1701"/>
        </w:tabs>
        <w:ind w:left="567" w:firstLine="0"/>
        <w:rPr>
          <w:rFonts w:asciiTheme="majorBidi" w:hAnsiTheme="majorBidi" w:cstheme="majorBidi"/>
        </w:rPr>
      </w:pPr>
      <w:r w:rsidRPr="00ED7E61">
        <w:rPr>
          <w:rStyle w:val="normaltextrun"/>
          <w:rFonts w:eastAsiaTheme="majorEastAsia"/>
        </w:rPr>
        <w:t xml:space="preserve">In </w:t>
      </w:r>
      <w:r w:rsidR="00D620E3" w:rsidRPr="00ED7E61">
        <w:rPr>
          <w:rStyle w:val="normaltextrun"/>
          <w:rFonts w:eastAsiaTheme="majorEastAsia"/>
        </w:rPr>
        <w:t>COP DEC 15/5, the indicators for Target 1 and H</w:t>
      </w:r>
      <w:r w:rsidR="00781C70" w:rsidRPr="00ED7E61">
        <w:rPr>
          <w:rStyle w:val="normaltextrun"/>
          <w:rFonts w:eastAsiaTheme="majorEastAsia"/>
        </w:rPr>
        <w:t>eadline indicator</w:t>
      </w:r>
      <w:r w:rsidR="00D620E3" w:rsidRPr="00ED7E61">
        <w:rPr>
          <w:rStyle w:val="normaltextrun"/>
          <w:rFonts w:eastAsiaTheme="majorEastAsia"/>
        </w:rPr>
        <w:t xml:space="preserve"> 1.1 were approved with two footnotes: </w:t>
      </w:r>
    </w:p>
    <w:p w14:paraId="6627E72D" w14:textId="77777777" w:rsidR="00D620E3"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b: a binary indicator was proposed for inclusion for this goal or target and will be further considered by the Ad Hoc Technical Expert Group</w:t>
      </w:r>
    </w:p>
    <w:p w14:paraId="23DCA4E8" w14:textId="77777777" w:rsidR="00D620E3"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an agreed up-to-date methodology does not exist for this indicator. The Ad Hoc Technical Expert Group will work with partners to guide the development of these indicators</w:t>
      </w:r>
    </w:p>
    <w:p w14:paraId="7368205B" w14:textId="11F02407" w:rsidR="00D620E3" w:rsidRPr="00ED7E61" w:rsidRDefault="00D620E3"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 xml:space="preserve">As per the recommendation, a binary indicator was developed for Target 1 with a </w:t>
      </w:r>
      <w:hyperlink r:id="rId282" w:history="1">
        <w:r w:rsidRPr="00ED7E61">
          <w:rPr>
            <w:rStyle w:val="normaltextrun"/>
            <w:rFonts w:eastAsiaTheme="majorEastAsia"/>
          </w:rPr>
          <w:t xml:space="preserve">metadata description </w:t>
        </w:r>
      </w:hyperlink>
      <w:r w:rsidRPr="00ED7E61">
        <w:rPr>
          <w:rStyle w:val="normaltextrun"/>
          <w:rFonts w:eastAsiaTheme="majorEastAsia"/>
        </w:rPr>
        <w:t xml:space="preserve">including proposed definitions on </w:t>
      </w:r>
      <w:r w:rsidR="00781C70" w:rsidRPr="00ED7E61">
        <w:rPr>
          <w:rStyle w:val="normaltextrun"/>
          <w:rFonts w:eastAsiaTheme="majorEastAsia"/>
        </w:rPr>
        <w:t>b</w:t>
      </w:r>
      <w:r w:rsidRPr="00ED7E61">
        <w:rPr>
          <w:rStyle w:val="normaltextrun"/>
          <w:rFonts w:eastAsiaTheme="majorEastAsia"/>
        </w:rPr>
        <w:t xml:space="preserve">iodiversity-inclusive approach, </w:t>
      </w:r>
      <w:r w:rsidR="00781C70" w:rsidRPr="00ED7E61">
        <w:rPr>
          <w:rStyle w:val="normaltextrun"/>
          <w:rFonts w:eastAsiaTheme="majorEastAsia"/>
        </w:rPr>
        <w:t>p</w:t>
      </w:r>
      <w:r w:rsidRPr="00ED7E61">
        <w:rPr>
          <w:rStyle w:val="normaltextrun"/>
          <w:rFonts w:eastAsiaTheme="majorEastAsia"/>
        </w:rPr>
        <w:t xml:space="preserve">articipatory approach to spatial planning, </w:t>
      </w:r>
      <w:r w:rsidR="00781C70" w:rsidRPr="00ED7E61">
        <w:rPr>
          <w:rStyle w:val="normaltextrun"/>
          <w:rFonts w:eastAsiaTheme="majorEastAsia"/>
        </w:rPr>
        <w:t>e</w:t>
      </w:r>
      <w:r w:rsidRPr="00ED7E61">
        <w:rPr>
          <w:rStyle w:val="normaltextrun"/>
          <w:rFonts w:eastAsiaTheme="majorEastAsia"/>
        </w:rPr>
        <w:t xml:space="preserve">ffective management processes [addressing land and sea use change] and integrated spatial planning. Categorical responses can only be based on national data since it is about national processes. </w:t>
      </w:r>
    </w:p>
    <w:p w14:paraId="44DE4D15" w14:textId="77777777" w:rsidR="00D620E3" w:rsidRPr="00ED7E61" w:rsidRDefault="00D620E3"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 xml:space="preserve">For the headline indicator 1.1. it was recognized that </w:t>
      </w:r>
    </w:p>
    <w:p w14:paraId="1F400429" w14:textId="16E6F938" w:rsidR="00D620E3"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it overlaps with indicators for other goals and targets of the </w:t>
      </w:r>
      <w:r w:rsidR="00781C70" w:rsidRPr="00ED7E61">
        <w:rPr>
          <w:rStyle w:val="normaltextrun"/>
          <w:rFonts w:eastAsiaTheme="majorEastAsia"/>
        </w:rPr>
        <w:t xml:space="preserve">Kunming-Montreal Global Biodiversity Framework </w:t>
      </w:r>
      <w:r w:rsidRPr="00ED7E61">
        <w:rPr>
          <w:rStyle w:val="normaltextrun"/>
          <w:rFonts w:eastAsiaTheme="majorEastAsia"/>
        </w:rPr>
        <w:t xml:space="preserve">as well as SDG indicators, </w:t>
      </w:r>
    </w:p>
    <w:p w14:paraId="75EC5116" w14:textId="77777777" w:rsidR="00D620E3"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it covers multiple cross-cutting issues and provides opportunities to identify synergetic issues and leverages for other targets;  </w:t>
      </w:r>
    </w:p>
    <w:p w14:paraId="05EFC20A" w14:textId="5EEC1DBD" w:rsidR="00D620E3"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it is highly relevant for the </w:t>
      </w:r>
      <w:r w:rsidR="00781C70" w:rsidRPr="00ED7E61">
        <w:rPr>
          <w:rStyle w:val="normaltextrun"/>
          <w:rFonts w:eastAsiaTheme="majorEastAsia"/>
        </w:rPr>
        <w:t xml:space="preserve">traditional knowledge </w:t>
      </w:r>
      <w:r w:rsidRPr="00ED7E61">
        <w:rPr>
          <w:rStyle w:val="normaltextrun"/>
          <w:rFonts w:eastAsiaTheme="majorEastAsia"/>
        </w:rPr>
        <w:t xml:space="preserve">indicators (particularly </w:t>
      </w:r>
      <w:r w:rsidR="00781C70" w:rsidRPr="00ED7E61">
        <w:rPr>
          <w:rStyle w:val="normaltextrun"/>
          <w:rFonts w:eastAsiaTheme="majorEastAsia"/>
        </w:rPr>
        <w:t xml:space="preserve">the traditional knowledge </w:t>
      </w:r>
      <w:r w:rsidRPr="00ED7E61">
        <w:rPr>
          <w:rStyle w:val="normaltextrun"/>
          <w:rFonts w:eastAsiaTheme="majorEastAsia"/>
        </w:rPr>
        <w:t xml:space="preserve">indicator on participation). </w:t>
      </w:r>
    </w:p>
    <w:p w14:paraId="72F6D583" w14:textId="77777777" w:rsidR="00781C70" w:rsidRPr="00ED7E61" w:rsidRDefault="00D620E3"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 xml:space="preserve">The further development of a methodology was impacted by the following factors: </w:t>
      </w:r>
    </w:p>
    <w:p w14:paraId="6E2D74FC" w14:textId="6A7867E6" w:rsidR="00781C70"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While most countries have spatial plans,  qualitative aspects are usually not measured; the indicator suggests a fusion of spatial/quantitative and qualitative data with aspects of processes, outcomes and impacts to be measured, which is usually in the form of an index or equivalent, which is currently not in existence; </w:t>
      </w:r>
    </w:p>
    <w:p w14:paraId="7E9D986F" w14:textId="2836D353" w:rsidR="00781C70"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There was no partner to provide an institutional home and guide the development of the methodology for this indicator; </w:t>
      </w:r>
    </w:p>
    <w:p w14:paraId="758C8E19" w14:textId="5A55D8CA" w:rsidR="00D620E3"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IPBES has in its program to develop an approved methodological assessment on integrated biodiversity-inclusive spatial planning and connectivity for consideration in 2027 (Decision IPBES-10/1). </w:t>
      </w:r>
    </w:p>
    <w:p w14:paraId="6D3D3456" w14:textId="77777777" w:rsidR="00D620E3" w:rsidRPr="00ED7E61" w:rsidRDefault="00D620E3"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 xml:space="preserve">It is recommended for this headline indicator to: </w:t>
      </w:r>
    </w:p>
    <w:p w14:paraId="600DAE7E" w14:textId="77777777" w:rsidR="00D620E3"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Work with binary indicators until the methodology of the headline indicator is operational. </w:t>
      </w:r>
    </w:p>
    <w:p w14:paraId="07EBFD4E" w14:textId="6C7749A4" w:rsidR="00D620E3"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In accordance with the IPBES progress, identify and delegate a lead organization to develop the methodology for the indicator, based on good practices and examples, and </w:t>
      </w:r>
      <w:r w:rsidR="00781C70" w:rsidRPr="00ED7E61">
        <w:rPr>
          <w:rStyle w:val="normaltextrun"/>
          <w:rFonts w:eastAsiaTheme="majorEastAsia"/>
        </w:rPr>
        <w:t xml:space="preserve">to </w:t>
      </w:r>
      <w:r w:rsidRPr="00ED7E61">
        <w:rPr>
          <w:rStyle w:val="normaltextrun"/>
          <w:rFonts w:eastAsiaTheme="majorEastAsia"/>
        </w:rPr>
        <w:t xml:space="preserve">be in charge of data collection and evaluation. </w:t>
      </w:r>
    </w:p>
    <w:p w14:paraId="03615189" w14:textId="77777777" w:rsidR="00D620E3" w:rsidRPr="00ED7E61" w:rsidRDefault="00D620E3"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Support countries in developing adapted planning and assessment tools taking into account the qualitative aspects. </w:t>
      </w:r>
    </w:p>
    <w:p w14:paraId="67430441" w14:textId="1BEBFDCB" w:rsidR="00D620E3" w:rsidRPr="00ED7E61" w:rsidRDefault="00D620E3"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The below provides a summary of the current status of development of this indicator.</w:t>
      </w:r>
    </w:p>
    <w:p w14:paraId="0F39E2E9" w14:textId="41CFBE39"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Proposed rationale</w:t>
      </w:r>
      <w:r w:rsidRPr="00ED7E61">
        <w:rPr>
          <w:rStyle w:val="eop"/>
          <w:rFonts w:asciiTheme="majorBidi" w:eastAsiaTheme="majorEastAsia" w:hAnsiTheme="majorBidi" w:cstheme="majorBidi"/>
          <w:sz w:val="22"/>
          <w:szCs w:val="22"/>
        </w:rPr>
        <w:t> </w:t>
      </w:r>
    </w:p>
    <w:p w14:paraId="3AC2C708" w14:textId="77777777"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Target 1 relates to land-use and sea-use change, a major direct driver of biodiversity loss. To achieve the 2050 Vision and the proposed Goals, the loss of existing intact and wilderness areas through land/sea use change must be avoided, reduced and reversed. More effective and comprehensive spatial planning, which accounts for biodiversity and the objectives of the Convention, will be crucial in accomplishing this. Therefore, an indicator tracking the percentage of land and seas covered by spatial plans that integrate biodiversity would be directly relevant to this target and help to monitor progress towards its attainment. </w:t>
      </w:r>
      <w:r w:rsidRPr="00ED7E61">
        <w:rPr>
          <w:rStyle w:val="normaltextrun"/>
        </w:rPr>
        <w:t> </w:t>
      </w:r>
    </w:p>
    <w:p w14:paraId="5D5A5532" w14:textId="16D012E9"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Biodiversity inclusive spatial planning is also relevant for most of the other proposed targets in the draft post-2020 global biodiversity framework. Given competing demands for land and sea areas and potential trade-offs, biodiversity-inclusive integrated spatial planning across all landscapes and seascapes (i.e. marine spatial planning) will be needed to allow socioeconomic development to continue while also conserving biodiversity and maintaining ecosystem services in line with the levels of ambition suggested above, and to ensure connectivity between natural habitats. </w:t>
      </w:r>
      <w:r w:rsidRPr="00ED7E61">
        <w:rPr>
          <w:rStyle w:val="normaltextrun"/>
        </w:rPr>
        <w:t> </w:t>
      </w:r>
    </w:p>
    <w:p w14:paraId="6D835074"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Currently spatial planning is practiced variously and unevenly among countries and currently there is no global synthesis available to assess the proportion of the earth that is considered to be “</w:t>
      </w:r>
      <w:r w:rsidRPr="00FB1598">
        <w:rPr>
          <w:rStyle w:val="normaltextrun"/>
          <w:rFonts w:eastAsiaTheme="majorEastAsia"/>
          <w:i/>
          <w:iCs/>
        </w:rPr>
        <w:t>under spatial planning</w:t>
      </w:r>
      <w:r w:rsidRPr="00ED7E61">
        <w:rPr>
          <w:rStyle w:val="normaltextrun"/>
          <w:rFonts w:eastAsiaTheme="majorEastAsia"/>
        </w:rPr>
        <w:t>”. This is partly because there is no standard definition of what constitutes a spatial plan and a range of approaches and tools for planning are used at different scales. </w:t>
      </w:r>
      <w:r w:rsidRPr="00ED7E61">
        <w:rPr>
          <w:rStyle w:val="normaltextrun"/>
        </w:rPr>
        <w:t> </w:t>
      </w:r>
    </w:p>
    <w:p w14:paraId="61B2648E" w14:textId="22CD7F2A"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Currently there is no indicator which is under development or operational to fully track the progress on the land and sea area under biodiversity inclusive spatial planning. However, there are SDG indicators related to marine spatial planning and intercoastal zone management (14.2.1), sustainable agricultural area (2.4.1) which also corresponds to headline indicator 10.1</w:t>
      </w:r>
      <w:r w:rsidR="00781C70" w:rsidRPr="00ED7E61">
        <w:rPr>
          <w:rStyle w:val="normaltextrun"/>
          <w:rFonts w:eastAsiaTheme="majorEastAsia"/>
        </w:rPr>
        <w:t xml:space="preserve"> </w:t>
      </w:r>
      <w:r w:rsidRPr="00ED7E61">
        <w:rPr>
          <w:rStyle w:val="normaltextrun"/>
          <w:rFonts w:eastAsiaTheme="majorEastAsia"/>
        </w:rPr>
        <w:t>and sustainable forest management (15.2.1), which also corresponds to headline indicator 10.2, which incorporate elements of spatial planning. A selection of further initiatives and examples gathering information on elements of biodiversity inclusive spatial planning is provided under point 5e for guidance. No comprehensive and systematic overview and methodology exists as of today and as such this represents a gap which needs to be addressed. There is some limited information related to conservation strategies, ecoregional plans and integrated coastal zone management. However, how up to date this information is and the extent to which these plans are operational is uncertain. Similarly</w:t>
      </w:r>
      <w:r w:rsidR="00781C70" w:rsidRPr="00ED7E61">
        <w:rPr>
          <w:rStyle w:val="normaltextrun"/>
          <w:rFonts w:eastAsiaTheme="majorEastAsia"/>
        </w:rPr>
        <w:t>,</w:t>
      </w:r>
      <w:r w:rsidRPr="00ED7E61">
        <w:rPr>
          <w:rStyle w:val="normaltextrun"/>
          <w:rFonts w:eastAsiaTheme="majorEastAsia"/>
        </w:rPr>
        <w:t xml:space="preserve"> the extent to which such plans can be considered representative of spatial planning more generally is also uncertain. </w:t>
      </w:r>
      <w:r w:rsidRPr="00ED7E61">
        <w:rPr>
          <w:rStyle w:val="normaltextrun"/>
        </w:rPr>
        <w:t> </w:t>
      </w:r>
    </w:p>
    <w:p w14:paraId="13C88384" w14:textId="350E6E73"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 xml:space="preserve">The traditional knowledge indicators (discussed at the 12th Meeting of the Working Group on Article 8(j) and Related Provisions in November 2023) are cross-cutting indicators that underpin the achievement of several Goals and Targets of the </w:t>
      </w:r>
      <w:r w:rsidR="00781C70" w:rsidRPr="00ED7E61">
        <w:rPr>
          <w:rStyle w:val="normaltextrun"/>
          <w:rFonts w:eastAsiaTheme="majorEastAsia"/>
        </w:rPr>
        <w:t>Kunming-Montreal Global Biodiversity Framework</w:t>
      </w:r>
      <w:r w:rsidRPr="00ED7E61">
        <w:rPr>
          <w:rStyle w:val="normaltextrun"/>
          <w:rFonts w:eastAsiaTheme="majorEastAsia"/>
        </w:rPr>
        <w:t>. SBSTTA-25 (October 2023) “</w:t>
      </w:r>
      <w:r w:rsidRPr="00FB1598">
        <w:rPr>
          <w:rStyle w:val="normaltextrun"/>
          <w:rFonts w:eastAsiaTheme="majorEastAsia"/>
          <w:i/>
          <w:iCs/>
        </w:rPr>
        <w:t>Requests the Expert Group to fully take into account the work of the Ad Hoc Open-ended Intersessional Working Group on Article 8(j) and Related Provisions of the Convention on Biological Diversity on traditional knowledge indicators in order to further enhance the monitoring framework</w:t>
      </w:r>
      <w:r w:rsidR="004C2D9A" w:rsidRPr="00FB1598">
        <w:rPr>
          <w:rStyle w:val="normaltextrun"/>
          <w:rFonts w:eastAsiaTheme="majorEastAsia"/>
        </w:rPr>
        <w:t>”</w:t>
      </w:r>
      <w:r w:rsidRPr="00FB1598">
        <w:rPr>
          <w:rStyle w:val="normaltextrun"/>
          <w:rFonts w:eastAsiaTheme="majorEastAsia"/>
          <w:i/>
          <w:iCs/>
        </w:rPr>
        <w:t>;</w:t>
      </w:r>
      <w:r w:rsidRPr="00ED7E61">
        <w:rPr>
          <w:rStyle w:val="normaltextrun"/>
          <w:rFonts w:eastAsiaTheme="majorEastAsia"/>
        </w:rPr>
        <w:t xml:space="preserve"> (SBSTTA-25/1, paragraph 12). It is important to point out that </w:t>
      </w:r>
      <w:r w:rsidR="00781C70" w:rsidRPr="00ED7E61">
        <w:rPr>
          <w:rStyle w:val="normaltextrun"/>
          <w:rFonts w:eastAsiaTheme="majorEastAsia"/>
        </w:rPr>
        <w:t>i</w:t>
      </w:r>
      <w:r w:rsidRPr="00ED7E61">
        <w:rPr>
          <w:rStyle w:val="normaltextrun"/>
          <w:rFonts w:eastAsiaTheme="majorEastAsia"/>
        </w:rPr>
        <w:t xml:space="preserve">ndigenous </w:t>
      </w:r>
      <w:r w:rsidR="00781C70" w:rsidRPr="00ED7E61">
        <w:rPr>
          <w:rStyle w:val="normaltextrun"/>
          <w:rFonts w:eastAsiaTheme="majorEastAsia"/>
        </w:rPr>
        <w:t>p</w:t>
      </w:r>
      <w:r w:rsidRPr="00ED7E61">
        <w:rPr>
          <w:rStyle w:val="normaltextrun"/>
          <w:rFonts w:eastAsiaTheme="majorEastAsia"/>
        </w:rPr>
        <w:t>eople</w:t>
      </w:r>
      <w:r w:rsidR="00616510">
        <w:rPr>
          <w:rStyle w:val="normaltextrun"/>
          <w:rFonts w:eastAsiaTheme="majorEastAsia"/>
        </w:rPr>
        <w:t>s</w:t>
      </w:r>
      <w:r w:rsidRPr="00ED7E61">
        <w:rPr>
          <w:rStyle w:val="normaltextrun"/>
          <w:rFonts w:eastAsiaTheme="majorEastAsia"/>
        </w:rPr>
        <w:t xml:space="preserve"> and </w:t>
      </w:r>
      <w:r w:rsidR="00781C70" w:rsidRPr="00ED7E61">
        <w:rPr>
          <w:rStyle w:val="normaltextrun"/>
          <w:rFonts w:eastAsiaTheme="majorEastAsia"/>
        </w:rPr>
        <w:t>l</w:t>
      </w:r>
      <w:r w:rsidRPr="00ED7E61">
        <w:rPr>
          <w:rStyle w:val="normaltextrun"/>
          <w:rFonts w:eastAsiaTheme="majorEastAsia"/>
        </w:rPr>
        <w:t xml:space="preserve">ocal </w:t>
      </w:r>
      <w:r w:rsidR="00781C70" w:rsidRPr="00ED7E61">
        <w:rPr>
          <w:rStyle w:val="normaltextrun"/>
          <w:rFonts w:eastAsiaTheme="majorEastAsia"/>
        </w:rPr>
        <w:t>c</w:t>
      </w:r>
      <w:r w:rsidRPr="00ED7E61">
        <w:rPr>
          <w:rStyle w:val="normaltextrun"/>
          <w:rFonts w:eastAsiaTheme="majorEastAsia"/>
        </w:rPr>
        <w:t>ommunities lands, recognized and secure, could represent biodiversity-inclusive planning in practice (at certain scales).</w:t>
      </w:r>
      <w:r w:rsidRPr="00ED7E61">
        <w:rPr>
          <w:rStyle w:val="normaltextrun"/>
        </w:rPr>
        <w:t> </w:t>
      </w:r>
    </w:p>
    <w:p w14:paraId="0E6A0FF6" w14:textId="4852D82B"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Traditional knowledge indicators with notable relevance to this indicator on spatial planning are the following: “</w:t>
      </w:r>
      <w:r w:rsidRPr="00FB1598">
        <w:rPr>
          <w:rStyle w:val="normaltextrun"/>
          <w:rFonts w:eastAsiaTheme="majorEastAsia"/>
          <w:i/>
          <w:iCs/>
        </w:rPr>
        <w:t xml:space="preserve">Land use change and land tenure in the traditional territories of </w:t>
      </w:r>
      <w:r w:rsidR="00781C70" w:rsidRPr="00FB1598">
        <w:rPr>
          <w:rStyle w:val="normaltextrun"/>
          <w:rFonts w:eastAsiaTheme="majorEastAsia"/>
          <w:i/>
          <w:iCs/>
        </w:rPr>
        <w:t>i</w:t>
      </w:r>
      <w:r w:rsidRPr="00FB1598">
        <w:rPr>
          <w:rStyle w:val="normaltextrun"/>
          <w:rFonts w:eastAsiaTheme="majorEastAsia"/>
          <w:i/>
          <w:iCs/>
        </w:rPr>
        <w:t xml:space="preserve">ndigenous </w:t>
      </w:r>
      <w:r w:rsidR="00781C70" w:rsidRPr="00FB1598">
        <w:rPr>
          <w:rStyle w:val="normaltextrun"/>
          <w:rFonts w:eastAsiaTheme="majorEastAsia"/>
          <w:i/>
          <w:iCs/>
        </w:rPr>
        <w:t>p</w:t>
      </w:r>
      <w:r w:rsidRPr="00FB1598">
        <w:rPr>
          <w:rStyle w:val="normaltextrun"/>
          <w:rFonts w:eastAsiaTheme="majorEastAsia"/>
          <w:i/>
          <w:iCs/>
        </w:rPr>
        <w:t>eople</w:t>
      </w:r>
      <w:r w:rsidR="00616510">
        <w:rPr>
          <w:rStyle w:val="normaltextrun"/>
          <w:rFonts w:eastAsiaTheme="majorEastAsia"/>
          <w:i/>
          <w:iCs/>
        </w:rPr>
        <w:t>s</w:t>
      </w:r>
      <w:r w:rsidRPr="00FB1598">
        <w:rPr>
          <w:rStyle w:val="normaltextrun"/>
          <w:rFonts w:eastAsiaTheme="majorEastAsia"/>
          <w:i/>
          <w:iCs/>
        </w:rPr>
        <w:t xml:space="preserve"> and local communities</w:t>
      </w:r>
      <w:r w:rsidRPr="00ED7E61">
        <w:rPr>
          <w:rStyle w:val="normaltextrun"/>
          <w:rFonts w:eastAsiaTheme="majorEastAsia"/>
        </w:rPr>
        <w:t>”. </w:t>
      </w:r>
      <w:r w:rsidRPr="00ED7E61">
        <w:rPr>
          <w:rStyle w:val="normaltextrun"/>
        </w:rPr>
        <w:t> </w:t>
      </w:r>
    </w:p>
    <w:p w14:paraId="15F2FBE7" w14:textId="0501912A"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 xml:space="preserve">Addressing the intersession between the headline indicator on spatial planning and this </w:t>
      </w:r>
      <w:r w:rsidR="00781C70" w:rsidRPr="00ED7E61">
        <w:rPr>
          <w:rStyle w:val="normaltextrun"/>
          <w:rFonts w:eastAsiaTheme="majorEastAsia"/>
        </w:rPr>
        <w:t xml:space="preserve">traditional knowledge </w:t>
      </w:r>
      <w:r w:rsidRPr="00ED7E61">
        <w:rPr>
          <w:rStyle w:val="normaltextrun"/>
          <w:rFonts w:eastAsiaTheme="majorEastAsia"/>
        </w:rPr>
        <w:t xml:space="preserve">indicator can also support Parties to operationalise parts of Section C of the </w:t>
      </w:r>
      <w:r w:rsidR="00781C70" w:rsidRPr="00ED7E61">
        <w:rPr>
          <w:rStyle w:val="normaltextrun"/>
          <w:rFonts w:eastAsiaTheme="majorEastAsia"/>
        </w:rPr>
        <w:t>Kunming-Montreal Global Biodiversity Framework</w:t>
      </w:r>
      <w:r w:rsidRPr="00ED7E61">
        <w:rPr>
          <w:rStyle w:val="normaltextrun"/>
          <w:rFonts w:eastAsiaTheme="majorEastAsia"/>
        </w:rPr>
        <w:t>, particularly the section on “</w:t>
      </w:r>
      <w:r w:rsidR="00781C70" w:rsidRPr="00FB1598">
        <w:rPr>
          <w:rStyle w:val="normaltextrun"/>
          <w:rFonts w:eastAsiaTheme="majorEastAsia"/>
          <w:i/>
          <w:iCs/>
        </w:rPr>
        <w:t>c</w:t>
      </w:r>
      <w:r w:rsidRPr="00FB1598">
        <w:rPr>
          <w:rStyle w:val="normaltextrun"/>
          <w:rFonts w:eastAsiaTheme="majorEastAsia"/>
          <w:i/>
          <w:iCs/>
        </w:rPr>
        <w:t>ontribution and rights of indigenous people</w:t>
      </w:r>
      <w:r w:rsidR="00616510">
        <w:rPr>
          <w:rStyle w:val="normaltextrun"/>
          <w:rFonts w:eastAsiaTheme="majorEastAsia"/>
          <w:i/>
          <w:iCs/>
        </w:rPr>
        <w:t>s</w:t>
      </w:r>
      <w:r w:rsidRPr="00FB1598">
        <w:rPr>
          <w:rStyle w:val="normaltextrun"/>
          <w:rFonts w:eastAsiaTheme="majorEastAsia"/>
          <w:i/>
          <w:iCs/>
        </w:rPr>
        <w:t xml:space="preserve"> and local communities</w:t>
      </w:r>
      <w:r w:rsidRPr="00ED7E61">
        <w:rPr>
          <w:rStyle w:val="normaltextrun"/>
          <w:rFonts w:eastAsiaTheme="majorEastAsia"/>
        </w:rPr>
        <w:t>”.</w:t>
      </w:r>
      <w:r w:rsidRPr="00ED7E61">
        <w:rPr>
          <w:rStyle w:val="normaltextrun"/>
        </w:rPr>
        <w:t> </w:t>
      </w:r>
    </w:p>
    <w:p w14:paraId="25B694D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6879310E" w14:textId="77777777" w:rsidR="00756F0F" w:rsidRPr="00ED7E61" w:rsidRDefault="00756F0F" w:rsidP="00222E6C">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w:t>
      </w:r>
      <w:r w:rsidRPr="00ED7E61">
        <w:rPr>
          <w:rStyle w:val="eop"/>
          <w:rFonts w:asciiTheme="majorBidi" w:eastAsiaTheme="majorEastAsia" w:hAnsiTheme="majorBidi" w:cstheme="majorBidi"/>
          <w:sz w:val="22"/>
          <w:szCs w:val="22"/>
        </w:rPr>
        <w:t> </w:t>
      </w:r>
    </w:p>
    <w:p w14:paraId="0C5BD954" w14:textId="77777777" w:rsidR="00756F0F" w:rsidRPr="00ED7E61" w:rsidRDefault="00756F0F" w:rsidP="00222E6C">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Indicator definition</w:t>
      </w:r>
      <w:r w:rsidRPr="00ED7E61">
        <w:rPr>
          <w:rStyle w:val="eop"/>
          <w:rFonts w:asciiTheme="majorBidi" w:eastAsiaTheme="majorEastAsia" w:hAnsiTheme="majorBidi" w:cstheme="majorBidi"/>
          <w:sz w:val="22"/>
          <w:szCs w:val="22"/>
        </w:rPr>
        <w:t> </w:t>
      </w:r>
    </w:p>
    <w:p w14:paraId="3AAD2CEE" w14:textId="77777777"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This indicator is linked to the corresponding headline binary/categorical indicator 1.1 "</w:t>
      </w:r>
      <w:r w:rsidRPr="00FB1598">
        <w:rPr>
          <w:rStyle w:val="normaltextrun"/>
          <w:rFonts w:eastAsiaTheme="majorEastAsia"/>
          <w:i/>
          <w:iCs/>
        </w:rPr>
        <w:t>Number of countries using participatory, biodiversity-inclusive spatial planning or effective management processes to address land and sea use change</w:t>
      </w:r>
      <w:r w:rsidRPr="00ED7E61">
        <w:rPr>
          <w:rStyle w:val="normaltextrun"/>
          <w:rFonts w:eastAsiaTheme="majorEastAsia"/>
        </w:rPr>
        <w:t>" and is based on the same concepts and definitions (table 1).</w:t>
      </w:r>
      <w:r w:rsidRPr="00ED7E61">
        <w:rPr>
          <w:rStyle w:val="normaltextrun"/>
        </w:rPr>
        <w:t> </w:t>
      </w:r>
    </w:p>
    <w:p w14:paraId="14918C47" w14:textId="35858B62" w:rsidR="00756F0F" w:rsidRPr="00222E6C" w:rsidRDefault="00756F0F" w:rsidP="00781C70">
      <w:pPr>
        <w:pStyle w:val="paragraph"/>
        <w:spacing w:before="0" w:beforeAutospacing="0" w:after="0" w:afterAutospacing="0"/>
        <w:textAlignment w:val="baseline"/>
        <w:rPr>
          <w:rFonts w:asciiTheme="majorBidi" w:hAnsiTheme="majorBidi" w:cstheme="majorBidi"/>
          <w:b/>
          <w:bCs/>
          <w:sz w:val="22"/>
          <w:szCs w:val="22"/>
        </w:rPr>
      </w:pPr>
      <w:r w:rsidRPr="00ED7E61">
        <w:rPr>
          <w:rStyle w:val="eop"/>
          <w:rFonts w:asciiTheme="majorBidi" w:eastAsiaTheme="majorEastAsia" w:hAnsiTheme="majorBidi" w:cstheme="majorBidi"/>
          <w:sz w:val="22"/>
          <w:szCs w:val="22"/>
        </w:rPr>
        <w:t> </w:t>
      </w:r>
      <w:r w:rsidRPr="00222E6C">
        <w:rPr>
          <w:rStyle w:val="normaltextrun"/>
          <w:rFonts w:asciiTheme="majorBidi" w:eastAsiaTheme="majorEastAsia" w:hAnsiTheme="majorBidi" w:cstheme="majorBidi"/>
          <w:sz w:val="22"/>
          <w:szCs w:val="22"/>
        </w:rPr>
        <w:t>Table 1</w:t>
      </w:r>
      <w:r w:rsidRPr="00ED7E61">
        <w:rPr>
          <w:rStyle w:val="normaltextrun"/>
          <w:rFonts w:asciiTheme="majorBidi" w:eastAsiaTheme="majorEastAsia" w:hAnsiTheme="majorBidi" w:cstheme="majorBidi"/>
          <w:b/>
          <w:bCs/>
          <w:i/>
          <w:iCs/>
          <w:sz w:val="22"/>
          <w:szCs w:val="22"/>
        </w:rPr>
        <w:t xml:space="preserve"> </w:t>
      </w:r>
      <w:r w:rsidR="00222E6C">
        <w:rPr>
          <w:rStyle w:val="normaltextrun"/>
          <w:rFonts w:asciiTheme="majorBidi" w:eastAsiaTheme="majorEastAsia" w:hAnsiTheme="majorBidi" w:cstheme="majorBidi"/>
          <w:b/>
          <w:bCs/>
          <w:i/>
          <w:iCs/>
          <w:sz w:val="22"/>
          <w:szCs w:val="22"/>
        </w:rPr>
        <w:br/>
      </w:r>
      <w:r w:rsidRPr="00222E6C">
        <w:rPr>
          <w:rStyle w:val="normaltextrun"/>
          <w:rFonts w:asciiTheme="majorBidi" w:eastAsiaTheme="majorEastAsia" w:hAnsiTheme="majorBidi" w:cstheme="majorBidi"/>
          <w:b/>
          <w:bCs/>
          <w:sz w:val="22"/>
          <w:szCs w:val="22"/>
        </w:rPr>
        <w:t>Definition and concepts for indicator</w:t>
      </w:r>
      <w:r w:rsidRPr="00222E6C">
        <w:rPr>
          <w:rStyle w:val="eop"/>
          <w:rFonts w:asciiTheme="majorBidi" w:eastAsiaTheme="majorEastAsia" w:hAnsiTheme="majorBidi" w:cstheme="majorBidi"/>
          <w:b/>
          <w:bCs/>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335"/>
      </w:tblGrid>
      <w:tr w:rsidR="00756F0F" w:rsidRPr="00222E6C" w14:paraId="5B7FDF8F" w14:textId="77777777" w:rsidTr="00756F0F">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E59EDC"/>
            <w:hideMark/>
          </w:tcPr>
          <w:p w14:paraId="2EBF48D9"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i/>
                <w:iCs/>
                <w:sz w:val="20"/>
                <w:szCs w:val="20"/>
              </w:rPr>
            </w:pPr>
            <w:r w:rsidRPr="00222E6C">
              <w:rPr>
                <w:rStyle w:val="normaltextrun"/>
                <w:rFonts w:asciiTheme="majorBidi" w:eastAsiaTheme="majorEastAsia" w:hAnsiTheme="majorBidi" w:cstheme="majorBidi"/>
                <w:i/>
                <w:iCs/>
                <w:sz w:val="20"/>
                <w:szCs w:val="20"/>
                <w:lang w:val="en-GB"/>
              </w:rPr>
              <w:t>Conceptual basis</w:t>
            </w:r>
            <w:r w:rsidRPr="00222E6C">
              <w:rPr>
                <w:rStyle w:val="eop"/>
                <w:rFonts w:asciiTheme="majorBidi" w:eastAsiaTheme="majorEastAsia" w:hAnsiTheme="majorBidi" w:cstheme="majorBidi"/>
                <w:i/>
                <w:iCs/>
                <w:sz w:val="20"/>
                <w:szCs w:val="20"/>
              </w:rPr>
              <w:t> </w:t>
            </w:r>
          </w:p>
        </w:tc>
        <w:tc>
          <w:tcPr>
            <w:tcW w:w="4335" w:type="dxa"/>
            <w:tcBorders>
              <w:top w:val="single" w:sz="6" w:space="0" w:color="auto"/>
              <w:left w:val="single" w:sz="6" w:space="0" w:color="auto"/>
              <w:bottom w:val="single" w:sz="6" w:space="0" w:color="auto"/>
              <w:right w:val="single" w:sz="6" w:space="0" w:color="auto"/>
            </w:tcBorders>
            <w:shd w:val="clear" w:color="auto" w:fill="E59EDC"/>
            <w:hideMark/>
          </w:tcPr>
          <w:p w14:paraId="7B5A8A7D"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i/>
                <w:iCs/>
                <w:sz w:val="20"/>
                <w:szCs w:val="20"/>
              </w:rPr>
            </w:pPr>
            <w:r w:rsidRPr="00222E6C">
              <w:rPr>
                <w:rStyle w:val="normaltextrun"/>
                <w:rFonts w:asciiTheme="majorBidi" w:eastAsiaTheme="majorEastAsia" w:hAnsiTheme="majorBidi" w:cstheme="majorBidi"/>
                <w:i/>
                <w:iCs/>
                <w:sz w:val="20"/>
                <w:szCs w:val="20"/>
                <w:lang w:val="en-GB"/>
              </w:rPr>
              <w:t>Definition</w:t>
            </w:r>
            <w:r w:rsidRPr="00222E6C">
              <w:rPr>
                <w:rStyle w:val="eop"/>
                <w:rFonts w:asciiTheme="majorBidi" w:eastAsiaTheme="majorEastAsia" w:hAnsiTheme="majorBidi" w:cstheme="majorBidi"/>
                <w:i/>
                <w:iCs/>
                <w:sz w:val="20"/>
                <w:szCs w:val="20"/>
              </w:rPr>
              <w:t> </w:t>
            </w:r>
          </w:p>
        </w:tc>
      </w:tr>
      <w:tr w:rsidR="00756F0F" w:rsidRPr="00222E6C" w14:paraId="4D3CC6D4" w14:textId="77777777" w:rsidTr="00756F0F">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3B05E6B"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b/>
                <w:bCs/>
                <w:sz w:val="20"/>
                <w:szCs w:val="20"/>
                <w:lang w:val="en-GB"/>
              </w:rPr>
              <w:t>Biodiversity-inclusive</w:t>
            </w:r>
            <w:r w:rsidRPr="00222E6C">
              <w:rPr>
                <w:rStyle w:val="normaltextrun"/>
                <w:rFonts w:asciiTheme="majorBidi" w:eastAsiaTheme="majorEastAsia" w:hAnsiTheme="majorBidi" w:cstheme="majorBidi"/>
                <w:sz w:val="20"/>
                <w:szCs w:val="20"/>
                <w:lang w:val="en-GB"/>
              </w:rPr>
              <w:t>: Biodiversity-inclusive is recognized in COP 8 Decision VIII/28 but not sufficient for headline binary/categorical indicator and this indicator. The definition of biodiversity-inclusive is expected to reflect the purpose of target 1 to mainstream biodiversity in spatial plans and in the planning process. “</w:t>
            </w:r>
            <w:r w:rsidRPr="00222E6C">
              <w:rPr>
                <w:rStyle w:val="normaltextrun"/>
                <w:rFonts w:asciiTheme="majorBidi" w:eastAsiaTheme="majorEastAsia" w:hAnsiTheme="majorBidi" w:cstheme="majorBidi"/>
                <w:i/>
                <w:iCs/>
                <w:sz w:val="20"/>
                <w:szCs w:val="20"/>
                <w:lang w:val="en-GB"/>
              </w:rPr>
              <w:t>Inclusive</w:t>
            </w:r>
            <w:r w:rsidRPr="00222E6C">
              <w:rPr>
                <w:rStyle w:val="normaltextrun"/>
                <w:rFonts w:asciiTheme="majorBidi" w:eastAsiaTheme="majorEastAsia" w:hAnsiTheme="majorBidi" w:cstheme="majorBidi"/>
                <w:sz w:val="20"/>
                <w:szCs w:val="20"/>
                <w:lang w:val="en-GB"/>
              </w:rPr>
              <w:t>” is not the same as prioritizing biodiversity for protection in plans. To be consistent with the definition and possible answers in the corresponding headline binary/categorical indicator, the definition aims at reflecting the different dimensions of biodiversity inclusive (e.g. protected areas, key biodiversity areas, ecological integrity).  </w:t>
            </w:r>
            <w:r w:rsidRPr="00222E6C">
              <w:rPr>
                <w:rStyle w:val="eop"/>
                <w:rFonts w:asciiTheme="majorBidi" w:eastAsiaTheme="majorEastAsia" w:hAnsiTheme="majorBidi" w:cstheme="majorBidi"/>
                <w:sz w:val="20"/>
                <w:szCs w:val="20"/>
              </w:rPr>
              <w:t> </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3023172C"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b/>
                <w:bCs/>
                <w:sz w:val="20"/>
                <w:szCs w:val="20"/>
                <w:lang w:val="en-GB"/>
              </w:rPr>
              <w:t>Biodiversity inclusive approach</w:t>
            </w:r>
            <w:r w:rsidRPr="00222E6C">
              <w:rPr>
                <w:rStyle w:val="normaltextrun"/>
                <w:rFonts w:asciiTheme="majorBidi" w:eastAsiaTheme="majorEastAsia" w:hAnsiTheme="majorBidi" w:cstheme="majorBidi"/>
                <w:sz w:val="20"/>
                <w:szCs w:val="20"/>
                <w:lang w:val="en-GB"/>
              </w:rPr>
              <w:t>: "</w:t>
            </w:r>
            <w:r w:rsidRPr="00222E6C">
              <w:rPr>
                <w:rStyle w:val="normaltextrun"/>
                <w:rFonts w:asciiTheme="majorBidi" w:eastAsiaTheme="majorEastAsia" w:hAnsiTheme="majorBidi" w:cstheme="majorBidi"/>
                <w:i/>
                <w:iCs/>
                <w:sz w:val="20"/>
                <w:szCs w:val="20"/>
                <w:lang w:val="en-GB"/>
              </w:rPr>
              <w:t>taking into account all relevant information to safeguard biodiversity in spatial planning processes.</w:t>
            </w:r>
            <w:r w:rsidRPr="00222E6C">
              <w:rPr>
                <w:rStyle w:val="normaltextrun"/>
                <w:rFonts w:asciiTheme="majorBidi" w:eastAsiaTheme="majorEastAsia" w:hAnsiTheme="majorBidi" w:cstheme="majorBidi"/>
                <w:sz w:val="20"/>
                <w:szCs w:val="20"/>
                <w:lang w:val="en-GB"/>
              </w:rPr>
              <w:t>"</w:t>
            </w:r>
            <w:r w:rsidRPr="00222E6C">
              <w:rPr>
                <w:rStyle w:val="eop"/>
                <w:rFonts w:asciiTheme="majorBidi" w:eastAsiaTheme="majorEastAsia" w:hAnsiTheme="majorBidi" w:cstheme="majorBidi"/>
                <w:sz w:val="20"/>
                <w:szCs w:val="20"/>
              </w:rPr>
              <w:t> </w:t>
            </w:r>
          </w:p>
        </w:tc>
      </w:tr>
      <w:tr w:rsidR="00756F0F" w:rsidRPr="00222E6C" w14:paraId="2F859FD5" w14:textId="77777777" w:rsidTr="00756F0F">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FA496AC"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b/>
                <w:bCs/>
                <w:sz w:val="20"/>
                <w:szCs w:val="20"/>
                <w:lang w:val="en-GB"/>
              </w:rPr>
              <w:t>Effective management process [addressing land- and sea-use change]</w:t>
            </w:r>
            <w:r w:rsidRPr="00222E6C">
              <w:rPr>
                <w:rStyle w:val="eop"/>
                <w:rFonts w:asciiTheme="majorBidi" w:eastAsiaTheme="majorEastAsia" w:hAnsiTheme="majorBidi" w:cstheme="majorBidi"/>
                <w:sz w:val="20"/>
                <w:szCs w:val="20"/>
              </w:rPr>
              <w:t> </w:t>
            </w:r>
          </w:p>
          <w:p w14:paraId="58350E4A"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sz w:val="20"/>
                <w:szCs w:val="20"/>
                <w:lang w:val="en-GB"/>
              </w:rPr>
              <w:t>The proposed definition is drawn upon the PAME definition (</w:t>
            </w:r>
            <w:hyperlink r:id="rId283" w:tgtFrame="_blank" w:history="1">
              <w:r w:rsidRPr="00222E6C">
                <w:rPr>
                  <w:rStyle w:val="normaltextrun"/>
                  <w:rFonts w:asciiTheme="majorBidi" w:eastAsiaTheme="majorEastAsia" w:hAnsiTheme="majorBidi" w:cstheme="majorBidi"/>
                  <w:color w:val="467886"/>
                  <w:sz w:val="20"/>
                  <w:szCs w:val="20"/>
                  <w:u w:val="single"/>
                  <w:lang w:val="en-GB"/>
                </w:rPr>
                <w:t>Hockings et. al 2006</w:t>
              </w:r>
            </w:hyperlink>
            <w:r w:rsidRPr="00222E6C">
              <w:rPr>
                <w:rStyle w:val="normaltextrun"/>
                <w:rFonts w:asciiTheme="majorBidi" w:eastAsiaTheme="majorEastAsia" w:hAnsiTheme="majorBidi" w:cstheme="majorBidi"/>
                <w:sz w:val="20"/>
                <w:szCs w:val="20"/>
                <w:lang w:val="en-GB"/>
              </w:rPr>
              <w:t>), making sure to capture and include traditional management areas (many of these concepts may overlap with OECMs but not registered as OECMs). </w:t>
            </w:r>
            <w:r w:rsidRPr="00222E6C">
              <w:rPr>
                <w:rStyle w:val="eop"/>
                <w:rFonts w:asciiTheme="majorBidi" w:eastAsiaTheme="majorEastAsia" w:hAnsiTheme="majorBidi" w:cstheme="majorBidi"/>
                <w:sz w:val="20"/>
                <w:szCs w:val="20"/>
              </w:rPr>
              <w:t> </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06720381"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b/>
                <w:bCs/>
                <w:sz w:val="20"/>
                <w:szCs w:val="20"/>
                <w:lang w:val="en-GB"/>
              </w:rPr>
              <w:t>Effective management process</w:t>
            </w:r>
            <w:r w:rsidRPr="00222E6C">
              <w:rPr>
                <w:rStyle w:val="normaltextrun"/>
                <w:rFonts w:asciiTheme="majorBidi" w:eastAsiaTheme="majorEastAsia" w:hAnsiTheme="majorBidi" w:cstheme="majorBidi"/>
                <w:sz w:val="20"/>
                <w:szCs w:val="20"/>
                <w:lang w:val="en-GB"/>
              </w:rPr>
              <w:t>: “</w:t>
            </w:r>
            <w:r w:rsidRPr="00222E6C">
              <w:rPr>
                <w:rStyle w:val="normaltextrun"/>
                <w:rFonts w:asciiTheme="majorBidi" w:eastAsiaTheme="majorEastAsia" w:hAnsiTheme="majorBidi" w:cstheme="majorBidi"/>
                <w:i/>
                <w:iCs/>
                <w:sz w:val="20"/>
                <w:szCs w:val="20"/>
                <w:lang w:val="en-GB"/>
              </w:rPr>
              <w:t>Activities through which evidence-based conservation outcomes are achieved</w:t>
            </w:r>
            <w:r w:rsidRPr="00222E6C">
              <w:rPr>
                <w:rStyle w:val="normaltextrun"/>
                <w:rFonts w:asciiTheme="majorBidi" w:eastAsiaTheme="majorEastAsia" w:hAnsiTheme="majorBidi" w:cstheme="majorBidi"/>
                <w:sz w:val="20"/>
                <w:szCs w:val="20"/>
                <w:lang w:val="en-GB"/>
              </w:rPr>
              <w:t>.”</w:t>
            </w:r>
            <w:r w:rsidRPr="00222E6C">
              <w:rPr>
                <w:rStyle w:val="eop"/>
                <w:rFonts w:asciiTheme="majorBidi" w:eastAsiaTheme="majorEastAsia" w:hAnsiTheme="majorBidi" w:cstheme="majorBidi"/>
                <w:sz w:val="20"/>
                <w:szCs w:val="20"/>
              </w:rPr>
              <w:t> </w:t>
            </w:r>
          </w:p>
          <w:p w14:paraId="5EFD1E70"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eop"/>
                <w:rFonts w:asciiTheme="majorBidi" w:eastAsiaTheme="majorEastAsia" w:hAnsiTheme="majorBidi" w:cstheme="majorBidi"/>
                <w:sz w:val="20"/>
                <w:szCs w:val="20"/>
              </w:rPr>
              <w:t> </w:t>
            </w:r>
          </w:p>
        </w:tc>
      </w:tr>
      <w:tr w:rsidR="00756F0F" w:rsidRPr="00222E6C" w14:paraId="733BC609" w14:textId="77777777" w:rsidTr="00756F0F">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34516C7F"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b/>
                <w:bCs/>
                <w:sz w:val="20"/>
                <w:szCs w:val="20"/>
                <w:lang w:val="en-GB"/>
              </w:rPr>
              <w:t>Spatial planning </w:t>
            </w:r>
            <w:r w:rsidRPr="00222E6C">
              <w:rPr>
                <w:rStyle w:val="eop"/>
                <w:rFonts w:asciiTheme="majorBidi" w:eastAsiaTheme="majorEastAsia" w:hAnsiTheme="majorBidi" w:cstheme="majorBidi"/>
                <w:sz w:val="20"/>
                <w:szCs w:val="20"/>
              </w:rPr>
              <w:t> </w:t>
            </w:r>
          </w:p>
          <w:p w14:paraId="32BC0DDE" w14:textId="47722BB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sz w:val="20"/>
                <w:szCs w:val="20"/>
                <w:lang w:val="en-GB"/>
              </w:rPr>
              <w:t xml:space="preserve">Spatial planning is generally understood as a method or public process for identifying, analysing and allocating the spatial and temporal distribution of activities in a given environment in order to achieve various objectives, including social, economic and ecological (such as biodiversity), that have been specified through a political process. Spatial planning includes land-use planning, marine spatial planning, etc. </w:t>
            </w:r>
            <w:hyperlink r:id="rId284" w:tgtFrame="_blank" w:history="1">
              <w:r w:rsidRPr="00222E6C">
                <w:rPr>
                  <w:rStyle w:val="normaltextrun"/>
                  <w:rFonts w:asciiTheme="majorBidi" w:eastAsiaTheme="majorEastAsia" w:hAnsiTheme="majorBidi" w:cstheme="majorBidi"/>
                  <w:color w:val="0000FF"/>
                  <w:sz w:val="20"/>
                  <w:szCs w:val="20"/>
                  <w:u w:val="single"/>
                  <w:lang w:val="en-GB"/>
                </w:rPr>
                <w:t>Glossary for the first draft of the post-2020 global biodiversity framework (cbd.int)</w:t>
              </w:r>
            </w:hyperlink>
            <w:r w:rsidRPr="00222E6C">
              <w:rPr>
                <w:rStyle w:val="normaltextrun"/>
                <w:rFonts w:asciiTheme="majorBidi" w:eastAsiaTheme="majorEastAsia" w:hAnsiTheme="majorBidi" w:cstheme="majorBidi"/>
                <w:sz w:val="20"/>
                <w:szCs w:val="20"/>
                <w:lang w:val="en-GB"/>
              </w:rPr>
              <w:t xml:space="preserve"> (from </w:t>
            </w:r>
            <w:hyperlink r:id="rId285" w:tgtFrame="_blank" w:history="1">
              <w:r w:rsidRPr="00222E6C">
                <w:rPr>
                  <w:rStyle w:val="normaltextrun"/>
                  <w:rFonts w:asciiTheme="majorBidi" w:eastAsiaTheme="majorEastAsia" w:hAnsiTheme="majorBidi" w:cstheme="majorBidi"/>
                  <w:color w:val="0000FF"/>
                  <w:sz w:val="20"/>
                  <w:szCs w:val="20"/>
                  <w:u w:val="single"/>
                  <w:lang w:val="en-GB"/>
                </w:rPr>
                <w:t>Land Use and Spatial Planning : Enabling Sustainable Management of Land Resources | SpringerLink</w:t>
              </w:r>
            </w:hyperlink>
            <w:r w:rsidR="007C2A90" w:rsidRPr="00222E6C">
              <w:rPr>
                <w:rStyle w:val="normaltextrun"/>
                <w:rFonts w:asciiTheme="majorBidi" w:eastAsiaTheme="majorEastAsia" w:hAnsiTheme="majorBidi" w:cstheme="majorBidi"/>
                <w:color w:val="0000FF"/>
                <w:sz w:val="20"/>
                <w:szCs w:val="20"/>
                <w:u w:val="single"/>
                <w:lang w:val="en-GB"/>
              </w:rPr>
              <w:t>,</w:t>
            </w:r>
            <w:r w:rsidRPr="00222E6C">
              <w:rPr>
                <w:rStyle w:val="normaltextrun"/>
                <w:rFonts w:asciiTheme="majorBidi" w:eastAsiaTheme="majorEastAsia" w:hAnsiTheme="majorBidi" w:cstheme="majorBidi"/>
                <w:color w:val="0000FF"/>
                <w:sz w:val="20"/>
                <w:szCs w:val="20"/>
                <w:u w:val="single"/>
                <w:lang w:val="en-GB"/>
              </w:rPr>
              <w:t xml:space="preserve"> </w:t>
            </w:r>
            <w:hyperlink r:id="rId286" w:tgtFrame="_blank" w:history="1">
              <w:r w:rsidRPr="00222E6C">
                <w:rPr>
                  <w:rStyle w:val="normaltextrun"/>
                  <w:rFonts w:asciiTheme="majorBidi" w:eastAsiaTheme="majorEastAsia" w:hAnsiTheme="majorBidi" w:cstheme="majorBidi"/>
                  <w:color w:val="467886"/>
                  <w:sz w:val="20"/>
                  <w:szCs w:val="20"/>
                  <w:u w:val="single"/>
                  <w:lang w:val="en-GB"/>
                </w:rPr>
                <w:t>State of the ocean report 2022</w:t>
              </w:r>
            </w:hyperlink>
            <w:r w:rsidR="007C2A90" w:rsidRPr="00222E6C">
              <w:rPr>
                <w:rStyle w:val="normaltextrun"/>
                <w:rFonts w:asciiTheme="majorBidi" w:eastAsiaTheme="majorEastAsia" w:hAnsiTheme="majorBidi" w:cstheme="majorBidi"/>
                <w:color w:val="467886"/>
                <w:sz w:val="20"/>
                <w:szCs w:val="20"/>
                <w:u w:val="single"/>
                <w:lang w:val="en-GB"/>
              </w:rPr>
              <w:t>,</w:t>
            </w:r>
            <w:r w:rsidR="007C2A90" w:rsidRPr="00222E6C">
              <w:rPr>
                <w:rStyle w:val="normaltextrun"/>
                <w:rFonts w:eastAsiaTheme="majorEastAsia"/>
                <w:color w:val="467886"/>
                <w:sz w:val="20"/>
                <w:szCs w:val="20"/>
                <w:u w:val="single"/>
              </w:rPr>
              <w:t xml:space="preserve"> Marine spatial planning: a step-by-step approach toward ecosystem-based management (UNESCO-IOC, 2009) and MSPglobal: international guide on marine/maritime spatial planning (UNESCO-IOC and European Commission, 2021)</w:t>
            </w:r>
            <w:r w:rsidRPr="00222E6C">
              <w:rPr>
                <w:rStyle w:val="normaltextrun"/>
                <w:rFonts w:asciiTheme="majorBidi" w:eastAsiaTheme="majorEastAsia" w:hAnsiTheme="majorBidi" w:cstheme="majorBidi"/>
                <w:sz w:val="20"/>
                <w:szCs w:val="20"/>
                <w:lang w:val="en-GB"/>
              </w:rPr>
              <w:t>)</w:t>
            </w:r>
            <w:r w:rsidRPr="00222E6C">
              <w:rPr>
                <w:rStyle w:val="eop"/>
                <w:rFonts w:asciiTheme="majorBidi" w:eastAsiaTheme="majorEastAsia" w:hAnsiTheme="majorBidi" w:cstheme="majorBidi"/>
                <w:sz w:val="20"/>
                <w:szCs w:val="20"/>
              </w:rPr>
              <w:t> </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736CCD4B"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b/>
                <w:bCs/>
                <w:sz w:val="20"/>
                <w:szCs w:val="20"/>
                <w:lang w:val="en-GB"/>
              </w:rPr>
              <w:t>Integrated spatial planning</w:t>
            </w:r>
            <w:r w:rsidRPr="00222E6C">
              <w:rPr>
                <w:rStyle w:val="normaltextrun"/>
                <w:rFonts w:asciiTheme="majorBidi" w:eastAsiaTheme="majorEastAsia" w:hAnsiTheme="majorBidi" w:cstheme="majorBidi"/>
                <w:sz w:val="20"/>
                <w:szCs w:val="20"/>
                <w:lang w:val="en-GB"/>
              </w:rPr>
              <w:t>: "</w:t>
            </w:r>
            <w:r w:rsidRPr="00222E6C">
              <w:rPr>
                <w:rStyle w:val="normaltextrun"/>
                <w:rFonts w:asciiTheme="majorBidi" w:eastAsiaTheme="majorEastAsia" w:hAnsiTheme="majorBidi" w:cstheme="majorBidi"/>
                <w:i/>
                <w:iCs/>
                <w:sz w:val="20"/>
                <w:szCs w:val="20"/>
                <w:lang w:val="en-GB"/>
              </w:rPr>
              <w:t>a whole-of-government process to create land and sea use plans to achieve social, economic and ecological objectives for sustainable development</w:t>
            </w:r>
            <w:r w:rsidRPr="00222E6C">
              <w:rPr>
                <w:rStyle w:val="normaltextrun"/>
                <w:rFonts w:asciiTheme="majorBidi" w:eastAsiaTheme="majorEastAsia" w:hAnsiTheme="majorBidi" w:cstheme="majorBidi"/>
                <w:sz w:val="20"/>
                <w:szCs w:val="20"/>
                <w:lang w:val="en-GB"/>
              </w:rPr>
              <w:t xml:space="preserve">." (modified by </w:t>
            </w:r>
            <w:hyperlink r:id="rId287" w:tgtFrame="_blank" w:history="1">
              <w:r w:rsidRPr="00222E6C">
                <w:rPr>
                  <w:rStyle w:val="normaltextrun"/>
                  <w:rFonts w:asciiTheme="majorBidi" w:eastAsiaTheme="majorEastAsia" w:hAnsiTheme="majorBidi" w:cstheme="majorBidi"/>
                  <w:color w:val="0000FF"/>
                  <w:sz w:val="20"/>
                  <w:szCs w:val="20"/>
                  <w:u w:val="single"/>
                  <w:lang w:val="en-GB"/>
                </w:rPr>
                <w:t>Integrated Spatial Planning Workbook | United Nations Development Programme (undp.org))</w:t>
              </w:r>
            </w:hyperlink>
            <w:r w:rsidRPr="00222E6C">
              <w:rPr>
                <w:rStyle w:val="eop"/>
                <w:rFonts w:asciiTheme="majorBidi" w:eastAsiaTheme="majorEastAsia" w:hAnsiTheme="majorBidi" w:cstheme="majorBidi"/>
                <w:sz w:val="20"/>
                <w:szCs w:val="20"/>
              </w:rPr>
              <w:t> </w:t>
            </w:r>
          </w:p>
          <w:p w14:paraId="300CB9AC"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eop"/>
                <w:rFonts w:asciiTheme="majorBidi" w:eastAsiaTheme="majorEastAsia" w:hAnsiTheme="majorBidi" w:cstheme="majorBidi"/>
                <w:sz w:val="20"/>
                <w:szCs w:val="20"/>
              </w:rPr>
              <w:t> </w:t>
            </w:r>
          </w:p>
        </w:tc>
      </w:tr>
      <w:tr w:rsidR="00756F0F" w:rsidRPr="00222E6C" w14:paraId="774310F6" w14:textId="77777777" w:rsidTr="00756F0F">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7293D35"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b/>
                <w:bCs/>
                <w:sz w:val="20"/>
                <w:szCs w:val="20"/>
                <w:lang w:val="en-GB"/>
              </w:rPr>
              <w:t>Participatory</w:t>
            </w:r>
            <w:r w:rsidRPr="00222E6C">
              <w:rPr>
                <w:rStyle w:val="eop"/>
                <w:rFonts w:asciiTheme="majorBidi" w:eastAsiaTheme="majorEastAsia" w:hAnsiTheme="majorBidi" w:cstheme="majorBidi"/>
                <w:sz w:val="20"/>
                <w:szCs w:val="20"/>
              </w:rPr>
              <w:t> </w:t>
            </w:r>
          </w:p>
          <w:p w14:paraId="641DF07F"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sz w:val="20"/>
                <w:szCs w:val="20"/>
                <w:lang w:val="en-GB"/>
              </w:rPr>
              <w:t>The definition is a synthesis of key concepts merging previously suggested definitions (such as "</w:t>
            </w:r>
            <w:r w:rsidRPr="00222E6C">
              <w:rPr>
                <w:rStyle w:val="normaltextrun"/>
                <w:rFonts w:asciiTheme="majorBidi" w:eastAsiaTheme="majorEastAsia" w:hAnsiTheme="majorBidi" w:cstheme="majorBidi"/>
                <w:i/>
                <w:iCs/>
                <w:sz w:val="20"/>
                <w:szCs w:val="20"/>
                <w:lang w:val="en-GB"/>
              </w:rPr>
              <w:t>rights-based governance</w:t>
            </w:r>
            <w:r w:rsidRPr="00222E6C">
              <w:rPr>
                <w:rStyle w:val="normaltextrun"/>
                <w:rFonts w:asciiTheme="majorBidi" w:eastAsiaTheme="majorEastAsia" w:hAnsiTheme="majorBidi" w:cstheme="majorBidi"/>
                <w:sz w:val="20"/>
                <w:szCs w:val="20"/>
                <w:lang w:val="en-GB"/>
              </w:rPr>
              <w:t xml:space="preserve">" in </w:t>
            </w:r>
            <w:hyperlink r:id="rId288" w:tgtFrame="_blank" w:history="1">
              <w:r w:rsidRPr="00222E6C">
                <w:rPr>
                  <w:rStyle w:val="normaltextrun"/>
                  <w:rFonts w:asciiTheme="majorBidi" w:eastAsiaTheme="majorEastAsia" w:hAnsiTheme="majorBidi" w:cstheme="majorBidi"/>
                  <w:color w:val="467886"/>
                  <w:sz w:val="20"/>
                  <w:szCs w:val="20"/>
                  <w:u w:val="single"/>
                  <w:lang w:val="en-GB"/>
                </w:rPr>
                <w:t>Springer et al. 2021</w:t>
              </w:r>
            </w:hyperlink>
            <w:r w:rsidRPr="00222E6C">
              <w:rPr>
                <w:rStyle w:val="normaltextrun"/>
                <w:rFonts w:asciiTheme="majorBidi" w:eastAsiaTheme="majorEastAsia" w:hAnsiTheme="majorBidi" w:cstheme="majorBidi"/>
                <w:sz w:val="20"/>
                <w:szCs w:val="20"/>
                <w:lang w:val="en-GB"/>
              </w:rPr>
              <w:t xml:space="preserve"> and </w:t>
            </w:r>
            <w:r w:rsidRPr="00222E6C">
              <w:rPr>
                <w:rStyle w:val="normaltextrun"/>
                <w:rFonts w:asciiTheme="majorBidi" w:eastAsiaTheme="majorEastAsia" w:hAnsiTheme="majorBidi" w:cstheme="majorBidi"/>
                <w:sz w:val="20"/>
                <w:szCs w:val="20"/>
                <w:lang w:val="en-US"/>
              </w:rPr>
              <w:t xml:space="preserve">the FAO/CFS </w:t>
            </w:r>
            <w:hyperlink r:id="rId289" w:tgtFrame="_blank" w:history="1">
              <w:r w:rsidRPr="00222E6C">
                <w:rPr>
                  <w:rStyle w:val="normaltextrun"/>
                  <w:rFonts w:asciiTheme="majorBidi" w:eastAsiaTheme="majorEastAsia" w:hAnsiTheme="majorBidi" w:cstheme="majorBidi"/>
                  <w:color w:val="0563C1"/>
                  <w:sz w:val="20"/>
                  <w:szCs w:val="20"/>
                  <w:u w:val="single"/>
                  <w:lang w:val="en-US"/>
                </w:rPr>
                <w:t>Voluntary Guidelines on the Responsible Governance of Tenure</w:t>
              </w:r>
            </w:hyperlink>
            <w:r w:rsidRPr="00222E6C">
              <w:rPr>
                <w:rStyle w:val="normaltextrun"/>
                <w:rFonts w:asciiTheme="majorBidi" w:eastAsiaTheme="majorEastAsia" w:hAnsiTheme="majorBidi" w:cstheme="majorBidi"/>
                <w:sz w:val="20"/>
                <w:szCs w:val="20"/>
                <w:lang w:val="en-US"/>
              </w:rPr>
              <w:t xml:space="preserve"> (VGGT), which is a document with high levels of legitimacy and that was the result of a long and consultative process with Parties).</w:t>
            </w:r>
            <w:r w:rsidRPr="00222E6C">
              <w:rPr>
                <w:rStyle w:val="eop"/>
                <w:rFonts w:asciiTheme="majorBidi" w:eastAsiaTheme="majorEastAsia" w:hAnsiTheme="majorBidi" w:cstheme="majorBidi"/>
                <w:sz w:val="20"/>
                <w:szCs w:val="20"/>
              </w:rPr>
              <w:t> </w:t>
            </w:r>
          </w:p>
        </w:tc>
        <w:tc>
          <w:tcPr>
            <w:tcW w:w="4335" w:type="dxa"/>
            <w:tcBorders>
              <w:top w:val="single" w:sz="6" w:space="0" w:color="auto"/>
              <w:left w:val="single" w:sz="6" w:space="0" w:color="auto"/>
              <w:bottom w:val="single" w:sz="6" w:space="0" w:color="auto"/>
              <w:right w:val="single" w:sz="6" w:space="0" w:color="auto"/>
            </w:tcBorders>
            <w:shd w:val="clear" w:color="auto" w:fill="auto"/>
            <w:hideMark/>
          </w:tcPr>
          <w:p w14:paraId="6BA01499" w14:textId="77777777" w:rsidR="00756F0F" w:rsidRPr="00222E6C" w:rsidRDefault="00756F0F" w:rsidP="00395866">
            <w:pPr>
              <w:pStyle w:val="paragraph"/>
              <w:spacing w:before="0" w:beforeAutospacing="0" w:after="0" w:afterAutospacing="0"/>
              <w:textAlignment w:val="baseline"/>
              <w:rPr>
                <w:rFonts w:asciiTheme="majorBidi" w:hAnsiTheme="majorBidi" w:cstheme="majorBidi"/>
                <w:sz w:val="20"/>
                <w:szCs w:val="20"/>
              </w:rPr>
            </w:pPr>
            <w:r w:rsidRPr="00222E6C">
              <w:rPr>
                <w:rStyle w:val="normaltextrun"/>
                <w:rFonts w:asciiTheme="majorBidi" w:eastAsiaTheme="majorEastAsia" w:hAnsiTheme="majorBidi" w:cstheme="majorBidi"/>
                <w:b/>
                <w:bCs/>
                <w:sz w:val="20"/>
                <w:szCs w:val="20"/>
                <w:lang w:val="en-GB"/>
              </w:rPr>
              <w:t>Participatory approaches to spatial planning</w:t>
            </w:r>
            <w:r w:rsidRPr="00222E6C">
              <w:rPr>
                <w:rStyle w:val="normaltextrun"/>
                <w:rFonts w:asciiTheme="majorBidi" w:eastAsiaTheme="majorEastAsia" w:hAnsiTheme="majorBidi" w:cstheme="majorBidi"/>
                <w:sz w:val="20"/>
                <w:szCs w:val="20"/>
                <w:lang w:val="en-GB"/>
              </w:rPr>
              <w:t xml:space="preserve"> "</w:t>
            </w:r>
            <w:r w:rsidRPr="00222E6C">
              <w:rPr>
                <w:rStyle w:val="normaltextrun"/>
                <w:rFonts w:asciiTheme="majorBidi" w:eastAsiaTheme="majorEastAsia" w:hAnsiTheme="majorBidi" w:cstheme="majorBidi"/>
                <w:i/>
                <w:iCs/>
                <w:sz w:val="20"/>
                <w:szCs w:val="20"/>
                <w:lang w:val="en-GB"/>
              </w:rPr>
              <w:t>involve stakeholders and rightsholders in all processes of decision-making and the long-term effective management, taking into account traditional knowledge, ensuring that the voices of rightsholders and particularly marginalized groups are appropriately taken into account, to support healthy ecosystems, social equity and human rights</w:t>
            </w:r>
            <w:r w:rsidRPr="00222E6C">
              <w:rPr>
                <w:rStyle w:val="normaltextrun"/>
                <w:rFonts w:asciiTheme="majorBidi" w:eastAsiaTheme="majorEastAsia" w:hAnsiTheme="majorBidi" w:cstheme="majorBidi"/>
                <w:sz w:val="20"/>
                <w:szCs w:val="20"/>
                <w:lang w:val="en-GB"/>
              </w:rPr>
              <w:t>".</w:t>
            </w:r>
            <w:r w:rsidRPr="00222E6C">
              <w:rPr>
                <w:rStyle w:val="eop"/>
                <w:rFonts w:asciiTheme="majorBidi" w:eastAsiaTheme="majorEastAsia" w:hAnsiTheme="majorBidi" w:cstheme="majorBidi"/>
                <w:sz w:val="20"/>
                <w:szCs w:val="20"/>
              </w:rPr>
              <w:t> </w:t>
            </w:r>
          </w:p>
        </w:tc>
      </w:tr>
    </w:tbl>
    <w:p w14:paraId="62EEB66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7AD8BC8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Other key concepts and definitions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67C54D79" w14:textId="486E02E5"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Areas of high biodiversity importance: Locations that contain populations of threatened or geographically restricted species; highly significant extents of threatened or geographically restricted ecosystems; ecosystems of high ecological integrity; high significance for the maintenance of biological processes (e.g. migration, reproduction, refugia etc</w:t>
      </w:r>
      <w:r w:rsidR="00B6621B">
        <w:rPr>
          <w:rStyle w:val="normaltextrun"/>
          <w:rFonts w:eastAsiaTheme="majorEastAsia"/>
        </w:rPr>
        <w:t>.</w:t>
      </w:r>
      <w:r w:rsidRPr="00ED7E61">
        <w:rPr>
          <w:rStyle w:val="normaltextrun"/>
          <w:rFonts w:eastAsiaTheme="majorEastAsia"/>
        </w:rPr>
        <w:t xml:space="preserve">); high irreplaceability; or high significance for ecological connectivity. Locations that include culturally important biodiversity [or species and ecosystems (for </w:t>
      </w:r>
      <w:r w:rsidR="00781C70" w:rsidRPr="00ED7E61">
        <w:rPr>
          <w:rStyle w:val="normaltextrun"/>
          <w:rFonts w:eastAsiaTheme="majorEastAsia"/>
        </w:rPr>
        <w:t>indigenous people</w:t>
      </w:r>
      <w:r w:rsidR="00616510">
        <w:rPr>
          <w:rStyle w:val="normaltextrun"/>
          <w:rFonts w:eastAsiaTheme="majorEastAsia"/>
        </w:rPr>
        <w:t>s</w:t>
      </w:r>
      <w:r w:rsidR="00781C70" w:rsidRPr="00ED7E61">
        <w:rPr>
          <w:rStyle w:val="normaltextrun"/>
          <w:rFonts w:eastAsiaTheme="majorEastAsia"/>
        </w:rPr>
        <w:t xml:space="preserve"> and local communities</w:t>
      </w:r>
      <w:r w:rsidRPr="00ED7E61">
        <w:rPr>
          <w:rStyle w:val="normaltextrun"/>
          <w:rFonts w:eastAsiaTheme="majorEastAsia"/>
        </w:rPr>
        <w:t>).</w:t>
      </w:r>
      <w:r w:rsidRPr="00ED7E61">
        <w:rPr>
          <w:rStyle w:val="normaltextrun"/>
        </w:rPr>
        <w:t> </w:t>
      </w:r>
    </w:p>
    <w:p w14:paraId="173A114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29B556A4" w14:textId="6D69CAF7"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N/A. This proposed indicator will be supplemented by the information gathered through binary</w:t>
      </w:r>
      <w:r w:rsidR="00C51F8D">
        <w:rPr>
          <w:rStyle w:val="normaltextrun"/>
          <w:rFonts w:eastAsiaTheme="majorEastAsia"/>
        </w:rPr>
        <w:t xml:space="preserve"> </w:t>
      </w:r>
      <w:r w:rsidRPr="00ED7E61">
        <w:rPr>
          <w:rStyle w:val="normaltextrun"/>
          <w:rFonts w:eastAsiaTheme="majorEastAsia"/>
        </w:rPr>
        <w:t>indicator 1.1 for the time being and until a comprehensive and systematic methodology can be provided. </w:t>
      </w:r>
      <w:r w:rsidRPr="00ED7E61">
        <w:rPr>
          <w:rStyle w:val="normaltextrun"/>
        </w:rPr>
        <w:t> </w:t>
      </w:r>
    </w:p>
    <w:p w14:paraId="2CC98B8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5c. Data collection method</w:t>
      </w:r>
      <w:r w:rsidRPr="00ED7E61">
        <w:rPr>
          <w:rStyle w:val="eop"/>
          <w:rFonts w:asciiTheme="majorBidi" w:eastAsiaTheme="majorEastAsia" w:hAnsiTheme="majorBidi" w:cstheme="majorBidi"/>
          <w:sz w:val="22"/>
          <w:szCs w:val="22"/>
        </w:rPr>
        <w:t> </w:t>
      </w:r>
    </w:p>
    <w:p w14:paraId="4AF970A3" w14:textId="0E9C45F2"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No data collection is planned for this indicator yet. However, information gathered through binary indicator 1.1 and experience drawn from that will inform the methodology for collecting quantitative data at a later stage.</w:t>
      </w:r>
      <w:r w:rsidRPr="00ED7E61">
        <w:rPr>
          <w:rStyle w:val="normaltextrun"/>
        </w:rPr>
        <w:t> </w:t>
      </w:r>
    </w:p>
    <w:p w14:paraId="5E62ED7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5d. Accessibility of methodology</w:t>
      </w:r>
      <w:r w:rsidRPr="00ED7E61">
        <w:rPr>
          <w:rStyle w:val="eop"/>
          <w:rFonts w:asciiTheme="majorBidi" w:eastAsiaTheme="majorEastAsia" w:hAnsiTheme="majorBidi" w:cstheme="majorBidi"/>
          <w:sz w:val="22"/>
          <w:szCs w:val="22"/>
        </w:rPr>
        <w:t> </w:t>
      </w:r>
    </w:p>
    <w:p w14:paraId="143CB651" w14:textId="77777777" w:rsidR="00756F0F" w:rsidRPr="00ED7E61" w:rsidRDefault="00756F0F" w:rsidP="00222E6C">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N/A</w:t>
      </w:r>
      <w:r w:rsidRPr="00ED7E61">
        <w:rPr>
          <w:rStyle w:val="normaltextrun"/>
        </w:rPr>
        <w:t> </w:t>
      </w:r>
    </w:p>
    <w:p w14:paraId="782AEAD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5e. Data sources/methods and documentation on processes</w:t>
      </w:r>
      <w:r w:rsidRPr="00ED7E61">
        <w:rPr>
          <w:rStyle w:val="eop"/>
          <w:rFonts w:asciiTheme="majorBidi" w:eastAsiaTheme="majorEastAsia" w:hAnsiTheme="majorBidi" w:cstheme="majorBidi"/>
          <w:sz w:val="22"/>
          <w:szCs w:val="22"/>
        </w:rPr>
        <w:t> </w:t>
      </w:r>
    </w:p>
    <w:p w14:paraId="2180E4EC" w14:textId="77777777"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No comprehensive and uniform data sources have been identified, and there is need to consider/describe sources and processes at the national level.</w:t>
      </w:r>
      <w:r w:rsidRPr="00ED7E61">
        <w:rPr>
          <w:rStyle w:val="normaltextrun"/>
        </w:rPr>
        <w:t> </w:t>
      </w:r>
    </w:p>
    <w:p w14:paraId="68DAF3E5"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Elements of spatial planning are covered by the Sustainable Development Goals indicators:</w:t>
      </w:r>
      <w:r w:rsidRPr="00ED7E61">
        <w:rPr>
          <w:rStyle w:val="normaltextrun"/>
        </w:rPr>
        <w:t> </w:t>
      </w:r>
    </w:p>
    <w:p w14:paraId="32CB80F1"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Proportion of agricultural area under productive and sustainable agriculture (2.4.1), </w:t>
      </w:r>
      <w:r w:rsidRPr="00ED7E61">
        <w:rPr>
          <w:rStyle w:val="normaltextrun"/>
        </w:rPr>
        <w:t> </w:t>
      </w:r>
    </w:p>
    <w:p w14:paraId="441E74D8" w14:textId="77777777" w:rsidR="00756F0F" w:rsidRPr="00ED7E61" w:rsidRDefault="00756F0F" w:rsidP="00B10F0C">
      <w:pPr>
        <w:pStyle w:val="CBDNormalNumber"/>
        <w:numPr>
          <w:ilvl w:val="2"/>
          <w:numId w:val="70"/>
        </w:numPr>
        <w:tabs>
          <w:tab w:val="clear" w:pos="567"/>
          <w:tab w:val="clear" w:pos="1134"/>
          <w:tab w:val="clear" w:pos="1701"/>
          <w:tab w:val="clear" w:pos="2268"/>
          <w:tab w:val="left" w:pos="1985"/>
        </w:tabs>
        <w:rPr>
          <w:rStyle w:val="normaltextrun"/>
          <w:rFonts w:eastAsiaTheme="majorEastAsia"/>
        </w:rPr>
      </w:pPr>
      <w:r w:rsidRPr="00ED7E61">
        <w:rPr>
          <w:rStyle w:val="normaltextrun"/>
          <w:rFonts w:eastAsiaTheme="majorEastAsia"/>
        </w:rPr>
        <w:t>headline indicator 10.1</w:t>
      </w:r>
      <w:r w:rsidRPr="00ED7E61">
        <w:rPr>
          <w:rStyle w:val="normaltextrun"/>
        </w:rPr>
        <w:t> </w:t>
      </w:r>
    </w:p>
    <w:p w14:paraId="5F754D65"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Marine spatial planning and intercoastal zone management (14.2.1)</w:t>
      </w:r>
      <w:r w:rsidRPr="00ED7E61">
        <w:rPr>
          <w:rStyle w:val="normaltextrun"/>
        </w:rPr>
        <w:t> </w:t>
      </w:r>
    </w:p>
    <w:p w14:paraId="32270E1C"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Sustainable forest management (15.2.1),</w:t>
      </w:r>
      <w:r w:rsidRPr="00ED7E61">
        <w:rPr>
          <w:rStyle w:val="normaltextrun"/>
        </w:rPr>
        <w:t> </w:t>
      </w:r>
    </w:p>
    <w:p w14:paraId="1F5509A9" w14:textId="77777777" w:rsidR="00756F0F" w:rsidRPr="00ED7E61" w:rsidRDefault="00756F0F" w:rsidP="00B10F0C">
      <w:pPr>
        <w:pStyle w:val="CBDNormalNumber"/>
        <w:numPr>
          <w:ilvl w:val="2"/>
          <w:numId w:val="70"/>
        </w:numPr>
        <w:tabs>
          <w:tab w:val="clear" w:pos="567"/>
          <w:tab w:val="clear" w:pos="1134"/>
          <w:tab w:val="clear" w:pos="1701"/>
          <w:tab w:val="clear" w:pos="2268"/>
          <w:tab w:val="left" w:pos="1985"/>
        </w:tabs>
        <w:rPr>
          <w:rStyle w:val="normaltextrun"/>
          <w:rFonts w:eastAsiaTheme="majorEastAsia"/>
        </w:rPr>
      </w:pPr>
      <w:r w:rsidRPr="00ED7E61">
        <w:rPr>
          <w:rStyle w:val="normaltextrun"/>
          <w:rFonts w:eastAsiaTheme="majorEastAsia"/>
        </w:rPr>
        <w:t>headline indicator 10.2</w:t>
      </w:r>
      <w:r w:rsidRPr="00ED7E61">
        <w:rPr>
          <w:rStyle w:val="normaltextrun"/>
        </w:rPr>
        <w:t> </w:t>
      </w:r>
    </w:p>
    <w:p w14:paraId="1C6068CC" w14:textId="23DC9BDC"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In addition to partial overlap with</w:t>
      </w:r>
      <w:r w:rsidR="00172A35" w:rsidRPr="00ED7E61">
        <w:rPr>
          <w:rStyle w:val="normaltextrun"/>
          <w:rFonts w:eastAsiaTheme="majorEastAsia"/>
        </w:rPr>
        <w:t>:</w:t>
      </w:r>
      <w:r w:rsidRPr="00ED7E61">
        <w:rPr>
          <w:rStyle w:val="normaltextrun"/>
          <w:rFonts w:eastAsiaTheme="majorEastAsia"/>
        </w:rPr>
        <w:t> </w:t>
      </w:r>
      <w:r w:rsidRPr="00ED7E61">
        <w:rPr>
          <w:rStyle w:val="normaltextrun"/>
        </w:rPr>
        <w:t> </w:t>
      </w:r>
    </w:p>
    <w:p w14:paraId="39A109C4"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Coverage of protected areas in relation to marine areas (14.5.1), </w:t>
      </w:r>
      <w:r w:rsidRPr="00ED7E61">
        <w:rPr>
          <w:rStyle w:val="normaltextrun"/>
        </w:rPr>
        <w:t> </w:t>
      </w:r>
    </w:p>
    <w:p w14:paraId="72006BC2"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Proportion of important sites for terrestrial and freshwater biodiversity that are covered by protected areas, by ecosystem type (15.1.2), C</w:t>
      </w:r>
      <w:r w:rsidRPr="00ED7E61">
        <w:rPr>
          <w:rStyle w:val="normaltextrun"/>
        </w:rPr>
        <w:t> </w:t>
      </w:r>
    </w:p>
    <w:p w14:paraId="1532DD3A"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Coverage by protected areas of important sites for mountain biodiversity (15.4.1) </w:t>
      </w:r>
      <w:r w:rsidRPr="00ED7E61">
        <w:rPr>
          <w:rStyle w:val="normaltextrun"/>
        </w:rPr>
        <w:t> </w:t>
      </w:r>
    </w:p>
    <w:p w14:paraId="5B5DB556"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headline indicator 3.1 Coverage of protected areas and OECMs. </w:t>
      </w:r>
      <w:r w:rsidRPr="00ED7E61">
        <w:rPr>
          <w:rStyle w:val="normaltextrun"/>
        </w:rPr>
        <w:t> </w:t>
      </w:r>
    </w:p>
    <w:p w14:paraId="35029815"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Further examples of relevant data sources/methods are:</w:t>
      </w:r>
      <w:r w:rsidRPr="00ED7E61">
        <w:rPr>
          <w:rStyle w:val="normaltextrun"/>
        </w:rPr>
        <w:t> </w:t>
      </w:r>
    </w:p>
    <w:p w14:paraId="25197714" w14:textId="25D29B45" w:rsidR="007C2A90"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hyperlink r:id="rId290" w:tgtFrame="_blank" w:history="1">
        <w:r w:rsidRPr="00ED7E61">
          <w:rPr>
            <w:rStyle w:val="normaltextrun"/>
            <w:rFonts w:eastAsiaTheme="majorEastAsia"/>
          </w:rPr>
          <w:t>https://unesdoc.unesco.org/ark:/48223/pf0000381921</w:t>
        </w:r>
      </w:hyperlink>
      <w:r w:rsidR="00B75FE4">
        <w:rPr>
          <w:rStyle w:val="normaltextrun"/>
          <w:rFonts w:eastAsiaTheme="majorEastAsia"/>
        </w:rPr>
        <w:t xml:space="preserve">  </w:t>
      </w:r>
    </w:p>
    <w:p w14:paraId="7AB1C602" w14:textId="61065FBC" w:rsidR="007C2A90" w:rsidRPr="00ED7E61" w:rsidRDefault="007C2A90"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hyperlink r:id="rId291" w:history="1">
        <w:r w:rsidRPr="00ED7E61">
          <w:rPr>
            <w:rStyle w:val="normaltextrun"/>
          </w:rPr>
          <w:t>https://www.mspglobal2030.org/wp-content/uploads/2022/05/StOR_MSP_SupplementaryMaterial_2022-1.pdf</w:t>
        </w:r>
      </w:hyperlink>
      <w:r w:rsidR="00756F0F" w:rsidRPr="00ED7E61">
        <w:rPr>
          <w:rStyle w:val="normaltextrun"/>
          <w:rFonts w:eastAsiaTheme="majorEastAsia"/>
        </w:rPr>
        <w:t xml:space="preserve">  </w:t>
      </w:r>
    </w:p>
    <w:p w14:paraId="3F91306D" w14:textId="46991EA4" w:rsidR="00756F0F" w:rsidRPr="00ED7E61" w:rsidRDefault="007C2A90"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Pr>
        <w:t>https://www.mspglobal2030.org/msp-roadmap/msp-around-the-world/</w:t>
      </w:r>
      <w:r w:rsidR="00756F0F" w:rsidRPr="00ED7E61">
        <w:rPr>
          <w:rStyle w:val="normaltextrun"/>
        </w:rPr>
        <w:t> </w:t>
      </w:r>
    </w:p>
    <w:p w14:paraId="3FFB946C"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hyperlink r:id="rId292" w:tgtFrame="_blank" w:history="1">
        <w:r w:rsidRPr="00ED7E61">
          <w:rPr>
            <w:rStyle w:val="normaltextrun"/>
            <w:rFonts w:eastAsiaTheme="majorEastAsia"/>
          </w:rPr>
          <w:t>https://macbio-pacific.info/</w:t>
        </w:r>
      </w:hyperlink>
      <w:r w:rsidRPr="00ED7E61">
        <w:rPr>
          <w:rStyle w:val="normaltextrun"/>
          <w:rFonts w:eastAsiaTheme="majorEastAsia"/>
        </w:rPr>
        <w:t> </w:t>
      </w:r>
      <w:r w:rsidRPr="00ED7E61">
        <w:rPr>
          <w:rStyle w:val="normaltextrun"/>
        </w:rPr>
        <w:t> </w:t>
      </w:r>
    </w:p>
    <w:p w14:paraId="3179D05F"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hyperlink r:id="rId293" w:tgtFrame="_blank" w:history="1">
        <w:r w:rsidRPr="00ED7E61">
          <w:rPr>
            <w:rStyle w:val="normaltextrun"/>
            <w:rFonts w:eastAsiaTheme="majorEastAsia"/>
          </w:rPr>
          <w:t>https://www.mapsofhope.org</w:t>
        </w:r>
      </w:hyperlink>
      <w:r w:rsidRPr="00ED7E61">
        <w:rPr>
          <w:rStyle w:val="normaltextrun"/>
          <w:rFonts w:eastAsiaTheme="majorEastAsia"/>
        </w:rPr>
        <w:t> </w:t>
      </w:r>
      <w:r w:rsidRPr="00ED7E61">
        <w:rPr>
          <w:rStyle w:val="normaltextrun"/>
        </w:rPr>
        <w:t> </w:t>
      </w:r>
    </w:p>
    <w:p w14:paraId="293B9DE3"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hyperlink r:id="rId294" w:tgtFrame="_blank" w:history="1">
        <w:r w:rsidRPr="00ED7E61">
          <w:rPr>
            <w:rStyle w:val="normaltextrun"/>
            <w:rFonts w:eastAsiaTheme="majorEastAsia"/>
          </w:rPr>
          <w:t>https://unbiodiversitylab.org/en/</w:t>
        </w:r>
      </w:hyperlink>
      <w:r w:rsidRPr="00ED7E61">
        <w:rPr>
          <w:rStyle w:val="normaltextrun"/>
          <w:rFonts w:eastAsiaTheme="majorEastAsia"/>
        </w:rPr>
        <w:t>, </w:t>
      </w:r>
      <w:r w:rsidRPr="00ED7E61">
        <w:rPr>
          <w:rStyle w:val="normaltextrun"/>
        </w:rPr>
        <w:t> </w:t>
      </w:r>
    </w:p>
    <w:p w14:paraId="6F24CAFA"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hyperlink r:id="rId295" w:tgtFrame="_blank" w:history="1">
        <w:r w:rsidRPr="00ED7E61">
          <w:rPr>
            <w:rStyle w:val="normaltextrun"/>
            <w:rFonts w:eastAsiaTheme="majorEastAsia"/>
          </w:rPr>
          <w:t>https://www.cbd.int/protected/2021globalreport.shtml</w:t>
        </w:r>
      </w:hyperlink>
      <w:r w:rsidRPr="00ED7E61">
        <w:rPr>
          <w:rStyle w:val="normaltextrun"/>
        </w:rPr>
        <w:t> </w:t>
      </w:r>
    </w:p>
    <w:p w14:paraId="718BDDE4" w14:textId="4C939832" w:rsidR="00756F0F" w:rsidRPr="00ED7E61" w:rsidRDefault="00172A35"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hyperlink r:id="rId296" w:history="1">
        <w:r w:rsidRPr="00ED7E61">
          <w:rPr>
            <w:rStyle w:val="Hyperlink"/>
          </w:rPr>
          <w:t>https://drive.google.com/drive/folders/1yCMmZXBMH48dRvXlOtbDOsA5T6-nC1fX?usp=drive_link</w:t>
        </w:r>
      </w:hyperlink>
      <w:r w:rsidR="00756F0F" w:rsidRPr="00ED7E61">
        <w:rPr>
          <w:rStyle w:val="normaltextrun"/>
        </w:rPr>
        <w:t> </w:t>
      </w:r>
    </w:p>
    <w:p w14:paraId="1DCC6473"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For community-based monitoring and information systems see:</w:t>
      </w:r>
      <w:r w:rsidRPr="00ED7E61">
        <w:rPr>
          <w:rStyle w:val="normaltextrun"/>
        </w:rPr>
        <w:t> </w:t>
      </w:r>
    </w:p>
    <w:p w14:paraId="4536438E"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hyperlink r:id="rId297" w:tgtFrame="_blank" w:history="1">
        <w:r w:rsidRPr="00ED7E61">
          <w:rPr>
            <w:rStyle w:val="normaltextrun"/>
            <w:rFonts w:eastAsiaTheme="majorEastAsia"/>
          </w:rPr>
          <w:t>https://pipap.sprep.org/</w:t>
        </w:r>
      </w:hyperlink>
      <w:r w:rsidRPr="00ED7E61">
        <w:rPr>
          <w:rStyle w:val="normaltextrun"/>
          <w:rFonts w:eastAsiaTheme="majorEastAsia"/>
        </w:rPr>
        <w:t xml:space="preserve">  </w:t>
      </w:r>
      <w:r w:rsidRPr="00ED7E61">
        <w:rPr>
          <w:rStyle w:val="normaltextrun"/>
        </w:rPr>
        <w:t> </w:t>
      </w:r>
    </w:p>
    <w:p w14:paraId="716B579F" w14:textId="5AF63A0A" w:rsidR="00172A35"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eastAsiaTheme="majorEastAsia"/>
        </w:rPr>
        <w:t>and relevant publications by the SPACES coalition: </w:t>
      </w:r>
      <w:r w:rsidRPr="00ED7E61">
        <w:rPr>
          <w:rStyle w:val="eop"/>
          <w:rFonts w:asciiTheme="majorBidi" w:eastAsiaTheme="majorEastAsia" w:hAnsiTheme="majorBidi" w:cstheme="majorBidi"/>
        </w:rPr>
        <w:t> </w:t>
      </w:r>
    </w:p>
    <w:p w14:paraId="681673AD" w14:textId="3A68259A" w:rsidR="00172A35" w:rsidRPr="00ED7E61" w:rsidRDefault="00172A35" w:rsidP="00B10F0C">
      <w:pPr>
        <w:pStyle w:val="CBDNormalNumber"/>
        <w:numPr>
          <w:ilvl w:val="2"/>
          <w:numId w:val="70"/>
        </w:numPr>
        <w:tabs>
          <w:tab w:val="clear" w:pos="567"/>
          <w:tab w:val="clear" w:pos="1134"/>
          <w:tab w:val="clear" w:pos="1701"/>
          <w:tab w:val="clear" w:pos="2268"/>
          <w:tab w:val="left" w:pos="1985"/>
        </w:tabs>
        <w:rPr>
          <w:rFonts w:asciiTheme="majorBidi" w:hAnsiTheme="majorBidi" w:cstheme="majorBidi"/>
        </w:rPr>
      </w:pPr>
      <w:hyperlink r:id="rId298" w:history="1">
        <w:r w:rsidRPr="00ED7E61">
          <w:rPr>
            <w:rStyle w:val="Hyperlink"/>
          </w:rPr>
          <w:t>https://production-wordpress.spacescoalition.org/content//uploads/2022/12/202205_SPACES-Primer-Paper_05.pdf</w:t>
        </w:r>
      </w:hyperlink>
      <w:r w:rsidR="00756F0F" w:rsidRPr="00ED7E61">
        <w:rPr>
          <w:rStyle w:val="eop"/>
          <w:rFonts w:asciiTheme="majorBidi" w:eastAsiaTheme="majorEastAsia" w:hAnsiTheme="majorBidi" w:cstheme="majorBidi"/>
        </w:rPr>
        <w:t> </w:t>
      </w:r>
    </w:p>
    <w:p w14:paraId="1C8B94AF" w14:textId="266FF61A" w:rsidR="00756F0F" w:rsidRPr="00ED7E61" w:rsidRDefault="00172A35" w:rsidP="00B10F0C">
      <w:pPr>
        <w:pStyle w:val="CBDNormalNumber"/>
        <w:numPr>
          <w:ilvl w:val="2"/>
          <w:numId w:val="70"/>
        </w:numPr>
        <w:tabs>
          <w:tab w:val="clear" w:pos="567"/>
          <w:tab w:val="clear" w:pos="1134"/>
          <w:tab w:val="clear" w:pos="1701"/>
          <w:tab w:val="clear" w:pos="2268"/>
          <w:tab w:val="left" w:pos="1985"/>
        </w:tabs>
        <w:rPr>
          <w:rFonts w:asciiTheme="majorBidi" w:hAnsiTheme="majorBidi" w:cstheme="majorBidi"/>
        </w:rPr>
      </w:pPr>
      <w:hyperlink r:id="rId299" w:history="1">
        <w:r w:rsidRPr="00ED7E61">
          <w:rPr>
            <w:rStyle w:val="Hyperlink"/>
          </w:rPr>
          <w:t>https://spacescoalition.org/en/resources</w:t>
        </w:r>
      </w:hyperlink>
      <w:r w:rsidR="00756F0F" w:rsidRPr="00ED7E61">
        <w:rPr>
          <w:rStyle w:val="eop"/>
          <w:rFonts w:asciiTheme="majorBidi" w:eastAsiaTheme="majorEastAsia" w:hAnsiTheme="majorBidi" w:cstheme="majorBidi"/>
        </w:rPr>
        <w:t> </w:t>
      </w:r>
    </w:p>
    <w:p w14:paraId="31D3BB3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From the CBD discussion forum:</w:t>
      </w:r>
      <w:r w:rsidRPr="00ED7E61">
        <w:rPr>
          <w:rStyle w:val="eop"/>
          <w:rFonts w:asciiTheme="majorBidi" w:eastAsiaTheme="majorEastAsia" w:hAnsiTheme="majorBidi" w:cstheme="majorBidi"/>
          <w:sz w:val="22"/>
          <w:szCs w:val="22"/>
        </w:rPr>
        <w:t> </w:t>
      </w:r>
    </w:p>
    <w:p w14:paraId="22C2FFCF" w14:textId="77777777"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WCS: a few examples of spatial assessment and planning processes that are biodiversity inclusive and participatory, noting that these thresholds are not clearly defined as of yet and there is a great diversity in approaches.</w:t>
      </w:r>
      <w:r w:rsidRPr="00ED7E61">
        <w:rPr>
          <w:rStyle w:val="normaltextrun"/>
        </w:rPr>
        <w:t> </w:t>
      </w:r>
    </w:p>
    <w:p w14:paraId="2DDC6A36" w14:textId="3669A65D"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South Africa: </w:t>
      </w:r>
      <w:hyperlink r:id="rId300" w:tgtFrame="_blank" w:history="1">
        <w:r w:rsidRPr="00ED7E61">
          <w:rPr>
            <w:rStyle w:val="normaltextrun"/>
            <w:rFonts w:eastAsiaTheme="majorEastAsia"/>
          </w:rPr>
          <w:t>https://www.sanbi.org/biodiversity/building-knowledge/biodiversity-monitoring-assessment/national-biodiversity-assessment/</w:t>
        </w:r>
      </w:hyperlink>
      <w:r w:rsidR="00E72CB5">
        <w:rPr>
          <w:rStyle w:val="normaltextrun"/>
          <w:rFonts w:eastAsiaTheme="majorEastAsia"/>
        </w:rPr>
        <w:t xml:space="preserve"> </w:t>
      </w:r>
    </w:p>
    <w:p w14:paraId="7BE3746D"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lang w:val="fr-FR"/>
        </w:rPr>
      </w:pPr>
      <w:r w:rsidRPr="00ED7E61">
        <w:rPr>
          <w:rStyle w:val="normaltextrun"/>
          <w:rFonts w:eastAsiaTheme="majorEastAsia"/>
          <w:lang w:val="fr-FR"/>
        </w:rPr>
        <w:t xml:space="preserve">Seychelles: </w:t>
      </w:r>
      <w:hyperlink r:id="rId301" w:tgtFrame="_blank" w:history="1">
        <w:r w:rsidRPr="00ED7E61">
          <w:rPr>
            <w:rStyle w:val="normaltextrun"/>
            <w:rFonts w:eastAsiaTheme="majorEastAsia"/>
            <w:lang w:val="fr-FR"/>
          </w:rPr>
          <w:t>https://seymsp.com/the-initiative/</w:t>
        </w:r>
      </w:hyperlink>
      <w:r w:rsidRPr="00ED7E61">
        <w:rPr>
          <w:rStyle w:val="normaltextrun"/>
          <w:rFonts w:eastAsiaTheme="majorEastAsia"/>
          <w:lang w:val="fr-FR"/>
        </w:rPr>
        <w:t> </w:t>
      </w:r>
      <w:r w:rsidRPr="00ED7E61">
        <w:rPr>
          <w:rStyle w:val="normaltextrun"/>
          <w:lang w:val="fr-FR"/>
        </w:rPr>
        <w:t> </w:t>
      </w:r>
    </w:p>
    <w:p w14:paraId="5FF67F7E"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China (national): </w:t>
      </w:r>
      <w:hyperlink r:id="rId302" w:tgtFrame="_blank" w:history="1">
        <w:r w:rsidRPr="00ED7E61">
          <w:rPr>
            <w:rStyle w:val="normaltextrun"/>
            <w:rFonts w:eastAsiaTheme="majorEastAsia"/>
          </w:rPr>
          <w:t>https://environmental-partnership.org/wp-content/uploads/2021/12/Policy-Brief-Ecological-Conservation-Redlines-2.pdf</w:t>
        </w:r>
      </w:hyperlink>
      <w:r w:rsidRPr="00ED7E61">
        <w:rPr>
          <w:rStyle w:val="normaltextrun"/>
          <w:rFonts w:eastAsiaTheme="majorEastAsia"/>
        </w:rPr>
        <w:t> </w:t>
      </w:r>
      <w:r w:rsidRPr="00ED7E61">
        <w:rPr>
          <w:rStyle w:val="normaltextrun"/>
        </w:rPr>
        <w:t> </w:t>
      </w:r>
    </w:p>
    <w:p w14:paraId="0E85F565"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lang w:val="es-ES"/>
        </w:rPr>
      </w:pPr>
      <w:r w:rsidRPr="00ED7E61">
        <w:rPr>
          <w:rStyle w:val="normaltextrun"/>
          <w:rFonts w:eastAsiaTheme="majorEastAsia"/>
          <w:lang w:val="es-ES"/>
        </w:rPr>
        <w:t xml:space="preserve">China (regional): </w:t>
      </w:r>
      <w:hyperlink r:id="rId303" w:tgtFrame="_blank" w:history="1">
        <w:r w:rsidRPr="00ED7E61">
          <w:rPr>
            <w:rStyle w:val="normaltextrun"/>
            <w:rFonts w:eastAsiaTheme="majorEastAsia"/>
            <w:lang w:val="es-ES"/>
          </w:rPr>
          <w:t>https://journal.hep.com.cn/laf/EN/10.15302/J-LAF-1-030010</w:t>
        </w:r>
      </w:hyperlink>
      <w:r w:rsidRPr="00ED7E61">
        <w:rPr>
          <w:rStyle w:val="normaltextrun"/>
          <w:rFonts w:eastAsiaTheme="majorEastAsia"/>
          <w:lang w:val="es-ES"/>
        </w:rPr>
        <w:t> </w:t>
      </w:r>
      <w:r w:rsidRPr="00ED7E61">
        <w:rPr>
          <w:rStyle w:val="normaltextrun"/>
          <w:lang w:val="es-ES"/>
        </w:rPr>
        <w:t> </w:t>
      </w:r>
    </w:p>
    <w:p w14:paraId="4423D764"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United States/Northeast: </w:t>
      </w:r>
      <w:hyperlink r:id="rId304" w:tgtFrame="_blank" w:history="1">
        <w:r w:rsidRPr="00ED7E61">
          <w:rPr>
            <w:rStyle w:val="normaltextrun"/>
            <w:rFonts w:eastAsiaTheme="majorEastAsia"/>
          </w:rPr>
          <w:t>https://neoceanplanning.org</w:t>
        </w:r>
      </w:hyperlink>
      <w:r w:rsidRPr="00ED7E61">
        <w:rPr>
          <w:rStyle w:val="normaltextrun"/>
          <w:rFonts w:eastAsiaTheme="majorEastAsia"/>
        </w:rPr>
        <w:t> </w:t>
      </w:r>
      <w:r w:rsidRPr="00ED7E61">
        <w:rPr>
          <w:rStyle w:val="normaltextrun"/>
        </w:rPr>
        <w:t> </w:t>
      </w:r>
    </w:p>
    <w:p w14:paraId="2E0AFDE8"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United States/Mid-Atlantic: </w:t>
      </w:r>
      <w:hyperlink r:id="rId305" w:tgtFrame="_blank" w:history="1">
        <w:r w:rsidRPr="00ED7E61">
          <w:rPr>
            <w:rStyle w:val="normaltextrun"/>
            <w:rFonts w:eastAsiaTheme="majorEastAsia"/>
          </w:rPr>
          <w:t>https://www.midatlanticocean.org/ocean-planning/about-ocean-planning/</w:t>
        </w:r>
      </w:hyperlink>
      <w:r w:rsidRPr="00ED7E61">
        <w:rPr>
          <w:rStyle w:val="normaltextrun"/>
          <w:rFonts w:eastAsiaTheme="majorEastAsia"/>
        </w:rPr>
        <w:t> </w:t>
      </w:r>
      <w:r w:rsidRPr="00ED7E61">
        <w:rPr>
          <w:rStyle w:val="normaltextrun"/>
        </w:rPr>
        <w:t> </w:t>
      </w:r>
    </w:p>
    <w:p w14:paraId="76BB7A4E" w14:textId="77777777" w:rsidR="00756F0F" w:rsidRPr="001C6EE2"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lang w:val="fr-FR"/>
        </w:rPr>
      </w:pPr>
      <w:r w:rsidRPr="001C6EE2">
        <w:rPr>
          <w:rStyle w:val="normaltextrun"/>
          <w:rFonts w:eastAsiaTheme="majorEastAsia"/>
          <w:lang w:val="fr-FR"/>
        </w:rPr>
        <w:t xml:space="preserve">Palau: </w:t>
      </w:r>
      <w:hyperlink r:id="rId306" w:tgtFrame="_blank" w:history="1">
        <w:r w:rsidRPr="001C6EE2">
          <w:rPr>
            <w:rStyle w:val="normaltextrun"/>
            <w:rFonts w:eastAsiaTheme="majorEastAsia"/>
            <w:lang w:val="fr-FR"/>
          </w:rPr>
          <w:t>https://www.spc.int/updates/blog/blog/2023/05/biodiversity-rich-palau-launches-ambitious-marine-spatial-planning</w:t>
        </w:r>
      </w:hyperlink>
      <w:r w:rsidRPr="001C6EE2">
        <w:rPr>
          <w:rStyle w:val="normaltextrun"/>
          <w:rFonts w:eastAsiaTheme="majorEastAsia"/>
          <w:lang w:val="fr-FR"/>
        </w:rPr>
        <w:t> </w:t>
      </w:r>
      <w:r w:rsidRPr="001C6EE2">
        <w:rPr>
          <w:rStyle w:val="normaltextrun"/>
          <w:lang w:val="fr-FR"/>
        </w:rPr>
        <w:t> </w:t>
      </w:r>
    </w:p>
    <w:p w14:paraId="114FF80D"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Niue: </w:t>
      </w:r>
      <w:hyperlink r:id="rId307" w:tgtFrame="_blank" w:history="1">
        <w:r w:rsidRPr="00ED7E61">
          <w:rPr>
            <w:rStyle w:val="normaltextrun"/>
            <w:rFonts w:eastAsiaTheme="majorEastAsia"/>
          </w:rPr>
          <w:t>https://niueoceanwide.com</w:t>
        </w:r>
      </w:hyperlink>
      <w:r w:rsidRPr="00ED7E61">
        <w:rPr>
          <w:rStyle w:val="normaltextrun"/>
          <w:rFonts w:eastAsiaTheme="majorEastAsia"/>
        </w:rPr>
        <w:t> </w:t>
      </w:r>
      <w:r w:rsidRPr="00ED7E61">
        <w:rPr>
          <w:rStyle w:val="normaltextrun"/>
        </w:rPr>
        <w:t> </w:t>
      </w:r>
    </w:p>
    <w:p w14:paraId="43EBCBFC"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eastAsiaTheme="majorEastAsia"/>
        </w:rPr>
        <w:t xml:space="preserve">Malaysia. 4th National Physical Plan: The Planning Agenda for Prosperous, Resilient and Liveable Malaysia  </w:t>
      </w:r>
      <w:hyperlink r:id="rId308" w:tgtFrame="_blank" w:history="1">
        <w:r w:rsidRPr="00ED7E61">
          <w:rPr>
            <w:rStyle w:val="normaltextrun"/>
            <w:rFonts w:eastAsiaTheme="majorEastAsia"/>
          </w:rPr>
          <w:t>https://rmke12.ekonomi.gov.my/ksp/storage/event/962_22_dr_alias_rameli_4th_national_physical_plan_for_a_prosperous_resilient_and_liveable_malaysia.pdf</w:t>
        </w:r>
      </w:hyperlink>
      <w:r w:rsidRPr="00ED7E61">
        <w:rPr>
          <w:rStyle w:val="eop"/>
          <w:rFonts w:asciiTheme="majorBidi" w:eastAsiaTheme="majorEastAsia" w:hAnsiTheme="majorBidi" w:cstheme="majorBidi"/>
          <w:color w:val="467886"/>
        </w:rPr>
        <w:t> </w:t>
      </w:r>
    </w:p>
    <w:p w14:paraId="47FD6467"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From WWF international:</w:t>
      </w:r>
      <w:r w:rsidRPr="00ED7E61">
        <w:rPr>
          <w:rStyle w:val="normaltextrun"/>
        </w:rPr>
        <w:t> </w:t>
      </w:r>
    </w:p>
    <w:p w14:paraId="5F01A5CC"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*Indonesia: Indonesia’s national resource report on spatial planning in coastal areas, with a focus on preventing/reducing the impacts of emergency issues, including natural disasters, climate change and sea-level-rise, considers issues and approaches in spatial planning, lessons from around the world, and specifically the application in Indonesia.</w:t>
      </w:r>
      <w:r w:rsidRPr="00ED7E61">
        <w:rPr>
          <w:rStyle w:val="normaltextrun"/>
        </w:rPr>
        <w:t> </w:t>
      </w:r>
    </w:p>
    <w:p w14:paraId="5D426FE7"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hyperlink r:id="rId309" w:tgtFrame="_blank" w:history="1">
        <w:r w:rsidRPr="00ED7E61">
          <w:rPr>
            <w:rStyle w:val="normaltextrun"/>
            <w:rFonts w:eastAsiaTheme="majorEastAsia"/>
          </w:rPr>
          <w:t>https://wedocs.unep.org/handle/20.500.11822/44333</w:t>
        </w:r>
      </w:hyperlink>
      <w:r w:rsidRPr="00ED7E61">
        <w:rPr>
          <w:rStyle w:val="normaltextrun"/>
          <w:rFonts w:eastAsiaTheme="majorEastAsia"/>
        </w:rPr>
        <w:t> </w:t>
      </w:r>
      <w:r w:rsidRPr="00ED7E61">
        <w:rPr>
          <w:rStyle w:val="normaltextrun"/>
        </w:rPr>
        <w:t> </w:t>
      </w:r>
    </w:p>
    <w:p w14:paraId="58CBE73B" w14:textId="04490F4A"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*UK: Guiding principles for Marine Spatial Planning produced by Wildlife and Countryside Link (Link), a nature coalition in England bringing together 80 organi</w:t>
      </w:r>
      <w:r w:rsidR="00B10F0C">
        <w:rPr>
          <w:rStyle w:val="normaltextrun"/>
          <w:rFonts w:eastAsiaTheme="majorEastAsia"/>
        </w:rPr>
        <w:t>z</w:t>
      </w:r>
      <w:r w:rsidRPr="00ED7E61">
        <w:rPr>
          <w:rStyle w:val="normaltextrun"/>
          <w:rFonts w:eastAsiaTheme="majorEastAsia"/>
        </w:rPr>
        <w:t xml:space="preserve">ations. </w:t>
      </w:r>
      <w:hyperlink r:id="rId310" w:tgtFrame="_blank" w:history="1">
        <w:r w:rsidRPr="00ED7E61">
          <w:rPr>
            <w:rStyle w:val="normaltextrun"/>
            <w:rFonts w:eastAsiaTheme="majorEastAsia"/>
          </w:rPr>
          <w:t>https://www.wcl.org.uk/docs/assets/uploads/Guiding_principles_for_Marine_Spatial_Planning.pdf</w:t>
        </w:r>
      </w:hyperlink>
      <w:r w:rsidRPr="00ED7E61">
        <w:rPr>
          <w:rStyle w:val="normaltextrun"/>
          <w:rFonts w:eastAsiaTheme="majorEastAsia"/>
        </w:rPr>
        <w:t> </w:t>
      </w:r>
      <w:r w:rsidRPr="00ED7E61">
        <w:rPr>
          <w:rStyle w:val="normaltextrun"/>
        </w:rPr>
        <w:t> </w:t>
      </w:r>
    </w:p>
    <w:p w14:paraId="21729502"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Examples on "</w:t>
      </w:r>
      <w:r w:rsidRPr="00FB1598">
        <w:rPr>
          <w:rStyle w:val="normaltextrun"/>
          <w:rFonts w:eastAsiaTheme="majorEastAsia"/>
          <w:i/>
          <w:iCs/>
        </w:rPr>
        <w:t>participatory</w:t>
      </w:r>
      <w:r w:rsidRPr="00ED7E61">
        <w:rPr>
          <w:rStyle w:val="normaltextrun"/>
          <w:rFonts w:eastAsiaTheme="majorEastAsia"/>
        </w:rPr>
        <w:t>" marine spatial planning from Spain:</w:t>
      </w:r>
      <w:r w:rsidRPr="00ED7E61">
        <w:rPr>
          <w:rStyle w:val="normaltextrun"/>
        </w:rPr>
        <w:t> </w:t>
      </w:r>
    </w:p>
    <w:p w14:paraId="43CB27A5"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lang w:val="es-ES"/>
        </w:rPr>
      </w:pPr>
      <w:r w:rsidRPr="00ED7E61">
        <w:rPr>
          <w:rStyle w:val="normaltextrun"/>
          <w:rFonts w:eastAsiaTheme="majorEastAsia"/>
          <w:lang w:val="es-ES"/>
        </w:rPr>
        <w:t>“</w:t>
      </w:r>
      <w:r w:rsidRPr="00FB1598">
        <w:rPr>
          <w:rStyle w:val="normaltextrun"/>
          <w:rFonts w:eastAsiaTheme="majorEastAsia"/>
          <w:i/>
          <w:iCs/>
          <w:lang w:val="es-ES"/>
        </w:rPr>
        <w:t>Real Decreto 150/2023, de 28 de febrero, por el que se aprueban los planes de ordenación del espacio marítimo de las cinco demarcaciones marinas españolas</w:t>
      </w:r>
      <w:r w:rsidRPr="00ED7E61">
        <w:rPr>
          <w:rStyle w:val="normaltextrun"/>
          <w:rFonts w:eastAsiaTheme="majorEastAsia"/>
          <w:lang w:val="es-ES"/>
        </w:rPr>
        <w:t>” (</w:t>
      </w:r>
      <w:hyperlink r:id="rId311" w:tgtFrame="_blank" w:history="1">
        <w:r w:rsidRPr="00ED7E61">
          <w:rPr>
            <w:rStyle w:val="normaltextrun"/>
            <w:rFonts w:eastAsiaTheme="majorEastAsia"/>
            <w:lang w:val="es-ES"/>
          </w:rPr>
          <w:t>https://www.boe.es/diario_boe/txt.php?id=BOE-A-2023-5704</w:t>
        </w:r>
      </w:hyperlink>
      <w:r w:rsidRPr="00ED7E61">
        <w:rPr>
          <w:rStyle w:val="normaltextrun"/>
          <w:rFonts w:eastAsiaTheme="majorEastAsia"/>
          <w:lang w:val="es-ES"/>
        </w:rPr>
        <w:t>) (participatory process included engagement of representatives of the fishing and wind energy sectors.</w:t>
      </w:r>
      <w:r w:rsidRPr="00ED7E61">
        <w:rPr>
          <w:rStyle w:val="normaltextrun"/>
          <w:lang w:val="es-ES"/>
        </w:rPr>
        <w:t> </w:t>
      </w:r>
    </w:p>
    <w:p w14:paraId="63BCCE70"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In the context of marine protected areas, it has been developed a governance strategy and a guidance for participatory processes within the Life project INTEMARES (access to the Guidance document: </w:t>
      </w:r>
      <w:hyperlink r:id="rId312" w:tgtFrame="_blank" w:history="1">
        <w:r w:rsidRPr="00ED7E61">
          <w:rPr>
            <w:rStyle w:val="normaltextrun"/>
            <w:rFonts w:eastAsiaTheme="majorEastAsia"/>
          </w:rPr>
          <w:t>https://intemares.es/sites/default/files/a10_guia_procesos_en.pdf</w:t>
        </w:r>
      </w:hyperlink>
      <w:r w:rsidRPr="00ED7E61">
        <w:rPr>
          <w:rStyle w:val="normaltextrun"/>
          <w:rFonts w:eastAsiaTheme="majorEastAsia"/>
        </w:rPr>
        <w:t>).</w:t>
      </w:r>
      <w:r w:rsidRPr="00ED7E61">
        <w:rPr>
          <w:rStyle w:val="normaltextrun"/>
        </w:rPr>
        <w:t> </w:t>
      </w:r>
    </w:p>
    <w:p w14:paraId="5D48954C" w14:textId="1C3401CC"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eastAsiaTheme="majorEastAsia"/>
        </w:rPr>
        <w:t>Following this methodology, several participatory process have been established for the development of the management plans of marine protected areas. As an example, more information about the participatory process developed for the marine protected area “</w:t>
      </w:r>
      <w:r w:rsidRPr="00FB1598">
        <w:rPr>
          <w:rStyle w:val="normaltextrun"/>
          <w:rFonts w:eastAsiaTheme="majorEastAsia"/>
          <w:i/>
          <w:iCs/>
        </w:rPr>
        <w:t>El Cachucho</w:t>
      </w:r>
      <w:r w:rsidRPr="00ED7E61">
        <w:rPr>
          <w:rStyle w:val="normaltextrun"/>
          <w:rFonts w:eastAsiaTheme="majorEastAsia"/>
        </w:rPr>
        <w:t xml:space="preserve">”  can be found at </w:t>
      </w:r>
      <w:hyperlink r:id="rId313" w:tgtFrame="_blank" w:history="1">
        <w:r w:rsidRPr="00ED7E61">
          <w:rPr>
            <w:rStyle w:val="normaltextrun"/>
            <w:rFonts w:eastAsiaTheme="majorEastAsia"/>
          </w:rPr>
          <w:t>https://intemares.es/procesos-participativos/cachucho</w:t>
        </w:r>
      </w:hyperlink>
      <w:r w:rsidRPr="00ED7E61">
        <w:rPr>
          <w:rStyle w:val="normaltextrun"/>
          <w:rFonts w:eastAsiaTheme="majorEastAsia"/>
        </w:rPr>
        <w:t xml:space="preserve"> and the resulting management plan at </w:t>
      </w:r>
      <w:hyperlink r:id="rId314" w:tgtFrame="_blank" w:history="1">
        <w:r w:rsidRPr="00ED7E61">
          <w:rPr>
            <w:rStyle w:val="normaltextrun"/>
            <w:rFonts w:eastAsiaTheme="majorEastAsia"/>
          </w:rPr>
          <w:t>https://intemares.es/sites/default/files/real_decreto_686-2021_de_3_de_agosto.pdf</w:t>
        </w:r>
      </w:hyperlink>
      <w:r w:rsidR="004C2D9A">
        <w:rPr>
          <w:rStyle w:val="normaltextrun"/>
          <w:rFonts w:asciiTheme="majorBidi" w:eastAsiaTheme="majorEastAsia" w:hAnsiTheme="majorBidi" w:cstheme="majorBidi"/>
        </w:rPr>
        <w:t xml:space="preserve">. </w:t>
      </w:r>
      <w:r w:rsidRPr="00ED7E61">
        <w:rPr>
          <w:rStyle w:val="eop"/>
          <w:rFonts w:asciiTheme="majorBidi" w:eastAsiaTheme="majorEastAsia" w:hAnsiTheme="majorBidi" w:cstheme="majorBidi"/>
        </w:rPr>
        <w:t> </w:t>
      </w:r>
    </w:p>
    <w:p w14:paraId="4494730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Suggested references from the CBD discussion forum:</w:t>
      </w:r>
      <w:r w:rsidRPr="00ED7E61">
        <w:rPr>
          <w:rStyle w:val="eop"/>
          <w:rFonts w:asciiTheme="majorBidi" w:eastAsiaTheme="majorEastAsia" w:hAnsiTheme="majorBidi" w:cstheme="majorBidi"/>
          <w:sz w:val="22"/>
          <w:szCs w:val="22"/>
        </w:rPr>
        <w:t> </w:t>
      </w:r>
    </w:p>
    <w:p w14:paraId="0E0EAFE3" w14:textId="77777777"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*WWF South West Indian Ocean Seascape (SWIO Seascape) Regional Programme</w:t>
      </w:r>
      <w:r w:rsidRPr="00ED7E61">
        <w:rPr>
          <w:rStyle w:val="normaltextrun"/>
        </w:rPr>
        <w:t> </w:t>
      </w:r>
    </w:p>
    <w:p w14:paraId="647E5C19"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w:t>
      </w:r>
      <w:hyperlink r:id="rId315" w:tgtFrame="_blank" w:history="1">
        <w:r w:rsidRPr="00ED7E61">
          <w:rPr>
            <w:rStyle w:val="normaltextrun"/>
            <w:rFonts w:eastAsiaTheme="majorEastAsia"/>
          </w:rPr>
          <w:t>South West Indian Ocean Annual Report 2022 | WWF SWIO (wwf-swio.org)</w:t>
        </w:r>
      </w:hyperlink>
      <w:r w:rsidRPr="00ED7E61">
        <w:rPr>
          <w:rStyle w:val="normaltextrun"/>
        </w:rPr>
        <w:t> </w:t>
      </w:r>
    </w:p>
    <w:p w14:paraId="5EA0139B"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*Heart of Borneo - WWF Spatial Planning Experiences in Borneo</w:t>
      </w:r>
      <w:r w:rsidRPr="00ED7E61">
        <w:rPr>
          <w:rStyle w:val="normaltextrun"/>
        </w:rPr>
        <w:t> </w:t>
      </w:r>
    </w:p>
    <w:p w14:paraId="3E1D0A0F"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Please use "</w:t>
      </w:r>
      <w:r w:rsidRPr="00FB1598">
        <w:rPr>
          <w:rStyle w:val="normaltextrun"/>
          <w:rFonts w:eastAsiaTheme="majorEastAsia"/>
          <w:i/>
          <w:iCs/>
        </w:rPr>
        <w:t>spatial</w:t>
      </w:r>
      <w:r w:rsidRPr="00ED7E61">
        <w:rPr>
          <w:rStyle w:val="normaltextrun"/>
          <w:rFonts w:eastAsiaTheme="majorEastAsia"/>
        </w:rPr>
        <w:t>" and "</w:t>
      </w:r>
      <w:r w:rsidRPr="00FB1598">
        <w:rPr>
          <w:rStyle w:val="normaltextrun"/>
          <w:rFonts w:eastAsiaTheme="majorEastAsia"/>
          <w:i/>
          <w:iCs/>
        </w:rPr>
        <w:t>government</w:t>
      </w:r>
      <w:r w:rsidRPr="00ED7E61">
        <w:rPr>
          <w:rStyle w:val="normaltextrun"/>
          <w:rFonts w:eastAsiaTheme="majorEastAsia"/>
        </w:rPr>
        <w:t>" in a keyword search to find relevant information in the report.</w:t>
      </w:r>
      <w:r w:rsidRPr="00ED7E61">
        <w:rPr>
          <w:rStyle w:val="normaltextrun"/>
        </w:rPr>
        <w:t> </w:t>
      </w:r>
    </w:p>
    <w:p w14:paraId="7B17B8BD"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This report examines the systematic conservation planning methods used by WWF and assesses its roles, results (outputs, outcomes) and contributions to the conservation effort in Kalimantan, Sabah and Sarawak. It also captures the challenges and lessons learned and presents it from a consolidated Borneo perspective for sharing with relevant stakeholders within and beyond Borneo.</w:t>
      </w:r>
      <w:r w:rsidRPr="00ED7E61">
        <w:rPr>
          <w:rStyle w:val="normaltextrun"/>
        </w:rPr>
        <w:t> </w:t>
      </w:r>
    </w:p>
    <w:p w14:paraId="58171BF3"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hyperlink r:id="rId316" w:tgtFrame="_blank" w:history="1">
        <w:r w:rsidRPr="00ED7E61">
          <w:rPr>
            <w:rStyle w:val="normaltextrun"/>
            <w:rFonts w:eastAsiaTheme="majorEastAsia"/>
          </w:rPr>
          <w:t>hob_spatial_planning_report_fa_web.pdf (panda.org)</w:t>
        </w:r>
      </w:hyperlink>
      <w:r w:rsidRPr="00ED7E61">
        <w:rPr>
          <w:rStyle w:val="normaltextrun"/>
        </w:rPr>
        <w:t> </w:t>
      </w:r>
    </w:p>
    <w:p w14:paraId="09982BB2"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*Viet Nam - Informing a national target for protected areas in Viet Nam under the post-2020 global biodiversity framework</w:t>
      </w:r>
      <w:r w:rsidRPr="00ED7E61">
        <w:rPr>
          <w:rStyle w:val="normaltextrun"/>
        </w:rPr>
        <w:t> </w:t>
      </w:r>
    </w:p>
    <w:p w14:paraId="2DD10D27"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Please use "</w:t>
      </w:r>
      <w:r w:rsidRPr="00FB1598">
        <w:rPr>
          <w:rStyle w:val="normaltextrun"/>
          <w:rFonts w:eastAsiaTheme="majorEastAsia"/>
          <w:i/>
          <w:iCs/>
        </w:rPr>
        <w:t>spatial</w:t>
      </w:r>
      <w:r w:rsidRPr="00ED7E61">
        <w:rPr>
          <w:rStyle w:val="normaltextrun"/>
          <w:rFonts w:eastAsiaTheme="majorEastAsia"/>
        </w:rPr>
        <w:t>" and "</w:t>
      </w:r>
      <w:r w:rsidRPr="00FB1598">
        <w:rPr>
          <w:rStyle w:val="normaltextrun"/>
          <w:rFonts w:eastAsiaTheme="majorEastAsia"/>
          <w:i/>
          <w:iCs/>
        </w:rPr>
        <w:t>government</w:t>
      </w:r>
      <w:r w:rsidRPr="00ED7E61">
        <w:rPr>
          <w:rStyle w:val="normaltextrun"/>
          <w:rFonts w:eastAsiaTheme="majorEastAsia"/>
        </w:rPr>
        <w:t>" in a keyword search to find relevant information in the report.</w:t>
      </w:r>
      <w:r w:rsidRPr="00ED7E61">
        <w:rPr>
          <w:rStyle w:val="normaltextrun"/>
        </w:rPr>
        <w:t> </w:t>
      </w:r>
    </w:p>
    <w:p w14:paraId="47F26191"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This report provides a global assessment of Viet Nam’s PA network important biodiversity and NCP features, using both national (where available and accessible) and global data, and it discusses how a further spatial prioritization framework can support the implementation of the biodiversity and climate conventions.</w:t>
      </w:r>
      <w:r w:rsidRPr="00ED7E61">
        <w:rPr>
          <w:rStyle w:val="normaltextrun"/>
        </w:rPr>
        <w:t> </w:t>
      </w:r>
    </w:p>
    <w:p w14:paraId="3895CDB2"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*Tanzania and Mozambique - Ruvuma transboundary landscape</w:t>
      </w:r>
      <w:r w:rsidRPr="00ED7E61">
        <w:rPr>
          <w:rStyle w:val="normaltextrun"/>
        </w:rPr>
        <w:t> </w:t>
      </w:r>
    </w:p>
    <w:p w14:paraId="6600ED38"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Please see the Solutions chapter which states:</w:t>
      </w:r>
      <w:r w:rsidRPr="00ED7E61">
        <w:rPr>
          <w:rStyle w:val="normaltextrun"/>
        </w:rPr>
        <w:t> </w:t>
      </w:r>
    </w:p>
    <w:p w14:paraId="4C996917"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w:t>
      </w:r>
      <w:r w:rsidRPr="00FB1598">
        <w:rPr>
          <w:rStyle w:val="normaltextrun"/>
          <w:rFonts w:eastAsiaTheme="majorEastAsia"/>
          <w:i/>
          <w:iCs/>
        </w:rPr>
        <w:t>We need to take a holistic, transboundary landscape approach if we’re to secure key terrestrial habitats and their associated wildlife populations and increase benefits for local people and the national economies of Tanzania and Mozambique. Such an approach means multiple stakeholders and partners can collaborate in a well-coordinated and strategic manner to tackle many challenges across several sectors</w:t>
      </w:r>
      <w:r w:rsidRPr="00ED7E61">
        <w:rPr>
          <w:rStyle w:val="normaltextrun"/>
          <w:rFonts w:eastAsiaTheme="majorEastAsia"/>
        </w:rPr>
        <w:t>”.</w:t>
      </w:r>
      <w:r w:rsidRPr="00ED7E61">
        <w:rPr>
          <w:rStyle w:val="normaltextrun"/>
        </w:rPr>
        <w:t> </w:t>
      </w:r>
    </w:p>
    <w:p w14:paraId="346178D7"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A key intervention for this programme will be:</w:t>
      </w:r>
      <w:r w:rsidRPr="00ED7E61">
        <w:rPr>
          <w:rStyle w:val="normaltextrun"/>
        </w:rPr>
        <w:t> </w:t>
      </w:r>
    </w:p>
    <w:p w14:paraId="1A658FA6"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w:t>
      </w:r>
      <w:r w:rsidRPr="00FB1598">
        <w:rPr>
          <w:rStyle w:val="normaltextrun"/>
          <w:rFonts w:eastAsiaTheme="majorEastAsia"/>
          <w:i/>
          <w:iCs/>
        </w:rPr>
        <w:t>Developing spatially explicit land-use plans jointly, in a consultative manner, with multiple stakeholders and including the valuation and mapping of natural capital</w:t>
      </w:r>
      <w:r w:rsidRPr="00ED7E61">
        <w:rPr>
          <w:rStyle w:val="normaltextrun"/>
          <w:rFonts w:eastAsiaTheme="majorEastAsia"/>
        </w:rPr>
        <w:t>".</w:t>
      </w:r>
      <w:r w:rsidRPr="00ED7E61">
        <w:rPr>
          <w:rStyle w:val="normaltextrun"/>
        </w:rPr>
        <w:t> </w:t>
      </w:r>
    </w:p>
    <w:p w14:paraId="454487FB"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*Amazon - 2022 Living Amazon Report</w:t>
      </w:r>
      <w:r w:rsidRPr="00ED7E61">
        <w:rPr>
          <w:rStyle w:val="normaltextrun"/>
        </w:rPr>
        <w:t> </w:t>
      </w:r>
    </w:p>
    <w:p w14:paraId="71217642"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Please use the keyword "</w:t>
      </w:r>
      <w:r w:rsidRPr="00FB1598">
        <w:rPr>
          <w:rStyle w:val="normaltextrun"/>
          <w:rFonts w:eastAsiaTheme="majorEastAsia"/>
          <w:i/>
          <w:iCs/>
        </w:rPr>
        <w:t>planning</w:t>
      </w:r>
      <w:r w:rsidRPr="00ED7E61">
        <w:rPr>
          <w:rStyle w:val="normaltextrun"/>
          <w:rFonts w:eastAsiaTheme="majorEastAsia"/>
        </w:rPr>
        <w:t>" to find occurrences of "</w:t>
      </w:r>
      <w:r w:rsidRPr="00FB1598">
        <w:rPr>
          <w:rStyle w:val="normaltextrun"/>
          <w:rFonts w:eastAsiaTheme="majorEastAsia"/>
          <w:i/>
          <w:iCs/>
        </w:rPr>
        <w:t>territorial planning</w:t>
      </w:r>
      <w:r w:rsidRPr="00ED7E61">
        <w:rPr>
          <w:rStyle w:val="normaltextrun"/>
          <w:rFonts w:eastAsiaTheme="majorEastAsia"/>
        </w:rPr>
        <w:t>", "</w:t>
      </w:r>
      <w:r w:rsidRPr="00FB1598">
        <w:rPr>
          <w:rStyle w:val="normaltextrun"/>
          <w:rFonts w:eastAsiaTheme="majorEastAsia"/>
          <w:i/>
          <w:iCs/>
        </w:rPr>
        <w:t>basin-wide planning</w:t>
      </w:r>
      <w:r w:rsidRPr="00ED7E61">
        <w:rPr>
          <w:rStyle w:val="normaltextrun"/>
          <w:rFonts w:eastAsiaTheme="majorEastAsia"/>
        </w:rPr>
        <w:t>" or "</w:t>
      </w:r>
      <w:r w:rsidRPr="00FB1598">
        <w:rPr>
          <w:rStyle w:val="normaltextrun"/>
          <w:rFonts w:eastAsiaTheme="majorEastAsia"/>
          <w:i/>
          <w:iCs/>
        </w:rPr>
        <w:t>governmental planning</w:t>
      </w:r>
      <w:r w:rsidRPr="00ED7E61">
        <w:rPr>
          <w:rStyle w:val="normaltextrun"/>
          <w:rFonts w:eastAsiaTheme="majorEastAsia"/>
        </w:rPr>
        <w:t>" in the report.</w:t>
      </w:r>
      <w:r w:rsidRPr="00ED7E61">
        <w:rPr>
          <w:rStyle w:val="normaltextrun"/>
        </w:rPr>
        <w:t> </w:t>
      </w:r>
    </w:p>
    <w:p w14:paraId="2BC2A628"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This report outlines the current status of the Amazon biome and basin, summarizes key pressures and drivers of change, and outlines a conservation strategy for this decade that would enable the vision of a Living Amazon to become a reality going forward.</w:t>
      </w:r>
      <w:r w:rsidRPr="00ED7E61">
        <w:rPr>
          <w:rStyle w:val="normaltextrun"/>
        </w:rPr>
        <w:t> </w:t>
      </w:r>
    </w:p>
    <w:p w14:paraId="656D20D3"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hyperlink r:id="rId317" w:tgtFrame="_blank" w:history="1">
        <w:r w:rsidRPr="00ED7E61">
          <w:rPr>
            <w:rStyle w:val="normaltextrun"/>
            <w:rFonts w:eastAsiaTheme="majorEastAsia"/>
          </w:rPr>
          <w:t>Living Amazon Report 2022 | Publications | WWF (worldwildlife.org)</w:t>
        </w:r>
      </w:hyperlink>
      <w:r w:rsidRPr="00ED7E61">
        <w:rPr>
          <w:rStyle w:val="normaltextrun"/>
        </w:rPr>
        <w:t> </w:t>
      </w:r>
    </w:p>
    <w:p w14:paraId="269125C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5f. Availability and release calendar</w:t>
      </w:r>
      <w:r w:rsidRPr="00ED7E61">
        <w:rPr>
          <w:rStyle w:val="eop"/>
          <w:rFonts w:asciiTheme="majorBidi" w:eastAsiaTheme="majorEastAsia" w:hAnsiTheme="majorBidi" w:cstheme="majorBidi"/>
          <w:sz w:val="22"/>
          <w:szCs w:val="22"/>
        </w:rPr>
        <w:t> </w:t>
      </w:r>
    </w:p>
    <w:p w14:paraId="2962348E"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Not yet available for this proposed indicator, but available for headline binary/categorical indicator 1.1</w:t>
      </w:r>
      <w:r w:rsidRPr="00ED7E61">
        <w:rPr>
          <w:rStyle w:val="normaltextrun"/>
        </w:rPr>
        <w:t> </w:t>
      </w:r>
    </w:p>
    <w:p w14:paraId="3787047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5g. Time series</w:t>
      </w:r>
      <w:r w:rsidRPr="00ED7E61">
        <w:rPr>
          <w:rStyle w:val="eop"/>
          <w:rFonts w:asciiTheme="majorBidi" w:eastAsiaTheme="majorEastAsia" w:hAnsiTheme="majorBidi" w:cstheme="majorBidi"/>
          <w:sz w:val="22"/>
          <w:szCs w:val="22"/>
        </w:rPr>
        <w:t> </w:t>
      </w:r>
    </w:p>
    <w:p w14:paraId="51C299F3" w14:textId="77777777" w:rsidR="00756F0F" w:rsidRPr="00ED7E61" w:rsidRDefault="00756F0F" w:rsidP="00E72CB5">
      <w:pPr>
        <w:pStyle w:val="paragraph"/>
        <w:spacing w:before="0" w:beforeAutospacing="0" w:after="0" w:afterAutospacing="0"/>
        <w:ind w:firstLine="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p>
    <w:p w14:paraId="3198E7E1" w14:textId="77777777" w:rsidR="00756F0F" w:rsidRPr="00ED7E61" w:rsidRDefault="00756F0F" w:rsidP="00E72CB5">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5h. Data providers</w:t>
      </w:r>
      <w:r w:rsidRPr="00ED7E61">
        <w:rPr>
          <w:rStyle w:val="eop"/>
          <w:rFonts w:asciiTheme="majorBidi" w:eastAsiaTheme="majorEastAsia" w:hAnsiTheme="majorBidi" w:cstheme="majorBidi"/>
          <w:sz w:val="22"/>
          <w:szCs w:val="22"/>
        </w:rPr>
        <w:t> </w:t>
      </w:r>
    </w:p>
    <w:p w14:paraId="52046C18"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See 5e for a selection of data sources/methods/process for elements of headline indicator 1.1.</w:t>
      </w:r>
      <w:r w:rsidRPr="00ED7E61">
        <w:rPr>
          <w:rStyle w:val="normaltextrun"/>
        </w:rPr>
        <w:t> </w:t>
      </w:r>
    </w:p>
    <w:p w14:paraId="0EB3A7E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5i. Data compilers</w:t>
      </w:r>
      <w:r w:rsidRPr="00ED7E61">
        <w:rPr>
          <w:rStyle w:val="eop"/>
          <w:rFonts w:asciiTheme="majorBidi" w:eastAsiaTheme="majorEastAsia" w:hAnsiTheme="majorBidi" w:cstheme="majorBidi"/>
          <w:sz w:val="22"/>
          <w:szCs w:val="22"/>
        </w:rPr>
        <w:t> </w:t>
      </w:r>
    </w:p>
    <w:p w14:paraId="1D3CA122"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See 5e for a selection of data sources/methods/processes for elements of headline indicator 1.1.</w:t>
      </w:r>
      <w:r w:rsidRPr="00ED7E61">
        <w:rPr>
          <w:rStyle w:val="normaltextrun"/>
        </w:rPr>
        <w:t> </w:t>
      </w:r>
    </w:p>
    <w:p w14:paraId="39FE5DE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5j. Gaps in data coverage</w:t>
      </w:r>
      <w:r w:rsidRPr="00ED7E61">
        <w:rPr>
          <w:rStyle w:val="eop"/>
          <w:rFonts w:asciiTheme="majorBidi" w:eastAsiaTheme="majorEastAsia" w:hAnsiTheme="majorBidi" w:cstheme="majorBidi"/>
          <w:sz w:val="22"/>
          <w:szCs w:val="22"/>
        </w:rPr>
        <w:t> </w:t>
      </w:r>
    </w:p>
    <w:p w14:paraId="6E647A58"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Possible issues related to sensitivity over sharing spatial data should be considered.</w:t>
      </w:r>
      <w:r w:rsidRPr="00ED7E61">
        <w:rPr>
          <w:rStyle w:val="normaltextrun"/>
        </w:rPr>
        <w:t> </w:t>
      </w:r>
    </w:p>
    <w:p w14:paraId="1FB67A9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734D3634" w14:textId="04806596" w:rsidR="00756F0F" w:rsidRPr="00ED7E61" w:rsidRDefault="00756F0F" w:rsidP="00E72CB5">
      <w:pPr>
        <w:pStyle w:val="CBDNormalNumber"/>
        <w:numPr>
          <w:ilvl w:val="0"/>
          <w:numId w:val="0"/>
        </w:numPr>
        <w:ind w:left="567"/>
        <w:rPr>
          <w:rFonts w:asciiTheme="majorBidi" w:hAnsiTheme="majorBidi" w:cstheme="majorBidi"/>
        </w:rPr>
      </w:pPr>
      <w:r w:rsidRPr="00ED7E61">
        <w:rPr>
          <w:rStyle w:val="normaltextrun"/>
          <w:rFonts w:eastAsiaTheme="majorEastAsia"/>
        </w:rPr>
        <w:t>N/A</w:t>
      </w:r>
      <w:r w:rsidRPr="00ED7E61">
        <w:rPr>
          <w:rStyle w:val="normaltextrun"/>
        </w:rPr>
        <w:t> </w:t>
      </w:r>
    </w:p>
    <w:p w14:paraId="742555C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eop"/>
          <w:rFonts w:asciiTheme="majorBidi" w:eastAsiaTheme="majorEastAsia" w:hAnsiTheme="majorBidi" w:cstheme="majorBidi"/>
          <w:sz w:val="22"/>
          <w:szCs w:val="22"/>
        </w:rPr>
        <w:t> </w:t>
      </w:r>
    </w:p>
    <w:p w14:paraId="5757F0D5" w14:textId="77777777" w:rsidR="00756F0F" w:rsidRPr="00ED7E61" w:rsidRDefault="00756F0F" w:rsidP="00E72CB5">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w:t>
      </w:r>
      <w:r w:rsidRPr="00ED7E61">
        <w:rPr>
          <w:rStyle w:val="eop"/>
          <w:rFonts w:asciiTheme="majorBidi" w:eastAsiaTheme="majorEastAsia" w:hAnsiTheme="majorBidi" w:cstheme="majorBidi"/>
          <w:sz w:val="22"/>
          <w:szCs w:val="22"/>
        </w:rPr>
        <w:t> </w:t>
      </w:r>
    </w:p>
    <w:p w14:paraId="63BEF0DF" w14:textId="77777777" w:rsidR="00756F0F" w:rsidRPr="00ED7E61" w:rsidRDefault="00756F0F" w:rsidP="00E72CB5">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2F2B7E85" w14:textId="77777777" w:rsidR="00756F0F" w:rsidRPr="00ED7E61" w:rsidRDefault="00756F0F" w:rsidP="00E72CB5">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National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32A1702F" w14:textId="77777777"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Scale of data disaggregation/aggregation: </w:t>
      </w:r>
      <w:r w:rsidRPr="00ED7E61">
        <w:rPr>
          <w:rStyle w:val="normaltextrun"/>
        </w:rPr>
        <w:t> </w:t>
      </w:r>
    </w:p>
    <w:p w14:paraId="765999EE"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Global/ regional scale indicator can be disaggregated to national level: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66733E03" w14:textId="77777777" w:rsidR="00756F0F" w:rsidRPr="00ED7E61" w:rsidRDefault="00756F0F" w:rsidP="00B10F0C">
      <w:pPr>
        <w:pStyle w:val="CBDNormalNumber"/>
        <w:numPr>
          <w:ilvl w:val="1"/>
          <w:numId w:val="7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National data is collated to form global indicator: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6E1EF15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6b. National/regional indicator production</w:t>
      </w:r>
      <w:r w:rsidRPr="00ED7E61">
        <w:rPr>
          <w:rStyle w:val="eop"/>
          <w:rFonts w:asciiTheme="majorBidi" w:eastAsiaTheme="majorEastAsia" w:hAnsiTheme="majorBidi" w:cstheme="majorBidi"/>
          <w:sz w:val="22"/>
          <w:szCs w:val="22"/>
        </w:rPr>
        <w:t> </w:t>
      </w:r>
    </w:p>
    <w:p w14:paraId="341DD1A1"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N/A</w:t>
      </w:r>
      <w:r w:rsidRPr="00ED7E61">
        <w:rPr>
          <w:rStyle w:val="normaltextrun"/>
        </w:rPr>
        <w:t> </w:t>
      </w:r>
    </w:p>
    <w:p w14:paraId="76FFCF5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4EC27C9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Explanation on the differences between country produced and internationally estimated data on the indicator, highlighting and summarising the main sources of differences.</w:t>
      </w:r>
      <w:r w:rsidRPr="00ED7E61">
        <w:rPr>
          <w:rStyle w:val="eop"/>
          <w:rFonts w:asciiTheme="majorBidi" w:eastAsiaTheme="majorEastAsia" w:hAnsiTheme="majorBidi" w:cstheme="majorBidi"/>
          <w:sz w:val="22"/>
          <w:szCs w:val="22"/>
        </w:rPr>
        <w:t> </w:t>
      </w:r>
    </w:p>
    <w:p w14:paraId="1631D4F8" w14:textId="77777777" w:rsidR="00756F0F" w:rsidRPr="00ED7E61" w:rsidRDefault="00756F0F" w:rsidP="00E72CB5">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6d. Regional and global estimates &amp; data collection for global monitoring</w:t>
      </w:r>
      <w:r w:rsidRPr="00ED7E61">
        <w:rPr>
          <w:rStyle w:val="eop"/>
          <w:rFonts w:asciiTheme="majorBidi" w:eastAsiaTheme="majorEastAsia" w:hAnsiTheme="majorBidi" w:cstheme="majorBidi"/>
          <w:sz w:val="22"/>
          <w:szCs w:val="22"/>
        </w:rPr>
        <w:t> </w:t>
      </w:r>
    </w:p>
    <w:p w14:paraId="10C3DF1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6d.1 Description of the methodology</w:t>
      </w:r>
      <w:r w:rsidRPr="00ED7E61">
        <w:rPr>
          <w:rStyle w:val="eop"/>
          <w:rFonts w:asciiTheme="majorBidi" w:eastAsiaTheme="majorEastAsia" w:hAnsiTheme="majorBidi" w:cstheme="majorBidi"/>
          <w:sz w:val="22"/>
          <w:szCs w:val="22"/>
        </w:rPr>
        <w:t> </w:t>
      </w:r>
    </w:p>
    <w:p w14:paraId="455293FB"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N/A</w:t>
      </w:r>
      <w:r w:rsidRPr="00ED7E61">
        <w:rPr>
          <w:rStyle w:val="normaltextrun"/>
        </w:rPr>
        <w:t> </w:t>
      </w:r>
    </w:p>
    <w:p w14:paraId="0C03CC1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6d.2 Additional methodological details</w:t>
      </w:r>
      <w:r w:rsidRPr="00ED7E61">
        <w:rPr>
          <w:rStyle w:val="eop"/>
          <w:rFonts w:asciiTheme="majorBidi" w:eastAsiaTheme="majorEastAsia" w:hAnsiTheme="majorBidi" w:cstheme="majorBidi"/>
          <w:sz w:val="22"/>
          <w:szCs w:val="22"/>
        </w:rPr>
        <w:t> </w:t>
      </w:r>
    </w:p>
    <w:p w14:paraId="08BA5CC4"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N/A</w:t>
      </w:r>
      <w:r w:rsidRPr="00ED7E61">
        <w:rPr>
          <w:rStyle w:val="normaltextrun"/>
        </w:rPr>
        <w:t> </w:t>
      </w:r>
    </w:p>
    <w:p w14:paraId="708571B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6d.3 Description of the mechanism for collecting data from countries</w:t>
      </w:r>
      <w:r w:rsidRPr="00ED7E61">
        <w:rPr>
          <w:rStyle w:val="eop"/>
          <w:rFonts w:asciiTheme="majorBidi" w:eastAsiaTheme="majorEastAsia" w:hAnsiTheme="majorBidi" w:cstheme="majorBidi"/>
          <w:sz w:val="22"/>
          <w:szCs w:val="22"/>
        </w:rPr>
        <w:t> </w:t>
      </w:r>
    </w:p>
    <w:p w14:paraId="4A686141"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N/A</w:t>
      </w:r>
      <w:r w:rsidRPr="00ED7E61">
        <w:rPr>
          <w:rStyle w:val="normaltextrun"/>
        </w:rPr>
        <w:t> </w:t>
      </w:r>
    </w:p>
    <w:p w14:paraId="2167EA7C" w14:textId="78926AF2"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 Other MEAs, processes and organi</w:t>
      </w:r>
      <w:r w:rsidR="00B10F0C">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ations</w:t>
      </w:r>
      <w:r w:rsidRPr="00ED7E61">
        <w:rPr>
          <w:rStyle w:val="eop"/>
          <w:rFonts w:asciiTheme="majorBidi" w:eastAsiaTheme="majorEastAsia" w:hAnsiTheme="majorBidi" w:cstheme="majorBidi"/>
          <w:sz w:val="22"/>
          <w:szCs w:val="22"/>
        </w:rPr>
        <w:t> </w:t>
      </w:r>
    </w:p>
    <w:p w14:paraId="2A9B51CB" w14:textId="77777777" w:rsidR="00756F0F" w:rsidRPr="00ED7E61" w:rsidRDefault="00756F0F" w:rsidP="00E72CB5">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239D9BCF" w14:textId="77777777"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Intergovernmental Science-Policy Platform on Biodiversity and Ecosystem Services (IPBES) approved methodological assessment on integrated biodiversity-inclusive spatial planning and connectivity (for consideration by the Plenary at its fourteenth session in 2027) will feed into process to define and operationalise this indicator.</w:t>
      </w:r>
      <w:r w:rsidRPr="00ED7E61">
        <w:rPr>
          <w:rStyle w:val="normaltextrun"/>
        </w:rPr>
        <w:t> </w:t>
      </w:r>
    </w:p>
    <w:p w14:paraId="706F1D7A"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As the custodian agency for SDG 14.2.1, UNEP collects spatial data on marine plans within the national jurisdiction through sea regional plans.</w:t>
      </w:r>
      <w:r w:rsidRPr="00ED7E61">
        <w:rPr>
          <w:rStyle w:val="normaltextrun"/>
        </w:rPr>
        <w:t> </w:t>
      </w:r>
    </w:p>
    <w:p w14:paraId="71CAC3E2"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See under point 5e for a selection of examples and initiatives?</w:t>
      </w:r>
      <w:r w:rsidRPr="00ED7E61">
        <w:rPr>
          <w:rStyle w:val="normaltextrun"/>
        </w:rPr>
        <w:t> </w:t>
      </w:r>
    </w:p>
    <w:p w14:paraId="0AC9AAF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75B094ED" w14:textId="77777777" w:rsidR="00756F0F" w:rsidRPr="00ED7E61" w:rsidRDefault="00756F0F" w:rsidP="00E72CB5">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Yes: </w:t>
      </w:r>
      <w:r w:rsidRPr="00ED7E61">
        <w:rPr>
          <w:rStyle w:val="contentcontrolboundarysink"/>
          <w:rFonts w:asciiTheme="majorBidi" w:hAnsiTheme="majorBidi" w:cstheme="majorBidi"/>
          <w:color w:val="0A2F40"/>
          <w:sz w:val="22"/>
          <w:szCs w:val="22"/>
          <w:lang w:val="en-GB"/>
        </w:rPr>
        <w:t>​</w:t>
      </w:r>
      <w:r w:rsidRPr="00ED7E61">
        <w:rPr>
          <w:rStyle w:val="normaltextrun"/>
          <w:rFonts w:ascii="Segoe UI Symbol" w:eastAsiaTheme="majorEastAsia" w:hAnsi="Segoe UI Symbol" w:cs="Segoe UI Symbol"/>
          <w:color w:val="000000"/>
          <w:sz w:val="22"/>
          <w:szCs w:val="22"/>
          <w:lang w:val="en-GB"/>
        </w:rPr>
        <w:t>☐</w:t>
      </w:r>
      <w:r w:rsidRPr="00ED7E61">
        <w:rPr>
          <w:rStyle w:val="contentcontrolboundarysink"/>
          <w:rFonts w:asciiTheme="majorBidi" w:hAnsiTheme="majorBidi" w:cstheme="majorBidi"/>
          <w:color w:val="0A2F40"/>
          <w:sz w:val="22"/>
          <w:szCs w:val="22"/>
          <w:lang w:val="en-GB"/>
        </w:rPr>
        <w:t>​</w:t>
      </w:r>
      <w:r w:rsidRPr="00ED7E61">
        <w:rPr>
          <w:rStyle w:val="normaltextrun"/>
          <w:rFonts w:asciiTheme="majorBidi" w:eastAsiaTheme="majorEastAsia" w:hAnsiTheme="majorBidi" w:cstheme="majorBidi"/>
          <w:color w:val="000000"/>
          <w:sz w:val="22"/>
          <w:szCs w:val="22"/>
          <w:lang w:val="en-GB"/>
        </w:rPr>
        <w:t xml:space="preserve"> No: </w:t>
      </w:r>
      <w:r w:rsidRPr="00ED7E61">
        <w:rPr>
          <w:rStyle w:val="contentcontrolboundarysink"/>
          <w:rFonts w:asciiTheme="majorBidi" w:hAnsiTheme="majorBidi" w:cstheme="majorBidi"/>
          <w:color w:val="0A2F40"/>
          <w:sz w:val="22"/>
          <w:szCs w:val="22"/>
          <w:lang w:val="en-GB"/>
        </w:rPr>
        <w:t>​</w:t>
      </w:r>
      <w:r w:rsidRPr="00ED7E61">
        <w:rPr>
          <w:rStyle w:val="normaltextrun"/>
          <w:rFonts w:ascii="Segoe UI Symbol" w:eastAsiaTheme="majorEastAsia" w:hAnsi="Segoe UI Symbol" w:cs="Segoe UI Symbol"/>
          <w:color w:val="000000"/>
          <w:sz w:val="22"/>
          <w:szCs w:val="22"/>
          <w:lang w:val="en-GB"/>
        </w:rPr>
        <w:t>☒</w:t>
      </w:r>
      <w:r w:rsidRPr="00ED7E61">
        <w:rPr>
          <w:rStyle w:val="contentcontrolboundarysink"/>
          <w:rFonts w:asciiTheme="majorBidi" w:hAnsiTheme="majorBidi" w:cstheme="majorBidi"/>
          <w:color w:val="0A2F40"/>
          <w:sz w:val="22"/>
          <w:szCs w:val="22"/>
          <w:lang w:val="en-GB"/>
        </w:rPr>
        <w:t>​</w:t>
      </w:r>
      <w:r w:rsidRPr="00ED7E61">
        <w:rPr>
          <w:rStyle w:val="eop"/>
          <w:rFonts w:asciiTheme="majorBidi" w:eastAsiaTheme="majorEastAsia" w:hAnsiTheme="majorBidi" w:cstheme="majorBidi"/>
          <w:color w:val="000000"/>
          <w:sz w:val="22"/>
          <w:szCs w:val="22"/>
        </w:rPr>
        <w:t> </w:t>
      </w:r>
    </w:p>
    <w:p w14:paraId="124E4814" w14:textId="734F84E0" w:rsidR="00756F0F" w:rsidRPr="00ED7E61" w:rsidRDefault="00756F0F" w:rsidP="00E72CB5">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 xml:space="preserve">8. </w:t>
      </w:r>
      <w:r w:rsidR="00047A98" w:rsidRPr="00ED7E61">
        <w:rPr>
          <w:rStyle w:val="normaltextrun"/>
          <w:rFonts w:asciiTheme="majorBidi" w:eastAsiaTheme="majorEastAsia" w:hAnsiTheme="majorBidi" w:cstheme="majorBidi"/>
          <w:b/>
          <w:bCs/>
          <w:sz w:val="22"/>
          <w:szCs w:val="22"/>
          <w:lang w:val="en-GB"/>
        </w:rPr>
        <w:t xml:space="preserve">Possible </w:t>
      </w:r>
      <w:r w:rsidRPr="00ED7E61">
        <w:rPr>
          <w:rStyle w:val="normaltextrun"/>
          <w:rFonts w:asciiTheme="majorBidi" w:eastAsiaTheme="majorEastAsia" w:hAnsiTheme="majorBidi" w:cstheme="majorBidi"/>
          <w:b/>
          <w:bCs/>
          <w:sz w:val="22"/>
          <w:szCs w:val="22"/>
          <w:lang w:val="en-GB"/>
        </w:rPr>
        <w:t>Disaggregation</w:t>
      </w:r>
      <w:r w:rsidR="00047A98" w:rsidRPr="00ED7E61">
        <w:rPr>
          <w:rStyle w:val="normaltextrun"/>
          <w:rFonts w:asciiTheme="majorBidi" w:eastAsiaTheme="majorEastAsia" w:hAnsiTheme="majorBidi" w:cstheme="majorBidi"/>
          <w:b/>
          <w:bCs/>
          <w:sz w:val="22"/>
          <w:szCs w:val="22"/>
          <w:lang w:val="en-GB"/>
        </w:rPr>
        <w:t>s</w:t>
      </w:r>
      <w:r w:rsidRPr="00ED7E61">
        <w:rPr>
          <w:rStyle w:val="eop"/>
          <w:rFonts w:asciiTheme="majorBidi" w:eastAsiaTheme="majorEastAsia" w:hAnsiTheme="majorBidi" w:cstheme="majorBidi"/>
          <w:sz w:val="22"/>
          <w:szCs w:val="22"/>
        </w:rPr>
        <w:t> </w:t>
      </w:r>
    </w:p>
    <w:p w14:paraId="602FE408" w14:textId="77777777"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Recommended disaggregations, once the proposed indicator becomes operational, relate closely to the headline binary/categorical indicator 1.1 and could be combined (area and %):</w:t>
      </w:r>
      <w:r w:rsidRPr="00ED7E61">
        <w:rPr>
          <w:rStyle w:val="normaltextrun"/>
        </w:rPr>
        <w:t> </w:t>
      </w:r>
    </w:p>
    <w:p w14:paraId="284BECA9"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land/sea covered by plans that biodiversity-inclusive to different degrees </w:t>
      </w:r>
      <w:r w:rsidRPr="00ED7E61">
        <w:rPr>
          <w:rStyle w:val="normaltextrun"/>
        </w:rPr>
        <w:t> </w:t>
      </w:r>
    </w:p>
    <w:p w14:paraId="03C2DC80"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land/sea covered by plans that are participatory to different degrees </w:t>
      </w:r>
      <w:r w:rsidRPr="00ED7E61">
        <w:rPr>
          <w:rStyle w:val="normaltextrun"/>
        </w:rPr>
        <w:t> </w:t>
      </w:r>
    </w:p>
    <w:p w14:paraId="6591CA74"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land/sea covered by biodiv-inclusive plans for each ecosystem functional group (GET) </w:t>
      </w:r>
      <w:r w:rsidRPr="00ED7E61">
        <w:rPr>
          <w:rStyle w:val="normaltextrun"/>
        </w:rPr>
        <w:t> </w:t>
      </w:r>
    </w:p>
    <w:p w14:paraId="2510A793"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within a plan/effective management process that is under active implementation </w:t>
      </w:r>
      <w:r w:rsidRPr="00ED7E61">
        <w:rPr>
          <w:rStyle w:val="normaltextrun"/>
        </w:rPr>
        <w:t> </w:t>
      </w:r>
    </w:p>
    <w:p w14:paraId="0AF9674E" w14:textId="7BBB7604"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Optional: % sector (agric</w:t>
      </w:r>
      <w:r w:rsidR="00C51F8D">
        <w:rPr>
          <w:rStyle w:val="normaltextrun"/>
          <w:rFonts w:eastAsiaTheme="majorEastAsia"/>
        </w:rPr>
        <w:t>ulture</w:t>
      </w:r>
      <w:r w:rsidRPr="00ED7E61">
        <w:rPr>
          <w:rStyle w:val="normaltextrun"/>
          <w:rFonts w:eastAsiaTheme="majorEastAsia"/>
        </w:rPr>
        <w:t>, forestry etc</w:t>
      </w:r>
      <w:r w:rsidR="00B6621B">
        <w:rPr>
          <w:rStyle w:val="normaltextrun"/>
          <w:rFonts w:eastAsiaTheme="majorEastAsia"/>
        </w:rPr>
        <w:t>.</w:t>
      </w:r>
      <w:r w:rsidRPr="00ED7E61">
        <w:rPr>
          <w:rStyle w:val="normaltextrun"/>
          <w:rFonts w:eastAsiaTheme="majorEastAsia"/>
        </w:rPr>
        <w:t>, where these exist as separate spatial plans) </w:t>
      </w:r>
      <w:r w:rsidRPr="00ED7E61">
        <w:rPr>
          <w:rStyle w:val="normaltextrun"/>
        </w:rPr>
        <w:t> </w:t>
      </w:r>
    </w:p>
    <w:p w14:paraId="1CFCD7F5" w14:textId="79441DF2"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Optional: % for subnational units (provinces etc</w:t>
      </w:r>
      <w:r w:rsidR="00B6621B">
        <w:rPr>
          <w:rStyle w:val="normaltextrun"/>
          <w:rFonts w:eastAsiaTheme="majorEastAsia"/>
        </w:rPr>
        <w:t>.</w:t>
      </w:r>
      <w:r w:rsidRPr="00ED7E61">
        <w:rPr>
          <w:rStyle w:val="normaltextrun"/>
          <w:rFonts w:eastAsiaTheme="majorEastAsia"/>
        </w:rPr>
        <w:t>)</w:t>
      </w:r>
      <w:r w:rsidRPr="00ED7E61">
        <w:rPr>
          <w:rStyle w:val="normaltextrun"/>
        </w:rPr>
        <w:t> </w:t>
      </w:r>
    </w:p>
    <w:p w14:paraId="2AF58375"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Suggestion for gender disaggregation: </w:t>
      </w:r>
      <w:r w:rsidRPr="00ED7E61">
        <w:rPr>
          <w:rStyle w:val="normaltextrun"/>
        </w:rPr>
        <w:t> </w:t>
      </w:r>
    </w:p>
    <w:p w14:paraId="27C0F4D9" w14:textId="77777777" w:rsidR="00756F0F" w:rsidRPr="00ED7E61" w:rsidRDefault="00756F0F" w:rsidP="00B10F0C">
      <w:pPr>
        <w:pStyle w:val="CBDNormalNumber"/>
        <w:numPr>
          <w:ilvl w:val="1"/>
          <w:numId w:val="70"/>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of biodiversity-inclusive spatial plans that have included the meaningful participation of women in their design and implementation</w:t>
      </w:r>
      <w:hyperlink r:id="rId318" w:anchor="_ftn1" w:tgtFrame="_blank" w:history="1">
        <w:r w:rsidRPr="00ED7E61">
          <w:rPr>
            <w:rStyle w:val="normaltextrun"/>
            <w:rFonts w:eastAsiaTheme="majorEastAsia"/>
          </w:rPr>
          <w:t>[1]</w:t>
        </w:r>
      </w:hyperlink>
      <w:r w:rsidRPr="00ED7E61">
        <w:rPr>
          <w:rStyle w:val="normaltextrun"/>
        </w:rPr>
        <w:t> </w:t>
      </w:r>
    </w:p>
    <w:p w14:paraId="307DFE67"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 xml:space="preserve">Some potentially inspirational questions in the </w:t>
      </w:r>
      <w:hyperlink r:id="rId319" w:tgtFrame="_blank" w:history="1">
        <w:r w:rsidRPr="00ED7E61">
          <w:rPr>
            <w:rStyle w:val="normaltextrun"/>
            <w:rFonts w:eastAsiaTheme="majorEastAsia"/>
          </w:rPr>
          <w:t>ActionAid VGGT Toolkit</w:t>
        </w:r>
      </w:hyperlink>
      <w:r w:rsidRPr="00ED7E61">
        <w:rPr>
          <w:rStyle w:val="normaltextrun"/>
          <w:rFonts w:eastAsiaTheme="majorEastAsia"/>
        </w:rPr>
        <w:t>, though these would need to be further modified for spatial planning. ILC collects data according to Indicator 1.2 – Target groups, including women, youth and holders of customary rights have access to and are supported to engage in multi-stakeholder platforms – though it is not specific to spatial planning. </w:t>
      </w:r>
      <w:r w:rsidRPr="00ED7E61">
        <w:rPr>
          <w:rStyle w:val="normaltextrun"/>
        </w:rPr>
        <w:t> </w:t>
      </w:r>
    </w:p>
    <w:p w14:paraId="6C95798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GB"/>
        </w:rPr>
        <w:t>9. Related goals, targets and indicators</w:t>
      </w:r>
      <w:r w:rsidRPr="00ED7E61">
        <w:rPr>
          <w:rStyle w:val="eop"/>
          <w:rFonts w:asciiTheme="majorBidi" w:eastAsiaTheme="majorEastAsia" w:hAnsiTheme="majorBidi" w:cstheme="majorBidi"/>
          <w:color w:val="000000"/>
          <w:sz w:val="22"/>
          <w:szCs w:val="22"/>
        </w:rPr>
        <w:t> </w:t>
      </w:r>
    </w:p>
    <w:p w14:paraId="3D640E27" w14:textId="77777777" w:rsidR="00756F0F" w:rsidRPr="00ED7E61" w:rsidRDefault="00756F0F" w:rsidP="00B10F0C">
      <w:pPr>
        <w:pStyle w:val="CBDNormalNumber"/>
        <w:numPr>
          <w:ilvl w:val="0"/>
          <w:numId w:val="70"/>
        </w:numPr>
        <w:ind w:left="567" w:firstLine="0"/>
        <w:rPr>
          <w:rStyle w:val="normaltextrun"/>
          <w:rFonts w:eastAsiaTheme="majorEastAsia"/>
          <w:sz w:val="24"/>
          <w:szCs w:val="24"/>
          <w:lang w:val="en-CA"/>
        </w:rPr>
      </w:pPr>
      <w:r w:rsidRPr="00ED7E61">
        <w:rPr>
          <w:rStyle w:val="normaltextrun"/>
          <w:rFonts w:eastAsiaTheme="majorEastAsia"/>
        </w:rPr>
        <w:t xml:space="preserve">As made available by </w:t>
      </w:r>
      <w:hyperlink r:id="rId320" w:tgtFrame="_blank" w:history="1">
        <w:r w:rsidRPr="00ED7E61">
          <w:rPr>
            <w:rStyle w:val="normaltextrun"/>
            <w:rFonts w:eastAsiaTheme="majorEastAsia"/>
          </w:rPr>
          <w:t>CBD guidelines for target 1</w:t>
        </w:r>
      </w:hyperlink>
      <w:r w:rsidRPr="00ED7E61">
        <w:rPr>
          <w:rStyle w:val="normaltextrun"/>
          <w:rFonts w:eastAsiaTheme="majorEastAsia"/>
        </w:rPr>
        <w:t>, progress towards this target will directly support the attainment of  Goals A and B and targets 2, 3, 5, 10 and 12 of the Framework. Conversely, progress towards targets 14, 19, 20, 21, 22 and 23 will help to reach Target 1.</w:t>
      </w:r>
      <w:r w:rsidRPr="00ED7E61">
        <w:rPr>
          <w:rStyle w:val="normaltextrun"/>
        </w:rPr>
        <w:t> </w:t>
      </w:r>
    </w:p>
    <w:p w14:paraId="427FCD67"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Elements of Target 1 are also addressed in the targets of the Sustainable Development Goals, including targets 2.4, 14.2, 14.5, 15.1, 15.2, 15.4, 15.5 and 15.9.</w:t>
      </w:r>
      <w:r w:rsidRPr="00ED7E61">
        <w:rPr>
          <w:rStyle w:val="normaltextrun"/>
        </w:rPr>
        <w:t> </w:t>
      </w:r>
    </w:p>
    <w:p w14:paraId="3BF7BD16" w14:textId="77777777" w:rsidR="00756F0F" w:rsidRPr="00ED7E61" w:rsidRDefault="00756F0F" w:rsidP="00B10F0C">
      <w:pPr>
        <w:pStyle w:val="CBDNormalNumber"/>
        <w:numPr>
          <w:ilvl w:val="0"/>
          <w:numId w:val="70"/>
        </w:numPr>
        <w:ind w:left="567" w:firstLine="0"/>
        <w:rPr>
          <w:rStyle w:val="normaltextrun"/>
          <w:rFonts w:eastAsiaTheme="majorEastAsia"/>
        </w:rPr>
      </w:pPr>
      <w:r w:rsidRPr="00ED7E61">
        <w:rPr>
          <w:rStyle w:val="normaltextrun"/>
          <w:rFonts w:eastAsiaTheme="majorEastAsia"/>
        </w:rPr>
        <w:t>This proposed indicator encompasses PAs and OECMs which are also reported under indicator 3.1. See also under points 3a, 3b and 5e for further linkages. </w:t>
      </w:r>
      <w:r w:rsidRPr="00ED7E61">
        <w:rPr>
          <w:rStyle w:val="normaltextrun"/>
        </w:rPr>
        <w:t> </w:t>
      </w:r>
    </w:p>
    <w:p w14:paraId="560A423D" w14:textId="6FF3BB72" w:rsidR="00756F0F" w:rsidRPr="00ED7E61" w:rsidRDefault="00756F0F" w:rsidP="00172A35">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b/>
          <w:bCs/>
          <w:sz w:val="22"/>
          <w:szCs w:val="22"/>
        </w:rPr>
        <w:t>10. Data reporter</w:t>
      </w:r>
      <w:r w:rsidRPr="00ED7E61">
        <w:rPr>
          <w:rStyle w:val="eop"/>
          <w:rFonts w:asciiTheme="majorBidi" w:eastAsiaTheme="majorEastAsia" w:hAnsiTheme="majorBidi" w:cstheme="majorBidi"/>
          <w:sz w:val="22"/>
          <w:szCs w:val="22"/>
        </w:rPr>
        <w:t> </w:t>
      </w:r>
    </w:p>
    <w:p w14:paraId="629BF8E6" w14:textId="44F21D5E"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10a. Organi</w:t>
      </w:r>
      <w:r w:rsidR="00E72CB5">
        <w:rPr>
          <w:rStyle w:val="normaltextrun"/>
          <w:rFonts w:asciiTheme="majorBidi" w:eastAsiaTheme="majorEastAsia" w:hAnsiTheme="majorBidi" w:cstheme="majorBidi"/>
          <w:b/>
          <w:bCs/>
          <w:sz w:val="22"/>
          <w:szCs w:val="22"/>
        </w:rPr>
        <w:t>z</w:t>
      </w:r>
      <w:r w:rsidRPr="00ED7E61">
        <w:rPr>
          <w:rStyle w:val="normaltextrun"/>
          <w:rFonts w:asciiTheme="majorBidi" w:eastAsiaTheme="majorEastAsia" w:hAnsiTheme="majorBidi" w:cstheme="majorBidi"/>
          <w:b/>
          <w:bCs/>
          <w:sz w:val="22"/>
          <w:szCs w:val="22"/>
        </w:rPr>
        <w:t>ation  </w:t>
      </w:r>
      <w:r w:rsidRPr="00ED7E61">
        <w:rPr>
          <w:rStyle w:val="eop"/>
          <w:rFonts w:asciiTheme="majorBidi" w:eastAsiaTheme="majorEastAsia" w:hAnsiTheme="majorBidi" w:cstheme="majorBidi"/>
          <w:sz w:val="22"/>
          <w:szCs w:val="22"/>
        </w:rPr>
        <w:t> </w:t>
      </w:r>
    </w:p>
    <w:p w14:paraId="14A8681F"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GEOBON for the headline binary/categorical indicator</w:t>
      </w:r>
      <w:r w:rsidRPr="00ED7E61">
        <w:rPr>
          <w:rStyle w:val="normaltextrun"/>
        </w:rPr>
        <w:t> </w:t>
      </w:r>
    </w:p>
    <w:p w14:paraId="1BAF3B90" w14:textId="77777777" w:rsidR="00756F0F" w:rsidRPr="00ED7E61" w:rsidRDefault="00756F0F" w:rsidP="00E72CB5">
      <w:pPr>
        <w:pStyle w:val="CBDNormalNumber"/>
        <w:numPr>
          <w:ilvl w:val="0"/>
          <w:numId w:val="0"/>
        </w:numPr>
        <w:ind w:left="567"/>
        <w:rPr>
          <w:rStyle w:val="normaltextrun"/>
          <w:rFonts w:eastAsiaTheme="majorEastAsia"/>
        </w:rPr>
      </w:pPr>
      <w:r w:rsidRPr="00ED7E61">
        <w:rPr>
          <w:rStyle w:val="normaltextrun"/>
          <w:rFonts w:eastAsiaTheme="majorEastAsia"/>
        </w:rPr>
        <w:t>Secretariat of the Convention on Biological Diversity</w:t>
      </w:r>
      <w:r w:rsidRPr="00ED7E61">
        <w:rPr>
          <w:rStyle w:val="normaltextrun"/>
        </w:rPr>
        <w:t> </w:t>
      </w:r>
    </w:p>
    <w:p w14:paraId="2C8CD609" w14:textId="77777777" w:rsidR="00756F0F" w:rsidRPr="00ED7E61" w:rsidRDefault="00756F0F" w:rsidP="00395866">
      <w:pPr>
        <w:pStyle w:val="paragraph"/>
        <w:pBdr>
          <w:bottom w:val="single" w:sz="4" w:space="4"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AU"/>
        </w:rPr>
        <w:t>10b. Contact person(s)</w:t>
      </w:r>
      <w:r w:rsidRPr="00ED7E61">
        <w:rPr>
          <w:rStyle w:val="normaltextrun"/>
          <w:rFonts w:asciiTheme="majorBidi" w:eastAsiaTheme="majorEastAsia" w:hAnsiTheme="majorBidi" w:cstheme="majorBidi"/>
          <w:b/>
          <w:bCs/>
          <w:sz w:val="22"/>
          <w:szCs w:val="22"/>
          <w:lang w:val="en-US"/>
        </w:rPr>
        <w:t> </w:t>
      </w:r>
      <w:r w:rsidRPr="00ED7E61">
        <w:rPr>
          <w:rStyle w:val="eop"/>
          <w:rFonts w:asciiTheme="majorBidi" w:eastAsiaTheme="majorEastAsia" w:hAnsiTheme="majorBidi" w:cstheme="majorBidi"/>
          <w:sz w:val="22"/>
          <w:szCs w:val="22"/>
        </w:rPr>
        <w:t> </w:t>
      </w:r>
    </w:p>
    <w:p w14:paraId="31FBDF20"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N/A</w:t>
      </w:r>
      <w:r w:rsidRPr="00ED7E61">
        <w:rPr>
          <w:rStyle w:val="normaltextrun"/>
        </w:rPr>
        <w:t> </w:t>
      </w:r>
    </w:p>
    <w:p w14:paraId="26ABAFE2" w14:textId="77777777" w:rsidR="00756F0F" w:rsidRPr="00ED7E61" w:rsidRDefault="00756F0F" w:rsidP="00395866">
      <w:pPr>
        <w:pStyle w:val="paragraph"/>
        <w:pBdr>
          <w:bottom w:val="single" w:sz="4" w:space="4"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11. References </w:t>
      </w:r>
      <w:r w:rsidRPr="00ED7E61">
        <w:rPr>
          <w:rStyle w:val="eop"/>
          <w:rFonts w:asciiTheme="majorBidi" w:eastAsiaTheme="majorEastAsia" w:hAnsiTheme="majorBidi" w:cstheme="majorBidi"/>
          <w:sz w:val="22"/>
          <w:szCs w:val="22"/>
        </w:rPr>
        <w:t> </w:t>
      </w:r>
    </w:p>
    <w:p w14:paraId="2387421A"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N/A</w:t>
      </w:r>
      <w:r w:rsidRPr="00ED7E61">
        <w:rPr>
          <w:rStyle w:val="normaltextrun"/>
        </w:rPr>
        <w:t> </w:t>
      </w:r>
    </w:p>
    <w:p w14:paraId="16FFA07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shd w:val="clear" w:color="auto" w:fill="FFFFFF"/>
          <w:lang w:val="en-GB"/>
        </w:rPr>
        <w:t>12. Graphs and diagrams</w:t>
      </w:r>
      <w:r w:rsidRPr="00ED7E61">
        <w:rPr>
          <w:rStyle w:val="eop"/>
          <w:rFonts w:asciiTheme="majorBidi" w:eastAsiaTheme="majorEastAsia" w:hAnsiTheme="majorBidi" w:cstheme="majorBidi"/>
          <w:sz w:val="22"/>
          <w:szCs w:val="22"/>
        </w:rPr>
        <w:t> </w:t>
      </w:r>
    </w:p>
    <w:p w14:paraId="67BC81FF" w14:textId="77777777" w:rsidR="00756F0F" w:rsidRPr="00ED7E61" w:rsidRDefault="00756F0F" w:rsidP="00E72CB5">
      <w:pPr>
        <w:pStyle w:val="CBDNormalNumber"/>
        <w:numPr>
          <w:ilvl w:val="0"/>
          <w:numId w:val="0"/>
        </w:numPr>
        <w:ind w:left="567"/>
        <w:rPr>
          <w:rStyle w:val="normaltextrun"/>
          <w:rFonts w:eastAsiaTheme="majorEastAsia"/>
          <w:sz w:val="24"/>
          <w:szCs w:val="24"/>
          <w:lang w:val="en-CA"/>
        </w:rPr>
      </w:pPr>
      <w:r w:rsidRPr="00ED7E61">
        <w:rPr>
          <w:rStyle w:val="normaltextrun"/>
          <w:rFonts w:eastAsiaTheme="majorEastAsia"/>
        </w:rPr>
        <w:t>N/A</w:t>
      </w:r>
      <w:r w:rsidRPr="00ED7E61">
        <w:rPr>
          <w:rStyle w:val="normaltextrun"/>
        </w:rPr>
        <w:t> </w:t>
      </w:r>
    </w:p>
    <w:p w14:paraId="45D4026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22A43FA4" w14:textId="77777777" w:rsidR="00756F0F" w:rsidRPr="00ED7E61" w:rsidRDefault="00756F0F"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6C66E995" w14:textId="77777777" w:rsidR="00C9506C" w:rsidRPr="00ED7E61" w:rsidRDefault="00C9506C" w:rsidP="00C9506C">
      <w:pPr>
        <w:pStyle w:val="Heading3"/>
      </w:pPr>
      <w:bookmarkStart w:id="42" w:name="_Toc178285855"/>
      <w:r w:rsidRPr="00ED7E61">
        <w:rPr>
          <w:rStyle w:val="normaltextrun"/>
        </w:rPr>
        <w:t>GBF indicator metadata</w:t>
      </w:r>
      <w:r w:rsidRPr="00ED7E61">
        <w:rPr>
          <w:rStyle w:val="eop"/>
        </w:rPr>
        <w:t>: 1.b Target 1 binary indicator</w:t>
      </w:r>
      <w:bookmarkEnd w:id="42"/>
    </w:p>
    <w:p w14:paraId="431BED6B" w14:textId="77777777" w:rsidR="00C9506C" w:rsidRPr="00ED7E61" w:rsidRDefault="00C9506C" w:rsidP="00C9506C">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lang w:val="en-GB"/>
        </w:rPr>
      </w:pPr>
    </w:p>
    <w:p w14:paraId="217003A8"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569E8BA6" w14:textId="2EA30DA4" w:rsidR="00C9506C" w:rsidRPr="00ED7E61" w:rsidRDefault="00C9506C" w:rsidP="00E72CB5">
      <w:pPr>
        <w:rPr>
          <w:rFonts w:asciiTheme="majorBidi" w:hAnsiTheme="majorBidi" w:cstheme="majorBidi"/>
          <w:sz w:val="22"/>
          <w:szCs w:val="22"/>
        </w:rPr>
      </w:pPr>
      <w:r w:rsidRPr="00ED7E61">
        <w:rPr>
          <w:rFonts w:asciiTheme="majorBidi" w:hAnsiTheme="majorBidi" w:cstheme="majorBidi"/>
          <w:sz w:val="22"/>
          <w:szCs w:val="22"/>
        </w:rPr>
        <w:t>Number of countries using participatory, integrated and biodiversity-inclusive spatial planning and/or effective management processes addressing land- and sea-use change to bring the loss of areas of high biodiversity importance close to zero by 2030.</w:t>
      </w:r>
    </w:p>
    <w:p w14:paraId="54ED5894" w14:textId="3DC1D1E0" w:rsidR="00C9506C" w:rsidRPr="00ED7E61" w:rsidRDefault="00C9506C" w:rsidP="00E72CB5">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306C0D65" w14:textId="77777777" w:rsidR="00C9506C" w:rsidRPr="00ED7E61" w:rsidRDefault="00C9506C" w:rsidP="00E72CB5">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3C4A972F" w14:textId="77777777" w:rsidR="00C9506C" w:rsidRPr="00ED7E61" w:rsidRDefault="00C9506C" w:rsidP="00C9506C">
      <w:pPr>
        <w:jc w:val="both"/>
        <w:rPr>
          <w:rFonts w:asciiTheme="majorBidi" w:hAnsiTheme="majorBidi" w:cstheme="majorBidi"/>
          <w:color w:val="242424"/>
          <w:sz w:val="22"/>
          <w:szCs w:val="22"/>
        </w:rPr>
      </w:pPr>
      <w:r w:rsidRPr="00ED7E61">
        <w:rPr>
          <w:rFonts w:asciiTheme="majorBidi" w:hAnsiTheme="majorBidi" w:cstheme="majorBidi"/>
          <w:color w:val="242424"/>
          <w:sz w:val="22"/>
          <w:szCs w:val="22"/>
        </w:rPr>
        <w:t>Goal A The integrity, connectivity and resilience of all ecosystems are maintained, enhanced, or restored, substantially increasing the area of natural ecosystems by 2050; Human induced extinction of known threatened species is halted, and, by 2050, the extinction rate and risk of all species are reduced tenfold and the abundance of native wild species is increased to healthy and resilient levels; The genetic diversity within populations of wild and domesticated species, is maintained, safeguarding their adaptive potential.</w:t>
      </w:r>
    </w:p>
    <w:p w14:paraId="7794F6EF" w14:textId="68503203" w:rsidR="00C9506C" w:rsidRPr="00E72CB5" w:rsidRDefault="00C9506C" w:rsidP="00C9506C">
      <w:pPr>
        <w:jc w:val="both"/>
        <w:rPr>
          <w:rFonts w:asciiTheme="majorBidi" w:hAnsiTheme="majorBidi" w:cstheme="majorBidi"/>
          <w:color w:val="242424"/>
          <w:sz w:val="22"/>
          <w:szCs w:val="22"/>
        </w:rPr>
      </w:pPr>
      <w:r w:rsidRPr="00ED7E61">
        <w:rPr>
          <w:rFonts w:asciiTheme="majorBidi" w:hAnsiTheme="majorBidi" w:cstheme="majorBidi"/>
          <w:color w:val="242424"/>
          <w:sz w:val="22"/>
          <w:szCs w:val="22"/>
        </w:rPr>
        <w:t>Goal B Biodiversity is sustainably used and managed and nature’s contributions to people, including ecosystem functions and services, are valued, maintained and enhanced, with those currently in decline being restored, supporting the achievement of sustainable development for the benefit of present and future generations by 2050.</w:t>
      </w:r>
    </w:p>
    <w:p w14:paraId="28D22523" w14:textId="77777777" w:rsidR="00C9506C" w:rsidRPr="00ED7E61" w:rsidRDefault="00C9506C" w:rsidP="00E72CB5">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Target</w:t>
      </w:r>
    </w:p>
    <w:p w14:paraId="6C80EAAC" w14:textId="1B89697A" w:rsidR="00C9506C" w:rsidRPr="00ED7E61" w:rsidRDefault="00C9506C" w:rsidP="00E72CB5">
      <w:pPr>
        <w:rPr>
          <w:rFonts w:asciiTheme="majorBidi" w:hAnsiTheme="majorBidi" w:cstheme="majorBidi"/>
          <w:sz w:val="22"/>
          <w:szCs w:val="22"/>
        </w:rPr>
      </w:pPr>
      <w:r w:rsidRPr="00ED7E61">
        <w:rPr>
          <w:rFonts w:asciiTheme="majorBidi" w:hAnsiTheme="majorBidi" w:cstheme="majorBidi"/>
          <w:sz w:val="22"/>
          <w:szCs w:val="22"/>
        </w:rPr>
        <w:t>Binary indicator for Target 1. Ensure that all areas are under participatory, integrated and biodiversity-inclusive spatial planning and/or effective management processes addressing land- and sea-use change, to bring the loss of areas of high biodiversity importance, including ecosystems of high ecological integrity, close to zero by 2030, while respecting the rights of indigenous peoples and local communities.</w:t>
      </w:r>
    </w:p>
    <w:p w14:paraId="28B7ADDD" w14:textId="77777777" w:rsidR="00C9506C" w:rsidRPr="00ED7E61" w:rsidRDefault="00C9506C" w:rsidP="00E72CB5">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2995C7FC" w14:textId="77777777" w:rsidR="00C9506C" w:rsidRPr="00ED7E61" w:rsidRDefault="00C9506C" w:rsidP="00B10F0C">
      <w:pPr>
        <w:pStyle w:val="CBDNormalNumber"/>
        <w:numPr>
          <w:ilvl w:val="0"/>
          <w:numId w:val="71"/>
        </w:numPr>
        <w:tabs>
          <w:tab w:val="clear" w:pos="1701"/>
        </w:tabs>
        <w:ind w:left="567" w:firstLine="0"/>
        <w:rPr>
          <w:rStyle w:val="normaltextrun"/>
          <w:rFonts w:eastAsiaTheme="majorEastAsia"/>
          <w:sz w:val="24"/>
          <w:szCs w:val="24"/>
          <w:lang w:val="en-CA"/>
        </w:rPr>
      </w:pPr>
      <w:r w:rsidRPr="00ED7E61">
        <w:rPr>
          <w:rStyle w:val="normaltextrun"/>
          <w:rFonts w:eastAsiaTheme="majorEastAsia"/>
        </w:rPr>
        <w:t xml:space="preserve">Land-use and sea-use change are major direct drivers of biodiversity loss. Land-use change has had the largest relative negative impact on terrestrial and freshwater ecosystems since 1970, with agricultural expansion being the most widespread form of land-use change. Marine and coastal ecosystems have been significantly affected by human activities as well, with research demonstrating increasing cumulative impacts of human activities in more than 60 per cent of the ocean.   </w:t>
      </w:r>
    </w:p>
    <w:p w14:paraId="312BE857" w14:textId="74243D4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 xml:space="preserve">Increasing demands and conflicting uses of land, inland water and ocean space and resources underscore the need for cross-sectoral approaches that allow for the consideration of multiple interests, values and types of use. Integrated spatial planning and/or effective management processes allow countries to analyze and then effectively allocate the spatial and temporal distribution of activities in each environment to achieve various social, ecological and economic objectives. Integrated and participatory spatial planning helps bring together all stakeholders for a particular space and thereby ensure the prioritization and proper allocation of various activities and balance the need to safeguard nature, while advancing sustainable socioeconomic development and ensuring food security and human well-being. </w:t>
      </w:r>
    </w:p>
    <w:p w14:paraId="662426AD" w14:textId="7777777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To ensure a sustainable development that respects the rights and needs of all people, it is essential that spatial planning of Parties be carried out in an integrated and biodiversity-inclusive manner. As such, this indicator tracks the progress of Parties towards the inclusion of biodiversity in spatial planning for all ecosystem types and the use of participatory processes in the design of spatial plans.</w:t>
      </w:r>
    </w:p>
    <w:p w14:paraId="766CF178" w14:textId="476F39EF"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781C70" w:rsidRPr="00ED7E61">
        <w:rPr>
          <w:rFonts w:asciiTheme="majorBidi" w:hAnsiTheme="majorBidi" w:cstheme="majorBidi"/>
          <w:b/>
          <w:bCs/>
          <w:sz w:val="22"/>
          <w:szCs w:val="22"/>
        </w:rPr>
        <w:t>a</w:t>
      </w:r>
      <w:r w:rsidRPr="00ED7E61">
        <w:rPr>
          <w:rFonts w:asciiTheme="majorBidi" w:hAnsiTheme="majorBidi" w:cstheme="majorBidi"/>
          <w:b/>
          <w:bCs/>
          <w:sz w:val="22"/>
          <w:szCs w:val="22"/>
        </w:rPr>
        <w:t>nd Classifications</w:t>
      </w:r>
    </w:p>
    <w:p w14:paraId="4741A2D7" w14:textId="77777777" w:rsidR="00C9506C" w:rsidRPr="00ED7E61" w:rsidRDefault="00C9506C" w:rsidP="00B10F0C">
      <w:pPr>
        <w:pStyle w:val="CBDNormalNumber"/>
        <w:numPr>
          <w:ilvl w:val="0"/>
          <w:numId w:val="71"/>
        </w:numPr>
        <w:ind w:left="567" w:firstLine="0"/>
        <w:rPr>
          <w:rStyle w:val="normaltextrun"/>
          <w:rFonts w:eastAsiaTheme="majorEastAsia"/>
          <w:sz w:val="24"/>
          <w:szCs w:val="24"/>
          <w:lang w:val="en-CA"/>
        </w:rPr>
      </w:pPr>
      <w:r w:rsidRPr="00ED7E61">
        <w:rPr>
          <w:rStyle w:val="normaltextrun"/>
          <w:rFonts w:eastAsiaTheme="majorEastAsia"/>
        </w:rPr>
        <w:t>Biodiversity inclusive approach: Taking into account all relevant information to safeguard biodiversity in spatial planning processes.</w:t>
      </w:r>
    </w:p>
    <w:p w14:paraId="3C10E294" w14:textId="7777777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Integrated spatial planning: A whole-of-government process to create land and sea use plans to achieve social, economic and ecological objectives for sustainable development.</w:t>
      </w:r>
    </w:p>
    <w:p w14:paraId="6ED124C0" w14:textId="7777777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Effective management processes: Activities through which evidence-based conservation outcomes are achieved.</w:t>
      </w:r>
    </w:p>
    <w:p w14:paraId="687BC38C" w14:textId="7777777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Participatory approach: Involve stakeholders and rightsholders in all processes of decision-making and the long-term effective management, taking into account traditional knowledge, ensuring that the voices of rightsholders and particularly marginalized groups are appropriately taken into account, to support healthy ecosystems, social equity and human rights. </w:t>
      </w:r>
    </w:p>
    <w:p w14:paraId="6F09BDFA" w14:textId="7777777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Land-use change: Land-use change includes the conversion of land cover (e.g. deforestation or mining), changes in the management of the ecosystem or agro-ecosystem (e.g. through the intensification of agricultural management or forest harvesting) or changes in the spatial configuration of the landscape (e.g. fragmentation of habitats).</w:t>
      </w:r>
    </w:p>
    <w:p w14:paraId="63CA2424" w14:textId="7777777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Sea-use change: Similarly, sea-use change refers to measures and activities altering the use of marine areas, for example, coastal development, offshore aquaculture, mariculture, oil and gas exploration, and bottom trawling.</w:t>
      </w:r>
    </w:p>
    <w:p w14:paraId="5CD970E3" w14:textId="7777777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Terrestrial: All lands at or above sea level. These may correspond to the International Union for the Conservation of Nature Global Ecosystem Typology: Tropical-subtropical lowland rainforests (T1), tropical-subtropical dry forests and scrubs (T2), shrublands &amp; shrubby woodlands (T3), savannas and grasslands (T4), deserts and semi-deserts (T5), polar-alpine (T6), Intensive land-use systems (T7).</w:t>
      </w:r>
    </w:p>
    <w:p w14:paraId="1CCC9F51" w14:textId="7777777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Inland water: All freshwater and/or landlocked waterbodies, including rivers, lakes, inland seas and groundwater. These may correspond to the International Union for the Conservation of Nature Global Ecosystem Typology: Rivers and streams (F1), lakes (F2), palustrine wetlands biome (TF1), artificial freshwaters (F3).</w:t>
      </w:r>
    </w:p>
    <w:p w14:paraId="7221C34B" w14:textId="5544BA62" w:rsidR="00C9506C" w:rsidRPr="00E72CB5" w:rsidRDefault="00C9506C" w:rsidP="00B10F0C">
      <w:pPr>
        <w:pStyle w:val="CBDNormalNumber"/>
        <w:numPr>
          <w:ilvl w:val="0"/>
          <w:numId w:val="71"/>
        </w:numPr>
        <w:ind w:left="567" w:firstLine="0"/>
        <w:rPr>
          <w:rFonts w:eastAsiaTheme="majorEastAsia"/>
        </w:rPr>
      </w:pPr>
      <w:r w:rsidRPr="00ED7E61">
        <w:rPr>
          <w:rStyle w:val="normaltextrun"/>
          <w:rFonts w:eastAsiaTheme="majorEastAsia"/>
        </w:rPr>
        <w:t>Coastal and marine: All connected saline ocean waters characterised by waves, tides and currents. These may correspond to the International Union for the Conservation of Nature Global Ecosystem Typology: Marine shelfs (M1), pelagic ocean waters (M2), deep sea floors (M3), semi-confined transitional waters biome (FM1), shoreline systems biome (MT1), supralittoral coastal systems biome (MT2), brackish tidal systems biome (MFT1), anthropogenic marine systems (M4), anthropogenic shorelines (MT3).</w:t>
      </w:r>
    </w:p>
    <w:p w14:paraId="11F4D738" w14:textId="40CCAF6B" w:rsidR="00C9506C" w:rsidRPr="00E72CB5" w:rsidRDefault="00C9506C" w:rsidP="00E72CB5">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592F4B93" w14:textId="382D2495" w:rsidR="00781C70" w:rsidRPr="00ED7E61" w:rsidRDefault="00C9506C" w:rsidP="00B10F0C">
      <w:pPr>
        <w:pStyle w:val="CBDNormalNumber"/>
        <w:numPr>
          <w:ilvl w:val="0"/>
          <w:numId w:val="71"/>
        </w:numPr>
        <w:ind w:left="567" w:firstLine="0"/>
        <w:rPr>
          <w:rStyle w:val="normaltextrun"/>
          <w:rFonts w:eastAsiaTheme="majorEastAsia"/>
          <w:sz w:val="24"/>
          <w:szCs w:val="24"/>
          <w:lang w:val="en-CA"/>
        </w:rPr>
      </w:pPr>
      <w:r w:rsidRPr="00ED7E61">
        <w:rPr>
          <w:rStyle w:val="normaltextrun"/>
          <w:rFonts w:eastAsiaTheme="majorEastAsia"/>
        </w:rPr>
        <w:t>This indicator is a binary indicator and must be compiled from the answers to two questions and three sub questions:</w:t>
      </w:r>
    </w:p>
    <w:p w14:paraId="6AE57B85" w14:textId="5AC3B5F1" w:rsidR="00781C70" w:rsidRPr="00ED7E61" w:rsidRDefault="00C9506C" w:rsidP="00B10F0C">
      <w:pPr>
        <w:pStyle w:val="CBDNormalNumber"/>
        <w:numPr>
          <w:ilvl w:val="1"/>
          <w:numId w:val="7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1.1 Are all areas of your country under biodiversity-inclusive spatial planning or effective management processes that:</w:t>
      </w:r>
    </w:p>
    <w:p w14:paraId="033DAE34" w14:textId="21FC8EF1" w:rsidR="00781C70" w:rsidRPr="00ED7E61" w:rsidRDefault="00C9506C" w:rsidP="00B10F0C">
      <w:pPr>
        <w:pStyle w:val="CBDNormalNumber"/>
        <w:numPr>
          <w:ilvl w:val="2"/>
          <w:numId w:val="71"/>
        </w:numPr>
        <w:tabs>
          <w:tab w:val="clear" w:pos="567"/>
          <w:tab w:val="clear" w:pos="1134"/>
          <w:tab w:val="clear" w:pos="1701"/>
          <w:tab w:val="clear" w:pos="2268"/>
          <w:tab w:val="left" w:pos="1985"/>
        </w:tabs>
        <w:rPr>
          <w:rFonts w:asciiTheme="majorBidi" w:hAnsiTheme="majorBidi" w:cstheme="majorBidi"/>
          <w:color w:val="000000" w:themeColor="text1"/>
          <w:lang w:val="en-US"/>
        </w:rPr>
      </w:pPr>
      <w:r w:rsidRPr="00ED7E61">
        <w:rPr>
          <w:rFonts w:asciiTheme="majorBidi" w:hAnsiTheme="majorBidi" w:cstheme="majorBidi"/>
          <w:color w:val="000000" w:themeColor="text1"/>
          <w:lang w:val="en-US"/>
        </w:rPr>
        <w:t>Address land-use (terrestrial) change?</w:t>
      </w:r>
    </w:p>
    <w:p w14:paraId="0F766E62" w14:textId="22148537" w:rsidR="00781C70" w:rsidRPr="00ED7E61" w:rsidRDefault="00C9506C" w:rsidP="00B10F0C">
      <w:pPr>
        <w:pStyle w:val="CBDNormalNumber"/>
        <w:numPr>
          <w:ilvl w:val="2"/>
          <w:numId w:val="71"/>
        </w:numPr>
        <w:tabs>
          <w:tab w:val="clear" w:pos="567"/>
          <w:tab w:val="clear" w:pos="1134"/>
          <w:tab w:val="clear" w:pos="1701"/>
          <w:tab w:val="clear" w:pos="2268"/>
          <w:tab w:val="left" w:pos="1985"/>
        </w:tabs>
        <w:rPr>
          <w:rFonts w:asciiTheme="majorBidi" w:hAnsiTheme="majorBidi" w:cstheme="majorBidi"/>
          <w:lang w:val="en-US"/>
        </w:rPr>
      </w:pPr>
      <w:r w:rsidRPr="00ED7E61">
        <w:rPr>
          <w:rFonts w:asciiTheme="majorBidi" w:hAnsiTheme="majorBidi" w:cstheme="majorBidi"/>
          <w:color w:val="000000" w:themeColor="text1"/>
          <w:lang w:val="en-US"/>
        </w:rPr>
        <w:t>Address land-use (inland water) change?</w:t>
      </w:r>
    </w:p>
    <w:p w14:paraId="58D6AF94" w14:textId="77777777" w:rsidR="00C9506C" w:rsidRPr="00ED7E61" w:rsidRDefault="00C9506C" w:rsidP="00B10F0C">
      <w:pPr>
        <w:pStyle w:val="CBDNormalNumber"/>
        <w:numPr>
          <w:ilvl w:val="2"/>
          <w:numId w:val="71"/>
        </w:numPr>
        <w:tabs>
          <w:tab w:val="clear" w:pos="567"/>
          <w:tab w:val="clear" w:pos="1134"/>
          <w:tab w:val="clear" w:pos="1701"/>
          <w:tab w:val="clear" w:pos="2268"/>
          <w:tab w:val="left" w:pos="1985"/>
        </w:tabs>
        <w:rPr>
          <w:rFonts w:asciiTheme="majorBidi" w:hAnsiTheme="majorBidi" w:cstheme="majorBidi"/>
          <w:lang w:val="en-US"/>
        </w:rPr>
      </w:pPr>
      <w:r w:rsidRPr="00ED7E61">
        <w:rPr>
          <w:rFonts w:asciiTheme="majorBidi" w:hAnsiTheme="majorBidi" w:cstheme="majorBidi"/>
          <w:lang w:val="en-US"/>
        </w:rPr>
        <w:t>Address sea-use (coastal and marine) change (will be considered not applicable for landlocked states)?</w:t>
      </w:r>
    </w:p>
    <w:p w14:paraId="7D955C5A" w14:textId="2C23A3D5"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1.2 If the answer to any of the questions in 1.1 is under development, partially or fully, were the plans created using a participatory process? (Select all that apply, note that if your country is a landlocked state, marine spatial planning will be considered as not relevant)</w:t>
      </w:r>
    </w:p>
    <w:p w14:paraId="65BDCD6B" w14:textId="7777777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There are four possible answers to each of the options in question 1.1:</w:t>
      </w:r>
    </w:p>
    <w:p w14:paraId="51229586" w14:textId="759E2A0F" w:rsidR="00781C70" w:rsidRPr="00ED7E61" w:rsidRDefault="00C9506C" w:rsidP="00B10F0C">
      <w:pPr>
        <w:pStyle w:val="CBDNormalNumber"/>
        <w:numPr>
          <w:ilvl w:val="1"/>
          <w:numId w:val="71"/>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No</w:t>
      </w:r>
    </w:p>
    <w:p w14:paraId="7E2E7A08" w14:textId="090B90A2" w:rsidR="00781C70" w:rsidRPr="00ED7E61" w:rsidRDefault="00C9506C" w:rsidP="00B10F0C">
      <w:pPr>
        <w:pStyle w:val="CBDNormalNumber"/>
        <w:numPr>
          <w:ilvl w:val="1"/>
          <w:numId w:val="71"/>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rFonts w:asciiTheme="majorBidi" w:hAnsiTheme="majorBidi" w:cstheme="majorBidi"/>
          <w:color w:val="000000"/>
          <w:lang w:val="en-US"/>
        </w:rPr>
        <w:t>Under development</w:t>
      </w:r>
    </w:p>
    <w:p w14:paraId="4470EB49" w14:textId="08471F69" w:rsidR="00781C70" w:rsidRPr="00ED7E61" w:rsidRDefault="00C9506C" w:rsidP="00B10F0C">
      <w:pPr>
        <w:pStyle w:val="CBDNormalNumber"/>
        <w:numPr>
          <w:ilvl w:val="1"/>
          <w:numId w:val="71"/>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rFonts w:asciiTheme="majorBidi" w:hAnsiTheme="majorBidi" w:cstheme="majorBidi"/>
          <w:color w:val="000000"/>
          <w:lang w:val="en-US"/>
        </w:rPr>
        <w:t>Partially</w:t>
      </w:r>
    </w:p>
    <w:p w14:paraId="1FE12880" w14:textId="2B8CB458" w:rsidR="00C9506C" w:rsidRPr="00ED7E61" w:rsidRDefault="00C9506C" w:rsidP="00B10F0C">
      <w:pPr>
        <w:pStyle w:val="CBDNormalNumber"/>
        <w:numPr>
          <w:ilvl w:val="1"/>
          <w:numId w:val="71"/>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rFonts w:asciiTheme="majorBidi" w:hAnsiTheme="majorBidi" w:cstheme="majorBidi"/>
          <w:color w:val="000000"/>
          <w:lang w:val="en-US"/>
        </w:rPr>
        <w:t>Fully</w:t>
      </w:r>
    </w:p>
    <w:p w14:paraId="4C21461F" w14:textId="77777777" w:rsidR="00C9506C"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A “</w:t>
      </w:r>
      <w:r w:rsidRPr="00FB1598">
        <w:rPr>
          <w:rStyle w:val="normaltextrun"/>
          <w:rFonts w:eastAsiaTheme="majorEastAsia"/>
          <w:i/>
          <w:iCs/>
        </w:rPr>
        <w:t>No</w:t>
      </w:r>
      <w:r w:rsidRPr="00ED7E61">
        <w:rPr>
          <w:rStyle w:val="normaltextrun"/>
          <w:rFonts w:eastAsiaTheme="majorEastAsia"/>
        </w:rPr>
        <w:t>” answer implies that spatial planning is either absent or being done without the explicit inclusion of biodiversity. Spatial planning may be implemented to cover any extent of the country’s terrestrial (1.1a), inland water (1.1b) and coastal and marine (1.1c) areas, if it does not specifically include biodiversity, select “</w:t>
      </w:r>
      <w:r w:rsidRPr="00FB1598">
        <w:rPr>
          <w:rStyle w:val="normaltextrun"/>
          <w:rFonts w:eastAsiaTheme="majorEastAsia"/>
          <w:i/>
          <w:iCs/>
        </w:rPr>
        <w:t>No</w:t>
      </w:r>
      <w:r w:rsidRPr="00ED7E61">
        <w:rPr>
          <w:rStyle w:val="normaltextrun"/>
          <w:rFonts w:eastAsiaTheme="majorEastAsia"/>
        </w:rPr>
        <w:t>”.</w:t>
      </w:r>
    </w:p>
    <w:p w14:paraId="7BA168E1" w14:textId="012351AA" w:rsidR="00781C70" w:rsidRPr="00ED7E61" w:rsidRDefault="00C9506C" w:rsidP="00B10F0C">
      <w:pPr>
        <w:pStyle w:val="CBDNormalNumber"/>
        <w:numPr>
          <w:ilvl w:val="0"/>
          <w:numId w:val="71"/>
        </w:numPr>
        <w:ind w:left="567" w:firstLine="0"/>
        <w:rPr>
          <w:rStyle w:val="normaltextrun"/>
          <w:rFonts w:eastAsiaTheme="majorEastAsia"/>
        </w:rPr>
      </w:pPr>
      <w:r w:rsidRPr="00ED7E61">
        <w:rPr>
          <w:rStyle w:val="normaltextrun"/>
          <w:rFonts w:eastAsiaTheme="majorEastAsia"/>
        </w:rPr>
        <w:t>An “</w:t>
      </w:r>
      <w:r w:rsidRPr="00FB1598">
        <w:rPr>
          <w:rStyle w:val="normaltextrun"/>
          <w:rFonts w:eastAsiaTheme="majorEastAsia"/>
          <w:i/>
          <w:iCs/>
        </w:rPr>
        <w:t>Under development</w:t>
      </w:r>
      <w:r w:rsidRPr="00ED7E61">
        <w:rPr>
          <w:rStyle w:val="normaltextrun"/>
          <w:rFonts w:eastAsiaTheme="majorEastAsia"/>
        </w:rPr>
        <w:t>” answer implies a concerted effort at the national level to implement biodiversity-inclusive spatial planning to address land- and sea-use change in terrestrial (1.1a), inland water (1.1b) and coastal and marine (1.1c) areas. That is, countries may have spatial planning tools that consider and include biodiversity, but these are not yet being used to address the effects of land- and sea-use change. Alternatively, a country may have implemented biodiversity-inclusive spatial planning or effective management processes to address land- and sea-use change, but these are limited to a small amount of the surface area of the country (e.g. only in a single region or province).</w:t>
      </w:r>
    </w:p>
    <w:p w14:paraId="75A39EC2" w14:textId="62F1A937" w:rsidR="00781C70" w:rsidRPr="00ED7E61" w:rsidRDefault="00C9506C" w:rsidP="00B10F0C">
      <w:pPr>
        <w:pStyle w:val="CBDNormalNumber"/>
        <w:numPr>
          <w:ilvl w:val="0"/>
          <w:numId w:val="71"/>
        </w:numPr>
        <w:ind w:left="567" w:firstLine="0"/>
      </w:pPr>
      <w:r w:rsidRPr="00ED7E61">
        <w:rPr>
          <w:color w:val="000000"/>
        </w:rPr>
        <w:t>A “</w:t>
      </w:r>
      <w:r w:rsidRPr="00FB1598">
        <w:rPr>
          <w:i/>
          <w:iCs/>
          <w:color w:val="000000"/>
        </w:rPr>
        <w:t>Partially</w:t>
      </w:r>
      <w:r w:rsidRPr="00ED7E61">
        <w:rPr>
          <w:color w:val="000000"/>
        </w:rPr>
        <w:t xml:space="preserve">” answer implies that a country is making progress towards having all </w:t>
      </w:r>
      <w:r w:rsidRPr="00ED7E61">
        <w:t>terrestrial (1.1a), inland water (1.1b) and coastal and marine (1.1c)</w:t>
      </w:r>
      <w:r w:rsidRPr="00ED7E61">
        <w:rPr>
          <w:color w:val="000000"/>
        </w:rPr>
        <w:t xml:space="preserve"> </w:t>
      </w:r>
      <w:r w:rsidRPr="00ED7E61">
        <w:t>areas under biodiversity-inclusive spatial planning or effective management processes to address land- and sea-use change. Namely, over half of a country’s area, for each type (terrestrial (1.1a), inland water (1.1b) and coastal and marine (1.1c)), is under biodiversity-inclusive spatial planning or effective management processes.</w:t>
      </w:r>
    </w:p>
    <w:p w14:paraId="53841D38" w14:textId="783B705C" w:rsidR="00781C70" w:rsidRPr="00ED7E61" w:rsidRDefault="00C9506C" w:rsidP="00B10F0C">
      <w:pPr>
        <w:pStyle w:val="CBDNormalNumber"/>
        <w:numPr>
          <w:ilvl w:val="0"/>
          <w:numId w:val="71"/>
        </w:numPr>
        <w:ind w:left="567" w:firstLine="0"/>
      </w:pPr>
      <w:r w:rsidRPr="00ED7E61">
        <w:rPr>
          <w:color w:val="000000"/>
        </w:rPr>
        <w:t>A “</w:t>
      </w:r>
      <w:r w:rsidRPr="00FB1598">
        <w:rPr>
          <w:i/>
          <w:iCs/>
          <w:color w:val="000000"/>
        </w:rPr>
        <w:t>Fully</w:t>
      </w:r>
      <w:r w:rsidRPr="00ED7E61">
        <w:rPr>
          <w:color w:val="000000"/>
        </w:rPr>
        <w:t xml:space="preserve">” answer implies that all or almost all terrestrial (1.1a), inland water (1.1b) and coastal and marine (1.1c) areas of a country are </w:t>
      </w:r>
      <w:r w:rsidRPr="00ED7E61">
        <w:t xml:space="preserve">under biodiversity-inclusive spatial planning or effective management processes to address land- and sea-use change. </w:t>
      </w:r>
    </w:p>
    <w:p w14:paraId="3E5C0AD8" w14:textId="68632E28" w:rsidR="00C9506C" w:rsidRPr="00ED7E61" w:rsidRDefault="00C9506C" w:rsidP="00B10F0C">
      <w:pPr>
        <w:pStyle w:val="CBDNormalNumber"/>
        <w:numPr>
          <w:ilvl w:val="0"/>
          <w:numId w:val="71"/>
        </w:numPr>
        <w:ind w:left="567" w:firstLine="0"/>
      </w:pPr>
      <w:r w:rsidRPr="00ED7E61">
        <w:t>There are four possible answers to question 1.2</w:t>
      </w:r>
      <w:r w:rsidR="00781C70" w:rsidRPr="00ED7E61">
        <w:rPr>
          <w:rStyle w:val="FootnoteReference"/>
        </w:rPr>
        <w:footnoteReference w:id="36"/>
      </w:r>
      <w:r w:rsidRPr="00ED7E61">
        <w:t>:</w:t>
      </w:r>
    </w:p>
    <w:p w14:paraId="6C18E1B9" w14:textId="77777777" w:rsidR="00C9506C" w:rsidRPr="00ED7E61" w:rsidRDefault="00C9506C" w:rsidP="00B10F0C">
      <w:pPr>
        <w:pStyle w:val="CBDNormalNumber"/>
        <w:numPr>
          <w:ilvl w:val="1"/>
          <w:numId w:val="71"/>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rFonts w:asciiTheme="majorBidi" w:hAnsiTheme="majorBidi" w:cstheme="majorBidi"/>
          <w:color w:val="000000"/>
          <w:lang w:val="en-US"/>
        </w:rPr>
        <w:t>For terrestrial spatial planning</w:t>
      </w:r>
    </w:p>
    <w:p w14:paraId="11986D92" w14:textId="77777777" w:rsidR="00C9506C" w:rsidRPr="00ED7E61" w:rsidRDefault="00C9506C" w:rsidP="00B10F0C">
      <w:pPr>
        <w:pStyle w:val="CBDNormalNumber"/>
        <w:numPr>
          <w:ilvl w:val="1"/>
          <w:numId w:val="71"/>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rFonts w:asciiTheme="majorBidi" w:hAnsiTheme="majorBidi" w:cstheme="majorBidi"/>
          <w:color w:val="000000"/>
          <w:lang w:val="en-US"/>
        </w:rPr>
        <w:t>For inland water spatial planning</w:t>
      </w:r>
    </w:p>
    <w:p w14:paraId="1FB03B27" w14:textId="77777777" w:rsidR="00C9506C" w:rsidRPr="00ED7E61" w:rsidRDefault="00C9506C" w:rsidP="00B10F0C">
      <w:pPr>
        <w:pStyle w:val="CBDNormalNumber"/>
        <w:numPr>
          <w:ilvl w:val="1"/>
          <w:numId w:val="71"/>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rFonts w:asciiTheme="majorBidi" w:hAnsiTheme="majorBidi" w:cstheme="majorBidi"/>
          <w:color w:val="000000"/>
          <w:lang w:val="en-US"/>
        </w:rPr>
        <w:t>For coastal and marine spatial planning</w:t>
      </w:r>
    </w:p>
    <w:p w14:paraId="46DA1B16" w14:textId="77777777" w:rsidR="00C9506C" w:rsidRPr="00ED7E61" w:rsidRDefault="00C9506C" w:rsidP="00B10F0C">
      <w:pPr>
        <w:pStyle w:val="CBDNormalNumber"/>
        <w:numPr>
          <w:ilvl w:val="1"/>
          <w:numId w:val="71"/>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rFonts w:asciiTheme="majorBidi" w:hAnsiTheme="majorBidi" w:cstheme="majorBidi"/>
          <w:color w:val="000000"/>
          <w:lang w:val="en-US"/>
        </w:rPr>
        <w:t>None of the above is participatory</w:t>
      </w:r>
    </w:p>
    <w:p w14:paraId="243A4415" w14:textId="33489103" w:rsidR="00C9506C" w:rsidRPr="00ED7E61" w:rsidRDefault="00C9506C" w:rsidP="00B10F0C">
      <w:pPr>
        <w:pStyle w:val="CBDNormalNumber"/>
        <w:numPr>
          <w:ilvl w:val="0"/>
          <w:numId w:val="71"/>
        </w:numPr>
        <w:ind w:left="567" w:firstLine="0"/>
        <w:rPr>
          <w:color w:val="000000"/>
        </w:rPr>
      </w:pPr>
      <w:r w:rsidRPr="00ED7E61">
        <w:rPr>
          <w:color w:val="000000"/>
        </w:rPr>
        <w:t>Each of the answers here is to be chosen using a “</w:t>
      </w:r>
      <w:r w:rsidRPr="00FB1598">
        <w:rPr>
          <w:i/>
          <w:iCs/>
          <w:color w:val="000000"/>
        </w:rPr>
        <w:t>select all that apply</w:t>
      </w:r>
      <w:r w:rsidRPr="00ED7E61">
        <w:rPr>
          <w:color w:val="000000"/>
        </w:rPr>
        <w:t>” approach. Namely, if any of each type of plans (terrestrial, inland water or coastal and marine) developed by a Party, as indicated in 1.1, were created using a participatory process then select the types of plans to which this applies. In other words, select each option for which the answer to 1.2 is “</w:t>
      </w:r>
      <w:r w:rsidRPr="00FB1598">
        <w:rPr>
          <w:i/>
          <w:iCs/>
          <w:color w:val="000000"/>
        </w:rPr>
        <w:t>Yes</w:t>
      </w:r>
      <w:r w:rsidRPr="00ED7E61">
        <w:rPr>
          <w:color w:val="000000"/>
        </w:rPr>
        <w:t>”. If none of the plans developed by the Party used a participatory process, then select option (d)</w:t>
      </w:r>
      <w:r w:rsidR="00781C70" w:rsidRPr="00ED7E61">
        <w:rPr>
          <w:rStyle w:val="FootnoteReference"/>
          <w:color w:val="000000"/>
        </w:rPr>
        <w:footnoteReference w:id="37"/>
      </w:r>
      <w:r w:rsidR="00EC63E0">
        <w:rPr>
          <w:color w:val="000000"/>
        </w:rPr>
        <w:t xml:space="preserve">. </w:t>
      </w:r>
    </w:p>
    <w:p w14:paraId="6A52B09E" w14:textId="77777777"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color w:val="000000" w:themeColor="text1"/>
          <w:sz w:val="22"/>
          <w:szCs w:val="22"/>
          <w:lang w:val="en-US"/>
        </w:rPr>
      </w:pPr>
    </w:p>
    <w:p w14:paraId="014E992F" w14:textId="77777777"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color w:val="000000" w:themeColor="text1"/>
          <w:sz w:val="22"/>
          <w:szCs w:val="22"/>
          <w:lang w:val="en-US"/>
        </w:rPr>
      </w:pPr>
    </w:p>
    <w:p w14:paraId="24DCEEDB" w14:textId="77777777" w:rsidR="00756F0F" w:rsidRPr="00ED7E61" w:rsidRDefault="00756F0F" w:rsidP="00395866">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lang w:val="en-US"/>
        </w:rPr>
      </w:pPr>
    </w:p>
    <w:p w14:paraId="60CC8845" w14:textId="77777777" w:rsidR="00756F0F" w:rsidRPr="00ED7E61" w:rsidRDefault="00756F0F"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716C2EE8" w14:textId="16611A7E" w:rsidR="00756F0F" w:rsidRPr="00ED7E61" w:rsidRDefault="00756F0F" w:rsidP="00965B3D">
      <w:pPr>
        <w:pStyle w:val="Heading3"/>
      </w:pPr>
      <w:bookmarkStart w:id="43" w:name="_Toc178285856"/>
      <w:r w:rsidRPr="00ED7E61">
        <w:rPr>
          <w:rStyle w:val="normaltextrun"/>
        </w:rPr>
        <w:t>GBF indicator metadata</w:t>
      </w:r>
      <w:r w:rsidR="00353D61" w:rsidRPr="00ED7E61">
        <w:rPr>
          <w:rStyle w:val="normaltextrun"/>
        </w:rPr>
        <w:t>:</w:t>
      </w:r>
      <w:r w:rsidRPr="00ED7E61">
        <w:rPr>
          <w:rStyle w:val="eop"/>
        </w:rPr>
        <w:t> </w:t>
      </w:r>
      <w:r w:rsidR="00353D61" w:rsidRPr="00ED7E61">
        <w:rPr>
          <w:rStyle w:val="eop"/>
        </w:rPr>
        <w:t>2.1 Area under restoration</w:t>
      </w:r>
      <w:bookmarkEnd w:id="43"/>
    </w:p>
    <w:p w14:paraId="5E507B28"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5091978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b/>
          <w:bCs/>
          <w:sz w:val="22"/>
          <w:szCs w:val="22"/>
        </w:rPr>
        <w:t> </w:t>
      </w:r>
    </w:p>
    <w:p w14:paraId="7C6FFD3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2.1 Area under restoration</w:t>
      </w:r>
      <w:r w:rsidRPr="00ED7E61">
        <w:rPr>
          <w:rStyle w:val="eop"/>
          <w:rFonts w:asciiTheme="majorBidi" w:eastAsiaTheme="majorEastAsia" w:hAnsiTheme="majorBidi" w:cstheme="majorBidi"/>
          <w:sz w:val="22"/>
          <w:szCs w:val="22"/>
        </w:rPr>
        <w:t> </w:t>
      </w:r>
    </w:p>
    <w:p w14:paraId="6F5351D8" w14:textId="77777777" w:rsidR="00756F0F" w:rsidRPr="00ED7E61" w:rsidRDefault="00756F0F" w:rsidP="00E72CB5">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b/>
          <w:bCs/>
          <w:sz w:val="22"/>
          <w:szCs w:val="22"/>
        </w:rPr>
        <w:t> </w:t>
      </w:r>
    </w:p>
    <w:p w14:paraId="6A77C453" w14:textId="01EFF3B7"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lang w:val="en-GB"/>
        </w:rPr>
        <w:t>September</w:t>
      </w:r>
      <w:r w:rsidRPr="00ED7E61">
        <w:rPr>
          <w:rStyle w:val="normaltextrun"/>
          <w:rFonts w:asciiTheme="majorBidi" w:eastAsiaTheme="majorEastAsia" w:hAnsiTheme="majorBidi" w:cstheme="majorBidi"/>
          <w:sz w:val="22"/>
          <w:szCs w:val="22"/>
          <w:lang w:val="en-GB"/>
        </w:rPr>
        <w:t xml:space="preserve"> </w:t>
      </w:r>
      <w:r w:rsidR="00756F0F" w:rsidRPr="00ED7E61">
        <w:rPr>
          <w:rStyle w:val="normaltextrun"/>
          <w:rFonts w:asciiTheme="majorBidi" w:eastAsiaTheme="majorEastAsia" w:hAnsiTheme="majorBidi" w:cstheme="majorBidi"/>
          <w:sz w:val="22"/>
          <w:szCs w:val="22"/>
          <w:lang w:val="en-GB"/>
        </w:rPr>
        <w:t>2024</w:t>
      </w:r>
      <w:r w:rsidR="00756F0F" w:rsidRPr="00ED7E61">
        <w:rPr>
          <w:rStyle w:val="eop"/>
          <w:rFonts w:asciiTheme="majorBidi" w:eastAsiaTheme="majorEastAsia" w:hAnsiTheme="majorBidi" w:cstheme="majorBidi"/>
          <w:sz w:val="22"/>
          <w:szCs w:val="22"/>
        </w:rPr>
        <w:t> </w:t>
      </w:r>
    </w:p>
    <w:p w14:paraId="0FB3A3E9" w14:textId="77777777" w:rsidR="00756F0F" w:rsidRPr="00ED7E61" w:rsidRDefault="00756F0F" w:rsidP="00E72CB5">
      <w:pPr>
        <w:pStyle w:val="paragraph"/>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b/>
          <w:bCs/>
          <w:sz w:val="22"/>
          <w:szCs w:val="22"/>
        </w:rPr>
        <w:t> </w:t>
      </w:r>
    </w:p>
    <w:p w14:paraId="79A3C981" w14:textId="77777777" w:rsidR="00756F0F" w:rsidRPr="00ED7E61" w:rsidRDefault="00756F0F" w:rsidP="00E72CB5">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3a. Goal </w:t>
      </w:r>
      <w:r w:rsidRPr="00ED7E61">
        <w:rPr>
          <w:rStyle w:val="eop"/>
          <w:rFonts w:asciiTheme="majorBidi" w:eastAsiaTheme="majorEastAsia" w:hAnsiTheme="majorBidi" w:cstheme="majorBidi"/>
          <w:b/>
          <w:bCs/>
          <w:sz w:val="22"/>
          <w:szCs w:val="22"/>
        </w:rPr>
        <w:t> </w:t>
      </w:r>
    </w:p>
    <w:p w14:paraId="1B764BFB" w14:textId="77777777" w:rsidR="00756F0F" w:rsidRPr="00ED7E61" w:rsidRDefault="00756F0F" w:rsidP="00E72CB5">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244DA83D" w14:textId="77777777" w:rsidR="00756F0F" w:rsidRPr="00ED7E61" w:rsidRDefault="00756F0F" w:rsidP="00E72CB5">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3b. Target</w:t>
      </w:r>
      <w:r w:rsidRPr="00ED7E61">
        <w:rPr>
          <w:rStyle w:val="eop"/>
          <w:rFonts w:asciiTheme="majorBidi" w:eastAsiaTheme="majorEastAsia" w:hAnsiTheme="majorBidi" w:cstheme="majorBidi"/>
          <w:b/>
          <w:bCs/>
          <w:sz w:val="22"/>
          <w:szCs w:val="22"/>
        </w:rPr>
        <w:t> </w:t>
      </w:r>
    </w:p>
    <w:p w14:paraId="523BEDA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Headline indicator for Target 2: Ensure that by 2030 at least 30 per cent of areas of degraded terrestrial, inland water, and marine and coastal ecosystems are under effective restoration, in order to enhance biodiversity and ecosystem functions and services, ecological integrity and connectivity.</w:t>
      </w:r>
      <w:r w:rsidRPr="00ED7E61">
        <w:rPr>
          <w:rStyle w:val="eop"/>
          <w:rFonts w:asciiTheme="majorBidi" w:eastAsiaTheme="majorEastAsia" w:hAnsiTheme="majorBidi" w:cstheme="majorBidi"/>
          <w:sz w:val="22"/>
          <w:szCs w:val="22"/>
        </w:rPr>
        <w:t> </w:t>
      </w:r>
    </w:p>
    <w:p w14:paraId="6018C9B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4. Rationale</w:t>
      </w:r>
      <w:r w:rsidRPr="00ED7E61">
        <w:rPr>
          <w:rStyle w:val="eop"/>
          <w:rFonts w:asciiTheme="majorBidi" w:eastAsiaTheme="majorEastAsia" w:hAnsiTheme="majorBidi" w:cstheme="majorBidi"/>
          <w:b/>
          <w:bCs/>
          <w:sz w:val="22"/>
          <w:szCs w:val="22"/>
        </w:rPr>
        <w:t> </w:t>
      </w:r>
    </w:p>
    <w:p w14:paraId="6CB6DD29" w14:textId="14E4FEC5" w:rsidR="00781C70" w:rsidRPr="00ED7E61" w:rsidRDefault="00756F0F" w:rsidP="00B10F0C">
      <w:pPr>
        <w:pStyle w:val="CBDNormalNumber"/>
        <w:numPr>
          <w:ilvl w:val="0"/>
          <w:numId w:val="72"/>
        </w:numPr>
        <w:tabs>
          <w:tab w:val="clear" w:pos="1701"/>
        </w:tabs>
        <w:ind w:left="567" w:hanging="24"/>
        <w:rPr>
          <w:color w:val="000000"/>
        </w:rPr>
      </w:pPr>
      <w:r w:rsidRPr="00ED7E61">
        <w:rPr>
          <w:color w:val="000000"/>
        </w:rPr>
        <w:t>The Food and Agriculture Organization of the United Nations (FAO), as co-lead of the UN Decade on Ecosystem Restoration (“</w:t>
      </w:r>
      <w:r w:rsidRPr="00FB1598">
        <w:rPr>
          <w:i/>
          <w:iCs/>
          <w:color w:val="000000"/>
        </w:rPr>
        <w:t>UN Decade</w:t>
      </w:r>
      <w:r w:rsidRPr="00ED7E61">
        <w:rPr>
          <w:color w:val="000000"/>
        </w:rPr>
        <w:t>”) and lead of the Task Force on Monitoring (“</w:t>
      </w:r>
      <w:r w:rsidRPr="00FB1598">
        <w:rPr>
          <w:i/>
          <w:iCs/>
          <w:color w:val="000000"/>
        </w:rPr>
        <w:t>the Task Force</w:t>
      </w:r>
      <w:r w:rsidRPr="00ED7E61">
        <w:rPr>
          <w:color w:val="000000"/>
        </w:rPr>
        <w:t xml:space="preserve">”) follows the request and mandate given by the United Nations General Assembly (UNGA) to report on the status of ecosystem restoration in its eighty-first session (resolution </w:t>
      </w:r>
      <w:hyperlink r:id="rId321" w:tgtFrame="_blank" w:history="1">
        <w:r w:rsidRPr="00ED7E61">
          <w:rPr>
            <w:color w:val="000000"/>
          </w:rPr>
          <w:t>A/RES/73/284</w:t>
        </w:r>
      </w:hyperlink>
      <w:r w:rsidRPr="00ED7E61">
        <w:rPr>
          <w:color w:val="000000"/>
        </w:rPr>
        <w:t xml:space="preserve"> from March 2019): “</w:t>
      </w:r>
      <w:r w:rsidRPr="00FB1598">
        <w:rPr>
          <w:i/>
          <w:iCs/>
          <w:color w:val="000000"/>
        </w:rPr>
        <w:t>The General Assembly, (…) 7. Requests the Secretary-General to report to the General Assembly at its eighty-first session on the status of the implementation of the present resolution, including its contribution to the implementation of the 2030 Agenda for Sustainable Development</w:t>
      </w:r>
      <w:r w:rsidRPr="00ED7E61">
        <w:rPr>
          <w:color w:val="000000"/>
        </w:rPr>
        <w:t>”.  </w:t>
      </w:r>
    </w:p>
    <w:p w14:paraId="743C97B2" w14:textId="77777777" w:rsidR="00781C70" w:rsidRPr="00ED7E61" w:rsidRDefault="00756F0F" w:rsidP="00B10F0C">
      <w:pPr>
        <w:pStyle w:val="CBDNormalNumber"/>
        <w:numPr>
          <w:ilvl w:val="0"/>
          <w:numId w:val="72"/>
        </w:numPr>
        <w:ind w:left="567" w:firstLine="0"/>
        <w:rPr>
          <w:rStyle w:val="normaltextrun"/>
          <w:rFonts w:asciiTheme="majorBidi" w:hAnsiTheme="majorBidi" w:cstheme="majorBidi"/>
        </w:rPr>
      </w:pPr>
      <w:r w:rsidRPr="00ED7E61">
        <w:rPr>
          <w:rStyle w:val="normaltextrun"/>
          <w:rFonts w:asciiTheme="majorBidi" w:eastAsiaTheme="majorEastAsia" w:hAnsiTheme="majorBidi" w:cstheme="majorBidi"/>
        </w:rPr>
        <w:t xml:space="preserve">In 2022, the Framework for Ecosystem Restoration Monitoring (FERM) was collaboratively developed and launched through the joint efforts of the UN Decade FAO-led Task Forces, as the monitoring framework of the UN Decade. The FERM consists of four components: </w:t>
      </w:r>
    </w:p>
    <w:p w14:paraId="37D83AAA" w14:textId="300E79F3" w:rsidR="00781C70" w:rsidRPr="00ED7E61" w:rsidRDefault="00781C70" w:rsidP="00B10F0C">
      <w:pPr>
        <w:pStyle w:val="CBDNormalNumber"/>
        <w:numPr>
          <w:ilvl w:val="1"/>
          <w:numId w:val="72"/>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color w:val="000000"/>
          <w:lang w:val="en-US"/>
        </w:rPr>
        <w:t>A</w:t>
      </w:r>
      <w:r w:rsidR="00756F0F" w:rsidRPr="00ED7E61">
        <w:rPr>
          <w:color w:val="000000"/>
          <w:lang w:val="en-US"/>
        </w:rPr>
        <w:t xml:space="preserve"> registry that harmonises and collects area-based data on ecosystem restoration projects and programs, by enabling interoperable data exchange with other platforms; </w:t>
      </w:r>
    </w:p>
    <w:p w14:paraId="4DE533FB" w14:textId="36692377" w:rsidR="00781C70" w:rsidRPr="00ED7E61" w:rsidRDefault="00781C70" w:rsidP="00B10F0C">
      <w:pPr>
        <w:pStyle w:val="CBDNormalNumber"/>
        <w:numPr>
          <w:ilvl w:val="1"/>
          <w:numId w:val="72"/>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color w:val="000000"/>
          <w:lang w:val="en-US"/>
        </w:rPr>
        <w:t>A</w:t>
      </w:r>
      <w:r w:rsidR="00756F0F" w:rsidRPr="00ED7E61">
        <w:rPr>
          <w:color w:val="000000"/>
          <w:lang w:val="en-US"/>
        </w:rPr>
        <w:t xml:space="preserve"> geoportal for visualising restoration areas on the map, in order to know where restoration is happening; </w:t>
      </w:r>
    </w:p>
    <w:p w14:paraId="0FE73D01" w14:textId="7A824AF1" w:rsidR="00781C70" w:rsidRPr="00ED7E61" w:rsidRDefault="00781C70" w:rsidP="00B10F0C">
      <w:pPr>
        <w:pStyle w:val="CBDNormalNumber"/>
        <w:numPr>
          <w:ilvl w:val="1"/>
          <w:numId w:val="72"/>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color w:val="000000"/>
          <w:lang w:val="en-US"/>
        </w:rPr>
        <w:t>A</w:t>
      </w:r>
      <w:r w:rsidR="00756F0F" w:rsidRPr="00ED7E61">
        <w:rPr>
          <w:color w:val="000000"/>
          <w:lang w:val="en-US"/>
        </w:rPr>
        <w:t xml:space="preserve"> search engine to share restoration initiatives and good practices that are entered into the FERM registry or are part of the interoperable data exchange and </w:t>
      </w:r>
    </w:p>
    <w:p w14:paraId="182787B4" w14:textId="73820106" w:rsidR="00756F0F" w:rsidRPr="00ED7E61" w:rsidRDefault="00781C70" w:rsidP="00B10F0C">
      <w:pPr>
        <w:pStyle w:val="CBDNormalNumber"/>
        <w:numPr>
          <w:ilvl w:val="1"/>
          <w:numId w:val="72"/>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color w:val="000000"/>
          <w:lang w:val="en-US"/>
        </w:rPr>
        <w:t>A</w:t>
      </w:r>
      <w:r w:rsidR="00756F0F" w:rsidRPr="00ED7E61">
        <w:rPr>
          <w:color w:val="000000"/>
          <w:lang w:val="en-US"/>
        </w:rPr>
        <w:t xml:space="preserve"> dashboard showing aggregated country-level restoration data from publicly available sources.  </w:t>
      </w:r>
    </w:p>
    <w:p w14:paraId="010DF189" w14:textId="37AD35B0" w:rsidR="00781C70" w:rsidRPr="00ED7E61" w:rsidRDefault="00756F0F" w:rsidP="00B10F0C">
      <w:pPr>
        <w:pStyle w:val="CBDNormalNumber"/>
        <w:numPr>
          <w:ilvl w:val="0"/>
          <w:numId w:val="72"/>
        </w:numPr>
        <w:ind w:left="567" w:firstLine="0"/>
        <w:rPr>
          <w:rStyle w:val="normaltextrun"/>
          <w:rFonts w:eastAsiaTheme="majorEastAsia"/>
        </w:rPr>
      </w:pPr>
      <w:r w:rsidRPr="00ED7E61">
        <w:rPr>
          <w:rStyle w:val="normaltextrun"/>
          <w:rFonts w:asciiTheme="majorBidi" w:eastAsiaTheme="majorEastAsia" w:hAnsiTheme="majorBidi" w:cstheme="majorBidi"/>
        </w:rPr>
        <w:t>Globally, the estimation of degraded land varies from less than 1 billion to over 6 billion hectares (Gibbs and Salmon, 2015). In addition, 60 percent of world’s major marine ecosystems are estimated to be either degraded or unsustainably used (UNEP, 2011). Monitoring and transparent reporting on areas under restoration will reveal the global progress towards achieving the 30 percent global target.</w:t>
      </w:r>
      <w:r w:rsidRPr="00ED7E61">
        <w:rPr>
          <w:rStyle w:val="normaltextrun"/>
        </w:rPr>
        <w:t> </w:t>
      </w:r>
    </w:p>
    <w:p w14:paraId="3D829269" w14:textId="0964CCDD"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Given that currently there is no global mechanism for collecting country reported area-based information on ecosystem restoration that spans all ecosystems, a working group was created to support the development of a methodology for area-based estimates, aiming at removing duplication of effort and ensuring alignment between the UN Decade progress reporting and GBF Target 2. In November 2023, the working group was transformed to a partnership supporting implementation and monitoring of ecosystem restoration (FAO, 2023), with the following partners: UNCCD, UNFCCC, UNEP, UNDP, UNEP-WCMC, the Ramsar Convention, IUCN, WRI, UN SEEA, Restor, SER, CIFOR-ICRAF, Conservation International, WWF and ICRI. The methodology proposes a workflow</w:t>
      </w:r>
      <w:r w:rsidR="00781C70" w:rsidRPr="00ED7E61">
        <w:rPr>
          <w:rStyle w:val="normaltextrun"/>
          <w:rFonts w:asciiTheme="majorBidi" w:eastAsiaTheme="majorEastAsia" w:hAnsiTheme="majorBidi" w:cstheme="majorBidi"/>
        </w:rPr>
        <w:t xml:space="preserve"> (figure </w:t>
      </w:r>
      <w:r w:rsidR="00FF6CC0">
        <w:rPr>
          <w:rStyle w:val="normaltextrun"/>
          <w:rFonts w:asciiTheme="majorBidi" w:eastAsiaTheme="majorEastAsia" w:hAnsiTheme="majorBidi" w:cstheme="majorBidi"/>
        </w:rPr>
        <w:t>I</w:t>
      </w:r>
      <w:r w:rsidR="00781C70"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that contains five main activities: target setting, data compilation, reporting, monitoring, and capacity development. FAO will support in all the five activities. This metadata document focuses on data compilation and reporting.</w:t>
      </w:r>
      <w:r w:rsidRPr="00ED7E61">
        <w:rPr>
          <w:rStyle w:val="eop"/>
          <w:rFonts w:asciiTheme="majorBidi" w:eastAsiaTheme="majorEastAsia" w:hAnsiTheme="majorBidi" w:cstheme="majorBidi"/>
        </w:rPr>
        <w:t> </w:t>
      </w:r>
    </w:p>
    <w:p w14:paraId="72BC57B7" w14:textId="686544E0" w:rsidR="00A711FC" w:rsidRPr="00ED7E61" w:rsidRDefault="00A711FC" w:rsidP="00395866">
      <w:pPr>
        <w:pStyle w:val="paragraph"/>
        <w:spacing w:before="0" w:beforeAutospacing="0" w:after="0" w:afterAutospacing="0"/>
        <w:textAlignment w:val="baseline"/>
        <w:rPr>
          <w:rStyle w:val="normaltextrun"/>
          <w:rFonts w:asciiTheme="majorBidi" w:eastAsiaTheme="majorEastAsia" w:hAnsiTheme="majorBidi" w:cstheme="majorBidi"/>
          <w:b/>
          <w:bCs/>
          <w:i/>
          <w:iCs/>
          <w:sz w:val="22"/>
          <w:szCs w:val="22"/>
          <w:lang w:val="en-GB"/>
        </w:rPr>
      </w:pPr>
      <w:r w:rsidRPr="00ED7E61">
        <w:rPr>
          <w:noProof/>
          <w:lang w:val="fr-FR" w:eastAsia="fr-FR"/>
        </w:rPr>
        <w:drawing>
          <wp:inline distT="0" distB="0" distL="0" distR="0" wp14:anchorId="10104582" wp14:editId="5B473C08">
            <wp:extent cx="5731510" cy="2909146"/>
            <wp:effectExtent l="0" t="0" r="0" b="0"/>
            <wp:docPr id="6017451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322">
                      <a:extLst>
                        <a:ext uri="{96DAC541-7B7A-43D3-8B79-37D633B846F1}">
                          <asvg:svgBlip xmlns:asvg="http://schemas.microsoft.com/office/drawing/2016/SVG/main" r:embed="rId323"/>
                        </a:ext>
                      </a:extLst>
                    </a:blip>
                    <a:srcRect b="9763"/>
                    <a:stretch>
                      <a:fillRect/>
                    </a:stretch>
                  </pic:blipFill>
                  <pic:spPr>
                    <a:xfrm>
                      <a:off x="0" y="0"/>
                      <a:ext cx="5731510" cy="2909146"/>
                    </a:xfrm>
                    <a:prstGeom prst="rect">
                      <a:avLst/>
                    </a:prstGeom>
                  </pic:spPr>
                </pic:pic>
              </a:graphicData>
            </a:graphic>
          </wp:inline>
        </w:drawing>
      </w:r>
    </w:p>
    <w:p w14:paraId="5537AC0C" w14:textId="02C0A1BD" w:rsidR="00756F0F" w:rsidRPr="00FF6CC0" w:rsidRDefault="00756F0F" w:rsidP="00B3383B">
      <w:pPr>
        <w:pStyle w:val="paragraph"/>
        <w:spacing w:before="0" w:beforeAutospacing="0" w:after="0" w:afterAutospacing="0"/>
        <w:ind w:left="567"/>
        <w:textAlignment w:val="baseline"/>
        <w:rPr>
          <w:rFonts w:asciiTheme="majorBidi" w:hAnsiTheme="majorBidi" w:cstheme="majorBidi"/>
          <w:sz w:val="22"/>
          <w:szCs w:val="22"/>
        </w:rPr>
      </w:pPr>
      <w:r w:rsidRPr="00B3383B">
        <w:rPr>
          <w:rStyle w:val="normaltextrun"/>
          <w:rFonts w:asciiTheme="majorBidi" w:eastAsiaTheme="majorEastAsia" w:hAnsiTheme="majorBidi" w:cstheme="majorBidi"/>
          <w:sz w:val="22"/>
          <w:szCs w:val="22"/>
          <w:lang w:val="en-GB"/>
        </w:rPr>
        <w:t xml:space="preserve">Figure </w:t>
      </w:r>
      <w:r w:rsidR="00FF6CC0" w:rsidRPr="00B3383B">
        <w:rPr>
          <w:rStyle w:val="normaltextrun"/>
          <w:rFonts w:asciiTheme="majorBidi" w:eastAsiaTheme="majorEastAsia" w:hAnsiTheme="majorBidi" w:cstheme="majorBidi"/>
          <w:sz w:val="22"/>
          <w:szCs w:val="22"/>
          <w:lang w:val="en-GB"/>
        </w:rPr>
        <w:t>I</w:t>
      </w:r>
      <w:r w:rsidRPr="00B3383B">
        <w:rPr>
          <w:rStyle w:val="normaltextrun"/>
          <w:rFonts w:asciiTheme="majorBidi" w:eastAsiaTheme="majorEastAsia" w:hAnsiTheme="majorBidi" w:cstheme="majorBidi"/>
          <w:sz w:val="22"/>
          <w:szCs w:val="22"/>
          <w:lang w:val="en-GB"/>
        </w:rPr>
        <w:t> </w:t>
      </w:r>
      <w:r w:rsidR="00FF6CC0" w:rsidRPr="00B3383B">
        <w:rPr>
          <w:rStyle w:val="normaltextrun"/>
          <w:rFonts w:asciiTheme="majorBidi" w:eastAsiaTheme="majorEastAsia" w:hAnsiTheme="majorBidi" w:cstheme="majorBidi"/>
          <w:sz w:val="22"/>
          <w:szCs w:val="22"/>
          <w:lang w:val="en-GB"/>
        </w:rPr>
        <w:br/>
      </w:r>
      <w:r w:rsidRPr="00B3383B">
        <w:rPr>
          <w:rStyle w:val="normaltextrun"/>
          <w:rFonts w:asciiTheme="majorBidi" w:eastAsiaTheme="majorEastAsia" w:hAnsiTheme="majorBidi" w:cstheme="majorBidi"/>
          <w:b/>
          <w:bCs/>
          <w:sz w:val="22"/>
          <w:szCs w:val="22"/>
          <w:lang w:val="en-GB"/>
        </w:rPr>
        <w:t>Proposed workflow for Target 2 indicator</w:t>
      </w:r>
    </w:p>
    <w:p w14:paraId="133F9FEB" w14:textId="383C1194" w:rsidR="00781C70"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According to CBD/COP/DEC/15/6, Parties will report the implementation of </w:t>
      </w:r>
      <w:r w:rsidR="00781C70" w:rsidRPr="00ED7E61">
        <w:rPr>
          <w:rStyle w:val="normaltextrun"/>
          <w:rFonts w:asciiTheme="majorBidi" w:eastAsiaTheme="majorEastAsia" w:hAnsiTheme="majorBidi" w:cstheme="majorBidi"/>
        </w:rPr>
        <w:t>Kunming-Montreal Global Biodiversity Framework</w:t>
      </w:r>
      <w:r w:rsidRPr="00ED7E61">
        <w:rPr>
          <w:rStyle w:val="normaltextrun"/>
          <w:rFonts w:asciiTheme="majorBidi" w:eastAsiaTheme="majorEastAsia" w:hAnsiTheme="majorBidi" w:cstheme="majorBidi"/>
        </w:rPr>
        <w:t xml:space="preserve"> directly using CBD’s online reporting tool. This reporting, as well as the corresponding data collection and compilation process, is led by Parties. The reporting template is not yet available and FAO aims to work with CBD and AHTEG to develop a template for national reporting on Target 2 indicator in the online reporting tool.</w:t>
      </w:r>
      <w:r w:rsidRPr="00ED7E61">
        <w:rPr>
          <w:rStyle w:val="normaltextrun"/>
        </w:rPr>
        <w:t> </w:t>
      </w:r>
    </w:p>
    <w:p w14:paraId="72EACE21" w14:textId="77777777"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In parallel, FAO is leading a data compilation effort that will integrate restoration data from various available data sources. The objective is to produce a default dataset on restoration that can contribute to the national processes, while providing more information and contextualizing restoration progress, beyond area-based estimate, such as the actor leading the restoration, activities, tenure, etc. Additionally, the FERM will allow the CBD national focal point to directly enter data on restoration initiatives and projects, with the ambition of creating a global map to showcase restoration areas (as polygons or points). In this way, FAO supports transparently monitoring and reporting to Target 2.</w:t>
      </w:r>
      <w:r w:rsidRPr="00ED7E61">
        <w:rPr>
          <w:rStyle w:val="eop"/>
          <w:rFonts w:asciiTheme="majorBidi" w:eastAsiaTheme="majorEastAsia" w:hAnsiTheme="majorBidi" w:cstheme="majorBidi"/>
        </w:rPr>
        <w:t> </w:t>
      </w:r>
    </w:p>
    <w:p w14:paraId="5CC3C1EA" w14:textId="054FF969" w:rsidR="00756F0F" w:rsidRPr="00ED7E61" w:rsidRDefault="00756F0F" w:rsidP="00781C70">
      <w:pPr>
        <w:pStyle w:val="paragraph"/>
        <w:spacing w:before="0" w:beforeAutospacing="0" w:after="0" w:afterAutospacing="0"/>
        <w:textAlignment w:val="baseline"/>
        <w:rPr>
          <w:rFonts w:asciiTheme="majorBidi" w:hAnsiTheme="majorBidi" w:cstheme="majorBidi"/>
          <w:b/>
          <w:bCs/>
          <w:sz w:val="22"/>
          <w:szCs w:val="22"/>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lang w:val="en-GB"/>
        </w:rPr>
        <w:t>5. Definitions, concepts and classifications</w:t>
      </w:r>
      <w:r w:rsidRPr="00ED7E61">
        <w:rPr>
          <w:rStyle w:val="eop"/>
          <w:rFonts w:asciiTheme="majorBidi" w:eastAsiaTheme="majorEastAsia" w:hAnsiTheme="majorBidi" w:cstheme="majorBidi"/>
          <w:b/>
          <w:bCs/>
          <w:sz w:val="22"/>
          <w:szCs w:val="22"/>
        </w:rPr>
        <w:t> </w:t>
      </w:r>
    </w:p>
    <w:p w14:paraId="5CF3151C" w14:textId="77777777" w:rsidR="00756F0F" w:rsidRPr="00ED7E61" w:rsidRDefault="00756F0F" w:rsidP="00E72CB5">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5a. Definition: </w:t>
      </w:r>
      <w:r w:rsidRPr="00ED7E61">
        <w:rPr>
          <w:rStyle w:val="eop"/>
          <w:rFonts w:asciiTheme="majorBidi" w:eastAsiaTheme="majorEastAsia" w:hAnsiTheme="majorBidi" w:cstheme="majorBidi"/>
          <w:b/>
          <w:bCs/>
          <w:sz w:val="22"/>
          <w:szCs w:val="22"/>
        </w:rPr>
        <w:t> </w:t>
      </w:r>
    </w:p>
    <w:p w14:paraId="543A03D2" w14:textId="1CAAC04B" w:rsidR="00781C70"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Ecosystem restoration:</w:t>
      </w:r>
      <w:r w:rsidRPr="00ED7E61">
        <w:rPr>
          <w:rStyle w:val="normaltextrun"/>
        </w:rPr>
        <w:t> </w:t>
      </w:r>
      <w:r w:rsidRPr="00ED7E61">
        <w:rPr>
          <w:rStyle w:val="normaltextrun"/>
          <w:rFonts w:asciiTheme="majorBidi" w:eastAsiaTheme="majorEastAsia" w:hAnsiTheme="majorBidi" w:cstheme="majorBidi"/>
        </w:rPr>
        <w:t>Within the UN Decade, ecosystem restoration is defined as: ”</w:t>
      </w:r>
      <w:r w:rsidRPr="00FB1598">
        <w:rPr>
          <w:rStyle w:val="normaltextrun"/>
          <w:rFonts w:asciiTheme="majorBidi" w:eastAsiaTheme="majorEastAsia" w:hAnsiTheme="majorBidi" w:cstheme="majorBidi"/>
          <w:i/>
          <w:iCs/>
        </w:rPr>
        <w:t>The process of halting and reversing degradation, resulting in improved ecosystem services and recovered biodiversity. Ecosystem restoration encompasses a wide continuum of practices, depending on local conditions and societal choice</w:t>
      </w:r>
      <w:r w:rsidRPr="00ED7E61">
        <w:rPr>
          <w:rStyle w:val="normaltextrun"/>
          <w:rFonts w:asciiTheme="majorBidi" w:eastAsiaTheme="majorEastAsia" w:hAnsiTheme="majorBidi" w:cstheme="majorBidi"/>
        </w:rPr>
        <w:t>.” (UNEP, 2021).</w:t>
      </w:r>
      <w:r w:rsidRPr="00ED7E61">
        <w:rPr>
          <w:rStyle w:val="normaltextrun"/>
        </w:rPr>
        <w:t> </w:t>
      </w:r>
    </w:p>
    <w:p w14:paraId="05601559" w14:textId="6B4D1517" w:rsidR="00781C70"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Within the CBD Global Biodiversity Framework, ecosystem restoration is described as follows (CBD, 2021): “</w:t>
      </w:r>
      <w:r w:rsidRPr="00FB1598">
        <w:rPr>
          <w:rStyle w:val="normaltextrun"/>
          <w:rFonts w:asciiTheme="majorBidi" w:eastAsiaTheme="majorEastAsia" w:hAnsiTheme="majorBidi" w:cstheme="majorBidi"/>
          <w:i/>
          <w:iCs/>
        </w:rPr>
        <w:t>Restoration may include: (a) restoring converted areas back to natural states; (b) improving the ecological integrity of degraded natural areas; and (c) rehabilitating converted and degraded areas (e.g. degraded agricultural lands) to improve both productivity and integrity</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7A87879E" w14:textId="4CD9DAE7" w:rsidR="00781C70" w:rsidRPr="00ED7E61" w:rsidRDefault="00756F0F" w:rsidP="00B10F0C">
      <w:pPr>
        <w:pStyle w:val="CBDNormalNumber"/>
        <w:numPr>
          <w:ilvl w:val="0"/>
          <w:numId w:val="72"/>
        </w:numPr>
        <w:ind w:left="567" w:firstLine="0"/>
      </w:pPr>
      <w:r w:rsidRPr="00ED7E61">
        <w:rPr>
          <w:rStyle w:val="normaltextrun"/>
          <w:rFonts w:asciiTheme="majorBidi" w:eastAsiaTheme="majorEastAsia" w:hAnsiTheme="majorBidi" w:cstheme="majorBidi"/>
        </w:rPr>
        <w:t>Ecological restoration:</w:t>
      </w:r>
      <w:r w:rsidRPr="00ED7E61">
        <w:rPr>
          <w:rStyle w:val="normaltextrun"/>
        </w:rPr>
        <w:t> </w:t>
      </w:r>
      <w:r w:rsidRPr="00ED7E61">
        <w:rPr>
          <w:rStyle w:val="normaltextrun"/>
          <w:rFonts w:asciiTheme="majorBidi" w:eastAsiaTheme="majorEastAsia" w:hAnsiTheme="majorBidi" w:cstheme="majorBidi"/>
        </w:rPr>
        <w:t>Ecological restoration is a type of ecosystem restoration. According to CBD (2016), it is defined as: “</w:t>
      </w:r>
      <w:r w:rsidRPr="00FB1598">
        <w:rPr>
          <w:rStyle w:val="normaltextrun"/>
          <w:rFonts w:asciiTheme="majorBidi" w:eastAsiaTheme="majorEastAsia" w:hAnsiTheme="majorBidi" w:cstheme="majorBidi"/>
          <w:i/>
          <w:iCs/>
        </w:rPr>
        <w:t>The process of managing or assisting the recovery of an ecosystem that has been degraded, damaged or destroyed as a means of sustaining ecosystem resilience and conserving biodiversity.</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36F9C521" w14:textId="6D655BDD" w:rsidR="00781C70"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The Society for Ecological Restoration (SER) defines ecological restoration as: “</w:t>
      </w:r>
      <w:r w:rsidRPr="00FB1598">
        <w:rPr>
          <w:rStyle w:val="normaltextrun"/>
          <w:rFonts w:asciiTheme="majorBidi" w:eastAsiaTheme="majorEastAsia" w:hAnsiTheme="majorBidi" w:cstheme="majorBidi"/>
          <w:i/>
          <w:iCs/>
        </w:rPr>
        <w:t>The process of assisting the recovery of an ecosystem that has been degraded, damaged, or destroyed. (Ecosystem restoration is sometimes used inter-changeably with ecological restoration, but ecological restoration always addresses biodiversity conservation and ecological integrity, whereas some approaches to ecosystem restoration may focus solely on the delivery of ecosystem services.)</w:t>
      </w:r>
      <w:r w:rsidRPr="00ED7E61">
        <w:rPr>
          <w:rStyle w:val="normaltextrun"/>
          <w:rFonts w:asciiTheme="majorBidi" w:eastAsiaTheme="majorEastAsia" w:hAnsiTheme="majorBidi" w:cstheme="majorBidi"/>
        </w:rPr>
        <w:t>” (Gann et al. 2019).</w:t>
      </w:r>
      <w:r w:rsidRPr="00ED7E61">
        <w:rPr>
          <w:rStyle w:val="eop"/>
          <w:rFonts w:asciiTheme="majorBidi" w:eastAsiaTheme="majorEastAsia" w:hAnsiTheme="majorBidi" w:cstheme="majorBidi"/>
        </w:rPr>
        <w:t> </w:t>
      </w:r>
    </w:p>
    <w:p w14:paraId="6292D454" w14:textId="77777777"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The CBD Secretariat and SER have provided a glossary to help distinguish different versions of restoration and explain how they intersect (CBD Secretariat and SER, 2019).</w:t>
      </w:r>
      <w:r w:rsidRPr="00ED7E61">
        <w:rPr>
          <w:rStyle w:val="eop"/>
          <w:rFonts w:asciiTheme="majorBidi" w:eastAsiaTheme="majorEastAsia" w:hAnsiTheme="majorBidi" w:cstheme="majorBidi"/>
        </w:rPr>
        <w:t> </w:t>
      </w:r>
    </w:p>
    <w:p w14:paraId="58372763" w14:textId="648229D1" w:rsidR="00781C70" w:rsidRPr="00ED7E61" w:rsidRDefault="00756F0F" w:rsidP="00B10F0C">
      <w:pPr>
        <w:pStyle w:val="CBDNormalNumber"/>
        <w:numPr>
          <w:ilvl w:val="0"/>
          <w:numId w:val="72"/>
        </w:numPr>
        <w:ind w:left="567" w:firstLine="0"/>
        <w:rPr>
          <w:rStyle w:val="normaltextrun"/>
          <w:rFonts w:eastAsiaTheme="majorEastAsia"/>
        </w:rPr>
      </w:pPr>
      <w:r w:rsidRPr="00ED7E61">
        <w:rPr>
          <w:rStyle w:val="normaltextrun"/>
          <w:rFonts w:asciiTheme="majorBidi" w:eastAsiaTheme="majorEastAsia" w:hAnsiTheme="majorBidi" w:cstheme="majorBidi"/>
        </w:rPr>
        <w:t>Rehabilitation:</w:t>
      </w:r>
      <w:r w:rsidRPr="00ED7E61">
        <w:rPr>
          <w:rStyle w:val="normaltextrun"/>
        </w:rPr>
        <w:t> </w:t>
      </w:r>
      <w:r w:rsidRPr="00ED7E61">
        <w:rPr>
          <w:rStyle w:val="normaltextrun"/>
          <w:rFonts w:asciiTheme="majorBidi" w:eastAsiaTheme="majorEastAsia" w:hAnsiTheme="majorBidi" w:cstheme="majorBidi"/>
        </w:rPr>
        <w:t>SER defines rehabilitation as “</w:t>
      </w:r>
      <w:r w:rsidRPr="00FB1598">
        <w:rPr>
          <w:rStyle w:val="normaltextrun"/>
          <w:rFonts w:asciiTheme="majorBidi" w:eastAsiaTheme="majorEastAsia" w:hAnsiTheme="majorBidi" w:cstheme="majorBidi"/>
          <w:i/>
          <w:iCs/>
        </w:rPr>
        <w:t>Management actions that aim to reinstate a level of ecosystem functioning on degraded sites, where the goal is renewed and ongoing provision of ecosystem services rather than the biodiversity and integrity of a designated native reference ecosystem</w:t>
      </w:r>
      <w:r w:rsidRPr="00ED7E61">
        <w:rPr>
          <w:rStyle w:val="normaltextrun"/>
          <w:rFonts w:asciiTheme="majorBidi" w:eastAsiaTheme="majorEastAsia" w:hAnsiTheme="majorBidi" w:cstheme="majorBidi"/>
        </w:rPr>
        <w:t>” (Gann et al. 2019). </w:t>
      </w:r>
      <w:r w:rsidRPr="00ED7E61">
        <w:rPr>
          <w:rStyle w:val="normaltextrun"/>
        </w:rPr>
        <w:t> </w:t>
      </w:r>
    </w:p>
    <w:p w14:paraId="7D2EE385" w14:textId="53A64EB2" w:rsidR="00781C70"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Rehabilitation is a type of ecosystem restoration. Ecosystem rehabilitation is focused on restoring and improving functions within transformed ecosystems, while ecological restoration is focused on restoration to a natural state.</w:t>
      </w:r>
      <w:r w:rsidRPr="00ED7E61">
        <w:rPr>
          <w:rStyle w:val="eop"/>
          <w:rFonts w:asciiTheme="majorBidi" w:eastAsiaTheme="majorEastAsia" w:hAnsiTheme="majorBidi" w:cstheme="majorBidi"/>
        </w:rPr>
        <w:t> </w:t>
      </w:r>
    </w:p>
    <w:p w14:paraId="4E1F9E9F" w14:textId="4337B5AA" w:rsidR="00781C70" w:rsidRPr="00ED7E61" w:rsidRDefault="00756F0F" w:rsidP="00B10F0C">
      <w:pPr>
        <w:pStyle w:val="CBDNormalNumber"/>
        <w:numPr>
          <w:ilvl w:val="0"/>
          <w:numId w:val="72"/>
        </w:numPr>
        <w:ind w:left="567" w:firstLine="0"/>
      </w:pPr>
      <w:r w:rsidRPr="00ED7E61">
        <w:rPr>
          <w:rStyle w:val="normaltextrun"/>
          <w:rFonts w:asciiTheme="majorBidi" w:eastAsiaTheme="majorEastAsia" w:hAnsiTheme="majorBidi" w:cstheme="majorBidi"/>
        </w:rPr>
        <w:t>Effective restoration:</w:t>
      </w:r>
      <w:r w:rsidRPr="00ED7E61">
        <w:rPr>
          <w:rStyle w:val="eop"/>
          <w:rFonts w:asciiTheme="majorBidi" w:eastAsiaTheme="majorEastAsia" w:hAnsiTheme="majorBidi" w:cstheme="majorBidi"/>
        </w:rPr>
        <w:t> </w:t>
      </w:r>
      <w:r w:rsidRPr="00ED7E61">
        <w:rPr>
          <w:rStyle w:val="normaltextrun"/>
          <w:rFonts w:asciiTheme="majorBidi" w:eastAsiaTheme="majorEastAsia" w:hAnsiTheme="majorBidi" w:cstheme="majorBidi"/>
        </w:rPr>
        <w:t>Draft definition provided by SER: “</w:t>
      </w:r>
      <w:r w:rsidRPr="00FB1598">
        <w:rPr>
          <w:rStyle w:val="normaltextrun"/>
          <w:rFonts w:asciiTheme="majorBidi" w:eastAsiaTheme="majorEastAsia" w:hAnsiTheme="majorBidi" w:cstheme="majorBidi"/>
          <w:i/>
          <w:iCs/>
        </w:rPr>
        <w:t>Effective Restoration is standards-based restoration that results in net gain for biodiversity, ecosystem integrity, and/or human well-being</w:t>
      </w:r>
      <w:r w:rsidRPr="00FB1598">
        <w:rPr>
          <w:rStyle w:val="normaltextrun"/>
          <w:rFonts w:asciiTheme="majorBidi" w:eastAsiaTheme="majorEastAsia" w:hAnsiTheme="majorBidi" w:cstheme="majorBidi"/>
          <w:i/>
          <w:iCs/>
          <w:strike/>
        </w:rPr>
        <w:t xml:space="preserve"> </w:t>
      </w:r>
      <w:r w:rsidRPr="00FB1598">
        <w:rPr>
          <w:rStyle w:val="normaltextrun"/>
          <w:rFonts w:asciiTheme="majorBidi" w:eastAsiaTheme="majorEastAsia" w:hAnsiTheme="majorBidi" w:cstheme="majorBidi"/>
          <w:i/>
          <w:iCs/>
        </w:rPr>
        <w:t>and is assessed against clear goals and objectives using measurable indicators. Different types of restoration will achieve different levels of outcomes for the key elements of Target 2: to enhance biodiversity and ecosystem functions and services, ecological integrity and connectivity</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2DAE7CA7" w14:textId="39800609"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Effective restoration is defined as restoration that achieves and maintains the short, medium and long-term goals of restoration, that are explicitly defined and measurable.</w:t>
      </w:r>
      <w:r w:rsidRPr="00ED7E61">
        <w:rPr>
          <w:rStyle w:val="eop"/>
          <w:rFonts w:asciiTheme="majorBidi" w:eastAsiaTheme="majorEastAsia" w:hAnsiTheme="majorBidi" w:cstheme="majorBidi"/>
        </w:rPr>
        <w:t> </w:t>
      </w:r>
    </w:p>
    <w:p w14:paraId="19F0D4D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5b. Method of computation</w:t>
      </w:r>
      <w:r w:rsidRPr="00ED7E61">
        <w:rPr>
          <w:rStyle w:val="eop"/>
          <w:rFonts w:asciiTheme="majorBidi" w:eastAsiaTheme="majorEastAsia" w:hAnsiTheme="majorBidi" w:cstheme="majorBidi"/>
          <w:sz w:val="22"/>
          <w:szCs w:val="22"/>
        </w:rPr>
        <w:t> </w:t>
      </w:r>
    </w:p>
    <w:p w14:paraId="5BAB31A3" w14:textId="58D11E78" w:rsidR="00781C70"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FAO will examine and compile restoration data from various available data sources to produce a default dataset on ecosystem restoration for countries. The default dataset contains area-based estimates that are aggregated from restoration initiatives and projects, as well as country directly reported tabular data from existing processes (see below a and b). This compilation process is supported by an interoperability framework that will enable data exchange and facilitate the harmonization of heterogeneous data. The default dataset is compilation of data reported from different sources but cannot be aggregated unless complete geospatial data and information matching the reporting parameters for Target 2 is available to avoid double-counting of areas under restoration. The default data is compiled by FAO to track progress in the scope of the UN Decade on Ecosystem Restoration. </w:t>
      </w:r>
      <w:r w:rsidRPr="00ED7E61">
        <w:rPr>
          <w:rStyle w:val="normaltextrun"/>
        </w:rPr>
        <w:t> </w:t>
      </w:r>
    </w:p>
    <w:p w14:paraId="72AD837E" w14:textId="77777777"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Country reported tabular data:</w:t>
      </w:r>
      <w:r w:rsidRPr="00ED7E61">
        <w:rPr>
          <w:rStyle w:val="eop"/>
          <w:rFonts w:asciiTheme="majorBidi" w:eastAsiaTheme="majorEastAsia" w:hAnsiTheme="majorBidi" w:cstheme="majorBidi"/>
        </w:rPr>
        <w:t> </w:t>
      </w:r>
    </w:p>
    <w:p w14:paraId="059A6A12" w14:textId="77777777" w:rsidR="00756F0F"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color w:val="000000"/>
          <w:lang w:val="en-US"/>
        </w:rPr>
      </w:pPr>
      <w:r w:rsidRPr="00ED7E61">
        <w:rPr>
          <w:color w:val="000000"/>
          <w:lang w:val="en-US"/>
        </w:rPr>
        <w:t>The default dataset contains country reported tabular data on restoration area from MEAs and existing reporting mechanisms that collect data on restoration. The tabular values of ecosystem restoration from multiple sources may overlap and may contain additional information on the type of ecosystems under restoration, restoration objectives, and other parameters. For example, the Global Forest Resource Assessment (FRA) collects country reported area of forests (ha) with main objective "</w:t>
      </w:r>
      <w:r w:rsidRPr="00FB1598">
        <w:rPr>
          <w:i/>
          <w:iCs/>
          <w:color w:val="000000"/>
          <w:lang w:val="en-US"/>
        </w:rPr>
        <w:t>Conservation of biodiversity</w:t>
      </w:r>
      <w:r w:rsidRPr="00ED7E61">
        <w:rPr>
          <w:color w:val="000000"/>
          <w:lang w:val="en-US"/>
        </w:rPr>
        <w:t>" and has included the area of forests under restoration (ha) in its next reporting cycle. The default data will compile data from multiple sources, such as FRA, LDN, country reporting to regional restoration targets such as AFR100, and cannot be further aggregated because of potential overlapping. The default dataset will list all the reported areas under restoration by data source. </w:t>
      </w:r>
    </w:p>
    <w:p w14:paraId="0FE3DA3B" w14:textId="77777777" w:rsidR="00756F0F" w:rsidRPr="00ED7E61" w:rsidRDefault="00756F0F" w:rsidP="00B10F0C">
      <w:pPr>
        <w:pStyle w:val="CBDNormalNumber"/>
        <w:numPr>
          <w:ilvl w:val="0"/>
          <w:numId w:val="72"/>
        </w:numPr>
        <w:ind w:left="567" w:firstLine="0"/>
        <w:rPr>
          <w:rStyle w:val="normaltextrun"/>
          <w:rFonts w:eastAsiaTheme="majorEastAsia"/>
        </w:rPr>
      </w:pPr>
      <w:r w:rsidRPr="00ED7E61">
        <w:rPr>
          <w:rStyle w:val="normaltextrun"/>
          <w:rFonts w:asciiTheme="majorBidi" w:eastAsiaTheme="majorEastAsia" w:hAnsiTheme="majorBidi" w:cstheme="majorBidi"/>
        </w:rPr>
        <w:t>Country level data aggregated from restoration initiatives and projects:</w:t>
      </w:r>
      <w:r w:rsidRPr="00ED7E61">
        <w:rPr>
          <w:rStyle w:val="normaltextrun"/>
        </w:rPr>
        <w:t> </w:t>
      </w:r>
    </w:p>
    <w:p w14:paraId="3337CAEC" w14:textId="708B237F" w:rsidR="00756F0F"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color w:val="000000"/>
          <w:lang w:val="en-US"/>
        </w:rPr>
      </w:pPr>
      <w:r w:rsidRPr="00ED7E61">
        <w:rPr>
          <w:color w:val="000000"/>
          <w:lang w:val="en-US"/>
        </w:rPr>
        <w:t xml:space="preserve">Restoration initiatives and projects are long- or short-term efforts aimed at achieving specific restoration goals and objectives in </w:t>
      </w:r>
      <w:r w:rsidRPr="00ED7E61">
        <w:rPr>
          <w:color w:val="000000"/>
        </w:rPr>
        <w:t>defined geographic locations</w:t>
      </w:r>
      <w:r w:rsidRPr="00ED7E61">
        <w:rPr>
          <w:color w:val="000000"/>
          <w:lang w:val="en-US"/>
        </w:rPr>
        <w:t>. Area under restoration may also be estimated by summing up the area of individual restoration initiatives and projects, removing duplications and overlapping areas (i.e. an area should not be counted more than once). This requires collecting initiative and project level data, using a bottom-up approach. The default dataset also contains national scale data aggregated from initiatives and projects, by each data source. It is not possible to further aggregate data from different sources because of potential double counting (for example, an area may be reported in multiple databases). FAO is leading an effort to identify and reduce double-counting by promoting project level interoperability across different platforms and databases. The Project Information Sharing Framework (Gann et al. 2022) provides a useful framework for interoperability between initiative and project level databases. </w:t>
      </w:r>
    </w:p>
    <w:p w14:paraId="3F563E5F" w14:textId="4E21839B"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The following paragraphs show initiative and project level data parameters needed for calculating area under restoration and allow disaggregation. These parameters include information for directly deriving area under restoration and meeting disaggregation requirements, and additional parameters for ensuring the quality, consistency and transparency of the data reported. All these parameters are available in the FERM registry.</w:t>
      </w:r>
      <w:r w:rsidRPr="00ED7E61">
        <w:rPr>
          <w:rStyle w:val="normaltextrun"/>
        </w:rPr>
        <w:t> </w:t>
      </w:r>
      <w:r w:rsidRPr="00ED7E61">
        <w:rPr>
          <w:rStyle w:val="normaltextrun"/>
          <w:rFonts w:asciiTheme="majorBidi" w:eastAsiaTheme="majorEastAsia" w:hAnsiTheme="majorBidi" w:cstheme="majorBidi"/>
        </w:rPr>
        <w:t>Specifically:</w:t>
      </w:r>
      <w:r w:rsidRPr="00ED7E61">
        <w:rPr>
          <w:rStyle w:val="eop"/>
          <w:rFonts w:asciiTheme="majorBidi" w:eastAsiaTheme="majorEastAsia" w:hAnsiTheme="majorBidi" w:cstheme="majorBidi"/>
        </w:rPr>
        <w:t> </w:t>
      </w:r>
    </w:p>
    <w:p w14:paraId="62A86028" w14:textId="24DDA08C" w:rsidR="00781C70"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color w:val="000000"/>
          <w:lang w:val="en-US"/>
        </w:rPr>
      </w:pPr>
      <w:r w:rsidRPr="00ED7E61">
        <w:rPr>
          <w:color w:val="000000"/>
          <w:lang w:val="en-US"/>
        </w:rPr>
        <w:t>Committed area to restore includes pledges, targets or commitments and can be reported as time-bounded absolute values with units, e.g. to restore 500 hectares by 2030. This parameter will not be counted as area under restoration but will serve as a reference to monitor restoration progress. Therefore, it should be included in the reporting process, when possible. Data type: tabular. </w:t>
      </w:r>
    </w:p>
    <w:p w14:paraId="1EF499ED" w14:textId="0B7FC112" w:rsidR="00756F0F"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Area under restoration and</w:t>
      </w:r>
      <w:r w:rsidR="00737A66" w:rsidRPr="00ED7E61" w:rsidDel="00737A66">
        <w:rPr>
          <w:rStyle w:val="normaltextrun"/>
          <w:rFonts w:asciiTheme="majorBidi" w:eastAsiaTheme="majorEastAsia" w:hAnsiTheme="majorBidi" w:cstheme="majorBidi"/>
        </w:rPr>
        <w:t xml:space="preserve"> </w:t>
      </w:r>
      <w:r w:rsidR="00737A66">
        <w:rPr>
          <w:rStyle w:val="normaltextrun"/>
          <w:rFonts w:asciiTheme="majorBidi" w:eastAsiaTheme="majorEastAsia" w:hAnsiTheme="majorBidi" w:cstheme="majorBidi"/>
        </w:rPr>
        <w:t>e</w:t>
      </w:r>
      <w:r w:rsidRPr="00ED7E61">
        <w:rPr>
          <w:rStyle w:val="normaltextrun"/>
          <w:rFonts w:asciiTheme="majorBidi" w:eastAsiaTheme="majorEastAsia" w:hAnsiTheme="majorBidi" w:cstheme="majorBidi"/>
        </w:rPr>
        <w:t>cosystem describe the extent and the ecosystem where restoration is happening. Restoration areas are geospatially explicit points or polygons. The reporting shall include both the area under restoration in appropriate units (e.g. number of hectares of forests, number of kilometers of rivers), and the ecosystem(s) being restored. At the project or initiative scale, both the current ecosystem and the target ecosystem can be reported, in order to understand and monitor transitions. When an area contains multiple ecosystems, the corresponding area under restoration should be disaggregated by ecosystem, to enable aggregation of areas by ecosystem. Ecosystems should be reported using national ecosystems, and the Ecosystem Functional Groups (EFGs) of the IUCN Global Ecosystem Typology 2.1 (Keith</w:t>
      </w:r>
      <w:r w:rsidRPr="00ED7E61">
        <w:rPr>
          <w:rStyle w:val="normaltextrun"/>
          <w:rFonts w:asciiTheme="majorBidi" w:eastAsiaTheme="majorEastAsia" w:hAnsiTheme="majorBidi" w:cstheme="majorBidi"/>
          <w:i/>
          <w:iCs/>
        </w:rPr>
        <w:t xml:space="preserve"> et al.</w:t>
      </w:r>
      <w:r w:rsidRPr="00ED7E61">
        <w:rPr>
          <w:rStyle w:val="normaltextrun"/>
          <w:rFonts w:asciiTheme="majorBidi" w:eastAsiaTheme="majorEastAsia" w:hAnsiTheme="majorBidi" w:cstheme="majorBidi"/>
        </w:rPr>
        <w:t xml:space="preserve"> 2022), to which the national/local ecosystem type has been cross-walked. Guidelines and tools for cross-walking existing national ecosystem classifications to the EFGs of the IUCN Global Ecosystem Typology are currently under development, along with cross-walks with other classifications (e.g. IPCC land use categories). Guidance on using the EFGs and related national ecosystems will be integrated into the metadata once developed.</w:t>
      </w:r>
      <w:r w:rsidRPr="00ED7E61">
        <w:rPr>
          <w:rStyle w:val="eop"/>
          <w:rFonts w:asciiTheme="majorBidi" w:eastAsiaTheme="majorEastAsia" w:hAnsiTheme="majorBidi" w:cstheme="majorBidi"/>
        </w:rPr>
        <w:t> </w:t>
      </w:r>
    </w:p>
    <w:p w14:paraId="2EF727E2" w14:textId="77777777" w:rsidR="00756F0F" w:rsidRPr="00ED7E61" w:rsidRDefault="00756F0F" w:rsidP="00B10F0C">
      <w:pPr>
        <w:pStyle w:val="CBDNormalNumber"/>
        <w:numPr>
          <w:ilvl w:val="0"/>
          <w:numId w:val="72"/>
        </w:numPr>
        <w:ind w:left="567" w:firstLine="0"/>
        <w:rPr>
          <w:rStyle w:val="normaltextrun"/>
          <w:rFonts w:eastAsiaTheme="majorEastAsia"/>
        </w:rPr>
      </w:pPr>
      <w:r w:rsidRPr="00ED7E61">
        <w:rPr>
          <w:rStyle w:val="normaltextrun"/>
          <w:rFonts w:asciiTheme="majorBidi" w:eastAsiaTheme="majorEastAsia" w:hAnsiTheme="majorBidi" w:cstheme="majorBidi"/>
        </w:rPr>
        <w:t>In the FERM Registry, area under restoration will be a single tabular value (reported) or a pair of values (reported and calculated), depending on how restoration areas are identified, discussed below: </w:t>
      </w:r>
      <w:r w:rsidRPr="00ED7E61">
        <w:rPr>
          <w:rStyle w:val="normaltextrun"/>
        </w:rPr>
        <w:t> </w:t>
      </w:r>
    </w:p>
    <w:p w14:paraId="39415804" w14:textId="3F1E9200" w:rsidR="00781C70"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color w:val="000000"/>
          <w:lang w:val="en-US"/>
        </w:rPr>
      </w:pPr>
      <w:r w:rsidRPr="00ED7E61">
        <w:rPr>
          <w:color w:val="000000"/>
          <w:lang w:val="en-US"/>
        </w:rPr>
        <w:t>Restoration areas identified as points or administrative units, i.e. restoration areas associated to a coordinate that is within the area or the administrative unit where the activities are taking place. In the FERM registry, a point location or administrative boundary (using administrative level 1 or 2) shall be provided as a minimum requirement for a restoration initiative.   </w:t>
      </w:r>
    </w:p>
    <w:p w14:paraId="5B5A0727" w14:textId="77777777" w:rsidR="00756F0F"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Restoration areas identified as polygons, representing delineation of restoration areas. For quality assurance and control, the polygon area is calculated and can be compared to the reported tabular value. Note that delineation of areas under restoration is needed for calculating the component indicator of Target 2: maintenance and restoration of connectivity of natural ecosystems.</w:t>
      </w:r>
      <w:r w:rsidRPr="00ED7E61">
        <w:rPr>
          <w:rStyle w:val="eop"/>
          <w:rFonts w:asciiTheme="majorBidi" w:eastAsiaTheme="majorEastAsia" w:hAnsiTheme="majorBidi" w:cstheme="majorBidi"/>
        </w:rPr>
        <w:t> </w:t>
      </w:r>
    </w:p>
    <w:p w14:paraId="22AAF58E" w14:textId="51DFBEA7" w:rsidR="00756F0F" w:rsidRPr="00ED7E61" w:rsidRDefault="00756F0F" w:rsidP="00B10F0C">
      <w:pPr>
        <w:pStyle w:val="CBDNormalNumber"/>
        <w:numPr>
          <w:ilvl w:val="0"/>
          <w:numId w:val="72"/>
        </w:numPr>
        <w:ind w:left="567" w:firstLine="0"/>
        <w:rPr>
          <w:rStyle w:val="normaltextrun"/>
          <w:rFonts w:eastAsiaTheme="majorEastAsia"/>
        </w:rPr>
      </w:pPr>
      <w:r w:rsidRPr="00ED7E61">
        <w:rPr>
          <w:rStyle w:val="eop"/>
          <w:rFonts w:asciiTheme="majorBidi" w:eastAsiaTheme="majorEastAsia" w:hAnsiTheme="majorBidi" w:cstheme="majorBidi"/>
        </w:rPr>
        <w:t> </w:t>
      </w:r>
      <w:r w:rsidRPr="00ED7E61">
        <w:rPr>
          <w:rStyle w:val="normaltextrun"/>
          <w:rFonts w:asciiTheme="majorBidi" w:eastAsiaTheme="majorEastAsia" w:hAnsiTheme="majorBidi" w:cstheme="majorBidi"/>
        </w:rPr>
        <w:t>The delineation of the location of areas under restoration is strongly recommended. Geospatial locations provide higher detail about the ecosystem and facilitate the monitoring and adaptive management practices in the restoration sites. The spatial location will facilitate the calculation of connectivity metrics and biophysical characteristics of the restoration areas. The spatial location allows the identification of the areas under restoration within other areas such as protected areas (PA) and Other Effective Area-based Conservation Measures (OECMs) and thus informs whether there is overlap and the contribution to other GBF targets such as targets 1 and 3. Additionally, sharing spatial information can assist with the quality assessment and control and assist identifying overlapping areas under restoration and potential double counting, where the same area can be repeated when using several platforms that collect spatial information. Finally, the spatial location is important for transparently sharing good restoration practices.</w:t>
      </w:r>
      <w:r w:rsidRPr="00ED7E61">
        <w:rPr>
          <w:rStyle w:val="normaltextrun"/>
        </w:rPr>
        <w:t> </w:t>
      </w:r>
    </w:p>
    <w:p w14:paraId="139B025C" w14:textId="77777777" w:rsidR="00756F0F" w:rsidRPr="00ED7E61" w:rsidRDefault="00756F0F" w:rsidP="00B10F0C">
      <w:pPr>
        <w:pStyle w:val="CBDNormalNumber"/>
        <w:numPr>
          <w:ilvl w:val="0"/>
          <w:numId w:val="72"/>
        </w:numPr>
        <w:ind w:left="567" w:firstLine="0"/>
        <w:rPr>
          <w:rStyle w:val="normaltextrun"/>
          <w:rFonts w:eastAsiaTheme="majorEastAsia"/>
        </w:rPr>
      </w:pPr>
      <w:r w:rsidRPr="00ED7E61">
        <w:rPr>
          <w:rStyle w:val="normaltextrun"/>
          <w:rFonts w:asciiTheme="majorBidi" w:eastAsiaTheme="majorEastAsia" w:hAnsiTheme="majorBidi" w:cstheme="majorBidi"/>
        </w:rPr>
        <w:t>Restoration status will provide an indication of whether the restoration area can be counted towards a reporting period. The reference period of the GBF is 2011-2020 (</w:t>
      </w:r>
      <w:hyperlink r:id="rId324" w:tgtFrame="_blank" w:history="1">
        <w:r w:rsidRPr="00ED7E61">
          <w:rPr>
            <w:rStyle w:val="normaltextrun"/>
            <w:rFonts w:asciiTheme="majorBidi" w:eastAsiaTheme="majorEastAsia" w:hAnsiTheme="majorBidi" w:cstheme="majorBidi"/>
          </w:rPr>
          <w:t>CBD/COP/DEC/15/5.2</w:t>
        </w:r>
      </w:hyperlink>
      <w:r w:rsidRPr="00ED7E61">
        <w:rPr>
          <w:rStyle w:val="normaltextrun"/>
          <w:rFonts w:asciiTheme="majorBidi" w:eastAsiaTheme="majorEastAsia" w:hAnsiTheme="majorBidi" w:cstheme="majorBidi"/>
        </w:rPr>
        <w:t>), therefore, only restoration areas that are under restoration within this reference period and up to the end of the GBF, 2030, should be counted and reported. Restoration initiatives may start before the reference period, and either the restoration activities must be within the reference period or there monitoring and actions to ensure there is no degradation of the ecosystem within the area under restoration. The restoration status is characterized by three phases, in preparation, in progress and post-completion monitoring, described as the following:</w:t>
      </w:r>
      <w:r w:rsidRPr="00ED7E61">
        <w:rPr>
          <w:rStyle w:val="normaltextrun"/>
        </w:rPr>
        <w:t> </w:t>
      </w:r>
    </w:p>
    <w:p w14:paraId="3CB6389F" w14:textId="77777777" w:rsidR="00756F0F"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color w:val="000000"/>
          <w:lang w:val="en-US"/>
        </w:rPr>
      </w:pPr>
      <w:r w:rsidRPr="00ED7E61">
        <w:rPr>
          <w:color w:val="000000"/>
          <w:lang w:val="en-US"/>
        </w:rPr>
        <w:t>In preparation: enabling environment, funds committed, area gazetted for restoration, activities have not yet begun, and impacts of restoration may not yet be measurable. </w:t>
      </w:r>
    </w:p>
    <w:p w14:paraId="35A70441" w14:textId="77777777" w:rsidR="00756F0F"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color w:val="000000"/>
          <w:lang w:val="en-US"/>
        </w:rPr>
      </w:pPr>
      <w:r w:rsidRPr="00ED7E61">
        <w:rPr>
          <w:color w:val="000000"/>
          <w:lang w:val="en-US"/>
        </w:rPr>
        <w:t>In progress: ongoing restoration activities and depending on the time that the activities have been ongoing, impacts may start to be measurable. </w:t>
      </w:r>
    </w:p>
    <w:p w14:paraId="635AF8F1" w14:textId="77777777" w:rsidR="00756F0F"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color w:val="000000"/>
          <w:lang w:val="en-US"/>
        </w:rPr>
      </w:pPr>
      <w:r w:rsidRPr="00ED7E61">
        <w:rPr>
          <w:color w:val="000000"/>
          <w:lang w:val="en-US"/>
        </w:rPr>
        <w:t>Post-completion monitoring: restoration activities completed and efforts in place to monitor the restoration results.  </w:t>
      </w:r>
    </w:p>
    <w:p w14:paraId="340D32C2" w14:textId="77777777" w:rsidR="00756F0F" w:rsidRPr="00ED7E61" w:rsidRDefault="00756F0F" w:rsidP="00B10F0C">
      <w:pPr>
        <w:pStyle w:val="CBDNormalNumber"/>
        <w:numPr>
          <w:ilvl w:val="0"/>
          <w:numId w:val="72"/>
        </w:numPr>
        <w:ind w:left="567" w:firstLine="0"/>
        <w:rPr>
          <w:rStyle w:val="normaltextrun"/>
          <w:rFonts w:eastAsiaTheme="majorEastAsia"/>
        </w:rPr>
      </w:pPr>
      <w:r w:rsidRPr="00ED7E61">
        <w:rPr>
          <w:rStyle w:val="normaltextrun"/>
          <w:rFonts w:asciiTheme="majorBidi" w:eastAsiaTheme="majorEastAsia" w:hAnsiTheme="majorBidi" w:cstheme="majorBidi"/>
        </w:rPr>
        <w:t>Areas with the status “</w:t>
      </w:r>
      <w:r w:rsidRPr="00FB1598">
        <w:rPr>
          <w:rStyle w:val="normaltextrun"/>
          <w:rFonts w:asciiTheme="majorBidi" w:eastAsiaTheme="majorEastAsia" w:hAnsiTheme="majorBidi" w:cstheme="majorBidi"/>
          <w:i/>
          <w:iCs/>
        </w:rPr>
        <w:t>in progress</w:t>
      </w:r>
      <w:r w:rsidRPr="00ED7E61">
        <w:rPr>
          <w:rStyle w:val="normaltextrun"/>
          <w:rFonts w:asciiTheme="majorBidi" w:eastAsiaTheme="majorEastAsia" w:hAnsiTheme="majorBidi" w:cstheme="majorBidi"/>
        </w:rPr>
        <w:t>” and “</w:t>
      </w:r>
      <w:r w:rsidRPr="00FB1598">
        <w:rPr>
          <w:rStyle w:val="normaltextrun"/>
          <w:rFonts w:asciiTheme="majorBidi" w:eastAsiaTheme="majorEastAsia" w:hAnsiTheme="majorBidi" w:cstheme="majorBidi"/>
          <w:i/>
          <w:iCs/>
        </w:rPr>
        <w:t>post-completion</w:t>
      </w:r>
      <w:r w:rsidRPr="00ED7E61">
        <w:rPr>
          <w:rStyle w:val="normaltextrun"/>
          <w:rFonts w:asciiTheme="majorBidi" w:eastAsiaTheme="majorEastAsia" w:hAnsiTheme="majorBidi" w:cstheme="majorBidi"/>
        </w:rPr>
        <w:t>” will be reported as “</w:t>
      </w:r>
      <w:r w:rsidRPr="00FB1598">
        <w:rPr>
          <w:rStyle w:val="normaltextrun"/>
          <w:rFonts w:asciiTheme="majorBidi" w:eastAsiaTheme="majorEastAsia" w:hAnsiTheme="majorBidi" w:cstheme="majorBidi"/>
          <w:i/>
          <w:iCs/>
        </w:rPr>
        <w:t>area under restoration</w:t>
      </w:r>
      <w:r w:rsidRPr="00ED7E61">
        <w:rPr>
          <w:rStyle w:val="normaltextrun"/>
          <w:rFonts w:asciiTheme="majorBidi" w:eastAsiaTheme="majorEastAsia" w:hAnsiTheme="majorBidi" w:cstheme="majorBidi"/>
        </w:rPr>
        <w:t>”.</w:t>
      </w:r>
      <w:r w:rsidRPr="00ED7E61">
        <w:rPr>
          <w:rStyle w:val="normaltextrun"/>
        </w:rPr>
        <w:t> </w:t>
      </w:r>
    </w:p>
    <w:p w14:paraId="796103F4" w14:textId="12D3E843" w:rsidR="00756F0F" w:rsidRPr="00ED7E61" w:rsidRDefault="00756F0F" w:rsidP="00B10F0C">
      <w:pPr>
        <w:pStyle w:val="CBDNormalNumber"/>
        <w:numPr>
          <w:ilvl w:val="0"/>
          <w:numId w:val="72"/>
        </w:numPr>
        <w:ind w:left="567" w:firstLine="0"/>
        <w:rPr>
          <w:rStyle w:val="normaltextrun"/>
          <w:rFonts w:eastAsiaTheme="majorEastAsia"/>
        </w:rPr>
      </w:pPr>
      <w:r w:rsidRPr="00ED7E61">
        <w:rPr>
          <w:rStyle w:val="normaltextrun"/>
          <w:rFonts w:asciiTheme="majorBidi" w:eastAsiaTheme="majorEastAsia" w:hAnsiTheme="majorBidi" w:cstheme="majorBidi"/>
        </w:rPr>
        <w:t>Different approaches are available to evaluate the degree of recovery of an ecosystem or the success of restoration, such as the Five-Star System and Ecological Recovery Wheel (Gann et al. 2019) or the IUCN Green Status of Ecosystems, which is currently under development. Data type: descriptive.</w:t>
      </w:r>
      <w:r w:rsidRPr="00ED7E61">
        <w:rPr>
          <w:rStyle w:val="normaltextrun"/>
        </w:rPr>
        <w:t> </w:t>
      </w:r>
    </w:p>
    <w:p w14:paraId="2B8402B9" w14:textId="11544C3C" w:rsidR="00781C70" w:rsidRPr="00ED7E61" w:rsidRDefault="00756F0F" w:rsidP="00B10F0C">
      <w:pPr>
        <w:pStyle w:val="CBDNormalNumber"/>
        <w:numPr>
          <w:ilvl w:val="0"/>
          <w:numId w:val="72"/>
        </w:numPr>
        <w:ind w:left="567" w:firstLine="0"/>
        <w:rPr>
          <w:rStyle w:val="normaltextrun"/>
          <w:rFonts w:eastAsiaTheme="majorEastAsia"/>
        </w:rPr>
      </w:pPr>
      <w:r w:rsidRPr="00ED7E61">
        <w:rPr>
          <w:rStyle w:val="normaltextrun"/>
          <w:rFonts w:asciiTheme="majorBidi" w:eastAsiaTheme="majorEastAsia" w:hAnsiTheme="majorBidi" w:cstheme="majorBidi"/>
          <w:b/>
          <w:bCs/>
        </w:rPr>
        <w:t>Type of restoration</w:t>
      </w:r>
      <w:r w:rsidRPr="00ED7E61">
        <w:rPr>
          <w:rStyle w:val="normaltextrun"/>
          <w:rFonts w:asciiTheme="majorBidi" w:eastAsiaTheme="majorEastAsia" w:hAnsiTheme="majorBidi" w:cstheme="majorBidi"/>
        </w:rPr>
        <w:t xml:space="preserve">. The possible values are ecological restoration and rehabilitation. This can be determined by analyzing the current and target ecosystem (natural or transformed). Examples of transformed ecosystems are: croplands, forest plantations, urban ecosystems. As a useful rule of thumb, if the target ecosystem is natural, the restoration will be ecological restoration. If the target ecosystem is transformed, the restoration will be rehabilitation (see </w:t>
      </w:r>
      <w:r w:rsidR="00FF6CC0">
        <w:rPr>
          <w:rStyle w:val="normaltextrun"/>
          <w:rFonts w:asciiTheme="majorBidi" w:eastAsiaTheme="majorEastAsia" w:hAnsiTheme="majorBidi" w:cstheme="majorBidi"/>
        </w:rPr>
        <w:t>f</w:t>
      </w:r>
      <w:r w:rsidRPr="00ED7E61">
        <w:rPr>
          <w:rStyle w:val="normaltextrun"/>
          <w:rFonts w:asciiTheme="majorBidi" w:eastAsiaTheme="majorEastAsia" w:hAnsiTheme="majorBidi" w:cstheme="majorBidi"/>
        </w:rPr>
        <w:t xml:space="preserve">igure </w:t>
      </w:r>
      <w:r w:rsidR="00FF6CC0">
        <w:rPr>
          <w:rStyle w:val="normaltextrun"/>
          <w:rFonts w:asciiTheme="majorBidi" w:eastAsiaTheme="majorEastAsia" w:hAnsiTheme="majorBidi" w:cstheme="majorBidi"/>
        </w:rPr>
        <w:t>II</w:t>
      </w:r>
      <w:r w:rsidRPr="00ED7E61">
        <w:rPr>
          <w:rStyle w:val="normaltextrun"/>
          <w:rFonts w:asciiTheme="majorBidi" w:eastAsiaTheme="majorEastAsia" w:hAnsiTheme="majorBidi" w:cstheme="majorBidi"/>
        </w:rPr>
        <w:t>). Target 2 includes both ecological restoration and rehabilitation. Data type: descriptive</w:t>
      </w:r>
      <w:r w:rsidRPr="00ED7E61">
        <w:rPr>
          <w:rStyle w:val="normaltextrun"/>
        </w:rPr>
        <w:t> </w:t>
      </w:r>
    </w:p>
    <w:p w14:paraId="77D845CF" w14:textId="3B540CC9" w:rsidR="00781C70"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b/>
          <w:bCs/>
        </w:rPr>
        <w:t>Primary aim of restoration</w:t>
      </w:r>
      <w:r w:rsidRPr="00ED7E61">
        <w:rPr>
          <w:rStyle w:val="normaltextrun"/>
          <w:rFonts w:asciiTheme="majorBidi" w:eastAsiaTheme="majorEastAsia" w:hAnsiTheme="majorBidi" w:cstheme="majorBidi"/>
        </w:rPr>
        <w:t xml:space="preserve">. Possible values are: enhance </w:t>
      </w:r>
      <w:r w:rsidRPr="00ED7E61">
        <w:rPr>
          <w:rStyle w:val="normaltextrun"/>
          <w:rFonts w:asciiTheme="majorBidi" w:eastAsiaTheme="majorEastAsia" w:hAnsiTheme="majorBidi" w:cstheme="majorBidi"/>
          <w:color w:val="000000"/>
        </w:rPr>
        <w:t xml:space="preserve">biodiversity, </w:t>
      </w:r>
      <w:r w:rsidRPr="00ED7E61">
        <w:rPr>
          <w:rStyle w:val="normaltextrun"/>
          <w:rFonts w:asciiTheme="majorBidi" w:eastAsiaTheme="majorEastAsia" w:hAnsiTheme="majorBidi" w:cstheme="majorBidi"/>
        </w:rPr>
        <w:t xml:space="preserve">enhance </w:t>
      </w:r>
      <w:r w:rsidRPr="00ED7E61">
        <w:rPr>
          <w:rStyle w:val="normaltextrun"/>
          <w:rFonts w:asciiTheme="majorBidi" w:eastAsiaTheme="majorEastAsia" w:hAnsiTheme="majorBidi" w:cstheme="majorBidi"/>
          <w:color w:val="000000"/>
        </w:rPr>
        <w:t xml:space="preserve">ecosystem functions and services, improve ecological integrity, improve </w:t>
      </w:r>
      <w:r w:rsidRPr="00ED7E61">
        <w:rPr>
          <w:rStyle w:val="normaltextrun"/>
          <w:rFonts w:asciiTheme="majorBidi" w:eastAsiaTheme="majorEastAsia" w:hAnsiTheme="majorBidi" w:cstheme="majorBidi"/>
        </w:rPr>
        <w:t xml:space="preserve">enhance </w:t>
      </w:r>
      <w:r w:rsidRPr="00ED7E61">
        <w:rPr>
          <w:rStyle w:val="normaltextrun"/>
          <w:rFonts w:asciiTheme="majorBidi" w:eastAsiaTheme="majorEastAsia" w:hAnsiTheme="majorBidi" w:cstheme="majorBidi"/>
          <w:color w:val="000000"/>
        </w:rPr>
        <w:t>connectivity.</w:t>
      </w:r>
      <w:r w:rsidRPr="00ED7E61">
        <w:rPr>
          <w:rStyle w:val="normaltextrun"/>
          <w:rFonts w:asciiTheme="majorBidi" w:eastAsiaTheme="majorEastAsia" w:hAnsiTheme="majorBidi" w:cstheme="majorBidi"/>
        </w:rPr>
        <w:t xml:space="preserve"> Data type: descriptive.</w:t>
      </w:r>
      <w:r w:rsidRPr="00ED7E61">
        <w:rPr>
          <w:rStyle w:val="eop"/>
          <w:rFonts w:asciiTheme="majorBidi" w:eastAsiaTheme="majorEastAsia" w:hAnsiTheme="majorBidi" w:cstheme="majorBidi"/>
        </w:rPr>
        <w:t> </w:t>
      </w:r>
    </w:p>
    <w:p w14:paraId="53BE6478" w14:textId="73F5E93E" w:rsidR="00781C70"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b/>
          <w:bCs/>
        </w:rPr>
        <w:t xml:space="preserve">Restoration activity, </w:t>
      </w:r>
      <w:r w:rsidRPr="00ED7E61">
        <w:rPr>
          <w:rStyle w:val="normaltextrun"/>
          <w:rFonts w:asciiTheme="majorBidi" w:eastAsiaTheme="majorEastAsia" w:hAnsiTheme="majorBidi" w:cstheme="majorBidi"/>
        </w:rPr>
        <w:t xml:space="preserve">sometimes called intervention, describes what is being implemented on the ground in order to achieve restoration goals and objectives. Activities in the FERM registry are adapted from the Glossary of restoration interventions of the TEER initiative (FAO, 2022a). They are divided into two main categories (biophysical and enabling) and secondary categories according to the IPBES report (IPBES, 2018). The full list of activities is available here: </w:t>
      </w:r>
      <w:hyperlink r:id="rId325" w:tgtFrame="_blank" w:history="1">
        <w:r w:rsidRPr="00ED7E61">
          <w:rPr>
            <w:rStyle w:val="normaltextrun"/>
            <w:rFonts w:asciiTheme="majorBidi" w:eastAsiaTheme="majorEastAsia" w:hAnsiTheme="majorBidi" w:cstheme="majorBidi"/>
            <w:color w:val="467886"/>
            <w:u w:val="single"/>
          </w:rPr>
          <w:t>https://www.fao.org/fileadmin/user_upload/forest-landscape-restoration/Glossary_of_restoration_interventions__English_.pdf</w:t>
        </w:r>
      </w:hyperlink>
      <w:r w:rsidRPr="00ED7E61">
        <w:rPr>
          <w:rStyle w:val="normaltextrun"/>
          <w:rFonts w:asciiTheme="majorBidi" w:eastAsiaTheme="majorEastAsia" w:hAnsiTheme="majorBidi" w:cstheme="majorBidi"/>
        </w:rPr>
        <w:t xml:space="preserve"> Data type: descriptive.</w:t>
      </w:r>
      <w:r w:rsidRPr="00ED7E61">
        <w:rPr>
          <w:rStyle w:val="eop"/>
          <w:rFonts w:asciiTheme="majorBidi" w:eastAsiaTheme="majorEastAsia" w:hAnsiTheme="majorBidi" w:cstheme="majorBidi"/>
        </w:rPr>
        <w:t> </w:t>
      </w:r>
    </w:p>
    <w:p w14:paraId="69C758C3" w14:textId="6A03429A" w:rsidR="00781C70"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b/>
          <w:bCs/>
        </w:rPr>
        <w:t>Lead entity</w:t>
      </w:r>
      <w:r w:rsidRPr="00ED7E61">
        <w:rPr>
          <w:rStyle w:val="normaltextrun"/>
          <w:rFonts w:asciiTheme="majorBidi" w:eastAsiaTheme="majorEastAsia" w:hAnsiTheme="majorBidi" w:cstheme="majorBidi"/>
        </w:rPr>
        <w:t xml:space="preserve"> and </w:t>
      </w:r>
      <w:r w:rsidRPr="00ED7E61">
        <w:rPr>
          <w:rStyle w:val="normaltextrun"/>
          <w:rFonts w:asciiTheme="majorBidi" w:eastAsiaTheme="majorEastAsia" w:hAnsiTheme="majorBidi" w:cstheme="majorBidi"/>
          <w:b/>
          <w:bCs/>
        </w:rPr>
        <w:t>Tenure status</w:t>
      </w:r>
      <w:r w:rsidRPr="00ED7E61">
        <w:rPr>
          <w:rStyle w:val="normaltextrun"/>
          <w:rFonts w:asciiTheme="majorBidi" w:eastAsiaTheme="majorEastAsia" w:hAnsiTheme="majorBidi" w:cstheme="majorBidi"/>
        </w:rPr>
        <w:t xml:space="preserve"> provide information on the entity (both the name and the type of organization) leading the restoration effort and legal tenure status of the area under restoration. Indigenous and Traditional Territories (ITT) is included as a tenure type to facilitate disaggregation. When a restoration initiative or project is planned on Indigenous and Traditional Territories, it is recommended to respect people’s rights and obtain Free, Prior and Informed Consent (FPIC) to ensure adherence to the UN Decade principles (FAO, IUCN CEM &amp; SER, 2021) and the Voluntary Guidelines on the Responsible Governance of Tenure (VGGT) (FAO, 2022b). Data type: descriptive.</w:t>
      </w:r>
      <w:r w:rsidRPr="00ED7E61">
        <w:rPr>
          <w:rStyle w:val="eop"/>
          <w:rFonts w:asciiTheme="majorBidi" w:eastAsiaTheme="majorEastAsia" w:hAnsiTheme="majorBidi" w:cstheme="majorBidi"/>
        </w:rPr>
        <w:t> </w:t>
      </w:r>
    </w:p>
    <w:p w14:paraId="7E1D791E" w14:textId="77777777"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Data collected using a bottom-up approach contains more details and can contribute to better monitoring of the restoration initiatives, therefore, countries are encouraged to build their own databases to collect initiative and project level data and align their national databases to the methodology in their national data compilation processes. The FERM also provides a restoration initiative database and invites country focal points to enter data on restoration initiatives and projects directly in the FERM registry. It is important to develop quality assurance and quality control (QA/QC) procedures to make sure that only complete and relevant data is included in the estimates.</w:t>
      </w:r>
      <w:r w:rsidRPr="00ED7E61">
        <w:rPr>
          <w:rStyle w:val="eop"/>
          <w:rFonts w:asciiTheme="majorBidi" w:eastAsiaTheme="majorEastAsia" w:hAnsiTheme="majorBidi" w:cstheme="majorBidi"/>
        </w:rPr>
        <w:t> </w:t>
      </w:r>
    </w:p>
    <w:p w14:paraId="4BBC6FF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5c. Data collection method </w:t>
      </w:r>
      <w:r w:rsidRPr="00ED7E61">
        <w:rPr>
          <w:rStyle w:val="eop"/>
          <w:rFonts w:asciiTheme="majorBidi" w:eastAsiaTheme="majorEastAsia" w:hAnsiTheme="majorBidi" w:cstheme="majorBidi"/>
          <w:b/>
          <w:bCs/>
          <w:sz w:val="22"/>
          <w:szCs w:val="22"/>
        </w:rPr>
        <w:t> </w:t>
      </w:r>
    </w:p>
    <w:p w14:paraId="595FC7AE" w14:textId="107929F8" w:rsidR="00781C70"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In support of the UN Decade on Ecosystem Restoration, engaging stakeholders from across society, and in support of country led reporting on progress on Target 2, FAO has developed the FERM Registry that harmonises and collects area-based data on ecosystem restoration projects and programs, by enabling interoperable data exchange with other platforms. The FERM Registry provides a database for collecting the parameters for reporting on Target 2 (Table 1) at the initiative and project scale. The FERM Registry also provides an interoperability framework to work with other platforms for data compilation and will provide aggregated data by country, by data source, called the default dataset. The default dataset is disaggregated by data source because there is overlap and duplication in restoration areas that cannot be identified. The default dataset cannot be simply aggregated due to potential duplication of restoration area across different data sources.</w:t>
      </w:r>
      <w:r w:rsidRPr="00ED7E61">
        <w:rPr>
          <w:rStyle w:val="normaltextrun"/>
        </w:rPr>
        <w:t> </w:t>
      </w:r>
    </w:p>
    <w:p w14:paraId="5EC8274D" w14:textId="77777777"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Country focal points for the GBF will be invited to review the parameters identified in the metadata and utilize the FERM registry itself or adopt the parameters in national data compilation of restoration initiatives and projects. Countries also can report progress on target 2 aggregated at the national scale directly to CBD.</w:t>
      </w:r>
      <w:r w:rsidRPr="00ED7E61">
        <w:rPr>
          <w:rStyle w:val="eop"/>
          <w:rFonts w:asciiTheme="majorBidi" w:eastAsiaTheme="majorEastAsia" w:hAnsiTheme="majorBidi" w:cstheme="majorBidi"/>
        </w:rPr>
        <w:t> </w:t>
      </w:r>
    </w:p>
    <w:p w14:paraId="3F9894F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b/>
          <w:bCs/>
          <w:sz w:val="22"/>
          <w:szCs w:val="22"/>
        </w:rPr>
        <w:t> </w:t>
      </w:r>
    </w:p>
    <w:p w14:paraId="5B9748A1" w14:textId="77777777" w:rsidR="00756F0F"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methodology is not currently published in a peer-reviewed location.</w:t>
      </w:r>
      <w:r w:rsidRPr="00ED7E61">
        <w:rPr>
          <w:rStyle w:val="normaltextrun"/>
        </w:rPr>
        <w:t> </w:t>
      </w:r>
    </w:p>
    <w:p w14:paraId="55CA293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b/>
          <w:bCs/>
          <w:sz w:val="22"/>
          <w:szCs w:val="22"/>
        </w:rPr>
        <w:t> </w:t>
      </w:r>
    </w:p>
    <w:p w14:paraId="580696BB" w14:textId="4A0D96CC" w:rsidR="00781C70"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Table 1 is a summary of the data parameters and examples of data sources. The primary platforms and reporting mechanisms that are collecting information on restoration areas identified, include the Framework for Ecosystem Restoration Monitoring (FERM), Sustainable Development Goals (SDGs), Restor, IUCN Restoration Barometer, UNCCD’s Performance Review and Assessment of the Implementation System (PRAIS), World Database for Protected Areas (WDPA), the Global Forest Resource Assessment (FRA), International Coral Reef Initiative (ICRI), Ramsar, UNFCCC and other REDD+ reporting mechanisms.</w:t>
      </w:r>
      <w:r w:rsidRPr="00ED7E61">
        <w:rPr>
          <w:rStyle w:val="normaltextrun"/>
        </w:rPr>
        <w:t> </w:t>
      </w:r>
    </w:p>
    <w:p w14:paraId="4EDB92C4" w14:textId="77777777"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Data sources are classified as either non-official sources (e.g. data produced by non-government organizations or from scientific literature) or official sources (e.g. country or officially reported MEA data). The working group will analyze each data source to extract the tabular estimates of area under restoration (ha).</w:t>
      </w:r>
      <w:r w:rsidRPr="00ED7E61">
        <w:rPr>
          <w:rStyle w:val="eop"/>
          <w:rFonts w:asciiTheme="majorBidi" w:eastAsiaTheme="majorEastAsia" w:hAnsiTheme="majorBidi" w:cstheme="majorBidi"/>
        </w:rPr>
        <w:t> </w:t>
      </w:r>
    </w:p>
    <w:p w14:paraId="589A59E5" w14:textId="4C600B01" w:rsidR="00756F0F" w:rsidRPr="00ED7E61" w:rsidRDefault="00756F0F" w:rsidP="00A835F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 xml:space="preserve">Table 1. </w:t>
      </w:r>
      <w:r w:rsidR="00A835F6">
        <w:rPr>
          <w:rStyle w:val="normaltextrun"/>
          <w:rFonts w:asciiTheme="majorBidi" w:eastAsiaTheme="majorEastAsia" w:hAnsiTheme="majorBidi" w:cstheme="majorBidi"/>
          <w:i/>
          <w:iCs/>
          <w:sz w:val="22"/>
          <w:szCs w:val="22"/>
          <w:lang w:val="en-GB"/>
        </w:rPr>
        <w:br/>
      </w:r>
      <w:r w:rsidRPr="00A835F6">
        <w:rPr>
          <w:rStyle w:val="normaltextrun"/>
          <w:rFonts w:asciiTheme="majorBidi" w:eastAsiaTheme="majorEastAsia" w:hAnsiTheme="majorBidi" w:cstheme="majorBidi"/>
          <w:b/>
          <w:bCs/>
          <w:sz w:val="22"/>
          <w:szCs w:val="22"/>
          <w:lang w:val="en-GB"/>
        </w:rPr>
        <w:t>Summary of data parameters and example sources</w:t>
      </w:r>
      <w:r w:rsidRPr="00ED7E61">
        <w:rPr>
          <w:rStyle w:val="eop"/>
          <w:rFonts w:asciiTheme="majorBidi" w:eastAsiaTheme="majorEastAsia" w:hAnsiTheme="majorBidi" w:cstheme="majorBidi"/>
          <w:sz w:val="22"/>
          <w:szCs w:val="22"/>
        </w:rPr>
        <w:t> </w:t>
      </w:r>
      <w:r w:rsidR="00A835F6">
        <w:rPr>
          <w:rStyle w:val="eop"/>
          <w:rFonts w:asciiTheme="majorBidi" w:eastAsiaTheme="majorEastAsia" w:hAnsiTheme="majorBidi" w:cstheme="majorBidi"/>
          <w:sz w:val="22"/>
          <w:szCs w:val="22"/>
        </w:rPr>
        <w:t>(</w:t>
      </w:r>
      <w:r w:rsidR="00A835F6" w:rsidRPr="00ED7E61">
        <w:rPr>
          <w:rStyle w:val="normaltextrun"/>
          <w:rFonts w:asciiTheme="majorBidi" w:eastAsiaTheme="majorEastAsia" w:hAnsiTheme="majorBidi" w:cstheme="majorBidi"/>
          <w:i/>
          <w:iCs/>
          <w:sz w:val="22"/>
          <w:szCs w:val="22"/>
        </w:rPr>
        <w:t>under revision and subject to change</w:t>
      </w:r>
      <w:r w:rsidR="00A835F6">
        <w:rPr>
          <w:rStyle w:val="normaltextrun"/>
          <w:rFonts w:asciiTheme="majorBidi" w:eastAsiaTheme="majorEastAsia" w:hAnsiTheme="majorBidi" w:cstheme="majorBidi"/>
          <w:i/>
          <w:iCs/>
          <w:sz w:val="22"/>
          <w:szCs w:val="22"/>
        </w:rPr>
        <w:t>)</w:t>
      </w:r>
      <w:r w:rsidR="00A835F6" w:rsidRPr="00ED7E61">
        <w:rPr>
          <w:rStyle w:val="normaltextrun"/>
          <w:rFonts w:asciiTheme="majorBidi" w:eastAsiaTheme="majorEastAsia" w:hAnsiTheme="majorBidi" w:cstheme="majorBidi"/>
          <w:i/>
          <w:iCs/>
          <w:sz w:val="22"/>
          <w:szCs w:val="22"/>
        </w:rPr>
        <w:t>.</w:t>
      </w:r>
    </w:p>
    <w:tbl>
      <w:tblPr>
        <w:tblW w:w="9359"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0"/>
        <w:gridCol w:w="1134"/>
        <w:gridCol w:w="802"/>
        <w:gridCol w:w="5235"/>
        <w:gridCol w:w="1188"/>
      </w:tblGrid>
      <w:tr w:rsidR="00756F0F" w:rsidRPr="00A835F6" w14:paraId="65CC736D" w14:textId="77777777" w:rsidTr="005B0D1E">
        <w:trPr>
          <w:trHeight w:val="285"/>
        </w:trPr>
        <w:tc>
          <w:tcPr>
            <w:tcW w:w="1000" w:type="dxa"/>
            <w:tcBorders>
              <w:top w:val="single" w:sz="6" w:space="0" w:color="auto"/>
              <w:left w:val="single" w:sz="6" w:space="0" w:color="auto"/>
              <w:bottom w:val="single" w:sz="6" w:space="0" w:color="auto"/>
              <w:right w:val="single" w:sz="6" w:space="0" w:color="auto"/>
            </w:tcBorders>
            <w:shd w:val="clear" w:color="auto" w:fill="auto"/>
            <w:hideMark/>
          </w:tcPr>
          <w:p w14:paraId="34778739"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i/>
                <w:iCs/>
                <w:sz w:val="20"/>
                <w:szCs w:val="20"/>
              </w:rPr>
            </w:pPr>
            <w:r w:rsidRPr="00A835F6">
              <w:rPr>
                <w:rStyle w:val="normaltextrun"/>
                <w:rFonts w:asciiTheme="majorBidi" w:eastAsiaTheme="majorEastAsia" w:hAnsiTheme="majorBidi" w:cstheme="majorBidi"/>
                <w:i/>
                <w:iCs/>
                <w:sz w:val="20"/>
                <w:szCs w:val="20"/>
                <w:lang w:val="en-GB"/>
              </w:rPr>
              <w:t>Group</w:t>
            </w:r>
            <w:r w:rsidRPr="00A835F6">
              <w:rPr>
                <w:rStyle w:val="eop"/>
                <w:rFonts w:asciiTheme="majorBidi" w:eastAsiaTheme="majorEastAsia" w:hAnsiTheme="majorBidi" w:cstheme="majorBidi"/>
                <w:i/>
                <w:iCs/>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88B7829"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i/>
                <w:iCs/>
                <w:sz w:val="20"/>
                <w:szCs w:val="20"/>
              </w:rPr>
            </w:pPr>
            <w:r w:rsidRPr="00A835F6">
              <w:rPr>
                <w:rStyle w:val="normaltextrun"/>
                <w:rFonts w:asciiTheme="majorBidi" w:eastAsiaTheme="majorEastAsia" w:hAnsiTheme="majorBidi" w:cstheme="majorBidi"/>
                <w:i/>
                <w:iCs/>
                <w:sz w:val="20"/>
                <w:szCs w:val="20"/>
                <w:lang w:val="en-GB"/>
              </w:rPr>
              <w:t>Data parameter</w:t>
            </w:r>
            <w:r w:rsidRPr="00A835F6">
              <w:rPr>
                <w:rStyle w:val="eop"/>
                <w:rFonts w:asciiTheme="majorBidi" w:eastAsiaTheme="majorEastAsia" w:hAnsiTheme="majorBidi" w:cstheme="majorBidi"/>
                <w:i/>
                <w:iCs/>
                <w:sz w:val="20"/>
                <w:szCs w:val="20"/>
              </w:rPr>
              <w:t> </w:t>
            </w: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498DB0A9"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i/>
                <w:iCs/>
                <w:sz w:val="20"/>
                <w:szCs w:val="20"/>
              </w:rPr>
            </w:pPr>
            <w:r w:rsidRPr="00A835F6">
              <w:rPr>
                <w:rStyle w:val="normaltextrun"/>
                <w:rFonts w:asciiTheme="majorBidi" w:eastAsiaTheme="majorEastAsia" w:hAnsiTheme="majorBidi" w:cstheme="majorBidi"/>
                <w:i/>
                <w:iCs/>
                <w:sz w:val="20"/>
                <w:szCs w:val="20"/>
                <w:lang w:val="en-GB"/>
              </w:rPr>
              <w:t>Data type</w:t>
            </w:r>
            <w:r w:rsidRPr="00A835F6">
              <w:rPr>
                <w:rStyle w:val="eop"/>
                <w:rFonts w:asciiTheme="majorBidi" w:eastAsiaTheme="majorEastAsia" w:hAnsiTheme="majorBidi" w:cstheme="majorBidi"/>
                <w:i/>
                <w:iCs/>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5BBF0F38"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i/>
                <w:iCs/>
                <w:sz w:val="20"/>
                <w:szCs w:val="20"/>
              </w:rPr>
            </w:pPr>
            <w:r w:rsidRPr="00A835F6">
              <w:rPr>
                <w:rStyle w:val="normaltextrun"/>
                <w:rFonts w:asciiTheme="majorBidi" w:eastAsiaTheme="majorEastAsia" w:hAnsiTheme="majorBidi" w:cstheme="majorBidi"/>
                <w:i/>
                <w:iCs/>
                <w:sz w:val="20"/>
                <w:szCs w:val="20"/>
                <w:lang w:val="en-GB"/>
              </w:rPr>
              <w:t>Data source examples: official source </w:t>
            </w:r>
            <w:r w:rsidRPr="00A835F6">
              <w:rPr>
                <w:rStyle w:val="eop"/>
                <w:rFonts w:asciiTheme="majorBidi" w:eastAsiaTheme="majorEastAsia" w:hAnsiTheme="majorBidi" w:cstheme="majorBidi"/>
                <w:i/>
                <w:iCs/>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4BB7D0A7"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i/>
                <w:iCs/>
                <w:sz w:val="20"/>
                <w:szCs w:val="20"/>
              </w:rPr>
            </w:pPr>
            <w:r w:rsidRPr="00A835F6">
              <w:rPr>
                <w:rStyle w:val="normaltextrun"/>
                <w:rFonts w:asciiTheme="majorBidi" w:eastAsiaTheme="majorEastAsia" w:hAnsiTheme="majorBidi" w:cstheme="majorBidi"/>
                <w:i/>
                <w:iCs/>
                <w:sz w:val="20"/>
                <w:szCs w:val="20"/>
                <w:lang w:val="en-GB"/>
              </w:rPr>
              <w:t>Data source examples: unofficial source </w:t>
            </w:r>
            <w:r w:rsidRPr="00A835F6">
              <w:rPr>
                <w:rStyle w:val="eop"/>
                <w:rFonts w:asciiTheme="majorBidi" w:eastAsiaTheme="majorEastAsia" w:hAnsiTheme="majorBidi" w:cstheme="majorBidi"/>
                <w:i/>
                <w:iCs/>
                <w:sz w:val="20"/>
                <w:szCs w:val="20"/>
              </w:rPr>
              <w:t> </w:t>
            </w:r>
          </w:p>
        </w:tc>
      </w:tr>
      <w:tr w:rsidR="00756F0F" w:rsidRPr="00A835F6" w14:paraId="722D54DB" w14:textId="77777777" w:rsidTr="005B0D1E">
        <w:trPr>
          <w:trHeight w:val="405"/>
        </w:trPr>
        <w:tc>
          <w:tcPr>
            <w:tcW w:w="10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F7517DA"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Area</w:t>
            </w:r>
            <w:r w:rsidRPr="00A835F6">
              <w:rPr>
                <w:rStyle w:val="eop"/>
                <w:rFonts w:asciiTheme="majorBidi" w:eastAsiaTheme="majorEastAsia" w:hAnsiTheme="majorBidi" w:cstheme="majorBidi"/>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A20FEAD"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Committed area to restore (ha)</w:t>
            </w:r>
            <w:r w:rsidRPr="00A835F6">
              <w:rPr>
                <w:rStyle w:val="eop"/>
                <w:rFonts w:asciiTheme="majorBidi" w:eastAsiaTheme="majorEastAsia" w:hAnsiTheme="majorBidi" w:cstheme="majorBidi"/>
                <w:sz w:val="20"/>
                <w:szCs w:val="20"/>
              </w:rPr>
              <w:t> </w:t>
            </w: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5ED7360C"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Tabular</w:t>
            </w:r>
            <w:r w:rsidRPr="00A835F6">
              <w:rPr>
                <w:rStyle w:val="eop"/>
                <w:rFonts w:asciiTheme="majorBidi" w:eastAsiaTheme="majorEastAsia" w:hAnsiTheme="majorBidi" w:cstheme="majorBidi"/>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0141464D" w14:textId="66821925"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26" w:tgtFrame="_blank" w:history="1">
              <w:r w:rsidRPr="00A835F6">
                <w:rPr>
                  <w:rStyle w:val="normaltextrun"/>
                  <w:rFonts w:asciiTheme="majorBidi" w:eastAsiaTheme="majorEastAsia" w:hAnsiTheme="majorBidi" w:cstheme="majorBidi"/>
                  <w:color w:val="467886"/>
                  <w:sz w:val="20"/>
                  <w:szCs w:val="20"/>
                  <w:u w:val="single"/>
                  <w:lang w:val="en-GB"/>
                </w:rPr>
                <w:t>Nationally Determined Contributions (NDC)</w:t>
              </w:r>
            </w:hyperlink>
            <w:r w:rsidRPr="00A835F6">
              <w:rPr>
                <w:rStyle w:val="normaltextrun"/>
                <w:rFonts w:asciiTheme="majorBidi" w:eastAsiaTheme="majorEastAsia" w:hAnsiTheme="majorBidi" w:cstheme="majorBidi"/>
                <w:sz w:val="20"/>
                <w:szCs w:val="20"/>
                <w:lang w:val="en-GB"/>
              </w:rPr>
              <w:t xml:space="preserve">, </w:t>
            </w:r>
            <w:hyperlink r:id="rId327" w:tgtFrame="_blank" w:history="1">
              <w:r w:rsidRPr="00A835F6">
                <w:rPr>
                  <w:rStyle w:val="normaltextrun"/>
                  <w:rFonts w:asciiTheme="majorBidi" w:eastAsiaTheme="majorEastAsia" w:hAnsiTheme="majorBidi" w:cstheme="majorBidi"/>
                  <w:color w:val="467886"/>
                  <w:sz w:val="20"/>
                  <w:szCs w:val="20"/>
                  <w:u w:val="single"/>
                  <w:lang w:val="en-GB"/>
                </w:rPr>
                <w:t>National Biodiversity Strategies and Action Plans (NBSAPs)</w:t>
              </w:r>
            </w:hyperlink>
            <w:r w:rsidRPr="00A835F6">
              <w:rPr>
                <w:rStyle w:val="normaltextrun"/>
                <w:rFonts w:asciiTheme="majorBidi" w:eastAsiaTheme="majorEastAsia" w:hAnsiTheme="majorBidi" w:cstheme="majorBidi"/>
                <w:sz w:val="20"/>
                <w:szCs w:val="20"/>
                <w:lang w:val="en-GB"/>
              </w:rPr>
              <w:t xml:space="preserve">, </w:t>
            </w:r>
            <w:hyperlink r:id="rId328" w:tgtFrame="_blank" w:history="1">
              <w:r w:rsidRPr="00A835F6">
                <w:rPr>
                  <w:rStyle w:val="normaltextrun"/>
                  <w:rFonts w:asciiTheme="majorBidi" w:eastAsiaTheme="majorEastAsia" w:hAnsiTheme="majorBidi" w:cstheme="majorBidi"/>
                  <w:color w:val="467886"/>
                  <w:sz w:val="20"/>
                  <w:szCs w:val="20"/>
                  <w:u w:val="single"/>
                  <w:lang w:val="en-GB"/>
                </w:rPr>
                <w:t>Bonn Challenge</w:t>
              </w:r>
            </w:hyperlink>
            <w:r w:rsidRPr="00A835F6">
              <w:rPr>
                <w:rStyle w:val="normaltextrun"/>
                <w:rFonts w:asciiTheme="majorBidi" w:eastAsiaTheme="majorEastAsia" w:hAnsiTheme="majorBidi" w:cstheme="majorBidi"/>
                <w:sz w:val="20"/>
                <w:szCs w:val="20"/>
                <w:lang w:val="en-GB"/>
              </w:rPr>
              <w:t xml:space="preserve">, </w:t>
            </w:r>
            <w:hyperlink r:id="rId329" w:tgtFrame="_blank" w:history="1">
              <w:r w:rsidRPr="00A835F6">
                <w:rPr>
                  <w:rStyle w:val="normaltextrun"/>
                  <w:rFonts w:asciiTheme="majorBidi" w:eastAsiaTheme="majorEastAsia" w:hAnsiTheme="majorBidi" w:cstheme="majorBidi"/>
                  <w:color w:val="467886"/>
                  <w:sz w:val="20"/>
                  <w:szCs w:val="20"/>
                  <w:u w:val="single"/>
                  <w:lang w:val="en-GB"/>
                </w:rPr>
                <w:t>Ramsar Convention</w:t>
              </w:r>
            </w:hyperlink>
            <w:r w:rsidRPr="00A835F6">
              <w:rPr>
                <w:rStyle w:val="normaltextrun"/>
                <w:rFonts w:asciiTheme="majorBidi" w:eastAsiaTheme="majorEastAsia" w:hAnsiTheme="majorBidi" w:cstheme="majorBidi"/>
                <w:sz w:val="20"/>
                <w:szCs w:val="20"/>
                <w:lang w:val="en-GB"/>
              </w:rPr>
              <w:t xml:space="preserve">, Global Restoration Commitments database (Sewell </w:t>
            </w:r>
            <w:r w:rsidRPr="00A835F6">
              <w:rPr>
                <w:rStyle w:val="normaltextrun"/>
                <w:rFonts w:asciiTheme="majorBidi" w:eastAsiaTheme="majorEastAsia" w:hAnsiTheme="majorBidi" w:cstheme="majorBidi"/>
                <w:i/>
                <w:iCs/>
                <w:sz w:val="20"/>
                <w:szCs w:val="20"/>
                <w:lang w:val="en-GB"/>
              </w:rPr>
              <w:t>et al.</w:t>
            </w:r>
            <w:r w:rsidRPr="00A835F6">
              <w:rPr>
                <w:rStyle w:val="normaltextrun"/>
                <w:rFonts w:asciiTheme="majorBidi" w:eastAsiaTheme="majorEastAsia" w:hAnsiTheme="majorBidi" w:cstheme="majorBidi"/>
                <w:sz w:val="20"/>
                <w:szCs w:val="20"/>
                <w:lang w:val="en-GB"/>
              </w:rPr>
              <w:t xml:space="preserve"> 2020)</w:t>
            </w:r>
            <w:r w:rsidRPr="00A835F6">
              <w:rPr>
                <w:rStyle w:val="eop"/>
                <w:rFonts w:asciiTheme="majorBidi" w:eastAsiaTheme="majorEastAsia" w:hAnsiTheme="majorBidi" w:cstheme="majorBidi"/>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4032A694"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30" w:tgtFrame="_blank" w:history="1">
              <w:r w:rsidRPr="00A835F6">
                <w:rPr>
                  <w:rStyle w:val="normaltextrun"/>
                  <w:rFonts w:asciiTheme="majorBidi" w:eastAsiaTheme="majorEastAsia" w:hAnsiTheme="majorBidi" w:cstheme="majorBidi"/>
                  <w:color w:val="467886"/>
                  <w:sz w:val="20"/>
                  <w:szCs w:val="20"/>
                  <w:u w:val="single"/>
                  <w:lang w:val="en-GB"/>
                </w:rPr>
                <w:t>Nature Commitments</w:t>
              </w:r>
            </w:hyperlink>
            <w:r w:rsidRPr="00A835F6">
              <w:rPr>
                <w:rStyle w:val="eop"/>
                <w:rFonts w:asciiTheme="majorBidi" w:eastAsiaTheme="majorEastAsia" w:hAnsiTheme="majorBidi" w:cstheme="majorBidi"/>
                <w:sz w:val="20"/>
                <w:szCs w:val="20"/>
              </w:rPr>
              <w:t> </w:t>
            </w:r>
          </w:p>
        </w:tc>
      </w:tr>
      <w:tr w:rsidR="00756F0F" w:rsidRPr="00A835F6" w14:paraId="2244A6E5" w14:textId="77777777" w:rsidTr="005B0D1E">
        <w:trPr>
          <w:trHeight w:val="405"/>
        </w:trPr>
        <w:tc>
          <w:tcPr>
            <w:tcW w:w="10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1D39BD" w14:textId="77777777" w:rsidR="00756F0F" w:rsidRPr="00A835F6" w:rsidRDefault="00756F0F" w:rsidP="00395866">
            <w:pPr>
              <w:rPr>
                <w:rFonts w:asciiTheme="majorBidi" w:hAnsiTheme="majorBidi" w:cstheme="majorBidi"/>
                <w:sz w:val="20"/>
                <w:szCs w:val="20"/>
              </w:rPr>
            </w:pPr>
          </w:p>
        </w:tc>
        <w:tc>
          <w:tcPr>
            <w:tcW w:w="113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C3CDBF5"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Area under restoration (ha)*</w:t>
            </w:r>
            <w:r w:rsidRPr="00A835F6">
              <w:rPr>
                <w:rStyle w:val="eop"/>
                <w:rFonts w:asciiTheme="majorBidi" w:eastAsiaTheme="majorEastAsia" w:hAnsiTheme="majorBidi" w:cstheme="majorBidi"/>
                <w:sz w:val="20"/>
                <w:szCs w:val="20"/>
              </w:rPr>
              <w:t> </w:t>
            </w: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15CF06BF"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Tabular</w:t>
            </w:r>
            <w:r w:rsidRPr="00A835F6">
              <w:rPr>
                <w:rStyle w:val="eop"/>
                <w:rFonts w:asciiTheme="majorBidi" w:eastAsiaTheme="majorEastAsia" w:hAnsiTheme="majorBidi" w:cstheme="majorBidi"/>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42427E77" w14:textId="556E74FF"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31" w:tgtFrame="_blank" w:history="1">
              <w:r w:rsidRPr="00A835F6">
                <w:rPr>
                  <w:rStyle w:val="normaltextrun"/>
                  <w:rFonts w:asciiTheme="majorBidi" w:eastAsiaTheme="majorEastAsia" w:hAnsiTheme="majorBidi" w:cstheme="majorBidi"/>
                  <w:color w:val="467886"/>
                  <w:sz w:val="20"/>
                  <w:szCs w:val="20"/>
                  <w:u w:val="single"/>
                  <w:lang w:val="en-GB"/>
                </w:rPr>
                <w:t>Sustainable Development Goals Indicators Database</w:t>
              </w:r>
            </w:hyperlink>
            <w:r w:rsidRPr="00A835F6">
              <w:rPr>
                <w:rStyle w:val="normaltextrun"/>
                <w:rFonts w:asciiTheme="majorBidi" w:eastAsiaTheme="majorEastAsia" w:hAnsiTheme="majorBidi" w:cstheme="majorBidi"/>
                <w:sz w:val="20"/>
                <w:szCs w:val="20"/>
                <w:lang w:val="en-GB"/>
              </w:rPr>
              <w:t xml:space="preserve"> , </w:t>
            </w:r>
            <w:hyperlink r:id="rId332" w:tgtFrame="_blank" w:history="1">
              <w:r w:rsidRPr="00A835F6">
                <w:rPr>
                  <w:rStyle w:val="normaltextrun"/>
                  <w:rFonts w:asciiTheme="majorBidi" w:eastAsiaTheme="majorEastAsia" w:hAnsiTheme="majorBidi" w:cstheme="majorBidi"/>
                  <w:color w:val="467886"/>
                  <w:sz w:val="20"/>
                  <w:szCs w:val="20"/>
                  <w:u w:val="single"/>
                  <w:lang w:val="en-GB"/>
                </w:rPr>
                <w:t>Forest Resources Assessment (FRA)</w:t>
              </w:r>
            </w:hyperlink>
            <w:r w:rsidRPr="00A835F6">
              <w:rPr>
                <w:rStyle w:val="normaltextrun"/>
                <w:rFonts w:asciiTheme="majorBidi" w:eastAsiaTheme="majorEastAsia" w:hAnsiTheme="majorBidi" w:cstheme="majorBidi"/>
                <w:sz w:val="20"/>
                <w:szCs w:val="20"/>
                <w:lang w:val="en-GB"/>
              </w:rPr>
              <w:t xml:space="preserve">, UNCCD </w:t>
            </w:r>
            <w:hyperlink r:id="rId333" w:tgtFrame="_blank" w:history="1">
              <w:r w:rsidRPr="00A835F6">
                <w:rPr>
                  <w:rStyle w:val="normaltextrun"/>
                  <w:rFonts w:asciiTheme="majorBidi" w:eastAsiaTheme="majorEastAsia" w:hAnsiTheme="majorBidi" w:cstheme="majorBidi"/>
                  <w:color w:val="0000FF"/>
                  <w:sz w:val="20"/>
                  <w:szCs w:val="20"/>
                  <w:lang w:val="en-GB"/>
                </w:rPr>
                <w:t>Performance Review and Implementation System (PRAIS)</w:t>
              </w:r>
            </w:hyperlink>
            <w:r w:rsidRPr="00A835F6">
              <w:rPr>
                <w:rStyle w:val="normaltextrun"/>
                <w:rFonts w:asciiTheme="majorBidi" w:eastAsiaTheme="majorEastAsia" w:hAnsiTheme="majorBidi" w:cstheme="majorBidi"/>
                <w:sz w:val="20"/>
                <w:szCs w:val="20"/>
                <w:lang w:val="en-GB"/>
              </w:rPr>
              <w:t xml:space="preserve">, </w:t>
            </w:r>
            <w:hyperlink r:id="rId334" w:tgtFrame="_blank" w:history="1">
              <w:r w:rsidRPr="00A835F6">
                <w:rPr>
                  <w:rStyle w:val="normaltextrun"/>
                  <w:rFonts w:asciiTheme="majorBidi" w:eastAsiaTheme="majorEastAsia" w:hAnsiTheme="majorBidi" w:cstheme="majorBidi"/>
                  <w:color w:val="467886"/>
                  <w:sz w:val="20"/>
                  <w:szCs w:val="20"/>
                  <w:u w:val="single"/>
                  <w:lang w:val="en-GB"/>
                </w:rPr>
                <w:t>REDD+</w:t>
              </w:r>
            </w:hyperlink>
            <w:r w:rsidRPr="00A835F6">
              <w:rPr>
                <w:rStyle w:val="normaltextrun"/>
                <w:rFonts w:asciiTheme="majorBidi" w:eastAsiaTheme="majorEastAsia" w:hAnsiTheme="majorBidi" w:cstheme="majorBidi"/>
                <w:color w:val="467886"/>
                <w:sz w:val="20"/>
                <w:szCs w:val="20"/>
                <w:u w:val="single"/>
                <w:lang w:val="en-GB"/>
              </w:rPr>
              <w:t xml:space="preserve"> reporting – e</w:t>
            </w:r>
            <w:r w:rsidR="003438F2" w:rsidRPr="00A835F6">
              <w:rPr>
                <w:rStyle w:val="normaltextrun"/>
                <w:rFonts w:asciiTheme="majorBidi" w:eastAsiaTheme="majorEastAsia" w:hAnsiTheme="majorBidi" w:cstheme="majorBidi"/>
                <w:color w:val="467886"/>
                <w:sz w:val="20"/>
                <w:szCs w:val="20"/>
                <w:u w:val="single"/>
                <w:lang w:val="en-GB"/>
              </w:rPr>
              <w:t>.</w:t>
            </w:r>
            <w:r w:rsidRPr="00A835F6">
              <w:rPr>
                <w:rStyle w:val="normaltextrun"/>
                <w:rFonts w:asciiTheme="majorBidi" w:eastAsiaTheme="majorEastAsia" w:hAnsiTheme="majorBidi" w:cstheme="majorBidi"/>
                <w:color w:val="467886"/>
                <w:sz w:val="20"/>
                <w:szCs w:val="20"/>
                <w:u w:val="single"/>
                <w:lang w:val="en-GB"/>
              </w:rPr>
              <w:t>g</w:t>
            </w:r>
            <w:r w:rsidR="003438F2" w:rsidRPr="00A835F6">
              <w:rPr>
                <w:rStyle w:val="normaltextrun"/>
                <w:rFonts w:asciiTheme="majorBidi" w:eastAsiaTheme="majorEastAsia" w:hAnsiTheme="majorBidi" w:cstheme="majorBidi"/>
                <w:sz w:val="20"/>
                <w:szCs w:val="20"/>
                <w:lang w:val="en-GB"/>
              </w:rPr>
              <w:t>.</w:t>
            </w:r>
            <w:r w:rsidRPr="00A835F6">
              <w:rPr>
                <w:rStyle w:val="normaltextrun"/>
                <w:rFonts w:asciiTheme="majorBidi" w:eastAsiaTheme="majorEastAsia" w:hAnsiTheme="majorBidi" w:cstheme="majorBidi"/>
                <w:sz w:val="20"/>
                <w:szCs w:val="20"/>
                <w:lang w:val="en-GB"/>
              </w:rPr>
              <w:t xml:space="preserve"> UNFCCC Forest Reference Levels (FRL) and Biannual Update Reports (BUR), </w:t>
            </w:r>
            <w:hyperlink r:id="rId335" w:tgtFrame="_blank" w:history="1">
              <w:r w:rsidRPr="00A835F6">
                <w:rPr>
                  <w:rStyle w:val="normaltextrun"/>
                  <w:rFonts w:asciiTheme="majorBidi" w:eastAsiaTheme="majorEastAsia" w:hAnsiTheme="majorBidi" w:cstheme="majorBidi"/>
                  <w:color w:val="467886"/>
                  <w:sz w:val="20"/>
                  <w:szCs w:val="20"/>
                  <w:u w:val="single"/>
                  <w:lang w:val="en-GB"/>
                </w:rPr>
                <w:t>Architecture for REDD+ Transactions (ART)</w:t>
              </w:r>
            </w:hyperlink>
            <w:r w:rsidRPr="00A835F6">
              <w:rPr>
                <w:rStyle w:val="normaltextrun"/>
                <w:rFonts w:asciiTheme="majorBidi" w:eastAsiaTheme="majorEastAsia" w:hAnsiTheme="majorBidi" w:cstheme="majorBidi"/>
                <w:sz w:val="20"/>
                <w:szCs w:val="20"/>
                <w:lang w:val="en-GB"/>
              </w:rPr>
              <w:t xml:space="preserve">, </w:t>
            </w:r>
            <w:hyperlink r:id="rId336" w:tgtFrame="_blank" w:history="1">
              <w:r w:rsidRPr="00A835F6">
                <w:rPr>
                  <w:rStyle w:val="normaltextrun"/>
                  <w:rFonts w:asciiTheme="majorBidi" w:eastAsiaTheme="majorEastAsia" w:hAnsiTheme="majorBidi" w:cstheme="majorBidi"/>
                  <w:color w:val="467886"/>
                  <w:sz w:val="20"/>
                  <w:szCs w:val="20"/>
                  <w:u w:val="single"/>
                  <w:lang w:val="en-GB"/>
                </w:rPr>
                <w:t>Lowering Emissions by Accelerating Forest finance (LEAF)</w:t>
              </w:r>
            </w:hyperlink>
            <w:r w:rsidRPr="00A835F6">
              <w:rPr>
                <w:rStyle w:val="normaltextrun"/>
                <w:rFonts w:asciiTheme="majorBidi" w:eastAsiaTheme="majorEastAsia" w:hAnsiTheme="majorBidi" w:cstheme="majorBidi"/>
                <w:sz w:val="20"/>
                <w:szCs w:val="20"/>
                <w:lang w:val="en-GB"/>
              </w:rPr>
              <w:t xml:space="preserve">, </w:t>
            </w:r>
            <w:hyperlink r:id="rId337" w:tgtFrame="_blank" w:history="1">
              <w:r w:rsidRPr="00A835F6">
                <w:rPr>
                  <w:rStyle w:val="normaltextrun"/>
                  <w:rFonts w:asciiTheme="majorBidi" w:eastAsiaTheme="majorEastAsia" w:hAnsiTheme="majorBidi" w:cstheme="majorBidi"/>
                  <w:color w:val="467886"/>
                  <w:sz w:val="20"/>
                  <w:szCs w:val="20"/>
                  <w:u w:val="single"/>
                  <w:lang w:val="en-GB"/>
                </w:rPr>
                <w:t>The Forest Carbon Partnership Facility (FCPF)</w:t>
              </w:r>
            </w:hyperlink>
            <w:r w:rsidRPr="00A835F6">
              <w:rPr>
                <w:rStyle w:val="eop"/>
                <w:rFonts w:asciiTheme="majorBidi" w:eastAsiaTheme="majorEastAsia" w:hAnsiTheme="majorBidi" w:cstheme="majorBidi"/>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0BFA7419"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eop"/>
                <w:rFonts w:asciiTheme="majorBidi" w:eastAsiaTheme="majorEastAsia" w:hAnsiTheme="majorBidi" w:cstheme="majorBidi"/>
                <w:sz w:val="20"/>
                <w:szCs w:val="20"/>
              </w:rPr>
              <w:t> </w:t>
            </w:r>
          </w:p>
        </w:tc>
      </w:tr>
      <w:tr w:rsidR="00756F0F" w:rsidRPr="00A835F6" w14:paraId="3AD08DE2" w14:textId="77777777" w:rsidTr="005B0D1E">
        <w:trPr>
          <w:trHeight w:val="435"/>
        </w:trPr>
        <w:tc>
          <w:tcPr>
            <w:tcW w:w="10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C3616E" w14:textId="77777777" w:rsidR="00756F0F" w:rsidRPr="00A835F6" w:rsidRDefault="00756F0F" w:rsidP="00395866">
            <w:pPr>
              <w:rPr>
                <w:rFonts w:asciiTheme="majorBidi" w:hAnsiTheme="majorBidi" w:cstheme="majorBidi"/>
                <w:sz w:val="20"/>
                <w:szCs w:val="20"/>
              </w:rPr>
            </w:pPr>
          </w:p>
        </w:tc>
        <w:tc>
          <w:tcPr>
            <w:tcW w:w="113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7D8250" w14:textId="77777777" w:rsidR="00756F0F" w:rsidRPr="00A835F6" w:rsidRDefault="00756F0F" w:rsidP="00395866">
            <w:pPr>
              <w:rPr>
                <w:rFonts w:asciiTheme="majorBidi" w:hAnsiTheme="majorBidi" w:cstheme="majorBidi"/>
                <w:sz w:val="20"/>
                <w:szCs w:val="20"/>
              </w:rPr>
            </w:pP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31FD3099"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Spatially explicit</w:t>
            </w:r>
            <w:r w:rsidRPr="00A835F6">
              <w:rPr>
                <w:rStyle w:val="eop"/>
                <w:rFonts w:asciiTheme="majorBidi" w:eastAsiaTheme="majorEastAsia" w:hAnsiTheme="majorBidi" w:cstheme="majorBidi"/>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593E28E2"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38" w:tgtFrame="_blank" w:history="1">
              <w:r w:rsidRPr="00A835F6">
                <w:rPr>
                  <w:rStyle w:val="normaltextrun"/>
                  <w:rFonts w:asciiTheme="majorBidi" w:eastAsiaTheme="majorEastAsia" w:hAnsiTheme="majorBidi" w:cstheme="majorBidi"/>
                  <w:color w:val="467886"/>
                  <w:sz w:val="20"/>
                  <w:szCs w:val="20"/>
                  <w:u w:val="single"/>
                  <w:lang w:val="en-GB"/>
                </w:rPr>
                <w:t>Framework for Ecosystem Restoration Monitoring (FERM)</w:t>
              </w:r>
            </w:hyperlink>
            <w:r w:rsidRPr="00A835F6">
              <w:rPr>
                <w:rStyle w:val="normaltextrun"/>
                <w:rFonts w:asciiTheme="majorBidi" w:eastAsiaTheme="majorEastAsia" w:hAnsiTheme="majorBidi" w:cstheme="majorBidi"/>
                <w:sz w:val="20"/>
                <w:szCs w:val="20"/>
                <w:lang w:val="en-GB"/>
              </w:rPr>
              <w:t xml:space="preserve">, </w:t>
            </w:r>
            <w:hyperlink r:id="rId339" w:tgtFrame="_blank" w:history="1">
              <w:r w:rsidRPr="00A835F6">
                <w:rPr>
                  <w:rStyle w:val="normaltextrun"/>
                  <w:rFonts w:asciiTheme="majorBidi" w:eastAsiaTheme="majorEastAsia" w:hAnsiTheme="majorBidi" w:cstheme="majorBidi"/>
                  <w:color w:val="0000FF"/>
                  <w:sz w:val="20"/>
                  <w:szCs w:val="20"/>
                  <w:lang w:val="en-GB"/>
                </w:rPr>
                <w:t>World Database on Protected Areas (WDPA)</w:t>
              </w:r>
            </w:hyperlink>
            <w:r w:rsidRPr="00A835F6">
              <w:rPr>
                <w:rStyle w:val="normaltextrun"/>
                <w:rFonts w:asciiTheme="majorBidi" w:eastAsiaTheme="majorEastAsia" w:hAnsiTheme="majorBidi" w:cstheme="majorBidi"/>
                <w:sz w:val="20"/>
                <w:szCs w:val="20"/>
                <w:lang w:val="en-GB"/>
              </w:rPr>
              <w:t xml:space="preserve"> , P</w:t>
            </w:r>
            <w:hyperlink r:id="rId340" w:tgtFrame="_blank" w:history="1">
              <w:r w:rsidRPr="00A835F6">
                <w:rPr>
                  <w:rStyle w:val="normaltextrun"/>
                  <w:rFonts w:asciiTheme="majorBidi" w:eastAsiaTheme="majorEastAsia" w:hAnsiTheme="majorBidi" w:cstheme="majorBidi"/>
                  <w:color w:val="0000FF"/>
                  <w:sz w:val="20"/>
                  <w:szCs w:val="20"/>
                  <w:lang w:val="en-GB"/>
                </w:rPr>
                <w:t>erformance Review and Implementation System (PRAIS)</w:t>
              </w:r>
            </w:hyperlink>
            <w:r w:rsidRPr="00A835F6">
              <w:rPr>
                <w:rStyle w:val="normaltextrun"/>
                <w:rFonts w:asciiTheme="majorBidi" w:eastAsiaTheme="majorEastAsia" w:hAnsiTheme="majorBidi" w:cstheme="majorBidi"/>
                <w:sz w:val="20"/>
                <w:szCs w:val="20"/>
                <w:lang w:val="en-GB"/>
              </w:rPr>
              <w:t> </w:t>
            </w:r>
            <w:r w:rsidRPr="00A835F6">
              <w:rPr>
                <w:rStyle w:val="eop"/>
                <w:rFonts w:asciiTheme="majorBidi" w:eastAsiaTheme="majorEastAsia" w:hAnsiTheme="majorBidi" w:cstheme="majorBidi"/>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40B354FF"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41" w:tgtFrame="_blank" w:history="1">
              <w:r w:rsidRPr="00A835F6">
                <w:rPr>
                  <w:rStyle w:val="normaltextrun"/>
                  <w:rFonts w:asciiTheme="majorBidi" w:eastAsiaTheme="majorEastAsia" w:hAnsiTheme="majorBidi" w:cstheme="majorBidi"/>
                  <w:color w:val="467886"/>
                  <w:sz w:val="20"/>
                  <w:szCs w:val="20"/>
                  <w:u w:val="single"/>
                  <w:lang w:val="en-GB"/>
                </w:rPr>
                <w:t>International Coral Reef Initiative (ICRI)</w:t>
              </w:r>
            </w:hyperlink>
            <w:r w:rsidRPr="00A835F6">
              <w:rPr>
                <w:rStyle w:val="normaltextrun"/>
                <w:rFonts w:asciiTheme="majorBidi" w:eastAsiaTheme="majorEastAsia" w:hAnsiTheme="majorBidi" w:cstheme="majorBidi"/>
                <w:sz w:val="20"/>
                <w:szCs w:val="20"/>
                <w:lang w:val="en-GB"/>
              </w:rPr>
              <w:t xml:space="preserve">, </w:t>
            </w:r>
            <w:hyperlink r:id="rId342" w:tgtFrame="_blank" w:history="1">
              <w:r w:rsidRPr="00A835F6">
                <w:rPr>
                  <w:rStyle w:val="normaltextrun"/>
                  <w:rFonts w:asciiTheme="majorBidi" w:eastAsiaTheme="majorEastAsia" w:hAnsiTheme="majorBidi" w:cstheme="majorBidi"/>
                  <w:color w:val="467886"/>
                  <w:sz w:val="20"/>
                  <w:szCs w:val="20"/>
                  <w:u w:val="single"/>
                  <w:lang w:val="en-GB"/>
                </w:rPr>
                <w:t>Global Mangrove Alliance</w:t>
              </w:r>
            </w:hyperlink>
            <w:r w:rsidRPr="00A835F6">
              <w:rPr>
                <w:rStyle w:val="normaltextrun"/>
                <w:rFonts w:asciiTheme="majorBidi" w:eastAsiaTheme="majorEastAsia" w:hAnsiTheme="majorBidi" w:cstheme="majorBidi"/>
                <w:sz w:val="20"/>
                <w:szCs w:val="20"/>
                <w:lang w:val="en-GB"/>
              </w:rPr>
              <w:t xml:space="preserve">, </w:t>
            </w:r>
            <w:hyperlink r:id="rId343" w:tgtFrame="_blank" w:history="1">
              <w:r w:rsidRPr="00A835F6">
                <w:rPr>
                  <w:rStyle w:val="normaltextrun"/>
                  <w:rFonts w:asciiTheme="majorBidi" w:eastAsiaTheme="majorEastAsia" w:hAnsiTheme="majorBidi" w:cstheme="majorBidi"/>
                  <w:color w:val="467886"/>
                  <w:sz w:val="20"/>
                  <w:szCs w:val="20"/>
                  <w:u w:val="single"/>
                  <w:lang w:val="en-GB"/>
                </w:rPr>
                <w:t>Restor</w:t>
              </w:r>
            </w:hyperlink>
            <w:r w:rsidRPr="00A835F6">
              <w:rPr>
                <w:rStyle w:val="normaltextrun"/>
                <w:rFonts w:asciiTheme="majorBidi" w:eastAsiaTheme="majorEastAsia" w:hAnsiTheme="majorBidi" w:cstheme="majorBidi"/>
                <w:sz w:val="20"/>
                <w:szCs w:val="20"/>
                <w:lang w:val="en-GB"/>
              </w:rPr>
              <w:t xml:space="preserve">, </w:t>
            </w:r>
            <w:hyperlink r:id="rId344" w:tgtFrame="_blank" w:history="1">
              <w:r w:rsidRPr="00A835F6">
                <w:rPr>
                  <w:rStyle w:val="normaltextrun"/>
                  <w:rFonts w:asciiTheme="majorBidi" w:eastAsiaTheme="majorEastAsia" w:hAnsiTheme="majorBidi" w:cstheme="majorBidi"/>
                  <w:color w:val="467886"/>
                  <w:sz w:val="20"/>
                  <w:szCs w:val="20"/>
                  <w:u w:val="single"/>
                  <w:lang w:val="en-GB"/>
                </w:rPr>
                <w:t>Society for Ecological Restoration - Restoration Resource Center</w:t>
              </w:r>
            </w:hyperlink>
            <w:r w:rsidRPr="00A835F6">
              <w:rPr>
                <w:rStyle w:val="eop"/>
                <w:rFonts w:asciiTheme="majorBidi" w:eastAsiaTheme="majorEastAsia" w:hAnsiTheme="majorBidi" w:cstheme="majorBidi"/>
                <w:sz w:val="20"/>
                <w:szCs w:val="20"/>
              </w:rPr>
              <w:t> </w:t>
            </w:r>
          </w:p>
        </w:tc>
      </w:tr>
      <w:tr w:rsidR="00756F0F" w:rsidRPr="00A835F6" w14:paraId="7260EAC4" w14:textId="77777777" w:rsidTr="005B0D1E">
        <w:trPr>
          <w:trHeight w:val="405"/>
        </w:trPr>
        <w:tc>
          <w:tcPr>
            <w:tcW w:w="10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DDFE95F" w14:textId="77777777" w:rsidR="00756F0F" w:rsidRPr="00A835F6" w:rsidRDefault="00756F0F" w:rsidP="00395866">
            <w:pPr>
              <w:rPr>
                <w:rFonts w:asciiTheme="majorBidi" w:hAnsiTheme="majorBidi" w:cstheme="majorBidi"/>
                <w:sz w:val="20"/>
                <w:szCs w:val="20"/>
              </w:rPr>
            </w:pPr>
          </w:p>
        </w:tc>
        <w:tc>
          <w:tcPr>
            <w:tcW w:w="1134"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208CC49"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Ecosystem</w:t>
            </w:r>
            <w:r w:rsidRPr="00A835F6">
              <w:rPr>
                <w:rStyle w:val="eop"/>
                <w:rFonts w:asciiTheme="majorBidi" w:eastAsiaTheme="majorEastAsia" w:hAnsiTheme="majorBidi" w:cstheme="majorBidi"/>
                <w:sz w:val="20"/>
                <w:szCs w:val="20"/>
              </w:rPr>
              <w:t> </w:t>
            </w: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6691E036"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Descriptive</w:t>
            </w:r>
            <w:r w:rsidRPr="00A835F6">
              <w:rPr>
                <w:rStyle w:val="eop"/>
                <w:rFonts w:asciiTheme="majorBidi" w:eastAsiaTheme="majorEastAsia" w:hAnsiTheme="majorBidi" w:cstheme="majorBidi"/>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055373B4"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45" w:tgtFrame="_blank" w:history="1">
              <w:r w:rsidRPr="00A835F6">
                <w:rPr>
                  <w:rStyle w:val="normaltextrun"/>
                  <w:rFonts w:asciiTheme="majorBidi" w:eastAsiaTheme="majorEastAsia" w:hAnsiTheme="majorBidi" w:cstheme="majorBidi"/>
                  <w:color w:val="467886"/>
                  <w:sz w:val="20"/>
                  <w:szCs w:val="20"/>
                  <w:u w:val="single"/>
                  <w:lang w:val="en-GB"/>
                </w:rPr>
                <w:t>UN Decade Ecosystems</w:t>
              </w:r>
            </w:hyperlink>
            <w:r w:rsidRPr="00A835F6">
              <w:rPr>
                <w:rStyle w:val="normaltextrun"/>
                <w:rFonts w:asciiTheme="majorBidi" w:eastAsiaTheme="majorEastAsia" w:hAnsiTheme="majorBidi" w:cstheme="majorBidi"/>
                <w:sz w:val="20"/>
                <w:szCs w:val="20"/>
                <w:lang w:val="en-GB"/>
              </w:rPr>
              <w:t> </w:t>
            </w:r>
            <w:r w:rsidRPr="00A835F6">
              <w:rPr>
                <w:rStyle w:val="eop"/>
                <w:rFonts w:asciiTheme="majorBidi" w:eastAsiaTheme="majorEastAsia" w:hAnsiTheme="majorBidi" w:cstheme="majorBidi"/>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6D8A6C12"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eop"/>
                <w:rFonts w:asciiTheme="majorBidi" w:eastAsiaTheme="majorEastAsia" w:hAnsiTheme="majorBidi" w:cstheme="majorBidi"/>
                <w:sz w:val="20"/>
                <w:szCs w:val="20"/>
              </w:rPr>
              <w:t> </w:t>
            </w:r>
          </w:p>
        </w:tc>
      </w:tr>
      <w:tr w:rsidR="00756F0F" w:rsidRPr="00A835F6" w14:paraId="261C4DCC" w14:textId="77777777" w:rsidTr="005B0D1E">
        <w:trPr>
          <w:trHeight w:val="405"/>
        </w:trPr>
        <w:tc>
          <w:tcPr>
            <w:tcW w:w="10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1B67B4" w14:textId="77777777" w:rsidR="00756F0F" w:rsidRPr="00A835F6" w:rsidRDefault="00756F0F" w:rsidP="00395866">
            <w:pPr>
              <w:rPr>
                <w:rFonts w:asciiTheme="majorBidi" w:hAnsiTheme="majorBidi" w:cstheme="majorBidi"/>
                <w:sz w:val="20"/>
                <w:szCs w:val="20"/>
              </w:rPr>
            </w:pPr>
          </w:p>
        </w:tc>
        <w:tc>
          <w:tcPr>
            <w:tcW w:w="113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6619AA" w14:textId="77777777" w:rsidR="00756F0F" w:rsidRPr="00A835F6" w:rsidRDefault="00756F0F" w:rsidP="00395866">
            <w:pPr>
              <w:rPr>
                <w:rFonts w:asciiTheme="majorBidi" w:hAnsiTheme="majorBidi" w:cstheme="majorBidi"/>
                <w:sz w:val="20"/>
                <w:szCs w:val="20"/>
              </w:rPr>
            </w:pP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28F36E38"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Spatially explicit</w:t>
            </w:r>
            <w:r w:rsidRPr="00A835F6">
              <w:rPr>
                <w:rStyle w:val="eop"/>
                <w:rFonts w:asciiTheme="majorBidi" w:eastAsiaTheme="majorEastAsia" w:hAnsiTheme="majorBidi" w:cstheme="majorBidi"/>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1DD81D8F"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  (Ecosystem Functional Groups)</w:t>
            </w:r>
            <w:r w:rsidRPr="00A835F6">
              <w:rPr>
                <w:rStyle w:val="eop"/>
                <w:rFonts w:asciiTheme="majorBidi" w:eastAsiaTheme="majorEastAsia" w:hAnsiTheme="majorBidi" w:cstheme="majorBidi"/>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06F2A7CE"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eop"/>
                <w:rFonts w:asciiTheme="majorBidi" w:eastAsiaTheme="majorEastAsia" w:hAnsiTheme="majorBidi" w:cstheme="majorBidi"/>
                <w:sz w:val="20"/>
                <w:szCs w:val="20"/>
              </w:rPr>
              <w:t> </w:t>
            </w:r>
          </w:p>
        </w:tc>
      </w:tr>
      <w:tr w:rsidR="00756F0F" w:rsidRPr="00A835F6" w14:paraId="36CB270A" w14:textId="77777777" w:rsidTr="005B0D1E">
        <w:trPr>
          <w:trHeight w:val="300"/>
        </w:trPr>
        <w:tc>
          <w:tcPr>
            <w:tcW w:w="1000" w:type="dxa"/>
            <w:tcBorders>
              <w:top w:val="single" w:sz="6" w:space="0" w:color="auto"/>
              <w:left w:val="single" w:sz="6" w:space="0" w:color="auto"/>
              <w:bottom w:val="single" w:sz="6" w:space="0" w:color="auto"/>
              <w:right w:val="single" w:sz="6" w:space="0" w:color="auto"/>
            </w:tcBorders>
            <w:shd w:val="clear" w:color="auto" w:fill="auto"/>
            <w:hideMark/>
          </w:tcPr>
          <w:p w14:paraId="26E15B49"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Status</w:t>
            </w:r>
            <w:r w:rsidRPr="00A835F6">
              <w:rPr>
                <w:rStyle w:val="eop"/>
                <w:rFonts w:asciiTheme="majorBidi" w:eastAsiaTheme="majorEastAsia" w:hAnsiTheme="majorBidi" w:cstheme="majorBidi"/>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E77C0A2"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Restoration status</w:t>
            </w:r>
            <w:r w:rsidRPr="00A835F6">
              <w:rPr>
                <w:rStyle w:val="eop"/>
                <w:rFonts w:asciiTheme="majorBidi" w:eastAsiaTheme="majorEastAsia" w:hAnsiTheme="majorBidi" w:cstheme="majorBidi"/>
                <w:sz w:val="20"/>
                <w:szCs w:val="20"/>
              </w:rPr>
              <w:t> </w:t>
            </w: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4325DAC5"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Descriptive</w:t>
            </w:r>
            <w:r w:rsidRPr="00A835F6">
              <w:rPr>
                <w:rStyle w:val="eop"/>
                <w:rFonts w:asciiTheme="majorBidi" w:eastAsiaTheme="majorEastAsia" w:hAnsiTheme="majorBidi" w:cstheme="majorBidi"/>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1E46A231" w14:textId="065EE648"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46" w:tgtFrame="_blank" w:history="1">
              <w:r w:rsidRPr="00A835F6">
                <w:rPr>
                  <w:rStyle w:val="normaltextrun"/>
                  <w:rFonts w:asciiTheme="majorBidi" w:eastAsiaTheme="majorEastAsia" w:hAnsiTheme="majorBidi" w:cstheme="majorBidi"/>
                  <w:color w:val="0000FF"/>
                  <w:sz w:val="20"/>
                  <w:szCs w:val="20"/>
                  <w:lang w:val="en-GB"/>
                </w:rPr>
                <w:t>Framework for Ecosystem Restoration Monitoring (FERM)</w:t>
              </w:r>
            </w:hyperlink>
            <w:r w:rsidRPr="00A835F6">
              <w:rPr>
                <w:rStyle w:val="normaltextrun"/>
                <w:rFonts w:asciiTheme="majorBidi" w:eastAsiaTheme="majorEastAsia" w:hAnsiTheme="majorBidi" w:cstheme="majorBidi"/>
                <w:sz w:val="20"/>
                <w:szCs w:val="20"/>
                <w:lang w:val="en-GB"/>
              </w:rPr>
              <w:t xml:space="preserve">, </w:t>
            </w:r>
            <w:hyperlink r:id="rId347" w:tgtFrame="_blank" w:history="1">
              <w:r w:rsidRPr="00A835F6">
                <w:rPr>
                  <w:rStyle w:val="normaltextrun"/>
                  <w:rFonts w:asciiTheme="majorBidi" w:eastAsiaTheme="majorEastAsia" w:hAnsiTheme="majorBidi" w:cstheme="majorBidi"/>
                  <w:color w:val="467886"/>
                  <w:sz w:val="20"/>
                  <w:szCs w:val="20"/>
                  <w:u w:val="single"/>
                  <w:lang w:val="en-GB"/>
                </w:rPr>
                <w:t>World Database on Protected Areas (WDPA)</w:t>
              </w:r>
            </w:hyperlink>
            <w:r w:rsidRPr="00A835F6">
              <w:rPr>
                <w:rStyle w:val="normaltextrun"/>
                <w:rFonts w:asciiTheme="majorBidi" w:eastAsiaTheme="majorEastAsia" w:hAnsiTheme="majorBidi" w:cstheme="majorBidi"/>
                <w:sz w:val="20"/>
                <w:szCs w:val="20"/>
                <w:lang w:val="en-GB"/>
              </w:rPr>
              <w:t>, Restoration Barometer</w:t>
            </w:r>
            <w:r w:rsidRPr="00A835F6">
              <w:rPr>
                <w:rStyle w:val="eop"/>
                <w:rFonts w:asciiTheme="majorBidi" w:eastAsiaTheme="majorEastAsia" w:hAnsiTheme="majorBidi" w:cstheme="majorBidi"/>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16C8F77D"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eop"/>
                <w:rFonts w:asciiTheme="majorBidi" w:eastAsiaTheme="majorEastAsia" w:hAnsiTheme="majorBidi" w:cstheme="majorBidi"/>
                <w:sz w:val="20"/>
                <w:szCs w:val="20"/>
              </w:rPr>
              <w:t> </w:t>
            </w:r>
          </w:p>
        </w:tc>
      </w:tr>
      <w:tr w:rsidR="00756F0F" w:rsidRPr="00A835F6" w14:paraId="798D098A" w14:textId="77777777" w:rsidTr="005B0D1E">
        <w:trPr>
          <w:trHeight w:val="405"/>
        </w:trPr>
        <w:tc>
          <w:tcPr>
            <w:tcW w:w="10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AA5800D"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Additional information</w:t>
            </w:r>
            <w:r w:rsidRPr="00A835F6">
              <w:rPr>
                <w:rStyle w:val="eop"/>
                <w:rFonts w:asciiTheme="majorBidi" w:eastAsiaTheme="majorEastAsia" w:hAnsiTheme="majorBidi" w:cstheme="majorBidi"/>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A2E4F43"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Type of restoration</w:t>
            </w:r>
            <w:r w:rsidRPr="00A835F6">
              <w:rPr>
                <w:rStyle w:val="eop"/>
                <w:rFonts w:asciiTheme="majorBidi" w:eastAsiaTheme="majorEastAsia" w:hAnsiTheme="majorBidi" w:cstheme="majorBidi"/>
                <w:sz w:val="20"/>
                <w:szCs w:val="20"/>
              </w:rPr>
              <w:t> </w:t>
            </w: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4DA37D54"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Descriptive</w:t>
            </w:r>
            <w:r w:rsidRPr="00A835F6">
              <w:rPr>
                <w:rStyle w:val="eop"/>
                <w:rFonts w:asciiTheme="majorBidi" w:eastAsiaTheme="majorEastAsia" w:hAnsiTheme="majorBidi" w:cstheme="majorBidi"/>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140BDE01"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48" w:tgtFrame="_blank" w:history="1">
              <w:r w:rsidRPr="00A835F6">
                <w:rPr>
                  <w:rStyle w:val="normaltextrun"/>
                  <w:rFonts w:asciiTheme="majorBidi" w:eastAsiaTheme="majorEastAsia" w:hAnsiTheme="majorBidi" w:cstheme="majorBidi"/>
                  <w:color w:val="467886"/>
                  <w:sz w:val="20"/>
                  <w:szCs w:val="20"/>
                  <w:u w:val="single"/>
                  <w:lang w:val="en-GB"/>
                </w:rPr>
                <w:t>Framework for Ecosystem Restoration Monitoring (FERM)</w:t>
              </w:r>
            </w:hyperlink>
            <w:r w:rsidRPr="00A835F6">
              <w:rPr>
                <w:rStyle w:val="normaltextrun"/>
                <w:rFonts w:asciiTheme="majorBidi" w:eastAsiaTheme="majorEastAsia" w:hAnsiTheme="majorBidi" w:cstheme="majorBidi"/>
                <w:sz w:val="20"/>
                <w:szCs w:val="20"/>
                <w:lang w:val="en-GB"/>
              </w:rPr>
              <w:t> </w:t>
            </w:r>
            <w:r w:rsidRPr="00A835F6">
              <w:rPr>
                <w:rStyle w:val="eop"/>
                <w:rFonts w:asciiTheme="majorBidi" w:eastAsiaTheme="majorEastAsia" w:hAnsiTheme="majorBidi" w:cstheme="majorBidi"/>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265081B7"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eop"/>
                <w:rFonts w:asciiTheme="majorBidi" w:eastAsiaTheme="majorEastAsia" w:hAnsiTheme="majorBidi" w:cstheme="majorBidi"/>
                <w:sz w:val="20"/>
                <w:szCs w:val="20"/>
              </w:rPr>
              <w:t> </w:t>
            </w:r>
          </w:p>
        </w:tc>
      </w:tr>
      <w:tr w:rsidR="00756F0F" w:rsidRPr="00A835F6" w14:paraId="4D6CF34A" w14:textId="77777777" w:rsidTr="005B0D1E">
        <w:trPr>
          <w:trHeight w:val="405"/>
        </w:trPr>
        <w:tc>
          <w:tcPr>
            <w:tcW w:w="10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B3FEF3" w14:textId="77777777" w:rsidR="00756F0F" w:rsidRPr="00A835F6" w:rsidRDefault="00756F0F" w:rsidP="00395866">
            <w:pPr>
              <w:rPr>
                <w:rFonts w:asciiTheme="majorBidi" w:hAnsiTheme="majorBidi" w:cstheme="majorBidi"/>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E488805"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Activity</w:t>
            </w:r>
            <w:r w:rsidRPr="00A835F6">
              <w:rPr>
                <w:rStyle w:val="eop"/>
                <w:rFonts w:asciiTheme="majorBidi" w:eastAsiaTheme="majorEastAsia" w:hAnsiTheme="majorBidi" w:cstheme="majorBidi"/>
                <w:sz w:val="20"/>
                <w:szCs w:val="20"/>
              </w:rPr>
              <w:t> </w:t>
            </w: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7F96F630"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Descriptive</w:t>
            </w:r>
            <w:r w:rsidRPr="00A835F6">
              <w:rPr>
                <w:rStyle w:val="eop"/>
                <w:rFonts w:asciiTheme="majorBidi" w:eastAsiaTheme="majorEastAsia" w:hAnsiTheme="majorBidi" w:cstheme="majorBidi"/>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5D6F8F7D"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49" w:tgtFrame="_blank" w:history="1">
              <w:r w:rsidRPr="00A835F6">
                <w:rPr>
                  <w:rStyle w:val="normaltextrun"/>
                  <w:rFonts w:asciiTheme="majorBidi" w:eastAsiaTheme="majorEastAsia" w:hAnsiTheme="majorBidi" w:cstheme="majorBidi"/>
                  <w:color w:val="467886"/>
                  <w:sz w:val="20"/>
                  <w:szCs w:val="20"/>
                  <w:u w:val="single"/>
                  <w:lang w:val="en-GB"/>
                </w:rPr>
                <w:t>Framework for Ecosystem Restoration Monitoring (FERM)</w:t>
              </w:r>
            </w:hyperlink>
            <w:r w:rsidRPr="00A835F6">
              <w:rPr>
                <w:rStyle w:val="normaltextrun"/>
                <w:rFonts w:asciiTheme="majorBidi" w:eastAsiaTheme="majorEastAsia" w:hAnsiTheme="majorBidi" w:cstheme="majorBidi"/>
                <w:sz w:val="20"/>
                <w:szCs w:val="20"/>
                <w:lang w:val="en-GB"/>
              </w:rPr>
              <w:t xml:space="preserve">, </w:t>
            </w:r>
            <w:hyperlink r:id="rId350" w:tgtFrame="_blank" w:history="1">
              <w:r w:rsidRPr="00A835F6">
                <w:rPr>
                  <w:rStyle w:val="normaltextrun"/>
                  <w:rFonts w:asciiTheme="majorBidi" w:eastAsiaTheme="majorEastAsia" w:hAnsiTheme="majorBidi" w:cstheme="majorBidi"/>
                  <w:color w:val="467886"/>
                  <w:sz w:val="20"/>
                  <w:szCs w:val="20"/>
                  <w:u w:val="single"/>
                  <w:lang w:val="en-GB"/>
                </w:rPr>
                <w:t>The Economics of Ecosystem Restoration (TEER)</w:t>
              </w:r>
            </w:hyperlink>
            <w:r w:rsidRPr="00A835F6">
              <w:rPr>
                <w:rStyle w:val="normaltextrun"/>
                <w:rFonts w:asciiTheme="majorBidi" w:eastAsiaTheme="majorEastAsia" w:hAnsiTheme="majorBidi" w:cstheme="majorBidi"/>
                <w:sz w:val="20"/>
                <w:szCs w:val="20"/>
                <w:lang w:val="en-GB"/>
              </w:rPr>
              <w:t xml:space="preserve">, </w:t>
            </w:r>
            <w:hyperlink r:id="rId351" w:tgtFrame="_blank" w:history="1">
              <w:r w:rsidRPr="00A835F6">
                <w:rPr>
                  <w:rStyle w:val="normaltextrun"/>
                  <w:rFonts w:asciiTheme="majorBidi" w:eastAsiaTheme="majorEastAsia" w:hAnsiTheme="majorBidi" w:cstheme="majorBidi"/>
                  <w:color w:val="467886"/>
                  <w:sz w:val="20"/>
                  <w:szCs w:val="20"/>
                  <w:u w:val="single"/>
                  <w:lang w:val="en-GB"/>
                </w:rPr>
                <w:t>World Overview of Conservation Approaches and Technologies (WOCAT)</w:t>
              </w:r>
            </w:hyperlink>
            <w:r w:rsidRPr="00A835F6">
              <w:rPr>
                <w:rStyle w:val="normaltextrun"/>
                <w:rFonts w:asciiTheme="majorBidi" w:eastAsiaTheme="majorEastAsia" w:hAnsiTheme="majorBidi" w:cstheme="majorBidi"/>
                <w:sz w:val="20"/>
                <w:szCs w:val="20"/>
                <w:lang w:val="en-GB"/>
              </w:rPr>
              <w:t> </w:t>
            </w:r>
            <w:r w:rsidRPr="00A835F6">
              <w:rPr>
                <w:rStyle w:val="eop"/>
                <w:rFonts w:asciiTheme="majorBidi" w:eastAsiaTheme="majorEastAsia" w:hAnsiTheme="majorBidi" w:cstheme="majorBidi"/>
                <w:sz w:val="20"/>
                <w:szCs w:val="20"/>
              </w:rPr>
              <w:t> </w:t>
            </w:r>
          </w:p>
          <w:p w14:paraId="1BE09896"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 xml:space="preserve">See list of activities here: </w:t>
            </w:r>
            <w:hyperlink r:id="rId352" w:tgtFrame="_blank" w:history="1">
              <w:r w:rsidRPr="00A835F6">
                <w:rPr>
                  <w:rStyle w:val="normaltextrun"/>
                  <w:rFonts w:asciiTheme="majorBidi" w:eastAsiaTheme="majorEastAsia" w:hAnsiTheme="majorBidi" w:cstheme="majorBidi"/>
                  <w:color w:val="467886"/>
                  <w:sz w:val="20"/>
                  <w:szCs w:val="20"/>
                  <w:u w:val="single"/>
                  <w:lang w:val="en-GB"/>
                </w:rPr>
                <w:t>https://www.fao.org/fileadmin/user_upload/forest-landscape-restoration/Glossary_of_restoration_interventions__English_.pdf</w:t>
              </w:r>
            </w:hyperlink>
            <w:r w:rsidRPr="00A835F6">
              <w:rPr>
                <w:rStyle w:val="eop"/>
                <w:rFonts w:asciiTheme="majorBidi" w:eastAsiaTheme="majorEastAsia" w:hAnsiTheme="majorBidi" w:cstheme="majorBidi"/>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124A74BB"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eop"/>
                <w:rFonts w:asciiTheme="majorBidi" w:eastAsiaTheme="majorEastAsia" w:hAnsiTheme="majorBidi" w:cstheme="majorBidi"/>
                <w:sz w:val="20"/>
                <w:szCs w:val="20"/>
              </w:rPr>
              <w:t> </w:t>
            </w:r>
          </w:p>
        </w:tc>
      </w:tr>
      <w:tr w:rsidR="00756F0F" w:rsidRPr="00A835F6" w14:paraId="469224C0" w14:textId="77777777" w:rsidTr="005B0D1E">
        <w:trPr>
          <w:trHeight w:val="405"/>
        </w:trPr>
        <w:tc>
          <w:tcPr>
            <w:tcW w:w="10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BE310D" w14:textId="77777777" w:rsidR="00756F0F" w:rsidRPr="00A835F6" w:rsidRDefault="00756F0F" w:rsidP="00395866">
            <w:pPr>
              <w:rPr>
                <w:rFonts w:asciiTheme="majorBidi" w:hAnsiTheme="majorBidi" w:cstheme="majorBidi"/>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66CB165"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Lead entity</w:t>
            </w:r>
            <w:r w:rsidRPr="00A835F6">
              <w:rPr>
                <w:rStyle w:val="eop"/>
                <w:rFonts w:asciiTheme="majorBidi" w:eastAsiaTheme="majorEastAsia" w:hAnsiTheme="majorBidi" w:cstheme="majorBidi"/>
                <w:sz w:val="20"/>
                <w:szCs w:val="20"/>
              </w:rPr>
              <w:t> </w:t>
            </w: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12DE11DD"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Descriptive</w:t>
            </w:r>
            <w:r w:rsidRPr="00A835F6">
              <w:rPr>
                <w:rStyle w:val="eop"/>
                <w:rFonts w:asciiTheme="majorBidi" w:eastAsiaTheme="majorEastAsia" w:hAnsiTheme="majorBidi" w:cstheme="majorBidi"/>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6C5FF82A"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53" w:tgtFrame="_blank" w:history="1">
              <w:r w:rsidRPr="00A835F6">
                <w:rPr>
                  <w:rStyle w:val="normaltextrun"/>
                  <w:rFonts w:asciiTheme="majorBidi" w:eastAsiaTheme="majorEastAsia" w:hAnsiTheme="majorBidi" w:cstheme="majorBidi"/>
                  <w:color w:val="467886"/>
                  <w:sz w:val="20"/>
                  <w:szCs w:val="20"/>
                  <w:u w:val="single"/>
                  <w:lang w:val="en-GB"/>
                </w:rPr>
                <w:t>Framework for Ecosystem Restoration Monitoring (FERM)</w:t>
              </w:r>
            </w:hyperlink>
            <w:r w:rsidRPr="00A835F6">
              <w:rPr>
                <w:rStyle w:val="normaltextrun"/>
                <w:rFonts w:asciiTheme="majorBidi" w:eastAsiaTheme="majorEastAsia" w:hAnsiTheme="majorBidi" w:cstheme="majorBidi"/>
                <w:sz w:val="20"/>
                <w:szCs w:val="20"/>
                <w:lang w:val="en-GB"/>
              </w:rPr>
              <w:t> </w:t>
            </w:r>
            <w:r w:rsidRPr="00A835F6">
              <w:rPr>
                <w:rStyle w:val="eop"/>
                <w:rFonts w:asciiTheme="majorBidi" w:eastAsiaTheme="majorEastAsia" w:hAnsiTheme="majorBidi" w:cstheme="majorBidi"/>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38C05BE5"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eop"/>
                <w:rFonts w:asciiTheme="majorBidi" w:eastAsiaTheme="majorEastAsia" w:hAnsiTheme="majorBidi" w:cstheme="majorBidi"/>
                <w:sz w:val="20"/>
                <w:szCs w:val="20"/>
              </w:rPr>
              <w:t> </w:t>
            </w:r>
          </w:p>
        </w:tc>
      </w:tr>
      <w:tr w:rsidR="00756F0F" w:rsidRPr="00A835F6" w14:paraId="5DB065C0" w14:textId="77777777" w:rsidTr="005B0D1E">
        <w:trPr>
          <w:trHeight w:val="405"/>
        </w:trPr>
        <w:tc>
          <w:tcPr>
            <w:tcW w:w="100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98BB4E" w14:textId="77777777" w:rsidR="00756F0F" w:rsidRPr="00A835F6" w:rsidRDefault="00756F0F" w:rsidP="00395866">
            <w:pPr>
              <w:rPr>
                <w:rFonts w:asciiTheme="majorBidi" w:hAnsiTheme="majorBidi" w:cstheme="majorBidi"/>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1568C35"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Tenure status</w:t>
            </w:r>
            <w:r w:rsidRPr="00A835F6">
              <w:rPr>
                <w:rStyle w:val="eop"/>
                <w:rFonts w:asciiTheme="majorBidi" w:eastAsiaTheme="majorEastAsia" w:hAnsiTheme="majorBidi" w:cstheme="majorBidi"/>
                <w:sz w:val="20"/>
                <w:szCs w:val="20"/>
              </w:rPr>
              <w:t> </w:t>
            </w:r>
          </w:p>
        </w:tc>
        <w:tc>
          <w:tcPr>
            <w:tcW w:w="802" w:type="dxa"/>
            <w:tcBorders>
              <w:top w:val="single" w:sz="6" w:space="0" w:color="auto"/>
              <w:left w:val="single" w:sz="6" w:space="0" w:color="auto"/>
              <w:bottom w:val="single" w:sz="6" w:space="0" w:color="auto"/>
              <w:right w:val="single" w:sz="6" w:space="0" w:color="auto"/>
            </w:tcBorders>
            <w:shd w:val="clear" w:color="auto" w:fill="auto"/>
            <w:hideMark/>
          </w:tcPr>
          <w:p w14:paraId="004DA440"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normaltextrun"/>
                <w:rFonts w:asciiTheme="majorBidi" w:eastAsiaTheme="majorEastAsia" w:hAnsiTheme="majorBidi" w:cstheme="majorBidi"/>
                <w:sz w:val="20"/>
                <w:szCs w:val="20"/>
                <w:lang w:val="en-GB"/>
              </w:rPr>
              <w:t>Descriptive</w:t>
            </w:r>
            <w:r w:rsidRPr="00A835F6">
              <w:rPr>
                <w:rStyle w:val="eop"/>
                <w:rFonts w:asciiTheme="majorBidi" w:eastAsiaTheme="majorEastAsia" w:hAnsiTheme="majorBidi" w:cstheme="majorBidi"/>
                <w:sz w:val="20"/>
                <w:szCs w:val="20"/>
              </w:rPr>
              <w:t> </w:t>
            </w:r>
          </w:p>
        </w:tc>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3DA2DA4E"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hyperlink r:id="rId354" w:tgtFrame="_blank" w:history="1">
              <w:r w:rsidRPr="00A835F6">
                <w:rPr>
                  <w:rStyle w:val="normaltextrun"/>
                  <w:rFonts w:asciiTheme="majorBidi" w:eastAsiaTheme="majorEastAsia" w:hAnsiTheme="majorBidi" w:cstheme="majorBidi"/>
                  <w:color w:val="467886"/>
                  <w:sz w:val="20"/>
                  <w:szCs w:val="20"/>
                  <w:u w:val="single"/>
                  <w:lang w:val="en-GB"/>
                </w:rPr>
                <w:t>Framework for Ecosystem Restoration Monitoring (FERM)</w:t>
              </w:r>
            </w:hyperlink>
            <w:r w:rsidRPr="00A835F6">
              <w:rPr>
                <w:rStyle w:val="normaltextrun"/>
                <w:rFonts w:asciiTheme="majorBidi" w:eastAsiaTheme="majorEastAsia" w:hAnsiTheme="majorBidi" w:cstheme="majorBidi"/>
                <w:sz w:val="20"/>
                <w:szCs w:val="20"/>
                <w:lang w:val="en-GB"/>
              </w:rPr>
              <w:t> </w:t>
            </w:r>
            <w:r w:rsidRPr="00A835F6">
              <w:rPr>
                <w:rStyle w:val="eop"/>
                <w:rFonts w:asciiTheme="majorBidi" w:eastAsiaTheme="majorEastAsia" w:hAnsiTheme="majorBidi" w:cstheme="majorBidi"/>
                <w:sz w:val="20"/>
                <w:szCs w:val="20"/>
              </w:rPr>
              <w:t> </w:t>
            </w:r>
          </w:p>
        </w:tc>
        <w:tc>
          <w:tcPr>
            <w:tcW w:w="1188" w:type="dxa"/>
            <w:tcBorders>
              <w:top w:val="single" w:sz="6" w:space="0" w:color="auto"/>
              <w:left w:val="single" w:sz="6" w:space="0" w:color="auto"/>
              <w:bottom w:val="single" w:sz="6" w:space="0" w:color="auto"/>
              <w:right w:val="single" w:sz="6" w:space="0" w:color="auto"/>
            </w:tcBorders>
            <w:shd w:val="clear" w:color="auto" w:fill="auto"/>
            <w:hideMark/>
          </w:tcPr>
          <w:p w14:paraId="2B9DBEE0" w14:textId="77777777" w:rsidR="00756F0F" w:rsidRPr="00A835F6" w:rsidRDefault="00756F0F" w:rsidP="00395866">
            <w:pPr>
              <w:pStyle w:val="paragraph"/>
              <w:spacing w:before="0" w:beforeAutospacing="0" w:after="0" w:afterAutospacing="0"/>
              <w:textAlignment w:val="baseline"/>
              <w:rPr>
                <w:rFonts w:asciiTheme="majorBidi" w:hAnsiTheme="majorBidi" w:cstheme="majorBidi"/>
                <w:sz w:val="20"/>
                <w:szCs w:val="20"/>
              </w:rPr>
            </w:pPr>
            <w:r w:rsidRPr="00A835F6">
              <w:rPr>
                <w:rStyle w:val="eop"/>
                <w:rFonts w:asciiTheme="majorBidi" w:eastAsiaTheme="majorEastAsia" w:hAnsiTheme="majorBidi" w:cstheme="majorBidi"/>
                <w:sz w:val="20"/>
                <w:szCs w:val="20"/>
              </w:rPr>
              <w:t> </w:t>
            </w:r>
          </w:p>
        </w:tc>
      </w:tr>
    </w:tbl>
    <w:p w14:paraId="533C507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 Required field</w:t>
      </w:r>
      <w:r w:rsidRPr="00ED7E61">
        <w:rPr>
          <w:rStyle w:val="eop"/>
          <w:rFonts w:asciiTheme="majorBidi" w:eastAsiaTheme="majorEastAsia" w:hAnsiTheme="majorBidi" w:cstheme="majorBidi"/>
          <w:sz w:val="22"/>
          <w:szCs w:val="22"/>
        </w:rPr>
        <w:t> </w:t>
      </w:r>
    </w:p>
    <w:p w14:paraId="1255AB7C" w14:textId="77777777" w:rsidR="00781C70" w:rsidRPr="00ED7E61" w:rsidRDefault="00781C70" w:rsidP="00395866">
      <w:pPr>
        <w:pStyle w:val="paragraph"/>
        <w:pBdr>
          <w:bottom w:val="single" w:sz="4" w:space="1" w:color="000000"/>
        </w:pBdr>
        <w:spacing w:before="0" w:beforeAutospacing="0" w:after="0" w:afterAutospacing="0"/>
        <w:textAlignment w:val="baseline"/>
        <w:rPr>
          <w:rStyle w:val="normaltextrun"/>
          <w:rFonts w:asciiTheme="majorBidi" w:eastAsiaTheme="majorEastAsia" w:hAnsiTheme="majorBidi" w:cstheme="majorBidi"/>
          <w:b/>
          <w:bCs/>
          <w:sz w:val="22"/>
          <w:szCs w:val="22"/>
          <w:lang w:val="en-GB"/>
        </w:rPr>
      </w:pPr>
    </w:p>
    <w:p w14:paraId="4BE6C2C9" w14:textId="72CF35F3"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b/>
          <w:bCs/>
          <w:sz w:val="22"/>
          <w:szCs w:val="22"/>
        </w:rPr>
        <w:t> </w:t>
      </w:r>
    </w:p>
    <w:p w14:paraId="6ECB7AA6" w14:textId="77777777" w:rsidR="00756F0F"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indicator is currently in development. The methodology is expected to be finalized in 2024 by the Ad hoc Technical Expert Group and FAO. The methodology will be periodically reassessed and updated. The national reports will provide data on Target 2 in 2026 and 2029.</w:t>
      </w:r>
      <w:r w:rsidRPr="00ED7E61">
        <w:rPr>
          <w:rStyle w:val="normaltextrun"/>
        </w:rPr>
        <w:t> </w:t>
      </w:r>
    </w:p>
    <w:p w14:paraId="0F2D262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5g. Time series </w:t>
      </w:r>
      <w:r w:rsidRPr="00ED7E61">
        <w:rPr>
          <w:rStyle w:val="eop"/>
          <w:rFonts w:asciiTheme="majorBidi" w:eastAsiaTheme="majorEastAsia" w:hAnsiTheme="majorBidi" w:cstheme="majorBidi"/>
          <w:b/>
          <w:bCs/>
          <w:sz w:val="22"/>
          <w:szCs w:val="22"/>
        </w:rPr>
        <w:t> </w:t>
      </w:r>
    </w:p>
    <w:p w14:paraId="521D2C63" w14:textId="77777777" w:rsidR="00756F0F"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Expected availability: 2021-2030</w:t>
      </w:r>
      <w:r w:rsidRPr="00ED7E61">
        <w:rPr>
          <w:rStyle w:val="normaltextrun"/>
        </w:rPr>
        <w:t> </w:t>
      </w:r>
    </w:p>
    <w:p w14:paraId="443CAEBA" w14:textId="77777777"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First update: Seventh National Report (NR7) in 2026</w:t>
      </w:r>
      <w:r w:rsidRPr="00ED7E61">
        <w:rPr>
          <w:rStyle w:val="eop"/>
          <w:rFonts w:asciiTheme="majorBidi" w:eastAsiaTheme="majorEastAsia" w:hAnsiTheme="majorBidi" w:cstheme="majorBidi"/>
        </w:rPr>
        <w:t> </w:t>
      </w:r>
    </w:p>
    <w:p w14:paraId="6707EA7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b/>
          <w:bCs/>
          <w:sz w:val="22"/>
          <w:szCs w:val="22"/>
        </w:rPr>
        <w:t> </w:t>
      </w:r>
    </w:p>
    <w:p w14:paraId="35BAA95A" w14:textId="098B3288" w:rsidR="00756F0F"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data are sourced from in-country agencies, thus leveraging in-country resources and ongoing programs. Other data may be obtained from conservation organizations, scientific societies, national and public repositories (e.g. example data sources in Table 1), citizen scientists, and the contributions of Indigenous Peoples, local communities, and traditional knowledge holders.</w:t>
      </w:r>
      <w:r w:rsidRPr="00ED7E61">
        <w:rPr>
          <w:rStyle w:val="normaltextrun"/>
        </w:rPr>
        <w:t> </w:t>
      </w:r>
    </w:p>
    <w:p w14:paraId="54FFBE8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5i. Data compilers </w:t>
      </w:r>
      <w:r w:rsidRPr="00ED7E61">
        <w:rPr>
          <w:rStyle w:val="eop"/>
          <w:rFonts w:asciiTheme="majorBidi" w:eastAsiaTheme="majorEastAsia" w:hAnsiTheme="majorBidi" w:cstheme="majorBidi"/>
          <w:b/>
          <w:bCs/>
          <w:sz w:val="22"/>
          <w:szCs w:val="22"/>
        </w:rPr>
        <w:t> </w:t>
      </w:r>
    </w:p>
    <w:p w14:paraId="723D4344" w14:textId="77777777" w:rsidR="00756F0F"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Food and Agriculture Organization of the United Nations (FAO) is responsible for maintenance of the methodology and tools for use. The compilation of data and reporting is performed by in-country agencies.</w:t>
      </w:r>
      <w:r w:rsidRPr="00ED7E61">
        <w:rPr>
          <w:rStyle w:val="normaltextrun"/>
        </w:rPr>
        <w:t> </w:t>
      </w:r>
    </w:p>
    <w:p w14:paraId="334A7C1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b/>
          <w:bCs/>
          <w:sz w:val="22"/>
          <w:szCs w:val="22"/>
        </w:rPr>
        <w:t> </w:t>
      </w:r>
    </w:p>
    <w:p w14:paraId="4B867576" w14:textId="77777777" w:rsidR="00756F0F"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data compiling will take place in a step-wise approach and aim for completeness in terms of coverage by ecosystem and by country.</w:t>
      </w:r>
      <w:r w:rsidRPr="00ED7E61">
        <w:rPr>
          <w:rStyle w:val="normaltextrun"/>
        </w:rPr>
        <w:t> </w:t>
      </w:r>
    </w:p>
    <w:p w14:paraId="00550F2E" w14:textId="77777777" w:rsidR="00756F0F" w:rsidRPr="00ED7E61" w:rsidRDefault="00756F0F" w:rsidP="00B10F0C">
      <w:pPr>
        <w:pStyle w:val="CBDNormalNumber"/>
        <w:numPr>
          <w:ilvl w:val="0"/>
          <w:numId w:val="72"/>
        </w:numPr>
        <w:ind w:left="567" w:firstLine="0"/>
        <w:rPr>
          <w:rStyle w:val="normaltextrun"/>
          <w:rFonts w:eastAsiaTheme="majorEastAsia"/>
        </w:rPr>
      </w:pPr>
      <w:r w:rsidRPr="00ED7E61">
        <w:rPr>
          <w:rStyle w:val="normaltextrun"/>
          <w:rFonts w:asciiTheme="majorBidi" w:eastAsiaTheme="majorEastAsia" w:hAnsiTheme="majorBidi" w:cstheme="majorBidi"/>
        </w:rPr>
        <w:t>For country-level tabular data on area under restoration, disaggregation by ecosystems may or may not be available depending on the data sources.</w:t>
      </w:r>
      <w:r w:rsidRPr="00ED7E61">
        <w:rPr>
          <w:rStyle w:val="normaltextrun"/>
        </w:rPr>
        <w:t> </w:t>
      </w:r>
    </w:p>
    <w:p w14:paraId="5A340CF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5k. Treatment of missing values</w:t>
      </w:r>
      <w:r w:rsidRPr="00ED7E61">
        <w:rPr>
          <w:rStyle w:val="eop"/>
          <w:rFonts w:asciiTheme="majorBidi" w:eastAsiaTheme="majorEastAsia" w:hAnsiTheme="majorBidi" w:cstheme="majorBidi"/>
          <w:b/>
          <w:bCs/>
          <w:sz w:val="22"/>
          <w:szCs w:val="22"/>
        </w:rPr>
        <w:t> </w:t>
      </w:r>
    </w:p>
    <w:p w14:paraId="19E2FF02" w14:textId="77777777" w:rsidR="00756F0F"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FAO will be compiling data from existing processes and platforms. Each custodian agency and platform has its own methodology of treating missing values. Therefore, no further estimates will be made by FAO. Missing values will not be imputed or otherwise estimated. </w:t>
      </w:r>
      <w:r w:rsidRPr="00ED7E61">
        <w:rPr>
          <w:rStyle w:val="normaltextrun"/>
        </w:rPr>
        <w:t> </w:t>
      </w:r>
    </w:p>
    <w:p w14:paraId="345DC15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 Scale </w:t>
      </w:r>
      <w:r w:rsidRPr="00ED7E61">
        <w:rPr>
          <w:rStyle w:val="eop"/>
          <w:rFonts w:asciiTheme="majorBidi" w:eastAsiaTheme="majorEastAsia" w:hAnsiTheme="majorBidi" w:cstheme="majorBidi"/>
          <w:b/>
          <w:bCs/>
          <w:sz w:val="22"/>
          <w:szCs w:val="22"/>
        </w:rPr>
        <w:t> </w:t>
      </w:r>
    </w:p>
    <w:p w14:paraId="0BCE5F9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6a. Scale of use </w:t>
      </w:r>
      <w:r w:rsidRPr="00ED7E61">
        <w:rPr>
          <w:rStyle w:val="eop"/>
          <w:rFonts w:asciiTheme="majorBidi" w:eastAsiaTheme="majorEastAsia" w:hAnsiTheme="majorBidi" w:cstheme="majorBidi"/>
          <w:b/>
          <w:bCs/>
          <w:sz w:val="22"/>
          <w:szCs w:val="22"/>
        </w:rPr>
        <w:t> </w:t>
      </w:r>
    </w:p>
    <w:p w14:paraId="07355CC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Scale of application (please check all relevant boxes):</w:t>
      </w:r>
      <w:r w:rsidRPr="00ED7E61">
        <w:rPr>
          <w:rStyle w:val="normaltextrun"/>
          <w:rFonts w:asciiTheme="majorBidi" w:eastAsiaTheme="majorEastAsia" w:hAnsiTheme="majorBidi" w:cstheme="majorBidi"/>
          <w:i/>
          <w:iCs/>
          <w:sz w:val="22"/>
          <w:szCs w:val="22"/>
          <w:lang w:val="en-GB"/>
        </w:rPr>
        <w:t> </w:t>
      </w:r>
      <w:r w:rsidRPr="00ED7E61">
        <w:rPr>
          <w:rStyle w:val="eop"/>
          <w:rFonts w:asciiTheme="majorBidi" w:eastAsiaTheme="majorEastAsia" w:hAnsiTheme="majorBidi" w:cstheme="majorBidi"/>
          <w:sz w:val="22"/>
          <w:szCs w:val="22"/>
        </w:rPr>
        <w:t> </w:t>
      </w:r>
    </w:p>
    <w:p w14:paraId="2533FD2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Global: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 xml:space="preserve">Regional: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National</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5682AA7C" w14:textId="77777777" w:rsidR="00756F0F"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Scale of data disaggregation/aggregation: </w:t>
      </w:r>
      <w:r w:rsidRPr="00ED7E61">
        <w:rPr>
          <w:rStyle w:val="normaltextrun"/>
        </w:rPr>
        <w:t> </w:t>
      </w:r>
    </w:p>
    <w:p w14:paraId="6DD34C88" w14:textId="77777777" w:rsidR="00756F0F"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color w:val="000000"/>
          <w:lang w:val="en-US"/>
        </w:rPr>
      </w:pPr>
      <w:r w:rsidRPr="00ED7E61">
        <w:rPr>
          <w:color w:val="000000"/>
          <w:lang w:val="en-US"/>
        </w:rPr>
        <w:t>Global/ regional scale indicator can be disaggregated to national level: ​☐​ </w:t>
      </w:r>
    </w:p>
    <w:p w14:paraId="5E2BF66A" w14:textId="77777777" w:rsidR="00756F0F" w:rsidRPr="00ED7E61" w:rsidRDefault="00756F0F" w:rsidP="00B10F0C">
      <w:pPr>
        <w:pStyle w:val="CBDNormalNumber"/>
        <w:numPr>
          <w:ilvl w:val="1"/>
          <w:numId w:val="72"/>
        </w:numPr>
        <w:tabs>
          <w:tab w:val="clear" w:pos="567"/>
          <w:tab w:val="clear" w:pos="1134"/>
          <w:tab w:val="clear" w:pos="1701"/>
          <w:tab w:val="clear" w:pos="2268"/>
          <w:tab w:val="left" w:pos="1985"/>
        </w:tabs>
        <w:ind w:left="1276" w:firstLine="56"/>
        <w:rPr>
          <w:color w:val="000000"/>
          <w:lang w:val="en-US"/>
        </w:rPr>
      </w:pPr>
      <w:r w:rsidRPr="00ED7E61">
        <w:rPr>
          <w:color w:val="000000"/>
          <w:lang w:val="en-US"/>
        </w:rPr>
        <w:t>National data is collated to form global indicator: ​☒​ </w:t>
      </w:r>
    </w:p>
    <w:p w14:paraId="579927D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6b. National/regional indicator production </w:t>
      </w:r>
      <w:r w:rsidRPr="00ED7E61">
        <w:rPr>
          <w:rStyle w:val="eop"/>
          <w:rFonts w:asciiTheme="majorBidi" w:eastAsiaTheme="majorEastAsia" w:hAnsiTheme="majorBidi" w:cstheme="majorBidi"/>
          <w:b/>
          <w:bCs/>
          <w:sz w:val="22"/>
          <w:szCs w:val="22"/>
        </w:rPr>
        <w:t> </w:t>
      </w:r>
    </w:p>
    <w:p w14:paraId="299A02BA" w14:textId="77777777" w:rsidR="00756F0F"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scale of indicator 2.2 is national and can be aggregated globally. </w:t>
      </w:r>
      <w:r w:rsidRPr="00ED7E61">
        <w:rPr>
          <w:rStyle w:val="normaltextrun"/>
        </w:rPr>
        <w:t> </w:t>
      </w:r>
    </w:p>
    <w:p w14:paraId="1467661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6c. Sources of differences between global and national figures</w:t>
      </w:r>
      <w:r w:rsidRPr="00ED7E61">
        <w:rPr>
          <w:rStyle w:val="eop"/>
          <w:rFonts w:asciiTheme="majorBidi" w:eastAsiaTheme="majorEastAsia" w:hAnsiTheme="majorBidi" w:cstheme="majorBidi"/>
          <w:b/>
          <w:bCs/>
          <w:sz w:val="22"/>
          <w:szCs w:val="22"/>
        </w:rPr>
        <w:t> </w:t>
      </w:r>
    </w:p>
    <w:p w14:paraId="5DC3ABD6" w14:textId="77777777" w:rsidR="00756F0F" w:rsidRPr="00ED7E61" w:rsidRDefault="00756F0F" w:rsidP="00522790">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36A40EC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6d. Regional and global estimates &amp; data collection for global monitoring</w:t>
      </w:r>
      <w:r w:rsidRPr="00ED7E61">
        <w:rPr>
          <w:rStyle w:val="eop"/>
          <w:rFonts w:asciiTheme="majorBidi" w:eastAsiaTheme="majorEastAsia" w:hAnsiTheme="majorBidi" w:cstheme="majorBidi"/>
          <w:b/>
          <w:bCs/>
          <w:sz w:val="22"/>
          <w:szCs w:val="22"/>
        </w:rPr>
        <w:t> </w:t>
      </w:r>
    </w:p>
    <w:p w14:paraId="4ED7C08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6d.1 Description of the methodology</w:t>
      </w:r>
      <w:r w:rsidRPr="00ED7E61">
        <w:rPr>
          <w:rStyle w:val="eop"/>
          <w:rFonts w:asciiTheme="majorBidi" w:eastAsiaTheme="majorEastAsia" w:hAnsiTheme="majorBidi" w:cstheme="majorBidi"/>
          <w:sz w:val="22"/>
          <w:szCs w:val="22"/>
        </w:rPr>
        <w:t> </w:t>
      </w:r>
    </w:p>
    <w:p w14:paraId="460306BD" w14:textId="77777777" w:rsidR="00756F0F" w:rsidRPr="00ED7E61" w:rsidRDefault="00756F0F" w:rsidP="00522790">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44D20202" w14:textId="327B4B6A" w:rsidR="00756F0F" w:rsidRPr="00ED7E61" w:rsidRDefault="00756F0F" w:rsidP="00781C70">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i/>
          <w:iCs/>
          <w:sz w:val="22"/>
          <w:szCs w:val="22"/>
          <w:lang w:val="en-GB"/>
        </w:rPr>
        <w:t>6d.2 Additional methodological details</w:t>
      </w:r>
      <w:r w:rsidRPr="00ED7E61">
        <w:rPr>
          <w:rStyle w:val="eop"/>
          <w:rFonts w:asciiTheme="majorBidi" w:eastAsiaTheme="majorEastAsia" w:hAnsiTheme="majorBidi" w:cstheme="majorBidi"/>
          <w:sz w:val="22"/>
          <w:szCs w:val="22"/>
        </w:rPr>
        <w:t> </w:t>
      </w:r>
    </w:p>
    <w:p w14:paraId="47A3CFC8" w14:textId="77777777" w:rsidR="00756F0F" w:rsidRPr="00ED7E61" w:rsidRDefault="00756F0F" w:rsidP="00522790">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N/A</w:t>
      </w:r>
      <w:r w:rsidRPr="00ED7E61">
        <w:rPr>
          <w:rStyle w:val="normaltextrun"/>
        </w:rPr>
        <w:t> </w:t>
      </w:r>
    </w:p>
    <w:p w14:paraId="7267095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6d.3 Description of the mechanism for collecting data from countries</w:t>
      </w:r>
      <w:r w:rsidRPr="00ED7E61">
        <w:rPr>
          <w:rStyle w:val="eop"/>
          <w:rFonts w:asciiTheme="majorBidi" w:eastAsiaTheme="majorEastAsia" w:hAnsiTheme="majorBidi" w:cstheme="majorBidi"/>
          <w:sz w:val="22"/>
          <w:szCs w:val="22"/>
        </w:rPr>
        <w:t> </w:t>
      </w:r>
    </w:p>
    <w:p w14:paraId="75DD4436" w14:textId="77777777"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The mechanism for collecting data from countries is currently under development. </w:t>
      </w:r>
      <w:r w:rsidRPr="00ED7E61">
        <w:rPr>
          <w:rStyle w:val="eop"/>
          <w:rFonts w:asciiTheme="majorBidi" w:eastAsiaTheme="majorEastAsia" w:hAnsiTheme="majorBidi" w:cstheme="majorBidi"/>
        </w:rPr>
        <w:t> </w:t>
      </w:r>
    </w:p>
    <w:p w14:paraId="448EB916" w14:textId="1E5FF6B9"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 Other MEAs, processes and organi</w:t>
      </w:r>
      <w:r w:rsidR="00522790">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ations</w:t>
      </w:r>
      <w:r w:rsidRPr="00ED7E61">
        <w:rPr>
          <w:rStyle w:val="eop"/>
          <w:rFonts w:asciiTheme="majorBidi" w:eastAsiaTheme="majorEastAsia" w:hAnsiTheme="majorBidi" w:cstheme="majorBidi"/>
          <w:b/>
          <w:bCs/>
          <w:sz w:val="22"/>
          <w:szCs w:val="22"/>
        </w:rPr>
        <w:t> </w:t>
      </w:r>
    </w:p>
    <w:p w14:paraId="325F695E" w14:textId="77777777" w:rsidR="00756F0F" w:rsidRPr="00ED7E61" w:rsidRDefault="00756F0F" w:rsidP="00522790">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b/>
          <w:bCs/>
          <w:sz w:val="22"/>
          <w:szCs w:val="22"/>
        </w:rPr>
        <w:t> </w:t>
      </w:r>
    </w:p>
    <w:p w14:paraId="115A15F7" w14:textId="77777777" w:rsidR="00756F0F" w:rsidRPr="00ED7E61" w:rsidRDefault="00756F0F" w:rsidP="00B10F0C">
      <w:pPr>
        <w:pStyle w:val="CBDNormalNumber"/>
        <w:numPr>
          <w:ilvl w:val="0"/>
          <w:numId w:val="72"/>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indicator itself is not used in other MEAs or processes. However, data are compiled from existing MEAs and processes. For details please refer to Table 1.</w:t>
      </w:r>
      <w:r w:rsidRPr="00ED7E61">
        <w:rPr>
          <w:rStyle w:val="normaltextrun"/>
        </w:rPr>
        <w:t> </w:t>
      </w:r>
    </w:p>
    <w:p w14:paraId="48095DE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7b. Biodiversity Indicator Partnership</w:t>
      </w:r>
      <w:r w:rsidRPr="00ED7E61">
        <w:rPr>
          <w:rStyle w:val="eop"/>
          <w:rFonts w:asciiTheme="majorBidi" w:eastAsiaTheme="majorEastAsia" w:hAnsiTheme="majorBidi" w:cstheme="majorBidi"/>
          <w:b/>
          <w:bCs/>
          <w:sz w:val="22"/>
          <w:szCs w:val="22"/>
        </w:rPr>
        <w:t> </w:t>
      </w:r>
    </w:p>
    <w:p w14:paraId="2A643119" w14:textId="77777777" w:rsidR="00756F0F" w:rsidRPr="00ED7E61" w:rsidRDefault="00756F0F" w:rsidP="00522790">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No: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60BC5F2D" w14:textId="0E4E2549" w:rsidR="00756F0F" w:rsidRPr="00ED7E61" w:rsidRDefault="00756F0F" w:rsidP="00522790">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 xml:space="preserve">8. </w:t>
      </w:r>
      <w:r w:rsidR="00047A98" w:rsidRPr="00ED7E61">
        <w:rPr>
          <w:rStyle w:val="normaltextrun"/>
          <w:rFonts w:asciiTheme="majorBidi" w:eastAsiaTheme="majorEastAsia" w:hAnsiTheme="majorBidi" w:cstheme="majorBidi"/>
          <w:b/>
          <w:bCs/>
          <w:sz w:val="22"/>
          <w:szCs w:val="22"/>
          <w:lang w:val="en-GB"/>
        </w:rPr>
        <w:t xml:space="preserve">Possible </w:t>
      </w:r>
      <w:r w:rsidRPr="00ED7E61">
        <w:rPr>
          <w:rStyle w:val="normaltextrun"/>
          <w:rFonts w:asciiTheme="majorBidi" w:eastAsiaTheme="majorEastAsia" w:hAnsiTheme="majorBidi" w:cstheme="majorBidi"/>
          <w:b/>
          <w:bCs/>
          <w:sz w:val="22"/>
          <w:szCs w:val="22"/>
          <w:lang w:val="en-GB"/>
        </w:rPr>
        <w:t>Disaggregation</w:t>
      </w:r>
      <w:r w:rsidR="00047A98" w:rsidRPr="00ED7E61">
        <w:rPr>
          <w:rStyle w:val="normaltextrun"/>
          <w:rFonts w:asciiTheme="majorBidi" w:eastAsiaTheme="majorEastAsia" w:hAnsiTheme="majorBidi" w:cstheme="majorBidi"/>
          <w:b/>
          <w:bCs/>
          <w:sz w:val="22"/>
          <w:szCs w:val="22"/>
          <w:lang w:val="en-GB"/>
        </w:rPr>
        <w:t>s</w:t>
      </w:r>
      <w:r w:rsidRPr="00ED7E61">
        <w:rPr>
          <w:rStyle w:val="eop"/>
          <w:rFonts w:asciiTheme="majorBidi" w:eastAsiaTheme="majorEastAsia" w:hAnsiTheme="majorBidi" w:cstheme="majorBidi"/>
          <w:b/>
          <w:bCs/>
          <w:sz w:val="22"/>
          <w:szCs w:val="22"/>
        </w:rPr>
        <w:t> </w:t>
      </w:r>
    </w:p>
    <w:p w14:paraId="2861209D" w14:textId="47E485D7" w:rsidR="00781C70" w:rsidRPr="00ED7E61" w:rsidRDefault="00756F0F" w:rsidP="00B10F0C">
      <w:pPr>
        <w:pStyle w:val="CBDNormalNumber"/>
        <w:numPr>
          <w:ilvl w:val="0"/>
          <w:numId w:val="72"/>
        </w:numPr>
        <w:ind w:left="567" w:firstLine="0"/>
        <w:rPr>
          <w:rFonts w:asciiTheme="majorBidi" w:hAnsiTheme="majorBidi" w:cstheme="majorBidi"/>
          <w:color w:val="0F4761"/>
        </w:rPr>
      </w:pPr>
      <w:r w:rsidRPr="00ED7E61">
        <w:rPr>
          <w:rStyle w:val="normaltextrun"/>
          <w:rFonts w:asciiTheme="majorBidi" w:eastAsiaTheme="majorEastAsia" w:hAnsiTheme="majorBidi" w:cstheme="majorBidi"/>
          <w:color w:val="000000"/>
        </w:rPr>
        <w:t xml:space="preserve">The indicator can be disaggregated by Ecosystem Functional Groups from the IUCN Global Ecosystem Typology, where data </w:t>
      </w:r>
      <w:r w:rsidRPr="00ED7E61">
        <w:rPr>
          <w:rStyle w:val="normaltextrun"/>
          <w:rFonts w:asciiTheme="majorBidi" w:eastAsiaTheme="majorEastAsia" w:hAnsiTheme="majorBidi" w:cstheme="majorBidi"/>
        </w:rPr>
        <w:t>are</w:t>
      </w:r>
      <w:r w:rsidRPr="00ED7E61">
        <w:rPr>
          <w:rStyle w:val="normaltextrun"/>
          <w:rFonts w:asciiTheme="majorBidi" w:eastAsiaTheme="majorEastAsia" w:hAnsiTheme="majorBidi" w:cstheme="majorBidi"/>
          <w:color w:val="000000"/>
        </w:rPr>
        <w:t xml:space="preserve"> available. </w:t>
      </w:r>
      <w:r w:rsidRPr="00ED7E61">
        <w:rPr>
          <w:rStyle w:val="eop"/>
          <w:rFonts w:asciiTheme="majorBidi" w:eastAsiaTheme="majorEastAsia" w:hAnsiTheme="majorBidi" w:cstheme="majorBidi"/>
          <w:color w:val="000000"/>
        </w:rPr>
        <w:t> </w:t>
      </w:r>
    </w:p>
    <w:p w14:paraId="62ED7304" w14:textId="399FF150" w:rsidR="00781C70" w:rsidRPr="00ED7E61" w:rsidRDefault="00756F0F" w:rsidP="00B10F0C">
      <w:pPr>
        <w:pStyle w:val="CBDNormalNumber"/>
        <w:numPr>
          <w:ilvl w:val="0"/>
          <w:numId w:val="72"/>
        </w:numPr>
        <w:ind w:left="567" w:firstLine="0"/>
        <w:rPr>
          <w:rFonts w:asciiTheme="majorBidi" w:hAnsiTheme="majorBidi" w:cstheme="majorBidi"/>
          <w:color w:val="0F4761"/>
        </w:rPr>
      </w:pPr>
      <w:r w:rsidRPr="00ED7E61">
        <w:rPr>
          <w:rStyle w:val="normaltextrun"/>
          <w:rFonts w:asciiTheme="majorBidi" w:eastAsiaTheme="majorEastAsia" w:hAnsiTheme="majorBidi" w:cstheme="majorBidi"/>
          <w:color w:val="000000"/>
        </w:rPr>
        <w:t>Further disaggregations include by type of restoration, and tenure, in particular on Indigenous Territories, or PAs/OECMs.</w:t>
      </w:r>
      <w:r w:rsidRPr="00ED7E61">
        <w:rPr>
          <w:rStyle w:val="eop"/>
          <w:rFonts w:asciiTheme="majorBidi" w:eastAsiaTheme="majorEastAsia" w:hAnsiTheme="majorBidi" w:cstheme="majorBidi"/>
          <w:color w:val="000000"/>
        </w:rPr>
        <w:t> </w:t>
      </w:r>
    </w:p>
    <w:p w14:paraId="522B66F6" w14:textId="77777777" w:rsidR="00756F0F" w:rsidRPr="00ED7E61" w:rsidRDefault="00756F0F" w:rsidP="00B10F0C">
      <w:pPr>
        <w:pStyle w:val="CBDNormalNumber"/>
        <w:numPr>
          <w:ilvl w:val="0"/>
          <w:numId w:val="72"/>
        </w:numPr>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Disaggregation by restoration activity can also support reporting on target 6 (invasive species) and target 7 (pollution) – see list of restoration actions here: </w:t>
      </w:r>
      <w:hyperlink r:id="rId355" w:tgtFrame="_blank" w:history="1">
        <w:r w:rsidRPr="00ED7E61">
          <w:rPr>
            <w:rStyle w:val="normaltextrun"/>
            <w:rFonts w:asciiTheme="majorBidi" w:eastAsiaTheme="majorEastAsia" w:hAnsiTheme="majorBidi" w:cstheme="majorBidi"/>
            <w:color w:val="467886"/>
            <w:u w:val="single"/>
          </w:rPr>
          <w:t>https://www.fao.org/fileadmin/user_upload/forest-landscape-restoration/Glossary_of_restoration_interventions__English_.pdf</w:t>
        </w:r>
      </w:hyperlink>
      <w:r w:rsidRPr="00ED7E61">
        <w:rPr>
          <w:rStyle w:val="eop"/>
          <w:rFonts w:asciiTheme="majorBidi" w:eastAsiaTheme="majorEastAsia" w:hAnsiTheme="majorBidi" w:cstheme="majorBidi"/>
        </w:rPr>
        <w:t> </w:t>
      </w:r>
    </w:p>
    <w:p w14:paraId="6619C12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b/>
          <w:bCs/>
          <w:sz w:val="22"/>
          <w:szCs w:val="22"/>
        </w:rPr>
        <w:t> </w:t>
      </w:r>
    </w:p>
    <w:p w14:paraId="05141AEA" w14:textId="77777777" w:rsidR="00756F0F" w:rsidRPr="00ED7E61" w:rsidRDefault="00756F0F" w:rsidP="00B10F0C">
      <w:pPr>
        <w:pStyle w:val="CBDNormalNumber"/>
        <w:numPr>
          <w:ilvl w:val="0"/>
          <w:numId w:val="72"/>
        </w:numPr>
        <w:ind w:left="567" w:firstLine="0"/>
        <w:rPr>
          <w:rStyle w:val="normaltextrun"/>
          <w:rFonts w:eastAsiaTheme="majorEastAsia"/>
          <w:color w:val="000000"/>
          <w:sz w:val="24"/>
          <w:szCs w:val="24"/>
          <w:lang w:val="en-CA"/>
        </w:rPr>
      </w:pPr>
      <w:r w:rsidRPr="00ED7E61">
        <w:rPr>
          <w:rStyle w:val="normaltextrun"/>
          <w:rFonts w:asciiTheme="majorBidi" w:eastAsiaTheme="majorEastAsia" w:hAnsiTheme="majorBidi" w:cstheme="majorBidi"/>
          <w:color w:val="000000"/>
        </w:rPr>
        <w:t>Target 2 is related to various goals and targets, including Goal A (ecological restoration and restoring converted ecosystems), Goal B (Restoration of ecosystem functions and services), Target 1 (spatial planning) and Target 3 (implementing protected areas). </w:t>
      </w:r>
      <w:r w:rsidRPr="00ED7E61">
        <w:rPr>
          <w:rStyle w:val="normaltextrun"/>
          <w:color w:val="000000"/>
        </w:rPr>
        <w:t> </w:t>
      </w:r>
    </w:p>
    <w:p w14:paraId="6F592E6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b/>
          <w:bCs/>
          <w:sz w:val="22"/>
          <w:szCs w:val="22"/>
        </w:rPr>
        <w:t> </w:t>
      </w:r>
    </w:p>
    <w:p w14:paraId="4B5592B0" w14:textId="0AE77148" w:rsidR="00756F0F" w:rsidRPr="00ED7E61" w:rsidRDefault="00756F0F" w:rsidP="00522790">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10a. Organi</w:t>
      </w:r>
      <w:r w:rsidR="00522790">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b/>
          <w:bCs/>
          <w:sz w:val="22"/>
          <w:szCs w:val="22"/>
        </w:rPr>
        <w:t> </w:t>
      </w:r>
    </w:p>
    <w:p w14:paraId="2CE93431" w14:textId="77777777" w:rsidR="00756F0F" w:rsidRPr="00ED7E61" w:rsidRDefault="00756F0F" w:rsidP="00522790">
      <w:pPr>
        <w:pStyle w:val="CBDNormalNumber"/>
        <w:numPr>
          <w:ilvl w:val="0"/>
          <w:numId w:val="0"/>
        </w:numPr>
        <w:ind w:left="567"/>
        <w:rPr>
          <w:rStyle w:val="normaltextrun"/>
          <w:rFonts w:eastAsiaTheme="majorEastAsia"/>
          <w:color w:val="000000"/>
          <w:sz w:val="24"/>
          <w:szCs w:val="24"/>
          <w:lang w:val="en-CA"/>
        </w:rPr>
      </w:pPr>
      <w:r w:rsidRPr="00ED7E61">
        <w:rPr>
          <w:rStyle w:val="normaltextrun"/>
          <w:rFonts w:asciiTheme="majorBidi" w:eastAsiaTheme="majorEastAsia" w:hAnsiTheme="majorBidi" w:cstheme="majorBidi"/>
          <w:color w:val="000000"/>
        </w:rPr>
        <w:t>Food and Agriculture Organization (FAO)</w:t>
      </w:r>
      <w:r w:rsidRPr="00ED7E61">
        <w:rPr>
          <w:rStyle w:val="normaltextrun"/>
          <w:color w:val="000000"/>
        </w:rPr>
        <w:t> </w:t>
      </w:r>
    </w:p>
    <w:p w14:paraId="098415D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b/>
          <w:bCs/>
          <w:sz w:val="22"/>
          <w:szCs w:val="22"/>
        </w:rPr>
        <w:t> </w:t>
      </w:r>
    </w:p>
    <w:p w14:paraId="2B47A5DD" w14:textId="77777777" w:rsidR="00756F0F"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color w:val="000000"/>
        </w:rPr>
        <w:t>Julian</w:t>
      </w:r>
      <w:r w:rsidRPr="00ED7E61">
        <w:rPr>
          <w:rStyle w:val="normaltextrun"/>
          <w:rFonts w:asciiTheme="majorBidi" w:eastAsiaTheme="majorEastAsia" w:hAnsiTheme="majorBidi" w:cstheme="majorBidi"/>
        </w:rPr>
        <w:t xml:space="preserve"> Fox (</w:t>
      </w:r>
      <w:hyperlink r:id="rId356" w:tgtFrame="_blank" w:history="1">
        <w:r w:rsidRPr="00ED7E61">
          <w:rPr>
            <w:rStyle w:val="normaltextrun"/>
            <w:rFonts w:asciiTheme="majorBidi" w:eastAsiaTheme="majorEastAsia" w:hAnsiTheme="majorBidi" w:cstheme="majorBidi"/>
            <w:color w:val="467886"/>
            <w:u w:val="single"/>
          </w:rPr>
          <w:t>Julian.Fox@fao.org</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76B2DC4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11. References</w:t>
      </w:r>
      <w:r w:rsidRPr="00ED7E61">
        <w:rPr>
          <w:rStyle w:val="eop"/>
          <w:rFonts w:asciiTheme="majorBidi" w:eastAsiaTheme="majorEastAsia" w:hAnsiTheme="majorBidi" w:cstheme="majorBidi"/>
          <w:b/>
          <w:bCs/>
          <w:sz w:val="22"/>
          <w:szCs w:val="22"/>
        </w:rPr>
        <w:t> </w:t>
      </w:r>
    </w:p>
    <w:p w14:paraId="5E8607A7" w14:textId="2DA10F4C" w:rsidR="00781C70" w:rsidRPr="00ED7E61" w:rsidRDefault="00756F0F" w:rsidP="00522790">
      <w:pPr>
        <w:pStyle w:val="CBDNormalNumber"/>
        <w:numPr>
          <w:ilvl w:val="0"/>
          <w:numId w:val="0"/>
        </w:numPr>
        <w:ind w:left="567"/>
        <w:rPr>
          <w:rStyle w:val="normaltextrun"/>
          <w:rFonts w:eastAsiaTheme="majorEastAsia"/>
          <w:color w:val="000000"/>
          <w:sz w:val="24"/>
          <w:szCs w:val="24"/>
          <w:lang w:val="en-CA"/>
        </w:rPr>
      </w:pPr>
      <w:r w:rsidRPr="00ED7E61">
        <w:rPr>
          <w:rStyle w:val="normaltextrun"/>
          <w:rFonts w:asciiTheme="majorBidi" w:eastAsiaTheme="majorEastAsia" w:hAnsiTheme="majorBidi" w:cstheme="majorBidi"/>
          <w:color w:val="000000"/>
        </w:rPr>
        <w:t>CBD Secretariat and SER. (2019). A companion to the Short-Term Action Plan on Ecosystem Restoration - Resources, cases studies, and biodiversity considerations in the context of restoration science and practice. Montreal, Canada.CMS. (2020). UNEP/CMS/Resolution 12.26 (Rev.COP13). Available at: https://www.cms.int/aquatic-warbler/sites/default/files/document/cms_cop13_res.12.26_rev.cop13_e.pdf</w:t>
      </w:r>
      <w:r w:rsidRPr="00ED7E61">
        <w:rPr>
          <w:rStyle w:val="normaltextrun"/>
          <w:color w:val="000000"/>
        </w:rPr>
        <w:t> </w:t>
      </w:r>
    </w:p>
    <w:p w14:paraId="479FCFBF" w14:textId="612ADC6E" w:rsidR="00781C70"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de-DE"/>
        </w:rPr>
        <w:t xml:space="preserve">Dunster J. and Dunster K. (1996). </w:t>
      </w:r>
      <w:r w:rsidRPr="00ED7E61">
        <w:rPr>
          <w:rStyle w:val="normaltextrun"/>
          <w:rFonts w:asciiTheme="majorBidi" w:eastAsiaTheme="majorEastAsia" w:hAnsiTheme="majorBidi" w:cstheme="majorBidi"/>
          <w:lang w:val="en-US"/>
        </w:rPr>
        <w:t>Dictionary of natural resources management. University of British Columbia University Press. Vancouver, BC, 363 pp. + xv.</w:t>
      </w:r>
      <w:r w:rsidRPr="00ED7E61">
        <w:rPr>
          <w:rStyle w:val="eop"/>
          <w:rFonts w:asciiTheme="majorBidi" w:eastAsiaTheme="majorEastAsia" w:hAnsiTheme="majorBidi" w:cstheme="majorBidi"/>
        </w:rPr>
        <w:t> </w:t>
      </w:r>
    </w:p>
    <w:p w14:paraId="44AD5C02" w14:textId="27FA65E7" w:rsidR="00781C70"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en-US"/>
        </w:rPr>
        <w:t xml:space="preserve">FAO. (2022). Voluntary Guidelines on the Responsible Governance of Tenure of Land, Fisheries and Forests in the Context of National Food Security. First revision. Rome. </w:t>
      </w:r>
      <w:hyperlink r:id="rId357" w:tgtFrame="_blank" w:history="1">
        <w:r w:rsidRPr="00ED7E61">
          <w:rPr>
            <w:rStyle w:val="normaltextrun"/>
            <w:rFonts w:asciiTheme="majorBidi" w:eastAsiaTheme="majorEastAsia" w:hAnsiTheme="majorBidi" w:cstheme="majorBidi"/>
            <w:color w:val="467886"/>
            <w:u w:val="single"/>
            <w:lang w:val="en-US"/>
          </w:rPr>
          <w:t>https://doi.org/10.4060/i2801e</w:t>
        </w:r>
      </w:hyperlink>
      <w:hyperlink r:id="rId358" w:tgtFrame="_blank" w:history="1">
        <w:r w:rsidRPr="00ED7E61">
          <w:rPr>
            <w:rStyle w:val="normaltextrun"/>
            <w:rFonts w:asciiTheme="majorBidi" w:eastAsiaTheme="majorEastAsia" w:hAnsiTheme="majorBidi" w:cstheme="majorBidi"/>
            <w:color w:val="467886"/>
            <w:u w:val="single"/>
          </w:rPr>
          <w:t>https://www.fao.org/forest-resources-assessment/en/</w:t>
        </w:r>
      </w:hyperlink>
      <w:r w:rsidRPr="00ED7E61">
        <w:rPr>
          <w:rStyle w:val="eop"/>
          <w:rFonts w:asciiTheme="majorBidi" w:eastAsiaTheme="majorEastAsia" w:hAnsiTheme="majorBidi" w:cstheme="majorBidi"/>
          <w:color w:val="467886"/>
        </w:rPr>
        <w:t> </w:t>
      </w:r>
    </w:p>
    <w:p w14:paraId="7E9B55E3" w14:textId="5E4F4872" w:rsidR="00781C70" w:rsidRPr="00ED7E61" w:rsidRDefault="00756F0F" w:rsidP="00522790">
      <w:pPr>
        <w:pStyle w:val="CBDNormalNumber"/>
        <w:numPr>
          <w:ilvl w:val="0"/>
          <w:numId w:val="0"/>
        </w:numPr>
        <w:ind w:left="567"/>
        <w:rPr>
          <w:rFonts w:asciiTheme="majorBidi" w:hAnsiTheme="majorBidi" w:cstheme="majorBidi"/>
          <w:lang w:val="es-ES"/>
        </w:rPr>
      </w:pPr>
      <w:r w:rsidRPr="00ED7E61">
        <w:rPr>
          <w:rStyle w:val="normaltextrun"/>
          <w:rFonts w:asciiTheme="majorBidi" w:eastAsiaTheme="majorEastAsia" w:hAnsiTheme="majorBidi" w:cstheme="majorBidi"/>
          <w:lang w:val="en-US"/>
        </w:rPr>
        <w:t xml:space="preserve">FAO. (2023). Partnership supporting implementation and monitoring of ecosystem restoration: ROADMAP FOR THE GLOBAL BIODIVERSITY FRAMEWORK TARGET 2. </w:t>
      </w:r>
      <w:r w:rsidRPr="00ED7E61">
        <w:rPr>
          <w:rStyle w:val="normaltextrun"/>
          <w:rFonts w:asciiTheme="majorBidi" w:eastAsiaTheme="majorEastAsia" w:hAnsiTheme="majorBidi" w:cstheme="majorBidi"/>
          <w:lang w:val="es-ES"/>
        </w:rPr>
        <w:t xml:space="preserve">Rome. </w:t>
      </w:r>
      <w:hyperlink r:id="rId359" w:tgtFrame="_blank" w:history="1">
        <w:r w:rsidRPr="00ED7E61">
          <w:rPr>
            <w:rStyle w:val="normaltextrun"/>
            <w:rFonts w:asciiTheme="majorBidi" w:eastAsiaTheme="majorEastAsia" w:hAnsiTheme="majorBidi" w:cstheme="majorBidi"/>
            <w:color w:val="467886"/>
            <w:u w:val="single"/>
            <w:lang w:val="es-ES"/>
          </w:rPr>
          <w:t>https://www.fao.org/3/cc6821en/cc6821en.pdf</w:t>
        </w:r>
      </w:hyperlink>
      <w:r w:rsidRPr="00ED7E61">
        <w:rPr>
          <w:rStyle w:val="eop"/>
          <w:rFonts w:asciiTheme="majorBidi" w:eastAsiaTheme="majorEastAsia" w:hAnsiTheme="majorBidi" w:cstheme="majorBidi"/>
          <w:lang w:val="es-ES"/>
        </w:rPr>
        <w:t> </w:t>
      </w:r>
    </w:p>
    <w:p w14:paraId="4F217C1A" w14:textId="57385531" w:rsidR="00781C70"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en-CA"/>
        </w:rPr>
        <w:t xml:space="preserve">FAO, IUCN CEM &amp; SER. </w:t>
      </w:r>
      <w:r w:rsidRPr="00ED7E61">
        <w:rPr>
          <w:rStyle w:val="normaltextrun"/>
          <w:rFonts w:asciiTheme="majorBidi" w:eastAsiaTheme="majorEastAsia" w:hAnsiTheme="majorBidi" w:cstheme="majorBidi"/>
        </w:rPr>
        <w:t>(2021). Principles for ecosystem restoration to guide the United Nations Decade 2021–2030. Rome, FAO.</w:t>
      </w:r>
      <w:r w:rsidRPr="00ED7E61">
        <w:rPr>
          <w:rStyle w:val="eop"/>
          <w:rFonts w:asciiTheme="majorBidi" w:eastAsiaTheme="majorEastAsia" w:hAnsiTheme="majorBidi" w:cstheme="majorBidi"/>
        </w:rPr>
        <w:t> </w:t>
      </w:r>
    </w:p>
    <w:p w14:paraId="5EC4FBFE" w14:textId="5257D503" w:rsidR="00781C70"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Future Earth and GEO BON. (2022). Ecosystem restoration in the Global Biodiversity Framework: A focus on land degradation and terrestrial ecosystem restoration. Available at: https://geobon.org/science-briefs/</w:t>
      </w:r>
      <w:r w:rsidRPr="00ED7E61">
        <w:rPr>
          <w:rStyle w:val="eop"/>
          <w:rFonts w:asciiTheme="majorBidi" w:eastAsiaTheme="majorEastAsia" w:hAnsiTheme="majorBidi" w:cstheme="majorBidi"/>
        </w:rPr>
        <w:t> </w:t>
      </w:r>
    </w:p>
    <w:p w14:paraId="3E3737A3" w14:textId="555C347D" w:rsidR="00781C70"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Gann, G.D., McDonald, T., Walder, B., Aronson, J., Nelson, C.R., Jonson J., ... &amp; Dixon, K.W. (2019). International principles and standards for the practice of ecological restoration. Restoration Ecology. 27 (S1): S1-S46., 27(S1), S1-S46.</w:t>
      </w:r>
      <w:r w:rsidRPr="00ED7E61">
        <w:rPr>
          <w:rStyle w:val="eop"/>
          <w:rFonts w:asciiTheme="majorBidi" w:eastAsiaTheme="majorEastAsia" w:hAnsiTheme="majorBidi" w:cstheme="majorBidi"/>
        </w:rPr>
        <w:t> </w:t>
      </w:r>
    </w:p>
    <w:p w14:paraId="67DA018C" w14:textId="6F2E93D6" w:rsidR="00781C70"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Gann, G.D., Walder B., Gladstone J., Manirajah S.M., Roe S. (2022). Restoration Project Information Sharing Framework. Society for Ecological Restoration and Climate Focus. Washington, D.C.</w:t>
      </w:r>
      <w:r w:rsidRPr="00ED7E61">
        <w:rPr>
          <w:rStyle w:val="eop"/>
          <w:rFonts w:asciiTheme="majorBidi" w:eastAsiaTheme="majorEastAsia" w:hAnsiTheme="majorBidi" w:cstheme="majorBidi"/>
        </w:rPr>
        <w:t> </w:t>
      </w:r>
    </w:p>
    <w:p w14:paraId="4B36C8EC" w14:textId="2EFBE431" w:rsidR="00781C70"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IPBES. (2018). The IPBES assessment report on land degradation and restoration. Montanarella, L., Scholes, R., and Brainich, A. (eds.). Secretariat of the Intergovernmental Science-Policy Platform on Biodiversity and Ecosystem Services, Bonn, Germany. 744 pages.</w:t>
      </w:r>
      <w:r w:rsidR="0028566A">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 xml:space="preserve">Keith, D.A., Ferrer-Paris, J.R., Nicholson, E., … &amp; Kingsford, R.T. (2022). A function-based typology for Earth’s ecosystems. </w:t>
      </w:r>
      <w:r w:rsidRPr="00ED7E61">
        <w:rPr>
          <w:rStyle w:val="normaltextrun"/>
          <w:rFonts w:asciiTheme="majorBidi" w:eastAsiaTheme="majorEastAsia" w:hAnsiTheme="majorBidi" w:cstheme="majorBidi"/>
          <w:lang w:val="de-DE"/>
        </w:rPr>
        <w:t xml:space="preserve">Nature 610, 513–518. </w:t>
      </w:r>
      <w:hyperlink r:id="rId360" w:tgtFrame="_blank" w:history="1">
        <w:r w:rsidRPr="00ED7E61">
          <w:rPr>
            <w:rStyle w:val="normaltextrun"/>
            <w:rFonts w:asciiTheme="majorBidi" w:eastAsiaTheme="majorEastAsia" w:hAnsiTheme="majorBidi" w:cstheme="majorBidi"/>
            <w:color w:val="467886"/>
            <w:u w:val="single"/>
            <w:lang w:val="de-DE"/>
          </w:rPr>
          <w:t>https://doi.org/10.1038/s41586-022-05318-4</w:t>
        </w:r>
      </w:hyperlink>
      <w:r w:rsidRPr="00ED7E61">
        <w:rPr>
          <w:rStyle w:val="normaltextrun"/>
          <w:rFonts w:asciiTheme="majorBidi" w:eastAsiaTheme="majorEastAsia" w:hAnsiTheme="majorBidi" w:cstheme="majorBidi"/>
          <w:lang w:val="de-DE"/>
        </w:rPr>
        <w:t xml:space="preserve">Sewell A., van der Esch S. and Löwenhardt H. (2020). </w:t>
      </w:r>
      <w:r w:rsidRPr="00ED7E61">
        <w:rPr>
          <w:rStyle w:val="normaltextrun"/>
          <w:rFonts w:asciiTheme="majorBidi" w:eastAsiaTheme="majorEastAsia" w:hAnsiTheme="majorBidi" w:cstheme="majorBidi"/>
        </w:rPr>
        <w:t>Goals and Commitments for the Restoration Decade: A global overview of countries’ restoration commitments under the Rio Conventions and other pledges. PBL Netherlands Environmental Assessment Agency, The Hague.</w:t>
      </w:r>
      <w:r w:rsidRPr="00ED7E61">
        <w:rPr>
          <w:rStyle w:val="eop"/>
          <w:rFonts w:asciiTheme="majorBidi" w:eastAsiaTheme="majorEastAsia" w:hAnsiTheme="majorBidi" w:cstheme="majorBidi"/>
        </w:rPr>
        <w:t> </w:t>
      </w:r>
    </w:p>
    <w:p w14:paraId="2C08E733" w14:textId="5592FB56" w:rsidR="00781C70"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Keith, D.A., Ferrer-Paris, J.R., Nicholson, E., … &amp; Kingsford, R.T. (2022). A function-based typology for Earth’s ecosystems. </w:t>
      </w:r>
      <w:r w:rsidRPr="00ED7E61">
        <w:rPr>
          <w:rStyle w:val="normaltextrun"/>
          <w:rFonts w:asciiTheme="majorBidi" w:eastAsiaTheme="majorEastAsia" w:hAnsiTheme="majorBidi" w:cstheme="majorBidi"/>
          <w:lang w:val="de-DE"/>
        </w:rPr>
        <w:t xml:space="preserve">Nature 610, 513–518. </w:t>
      </w:r>
      <w:hyperlink r:id="rId361" w:tgtFrame="_blank" w:history="1">
        <w:r w:rsidRPr="00ED7E61">
          <w:rPr>
            <w:rStyle w:val="normaltextrun"/>
            <w:rFonts w:asciiTheme="majorBidi" w:eastAsiaTheme="majorEastAsia" w:hAnsiTheme="majorBidi" w:cstheme="majorBidi"/>
            <w:color w:val="0563C1"/>
            <w:u w:val="single"/>
            <w:lang w:val="de-DE"/>
          </w:rPr>
          <w:t>https://doi.org/10.1038/s41586-022-05318-4</w:t>
        </w:r>
      </w:hyperlink>
      <w:r w:rsidRPr="00ED7E61">
        <w:rPr>
          <w:rStyle w:val="eop"/>
          <w:rFonts w:asciiTheme="majorBidi" w:eastAsiaTheme="majorEastAsia" w:hAnsiTheme="majorBidi" w:cstheme="majorBidi"/>
        </w:rPr>
        <w:t> </w:t>
      </w:r>
    </w:p>
    <w:p w14:paraId="30BC4CB0" w14:textId="389649B1" w:rsidR="00781C70"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de-DE"/>
        </w:rPr>
        <w:t xml:space="preserve">Sewell A., van der Esch S. and Löwenhardt H. (2020). </w:t>
      </w:r>
      <w:r w:rsidRPr="00ED7E61">
        <w:rPr>
          <w:rStyle w:val="normaltextrun"/>
          <w:rFonts w:asciiTheme="majorBidi" w:eastAsiaTheme="majorEastAsia" w:hAnsiTheme="majorBidi" w:cstheme="majorBidi"/>
        </w:rPr>
        <w:t xml:space="preserve">Goals and Commitments for the Restoration Decade: A global overview of countries’ restoration commitments under the Rio Conventions and other pledges. PBL Netherlands Environmental Assessment Agency, The Hague </w:t>
      </w:r>
      <w:r w:rsidRPr="00ED7E61">
        <w:rPr>
          <w:rStyle w:val="eop"/>
          <w:rFonts w:asciiTheme="majorBidi" w:eastAsiaTheme="majorEastAsia" w:hAnsiTheme="majorBidi" w:cstheme="majorBidi"/>
        </w:rPr>
        <w:t> </w:t>
      </w:r>
    </w:p>
    <w:p w14:paraId="6D735E87" w14:textId="55A62639" w:rsidR="00781C70"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UN. (1992). Convention on Biological Diversity. Available at: </w:t>
      </w:r>
      <w:hyperlink r:id="rId362" w:tgtFrame="_blank" w:history="1">
        <w:r w:rsidRPr="00ED7E61">
          <w:rPr>
            <w:rStyle w:val="normaltextrun"/>
            <w:rFonts w:asciiTheme="majorBidi" w:eastAsiaTheme="majorEastAsia" w:hAnsiTheme="majorBidi" w:cstheme="majorBidi"/>
            <w:color w:val="0000FF"/>
          </w:rPr>
          <w:t>https://www.cbd.int/doc/legal/cbd-en.p</w:t>
        </w:r>
        <w:r w:rsidRPr="00ED7E61">
          <w:rPr>
            <w:rStyle w:val="normaltextrun"/>
            <w:rFonts w:asciiTheme="majorBidi" w:eastAsiaTheme="majorEastAsia" w:hAnsiTheme="majorBidi" w:cstheme="majorBidi"/>
            <w:color w:val="467886"/>
            <w:u w:val="single"/>
          </w:rPr>
          <w:t>df</w:t>
        </w:r>
      </w:hyperlink>
      <w:r w:rsidRPr="00ED7E61">
        <w:rPr>
          <w:rStyle w:val="eop"/>
          <w:rFonts w:asciiTheme="majorBidi" w:eastAsiaTheme="majorEastAsia" w:hAnsiTheme="majorBidi" w:cstheme="majorBidi"/>
        </w:rPr>
        <w:t> </w:t>
      </w:r>
    </w:p>
    <w:p w14:paraId="01B21F27" w14:textId="77777777" w:rsidR="00756F0F" w:rsidRPr="00ED7E61" w:rsidRDefault="00756F0F" w:rsidP="00522790">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en-US"/>
        </w:rPr>
        <w:t xml:space="preserve">UNGA. (2019). Resolution </w:t>
      </w:r>
      <w:hyperlink r:id="rId363" w:tgtFrame="_blank" w:history="1">
        <w:r w:rsidRPr="00ED7E61">
          <w:rPr>
            <w:rStyle w:val="normaltextrun"/>
            <w:rFonts w:asciiTheme="majorBidi" w:eastAsiaTheme="majorEastAsia" w:hAnsiTheme="majorBidi" w:cstheme="majorBidi"/>
            <w:color w:val="0000FF"/>
            <w:u w:val="single"/>
          </w:rPr>
          <w:t>A/RES/73/284</w:t>
        </w:r>
      </w:hyperlink>
      <w:r w:rsidRPr="00ED7E61">
        <w:rPr>
          <w:rStyle w:val="normaltextrun"/>
          <w:rFonts w:asciiTheme="majorBidi" w:eastAsiaTheme="majorEastAsia" w:hAnsiTheme="majorBidi" w:cstheme="majorBidi"/>
          <w:u w:val="single"/>
        </w:rPr>
        <w:t xml:space="preserve">. Available at: </w:t>
      </w:r>
      <w:hyperlink r:id="rId364" w:tgtFrame="_blank" w:history="1">
        <w:r w:rsidRPr="00ED7E61">
          <w:rPr>
            <w:rStyle w:val="normaltextrun"/>
            <w:rFonts w:asciiTheme="majorBidi" w:eastAsiaTheme="majorEastAsia" w:hAnsiTheme="majorBidi" w:cstheme="majorBidi"/>
            <w:color w:val="467886"/>
            <w:u w:val="single"/>
          </w:rPr>
          <w:t>https://documents-dds-ny.un.org/doc/UNDOC/GEN/N19/060/16/PDF/N1906016.pdf?OpenElement</w:t>
        </w:r>
      </w:hyperlink>
      <w:r w:rsidRPr="00ED7E61">
        <w:rPr>
          <w:rStyle w:val="eop"/>
          <w:rFonts w:asciiTheme="majorBidi" w:eastAsiaTheme="majorEastAsia" w:hAnsiTheme="majorBidi" w:cstheme="majorBidi"/>
        </w:rPr>
        <w:t> </w:t>
      </w:r>
    </w:p>
    <w:p w14:paraId="2961DD5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12. Graphs and diagrams</w:t>
      </w:r>
      <w:r w:rsidRPr="00ED7E61">
        <w:rPr>
          <w:rStyle w:val="eop"/>
          <w:rFonts w:asciiTheme="majorBidi" w:eastAsiaTheme="majorEastAsia" w:hAnsiTheme="majorBidi" w:cstheme="majorBidi"/>
          <w:b/>
          <w:bCs/>
          <w:sz w:val="22"/>
          <w:szCs w:val="22"/>
        </w:rPr>
        <w:t> </w:t>
      </w:r>
    </w:p>
    <w:p w14:paraId="5EE5F391" w14:textId="77777777" w:rsidR="007364E7" w:rsidRPr="00ED7E61" w:rsidRDefault="007364E7" w:rsidP="00395866">
      <w:pPr>
        <w:pStyle w:val="paragraph"/>
        <w:spacing w:before="0" w:beforeAutospacing="0" w:after="0" w:afterAutospacing="0"/>
        <w:textAlignment w:val="baseline"/>
        <w:rPr>
          <w:rStyle w:val="normaltextrun"/>
          <w:rFonts w:asciiTheme="majorBidi" w:eastAsiaTheme="majorEastAsia" w:hAnsiTheme="majorBidi" w:cstheme="majorBidi"/>
          <w:b/>
          <w:bCs/>
          <w:i/>
          <w:iCs/>
          <w:sz w:val="22"/>
          <w:szCs w:val="22"/>
          <w:lang w:val="en-GB"/>
        </w:rPr>
      </w:pPr>
    </w:p>
    <w:p w14:paraId="10F2874D" w14:textId="690776A7" w:rsidR="007364E7" w:rsidRPr="00B3383B" w:rsidRDefault="006F1798" w:rsidP="00B3383B">
      <w:pPr>
        <w:pStyle w:val="paragraph"/>
        <w:spacing w:before="0" w:beforeAutospacing="0" w:after="0" w:afterAutospacing="0"/>
        <w:ind w:left="567"/>
        <w:textAlignment w:val="baseline"/>
        <w:rPr>
          <w:rFonts w:eastAsia="Arial"/>
          <w:sz w:val="22"/>
          <w:szCs w:val="22"/>
        </w:rPr>
      </w:pPr>
      <w:r w:rsidRPr="00ED7E61">
        <w:rPr>
          <w:noProof/>
          <w:lang w:val="fr-FR" w:eastAsia="fr-FR"/>
        </w:rPr>
        <w:drawing>
          <wp:inline distT="0" distB="0" distL="0" distR="0" wp14:anchorId="517B02D1" wp14:editId="242E0C14">
            <wp:extent cx="5581497" cy="3139515"/>
            <wp:effectExtent l="0" t="0" r="635" b="3810"/>
            <wp:docPr id="2584594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59473" name=""/>
                    <pic:cNvPicPr/>
                  </pic:nvPicPr>
                  <pic:blipFill>
                    <a:blip r:embed="rId365">
                      <a:extLst>
                        <a:ext uri="{96DAC541-7B7A-43D3-8B79-37D633B846F1}">
                          <asvg:svgBlip xmlns:asvg="http://schemas.microsoft.com/office/drawing/2016/SVG/main" r:embed="rId366"/>
                        </a:ext>
                      </a:extLst>
                    </a:blip>
                    <a:stretch>
                      <a:fillRect/>
                    </a:stretch>
                  </pic:blipFill>
                  <pic:spPr>
                    <a:xfrm>
                      <a:off x="0" y="0"/>
                      <a:ext cx="5590059" cy="3144331"/>
                    </a:xfrm>
                    <a:prstGeom prst="rect">
                      <a:avLst/>
                    </a:prstGeom>
                  </pic:spPr>
                </pic:pic>
              </a:graphicData>
            </a:graphic>
          </wp:inline>
        </w:drawing>
      </w:r>
      <w:r w:rsidR="007364E7" w:rsidRPr="00B3383B">
        <w:rPr>
          <w:rFonts w:eastAsia="Arial"/>
          <w:sz w:val="22"/>
          <w:szCs w:val="22"/>
        </w:rPr>
        <w:t xml:space="preserve">Figure </w:t>
      </w:r>
      <w:r w:rsidR="00FF6CC0" w:rsidRPr="00B3383B">
        <w:rPr>
          <w:rFonts w:eastAsia="Arial"/>
          <w:sz w:val="22"/>
          <w:szCs w:val="22"/>
        </w:rPr>
        <w:t>I</w:t>
      </w:r>
      <w:r w:rsidR="007364E7" w:rsidRPr="00B3383B">
        <w:rPr>
          <w:rFonts w:eastAsia="Arial"/>
          <w:sz w:val="22"/>
          <w:szCs w:val="22"/>
        </w:rPr>
        <w:t xml:space="preserve"> </w:t>
      </w:r>
      <w:r w:rsidR="00307746" w:rsidRPr="00B3383B">
        <w:rPr>
          <w:rFonts w:eastAsia="Arial"/>
          <w:sz w:val="22"/>
          <w:szCs w:val="22"/>
        </w:rPr>
        <w:br/>
      </w:r>
      <w:r w:rsidR="007364E7" w:rsidRPr="00B3383B">
        <w:rPr>
          <w:rFonts w:eastAsia="Arial"/>
          <w:b/>
          <w:bCs/>
          <w:sz w:val="22"/>
          <w:szCs w:val="22"/>
        </w:rPr>
        <w:t xml:space="preserve">Proposed workflow for reporting area under restoration. </w:t>
      </w:r>
      <w:r w:rsidR="00522790">
        <w:rPr>
          <w:rFonts w:eastAsia="Arial"/>
          <w:b/>
          <w:bCs/>
          <w:sz w:val="22"/>
          <w:szCs w:val="22"/>
        </w:rPr>
        <w:br/>
      </w:r>
      <w:r w:rsidR="007364E7" w:rsidRPr="00522790">
        <w:rPr>
          <w:rFonts w:eastAsia="Arial"/>
          <w:i/>
          <w:iCs/>
          <w:sz w:val="22"/>
          <w:szCs w:val="22"/>
        </w:rPr>
        <w:t>The flowchart shows the possible pathways to follow from setting national restoration area targets, data collection and compilation through the FERM as well as national scale, data validation and reporting the area estimates. National estimates of areas under restoration are reported under the Global Biodiversity Framework and the UN Decade on Ecosystem Restoration.</w:t>
      </w:r>
      <w:r w:rsidR="007364E7" w:rsidRPr="00B3383B">
        <w:rPr>
          <w:rFonts w:eastAsia="Arial"/>
          <w:sz w:val="22"/>
          <w:szCs w:val="22"/>
        </w:rPr>
        <w:t xml:space="preserve"> </w:t>
      </w:r>
    </w:p>
    <w:p w14:paraId="433D5A48" w14:textId="77777777" w:rsidR="007364E7" w:rsidRPr="00B3383B" w:rsidRDefault="007364E7" w:rsidP="00B3383B">
      <w:pPr>
        <w:spacing w:after="240"/>
        <w:ind w:left="567"/>
        <w:rPr>
          <w:rFonts w:eastAsia="Arial"/>
          <w:sz w:val="18"/>
          <w:szCs w:val="18"/>
        </w:rPr>
      </w:pPr>
      <w:r w:rsidRPr="00B3383B">
        <w:rPr>
          <w:rFonts w:eastAsia="Arial"/>
          <w:i/>
          <w:sz w:val="18"/>
          <w:szCs w:val="18"/>
        </w:rPr>
        <w:t>Source</w:t>
      </w:r>
      <w:r w:rsidRPr="00B3383B">
        <w:rPr>
          <w:rFonts w:eastAsia="Arial"/>
          <w:sz w:val="18"/>
          <w:szCs w:val="18"/>
        </w:rPr>
        <w:t>: Author.</w:t>
      </w:r>
    </w:p>
    <w:p w14:paraId="1A96DB5A" w14:textId="6B6825E0" w:rsidR="00966C2B" w:rsidRPr="00ED7E61" w:rsidRDefault="00966C2B" w:rsidP="00522790">
      <w:pPr>
        <w:pStyle w:val="paragraph"/>
        <w:spacing w:before="0" w:beforeAutospacing="0" w:after="0" w:afterAutospacing="0"/>
        <w:jc w:val="center"/>
        <w:textAlignment w:val="baseline"/>
        <w:rPr>
          <w:rStyle w:val="normaltextrun"/>
          <w:rFonts w:asciiTheme="majorBidi" w:eastAsiaTheme="majorEastAsia" w:hAnsiTheme="majorBidi" w:cstheme="majorBidi"/>
          <w:b/>
          <w:bCs/>
          <w:i/>
          <w:iCs/>
          <w:sz w:val="22"/>
          <w:szCs w:val="22"/>
          <w:lang w:val="en-GB"/>
        </w:rPr>
      </w:pPr>
      <w:r w:rsidRPr="00ED7E61">
        <w:rPr>
          <w:rFonts w:ascii="Arial" w:hAnsi="Arial" w:cs="Arial"/>
          <w:noProof/>
          <w:color w:val="2B579A"/>
          <w:shd w:val="clear" w:color="auto" w:fill="E6E6E6"/>
          <w:lang w:val="fr-FR" w:eastAsia="fr-FR"/>
        </w:rPr>
        <w:drawing>
          <wp:inline distT="19050" distB="19050" distL="19050" distR="19050" wp14:anchorId="15820295" wp14:editId="37A9B983">
            <wp:extent cx="4538663" cy="2034878"/>
            <wp:effectExtent l="0" t="0" r="0" b="0"/>
            <wp:docPr id="646087738" name="Picture 64608773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7"/>
                    <a:srcRect/>
                    <a:stretch>
                      <a:fillRect/>
                    </a:stretch>
                  </pic:blipFill>
                  <pic:spPr>
                    <a:xfrm>
                      <a:off x="0" y="0"/>
                      <a:ext cx="4538663" cy="2034878"/>
                    </a:xfrm>
                    <a:prstGeom prst="rect">
                      <a:avLst/>
                    </a:prstGeom>
                    <a:ln/>
                  </pic:spPr>
                </pic:pic>
              </a:graphicData>
            </a:graphic>
          </wp:inline>
        </w:drawing>
      </w:r>
    </w:p>
    <w:p w14:paraId="4CB76481" w14:textId="77777777" w:rsidR="007364E7" w:rsidRPr="00ED7E61" w:rsidRDefault="007364E7" w:rsidP="00395866">
      <w:pPr>
        <w:pStyle w:val="paragraph"/>
        <w:spacing w:before="0" w:beforeAutospacing="0" w:after="0" w:afterAutospacing="0"/>
        <w:textAlignment w:val="baseline"/>
        <w:rPr>
          <w:rStyle w:val="normaltextrun"/>
          <w:rFonts w:asciiTheme="majorBidi" w:eastAsiaTheme="majorEastAsia" w:hAnsiTheme="majorBidi" w:cstheme="majorBidi"/>
          <w:b/>
          <w:bCs/>
          <w:i/>
          <w:iCs/>
          <w:sz w:val="22"/>
          <w:szCs w:val="22"/>
          <w:lang w:val="en-GB"/>
        </w:rPr>
      </w:pPr>
    </w:p>
    <w:p w14:paraId="26660CDD" w14:textId="1CBA4380" w:rsidR="00756F0F" w:rsidRPr="00ED7E61" w:rsidRDefault="00756F0F" w:rsidP="00B3383B">
      <w:pPr>
        <w:pStyle w:val="paragraph"/>
        <w:spacing w:before="0" w:beforeAutospacing="0" w:after="0" w:afterAutospacing="0"/>
        <w:ind w:left="567"/>
        <w:textAlignment w:val="baseline"/>
        <w:rPr>
          <w:rFonts w:asciiTheme="majorBidi" w:hAnsiTheme="majorBidi" w:cstheme="majorBidi"/>
          <w:sz w:val="22"/>
          <w:szCs w:val="22"/>
        </w:rPr>
      </w:pPr>
      <w:r w:rsidRPr="00B3383B">
        <w:rPr>
          <w:rStyle w:val="normaltextrun"/>
          <w:rFonts w:asciiTheme="majorBidi" w:eastAsiaTheme="majorEastAsia" w:hAnsiTheme="majorBidi" w:cstheme="majorBidi"/>
          <w:sz w:val="22"/>
          <w:szCs w:val="22"/>
          <w:lang w:val="en-GB"/>
        </w:rPr>
        <w:t xml:space="preserve">Figure </w:t>
      </w:r>
      <w:r w:rsidR="00307746" w:rsidRPr="00307746">
        <w:rPr>
          <w:rStyle w:val="normaltextrun"/>
          <w:rFonts w:asciiTheme="majorBidi" w:eastAsiaTheme="majorEastAsia" w:hAnsiTheme="majorBidi" w:cstheme="majorBidi"/>
          <w:sz w:val="22"/>
          <w:szCs w:val="22"/>
          <w:lang w:val="en-GB"/>
        </w:rPr>
        <w:t>II</w:t>
      </w:r>
      <w:r w:rsidRPr="00ED7E61">
        <w:rPr>
          <w:rStyle w:val="normaltextrun"/>
          <w:rFonts w:asciiTheme="majorBidi" w:eastAsiaTheme="majorEastAsia" w:hAnsiTheme="majorBidi" w:cstheme="majorBidi"/>
          <w:sz w:val="22"/>
          <w:szCs w:val="22"/>
          <w:lang w:val="en-GB"/>
        </w:rPr>
        <w:t xml:space="preserve"> </w:t>
      </w:r>
      <w:r w:rsidR="00307746">
        <w:rPr>
          <w:rStyle w:val="normaltextrun"/>
          <w:rFonts w:asciiTheme="majorBidi" w:eastAsiaTheme="majorEastAsia" w:hAnsiTheme="majorBidi" w:cstheme="majorBidi"/>
          <w:sz w:val="22"/>
          <w:szCs w:val="22"/>
          <w:lang w:val="en-GB"/>
        </w:rPr>
        <w:br/>
      </w:r>
      <w:r w:rsidRPr="00B3383B">
        <w:rPr>
          <w:rStyle w:val="normaltextrun"/>
          <w:rFonts w:asciiTheme="majorBidi" w:eastAsiaTheme="majorEastAsia" w:hAnsiTheme="majorBidi" w:cstheme="majorBidi"/>
          <w:b/>
          <w:bCs/>
          <w:sz w:val="22"/>
          <w:szCs w:val="22"/>
          <w:lang w:val="en-GB"/>
        </w:rPr>
        <w:t>Comparison between ecological restoration and rehabilitation.</w:t>
      </w:r>
      <w:r w:rsidR="00781C70" w:rsidRPr="00B3383B">
        <w:rPr>
          <w:rStyle w:val="normaltextrun"/>
          <w:rFonts w:asciiTheme="majorBidi" w:eastAsiaTheme="majorEastAsia" w:hAnsiTheme="majorBidi" w:cstheme="majorBidi"/>
          <w:b/>
          <w:bCs/>
          <w:sz w:val="22"/>
          <w:szCs w:val="22"/>
          <w:lang w:val="en-GB"/>
        </w:rPr>
        <w:t xml:space="preserve"> </w:t>
      </w:r>
      <w:r w:rsidRPr="00B3383B">
        <w:rPr>
          <w:rStyle w:val="normaltextrun"/>
          <w:rFonts w:asciiTheme="majorBidi" w:eastAsiaTheme="majorEastAsia" w:hAnsiTheme="majorBidi" w:cstheme="majorBidi"/>
          <w:b/>
          <w:bCs/>
          <w:sz w:val="22"/>
          <w:szCs w:val="22"/>
          <w:lang w:val="en-GB"/>
        </w:rPr>
        <w:t>Source: Future Earth and GEO BON, 2022</w:t>
      </w:r>
    </w:p>
    <w:p w14:paraId="00E384B7" w14:textId="77777777" w:rsidR="003109C0" w:rsidRPr="00ED7E61" w:rsidRDefault="003109C0"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3408472A" w14:textId="71395F4B" w:rsidR="00756F0F" w:rsidRPr="00ED7E61" w:rsidRDefault="00756F0F" w:rsidP="00965B3D">
      <w:pPr>
        <w:pStyle w:val="Heading3"/>
      </w:pPr>
      <w:bookmarkStart w:id="44" w:name="_Toc178285857"/>
      <w:r w:rsidRPr="00ED7E61">
        <w:rPr>
          <w:rStyle w:val="normaltextrun"/>
        </w:rPr>
        <w:t>GBF indicator metadata</w:t>
      </w:r>
      <w:r w:rsidR="002946B5" w:rsidRPr="00ED7E61">
        <w:rPr>
          <w:rStyle w:val="normaltextrun"/>
        </w:rPr>
        <w:t>: 3.1 Coverage of protected areas and other effective area-based conservation measures</w:t>
      </w:r>
      <w:bookmarkEnd w:id="44"/>
      <w:r w:rsidR="002946B5" w:rsidRPr="00ED7E61">
        <w:rPr>
          <w:rStyle w:val="normaltextrun"/>
        </w:rPr>
        <w:t xml:space="preserve">  </w:t>
      </w:r>
      <w:r w:rsidRPr="00ED7E61">
        <w:rPr>
          <w:rStyle w:val="eop"/>
        </w:rPr>
        <w:t> </w:t>
      </w:r>
    </w:p>
    <w:p w14:paraId="3C9ED7AC"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34C4AAE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77DDAD2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3.1 Coverage of protected areas and other effective area-based conservation measures </w:t>
      </w:r>
      <w:r w:rsidRPr="00ED7E61">
        <w:rPr>
          <w:rStyle w:val="eop"/>
          <w:rFonts w:asciiTheme="majorBidi" w:eastAsiaTheme="majorEastAsia" w:hAnsiTheme="majorBidi" w:cstheme="majorBidi"/>
          <w:sz w:val="22"/>
          <w:szCs w:val="22"/>
        </w:rPr>
        <w:t> </w:t>
      </w:r>
    </w:p>
    <w:p w14:paraId="0E4851FD" w14:textId="77777777" w:rsidR="00756F0F" w:rsidRPr="00ED7E61" w:rsidRDefault="00756F0F" w:rsidP="0052279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077E1FF8" w14:textId="3C1E415B"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756F0F" w:rsidRPr="00ED7E61">
        <w:rPr>
          <w:rStyle w:val="normaltextrun"/>
          <w:rFonts w:asciiTheme="majorBidi" w:eastAsiaTheme="majorEastAsia" w:hAnsiTheme="majorBidi" w:cstheme="majorBidi"/>
          <w:sz w:val="22"/>
          <w:szCs w:val="22"/>
        </w:rPr>
        <w:t>2024</w:t>
      </w:r>
      <w:r w:rsidR="00756F0F" w:rsidRPr="00ED7E61">
        <w:rPr>
          <w:rStyle w:val="eop"/>
          <w:rFonts w:asciiTheme="majorBidi" w:eastAsiaTheme="majorEastAsia" w:hAnsiTheme="majorBidi" w:cstheme="majorBidi"/>
          <w:sz w:val="22"/>
          <w:szCs w:val="22"/>
        </w:rPr>
        <w:t> </w:t>
      </w:r>
    </w:p>
    <w:p w14:paraId="0C9D2465" w14:textId="77777777" w:rsidR="00756F0F" w:rsidRPr="00ED7E61" w:rsidRDefault="00756F0F" w:rsidP="00522790">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0389EC1F" w14:textId="77777777" w:rsidR="00756F0F" w:rsidRPr="00ED7E61" w:rsidRDefault="00756F0F" w:rsidP="0052279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5D3401EE" w14:textId="77777777" w:rsidR="00756F0F" w:rsidRPr="00ED7E61" w:rsidRDefault="00756F0F" w:rsidP="00522790">
      <w:pPr>
        <w:pStyle w:val="paragraph"/>
        <w:spacing w:before="0" w:beforeAutospacing="0" w:after="0" w:afterAutospacing="0"/>
        <w:ind w:firstLine="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p>
    <w:p w14:paraId="2F3AE8CB" w14:textId="77777777" w:rsidR="00756F0F" w:rsidRPr="00ED7E61" w:rsidRDefault="00756F0F" w:rsidP="0052279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p w14:paraId="02018BB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Headline indicator for </w:t>
      </w:r>
      <w:r w:rsidRPr="00ED7E61">
        <w:rPr>
          <w:rStyle w:val="normaltextrun"/>
          <w:rFonts w:asciiTheme="majorBidi" w:eastAsiaTheme="majorEastAsia" w:hAnsiTheme="majorBidi" w:cstheme="majorBidi"/>
          <w:b/>
          <w:bCs/>
          <w:sz w:val="22"/>
          <w:szCs w:val="22"/>
          <w:lang w:val="en-GB"/>
        </w:rPr>
        <w:t>Target 3.</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color w:val="000000"/>
          <w:sz w:val="22"/>
          <w:szCs w:val="22"/>
          <w:shd w:val="clear" w:color="auto" w:fill="FFFFFF"/>
          <w:lang w:val="en-GB"/>
        </w:rPr>
        <w:t>Ensure and enable that by 2030 at least 30 per cent of terrestrial and inland water areas, and of marine and coastal areas, especially areas of particular importance for biodiversity and ecosystem functions and services, are effectively conserved and managed through ecologically representative, well-connected and equitably governed systems of protected areas and other effective area-based conservation measures, recognizing indigenous and traditional territories, where applicable, and integrated into wider landscapes, seascapes and the ocean, while ensuring that any sustainable use, where appropriate in such areas, is fully consistent with conservation outcomes, recognizing and respecting the rights of indigenous peoples and local communities, including over their traditional territories. </w:t>
      </w:r>
      <w:r w:rsidRPr="00ED7E61">
        <w:rPr>
          <w:rStyle w:val="eop"/>
          <w:rFonts w:asciiTheme="majorBidi" w:eastAsiaTheme="majorEastAsia" w:hAnsiTheme="majorBidi" w:cstheme="majorBidi"/>
          <w:color w:val="000000"/>
          <w:sz w:val="22"/>
          <w:szCs w:val="22"/>
        </w:rPr>
        <w:t> </w:t>
      </w:r>
    </w:p>
    <w:p w14:paraId="1059A867" w14:textId="77777777" w:rsidR="00756F0F" w:rsidRPr="00ED7E61" w:rsidRDefault="00756F0F" w:rsidP="0052279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36BD1C39" w14:textId="521F2FFC" w:rsidR="005058FF" w:rsidRPr="00ED7E61" w:rsidRDefault="00756F0F" w:rsidP="00B10F0C">
      <w:pPr>
        <w:pStyle w:val="CBDNormalNumber"/>
        <w:numPr>
          <w:ilvl w:val="0"/>
          <w:numId w:val="73"/>
        </w:numPr>
        <w:tabs>
          <w:tab w:val="clear" w:pos="1701"/>
        </w:tabs>
        <w:ind w:left="567" w:hanging="24"/>
        <w:rPr>
          <w:rStyle w:val="normaltextrun"/>
          <w:rFonts w:eastAsiaTheme="majorEastAsia"/>
          <w:sz w:val="24"/>
          <w:szCs w:val="24"/>
          <w:lang w:val="en-CA"/>
        </w:rPr>
      </w:pPr>
      <w:r w:rsidRPr="00ED7E61">
        <w:rPr>
          <w:rStyle w:val="normaltextrun"/>
          <w:rFonts w:asciiTheme="majorBidi" w:eastAsiaTheme="majorEastAsia" w:hAnsiTheme="majorBidi" w:cstheme="majorBidi"/>
        </w:rPr>
        <w:t>This indicator measures a policy response to biodiversity loss. An increase in the coverage of protected areas and other effective area-based conservation measures (OECMs) indicates increased efforts by governments and civil society to protect land and sea areas to achieve the long-term conservation of biodiversity, with associated ecosystem services and cultural values. </w:t>
      </w:r>
      <w:r w:rsidRPr="00ED7E61">
        <w:rPr>
          <w:rStyle w:val="normaltextrun"/>
        </w:rPr>
        <w:t> </w:t>
      </w:r>
    </w:p>
    <w:p w14:paraId="49CE23C9" w14:textId="38541620" w:rsidR="005058FF"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The indicator and its disaggregations provide insights into progress on the following elements of Target 3: </w:t>
      </w:r>
      <w:r w:rsidR="001B59DF">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i/>
          <w:iCs/>
          <w:color w:val="000000"/>
        </w:rPr>
        <w:t xml:space="preserve">30 per cent of terrestrial and inland water areas, and of marine and coastal areas, </w:t>
      </w:r>
      <w:r w:rsidRPr="00ED7E61">
        <w:rPr>
          <w:rStyle w:val="normaltextrun"/>
          <w:rFonts w:asciiTheme="majorBidi" w:eastAsiaTheme="majorEastAsia" w:hAnsiTheme="majorBidi" w:cstheme="majorBidi"/>
          <w:color w:val="000000"/>
          <w:shd w:val="clear" w:color="auto" w:fill="FFFFFF"/>
        </w:rPr>
        <w:t>especially areas of particular importance for biodiversity and ecosystem functions</w:t>
      </w:r>
      <w:r w:rsidRPr="00ED7E61">
        <w:rPr>
          <w:rStyle w:val="normaltextrun"/>
          <w:rFonts w:asciiTheme="majorBidi" w:eastAsiaTheme="majorEastAsia" w:hAnsiTheme="majorBidi" w:cstheme="majorBidi"/>
          <w:i/>
          <w:iCs/>
          <w:color w:val="000000"/>
        </w:rPr>
        <w:t>... are... conserved and managed through ecologically representative... and equitably governed systems of protected areas and other effective area-based conservation measures</w:t>
      </w:r>
      <w:r w:rsidR="001B59DF">
        <w:rPr>
          <w:rStyle w:val="normaltextrun"/>
          <w:rFonts w:asciiTheme="majorBidi" w:eastAsiaTheme="majorEastAsia" w:hAnsiTheme="majorBidi" w:cstheme="majorBidi"/>
          <w:i/>
          <w:iCs/>
          <w:color w:val="000000"/>
        </w:rPr>
        <w:t>”</w:t>
      </w:r>
      <w:r w:rsidRPr="00ED7E61">
        <w:rPr>
          <w:rStyle w:val="normaltextrun"/>
          <w:rFonts w:asciiTheme="majorBidi" w:eastAsiaTheme="majorEastAsia" w:hAnsiTheme="majorBidi" w:cstheme="majorBidi"/>
          <w:color w:val="000000"/>
        </w:rPr>
        <w:t xml:space="preserve">. (See section 5b below in relation to the element </w:t>
      </w:r>
      <w:r w:rsidR="001B59DF">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i/>
          <w:iCs/>
          <w:color w:val="000000"/>
        </w:rPr>
        <w:t>recognizing indigenous and traditional territories, where applicable</w:t>
      </w:r>
      <w:r w:rsidR="001B59DF">
        <w:rPr>
          <w:rStyle w:val="normaltextrun"/>
          <w:rFonts w:asciiTheme="majorBidi" w:eastAsiaTheme="majorEastAsia" w:hAnsiTheme="majorBidi" w:cstheme="majorBidi"/>
          <w:i/>
          <w:iCs/>
          <w:color w:val="000000"/>
        </w:rPr>
        <w:t>”</w:t>
      </w:r>
      <w:r w:rsidRPr="00ED7E61">
        <w:rPr>
          <w:rStyle w:val="normaltextrun"/>
          <w:rFonts w:asciiTheme="majorBidi" w:eastAsiaTheme="majorEastAsia" w:hAnsiTheme="majorBidi" w:cstheme="majorBidi"/>
          <w:color w:val="000000"/>
        </w:rPr>
        <w:t>).</w:t>
      </w:r>
      <w:r w:rsidRPr="00ED7E61">
        <w:rPr>
          <w:rStyle w:val="eop"/>
          <w:rFonts w:asciiTheme="majorBidi" w:eastAsiaTheme="majorEastAsia" w:hAnsiTheme="majorBidi" w:cstheme="majorBidi"/>
          <w:color w:val="000000"/>
        </w:rPr>
        <w:t> </w:t>
      </w:r>
    </w:p>
    <w:p w14:paraId="4F0DB03B" w14:textId="4593F18F" w:rsidR="00756F0F"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 xml:space="preserve">The indicator enables tracking of the </w:t>
      </w:r>
      <w:r w:rsidR="001B59DF">
        <w:rPr>
          <w:rStyle w:val="normaltextrun"/>
          <w:rFonts w:asciiTheme="majorBidi" w:eastAsiaTheme="majorEastAsia" w:hAnsiTheme="majorBidi" w:cstheme="majorBidi"/>
          <w:color w:val="000000"/>
        </w:rPr>
        <w:t>“</w:t>
      </w:r>
      <w:r w:rsidRPr="00FB1598">
        <w:rPr>
          <w:rStyle w:val="normaltextrun"/>
          <w:rFonts w:asciiTheme="majorBidi" w:eastAsiaTheme="majorEastAsia" w:hAnsiTheme="majorBidi" w:cstheme="majorBidi"/>
          <w:i/>
          <w:iCs/>
          <w:color w:val="000000"/>
        </w:rPr>
        <w:t>30 per cent</w:t>
      </w:r>
      <w:r w:rsidR="001B59DF">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element, while the following disaggregations enable tracking of other elements: (1) coverage of protected areas versus OECMs, (2) coverage of realms, biomes, and ecosystems (3) coverage of areas of particular importance for biodiversity, (4) coverage by protected areas and OECMs with different levels of effectiveness, and (5) coverage by governance type. The rational for these disaggregations is explained further below:</w:t>
      </w:r>
      <w:r w:rsidRPr="00ED7E61">
        <w:rPr>
          <w:rStyle w:val="eop"/>
          <w:rFonts w:asciiTheme="majorBidi" w:eastAsiaTheme="majorEastAsia" w:hAnsiTheme="majorBidi" w:cstheme="majorBidi"/>
          <w:color w:val="000000"/>
        </w:rPr>
        <w:t> </w:t>
      </w:r>
    </w:p>
    <w:p w14:paraId="2F8D0429" w14:textId="57A6E0ED" w:rsidR="00737A0E"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rPr>
      </w:pPr>
      <w:r w:rsidRPr="00ED7E61">
        <w:rPr>
          <w:lang w:val="en-US"/>
        </w:rPr>
        <w:t>Coverage</w:t>
      </w:r>
      <w:r w:rsidRPr="00ED7E61">
        <w:rPr>
          <w:rStyle w:val="normaltextrun"/>
          <w:rFonts w:asciiTheme="majorBidi" w:eastAsiaTheme="majorEastAsia" w:hAnsiTheme="majorBidi" w:cstheme="majorBidi"/>
          <w:color w:val="000000"/>
        </w:rPr>
        <w:t xml:space="preserve"> by protected areas versus OECMs: this enables the relative contributions of these two approaches to meeting the 30% element of the target to be distinguished.</w:t>
      </w:r>
      <w:r w:rsidRPr="00ED7E61">
        <w:rPr>
          <w:rStyle w:val="eop"/>
          <w:rFonts w:asciiTheme="majorBidi" w:eastAsiaTheme="majorEastAsia" w:hAnsiTheme="majorBidi" w:cstheme="majorBidi"/>
          <w:color w:val="000000"/>
        </w:rPr>
        <w:t> </w:t>
      </w:r>
    </w:p>
    <w:p w14:paraId="4F6C9384" w14:textId="301588FF" w:rsidR="00737A0E"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000000"/>
        </w:rPr>
        <w:t>Coverage of realms, biomes, ecosystem functional groups, ecoregions etc</w:t>
      </w:r>
      <w:r w:rsidR="00D63349">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coverage of terrestrial, inland water, and marine and coastal realms will enable tracking of progress towards achieving 30 per cent coverage of</w:t>
      </w:r>
      <w:r w:rsidRPr="00ED7E61">
        <w:rPr>
          <w:rStyle w:val="normaltextrun"/>
          <w:rFonts w:asciiTheme="majorBidi" w:eastAsiaTheme="majorEastAsia" w:hAnsiTheme="majorBidi" w:cstheme="majorBidi"/>
          <w:i/>
          <w:iCs/>
          <w:color w:val="000000"/>
        </w:rPr>
        <w:t> </w:t>
      </w:r>
      <w:r w:rsidR="001B59DF">
        <w:rPr>
          <w:rStyle w:val="normaltextrun"/>
          <w:rFonts w:asciiTheme="majorBidi" w:eastAsiaTheme="majorEastAsia" w:hAnsiTheme="majorBidi" w:cstheme="majorBidi"/>
          <w:color w:val="000000"/>
        </w:rPr>
        <w:t>”</w:t>
      </w:r>
      <w:r w:rsidRPr="00FB1598">
        <w:rPr>
          <w:rStyle w:val="normaltextrun"/>
          <w:rFonts w:asciiTheme="majorBidi" w:eastAsiaTheme="majorEastAsia" w:hAnsiTheme="majorBidi" w:cstheme="majorBidi"/>
          <w:i/>
          <w:iCs/>
          <w:color w:val="000000"/>
        </w:rPr>
        <w:t>terrestrial and inland water areas</w:t>
      </w:r>
      <w:r w:rsidR="001B59DF">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and of </w:t>
      </w:r>
      <w:r w:rsidR="001B59DF">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w:t>
      </w:r>
      <w:r w:rsidRPr="00FB1598">
        <w:rPr>
          <w:rStyle w:val="normaltextrun"/>
          <w:rFonts w:asciiTheme="majorBidi" w:eastAsiaTheme="majorEastAsia" w:hAnsiTheme="majorBidi" w:cstheme="majorBidi"/>
          <w:i/>
          <w:iCs/>
          <w:color w:val="000000"/>
        </w:rPr>
        <w:t>marine and coastal areas</w:t>
      </w:r>
      <w:r w:rsidR="001B59DF">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i/>
          <w:iCs/>
          <w:color w:val="000000"/>
        </w:rPr>
        <w:t xml:space="preserve"> </w:t>
      </w:r>
      <w:r w:rsidRPr="00ED7E61">
        <w:rPr>
          <w:rStyle w:val="normaltextrun"/>
          <w:rFonts w:asciiTheme="majorBidi" w:eastAsiaTheme="majorEastAsia" w:hAnsiTheme="majorBidi" w:cstheme="majorBidi"/>
          <w:color w:val="000000"/>
        </w:rPr>
        <w:t xml:space="preserve">can provide insights into the degree to which protected area and OECM networks are </w:t>
      </w:r>
      <w:r w:rsidR="001B59DF">
        <w:rPr>
          <w:rStyle w:val="normaltextrun"/>
          <w:rFonts w:asciiTheme="majorBidi" w:eastAsiaTheme="majorEastAsia" w:hAnsiTheme="majorBidi" w:cstheme="majorBidi"/>
          <w:color w:val="000000"/>
        </w:rPr>
        <w:t>“</w:t>
      </w:r>
      <w:r w:rsidRPr="00FB1598">
        <w:rPr>
          <w:rStyle w:val="normaltextrun"/>
          <w:rFonts w:asciiTheme="majorBidi" w:eastAsiaTheme="majorEastAsia" w:hAnsiTheme="majorBidi" w:cstheme="majorBidi"/>
          <w:i/>
          <w:iCs/>
          <w:color w:val="000000"/>
        </w:rPr>
        <w:t>ecologically representative</w:t>
      </w:r>
      <w:r w:rsidR="001B59DF">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Richer understanding can be derived by disaggregating further to assess coverage of biomes within each realm (e.g.</w:t>
      </w:r>
      <w:r w:rsidR="00D63349">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color w:val="000000"/>
        </w:rPr>
        <w:t>Tropical/subtropical forests biome, Rivers and streams biome, Pelagic ocean waters biome etc</w:t>
      </w:r>
      <w:r w:rsidR="00D63349">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and to Ecosystem Functional Groups within each biome (e.g. Tropical/Subtropical Lowland Rainforests, Seagrass meadows, Permanent Upland Streams etc</w:t>
      </w:r>
      <w:r w:rsidR="00D63349">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or terrestrial, freshwater and marine ecoregions. </w:t>
      </w:r>
      <w:r w:rsidRPr="00ED7E61">
        <w:rPr>
          <w:rStyle w:val="eop"/>
          <w:rFonts w:asciiTheme="majorBidi" w:eastAsiaTheme="majorEastAsia" w:hAnsiTheme="majorBidi" w:cstheme="majorBidi"/>
          <w:color w:val="000000"/>
        </w:rPr>
        <w:t> </w:t>
      </w:r>
    </w:p>
    <w:p w14:paraId="1E606E03" w14:textId="70319053" w:rsidR="00737A0E"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000000"/>
        </w:rPr>
        <w:t xml:space="preserve">Coverage of areas of particular importance for biodiversity: existing Sustainable Development Goal Indicators 14.5.1 (marine), 15.1.2 (terrestrial and freshwater), and 15.4.1 (mountains) already report protected area coverage of Key Biodiversity Areas for all countries, as a measure of coverage of </w:t>
      </w:r>
      <w:r w:rsidR="001D4497">
        <w:rPr>
          <w:rStyle w:val="normaltextrun"/>
          <w:rFonts w:asciiTheme="majorBidi" w:eastAsiaTheme="majorEastAsia" w:hAnsiTheme="majorBidi" w:cstheme="majorBidi"/>
          <w:color w:val="000000"/>
        </w:rPr>
        <w:t>“</w:t>
      </w:r>
      <w:r w:rsidRPr="00FB1598">
        <w:rPr>
          <w:rStyle w:val="normaltextrun"/>
          <w:rFonts w:asciiTheme="majorBidi" w:eastAsiaTheme="majorEastAsia" w:hAnsiTheme="majorBidi" w:cstheme="majorBidi"/>
          <w:i/>
          <w:iCs/>
          <w:color w:val="000000"/>
        </w:rPr>
        <w:t>areas of particular importance for biodiversity</w:t>
      </w:r>
      <w:r w:rsidR="001D4497">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using nationally-defined, developed, and maintained datasets of areas of importance following the global Key Biodiversity Area (KBA) Standard. This provides a standardised dataset with which the headline coverage of areas of importance for biodiversity can be calculated. At a national scale, Parties may wish to include other areas that meet the definition of areas of particular importance for biodiversity (Plumptre et al</w:t>
      </w:r>
      <w:r w:rsidR="0059402D">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2024). A detailed methodology is provided below. </w:t>
      </w:r>
      <w:r w:rsidRPr="00ED7E61">
        <w:rPr>
          <w:rStyle w:val="eop"/>
          <w:rFonts w:asciiTheme="majorBidi" w:eastAsiaTheme="majorEastAsia" w:hAnsiTheme="majorBidi" w:cstheme="majorBidi"/>
          <w:color w:val="000000"/>
        </w:rPr>
        <w:t> </w:t>
      </w:r>
    </w:p>
    <w:p w14:paraId="2C77E875" w14:textId="53BFE804" w:rsidR="00737A0E"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000000"/>
        </w:rPr>
        <w:t>Coverage by level of effectiveness: the ‘</w:t>
      </w:r>
      <w:r w:rsidR="001D4497">
        <w:rPr>
          <w:rStyle w:val="normaltextrun"/>
          <w:rFonts w:asciiTheme="majorBidi" w:eastAsiaTheme="majorEastAsia" w:hAnsiTheme="majorBidi" w:cstheme="majorBidi"/>
          <w:color w:val="000000"/>
        </w:rPr>
        <w:t>”</w:t>
      </w:r>
      <w:r w:rsidRPr="00FB1598">
        <w:rPr>
          <w:rStyle w:val="normaltextrun"/>
          <w:rFonts w:asciiTheme="majorBidi" w:eastAsiaTheme="majorEastAsia" w:hAnsiTheme="majorBidi" w:cstheme="majorBidi"/>
          <w:i/>
          <w:iCs/>
          <w:color w:val="000000"/>
        </w:rPr>
        <w:t>effectively conserved and managed</w:t>
      </w:r>
      <w:r w:rsidR="001D4497">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element of Target 3 can be assessed by disaggregating protected area and OECM coverage using data on management effectiveness, governance quality, conservation outcomes, and the quality of design and planning to group protected areas and OECMs according to their level of effectiveness or change in effectiveness over time. A methodology for disaggregating the indicator in this way at the global level, building on the existing Global Database on Protected Area Management Effectiveness (GD-PAME), is in development, and broadly outlined below. </w:t>
      </w:r>
      <w:r w:rsidRPr="00ED7E61">
        <w:rPr>
          <w:rStyle w:val="eop"/>
          <w:rFonts w:asciiTheme="majorBidi" w:eastAsiaTheme="majorEastAsia" w:hAnsiTheme="majorBidi" w:cstheme="majorBidi"/>
          <w:color w:val="000000"/>
        </w:rPr>
        <w:t> </w:t>
      </w:r>
    </w:p>
    <w:p w14:paraId="60EFD5D2" w14:textId="2371CABB" w:rsidR="00756F0F"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000000"/>
        </w:rPr>
        <w:t>By governance type (government, private organi</w:t>
      </w:r>
      <w:r w:rsidR="00B10F0C">
        <w:rPr>
          <w:rStyle w:val="normaltextrun"/>
          <w:rFonts w:asciiTheme="majorBidi" w:eastAsiaTheme="majorEastAsia" w:hAnsiTheme="majorBidi" w:cstheme="majorBidi"/>
          <w:color w:val="000000"/>
        </w:rPr>
        <w:t>z</w:t>
      </w:r>
      <w:r w:rsidRPr="00ED7E61">
        <w:rPr>
          <w:rStyle w:val="normaltextrun"/>
          <w:rFonts w:asciiTheme="majorBidi" w:eastAsiaTheme="majorEastAsia" w:hAnsiTheme="majorBidi" w:cstheme="majorBidi"/>
          <w:color w:val="000000"/>
        </w:rPr>
        <w:t xml:space="preserve">ations, Indigenous Peoples and Local Communities, or shared) using data already documented in the WDPA and WD-OECM. Coverage of protected areas or OECMs with Indigenous peoples’ governance, local community governance, or shared governance is relevant to the </w:t>
      </w:r>
      <w:r w:rsidR="001D4497" w:rsidRPr="00FB1598">
        <w:rPr>
          <w:rStyle w:val="normaltextrun"/>
          <w:rFonts w:asciiTheme="majorBidi" w:eastAsiaTheme="majorEastAsia" w:hAnsiTheme="majorBidi" w:cstheme="majorBidi"/>
          <w:i/>
          <w:iCs/>
          <w:color w:val="000000"/>
        </w:rPr>
        <w:t>“</w:t>
      </w:r>
      <w:r w:rsidRPr="00FB1598">
        <w:rPr>
          <w:rStyle w:val="normaltextrun"/>
          <w:rFonts w:asciiTheme="majorBidi" w:eastAsiaTheme="majorEastAsia" w:hAnsiTheme="majorBidi" w:cstheme="majorBidi"/>
          <w:i/>
          <w:iCs/>
          <w:color w:val="000000"/>
        </w:rPr>
        <w:t>equitably governed</w:t>
      </w:r>
      <w:r w:rsidR="001D4497">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aspect of Target 3, albeit as a proxy, since these governance types have stronger engagement by Indigenous Peoples and Local Communities than governance by government and private governance.  </w:t>
      </w:r>
      <w:r w:rsidRPr="00ED7E61">
        <w:rPr>
          <w:rStyle w:val="eop"/>
          <w:rFonts w:asciiTheme="majorBidi" w:eastAsiaTheme="majorEastAsia" w:hAnsiTheme="majorBidi" w:cstheme="majorBidi"/>
          <w:color w:val="000000"/>
        </w:rPr>
        <w:t> </w:t>
      </w:r>
    </w:p>
    <w:p w14:paraId="49F5FD76" w14:textId="4D2FED2B" w:rsidR="00737A0E" w:rsidRPr="00ED7E61" w:rsidRDefault="00756F0F" w:rsidP="00B10F0C">
      <w:pPr>
        <w:pStyle w:val="CBDNormalNumber"/>
        <w:numPr>
          <w:ilvl w:val="0"/>
          <w:numId w:val="73"/>
        </w:numPr>
        <w:ind w:left="567" w:firstLine="0"/>
        <w:rPr>
          <w:rStyle w:val="normaltextrun"/>
          <w:rFonts w:eastAsiaTheme="majorEastAsia"/>
          <w:color w:val="000000"/>
        </w:rPr>
      </w:pPr>
      <w:r w:rsidRPr="00ED7E61">
        <w:rPr>
          <w:rStyle w:val="normaltextrun"/>
          <w:rFonts w:asciiTheme="majorBidi" w:eastAsiaTheme="majorEastAsia" w:hAnsiTheme="majorBidi" w:cstheme="majorBidi"/>
          <w:color w:val="000000"/>
        </w:rPr>
        <w:t>These disaggregations of the indicator reflect the fact that increases in percentage coverage are insufficient in isolation, and that protected areas and OECMs also need to be: located in areas of importance for biodiversity, cover representative areas of different realms, biomes and ecosystems (i.e. be ecologically representative), effective in achieving positive biodiversity outcomes, and equitably governed, as detailed in the wording of Target 3.</w:t>
      </w:r>
      <w:r w:rsidRPr="00ED7E61">
        <w:rPr>
          <w:rStyle w:val="normaltextrun"/>
          <w:color w:val="000000"/>
        </w:rPr>
        <w:t> </w:t>
      </w:r>
    </w:p>
    <w:p w14:paraId="25822F30" w14:textId="10ABFC0C" w:rsidR="00756F0F"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Disaggregations to reflect other elements of the target are not yet feasible owing to lack of suitable comprehensive data or methods, including in relation to areas of importance for ecosystem services, connectivity, equitabl</w:t>
      </w:r>
      <w:r w:rsidR="001E1899" w:rsidRPr="00ED7E61">
        <w:rPr>
          <w:rStyle w:val="normaltextrun"/>
          <w:rFonts w:asciiTheme="majorBidi" w:eastAsiaTheme="majorEastAsia" w:hAnsiTheme="majorBidi" w:cstheme="majorBidi"/>
        </w:rPr>
        <w:t>e</w:t>
      </w:r>
      <w:r w:rsidRPr="00ED7E61">
        <w:rPr>
          <w:rStyle w:val="normaltextrun"/>
          <w:rFonts w:asciiTheme="majorBidi" w:eastAsiaTheme="majorEastAsia" w:hAnsiTheme="majorBidi" w:cstheme="majorBidi"/>
        </w:rPr>
        <w:t xml:space="preserve"> governance, integration into wider landscapes, seascapes and the ocean, and respect for the rights of </w:t>
      </w:r>
      <w:r w:rsidR="001E1899" w:rsidRPr="00ED7E61">
        <w:rPr>
          <w:rStyle w:val="normaltextrun"/>
          <w:rFonts w:asciiTheme="majorBidi" w:eastAsiaTheme="majorEastAsia" w:hAnsiTheme="majorBidi" w:cstheme="majorBidi"/>
        </w:rPr>
        <w:t>i</w:t>
      </w:r>
      <w:r w:rsidRPr="00ED7E61">
        <w:rPr>
          <w:rStyle w:val="normaltextrun"/>
          <w:rFonts w:asciiTheme="majorBidi" w:eastAsiaTheme="majorEastAsia" w:hAnsiTheme="majorBidi" w:cstheme="majorBidi"/>
        </w:rPr>
        <w:t xml:space="preserve">ndigenous </w:t>
      </w:r>
      <w:r w:rsidR="001E1899" w:rsidRPr="00ED7E61">
        <w:rPr>
          <w:rStyle w:val="normaltextrun"/>
          <w:rFonts w:asciiTheme="majorBidi" w:eastAsiaTheme="majorEastAsia" w:hAnsiTheme="majorBidi" w:cstheme="majorBidi"/>
        </w:rPr>
        <w:t>p</w:t>
      </w:r>
      <w:r w:rsidRPr="00ED7E61">
        <w:rPr>
          <w:rStyle w:val="normaltextrun"/>
          <w:rFonts w:asciiTheme="majorBidi" w:eastAsiaTheme="majorEastAsia" w:hAnsiTheme="majorBidi" w:cstheme="majorBidi"/>
        </w:rPr>
        <w:t xml:space="preserve">eoples and </w:t>
      </w:r>
      <w:r w:rsidR="001E1899" w:rsidRPr="00ED7E61">
        <w:rPr>
          <w:rStyle w:val="normaltextrun"/>
          <w:rFonts w:asciiTheme="majorBidi" w:eastAsiaTheme="majorEastAsia" w:hAnsiTheme="majorBidi" w:cstheme="majorBidi"/>
        </w:rPr>
        <w:t>l</w:t>
      </w:r>
      <w:r w:rsidRPr="00ED7E61">
        <w:rPr>
          <w:rStyle w:val="normaltextrun"/>
          <w:rFonts w:asciiTheme="majorBidi" w:eastAsiaTheme="majorEastAsia" w:hAnsiTheme="majorBidi" w:cstheme="majorBidi"/>
        </w:rPr>
        <w:t xml:space="preserve">ocal </w:t>
      </w:r>
      <w:r w:rsidR="001E1899" w:rsidRPr="00ED7E61">
        <w:rPr>
          <w:rStyle w:val="normaltextrun"/>
          <w:rFonts w:asciiTheme="majorBidi" w:eastAsiaTheme="majorEastAsia" w:hAnsiTheme="majorBidi" w:cstheme="majorBidi"/>
        </w:rPr>
        <w:t>c</w:t>
      </w:r>
      <w:r w:rsidRPr="00ED7E61">
        <w:rPr>
          <w:rStyle w:val="normaltextrun"/>
          <w:rFonts w:asciiTheme="majorBidi" w:eastAsiaTheme="majorEastAsia" w:hAnsiTheme="majorBidi" w:cstheme="majorBidi"/>
        </w:rPr>
        <w:t>ommunities. Assessing progress to Target 3 will require consideration of Sections C</w:t>
      </w:r>
      <w:r w:rsidR="001E1899" w:rsidRPr="00ED7E61">
        <w:rPr>
          <w:rStyle w:val="normaltextrun"/>
          <w:rFonts w:asciiTheme="majorBidi" w:eastAsiaTheme="majorEastAsia" w:hAnsiTheme="majorBidi" w:cstheme="majorBidi"/>
        </w:rPr>
        <w:t xml:space="preserve"> including paragraphs </w:t>
      </w:r>
      <w:r w:rsidRPr="00ED7E61">
        <w:rPr>
          <w:rStyle w:val="normaltextrun"/>
          <w:rFonts w:asciiTheme="majorBidi" w:eastAsiaTheme="majorEastAsia" w:hAnsiTheme="majorBidi" w:cstheme="majorBidi"/>
        </w:rPr>
        <w:t xml:space="preserve">(a), (b), (g), </w:t>
      </w:r>
      <w:r w:rsidR="001E1899" w:rsidRPr="00ED7E61">
        <w:rPr>
          <w:rStyle w:val="normaltextrun"/>
          <w:rFonts w:asciiTheme="majorBidi" w:eastAsiaTheme="majorEastAsia" w:hAnsiTheme="majorBidi" w:cstheme="majorBidi"/>
        </w:rPr>
        <w:t xml:space="preserve">(h) </w:t>
      </w:r>
      <w:r w:rsidRPr="00ED7E61">
        <w:rPr>
          <w:rStyle w:val="normaltextrun"/>
          <w:rFonts w:asciiTheme="majorBidi" w:eastAsiaTheme="majorEastAsia" w:hAnsiTheme="majorBidi" w:cstheme="majorBidi"/>
        </w:rPr>
        <w:t>and (n) in the Kunming-Montreal Global Biodiversity Framework, as well as the cross-cutting nature of indicators for Targets 21-23.</w:t>
      </w:r>
      <w:r w:rsidRPr="00ED7E61">
        <w:rPr>
          <w:rStyle w:val="eop"/>
          <w:rFonts w:asciiTheme="majorBidi" w:eastAsiaTheme="majorEastAsia" w:hAnsiTheme="majorBidi" w:cstheme="majorBidi"/>
        </w:rPr>
        <w:t> </w:t>
      </w:r>
    </w:p>
    <w:p w14:paraId="0E5914B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0A7B6C06" w14:textId="77777777" w:rsidR="00756F0F" w:rsidRPr="00ED7E61" w:rsidRDefault="00756F0F" w:rsidP="0052279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3BEBCB9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AU"/>
        </w:rPr>
        <w:t>Indicator definition</w:t>
      </w:r>
      <w:r w:rsidRPr="00ED7E61">
        <w:rPr>
          <w:rStyle w:val="normaltextrun"/>
          <w:rFonts w:asciiTheme="majorBidi" w:eastAsiaTheme="majorEastAsia" w:hAnsiTheme="majorBidi" w:cstheme="majorBidi"/>
          <w:color w:val="000000"/>
          <w:sz w:val="22"/>
          <w:szCs w:val="22"/>
          <w:lang w:val="en-AU"/>
        </w:rPr>
        <w:t>: </w:t>
      </w:r>
      <w:r w:rsidRPr="00ED7E61">
        <w:rPr>
          <w:rStyle w:val="eop"/>
          <w:rFonts w:asciiTheme="majorBidi" w:eastAsiaTheme="majorEastAsia" w:hAnsiTheme="majorBidi" w:cstheme="majorBidi"/>
          <w:color w:val="000000"/>
          <w:sz w:val="22"/>
          <w:szCs w:val="22"/>
        </w:rPr>
        <w:t> </w:t>
      </w:r>
    </w:p>
    <w:p w14:paraId="05203C54" w14:textId="77777777" w:rsidR="003A3797" w:rsidRPr="00ED7E61" w:rsidRDefault="00756F0F" w:rsidP="00B10F0C">
      <w:pPr>
        <w:pStyle w:val="CBDNormalNumber"/>
        <w:numPr>
          <w:ilvl w:val="0"/>
          <w:numId w:val="73"/>
        </w:numPr>
        <w:ind w:left="567" w:firstLine="0"/>
        <w:rPr>
          <w:rStyle w:val="normaltextrun"/>
          <w:rFonts w:asciiTheme="majorBidi" w:hAnsiTheme="majorBidi" w:cstheme="majorBidi"/>
          <w:sz w:val="24"/>
          <w:szCs w:val="24"/>
          <w:lang w:val="en-CA"/>
        </w:rPr>
      </w:pPr>
      <w:r w:rsidRPr="00ED7E61">
        <w:rPr>
          <w:rStyle w:val="normaltextrun"/>
          <w:rFonts w:asciiTheme="majorBidi" w:eastAsiaTheme="majorEastAsia" w:hAnsiTheme="majorBidi" w:cstheme="majorBidi"/>
          <w:color w:val="000000"/>
        </w:rPr>
        <w:t>This</w:t>
      </w:r>
      <w:r w:rsidRPr="00ED7E61">
        <w:rPr>
          <w:rStyle w:val="normaltextrun"/>
          <w:rFonts w:asciiTheme="majorBidi" w:eastAsiaTheme="majorEastAsia" w:hAnsiTheme="majorBidi" w:cstheme="majorBidi"/>
        </w:rPr>
        <w:t xml:space="preserve"> indicator measures the percentage area covered by protected areas or OECMs. The five disaggregations measure: </w:t>
      </w:r>
    </w:p>
    <w:p w14:paraId="5743063F" w14:textId="2D8E35AC"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Style w:val="normaltextrun"/>
          <w:rFonts w:asciiTheme="majorBidi" w:hAnsiTheme="majorBidi" w:cstheme="majorBidi"/>
        </w:rPr>
      </w:pPr>
      <w:r w:rsidRPr="00ED7E61">
        <w:rPr>
          <w:rStyle w:val="normaltextrun"/>
          <w:rFonts w:asciiTheme="majorBidi" w:eastAsiaTheme="majorEastAsia" w:hAnsiTheme="majorBidi" w:cstheme="majorBidi"/>
          <w:color w:val="000000"/>
        </w:rPr>
        <w:t xml:space="preserve">the percentage area covered by protected areas and the percentage area covered by OECMs; </w:t>
      </w:r>
    </w:p>
    <w:p w14:paraId="1AAA9386" w14:textId="43ADC6E0"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Style w:val="normaltextrun"/>
          <w:rFonts w:asciiTheme="majorBidi" w:hAnsiTheme="majorBidi" w:cstheme="majorBidi"/>
        </w:rPr>
      </w:pPr>
      <w:r w:rsidRPr="00ED7E61">
        <w:rPr>
          <w:rStyle w:val="normaltextrun"/>
          <w:rFonts w:asciiTheme="majorBidi" w:eastAsiaTheme="majorEastAsia" w:hAnsiTheme="majorBidi" w:cstheme="majorBidi"/>
          <w:color w:val="000000"/>
        </w:rPr>
        <w:t>the percentage area of terrestrial, inland water, and marine and coastal realms (and biomes and ecosystems within them) covered by protected areas or OECMs;</w:t>
      </w:r>
    </w:p>
    <w:p w14:paraId="5D5FCA86" w14:textId="7CB34C79"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Style w:val="normaltextrun"/>
          <w:rFonts w:asciiTheme="majorBidi" w:hAnsiTheme="majorBidi" w:cstheme="majorBidi"/>
        </w:rPr>
      </w:pPr>
      <w:r w:rsidRPr="00ED7E61">
        <w:rPr>
          <w:rStyle w:val="normaltextrun"/>
          <w:rFonts w:asciiTheme="majorBidi" w:eastAsiaTheme="majorEastAsia" w:hAnsiTheme="majorBidi" w:cstheme="majorBidi"/>
          <w:color w:val="000000"/>
        </w:rPr>
        <w:t xml:space="preserve"> the mean percentage of areas of particular importance for biodiversity (KBAs) covered by protected areas or OECMs (SDG indicators 14.5.1, 15.1.2, 15.4.1 represent the marine, terrestrial/freshwater and mountain components of this metric); </w:t>
      </w:r>
    </w:p>
    <w:p w14:paraId="19125CCE" w14:textId="0589BAA4"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Style w:val="normaltextrun"/>
          <w:rFonts w:asciiTheme="majorBidi" w:hAnsiTheme="majorBidi" w:cstheme="majorBidi"/>
        </w:rPr>
      </w:pPr>
      <w:r w:rsidRPr="00ED7E61">
        <w:rPr>
          <w:rStyle w:val="normaltextrun"/>
          <w:rFonts w:asciiTheme="majorBidi" w:eastAsiaTheme="majorEastAsia" w:hAnsiTheme="majorBidi" w:cstheme="majorBidi"/>
          <w:color w:val="000000"/>
        </w:rPr>
        <w:t xml:space="preserve">the percentage area covered by protected areas or OECMs that are at different levels of effectiveness (details still under development); </w:t>
      </w:r>
    </w:p>
    <w:p w14:paraId="5FEF3108" w14:textId="1363DF76" w:rsidR="00756F0F"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000000"/>
        </w:rPr>
        <w:t>the percentage area covered by</w:t>
      </w:r>
      <w:r w:rsidRPr="00ED7E61">
        <w:rPr>
          <w:rStyle w:val="normaltextrun"/>
          <w:rFonts w:asciiTheme="majorBidi" w:eastAsiaTheme="majorEastAsia" w:hAnsiTheme="majorBidi" w:cstheme="majorBidi"/>
        </w:rPr>
        <w:t xml:space="preserve"> protected areas or OECMs that are governed by each of: government, private organi</w:t>
      </w:r>
      <w:r w:rsidR="00B10F0C">
        <w:rPr>
          <w:rStyle w:val="normaltextrun"/>
          <w:rFonts w:asciiTheme="majorBidi" w:eastAsiaTheme="majorEastAsia" w:hAnsiTheme="majorBidi" w:cstheme="majorBidi"/>
        </w:rPr>
        <w:t>z</w:t>
      </w:r>
      <w:r w:rsidRPr="00ED7E61">
        <w:rPr>
          <w:rStyle w:val="normaltextrun"/>
          <w:rFonts w:asciiTheme="majorBidi" w:eastAsiaTheme="majorEastAsia" w:hAnsiTheme="majorBidi" w:cstheme="majorBidi"/>
        </w:rPr>
        <w:t>ations, Indigenous Peoples and Local Communities, or shared.</w:t>
      </w:r>
      <w:r w:rsidRPr="00ED7E61">
        <w:rPr>
          <w:rStyle w:val="eop"/>
          <w:rFonts w:asciiTheme="majorBidi" w:eastAsiaTheme="majorEastAsia" w:hAnsiTheme="majorBidi" w:cstheme="majorBidi"/>
        </w:rPr>
        <w:t> </w:t>
      </w:r>
    </w:p>
    <w:p w14:paraId="7638E86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AU"/>
        </w:rPr>
        <w:t>Other key concepts and definitions:</w:t>
      </w:r>
      <w:r w:rsidRPr="00ED7E61">
        <w:rPr>
          <w:rStyle w:val="eop"/>
          <w:rFonts w:asciiTheme="majorBidi" w:eastAsiaTheme="majorEastAsia" w:hAnsiTheme="majorBidi" w:cstheme="majorBidi"/>
          <w:color w:val="000000"/>
          <w:sz w:val="22"/>
          <w:szCs w:val="22"/>
        </w:rPr>
        <w:t> </w:t>
      </w:r>
    </w:p>
    <w:p w14:paraId="510587D5" w14:textId="0B6382D5" w:rsidR="003A3797" w:rsidRPr="00ED7E61" w:rsidRDefault="00756F0F" w:rsidP="00B10F0C">
      <w:pPr>
        <w:pStyle w:val="CBDNormalNumber"/>
        <w:numPr>
          <w:ilvl w:val="0"/>
          <w:numId w:val="73"/>
        </w:numPr>
        <w:ind w:left="567" w:firstLine="0"/>
        <w:rPr>
          <w:rStyle w:val="normaltextrun"/>
          <w:rFonts w:eastAsiaTheme="majorEastAsia"/>
          <w:color w:val="000000"/>
          <w:sz w:val="24"/>
          <w:szCs w:val="24"/>
          <w:lang w:val="en-CA"/>
        </w:rPr>
      </w:pPr>
      <w:r w:rsidRPr="00ED7E61">
        <w:rPr>
          <w:rStyle w:val="normaltextrun"/>
          <w:rFonts w:asciiTheme="majorBidi" w:eastAsiaTheme="majorEastAsia" w:hAnsiTheme="majorBidi" w:cstheme="majorBidi"/>
          <w:color w:val="000000"/>
        </w:rPr>
        <w:t xml:space="preserve">Protected area: </w:t>
      </w:r>
      <w:r w:rsidR="001D4497">
        <w:rPr>
          <w:rStyle w:val="normaltextrun"/>
          <w:rFonts w:asciiTheme="majorBidi" w:eastAsiaTheme="majorEastAsia" w:hAnsiTheme="majorBidi" w:cstheme="majorBidi"/>
          <w:color w:val="000000"/>
        </w:rPr>
        <w:t>“</w:t>
      </w:r>
      <w:r w:rsidRPr="00FB1598">
        <w:rPr>
          <w:rStyle w:val="normaltextrun"/>
          <w:rFonts w:asciiTheme="majorBidi" w:eastAsiaTheme="majorEastAsia" w:hAnsiTheme="majorBidi" w:cstheme="majorBidi"/>
          <w:i/>
          <w:iCs/>
          <w:color w:val="000000"/>
        </w:rPr>
        <w:t>A clearly defined geographical space, recognised, dedicated and managed, through legal or other effective means, to achieve the long-term conservation of nature with associated ecosystem services and cultural values</w:t>
      </w:r>
      <w:r w:rsidRPr="00ED7E61">
        <w:rPr>
          <w:rStyle w:val="normaltextrun"/>
          <w:rFonts w:asciiTheme="majorBidi" w:eastAsiaTheme="majorEastAsia" w:hAnsiTheme="majorBidi" w:cstheme="majorBidi"/>
          <w:color w:val="000000"/>
        </w:rPr>
        <w:t>.</w:t>
      </w:r>
      <w:r w:rsidR="001D4497">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(Dudley et al. 2008).</w:t>
      </w:r>
      <w:r w:rsidRPr="00ED7E61">
        <w:rPr>
          <w:rStyle w:val="normaltextrun"/>
          <w:color w:val="000000"/>
        </w:rPr>
        <w:t> </w:t>
      </w:r>
    </w:p>
    <w:p w14:paraId="3B0D7F33" w14:textId="7F45A2FD" w:rsidR="003A3797"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Other effective area-based conservation measure: </w:t>
      </w:r>
      <w:r w:rsidR="001D4497">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a geographically defined area other than a Protected Area, which is governed and managed in ways that achieve positive and sustained long-term outcomes for the in situ conservation of biodiversity, with associated ecosystem functions and services and where applicable, cultural, s</w:t>
      </w:r>
      <w:r w:rsidR="00F922E3">
        <w:rPr>
          <w:rStyle w:val="normaltextrun"/>
          <w:rFonts w:asciiTheme="majorBidi" w:eastAsiaTheme="majorEastAsia" w:hAnsiTheme="majorBidi" w:cstheme="majorBidi"/>
          <w:i/>
          <w:iCs/>
        </w:rPr>
        <w:t>6</w:t>
      </w:r>
      <w:r w:rsidRPr="00FB1598">
        <w:rPr>
          <w:rStyle w:val="normaltextrun"/>
          <w:rFonts w:asciiTheme="majorBidi" w:eastAsiaTheme="majorEastAsia" w:hAnsiTheme="majorBidi" w:cstheme="majorBidi"/>
          <w:i/>
          <w:iCs/>
        </w:rPr>
        <w:t>piritual, socio–economic, and other locally relevant values</w:t>
      </w:r>
      <w:r w:rsidRPr="00ED7E61">
        <w:rPr>
          <w:rStyle w:val="normaltextrun"/>
          <w:rFonts w:asciiTheme="majorBidi" w:eastAsiaTheme="majorEastAsia" w:hAnsiTheme="majorBidi" w:cstheme="majorBidi"/>
        </w:rPr>
        <w:t>.</w:t>
      </w:r>
      <w:r w:rsidR="001D4497">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(CBD, 2018).</w:t>
      </w:r>
      <w:r w:rsidRPr="00ED7E61">
        <w:rPr>
          <w:rStyle w:val="eop"/>
          <w:rFonts w:asciiTheme="majorBidi" w:eastAsiaTheme="majorEastAsia" w:hAnsiTheme="majorBidi" w:cstheme="majorBidi"/>
        </w:rPr>
        <w:t> </w:t>
      </w:r>
    </w:p>
    <w:p w14:paraId="0246DBD2" w14:textId="3C50C3C9" w:rsidR="00756F0F"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Areas of particular importance for biodiversity: </w:t>
      </w:r>
      <w:r w:rsidR="001D4497">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sites that contain significant populations/extents of threatened or geographically restricted species or ecosystems, or that have significant ecological integrity or irreplaceability, significance for the maintenance of biological processes, or provide significant ecological connectivity to maintain populations of species</w:t>
      </w:r>
      <w:r w:rsidR="001D4497">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(Plumptre et al</w:t>
      </w:r>
      <w:r w:rsidR="0059402D">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2024). Key Biodiversity Areas have been identified in all countries and represent the most comprehensive network of such sites, and are defined as sites “</w:t>
      </w:r>
      <w:r w:rsidRPr="00FB1598">
        <w:rPr>
          <w:rStyle w:val="normaltextrun"/>
          <w:rFonts w:asciiTheme="majorBidi" w:eastAsiaTheme="majorEastAsia" w:hAnsiTheme="majorBidi" w:cstheme="majorBidi"/>
          <w:i/>
          <w:iCs/>
        </w:rPr>
        <w:t>contributing significantly to the global persistence of biodiversity</w:t>
      </w:r>
      <w:r w:rsidRPr="00ED7E61">
        <w:rPr>
          <w:rStyle w:val="normaltextrun"/>
          <w:rFonts w:asciiTheme="majorBidi" w:eastAsiaTheme="majorEastAsia" w:hAnsiTheme="majorBidi" w:cstheme="majorBidi"/>
        </w:rPr>
        <w:t>” (IUCN, 2016).</w:t>
      </w:r>
      <w:r w:rsidRPr="00ED7E61">
        <w:rPr>
          <w:rStyle w:val="eop"/>
          <w:rFonts w:asciiTheme="majorBidi" w:eastAsiaTheme="majorEastAsia" w:hAnsiTheme="majorBidi" w:cstheme="majorBidi"/>
        </w:rPr>
        <w:t> </w:t>
      </w:r>
    </w:p>
    <w:p w14:paraId="736BB31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7A711128" w14:textId="7748D601" w:rsidR="003A3797"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color w:val="000000"/>
        </w:rPr>
        <w:t>The</w:t>
      </w:r>
      <w:r w:rsidRPr="00ED7E61">
        <w:rPr>
          <w:rStyle w:val="normaltextrun"/>
          <w:rFonts w:asciiTheme="majorBidi" w:eastAsiaTheme="majorEastAsia" w:hAnsiTheme="majorBidi" w:cstheme="majorBidi"/>
        </w:rPr>
        <w:t xml:space="preserve"> indicator is calculated from data in the form of point locations and polygons of protected area and OECM boundaries managed in the WDPA and the WD-OECM. The majority of these sites are available for download at </w:t>
      </w:r>
      <w:hyperlink r:id="rId368" w:tgtFrame="_blank" w:history="1">
        <w:r w:rsidRPr="00ED7E61">
          <w:rPr>
            <w:rStyle w:val="normaltextrun"/>
            <w:rFonts w:asciiTheme="majorBidi" w:eastAsiaTheme="majorEastAsia" w:hAnsiTheme="majorBidi" w:cstheme="majorBidi"/>
            <w:color w:val="467886"/>
            <w:u w:val="single"/>
          </w:rPr>
          <w:t>www.protectedplanet.net</w:t>
        </w:r>
      </w:hyperlink>
      <w:r w:rsidRPr="00ED7E61">
        <w:rPr>
          <w:rStyle w:val="normaltextrun"/>
          <w:rFonts w:asciiTheme="majorBidi" w:eastAsiaTheme="majorEastAsia" w:hAnsiTheme="majorBidi" w:cstheme="majorBidi"/>
        </w:rPr>
        <w:t>. However, due to restrictions requested by some data providers, a small number of sites are not made publicly available. These sites are still included in the analyses that generate coverage statistics.</w:t>
      </w:r>
      <w:r w:rsidRPr="00ED7E61">
        <w:rPr>
          <w:rStyle w:val="eop"/>
          <w:rFonts w:asciiTheme="majorBidi" w:eastAsiaTheme="majorEastAsia" w:hAnsiTheme="majorBidi" w:cstheme="majorBidi"/>
        </w:rPr>
        <w:t> </w:t>
      </w:r>
    </w:p>
    <w:p w14:paraId="3A7ACAFF" w14:textId="77777777" w:rsidR="00756F0F"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Not all sites in the WDPA are included in the indicator. Proposed protected areas are excluded, as are sites for which the status has not been reported. Sites submitted as points with no reported area are also excluded. Currently, UNESCO Man and Biosphere Reserves (MAB) sites reported to the WDPA are excluded, on the basis that that the MAB sites currently in the WDPA include buffer and transition zones that in many cases are not protected areas. MAB Core areas are usually protected areas designated at a national level and are therefore generally accounted for in our calculations. (UNEP-WCMC is working with the MAB Secretariat to secure an accurate set of boundaries for the core areas to ensure the contribution of these sites is accurately reflected). MAB sites reported as OECMs are, however, included in coverage analyses.</w:t>
      </w:r>
      <w:r w:rsidRPr="00ED7E61">
        <w:rPr>
          <w:rStyle w:val="eop"/>
          <w:rFonts w:asciiTheme="majorBidi" w:eastAsiaTheme="majorEastAsia" w:hAnsiTheme="majorBidi" w:cstheme="majorBidi"/>
        </w:rPr>
        <w:t> </w:t>
      </w:r>
    </w:p>
    <w:p w14:paraId="13CA64EB" w14:textId="77777777" w:rsidR="00756F0F"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The protected area coverage is calculated using the following steps:</w:t>
      </w:r>
      <w:r w:rsidRPr="00ED7E61">
        <w:rPr>
          <w:rStyle w:val="eop"/>
          <w:rFonts w:asciiTheme="majorBidi" w:eastAsiaTheme="majorEastAsia" w:hAnsiTheme="majorBidi" w:cstheme="majorBidi"/>
        </w:rPr>
        <w:t> </w:t>
      </w:r>
    </w:p>
    <w:p w14:paraId="34A49BB6" w14:textId="0173DC3A"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color w:val="000000"/>
        </w:rPr>
        <w:t>The</w:t>
      </w:r>
      <w:r w:rsidRPr="00ED7E61">
        <w:rPr>
          <w:rStyle w:val="normaltextrun"/>
          <w:rFonts w:asciiTheme="majorBidi" w:eastAsiaTheme="majorEastAsia" w:hAnsiTheme="majorBidi" w:cstheme="majorBidi"/>
        </w:rPr>
        <w:t xml:space="preserve"> WDPA is filtered to exclude records with the characteristics listed above.</w:t>
      </w:r>
      <w:r w:rsidRPr="00ED7E61">
        <w:rPr>
          <w:rStyle w:val="eop"/>
          <w:rFonts w:asciiTheme="majorBidi" w:eastAsiaTheme="majorEastAsia" w:hAnsiTheme="majorBidi" w:cstheme="majorBidi"/>
        </w:rPr>
        <w:t> </w:t>
      </w:r>
    </w:p>
    <w:p w14:paraId="777E64F5" w14:textId="54D44741"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rPr>
        <w:t>A buffer is created around protected areas reported as points using their Reported Area. There are important caveats associated with this method, some of which are explored by Visconti et al. 2013. Buffering points can underestimate or overestimate protected area coverage as the circles created around points might cover areas where protected areas do not exist (overestimation) or overlap with areas where other protected areas already exist (underestimation). It can also give inaccurate values for sites that are partly terrestrial and marine as the absence of boundaries make it difficult to predict which portion of a protected area is in the land or the sea.</w:t>
      </w:r>
      <w:r w:rsidRPr="00ED7E61">
        <w:rPr>
          <w:rStyle w:val="eop"/>
          <w:rFonts w:asciiTheme="majorBidi" w:eastAsiaTheme="majorEastAsia" w:hAnsiTheme="majorBidi" w:cstheme="majorBidi"/>
        </w:rPr>
        <w:t> </w:t>
      </w:r>
    </w:p>
    <w:p w14:paraId="7D2B1899" w14:textId="6EBE6C91"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rPr>
        <w:t>Both polygon and buffered point layers are combined in a single layer.</w:t>
      </w:r>
      <w:r w:rsidRPr="00ED7E61">
        <w:rPr>
          <w:rStyle w:val="eop"/>
          <w:rFonts w:asciiTheme="majorBidi" w:eastAsiaTheme="majorEastAsia" w:hAnsiTheme="majorBidi" w:cstheme="majorBidi"/>
        </w:rPr>
        <w:t> </w:t>
      </w:r>
    </w:p>
    <w:p w14:paraId="4C9E2F66" w14:textId="1A57E7D2"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rPr>
        <w:t>For calculating the overall coverage, this layer is flattened (dissolved) to eliminate overlaps between designations and avoid double counting.</w:t>
      </w:r>
      <w:r w:rsidRPr="00ED7E61">
        <w:rPr>
          <w:rStyle w:val="eop"/>
          <w:rFonts w:asciiTheme="majorBidi" w:eastAsiaTheme="majorEastAsia" w:hAnsiTheme="majorBidi" w:cstheme="majorBidi"/>
        </w:rPr>
        <w:t> </w:t>
      </w:r>
    </w:p>
    <w:p w14:paraId="747839E2" w14:textId="3965218E" w:rsidR="00756F0F"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rPr>
        <w:t>Subsequent steps are described in Section 8. </w:t>
      </w:r>
      <w:r w:rsidRPr="00ED7E61">
        <w:rPr>
          <w:rStyle w:val="eop"/>
          <w:rFonts w:asciiTheme="majorBidi" w:eastAsiaTheme="majorEastAsia" w:hAnsiTheme="majorBidi" w:cstheme="majorBidi"/>
        </w:rPr>
        <w:t> </w:t>
      </w:r>
    </w:p>
    <w:p w14:paraId="43517A34" w14:textId="77777777" w:rsidR="00756F0F" w:rsidRPr="00ED7E61" w:rsidRDefault="00756F0F" w:rsidP="00B10F0C">
      <w:pPr>
        <w:pStyle w:val="CBDNormalNumber"/>
        <w:numPr>
          <w:ilvl w:val="0"/>
          <w:numId w:val="73"/>
        </w:numPr>
        <w:ind w:left="567" w:firstLine="0"/>
        <w:rPr>
          <w:rStyle w:val="normaltextrun"/>
          <w:rFonts w:eastAsiaTheme="majorEastAsia"/>
        </w:rPr>
      </w:pPr>
      <w:r w:rsidRPr="00ED7E61">
        <w:rPr>
          <w:rStyle w:val="normaltextrun"/>
          <w:rFonts w:asciiTheme="majorBidi" w:eastAsiaTheme="majorEastAsia" w:hAnsiTheme="majorBidi" w:cstheme="majorBidi"/>
        </w:rPr>
        <w:t>The OECM coverage is calculated separately:</w:t>
      </w:r>
      <w:r w:rsidRPr="00ED7E61">
        <w:rPr>
          <w:rStyle w:val="normaltextrun"/>
        </w:rPr>
        <w:t> </w:t>
      </w:r>
    </w:p>
    <w:p w14:paraId="0E447102" w14:textId="77C51C40"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rPr>
        <w:t>The latest WD-OECM monthly release is used.</w:t>
      </w:r>
      <w:r w:rsidRPr="00ED7E61">
        <w:rPr>
          <w:rStyle w:val="eop"/>
          <w:rFonts w:asciiTheme="majorBidi" w:eastAsiaTheme="majorEastAsia" w:hAnsiTheme="majorBidi" w:cstheme="majorBidi"/>
        </w:rPr>
        <w:t> </w:t>
      </w:r>
    </w:p>
    <w:p w14:paraId="2E1F2120" w14:textId="5FD9B105"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rPr>
        <w:t>A buffer is created around OECMs reported as points using their Reported Area.</w:t>
      </w:r>
      <w:r w:rsidRPr="00ED7E61">
        <w:rPr>
          <w:rStyle w:val="eop"/>
          <w:rFonts w:asciiTheme="majorBidi" w:eastAsiaTheme="majorEastAsia" w:hAnsiTheme="majorBidi" w:cstheme="majorBidi"/>
        </w:rPr>
        <w:t> </w:t>
      </w:r>
    </w:p>
    <w:p w14:paraId="731F3A21" w14:textId="3D68EAB4"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rPr>
        <w:t>Both polygon and buffered point layers are combined in a single layer.</w:t>
      </w:r>
      <w:r w:rsidRPr="00ED7E61">
        <w:rPr>
          <w:rStyle w:val="eop"/>
          <w:rFonts w:asciiTheme="majorBidi" w:eastAsiaTheme="majorEastAsia" w:hAnsiTheme="majorBidi" w:cstheme="majorBidi"/>
        </w:rPr>
        <w:t> </w:t>
      </w:r>
    </w:p>
    <w:p w14:paraId="6A122665" w14:textId="7D00C5B7"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rPr>
        <w:t>Areas where protected areas and OECMs overlap are erased from this layer using the global protected areas dissolved layer (step 4 above).</w:t>
      </w:r>
      <w:r w:rsidRPr="00ED7E61">
        <w:rPr>
          <w:rStyle w:val="eop"/>
          <w:rFonts w:asciiTheme="majorBidi" w:eastAsiaTheme="majorEastAsia" w:hAnsiTheme="majorBidi" w:cstheme="majorBidi"/>
        </w:rPr>
        <w:t> </w:t>
      </w:r>
    </w:p>
    <w:p w14:paraId="1AED98F6" w14:textId="21AE04E1" w:rsidR="003A3797"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rPr>
        <w:t>The output OECMs layer is flattened (dissolved).</w:t>
      </w:r>
      <w:r w:rsidRPr="00ED7E61">
        <w:rPr>
          <w:rStyle w:val="eop"/>
          <w:rFonts w:asciiTheme="majorBidi" w:eastAsiaTheme="majorEastAsia" w:hAnsiTheme="majorBidi" w:cstheme="majorBidi"/>
        </w:rPr>
        <w:t> </w:t>
      </w:r>
    </w:p>
    <w:p w14:paraId="25D8571F" w14:textId="2BFDE7E8" w:rsidR="00756F0F" w:rsidRPr="00ED7E61" w:rsidRDefault="00756F0F" w:rsidP="00B10F0C">
      <w:pPr>
        <w:pStyle w:val="CBDNormalNumber"/>
        <w:numPr>
          <w:ilvl w:val="1"/>
          <w:numId w:val="73"/>
        </w:numPr>
        <w:tabs>
          <w:tab w:val="clear" w:pos="567"/>
          <w:tab w:val="clear" w:pos="1134"/>
          <w:tab w:val="clear" w:pos="2268"/>
          <w:tab w:val="left" w:pos="1985"/>
        </w:tabs>
        <w:ind w:left="567" w:firstLine="567"/>
        <w:rPr>
          <w:rFonts w:asciiTheme="majorBidi" w:hAnsiTheme="majorBidi" w:cstheme="majorBidi"/>
          <w:color w:val="4A4A4A"/>
        </w:rPr>
      </w:pPr>
      <w:r w:rsidRPr="00ED7E61">
        <w:rPr>
          <w:rStyle w:val="normaltextrun"/>
          <w:rFonts w:asciiTheme="majorBidi" w:eastAsiaTheme="majorEastAsia" w:hAnsiTheme="majorBidi" w:cstheme="majorBidi"/>
        </w:rPr>
        <w:t>Subsequent steps are described in section 8. </w:t>
      </w:r>
      <w:r w:rsidRPr="00ED7E61">
        <w:rPr>
          <w:rStyle w:val="eop"/>
          <w:rFonts w:asciiTheme="majorBidi" w:eastAsiaTheme="majorEastAsia" w:hAnsiTheme="majorBidi" w:cstheme="majorBidi"/>
        </w:rPr>
        <w:t> </w:t>
      </w:r>
    </w:p>
    <w:p w14:paraId="40BD56AF" w14:textId="07759BE7" w:rsidR="003A3797" w:rsidRPr="00ED7E61" w:rsidRDefault="00756F0F" w:rsidP="00B10F0C">
      <w:pPr>
        <w:pStyle w:val="CBDNormalNumber"/>
        <w:numPr>
          <w:ilvl w:val="0"/>
          <w:numId w:val="73"/>
        </w:numPr>
        <w:ind w:left="567" w:firstLine="0"/>
        <w:rPr>
          <w:rStyle w:val="normaltextrun"/>
          <w:rFonts w:eastAsiaTheme="majorEastAsia"/>
        </w:rPr>
      </w:pPr>
      <w:r w:rsidRPr="00ED7E61">
        <w:rPr>
          <w:rStyle w:val="normaltextrun"/>
          <w:rFonts w:asciiTheme="majorBidi" w:eastAsiaTheme="majorEastAsia" w:hAnsiTheme="majorBidi" w:cstheme="majorBidi"/>
        </w:rPr>
        <w:t>Methods for the various disaggregations are detailed in Section 8 below.</w:t>
      </w:r>
      <w:r w:rsidRPr="00ED7E61">
        <w:rPr>
          <w:rStyle w:val="normaltextrun"/>
        </w:rPr>
        <w:t> </w:t>
      </w:r>
    </w:p>
    <w:p w14:paraId="388FF380" w14:textId="156EE733" w:rsidR="003A3797"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Note that the indicator follows an established methodology in tracking coverage of protected areas and OECMs, given the wording of Target 3 which refers to “</w:t>
      </w:r>
      <w:r w:rsidRPr="00FB1598">
        <w:rPr>
          <w:rStyle w:val="normaltextrun"/>
          <w:rFonts w:asciiTheme="majorBidi" w:eastAsiaTheme="majorEastAsia" w:hAnsiTheme="majorBidi" w:cstheme="majorBidi"/>
          <w:i/>
          <w:iCs/>
          <w:color w:val="000000"/>
          <w:shd w:val="clear" w:color="auto" w:fill="FFFFFF"/>
        </w:rPr>
        <w:t>systems of protected areas and other effective area-based conservation measures</w:t>
      </w:r>
      <w:r w:rsidRPr="00ED7E61">
        <w:rPr>
          <w:rStyle w:val="normaltextrun"/>
          <w:rFonts w:asciiTheme="majorBidi" w:eastAsiaTheme="majorEastAsia" w:hAnsiTheme="majorBidi" w:cstheme="majorBidi"/>
          <w:color w:val="000000"/>
          <w:shd w:val="clear" w:color="auto" w:fill="FFFFFF"/>
        </w:rPr>
        <w:t>”. The target also includes the wording “</w:t>
      </w:r>
      <w:r w:rsidRPr="00FB1598">
        <w:rPr>
          <w:rStyle w:val="normaltextrun"/>
          <w:rFonts w:asciiTheme="majorBidi" w:eastAsiaTheme="majorEastAsia" w:hAnsiTheme="majorBidi" w:cstheme="majorBidi"/>
          <w:i/>
          <w:iCs/>
          <w:color w:val="000000"/>
          <w:shd w:val="clear" w:color="auto" w:fill="FFFFFF"/>
        </w:rPr>
        <w:t>recognizing indigenous and traditional territories, where applicable</w:t>
      </w:r>
      <w:r w:rsidRPr="00ED7E61">
        <w:rPr>
          <w:rStyle w:val="normaltextrun"/>
          <w:rFonts w:asciiTheme="majorBidi" w:eastAsiaTheme="majorEastAsia" w:hAnsiTheme="majorBidi" w:cstheme="majorBidi"/>
          <w:color w:val="000000"/>
          <w:shd w:val="clear" w:color="auto" w:fill="FFFFFF"/>
        </w:rPr>
        <w:t>”. This could be interpreted as implying (1) a disaggregation of the metric to show trends in the extent of protected areas and OECMs governed by Indigenous peoples or local communities and falling within Indigenous and traditional territories, and/or (2) that Indigenous and traditional territories are a third type of area that can be added to protected areas and OECMs to contribute towards achievement of the target (while noting the overlap in coverage between these areas). Given (</w:t>
      </w:r>
      <w:r w:rsidR="009E44A2">
        <w:rPr>
          <w:rStyle w:val="normaltextrun"/>
          <w:rFonts w:asciiTheme="majorBidi" w:eastAsiaTheme="majorEastAsia" w:hAnsiTheme="majorBidi" w:cstheme="majorBidi"/>
          <w:color w:val="000000"/>
          <w:shd w:val="clear" w:color="auto" w:fill="FFFFFF"/>
        </w:rPr>
        <w:t>a</w:t>
      </w:r>
      <w:r w:rsidRPr="00ED7E61">
        <w:rPr>
          <w:rStyle w:val="normaltextrun"/>
          <w:rFonts w:asciiTheme="majorBidi" w:eastAsiaTheme="majorEastAsia" w:hAnsiTheme="majorBidi" w:cstheme="majorBidi"/>
          <w:color w:val="000000"/>
          <w:shd w:val="clear" w:color="auto" w:fill="FFFFFF"/>
        </w:rPr>
        <w:t>) the existing reporting practices of governments and other data providers to the World Database on Protected Areas and World Database on OECMs, (</w:t>
      </w:r>
      <w:r w:rsidR="009E44A2">
        <w:rPr>
          <w:rStyle w:val="normaltextrun"/>
          <w:rFonts w:asciiTheme="majorBidi" w:eastAsiaTheme="majorEastAsia" w:hAnsiTheme="majorBidi" w:cstheme="majorBidi"/>
          <w:color w:val="000000"/>
          <w:shd w:val="clear" w:color="auto" w:fill="FFFFFF"/>
        </w:rPr>
        <w:t>b</w:t>
      </w:r>
      <w:r w:rsidRPr="00ED7E61">
        <w:rPr>
          <w:rStyle w:val="normaltextrun"/>
          <w:rFonts w:asciiTheme="majorBidi" w:eastAsiaTheme="majorEastAsia" w:hAnsiTheme="majorBidi" w:cstheme="majorBidi"/>
          <w:color w:val="000000"/>
          <w:shd w:val="clear" w:color="auto" w:fill="FFFFFF"/>
        </w:rPr>
        <w:t>) that unlike protected areas and OECMs, Indigenous and traditional territories are not defined according to their objectives or outcomes in relation to biodiversity, and (</w:t>
      </w:r>
      <w:r w:rsidR="009E44A2">
        <w:rPr>
          <w:rStyle w:val="normaltextrun"/>
          <w:rFonts w:asciiTheme="majorBidi" w:eastAsiaTheme="majorEastAsia" w:hAnsiTheme="majorBidi" w:cstheme="majorBidi"/>
          <w:color w:val="000000"/>
          <w:shd w:val="clear" w:color="auto" w:fill="FFFFFF"/>
        </w:rPr>
        <w:t>c</w:t>
      </w:r>
      <w:r w:rsidRPr="00ED7E61">
        <w:rPr>
          <w:rStyle w:val="normaltextrun"/>
          <w:rFonts w:asciiTheme="majorBidi" w:eastAsiaTheme="majorEastAsia" w:hAnsiTheme="majorBidi" w:cstheme="majorBidi"/>
          <w:color w:val="000000"/>
          <w:shd w:val="clear" w:color="auto" w:fill="FFFFFF"/>
        </w:rPr>
        <w:t xml:space="preserve">) recognition that while global dataset of Indigenous and traditional territories exists, they are not comprehensive, Indigenous and traditional territories outside protected areas and OECMs are not included in the methodology described here. </w:t>
      </w:r>
      <w:r w:rsidRPr="00ED7E61">
        <w:rPr>
          <w:rStyle w:val="eop"/>
          <w:rFonts w:asciiTheme="majorBidi" w:eastAsiaTheme="majorEastAsia" w:hAnsiTheme="majorBidi" w:cstheme="majorBidi"/>
          <w:color w:val="000000"/>
        </w:rPr>
        <w:t> </w:t>
      </w:r>
    </w:p>
    <w:p w14:paraId="3CA2FE80" w14:textId="77777777" w:rsidR="00756F0F"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color w:val="000000"/>
          <w:shd w:val="clear" w:color="auto" w:fill="FFFFFF"/>
        </w:rPr>
        <w:t>This approach may evolve to reflect future COP decisions if appropriate (and providing suitable data become available). Parties can use the Complementary indicators “</w:t>
      </w:r>
      <w:r w:rsidRPr="00FB1598">
        <w:rPr>
          <w:rStyle w:val="normaltextrun"/>
          <w:rFonts w:asciiTheme="majorBidi" w:eastAsiaTheme="majorEastAsia" w:hAnsiTheme="majorBidi" w:cstheme="majorBidi"/>
          <w:i/>
          <w:iCs/>
          <w:color w:val="000000"/>
          <w:shd w:val="clear" w:color="auto" w:fill="FFFFFF"/>
        </w:rPr>
        <w:t>Extent of indigenous peoples and local communities’ lands that have some form of recognition</w:t>
      </w:r>
      <w:r w:rsidRPr="00ED7E61">
        <w:rPr>
          <w:rStyle w:val="normaltextrun"/>
          <w:rFonts w:asciiTheme="majorBidi" w:eastAsiaTheme="majorEastAsia" w:hAnsiTheme="majorBidi" w:cstheme="majorBidi"/>
          <w:color w:val="000000"/>
          <w:shd w:val="clear" w:color="auto" w:fill="FFFFFF"/>
        </w:rPr>
        <w:t>” and/or “</w:t>
      </w:r>
      <w:r w:rsidRPr="00FB1598">
        <w:rPr>
          <w:rStyle w:val="normaltextrun"/>
          <w:rFonts w:asciiTheme="majorBidi" w:eastAsiaTheme="majorEastAsia" w:hAnsiTheme="majorBidi" w:cstheme="majorBidi"/>
          <w:i/>
          <w:iCs/>
          <w:color w:val="000000"/>
          <w:shd w:val="clear" w:color="auto" w:fill="FFFFFF"/>
        </w:rPr>
        <w:t>Coverage of Protected areas and OECMS and traditional territories (by governance type)</w:t>
      </w:r>
      <w:r w:rsidRPr="00ED7E61">
        <w:rPr>
          <w:rStyle w:val="normaltextrun"/>
          <w:rFonts w:asciiTheme="majorBidi" w:eastAsiaTheme="majorEastAsia" w:hAnsiTheme="majorBidi" w:cstheme="majorBidi"/>
          <w:color w:val="000000"/>
          <w:shd w:val="clear" w:color="auto" w:fill="FFFFFF"/>
        </w:rPr>
        <w:t>” to report national trends. </w:t>
      </w:r>
      <w:r w:rsidRPr="00ED7E61">
        <w:rPr>
          <w:rStyle w:val="eop"/>
          <w:rFonts w:asciiTheme="majorBidi" w:eastAsiaTheme="majorEastAsia" w:hAnsiTheme="majorBidi" w:cstheme="majorBidi"/>
          <w:color w:val="000000"/>
        </w:rPr>
        <w:t> </w:t>
      </w:r>
    </w:p>
    <w:p w14:paraId="540A46C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949DE57" w14:textId="77777777" w:rsidR="00756F0F"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color w:val="000000"/>
          <w:shd w:val="clear" w:color="auto" w:fill="FFFFFF"/>
        </w:rPr>
        <w:t>Data</w:t>
      </w:r>
      <w:r w:rsidRPr="00ED7E61">
        <w:rPr>
          <w:rStyle w:val="normaltextrun"/>
          <w:rFonts w:asciiTheme="majorBidi" w:eastAsiaTheme="majorEastAsia" w:hAnsiTheme="majorBidi" w:cstheme="majorBidi"/>
        </w:rPr>
        <w:t xml:space="preserve"> on protected areas and OECMs are submitted to UNEP-WCMC by national governments. In some cases, data are submitted directly by the governance authorities of protected areas or OECMs, and are added to the WDPA or WD-OECM following a verification process. The WDPA and WD-OECM are updated monthly. </w:t>
      </w:r>
      <w:r w:rsidRPr="00ED7E61">
        <w:rPr>
          <w:rStyle w:val="eop"/>
          <w:rFonts w:asciiTheme="majorBidi" w:eastAsiaTheme="majorEastAsia" w:hAnsiTheme="majorBidi" w:cstheme="majorBidi"/>
        </w:rPr>
        <w:t> </w:t>
      </w:r>
    </w:p>
    <w:p w14:paraId="11E3833B" w14:textId="5134EAAE" w:rsidR="00756F0F"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color w:val="000000"/>
          <w:shd w:val="clear" w:color="auto" w:fill="FFFFFF"/>
        </w:rPr>
        <w:t>KBAs</w:t>
      </w:r>
      <w:r w:rsidRPr="00ED7E61">
        <w:rPr>
          <w:rStyle w:val="normaltextrun"/>
          <w:rFonts w:asciiTheme="majorBidi" w:eastAsiaTheme="majorEastAsia" w:hAnsiTheme="majorBidi" w:cstheme="majorBidi"/>
        </w:rPr>
        <w:t xml:space="preserve"> are identified nationally through inclusive and consultative processes involving government, academia, non-governmental organi</w:t>
      </w:r>
      <w:r w:rsidR="00B10F0C">
        <w:rPr>
          <w:rStyle w:val="normaltextrun"/>
          <w:rFonts w:asciiTheme="majorBidi" w:eastAsiaTheme="majorEastAsia" w:hAnsiTheme="majorBidi" w:cstheme="majorBidi"/>
        </w:rPr>
        <w:t>z</w:t>
      </w:r>
      <w:r w:rsidRPr="00ED7E61">
        <w:rPr>
          <w:rStyle w:val="normaltextrun"/>
          <w:rFonts w:asciiTheme="majorBidi" w:eastAsiaTheme="majorEastAsia" w:hAnsiTheme="majorBidi" w:cstheme="majorBidi"/>
        </w:rPr>
        <w:t xml:space="preserve">ations, indigenous people’s groups, and other stakeholders as appropriate, typically coordinated by KBA National Coordination Groups. Anyone with appropriate data may propose a site, but consultation with all stakeholders at the national level is required during the proposal process. Submission of proposals for KBAs to the World Database of Key Biodiversity Areas follows a systematic review process to ensure that the KBA criteria have been applied correctly and that the sites can be recognised as important for the global persistence of biodiversity. Regional Focal Points have been appointed to help KBA proposers develop proposals and then ensure they are reviewed independently. Guidance on Proposing, Reviewing, Nominating and Confirming sites has been published to help guide proposers through the development of proposals and the review process, highlighting where they can obtain help in making a proposal (see </w:t>
      </w:r>
      <w:hyperlink r:id="rId369" w:tgtFrame="_blank" w:history="1">
        <w:r w:rsidRPr="00ED7E61">
          <w:rPr>
            <w:rStyle w:val="normaltextrun"/>
            <w:rFonts w:asciiTheme="majorBidi" w:eastAsiaTheme="majorEastAsia" w:hAnsiTheme="majorBidi" w:cstheme="majorBidi"/>
            <w:color w:val="467886"/>
            <w:u w:val="single"/>
          </w:rPr>
          <w:t>https://www.keybiodiversityareas.org/working-with-kbas/proposing-updating/proposal-process</w:t>
        </w:r>
      </w:hyperlink>
      <w:r w:rsidRPr="00ED7E61">
        <w:rPr>
          <w:rStyle w:val="normaltextrun"/>
          <w:rFonts w:asciiTheme="majorBidi" w:eastAsiaTheme="majorEastAsia" w:hAnsiTheme="majorBidi" w:cstheme="majorBidi"/>
          <w:color w:val="4A4A4A"/>
        </w:rPr>
        <w:t xml:space="preserve"> </w:t>
      </w:r>
      <w:r w:rsidRPr="00ED7E61">
        <w:rPr>
          <w:rStyle w:val="normaltextrun"/>
          <w:rFonts w:asciiTheme="majorBidi" w:eastAsiaTheme="majorEastAsia" w:hAnsiTheme="majorBidi" w:cstheme="majorBidi"/>
        </w:rPr>
        <w:t xml:space="preserve">and specific guidance at </w:t>
      </w:r>
      <w:hyperlink r:id="rId370" w:tgtFrame="_blank" w:history="1">
        <w:r w:rsidRPr="00ED7E61">
          <w:rPr>
            <w:rStyle w:val="normaltextrun"/>
            <w:rFonts w:asciiTheme="majorBidi" w:eastAsiaTheme="majorEastAsia" w:hAnsiTheme="majorBidi" w:cstheme="majorBidi"/>
            <w:color w:val="467886"/>
            <w:u w:val="single"/>
          </w:rPr>
          <w:t>https://www.keybiodiversityareas.org/assets/af7c1fe6-d669-414e-b066-e9733f0de7a8</w:t>
        </w:r>
      </w:hyperlink>
      <w:r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color w:val="4A4A4A"/>
        </w:rPr>
        <w:t xml:space="preserve"> </w:t>
      </w:r>
      <w:r w:rsidRPr="00ED7E61">
        <w:rPr>
          <w:rStyle w:val="normaltextrun"/>
          <w:rFonts w:asciiTheme="majorBidi" w:eastAsiaTheme="majorEastAsia" w:hAnsiTheme="majorBidi" w:cstheme="majorBidi"/>
        </w:rPr>
        <w:t xml:space="preserve">Site proposals undergo independent review. This is followed by the official site nomination with full documentation meeting the Documentation Standards for KBAs. Sites confirmed by the KBA Secretariat to qualify as KBAs are then published on the KBA Website. For further information, see </w:t>
      </w:r>
      <w:hyperlink r:id="rId371" w:tgtFrame="_blank" w:history="1">
        <w:r w:rsidRPr="00ED7E61">
          <w:rPr>
            <w:rStyle w:val="normaltextrun"/>
            <w:rFonts w:asciiTheme="majorBidi" w:eastAsiaTheme="majorEastAsia" w:hAnsiTheme="majorBidi" w:cstheme="majorBidi"/>
            <w:u w:val="single"/>
          </w:rPr>
          <w:t>www.keybiodiversityareas.org/working-with-kbas/proposing-updating</w:t>
        </w:r>
      </w:hyperlink>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602E16D1" w14:textId="77777777" w:rsidR="00756F0F"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For details of other data used in generating disaggegations, see below.</w:t>
      </w:r>
      <w:r w:rsidRPr="00ED7E61">
        <w:rPr>
          <w:rStyle w:val="eop"/>
          <w:rFonts w:asciiTheme="majorBidi" w:eastAsiaTheme="majorEastAsia" w:hAnsiTheme="majorBidi" w:cstheme="majorBidi"/>
        </w:rPr>
        <w:t> </w:t>
      </w:r>
    </w:p>
    <w:p w14:paraId="632E4C7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255F4A0F" w14:textId="785D9A94" w:rsidR="003A3797"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The methods are also described in the metadata to SDG indicators 14.5.1 and 15.1.2 at </w:t>
      </w:r>
      <w:hyperlink r:id="rId372" w:tgtFrame="_blank" w:history="1">
        <w:r w:rsidRPr="00ED7E61">
          <w:rPr>
            <w:rStyle w:val="normaltextrun"/>
            <w:rFonts w:asciiTheme="majorBidi" w:eastAsiaTheme="majorEastAsia" w:hAnsiTheme="majorBidi" w:cstheme="majorBidi"/>
            <w:color w:val="467886"/>
            <w:u w:val="single"/>
          </w:rPr>
          <w:t>https://unstats.un.org/sdgs/metadata</w:t>
        </w:r>
      </w:hyperlink>
      <w:r w:rsidRPr="00ED7E61">
        <w:rPr>
          <w:rStyle w:val="normaltextrun"/>
          <w:rFonts w:asciiTheme="majorBidi" w:eastAsiaTheme="majorEastAsia" w:hAnsiTheme="majorBidi" w:cstheme="majorBidi"/>
        </w:rPr>
        <w:t>. Methods for the KBA disaggregation were also published in Butchart et al</w:t>
      </w:r>
      <w:r w:rsidR="0059402D">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(2012, 2015), with relevant rationale also provided in Plumptre et al. (2024). The protected area indicator and its realm and KBA disaggregations are calculated nationally, regionally and globally. The ecoregion disaggregation is calculated at the global level. The scale of disaggregation by level of effectiveness and governance type is yet to be determined. </w:t>
      </w:r>
      <w:r w:rsidRPr="00ED7E61">
        <w:rPr>
          <w:rStyle w:val="eop"/>
          <w:rFonts w:asciiTheme="majorBidi" w:eastAsiaTheme="majorEastAsia" w:hAnsiTheme="majorBidi" w:cstheme="majorBidi"/>
        </w:rPr>
        <w:t> </w:t>
      </w:r>
    </w:p>
    <w:p w14:paraId="6A463A4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214E589A" w14:textId="2CF3C86A" w:rsidR="00C84F8A"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 xml:space="preserve">Protected area data are compiled by ministries of environment and other ministries responsible for the designation and maintenance of protected areas. Other data providers can contribute in some cases (see section 5c). Protected area data are aggregated globally into the World Database on Protected Areas by the UN Environment Programme World Conservation Monitoring Centre, according to the mandate for production of the United Nations List of Protected Areas (UN Economic and Social Council, 1959; Deguignet et al. 2014) and subsequent decisions of the CBD CoP. They are disseminated through </w:t>
      </w:r>
      <w:hyperlink r:id="rId373" w:tgtFrame="_blank" w:history="1">
        <w:r w:rsidRPr="00ED7E61">
          <w:rPr>
            <w:rStyle w:val="normaltextrun"/>
            <w:rFonts w:asciiTheme="majorBidi" w:eastAsiaTheme="majorEastAsia" w:hAnsiTheme="majorBidi" w:cstheme="majorBidi"/>
            <w:u w:val="single"/>
          </w:rPr>
          <w:t>Protected Planet</w:t>
        </w:r>
      </w:hyperlink>
      <w:r w:rsidRPr="00ED7E61">
        <w:rPr>
          <w:rStyle w:val="normaltextrun"/>
          <w:rFonts w:asciiTheme="majorBidi" w:eastAsiaTheme="majorEastAsia" w:hAnsiTheme="majorBidi" w:cstheme="majorBidi"/>
        </w:rPr>
        <w:t>, which is a joint product of IUCN and UNEP, managed by UNEP-WCMC. Parties are encouraged to ensure that updates to national protected area systems are submitted to the WDPA in a timely fashion.</w:t>
      </w:r>
      <w:r w:rsidRPr="00ED7E61">
        <w:rPr>
          <w:rStyle w:val="eop"/>
          <w:rFonts w:asciiTheme="majorBidi" w:eastAsiaTheme="majorEastAsia" w:hAnsiTheme="majorBidi" w:cstheme="majorBidi"/>
        </w:rPr>
        <w:t> </w:t>
      </w:r>
    </w:p>
    <w:p w14:paraId="72E20274" w14:textId="7E8B43AD" w:rsidR="00C84F8A"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OECMs are collated in the World Database on Other Effective Area-based Conservation Measures (WD-OECM). This database can be regarded as a sister database to the WDPA as it is also hosted on Protected Planet. Furthermore, the databases share many of the same fields and have an almost identical workflow; differing only in what they list. OECMs are a quickly evolving area of work, as such for the latest information on OECMs and the WD-OECM please contact UNEP-WCMC. </w:t>
      </w:r>
      <w:r w:rsidRPr="00ED7E61">
        <w:rPr>
          <w:rStyle w:val="eop"/>
          <w:rFonts w:asciiTheme="majorBidi" w:eastAsiaTheme="majorEastAsia" w:hAnsiTheme="majorBidi" w:cstheme="majorBidi"/>
        </w:rPr>
        <w:t> </w:t>
      </w:r>
    </w:p>
    <w:p w14:paraId="1AE81120" w14:textId="786FE6B7" w:rsidR="00C84F8A"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Realms, biomes and ecosystem functional groups are defined in the Global Ecosystem Typology (</w:t>
      </w:r>
      <w:hyperlink r:id="rId374" w:tgtFrame="_blank" w:history="1">
        <w:r w:rsidRPr="00ED7E61">
          <w:rPr>
            <w:rStyle w:val="normaltextrun"/>
            <w:rFonts w:asciiTheme="majorBidi" w:eastAsiaTheme="majorEastAsia" w:hAnsiTheme="majorBidi" w:cstheme="majorBidi"/>
            <w:color w:val="467886"/>
            <w:u w:val="single"/>
          </w:rPr>
          <w:t>https://global-ecosystems.org/</w:t>
        </w:r>
      </w:hyperlink>
      <w:r w:rsidRPr="00ED7E61">
        <w:rPr>
          <w:rStyle w:val="normaltextrun"/>
          <w:rFonts w:asciiTheme="majorBidi" w:eastAsiaTheme="majorEastAsia" w:hAnsiTheme="majorBidi" w:cstheme="majorBidi"/>
        </w:rPr>
        <w:t>). Inland water biomes are mapped in the RiverATLAS (Linke et al. 2019) and Global Lakes and Wetlands Database v2 (Lehner et al. 2024). Terrestrial ecoregions are mapped in Dinerstein et al. (2017), marine ecoregions are mapped in Spalding et al. (2007, 2012), and freshwater ecoregions are mapped in Abell et al. (2008). </w:t>
      </w:r>
      <w:r w:rsidRPr="00ED7E61">
        <w:rPr>
          <w:rStyle w:val="eop"/>
          <w:rFonts w:asciiTheme="majorBidi" w:eastAsiaTheme="majorEastAsia" w:hAnsiTheme="majorBidi" w:cstheme="majorBidi"/>
        </w:rPr>
        <w:t> </w:t>
      </w:r>
    </w:p>
    <w:p w14:paraId="377B0422" w14:textId="2783A4D9" w:rsidR="00756F0F"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KBAs are identified nationally through multi-stakeholder processes involving government, academia, non-governmental organi</w:t>
      </w:r>
      <w:r w:rsidR="00B10F0C">
        <w:rPr>
          <w:rStyle w:val="normaltextrun"/>
          <w:rFonts w:asciiTheme="majorBidi" w:eastAsiaTheme="majorEastAsia" w:hAnsiTheme="majorBidi" w:cstheme="majorBidi"/>
        </w:rPr>
        <w:t>z</w:t>
      </w:r>
      <w:r w:rsidRPr="00ED7E61">
        <w:rPr>
          <w:rStyle w:val="normaltextrun"/>
          <w:rFonts w:asciiTheme="majorBidi" w:eastAsiaTheme="majorEastAsia" w:hAnsiTheme="majorBidi" w:cstheme="majorBidi"/>
        </w:rPr>
        <w:t xml:space="preserve">ations, indigenous people’s groups, and other stakeholders as appropriate, typically coordinated by KBA National Coordination Groups, following standard criteria and thresholds. Key Biodiversity Areas data are aggregated into the </w:t>
      </w:r>
      <w:hyperlink r:id="rId375" w:tgtFrame="_blank" w:history="1">
        <w:r w:rsidRPr="00ED7E61">
          <w:rPr>
            <w:rStyle w:val="normaltextrun"/>
            <w:rFonts w:asciiTheme="majorBidi" w:eastAsiaTheme="majorEastAsia" w:hAnsiTheme="majorBidi" w:cstheme="majorBidi"/>
            <w:u w:val="single"/>
          </w:rPr>
          <w:t xml:space="preserve">World Database on </w:t>
        </w:r>
      </w:hyperlink>
      <w:hyperlink r:id="rId376" w:tgtFrame="_blank" w:history="1">
        <w:r w:rsidRPr="00ED7E61">
          <w:rPr>
            <w:rStyle w:val="normaltextrun"/>
            <w:rFonts w:asciiTheme="majorBidi" w:eastAsiaTheme="majorEastAsia" w:hAnsiTheme="majorBidi" w:cstheme="majorBidi"/>
            <w:u w:val="single"/>
          </w:rPr>
          <w:t>Key Biodiversity Areas</w:t>
        </w:r>
      </w:hyperlink>
      <w:r w:rsidRPr="00ED7E61">
        <w:rPr>
          <w:rStyle w:val="normaltextrun"/>
          <w:rFonts w:asciiTheme="majorBidi" w:eastAsiaTheme="majorEastAsia" w:hAnsiTheme="majorBidi" w:cstheme="majorBidi"/>
        </w:rPr>
        <w:t xml:space="preserve">, managed by BirdLife International on behalf of the KBA Partnership, and made freely available through the KBA website at </w:t>
      </w:r>
      <w:hyperlink r:id="rId377" w:tgtFrame="_blank" w:history="1">
        <w:r w:rsidRPr="00ED7E61">
          <w:rPr>
            <w:rStyle w:val="normaltextrun"/>
            <w:rFonts w:asciiTheme="majorBidi" w:eastAsiaTheme="majorEastAsia" w:hAnsiTheme="majorBidi" w:cstheme="majorBidi"/>
            <w:color w:val="467886"/>
            <w:u w:val="single"/>
          </w:rPr>
          <w:t>www.keybiodiversityareas.org</w:t>
        </w:r>
      </w:hyperlink>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055A4B5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267D1145" w14:textId="7BCEBB60" w:rsidR="00C84F8A"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The headline indicator disaggregated by coverage by realm, and by protected areas versus OECMs, is published on the </w:t>
      </w:r>
      <w:hyperlink r:id="rId378" w:tgtFrame="_blank" w:history="1">
        <w:r w:rsidRPr="00ED7E61">
          <w:rPr>
            <w:rStyle w:val="normaltextrun"/>
            <w:rFonts w:asciiTheme="majorBidi" w:eastAsiaTheme="majorEastAsia" w:hAnsiTheme="majorBidi" w:cstheme="majorBidi"/>
            <w:color w:val="467886"/>
            <w:u w:val="single"/>
          </w:rPr>
          <w:t>Protected Planet</w:t>
        </w:r>
      </w:hyperlink>
      <w:r w:rsidRPr="00ED7E61">
        <w:rPr>
          <w:rStyle w:val="normaltextrun"/>
          <w:rFonts w:asciiTheme="majorBidi" w:eastAsiaTheme="majorEastAsia" w:hAnsiTheme="majorBidi" w:cstheme="majorBidi"/>
        </w:rPr>
        <w:t xml:space="preserve"> website each month. Once fully developed, the disaggregation by level of effectiveness will also be published every month. </w:t>
      </w:r>
      <w:r w:rsidRPr="00ED7E61">
        <w:rPr>
          <w:rStyle w:val="eop"/>
          <w:rFonts w:asciiTheme="majorBidi" w:eastAsiaTheme="majorEastAsia" w:hAnsiTheme="majorBidi" w:cstheme="majorBidi"/>
        </w:rPr>
        <w:t> </w:t>
      </w:r>
    </w:p>
    <w:p w14:paraId="4457E17D" w14:textId="77777777" w:rsidR="00756F0F"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The disaggregation by coverage of areas of particular importance for biodiversity is updated annually using the latest versions of the datasets on protected areas, OECMs and Key Biodiversity Areas. This disaggregation is also provided annually in the UN Sustainable Development Goal Database (</w:t>
      </w:r>
      <w:hyperlink r:id="rId379" w:tgtFrame="_blank" w:history="1">
        <w:r w:rsidRPr="00ED7E61">
          <w:rPr>
            <w:rStyle w:val="normaltextrun"/>
            <w:rFonts w:asciiTheme="majorBidi" w:eastAsiaTheme="majorEastAsia" w:hAnsiTheme="majorBidi" w:cstheme="majorBidi"/>
            <w:color w:val="467886"/>
            <w:u w:val="single"/>
          </w:rPr>
          <w:t>https://unstats.un.org/sdgs/dataportal</w:t>
        </w:r>
      </w:hyperlink>
      <w:r w:rsidRPr="00ED7E61">
        <w:rPr>
          <w:rStyle w:val="normaltextrun"/>
          <w:rFonts w:asciiTheme="majorBidi" w:eastAsiaTheme="majorEastAsia" w:hAnsiTheme="majorBidi" w:cstheme="majorBidi"/>
        </w:rPr>
        <w:t>) and in the IBAT Country Profiles (</w:t>
      </w:r>
      <w:hyperlink r:id="rId380" w:tgtFrame="_blank" w:history="1">
        <w:r w:rsidRPr="00ED7E61">
          <w:rPr>
            <w:rStyle w:val="normaltextrun"/>
            <w:rFonts w:asciiTheme="majorBidi" w:eastAsiaTheme="majorEastAsia" w:hAnsiTheme="majorBidi" w:cstheme="majorBidi"/>
            <w:color w:val="467886"/>
            <w:u w:val="single"/>
          </w:rPr>
          <w:t>https://www.ibat-alliance.org/country_profiles?locale=en</w:t>
        </w:r>
      </w:hyperlink>
      <w:r w:rsidRPr="00ED7E61">
        <w:rPr>
          <w:rStyle w:val="normaltextrun"/>
          <w:rFonts w:asciiTheme="majorBidi" w:eastAsiaTheme="majorEastAsia" w:hAnsiTheme="majorBidi" w:cstheme="majorBidi"/>
        </w:rPr>
        <w:t xml:space="preserve">), and every two years, alongside the disaggregations by ecoregion, biome and governance type in the </w:t>
      </w:r>
      <w:hyperlink r:id="rId381" w:tgtFrame="_blank" w:history="1">
        <w:r w:rsidRPr="00ED7E61">
          <w:rPr>
            <w:rStyle w:val="normaltextrun"/>
            <w:rFonts w:asciiTheme="majorBidi" w:eastAsiaTheme="majorEastAsia" w:hAnsiTheme="majorBidi" w:cstheme="majorBidi"/>
            <w:color w:val="467886"/>
            <w:u w:val="single"/>
          </w:rPr>
          <w:t>Protected Planet Report series</w:t>
        </w:r>
      </w:hyperlink>
      <w:r w:rsidRPr="00ED7E61">
        <w:rPr>
          <w:rStyle w:val="normaltextrun"/>
          <w:rFonts w:asciiTheme="majorBidi" w:eastAsiaTheme="majorEastAsia" w:hAnsiTheme="majorBidi" w:cstheme="majorBidi"/>
        </w:rPr>
        <w:t>. Temporal trends are also provided in this series. </w:t>
      </w:r>
      <w:r w:rsidRPr="00ED7E61">
        <w:rPr>
          <w:rStyle w:val="eop"/>
          <w:rFonts w:asciiTheme="majorBidi" w:eastAsiaTheme="majorEastAsia" w:hAnsiTheme="majorBidi" w:cstheme="majorBidi"/>
        </w:rPr>
        <w:t> </w:t>
      </w:r>
    </w:p>
    <w:p w14:paraId="7A725A0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0FF5257A" w14:textId="77777777" w:rsidR="00756F0F" w:rsidRPr="00ED7E61" w:rsidRDefault="00756F0F" w:rsidP="00522790">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1819 – current year</w:t>
      </w:r>
      <w:r w:rsidRPr="00ED7E61">
        <w:rPr>
          <w:rStyle w:val="normaltextrun"/>
        </w:rPr>
        <w:t> </w:t>
      </w:r>
    </w:p>
    <w:p w14:paraId="4AAB65E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2C712BAE" w14:textId="77777777" w:rsidR="00756F0F" w:rsidRPr="00ED7E61" w:rsidRDefault="00756F0F" w:rsidP="00522790">
      <w:pPr>
        <w:pStyle w:val="CBDNormalNumber"/>
        <w:numPr>
          <w:ilvl w:val="0"/>
          <w:numId w:val="0"/>
        </w:numPr>
        <w:ind w:left="567"/>
        <w:rPr>
          <w:rStyle w:val="normaltextrun"/>
          <w:rFonts w:eastAsiaTheme="majorEastAsia"/>
          <w:sz w:val="24"/>
          <w:szCs w:val="24"/>
          <w:lang w:val="en-CA"/>
        </w:rPr>
      </w:pPr>
      <w:r w:rsidRPr="00ED7E61">
        <w:rPr>
          <w:rStyle w:val="normaltextrun"/>
          <w:rFonts w:asciiTheme="majorBidi" w:eastAsiaTheme="majorEastAsia" w:hAnsiTheme="majorBidi" w:cstheme="majorBidi"/>
        </w:rPr>
        <w:t>See Data sources.</w:t>
      </w:r>
      <w:r w:rsidRPr="00ED7E61">
        <w:rPr>
          <w:rStyle w:val="normaltextrun"/>
        </w:rPr>
        <w:t> </w:t>
      </w:r>
    </w:p>
    <w:p w14:paraId="0CA5871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50C7F36E" w14:textId="7617C624" w:rsidR="00C84F8A" w:rsidRPr="00ED7E61" w:rsidRDefault="00756F0F" w:rsidP="00522790">
      <w:pPr>
        <w:pStyle w:val="CBDNormalNumber"/>
        <w:numPr>
          <w:ilvl w:val="0"/>
          <w:numId w:val="0"/>
        </w:numPr>
        <w:ind w:left="567"/>
        <w:rPr>
          <w:rFonts w:asciiTheme="majorBidi" w:hAnsiTheme="majorBidi" w:cstheme="majorBidi"/>
          <w:color w:val="4A4A4A"/>
        </w:rPr>
      </w:pPr>
      <w:r w:rsidRPr="00ED7E61">
        <w:rPr>
          <w:rStyle w:val="normaltextrun"/>
          <w:rFonts w:asciiTheme="majorBidi" w:eastAsiaTheme="majorEastAsia" w:hAnsiTheme="majorBidi" w:cstheme="majorBidi"/>
        </w:rPr>
        <w:t>UNEP-WCMC, IUCN and BirdLife International</w:t>
      </w:r>
      <w:r w:rsidRPr="00ED7E61">
        <w:rPr>
          <w:rStyle w:val="eop"/>
          <w:rFonts w:asciiTheme="majorBidi" w:eastAsiaTheme="majorEastAsia" w:hAnsiTheme="majorBidi" w:cstheme="majorBidi"/>
        </w:rPr>
        <w:t> </w:t>
      </w:r>
    </w:p>
    <w:p w14:paraId="4CC0CF4C" w14:textId="77777777" w:rsidR="00756F0F" w:rsidRPr="00ED7E61" w:rsidRDefault="00756F0F" w:rsidP="00522790">
      <w:pPr>
        <w:pStyle w:val="CBDNormalNumber"/>
        <w:numPr>
          <w:ilvl w:val="0"/>
          <w:numId w:val="0"/>
        </w:numPr>
        <w:ind w:left="567"/>
        <w:rPr>
          <w:rFonts w:asciiTheme="majorBidi" w:hAnsiTheme="majorBidi" w:cstheme="majorBidi"/>
          <w:color w:val="4A4A4A"/>
        </w:rPr>
      </w:pPr>
      <w:r w:rsidRPr="00ED7E61">
        <w:rPr>
          <w:rStyle w:val="normaltextrun"/>
          <w:rFonts w:asciiTheme="majorBidi" w:eastAsiaTheme="majorEastAsia" w:hAnsiTheme="majorBidi" w:cstheme="majorBidi"/>
        </w:rPr>
        <w:t>Protected area and OECM data are aggregated globally into the WDPA and WD-OECM by the UN Environment Programme World Conservation Monitoring Centre, according to the mandate for production of the United Nations List of Protected Areas (UN Economic and Social Council, 1959; Deguignet et al. 2014) and subsequent decisions of the CBD CoP. They are disseminated through Protected Planet, which is managed by UNEP-WCMC. Key Biodiversity Areas data are aggregated into the World Database of Key Biodiversity Areas, managed by BirdLife International.</w:t>
      </w:r>
      <w:r w:rsidRPr="00ED7E61">
        <w:rPr>
          <w:rStyle w:val="eop"/>
          <w:rFonts w:asciiTheme="majorBidi" w:eastAsiaTheme="majorEastAsia" w:hAnsiTheme="majorBidi" w:cstheme="majorBidi"/>
        </w:rPr>
        <w:t> </w:t>
      </w:r>
    </w:p>
    <w:p w14:paraId="1BDD727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36FA924E" w14:textId="6192451D" w:rsidR="00C84F8A"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Quality control criteria are applied to ensure consistency and comparability of the data in the World Database on Protected Areas and WD-OECM. New data are validated at UNEP-WCMC through a number of tools and translated into the standard data structure of the World Database on Protected Areas and WD-OECM. Discrepancies between the data in the World Database on Protected Areas and WD-OECM and new data are minimised by provision of a manual (UNEP-WCMC 2019) and resolved in communication with data providers. Data and knowledge gaps can arise due to difficulties in determining whether a site conforms to the IUCN definition of a protected area or the CBD definition of an Other Effective Area-based Conservation Measure. However, given that both are incorporated into the indicator, misclassifications (as one or the other) do not impact the calculated indicator value. Non-state governed protected areas are under-represented in the WDPA. The majority of countries have not yet reported OECMs. </w:t>
      </w:r>
      <w:r w:rsidRPr="00ED7E61">
        <w:rPr>
          <w:rStyle w:val="eop"/>
          <w:rFonts w:asciiTheme="majorBidi" w:eastAsiaTheme="majorEastAsia" w:hAnsiTheme="majorBidi" w:cstheme="majorBidi"/>
        </w:rPr>
        <w:t> </w:t>
      </w:r>
    </w:p>
    <w:p w14:paraId="1205A231" w14:textId="4DF49688" w:rsidR="00C84F8A"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 xml:space="preserve">Regarding areas of importance for biodiversity, </w:t>
      </w:r>
      <w:r w:rsidR="009D4A13">
        <w:rPr>
          <w:rStyle w:val="normaltextrun"/>
          <w:rFonts w:asciiTheme="majorBidi" w:eastAsiaTheme="majorEastAsia" w:hAnsiTheme="majorBidi" w:cstheme="majorBidi"/>
        </w:rPr>
        <w:t>s</w:t>
      </w:r>
      <w:r w:rsidRPr="00ED7E61">
        <w:rPr>
          <w:rStyle w:val="normaltextrun"/>
          <w:rFonts w:asciiTheme="majorBidi" w:eastAsiaTheme="majorEastAsia" w:hAnsiTheme="majorBidi" w:cstheme="majorBidi"/>
        </w:rPr>
        <w:t xml:space="preserve">imilar processes apply for the incorporation of data into the World Database of Key Biodiversity Areas (BirdLife International 2023), and the KBA </w:t>
      </w:r>
      <w:hyperlink r:id="rId382" w:tgtFrame="_blank" w:history="1">
        <w:r w:rsidRPr="00ED7E61">
          <w:rPr>
            <w:rStyle w:val="normaltextrun"/>
            <w:rFonts w:asciiTheme="majorBidi" w:eastAsiaTheme="majorEastAsia" w:hAnsiTheme="majorBidi" w:cstheme="majorBidi"/>
            <w:color w:val="467886"/>
            <w:u w:val="single"/>
          </w:rPr>
          <w:t>Proposal, Review, Nomination and Confirmation process</w:t>
        </w:r>
      </w:hyperlink>
      <w:r w:rsidRPr="00ED7E61">
        <w:rPr>
          <w:rStyle w:val="normaltextrun"/>
          <w:rFonts w:asciiTheme="majorBidi" w:eastAsiaTheme="majorEastAsia" w:hAnsiTheme="majorBidi" w:cstheme="majorBidi"/>
        </w:rPr>
        <w:t xml:space="preserve"> involves a number of steps to ensure that the data are valid and the KBA criteria have been appropriately applied. </w:t>
      </w:r>
      <w:r w:rsidRPr="00ED7E61">
        <w:rPr>
          <w:rStyle w:val="eop"/>
          <w:rFonts w:asciiTheme="majorBidi" w:eastAsiaTheme="majorEastAsia" w:hAnsiTheme="majorBidi" w:cstheme="majorBidi"/>
        </w:rPr>
        <w:t> </w:t>
      </w:r>
    </w:p>
    <w:p w14:paraId="29E8309B" w14:textId="412AA36B" w:rsidR="00C84F8A" w:rsidRPr="00ED7E61" w:rsidRDefault="00C84F8A"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T</w:t>
      </w:r>
      <w:r w:rsidR="00756F0F" w:rsidRPr="00ED7E61">
        <w:rPr>
          <w:rStyle w:val="normaltextrun"/>
          <w:rFonts w:asciiTheme="majorBidi" w:eastAsiaTheme="majorEastAsia" w:hAnsiTheme="majorBidi" w:cstheme="majorBidi"/>
        </w:rPr>
        <w:t>he biggest limitation currently is that site identification to date has focused disproportionately on specific subsets of biodiversity, for example birds (for Important Bird and Biodiversity Areas) and highly threatened species (for Alliance for Zero Extinction sites). While Important Bird and Biodiversity Areas have been documented to be good surrogates for biodiversity more generally (Brooks et al. 2001, Pain et al. 2005), the application of the unified standard for identification of Key Biodiversity Areas (IUCN 2016) across different levels of biodiversity (genes, species, ecosystems) and different taxonomic groups remains a high priority, building from efforts to date (Eken et al. 2004, Knight et al. 2007, Langhammer et al. 2007, Foster et al. 2012). Fortunately, good progress is now being made, with birds now comprise less than 50% of the species for which Key Biodiversity Areas have been identified, and as Key Biodiversity Area identification for other taxa and elements of biodiversity proceeds, such bias will become a less important consideration in the future. Key Biodiversity Area identification has been validated for a number of countries and regions where comprehensive biodiversity data allow formal calculation of the site importance (or “</w:t>
      </w:r>
      <w:r w:rsidR="00756F0F" w:rsidRPr="00FB1598">
        <w:rPr>
          <w:rStyle w:val="normaltextrun"/>
          <w:rFonts w:asciiTheme="majorBidi" w:eastAsiaTheme="majorEastAsia" w:hAnsiTheme="majorBidi" w:cstheme="majorBidi"/>
          <w:i/>
          <w:iCs/>
        </w:rPr>
        <w:t>irreplaceability</w:t>
      </w:r>
      <w:r w:rsidR="00756F0F" w:rsidRPr="00ED7E61">
        <w:rPr>
          <w:rStyle w:val="normaltextrun"/>
          <w:rFonts w:asciiTheme="majorBidi" w:eastAsiaTheme="majorEastAsia" w:hAnsiTheme="majorBidi" w:cstheme="majorBidi"/>
        </w:rPr>
        <w:t>”) using systematic conservation planning techniques (Di Marco et al. 2016, Montesino Pouzols et al. 2014).</w:t>
      </w:r>
      <w:r w:rsidR="00756F0F" w:rsidRPr="00ED7E61">
        <w:rPr>
          <w:rStyle w:val="eop"/>
          <w:rFonts w:asciiTheme="majorBidi" w:eastAsiaTheme="majorEastAsia" w:hAnsiTheme="majorBidi" w:cstheme="majorBidi"/>
        </w:rPr>
        <w:t> </w:t>
      </w:r>
    </w:p>
    <w:p w14:paraId="15EACC73" w14:textId="77777777" w:rsidR="00C84F8A" w:rsidRPr="00ED7E61" w:rsidRDefault="00756F0F" w:rsidP="00B10F0C">
      <w:pPr>
        <w:pStyle w:val="CBDNormalNumber"/>
        <w:numPr>
          <w:ilvl w:val="0"/>
          <w:numId w:val="73"/>
        </w:numPr>
        <w:ind w:left="567" w:firstLine="0"/>
        <w:rPr>
          <w:rStyle w:val="normaltextrun"/>
          <w:rFonts w:asciiTheme="majorBidi" w:hAnsiTheme="majorBidi" w:cstheme="majorBidi"/>
        </w:rPr>
      </w:pPr>
      <w:r w:rsidRPr="00ED7E61">
        <w:rPr>
          <w:rStyle w:val="normaltextrun"/>
          <w:rFonts w:asciiTheme="majorBidi" w:eastAsiaTheme="majorEastAsia" w:hAnsiTheme="majorBidi" w:cstheme="majorBidi"/>
        </w:rPr>
        <w:t xml:space="preserve">Future developments of the indicator will include: </w:t>
      </w:r>
    </w:p>
    <w:p w14:paraId="365E6F83" w14:textId="1BCC0CE6" w:rsidR="00C84F8A" w:rsidRPr="00ED7E61" w:rsidRDefault="00C84F8A"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asciiTheme="majorBidi" w:hAnsiTheme="majorBidi" w:cstheme="majorBidi"/>
        </w:rPr>
      </w:pPr>
      <w:r w:rsidRPr="00ED7E61">
        <w:rPr>
          <w:rStyle w:val="normaltextrun"/>
          <w:rFonts w:asciiTheme="majorBidi" w:eastAsiaTheme="majorEastAsia" w:hAnsiTheme="majorBidi" w:cstheme="majorBidi"/>
        </w:rPr>
        <w:t>I</w:t>
      </w:r>
      <w:r w:rsidR="00756F0F" w:rsidRPr="00ED7E61">
        <w:rPr>
          <w:rStyle w:val="normaltextrun"/>
          <w:rFonts w:asciiTheme="majorBidi" w:eastAsiaTheme="majorEastAsia" w:hAnsiTheme="majorBidi" w:cstheme="majorBidi"/>
        </w:rPr>
        <w:t xml:space="preserve">mprovements in the data on protected areas by continuing to increase the proportion of sites with documented dates of designation and with digitised boundary polygons (rather than coordinates); </w:t>
      </w:r>
    </w:p>
    <w:p w14:paraId="22422C81" w14:textId="7E17A2E6" w:rsidR="00C84F8A" w:rsidRPr="00ED7E61" w:rsidRDefault="00C84F8A"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asciiTheme="majorBidi" w:hAnsiTheme="majorBidi" w:cstheme="majorBidi"/>
        </w:rPr>
      </w:pPr>
      <w:r w:rsidRPr="00ED7E61">
        <w:rPr>
          <w:rStyle w:val="normaltextrun"/>
          <w:rFonts w:asciiTheme="majorBidi" w:eastAsiaTheme="majorEastAsia" w:hAnsiTheme="majorBidi" w:cstheme="majorBidi"/>
        </w:rPr>
        <w:t>I</w:t>
      </w:r>
      <w:r w:rsidR="00756F0F" w:rsidRPr="00ED7E61">
        <w:rPr>
          <w:rStyle w:val="normaltextrun"/>
          <w:rFonts w:asciiTheme="majorBidi" w:eastAsiaTheme="majorEastAsia" w:hAnsiTheme="majorBidi" w:cstheme="majorBidi"/>
        </w:rPr>
        <w:t xml:space="preserve">ncreased documentation of Other Effective Area-based Conservation Measures in the World Database of OECMs; </w:t>
      </w:r>
    </w:p>
    <w:p w14:paraId="2129F984" w14:textId="3B3FD100" w:rsidR="00C84F8A" w:rsidRPr="00ED7E61" w:rsidRDefault="00C84F8A"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asciiTheme="majorBidi" w:hAnsiTheme="majorBidi" w:cstheme="majorBidi"/>
        </w:rPr>
      </w:pPr>
      <w:r w:rsidRPr="00ED7E61">
        <w:rPr>
          <w:rStyle w:val="normaltextrun"/>
          <w:rFonts w:asciiTheme="majorBidi" w:eastAsiaTheme="majorEastAsia" w:hAnsiTheme="majorBidi" w:cstheme="majorBidi"/>
        </w:rPr>
        <w:t>E</w:t>
      </w:r>
      <w:r w:rsidR="00756F0F" w:rsidRPr="00ED7E61">
        <w:rPr>
          <w:rStyle w:val="normaltextrun"/>
          <w:rFonts w:asciiTheme="majorBidi" w:eastAsiaTheme="majorEastAsia" w:hAnsiTheme="majorBidi" w:cstheme="majorBidi"/>
        </w:rPr>
        <w:t xml:space="preserve">xpansion of the taxonomic coverage of Key Biodiversity Areas through application of the Key Biodiversity Areas standard (IUCN 2016) to a wider variety of vertebrates, invertebrates and plants, as well as increased </w:t>
      </w:r>
      <w:r w:rsidR="00814FCB" w:rsidRPr="00ED7E61">
        <w:rPr>
          <w:rStyle w:val="normaltextrun"/>
          <w:rFonts w:asciiTheme="majorBidi" w:eastAsiaTheme="majorEastAsia" w:hAnsiTheme="majorBidi" w:cstheme="majorBidi"/>
        </w:rPr>
        <w:t>application</w:t>
      </w:r>
      <w:r w:rsidR="00756F0F" w:rsidRPr="00ED7E61">
        <w:rPr>
          <w:rStyle w:val="normaltextrun"/>
          <w:rFonts w:asciiTheme="majorBidi" w:eastAsiaTheme="majorEastAsia" w:hAnsiTheme="majorBidi" w:cstheme="majorBidi"/>
        </w:rPr>
        <w:t xml:space="preserve"> of the criteria relating to ecosystem, ecological integrity and irreplaceability; and </w:t>
      </w:r>
    </w:p>
    <w:p w14:paraId="3B32189F" w14:textId="5A4859A1" w:rsidR="00756F0F" w:rsidRPr="00ED7E61" w:rsidRDefault="00C84F8A" w:rsidP="00B10F0C">
      <w:pPr>
        <w:pStyle w:val="CBDNormalNumber"/>
        <w:numPr>
          <w:ilvl w:val="1"/>
          <w:numId w:val="73"/>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I</w:t>
      </w:r>
      <w:r w:rsidR="00756F0F" w:rsidRPr="00ED7E61">
        <w:rPr>
          <w:rStyle w:val="normaltextrun"/>
          <w:rFonts w:asciiTheme="majorBidi" w:eastAsiaTheme="majorEastAsia" w:hAnsiTheme="majorBidi" w:cstheme="majorBidi"/>
        </w:rPr>
        <w:t>mproved data on effectiveness; d) increased use of disaggregations by ecosystem functional groups as these are mapped in increasing numbers of countries.</w:t>
      </w:r>
      <w:r w:rsidR="00756F0F" w:rsidRPr="00ED7E61">
        <w:rPr>
          <w:rStyle w:val="eop"/>
          <w:rFonts w:asciiTheme="majorBidi" w:eastAsiaTheme="majorEastAsia" w:hAnsiTheme="majorBidi" w:cstheme="majorBidi"/>
        </w:rPr>
        <w:t> </w:t>
      </w:r>
    </w:p>
    <w:p w14:paraId="0BE771D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49062189" w14:textId="77777777" w:rsidR="00756F0F"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At country level</w:t>
      </w:r>
      <w:r w:rsidRPr="00ED7E61">
        <w:rPr>
          <w:rStyle w:val="eop"/>
          <w:rFonts w:asciiTheme="majorBidi" w:eastAsiaTheme="majorEastAsia" w:hAnsiTheme="majorBidi" w:cstheme="majorBidi"/>
        </w:rPr>
        <w:t> </w:t>
      </w:r>
    </w:p>
    <w:p w14:paraId="0B4170F8"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Data are available for protected areas and Key Biodiversity Areas in all of the world’s countries, and so no imputation or estimation of national level data is necessary.  Year of protected area establishment is unknown for a small but significant proportion of protected areas, generating uncertainty in temporal trends in the disaggregation by areas of importance for biodiversity (SDG indicators 14.5.1, 15.1.2, and 15.4.1). To reflect this uncertainty, in such cases a year was randomly assigned from another protected area within the same country, and this procedure was repeated 1,000 times, with the median plotted (Butchart et al. 2012, 2015). </w:t>
      </w:r>
      <w:r w:rsidRPr="00ED7E61">
        <w:rPr>
          <w:rStyle w:val="normaltextrun"/>
        </w:rPr>
        <w:t> </w:t>
      </w:r>
    </w:p>
    <w:p w14:paraId="689798A8" w14:textId="77777777" w:rsidR="00756F0F" w:rsidRPr="00ED7E61" w:rsidRDefault="00756F0F" w:rsidP="00B10F0C">
      <w:pPr>
        <w:pStyle w:val="CBDNormalNumber"/>
        <w:numPr>
          <w:ilvl w:val="0"/>
          <w:numId w:val="73"/>
        </w:numPr>
        <w:ind w:left="567" w:firstLine="0"/>
        <w:rPr>
          <w:rStyle w:val="normaltextrun"/>
          <w:rFonts w:eastAsiaTheme="majorEastAsia"/>
        </w:rPr>
      </w:pPr>
      <w:r w:rsidRPr="00ED7E61">
        <w:rPr>
          <w:rStyle w:val="normaltextrun"/>
          <w:rFonts w:asciiTheme="majorBidi" w:eastAsiaTheme="majorEastAsia" w:hAnsiTheme="majorBidi" w:cstheme="majorBidi"/>
        </w:rPr>
        <w:t>At regional and global levels</w:t>
      </w:r>
      <w:r w:rsidRPr="00ED7E61">
        <w:rPr>
          <w:rStyle w:val="normaltextrun"/>
        </w:rPr>
        <w:t> </w:t>
      </w:r>
    </w:p>
    <w:p w14:paraId="1AC85893"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Global and regional versions of the indicators are generated from all countries globally or in the relevant region, and so while there is uncertainty around the data, there are no missing values as such and so no need for imputation or estimation.</w:t>
      </w:r>
      <w:r w:rsidRPr="00ED7E61">
        <w:rPr>
          <w:rStyle w:val="normaltextrun"/>
        </w:rPr>
        <w:t> </w:t>
      </w:r>
    </w:p>
    <w:p w14:paraId="12FAB65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37316D76" w14:textId="77777777" w:rsidR="00756F0F" w:rsidRPr="00ED7E61" w:rsidRDefault="00756F0F" w:rsidP="008841C1">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7E412380" w14:textId="77777777" w:rsidR="00756F0F" w:rsidRPr="00ED7E61" w:rsidRDefault="00756F0F" w:rsidP="008841C1">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normaltextrun"/>
          <w:rFonts w:asciiTheme="majorBidi" w:eastAsiaTheme="majorEastAsia" w:hAnsiTheme="majorBidi" w:cstheme="majorBidi"/>
          <w:i/>
          <w:iCs/>
          <w:sz w:val="22"/>
          <w:szCs w:val="22"/>
        </w:rPr>
        <w:t> </w:t>
      </w:r>
      <w:r w:rsidRPr="00ED7E61">
        <w:rPr>
          <w:rStyle w:val="eop"/>
          <w:rFonts w:asciiTheme="majorBidi" w:eastAsiaTheme="majorEastAsia" w:hAnsiTheme="majorBidi" w:cstheme="majorBidi"/>
          <w:sz w:val="22"/>
          <w:szCs w:val="22"/>
        </w:rPr>
        <w:t> </w:t>
      </w:r>
    </w:p>
    <w:p w14:paraId="23FBEB53" w14:textId="77777777" w:rsidR="00756F0F" w:rsidRPr="00ED7E61" w:rsidRDefault="00756F0F" w:rsidP="008841C1">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National</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127F9284" w14:textId="77777777" w:rsidR="00756F0F" w:rsidRPr="00ED7E61" w:rsidRDefault="00756F0F" w:rsidP="00B10F0C">
      <w:pPr>
        <w:pStyle w:val="CBDNormalNumber"/>
        <w:numPr>
          <w:ilvl w:val="0"/>
          <w:numId w:val="73"/>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Scale of data disaggregation/aggregation: </w:t>
      </w:r>
      <w:r w:rsidRPr="00ED7E61">
        <w:rPr>
          <w:rStyle w:val="normaltextrun"/>
        </w:rPr>
        <w:t> </w:t>
      </w:r>
    </w:p>
    <w:p w14:paraId="432490BE"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Global/ regional scale indicator can be disaggregated to national level: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429DFBBB" w14:textId="4E075B2B" w:rsidR="00756F0F" w:rsidRPr="008841C1" w:rsidRDefault="00756F0F" w:rsidP="00B10F0C">
      <w:pPr>
        <w:pStyle w:val="CBDNormalNumber"/>
        <w:numPr>
          <w:ilvl w:val="1"/>
          <w:numId w:val="73"/>
        </w:numPr>
        <w:tabs>
          <w:tab w:val="clear" w:pos="567"/>
          <w:tab w:val="clear" w:pos="1134"/>
          <w:tab w:val="clear" w:pos="1701"/>
          <w:tab w:val="clear" w:pos="2268"/>
          <w:tab w:val="left" w:pos="1985"/>
        </w:tabs>
        <w:ind w:left="1276" w:firstLine="56"/>
        <w:rPr>
          <w:rFonts w:eastAsiaTheme="majorEastAsia"/>
        </w:rPr>
      </w:pPr>
      <w:r w:rsidRPr="00ED7E61">
        <w:rPr>
          <w:rStyle w:val="normaltextrun"/>
          <w:rFonts w:asciiTheme="majorBidi" w:eastAsiaTheme="majorEastAsia" w:hAnsiTheme="majorBidi" w:cstheme="majorBidi"/>
        </w:rPr>
        <w:t xml:space="preserve">National data is collated to form global indicator: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41CF155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40738839" w14:textId="77777777" w:rsidR="00756F0F" w:rsidRPr="00ED7E61" w:rsidRDefault="00756F0F" w:rsidP="00B10F0C">
      <w:pPr>
        <w:pStyle w:val="CBDNormalNumber"/>
        <w:numPr>
          <w:ilvl w:val="0"/>
          <w:numId w:val="73"/>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The following method is used to calculate coverage of protected areas by realm:</w:t>
      </w:r>
      <w:r w:rsidRPr="00ED7E61">
        <w:rPr>
          <w:rStyle w:val="normaltextrun"/>
        </w:rPr>
        <w:t> </w:t>
      </w:r>
    </w:p>
    <w:p w14:paraId="2B3DBAB7"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Start with the latest WDPA monthly release.</w:t>
      </w:r>
      <w:r w:rsidRPr="00ED7E61">
        <w:rPr>
          <w:rStyle w:val="normaltextrun"/>
        </w:rPr>
        <w:t> </w:t>
      </w:r>
    </w:p>
    <w:p w14:paraId="7A30C74F"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The WDPA is filtered to exclude records with the characteristics listed in section 5b.</w:t>
      </w:r>
      <w:r w:rsidRPr="00ED7E61">
        <w:rPr>
          <w:rStyle w:val="normaltextrun"/>
        </w:rPr>
        <w:t> </w:t>
      </w:r>
    </w:p>
    <w:p w14:paraId="3C5B10D2"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A buffer is created around protected areas reported as points using their Reported Area. There are important caveats associated with this method, some of which are explored by Visconti et al. 2013. Buffering points can underestimate or overestimate protected area coverage as the circles created around points might cover areas where protected areas do not exist (overestimation) or overlap with areas where other protected areas already exist (underestimation). It can also give inaccurate values for sites that are partly terrestrial and marine as the absence of boundaries make it difficult to predict which portion of a protected area is in the land or the sea.</w:t>
      </w:r>
      <w:r w:rsidRPr="00ED7E61">
        <w:rPr>
          <w:rStyle w:val="normaltextrun"/>
        </w:rPr>
        <w:t> </w:t>
      </w:r>
    </w:p>
    <w:p w14:paraId="0CA10A28"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Both polygon and buffered point layers are combined in a single layer.</w:t>
      </w:r>
      <w:r w:rsidRPr="00ED7E61">
        <w:rPr>
          <w:rStyle w:val="normaltextrun"/>
        </w:rPr>
        <w:t> </w:t>
      </w:r>
    </w:p>
    <w:p w14:paraId="190F470C"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The layer above is flattened (dissolved) by country/territory to remove overlaps between designations within countries/territories and avoid double counting (please note that this retains overlaps between countries and should therefore only be used to calculate national, not regional or global, coverage.</w:t>
      </w:r>
      <w:r w:rsidRPr="00ED7E61">
        <w:rPr>
          <w:rStyle w:val="normaltextrun"/>
        </w:rPr>
        <w:t> </w:t>
      </w:r>
    </w:p>
    <w:p w14:paraId="7A2558C5"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Transboundary sites (those that are attributed to multiple countries) are split geographically according to where each part of the protected area is located and are then allocated to the corresponding countries/territories using the base map of the world (see section 5b).</w:t>
      </w:r>
      <w:r w:rsidRPr="00ED7E61">
        <w:rPr>
          <w:rStyle w:val="normaltextrun"/>
        </w:rPr>
        <w:t> </w:t>
      </w:r>
    </w:p>
    <w:p w14:paraId="05CB6D5D"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The flattened output is intersected with a base map of the world (see section 5b)</w:t>
      </w:r>
      <w:r w:rsidRPr="00ED7E61">
        <w:rPr>
          <w:rStyle w:val="normaltextrun"/>
        </w:rPr>
        <w:t> </w:t>
      </w:r>
    </w:p>
    <w:p w14:paraId="682F3C8F"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The intersected output is converted to Mollweide (an equal area projection) and the land and EEZ protected area of every country and territory is calculated, in km2.</w:t>
      </w:r>
      <w:r w:rsidRPr="00ED7E61">
        <w:rPr>
          <w:rStyle w:val="normaltextrun"/>
        </w:rPr>
        <w:t> </w:t>
      </w:r>
    </w:p>
    <w:p w14:paraId="7733277E"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The terrestrial protected area coverage is calculated for each country or territory by dividing the total area of terrestrial protected areas by total terrestrial area of that country/territory. The marine and coastal protected area coverage is calculated for each country or territory by dividing the total marine and coastal area of protected areas by total marine and coastal area of that country/territory.</w:t>
      </w:r>
      <w:r w:rsidRPr="00ED7E61">
        <w:rPr>
          <w:rStyle w:val="normaltextrun"/>
        </w:rPr>
        <w:t> </w:t>
      </w:r>
    </w:p>
    <w:p w14:paraId="007EFC0C" w14:textId="77777777" w:rsidR="00756F0F"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OECM coverage by realm is calculated separately:</w:t>
      </w:r>
      <w:r w:rsidRPr="00ED7E61">
        <w:rPr>
          <w:rStyle w:val="normaltextrun"/>
        </w:rPr>
        <w:t> </w:t>
      </w:r>
    </w:p>
    <w:p w14:paraId="229801CC"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Start with the latest WD-OECM monthly release.</w:t>
      </w:r>
      <w:r w:rsidRPr="00ED7E61">
        <w:rPr>
          <w:rStyle w:val="normaltextrun"/>
        </w:rPr>
        <w:t> </w:t>
      </w:r>
    </w:p>
    <w:p w14:paraId="3C89B3BF"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A buffer is created around OECMs reported as points using their Reported Area.</w:t>
      </w:r>
      <w:r w:rsidRPr="00ED7E61">
        <w:rPr>
          <w:rStyle w:val="normaltextrun"/>
        </w:rPr>
        <w:t> </w:t>
      </w:r>
    </w:p>
    <w:p w14:paraId="09C1740E"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Both polygon and buffered point layers are combined in a single layer.</w:t>
      </w:r>
      <w:r w:rsidRPr="00ED7E61">
        <w:rPr>
          <w:rStyle w:val="normaltextrun"/>
        </w:rPr>
        <w:t> </w:t>
      </w:r>
    </w:p>
    <w:p w14:paraId="5D8DE7CB"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Areas where protected areas and OECMs overlap are erased from the OECMs layer above using the global protected areas flat layer.</w:t>
      </w:r>
      <w:r w:rsidRPr="00ED7E61">
        <w:rPr>
          <w:rStyle w:val="normaltextrun"/>
        </w:rPr>
        <w:t> </w:t>
      </w:r>
    </w:p>
    <w:p w14:paraId="2802451E"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The output OECMs layer is flattened (dissolved) by country/territory to eliminate overlaps between areas and avoid double counting.</w:t>
      </w:r>
      <w:r w:rsidRPr="00ED7E61">
        <w:rPr>
          <w:rStyle w:val="normaltextrun"/>
        </w:rPr>
        <w:t> </w:t>
      </w:r>
    </w:p>
    <w:p w14:paraId="7A2258BA"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The OECMs flattened layer is intersected with a base map of the world (see section 5b)</w:t>
      </w:r>
      <w:r w:rsidRPr="00ED7E61">
        <w:rPr>
          <w:rStyle w:val="normaltextrun"/>
        </w:rPr>
        <w:t> </w:t>
      </w:r>
    </w:p>
    <w:p w14:paraId="12B2C6B1"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Fonts w:asciiTheme="majorBidi" w:hAnsiTheme="majorBidi" w:cstheme="majorBidi"/>
          <w:color w:val="4A4A4A"/>
        </w:rPr>
      </w:pPr>
      <w:r w:rsidRPr="00ED7E61">
        <w:rPr>
          <w:rStyle w:val="normaltextrun"/>
          <w:rFonts w:asciiTheme="majorBidi" w:eastAsiaTheme="majorEastAsia" w:hAnsiTheme="majorBidi" w:cstheme="majorBidi"/>
        </w:rPr>
        <w:t>The intersected flat layer is converted to Mollweide (an equal area projection) and the land and EEZ OECM area of every country and territory is calculated, in km</w:t>
      </w:r>
      <w:r w:rsidRPr="00ED7E61">
        <w:rPr>
          <w:rStyle w:val="normaltextrun"/>
          <w:rFonts w:asciiTheme="majorBidi" w:eastAsiaTheme="majorEastAsia" w:hAnsiTheme="majorBidi" w:cstheme="majorBidi"/>
          <w:vertAlign w:val="superscript"/>
        </w:rPr>
        <w:t>2</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6F7D3629" w14:textId="77777777" w:rsidR="00756F0F" w:rsidRPr="00ED7E61" w:rsidRDefault="00756F0F" w:rsidP="00B10F0C">
      <w:pPr>
        <w:pStyle w:val="CBDNormalNumber"/>
        <w:numPr>
          <w:ilvl w:val="0"/>
          <w:numId w:val="73"/>
        </w:numPr>
        <w:ind w:left="567" w:firstLine="0"/>
        <w:rPr>
          <w:rStyle w:val="normaltextrun"/>
          <w:rFonts w:eastAsiaTheme="majorEastAsia"/>
        </w:rPr>
      </w:pPr>
      <w:r w:rsidRPr="00ED7E61">
        <w:rPr>
          <w:rStyle w:val="normaltextrun"/>
          <w:rFonts w:asciiTheme="majorBidi" w:eastAsiaTheme="majorEastAsia" w:hAnsiTheme="majorBidi" w:cstheme="majorBidi"/>
        </w:rPr>
        <w:t>The national total protected area &amp; OECM coverage for each realm in each country and territory is calculated:</w:t>
      </w:r>
      <w:r w:rsidRPr="00ED7E61">
        <w:rPr>
          <w:rStyle w:val="normaltextrun"/>
        </w:rPr>
        <w:t> </w:t>
      </w:r>
    </w:p>
    <w:p w14:paraId="6C24B59F" w14:textId="59361AE7" w:rsidR="00B10F84"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Fonts w:asciiTheme="majorBidi" w:hAnsiTheme="majorBidi" w:cstheme="majorBidi"/>
          <w:color w:val="4A4A4A"/>
        </w:rPr>
      </w:pPr>
      <w:r w:rsidRPr="00ED7E61">
        <w:rPr>
          <w:rStyle w:val="normaltextrun"/>
          <w:rFonts w:asciiTheme="majorBidi" w:eastAsiaTheme="majorEastAsia" w:hAnsiTheme="majorBidi" w:cstheme="majorBidi"/>
        </w:rPr>
        <w:t>National terrestrial protected area &amp; OECM coverage = (national total area of terrestrial protected areas + national total area of terrestrial OECMs) / total terrestrial area of the country/territory.</w:t>
      </w:r>
      <w:r w:rsidRPr="00ED7E61">
        <w:rPr>
          <w:rStyle w:val="eop"/>
          <w:rFonts w:asciiTheme="majorBidi" w:eastAsiaTheme="majorEastAsia" w:hAnsiTheme="majorBidi" w:cstheme="majorBidi"/>
        </w:rPr>
        <w:t> </w:t>
      </w:r>
    </w:p>
    <w:p w14:paraId="0ABF1E48"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Fonts w:asciiTheme="majorBidi" w:hAnsiTheme="majorBidi" w:cstheme="majorBidi"/>
          <w:color w:val="4A4A4A"/>
        </w:rPr>
      </w:pPr>
      <w:r w:rsidRPr="00ED7E61">
        <w:rPr>
          <w:rStyle w:val="normaltextrun"/>
          <w:rFonts w:asciiTheme="majorBidi" w:eastAsiaTheme="majorEastAsia" w:hAnsiTheme="majorBidi" w:cstheme="majorBidi"/>
        </w:rPr>
        <w:t>National marine and coastal protected area &amp; OECM coverage = (national total area of marine and coastal protected areas + national total area of marine and coastal OECMs) / total marine and coastal area of the country/territory.</w:t>
      </w:r>
      <w:r w:rsidRPr="00ED7E61">
        <w:rPr>
          <w:rStyle w:val="eop"/>
          <w:rFonts w:asciiTheme="majorBidi" w:eastAsiaTheme="majorEastAsia" w:hAnsiTheme="majorBidi" w:cstheme="majorBidi"/>
        </w:rPr>
        <w:t> </w:t>
      </w:r>
    </w:p>
    <w:p w14:paraId="60F96128" w14:textId="77777777" w:rsidR="00756F0F"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Regional indices for the disaggregation by Key Biodiversity Areas are calculated as the mean percentage of each Key Biodiversity Area in the region covered by (i.e. overlapping with) protected areas and/or Other Effective Area-based Conservation Measures: in other words, the percentage of each Key Biodiversity Area covered by these designations, averaged over all Key Biodiversity Areas in the particular region.</w:t>
      </w:r>
      <w:r w:rsidRPr="00ED7E61">
        <w:rPr>
          <w:rStyle w:val="eop"/>
          <w:rFonts w:asciiTheme="majorBidi" w:eastAsiaTheme="majorEastAsia" w:hAnsiTheme="majorBidi" w:cstheme="majorBidi"/>
        </w:rPr>
        <w:t> </w:t>
      </w:r>
    </w:p>
    <w:p w14:paraId="5A1133C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6EB2335E" w14:textId="1A41AE91" w:rsidR="00B10F84"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National processes provide the data that are incorporated into the World Database on Protected Areas, the World Database on Other Effective Area-based Conservation Measures, and the World Database of Key Biodiversity Areas, so there are very few discrepancies between national indicators and the global one. One minor source of difference is that the World Database on Protected Areas incorporates internationally designated protected areas (e.g. UNESCO World Heritage sites, Ramsar sites, etc</w:t>
      </w:r>
      <w:r w:rsidR="00D6334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a few of which are not considered by their sovereign nations to be protected areas. </w:t>
      </w:r>
      <w:r w:rsidRPr="00ED7E61">
        <w:rPr>
          <w:rStyle w:val="eop"/>
          <w:rFonts w:asciiTheme="majorBidi" w:eastAsiaTheme="majorEastAsia" w:hAnsiTheme="majorBidi" w:cstheme="majorBidi"/>
        </w:rPr>
        <w:t> </w:t>
      </w:r>
    </w:p>
    <w:p w14:paraId="5A926712" w14:textId="77777777" w:rsidR="00756F0F"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Note that because countries do not submit comprehensive data on degazetted protected areas to the WDPA, earlier values of the indictor may marginally underestimate coverage. Furthermore, there is also a lag between the point at which a protected area is designated on the ground and the point at which it is reported to the WDPA. As such, current or recent coverage may also be underestimated.</w:t>
      </w:r>
      <w:r w:rsidRPr="00ED7E61">
        <w:rPr>
          <w:rStyle w:val="eop"/>
          <w:rFonts w:asciiTheme="majorBidi" w:eastAsiaTheme="majorEastAsia" w:hAnsiTheme="majorBidi" w:cstheme="majorBidi"/>
        </w:rPr>
        <w:t> </w:t>
      </w:r>
    </w:p>
    <w:p w14:paraId="3D8910C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4E558A1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 Description of the methodology</w:t>
      </w:r>
      <w:r w:rsidRPr="00ED7E61">
        <w:rPr>
          <w:rStyle w:val="eop"/>
          <w:rFonts w:asciiTheme="majorBidi" w:eastAsiaTheme="majorEastAsia" w:hAnsiTheme="majorBidi" w:cstheme="majorBidi"/>
          <w:sz w:val="22"/>
          <w:szCs w:val="22"/>
        </w:rPr>
        <w:t> </w:t>
      </w:r>
    </w:p>
    <w:p w14:paraId="429E9DF8" w14:textId="77777777" w:rsidR="00756F0F"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See above for the methods for calculating coverage by realm and by Key Biodiversity Areas for regions and globally. Protected Areas and Key Biodiversity Areas in Areas Beyond National Jurisdiction (ABNJs) are included in the global versions of these indicators, but not for national or regional versions.</w:t>
      </w:r>
      <w:r w:rsidRPr="00ED7E61">
        <w:rPr>
          <w:rStyle w:val="eop"/>
          <w:rFonts w:asciiTheme="majorBidi" w:eastAsiaTheme="majorEastAsia" w:hAnsiTheme="majorBidi" w:cstheme="majorBidi"/>
        </w:rPr>
        <w:t> </w:t>
      </w:r>
    </w:p>
    <w:p w14:paraId="5A1F0D3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744B7DFA" w14:textId="77777777" w:rsidR="00756F0F" w:rsidRPr="00ED7E61" w:rsidRDefault="00756F0F" w:rsidP="008841C1">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i/>
          <w:iCs/>
        </w:rPr>
        <w:t>N/A</w:t>
      </w:r>
      <w:r w:rsidRPr="00ED7E61">
        <w:rPr>
          <w:rStyle w:val="eop"/>
          <w:rFonts w:asciiTheme="majorBidi" w:eastAsiaTheme="majorEastAsia" w:hAnsiTheme="majorBidi" w:cstheme="majorBidi"/>
        </w:rPr>
        <w:t> </w:t>
      </w:r>
    </w:p>
    <w:p w14:paraId="0F2CCF1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6d.3 Description of the mechanism for collecting data from countries</w:t>
      </w:r>
      <w:r w:rsidRPr="00ED7E61">
        <w:rPr>
          <w:rStyle w:val="eop"/>
          <w:rFonts w:asciiTheme="majorBidi" w:eastAsiaTheme="majorEastAsia" w:hAnsiTheme="majorBidi" w:cstheme="majorBidi"/>
          <w:sz w:val="22"/>
          <w:szCs w:val="22"/>
        </w:rPr>
        <w:t> </w:t>
      </w:r>
    </w:p>
    <w:p w14:paraId="22EBE7C9" w14:textId="7FA92B9A" w:rsidR="00756F0F" w:rsidRPr="00ED7E61" w:rsidRDefault="00756F0F" w:rsidP="003F15A4">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See section 5. </w:t>
      </w:r>
      <w:r w:rsidRPr="00ED7E61">
        <w:rPr>
          <w:rStyle w:val="eop"/>
          <w:rFonts w:asciiTheme="majorBidi" w:eastAsiaTheme="majorEastAsia" w:hAnsiTheme="majorBidi" w:cstheme="majorBidi"/>
        </w:rPr>
        <w:t> </w:t>
      </w:r>
    </w:p>
    <w:p w14:paraId="4F27CC68" w14:textId="44373982"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w:t>
      </w:r>
      <w:r w:rsidR="00B10F0C">
        <w:rPr>
          <w:rStyle w:val="normaltextrun"/>
          <w:rFonts w:asciiTheme="majorBidi" w:eastAsiaTheme="majorEastAsia" w:hAnsiTheme="majorBidi" w:cstheme="majorBidi"/>
          <w:b/>
          <w:bCs/>
          <w:sz w:val="22"/>
          <w:szCs w:val="22"/>
        </w:rPr>
        <w:t>z</w:t>
      </w:r>
      <w:r w:rsidRPr="00ED7E61">
        <w:rPr>
          <w:rStyle w:val="normaltextrun"/>
          <w:rFonts w:asciiTheme="majorBidi" w:eastAsiaTheme="majorEastAsia" w:hAnsiTheme="majorBidi" w:cstheme="majorBidi"/>
          <w:b/>
          <w:bCs/>
          <w:sz w:val="22"/>
          <w:szCs w:val="22"/>
        </w:rPr>
        <w:t>ations</w:t>
      </w:r>
      <w:r w:rsidRPr="00ED7E61">
        <w:rPr>
          <w:rStyle w:val="eop"/>
          <w:rFonts w:asciiTheme="majorBidi" w:eastAsiaTheme="majorEastAsia" w:hAnsiTheme="majorBidi" w:cstheme="majorBidi"/>
          <w:sz w:val="22"/>
          <w:szCs w:val="22"/>
        </w:rPr>
        <w:t> </w:t>
      </w:r>
    </w:p>
    <w:p w14:paraId="44D98913" w14:textId="77777777" w:rsidR="00756F0F" w:rsidRPr="00ED7E61" w:rsidRDefault="00756F0F" w:rsidP="008841C1">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76484C33" w14:textId="65121847" w:rsidR="00B10F84" w:rsidRPr="00ED7E61" w:rsidRDefault="00756F0F" w:rsidP="00B10F0C">
      <w:pPr>
        <w:pStyle w:val="CBDNormalNumber"/>
        <w:numPr>
          <w:ilvl w:val="0"/>
          <w:numId w:val="73"/>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Sustainable Development Goals</w:t>
      </w:r>
      <w:r w:rsidRPr="00ED7E61">
        <w:rPr>
          <w:rStyle w:val="normaltextrun"/>
        </w:rPr>
        <w:t> </w:t>
      </w:r>
    </w:p>
    <w:p w14:paraId="736289BB" w14:textId="79895B70" w:rsidR="00B10F84"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Marine versions of the indicator are the same as Sustainable development Goal (SDG) indicator 14.5.1. Terrestrial and freshwater versions of the disaggregation by areas of importance for biodiversity are the same as SDG indicator 15.1.2 (while SDG indicator 15.4.1 represents a version for sites of important mountain biodiversity). </w:t>
      </w:r>
      <w:r w:rsidRPr="00ED7E61">
        <w:rPr>
          <w:rStyle w:val="eop"/>
          <w:rFonts w:asciiTheme="majorBidi" w:eastAsiaTheme="majorEastAsia" w:hAnsiTheme="majorBidi" w:cstheme="majorBidi"/>
        </w:rPr>
        <w:t> </w:t>
      </w:r>
    </w:p>
    <w:p w14:paraId="3B6B86D0" w14:textId="34341C79" w:rsidR="00756F0F"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Relevant subsets of the KBA disaggregation are also used and or reported in</w:t>
      </w:r>
      <w:r w:rsidR="00B10F84"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4978DF40" w14:textId="64D2A1AD" w:rsidR="00B10F84" w:rsidRPr="00ED7E61" w:rsidRDefault="00B96E8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Pr>
          <w:rStyle w:val="normaltextrun"/>
          <w:rFonts w:asciiTheme="majorBidi" w:eastAsiaTheme="majorEastAsia" w:hAnsiTheme="majorBidi" w:cstheme="majorBidi"/>
        </w:rPr>
        <w:t>subsidiary</w:t>
      </w:r>
      <w:r w:rsidRPr="00ED7E61">
        <w:rPr>
          <w:rStyle w:val="normaltextrun"/>
          <w:rFonts w:asciiTheme="majorBidi" w:eastAsiaTheme="majorEastAsia" w:hAnsiTheme="majorBidi" w:cstheme="majorBidi"/>
        </w:rPr>
        <w:t xml:space="preserve"> </w:t>
      </w:r>
      <w:r w:rsidR="00756F0F" w:rsidRPr="00ED7E61">
        <w:rPr>
          <w:rStyle w:val="normaltextrun"/>
          <w:rFonts w:asciiTheme="majorBidi" w:eastAsiaTheme="majorEastAsia" w:hAnsiTheme="majorBidi" w:cstheme="majorBidi"/>
        </w:rPr>
        <w:t>agreements of the Convention on Migratory Species (e.g. African-Eurasian Waterbird Agreement, Raptors MOU), </w:t>
      </w:r>
      <w:r w:rsidR="00756F0F" w:rsidRPr="00ED7E61">
        <w:rPr>
          <w:rStyle w:val="normaltextrun"/>
        </w:rPr>
        <w:t> </w:t>
      </w:r>
    </w:p>
    <w:p w14:paraId="44123825" w14:textId="5F745D88" w:rsidR="00B10F84"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United Nations Convention to Combat Desertification (UNCCD)</w:t>
      </w:r>
      <w:r w:rsidRPr="00ED7E61">
        <w:rPr>
          <w:rStyle w:val="eop"/>
          <w:rFonts w:asciiTheme="majorBidi" w:eastAsiaTheme="majorEastAsia" w:hAnsiTheme="majorBidi" w:cstheme="majorBidi"/>
        </w:rPr>
        <w:t> </w:t>
      </w:r>
    </w:p>
    <w:p w14:paraId="0B5C5586"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Intergovernmental Science-Policy Platform on Biodiversity and Ecosystem Services (IPBES): Global Assessment and each of the Regional Assessments. </w:t>
      </w:r>
      <w:r w:rsidRPr="00ED7E61">
        <w:rPr>
          <w:rStyle w:val="eop"/>
          <w:rFonts w:asciiTheme="majorBidi" w:eastAsiaTheme="majorEastAsia" w:hAnsiTheme="majorBidi" w:cstheme="majorBidi"/>
        </w:rPr>
        <w:t> </w:t>
      </w:r>
    </w:p>
    <w:p w14:paraId="7049BB10" w14:textId="77777777" w:rsidR="00756F0F" w:rsidRPr="00ED7E61" w:rsidRDefault="00756F0F" w:rsidP="00B10F0C">
      <w:pPr>
        <w:pStyle w:val="CBDNormalNumber"/>
        <w:numPr>
          <w:ilvl w:val="0"/>
          <w:numId w:val="73"/>
        </w:numPr>
        <w:ind w:left="567" w:firstLine="0"/>
        <w:rPr>
          <w:rStyle w:val="normaltextrun"/>
          <w:rFonts w:eastAsiaTheme="majorEastAsia"/>
        </w:rPr>
      </w:pPr>
      <w:r w:rsidRPr="00ED7E61">
        <w:rPr>
          <w:rStyle w:val="normaltextrun"/>
          <w:rFonts w:asciiTheme="majorBidi" w:eastAsiaTheme="majorEastAsia" w:hAnsiTheme="majorBidi" w:cstheme="majorBidi"/>
        </w:rPr>
        <w:t>Disaggregation by inland waters and by inland water biomes and realms is also relevant to the Ramsar Convention on Wetlands.</w:t>
      </w:r>
      <w:r w:rsidRPr="00ED7E61">
        <w:rPr>
          <w:rStyle w:val="normaltextrun"/>
        </w:rPr>
        <w:t> </w:t>
      </w:r>
    </w:p>
    <w:p w14:paraId="579A364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5221C139" w14:textId="77777777" w:rsidR="00756F0F" w:rsidRPr="00ED7E61" w:rsidRDefault="00756F0F" w:rsidP="008841C1">
      <w:pPr>
        <w:pStyle w:val="paragraph"/>
        <w:spacing w:before="0" w:beforeAutospacing="0" w:after="0" w:afterAutospacing="0"/>
        <w:ind w:left="567"/>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sz w:val="22"/>
          <w:szCs w:val="22"/>
        </w:rPr>
        <w:t xml:space="preserve">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73FE89B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hyperlink r:id="rId383" w:tgtFrame="_blank" w:history="1">
        <w:r w:rsidRPr="00ED7E61">
          <w:rPr>
            <w:rStyle w:val="normaltextrun"/>
            <w:rFonts w:asciiTheme="majorBidi" w:eastAsiaTheme="majorEastAsia" w:hAnsiTheme="majorBidi" w:cstheme="majorBidi"/>
            <w:color w:val="467886"/>
            <w:sz w:val="22"/>
            <w:szCs w:val="22"/>
            <w:u w:val="single"/>
            <w:lang w:val="en-GB"/>
          </w:rPr>
          <w:t>https://www.bipindicators.net/indicators/coverage-of-protected-areas-terrestrial-and-marine</w:t>
        </w:r>
      </w:hyperlink>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06F5FB7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hyperlink r:id="rId384" w:tgtFrame="_blank" w:history="1">
        <w:r w:rsidRPr="00ED7E61">
          <w:rPr>
            <w:rStyle w:val="normaltextrun"/>
            <w:rFonts w:asciiTheme="majorBidi" w:eastAsiaTheme="majorEastAsia" w:hAnsiTheme="majorBidi" w:cstheme="majorBidi"/>
            <w:color w:val="467886"/>
            <w:sz w:val="22"/>
            <w:szCs w:val="22"/>
            <w:u w:val="single"/>
          </w:rPr>
          <w:t>https://www.bipindicators.net/indicators/protected-area-coverage-of-key-biodiversity-areas</w:t>
        </w:r>
      </w:hyperlink>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25BBB5F4" w14:textId="55642E89" w:rsidR="00756F0F" w:rsidRPr="00ED7E61" w:rsidRDefault="00756F0F" w:rsidP="008841C1">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047A9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047A9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2D40294F" w14:textId="77777777" w:rsidR="00756F0F" w:rsidRPr="00ED7E61" w:rsidRDefault="00756F0F" w:rsidP="008841C1">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i. Disaggregation by PAs and OECMs</w:t>
      </w:r>
      <w:r w:rsidRPr="00ED7E61">
        <w:rPr>
          <w:rStyle w:val="eop"/>
          <w:rFonts w:asciiTheme="majorBidi" w:eastAsiaTheme="majorEastAsia" w:hAnsiTheme="majorBidi" w:cstheme="majorBidi"/>
          <w:sz w:val="22"/>
          <w:szCs w:val="22"/>
        </w:rPr>
        <w:t> </w:t>
      </w:r>
    </w:p>
    <w:p w14:paraId="117D831C" w14:textId="77777777" w:rsidR="00756F0F" w:rsidRPr="00ED7E61" w:rsidRDefault="00756F0F" w:rsidP="008841C1">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See section 5. </w:t>
      </w:r>
      <w:r w:rsidRPr="00ED7E61">
        <w:rPr>
          <w:rStyle w:val="eop"/>
          <w:rFonts w:asciiTheme="majorBidi" w:eastAsiaTheme="majorEastAsia" w:hAnsiTheme="majorBidi" w:cstheme="majorBidi"/>
        </w:rPr>
        <w:t> </w:t>
      </w:r>
    </w:p>
    <w:p w14:paraId="171B809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ii. Disaggregation by realm, biomes, ecosystem functional groups and ecoregions</w:t>
      </w:r>
      <w:r w:rsidRPr="00ED7E61">
        <w:rPr>
          <w:rStyle w:val="eop"/>
          <w:rFonts w:asciiTheme="majorBidi" w:eastAsiaTheme="majorEastAsia" w:hAnsiTheme="majorBidi" w:cstheme="majorBidi"/>
          <w:sz w:val="22"/>
          <w:szCs w:val="22"/>
        </w:rPr>
        <w:t> </w:t>
      </w:r>
    </w:p>
    <w:p w14:paraId="15221720" w14:textId="77777777" w:rsidR="00756F0F" w:rsidRPr="00ED7E61" w:rsidRDefault="00756F0F" w:rsidP="00B10F0C">
      <w:pPr>
        <w:pStyle w:val="CBDNormalNumber"/>
        <w:numPr>
          <w:ilvl w:val="0"/>
          <w:numId w:val="73"/>
        </w:numPr>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 xml:space="preserve">The indicator was previously disaggregated by coverage of the marine and coastal realm and the terrestrial realm (including inland waters). A </w:t>
      </w:r>
      <w:hyperlink r:id="rId385" w:anchor="3229" w:tgtFrame="_blank" w:history="1">
        <w:r w:rsidRPr="00ED7E61">
          <w:rPr>
            <w:rStyle w:val="normaltextrun"/>
            <w:rFonts w:asciiTheme="majorBidi" w:eastAsiaTheme="majorEastAsia" w:hAnsiTheme="majorBidi" w:cstheme="majorBidi"/>
          </w:rPr>
          <w:t>methodology</w:t>
        </w:r>
      </w:hyperlink>
      <w:r w:rsidRPr="00ED7E61">
        <w:rPr>
          <w:rStyle w:val="normaltextrun"/>
          <w:rFonts w:asciiTheme="majorBidi" w:eastAsiaTheme="majorEastAsia" w:hAnsiTheme="majorBidi" w:cstheme="majorBidi"/>
        </w:rPr>
        <w:t xml:space="preserve"> for calculating coverage of inland waters separately has now been developed (by TNC, with the support of the Convention on Wetlands Scientific and Review Panel STRP and UNEP-WCMC) and will be implemented moving forwards. </w:t>
      </w:r>
      <w:r w:rsidRPr="00ED7E61">
        <w:rPr>
          <w:rStyle w:val="normaltextrun"/>
        </w:rPr>
        <w:t> </w:t>
      </w:r>
    </w:p>
    <w:p w14:paraId="57DDE56A" w14:textId="77777777" w:rsidR="00756F0F" w:rsidRPr="00ED7E61" w:rsidRDefault="00756F0F" w:rsidP="00B10F0C">
      <w:pPr>
        <w:pStyle w:val="CBDNormalNumber"/>
        <w:numPr>
          <w:ilvl w:val="0"/>
          <w:numId w:val="73"/>
        </w:numPr>
        <w:ind w:left="567" w:firstLine="0"/>
        <w:rPr>
          <w:rStyle w:val="normaltextrun"/>
          <w:rFonts w:eastAsiaTheme="majorEastAsia"/>
        </w:rPr>
      </w:pPr>
      <w:r w:rsidRPr="00ED7E61">
        <w:rPr>
          <w:rStyle w:val="normaltextrun"/>
          <w:rFonts w:asciiTheme="majorBidi" w:eastAsiaTheme="majorEastAsia" w:hAnsiTheme="majorBidi" w:cstheme="majorBidi"/>
        </w:rPr>
        <w:t>The following steps are used to disaggregrate coverage by realm (following the steps described in section 5): </w:t>
      </w:r>
      <w:r w:rsidRPr="00ED7E61">
        <w:rPr>
          <w:rStyle w:val="normaltextrun"/>
        </w:rPr>
        <w:t> </w:t>
      </w:r>
    </w:p>
    <w:p w14:paraId="0C623527" w14:textId="733D3C85" w:rsidR="00B10F84"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Protected areas:</w:t>
      </w:r>
      <w:r w:rsidRPr="00ED7E61">
        <w:rPr>
          <w:rStyle w:val="normaltextrun"/>
        </w:rPr>
        <w:t> </w:t>
      </w:r>
    </w:p>
    <w:p w14:paraId="330CA273" w14:textId="3B32CEFD" w:rsidR="00B10F84" w:rsidRPr="00ED7E61" w:rsidRDefault="00756F0F" w:rsidP="00B10F0C">
      <w:pPr>
        <w:pStyle w:val="CBDNormalNumber"/>
        <w:numPr>
          <w:ilvl w:val="2"/>
          <w:numId w:val="73"/>
        </w:numPr>
        <w:tabs>
          <w:tab w:val="clear" w:pos="567"/>
          <w:tab w:val="clear" w:pos="1134"/>
          <w:tab w:val="clear" w:pos="1701"/>
          <w:tab w:val="clear" w:pos="2268"/>
          <w:tab w:val="left" w:pos="1985"/>
        </w:tabs>
        <w:ind w:left="1701" w:hanging="283"/>
        <w:rPr>
          <w:rFonts w:asciiTheme="majorBidi" w:hAnsiTheme="majorBidi" w:cstheme="majorBidi"/>
          <w:color w:val="4A4A4A"/>
        </w:rPr>
      </w:pPr>
      <w:r w:rsidRPr="00ED7E61">
        <w:rPr>
          <w:rStyle w:val="normaltextrun"/>
          <w:rFonts w:asciiTheme="majorBidi" w:eastAsiaTheme="majorEastAsia" w:hAnsiTheme="majorBidi" w:cstheme="majorBidi"/>
        </w:rPr>
        <w:t xml:space="preserve">The global protected areas flat layer is intersected with a base map of the world. </w:t>
      </w:r>
      <w:r w:rsidRPr="00ED7E61">
        <w:rPr>
          <w:rStyle w:val="normaltextrun"/>
          <w:rFonts w:asciiTheme="majorBidi" w:eastAsiaTheme="majorEastAsia" w:hAnsiTheme="majorBidi" w:cstheme="majorBidi"/>
          <w:color w:val="242424"/>
        </w:rPr>
        <w:t>The base map used by UNEP-WCMC is a combination of Exclusive Economic Zones (EEZ; VLIZ 2014) and terrestrial country boundaries (World Vector Shoreline, 3rd edition, National Geospatial-Intelligence Agency). A simplified version of this layer has been published at Nature Scientific Data journal (</w:t>
      </w:r>
      <w:r w:rsidRPr="00ED7E61">
        <w:rPr>
          <w:rStyle w:val="normaltextrun"/>
          <w:rFonts w:asciiTheme="majorBidi" w:eastAsiaTheme="majorEastAsia" w:hAnsiTheme="majorBidi" w:cstheme="majorBidi"/>
          <w:color w:val="4A4A4A"/>
        </w:rPr>
        <w:t>Brooks et al. 2016a</w:t>
      </w:r>
      <w:r w:rsidRPr="00ED7E61">
        <w:rPr>
          <w:rStyle w:val="normaltextrun"/>
          <w:rFonts w:asciiTheme="majorBidi" w:eastAsiaTheme="majorEastAsia" w:hAnsiTheme="majorBidi" w:cstheme="majorBidi"/>
          <w:color w:val="242424"/>
        </w:rPr>
        <w:t>) and is available here: </w:t>
      </w:r>
      <w:hyperlink r:id="rId386" w:tgtFrame="_blank" w:history="1">
        <w:r w:rsidRPr="00ED7E61">
          <w:rPr>
            <w:rStyle w:val="normaltextrun"/>
            <w:rFonts w:asciiTheme="majorBidi" w:eastAsiaTheme="majorEastAsia" w:hAnsiTheme="majorBidi" w:cstheme="majorBidi"/>
            <w:color w:val="467886"/>
            <w:u w:val="single"/>
          </w:rPr>
          <w:t>http://datadryad.org/resource/doi:10.5061/dryad.6gb90.2</w:t>
        </w:r>
      </w:hyperlink>
      <w:r w:rsidRPr="00ED7E61">
        <w:rPr>
          <w:rStyle w:val="normaltextrun"/>
          <w:rFonts w:asciiTheme="majorBidi" w:eastAsiaTheme="majorEastAsia" w:hAnsiTheme="majorBidi" w:cstheme="majorBidi"/>
          <w:color w:val="4A4A4A"/>
        </w:rPr>
        <w:t>.</w:t>
      </w:r>
      <w:r w:rsidRPr="00ED7E61">
        <w:rPr>
          <w:rStyle w:val="normaltextrun"/>
          <w:rFonts w:asciiTheme="majorBidi" w:eastAsiaTheme="majorEastAsia" w:hAnsiTheme="majorBidi" w:cstheme="majorBidi"/>
        </w:rPr>
        <w:t xml:space="preserve"> A more accurate base map is under development by UNEP-WCMC and will replace this base map once complete.</w:t>
      </w:r>
      <w:r w:rsidRPr="00ED7E61">
        <w:rPr>
          <w:rStyle w:val="eop"/>
          <w:rFonts w:asciiTheme="majorBidi" w:eastAsiaTheme="majorEastAsia" w:hAnsiTheme="majorBidi" w:cstheme="majorBidi"/>
        </w:rPr>
        <w:t> </w:t>
      </w:r>
    </w:p>
    <w:p w14:paraId="650D5078" w14:textId="035219A6" w:rsidR="00B10F84" w:rsidRPr="00ED7E61" w:rsidRDefault="00756F0F" w:rsidP="00B10F0C">
      <w:pPr>
        <w:pStyle w:val="CBDNormalNumber"/>
        <w:numPr>
          <w:ilvl w:val="2"/>
          <w:numId w:val="73"/>
        </w:numPr>
        <w:tabs>
          <w:tab w:val="clear" w:pos="567"/>
          <w:tab w:val="clear" w:pos="1134"/>
          <w:tab w:val="clear" w:pos="1701"/>
          <w:tab w:val="clear" w:pos="2268"/>
          <w:tab w:val="left" w:pos="1985"/>
        </w:tabs>
        <w:ind w:left="1701" w:hanging="283"/>
        <w:rPr>
          <w:rFonts w:asciiTheme="majorBidi" w:hAnsiTheme="majorBidi" w:cstheme="majorBidi"/>
          <w:color w:val="4A4A4A"/>
        </w:rPr>
      </w:pPr>
      <w:r w:rsidRPr="00ED7E61">
        <w:rPr>
          <w:rStyle w:val="normaltextrun"/>
          <w:rFonts w:asciiTheme="majorBidi" w:eastAsiaTheme="majorEastAsia" w:hAnsiTheme="majorBidi" w:cstheme="majorBidi"/>
        </w:rPr>
        <w:t>The intersected flat layer is converted to Mollweide (an equal area projection) and the area of each polygon is calculated, in km</w:t>
      </w:r>
      <w:r w:rsidRPr="00ED7E61">
        <w:rPr>
          <w:rStyle w:val="normaltextrun"/>
          <w:rFonts w:asciiTheme="majorBidi" w:eastAsiaTheme="majorEastAsia" w:hAnsiTheme="majorBidi" w:cstheme="majorBidi"/>
          <w:vertAlign w:val="superscript"/>
        </w:rPr>
        <w:t>2</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28D3E799" w14:textId="4C4F7503" w:rsidR="00B10F84" w:rsidRPr="00ED7E61" w:rsidRDefault="00756F0F" w:rsidP="00B10F0C">
      <w:pPr>
        <w:pStyle w:val="CBDNormalNumber"/>
        <w:numPr>
          <w:ilvl w:val="2"/>
          <w:numId w:val="73"/>
        </w:numPr>
        <w:tabs>
          <w:tab w:val="clear" w:pos="567"/>
          <w:tab w:val="clear" w:pos="1134"/>
          <w:tab w:val="clear" w:pos="1701"/>
          <w:tab w:val="clear" w:pos="2268"/>
          <w:tab w:val="left" w:pos="1985"/>
        </w:tabs>
        <w:ind w:left="1701" w:hanging="283"/>
        <w:rPr>
          <w:rFonts w:asciiTheme="majorBidi" w:hAnsiTheme="majorBidi" w:cstheme="majorBidi"/>
          <w:color w:val="4A4A4A"/>
        </w:rPr>
      </w:pPr>
      <w:r w:rsidRPr="00ED7E61">
        <w:rPr>
          <w:rStyle w:val="normaltextrun"/>
          <w:rFonts w:asciiTheme="majorBidi" w:eastAsiaTheme="majorEastAsia" w:hAnsiTheme="majorBidi" w:cstheme="majorBidi"/>
        </w:rPr>
        <w:t>Calculated areas are summed by land, marine and Areas Beyond National Jurisdiction (ABNJ). Marine and coastal areas are those outlined in the EEZ dataset (see above). ABNJ constitute international waters outside the 200 nautical mile limits of national jurisdiction.</w:t>
      </w:r>
      <w:r w:rsidRPr="00ED7E61">
        <w:rPr>
          <w:rStyle w:val="eop"/>
          <w:rFonts w:asciiTheme="majorBidi" w:eastAsiaTheme="majorEastAsia" w:hAnsiTheme="majorBidi" w:cstheme="majorBidi"/>
        </w:rPr>
        <w:t> </w:t>
      </w:r>
    </w:p>
    <w:p w14:paraId="2344933F" w14:textId="076D941B" w:rsidR="00B10F84" w:rsidRPr="00ED7E61" w:rsidRDefault="00756F0F" w:rsidP="00B10F0C">
      <w:pPr>
        <w:pStyle w:val="CBDNormalNumber"/>
        <w:numPr>
          <w:ilvl w:val="2"/>
          <w:numId w:val="73"/>
        </w:numPr>
        <w:tabs>
          <w:tab w:val="clear" w:pos="567"/>
          <w:tab w:val="clear" w:pos="1134"/>
          <w:tab w:val="clear" w:pos="1701"/>
          <w:tab w:val="clear" w:pos="2268"/>
          <w:tab w:val="left" w:pos="1985"/>
        </w:tabs>
        <w:ind w:left="1701" w:hanging="283"/>
        <w:rPr>
          <w:rFonts w:asciiTheme="majorBidi" w:hAnsiTheme="majorBidi" w:cstheme="majorBidi"/>
          <w:color w:val="4A4A4A"/>
        </w:rPr>
      </w:pPr>
      <w:r w:rsidRPr="00ED7E61">
        <w:rPr>
          <w:rStyle w:val="normaltextrun"/>
          <w:rFonts w:asciiTheme="majorBidi" w:eastAsiaTheme="majorEastAsia" w:hAnsiTheme="majorBidi" w:cstheme="majorBidi"/>
        </w:rPr>
        <w:t xml:space="preserve">Currently, the terrestrial protected area coverage is calculated by dividing the total area of terrestrial protected areas by total global terrestrial area, excluding Antarctica. ABNJ protected area coverage is calculated by selecting areas where ISO3 = </w:t>
      </w:r>
      <w:r w:rsidR="008E5C75">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ABNJ</w:t>
      </w:r>
      <w:r w:rsidR="008E5C75">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Marine and coastal protected area coverage is (total global protected areas flat coverage) - (ABNJ Area + Land Area). In future, it will be important to clarify whether terrestrial coverage statistics refer to terrestrial + inlands waters (as currently) or exclude inland waters (once coverage of inland waters is calculated too: see below). </w:t>
      </w:r>
      <w:r w:rsidRPr="00ED7E61">
        <w:rPr>
          <w:rStyle w:val="eop"/>
          <w:rFonts w:asciiTheme="majorBidi" w:eastAsiaTheme="majorEastAsia" w:hAnsiTheme="majorBidi" w:cstheme="majorBidi"/>
        </w:rPr>
        <w:t> </w:t>
      </w:r>
    </w:p>
    <w:p w14:paraId="2271CC1C" w14:textId="77777777" w:rsidR="00756F0F" w:rsidRPr="00ED7E61" w:rsidRDefault="00756F0F" w:rsidP="00B10F0C">
      <w:pPr>
        <w:pStyle w:val="CBDNormalNumber"/>
        <w:numPr>
          <w:ilvl w:val="2"/>
          <w:numId w:val="73"/>
        </w:numPr>
        <w:tabs>
          <w:tab w:val="clear" w:pos="567"/>
          <w:tab w:val="clear" w:pos="1134"/>
          <w:tab w:val="clear" w:pos="1701"/>
          <w:tab w:val="clear" w:pos="2268"/>
          <w:tab w:val="left" w:pos="1985"/>
        </w:tabs>
        <w:ind w:left="1701" w:hanging="283"/>
        <w:rPr>
          <w:rFonts w:asciiTheme="majorBidi" w:hAnsiTheme="majorBidi" w:cstheme="majorBidi"/>
          <w:color w:val="4A4A4A"/>
        </w:rPr>
      </w:pPr>
      <w:r w:rsidRPr="00ED7E61">
        <w:rPr>
          <w:rStyle w:val="normaltextrun"/>
          <w:rFonts w:asciiTheme="majorBidi" w:eastAsiaTheme="majorEastAsia" w:hAnsiTheme="majorBidi" w:cstheme="majorBidi"/>
        </w:rPr>
        <w:t>Inland water coverage will be calculated as the total extent of inland waters (from GLWD v2) within protected and conserved area boundaries (from WDPA and WD-OECM) divided by the total extent of inland waters. </w:t>
      </w:r>
      <w:r w:rsidRPr="00ED7E61">
        <w:rPr>
          <w:rStyle w:val="eop"/>
          <w:rFonts w:asciiTheme="majorBidi" w:eastAsiaTheme="majorEastAsia" w:hAnsiTheme="majorBidi" w:cstheme="majorBidi"/>
        </w:rPr>
        <w:t> </w:t>
      </w:r>
    </w:p>
    <w:p w14:paraId="02B016EE"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OECMs:</w:t>
      </w:r>
      <w:r w:rsidRPr="00ED7E61">
        <w:rPr>
          <w:rStyle w:val="normaltextrun"/>
        </w:rPr>
        <w:t> </w:t>
      </w:r>
    </w:p>
    <w:p w14:paraId="03666DC7" w14:textId="51E64DB4" w:rsidR="00B10F84" w:rsidRPr="00ED7E61" w:rsidRDefault="00756F0F" w:rsidP="00B10F0C">
      <w:pPr>
        <w:pStyle w:val="CBDNormalNumber"/>
        <w:numPr>
          <w:ilvl w:val="2"/>
          <w:numId w:val="73"/>
        </w:numPr>
        <w:tabs>
          <w:tab w:val="clear" w:pos="567"/>
          <w:tab w:val="clear" w:pos="1134"/>
          <w:tab w:val="clear" w:pos="1701"/>
          <w:tab w:val="clear" w:pos="2268"/>
          <w:tab w:val="left" w:pos="1985"/>
        </w:tabs>
        <w:ind w:left="1701"/>
        <w:rPr>
          <w:rFonts w:asciiTheme="majorBidi" w:hAnsiTheme="majorBidi" w:cstheme="majorBidi"/>
          <w:color w:val="4A4A4A"/>
        </w:rPr>
      </w:pPr>
      <w:r w:rsidRPr="00ED7E61">
        <w:rPr>
          <w:rStyle w:val="normaltextrun"/>
          <w:rFonts w:asciiTheme="majorBidi" w:eastAsiaTheme="majorEastAsia" w:hAnsiTheme="majorBidi" w:cstheme="majorBidi"/>
        </w:rPr>
        <w:t>The OECMs flat layer is intersected with a base map of the world (see above)</w:t>
      </w:r>
      <w:r w:rsidRPr="00ED7E61">
        <w:rPr>
          <w:rStyle w:val="eop"/>
          <w:rFonts w:asciiTheme="majorBidi" w:eastAsiaTheme="majorEastAsia" w:hAnsiTheme="majorBidi" w:cstheme="majorBidi"/>
        </w:rPr>
        <w:t> </w:t>
      </w:r>
    </w:p>
    <w:p w14:paraId="0BCFC3E8" w14:textId="3FB38C48" w:rsidR="00B10F84" w:rsidRPr="00ED7E61" w:rsidRDefault="00756F0F" w:rsidP="00B10F0C">
      <w:pPr>
        <w:pStyle w:val="CBDNormalNumber"/>
        <w:numPr>
          <w:ilvl w:val="2"/>
          <w:numId w:val="73"/>
        </w:numPr>
        <w:tabs>
          <w:tab w:val="clear" w:pos="567"/>
          <w:tab w:val="clear" w:pos="1134"/>
          <w:tab w:val="clear" w:pos="1701"/>
          <w:tab w:val="clear" w:pos="2268"/>
          <w:tab w:val="left" w:pos="1985"/>
        </w:tabs>
        <w:ind w:left="1701"/>
        <w:rPr>
          <w:rFonts w:asciiTheme="majorBidi" w:hAnsiTheme="majorBidi" w:cstheme="majorBidi"/>
          <w:color w:val="4A4A4A"/>
        </w:rPr>
      </w:pPr>
      <w:r w:rsidRPr="00ED7E61">
        <w:rPr>
          <w:rStyle w:val="normaltextrun"/>
          <w:rFonts w:asciiTheme="majorBidi" w:eastAsiaTheme="majorEastAsia" w:hAnsiTheme="majorBidi" w:cstheme="majorBidi"/>
        </w:rPr>
        <w:t>The intersected flat layer is converted to Mollweide (an equal area projection) and the area of each polygon is calculated, in km</w:t>
      </w:r>
      <w:r w:rsidRPr="00ED7E61">
        <w:rPr>
          <w:rStyle w:val="normaltextrun"/>
          <w:rFonts w:asciiTheme="majorBidi" w:eastAsiaTheme="majorEastAsia" w:hAnsiTheme="majorBidi" w:cstheme="majorBidi"/>
          <w:vertAlign w:val="superscript"/>
        </w:rPr>
        <w:t>2</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3162046F" w14:textId="77777777" w:rsidR="00756F0F" w:rsidRPr="00ED7E61" w:rsidRDefault="00756F0F" w:rsidP="00B10F0C">
      <w:pPr>
        <w:pStyle w:val="CBDNormalNumber"/>
        <w:numPr>
          <w:ilvl w:val="2"/>
          <w:numId w:val="73"/>
        </w:numPr>
        <w:tabs>
          <w:tab w:val="clear" w:pos="567"/>
          <w:tab w:val="clear" w:pos="1134"/>
          <w:tab w:val="clear" w:pos="1701"/>
          <w:tab w:val="clear" w:pos="2268"/>
          <w:tab w:val="left" w:pos="1985"/>
        </w:tabs>
        <w:ind w:left="1701"/>
        <w:rPr>
          <w:rFonts w:asciiTheme="majorBidi" w:hAnsiTheme="majorBidi" w:cstheme="majorBidi"/>
          <w:color w:val="4A4A4A"/>
        </w:rPr>
      </w:pPr>
      <w:r w:rsidRPr="00ED7E61">
        <w:rPr>
          <w:rStyle w:val="normaltextrun"/>
          <w:rFonts w:asciiTheme="majorBidi" w:eastAsiaTheme="majorEastAsia" w:hAnsiTheme="majorBidi" w:cstheme="majorBidi"/>
        </w:rPr>
        <w:t>Calculated areas are summed as described above for protected areas.</w:t>
      </w:r>
      <w:r w:rsidRPr="00ED7E61">
        <w:rPr>
          <w:rStyle w:val="eop"/>
          <w:rFonts w:asciiTheme="majorBidi" w:eastAsiaTheme="majorEastAsia" w:hAnsiTheme="majorBidi" w:cstheme="majorBidi"/>
        </w:rPr>
        <w:t> </w:t>
      </w:r>
    </w:p>
    <w:p w14:paraId="1850D651" w14:textId="77777777" w:rsidR="00756F0F" w:rsidRPr="00ED7E61" w:rsidRDefault="00756F0F" w:rsidP="00B10F0C">
      <w:pPr>
        <w:pStyle w:val="CBDNormalNumber"/>
        <w:numPr>
          <w:ilvl w:val="1"/>
          <w:numId w:val="73"/>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Protected areas + OECMs: </w:t>
      </w:r>
      <w:r w:rsidRPr="00ED7E61">
        <w:rPr>
          <w:rStyle w:val="normaltextrun"/>
        </w:rPr>
        <w:t> </w:t>
      </w:r>
    </w:p>
    <w:p w14:paraId="703A998B" w14:textId="77777777" w:rsidR="00756F0F" w:rsidRPr="00ED7E61" w:rsidRDefault="00756F0F" w:rsidP="00B10F0C">
      <w:pPr>
        <w:pStyle w:val="CBDNormalNumber"/>
        <w:numPr>
          <w:ilvl w:val="2"/>
          <w:numId w:val="73"/>
        </w:numPr>
        <w:tabs>
          <w:tab w:val="clear" w:pos="567"/>
          <w:tab w:val="clear" w:pos="1134"/>
          <w:tab w:val="clear" w:pos="1701"/>
          <w:tab w:val="clear" w:pos="2268"/>
          <w:tab w:val="left" w:pos="1985"/>
        </w:tabs>
        <w:ind w:left="1701"/>
        <w:rPr>
          <w:rFonts w:asciiTheme="majorBidi" w:hAnsiTheme="majorBidi" w:cstheme="majorBidi"/>
          <w:color w:val="4A4A4A"/>
        </w:rPr>
      </w:pPr>
      <w:r w:rsidRPr="00ED7E61">
        <w:rPr>
          <w:rStyle w:val="normaltextrun"/>
          <w:rFonts w:asciiTheme="majorBidi" w:eastAsiaTheme="majorEastAsia" w:hAnsiTheme="majorBidi" w:cstheme="majorBidi"/>
        </w:rPr>
        <w:t>Statistics for protected areas and OECMs combined are calculated by summing these.</w:t>
      </w:r>
      <w:r w:rsidRPr="00ED7E61">
        <w:rPr>
          <w:rStyle w:val="eop"/>
          <w:rFonts w:asciiTheme="majorBidi" w:eastAsiaTheme="majorEastAsia" w:hAnsiTheme="majorBidi" w:cstheme="majorBidi"/>
        </w:rPr>
        <w:t> </w:t>
      </w:r>
    </w:p>
    <w:p w14:paraId="13216B93" w14:textId="11D791AC" w:rsidR="00756F0F"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At the national scale, it is recommended that the indicator is disaggregated to show coverage of Ecosystem Functional Groups within the </w:t>
      </w:r>
      <w:hyperlink r:id="rId387" w:tgtFrame="_blank" w:history="1">
        <w:r w:rsidRPr="00ED7E61">
          <w:rPr>
            <w:rStyle w:val="normaltextrun"/>
            <w:rFonts w:asciiTheme="majorBidi" w:eastAsiaTheme="majorEastAsia" w:hAnsiTheme="majorBidi" w:cstheme="majorBidi"/>
            <w:color w:val="0563C1"/>
            <w:u w:val="single"/>
          </w:rPr>
          <w:t>Global Ecosystem Typology</w:t>
        </w:r>
      </w:hyperlink>
      <w:r w:rsidRPr="00ED7E61">
        <w:rPr>
          <w:rStyle w:val="normaltextrun"/>
          <w:rFonts w:asciiTheme="majorBidi" w:eastAsiaTheme="majorEastAsia" w:hAnsiTheme="majorBidi" w:cstheme="majorBidi"/>
        </w:rPr>
        <w:t xml:space="preserve"> (e.g. Tropical/Subtropical Lowland Rainforests, Seagrass meadows, Permanent Upland Streams etc</w:t>
      </w:r>
      <w:r w:rsidR="00D6334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This can be achieved by (a) matching national ecosystem maps to the Global Ecosystem Typology and assessing coverage by protected areas and OECMs; or (b) using indicative global maps from the Global Ecosystem Typology and assessing coverage by protected areas and OECMs, excluding any inappropriate ecosystem groups that may have been included erroneously owing to data resolution. Coverage of Ecosystem Functional Groups can be combined to show coverage of biomes (e.g.</w:t>
      </w:r>
      <w:r w:rsidR="00814FCB">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Tropical/subtropical forests biome, Rivers and streams biome, Pelagic ocean waters biome etc</w:t>
      </w:r>
      <w:r w:rsidR="00D6334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At the global scale, it may be more appropriate to calculate coverage by protected areas and OECMs of biomes, or a combination of biomes and Ecosystem Functional Groups (to enable distinction between coral reefs and seagrass beds, for example). For inland waters, it is recommended to assess coverage of (the total length of) rivers and streams, and (the area of) lakes and wetlands, and artificial wetlands. At a global scale, or in the absence of better data at regional, national, or sub-national scales, these metrics can be derived using the vectorized linear river network of RiverATLAS (Linke et al. 2019) and the lakes, wetlands and artificial wetland classes in GLWD v2 (Lehner et al. 2022). Coverage can also be assessed for terrestrial ecoregions (Dinerstein et al., 2017), marine ecoregions (Spalding et al. 2007, 2012) and freshwater ecosystems (Abell et al. 2008).</w:t>
      </w:r>
      <w:r w:rsidRPr="00ED7E61">
        <w:rPr>
          <w:rStyle w:val="eop"/>
          <w:rFonts w:asciiTheme="majorBidi" w:eastAsiaTheme="majorEastAsia" w:hAnsiTheme="majorBidi" w:cstheme="majorBidi"/>
        </w:rPr>
        <w:t> </w:t>
      </w:r>
    </w:p>
    <w:p w14:paraId="0428A678" w14:textId="30BC3B00"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Disaggregation by areas of importance for biodiversity:</w:t>
      </w:r>
      <w:r w:rsidRPr="00ED7E61">
        <w:rPr>
          <w:rStyle w:val="eop"/>
          <w:rFonts w:asciiTheme="majorBidi" w:eastAsiaTheme="majorEastAsia" w:hAnsiTheme="majorBidi" w:cstheme="majorBidi"/>
          <w:sz w:val="22"/>
          <w:szCs w:val="22"/>
        </w:rPr>
        <w:t> </w:t>
      </w:r>
    </w:p>
    <w:p w14:paraId="687DF686" w14:textId="217ABAEC" w:rsidR="00B10F84"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This disaggregation shows temporal trends in the coverage by protected areas and OECMs of areas of particular importance for biodiversity (see definition above). It can be measured as the mean percentage of each important Key Biodiversity Area that is covered by protected areas and Other Effective Area-based Conservation Measures (OECMs), calculated from data derived from a spatial overlap between digital polygons for protected areas (from the World Database on Protected Areas; UNEP-WCMC &amp; IUCN 2023), digital polygons for Other Effective Area-based Conservation Measures (from the World Database on OECMs) and digital polygons for Key Biodiversity Areas (from the World Database of Key Biodiversity Areas, including Important Bird and Biodiversity Areas, Alliance for Zero Extinction sites, and other Key Biodiversity Areas). The value of the indicator at a given point in time, based on data on the year of protected area establishment recorded in the World Database on Protected Areas and the World Database on OECMs, is computed as the mean percentage of each Key Biodiversity Area currently recognised that is covered by protected areas and/or Other Effective Area-based Conservation Measures.</w:t>
      </w:r>
      <w:r w:rsidRPr="00ED7E61">
        <w:rPr>
          <w:rStyle w:val="eop"/>
          <w:rFonts w:asciiTheme="majorBidi" w:eastAsiaTheme="majorEastAsia" w:hAnsiTheme="majorBidi" w:cstheme="majorBidi"/>
        </w:rPr>
        <w:t> </w:t>
      </w:r>
    </w:p>
    <w:p w14:paraId="60466797" w14:textId="455A6325" w:rsidR="00B10F84"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 xml:space="preserve">Protected areas lacking digital boundaries in the World Database on Protected Areas, and those sites with a status of </w:t>
      </w:r>
      <w:r w:rsidR="008E5C75">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proposed</w:t>
      </w:r>
      <w:r w:rsidR="00ED399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or </w:t>
      </w:r>
      <w:r w:rsidR="00ED3992">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not reported</w:t>
      </w:r>
      <w:r w:rsidR="00ED399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are omitted. Degazetted sites are not kept in the WDPA and are also not included. Man and Biosphere Reserves are also excluded as these often contain potentially unprotected areas. Year of protected area establishment is unknown for ~12% of protected areas in the World Database on Protected Areas, generating uncertainty around changing protected area coverage over time. To reflect this uncertainty, a year was randomly assigned from another protected area within the same country, and then this procedure repeated 1,000 times, with the median plotted. </w:t>
      </w:r>
      <w:r w:rsidRPr="00ED7E61">
        <w:rPr>
          <w:rStyle w:val="eop"/>
          <w:rFonts w:asciiTheme="majorBidi" w:eastAsiaTheme="majorEastAsia" w:hAnsiTheme="majorBidi" w:cstheme="majorBidi"/>
        </w:rPr>
        <w:t> </w:t>
      </w:r>
    </w:p>
    <w:p w14:paraId="57B7C67A" w14:textId="6CB1305D" w:rsidR="00B10F84"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Prior to 2017, the indicator was presented as the percentage of Key Biodiversity Areas completely covered by protected areas. However, it is now presented as the mean % of each Key Biodiversity Area that is covered by protected areas in order to better reflect trends in protected area coverage for countries or regions with few or no Key Biodiversity Areas that are completely covered. </w:t>
      </w:r>
      <w:r w:rsidRPr="00ED7E61">
        <w:rPr>
          <w:rStyle w:val="eop"/>
          <w:rFonts w:asciiTheme="majorBidi" w:eastAsiaTheme="majorEastAsia" w:hAnsiTheme="majorBidi" w:cstheme="majorBidi"/>
        </w:rPr>
        <w:t> </w:t>
      </w:r>
    </w:p>
    <w:p w14:paraId="2F80D264" w14:textId="48840FD4" w:rsidR="00B10F84" w:rsidRPr="00ED7E61" w:rsidRDefault="00756F0F" w:rsidP="00B10F0C">
      <w:pPr>
        <w:pStyle w:val="CBDNormalNumber"/>
        <w:numPr>
          <w:ilvl w:val="0"/>
          <w:numId w:val="73"/>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 xml:space="preserve">The indicator is reported for all Key Biodiversity Areas, and for marine, terrestrial and freshwater realms separately, matching SDG indicators 14.5.1 and 15.1.2 (while SDG indicator 15.4.1 represents the mountain subset).  Sites were classified as marine Key Biodiversity Areas by undertaking a spatial overlap between the Key Biodiversity Area polygons and an ocean raster layer (produced from the </w:t>
      </w:r>
      <w:r w:rsidR="00ED3992">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adm0</w:t>
      </w:r>
      <w:r w:rsidR="00ED399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layer from the database of Global Administrative Areas (GADM 2019)), classifying any Key Biodiversity Area as a marine Key Biodiversity Area where it had ≥5% overlap with the ocean layer (hence some sites were classified as both marine and terrestrial). Sites were classified as freshwater Key Biodiversity Areas if the resident species for which they were identified were documented in the IUCN Red List as dependent on </w:t>
      </w:r>
      <w:r w:rsidR="00ED3992">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Inland Water</w:t>
      </w:r>
      <w:r w:rsidR="00ED399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systems. For non-resident or migrant species, or species that shift habitats during the annual cycle, the site was tagged as freshwater if the species occurred at the site in the appropriate season of water-dependence (e.g. some species are only dependent on water during the breeding season). Sites were then screened (using the satellite imagery base layer within ArcGIS) as to whether they lay wholly in the Coastal Zone (defined here as within 10 km of the coast), and these sites were then untagged as Freshwater and instead tagged as Marine if the wetland habitats present at the site fell purely within the IUCN Habitat Classification Scheme class </w:t>
      </w:r>
      <w:r w:rsidR="00ED3992">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Marine Supratidal</w:t>
      </w:r>
      <w:r w:rsidR="00ED399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(i.e. estuaries, lagoons, etc.). If the site was within the Coastal Zone, but contained a mixture of Marine Supratidal and Inland Water classes, then it was tagged as both Freshwater and Marine. Each site was then manually cross-checked against other (less comprehensively available) site attributes, such as the habitat preferences of its trigger species, the site’s name (Delta, River, Humedal, etc.), its areal coverage by different habitat types, its overlap with Ramsar Sites etc</w:t>
      </w:r>
      <w:r w:rsidR="00D6334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so as to confirm or remove the freshwater tag appropriately. Some Key Biodiversity Areas qualify as both marine and terrestrial, and others qualify as both terrestrial and freshwater. Such sites are included in both of the relevant realm disaggregations. The indicator is also disaggregated to show trends in coverage of Key Biodiversity Areas identified for migratory species by protected area and OECMs, as a measure of the protection of ecological connectivity (this disaggregation is also relevant to the Convention on Migratory Species).</w:t>
      </w:r>
      <w:r w:rsidRPr="00ED7E61">
        <w:rPr>
          <w:rStyle w:val="eop"/>
          <w:rFonts w:asciiTheme="majorBidi" w:eastAsiaTheme="majorEastAsia" w:hAnsiTheme="majorBidi" w:cstheme="majorBidi"/>
        </w:rPr>
        <w:t> </w:t>
      </w:r>
    </w:p>
    <w:p w14:paraId="20B2C9F6" w14:textId="118D9499" w:rsidR="0074409C" w:rsidRPr="003F15A4" w:rsidRDefault="00756F0F" w:rsidP="00B10F0C">
      <w:pPr>
        <w:pStyle w:val="CBDNormalNumber"/>
        <w:numPr>
          <w:ilvl w:val="0"/>
          <w:numId w:val="73"/>
        </w:numPr>
        <w:ind w:left="567" w:firstLine="0"/>
        <w:rPr>
          <w:rStyle w:val="normaltextrun"/>
          <w:rFonts w:asciiTheme="majorBidi" w:hAnsiTheme="majorBidi" w:cstheme="majorBidi"/>
          <w:color w:val="4A4A4A"/>
        </w:rPr>
      </w:pPr>
      <w:r w:rsidRPr="00ED7E61">
        <w:rPr>
          <w:rStyle w:val="normaltextrun"/>
          <w:rFonts w:asciiTheme="majorBidi" w:eastAsiaTheme="majorEastAsia" w:hAnsiTheme="majorBidi" w:cstheme="majorBidi"/>
          <w:color w:val="000000"/>
        </w:rPr>
        <w:t>While Key Biodiversity Areas provide the most comprehensive dataset available of areas of particular importance for biodiversity identified nationally using a standardised approach that is comparable across all countries, Parties may wish to include other areas that meet the definition of areas of particular importance for biodiversity (Plumptre et al</w:t>
      </w:r>
      <w:r w:rsidR="00E81377">
        <w:rPr>
          <w:rStyle w:val="normaltextrun"/>
          <w:rFonts w:asciiTheme="majorBidi" w:eastAsiaTheme="majorEastAsia" w:hAnsiTheme="majorBidi" w:cstheme="majorBidi"/>
          <w:color w:val="000000"/>
        </w:rPr>
        <w:t>.</w:t>
      </w:r>
      <w:r w:rsidR="0059402D">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2024).</w:t>
      </w:r>
      <w:r w:rsidRPr="00ED7E61">
        <w:rPr>
          <w:rStyle w:val="eop"/>
          <w:rFonts w:asciiTheme="majorBidi" w:eastAsiaTheme="majorEastAsia" w:hAnsiTheme="majorBidi" w:cstheme="majorBidi"/>
          <w:color w:val="000000"/>
        </w:rPr>
        <w:t> </w:t>
      </w:r>
    </w:p>
    <w:p w14:paraId="1453F952" w14:textId="7CE9641E"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iv Disaggregation by level of effectiveness:</w:t>
      </w:r>
      <w:r w:rsidRPr="00ED7E61">
        <w:rPr>
          <w:rStyle w:val="eop"/>
          <w:rFonts w:asciiTheme="majorBidi" w:eastAsiaTheme="majorEastAsia" w:hAnsiTheme="majorBidi" w:cstheme="majorBidi"/>
          <w:sz w:val="22"/>
          <w:szCs w:val="22"/>
        </w:rPr>
        <w:t> </w:t>
      </w:r>
    </w:p>
    <w:p w14:paraId="29FF5A24" w14:textId="4D6EA9FE" w:rsidR="00B10F84" w:rsidRPr="00ED7E61" w:rsidRDefault="0074409C" w:rsidP="00B10F0C">
      <w:pPr>
        <w:pStyle w:val="CBDNormalNumber"/>
        <w:numPr>
          <w:ilvl w:val="0"/>
          <w:numId w:val="73"/>
        </w:numPr>
        <w:ind w:left="567" w:firstLine="0"/>
        <w:rPr>
          <w:rStyle w:val="eop"/>
          <w:rFonts w:asciiTheme="majorBidi" w:eastAsiaTheme="majorEastAsia" w:hAnsiTheme="majorBidi" w:cstheme="majorBidi"/>
          <w:sz w:val="24"/>
          <w:szCs w:val="24"/>
          <w:lang w:val="en-CA"/>
        </w:rPr>
      </w:pPr>
      <w:r w:rsidRPr="00ED7E61">
        <w:rPr>
          <w:rStyle w:val="normaltextrun"/>
        </w:rPr>
        <w:t>The</w:t>
      </w:r>
      <w:r w:rsidRPr="00ED7E61">
        <w:rPr>
          <w:rStyle w:val="eop"/>
          <w:rFonts w:asciiTheme="majorBidi" w:eastAsiaTheme="majorEastAsia" w:hAnsiTheme="majorBidi" w:cstheme="majorBidi"/>
        </w:rPr>
        <w:t xml:space="preserve"> Protected Area Management Effectiveness (PAME) indicators, included in Decision 15/5 as complementary indicators, were removed from Annex 1 of recommendation SBSTTA26/1 to avoid duplication with the proposed disaggregations of the headline indicator, but remain available for Parties to use to assess the effectiveness element of Target 3. The indicators are </w:t>
      </w:r>
      <w:r w:rsidR="00ED3992">
        <w:rPr>
          <w:rStyle w:val="eop"/>
          <w:rFonts w:asciiTheme="majorBidi" w:eastAsiaTheme="majorEastAsia" w:hAnsiTheme="majorBidi" w:cstheme="majorBidi"/>
        </w:rPr>
        <w:t>“</w:t>
      </w:r>
      <w:r w:rsidRPr="00FB1598">
        <w:rPr>
          <w:rStyle w:val="eop"/>
          <w:rFonts w:asciiTheme="majorBidi" w:eastAsiaTheme="majorEastAsia" w:hAnsiTheme="majorBidi" w:cstheme="majorBidi"/>
          <w:i/>
          <w:iCs/>
        </w:rPr>
        <w:t>Management Effectiveness of Protected and Conserved Areas</w:t>
      </w:r>
      <w:r w:rsidR="00ED3992">
        <w:rPr>
          <w:rStyle w:val="eop"/>
          <w:rFonts w:asciiTheme="majorBidi" w:eastAsiaTheme="majorEastAsia" w:hAnsiTheme="majorBidi" w:cstheme="majorBidi"/>
        </w:rPr>
        <w:t>”</w:t>
      </w:r>
      <w:r w:rsidRPr="00ED7E61">
        <w:rPr>
          <w:rStyle w:val="eop"/>
          <w:rFonts w:asciiTheme="majorBidi" w:eastAsiaTheme="majorEastAsia" w:hAnsiTheme="majorBidi" w:cstheme="majorBidi"/>
        </w:rPr>
        <w:t xml:space="preserve"> (MEPCA), </w:t>
      </w:r>
      <w:r w:rsidR="00ED3992">
        <w:rPr>
          <w:rStyle w:val="eop"/>
          <w:rFonts w:asciiTheme="majorBidi" w:eastAsiaTheme="majorEastAsia" w:hAnsiTheme="majorBidi" w:cstheme="majorBidi"/>
        </w:rPr>
        <w:t>“</w:t>
      </w:r>
      <w:r w:rsidRPr="00FB1598">
        <w:rPr>
          <w:rStyle w:val="eop"/>
          <w:rFonts w:asciiTheme="majorBidi" w:eastAsiaTheme="majorEastAsia" w:hAnsiTheme="majorBidi" w:cstheme="majorBidi"/>
          <w:i/>
          <w:iCs/>
        </w:rPr>
        <w:t>Ramsar Management Effectiveness Tracking Tool</w:t>
      </w:r>
      <w:r w:rsidR="00ED3992">
        <w:rPr>
          <w:rStyle w:val="eop"/>
          <w:rFonts w:asciiTheme="majorBidi" w:eastAsiaTheme="majorEastAsia" w:hAnsiTheme="majorBidi" w:cstheme="majorBidi"/>
        </w:rPr>
        <w:t>”</w:t>
      </w:r>
      <w:r w:rsidRPr="00ED7E61">
        <w:rPr>
          <w:rStyle w:val="eop"/>
          <w:rFonts w:asciiTheme="majorBidi" w:eastAsiaTheme="majorEastAsia" w:hAnsiTheme="majorBidi" w:cstheme="majorBidi"/>
        </w:rPr>
        <w:t xml:space="preserve"> (R-METT), and </w:t>
      </w:r>
      <w:r w:rsidR="00ED3992">
        <w:rPr>
          <w:rStyle w:val="eop"/>
          <w:rFonts w:asciiTheme="majorBidi" w:eastAsiaTheme="majorEastAsia" w:hAnsiTheme="majorBidi" w:cstheme="majorBidi"/>
        </w:rPr>
        <w:t>“</w:t>
      </w:r>
      <w:r w:rsidRPr="00FB1598">
        <w:rPr>
          <w:rStyle w:val="eop"/>
          <w:rFonts w:asciiTheme="majorBidi" w:eastAsiaTheme="majorEastAsia" w:hAnsiTheme="majorBidi" w:cstheme="majorBidi"/>
          <w:i/>
          <w:iCs/>
        </w:rPr>
        <w:t>Percentage of Biosphere Reserves that have a positive conservation outcome and effective management</w:t>
      </w:r>
      <w:r w:rsidR="00ED3992">
        <w:rPr>
          <w:rStyle w:val="eop"/>
          <w:rFonts w:asciiTheme="majorBidi" w:eastAsiaTheme="majorEastAsia" w:hAnsiTheme="majorBidi" w:cstheme="majorBidi"/>
        </w:rPr>
        <w:t>”</w:t>
      </w:r>
      <w:r w:rsidRPr="00ED7E61">
        <w:rPr>
          <w:rStyle w:val="eop"/>
          <w:rFonts w:asciiTheme="majorBidi" w:eastAsiaTheme="majorEastAsia" w:hAnsiTheme="majorBidi" w:cstheme="majorBidi"/>
        </w:rPr>
        <w:t>.</w:t>
      </w:r>
    </w:p>
    <w:p w14:paraId="749076AF" w14:textId="1358D866" w:rsidR="00756F0F" w:rsidRPr="00ED7E61" w:rsidRDefault="00756F0F" w:rsidP="00B10F0C">
      <w:pPr>
        <w:pStyle w:val="CBDNormalNumber"/>
        <w:numPr>
          <w:ilvl w:val="0"/>
          <w:numId w:val="73"/>
        </w:numPr>
        <w:ind w:left="567" w:firstLine="0"/>
        <w:rPr>
          <w:rStyle w:val="eop"/>
          <w:rFonts w:asciiTheme="majorBidi" w:eastAsiaTheme="majorEastAsia" w:hAnsiTheme="majorBidi" w:cstheme="majorBidi"/>
        </w:rPr>
      </w:pPr>
      <w:r w:rsidRPr="00ED7E61">
        <w:rPr>
          <w:rStyle w:val="normaltextrun"/>
          <w:rFonts w:asciiTheme="majorBidi" w:eastAsiaTheme="majorEastAsia" w:hAnsiTheme="majorBidi" w:cstheme="majorBidi"/>
        </w:rPr>
        <w:t xml:space="preserve">Partners of the Protected Planet Initiative are developing a method for disaggregating PA and OECM coverage by </w:t>
      </w:r>
      <w:r w:rsidR="00ED3992">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level of effectiveness</w:t>
      </w:r>
      <w:r w:rsidR="00ED399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The proposed approach (UNEP-WCMC et al</w:t>
      </w:r>
      <w:r w:rsidR="00E81377">
        <w:rPr>
          <w:rStyle w:val="normaltextrun"/>
          <w:rFonts w:asciiTheme="majorBidi" w:eastAsiaTheme="majorEastAsia" w:hAnsiTheme="majorBidi" w:cstheme="majorBidi"/>
        </w:rPr>
        <w:t>.</w:t>
      </w:r>
      <w:r w:rsidR="002D6AA5">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2023), subject to change, is designed to bring together results from existing protected area effectiveness assessment methods and frameworks (including some listed as component and complementary indicators in CBD/COP/DEC/15/5 and listed in the Global Database on Protected Area Management Effectiveness). Key metrics have been identified for using these data to report on components of effectiveness (i.e. for Governance; Design &amp; Planning; Management and Outcomes). Consultation on the proposed methods will commence shortly, with the aim of enabling the production of this disaggregation of the indicator in 2025. The proposed method follows a </w:t>
      </w:r>
      <w:r w:rsidR="00ED3992">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phased approach</w:t>
      </w:r>
      <w:r w:rsidR="00ED3992">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 which would allow data providers to submit data to Protected Planet at different levels of detail, according to their capacity to report and the availability of data. The indicator can already be disaggregated to show coverage of protected areas and OECMs for which a management effectiveness assessment has or has not been conducted, based on data submitted to the Global Database on Protected Area Management Effectiveness.</w:t>
      </w:r>
      <w:r w:rsidRPr="00ED7E61">
        <w:rPr>
          <w:rStyle w:val="eop"/>
          <w:rFonts w:asciiTheme="majorBidi" w:eastAsiaTheme="majorEastAsia" w:hAnsiTheme="majorBidi" w:cstheme="majorBidi"/>
        </w:rPr>
        <w:t> </w:t>
      </w:r>
    </w:p>
    <w:p w14:paraId="652604B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v. Disaggregation by governance type:</w:t>
      </w:r>
      <w:r w:rsidRPr="00ED7E61">
        <w:rPr>
          <w:rStyle w:val="eop"/>
          <w:rFonts w:asciiTheme="majorBidi" w:eastAsiaTheme="majorEastAsia" w:hAnsiTheme="majorBidi" w:cstheme="majorBidi"/>
          <w:sz w:val="22"/>
          <w:szCs w:val="22"/>
        </w:rPr>
        <w:t> </w:t>
      </w:r>
    </w:p>
    <w:p w14:paraId="51559474" w14:textId="1E0832E4" w:rsidR="00B10F84"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Pr>
        <w:t>The</w:t>
      </w:r>
      <w:r w:rsidRPr="00ED7E61">
        <w:rPr>
          <w:rStyle w:val="normaltextrun"/>
          <w:rFonts w:asciiTheme="majorBidi" w:eastAsiaTheme="majorEastAsia" w:hAnsiTheme="majorBidi" w:cstheme="majorBidi"/>
        </w:rPr>
        <w:t xml:space="preserve"> indicator can be disaggregated by coverage of each IUCN governance type (government, private organi</w:t>
      </w:r>
      <w:r w:rsidR="0004367E">
        <w:rPr>
          <w:rStyle w:val="normaltextrun"/>
          <w:rFonts w:asciiTheme="majorBidi" w:eastAsiaTheme="majorEastAsia" w:hAnsiTheme="majorBidi" w:cstheme="majorBidi"/>
        </w:rPr>
        <w:t>z</w:t>
      </w:r>
      <w:r w:rsidRPr="00ED7E61">
        <w:rPr>
          <w:rStyle w:val="normaltextrun"/>
          <w:rFonts w:asciiTheme="majorBidi" w:eastAsiaTheme="majorEastAsia" w:hAnsiTheme="majorBidi" w:cstheme="majorBidi"/>
        </w:rPr>
        <w:t>ations, IP and LC, or shared) using the WDPA/WD-OECM GOV_TYPE field. </w:t>
      </w:r>
      <w:r w:rsidRPr="00ED7E61">
        <w:rPr>
          <w:rStyle w:val="eop"/>
          <w:rFonts w:asciiTheme="majorBidi" w:eastAsiaTheme="majorEastAsia" w:hAnsiTheme="majorBidi" w:cstheme="majorBidi"/>
        </w:rPr>
        <w:t> </w:t>
      </w:r>
    </w:p>
    <w:p w14:paraId="16E9F2C4" w14:textId="77777777" w:rsidR="00756F0F" w:rsidRPr="00ED7E61" w:rsidRDefault="00756F0F" w:rsidP="00B10F0C">
      <w:pPr>
        <w:pStyle w:val="CBDNormalNumber"/>
        <w:numPr>
          <w:ilvl w:val="0"/>
          <w:numId w:val="73"/>
        </w:numPr>
        <w:ind w:left="567" w:firstLine="0"/>
        <w:rPr>
          <w:rFonts w:asciiTheme="majorBidi" w:hAnsiTheme="majorBidi" w:cstheme="majorBidi"/>
        </w:rPr>
      </w:pPr>
      <w:r w:rsidRPr="00ED7E61">
        <w:rPr>
          <w:rStyle w:val="normaltextrun"/>
          <w:rFonts w:asciiTheme="majorBidi" w:eastAsiaTheme="majorEastAsia" w:hAnsiTheme="majorBidi" w:cstheme="majorBidi"/>
        </w:rPr>
        <w:t>A time series can be created for all disaggregations using the WDPA/WD-OECM STATUS_YR field.</w:t>
      </w:r>
      <w:r w:rsidRPr="00ED7E61">
        <w:rPr>
          <w:rStyle w:val="eop"/>
          <w:rFonts w:asciiTheme="majorBidi" w:eastAsiaTheme="majorEastAsia" w:hAnsiTheme="majorBidi" w:cstheme="majorBidi"/>
        </w:rPr>
        <w:t> </w:t>
      </w:r>
    </w:p>
    <w:p w14:paraId="281300E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7C1569A3" w14:textId="77777777" w:rsidR="00756F0F" w:rsidRPr="00ED7E61" w:rsidRDefault="00756F0F" w:rsidP="00B10F0C">
      <w:pPr>
        <w:pStyle w:val="CBDNormalNumber"/>
        <w:numPr>
          <w:ilvl w:val="0"/>
          <w:numId w:val="73"/>
        </w:numPr>
        <w:ind w:left="567" w:firstLine="0"/>
        <w:rPr>
          <w:rStyle w:val="normaltextrun"/>
          <w:sz w:val="24"/>
          <w:szCs w:val="24"/>
          <w:lang w:val="en-CA"/>
        </w:rPr>
      </w:pPr>
      <w:r w:rsidRPr="00ED7E61">
        <w:rPr>
          <w:rStyle w:val="normaltextrun"/>
        </w:rPr>
        <w:t>Target 1 Complementary indicator “</w:t>
      </w:r>
      <w:r w:rsidRPr="00FB1598">
        <w:rPr>
          <w:rStyle w:val="normaltextrun"/>
          <w:i/>
          <w:iCs/>
        </w:rPr>
        <w:t>Percentage of spatial plans utilizing information on key biodiversity areas</w:t>
      </w:r>
      <w:r w:rsidRPr="00ED7E61">
        <w:rPr>
          <w:rStyle w:val="normaltextrun"/>
        </w:rPr>
        <w:t>”,  </w:t>
      </w:r>
    </w:p>
    <w:p w14:paraId="5C82915E" w14:textId="77777777" w:rsidR="00756F0F" w:rsidRPr="00ED7E61" w:rsidRDefault="00756F0F" w:rsidP="00B10F0C">
      <w:pPr>
        <w:pStyle w:val="CBDNormalNumber"/>
        <w:numPr>
          <w:ilvl w:val="0"/>
          <w:numId w:val="73"/>
        </w:numPr>
        <w:ind w:left="567" w:firstLine="0"/>
        <w:rPr>
          <w:rStyle w:val="normaltextrun"/>
        </w:rPr>
      </w:pPr>
      <w:r w:rsidRPr="00ED7E61">
        <w:rPr>
          <w:rStyle w:val="normaltextrun"/>
        </w:rPr>
        <w:t>Target 2 &amp; 3 Complementary indicator “</w:t>
      </w:r>
      <w:r w:rsidRPr="00FB1598">
        <w:rPr>
          <w:rStyle w:val="normaltextrun"/>
          <w:i/>
          <w:iCs/>
        </w:rPr>
        <w:t>Status of Key Biodiversity Areas</w:t>
      </w:r>
      <w:r w:rsidRPr="00ED7E61">
        <w:rPr>
          <w:rStyle w:val="normaltextrun"/>
        </w:rPr>
        <w:t>”,  </w:t>
      </w:r>
    </w:p>
    <w:p w14:paraId="180FA66E" w14:textId="77777777" w:rsidR="00756F0F" w:rsidRPr="00ED7E61" w:rsidRDefault="00756F0F" w:rsidP="00B10F0C">
      <w:pPr>
        <w:pStyle w:val="CBDNormalNumber"/>
        <w:numPr>
          <w:ilvl w:val="0"/>
          <w:numId w:val="73"/>
        </w:numPr>
        <w:ind w:left="567" w:firstLine="0"/>
        <w:rPr>
          <w:rStyle w:val="normaltextrun"/>
        </w:rPr>
      </w:pPr>
      <w:r w:rsidRPr="00ED7E61">
        <w:rPr>
          <w:rStyle w:val="normaltextrun"/>
        </w:rPr>
        <w:t>Target 3 Complementary indicator “</w:t>
      </w:r>
      <w:r w:rsidRPr="00FB1598">
        <w:rPr>
          <w:rStyle w:val="normaltextrun"/>
          <w:i/>
          <w:iCs/>
        </w:rPr>
        <w:t>Extent to which protected areas and other effective area-based conservation measures (OECMs) cover Key Biodiversity Areas that are important for migratory species</w:t>
      </w:r>
      <w:r w:rsidRPr="00ED7E61">
        <w:rPr>
          <w:rStyle w:val="normaltextrun"/>
        </w:rPr>
        <w:t>”. </w:t>
      </w:r>
    </w:p>
    <w:p w14:paraId="2B70974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1968B6BF" w14:textId="60C27A9E"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04367E">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61376E17" w14:textId="77777777" w:rsidR="00756F0F" w:rsidRPr="00ED7E61" w:rsidRDefault="00756F0F" w:rsidP="0004367E">
      <w:pPr>
        <w:pStyle w:val="CBDNormalNumber"/>
        <w:numPr>
          <w:ilvl w:val="0"/>
          <w:numId w:val="0"/>
        </w:numPr>
        <w:ind w:left="567"/>
        <w:rPr>
          <w:rStyle w:val="normaltextrun"/>
          <w:sz w:val="24"/>
          <w:szCs w:val="24"/>
          <w:lang w:val="en-CA"/>
        </w:rPr>
      </w:pPr>
      <w:r w:rsidRPr="00ED7E61">
        <w:rPr>
          <w:rStyle w:val="normaltextrun"/>
        </w:rPr>
        <w:t>UN Environment Programme World Conservation Monitoring Centre (UNEP-WCMC)  </w:t>
      </w:r>
    </w:p>
    <w:p w14:paraId="268744BE" w14:textId="77777777" w:rsidR="00756F0F" w:rsidRPr="00ED7E61" w:rsidRDefault="00756F0F" w:rsidP="0004367E">
      <w:pPr>
        <w:pStyle w:val="CBDNormalNumber"/>
        <w:numPr>
          <w:ilvl w:val="0"/>
          <w:numId w:val="0"/>
        </w:numPr>
        <w:ind w:left="567"/>
        <w:rPr>
          <w:rStyle w:val="normaltextrun"/>
        </w:rPr>
      </w:pPr>
      <w:r w:rsidRPr="00ED7E61">
        <w:rPr>
          <w:rStyle w:val="normaltextrun"/>
        </w:rPr>
        <w:t>BirdLife International </w:t>
      </w:r>
    </w:p>
    <w:p w14:paraId="2E650571" w14:textId="77777777" w:rsidR="00756F0F" w:rsidRPr="00ED7E61" w:rsidRDefault="00756F0F" w:rsidP="0004367E">
      <w:pPr>
        <w:pStyle w:val="CBDNormalNumber"/>
        <w:numPr>
          <w:ilvl w:val="0"/>
          <w:numId w:val="0"/>
        </w:numPr>
        <w:ind w:left="567"/>
        <w:rPr>
          <w:rStyle w:val="normaltextrun"/>
        </w:rPr>
      </w:pPr>
      <w:r w:rsidRPr="00ED7E61">
        <w:rPr>
          <w:rStyle w:val="normaltextrun"/>
        </w:rPr>
        <w:t>International Union for Conservation of Nature (IUCN)  </w:t>
      </w:r>
    </w:p>
    <w:p w14:paraId="748E806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19E13D79" w14:textId="77777777" w:rsidR="00756F0F" w:rsidRPr="00ED7E61" w:rsidRDefault="00756F0F" w:rsidP="0004367E">
      <w:pPr>
        <w:pStyle w:val="CBDNormalNumber"/>
        <w:numPr>
          <w:ilvl w:val="0"/>
          <w:numId w:val="0"/>
        </w:numPr>
        <w:ind w:left="567"/>
        <w:rPr>
          <w:rFonts w:asciiTheme="majorBidi" w:hAnsiTheme="majorBidi" w:cstheme="majorBidi"/>
        </w:rPr>
      </w:pPr>
      <w:r w:rsidRPr="00ED7E61">
        <w:rPr>
          <w:rStyle w:val="normaltextrun"/>
        </w:rPr>
        <w:t>Heather</w:t>
      </w:r>
      <w:r w:rsidRPr="00ED7E61">
        <w:rPr>
          <w:rStyle w:val="normaltextrun"/>
          <w:rFonts w:asciiTheme="majorBidi" w:eastAsiaTheme="majorEastAsia" w:hAnsiTheme="majorBidi" w:cstheme="majorBidi"/>
          <w:lang w:val="en-AU"/>
        </w:rPr>
        <w:t xml:space="preserve"> Bingham (</w:t>
      </w:r>
      <w:hyperlink r:id="rId388" w:tgtFrame="_blank" w:history="1">
        <w:r w:rsidRPr="00ED7E61">
          <w:rPr>
            <w:rStyle w:val="normaltextrun"/>
            <w:rFonts w:asciiTheme="majorBidi" w:eastAsiaTheme="majorEastAsia" w:hAnsiTheme="majorBidi" w:cstheme="majorBidi"/>
            <w:color w:val="467886"/>
            <w:u w:val="single"/>
            <w:lang w:val="en-AU"/>
          </w:rPr>
          <w:t>Heather.Bingham@unep-wcmc.org</w:t>
        </w:r>
      </w:hyperlink>
      <w:r w:rsidRPr="00ED7E61">
        <w:rPr>
          <w:rStyle w:val="normaltextrun"/>
          <w:rFonts w:asciiTheme="majorBidi" w:eastAsiaTheme="majorEastAsia" w:hAnsiTheme="majorBidi" w:cstheme="majorBidi"/>
          <w:lang w:val="en-AU"/>
        </w:rPr>
        <w:t>)</w:t>
      </w:r>
      <w:r w:rsidRPr="00ED7E61">
        <w:rPr>
          <w:rStyle w:val="eop"/>
          <w:rFonts w:asciiTheme="majorBidi" w:eastAsiaTheme="majorEastAsia" w:hAnsiTheme="majorBidi" w:cstheme="majorBidi"/>
        </w:rPr>
        <w:t> </w:t>
      </w:r>
    </w:p>
    <w:p w14:paraId="7100123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11. References</w:t>
      </w:r>
      <w:r w:rsidRPr="00ED7E61">
        <w:rPr>
          <w:rStyle w:val="eop"/>
          <w:rFonts w:asciiTheme="majorBidi" w:eastAsiaTheme="majorEastAsia" w:hAnsiTheme="majorBidi" w:cstheme="majorBidi"/>
          <w:sz w:val="22"/>
          <w:szCs w:val="22"/>
        </w:rPr>
        <w:t> </w:t>
      </w:r>
    </w:p>
    <w:p w14:paraId="2AC797DB" w14:textId="77777777" w:rsidR="00756F0F" w:rsidRPr="00ED7E61" w:rsidRDefault="00756F0F" w:rsidP="0004367E">
      <w:pPr>
        <w:pStyle w:val="CBDNormalNumber"/>
        <w:numPr>
          <w:ilvl w:val="0"/>
          <w:numId w:val="0"/>
        </w:numPr>
        <w:ind w:left="567"/>
        <w:rPr>
          <w:rFonts w:asciiTheme="majorBidi" w:hAnsiTheme="majorBidi" w:cstheme="majorBidi"/>
        </w:rPr>
      </w:pPr>
      <w:r w:rsidRPr="00ED7E61">
        <w:rPr>
          <w:rStyle w:val="normaltextrun"/>
        </w:rPr>
        <w:t>These</w:t>
      </w:r>
      <w:r w:rsidRPr="00ED7E61">
        <w:rPr>
          <w:rStyle w:val="normaltextrun"/>
          <w:rFonts w:asciiTheme="majorBidi" w:eastAsiaTheme="majorEastAsia" w:hAnsiTheme="majorBidi" w:cstheme="majorBidi"/>
        </w:rPr>
        <w:t xml:space="preserve"> metadata are based on </w:t>
      </w:r>
      <w:hyperlink r:id="rId389" w:tgtFrame="_blank" w:history="1">
        <w:r w:rsidRPr="00ED7E61">
          <w:rPr>
            <w:rStyle w:val="normaltextrun"/>
            <w:rFonts w:asciiTheme="majorBidi" w:eastAsiaTheme="majorEastAsia" w:hAnsiTheme="majorBidi" w:cstheme="majorBidi"/>
            <w:color w:val="467886"/>
            <w:u w:val="single"/>
            <w:lang w:val="en-AU"/>
          </w:rPr>
          <w:t>https://unstats.un.org/sdgs/metadata/files/Metadata-15-01-02.pdf</w:t>
        </w:r>
      </w:hyperlink>
      <w:r w:rsidRPr="00ED7E61">
        <w:rPr>
          <w:rStyle w:val="normaltextrun"/>
          <w:rFonts w:asciiTheme="majorBidi" w:eastAsiaTheme="majorEastAsia" w:hAnsiTheme="majorBidi" w:cstheme="majorBidi"/>
          <w:lang w:val="en-AU"/>
        </w:rPr>
        <w:t xml:space="preserve">, and </w:t>
      </w:r>
      <w:hyperlink r:id="rId390" w:tgtFrame="_blank" w:history="1">
        <w:r w:rsidRPr="00ED7E61">
          <w:rPr>
            <w:rStyle w:val="normaltextrun"/>
            <w:rFonts w:asciiTheme="majorBidi" w:eastAsiaTheme="majorEastAsia" w:hAnsiTheme="majorBidi" w:cstheme="majorBidi"/>
            <w:color w:val="467886"/>
            <w:u w:val="single"/>
            <w:lang w:val="en-AU"/>
          </w:rPr>
          <w:t>https://unstats.un.org/sdgs/metadata/files/Metadata-14-05-01.pdf</w:t>
        </w:r>
      </w:hyperlink>
      <w:r w:rsidRPr="00ED7E61">
        <w:rPr>
          <w:rStyle w:val="normaltextrun"/>
          <w:rFonts w:asciiTheme="majorBidi" w:eastAsiaTheme="majorEastAsia" w:hAnsiTheme="majorBidi" w:cstheme="majorBidi"/>
          <w:lang w:val="en-AU"/>
        </w:rPr>
        <w:t>,</w:t>
      </w:r>
      <w:r w:rsidRPr="00ED7E61">
        <w:rPr>
          <w:rStyle w:val="normaltextrun"/>
          <w:rFonts w:asciiTheme="majorBidi" w:eastAsiaTheme="majorEastAsia" w:hAnsiTheme="majorBidi" w:cstheme="majorBidi"/>
        </w:rPr>
        <w:t xml:space="preserve"> supplemented by </w:t>
      </w:r>
      <w:hyperlink r:id="rId391" w:tgtFrame="_blank" w:history="1">
        <w:r w:rsidRPr="00ED7E61">
          <w:rPr>
            <w:rStyle w:val="normaltextrun"/>
            <w:rFonts w:asciiTheme="majorBidi" w:eastAsiaTheme="majorEastAsia" w:hAnsiTheme="majorBidi" w:cstheme="majorBidi"/>
            <w:color w:val="0000FF"/>
            <w:u w:val="single"/>
          </w:rPr>
          <w:t>https://www.bipindicators.net/indicators/coverage-of-protected-areas-terrestrial-and-marine</w:t>
        </w:r>
      </w:hyperlink>
      <w:r w:rsidRPr="00ED7E61">
        <w:rPr>
          <w:rStyle w:val="normaltextrun"/>
          <w:rFonts w:asciiTheme="majorBidi" w:eastAsiaTheme="majorEastAsia" w:hAnsiTheme="majorBidi" w:cstheme="majorBidi"/>
        </w:rPr>
        <w:t xml:space="preserve">, </w:t>
      </w:r>
      <w:hyperlink r:id="rId392" w:tgtFrame="_blank" w:history="1">
        <w:r w:rsidRPr="00ED7E61">
          <w:rPr>
            <w:rStyle w:val="normaltextrun"/>
            <w:rFonts w:asciiTheme="majorBidi" w:eastAsiaTheme="majorEastAsia" w:hAnsiTheme="majorBidi" w:cstheme="majorBidi"/>
            <w:color w:val="467886"/>
            <w:u w:val="single"/>
          </w:rPr>
          <w:t>https://www.bipindicators.net/indicators/protected-area-coverage-of-key-biodiversity-areas</w:t>
        </w:r>
      </w:hyperlink>
      <w:r w:rsidRPr="00ED7E61">
        <w:rPr>
          <w:rStyle w:val="normaltextrun"/>
          <w:rFonts w:asciiTheme="majorBidi" w:eastAsiaTheme="majorEastAsia" w:hAnsiTheme="majorBidi" w:cstheme="majorBidi"/>
        </w:rPr>
        <w:t xml:space="preserve"> , </w:t>
      </w:r>
      <w:hyperlink r:id="rId393" w:tgtFrame="_blank" w:history="1">
        <w:r w:rsidRPr="00ED7E61">
          <w:rPr>
            <w:rStyle w:val="normaltextrun"/>
            <w:rFonts w:asciiTheme="majorBidi" w:eastAsiaTheme="majorEastAsia" w:hAnsiTheme="majorBidi" w:cstheme="majorBidi"/>
            <w:color w:val="467886"/>
            <w:u w:val="single"/>
          </w:rPr>
          <w:t>https://www.protectedplanet.net/en/resources/calculating-protected-area-coverage</w:t>
        </w:r>
      </w:hyperlink>
      <w:r w:rsidRPr="00ED7E61">
        <w:rPr>
          <w:rStyle w:val="normaltextrun"/>
          <w:rFonts w:asciiTheme="majorBidi" w:eastAsiaTheme="majorEastAsia" w:hAnsiTheme="majorBidi" w:cstheme="majorBidi"/>
        </w:rPr>
        <w:t xml:space="preserve"> and the references listed below.</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4619785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References:</w:t>
      </w:r>
      <w:r w:rsidRPr="00ED7E61">
        <w:rPr>
          <w:rStyle w:val="eop"/>
          <w:rFonts w:asciiTheme="majorBidi" w:eastAsiaTheme="majorEastAsia" w:hAnsiTheme="majorBidi" w:cstheme="majorBidi"/>
          <w:sz w:val="22"/>
          <w:szCs w:val="22"/>
        </w:rPr>
        <w:t> </w:t>
      </w:r>
    </w:p>
    <w:p w14:paraId="664635B1" w14:textId="286A9F80"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Pr>
        <w:t>ABELL</w:t>
      </w:r>
      <w:r w:rsidRPr="00ED7E61">
        <w:rPr>
          <w:rStyle w:val="normaltextrun"/>
          <w:rFonts w:asciiTheme="majorBidi" w:eastAsiaTheme="majorEastAsia" w:hAnsiTheme="majorBidi" w:cstheme="majorBidi"/>
        </w:rPr>
        <w:t>, R. et al</w:t>
      </w:r>
      <w:r w:rsidR="002D6AA5">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(2008) Freshwater Ecoregions of the World: A New Map of Biogeographic Units for Freshwater Biodiversity Conservation. BioScience, 58: 403–414, https://doi.org/10.1641/B580507</w:t>
      </w:r>
      <w:r w:rsidRPr="00ED7E61">
        <w:rPr>
          <w:rStyle w:val="eop"/>
          <w:rFonts w:asciiTheme="majorBidi" w:eastAsiaTheme="majorEastAsia" w:hAnsiTheme="majorBidi" w:cstheme="majorBidi"/>
        </w:rPr>
        <w:t> </w:t>
      </w:r>
    </w:p>
    <w:p w14:paraId="7F34DB22" w14:textId="7A23CFA4"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BIRDLIFE INTERNATIONAL (2014). Important Bird and Biodiversity Areas: a global network for conserving nature and benefiting people. Cambridge, UK: BirdLife International. Available at datazone.birdlife.org/sowb/sowbpubs#IBA.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65ED59EB" w14:textId="6E41AD1C"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BIRDLIFE INTERNATIONAL (2023) World Database of Key Biodiversity Areas. Developed by the KBA Partnership: BirdLife International, International Union for the Conservation of Nature, Amphibian Survival Alliance, Conservation International, Critical Ecosystem Partnership Fund, Global Environment Facility, NatureServe, Rainforest Trust, Re:Wild, Royal Society for the Protection of Birds, Wildlife Conservation Society and World Wildlife Fund. May 2023 version. Available at </w:t>
      </w:r>
      <w:hyperlink r:id="rId394" w:tgtFrame="_blank" w:history="1">
        <w:r w:rsidRPr="00ED7E61">
          <w:rPr>
            <w:rStyle w:val="normaltextrun"/>
            <w:rFonts w:asciiTheme="majorBidi" w:eastAsiaTheme="majorEastAsia" w:hAnsiTheme="majorBidi" w:cstheme="majorBidi"/>
            <w:color w:val="0000FF"/>
            <w:u w:val="single"/>
          </w:rPr>
          <w:t>http://keybiodiversityareas.org/site/search</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03B1214B" w14:textId="790B5015"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BROOKS, T. et al. (2001). Conservation priorities for birds and biodiversity: do East African Important Bird Areas represent species diversity in other terrestrial vertebrate groups? Ostrich suppl. 15: 3–12. Available from: </w:t>
      </w:r>
      <w:hyperlink r:id="rId395" w:anchor=".VafbVJPVq75" w:tgtFrame="_blank" w:history="1">
        <w:r w:rsidRPr="00ED7E61">
          <w:rPr>
            <w:rStyle w:val="normaltextrun"/>
            <w:rFonts w:asciiTheme="majorBidi" w:eastAsiaTheme="majorEastAsia" w:hAnsiTheme="majorBidi" w:cstheme="majorBidi"/>
            <w:color w:val="0000FF"/>
            <w:u w:val="single"/>
          </w:rPr>
          <w:t>http://www.tandfonline.com/doi/abs/10.2989/00306520109485329#.VafbVJPVq75</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0090BD72" w14:textId="026245CC"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en-AU"/>
        </w:rPr>
        <w:t>BROOKS, T.M., et al. (2016a). Analysing Biodiversity and Conservation Knowledge Products to Support Regional Environmental Assessments. Scientific Data 3(1). Available from: www.nature.com/articles/sdata20167, https://doi.org/10.1038/sdata.2016.7.</w:t>
      </w:r>
      <w:r w:rsidRPr="00ED7E61">
        <w:rPr>
          <w:rStyle w:val="eop"/>
          <w:rFonts w:asciiTheme="majorBidi" w:eastAsiaTheme="majorEastAsia" w:hAnsiTheme="majorBidi" w:cstheme="majorBidi"/>
        </w:rPr>
        <w:t> </w:t>
      </w:r>
    </w:p>
    <w:p w14:paraId="7BE6C503" w14:textId="2174EBAD"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BROOKS, T.M. et al. (2016b). Goal 15: Life on land. Sustainable manage forests, combat desertification, halt and reverse land degradation, halt biodiversity loss. </w:t>
      </w:r>
      <w:r w:rsidRPr="00ED7E61">
        <w:rPr>
          <w:rStyle w:val="normaltextrun"/>
          <w:rFonts w:asciiTheme="majorBidi" w:eastAsiaTheme="majorEastAsia" w:hAnsiTheme="majorBidi" w:cstheme="majorBidi"/>
          <w:lang w:val="es-ES"/>
        </w:rPr>
        <w:t xml:space="preserve">Pp. 497–522 in Durán y Lalaguna, P., Díaz Barrado, C.M. &amp; Fernández Liesa, C.R. (eds.) </w:t>
      </w:r>
      <w:r w:rsidRPr="00ED7E61">
        <w:rPr>
          <w:rStyle w:val="normaltextrun"/>
          <w:rFonts w:asciiTheme="majorBidi" w:eastAsiaTheme="majorEastAsia" w:hAnsiTheme="majorBidi" w:cstheme="majorBidi"/>
        </w:rPr>
        <w:t>International Society and Sustainable Development Goals. Editorial Aranzadi, Cizur Menor, Spain. Available from: https://www.thomsonreuters.es/es/tienda/pdp/duo.html?pid=10008456</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02FCAB91" w14:textId="3F944063" w:rsidR="00B10F84" w:rsidRPr="00ED7E61" w:rsidRDefault="00756F0F" w:rsidP="0004367E">
      <w:pPr>
        <w:pStyle w:val="CBDNormalNumber"/>
        <w:numPr>
          <w:ilvl w:val="0"/>
          <w:numId w:val="0"/>
        </w:numPr>
        <w:ind w:left="567"/>
        <w:rPr>
          <w:rFonts w:asciiTheme="majorBidi" w:hAnsiTheme="majorBidi" w:cstheme="majorBidi"/>
          <w:lang w:val="fr-FR"/>
        </w:rPr>
      </w:pPr>
      <w:r w:rsidRPr="00ED7E61">
        <w:rPr>
          <w:rStyle w:val="normaltextrun"/>
          <w:rFonts w:asciiTheme="majorBidi" w:eastAsiaTheme="majorEastAsia" w:hAnsiTheme="majorBidi" w:cstheme="majorBidi"/>
          <w:lang w:val="fr-FR"/>
        </w:rPr>
        <w:t xml:space="preserve">BUTCHART, S. H. M. et al. </w:t>
      </w:r>
      <w:r w:rsidRPr="00ED7E61">
        <w:rPr>
          <w:rStyle w:val="normaltextrun"/>
          <w:rFonts w:asciiTheme="majorBidi" w:eastAsiaTheme="majorEastAsia" w:hAnsiTheme="majorBidi" w:cstheme="majorBidi"/>
        </w:rPr>
        <w:t xml:space="preserve">(2010). Global biodiversity: indicators of recent declines. </w:t>
      </w:r>
      <w:r w:rsidRPr="00ED7E61">
        <w:rPr>
          <w:rStyle w:val="normaltextrun"/>
          <w:rFonts w:asciiTheme="majorBidi" w:eastAsiaTheme="majorEastAsia" w:hAnsiTheme="majorBidi" w:cstheme="majorBidi"/>
          <w:lang w:val="fr-FR"/>
        </w:rPr>
        <w:t xml:space="preserve">Science 328: 1164–1168. Available from </w:t>
      </w:r>
      <w:hyperlink r:id="rId396" w:tgtFrame="_blank" w:history="1">
        <w:r w:rsidRPr="00ED7E61">
          <w:rPr>
            <w:rStyle w:val="normaltextrun"/>
            <w:rFonts w:asciiTheme="majorBidi" w:eastAsiaTheme="majorEastAsia" w:hAnsiTheme="majorBidi" w:cstheme="majorBidi"/>
            <w:color w:val="0000FF"/>
            <w:u w:val="single"/>
            <w:lang w:val="fr-FR"/>
          </w:rPr>
          <w:t>http://www.sciencemag.org/content/328/5982/1164.short</w:t>
        </w:r>
      </w:hyperlink>
      <w:r w:rsidRPr="00ED7E61">
        <w:rPr>
          <w:rStyle w:val="normaltextrun"/>
          <w:rFonts w:asciiTheme="majorBidi" w:eastAsiaTheme="majorEastAsia" w:hAnsiTheme="majorBidi" w:cstheme="majorBidi"/>
          <w:lang w:val="fr-FR"/>
        </w:rPr>
        <w:t> </w:t>
      </w:r>
      <w:r w:rsidRPr="00ED7E61">
        <w:rPr>
          <w:rStyle w:val="eop"/>
          <w:rFonts w:asciiTheme="majorBidi" w:eastAsiaTheme="majorEastAsia" w:hAnsiTheme="majorBidi" w:cstheme="majorBidi"/>
          <w:lang w:val="fr-FR"/>
        </w:rPr>
        <w:t> </w:t>
      </w:r>
    </w:p>
    <w:p w14:paraId="2245B087" w14:textId="0F96944C"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fr-FR"/>
        </w:rPr>
        <w:t xml:space="preserve">BUTCHART, S. H. M. et al. </w:t>
      </w:r>
      <w:r w:rsidRPr="00ED7E61">
        <w:rPr>
          <w:rStyle w:val="normaltextrun"/>
          <w:rFonts w:asciiTheme="majorBidi" w:eastAsiaTheme="majorEastAsia" w:hAnsiTheme="majorBidi" w:cstheme="majorBidi"/>
        </w:rPr>
        <w:t xml:space="preserve">(2012). Protecting important sites for biodiversity contributes to meeting global conservation targets. PLoS One 7(3): e32529. Available from </w:t>
      </w:r>
      <w:hyperlink r:id="rId397" w:tgtFrame="_blank" w:history="1">
        <w:r w:rsidRPr="00ED7E61">
          <w:rPr>
            <w:rStyle w:val="normaltextrun"/>
            <w:rFonts w:asciiTheme="majorBidi" w:eastAsiaTheme="majorEastAsia" w:hAnsiTheme="majorBidi" w:cstheme="majorBidi"/>
            <w:color w:val="0000FF"/>
            <w:u w:val="single"/>
          </w:rPr>
          <w:t>http://journals.plos.org/plosone/article?id=10.1371/journal.pone.0032529</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1FE1938D" w14:textId="267C3579"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fr-FR"/>
        </w:rPr>
        <w:t xml:space="preserve">BUTCHART, S. H. M. et al. </w:t>
      </w:r>
      <w:r w:rsidRPr="00ED7E61">
        <w:rPr>
          <w:rStyle w:val="normaltextrun"/>
          <w:rFonts w:asciiTheme="majorBidi" w:eastAsiaTheme="majorEastAsia" w:hAnsiTheme="majorBidi" w:cstheme="majorBidi"/>
        </w:rPr>
        <w:t xml:space="preserve">(2015). Shortfalls and solutions for meeting national and </w:t>
      </w:r>
      <w:r w:rsidRPr="00FB1598">
        <w:rPr>
          <w:rStyle w:val="normaltextrun"/>
          <w:rFonts w:asciiTheme="majorBidi" w:eastAsiaTheme="majorEastAsia" w:hAnsiTheme="majorBidi" w:cstheme="majorBidi"/>
          <w:lang w:val="en-CA"/>
        </w:rPr>
        <w:t xml:space="preserve">global conservation area targets. </w:t>
      </w:r>
      <w:r w:rsidRPr="009E462F">
        <w:rPr>
          <w:rStyle w:val="normaltextrun"/>
          <w:rFonts w:asciiTheme="majorBidi" w:eastAsiaTheme="majorEastAsia" w:hAnsiTheme="majorBidi" w:cstheme="majorBidi"/>
          <w:lang w:val="en-US"/>
        </w:rPr>
        <w:t>Conservation Letters 8: 329–337. Available from</w:t>
      </w:r>
      <w:r w:rsidRPr="00ED7E61">
        <w:rPr>
          <w:rStyle w:val="normaltextrun"/>
          <w:rFonts w:asciiTheme="majorBidi" w:eastAsiaTheme="majorEastAsia" w:hAnsiTheme="majorBidi" w:cstheme="majorBidi"/>
        </w:rPr>
        <w:t xml:space="preserve"> </w:t>
      </w:r>
      <w:hyperlink r:id="rId398" w:tgtFrame="_blank" w:history="1">
        <w:r w:rsidRPr="00ED7E61">
          <w:rPr>
            <w:rStyle w:val="normaltextrun"/>
            <w:rFonts w:asciiTheme="majorBidi" w:eastAsiaTheme="majorEastAsia" w:hAnsiTheme="majorBidi" w:cstheme="majorBidi"/>
            <w:color w:val="0000FF"/>
            <w:u w:val="single"/>
          </w:rPr>
          <w:t>http://onlinelibrary.wiley.com/doi/10.1111/conl.12158/full</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062D8595" w14:textId="478E6F8E"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CBD (2014). Global Biodiversity Outlook 4. Convention on Biological Diversity, Montréal, Canada. Available from </w:t>
      </w:r>
      <w:hyperlink r:id="rId399" w:tgtFrame="_blank" w:history="1">
        <w:r w:rsidRPr="00ED7E61">
          <w:rPr>
            <w:rStyle w:val="normaltextrun"/>
            <w:rFonts w:asciiTheme="majorBidi" w:eastAsiaTheme="majorEastAsia" w:hAnsiTheme="majorBidi" w:cstheme="majorBidi"/>
            <w:color w:val="0000FF"/>
            <w:u w:val="single"/>
          </w:rPr>
          <w:t>https://www.cbd.int/gbo4/</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73C830E4" w14:textId="2FEF0F4A"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CBD (2018). Protected areas and other effective area-based conservation measures. Decision 14/8 adopted by the Conference of the Parties to the Convention on Biological Diversity. Available at </w:t>
      </w:r>
      <w:hyperlink r:id="rId400" w:tgtFrame="_blank" w:history="1">
        <w:r w:rsidRPr="00ED7E61">
          <w:rPr>
            <w:rStyle w:val="normaltextrun"/>
            <w:rFonts w:asciiTheme="majorBidi" w:eastAsiaTheme="majorEastAsia" w:hAnsiTheme="majorBidi" w:cstheme="majorBidi"/>
            <w:color w:val="0000FF"/>
            <w:u w:val="single"/>
          </w:rPr>
          <w:t>https://www.cbd.int/doc/decisions/cop-14/cop-14-dec-08-en.pdf</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60BA668F" w14:textId="041BDB89" w:rsidR="00B10F84"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CBD (2020a). Global Biodiversity Outlook 5. Convention on Biological Diversity, Montréal, Canada. Available from </w:t>
      </w:r>
      <w:hyperlink r:id="rId401" w:tgtFrame="_blank" w:history="1">
        <w:r w:rsidRPr="00ED7E61">
          <w:rPr>
            <w:rStyle w:val="normaltextrun"/>
            <w:rFonts w:asciiTheme="majorBidi" w:eastAsiaTheme="majorEastAsia" w:hAnsiTheme="majorBidi" w:cstheme="majorBidi"/>
            <w:color w:val="0000FF"/>
            <w:u w:val="single"/>
          </w:rPr>
          <w:t>https://www.cbd.int/gbo5/</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3CA62A6C" w14:textId="694EF297" w:rsidR="00B10F84" w:rsidRPr="00ED7E61" w:rsidRDefault="00756F0F" w:rsidP="0004367E">
      <w:pPr>
        <w:pStyle w:val="CBDNormalNumber"/>
        <w:numPr>
          <w:ilvl w:val="0"/>
          <w:numId w:val="0"/>
        </w:numPr>
        <w:ind w:left="567"/>
        <w:rPr>
          <w:rFonts w:asciiTheme="majorBidi" w:hAnsiTheme="majorBidi" w:cstheme="majorBidi"/>
          <w:lang w:val="fr-FR"/>
        </w:rPr>
      </w:pPr>
      <w:r w:rsidRPr="00ED7E61">
        <w:rPr>
          <w:rStyle w:val="normaltextrun"/>
          <w:rFonts w:asciiTheme="majorBidi" w:eastAsiaTheme="majorEastAsia" w:hAnsiTheme="majorBidi" w:cstheme="majorBidi"/>
        </w:rPr>
        <w:t xml:space="preserve">CBD (2020b). Post-2020 Global Biodiversity Framework: Scientific and technical information to support the review of the updated Goals and Targets, and related indicators and baselines. </w:t>
      </w:r>
      <w:r w:rsidRPr="00ED7E61">
        <w:rPr>
          <w:rStyle w:val="normaltextrun"/>
          <w:rFonts w:asciiTheme="majorBidi" w:eastAsiaTheme="majorEastAsia" w:hAnsiTheme="majorBidi" w:cstheme="majorBidi"/>
          <w:lang w:val="fr-FR"/>
        </w:rPr>
        <w:t xml:space="preserve">Document CBD/SBSTTA/24/3. Available at: </w:t>
      </w:r>
      <w:hyperlink r:id="rId402" w:tgtFrame="_blank" w:history="1">
        <w:r w:rsidRPr="00ED7E61">
          <w:rPr>
            <w:rStyle w:val="normaltextrun"/>
            <w:rFonts w:asciiTheme="majorBidi" w:eastAsiaTheme="majorEastAsia" w:hAnsiTheme="majorBidi" w:cstheme="majorBidi"/>
            <w:color w:val="0000FF"/>
            <w:u w:val="single"/>
            <w:lang w:val="fr-FR"/>
          </w:rPr>
          <w:t>https://www.cbd.int/doc/c/705d/6b4b/a1a463c1b19392bde6fa08f3/sbstta-24-03-en.pdf</w:t>
        </w:r>
      </w:hyperlink>
      <w:r w:rsidRPr="00ED7E61">
        <w:rPr>
          <w:rStyle w:val="normaltextrun"/>
          <w:rFonts w:asciiTheme="majorBidi" w:eastAsiaTheme="majorEastAsia" w:hAnsiTheme="majorBidi" w:cstheme="majorBidi"/>
          <w:lang w:val="fr-FR"/>
        </w:rPr>
        <w:t xml:space="preserve"> . </w:t>
      </w:r>
      <w:r w:rsidRPr="00ED7E61">
        <w:rPr>
          <w:rStyle w:val="eop"/>
          <w:rFonts w:asciiTheme="majorBidi" w:eastAsiaTheme="majorEastAsia" w:hAnsiTheme="majorBidi" w:cstheme="majorBidi"/>
          <w:lang w:val="fr-FR"/>
        </w:rPr>
        <w:t> </w:t>
      </w:r>
    </w:p>
    <w:p w14:paraId="791640FB" w14:textId="16115DD9" w:rsidR="00A16532" w:rsidRPr="00ED7E61" w:rsidRDefault="00756F0F" w:rsidP="0004367E">
      <w:pPr>
        <w:pStyle w:val="CBDNormalNumber"/>
        <w:numPr>
          <w:ilvl w:val="0"/>
          <w:numId w:val="0"/>
        </w:numPr>
        <w:ind w:left="567"/>
        <w:rPr>
          <w:rFonts w:asciiTheme="majorBidi" w:hAnsiTheme="majorBidi" w:cstheme="majorBidi"/>
        </w:rPr>
      </w:pPr>
      <w:r w:rsidRPr="009E462F">
        <w:rPr>
          <w:rStyle w:val="normaltextrun"/>
          <w:rFonts w:asciiTheme="majorBidi" w:eastAsiaTheme="majorEastAsia" w:hAnsiTheme="majorBidi" w:cstheme="majorBidi"/>
          <w:lang w:val="fr-FR"/>
        </w:rPr>
        <w:t xml:space="preserve">CHAPE, S. et al. </w:t>
      </w:r>
      <w:r w:rsidRPr="00ED7E61">
        <w:rPr>
          <w:rStyle w:val="normaltextrun"/>
          <w:rFonts w:asciiTheme="majorBidi" w:eastAsiaTheme="majorEastAsia" w:hAnsiTheme="majorBidi" w:cstheme="majorBidi"/>
        </w:rPr>
        <w:t xml:space="preserve">(2005). Measuring the extent and effectiveness of protected areas as an indicator for meeting global biodiversity targets. Philosophical Transactions of the Royal Society B 360: 443–445. Available from http://rstb.royalsocietypublishing.org/content/360/1454/443.short.DEGUIGNET, M., et al. (2014). 2014 United Nations List of Protected Areas. UNEP-WCMC, Cambridge, UK. Available from </w:t>
      </w:r>
      <w:hyperlink r:id="rId403" w:tgtFrame="_blank" w:history="1">
        <w:r w:rsidRPr="00ED7E61">
          <w:rPr>
            <w:rStyle w:val="normaltextrun"/>
            <w:rFonts w:asciiTheme="majorBidi" w:eastAsiaTheme="majorEastAsia" w:hAnsiTheme="majorBidi" w:cstheme="majorBidi"/>
            <w:color w:val="0000FF"/>
            <w:u w:val="single"/>
          </w:rPr>
          <w:t>http://unep-wcmc.org/system/dataset_file_fields/files/000/000/263/original/2014_UN_List_of_Protected_Areas_EN_web.PDF?1415613322</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7AD0288E" w14:textId="137EEDE0" w:rsidR="00A16532"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DEGUIGNET, M., et al. (2014). 2014 United Nations List of Protected Areas. UNEP-WCMC, Cambridge, UK. Available from </w:t>
      </w:r>
      <w:r w:rsidRPr="00ED7E61">
        <w:rPr>
          <w:rStyle w:val="normaltextrun"/>
          <w:rFonts w:asciiTheme="majorBidi" w:eastAsiaTheme="majorEastAsia" w:hAnsiTheme="majorBidi" w:cstheme="majorBidi"/>
          <w:lang w:val="en-AU"/>
        </w:rPr>
        <w:t>https://resources.unep-wcmc.org/products/WCMC_RT107</w:t>
      </w:r>
      <w:r w:rsidRPr="00ED7E61">
        <w:rPr>
          <w:rStyle w:val="eop"/>
          <w:rFonts w:asciiTheme="majorBidi" w:eastAsiaTheme="majorEastAsia" w:hAnsiTheme="majorBidi" w:cstheme="majorBidi"/>
        </w:rPr>
        <w:t> </w:t>
      </w:r>
    </w:p>
    <w:p w14:paraId="1545A306" w14:textId="26E734D7" w:rsidR="00A16532" w:rsidRPr="00ED7E61" w:rsidRDefault="00756F0F" w:rsidP="0004367E">
      <w:pPr>
        <w:pStyle w:val="CBDNormalNumber"/>
        <w:numPr>
          <w:ilvl w:val="0"/>
          <w:numId w:val="0"/>
        </w:numPr>
        <w:ind w:left="567"/>
        <w:rPr>
          <w:rFonts w:asciiTheme="majorBidi" w:hAnsiTheme="majorBidi" w:cstheme="majorBidi"/>
        </w:rPr>
      </w:pPr>
      <w:r w:rsidRPr="000A273E">
        <w:rPr>
          <w:rStyle w:val="normaltextrun"/>
          <w:rFonts w:asciiTheme="majorBidi" w:eastAsiaTheme="majorEastAsia" w:hAnsiTheme="majorBidi" w:cstheme="majorBidi"/>
          <w:lang w:val="fr-FR"/>
        </w:rPr>
        <w:t xml:space="preserve">DI MARCO, M., et al. </w:t>
      </w:r>
      <w:r w:rsidRPr="00ED7E61">
        <w:rPr>
          <w:rStyle w:val="normaltextrun"/>
          <w:rFonts w:asciiTheme="majorBidi" w:eastAsiaTheme="majorEastAsia" w:hAnsiTheme="majorBidi" w:cstheme="majorBidi"/>
        </w:rPr>
        <w:t xml:space="preserve">(2016). Quantifying the relative irreplaceability of Important Bird and Biodiversity Areas. Conservation Biology 30: 392–402. Available from </w:t>
      </w:r>
      <w:hyperlink r:id="rId404" w:tgtFrame="_blank" w:history="1">
        <w:r w:rsidRPr="00ED7E61">
          <w:rPr>
            <w:rStyle w:val="normaltextrun"/>
            <w:rFonts w:asciiTheme="majorBidi" w:eastAsiaTheme="majorEastAsia" w:hAnsiTheme="majorBidi" w:cstheme="majorBidi"/>
            <w:color w:val="0000FF"/>
            <w:u w:val="single"/>
          </w:rPr>
          <w:t>http://onlinelibrary.wiley.com/doi/10.1111/cobi.12609/abstract</w:t>
        </w:r>
      </w:hyperlink>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226A8C42" w14:textId="06D889D0" w:rsidR="00A16532" w:rsidRPr="00ED7E61" w:rsidRDefault="00756F0F" w:rsidP="0004367E">
      <w:pPr>
        <w:pStyle w:val="CBDNormalNumber"/>
        <w:numPr>
          <w:ilvl w:val="0"/>
          <w:numId w:val="0"/>
        </w:numPr>
        <w:ind w:left="567"/>
        <w:rPr>
          <w:rFonts w:asciiTheme="majorBidi" w:hAnsiTheme="majorBidi" w:cstheme="majorBidi"/>
          <w:lang w:val="fr-FR"/>
        </w:rPr>
      </w:pPr>
      <w:r w:rsidRPr="00ED7E61">
        <w:rPr>
          <w:rStyle w:val="normaltextrun"/>
          <w:rFonts w:asciiTheme="majorBidi" w:eastAsiaTheme="majorEastAsia" w:hAnsiTheme="majorBidi" w:cstheme="majorBidi"/>
          <w:lang w:val="en-AU"/>
        </w:rPr>
        <w:t xml:space="preserve">DINERSTEIN, E., et al. (2017). An Ecoregion-Based Approach to Protecting Half the Terrestrial Realm. </w:t>
      </w:r>
      <w:r w:rsidRPr="00ED7E61">
        <w:rPr>
          <w:rStyle w:val="normaltextrun"/>
          <w:rFonts w:asciiTheme="majorBidi" w:eastAsiaTheme="majorEastAsia" w:hAnsiTheme="majorBidi" w:cstheme="majorBidi"/>
          <w:lang w:val="fr-FR"/>
        </w:rPr>
        <w:t xml:space="preserve">Bioscience 67: 534-545. </w:t>
      </w:r>
      <w:hyperlink r:id="rId405" w:tgtFrame="_blank" w:history="1">
        <w:r w:rsidRPr="00ED7E61">
          <w:rPr>
            <w:rStyle w:val="normaltextrun"/>
            <w:rFonts w:asciiTheme="majorBidi" w:eastAsiaTheme="majorEastAsia" w:hAnsiTheme="majorBidi" w:cstheme="majorBidi"/>
            <w:color w:val="467886"/>
            <w:u w:val="single"/>
            <w:lang w:val="fr-FR"/>
          </w:rPr>
          <w:t>https://doi.org/10.1093/biosci/bix014</w:t>
        </w:r>
      </w:hyperlink>
      <w:r w:rsidRPr="00ED7E61">
        <w:rPr>
          <w:rStyle w:val="normaltextrun"/>
          <w:rFonts w:asciiTheme="majorBidi" w:eastAsiaTheme="majorEastAsia" w:hAnsiTheme="majorBidi" w:cstheme="majorBidi"/>
          <w:lang w:val="fr-FR"/>
        </w:rPr>
        <w:t> </w:t>
      </w:r>
      <w:r w:rsidRPr="00ED7E61">
        <w:rPr>
          <w:rStyle w:val="eop"/>
          <w:rFonts w:asciiTheme="majorBidi" w:eastAsiaTheme="majorEastAsia" w:hAnsiTheme="majorBidi" w:cstheme="majorBidi"/>
          <w:lang w:val="fr-FR"/>
        </w:rPr>
        <w:t> </w:t>
      </w:r>
    </w:p>
    <w:p w14:paraId="4B3E8F6C" w14:textId="59EF0D5D" w:rsidR="00A16532" w:rsidRPr="00ED7E61" w:rsidRDefault="00756F0F" w:rsidP="0004367E">
      <w:pPr>
        <w:pStyle w:val="CBDNormalNumber"/>
        <w:numPr>
          <w:ilvl w:val="0"/>
          <w:numId w:val="0"/>
        </w:numPr>
        <w:ind w:left="567"/>
        <w:rPr>
          <w:rFonts w:asciiTheme="majorBidi" w:hAnsiTheme="majorBidi" w:cstheme="majorBidi"/>
        </w:rPr>
      </w:pPr>
      <w:r w:rsidRPr="009E462F">
        <w:rPr>
          <w:rStyle w:val="normaltextrun"/>
          <w:rFonts w:asciiTheme="majorBidi" w:eastAsiaTheme="majorEastAsia" w:hAnsiTheme="majorBidi" w:cstheme="majorBidi"/>
          <w:lang w:val="fr-FR"/>
        </w:rPr>
        <w:t xml:space="preserve">DONALD, P. et al. </w:t>
      </w:r>
      <w:r w:rsidRPr="00ED7E61">
        <w:rPr>
          <w:rStyle w:val="normaltextrun"/>
          <w:rFonts w:asciiTheme="majorBidi" w:eastAsiaTheme="majorEastAsia" w:hAnsiTheme="majorBidi" w:cstheme="majorBidi"/>
        </w:rPr>
        <w:t>(2018) Important Bird and Biodiversity Areas (IBAs): the development and characteristics of a global inventory of key sites for biodiversity. Bird Conserv. Internat. 29:177–198.</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3D45CE81" w14:textId="2C045870" w:rsidR="00A16532"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DUDLEY, N. (2008). Guidelines for Applying Protected Area Management Categories. International Union for Conservation of Nature (IUCN). Gland, Switzerland. Available from </w:t>
      </w:r>
      <w:hyperlink r:id="rId406" w:tgtFrame="_blank" w:history="1">
        <w:r w:rsidRPr="00ED7E61">
          <w:rPr>
            <w:rStyle w:val="normaltextrun"/>
            <w:rFonts w:asciiTheme="majorBidi" w:eastAsiaTheme="majorEastAsia" w:hAnsiTheme="majorBidi" w:cstheme="majorBidi"/>
            <w:color w:val="0000FF"/>
            <w:u w:val="single"/>
          </w:rPr>
          <w:t>https://portals.iucn.org/library/node/9243</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49366E4D" w14:textId="6180FA7F" w:rsidR="00A16532" w:rsidRPr="00ED7E61" w:rsidRDefault="00756F0F" w:rsidP="0004367E">
      <w:pPr>
        <w:pStyle w:val="CBDNormalNumber"/>
        <w:numPr>
          <w:ilvl w:val="0"/>
          <w:numId w:val="0"/>
        </w:numPr>
        <w:ind w:left="567"/>
        <w:rPr>
          <w:rFonts w:asciiTheme="majorBidi" w:hAnsiTheme="majorBidi" w:cstheme="majorBidi"/>
        </w:rPr>
      </w:pPr>
      <w:r w:rsidRPr="000A273E">
        <w:rPr>
          <w:rStyle w:val="normaltextrun"/>
          <w:rFonts w:asciiTheme="majorBidi" w:eastAsiaTheme="majorEastAsia" w:hAnsiTheme="majorBidi" w:cstheme="majorBidi"/>
          <w:lang w:val="fr-FR"/>
        </w:rPr>
        <w:t xml:space="preserve">EDGAR, G.J. et al. </w:t>
      </w:r>
      <w:r w:rsidRPr="00ED7E61">
        <w:rPr>
          <w:rStyle w:val="normaltextrun"/>
          <w:rFonts w:asciiTheme="majorBidi" w:eastAsiaTheme="majorEastAsia" w:hAnsiTheme="majorBidi" w:cstheme="majorBidi"/>
        </w:rPr>
        <w:t xml:space="preserve">(2008). Key Biodiversity Areas as globally significant target sites for the conservation of marine biological diversity. Aquatic Conservation: Marine and Freshwater Ecosystems 18: 969–983. Available from </w:t>
      </w:r>
      <w:hyperlink r:id="rId407" w:tgtFrame="_blank" w:history="1">
        <w:r w:rsidRPr="00ED7E61">
          <w:rPr>
            <w:rStyle w:val="normaltextrun"/>
            <w:rFonts w:asciiTheme="majorBidi" w:eastAsiaTheme="majorEastAsia" w:hAnsiTheme="majorBidi" w:cstheme="majorBidi"/>
            <w:color w:val="0000FF"/>
            <w:u w:val="single"/>
          </w:rPr>
          <w:t>http://onlinelibrary.wiley.com/doi/10.1002/aqc.902/abstract</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5EC326F6" w14:textId="48039A54" w:rsidR="00A16532" w:rsidRPr="009E462F" w:rsidRDefault="00756F0F" w:rsidP="0004367E">
      <w:pPr>
        <w:pStyle w:val="CBDNormalNumber"/>
        <w:numPr>
          <w:ilvl w:val="0"/>
          <w:numId w:val="0"/>
        </w:numPr>
        <w:ind w:left="567"/>
        <w:rPr>
          <w:rFonts w:asciiTheme="majorBidi" w:hAnsiTheme="majorBidi" w:cstheme="majorBidi"/>
          <w:lang w:val="en-US"/>
        </w:rPr>
      </w:pPr>
      <w:r w:rsidRPr="00ED7E61">
        <w:rPr>
          <w:rStyle w:val="normaltextrun"/>
          <w:rFonts w:asciiTheme="majorBidi" w:eastAsiaTheme="majorEastAsia" w:hAnsiTheme="majorBidi" w:cstheme="majorBidi"/>
        </w:rPr>
        <w:t xml:space="preserve">EKEN, G. et al. (2004). Key biodiversity areas as site conservation targets. </w:t>
      </w:r>
      <w:r w:rsidRPr="009E462F">
        <w:rPr>
          <w:rStyle w:val="normaltextrun"/>
          <w:rFonts w:asciiTheme="majorBidi" w:eastAsiaTheme="majorEastAsia" w:hAnsiTheme="majorBidi" w:cstheme="majorBidi"/>
          <w:lang w:val="en-US"/>
        </w:rPr>
        <w:t xml:space="preserve">BioScience 54: 1110–1118. Available from </w:t>
      </w:r>
      <w:hyperlink r:id="rId408" w:tgtFrame="_blank" w:history="1">
        <w:r w:rsidRPr="009E462F">
          <w:rPr>
            <w:rStyle w:val="normaltextrun"/>
            <w:rFonts w:asciiTheme="majorBidi" w:eastAsiaTheme="majorEastAsia" w:hAnsiTheme="majorBidi" w:cstheme="majorBidi"/>
            <w:color w:val="0000FF"/>
            <w:u w:val="single"/>
            <w:lang w:val="en-US"/>
          </w:rPr>
          <w:t>http://bioscience.oxfordjournals.org/content/54/12/1110.short</w:t>
        </w:r>
      </w:hyperlink>
      <w:r w:rsidRPr="009E462F">
        <w:rPr>
          <w:rStyle w:val="normaltextrun"/>
          <w:rFonts w:asciiTheme="majorBidi" w:eastAsiaTheme="majorEastAsia" w:hAnsiTheme="majorBidi" w:cstheme="majorBidi"/>
          <w:lang w:val="en-US"/>
        </w:rPr>
        <w:t>.  </w:t>
      </w:r>
      <w:r w:rsidRPr="009E462F">
        <w:rPr>
          <w:rStyle w:val="eop"/>
          <w:rFonts w:asciiTheme="majorBidi" w:eastAsiaTheme="majorEastAsia" w:hAnsiTheme="majorBidi" w:cstheme="majorBidi"/>
          <w:lang w:val="en-US"/>
        </w:rPr>
        <w:t> </w:t>
      </w:r>
    </w:p>
    <w:p w14:paraId="12B05570" w14:textId="5144F144" w:rsidR="00A16532" w:rsidRPr="00ED7E61" w:rsidRDefault="00756F0F" w:rsidP="0004367E">
      <w:pPr>
        <w:pStyle w:val="CBDNormalNumber"/>
        <w:numPr>
          <w:ilvl w:val="0"/>
          <w:numId w:val="0"/>
        </w:numPr>
        <w:ind w:left="567"/>
        <w:rPr>
          <w:rFonts w:asciiTheme="majorBidi" w:hAnsiTheme="majorBidi" w:cstheme="majorBidi"/>
        </w:rPr>
      </w:pPr>
      <w:r w:rsidRPr="009E462F">
        <w:rPr>
          <w:rStyle w:val="normaltextrun"/>
          <w:rFonts w:asciiTheme="majorBidi" w:eastAsiaTheme="majorEastAsia" w:hAnsiTheme="majorBidi" w:cstheme="majorBidi"/>
          <w:lang w:val="en-US"/>
        </w:rPr>
        <w:t xml:space="preserve">FOSTER, M.N. et al. </w:t>
      </w:r>
      <w:r w:rsidRPr="00ED7E61">
        <w:rPr>
          <w:rStyle w:val="normaltextrun"/>
          <w:rFonts w:asciiTheme="majorBidi" w:eastAsiaTheme="majorEastAsia" w:hAnsiTheme="majorBidi" w:cstheme="majorBidi"/>
        </w:rPr>
        <w:t xml:space="preserve">(2012) The identification of sites of biodiversity conservation significance: progress with the application of a global standard. Journal of Threatened Taxa 4: 2733–2744. Available from </w:t>
      </w:r>
      <w:hyperlink r:id="rId409" w:tgtFrame="_blank" w:history="1">
        <w:r w:rsidRPr="00ED7E61">
          <w:rPr>
            <w:rStyle w:val="normaltextrun"/>
            <w:rFonts w:asciiTheme="majorBidi" w:eastAsiaTheme="majorEastAsia" w:hAnsiTheme="majorBidi" w:cstheme="majorBidi"/>
            <w:color w:val="0000FF"/>
            <w:u w:val="single"/>
          </w:rPr>
          <w:t>http://www.threatenedtaxa.in/index.php/JoTT/article/view/779</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788A153A" w14:textId="5D534C08" w:rsidR="00A16532" w:rsidRPr="009E462F" w:rsidRDefault="00756F0F" w:rsidP="0004367E">
      <w:pPr>
        <w:pStyle w:val="CBDNormalNumber"/>
        <w:numPr>
          <w:ilvl w:val="0"/>
          <w:numId w:val="0"/>
        </w:numPr>
        <w:ind w:left="567"/>
        <w:rPr>
          <w:rFonts w:asciiTheme="majorBidi" w:hAnsiTheme="majorBidi" w:cstheme="majorBidi"/>
          <w:lang w:val="en-US"/>
        </w:rPr>
      </w:pPr>
      <w:r w:rsidRPr="00ED7E61">
        <w:rPr>
          <w:rStyle w:val="normaltextrun"/>
          <w:rFonts w:asciiTheme="majorBidi" w:eastAsiaTheme="majorEastAsia" w:hAnsiTheme="majorBidi" w:cstheme="majorBidi"/>
        </w:rPr>
        <w:t xml:space="preserve">Global Administrative Areas (2019). GADM database of Global Administrative Areas, version 2.8. </w:t>
      </w:r>
      <w:r w:rsidRPr="009E462F">
        <w:rPr>
          <w:rStyle w:val="normaltextrun"/>
          <w:rFonts w:asciiTheme="majorBidi" w:eastAsiaTheme="majorEastAsia" w:hAnsiTheme="majorBidi" w:cstheme="majorBidi"/>
          <w:lang w:val="en-US"/>
        </w:rPr>
        <w:t xml:space="preserve">Available from </w:t>
      </w:r>
      <w:hyperlink r:id="rId410" w:tgtFrame="_blank" w:history="1">
        <w:r w:rsidRPr="009E462F">
          <w:rPr>
            <w:rStyle w:val="normaltextrun"/>
            <w:rFonts w:asciiTheme="majorBidi" w:eastAsiaTheme="majorEastAsia" w:hAnsiTheme="majorBidi" w:cstheme="majorBidi"/>
            <w:color w:val="0000FF"/>
            <w:u w:val="single"/>
            <w:lang w:val="en-US"/>
          </w:rPr>
          <w:t>www.gadm.org</w:t>
        </w:r>
      </w:hyperlink>
      <w:r w:rsidRPr="009E462F">
        <w:rPr>
          <w:rStyle w:val="normaltextrun"/>
          <w:rFonts w:asciiTheme="majorBidi" w:eastAsiaTheme="majorEastAsia" w:hAnsiTheme="majorBidi" w:cstheme="majorBidi"/>
          <w:lang w:val="en-US"/>
        </w:rPr>
        <w:t>.  </w:t>
      </w:r>
      <w:r w:rsidRPr="009E462F">
        <w:rPr>
          <w:rStyle w:val="eop"/>
          <w:rFonts w:asciiTheme="majorBidi" w:eastAsiaTheme="majorEastAsia" w:hAnsiTheme="majorBidi" w:cstheme="majorBidi"/>
          <w:lang w:val="en-US"/>
        </w:rPr>
        <w:t> </w:t>
      </w:r>
    </w:p>
    <w:p w14:paraId="16338A60" w14:textId="53BEDCE2" w:rsidR="00A16532"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en-CA"/>
        </w:rPr>
        <w:t xml:space="preserve">HAN, X. et al. </w:t>
      </w:r>
      <w:r w:rsidRPr="00ED7E61">
        <w:rPr>
          <w:rStyle w:val="normaltextrun"/>
          <w:rFonts w:asciiTheme="majorBidi" w:eastAsiaTheme="majorEastAsia" w:hAnsiTheme="majorBidi" w:cstheme="majorBidi"/>
        </w:rPr>
        <w:t xml:space="preserve">(2014). A Biodiversity indicators dashboard: addressing challenges to monitoring progress towards the Aichi Biodiversity Targets using disaggregated global data. PLoS ONE 9(11): e112046. Available from </w:t>
      </w:r>
      <w:hyperlink r:id="rId411" w:tgtFrame="_blank" w:history="1">
        <w:r w:rsidRPr="00ED7E61">
          <w:rPr>
            <w:rStyle w:val="normaltextrun"/>
            <w:rFonts w:asciiTheme="majorBidi" w:eastAsiaTheme="majorEastAsia" w:hAnsiTheme="majorBidi" w:cstheme="majorBidi"/>
            <w:color w:val="0000FF"/>
            <w:u w:val="single"/>
          </w:rPr>
          <w:t>http://journals.plos.org/plosone/article?id=10.1371/journal.pone.0112046</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4AAF6045" w14:textId="44E54081" w:rsidR="00A16532"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fr-FR"/>
        </w:rPr>
        <w:t xml:space="preserve">HOLLAND, R.A. et al. </w:t>
      </w:r>
      <w:r w:rsidRPr="00ED7E61">
        <w:rPr>
          <w:rStyle w:val="normaltextrun"/>
          <w:rFonts w:asciiTheme="majorBidi" w:eastAsiaTheme="majorEastAsia" w:hAnsiTheme="majorBidi" w:cstheme="majorBidi"/>
        </w:rPr>
        <w:t xml:space="preserve">(2012). Conservation priorities for freshwater biodiversity: the key biodiversity area approach refined and tested for continental Africa. Biological Conservation 148: 167–179. Available from </w:t>
      </w:r>
      <w:hyperlink r:id="rId412" w:tgtFrame="_blank" w:history="1">
        <w:r w:rsidRPr="00ED7E61">
          <w:rPr>
            <w:rStyle w:val="normaltextrun"/>
            <w:rFonts w:asciiTheme="majorBidi" w:eastAsiaTheme="majorEastAsia" w:hAnsiTheme="majorBidi" w:cstheme="majorBidi"/>
            <w:color w:val="0000FF"/>
            <w:u w:val="single"/>
          </w:rPr>
          <w:t>http://www.sciencedirect.com/science/article/pii/S0006320712000298</w:t>
        </w:r>
      </w:hyperlink>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1609AA9E" w14:textId="445EBA7E" w:rsidR="00A16532"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IUCN (2016). A Global Standard for the Identification of Key Biodiversity Areas. International Union for Conservation of Nature, Gland, Switzerland. Available from </w:t>
      </w:r>
      <w:hyperlink r:id="rId413" w:tgtFrame="_blank" w:history="1">
        <w:r w:rsidRPr="00ED7E61">
          <w:rPr>
            <w:rStyle w:val="normaltextrun"/>
            <w:rFonts w:asciiTheme="majorBidi" w:eastAsiaTheme="majorEastAsia" w:hAnsiTheme="majorBidi" w:cstheme="majorBidi"/>
            <w:color w:val="0000FF"/>
            <w:u w:val="single"/>
          </w:rPr>
          <w:t>https://portals.iucn.org/library/node/46259</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65AEBC5C" w14:textId="29A9B097" w:rsidR="00A16532"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IUCN-WCPA Task Force on OECMs (2019). Recognising and reporting other effective area-based conservation measures. Gland, Switzerland: IUCN.</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21169DE6" w14:textId="205B0215" w:rsidR="00A16532" w:rsidRPr="00ED7E61" w:rsidRDefault="00756F0F" w:rsidP="0004367E">
      <w:pPr>
        <w:pStyle w:val="CBDNormalNumber"/>
        <w:numPr>
          <w:ilvl w:val="0"/>
          <w:numId w:val="0"/>
        </w:numPr>
        <w:ind w:left="567"/>
        <w:rPr>
          <w:rFonts w:asciiTheme="majorBidi" w:hAnsiTheme="majorBidi" w:cstheme="majorBidi"/>
        </w:rPr>
      </w:pPr>
      <w:r w:rsidRPr="009E462F">
        <w:rPr>
          <w:rStyle w:val="normaltextrun"/>
          <w:rFonts w:asciiTheme="majorBidi" w:eastAsiaTheme="majorEastAsia" w:hAnsiTheme="majorBidi" w:cstheme="majorBidi"/>
          <w:lang w:val="en-US"/>
        </w:rPr>
        <w:t xml:space="preserve">JONAS, H.D. et al. </w:t>
      </w:r>
      <w:r w:rsidRPr="00ED7E61">
        <w:rPr>
          <w:rStyle w:val="normaltextrun"/>
          <w:rFonts w:asciiTheme="majorBidi" w:eastAsiaTheme="majorEastAsia" w:hAnsiTheme="majorBidi" w:cstheme="majorBidi"/>
        </w:rPr>
        <w:t xml:space="preserve">(2014) New steps of change: looking beyond protected areas to consider other effective area-based conservation measures. Parks 20: 111–128. </w:t>
      </w:r>
      <w:r w:rsidRPr="00ED7E61">
        <w:rPr>
          <w:rStyle w:val="normaltextrun"/>
          <w:rFonts w:asciiTheme="majorBidi" w:eastAsiaTheme="majorEastAsia" w:hAnsiTheme="majorBidi" w:cstheme="majorBidi"/>
          <w:lang w:val="en-CA"/>
        </w:rPr>
        <w:t>Available from  </w:t>
      </w:r>
      <w:hyperlink r:id="rId414" w:tgtFrame="_blank" w:history="1">
        <w:r w:rsidRPr="00ED7E61">
          <w:rPr>
            <w:rStyle w:val="normaltextrun"/>
            <w:rFonts w:asciiTheme="majorBidi" w:eastAsiaTheme="majorEastAsia" w:hAnsiTheme="majorBidi" w:cstheme="majorBidi"/>
            <w:color w:val="467886"/>
            <w:u w:val="single"/>
            <w:lang w:val="en-CA"/>
          </w:rPr>
          <w:t>http://parksjournal.com/wp-content/uploads/2014/10/PARKS-20.2-Jonas-et-al-10.2305IUCN.CH_.2014.PARKS-20-2.HDJ_.en_.pdf</w:t>
        </w:r>
      </w:hyperlink>
      <w:r w:rsidRPr="00ED7E61">
        <w:rPr>
          <w:rStyle w:val="normaltextrun"/>
          <w:rFonts w:asciiTheme="majorBidi" w:eastAsiaTheme="majorEastAsia" w:hAnsiTheme="majorBidi" w:cstheme="majorBidi"/>
          <w:lang w:val="en-CA"/>
        </w:rPr>
        <w:t xml:space="preserve"> . </w:t>
      </w:r>
      <w:r w:rsidRPr="00ED7E61">
        <w:rPr>
          <w:rStyle w:val="eop"/>
          <w:rFonts w:asciiTheme="majorBidi" w:eastAsiaTheme="majorEastAsia" w:hAnsiTheme="majorBidi" w:cstheme="majorBidi"/>
          <w:lang w:val="en-CA"/>
        </w:rPr>
        <w:t> </w:t>
      </w:r>
    </w:p>
    <w:p w14:paraId="52E8A35D" w14:textId="19D4F18A" w:rsidR="00A16532"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KBA Secretariat (2019). Key Biodiversity Areas Proposal Process: Guidance on Proposing, Reviewing, Nominating and Confirming sites. Version 1.0. Prepared by the KBA Secretariat and KBA Committee of the KBA Partnership. Cambridge, UK. Available at </w:t>
      </w:r>
      <w:hyperlink r:id="rId415" w:tgtFrame="_blank" w:history="1">
        <w:r w:rsidRPr="00ED7E61">
          <w:rPr>
            <w:rStyle w:val="normaltextrun"/>
            <w:rFonts w:asciiTheme="majorBidi" w:eastAsiaTheme="majorEastAsia" w:hAnsiTheme="majorBidi" w:cstheme="majorBidi"/>
            <w:color w:val="0000FF"/>
            <w:u w:val="single"/>
          </w:rPr>
          <w:t>http://www.keybiodiversityareas.org/assets/35687f50ac0bcad155ab17447b48885a</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01872136" w14:textId="6E972F94" w:rsidR="00A16532" w:rsidRPr="00ED7E61" w:rsidRDefault="00756F0F" w:rsidP="0004367E">
      <w:pPr>
        <w:pStyle w:val="CBDNormalNumber"/>
        <w:numPr>
          <w:ilvl w:val="0"/>
          <w:numId w:val="0"/>
        </w:numPr>
        <w:ind w:left="567"/>
        <w:rPr>
          <w:rFonts w:asciiTheme="majorBidi" w:hAnsiTheme="majorBidi" w:cstheme="majorBidi"/>
          <w:lang w:val="fr-FR"/>
        </w:rPr>
      </w:pPr>
      <w:r w:rsidRPr="00ED7E61">
        <w:rPr>
          <w:rStyle w:val="normaltextrun"/>
          <w:rFonts w:asciiTheme="majorBidi" w:eastAsiaTheme="majorEastAsia" w:hAnsiTheme="majorBidi" w:cstheme="majorBidi"/>
          <w:lang w:val="en-AU"/>
        </w:rPr>
        <w:t xml:space="preserve">KBA Standards and Appeals Committee (2020). Guidelines for using A Global Standard for the Identification of Key Biodiversity Areas. Version 1.1. Prepared by the KBA Standards and Appeals Committee of the IUCN Species Survival Commission and IUCN World Commission on Protected Areas. </w:t>
      </w:r>
      <w:r w:rsidRPr="00ED7E61">
        <w:rPr>
          <w:rStyle w:val="normaltextrun"/>
          <w:rFonts w:asciiTheme="majorBidi" w:eastAsiaTheme="majorEastAsia" w:hAnsiTheme="majorBidi" w:cstheme="majorBidi"/>
          <w:lang w:val="fr-FR"/>
        </w:rPr>
        <w:t>Gland, Switzerland: IUCN. https://portals.iucn.org/library/node/49131</w:t>
      </w:r>
      <w:r w:rsidRPr="00ED7E61">
        <w:rPr>
          <w:rStyle w:val="eop"/>
          <w:rFonts w:asciiTheme="majorBidi" w:eastAsiaTheme="majorEastAsia" w:hAnsiTheme="majorBidi" w:cstheme="majorBidi"/>
          <w:lang w:val="fr-FR"/>
        </w:rPr>
        <w:t> </w:t>
      </w:r>
    </w:p>
    <w:p w14:paraId="61F85A82" w14:textId="53F01961" w:rsidR="00A16532" w:rsidRPr="00ED7E61" w:rsidRDefault="00756F0F" w:rsidP="0004367E">
      <w:pPr>
        <w:pStyle w:val="CBDNormalNumber"/>
        <w:numPr>
          <w:ilvl w:val="0"/>
          <w:numId w:val="0"/>
        </w:numPr>
        <w:ind w:left="567"/>
        <w:rPr>
          <w:rFonts w:asciiTheme="majorBidi" w:hAnsiTheme="majorBidi" w:cstheme="majorBidi"/>
          <w:lang w:val="fr-FR"/>
        </w:rPr>
      </w:pPr>
      <w:r w:rsidRPr="009E462F">
        <w:rPr>
          <w:rStyle w:val="normaltextrun"/>
          <w:rFonts w:asciiTheme="majorBidi" w:eastAsiaTheme="majorEastAsia" w:hAnsiTheme="majorBidi" w:cstheme="majorBidi"/>
          <w:lang w:val="fr-FR"/>
        </w:rPr>
        <w:t xml:space="preserve">KNIGHT, A. T. et al. </w:t>
      </w:r>
      <w:r w:rsidRPr="00ED7E61">
        <w:rPr>
          <w:rStyle w:val="normaltextrun"/>
          <w:rFonts w:asciiTheme="majorBidi" w:eastAsiaTheme="majorEastAsia" w:hAnsiTheme="majorBidi" w:cstheme="majorBidi"/>
        </w:rPr>
        <w:t xml:space="preserve">(2007). Improving the Key Biodiversity Areas approach for effective conservation planning. </w:t>
      </w:r>
      <w:r w:rsidRPr="00ED7E61">
        <w:rPr>
          <w:rStyle w:val="normaltextrun"/>
          <w:rFonts w:asciiTheme="majorBidi" w:eastAsiaTheme="majorEastAsia" w:hAnsiTheme="majorBidi" w:cstheme="majorBidi"/>
          <w:lang w:val="fr-FR"/>
        </w:rPr>
        <w:t xml:space="preserve">BioScience 57: 256–261. Available from </w:t>
      </w:r>
      <w:hyperlink r:id="rId416" w:tgtFrame="_blank" w:history="1">
        <w:r w:rsidRPr="00ED7E61">
          <w:rPr>
            <w:rStyle w:val="normaltextrun"/>
            <w:rFonts w:asciiTheme="majorBidi" w:eastAsiaTheme="majorEastAsia" w:hAnsiTheme="majorBidi" w:cstheme="majorBidi"/>
            <w:color w:val="0000FF"/>
            <w:u w:val="single"/>
            <w:lang w:val="fr-FR"/>
          </w:rPr>
          <w:t>http://bioscience.oxfordjournals.org/content/57/3/256.short</w:t>
        </w:r>
      </w:hyperlink>
      <w:r w:rsidRPr="00ED7E61">
        <w:rPr>
          <w:rStyle w:val="normaltextrun"/>
          <w:rFonts w:asciiTheme="majorBidi" w:eastAsiaTheme="majorEastAsia" w:hAnsiTheme="majorBidi" w:cstheme="majorBidi"/>
          <w:lang w:val="fr-FR"/>
        </w:rPr>
        <w:t>.  </w:t>
      </w:r>
      <w:r w:rsidRPr="00ED7E61">
        <w:rPr>
          <w:rStyle w:val="eop"/>
          <w:rFonts w:asciiTheme="majorBidi" w:eastAsiaTheme="majorEastAsia" w:hAnsiTheme="majorBidi" w:cstheme="majorBidi"/>
          <w:lang w:val="fr-FR"/>
        </w:rPr>
        <w:t> </w:t>
      </w:r>
    </w:p>
    <w:p w14:paraId="47B4CE53" w14:textId="2DAD3DCD"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fr-FR"/>
        </w:rPr>
        <w:t xml:space="preserve">LANGHAMMER, P. F. et al. </w:t>
      </w:r>
      <w:r w:rsidRPr="00ED7E61">
        <w:rPr>
          <w:rStyle w:val="normaltextrun"/>
          <w:rFonts w:asciiTheme="majorBidi" w:eastAsiaTheme="majorEastAsia" w:hAnsiTheme="majorBidi" w:cstheme="majorBidi"/>
        </w:rPr>
        <w:t xml:space="preserve">(2007). Identification and Gap Analysis of Key Biodiversity Areas: Targets for Comprehensive Protected Area Systems. IUCN World Commission on Protected Areas Best Practice Protected Area Guidelines Series No. 15. IUCN, Gland, Switzerland. Available from </w:t>
      </w:r>
      <w:hyperlink r:id="rId417" w:tgtFrame="_blank" w:history="1">
        <w:r w:rsidRPr="00ED7E61">
          <w:rPr>
            <w:rStyle w:val="normaltextrun"/>
            <w:rFonts w:asciiTheme="majorBidi" w:eastAsiaTheme="majorEastAsia" w:hAnsiTheme="majorBidi" w:cstheme="majorBidi"/>
            <w:color w:val="0000FF"/>
            <w:u w:val="single"/>
          </w:rPr>
          <w:t>https://portals.iucn.org/library/node/9055</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6F3E0EBA" w14:textId="4A9803B8" w:rsidR="001641F8" w:rsidRPr="00ED7E61" w:rsidRDefault="00756F0F" w:rsidP="0004367E">
      <w:pPr>
        <w:pStyle w:val="CBDNormalNumber"/>
        <w:numPr>
          <w:ilvl w:val="0"/>
          <w:numId w:val="0"/>
        </w:numPr>
        <w:ind w:left="567"/>
        <w:rPr>
          <w:rFonts w:asciiTheme="majorBidi" w:hAnsiTheme="majorBidi" w:cstheme="majorBidi"/>
          <w:lang w:val="fr-FR"/>
        </w:rPr>
      </w:pPr>
      <w:r w:rsidRPr="00ED7E61">
        <w:rPr>
          <w:rStyle w:val="normaltextrun"/>
          <w:rFonts w:asciiTheme="majorBidi" w:eastAsiaTheme="majorEastAsia" w:hAnsiTheme="majorBidi" w:cstheme="majorBidi"/>
        </w:rPr>
        <w:t xml:space="preserve">LEHNER, B. et al. (2022). Global hydro-environmental lake characteristics at high spatial resolution. </w:t>
      </w:r>
      <w:r w:rsidRPr="00ED7E61">
        <w:rPr>
          <w:rStyle w:val="normaltextrun"/>
          <w:rFonts w:asciiTheme="majorBidi" w:eastAsiaTheme="majorEastAsia" w:hAnsiTheme="majorBidi" w:cstheme="majorBidi"/>
          <w:lang w:val="fr-FR"/>
        </w:rPr>
        <w:t xml:space="preserve">Scientific Data 9: 351. </w:t>
      </w:r>
      <w:hyperlink r:id="rId418" w:tgtFrame="_blank" w:history="1">
        <w:r w:rsidRPr="00ED7E61">
          <w:rPr>
            <w:rStyle w:val="normaltextrun"/>
            <w:rFonts w:asciiTheme="majorBidi" w:eastAsiaTheme="majorEastAsia" w:hAnsiTheme="majorBidi" w:cstheme="majorBidi"/>
            <w:color w:val="467886"/>
            <w:u w:val="single"/>
            <w:lang w:val="fr-FR"/>
          </w:rPr>
          <w:t>https://doi.org/10.1038/s41597-022-01425-z</w:t>
        </w:r>
      </w:hyperlink>
      <w:r w:rsidRPr="00ED7E61">
        <w:rPr>
          <w:rStyle w:val="normaltextrun"/>
          <w:rFonts w:asciiTheme="majorBidi" w:eastAsiaTheme="majorEastAsia" w:hAnsiTheme="majorBidi" w:cstheme="majorBidi"/>
          <w:lang w:val="fr-FR"/>
        </w:rPr>
        <w:t>.</w:t>
      </w:r>
      <w:r w:rsidRPr="00ED7E61">
        <w:rPr>
          <w:rStyle w:val="eop"/>
          <w:rFonts w:asciiTheme="majorBidi" w:eastAsiaTheme="majorEastAsia" w:hAnsiTheme="majorBidi" w:cstheme="majorBidi"/>
          <w:lang w:val="fr-FR"/>
        </w:rPr>
        <w:t> </w:t>
      </w:r>
    </w:p>
    <w:p w14:paraId="3AC06FED" w14:textId="3864D078" w:rsidR="001641F8" w:rsidRPr="00ED7E61" w:rsidRDefault="00756F0F" w:rsidP="0004367E">
      <w:pPr>
        <w:pStyle w:val="CBDNormalNumber"/>
        <w:numPr>
          <w:ilvl w:val="0"/>
          <w:numId w:val="0"/>
        </w:numPr>
        <w:ind w:left="567"/>
        <w:rPr>
          <w:rFonts w:asciiTheme="majorBidi" w:hAnsiTheme="majorBidi" w:cstheme="majorBidi"/>
          <w:lang w:val="fr-FR"/>
        </w:rPr>
      </w:pPr>
      <w:r w:rsidRPr="009E462F">
        <w:rPr>
          <w:rStyle w:val="normaltextrun"/>
          <w:rFonts w:asciiTheme="majorBidi" w:eastAsiaTheme="majorEastAsia" w:hAnsiTheme="majorBidi" w:cstheme="majorBidi"/>
          <w:lang w:val="fr-FR"/>
        </w:rPr>
        <w:t xml:space="preserve">LEVERINGTON, F. et al. </w:t>
      </w:r>
      <w:r w:rsidRPr="00ED7E61">
        <w:rPr>
          <w:rStyle w:val="normaltextrun"/>
          <w:rFonts w:asciiTheme="majorBidi" w:eastAsiaTheme="majorEastAsia" w:hAnsiTheme="majorBidi" w:cstheme="majorBidi"/>
          <w:lang w:val="en-CA"/>
        </w:rPr>
        <w:t xml:space="preserve">(2010). </w:t>
      </w:r>
      <w:r w:rsidRPr="00ED7E61">
        <w:rPr>
          <w:rStyle w:val="normaltextrun"/>
          <w:rFonts w:asciiTheme="majorBidi" w:eastAsiaTheme="majorEastAsia" w:hAnsiTheme="majorBidi" w:cstheme="majorBidi"/>
        </w:rPr>
        <w:t xml:space="preserve">A global analysis of protected area management effectiveness. </w:t>
      </w:r>
      <w:r w:rsidRPr="00ED7E61">
        <w:rPr>
          <w:rStyle w:val="normaltextrun"/>
          <w:rFonts w:asciiTheme="majorBidi" w:eastAsiaTheme="majorEastAsia" w:hAnsiTheme="majorBidi" w:cstheme="majorBidi"/>
          <w:lang w:val="fr-FR"/>
        </w:rPr>
        <w:t xml:space="preserve">Environmental Management 46: 685–698. Available from </w:t>
      </w:r>
      <w:hyperlink r:id="rId419" w:anchor="page-1" w:tgtFrame="_blank" w:history="1">
        <w:r w:rsidRPr="00ED7E61">
          <w:rPr>
            <w:rStyle w:val="normaltextrun"/>
            <w:rFonts w:asciiTheme="majorBidi" w:eastAsiaTheme="majorEastAsia" w:hAnsiTheme="majorBidi" w:cstheme="majorBidi"/>
            <w:color w:val="0000FF"/>
            <w:u w:val="single"/>
            <w:lang w:val="fr-FR"/>
          </w:rPr>
          <w:t>http://link.springer.com/article/10.1007/s00267-010-9564-5#page-1</w:t>
        </w:r>
      </w:hyperlink>
      <w:r w:rsidRPr="00ED7E61">
        <w:rPr>
          <w:rStyle w:val="normaltextrun"/>
          <w:rFonts w:asciiTheme="majorBidi" w:eastAsiaTheme="majorEastAsia" w:hAnsiTheme="majorBidi" w:cstheme="majorBidi"/>
          <w:lang w:val="fr-FR"/>
        </w:rPr>
        <w:t>  </w:t>
      </w:r>
      <w:r w:rsidRPr="00ED7E61">
        <w:rPr>
          <w:rStyle w:val="eop"/>
          <w:rFonts w:asciiTheme="majorBidi" w:eastAsiaTheme="majorEastAsia" w:hAnsiTheme="majorBidi" w:cstheme="majorBidi"/>
          <w:lang w:val="fr-FR"/>
        </w:rPr>
        <w:t> </w:t>
      </w:r>
    </w:p>
    <w:p w14:paraId="7CFBCADB" w14:textId="686A1435" w:rsidR="001641F8" w:rsidRPr="00ED7E61" w:rsidRDefault="00756F0F" w:rsidP="0004367E">
      <w:pPr>
        <w:pStyle w:val="CBDNormalNumber"/>
        <w:numPr>
          <w:ilvl w:val="0"/>
          <w:numId w:val="0"/>
        </w:numPr>
        <w:ind w:left="567"/>
        <w:rPr>
          <w:rFonts w:asciiTheme="majorBidi" w:hAnsiTheme="majorBidi" w:cstheme="majorBidi"/>
          <w:lang w:val="fr-FR"/>
        </w:rPr>
      </w:pPr>
      <w:r w:rsidRPr="00ED7E61">
        <w:rPr>
          <w:rStyle w:val="normaltextrun"/>
          <w:rFonts w:asciiTheme="majorBidi" w:eastAsiaTheme="majorEastAsia" w:hAnsiTheme="majorBidi" w:cstheme="majorBidi"/>
        </w:rPr>
        <w:t xml:space="preserve">LINKE, S. et al. (2019). Global hydro-environmental sub-basin and river reach characteristics at high spatial resolution. </w:t>
      </w:r>
      <w:r w:rsidRPr="00ED7E61">
        <w:rPr>
          <w:rStyle w:val="normaltextrun"/>
          <w:rFonts w:asciiTheme="majorBidi" w:eastAsiaTheme="majorEastAsia" w:hAnsiTheme="majorBidi" w:cstheme="majorBidi"/>
          <w:lang w:val="fr-FR"/>
        </w:rPr>
        <w:t xml:space="preserve">Scientific Data 6: 283. </w:t>
      </w:r>
      <w:hyperlink r:id="rId420" w:tgtFrame="_blank" w:history="1">
        <w:r w:rsidRPr="00ED7E61">
          <w:rPr>
            <w:rStyle w:val="normaltextrun"/>
            <w:rFonts w:asciiTheme="majorBidi" w:eastAsiaTheme="majorEastAsia" w:hAnsiTheme="majorBidi" w:cstheme="majorBidi"/>
            <w:color w:val="467886"/>
            <w:u w:val="single"/>
            <w:lang w:val="fr-FR"/>
          </w:rPr>
          <w:t>https://doi.org/10.1038/s41597-019-0300-6</w:t>
        </w:r>
      </w:hyperlink>
      <w:r w:rsidRPr="00ED7E61">
        <w:rPr>
          <w:rStyle w:val="normaltextrun"/>
          <w:rFonts w:asciiTheme="majorBidi" w:eastAsiaTheme="majorEastAsia" w:hAnsiTheme="majorBidi" w:cstheme="majorBidi"/>
          <w:lang w:val="fr-FR"/>
        </w:rPr>
        <w:t>.</w:t>
      </w:r>
      <w:r w:rsidRPr="00ED7E61">
        <w:rPr>
          <w:rStyle w:val="eop"/>
          <w:rFonts w:asciiTheme="majorBidi" w:eastAsiaTheme="majorEastAsia" w:hAnsiTheme="majorBidi" w:cstheme="majorBidi"/>
          <w:lang w:val="fr-FR"/>
        </w:rPr>
        <w:t> </w:t>
      </w:r>
    </w:p>
    <w:p w14:paraId="5B11F75A" w14:textId="4F5CDFD2"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fr-FR"/>
        </w:rPr>
        <w:t xml:space="preserve">MONTESINO POUZOLS, F., et al. </w:t>
      </w:r>
      <w:r w:rsidRPr="00ED7E61">
        <w:rPr>
          <w:rStyle w:val="normaltextrun"/>
          <w:rFonts w:asciiTheme="majorBidi" w:eastAsiaTheme="majorEastAsia" w:hAnsiTheme="majorBidi" w:cstheme="majorBidi"/>
        </w:rPr>
        <w:t xml:space="preserve">(2014) Global protected area expansion is compromised by projected land-use and parochialism. Nature 516: 383–386. Available from </w:t>
      </w:r>
      <w:hyperlink r:id="rId421" w:tgtFrame="_blank" w:history="1">
        <w:r w:rsidRPr="00ED7E61">
          <w:rPr>
            <w:rStyle w:val="normaltextrun"/>
            <w:rFonts w:asciiTheme="majorBidi" w:eastAsiaTheme="majorEastAsia" w:hAnsiTheme="majorBidi" w:cstheme="majorBidi"/>
            <w:color w:val="0000FF"/>
            <w:u w:val="single"/>
          </w:rPr>
          <w:t>http://www.nature.com/nature/journal/v516/n7531/abs/nature14032.html</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221F6F32" w14:textId="2FF1D936"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NOLTE, C. &amp; AGRAWAL, A. (2013). Linking management effectiveness indicators to observed effects of protected areas on fire occurrence in the Amazon rainforest. Conservation Biology 27: 155–165. Available from </w:t>
      </w:r>
      <w:hyperlink r:id="rId422" w:tgtFrame="_blank" w:history="1">
        <w:r w:rsidRPr="00ED7E61">
          <w:rPr>
            <w:rStyle w:val="normaltextrun"/>
            <w:rFonts w:asciiTheme="majorBidi" w:eastAsiaTheme="majorEastAsia" w:hAnsiTheme="majorBidi" w:cstheme="majorBidi"/>
            <w:color w:val="0000FF"/>
            <w:u w:val="single"/>
          </w:rPr>
          <w:t>http://onlinelibrary.wiley.com/doi/10.1111/j.1523-1739.2012.01930.x/abstract</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79E7B13F" w14:textId="41C354EF"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PLUMPTRE, A. et al. </w:t>
      </w:r>
      <w:r w:rsidRPr="00ED7E61">
        <w:rPr>
          <w:rStyle w:val="normaltextrun"/>
          <w:rFonts w:asciiTheme="majorBidi" w:eastAsiaTheme="majorEastAsia" w:hAnsiTheme="majorBidi" w:cstheme="majorBidi"/>
          <w:lang w:val="en-AU"/>
        </w:rPr>
        <w:t xml:space="preserve">(2024) Targeting site conservation to achieve new global biodiversity goals. </w:t>
      </w:r>
      <w:r w:rsidRPr="00ED7E61">
        <w:rPr>
          <w:rStyle w:val="normaltextrun"/>
          <w:rFonts w:asciiTheme="majorBidi" w:eastAsiaTheme="majorEastAsia" w:hAnsiTheme="majorBidi" w:cstheme="majorBidi"/>
          <w:i/>
          <w:iCs/>
          <w:lang w:val="en-AU"/>
        </w:rPr>
        <w:t xml:space="preserve">One Earth </w:t>
      </w:r>
      <w:r w:rsidRPr="00ED7E61">
        <w:rPr>
          <w:rStyle w:val="normaltextrun"/>
          <w:rFonts w:asciiTheme="majorBidi" w:eastAsiaTheme="majorEastAsia" w:hAnsiTheme="majorBidi" w:cstheme="majorBidi"/>
          <w:lang w:val="en-AU"/>
        </w:rPr>
        <w:t>(in press).</w:t>
      </w:r>
      <w:r w:rsidRPr="00ED7E61">
        <w:rPr>
          <w:rStyle w:val="eop"/>
          <w:rFonts w:asciiTheme="majorBidi" w:eastAsiaTheme="majorEastAsia" w:hAnsiTheme="majorBidi" w:cstheme="majorBidi"/>
        </w:rPr>
        <w:t> </w:t>
      </w:r>
    </w:p>
    <w:p w14:paraId="274A58CC" w14:textId="118A8E5A" w:rsidR="001641F8" w:rsidRPr="00ED7E61" w:rsidRDefault="00756F0F" w:rsidP="0004367E">
      <w:pPr>
        <w:pStyle w:val="CBDNormalNumber"/>
        <w:numPr>
          <w:ilvl w:val="0"/>
          <w:numId w:val="0"/>
        </w:numPr>
        <w:ind w:left="567"/>
        <w:rPr>
          <w:rFonts w:asciiTheme="majorBidi" w:hAnsiTheme="majorBidi" w:cstheme="majorBidi"/>
        </w:rPr>
      </w:pPr>
      <w:r w:rsidRPr="009E462F">
        <w:rPr>
          <w:rStyle w:val="normaltextrun"/>
          <w:rFonts w:asciiTheme="majorBidi" w:eastAsiaTheme="majorEastAsia" w:hAnsiTheme="majorBidi" w:cstheme="majorBidi"/>
          <w:lang w:val="en-US"/>
        </w:rPr>
        <w:t xml:space="preserve">PAIN, D.J. et al. </w:t>
      </w:r>
      <w:r w:rsidRPr="00ED7E61">
        <w:rPr>
          <w:rStyle w:val="normaltextrun"/>
          <w:rFonts w:asciiTheme="majorBidi" w:eastAsiaTheme="majorEastAsia" w:hAnsiTheme="majorBidi" w:cstheme="majorBidi"/>
        </w:rPr>
        <w:t xml:space="preserve">(2005) Biodiversity representation in Uganda’s forest IBAs. Biological Conservation 125: 133–138. Available from </w:t>
      </w:r>
      <w:hyperlink r:id="rId423" w:tgtFrame="_blank" w:history="1">
        <w:r w:rsidRPr="00ED7E61">
          <w:rPr>
            <w:rStyle w:val="normaltextrun"/>
            <w:rFonts w:asciiTheme="majorBidi" w:eastAsiaTheme="majorEastAsia" w:hAnsiTheme="majorBidi" w:cstheme="majorBidi"/>
            <w:color w:val="0000FF"/>
            <w:u w:val="single"/>
          </w:rPr>
          <w:t>http://www.sciencedirect.com/science/article/pii/S0006320705001412</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7DB3FB81" w14:textId="178147D1" w:rsidR="001641F8" w:rsidRPr="00ED7E61" w:rsidRDefault="00756F0F" w:rsidP="0004367E">
      <w:pPr>
        <w:pStyle w:val="CBDNormalNumber"/>
        <w:numPr>
          <w:ilvl w:val="0"/>
          <w:numId w:val="0"/>
        </w:numPr>
        <w:ind w:left="567"/>
        <w:rPr>
          <w:rFonts w:asciiTheme="majorBidi" w:hAnsiTheme="majorBidi" w:cstheme="majorBidi"/>
          <w:lang w:val="fr-FR"/>
        </w:rPr>
      </w:pPr>
      <w:r w:rsidRPr="00ED7E61">
        <w:rPr>
          <w:rStyle w:val="normaltextrun"/>
          <w:rFonts w:asciiTheme="majorBidi" w:eastAsiaTheme="majorEastAsia" w:hAnsiTheme="majorBidi" w:cstheme="majorBidi"/>
        </w:rPr>
        <w:t xml:space="preserve">RICKETTS, T. H. et al. (2005). Pinpointing and preventing imminent extinctions. Proceedings of the National Academy of Sciences of the U.S.A. 102: 18497–18501. </w:t>
      </w:r>
      <w:r w:rsidRPr="00ED7E61">
        <w:rPr>
          <w:rStyle w:val="normaltextrun"/>
          <w:rFonts w:asciiTheme="majorBidi" w:eastAsiaTheme="majorEastAsia" w:hAnsiTheme="majorBidi" w:cstheme="majorBidi"/>
          <w:lang w:val="fr-FR"/>
        </w:rPr>
        <w:t xml:space="preserve">Available from </w:t>
      </w:r>
      <w:hyperlink r:id="rId424" w:tgtFrame="_blank" w:history="1">
        <w:r w:rsidRPr="00ED7E61">
          <w:rPr>
            <w:rStyle w:val="normaltextrun"/>
            <w:rFonts w:asciiTheme="majorBidi" w:eastAsiaTheme="majorEastAsia" w:hAnsiTheme="majorBidi" w:cstheme="majorBidi"/>
            <w:color w:val="0000FF"/>
            <w:u w:val="single"/>
            <w:lang w:val="fr-FR"/>
          </w:rPr>
          <w:t>http://www.pnas.org/content/102/51/18497.short</w:t>
        </w:r>
      </w:hyperlink>
      <w:r w:rsidRPr="00ED7E61">
        <w:rPr>
          <w:rStyle w:val="normaltextrun"/>
          <w:rFonts w:asciiTheme="majorBidi" w:eastAsiaTheme="majorEastAsia" w:hAnsiTheme="majorBidi" w:cstheme="majorBidi"/>
          <w:lang w:val="fr-FR"/>
        </w:rPr>
        <w:t>.  </w:t>
      </w:r>
      <w:r w:rsidRPr="00ED7E61">
        <w:rPr>
          <w:rStyle w:val="eop"/>
          <w:rFonts w:asciiTheme="majorBidi" w:eastAsiaTheme="majorEastAsia" w:hAnsiTheme="majorBidi" w:cstheme="majorBidi"/>
          <w:lang w:val="fr-FR"/>
        </w:rPr>
        <w:t> </w:t>
      </w:r>
    </w:p>
    <w:p w14:paraId="3FB34CE2" w14:textId="7EF95BA6" w:rsidR="001641F8" w:rsidRPr="00ED7E61" w:rsidRDefault="00756F0F" w:rsidP="0004367E">
      <w:pPr>
        <w:pStyle w:val="CBDNormalNumber"/>
        <w:numPr>
          <w:ilvl w:val="0"/>
          <w:numId w:val="0"/>
        </w:numPr>
        <w:ind w:left="567"/>
        <w:rPr>
          <w:rFonts w:asciiTheme="majorBidi" w:hAnsiTheme="majorBidi" w:cstheme="majorBidi"/>
          <w:lang w:val="fr-FR"/>
        </w:rPr>
      </w:pPr>
      <w:r w:rsidRPr="000A273E">
        <w:rPr>
          <w:rStyle w:val="normaltextrun"/>
          <w:rFonts w:asciiTheme="majorBidi" w:eastAsiaTheme="majorEastAsia" w:hAnsiTheme="majorBidi" w:cstheme="majorBidi"/>
          <w:lang w:val="fr-FR"/>
        </w:rPr>
        <w:t xml:space="preserve">RODRIGUES, A. S. L. et al. </w:t>
      </w:r>
      <w:r w:rsidRPr="00ED7E61">
        <w:rPr>
          <w:rStyle w:val="normaltextrun"/>
          <w:rFonts w:asciiTheme="majorBidi" w:eastAsiaTheme="majorEastAsia" w:hAnsiTheme="majorBidi" w:cstheme="majorBidi"/>
          <w:lang w:val="en-CA"/>
        </w:rPr>
        <w:t xml:space="preserve">(2004). </w:t>
      </w:r>
      <w:r w:rsidRPr="00ED7E61">
        <w:rPr>
          <w:rStyle w:val="normaltextrun"/>
          <w:rFonts w:asciiTheme="majorBidi" w:eastAsiaTheme="majorEastAsia" w:hAnsiTheme="majorBidi" w:cstheme="majorBidi"/>
        </w:rPr>
        <w:t xml:space="preserve">Effectiveness of the global protected area network in representing species diversity. </w:t>
      </w:r>
      <w:r w:rsidRPr="00ED7E61">
        <w:rPr>
          <w:rStyle w:val="normaltextrun"/>
          <w:rFonts w:asciiTheme="majorBidi" w:eastAsiaTheme="majorEastAsia" w:hAnsiTheme="majorBidi" w:cstheme="majorBidi"/>
          <w:lang w:val="fr-FR"/>
        </w:rPr>
        <w:t xml:space="preserve">Nature 428: 640–643. Available from </w:t>
      </w:r>
      <w:hyperlink r:id="rId425" w:tgtFrame="_blank" w:history="1">
        <w:r w:rsidRPr="00ED7E61">
          <w:rPr>
            <w:rStyle w:val="normaltextrun"/>
            <w:rFonts w:asciiTheme="majorBidi" w:eastAsiaTheme="majorEastAsia" w:hAnsiTheme="majorBidi" w:cstheme="majorBidi"/>
            <w:color w:val="0000FF"/>
            <w:u w:val="single"/>
            <w:lang w:val="fr-FR"/>
          </w:rPr>
          <w:t>http://www.nature.com/nature/journal/v428/n6983/abs/nature02422.html</w:t>
        </w:r>
      </w:hyperlink>
      <w:r w:rsidRPr="00ED7E61">
        <w:rPr>
          <w:rStyle w:val="normaltextrun"/>
          <w:rFonts w:asciiTheme="majorBidi" w:eastAsiaTheme="majorEastAsia" w:hAnsiTheme="majorBidi" w:cstheme="majorBidi"/>
          <w:lang w:val="fr-FR"/>
        </w:rPr>
        <w:t>.  </w:t>
      </w:r>
      <w:r w:rsidRPr="00ED7E61">
        <w:rPr>
          <w:rStyle w:val="eop"/>
          <w:rFonts w:asciiTheme="majorBidi" w:eastAsiaTheme="majorEastAsia" w:hAnsiTheme="majorBidi" w:cstheme="majorBidi"/>
          <w:lang w:val="fr-FR"/>
        </w:rPr>
        <w:t> </w:t>
      </w:r>
    </w:p>
    <w:p w14:paraId="29E8B62F" w14:textId="386AE52B"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es-ES"/>
        </w:rPr>
        <w:t xml:space="preserve">RODRÍGUEZ-RODRÍGUEZ, D., et al. </w:t>
      </w:r>
      <w:r w:rsidRPr="00ED7E61">
        <w:rPr>
          <w:rStyle w:val="normaltextrun"/>
          <w:rFonts w:asciiTheme="majorBidi" w:eastAsiaTheme="majorEastAsia" w:hAnsiTheme="majorBidi" w:cstheme="majorBidi"/>
        </w:rPr>
        <w:t xml:space="preserve">(2011). Progress towards international targets for protected area coverage in mountains: a multi-scale assessment. Biological Conservation 144: 2978–2983. Available from </w:t>
      </w:r>
      <w:hyperlink r:id="rId426" w:tgtFrame="_blank" w:history="1">
        <w:r w:rsidRPr="00ED7E61">
          <w:rPr>
            <w:rStyle w:val="normaltextrun"/>
            <w:rFonts w:asciiTheme="majorBidi" w:eastAsiaTheme="majorEastAsia" w:hAnsiTheme="majorBidi" w:cstheme="majorBidi"/>
            <w:color w:val="0000FF"/>
            <w:u w:val="single"/>
          </w:rPr>
          <w:t>http://www.sciencedirect.com/science/article/pii/S0006320711003454</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3A8AEDE4" w14:textId="66A98473" w:rsidR="001641F8" w:rsidRPr="009E462F" w:rsidRDefault="00756F0F" w:rsidP="0004367E">
      <w:pPr>
        <w:pStyle w:val="CBDNormalNumber"/>
        <w:numPr>
          <w:ilvl w:val="0"/>
          <w:numId w:val="0"/>
        </w:numPr>
        <w:ind w:left="567"/>
        <w:rPr>
          <w:rFonts w:asciiTheme="majorBidi" w:hAnsiTheme="majorBidi" w:cstheme="majorBidi"/>
          <w:lang w:val="fr-FR"/>
        </w:rPr>
      </w:pPr>
      <w:r w:rsidRPr="00ED7E61">
        <w:rPr>
          <w:rStyle w:val="normaltextrun"/>
          <w:rFonts w:asciiTheme="majorBidi" w:eastAsiaTheme="majorEastAsia" w:hAnsiTheme="majorBidi" w:cstheme="majorBidi"/>
          <w:lang w:val="fr-FR"/>
        </w:rPr>
        <w:t xml:space="preserve">SIMKINS, A.T., PEARMAIN, E.J., &amp; DIAS, M.P. (2020). </w:t>
      </w:r>
      <w:r w:rsidRPr="00ED7E61">
        <w:rPr>
          <w:rStyle w:val="normaltextrun"/>
          <w:rFonts w:asciiTheme="majorBidi" w:eastAsiaTheme="majorEastAsia" w:hAnsiTheme="majorBidi" w:cstheme="majorBidi"/>
        </w:rPr>
        <w:t xml:space="preserve">Code (and documentation) for calculating the protected area coverage of Key Biodiversity Areas. </w:t>
      </w:r>
      <w:hyperlink r:id="rId427" w:tgtFrame="_blank" w:history="1">
        <w:r w:rsidRPr="009E462F">
          <w:rPr>
            <w:rStyle w:val="normaltextrun"/>
            <w:rFonts w:asciiTheme="majorBidi" w:eastAsiaTheme="majorEastAsia" w:hAnsiTheme="majorBidi" w:cstheme="majorBidi"/>
            <w:color w:val="0000FF"/>
            <w:u w:val="single"/>
            <w:lang w:val="fr-FR"/>
          </w:rPr>
          <w:t>https://github.com/BirdLifeInternational/kba-overlap</w:t>
        </w:r>
      </w:hyperlink>
      <w:r w:rsidRPr="009E462F">
        <w:rPr>
          <w:rStyle w:val="normaltextrun"/>
          <w:rFonts w:asciiTheme="majorBidi" w:eastAsiaTheme="majorEastAsia" w:hAnsiTheme="majorBidi" w:cstheme="majorBidi"/>
          <w:lang w:val="fr-FR"/>
        </w:rPr>
        <w:t>.  </w:t>
      </w:r>
    </w:p>
    <w:p w14:paraId="0B8C8FFF" w14:textId="6E3B0476" w:rsidR="001641F8" w:rsidRPr="00ED7E61" w:rsidRDefault="00756F0F" w:rsidP="0004367E">
      <w:pPr>
        <w:pStyle w:val="CBDNormalNumber"/>
        <w:numPr>
          <w:ilvl w:val="0"/>
          <w:numId w:val="0"/>
        </w:numPr>
        <w:ind w:left="567"/>
        <w:rPr>
          <w:rFonts w:asciiTheme="majorBidi" w:hAnsiTheme="majorBidi" w:cstheme="majorBidi"/>
          <w:lang w:val="fr-FR"/>
        </w:rPr>
      </w:pPr>
      <w:r w:rsidRPr="009E462F">
        <w:rPr>
          <w:rStyle w:val="normaltextrun"/>
          <w:rFonts w:asciiTheme="majorBidi" w:eastAsiaTheme="majorEastAsia" w:hAnsiTheme="majorBidi" w:cstheme="majorBidi"/>
          <w:lang w:val="fr-FR"/>
        </w:rPr>
        <w:t xml:space="preserve">SPALDING, M.D., et al. </w:t>
      </w:r>
      <w:r w:rsidRPr="00ED7E61">
        <w:rPr>
          <w:rStyle w:val="normaltextrun"/>
          <w:rFonts w:asciiTheme="majorBidi" w:eastAsiaTheme="majorEastAsia" w:hAnsiTheme="majorBidi" w:cstheme="majorBidi"/>
          <w:lang w:val="en-US"/>
        </w:rPr>
        <w:t xml:space="preserve">(2012). Pelagic provinces of the world: A biogeographic classification of the world’s surface pelagic waters. </w:t>
      </w:r>
      <w:r w:rsidRPr="00ED7E61">
        <w:rPr>
          <w:rStyle w:val="normaltextrun"/>
          <w:rFonts w:asciiTheme="majorBidi" w:eastAsiaTheme="majorEastAsia" w:hAnsiTheme="majorBidi" w:cstheme="majorBidi"/>
          <w:lang w:val="fr-FR"/>
        </w:rPr>
        <w:t xml:space="preserve">Ocean &amp; Coastal Management, 60: 19–30. </w:t>
      </w:r>
      <w:hyperlink r:id="rId428" w:tgtFrame="_blank" w:history="1">
        <w:r w:rsidRPr="00ED7E61">
          <w:rPr>
            <w:rStyle w:val="normaltextrun"/>
            <w:rFonts w:asciiTheme="majorBidi" w:eastAsiaTheme="majorEastAsia" w:hAnsiTheme="majorBidi" w:cstheme="majorBidi"/>
            <w:color w:val="467886"/>
            <w:u w:val="single"/>
            <w:lang w:val="fr-FR"/>
          </w:rPr>
          <w:t>https://doi.org/10.1016/j.ocecoaman.2011.12.016</w:t>
        </w:r>
      </w:hyperlink>
      <w:r w:rsidRPr="00ED7E61">
        <w:rPr>
          <w:rStyle w:val="normaltextrun"/>
          <w:rFonts w:asciiTheme="majorBidi" w:eastAsiaTheme="majorEastAsia" w:hAnsiTheme="majorBidi" w:cstheme="majorBidi"/>
          <w:lang w:val="fr-FR"/>
        </w:rPr>
        <w:t> </w:t>
      </w:r>
      <w:r w:rsidRPr="00ED7E61">
        <w:rPr>
          <w:rStyle w:val="eop"/>
          <w:rFonts w:asciiTheme="majorBidi" w:eastAsiaTheme="majorEastAsia" w:hAnsiTheme="majorBidi" w:cstheme="majorBidi"/>
          <w:lang w:val="fr-FR"/>
        </w:rPr>
        <w:t> </w:t>
      </w:r>
    </w:p>
    <w:p w14:paraId="417016CB" w14:textId="00A09167" w:rsidR="001641F8" w:rsidRPr="00ED7E61" w:rsidRDefault="00756F0F" w:rsidP="0004367E">
      <w:pPr>
        <w:pStyle w:val="CBDNormalNumber"/>
        <w:numPr>
          <w:ilvl w:val="0"/>
          <w:numId w:val="0"/>
        </w:numPr>
        <w:ind w:left="567"/>
        <w:rPr>
          <w:rFonts w:asciiTheme="majorBidi" w:hAnsiTheme="majorBidi" w:cstheme="majorBidi"/>
        </w:rPr>
      </w:pPr>
      <w:r w:rsidRPr="009E462F">
        <w:rPr>
          <w:rStyle w:val="normaltextrun"/>
          <w:rFonts w:asciiTheme="majorBidi" w:eastAsiaTheme="majorEastAsia" w:hAnsiTheme="majorBidi" w:cstheme="majorBidi"/>
          <w:lang w:val="fr-FR"/>
        </w:rPr>
        <w:t xml:space="preserve">SPALDING, M.D., et al. </w:t>
      </w:r>
      <w:r w:rsidRPr="00ED7E61">
        <w:rPr>
          <w:rStyle w:val="normaltextrun"/>
          <w:rFonts w:asciiTheme="majorBidi" w:eastAsiaTheme="majorEastAsia" w:hAnsiTheme="majorBidi" w:cstheme="majorBidi"/>
          <w:lang w:val="en-US"/>
        </w:rPr>
        <w:t xml:space="preserve">(2007). Marine Ecoregions of the World: A Bioregionalization of Coastal and Shelf Areas. BioScience, 57(7): 573–583. </w:t>
      </w:r>
      <w:hyperlink r:id="rId429" w:tgtFrame="_blank" w:history="1">
        <w:r w:rsidRPr="00ED7E61">
          <w:rPr>
            <w:rStyle w:val="normaltextrun"/>
            <w:rFonts w:asciiTheme="majorBidi" w:eastAsiaTheme="majorEastAsia" w:hAnsiTheme="majorBidi" w:cstheme="majorBidi"/>
            <w:color w:val="467886"/>
            <w:u w:val="single"/>
            <w:lang w:val="en-US"/>
          </w:rPr>
          <w:t>https://doi.org/10.1641/B570707</w:t>
        </w:r>
      </w:hyperlink>
      <w:r w:rsidRPr="00ED7E61">
        <w:rPr>
          <w:rStyle w:val="normaltextrun"/>
          <w:rFonts w:asciiTheme="majorBidi" w:eastAsiaTheme="majorEastAsia" w:hAnsiTheme="majorBidi" w:cstheme="majorBidi"/>
          <w:lang w:val="en-US"/>
        </w:rPr>
        <w:t> </w:t>
      </w:r>
      <w:r w:rsidRPr="00ED7E61">
        <w:rPr>
          <w:rStyle w:val="eop"/>
          <w:rFonts w:asciiTheme="majorBidi" w:eastAsiaTheme="majorEastAsia" w:hAnsiTheme="majorBidi" w:cstheme="majorBidi"/>
        </w:rPr>
        <w:t> </w:t>
      </w:r>
    </w:p>
    <w:p w14:paraId="5A1D6298" w14:textId="075AF6CE"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en-US"/>
        </w:rPr>
        <w:t xml:space="preserve">TITTENSOR, D. et al. </w:t>
      </w:r>
      <w:r w:rsidRPr="00ED7E61">
        <w:rPr>
          <w:rStyle w:val="normaltextrun"/>
          <w:rFonts w:asciiTheme="majorBidi" w:eastAsiaTheme="majorEastAsia" w:hAnsiTheme="majorBidi" w:cstheme="majorBidi"/>
        </w:rPr>
        <w:t xml:space="preserve">(2014). A mid-term analysis of progress towards international biodiversity targets. Science 346: 241–244. Available from </w:t>
      </w:r>
      <w:hyperlink r:id="rId430" w:tgtFrame="_blank" w:history="1">
        <w:r w:rsidRPr="00ED7E61">
          <w:rPr>
            <w:rStyle w:val="normaltextrun"/>
            <w:rFonts w:asciiTheme="majorBidi" w:eastAsiaTheme="majorEastAsia" w:hAnsiTheme="majorBidi" w:cstheme="majorBidi"/>
            <w:color w:val="0000FF"/>
            <w:u w:val="single"/>
          </w:rPr>
          <w:t>http://www.sciencemag.org/content/346/6206/241.short</w:t>
        </w:r>
      </w:hyperlink>
      <w:r w:rsidRPr="00ED7E61">
        <w:rPr>
          <w:rStyle w:val="normaltextrun"/>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702F0168" w14:textId="7EFB9E52"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UN Economic and Social Council (1959). </w:t>
      </w:r>
      <w:r w:rsidRPr="00ED7E61">
        <w:rPr>
          <w:rStyle w:val="normaltextrun"/>
          <w:rFonts w:asciiTheme="majorBidi" w:eastAsiaTheme="majorEastAsia" w:hAnsiTheme="majorBidi" w:cstheme="majorBidi"/>
          <w:i/>
          <w:iCs/>
          <w:color w:val="111827"/>
          <w:lang w:val="en-US"/>
        </w:rPr>
        <w:t>Establishment by the Secretary-General of the United Nations of a list of national parks and equivalent reserves.</w:t>
      </w:r>
      <w:r w:rsidRPr="00ED7E61">
        <w:rPr>
          <w:rStyle w:val="normaltextrun"/>
          <w:rFonts w:asciiTheme="majorBidi" w:eastAsiaTheme="majorEastAsia" w:hAnsiTheme="majorBidi" w:cstheme="majorBidi"/>
          <w:color w:val="111827"/>
          <w:lang w:val="en-US"/>
        </w:rPr>
        <w:t xml:space="preserve"> </w:t>
      </w:r>
      <w:r w:rsidRPr="00ED7E61">
        <w:rPr>
          <w:rStyle w:val="normaltextrun"/>
          <w:rFonts w:asciiTheme="majorBidi" w:eastAsiaTheme="majorEastAsia" w:hAnsiTheme="majorBidi" w:cstheme="majorBidi"/>
          <w:color w:val="111827"/>
          <w:shd w:val="clear" w:color="auto" w:fill="FFFFFF"/>
        </w:rPr>
        <w:t>E/RES/713(XXVII). Mexico City. </w:t>
      </w:r>
      <w:r w:rsidRPr="00ED7E61">
        <w:rPr>
          <w:rStyle w:val="eop"/>
          <w:rFonts w:asciiTheme="majorBidi" w:eastAsiaTheme="majorEastAsia" w:hAnsiTheme="majorBidi" w:cstheme="majorBidi"/>
          <w:color w:val="111827"/>
        </w:rPr>
        <w:t> </w:t>
      </w:r>
    </w:p>
    <w:p w14:paraId="34E8DE9D" w14:textId="1CC49DC0"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UNEP-WCMC (2019). World Database on Protected Areas User Manual 1.6. UNEP-WCMC, Cambridge, UK. Available from </w:t>
      </w:r>
      <w:hyperlink r:id="rId431" w:tgtFrame="_blank" w:history="1">
        <w:r w:rsidRPr="00ED7E61">
          <w:rPr>
            <w:rStyle w:val="normaltextrun"/>
            <w:rFonts w:asciiTheme="majorBidi" w:eastAsiaTheme="majorEastAsia" w:hAnsiTheme="majorBidi" w:cstheme="majorBidi"/>
            <w:color w:val="0000FF"/>
            <w:u w:val="single"/>
          </w:rPr>
          <w:t>http://wcmc.io/WDPA_Manual</w:t>
        </w:r>
      </w:hyperlink>
      <w:r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0793F2BD" w14:textId="4A175516"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 xml:space="preserve">UNEP-WCMC &amp; IUCN (2023). The World Database on Protected Areas (WDPA). UNEP-WCMC, Cambridge, UK. Available from </w:t>
      </w:r>
      <w:hyperlink r:id="rId432" w:tgtFrame="_blank" w:history="1">
        <w:r w:rsidRPr="00ED7E61">
          <w:rPr>
            <w:rStyle w:val="normaltextrun"/>
            <w:rFonts w:asciiTheme="majorBidi" w:eastAsiaTheme="majorEastAsia" w:hAnsiTheme="majorBidi" w:cstheme="majorBidi"/>
            <w:color w:val="0000FF"/>
            <w:u w:val="single"/>
          </w:rPr>
          <w:t>http://www.protectedplanet.net</w:t>
        </w:r>
      </w:hyperlink>
      <w:r w:rsidRPr="00ED7E61">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43DB2B39" w14:textId="4298E467"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en-AU"/>
        </w:rPr>
        <w:t xml:space="preserve">UNEP-WCMC, IUCN &amp; JNCC (2023). Monitoring </w:t>
      </w:r>
      <w:r w:rsidR="00ED3992">
        <w:rPr>
          <w:rStyle w:val="normaltextrun"/>
          <w:rFonts w:asciiTheme="majorBidi" w:eastAsiaTheme="majorEastAsia" w:hAnsiTheme="majorBidi" w:cstheme="majorBidi"/>
          <w:lang w:val="en-AU"/>
        </w:rPr>
        <w:t>“</w:t>
      </w:r>
      <w:r w:rsidRPr="00FB1598">
        <w:rPr>
          <w:rStyle w:val="normaltextrun"/>
          <w:rFonts w:asciiTheme="majorBidi" w:eastAsiaTheme="majorEastAsia" w:hAnsiTheme="majorBidi" w:cstheme="majorBidi"/>
          <w:i/>
          <w:iCs/>
          <w:lang w:val="en-AU"/>
        </w:rPr>
        <w:t>effectiveness</w:t>
      </w:r>
      <w:r w:rsidR="00ED3992">
        <w:rPr>
          <w:rStyle w:val="normaltextrun"/>
          <w:rFonts w:asciiTheme="majorBidi" w:eastAsiaTheme="majorEastAsia" w:hAnsiTheme="majorBidi" w:cstheme="majorBidi"/>
          <w:lang w:val="en-AU"/>
        </w:rPr>
        <w:t>”</w:t>
      </w:r>
      <w:r w:rsidRPr="00ED7E61">
        <w:rPr>
          <w:rStyle w:val="normaltextrun"/>
          <w:rFonts w:asciiTheme="majorBidi" w:eastAsiaTheme="majorEastAsia" w:hAnsiTheme="majorBidi" w:cstheme="majorBidi"/>
          <w:lang w:val="en-AU"/>
        </w:rPr>
        <w:t xml:space="preserve"> of areas contributing to Target 3. Available from: </w:t>
      </w:r>
      <w:hyperlink r:id="rId433" w:tgtFrame="_blank" w:history="1">
        <w:r w:rsidRPr="00ED7E61">
          <w:rPr>
            <w:rStyle w:val="normaltextrun"/>
            <w:rFonts w:asciiTheme="majorBidi" w:eastAsiaTheme="majorEastAsia" w:hAnsiTheme="majorBidi" w:cstheme="majorBidi"/>
            <w:color w:val="467886"/>
            <w:u w:val="single"/>
            <w:lang w:val="en-AU"/>
          </w:rPr>
          <w:t>https://wdpa.s3.eu-west-1.amazonaws.com/PAME/protectedplanet_draft_monitoring_effectiveness_approach.pdf</w:t>
        </w:r>
      </w:hyperlink>
      <w:r w:rsidRPr="00ED7E61">
        <w:rPr>
          <w:rStyle w:val="normaltextrun"/>
          <w:rFonts w:asciiTheme="majorBidi" w:eastAsiaTheme="majorEastAsia" w:hAnsiTheme="majorBidi" w:cstheme="majorBidi"/>
          <w:lang w:val="en-AU"/>
        </w:rPr>
        <w:t> </w:t>
      </w:r>
      <w:r w:rsidRPr="00ED7E61">
        <w:rPr>
          <w:rStyle w:val="eop"/>
          <w:rFonts w:asciiTheme="majorBidi" w:eastAsiaTheme="majorEastAsia" w:hAnsiTheme="majorBidi" w:cstheme="majorBidi"/>
        </w:rPr>
        <w:t> </w:t>
      </w:r>
    </w:p>
    <w:p w14:paraId="1D6A1321" w14:textId="4B4A55D7" w:rsidR="001641F8"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lang w:val="en-AU"/>
        </w:rPr>
        <w:t>VISCONTI, P., et al. (2013). “</w:t>
      </w:r>
      <w:r w:rsidRPr="00FB1598">
        <w:rPr>
          <w:rStyle w:val="normaltextrun"/>
          <w:rFonts w:asciiTheme="majorBidi" w:eastAsiaTheme="majorEastAsia" w:hAnsiTheme="majorBidi" w:cstheme="majorBidi"/>
          <w:i/>
          <w:iCs/>
          <w:lang w:val="en-AU"/>
        </w:rPr>
        <w:t>Effects of Errors and Gaps in Spatial Data Sets on Assessment of Conservation Progress</w:t>
      </w:r>
      <w:r w:rsidRPr="00ED7E61">
        <w:rPr>
          <w:rStyle w:val="normaltextrun"/>
          <w:rFonts w:asciiTheme="majorBidi" w:eastAsiaTheme="majorEastAsia" w:hAnsiTheme="majorBidi" w:cstheme="majorBidi"/>
          <w:lang w:val="en-AU"/>
        </w:rPr>
        <w:t>.” Conservation Biology, 27(5), pp. 1000–1010, https://doi.org/10.1111/cobi.12095. </w:t>
      </w:r>
      <w:r w:rsidRPr="00ED7E61">
        <w:rPr>
          <w:rStyle w:val="eop"/>
          <w:rFonts w:asciiTheme="majorBidi" w:eastAsiaTheme="majorEastAsia" w:hAnsiTheme="majorBidi" w:cstheme="majorBidi"/>
        </w:rPr>
        <w:t> </w:t>
      </w:r>
    </w:p>
    <w:p w14:paraId="01540A6F" w14:textId="77777777" w:rsidR="00756F0F" w:rsidRPr="00ED7E61" w:rsidRDefault="00756F0F" w:rsidP="0004367E">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shd w:val="clear" w:color="auto" w:fill="FFFFFF"/>
          <w:lang w:val="en-AU"/>
        </w:rPr>
        <w:t>VLIZ. (2014). Maritime Boundaries Geodatabase: Maritime Boundaries and Exclusive Economic Zones (200NM), version 11. Available online at https://www.marineregions.org/. </w:t>
      </w:r>
      <w:hyperlink r:id="rId434" w:tgtFrame="_blank" w:history="1">
        <w:r w:rsidRPr="00ED7E61">
          <w:rPr>
            <w:rStyle w:val="normaltextrun"/>
            <w:rFonts w:asciiTheme="majorBidi" w:eastAsiaTheme="majorEastAsia" w:hAnsiTheme="majorBidi" w:cstheme="majorBidi"/>
            <w:color w:val="467886"/>
            <w:u w:val="single"/>
            <w:shd w:val="clear" w:color="auto" w:fill="FFFFFF"/>
            <w:lang w:val="en-AU"/>
          </w:rPr>
          <w:t>https://doi.org/10.14284/386</w:t>
        </w:r>
      </w:hyperlink>
      <w:r w:rsidRPr="00ED7E61">
        <w:rPr>
          <w:rStyle w:val="eop"/>
          <w:rFonts w:asciiTheme="majorBidi" w:eastAsiaTheme="majorEastAsia" w:hAnsiTheme="majorBidi" w:cstheme="majorBidi"/>
        </w:rPr>
        <w:t> </w:t>
      </w:r>
    </w:p>
    <w:p w14:paraId="1020EB4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12. Graphs and diagrams</w:t>
      </w:r>
      <w:r w:rsidRPr="00ED7E61">
        <w:rPr>
          <w:rStyle w:val="eop"/>
          <w:rFonts w:asciiTheme="majorBidi" w:eastAsiaTheme="majorEastAsia" w:hAnsiTheme="majorBidi" w:cstheme="majorBidi"/>
          <w:sz w:val="22"/>
          <w:szCs w:val="22"/>
        </w:rPr>
        <w:t> </w:t>
      </w:r>
    </w:p>
    <w:p w14:paraId="4217B7F6" w14:textId="77777777" w:rsidR="00A4751A" w:rsidRPr="00A4751A" w:rsidRDefault="00756F0F" w:rsidP="0004367E">
      <w:pPr>
        <w:pStyle w:val="CBDNormalNumber"/>
        <w:numPr>
          <w:ilvl w:val="0"/>
          <w:numId w:val="0"/>
        </w:numPr>
        <w:ind w:left="567"/>
        <w:rPr>
          <w:rStyle w:val="eop"/>
          <w:rFonts w:asciiTheme="majorBidi" w:hAnsiTheme="majorBidi" w:cstheme="majorBidi"/>
          <w:sz w:val="24"/>
          <w:szCs w:val="24"/>
          <w:lang w:val="en-CA"/>
        </w:rPr>
      </w:pPr>
      <w:r w:rsidRPr="00ED7E61">
        <w:rPr>
          <w:rStyle w:val="normaltextrun"/>
          <w:rFonts w:asciiTheme="majorBidi" w:eastAsiaTheme="majorEastAsia" w:hAnsiTheme="majorBidi" w:cstheme="majorBidi"/>
          <w:shd w:val="clear" w:color="auto" w:fill="FFFFFF"/>
          <w:lang w:val="en-AU"/>
        </w:rPr>
        <w:t>N/A</w:t>
      </w:r>
      <w:r w:rsidRPr="00ED7E61">
        <w:rPr>
          <w:rStyle w:val="eop"/>
          <w:rFonts w:asciiTheme="majorBidi" w:eastAsiaTheme="majorEastAsia" w:hAnsiTheme="majorBidi" w:cstheme="majorBidi"/>
        </w:rPr>
        <w:t> </w:t>
      </w:r>
    </w:p>
    <w:p w14:paraId="66D03B7B" w14:textId="77777777" w:rsidR="00A4751A" w:rsidRDefault="00A4751A">
      <w:pPr>
        <w:rPr>
          <w:rFonts w:asciiTheme="majorBidi" w:eastAsia="SimSun" w:hAnsiTheme="majorBidi" w:cstheme="majorBidi"/>
          <w:sz w:val="22"/>
          <w:szCs w:val="22"/>
          <w:lang w:val="en-GB"/>
        </w:rPr>
      </w:pPr>
      <w:r>
        <w:rPr>
          <w:rFonts w:asciiTheme="majorBidi" w:hAnsiTheme="majorBidi" w:cstheme="majorBidi"/>
        </w:rPr>
        <w:br w:type="page"/>
      </w:r>
    </w:p>
    <w:p w14:paraId="4112C247" w14:textId="68B4CB96" w:rsidR="00A4751A" w:rsidRPr="00ED7E61" w:rsidRDefault="00A4751A" w:rsidP="00A4751A">
      <w:pPr>
        <w:pStyle w:val="Heading3"/>
      </w:pPr>
      <w:bookmarkStart w:id="45" w:name="_Toc178285858"/>
      <w:r w:rsidRPr="00ED7E61">
        <w:rPr>
          <w:rStyle w:val="normaltextrun"/>
        </w:rPr>
        <w:t xml:space="preserve">GBF indicator metadata: </w:t>
      </w:r>
      <w:r>
        <w:rPr>
          <w:rStyle w:val="normaltextrun"/>
        </w:rPr>
        <w:t>Target 4</w:t>
      </w:r>
      <w:bookmarkEnd w:id="45"/>
      <w:r>
        <w:rPr>
          <w:rStyle w:val="normaltextrun"/>
        </w:rPr>
        <w:t xml:space="preserve"> </w:t>
      </w:r>
    </w:p>
    <w:p w14:paraId="77ABA689" w14:textId="00580296" w:rsidR="00A4751A" w:rsidRPr="00FB1598" w:rsidRDefault="00A4751A" w:rsidP="0004367E">
      <w:pPr>
        <w:pStyle w:val="CBDNormalNumber"/>
        <w:numPr>
          <w:ilvl w:val="0"/>
          <w:numId w:val="0"/>
        </w:numPr>
        <w:ind w:left="567"/>
        <w:rPr>
          <w:rStyle w:val="normaltextrun"/>
          <w:rFonts w:asciiTheme="majorBidi" w:eastAsiaTheme="majorEastAsia" w:hAnsiTheme="majorBidi" w:cstheme="majorBidi"/>
          <w:b/>
          <w:sz w:val="28"/>
          <w:szCs w:val="28"/>
          <w:lang w:val="en-CA"/>
        </w:rPr>
      </w:pPr>
      <w:r>
        <w:rPr>
          <w:rStyle w:val="normaltextrun"/>
          <w:rFonts w:asciiTheme="majorBidi" w:eastAsiaTheme="majorEastAsia" w:hAnsiTheme="majorBidi" w:cstheme="majorBidi"/>
          <w:color w:val="467886"/>
          <w:u w:val="single"/>
          <w:lang w:val="en-AU"/>
        </w:rPr>
        <w:t xml:space="preserve">Note that the headline indicators for target 4 of the Kunming-Montreal Global Biodiversity Framework are headline indicators </w:t>
      </w:r>
      <w:r w:rsidRPr="00A4751A">
        <w:rPr>
          <w:rFonts w:asciiTheme="majorBidi" w:eastAsiaTheme="majorEastAsia" w:hAnsiTheme="majorBidi" w:cstheme="majorBidi"/>
          <w:color w:val="467886"/>
          <w:u w:val="single"/>
          <w:lang w:val="en-CA"/>
        </w:rPr>
        <w:t xml:space="preserve">A.3 </w:t>
      </w:r>
      <w:r w:rsidR="00670D5E">
        <w:rPr>
          <w:rFonts w:asciiTheme="majorBidi" w:eastAsiaTheme="majorEastAsia" w:hAnsiTheme="majorBidi" w:cstheme="majorBidi"/>
          <w:color w:val="467886"/>
          <w:u w:val="single"/>
          <w:lang w:val="en-CA"/>
        </w:rPr>
        <w:t>(</w:t>
      </w:r>
      <w:r w:rsidRPr="00A4751A">
        <w:rPr>
          <w:rFonts w:asciiTheme="majorBidi" w:eastAsiaTheme="majorEastAsia" w:hAnsiTheme="majorBidi" w:cstheme="majorBidi"/>
          <w:color w:val="467886"/>
          <w:u w:val="single"/>
          <w:lang w:val="en-CA"/>
        </w:rPr>
        <w:t xml:space="preserve">Red list Index (Sustainable Development Goal indicator 15.5.1) </w:t>
      </w:r>
      <w:r>
        <w:rPr>
          <w:rFonts w:asciiTheme="majorBidi" w:eastAsiaTheme="majorEastAsia" w:hAnsiTheme="majorBidi" w:cstheme="majorBidi"/>
          <w:color w:val="467886"/>
          <w:u w:val="single"/>
          <w:lang w:val="en-CA"/>
        </w:rPr>
        <w:t xml:space="preserve">and </w:t>
      </w:r>
      <w:r w:rsidRPr="00A4751A">
        <w:rPr>
          <w:rFonts w:asciiTheme="majorBidi" w:eastAsiaTheme="majorEastAsia" w:hAnsiTheme="majorBidi" w:cstheme="majorBidi"/>
          <w:color w:val="467886"/>
          <w:u w:val="single"/>
          <w:lang w:val="en-CA"/>
        </w:rPr>
        <w:t xml:space="preserve">A.4 </w:t>
      </w:r>
      <w:r w:rsidR="00670D5E">
        <w:rPr>
          <w:rFonts w:asciiTheme="majorBidi" w:eastAsiaTheme="majorEastAsia" w:hAnsiTheme="majorBidi" w:cstheme="majorBidi"/>
          <w:color w:val="467886"/>
          <w:u w:val="single"/>
          <w:lang w:val="en-CA"/>
        </w:rPr>
        <w:t>(</w:t>
      </w:r>
      <w:r w:rsidRPr="00A4751A">
        <w:rPr>
          <w:rFonts w:asciiTheme="majorBidi" w:eastAsiaTheme="majorEastAsia" w:hAnsiTheme="majorBidi" w:cstheme="majorBidi"/>
          <w:color w:val="467886"/>
          <w:u w:val="single"/>
          <w:lang w:val="en-CA"/>
        </w:rPr>
        <w:t>The proportion of populations within species with an effective population size greater than 500</w:t>
      </w:r>
      <w:r w:rsidR="00670D5E">
        <w:rPr>
          <w:rFonts w:asciiTheme="majorBidi" w:eastAsiaTheme="majorEastAsia" w:hAnsiTheme="majorBidi" w:cstheme="majorBidi"/>
          <w:color w:val="467886"/>
          <w:u w:val="single"/>
          <w:lang w:val="en-CA"/>
        </w:rPr>
        <w:t xml:space="preserve">). </w:t>
      </w:r>
    </w:p>
    <w:p w14:paraId="396765AA" w14:textId="4DC481F7" w:rsidR="00D311B8" w:rsidRPr="00ED7E61" w:rsidRDefault="00D311B8" w:rsidP="00FB1598">
      <w:pPr>
        <w:pStyle w:val="CBDNormalNumber"/>
        <w:rPr>
          <w:rFonts w:asciiTheme="majorBidi" w:hAnsiTheme="majorBidi" w:cstheme="majorBidi"/>
        </w:rPr>
      </w:pPr>
      <w:r w:rsidRPr="00ED7E61">
        <w:rPr>
          <w:rFonts w:asciiTheme="majorBidi" w:hAnsiTheme="majorBidi" w:cstheme="majorBidi"/>
        </w:rPr>
        <w:br w:type="page"/>
      </w:r>
    </w:p>
    <w:p w14:paraId="1D5224DB" w14:textId="41FF0D37" w:rsidR="00756F0F" w:rsidRPr="00ED7E61" w:rsidRDefault="00756F0F" w:rsidP="00965B3D">
      <w:pPr>
        <w:pStyle w:val="Heading3"/>
      </w:pPr>
      <w:bookmarkStart w:id="46" w:name="_Toc178285859"/>
      <w:r w:rsidRPr="00ED7E61">
        <w:rPr>
          <w:rStyle w:val="normaltextrun"/>
        </w:rPr>
        <w:t>GBF indicator metadata</w:t>
      </w:r>
      <w:r w:rsidR="002946B5" w:rsidRPr="00ED7E61">
        <w:rPr>
          <w:rStyle w:val="normaltextrun"/>
        </w:rPr>
        <w:t>: 5.1 Proportion of fish stocks within biologically sustainable levels</w:t>
      </w:r>
      <w:r w:rsidR="00A6636F" w:rsidRPr="00ED7E61">
        <w:rPr>
          <w:rStyle w:val="FootnoteReference"/>
        </w:rPr>
        <w:footnoteReference w:id="38"/>
      </w:r>
      <w:bookmarkEnd w:id="46"/>
    </w:p>
    <w:p w14:paraId="735CA7B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449B269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1. </w:t>
      </w:r>
      <w:r w:rsidRPr="00ED7E61">
        <w:rPr>
          <w:rStyle w:val="normaltextrun"/>
          <w:rFonts w:asciiTheme="majorBidi" w:eastAsiaTheme="majorEastAsia" w:hAnsiTheme="majorBidi" w:cstheme="majorBidi"/>
          <w:b/>
          <w:bCs/>
          <w:sz w:val="22"/>
          <w:szCs w:val="22"/>
          <w:lang w:val="en-GB"/>
        </w:rPr>
        <w:t>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0F246CA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shd w:val="clear" w:color="auto" w:fill="FFFFFF"/>
          <w:lang w:val="en-GB"/>
        </w:rPr>
        <w:t>5.1 Proportion of fish stocks within biologically sustainable levels</w:t>
      </w:r>
      <w:r w:rsidRPr="00ED7E61">
        <w:rPr>
          <w:rStyle w:val="eop"/>
          <w:rFonts w:asciiTheme="majorBidi" w:eastAsiaTheme="majorEastAsia" w:hAnsiTheme="majorBidi" w:cstheme="majorBidi"/>
          <w:sz w:val="22"/>
          <w:szCs w:val="22"/>
        </w:rPr>
        <w:t> </w:t>
      </w:r>
    </w:p>
    <w:p w14:paraId="03696843" w14:textId="77777777" w:rsidR="00756F0F" w:rsidRPr="00ED7E61" w:rsidRDefault="00756F0F" w:rsidP="0004367E">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7AA9DF7F" w14:textId="7B263A74" w:rsidR="00775978" w:rsidRPr="00ED7E61" w:rsidRDefault="006B30FE" w:rsidP="00395866">
      <w:pPr>
        <w:pStyle w:val="paragraph"/>
        <w:spacing w:before="0" w:beforeAutospacing="0" w:after="0" w:afterAutospacing="0"/>
        <w:textAlignment w:val="baseline"/>
        <w:rPr>
          <w:rStyle w:val="normaltextrun"/>
          <w:rFonts w:asciiTheme="majorBidi" w:eastAsiaTheme="majorEastAsia" w:hAnsiTheme="majorBidi" w:cstheme="majorBidi"/>
          <w:sz w:val="22"/>
          <w:szCs w:val="22"/>
          <w:lang w:val="en-GB"/>
        </w:rPr>
      </w:pPr>
      <w:r>
        <w:rPr>
          <w:rStyle w:val="normaltextrun"/>
          <w:rFonts w:asciiTheme="majorBidi" w:eastAsiaTheme="majorEastAsia" w:hAnsiTheme="majorBidi" w:cstheme="majorBidi"/>
          <w:sz w:val="22"/>
          <w:szCs w:val="22"/>
          <w:lang w:val="en-GB"/>
        </w:rPr>
        <w:t>September</w:t>
      </w:r>
      <w:r w:rsidRPr="00ED7E61">
        <w:rPr>
          <w:rStyle w:val="normaltextrun"/>
          <w:rFonts w:asciiTheme="majorBidi" w:eastAsiaTheme="majorEastAsia" w:hAnsiTheme="majorBidi" w:cstheme="majorBidi"/>
          <w:sz w:val="22"/>
          <w:szCs w:val="22"/>
          <w:lang w:val="en-GB"/>
        </w:rPr>
        <w:t xml:space="preserve"> </w:t>
      </w:r>
      <w:r w:rsidR="00775978" w:rsidRPr="00ED7E61">
        <w:rPr>
          <w:rStyle w:val="normaltextrun"/>
          <w:rFonts w:asciiTheme="majorBidi" w:eastAsiaTheme="majorEastAsia" w:hAnsiTheme="majorBidi" w:cstheme="majorBidi"/>
          <w:sz w:val="22"/>
          <w:szCs w:val="22"/>
          <w:lang w:val="en-GB"/>
        </w:rPr>
        <w:t xml:space="preserve">2024 </w:t>
      </w:r>
    </w:p>
    <w:p w14:paraId="6C7A1867" w14:textId="3D18C77D" w:rsidR="00756F0F" w:rsidRPr="00ED7E61" w:rsidRDefault="00756F0F" w:rsidP="0004367E">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23071723" w14:textId="77777777" w:rsidR="00756F0F" w:rsidRPr="00ED7E61" w:rsidRDefault="00756F0F" w:rsidP="0004367E">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620F6CF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p>
    <w:p w14:paraId="04D3EBA4" w14:textId="77777777" w:rsidR="00756F0F" w:rsidRPr="00ED7E61" w:rsidRDefault="00756F0F" w:rsidP="0004367E">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p w14:paraId="5103B6F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 xml:space="preserve">Headline indicator for </w:t>
      </w:r>
      <w:r w:rsidRPr="00ED7E61">
        <w:rPr>
          <w:rStyle w:val="normaltextrun"/>
          <w:rFonts w:asciiTheme="majorBidi" w:eastAsiaTheme="majorEastAsia" w:hAnsiTheme="majorBidi" w:cstheme="majorBidi"/>
          <w:b/>
          <w:bCs/>
          <w:sz w:val="22"/>
          <w:szCs w:val="22"/>
        </w:rPr>
        <w:t>Target 5</w:t>
      </w:r>
      <w:r w:rsidRPr="00ED7E61">
        <w:rPr>
          <w:rStyle w:val="normaltextrun"/>
          <w:rFonts w:asciiTheme="majorBidi" w:eastAsiaTheme="majorEastAsia" w:hAnsiTheme="majorBidi" w:cstheme="majorBidi"/>
          <w:sz w:val="22"/>
          <w:szCs w:val="22"/>
        </w:rPr>
        <w:t xml:space="preserve"> Ensure that the use, harvesting and trade of wild species is sustainable, safe and legal, preventing overexploitation, minimizing impacts on non-target species and ecosystems, and reducing the risk of pathogen spillover, applying the ecosystem approach, while respecting and protecting customary sustainable use by indigenous peoples and local communities. </w:t>
      </w:r>
      <w:r w:rsidRPr="00ED7E61">
        <w:rPr>
          <w:rStyle w:val="eop"/>
          <w:rFonts w:asciiTheme="majorBidi" w:eastAsiaTheme="majorEastAsia" w:hAnsiTheme="majorBidi" w:cstheme="majorBidi"/>
          <w:sz w:val="22"/>
          <w:szCs w:val="22"/>
        </w:rPr>
        <w:t> </w:t>
      </w:r>
    </w:p>
    <w:p w14:paraId="168FDB8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7B6A5BB9" w14:textId="143A7B8A" w:rsidR="002B5C03" w:rsidRPr="00ED7E61" w:rsidRDefault="00756F0F" w:rsidP="00B10F0C">
      <w:pPr>
        <w:pStyle w:val="CBDNormalNumber"/>
        <w:numPr>
          <w:ilvl w:val="0"/>
          <w:numId w:val="32"/>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shd w:val="clear" w:color="auto" w:fill="FFFFFF"/>
          <w:lang w:val="en-AU"/>
        </w:rPr>
        <w:t>The</w:t>
      </w:r>
      <w:r w:rsidRPr="00ED7E61">
        <w:rPr>
          <w:rStyle w:val="normaltextrun"/>
          <w:rFonts w:asciiTheme="majorBidi" w:eastAsiaTheme="majorEastAsia" w:hAnsiTheme="majorBidi" w:cstheme="majorBidi"/>
        </w:rPr>
        <w:t xml:space="preserve"> United Nations (UN) Convention on the Law of the Sea (UNCLOS), the United Nations Fish Stocks Agreement (UNFSA [UN, 1995]) and the FAO Code of Conduct for Responsible Fisheries (FAO, 1995a) all require maintaining or restoring fish stocks at levels that are capable of producing their maximum sustainable yield (MSY). To fulfil the objectives of these international treaties, fishery management authorities need to undertake assessment of the state of fish stocks and develop effective policies and management strategies. As a UN Agency with a mandate for fisheries, FAO endeavour to provide the international community with the best information on the state of marine fishery resources.</w:t>
      </w:r>
      <w:r w:rsidRPr="00ED7E61">
        <w:rPr>
          <w:rStyle w:val="eop"/>
          <w:rFonts w:asciiTheme="majorBidi" w:eastAsiaTheme="majorEastAsia" w:hAnsiTheme="majorBidi" w:cstheme="majorBidi"/>
        </w:rPr>
        <w:t> </w:t>
      </w:r>
    </w:p>
    <w:p w14:paraId="37D19DDA" w14:textId="79AC059A" w:rsidR="002B5C03" w:rsidRPr="00ED7E61" w:rsidRDefault="00756F0F" w:rsidP="00B10F0C">
      <w:pPr>
        <w:pStyle w:val="CBDNormalNumber"/>
        <w:numPr>
          <w:ilvl w:val="0"/>
          <w:numId w:val="32"/>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Since 1974, FAO has been periodically assessing and reporting the state of marine fishery resources using a wide spectrum of methods from numerical models to data poor approaches. FAO global and regional estimates were also used as an MDG indicator for Goal 7 on environment during the period 2000-2015. This facilitated its approval as a Tier I SDG indicator by the 2nd IAEG-SDG in October 2015.</w:t>
      </w:r>
      <w:r w:rsidRPr="00ED7E61">
        <w:rPr>
          <w:rStyle w:val="eop"/>
          <w:rFonts w:asciiTheme="majorBidi" w:eastAsiaTheme="majorEastAsia" w:hAnsiTheme="majorBidi" w:cstheme="majorBidi"/>
        </w:rPr>
        <w:t> </w:t>
      </w:r>
    </w:p>
    <w:p w14:paraId="314A8E35" w14:textId="52423BB4" w:rsidR="002B5C03" w:rsidRPr="00ED7E61" w:rsidRDefault="00756F0F" w:rsidP="00B10F0C">
      <w:pPr>
        <w:pStyle w:val="CBDNormalNumber"/>
        <w:numPr>
          <w:ilvl w:val="0"/>
          <w:numId w:val="32"/>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The indicator has a peculiar nature compared to more conventional SDG indicators. The indicator estimates the sustainability of fish stocks that often move across national boundaries. This led the indicator to be initially reported only at global and regional levels, with regions not corresponding to continental MDG or SDG regions but to marine regions termed “</w:t>
      </w:r>
      <w:r w:rsidRPr="00FB1598">
        <w:rPr>
          <w:rStyle w:val="normaltextrun"/>
          <w:rFonts w:asciiTheme="majorBidi" w:eastAsiaTheme="majorEastAsia" w:hAnsiTheme="majorBidi" w:cstheme="majorBidi"/>
          <w:i/>
          <w:iCs/>
        </w:rPr>
        <w:t>FAO Major Fishing Areas</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6B12CADC" w14:textId="4666FF14" w:rsidR="002B5C03" w:rsidRPr="00ED7E61" w:rsidRDefault="00756F0F" w:rsidP="00B10F0C">
      <w:pPr>
        <w:pStyle w:val="CBDNormalNumber"/>
        <w:numPr>
          <w:ilvl w:val="0"/>
          <w:numId w:val="32"/>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 xml:space="preserve">The Global SDG Indicator Framework is a voluntary mechanism, but countries are required to report if data are available. As a custodian agency, the FAO works to put in action the 2030 Agenda’s emphasis on country ownership and  </w:t>
      </w:r>
      <w:r w:rsidR="00737A66">
        <w:rPr>
          <w:rStyle w:val="normaltextrun"/>
          <w:rFonts w:asciiTheme="majorBidi" w:eastAsiaTheme="majorEastAsia" w:hAnsiTheme="majorBidi" w:cstheme="majorBidi"/>
        </w:rPr>
        <w:t>incentivising</w:t>
      </w:r>
      <w:r w:rsidR="00737A66" w:rsidRPr="00ED7E61">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actions at country, regional and global levels. FAO has developed, since 2018, a questionnaire approach to allow individual countries to report on the sustainability of fish stocks. The approach 1) provides a framework for meaningful country-level reporting that complements but does not alter the core methodology of SDG indicator 14.4.1 at the global/regional levels (FAO, 2011), and 2) provides countries with simplified methods to carry out fish stock assessment in data-limited contexts, to some extent overcoming the technical barriers that traditional methods presented. This is because country-level reporting will be limited to the assessment of stocks that are found only within a country’s EEZ and/or shared with neighbouring countries’ EEZs, and therefore not include straddling stocks, highly migratory species, or stocks in Areas Beyond National Jurisdiction (ABNJ). </w:t>
      </w:r>
      <w:r w:rsidRPr="00ED7E61">
        <w:rPr>
          <w:rStyle w:val="eop"/>
          <w:rFonts w:asciiTheme="majorBidi" w:eastAsiaTheme="majorEastAsia" w:hAnsiTheme="majorBidi" w:cstheme="majorBidi"/>
        </w:rPr>
        <w:t> </w:t>
      </w:r>
    </w:p>
    <w:p w14:paraId="56B86E5F" w14:textId="05A55992" w:rsidR="002B5C03" w:rsidRPr="00ED7E61" w:rsidRDefault="00756F0F" w:rsidP="00B10F0C">
      <w:pPr>
        <w:pStyle w:val="CBDNormalNumber"/>
        <w:numPr>
          <w:ilvl w:val="0"/>
          <w:numId w:val="32"/>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As a result, national data alone cannot be meaningfully aggregated at global/regional levels, but it can be used to inform country progress on fish stock sustainability within the EEZ. </w:t>
      </w:r>
      <w:r w:rsidRPr="00ED7E61">
        <w:rPr>
          <w:rStyle w:val="eop"/>
          <w:rFonts w:asciiTheme="majorBidi" w:eastAsiaTheme="majorEastAsia" w:hAnsiTheme="majorBidi" w:cstheme="majorBidi"/>
        </w:rPr>
        <w:t> </w:t>
      </w:r>
    </w:p>
    <w:p w14:paraId="2851C72D" w14:textId="77777777" w:rsidR="00756F0F" w:rsidRPr="00ED7E61" w:rsidRDefault="00756F0F" w:rsidP="00B10F0C">
      <w:pPr>
        <w:pStyle w:val="CBDNormalNumber"/>
        <w:numPr>
          <w:ilvl w:val="0"/>
          <w:numId w:val="32"/>
        </w:numPr>
        <w:ind w:left="567" w:firstLine="0"/>
        <w:rPr>
          <w:rFonts w:asciiTheme="majorBidi" w:hAnsiTheme="majorBidi" w:cstheme="majorBidi"/>
          <w:color w:val="4A4A4A"/>
        </w:rPr>
      </w:pPr>
      <w:r w:rsidRPr="00ED7E61">
        <w:rPr>
          <w:rStyle w:val="normaltextrun"/>
          <w:rFonts w:asciiTheme="majorBidi" w:eastAsiaTheme="majorEastAsia" w:hAnsiTheme="majorBidi" w:cstheme="majorBidi"/>
        </w:rPr>
        <w:t>In 2019, the FAO began sending a questionnaire to countries to collect national data with the aim to help countries in the reporting process.</w:t>
      </w:r>
      <w:r w:rsidRPr="00ED7E61">
        <w:rPr>
          <w:rStyle w:val="eop"/>
          <w:rFonts w:asciiTheme="majorBidi" w:eastAsiaTheme="majorEastAsia" w:hAnsiTheme="majorBidi" w:cstheme="majorBidi"/>
        </w:rPr>
        <w:t> </w:t>
      </w:r>
    </w:p>
    <w:p w14:paraId="6452E18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5AA33CF4" w14:textId="77777777" w:rsidR="00756F0F" w:rsidRPr="00ED7E61" w:rsidRDefault="00756F0F" w:rsidP="0004367E">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37765FF8" w14:textId="742F332C" w:rsidR="002B5C03" w:rsidRPr="00ED7E61" w:rsidRDefault="00756F0F" w:rsidP="00B10F0C">
      <w:pPr>
        <w:pStyle w:val="CBDNormalNumber"/>
        <w:numPr>
          <w:ilvl w:val="0"/>
          <w:numId w:val="32"/>
        </w:numPr>
        <w:ind w:left="567" w:firstLine="0"/>
        <w:rPr>
          <w:rStyle w:val="normaltextrun"/>
          <w:rFonts w:eastAsiaTheme="majorEastAsia"/>
        </w:rPr>
      </w:pPr>
      <w:r w:rsidRPr="00ED7E61">
        <w:rPr>
          <w:rStyle w:val="normaltextrun"/>
          <w:rFonts w:asciiTheme="majorBidi" w:eastAsiaTheme="majorEastAsia" w:hAnsiTheme="majorBidi" w:cstheme="majorBidi"/>
        </w:rPr>
        <w:t>The indicator, "</w:t>
      </w:r>
      <w:r w:rsidRPr="00FB1598">
        <w:rPr>
          <w:rStyle w:val="normaltextrun"/>
          <w:rFonts w:asciiTheme="majorBidi" w:eastAsiaTheme="majorEastAsia" w:hAnsiTheme="majorBidi" w:cstheme="majorBidi"/>
          <w:i/>
          <w:iCs/>
        </w:rPr>
        <w:t>Proportion of marine fish stocks within biologically sustainable levels</w:t>
      </w:r>
      <w:r w:rsidRPr="00ED7E61">
        <w:rPr>
          <w:rStyle w:val="normaltextrun"/>
          <w:rFonts w:asciiTheme="majorBidi" w:eastAsiaTheme="majorEastAsia" w:hAnsiTheme="majorBidi" w:cstheme="majorBidi"/>
        </w:rPr>
        <w:t>", measures the</w:t>
      </w:r>
      <w:r w:rsidRPr="00ED7E61">
        <w:rPr>
          <w:rStyle w:val="normaltextrun"/>
        </w:rPr>
        <w:t> </w:t>
      </w:r>
      <w:r w:rsidRPr="00ED7E61">
        <w:rPr>
          <w:rStyle w:val="normaltextrun"/>
          <w:rFonts w:asciiTheme="majorBidi" w:eastAsiaTheme="majorEastAsia" w:hAnsiTheme="majorBidi" w:cstheme="majorBidi"/>
        </w:rPr>
        <w:t>sustainability of the world's marine capture fisheries by the abundance of the exploited fish stocks with</w:t>
      </w:r>
      <w:r w:rsidRPr="00ED7E61">
        <w:rPr>
          <w:rStyle w:val="normaltextrun"/>
        </w:rPr>
        <w:t> </w:t>
      </w:r>
      <w:r w:rsidR="002B5C03" w:rsidRPr="00ED7E61">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respect to MSY levels.</w:t>
      </w:r>
      <w:r w:rsidRPr="00ED7E61">
        <w:rPr>
          <w:rStyle w:val="normaltextrun"/>
        </w:rPr>
        <w:t> </w:t>
      </w:r>
    </w:p>
    <w:p w14:paraId="454A4714" w14:textId="2BD91CFD"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For each level of reporting (National, Regional, Global) the indicator is calculated as the ratio between the number of exploited fish stocks classified as "</w:t>
      </w:r>
      <w:r w:rsidRPr="00FB1598">
        <w:rPr>
          <w:rStyle w:val="normaltextrun"/>
          <w:rFonts w:asciiTheme="majorBidi" w:eastAsiaTheme="majorEastAsia" w:hAnsiTheme="majorBidi" w:cstheme="majorBidi"/>
          <w:i/>
          <w:iCs/>
        </w:rPr>
        <w:t>within biologically sustainable levels</w:t>
      </w:r>
      <w:r w:rsidRPr="00ED7E61">
        <w:rPr>
          <w:rStyle w:val="normaltextrun"/>
          <w:rFonts w:asciiTheme="majorBidi" w:eastAsiaTheme="majorEastAsia" w:hAnsiTheme="majorBidi" w:cstheme="majorBidi"/>
        </w:rPr>
        <w:t>" and the total number of stocks in the Reference List that were classified with a determined status (within/not within</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biologically sustainable levels</w:t>
      </w:r>
      <w:r w:rsidRPr="00ED7E61">
        <w:rPr>
          <w:rStyle w:val="normaltextrun"/>
          <w:rFonts w:asciiTheme="majorBidi" w:eastAsiaTheme="majorEastAsia" w:hAnsiTheme="majorBidi" w:cstheme="majorBidi"/>
        </w:rPr>
        <w:t>")</w:t>
      </w:r>
      <w:r w:rsidR="002B5C03" w:rsidRPr="00ED7E61">
        <w:rPr>
          <w:rStyle w:val="normaltextrun"/>
          <w:rFonts w:asciiTheme="majorBidi" w:eastAsiaTheme="majorEastAsia" w:hAnsiTheme="majorBidi" w:cstheme="majorBidi"/>
        </w:rPr>
        <w:t>.</w:t>
      </w:r>
    </w:p>
    <w:p w14:paraId="4D9596C4" w14:textId="7640FE2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002F297C" w:rsidRPr="00ED7E61">
        <w:rPr>
          <w:rFonts w:ascii="Arial" w:hAnsi="Arial" w:cs="Arial"/>
          <w:noProof/>
          <w:lang w:val="fr-FR" w:eastAsia="fr-FR"/>
        </w:rPr>
        <w:drawing>
          <wp:inline distT="0" distB="0" distL="0" distR="0" wp14:anchorId="74EC5617" wp14:editId="29AFB282">
            <wp:extent cx="1882140" cy="657225"/>
            <wp:effectExtent l="0" t="0" r="0" b="0"/>
            <wp:docPr id="1" name="Picture 1" descr="A math equation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th equation with numbers and lines&#10;&#10;Description automatically generated"/>
                    <pic:cNvPicPr>
                      <a:picLocks noChangeAspect="1" noChangeArrowheads="1"/>
                    </pic:cNvPicPr>
                  </pic:nvPicPr>
                  <pic:blipFill>
                    <a:blip r:embed="rId435"/>
                    <a:stretch>
                      <a:fillRect/>
                    </a:stretch>
                  </pic:blipFill>
                  <pic:spPr bwMode="auto">
                    <a:xfrm>
                      <a:off x="0" y="0"/>
                      <a:ext cx="1882140" cy="657225"/>
                    </a:xfrm>
                    <a:prstGeom prst="rect">
                      <a:avLst/>
                    </a:prstGeom>
                  </pic:spPr>
                </pic:pic>
              </a:graphicData>
            </a:graphic>
          </wp:inline>
        </w:drawing>
      </w:r>
    </w:p>
    <w:p w14:paraId="7EC5C87F" w14:textId="4339CE7B" w:rsidR="00756F0F" w:rsidRPr="00ED7E61" w:rsidRDefault="002B5C03" w:rsidP="00B10F0C">
      <w:pPr>
        <w:pStyle w:val="CBDNormalNumber"/>
        <w:numPr>
          <w:ilvl w:val="0"/>
          <w:numId w:val="32"/>
        </w:numPr>
        <w:ind w:left="567" w:firstLine="0"/>
        <w:jc w:val="left"/>
        <w:rPr>
          <w:rStyle w:val="normaltextrun"/>
          <w:rFonts w:eastAsiaTheme="majorEastAsia"/>
        </w:rPr>
      </w:pPr>
      <w:r w:rsidRPr="00ED7E61">
        <w:rPr>
          <w:rStyle w:val="normaltextrun"/>
          <w:rFonts w:asciiTheme="majorBidi" w:eastAsiaTheme="majorEastAsia" w:hAnsiTheme="majorBidi" w:cstheme="majorBidi"/>
        </w:rPr>
        <w:t>W</w:t>
      </w:r>
      <w:r w:rsidR="00756F0F" w:rsidRPr="00ED7E61">
        <w:rPr>
          <w:rStyle w:val="normaltextrun"/>
          <w:rFonts w:asciiTheme="majorBidi" w:eastAsiaTheme="majorEastAsia" w:hAnsiTheme="majorBidi" w:cstheme="majorBidi"/>
        </w:rPr>
        <w:t>here Ps is the percentage of stocks classified as "</w:t>
      </w:r>
      <w:r w:rsidR="00756F0F" w:rsidRPr="00FB1598">
        <w:rPr>
          <w:rStyle w:val="normaltextrun"/>
          <w:rFonts w:asciiTheme="majorBidi" w:eastAsiaTheme="majorEastAsia" w:hAnsiTheme="majorBidi" w:cstheme="majorBidi"/>
          <w:i/>
          <w:iCs/>
        </w:rPr>
        <w:t>within biologically sustainable levels</w:t>
      </w:r>
      <w:r w:rsidR="00756F0F" w:rsidRPr="00ED7E61">
        <w:rPr>
          <w:rStyle w:val="normaltextrun"/>
          <w:rFonts w:asciiTheme="majorBidi" w:eastAsiaTheme="majorEastAsia" w:hAnsiTheme="majorBidi" w:cstheme="majorBidi"/>
        </w:rPr>
        <w:t>" for the Reference List of stocks. Ns is the number of stocks in the Reference List classified as "</w:t>
      </w:r>
      <w:r w:rsidR="00756F0F" w:rsidRPr="00FB1598">
        <w:rPr>
          <w:rStyle w:val="normaltextrun"/>
          <w:rFonts w:asciiTheme="majorBidi" w:eastAsiaTheme="majorEastAsia" w:hAnsiTheme="majorBidi" w:cstheme="majorBidi"/>
          <w:i/>
          <w:iCs/>
        </w:rPr>
        <w:t>within biologically sustainable levels</w:t>
      </w:r>
      <w:r w:rsidR="00756F0F" w:rsidRPr="00ED7E61">
        <w:rPr>
          <w:rStyle w:val="normaltextrun"/>
          <w:rFonts w:asciiTheme="majorBidi" w:eastAsiaTheme="majorEastAsia" w:hAnsiTheme="majorBidi" w:cstheme="majorBidi"/>
        </w:rPr>
        <w:t>", Nu is the number of stocks in the Reference List classified as "</w:t>
      </w:r>
      <w:r w:rsidR="00756F0F" w:rsidRPr="00FB1598">
        <w:rPr>
          <w:rStyle w:val="normaltextrun"/>
          <w:rFonts w:asciiTheme="majorBidi" w:eastAsiaTheme="majorEastAsia" w:hAnsiTheme="majorBidi" w:cstheme="majorBidi"/>
          <w:i/>
          <w:iCs/>
        </w:rPr>
        <w:t>outside biologically sustainable levels</w:t>
      </w:r>
      <w:r w:rsidR="00756F0F" w:rsidRPr="00ED7E61">
        <w:rPr>
          <w:rStyle w:val="normaltextrun"/>
          <w:rFonts w:asciiTheme="majorBidi" w:eastAsiaTheme="majorEastAsia" w:hAnsiTheme="majorBidi" w:cstheme="majorBidi"/>
        </w:rPr>
        <w:t>" and N = Ns + Nu is the total number of stocks in the Reference List that have been classified as within or outside "</w:t>
      </w:r>
      <w:r w:rsidR="00756F0F" w:rsidRPr="00FB1598">
        <w:rPr>
          <w:rStyle w:val="normaltextrun"/>
          <w:rFonts w:asciiTheme="majorBidi" w:eastAsiaTheme="majorEastAsia" w:hAnsiTheme="majorBidi" w:cstheme="majorBidi"/>
          <w:i/>
          <w:iCs/>
        </w:rPr>
        <w:t>biologically sustainable levels</w:t>
      </w:r>
      <w:r w:rsidR="00756F0F" w:rsidRPr="00ED7E61">
        <w:rPr>
          <w:rStyle w:val="normaltextrun"/>
          <w:rFonts w:asciiTheme="majorBidi" w:eastAsiaTheme="majorEastAsia" w:hAnsiTheme="majorBidi" w:cstheme="majorBidi"/>
        </w:rPr>
        <w:t>".</w:t>
      </w:r>
      <w:r w:rsidR="00756F0F" w:rsidRPr="00ED7E61">
        <w:rPr>
          <w:rStyle w:val="normaltextrun"/>
        </w:rPr>
        <w:t> </w:t>
      </w:r>
    </w:p>
    <w:p w14:paraId="04A9B48A" w14:textId="77777777" w:rsidR="00756F0F" w:rsidRPr="0004367E" w:rsidRDefault="00756F0F" w:rsidP="0004367E">
      <w:pPr>
        <w:pStyle w:val="CBDNormalNumber"/>
        <w:numPr>
          <w:ilvl w:val="0"/>
          <w:numId w:val="0"/>
        </w:numPr>
        <w:ind w:left="567"/>
        <w:jc w:val="left"/>
        <w:rPr>
          <w:rFonts w:asciiTheme="majorBidi" w:hAnsiTheme="majorBidi" w:cstheme="majorBidi"/>
          <w:i/>
          <w:iCs/>
        </w:rPr>
      </w:pPr>
      <w:r w:rsidRPr="0004367E">
        <w:rPr>
          <w:rStyle w:val="normaltextrun"/>
          <w:rFonts w:asciiTheme="majorBidi" w:eastAsiaTheme="majorEastAsia" w:hAnsiTheme="majorBidi" w:cstheme="majorBidi"/>
          <w:i/>
          <w:iCs/>
        </w:rPr>
        <w:t>Classifying individual stocks as within/outside "biologically sustainable levels":</w:t>
      </w:r>
      <w:r w:rsidRPr="0004367E">
        <w:rPr>
          <w:rStyle w:val="eop"/>
          <w:rFonts w:asciiTheme="majorBidi" w:eastAsiaTheme="majorEastAsia" w:hAnsiTheme="majorBidi" w:cstheme="majorBidi"/>
          <w:i/>
          <w:iCs/>
        </w:rPr>
        <w:t> </w:t>
      </w:r>
    </w:p>
    <w:p w14:paraId="169E65A7" w14:textId="4933DF4B"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In order to keep consistency with the 14.4 target ("</w:t>
      </w:r>
      <w:r w:rsidRPr="00FB1598">
        <w:rPr>
          <w:rStyle w:val="normaltextrun"/>
          <w:rFonts w:asciiTheme="majorBidi" w:eastAsiaTheme="majorEastAsia" w:hAnsiTheme="majorBidi" w:cstheme="majorBidi"/>
          <w:i/>
          <w:iCs/>
        </w:rPr>
        <w:t>at least to levels that can produce maximum</w:t>
      </w:r>
      <w:r w:rsidRPr="00FB1598">
        <w:rPr>
          <w:rStyle w:val="scxw55407066"/>
          <w:rFonts w:asciiTheme="majorBidi" w:eastAsiaTheme="majorEastAsia" w:hAnsiTheme="majorBidi" w:cstheme="majorBidi"/>
          <w:i/>
          <w:iCs/>
        </w:rPr>
        <w:t> </w:t>
      </w:r>
      <w:r w:rsidRPr="00FB1598">
        <w:rPr>
          <w:rStyle w:val="normaltextrun"/>
          <w:rFonts w:asciiTheme="majorBidi" w:eastAsiaTheme="majorEastAsia" w:hAnsiTheme="majorBidi" w:cstheme="majorBidi"/>
          <w:i/>
          <w:iCs/>
        </w:rPr>
        <w:t>sustainable yield as determined by their biological characteristics</w:t>
      </w:r>
      <w:r w:rsidRPr="00ED7E61">
        <w:rPr>
          <w:rStyle w:val="normaltextrun"/>
          <w:rFonts w:asciiTheme="majorBidi" w:eastAsiaTheme="majorEastAsia" w:hAnsiTheme="majorBidi" w:cstheme="majorBidi"/>
        </w:rPr>
        <w:t>" and other earlier international</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agreements, including the United Nations Convention on the Law of the Sea (UNCLOS), a fish stock is classified as "</w:t>
      </w:r>
      <w:r w:rsidRPr="00FB1598">
        <w:rPr>
          <w:rStyle w:val="normaltextrun"/>
          <w:rFonts w:asciiTheme="majorBidi" w:eastAsiaTheme="majorEastAsia" w:hAnsiTheme="majorBidi" w:cstheme="majorBidi"/>
          <w:i/>
          <w:iCs/>
        </w:rPr>
        <w:t>within biologically sustainable levels</w:t>
      </w:r>
      <w:r w:rsidRPr="00ED7E61">
        <w:rPr>
          <w:rStyle w:val="normaltextrun"/>
          <w:rFonts w:asciiTheme="majorBidi" w:eastAsiaTheme="majorEastAsia" w:hAnsiTheme="majorBidi" w:cstheme="majorBidi"/>
        </w:rPr>
        <w:t>" if its abundance is estimated (considering uncertainty) to be equal to or greater than the level that can produce the Maximum Sustainable Yield (MSY). In contrast, when abundance falls below the MSY level, the stock is classified as "</w:t>
      </w:r>
      <w:r w:rsidRPr="00FB1598">
        <w:rPr>
          <w:rStyle w:val="normaltextrun"/>
          <w:rFonts w:asciiTheme="majorBidi" w:eastAsiaTheme="majorEastAsia" w:hAnsiTheme="majorBidi" w:cstheme="majorBidi"/>
          <w:i/>
          <w:iCs/>
        </w:rPr>
        <w:t>outside biologically sustainable levels</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59A62530" w14:textId="7065FDF0"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A wide array of methods and approaches (including documented expert opinion) is used to classify stock status relative to the abundance producing MSY. This varies among countries, regions and stocks. Nevertheless, the reliability of the classification is assessed by FAO as part of the process of producing the index.</w:t>
      </w:r>
      <w:r w:rsidRPr="00ED7E61">
        <w:rPr>
          <w:rStyle w:val="eop"/>
          <w:rFonts w:asciiTheme="majorBidi" w:eastAsiaTheme="majorEastAsia" w:hAnsiTheme="majorBidi" w:cstheme="majorBidi"/>
        </w:rPr>
        <w:t> </w:t>
      </w:r>
    </w:p>
    <w:p w14:paraId="0B462A1B" w14:textId="3F34F8CB"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Maximum Sustainable Yield (MSY) is commonly defined as the greatest average amount of catch that can be harvested in the long-term from a stock under constant and current environmental conditions</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(e.g. habitat, water conditions, species composition and interactions, and anything that could affect</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birth, growth, or death rates of the stock), without affecting the long-term productivity of the stock. A</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 xml:space="preserve">stock can produce MSY if its abundance is above a certain level, usually around 50% of its unexploited abundance (but actual value can vary around that level, depending on the biological characteristics of the stock). See more at </w:t>
      </w:r>
      <w:hyperlink r:id="rId436" w:tgtFrame="_blank" w:history="1">
        <w:r w:rsidRPr="00ED7E61">
          <w:rPr>
            <w:rStyle w:val="normaltextrun"/>
            <w:rFonts w:asciiTheme="majorBidi" w:eastAsiaTheme="majorEastAsia" w:hAnsiTheme="majorBidi" w:cstheme="majorBidi"/>
            <w:color w:val="467886"/>
            <w:u w:val="single"/>
          </w:rPr>
          <w:t>https://www.fao.org/faoterm/en/?defaultCollId=21</w:t>
        </w:r>
      </w:hyperlink>
      <w:r w:rsidRPr="00ED7E61">
        <w:rPr>
          <w:rStyle w:val="eop"/>
          <w:rFonts w:asciiTheme="majorBidi" w:eastAsiaTheme="majorEastAsia" w:hAnsiTheme="majorBidi" w:cstheme="majorBidi"/>
        </w:rPr>
        <w:t> </w:t>
      </w:r>
    </w:p>
    <w:p w14:paraId="70E83DA1" w14:textId="7B2D9A63"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MSY-based reference points are the most common type of reference points used in fisheries</w:t>
      </w:r>
      <w:r w:rsidRPr="00ED7E61">
        <w:rPr>
          <w:rStyle w:val="scxw55407066"/>
          <w:rFonts w:asciiTheme="majorBidi" w:eastAsiaTheme="majorEastAsia" w:hAnsiTheme="majorBidi" w:cstheme="majorBidi"/>
        </w:rPr>
        <w:t> </w:t>
      </w:r>
      <w:r w:rsidRPr="00ED7E61">
        <w:rPr>
          <w:rFonts w:asciiTheme="majorBidi" w:hAnsiTheme="majorBidi" w:cstheme="majorBidi"/>
        </w:rPr>
        <w:br/>
      </w:r>
      <w:r w:rsidRPr="00ED7E61">
        <w:rPr>
          <w:rStyle w:val="normaltextrun"/>
          <w:rFonts w:asciiTheme="majorBidi" w:eastAsiaTheme="majorEastAsia" w:hAnsiTheme="majorBidi" w:cstheme="majorBidi"/>
        </w:rPr>
        <w:t>management today. This is primarily because, for decades, reference points from surplus production</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models have most often been set based on the concept of MSY and they are the basic benchmarks for the sustainability of fisheries set by the UN Convention on the Law of the Sea (UNCLOS, Article 61(3)). For more on Reference Points in Fish Stock Assessment, see Caddy and Mahon (1995), Cadima (2003) or Haddon (2011).</w:t>
      </w:r>
      <w:r w:rsidRPr="00ED7E61">
        <w:rPr>
          <w:rStyle w:val="eop"/>
          <w:rFonts w:asciiTheme="majorBidi" w:eastAsiaTheme="majorEastAsia" w:hAnsiTheme="majorBidi" w:cstheme="majorBidi"/>
        </w:rPr>
        <w:t> </w:t>
      </w:r>
    </w:p>
    <w:p w14:paraId="08FCDA9D" w14:textId="46E71DA2"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BMSY: Biomass corresponding to Maximum Sustainable Yield from a production model or from an age- based analysis using a stock recruitment model. Often used as a biological reference point in fisheries management, it is the calculated long-term average biomass value expected if fishing at FMSY.</w:t>
      </w:r>
      <w:r w:rsidRPr="00ED7E61">
        <w:rPr>
          <w:rStyle w:val="eop"/>
          <w:rFonts w:asciiTheme="majorBidi" w:eastAsiaTheme="majorEastAsia" w:hAnsiTheme="majorBidi" w:cstheme="majorBidi"/>
        </w:rPr>
        <w:t> </w:t>
      </w:r>
    </w:p>
    <w:p w14:paraId="7F85BC58" w14:textId="5D9A8172"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A population is: “</w:t>
      </w:r>
      <w:r w:rsidRPr="00FB1598">
        <w:rPr>
          <w:rStyle w:val="normaltextrun"/>
          <w:rFonts w:asciiTheme="majorBidi" w:eastAsiaTheme="majorEastAsia" w:hAnsiTheme="majorBidi" w:cstheme="majorBidi"/>
          <w:i/>
          <w:iCs/>
        </w:rPr>
        <w:t>A group of individuals of the same species living in the same area at the same time and sharing a common gene pool, with little or no immigration or emigration</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78B252D2" w14:textId="495551E7"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A biological stock is: “</w:t>
      </w:r>
      <w:r w:rsidRPr="00FB1598">
        <w:rPr>
          <w:rStyle w:val="normaltextrun"/>
          <w:rFonts w:asciiTheme="majorBidi" w:eastAsiaTheme="majorEastAsia" w:hAnsiTheme="majorBidi" w:cstheme="majorBidi"/>
          <w:i/>
          <w:iCs/>
        </w:rPr>
        <w:t>A subpopulation of a species inhabiting a particular geographic area, having</w:t>
      </w:r>
      <w:r w:rsidRPr="00FB1598">
        <w:rPr>
          <w:rStyle w:val="scxw55407066"/>
          <w:rFonts w:asciiTheme="majorBidi" w:eastAsiaTheme="majorEastAsia" w:hAnsiTheme="majorBidi" w:cstheme="majorBidi"/>
          <w:i/>
          <w:iCs/>
        </w:rPr>
        <w:t> </w:t>
      </w:r>
      <w:r w:rsidRPr="00FB1598">
        <w:rPr>
          <w:rStyle w:val="normaltextrun"/>
          <w:rFonts w:asciiTheme="majorBidi" w:eastAsiaTheme="majorEastAsia" w:hAnsiTheme="majorBidi" w:cstheme="majorBidi"/>
          <w:i/>
          <w:iCs/>
        </w:rPr>
        <w:t>similar biological characteristics (e.g. growth, reproduction, mortality) and negligible genetic mixing with other adjacent subpopulations of the same species</w:t>
      </w:r>
      <w:r w:rsidRPr="00ED7E61">
        <w:rPr>
          <w:rStyle w:val="normaltextrun"/>
          <w:rFonts w:asciiTheme="majorBidi" w:eastAsiaTheme="majorEastAsia" w:hAnsiTheme="majorBidi" w:cstheme="majorBidi"/>
        </w:rPr>
        <w:t>." (FAO, 2004-2021).</w:t>
      </w:r>
      <w:r w:rsidRPr="00ED7E61">
        <w:rPr>
          <w:rStyle w:val="eop"/>
          <w:rFonts w:asciiTheme="majorBidi" w:eastAsiaTheme="majorEastAsia" w:hAnsiTheme="majorBidi" w:cstheme="majorBidi"/>
        </w:rPr>
        <w:t> </w:t>
      </w:r>
    </w:p>
    <w:p w14:paraId="15B78874" w14:textId="0EE1BB48"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 Reference List of Stocks: it is not possible to classify the sustainability of exploitation for all the</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exploited stocks from a country, region or the world. Therefore, the indicator must be calculated based on a subset of these stocks. The list of the stocks that are classified for status and used to calculate the indicators is called the "</w:t>
      </w:r>
      <w:r w:rsidRPr="00FB1598">
        <w:rPr>
          <w:rStyle w:val="normaltextrun"/>
          <w:rFonts w:asciiTheme="majorBidi" w:eastAsiaTheme="majorEastAsia" w:hAnsiTheme="majorBidi" w:cstheme="majorBidi"/>
          <w:i/>
          <w:iCs/>
        </w:rPr>
        <w:t>Reference List of Stocks</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7810686E" w14:textId="4C46C059" w:rsidR="002B5C03" w:rsidRPr="00ED7E61" w:rsidRDefault="00756F0F" w:rsidP="00B10F0C">
      <w:pPr>
        <w:pStyle w:val="CBDNormalNumber"/>
        <w:numPr>
          <w:ilvl w:val="0"/>
          <w:numId w:val="32"/>
        </w:numPr>
        <w:ind w:left="567" w:firstLine="0"/>
        <w:jc w:val="left"/>
        <w:rPr>
          <w:rStyle w:val="normaltextrun"/>
          <w:rFonts w:asciiTheme="majorBidi" w:hAnsiTheme="majorBidi" w:cstheme="majorBidi"/>
        </w:rPr>
      </w:pPr>
      <w:r w:rsidRPr="00ED7E61">
        <w:rPr>
          <w:rStyle w:val="normaltextrun"/>
          <w:rFonts w:asciiTheme="majorBidi" w:eastAsiaTheme="majorEastAsia" w:hAnsiTheme="majorBidi" w:cstheme="majorBidi"/>
        </w:rPr>
        <w:t>The Reference List of Stocks is built differently for the Regional/Global and the National levels. The</w:t>
      </w:r>
      <w:r w:rsidRPr="00ED7E61">
        <w:rPr>
          <w:rStyle w:val="scxw55407066"/>
          <w:rFonts w:asciiTheme="majorBidi" w:eastAsiaTheme="majorEastAsia" w:hAnsiTheme="majorBidi" w:cstheme="majorBidi"/>
        </w:rPr>
        <w:t> </w:t>
      </w:r>
      <w:r w:rsidR="002B5C03" w:rsidRPr="00ED7E61">
        <w:rPr>
          <w:rStyle w:val="scxw55407066"/>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process of building the Reference List of Stocks for regional and global level are described in FAO (2011). At National level, countries are requested to define a list of stocks, based on an agreed set of criteria (Appendix 1). National and shared stocks can be included, but not straddling stocks (stocks that are distributed both in national EEZ and Areas Beyond National Jurisdiction).</w:t>
      </w:r>
      <w:r w:rsidRPr="00ED7E61">
        <w:rPr>
          <w:rStyle w:val="scxw55407066"/>
          <w:rFonts w:asciiTheme="majorBidi" w:eastAsiaTheme="majorEastAsia" w:hAnsiTheme="majorBidi" w:cstheme="majorBidi"/>
        </w:rPr>
        <w:t> </w:t>
      </w:r>
      <w:r w:rsidR="002B5C03" w:rsidRPr="00ED7E61">
        <w:rPr>
          <w:rStyle w:val="scxw55407066"/>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At this moment, there is not a direct correspondence between the national level Reference Lists (that are defined by each country) and the regional and global Reference lists (that are defined by FAO).</w:t>
      </w:r>
      <w:r w:rsidRPr="00ED7E61">
        <w:rPr>
          <w:rStyle w:val="scxw55407066"/>
          <w:rFonts w:asciiTheme="majorBidi" w:eastAsiaTheme="majorEastAsia" w:hAnsiTheme="majorBidi" w:cstheme="majorBidi"/>
        </w:rPr>
        <w:t> </w:t>
      </w:r>
    </w:p>
    <w:p w14:paraId="300023E6" w14:textId="59C64462"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 detailed description of all necessary concepts can be found in the e-learning course (FAO 2019-2021</w:t>
      </w:r>
      <w:r w:rsidRPr="00ED7E61">
        <w:rPr>
          <w:rStyle w:val="eop"/>
          <w:rFonts w:asciiTheme="majorBidi" w:eastAsiaTheme="majorEastAsia" w:hAnsiTheme="majorBidi" w:cstheme="majorBidi"/>
        </w:rPr>
        <w:t> </w:t>
      </w:r>
    </w:p>
    <w:p w14:paraId="0A7DD230" w14:textId="77777777"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Unit of measure: Percent %</w:t>
      </w:r>
      <w:r w:rsidRPr="00ED7E61">
        <w:rPr>
          <w:rStyle w:val="eop"/>
          <w:rFonts w:asciiTheme="majorBidi" w:eastAsiaTheme="majorEastAsia" w:hAnsiTheme="majorBidi" w:cstheme="majorBidi"/>
        </w:rPr>
        <w:t> </w:t>
      </w:r>
    </w:p>
    <w:p w14:paraId="17F5434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3E4B3A87" w14:textId="01FFCEC6" w:rsidR="002B5C03"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asciiTheme="majorBidi" w:eastAsiaTheme="majorEastAsia" w:hAnsiTheme="majorBidi" w:cstheme="majorBidi"/>
        </w:rPr>
        <w:t>FAO currently reports the global and regional indicators calculated from FAO’s assessment of a selected list of fish stocks around the world. The methodology is described in the FAO Technical Paper (FAO 2011). </w:t>
      </w:r>
      <w:r w:rsidRPr="00ED7E61">
        <w:rPr>
          <w:rStyle w:val="normaltextrun"/>
        </w:rPr>
        <w:t> </w:t>
      </w:r>
    </w:p>
    <w:p w14:paraId="3FB180A2" w14:textId="77777777" w:rsidR="002B5C03" w:rsidRPr="00ED7E61" w:rsidRDefault="00756F0F" w:rsidP="00B10F0C">
      <w:pPr>
        <w:pStyle w:val="CBDNormalNumber"/>
        <w:numPr>
          <w:ilvl w:val="0"/>
          <w:numId w:val="32"/>
        </w:numPr>
        <w:ind w:left="567" w:firstLine="0"/>
        <w:jc w:val="left"/>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FAO has been developing the new approach for country-level reporting since 2017, and has consulted with countries in three dedicated expert consultation workshops: In November 2017, FAO convened a workshop to exchange views with national practitioners on the new proposed analytical methods to produce Indicator 14.4.1 at country level1. In February 2019, FAO convened an expert consultation workshop on development of the methodologies for the global assessment of fish stock status, with participants from countries and regional fisheries organizations. In order to help countries reporting on the indicator, FAO then organized a series of capacity development workshops on stock status assessment and estimation methods of SDG Indicator 14.4.1 for various regions.</w:t>
      </w:r>
      <w:r w:rsidRPr="00ED7E61">
        <w:rPr>
          <w:rStyle w:val="scxw55407066"/>
          <w:rFonts w:asciiTheme="majorBidi" w:eastAsiaTheme="majorEastAsia" w:hAnsiTheme="majorBidi" w:cstheme="majorBidi"/>
        </w:rPr>
        <w:t> </w:t>
      </w:r>
    </w:p>
    <w:p w14:paraId="533B6519" w14:textId="60D1DC3E" w:rsidR="002B5C03" w:rsidRPr="00ED7E61" w:rsidRDefault="00756F0F" w:rsidP="00B10F0C">
      <w:pPr>
        <w:pStyle w:val="CBDNormalNumber"/>
        <w:numPr>
          <w:ilvl w:val="0"/>
          <w:numId w:val="32"/>
        </w:numPr>
        <w:ind w:left="567" w:firstLine="0"/>
        <w:jc w:val="left"/>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In November 2019, FAO dispatched the first SDG14.4.1 questionnaire calling countries to report on their national indicator. Eighty-three countries submitted their questionnaire and three reported</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independently. FAO has reported the full results of this first inquiry through UNSD in February 2022.</w:t>
      </w:r>
      <w:r w:rsidRPr="00ED7E61">
        <w:rPr>
          <w:rStyle w:val="scxw55407066"/>
          <w:rFonts w:asciiTheme="majorBidi" w:eastAsiaTheme="majorEastAsia" w:hAnsiTheme="majorBidi" w:cstheme="majorBidi"/>
        </w:rPr>
        <w:t> </w:t>
      </w:r>
    </w:p>
    <w:p w14:paraId="665FA6DC" w14:textId="53D20FE7" w:rsidR="00756F0F" w:rsidRPr="00ED7E61" w:rsidRDefault="00756F0F" w:rsidP="00B10F0C">
      <w:pPr>
        <w:pStyle w:val="CBDNormalNumber"/>
        <w:numPr>
          <w:ilvl w:val="0"/>
          <w:numId w:val="32"/>
        </w:numPr>
        <w:ind w:left="567" w:firstLine="0"/>
        <w:jc w:val="left"/>
        <w:rPr>
          <w:rStyle w:val="eop"/>
          <w:rFonts w:asciiTheme="majorBidi" w:eastAsiaTheme="majorEastAsia" w:hAnsiTheme="majorBidi" w:cstheme="majorBidi"/>
        </w:rPr>
      </w:pPr>
      <w:r w:rsidRPr="00ED7E61">
        <w:rPr>
          <w:rStyle w:val="normaltextrun"/>
          <w:rFonts w:asciiTheme="majorBidi" w:eastAsiaTheme="majorEastAsia" w:hAnsiTheme="majorBidi" w:cstheme="majorBidi"/>
        </w:rPr>
        <w:t>For each level of reporting (National, Regional, Global) the indicator is calculated as the ratio between the number of exploited fish stocks classified as "</w:t>
      </w:r>
      <w:r w:rsidRPr="00FB1598">
        <w:rPr>
          <w:rStyle w:val="normaltextrun"/>
          <w:rFonts w:asciiTheme="majorBidi" w:eastAsiaTheme="majorEastAsia" w:hAnsiTheme="majorBidi" w:cstheme="majorBidi"/>
          <w:i/>
          <w:iCs/>
        </w:rPr>
        <w:t>within biologically sustainable levels</w:t>
      </w:r>
      <w:r w:rsidRPr="00ED7E61">
        <w:rPr>
          <w:rStyle w:val="normaltextrun"/>
          <w:rFonts w:asciiTheme="majorBidi" w:eastAsiaTheme="majorEastAsia" w:hAnsiTheme="majorBidi" w:cstheme="majorBidi"/>
        </w:rPr>
        <w:t>" and the total number of stocks in the Reference List that were classified with a determined status (within/not within</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biologically sustainable levels</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7E912D52" w14:textId="25D6BDA5" w:rsidR="00756F0F" w:rsidRPr="00ED7E61" w:rsidRDefault="004F77DE"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wacimagecontainer"/>
          <w:rFonts w:asciiTheme="majorBidi" w:eastAsiaTheme="majorEastAsia" w:hAnsiTheme="majorBidi" w:cstheme="majorBidi"/>
          <w:noProof/>
          <w:color w:val="000000"/>
          <w:sz w:val="22"/>
          <w:szCs w:val="22"/>
          <w:shd w:val="clear" w:color="auto" w:fill="FFFFFF"/>
          <w:lang w:val="fr-FR" w:eastAsia="fr-FR"/>
        </w:rPr>
        <w:drawing>
          <wp:inline distT="0" distB="0" distL="0" distR="0" wp14:anchorId="468EF1DD" wp14:editId="6F1C257A">
            <wp:extent cx="3048000" cy="1064000"/>
            <wp:effectExtent l="0" t="0" r="0" b="3175"/>
            <wp:docPr id="588509168" name="Picture 8" descr="A math equation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09168" name="Picture 8" descr="A math equation with numbers and lines&#10;&#10;Description automatically generated"/>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059520" cy="1068021"/>
                    </a:xfrm>
                    <a:prstGeom prst="rect">
                      <a:avLst/>
                    </a:prstGeom>
                    <a:noFill/>
                    <a:ln>
                      <a:noFill/>
                    </a:ln>
                  </pic:spPr>
                </pic:pic>
              </a:graphicData>
            </a:graphic>
          </wp:inline>
        </w:drawing>
      </w:r>
      <w:r w:rsidRPr="00ED7E61">
        <w:rPr>
          <w:rFonts w:asciiTheme="majorBidi" w:hAnsiTheme="majorBidi" w:cstheme="majorBidi"/>
          <w:color w:val="000000"/>
          <w:sz w:val="22"/>
          <w:szCs w:val="22"/>
          <w:shd w:val="clear" w:color="auto" w:fill="FFFFFF"/>
          <w:lang w:val="en-GB"/>
        </w:rPr>
        <w:br/>
      </w:r>
      <w:r w:rsidR="00756F0F" w:rsidRPr="00ED7E61">
        <w:rPr>
          <w:rStyle w:val="eop"/>
          <w:rFonts w:asciiTheme="majorBidi" w:eastAsiaTheme="majorEastAsia" w:hAnsiTheme="majorBidi" w:cstheme="majorBidi"/>
          <w:sz w:val="22"/>
          <w:szCs w:val="22"/>
        </w:rPr>
        <w:t> </w:t>
      </w:r>
    </w:p>
    <w:p w14:paraId="2284961B" w14:textId="77777777" w:rsidR="00756F0F" w:rsidRPr="00ED7E61" w:rsidRDefault="00756F0F" w:rsidP="005C6EAC">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where Ps is the percent of stocks classified as "</w:t>
      </w:r>
      <w:r w:rsidRPr="00FB1598">
        <w:rPr>
          <w:rStyle w:val="normaltextrun"/>
          <w:rFonts w:asciiTheme="majorBidi" w:eastAsiaTheme="majorEastAsia" w:hAnsiTheme="majorBidi" w:cstheme="majorBidi"/>
          <w:i/>
          <w:iCs/>
          <w:sz w:val="22"/>
          <w:szCs w:val="22"/>
          <w:lang w:val="en-GB"/>
        </w:rPr>
        <w:t>within biologically sustainable levels</w:t>
      </w:r>
      <w:r w:rsidRPr="00ED7E61">
        <w:rPr>
          <w:rStyle w:val="normaltextrun"/>
          <w:rFonts w:asciiTheme="majorBidi" w:eastAsiaTheme="majorEastAsia" w:hAnsiTheme="majorBidi" w:cstheme="majorBidi"/>
          <w:sz w:val="22"/>
          <w:szCs w:val="22"/>
          <w:lang w:val="en-GB"/>
        </w:rPr>
        <w:t>" for the Reference List of stocks. Ns is the number of stocks in the Reference List classified as "</w:t>
      </w:r>
      <w:r w:rsidRPr="00FB1598">
        <w:rPr>
          <w:rStyle w:val="normaltextrun"/>
          <w:rFonts w:asciiTheme="majorBidi" w:eastAsiaTheme="majorEastAsia" w:hAnsiTheme="majorBidi" w:cstheme="majorBidi"/>
          <w:i/>
          <w:iCs/>
          <w:sz w:val="22"/>
          <w:szCs w:val="22"/>
          <w:lang w:val="en-GB"/>
        </w:rPr>
        <w:t>within biologically sustainable levels</w:t>
      </w:r>
      <w:r w:rsidRPr="00ED7E61">
        <w:rPr>
          <w:rStyle w:val="normaltextrun"/>
          <w:rFonts w:asciiTheme="majorBidi" w:eastAsiaTheme="majorEastAsia" w:hAnsiTheme="majorBidi" w:cstheme="majorBidi"/>
          <w:sz w:val="22"/>
          <w:szCs w:val="22"/>
          <w:lang w:val="en-GB"/>
        </w:rPr>
        <w:t>", Nu is the number of stocks in the Reference List classified as "</w:t>
      </w:r>
      <w:r w:rsidRPr="00FB1598">
        <w:rPr>
          <w:rStyle w:val="normaltextrun"/>
          <w:rFonts w:asciiTheme="majorBidi" w:eastAsiaTheme="majorEastAsia" w:hAnsiTheme="majorBidi" w:cstheme="majorBidi"/>
          <w:i/>
          <w:iCs/>
          <w:sz w:val="22"/>
          <w:szCs w:val="22"/>
          <w:lang w:val="en-GB"/>
        </w:rPr>
        <w:t>outside biologically sustainable Levels</w:t>
      </w:r>
      <w:r w:rsidRPr="00ED7E61">
        <w:rPr>
          <w:rStyle w:val="normaltextrun"/>
          <w:rFonts w:asciiTheme="majorBidi" w:eastAsiaTheme="majorEastAsia" w:hAnsiTheme="majorBidi" w:cstheme="majorBidi"/>
          <w:sz w:val="22"/>
          <w:szCs w:val="22"/>
          <w:lang w:val="en-GB"/>
        </w:rPr>
        <w:t>" and N = Ns + Nu is the total number of stocks in the Reference List that have been classified as within or outside "</w:t>
      </w:r>
      <w:r w:rsidRPr="00FB1598">
        <w:rPr>
          <w:rStyle w:val="normaltextrun"/>
          <w:rFonts w:asciiTheme="majorBidi" w:eastAsiaTheme="majorEastAsia" w:hAnsiTheme="majorBidi" w:cstheme="majorBidi"/>
          <w:i/>
          <w:iCs/>
          <w:sz w:val="22"/>
          <w:szCs w:val="22"/>
          <w:lang w:val="en-GB"/>
        </w:rPr>
        <w:t>biologically sustainable levels</w:t>
      </w:r>
      <w:r w:rsidRPr="00ED7E61">
        <w:rPr>
          <w:rStyle w:val="normaltextrun"/>
          <w:rFonts w:asciiTheme="majorBidi" w:eastAsiaTheme="majorEastAsia"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537F5243" w14:textId="77777777" w:rsidR="00756F0F" w:rsidRPr="00ED7E61" w:rsidRDefault="00756F0F" w:rsidP="005B0D1E">
      <w:pPr>
        <w:pStyle w:val="CBDNormalNumber"/>
        <w:jc w:val="left"/>
        <w:rPr>
          <w:rFonts w:asciiTheme="majorBidi" w:hAnsiTheme="majorBidi" w:cstheme="majorBidi"/>
        </w:rPr>
      </w:pPr>
      <w:r w:rsidRPr="00ED7E61">
        <w:rPr>
          <w:rStyle w:val="normaltextrun"/>
          <w:rFonts w:asciiTheme="majorBidi" w:eastAsiaTheme="majorEastAsia" w:hAnsiTheme="majorBidi" w:cstheme="majorBidi"/>
        </w:rPr>
        <w:t>Classifying individual stocks as within/outside "</w:t>
      </w:r>
      <w:r w:rsidRPr="00FB1598">
        <w:rPr>
          <w:rStyle w:val="normaltextrun"/>
          <w:rFonts w:asciiTheme="majorBidi" w:eastAsiaTheme="majorEastAsia" w:hAnsiTheme="majorBidi" w:cstheme="majorBidi"/>
          <w:i/>
          <w:iCs/>
        </w:rPr>
        <w:t>biologically sustainable levels</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6FC700DB" w14:textId="669879A3"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In order to keep consistency with the 14.4 target ("</w:t>
      </w:r>
      <w:r w:rsidRPr="00FB1598">
        <w:rPr>
          <w:rStyle w:val="normaltextrun"/>
          <w:rFonts w:asciiTheme="majorBidi" w:eastAsiaTheme="majorEastAsia" w:hAnsiTheme="majorBidi" w:cstheme="majorBidi"/>
          <w:i/>
          <w:iCs/>
        </w:rPr>
        <w:t>at least to levels that can produce maximum</w:t>
      </w:r>
      <w:r w:rsidRPr="00FB1598">
        <w:rPr>
          <w:rStyle w:val="scxw55407066"/>
          <w:rFonts w:asciiTheme="majorBidi" w:eastAsiaTheme="majorEastAsia" w:hAnsiTheme="majorBidi" w:cstheme="majorBidi"/>
          <w:i/>
          <w:iCs/>
        </w:rPr>
        <w:t> </w:t>
      </w:r>
      <w:r w:rsidRPr="00FB1598">
        <w:rPr>
          <w:rStyle w:val="normaltextrun"/>
          <w:rFonts w:asciiTheme="majorBidi" w:eastAsiaTheme="majorEastAsia" w:hAnsiTheme="majorBidi" w:cstheme="majorBidi"/>
          <w:i/>
          <w:iCs/>
        </w:rPr>
        <w:t>sustainable yield as determined by their biological characteristic</w:t>
      </w:r>
      <w:r w:rsidRPr="00ED7E61">
        <w:rPr>
          <w:rStyle w:val="normaltextrun"/>
          <w:rFonts w:asciiTheme="majorBidi" w:eastAsiaTheme="majorEastAsia" w:hAnsiTheme="majorBidi" w:cstheme="majorBidi"/>
        </w:rPr>
        <w:t>s" and other earlier international</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agreements, including the United Nations Convention on the Law of the Sea (UNCLOS)), a fish stock is classified as "</w:t>
      </w:r>
      <w:r w:rsidRPr="00FB1598">
        <w:rPr>
          <w:rStyle w:val="normaltextrun"/>
          <w:rFonts w:asciiTheme="majorBidi" w:eastAsiaTheme="majorEastAsia" w:hAnsiTheme="majorBidi" w:cstheme="majorBidi"/>
          <w:i/>
          <w:iCs/>
        </w:rPr>
        <w:t>within biologically sustainable levels</w:t>
      </w:r>
      <w:r w:rsidRPr="00ED7E61">
        <w:rPr>
          <w:rStyle w:val="normaltextrun"/>
          <w:rFonts w:asciiTheme="majorBidi" w:eastAsiaTheme="majorEastAsia" w:hAnsiTheme="majorBidi" w:cstheme="majorBidi"/>
        </w:rPr>
        <w:t>" if its abundance is estimated to be (considering</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uncertainty) at or greater than the level that can produce the Maximum Sustainable Yield (MSY). In</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contrast, when abundance falls below the MSY level, the stock is classified as "</w:t>
      </w:r>
      <w:r w:rsidRPr="00FB1598">
        <w:rPr>
          <w:rStyle w:val="normaltextrun"/>
          <w:rFonts w:asciiTheme="majorBidi" w:eastAsiaTheme="majorEastAsia" w:hAnsiTheme="majorBidi" w:cstheme="majorBidi"/>
          <w:i/>
          <w:iCs/>
        </w:rPr>
        <w:t>outside biologically</w:t>
      </w:r>
      <w:r w:rsidRPr="00FB1598">
        <w:rPr>
          <w:rStyle w:val="scxw55407066"/>
          <w:rFonts w:asciiTheme="majorBidi" w:eastAsiaTheme="majorEastAsia" w:hAnsiTheme="majorBidi" w:cstheme="majorBidi"/>
          <w:i/>
          <w:iCs/>
        </w:rPr>
        <w:t> </w:t>
      </w:r>
      <w:r w:rsidRPr="00FB1598">
        <w:rPr>
          <w:rStyle w:val="normaltextrun"/>
          <w:rFonts w:asciiTheme="majorBidi" w:eastAsiaTheme="majorEastAsia" w:hAnsiTheme="majorBidi" w:cstheme="majorBidi"/>
          <w:i/>
          <w:iCs/>
        </w:rPr>
        <w:t>sustainable levels</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18756194" w14:textId="77777777"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A wide array of methods and approaches (including documented expert opinion) is used to classify stock status relative to the abundance producing MSY. This varies among countries, regions and stocks. Nevertheless, the reliability of the classification is assessed by FAO as part of the process of producing the index.</w:t>
      </w:r>
      <w:r w:rsidRPr="00ED7E61">
        <w:rPr>
          <w:rStyle w:val="eop"/>
          <w:rFonts w:asciiTheme="majorBidi" w:eastAsiaTheme="majorEastAsia" w:hAnsiTheme="majorBidi" w:cstheme="majorBidi"/>
        </w:rPr>
        <w:t> </w:t>
      </w:r>
    </w:p>
    <w:p w14:paraId="6A2D2EC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Global/Regional:</w:t>
      </w:r>
      <w:r w:rsidRPr="00ED7E61">
        <w:rPr>
          <w:rStyle w:val="eop"/>
          <w:rFonts w:asciiTheme="majorBidi" w:eastAsiaTheme="majorEastAsia" w:hAnsiTheme="majorBidi" w:cstheme="majorBidi"/>
          <w:sz w:val="22"/>
          <w:szCs w:val="22"/>
        </w:rPr>
        <w:t> </w:t>
      </w:r>
    </w:p>
    <w:p w14:paraId="6269459D" w14:textId="77777777" w:rsidR="00756F0F"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asciiTheme="majorBidi" w:eastAsiaTheme="majorEastAsia" w:hAnsiTheme="majorBidi" w:cstheme="majorBidi"/>
        </w:rPr>
        <w:t>Global and regional estimates of stock sustainability have been performed for 584 fish stocks around the world since 1974, representing 70% of global landings. The status of each stock is estimated using the methodology described in the FAO Technical Paper (FAO, 2011).</w:t>
      </w:r>
      <w:r w:rsidRPr="00ED7E61">
        <w:rPr>
          <w:rStyle w:val="normaltextrun"/>
        </w:rPr>
        <w:t> </w:t>
      </w:r>
    </w:p>
    <w:p w14:paraId="7BA07B6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National:</w:t>
      </w:r>
      <w:r w:rsidRPr="00ED7E61">
        <w:rPr>
          <w:rStyle w:val="eop"/>
          <w:rFonts w:asciiTheme="majorBidi" w:eastAsiaTheme="majorEastAsia" w:hAnsiTheme="majorBidi" w:cstheme="majorBidi"/>
          <w:sz w:val="22"/>
          <w:szCs w:val="22"/>
        </w:rPr>
        <w:t> </w:t>
      </w:r>
    </w:p>
    <w:p w14:paraId="56AA7F9F" w14:textId="77777777"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Countries are requested to report the status of a reference list of fish stocks defined by each country on the basis of the criteria presented in Appendix 1. (</w:t>
      </w:r>
      <w:hyperlink r:id="rId438" w:tgtFrame="_blank" w:history="1">
        <w:r w:rsidRPr="00ED7E61">
          <w:rPr>
            <w:rStyle w:val="normaltextrun"/>
            <w:rFonts w:asciiTheme="majorBidi" w:eastAsiaTheme="majorEastAsia" w:hAnsiTheme="majorBidi" w:cstheme="majorBidi"/>
            <w:color w:val="467886"/>
            <w:u w:val="single"/>
          </w:rPr>
          <w:t>https://unstats.un.org/sdgs/metadata/files/Metadata-14-04-01.pdf</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65EEDDF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17C51E9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color w:val="4A4A4A"/>
          <w:sz w:val="22"/>
          <w:szCs w:val="22"/>
        </w:rPr>
      </w:pPr>
      <w:r w:rsidRPr="00ED7E61">
        <w:rPr>
          <w:rStyle w:val="normaltextrun"/>
          <w:rFonts w:asciiTheme="majorBidi" w:eastAsiaTheme="majorEastAsia" w:hAnsiTheme="majorBidi" w:cstheme="majorBidi"/>
          <w:b/>
          <w:bCs/>
          <w:sz w:val="22"/>
          <w:szCs w:val="22"/>
          <w:lang w:val="en-GB"/>
        </w:rPr>
        <w:t>Global/regional: </w:t>
      </w:r>
      <w:r w:rsidRPr="00ED7E61">
        <w:rPr>
          <w:rStyle w:val="eop"/>
          <w:rFonts w:asciiTheme="majorBidi" w:eastAsiaTheme="majorEastAsia" w:hAnsiTheme="majorBidi" w:cstheme="majorBidi"/>
          <w:sz w:val="22"/>
          <w:szCs w:val="22"/>
        </w:rPr>
        <w:t> </w:t>
      </w:r>
    </w:p>
    <w:p w14:paraId="0033A855" w14:textId="77777777" w:rsidR="00756F0F" w:rsidRPr="00ED7E61" w:rsidRDefault="00756F0F" w:rsidP="00B10F0C">
      <w:pPr>
        <w:pStyle w:val="CBDNormalNumber"/>
        <w:numPr>
          <w:ilvl w:val="0"/>
          <w:numId w:val="32"/>
        </w:numPr>
        <w:ind w:left="567" w:firstLine="0"/>
        <w:jc w:val="left"/>
        <w:rPr>
          <w:rFonts w:asciiTheme="majorBidi" w:hAnsiTheme="majorBidi" w:cstheme="majorBidi"/>
          <w:color w:val="4A4A4A"/>
        </w:rPr>
      </w:pPr>
      <w:r w:rsidRPr="00ED7E61">
        <w:rPr>
          <w:rStyle w:val="normaltextrun"/>
          <w:rFonts w:asciiTheme="majorBidi" w:eastAsiaTheme="majorEastAsia" w:hAnsiTheme="majorBidi" w:cstheme="majorBidi"/>
        </w:rPr>
        <w:t>The fish stocks that FAO has monitored since 1974 represent a wide spectrum of data availability, ranging from data-rich and formally assessed stocks to those that have very little information apart from catch statistics by FAO major fishing area and those with no stock assessment at all. For the purposes of using the best available data and information and maintaining consistency among stocks and assessors, a procedure has been defined to identify stock status information (FAO 2011). </w:t>
      </w:r>
      <w:r w:rsidRPr="00ED7E61">
        <w:rPr>
          <w:rStyle w:val="eop"/>
          <w:rFonts w:asciiTheme="majorBidi" w:eastAsiaTheme="majorEastAsia" w:hAnsiTheme="majorBidi" w:cstheme="majorBidi"/>
        </w:rPr>
        <w:t> </w:t>
      </w:r>
    </w:p>
    <w:p w14:paraId="566ABF4E" w14:textId="43B0AAEC" w:rsidR="00756F0F" w:rsidRPr="00ED7E61" w:rsidRDefault="00756F0F" w:rsidP="002B5C03">
      <w:pPr>
        <w:pStyle w:val="paragraph"/>
        <w:spacing w:before="0" w:beforeAutospacing="0" w:after="0" w:afterAutospacing="0"/>
        <w:textAlignment w:val="baseline"/>
        <w:rPr>
          <w:rFonts w:asciiTheme="majorBidi" w:hAnsiTheme="majorBidi" w:cstheme="majorBidi"/>
          <w:color w:val="4A4A4A"/>
          <w:sz w:val="22"/>
          <w:szCs w:val="22"/>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lang w:val="en-GB"/>
        </w:rPr>
        <w:t>National: </w:t>
      </w:r>
      <w:r w:rsidRPr="00ED7E61">
        <w:rPr>
          <w:rStyle w:val="eop"/>
          <w:rFonts w:asciiTheme="majorBidi" w:eastAsiaTheme="majorEastAsia" w:hAnsiTheme="majorBidi" w:cstheme="majorBidi"/>
          <w:sz w:val="22"/>
          <w:szCs w:val="22"/>
        </w:rPr>
        <w:t> </w:t>
      </w:r>
    </w:p>
    <w:p w14:paraId="7AAFBA39" w14:textId="29D81075"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FAO collects national data through a questionnaire sent to the Principal Focal Point (PFP) of each country. The PFP organises an institutional set-up which identifies the competent authorities to develop a reference list of stocks and completes the questionnaire.</w:t>
      </w:r>
      <w:r w:rsidRPr="00ED7E61">
        <w:rPr>
          <w:rStyle w:val="eop"/>
          <w:rFonts w:asciiTheme="majorBidi" w:eastAsiaTheme="majorEastAsia" w:hAnsiTheme="majorBidi" w:cstheme="majorBidi"/>
        </w:rPr>
        <w:t> </w:t>
      </w:r>
    </w:p>
    <w:p w14:paraId="459C775C" w14:textId="0D123721"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During the initial stages of national data reporting, the information or data collected through the</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questionnaire from a country will initially only inform the indicator for the individual countries, also</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acknowledging the need for a learning curve along the few first questionnaire inquiries. As a result, the global/regional indicator remains during these initial stages separate from the national indicators.</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However, FAO is working on a convergence (where possible) of the two processes, and good-quality stock status assessments reported by countries for the national indicators will be included in the regional/global indicator calculations, depending on the evolution and further standardization of country reporting over the next 3-5 years.</w:t>
      </w:r>
      <w:r w:rsidRPr="00ED7E61">
        <w:rPr>
          <w:rStyle w:val="eop"/>
          <w:rFonts w:asciiTheme="majorBidi" w:eastAsiaTheme="majorEastAsia" w:hAnsiTheme="majorBidi" w:cstheme="majorBidi"/>
        </w:rPr>
        <w:t> </w:t>
      </w:r>
    </w:p>
    <w:p w14:paraId="1E9BD439" w14:textId="77777777" w:rsidR="00756F0F" w:rsidRPr="00ED7E61" w:rsidRDefault="00756F0F" w:rsidP="00B10F0C">
      <w:pPr>
        <w:pStyle w:val="CBDNormalNumber"/>
        <w:numPr>
          <w:ilvl w:val="0"/>
          <w:numId w:val="32"/>
        </w:numPr>
        <w:ind w:left="567" w:firstLine="0"/>
        <w:jc w:val="left"/>
        <w:rPr>
          <w:rFonts w:asciiTheme="majorBidi" w:hAnsiTheme="majorBidi" w:cstheme="majorBidi"/>
          <w:color w:val="4A4A4A"/>
        </w:rPr>
      </w:pPr>
      <w:r w:rsidRPr="00ED7E61">
        <w:rPr>
          <w:rStyle w:val="normaltextrun"/>
          <w:rFonts w:asciiTheme="majorBidi" w:eastAsiaTheme="majorEastAsia" w:hAnsiTheme="majorBidi" w:cstheme="majorBidi"/>
        </w:rPr>
        <w:t>Despite this effort, due to the heterogeneity of reporting from countries in the same FAO Major Fishing Area, and the necessary inclusion of straddling and highly migratory stocks and fisheries in the regional and global indicator, it is unlikely that a full convergence will be achieved in a short time-frame</w:t>
      </w:r>
      <w:r w:rsidRPr="00ED7E61">
        <w:rPr>
          <w:rStyle w:val="eop"/>
          <w:rFonts w:asciiTheme="majorBidi" w:eastAsiaTheme="majorEastAsia" w:hAnsiTheme="majorBidi" w:cstheme="majorBidi"/>
        </w:rPr>
        <w:t> </w:t>
      </w:r>
    </w:p>
    <w:p w14:paraId="5B29535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6DBA9D5E" w14:textId="1EA5401E"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In each country, the data available for each stock and expertise level to conduct different types of assessments will differ. Some countries may have classic stock assessments already conducted for many of their stocks, while others may have very few or no assessments available. </w:t>
      </w:r>
      <w:r w:rsidRPr="00ED7E61">
        <w:rPr>
          <w:rStyle w:val="eop"/>
          <w:rFonts w:asciiTheme="majorBidi" w:eastAsiaTheme="majorEastAsia" w:hAnsiTheme="majorBidi" w:cstheme="majorBidi"/>
        </w:rPr>
        <w:t> </w:t>
      </w:r>
    </w:p>
    <w:p w14:paraId="7D733576" w14:textId="11D9F345"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For some countries, little stock assessment has been done. To help these countries and to facilitate their reporting, FAO prepared online materials and tools, including a selection of methods that can be used to evaluate stock status with data limited methods such as length-based and catch-only methods. The strengths and limitations of these methods are discussed in an eLearning course (Lesson 4), and caveats were also provided to avoid misuse and exercise cautions in practice. Furthermore, capacity building workshops have been organised to provide support to countries in stock assessment and reporting on the SDG 14.4.1.</w:t>
      </w:r>
      <w:r w:rsidRPr="00ED7E61">
        <w:rPr>
          <w:rStyle w:val="eop"/>
          <w:rFonts w:asciiTheme="majorBidi" w:eastAsiaTheme="majorEastAsia" w:hAnsiTheme="majorBidi" w:cstheme="majorBidi"/>
        </w:rPr>
        <w:t> </w:t>
      </w:r>
    </w:p>
    <w:p w14:paraId="0DB0FCF4" w14:textId="77777777"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 xml:space="preserve">eLearning course: </w:t>
      </w:r>
      <w:hyperlink r:id="rId439" w:tgtFrame="_blank" w:history="1">
        <w:r w:rsidRPr="00ED7E61">
          <w:rPr>
            <w:rStyle w:val="normaltextrun"/>
            <w:rFonts w:asciiTheme="majorBidi" w:eastAsiaTheme="majorEastAsia" w:hAnsiTheme="majorBidi" w:cstheme="majorBidi"/>
            <w:color w:val="467886"/>
            <w:u w:val="single"/>
          </w:rPr>
          <w:t>https://elearning.fao.org/course/view.php?id=502</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59E4E79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7407E0C5" w14:textId="3841B20A"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 classification of the status of exploited stocks relatively to the abundance that can produce MSY is often established through a formal stock assessment process. The data to inform stock assessments can come from many different sources, including fishery-dependent and fishery-independent sources. Fishery-dependent data are collected from the fishery itself, using both commercial and recreational sources through reporting or sample-based surveys at sea, at landing sites, or within fishing communities.</w:t>
      </w:r>
      <w:r w:rsidRPr="00ED7E61">
        <w:rPr>
          <w:rStyle w:val="eop"/>
          <w:rFonts w:asciiTheme="majorBidi" w:eastAsiaTheme="majorEastAsia" w:hAnsiTheme="majorBidi" w:cstheme="majorBidi"/>
        </w:rPr>
        <w:t> </w:t>
      </w:r>
    </w:p>
    <w:p w14:paraId="2C5B6143" w14:textId="49B0C6FB"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They can include information on removals of fish from the sea, which can include landings and discards, and information on the fleet such as number of boats, number of tows, time spent on the sea, as well as economic and social information like fish prices, fuel expenditures, total sales, employment or other.</w:t>
      </w:r>
      <w:r w:rsidRPr="00ED7E61">
        <w:rPr>
          <w:rStyle w:val="eop"/>
          <w:rFonts w:asciiTheme="majorBidi" w:eastAsiaTheme="majorEastAsia" w:hAnsiTheme="majorBidi" w:cstheme="majorBidi"/>
        </w:rPr>
        <w:t> </w:t>
      </w:r>
    </w:p>
    <w:p w14:paraId="27961255" w14:textId="7975D140"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Fishery-independent data are obtained in ways not related to any fishing activity and are typically</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collected by scientists via surveys (often scientific cruises) designed to estimate species abundance and biomass over long time series, and over consistent seasons and geographic areas. Typically, fisheries- independent data also include biological information on the species (age, length, weight, maturity, etc.), and habitat and environmental information (temperature, salinity, depth, etc.).</w:t>
      </w:r>
      <w:r w:rsidRPr="00ED7E61">
        <w:rPr>
          <w:rStyle w:val="eop"/>
          <w:rFonts w:asciiTheme="majorBidi" w:eastAsiaTheme="majorEastAsia" w:hAnsiTheme="majorBidi" w:cstheme="majorBidi"/>
        </w:rPr>
        <w:t> </w:t>
      </w:r>
    </w:p>
    <w:p w14:paraId="560401F5" w14:textId="636896DF"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These data and other information are used by Stock Assessment scientists to classify the stock status. References on the methods most commonly used can be found in Cadima (2003), Haddon (2011), Sparre and Venema (1998) and other publications dealing with the methods of stock assessment.</w:t>
      </w:r>
      <w:r w:rsidRPr="00ED7E61">
        <w:rPr>
          <w:rStyle w:val="eop"/>
          <w:rFonts w:asciiTheme="majorBidi" w:eastAsiaTheme="majorEastAsia" w:hAnsiTheme="majorBidi" w:cstheme="majorBidi"/>
        </w:rPr>
        <w:t> </w:t>
      </w:r>
    </w:p>
    <w:p w14:paraId="3672767F" w14:textId="3E70E22C"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 information used for the indicator at the Global/Regional level is based on a different process and</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data sources than that used for the national level</w:t>
      </w:r>
      <w:r w:rsidRPr="00ED7E61">
        <w:rPr>
          <w:rStyle w:val="eop"/>
          <w:rFonts w:asciiTheme="majorBidi" w:eastAsiaTheme="majorEastAsia" w:hAnsiTheme="majorBidi" w:cstheme="majorBidi"/>
        </w:rPr>
        <w:t> </w:t>
      </w:r>
    </w:p>
    <w:p w14:paraId="6038AB8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Global/Regional:</w:t>
      </w:r>
      <w:r w:rsidRPr="00ED7E61">
        <w:rPr>
          <w:rStyle w:val="eop"/>
          <w:rFonts w:asciiTheme="majorBidi" w:eastAsiaTheme="majorEastAsia" w:hAnsiTheme="majorBidi" w:cstheme="majorBidi"/>
          <w:sz w:val="22"/>
          <w:szCs w:val="22"/>
        </w:rPr>
        <w:t> </w:t>
      </w:r>
    </w:p>
    <w:p w14:paraId="7918EECC" w14:textId="6E394827" w:rsidR="00756F0F"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asciiTheme="majorBidi" w:eastAsiaTheme="majorEastAsia" w:hAnsiTheme="majorBidi" w:cstheme="majorBidi"/>
        </w:rPr>
        <w:t>Because of the high data demands of classical stock assessment methods, only a limited number of fish stocks have been assessed. These species account for ca 50 percent of the global catch (Hilborn et al. 2020), and most are caught by industrial fisheries in developed countries .To balance the global representativeness of the assessment results and the goal of using the best available information, the</w:t>
      </w:r>
      <w:r w:rsidRPr="00ED7E61">
        <w:rPr>
          <w:rStyle w:val="normaltextrun"/>
        </w:rPr>
        <w:t> </w:t>
      </w:r>
      <w:r w:rsidRPr="00ED7E61">
        <w:rPr>
          <w:rStyle w:val="normaltextrun"/>
          <w:rFonts w:asciiTheme="majorBidi" w:eastAsiaTheme="majorEastAsia" w:hAnsiTheme="majorBidi" w:cstheme="majorBidi"/>
        </w:rPr>
        <w:t>FAO uses a wide spectrum of data and methods to extend its assessment to the fish stocks that account for the majority (70-80 percent) of the global catch (FAO, 2011).</w:t>
      </w:r>
      <w:r w:rsidRPr="00ED7E61">
        <w:rPr>
          <w:rStyle w:val="normaltextrun"/>
        </w:rPr>
        <w:t> </w:t>
      </w:r>
    </w:p>
    <w:p w14:paraId="4C8DEE0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National:</w:t>
      </w:r>
      <w:r w:rsidRPr="00ED7E61">
        <w:rPr>
          <w:rStyle w:val="eop"/>
          <w:rFonts w:asciiTheme="majorBidi" w:eastAsiaTheme="majorEastAsia" w:hAnsiTheme="majorBidi" w:cstheme="majorBidi"/>
          <w:sz w:val="22"/>
          <w:szCs w:val="22"/>
        </w:rPr>
        <w:t> </w:t>
      </w:r>
    </w:p>
    <w:p w14:paraId="10D6E8A9" w14:textId="4E4AF019" w:rsidR="002B5C03"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asciiTheme="majorBidi" w:eastAsiaTheme="majorEastAsia" w:hAnsiTheme="majorBidi" w:cstheme="majorBidi"/>
        </w:rPr>
        <w:t>The national level indicator, on the other hand, is based exclusively on the stock status reported by</w:t>
      </w:r>
      <w:r w:rsidRPr="00ED7E61">
        <w:rPr>
          <w:rStyle w:val="normaltextrun"/>
        </w:rPr>
        <w:t> </w:t>
      </w:r>
      <w:r w:rsidRPr="00ED7E61">
        <w:rPr>
          <w:rStyle w:val="normaltextrun"/>
          <w:rFonts w:asciiTheme="majorBidi" w:eastAsiaTheme="majorEastAsia" w:hAnsiTheme="majorBidi" w:cstheme="majorBidi"/>
        </w:rPr>
        <w:t>countries. A multiplicity of methods are used to classify the stock status, including model-based</w:t>
      </w:r>
      <w:r w:rsidRPr="00ED7E61">
        <w:rPr>
          <w:rStyle w:val="normaltextrun"/>
        </w:rPr>
        <w:t> </w:t>
      </w:r>
      <w:r w:rsidRPr="00ED7E61">
        <w:rPr>
          <w:rStyle w:val="normaltextrun"/>
          <w:rFonts w:asciiTheme="majorBidi" w:eastAsiaTheme="majorEastAsia" w:hAnsiTheme="majorBidi" w:cstheme="majorBidi"/>
        </w:rPr>
        <w:t>estimates, empirical indicators and documented expert opinion.</w:t>
      </w:r>
      <w:r w:rsidRPr="00ED7E61">
        <w:rPr>
          <w:rStyle w:val="normaltextrun"/>
        </w:rPr>
        <w:t> </w:t>
      </w:r>
    </w:p>
    <w:p w14:paraId="5EA0F410" w14:textId="2691FA27"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For country reporting, a questionnaire was sent out to all FAO member States with marine boundaries</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 xml:space="preserve">(i.e. 165 States) in 2019, and </w:t>
      </w:r>
      <w:r w:rsidR="00737A66">
        <w:rPr>
          <w:rStyle w:val="normaltextrun"/>
          <w:rFonts w:asciiTheme="majorBidi" w:eastAsiaTheme="majorEastAsia" w:hAnsiTheme="majorBidi" w:cstheme="majorBidi"/>
        </w:rPr>
        <w:t>was</w:t>
      </w:r>
      <w:r w:rsidRPr="00ED7E61">
        <w:rPr>
          <w:rStyle w:val="normaltextrun"/>
          <w:rFonts w:asciiTheme="majorBidi" w:eastAsiaTheme="majorEastAsia" w:hAnsiTheme="majorBidi" w:cstheme="majorBidi"/>
        </w:rPr>
        <w:t xml:space="preserve"> resent in 2021, and then on a two-year basis. For the complete list of questions used to inform this indicator, please refer to Appendix 2 (</w:t>
      </w:r>
      <w:hyperlink r:id="rId440" w:tgtFrame="_blank" w:history="1">
        <w:r w:rsidRPr="00ED7E61">
          <w:rPr>
            <w:rStyle w:val="normaltextrun"/>
            <w:rFonts w:asciiTheme="majorBidi" w:eastAsiaTheme="majorEastAsia" w:hAnsiTheme="majorBidi" w:cstheme="majorBidi"/>
            <w:color w:val="467886"/>
            <w:u w:val="single"/>
          </w:rPr>
          <w:t>https://unstats.un.org/sdgs/metadata/files/Metadata-14-04-01.pdf</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611FBD3C" w14:textId="0E6BC906" w:rsidR="00756F0F" w:rsidRPr="00ED7E61" w:rsidRDefault="00756F0F" w:rsidP="005B0D1E">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19AB7EB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Data availability:</w:t>
      </w:r>
      <w:r w:rsidRPr="00ED7E61">
        <w:rPr>
          <w:rStyle w:val="eop"/>
          <w:rFonts w:asciiTheme="majorBidi" w:eastAsiaTheme="majorEastAsia" w:hAnsiTheme="majorBidi" w:cstheme="majorBidi"/>
          <w:sz w:val="22"/>
          <w:szCs w:val="22"/>
        </w:rPr>
        <w:t> </w:t>
      </w:r>
    </w:p>
    <w:p w14:paraId="477D92F4" w14:textId="47D667E9"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Global/regional: the indicator has global and regional data from 1974 to 2019. Regional breakdown is by FAO major fishing area. The regional and global indicators were calculated based on the reference list of fish stocks FAO established in 1974. Countries are not directly involved in the computation of the indicator at global/regional level.</w:t>
      </w:r>
      <w:r w:rsidRPr="00ED7E61">
        <w:rPr>
          <w:rStyle w:val="eop"/>
          <w:rFonts w:asciiTheme="majorBidi" w:eastAsiaTheme="majorEastAsia" w:hAnsiTheme="majorBidi" w:cstheme="majorBidi"/>
        </w:rPr>
        <w:t> </w:t>
      </w:r>
    </w:p>
    <w:p w14:paraId="10EB22B3" w14:textId="77777777"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National: the national-level questionnaire was dispatched for the first time in November 2019; FAO identifies 165 countries with a marine border, and three countries with Caspian Sea border, as being eligible, in principle, to report. As the result of the first questionnaire call, ninety-eight countries expressed interest in the indicator (59%), of which eighty-three replied with completed questionnaires while three countries reported the indicator separately (52%), 11 countries stated that they could not report due to lack of data or time, and one responded with some catch data.</w:t>
      </w:r>
      <w:r w:rsidRPr="00ED7E61">
        <w:rPr>
          <w:rStyle w:val="eop"/>
          <w:rFonts w:asciiTheme="majorBidi" w:eastAsiaTheme="majorEastAsia" w:hAnsiTheme="majorBidi" w:cstheme="majorBidi"/>
        </w:rPr>
        <w:t> </w:t>
      </w:r>
    </w:p>
    <w:p w14:paraId="279EF18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Data release calendar:</w:t>
      </w:r>
      <w:r w:rsidRPr="00ED7E61">
        <w:rPr>
          <w:rStyle w:val="eop"/>
          <w:rFonts w:asciiTheme="majorBidi" w:eastAsiaTheme="majorEastAsia" w:hAnsiTheme="majorBidi" w:cstheme="majorBidi"/>
          <w:sz w:val="22"/>
          <w:szCs w:val="22"/>
        </w:rPr>
        <w:t> </w:t>
      </w:r>
    </w:p>
    <w:p w14:paraId="1BDAD548" w14:textId="5D24C1CF" w:rsidR="002B5C03"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asciiTheme="majorBidi" w:eastAsiaTheme="majorEastAsia" w:hAnsiTheme="majorBidi" w:cstheme="majorBidi"/>
        </w:rPr>
        <w:t>Global/regional: biennially</w:t>
      </w:r>
      <w:r w:rsidRPr="00ED7E61">
        <w:rPr>
          <w:rStyle w:val="normaltextrun"/>
        </w:rPr>
        <w:t> </w:t>
      </w:r>
    </w:p>
    <w:p w14:paraId="0B00F458" w14:textId="77777777"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National: biennially.</w:t>
      </w:r>
      <w:r w:rsidRPr="00ED7E61">
        <w:rPr>
          <w:rStyle w:val="eop"/>
          <w:rFonts w:asciiTheme="majorBidi" w:eastAsiaTheme="majorEastAsia" w:hAnsiTheme="majorBidi" w:cstheme="majorBidi"/>
        </w:rPr>
        <w:t> </w:t>
      </w:r>
    </w:p>
    <w:p w14:paraId="3EAA842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E9C77C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Global/regional level: </w:t>
      </w:r>
      <w:r w:rsidRPr="00ED7E61">
        <w:rPr>
          <w:rStyle w:val="eop"/>
          <w:rFonts w:asciiTheme="majorBidi" w:eastAsiaTheme="majorEastAsia" w:hAnsiTheme="majorBidi" w:cstheme="majorBidi"/>
          <w:sz w:val="22"/>
          <w:szCs w:val="22"/>
        </w:rPr>
        <w:t> </w:t>
      </w:r>
    </w:p>
    <w:p w14:paraId="43ABDC31" w14:textId="77777777" w:rsidR="00756F0F" w:rsidRPr="00ED7E61" w:rsidRDefault="00756F0F" w:rsidP="005C6EAC">
      <w:pPr>
        <w:pStyle w:val="CBDNormalNumber"/>
        <w:numPr>
          <w:ilvl w:val="0"/>
          <w:numId w:val="0"/>
        </w:numPr>
        <w:ind w:left="567"/>
        <w:jc w:val="left"/>
        <w:rPr>
          <w:rStyle w:val="normaltextrun"/>
          <w:rFonts w:eastAsiaTheme="majorEastAsia"/>
        </w:rPr>
      </w:pPr>
      <w:r w:rsidRPr="00ED7E61">
        <w:rPr>
          <w:rStyle w:val="normaltextrun"/>
          <w:rFonts w:asciiTheme="majorBidi" w:eastAsiaTheme="majorEastAsia" w:hAnsiTheme="majorBidi" w:cstheme="majorBidi"/>
        </w:rPr>
        <w:t>1974 to 2019.</w:t>
      </w:r>
      <w:r w:rsidRPr="00ED7E61">
        <w:rPr>
          <w:rStyle w:val="normaltextrun"/>
        </w:rPr>
        <w:t> </w:t>
      </w:r>
    </w:p>
    <w:p w14:paraId="332B27E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National level: </w:t>
      </w:r>
      <w:r w:rsidRPr="00ED7E61">
        <w:rPr>
          <w:rStyle w:val="eop"/>
          <w:rFonts w:asciiTheme="majorBidi" w:eastAsiaTheme="majorEastAsia" w:hAnsiTheme="majorBidi" w:cstheme="majorBidi"/>
          <w:sz w:val="22"/>
          <w:szCs w:val="22"/>
        </w:rPr>
        <w:t> </w:t>
      </w:r>
    </w:p>
    <w:p w14:paraId="19A6BC89" w14:textId="77777777" w:rsidR="00756F0F" w:rsidRPr="00ED7E61" w:rsidRDefault="00756F0F" w:rsidP="005C6EAC">
      <w:pPr>
        <w:pStyle w:val="CBDNormalNumber"/>
        <w:numPr>
          <w:ilvl w:val="0"/>
          <w:numId w:val="0"/>
        </w:numPr>
        <w:ind w:left="567"/>
        <w:jc w:val="left"/>
        <w:rPr>
          <w:rStyle w:val="normaltextrun"/>
          <w:rFonts w:eastAsiaTheme="majorEastAsia"/>
        </w:rPr>
      </w:pPr>
      <w:r w:rsidRPr="00ED7E61">
        <w:rPr>
          <w:rStyle w:val="normaltextrun"/>
          <w:rFonts w:asciiTheme="majorBidi" w:eastAsiaTheme="majorEastAsia" w:hAnsiTheme="majorBidi" w:cstheme="majorBidi"/>
        </w:rPr>
        <w:t>First questionnaire dispatched in November 2019, considered a trial/testing phase. Upon comprehensive Quality Assurance analysis, FAO reported the full results of this first inquiry through UNSD in February 2022</w:t>
      </w:r>
      <w:r w:rsidRPr="00ED7E61">
        <w:rPr>
          <w:rStyle w:val="normaltextrun"/>
        </w:rPr>
        <w:t> </w:t>
      </w:r>
    </w:p>
    <w:p w14:paraId="2C9B91A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672FDB95" w14:textId="77777777" w:rsidR="00756F0F" w:rsidRPr="00ED7E61" w:rsidRDefault="00756F0F" w:rsidP="005C6EAC">
      <w:pPr>
        <w:pStyle w:val="CBDNormalNumber"/>
        <w:numPr>
          <w:ilvl w:val="0"/>
          <w:numId w:val="0"/>
        </w:numPr>
        <w:ind w:left="567"/>
        <w:jc w:val="left"/>
        <w:rPr>
          <w:rStyle w:val="normaltextrun"/>
          <w:rFonts w:eastAsiaTheme="majorEastAsia"/>
        </w:rPr>
      </w:pPr>
      <w:r w:rsidRPr="00ED7E61">
        <w:rPr>
          <w:rStyle w:val="normaltextrun"/>
          <w:rFonts w:asciiTheme="majorBidi" w:eastAsiaTheme="majorEastAsia" w:hAnsiTheme="majorBidi" w:cstheme="majorBidi"/>
        </w:rPr>
        <w:t>FAO provides global and regional data. National-level data are generally reported by the National Statistics Office or the Ministry of Fisheries and/or Agriculture</w:t>
      </w:r>
      <w:r w:rsidRPr="00ED7E61">
        <w:rPr>
          <w:rStyle w:val="normaltextrun"/>
        </w:rPr>
        <w:t> </w:t>
      </w:r>
    </w:p>
    <w:p w14:paraId="3207BF2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E3CA403" w14:textId="77777777" w:rsidR="00756F0F" w:rsidRPr="00ED7E61" w:rsidRDefault="00756F0F" w:rsidP="005C6EAC">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FAO</w:t>
      </w:r>
      <w:r w:rsidRPr="00ED7E61">
        <w:rPr>
          <w:rStyle w:val="eop"/>
          <w:rFonts w:asciiTheme="majorBidi" w:eastAsiaTheme="majorEastAsia" w:hAnsiTheme="majorBidi" w:cstheme="majorBidi"/>
        </w:rPr>
        <w:t> </w:t>
      </w:r>
    </w:p>
    <w:p w14:paraId="276D026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lang w:val="en-GB"/>
        </w:rPr>
      </w:pPr>
      <w:r w:rsidRPr="00ED7E61">
        <w:rPr>
          <w:rStyle w:val="eop"/>
          <w:rFonts w:asciiTheme="majorBidi" w:eastAsiaTheme="majorEastAsia" w:hAnsiTheme="majorBidi" w:cstheme="majorBidi"/>
          <w:sz w:val="22"/>
          <w:szCs w:val="22"/>
          <w:lang w:val="en-GB"/>
        </w:rPr>
        <w:t> </w:t>
      </w:r>
    </w:p>
    <w:p w14:paraId="1C02C27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30EB829C" w14:textId="77777777" w:rsidR="00756F0F" w:rsidRPr="00ED7E61" w:rsidRDefault="00756F0F" w:rsidP="005C6EAC">
      <w:pPr>
        <w:pStyle w:val="CBDNormalNumber"/>
        <w:numPr>
          <w:ilvl w:val="0"/>
          <w:numId w:val="0"/>
        </w:numPr>
        <w:ind w:left="567"/>
        <w:jc w:val="left"/>
        <w:rPr>
          <w:rStyle w:val="normaltextrun"/>
          <w:rFonts w:eastAsiaTheme="majorEastAsia"/>
        </w:rPr>
      </w:pPr>
      <w:r w:rsidRPr="00ED7E61">
        <w:rPr>
          <w:rStyle w:val="normaltextrun"/>
          <w:rFonts w:asciiTheme="majorBidi" w:eastAsiaTheme="majorEastAsia" w:hAnsiTheme="majorBidi" w:cstheme="majorBidi"/>
          <w:i/>
          <w:iCs/>
        </w:rPr>
        <w:t>N/A</w:t>
      </w:r>
      <w:r w:rsidRPr="00ED7E61">
        <w:rPr>
          <w:rStyle w:val="eop"/>
          <w:rFonts w:asciiTheme="majorBidi" w:eastAsiaTheme="majorEastAsia" w:hAnsiTheme="majorBidi" w:cstheme="majorBidi"/>
        </w:rPr>
        <w:t> </w:t>
      </w:r>
    </w:p>
    <w:p w14:paraId="55FE6EA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1CE8615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Global/regional levels</w:t>
      </w:r>
      <w:r w:rsidRPr="00ED7E61">
        <w:rPr>
          <w:rStyle w:val="eop"/>
          <w:rFonts w:asciiTheme="majorBidi" w:eastAsiaTheme="majorEastAsia" w:hAnsiTheme="majorBidi" w:cstheme="majorBidi"/>
          <w:sz w:val="22"/>
          <w:szCs w:val="22"/>
        </w:rPr>
        <w:t> </w:t>
      </w:r>
    </w:p>
    <w:p w14:paraId="19EB7B43" w14:textId="77777777" w:rsidR="00756F0F"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eastAsiaTheme="majorEastAsia"/>
        </w:rPr>
        <w:t>To ensure completeness of regional and global information on stocks, FAO gathers additional information outside of what is provided by each country, in particular concerning the highly migratory and straddling fishing stocks. For shared stocks, FAO may consult with Regional Fisheries Bodies (RFBs), who are mandated to assess and manage stocks with their contracting parties, in order to receive information and data and conduct stock assessment when necessary. </w:t>
      </w:r>
      <w:r w:rsidRPr="00ED7E61">
        <w:rPr>
          <w:rStyle w:val="normaltextrun"/>
        </w:rPr>
        <w:t> </w:t>
      </w:r>
    </w:p>
    <w:p w14:paraId="79E46A5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National level</w:t>
      </w:r>
      <w:r w:rsidRPr="00ED7E61">
        <w:rPr>
          <w:rStyle w:val="eop"/>
          <w:rFonts w:asciiTheme="majorBidi" w:eastAsiaTheme="majorEastAsia" w:hAnsiTheme="majorBidi" w:cstheme="majorBidi"/>
          <w:sz w:val="22"/>
          <w:szCs w:val="22"/>
        </w:rPr>
        <w:t> </w:t>
      </w:r>
    </w:p>
    <w:p w14:paraId="4AD083DD" w14:textId="77777777" w:rsidR="00756F0F"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eastAsiaTheme="majorEastAsia"/>
        </w:rPr>
        <w:t>This indicator examines marine fish stocks. If a country has no marine capture fisheries, then the indicator is not calculated for that country. In such case, no imputation is performed to derive estimates. For countries reporting limited marine fish stock data, or data scored of low quality after quality assurance process, these are reported as Low reliability (code “</w:t>
      </w:r>
      <w:r w:rsidRPr="00FB1598">
        <w:rPr>
          <w:rStyle w:val="normaltextrun"/>
          <w:rFonts w:eastAsiaTheme="majorEastAsia"/>
          <w:i/>
          <w:iCs/>
        </w:rPr>
        <w:t>U</w:t>
      </w:r>
      <w:r w:rsidRPr="00ED7E61">
        <w:rPr>
          <w:rStyle w:val="normaltextrun"/>
          <w:rFonts w:eastAsiaTheme="majorEastAsia"/>
        </w:rPr>
        <w:t>” of the OBS_STATUS flag)</w:t>
      </w:r>
      <w:r w:rsidRPr="00ED7E61">
        <w:rPr>
          <w:rStyle w:val="normaltextrun"/>
        </w:rPr>
        <w:t> </w:t>
      </w:r>
    </w:p>
    <w:p w14:paraId="3C5FA3A8" w14:textId="77777777"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eastAsiaTheme="majorEastAsia"/>
        </w:rPr>
        <w:t>However</w:t>
      </w:r>
      <w:r w:rsidRPr="00ED7E61">
        <w:rPr>
          <w:rStyle w:val="normaltextrun"/>
          <w:rFonts w:asciiTheme="majorBidi" w:eastAsiaTheme="majorEastAsia" w:hAnsiTheme="majorBidi" w:cstheme="majorBidi"/>
        </w:rPr>
        <w:t>, the estimation of the indicator at regional and global levels was estimated not based on country questionnaires, but by the FAO through a systematic assessment of a reference list selected globally.  </w:t>
      </w:r>
      <w:r w:rsidRPr="00ED7E61">
        <w:rPr>
          <w:rStyle w:val="eop"/>
          <w:rFonts w:asciiTheme="majorBidi" w:eastAsiaTheme="majorEastAsia" w:hAnsiTheme="majorBidi" w:cstheme="majorBidi"/>
        </w:rPr>
        <w:t> </w:t>
      </w:r>
    </w:p>
    <w:p w14:paraId="3C162CD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39C3E30B" w14:textId="77777777" w:rsidR="00756F0F" w:rsidRPr="00ED7E61" w:rsidRDefault="00756F0F" w:rsidP="005C6EAC">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2AE9DEC9" w14:textId="77777777" w:rsidR="00756F0F" w:rsidRPr="00ED7E61" w:rsidRDefault="00756F0F" w:rsidP="005C6EAC">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eop"/>
          <w:rFonts w:asciiTheme="majorBidi" w:eastAsiaTheme="majorEastAsia" w:hAnsiTheme="majorBidi" w:cstheme="majorBidi"/>
          <w:sz w:val="22"/>
          <w:szCs w:val="22"/>
        </w:rPr>
        <w:t> </w:t>
      </w:r>
    </w:p>
    <w:p w14:paraId="69148AED" w14:textId="77777777" w:rsidR="00756F0F" w:rsidRPr="00ED7E61" w:rsidRDefault="00756F0F" w:rsidP="005C6EAC">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 </w:t>
      </w:r>
      <w:r w:rsidRPr="00ED7E61">
        <w:rPr>
          <w:rStyle w:val="normaltextrun"/>
          <w:rFonts w:asciiTheme="majorBidi" w:eastAsiaTheme="majorEastAsia" w:hAnsiTheme="majorBidi" w:cstheme="majorBidi"/>
          <w:sz w:val="22"/>
          <w:szCs w:val="22"/>
        </w:rPr>
        <w:t xml:space="preserve">Global: </w:t>
      </w:r>
      <w:r w:rsidRPr="00ED7E61">
        <w:rPr>
          <w:rStyle w:val="normaltextrun"/>
          <w:rFonts w:ascii="Segoe UI Symbol" w:eastAsiaTheme="majorEastAsia" w:hAnsi="Segoe UI Symbol" w:cs="Segoe UI Symbol"/>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normaltextrun"/>
          <w:rFonts w:ascii="Segoe UI Symbol" w:eastAsiaTheme="majorEastAsia" w:hAnsi="Segoe UI Symbol" w:cs="Segoe UI Symbol"/>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National </w:t>
      </w:r>
      <w:r w:rsidRPr="00ED7E61">
        <w:rPr>
          <w:rStyle w:val="normaltextrun"/>
          <w:rFonts w:ascii="Segoe UI Symbol" w:eastAsiaTheme="majorEastAsia" w:hAnsi="Segoe UI Symbol" w:cs="Segoe UI Symbol"/>
          <w:sz w:val="22"/>
          <w:szCs w:val="22"/>
        </w:rPr>
        <w:t>☒</w:t>
      </w:r>
      <w:r w:rsidRPr="00ED7E61">
        <w:rPr>
          <w:rStyle w:val="eop"/>
          <w:rFonts w:asciiTheme="majorBidi" w:eastAsiaTheme="majorEastAsia" w:hAnsiTheme="majorBidi" w:cstheme="majorBidi"/>
          <w:sz w:val="22"/>
          <w:szCs w:val="22"/>
        </w:rPr>
        <w:t> </w:t>
      </w:r>
    </w:p>
    <w:p w14:paraId="542291FE" w14:textId="77777777" w:rsidR="00756F0F" w:rsidRPr="00ED7E61" w:rsidRDefault="00756F0F" w:rsidP="005C6EAC">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data disaggregation/aggregation: </w:t>
      </w:r>
      <w:r w:rsidRPr="00ED7E61">
        <w:rPr>
          <w:rStyle w:val="eop"/>
          <w:rFonts w:asciiTheme="majorBidi" w:eastAsiaTheme="majorEastAsia" w:hAnsiTheme="majorBidi" w:cstheme="majorBidi"/>
          <w:sz w:val="22"/>
          <w:szCs w:val="22"/>
        </w:rPr>
        <w:t> </w:t>
      </w:r>
    </w:p>
    <w:p w14:paraId="4D47ACB1" w14:textId="77777777" w:rsidR="00756F0F"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eastAsiaTheme="majorEastAsia"/>
        </w:rPr>
        <w:t xml:space="preserve">Global/ regional scale indicator can be disaggregated to national level: </w:t>
      </w:r>
      <w:r w:rsidRPr="00ED7E61">
        <w:rPr>
          <w:rStyle w:val="normaltextrun"/>
          <w:rFonts w:ascii="Segoe UI Symbol" w:eastAsiaTheme="majorEastAsia" w:hAnsi="Segoe UI Symbol" w:cs="Segoe UI Symbol"/>
        </w:rPr>
        <w:t>☐</w:t>
      </w:r>
      <w:r w:rsidRPr="00ED7E61">
        <w:rPr>
          <w:rStyle w:val="normaltextrun"/>
        </w:rPr>
        <w:t> </w:t>
      </w:r>
    </w:p>
    <w:p w14:paraId="51B8DFF6" w14:textId="77777777" w:rsidR="00756F0F"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eastAsiaTheme="majorEastAsia"/>
        </w:rPr>
        <w:t xml:space="preserve">National data is collated to form global indicator: </w:t>
      </w:r>
      <w:r w:rsidRPr="00ED7E61">
        <w:rPr>
          <w:rStyle w:val="normaltextrun"/>
          <w:rFonts w:ascii="Segoe UI Symbol" w:eastAsiaTheme="majorEastAsia" w:hAnsi="Segoe UI Symbol" w:cs="Segoe UI Symbol"/>
        </w:rPr>
        <w:t>☐</w:t>
      </w:r>
      <w:r w:rsidRPr="00ED7E61">
        <w:rPr>
          <w:rStyle w:val="normaltextrun"/>
        </w:rPr>
        <w:t> </w:t>
      </w:r>
    </w:p>
    <w:p w14:paraId="3C74BC2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65631190" w14:textId="662C1BA8"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eastAsiaTheme="majorEastAsia"/>
        </w:rPr>
        <w:t>In</w:t>
      </w:r>
      <w:r w:rsidRPr="00ED7E61">
        <w:rPr>
          <w:rStyle w:val="normaltextrun"/>
          <w:rFonts w:asciiTheme="majorBidi" w:eastAsiaTheme="majorEastAsia" w:hAnsiTheme="majorBidi" w:cstheme="majorBidi"/>
        </w:rPr>
        <w:t xml:space="preserve"> each country, the data available for each stock and expertise level to conduct different types of</w:t>
      </w:r>
      <w:r w:rsidRPr="00ED7E61">
        <w:rPr>
          <w:rStyle w:val="scxw55407066"/>
          <w:rFonts w:asciiTheme="majorBidi" w:eastAsiaTheme="majorEastAsia" w:hAnsiTheme="majorBidi" w:cstheme="majorBidi"/>
        </w:rPr>
        <w:t> </w:t>
      </w:r>
      <w:r w:rsidRPr="00ED7E61">
        <w:rPr>
          <w:rStyle w:val="normaltextrun"/>
          <w:rFonts w:asciiTheme="majorBidi" w:eastAsiaTheme="majorEastAsia" w:hAnsiTheme="majorBidi" w:cstheme="majorBidi"/>
        </w:rPr>
        <w:t>assessments will differ. Some countries may have classic stock assessments already conducted for many of their stocks, while others may have very few or no assessments available.</w:t>
      </w:r>
      <w:r w:rsidRPr="00ED7E61">
        <w:rPr>
          <w:rStyle w:val="scxw55407066"/>
          <w:rFonts w:asciiTheme="majorBidi" w:eastAsiaTheme="majorEastAsia" w:hAnsiTheme="majorBidi" w:cstheme="majorBidi"/>
        </w:rPr>
        <w:t> </w:t>
      </w:r>
      <w:r w:rsidRPr="00ED7E61">
        <w:rPr>
          <w:rFonts w:asciiTheme="majorBidi" w:hAnsiTheme="majorBidi" w:cstheme="majorBidi"/>
        </w:rPr>
        <w:br/>
      </w:r>
      <w:r w:rsidRPr="00ED7E61">
        <w:rPr>
          <w:rStyle w:val="normaltextrun"/>
          <w:rFonts w:asciiTheme="majorBidi" w:eastAsiaTheme="majorEastAsia" w:hAnsiTheme="majorBidi" w:cstheme="majorBidi"/>
        </w:rPr>
        <w:t>For some countries, little stock assessment has been done. To help these countries and to facilitate their reporting, FAO prepared online materials and tools, including a selection of methods that can be used to evaluate stock status with data limited methods such as length-based and catch-only methods and an online platform for hands-on practice. The strengths and limitations of these methods are discussed in an eLearning course (Lesson 4), and caveats were also provided to avoid misuse and exercise cautions in practice. Furthermore, capacity development workshops have been organised to provide support to countries in stock assessment and reporting on the SDG 14.4.1.</w:t>
      </w:r>
      <w:r w:rsidRPr="00ED7E61">
        <w:rPr>
          <w:rStyle w:val="scxw55407066"/>
          <w:rFonts w:asciiTheme="majorBidi" w:eastAsiaTheme="majorEastAsia" w:hAnsiTheme="majorBidi" w:cstheme="majorBidi"/>
        </w:rPr>
        <w:t> </w:t>
      </w:r>
      <w:r w:rsidRPr="00ED7E61">
        <w:rPr>
          <w:rFonts w:asciiTheme="majorBidi" w:hAnsiTheme="majorBidi" w:cstheme="majorBidi"/>
        </w:rPr>
        <w:br/>
      </w:r>
      <w:r w:rsidRPr="00ED7E61">
        <w:rPr>
          <w:rStyle w:val="normaltextrun"/>
          <w:rFonts w:asciiTheme="majorBidi" w:eastAsiaTheme="majorEastAsia" w:hAnsiTheme="majorBidi" w:cstheme="majorBidi"/>
        </w:rPr>
        <w:t xml:space="preserve">eLearning course: </w:t>
      </w:r>
      <w:hyperlink r:id="rId441" w:history="1">
        <w:r w:rsidR="002B5C03" w:rsidRPr="00ED7E61">
          <w:rPr>
            <w:rStyle w:val="Hyperlink"/>
            <w:rFonts w:asciiTheme="majorBidi" w:eastAsiaTheme="majorEastAsia" w:hAnsiTheme="majorBidi" w:cstheme="majorBidi"/>
          </w:rPr>
          <w:t>https://elearning.fao.org/course/view.php?id=502</w:t>
        </w:r>
      </w:hyperlink>
      <w:r w:rsidRPr="00ED7E61">
        <w:rPr>
          <w:rStyle w:val="eop"/>
          <w:rFonts w:asciiTheme="majorBidi" w:eastAsiaTheme="majorEastAsia" w:hAnsiTheme="majorBidi" w:cstheme="majorBidi"/>
        </w:rPr>
        <w:t> </w:t>
      </w:r>
    </w:p>
    <w:p w14:paraId="015D6BE9" w14:textId="55FB2D5D" w:rsidR="00756F0F" w:rsidRPr="00ED7E61" w:rsidRDefault="00756F0F" w:rsidP="00DD72A3">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7801868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Sources of discrepancies:</w:t>
      </w:r>
      <w:r w:rsidRPr="00ED7E61">
        <w:rPr>
          <w:rStyle w:val="eop"/>
          <w:rFonts w:asciiTheme="majorBidi" w:eastAsiaTheme="majorEastAsia" w:hAnsiTheme="majorBidi" w:cstheme="majorBidi"/>
          <w:sz w:val="22"/>
          <w:szCs w:val="22"/>
        </w:rPr>
        <w:t> </w:t>
      </w:r>
    </w:p>
    <w:p w14:paraId="6D940FA3" w14:textId="493678EB"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eastAsiaTheme="majorEastAsia"/>
        </w:rPr>
        <w:t>The</w:t>
      </w:r>
      <w:r w:rsidRPr="00ED7E61">
        <w:rPr>
          <w:rStyle w:val="normaltextrun"/>
          <w:rFonts w:asciiTheme="majorBidi" w:eastAsiaTheme="majorEastAsia" w:hAnsiTheme="majorBidi" w:cstheme="majorBidi"/>
        </w:rPr>
        <w:t xml:space="preserve"> indicator is estimated by the FAO based on the methodology developed in the 1980s (FAO, 2011). Although regular updates were carried out to incorporate technical advances and changes in major fish species, some discrepancies between regions may occur in the representativeness of the reference list in practical fisheries. However, this will not pose a large impact on the reliability of the </w:t>
      </w:r>
      <w:r w:rsidR="00E34A44">
        <w:rPr>
          <w:rStyle w:val="normaltextrun"/>
          <w:rFonts w:asciiTheme="majorBidi" w:eastAsiaTheme="majorEastAsia" w:hAnsiTheme="majorBidi" w:cstheme="majorBidi"/>
        </w:rPr>
        <w:t>g</w:t>
      </w:r>
      <w:r w:rsidRPr="00ED7E61">
        <w:rPr>
          <w:rStyle w:val="normaltextrun"/>
          <w:rFonts w:asciiTheme="majorBidi" w:eastAsiaTheme="majorEastAsia" w:hAnsiTheme="majorBidi" w:cstheme="majorBidi"/>
        </w:rPr>
        <w:t>lobal indicator’s temporal trends which covers 75% of global landings.</w:t>
      </w:r>
      <w:r w:rsidRPr="00ED7E61">
        <w:rPr>
          <w:rStyle w:val="eop"/>
          <w:rFonts w:asciiTheme="majorBidi" w:eastAsiaTheme="majorEastAsia" w:hAnsiTheme="majorBidi" w:cstheme="majorBidi"/>
        </w:rPr>
        <w:t> </w:t>
      </w:r>
    </w:p>
    <w:p w14:paraId="6428D6F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0DCC0AE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w:t>
      </w:r>
      <w:r w:rsidRPr="00ED7E61">
        <w:rPr>
          <w:rStyle w:val="normaltextrun"/>
          <w:rFonts w:asciiTheme="majorBidi" w:eastAsiaTheme="majorEastAsia" w:hAnsiTheme="majorBidi" w:cstheme="majorBidi"/>
          <w:sz w:val="22"/>
          <w:szCs w:val="22"/>
        </w:rPr>
        <w:t xml:space="preserve"> </w:t>
      </w:r>
      <w:r w:rsidRPr="00ED7E61">
        <w:rPr>
          <w:rStyle w:val="normaltextrun"/>
          <w:rFonts w:asciiTheme="majorBidi" w:eastAsiaTheme="majorEastAsia" w:hAnsiTheme="majorBidi" w:cstheme="majorBidi"/>
          <w:i/>
          <w:iCs/>
          <w:sz w:val="22"/>
          <w:szCs w:val="22"/>
        </w:rPr>
        <w:t>Description of the methodology</w:t>
      </w:r>
      <w:r w:rsidRPr="00ED7E61">
        <w:rPr>
          <w:rStyle w:val="eop"/>
          <w:rFonts w:asciiTheme="majorBidi" w:eastAsiaTheme="majorEastAsia" w:hAnsiTheme="majorBidi" w:cstheme="majorBidi"/>
          <w:sz w:val="22"/>
          <w:szCs w:val="22"/>
        </w:rPr>
        <w:t> </w:t>
      </w:r>
    </w:p>
    <w:p w14:paraId="67CB8188" w14:textId="77777777"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eastAsiaTheme="majorEastAsia"/>
        </w:rPr>
        <w:t>As</w:t>
      </w:r>
      <w:r w:rsidRPr="00ED7E61">
        <w:rPr>
          <w:rStyle w:val="normaltextrun"/>
          <w:rFonts w:asciiTheme="majorBidi" w:eastAsiaTheme="majorEastAsia" w:hAnsiTheme="majorBidi" w:cstheme="majorBidi"/>
        </w:rPr>
        <w:t xml:space="preserve"> explained in the “</w:t>
      </w:r>
      <w:r w:rsidRPr="00FB1598">
        <w:rPr>
          <w:rStyle w:val="normaltextrun"/>
          <w:rFonts w:asciiTheme="majorBidi" w:eastAsiaTheme="majorEastAsia" w:hAnsiTheme="majorBidi" w:cstheme="majorBidi"/>
          <w:i/>
          <w:iCs/>
        </w:rPr>
        <w:t>Rationale</w:t>
      </w:r>
      <w:r w:rsidRPr="00ED7E61">
        <w:rPr>
          <w:rStyle w:val="normaltextrun"/>
          <w:rFonts w:asciiTheme="majorBidi" w:eastAsiaTheme="majorEastAsia" w:hAnsiTheme="majorBidi" w:cstheme="majorBidi"/>
        </w:rPr>
        <w:t>” section, national data alone cannot be meaningfully aggregated at global/regional level because country-level reporting will be limited to the assessment of stocks that are found only within a country’s EEZ (including stocks shared with neighbouring countries’ EEZs), and therefore not include straddling stocks, highly migratory species, or stocks in Areas Beyond National Jurisdiction (ABNJ). Therefore, regional “</w:t>
      </w:r>
      <w:r w:rsidRPr="00FB1598">
        <w:rPr>
          <w:rStyle w:val="normaltextrun"/>
          <w:rFonts w:asciiTheme="majorBidi" w:eastAsiaTheme="majorEastAsia" w:hAnsiTheme="majorBidi" w:cstheme="majorBidi"/>
          <w:i/>
          <w:iCs/>
        </w:rPr>
        <w:t>aggregates</w:t>
      </w:r>
      <w:r w:rsidRPr="00ED7E61">
        <w:rPr>
          <w:rStyle w:val="normaltextrun"/>
          <w:rFonts w:asciiTheme="majorBidi" w:eastAsiaTheme="majorEastAsia" w:hAnsiTheme="majorBidi" w:cstheme="majorBidi"/>
        </w:rPr>
        <w:t>” by FAO Major Fishing Area and the global indicator value are calculated with a specific approach, as described in the FAO Technical Paper (FAO 2011)</w:t>
      </w:r>
      <w:r w:rsidRPr="00ED7E61">
        <w:rPr>
          <w:rStyle w:val="eop"/>
          <w:rFonts w:asciiTheme="majorBidi" w:eastAsiaTheme="majorEastAsia" w:hAnsiTheme="majorBidi" w:cstheme="majorBidi"/>
        </w:rPr>
        <w:t> </w:t>
      </w:r>
    </w:p>
    <w:p w14:paraId="0535260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6300E2C3" w14:textId="77777777" w:rsidR="00756F0F"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eastAsiaTheme="majorEastAsia"/>
        </w:rPr>
        <w:t>FAO carries out a series of validations to assure that the data and information are provided by countries in line with the questionnaire instructions. The validation process consists of: (i) identification of errors, mistakes and missing value in the data and, (ii) correcting errors, mistakes and missing values in close consultation with the countries concerned. Each country is asked either to confirm that the data provided are correct or to provide remarks and / or revise data accordingly if they identify any errors.</w:t>
      </w:r>
      <w:r w:rsidRPr="00ED7E61">
        <w:rPr>
          <w:rStyle w:val="normaltextrun"/>
        </w:rPr>
        <w:t> </w:t>
      </w:r>
    </w:p>
    <w:p w14:paraId="39EE922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 xml:space="preserve">6d.3 </w:t>
      </w:r>
      <w:r w:rsidRPr="00ED7E61">
        <w:rPr>
          <w:rStyle w:val="normaltextrun"/>
          <w:rFonts w:asciiTheme="majorBidi" w:eastAsiaTheme="majorEastAsia" w:hAnsiTheme="majorBidi" w:cstheme="majorBidi"/>
          <w:sz w:val="22"/>
          <w:szCs w:val="22"/>
        </w:rPr>
        <w:t>Description of the mechanism for collecting data from countries</w:t>
      </w:r>
      <w:r w:rsidRPr="00ED7E61">
        <w:rPr>
          <w:rStyle w:val="eop"/>
          <w:rFonts w:asciiTheme="majorBidi" w:eastAsiaTheme="majorEastAsia" w:hAnsiTheme="majorBidi" w:cstheme="majorBidi"/>
          <w:sz w:val="22"/>
          <w:szCs w:val="22"/>
        </w:rPr>
        <w:t> </w:t>
      </w:r>
    </w:p>
    <w:p w14:paraId="10693F08" w14:textId="77777777" w:rsidR="00756F0F" w:rsidRPr="00ED7E61" w:rsidRDefault="00756F0F" w:rsidP="005C6EAC">
      <w:pPr>
        <w:pStyle w:val="CBDNormalNumber"/>
        <w:numPr>
          <w:ilvl w:val="0"/>
          <w:numId w:val="0"/>
        </w:numPr>
        <w:ind w:left="567"/>
        <w:jc w:val="left"/>
        <w:rPr>
          <w:rFonts w:asciiTheme="majorBidi" w:hAnsiTheme="majorBidi" w:cstheme="majorBidi"/>
        </w:rPr>
      </w:pPr>
      <w:r w:rsidRPr="00ED7E61">
        <w:rPr>
          <w:rStyle w:val="normaltextrun"/>
          <w:rFonts w:eastAsiaTheme="majorEastAsia"/>
        </w:rPr>
        <w:t>N/A</w:t>
      </w:r>
      <w:r w:rsidRPr="00ED7E61">
        <w:rPr>
          <w:rStyle w:val="normaltextrun"/>
        </w:rPr>
        <w:t> </w:t>
      </w:r>
    </w:p>
    <w:p w14:paraId="30A3C21D" w14:textId="1DA95090"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w:t>
      </w:r>
      <w:r w:rsidR="00B10F0C">
        <w:rPr>
          <w:rStyle w:val="normaltextrun"/>
          <w:rFonts w:asciiTheme="majorBidi" w:eastAsiaTheme="majorEastAsia" w:hAnsiTheme="majorBidi" w:cstheme="majorBidi"/>
          <w:b/>
          <w:bCs/>
          <w:sz w:val="22"/>
          <w:szCs w:val="22"/>
        </w:rPr>
        <w:t>z</w:t>
      </w:r>
      <w:r w:rsidRPr="00ED7E61">
        <w:rPr>
          <w:rStyle w:val="normaltextrun"/>
          <w:rFonts w:asciiTheme="majorBidi" w:eastAsiaTheme="majorEastAsia" w:hAnsiTheme="majorBidi" w:cstheme="majorBidi"/>
          <w:b/>
          <w:bCs/>
          <w:sz w:val="22"/>
          <w:szCs w:val="22"/>
        </w:rPr>
        <w:t>ations</w:t>
      </w:r>
      <w:r w:rsidRPr="00ED7E61">
        <w:rPr>
          <w:rStyle w:val="eop"/>
          <w:rFonts w:asciiTheme="majorBidi" w:eastAsiaTheme="majorEastAsia" w:hAnsiTheme="majorBidi" w:cstheme="majorBidi"/>
          <w:sz w:val="22"/>
          <w:szCs w:val="22"/>
        </w:rPr>
        <w:t> </w:t>
      </w:r>
    </w:p>
    <w:p w14:paraId="155AB2D2" w14:textId="77777777" w:rsidR="00756F0F" w:rsidRPr="00ED7E61" w:rsidRDefault="00756F0F" w:rsidP="005C6EAC">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03CD032F" w14:textId="304D8668" w:rsidR="002B5C03"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eastAsiaTheme="majorEastAsia"/>
        </w:rPr>
        <w:t>Intergovernmental</w:t>
      </w:r>
      <w:r w:rsidRPr="00ED7E61">
        <w:rPr>
          <w:rStyle w:val="normaltextrun"/>
          <w:rFonts w:asciiTheme="majorBidi" w:eastAsiaTheme="majorEastAsia" w:hAnsiTheme="majorBidi" w:cstheme="majorBidi"/>
        </w:rPr>
        <w:t xml:space="preserve"> Science-Policy Platform on Biodiversity and Ecosystem Services (IPBES): Core Indicator</w:t>
      </w:r>
      <w:r w:rsidRPr="00ED7E61">
        <w:rPr>
          <w:rStyle w:val="eop"/>
          <w:rFonts w:asciiTheme="majorBidi" w:eastAsiaTheme="majorEastAsia" w:hAnsiTheme="majorBidi" w:cstheme="majorBidi"/>
        </w:rPr>
        <w:t> </w:t>
      </w:r>
    </w:p>
    <w:p w14:paraId="129056D9" w14:textId="77777777" w:rsidR="00756F0F" w:rsidRPr="00ED7E61" w:rsidRDefault="00756F0F" w:rsidP="00B10F0C">
      <w:pPr>
        <w:pStyle w:val="CBDNormalNumber"/>
        <w:numPr>
          <w:ilvl w:val="0"/>
          <w:numId w:val="32"/>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 xml:space="preserve">Sustainable Development Goals (SDG) indicator 14.4.1 </w:t>
      </w:r>
      <w:hyperlink r:id="rId442" w:tgtFrame="_blank" w:history="1">
        <w:r w:rsidRPr="00ED7E61">
          <w:rPr>
            <w:rStyle w:val="normaltextrun"/>
            <w:rFonts w:asciiTheme="majorBidi" w:eastAsiaTheme="majorEastAsia" w:hAnsiTheme="majorBidi" w:cstheme="majorBidi"/>
            <w:color w:val="467886"/>
            <w:u w:val="single"/>
          </w:rPr>
          <w:t>https://www.fao.org/sustainable-development-goals-data-portal/data/indicators/1441-fish-stocks-sustainability/en</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46608AE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00BE02D0" w14:textId="77777777" w:rsidR="00756F0F" w:rsidRPr="00ED7E61" w:rsidRDefault="00756F0F" w:rsidP="00B10F0C">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normaltextrun"/>
          <w:rFonts w:ascii="Segoe UI Symbol" w:eastAsiaTheme="majorEastAsia" w:hAnsi="Segoe UI Symbol" w:cs="Segoe UI Symbol"/>
          <w:sz w:val="22"/>
          <w:szCs w:val="22"/>
          <w:lang w:val="en-GB"/>
        </w:rPr>
        <w:t>☒</w:t>
      </w:r>
      <w:r w:rsidRPr="00ED7E61">
        <w:rPr>
          <w:rStyle w:val="normaltextrun"/>
          <w:rFonts w:asciiTheme="majorBidi" w:eastAsiaTheme="majorEastAsia" w:hAnsiTheme="majorBidi" w:cstheme="majorBidi"/>
          <w:sz w:val="22"/>
          <w:szCs w:val="22"/>
          <w:lang w:val="en-GB"/>
        </w:rPr>
        <w:t xml:space="preserve"> No: </w:t>
      </w:r>
      <w:r w:rsidRPr="00ED7E61">
        <w:rPr>
          <w:rStyle w:val="normaltextrun"/>
          <w:rFonts w:ascii="Segoe UI Symbol" w:eastAsiaTheme="majorEastAsia" w:hAnsi="Segoe UI Symbol" w:cs="Segoe UI Symbol"/>
          <w:sz w:val="22"/>
          <w:szCs w:val="22"/>
          <w:lang w:val="en-GB"/>
        </w:rPr>
        <w:t>☐</w:t>
      </w:r>
      <w:r w:rsidRPr="00ED7E61">
        <w:rPr>
          <w:rStyle w:val="eop"/>
          <w:rFonts w:asciiTheme="majorBidi" w:eastAsiaTheme="majorEastAsia" w:hAnsiTheme="majorBidi" w:cstheme="majorBidi"/>
          <w:sz w:val="22"/>
          <w:szCs w:val="22"/>
        </w:rPr>
        <w:t> </w:t>
      </w:r>
    </w:p>
    <w:p w14:paraId="147E83D6" w14:textId="77777777" w:rsidR="00756F0F" w:rsidRPr="00ED7E61" w:rsidRDefault="00756F0F" w:rsidP="00B10F0C">
      <w:pPr>
        <w:pStyle w:val="paragraph"/>
        <w:spacing w:before="0" w:beforeAutospacing="0" w:after="0" w:afterAutospacing="0"/>
        <w:ind w:left="567"/>
        <w:textAlignment w:val="baseline"/>
        <w:rPr>
          <w:rFonts w:asciiTheme="majorBidi" w:hAnsiTheme="majorBidi" w:cstheme="majorBidi"/>
          <w:sz w:val="22"/>
          <w:szCs w:val="22"/>
        </w:rPr>
      </w:pPr>
      <w:hyperlink r:id="rId443" w:tgtFrame="_blank" w:history="1">
        <w:r w:rsidRPr="00ED7E61">
          <w:rPr>
            <w:rStyle w:val="normaltextrun"/>
            <w:rFonts w:asciiTheme="majorBidi" w:eastAsiaTheme="majorEastAsia" w:hAnsiTheme="majorBidi" w:cstheme="majorBidi"/>
            <w:color w:val="467886"/>
            <w:sz w:val="22"/>
            <w:szCs w:val="22"/>
            <w:u w:val="single"/>
            <w:lang w:val="en-GB"/>
          </w:rPr>
          <w:t>https://www.bipindicators.net/indicators/proportion-of-fish-stocks-in-safe-biological-limits</w:t>
        </w:r>
      </w:hyperlink>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54946AE7" w14:textId="6282E3E8" w:rsidR="00756F0F" w:rsidRPr="00ED7E61" w:rsidRDefault="00756F0F" w:rsidP="00EF3E4F">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047A9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047A9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5CD6142B" w14:textId="77777777" w:rsidR="00756F0F"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eastAsiaTheme="majorEastAsia"/>
        </w:rPr>
        <w:t>By FAO major marine fishing areas for statistical purposes.</w:t>
      </w:r>
      <w:r w:rsidRPr="00ED7E61">
        <w:rPr>
          <w:rStyle w:val="normaltextrun"/>
        </w:rPr>
        <w:t> </w:t>
      </w:r>
    </w:p>
    <w:p w14:paraId="1BD09B87" w14:textId="77777777" w:rsidR="00756F0F" w:rsidRPr="00ED7E61" w:rsidRDefault="00756F0F" w:rsidP="00B10F0C">
      <w:pPr>
        <w:pStyle w:val="CBDNormalNumber"/>
        <w:numPr>
          <w:ilvl w:val="0"/>
          <w:numId w:val="32"/>
        </w:numPr>
        <w:ind w:left="567" w:firstLine="0"/>
        <w:jc w:val="left"/>
        <w:rPr>
          <w:rStyle w:val="normaltextrun"/>
          <w:rFonts w:eastAsiaTheme="majorEastAsia"/>
        </w:rPr>
      </w:pPr>
      <w:r w:rsidRPr="00ED7E61">
        <w:rPr>
          <w:rStyle w:val="normaltextrun"/>
          <w:rFonts w:eastAsiaTheme="majorEastAsia"/>
        </w:rPr>
        <w:t>Taxonomically, FAO publishes the indicator separately for straddling stocks (mostly tuna and tuna like).</w:t>
      </w:r>
      <w:r w:rsidRPr="00ED7E61">
        <w:rPr>
          <w:rStyle w:val="normaltextrun"/>
        </w:rPr>
        <w:t> </w:t>
      </w:r>
    </w:p>
    <w:p w14:paraId="2CEB3EB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9. </w:t>
      </w:r>
      <w:r w:rsidRPr="00ED7E61">
        <w:rPr>
          <w:rStyle w:val="normaltextrun"/>
          <w:rFonts w:asciiTheme="majorBidi" w:eastAsiaTheme="majorEastAsia" w:hAnsiTheme="majorBidi" w:cstheme="majorBidi"/>
          <w:b/>
          <w:bCs/>
          <w:sz w:val="22"/>
          <w:szCs w:val="22"/>
          <w:lang w:val="en-GB"/>
        </w:rPr>
        <w:t>Related goals, targets and indicators</w:t>
      </w:r>
      <w:r w:rsidRPr="00ED7E61">
        <w:rPr>
          <w:rStyle w:val="eop"/>
          <w:rFonts w:asciiTheme="majorBidi" w:eastAsiaTheme="majorEastAsia" w:hAnsiTheme="majorBidi" w:cstheme="majorBidi"/>
          <w:sz w:val="22"/>
          <w:szCs w:val="22"/>
        </w:rPr>
        <w:t> </w:t>
      </w:r>
    </w:p>
    <w:p w14:paraId="57D1E6EB" w14:textId="77777777" w:rsidR="00756F0F" w:rsidRPr="00ED7E61" w:rsidRDefault="00756F0F" w:rsidP="00EF3E4F">
      <w:pPr>
        <w:pStyle w:val="CBDNormalNumber"/>
        <w:numPr>
          <w:ilvl w:val="0"/>
          <w:numId w:val="0"/>
        </w:numPr>
        <w:ind w:left="567"/>
        <w:jc w:val="left"/>
        <w:rPr>
          <w:rStyle w:val="normaltextrun"/>
          <w:rFonts w:eastAsiaTheme="majorEastAsia"/>
        </w:rPr>
      </w:pPr>
      <w:r w:rsidRPr="00ED7E61">
        <w:rPr>
          <w:rStyle w:val="normaltextrun"/>
          <w:rFonts w:eastAsiaTheme="majorEastAsia"/>
        </w:rPr>
        <w:t>Target 9</w:t>
      </w:r>
      <w:r w:rsidRPr="00ED7E61">
        <w:rPr>
          <w:rStyle w:val="normaltextrun"/>
        </w:rPr>
        <w:t> </w:t>
      </w:r>
    </w:p>
    <w:p w14:paraId="2A94A98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10. </w:t>
      </w:r>
      <w:r w:rsidRPr="00ED7E61">
        <w:rPr>
          <w:rStyle w:val="normaltextrun"/>
          <w:rFonts w:asciiTheme="majorBidi" w:eastAsiaTheme="majorEastAsia" w:hAnsiTheme="majorBidi" w:cstheme="majorBidi"/>
          <w:b/>
          <w:bCs/>
          <w:sz w:val="22"/>
          <w:szCs w:val="22"/>
          <w:lang w:val="en-GB"/>
        </w:rPr>
        <w:t>Data reporter</w:t>
      </w:r>
      <w:r w:rsidRPr="00ED7E61">
        <w:rPr>
          <w:rStyle w:val="eop"/>
          <w:rFonts w:asciiTheme="majorBidi" w:eastAsiaTheme="majorEastAsia" w:hAnsiTheme="majorBidi" w:cstheme="majorBidi"/>
          <w:sz w:val="22"/>
          <w:szCs w:val="22"/>
        </w:rPr>
        <w:t> </w:t>
      </w:r>
    </w:p>
    <w:p w14:paraId="24395A72" w14:textId="4D754E68" w:rsidR="00756F0F" w:rsidRPr="00ED7E61" w:rsidRDefault="00756F0F" w:rsidP="00EF3E4F">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EF3E4F">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474F812F" w14:textId="77777777" w:rsidR="00756F0F" w:rsidRPr="00ED7E61" w:rsidRDefault="00756F0F" w:rsidP="00EF3E4F">
      <w:pPr>
        <w:pStyle w:val="CBDNormalNumber"/>
        <w:numPr>
          <w:ilvl w:val="0"/>
          <w:numId w:val="0"/>
        </w:numPr>
        <w:ind w:left="567"/>
        <w:jc w:val="left"/>
        <w:rPr>
          <w:rStyle w:val="normaltextrun"/>
          <w:rFonts w:eastAsiaTheme="majorEastAsia"/>
        </w:rPr>
      </w:pPr>
      <w:r w:rsidRPr="00ED7E61">
        <w:rPr>
          <w:rStyle w:val="normaltextrun"/>
          <w:rFonts w:eastAsiaTheme="majorEastAsia"/>
        </w:rPr>
        <w:t>Food and Agriculture Organization (FAO)</w:t>
      </w:r>
      <w:r w:rsidRPr="00ED7E61">
        <w:rPr>
          <w:rStyle w:val="normaltextrun"/>
        </w:rPr>
        <w:t> </w:t>
      </w:r>
    </w:p>
    <w:p w14:paraId="501BC3A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0D7931E3" w14:textId="4FC5D012" w:rsidR="002B5C03" w:rsidRPr="00ED7E61" w:rsidRDefault="00756F0F" w:rsidP="00EF3E4F">
      <w:pPr>
        <w:pStyle w:val="CBDNormalNumber"/>
        <w:numPr>
          <w:ilvl w:val="0"/>
          <w:numId w:val="0"/>
        </w:numPr>
        <w:ind w:left="567"/>
        <w:jc w:val="left"/>
        <w:rPr>
          <w:rFonts w:asciiTheme="majorBidi" w:hAnsiTheme="majorBidi" w:cstheme="majorBidi"/>
        </w:rPr>
      </w:pPr>
      <w:r w:rsidRPr="00ED7E61">
        <w:rPr>
          <w:rStyle w:val="normaltextrun"/>
          <w:rFonts w:eastAsiaTheme="majorEastAsia"/>
        </w:rPr>
        <w:t>Yimin</w:t>
      </w:r>
      <w:r w:rsidRPr="00ED7E61">
        <w:rPr>
          <w:rStyle w:val="normaltextrun"/>
          <w:rFonts w:asciiTheme="majorBidi" w:eastAsiaTheme="majorEastAsia" w:hAnsiTheme="majorBidi" w:cstheme="majorBidi"/>
        </w:rPr>
        <w:t xml:space="preserve"> Ye (</w:t>
      </w:r>
      <w:hyperlink r:id="rId444" w:tgtFrame="_blank" w:history="1">
        <w:r w:rsidRPr="00ED7E61">
          <w:rPr>
            <w:rStyle w:val="normaltextrun"/>
            <w:rFonts w:asciiTheme="majorBidi" w:eastAsiaTheme="majorEastAsia" w:hAnsiTheme="majorBidi" w:cstheme="majorBidi"/>
            <w:b/>
            <w:bCs/>
            <w:color w:val="467886"/>
            <w:u w:val="single"/>
            <w:shd w:val="clear" w:color="auto" w:fill="FFFFFF"/>
          </w:rPr>
          <w:t>yimin.ye@fao.org</w:t>
        </w:r>
      </w:hyperlink>
      <w:r w:rsidRPr="00ED7E61">
        <w:rPr>
          <w:rStyle w:val="normaltextrun"/>
          <w:rFonts w:asciiTheme="majorBidi" w:eastAsiaTheme="majorEastAsia" w:hAnsiTheme="majorBidi" w:cstheme="majorBidi"/>
          <w:b/>
          <w:bCs/>
          <w:i/>
          <w:iCs/>
          <w:color w:val="5F6368"/>
          <w:shd w:val="clear" w:color="auto" w:fill="FFFFFF"/>
        </w:rPr>
        <w:t>) </w:t>
      </w:r>
      <w:r w:rsidRPr="00ED7E61">
        <w:rPr>
          <w:rStyle w:val="eop"/>
          <w:rFonts w:asciiTheme="majorBidi" w:eastAsiaTheme="majorEastAsia" w:hAnsiTheme="majorBidi" w:cstheme="majorBidi"/>
          <w:color w:val="5F6368"/>
        </w:rPr>
        <w:t> </w:t>
      </w:r>
    </w:p>
    <w:p w14:paraId="6DC28E3B" w14:textId="7ECD54F2" w:rsidR="002B5C03" w:rsidRPr="00ED7E61" w:rsidRDefault="00756F0F" w:rsidP="00EF3E4F">
      <w:pPr>
        <w:pStyle w:val="CBDNormalNumber"/>
        <w:numPr>
          <w:ilvl w:val="0"/>
          <w:numId w:val="0"/>
        </w:numPr>
        <w:ind w:left="567"/>
        <w:jc w:val="left"/>
        <w:rPr>
          <w:rFonts w:asciiTheme="majorBidi" w:hAnsiTheme="majorBidi" w:cstheme="majorBidi"/>
          <w:lang w:val="es-ES"/>
        </w:rPr>
      </w:pPr>
      <w:r w:rsidRPr="00ED7E61">
        <w:rPr>
          <w:rStyle w:val="normaltextrun"/>
          <w:rFonts w:asciiTheme="majorBidi" w:eastAsiaTheme="majorEastAsia" w:hAnsiTheme="majorBidi" w:cstheme="majorBidi"/>
          <w:lang w:val="es-CO"/>
        </w:rPr>
        <w:t>Marc Taconet (</w:t>
      </w:r>
      <w:hyperlink r:id="rId445" w:tgtFrame="_blank" w:history="1">
        <w:r w:rsidRPr="00ED7E61">
          <w:rPr>
            <w:rStyle w:val="normaltextrun"/>
            <w:rFonts w:asciiTheme="majorBidi" w:eastAsiaTheme="majorEastAsia" w:hAnsiTheme="majorBidi" w:cstheme="majorBidi"/>
            <w:b/>
            <w:bCs/>
            <w:color w:val="467886"/>
            <w:u w:val="single"/>
            <w:shd w:val="clear" w:color="auto" w:fill="FFFFFF"/>
            <w:lang w:val="es-CO"/>
          </w:rPr>
          <w:t>marc.taconet@fao.org</w:t>
        </w:r>
      </w:hyperlink>
      <w:r w:rsidRPr="00ED7E61">
        <w:rPr>
          <w:rStyle w:val="normaltextrun"/>
          <w:rFonts w:asciiTheme="majorBidi" w:eastAsiaTheme="majorEastAsia" w:hAnsiTheme="majorBidi" w:cstheme="majorBidi"/>
          <w:lang w:val="es-CO"/>
        </w:rPr>
        <w:t>)</w:t>
      </w:r>
      <w:r w:rsidRPr="00ED7E61">
        <w:rPr>
          <w:rStyle w:val="eop"/>
          <w:rFonts w:asciiTheme="majorBidi" w:eastAsiaTheme="majorEastAsia" w:hAnsiTheme="majorBidi" w:cstheme="majorBidi"/>
          <w:lang w:val="es-ES"/>
        </w:rPr>
        <w:t> </w:t>
      </w:r>
    </w:p>
    <w:p w14:paraId="2DF009D6" w14:textId="368683C6" w:rsidR="00756F0F" w:rsidRPr="00ED7E61" w:rsidRDefault="00EF3E4F" w:rsidP="00EF3E4F">
      <w:pPr>
        <w:pStyle w:val="CBDNormalNumber"/>
        <w:numPr>
          <w:ilvl w:val="0"/>
          <w:numId w:val="0"/>
        </w:numPr>
        <w:ind w:left="567"/>
        <w:jc w:val="left"/>
        <w:rPr>
          <w:rFonts w:asciiTheme="majorBidi" w:hAnsiTheme="majorBidi" w:cstheme="majorBidi"/>
        </w:rPr>
      </w:pPr>
      <w:hyperlink r:id="rId446" w:history="1">
        <w:r w:rsidRPr="004C58D6">
          <w:rPr>
            <w:rStyle w:val="Hyperlink"/>
          </w:rPr>
          <w:t>SDG-indicators@fao.org</w:t>
        </w:r>
      </w:hyperlink>
      <w:r w:rsidR="00756F0F" w:rsidRPr="00ED7E61">
        <w:rPr>
          <w:rStyle w:val="normaltextrun"/>
          <w:rFonts w:asciiTheme="majorBidi" w:eastAsiaTheme="majorEastAsia" w:hAnsiTheme="majorBidi" w:cstheme="majorBidi"/>
        </w:rPr>
        <w:t> </w:t>
      </w:r>
      <w:r w:rsidR="00756F0F" w:rsidRPr="00ED7E61">
        <w:rPr>
          <w:rStyle w:val="eop"/>
          <w:rFonts w:asciiTheme="majorBidi" w:eastAsiaTheme="majorEastAsia" w:hAnsiTheme="majorBidi" w:cstheme="majorBidi"/>
        </w:rPr>
        <w:t> </w:t>
      </w:r>
    </w:p>
    <w:p w14:paraId="6CB61E3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11. References</w:t>
      </w:r>
      <w:r w:rsidRPr="00ED7E61">
        <w:rPr>
          <w:rStyle w:val="eop"/>
          <w:rFonts w:asciiTheme="majorBidi" w:eastAsiaTheme="majorEastAsia" w:hAnsiTheme="majorBidi" w:cstheme="majorBidi"/>
          <w:sz w:val="22"/>
          <w:szCs w:val="22"/>
        </w:rPr>
        <w:t> </w:t>
      </w:r>
    </w:p>
    <w:p w14:paraId="21B2557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Websites:</w:t>
      </w:r>
      <w:r w:rsidRPr="00ED7E61">
        <w:rPr>
          <w:rStyle w:val="eop"/>
          <w:rFonts w:asciiTheme="majorBidi" w:eastAsiaTheme="majorEastAsia" w:hAnsiTheme="majorBidi" w:cstheme="majorBidi"/>
          <w:sz w:val="22"/>
          <w:szCs w:val="22"/>
        </w:rPr>
        <w:t> </w:t>
      </w:r>
    </w:p>
    <w:p w14:paraId="1872BCE6" w14:textId="29867F60" w:rsidR="002B5C03" w:rsidRPr="00ED7E61" w:rsidRDefault="00EF3E4F" w:rsidP="00EF3E4F">
      <w:pPr>
        <w:pStyle w:val="CBDNormalNumber"/>
        <w:numPr>
          <w:ilvl w:val="0"/>
          <w:numId w:val="0"/>
        </w:numPr>
        <w:ind w:left="567"/>
        <w:jc w:val="left"/>
        <w:rPr>
          <w:rFonts w:asciiTheme="majorBidi" w:hAnsiTheme="majorBidi" w:cstheme="majorBidi"/>
        </w:rPr>
      </w:pPr>
      <w:hyperlink r:id="rId447" w:history="1">
        <w:r w:rsidRPr="004C58D6">
          <w:rPr>
            <w:rStyle w:val="Hyperlink"/>
            <w:rFonts w:asciiTheme="majorBidi" w:eastAsiaTheme="majorEastAsia" w:hAnsiTheme="majorBidi" w:cstheme="majorBidi"/>
          </w:rPr>
          <w:t>https://www.fao.org/sustainable-development-goals/indicators/1441/en/</w:t>
        </w:r>
      </w:hyperlink>
      <w:r w:rsidR="00756F0F" w:rsidRPr="00ED7E61">
        <w:rPr>
          <w:rStyle w:val="eop"/>
          <w:rFonts w:asciiTheme="majorBidi" w:eastAsiaTheme="majorEastAsia" w:hAnsiTheme="majorBidi" w:cstheme="majorBidi"/>
        </w:rPr>
        <w:t> </w:t>
      </w:r>
    </w:p>
    <w:p w14:paraId="5E9B1603" w14:textId="71BC0474" w:rsidR="002B5C03" w:rsidRPr="00ED7E61" w:rsidRDefault="00EF3E4F" w:rsidP="00EF3E4F">
      <w:pPr>
        <w:pStyle w:val="CBDNormalNumber"/>
        <w:numPr>
          <w:ilvl w:val="0"/>
          <w:numId w:val="0"/>
        </w:numPr>
        <w:ind w:left="567"/>
        <w:jc w:val="left"/>
        <w:rPr>
          <w:rFonts w:asciiTheme="majorBidi" w:hAnsiTheme="majorBidi" w:cstheme="majorBidi"/>
        </w:rPr>
      </w:pPr>
      <w:hyperlink r:id="rId448" w:history="1">
        <w:r w:rsidRPr="004C58D6">
          <w:rPr>
            <w:rStyle w:val="Hyperlink"/>
          </w:rPr>
          <w:t>https://elearning.fao.org/course/view.php?id=502</w:t>
        </w:r>
      </w:hyperlink>
      <w:r w:rsidR="00756F0F" w:rsidRPr="00ED7E61">
        <w:rPr>
          <w:rStyle w:val="normaltextrun"/>
          <w:rFonts w:asciiTheme="majorBidi" w:eastAsiaTheme="majorEastAsia" w:hAnsiTheme="majorBidi" w:cstheme="majorBidi"/>
        </w:rPr>
        <w:t> </w:t>
      </w:r>
      <w:r w:rsidR="00756F0F" w:rsidRPr="00ED7E61">
        <w:rPr>
          <w:rStyle w:val="eop"/>
          <w:rFonts w:asciiTheme="majorBidi" w:eastAsiaTheme="majorEastAsia" w:hAnsiTheme="majorBidi" w:cstheme="majorBidi"/>
        </w:rPr>
        <w:t> </w:t>
      </w:r>
    </w:p>
    <w:p w14:paraId="3BBDC632" w14:textId="7CA89C34" w:rsidR="002B5C03" w:rsidRPr="00ED7E61" w:rsidRDefault="00EF3E4F" w:rsidP="00EF3E4F">
      <w:pPr>
        <w:pStyle w:val="CBDNormalNumber"/>
        <w:numPr>
          <w:ilvl w:val="0"/>
          <w:numId w:val="0"/>
        </w:numPr>
        <w:ind w:left="567"/>
        <w:jc w:val="left"/>
        <w:rPr>
          <w:rFonts w:asciiTheme="majorBidi" w:hAnsiTheme="majorBidi" w:cstheme="majorBidi"/>
        </w:rPr>
      </w:pPr>
      <w:hyperlink r:id="rId449" w:history="1">
        <w:r w:rsidRPr="004C58D6">
          <w:rPr>
            <w:rStyle w:val="Hyperlink"/>
          </w:rPr>
          <w:t>https://unstats.un.org/sdgs/dataportal</w:t>
        </w:r>
      </w:hyperlink>
      <w:r w:rsidR="00756F0F" w:rsidRPr="00ED7E61">
        <w:rPr>
          <w:rStyle w:val="normaltextrun"/>
          <w:rFonts w:asciiTheme="majorBidi" w:eastAsiaTheme="majorEastAsia" w:hAnsiTheme="majorBidi" w:cstheme="majorBidi"/>
        </w:rPr>
        <w:t> </w:t>
      </w:r>
      <w:r w:rsidR="00756F0F" w:rsidRPr="00ED7E61">
        <w:rPr>
          <w:rStyle w:val="eop"/>
          <w:rFonts w:asciiTheme="majorBidi" w:eastAsiaTheme="majorEastAsia" w:hAnsiTheme="majorBidi" w:cstheme="majorBidi"/>
        </w:rPr>
        <w:t> </w:t>
      </w:r>
    </w:p>
    <w:p w14:paraId="6168A312" w14:textId="52A27F2D" w:rsidR="00756F0F" w:rsidRPr="00ED7E61" w:rsidRDefault="00EF3E4F" w:rsidP="00EF3E4F">
      <w:pPr>
        <w:pStyle w:val="CBDNormalNumber"/>
        <w:numPr>
          <w:ilvl w:val="0"/>
          <w:numId w:val="0"/>
        </w:numPr>
        <w:ind w:left="567"/>
        <w:jc w:val="left"/>
        <w:rPr>
          <w:rFonts w:asciiTheme="majorBidi" w:hAnsiTheme="majorBidi" w:cstheme="majorBidi"/>
        </w:rPr>
      </w:pPr>
      <w:hyperlink r:id="rId450" w:history="1">
        <w:r w:rsidRPr="004C58D6">
          <w:rPr>
            <w:rStyle w:val="Hyperlink"/>
          </w:rPr>
          <w:t>https://www.fao.org/publications/sofia/2020/en/</w:t>
        </w:r>
      </w:hyperlink>
      <w:r w:rsidR="00756F0F" w:rsidRPr="00ED7E61">
        <w:rPr>
          <w:rStyle w:val="eop"/>
          <w:rFonts w:asciiTheme="majorBidi" w:eastAsiaTheme="majorEastAsia" w:hAnsiTheme="majorBidi" w:cstheme="majorBidi"/>
          <w:color w:val="467886"/>
        </w:rPr>
        <w:t> </w:t>
      </w:r>
    </w:p>
    <w:p w14:paraId="0644C85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References:</w:t>
      </w:r>
      <w:r w:rsidRPr="00ED7E61">
        <w:rPr>
          <w:rStyle w:val="eop"/>
          <w:rFonts w:asciiTheme="majorBidi" w:eastAsiaTheme="majorEastAsia" w:hAnsiTheme="majorBidi" w:cstheme="majorBidi"/>
          <w:sz w:val="22"/>
          <w:szCs w:val="22"/>
        </w:rPr>
        <w:t> </w:t>
      </w:r>
    </w:p>
    <w:p w14:paraId="497BD468" w14:textId="6EBA77AE" w:rsidR="002B5C03" w:rsidRPr="00ED7E61" w:rsidRDefault="00756F0F" w:rsidP="00EF3E4F">
      <w:pPr>
        <w:pStyle w:val="CBDNormalNumber"/>
        <w:numPr>
          <w:ilvl w:val="0"/>
          <w:numId w:val="0"/>
        </w:numPr>
        <w:ind w:left="567"/>
        <w:jc w:val="left"/>
        <w:rPr>
          <w:rFonts w:asciiTheme="majorBidi" w:hAnsiTheme="majorBidi" w:cstheme="majorBidi"/>
        </w:rPr>
      </w:pPr>
      <w:r w:rsidRPr="00ED7E61">
        <w:rPr>
          <w:rStyle w:val="normaltextrun"/>
          <w:rFonts w:eastAsiaTheme="majorEastAsia"/>
        </w:rPr>
        <w:t>Caddy</w:t>
      </w:r>
      <w:r w:rsidRPr="00ED7E61">
        <w:rPr>
          <w:rStyle w:val="normaltextrun"/>
          <w:rFonts w:asciiTheme="majorBidi" w:eastAsiaTheme="majorEastAsia" w:hAnsiTheme="majorBidi" w:cstheme="majorBidi"/>
        </w:rPr>
        <w:t>, J.R. and Mahon, R. (1995). Reference Points for fisheries management. FAO Fisheries Technical Paper. No. 337. Rome, FAO. 83p. </w:t>
      </w:r>
      <w:r w:rsidRPr="00ED7E61">
        <w:rPr>
          <w:rStyle w:val="eop"/>
          <w:rFonts w:asciiTheme="majorBidi" w:eastAsiaTheme="majorEastAsia" w:hAnsiTheme="majorBidi" w:cstheme="majorBidi"/>
        </w:rPr>
        <w:t> </w:t>
      </w:r>
    </w:p>
    <w:p w14:paraId="3F013647" w14:textId="224AA8C0" w:rsidR="002B5C03" w:rsidRPr="00ED7E61" w:rsidRDefault="00756F0F" w:rsidP="00EF3E4F">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Cadima, E.L. (2003) Fish stock assessment manual. FAO Fisheries Technical Paper. No. 393. Rome, FAO. 161p. </w:t>
      </w:r>
      <w:r w:rsidRPr="00ED7E61">
        <w:rPr>
          <w:rStyle w:val="eop"/>
          <w:rFonts w:asciiTheme="majorBidi" w:eastAsiaTheme="majorEastAsia" w:hAnsiTheme="majorBidi" w:cstheme="majorBidi"/>
        </w:rPr>
        <w:t> </w:t>
      </w:r>
    </w:p>
    <w:p w14:paraId="2EBD2CD0" w14:textId="7BE890B7" w:rsidR="002B5C03" w:rsidRPr="00ED7E61" w:rsidRDefault="00756F0F" w:rsidP="00EF3E4F">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FAO (1995) Code of conduct for responsible fisheries. 41 pp. </w:t>
      </w:r>
      <w:r w:rsidRPr="00ED7E61">
        <w:rPr>
          <w:rStyle w:val="eop"/>
          <w:rFonts w:asciiTheme="majorBidi" w:eastAsiaTheme="majorEastAsia" w:hAnsiTheme="majorBidi" w:cstheme="majorBidi"/>
        </w:rPr>
        <w:t> </w:t>
      </w:r>
    </w:p>
    <w:p w14:paraId="70B9E5E6" w14:textId="3D4FC093" w:rsidR="002B5C03" w:rsidRPr="00ED7E61" w:rsidRDefault="00756F0F" w:rsidP="00EF3E4F">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FAO (2005) Review of the state of world marine fishery resources. FAO Fisheries Technical Paper No. 457. Rome. 235 pp FAO (2011) Review of the state of world marine fishery resources. FAO technical paper 569: http://www.fao.org/docrep/015/i2389e/i2389e00.htm. </w:t>
      </w:r>
      <w:r w:rsidRPr="00ED7E61">
        <w:rPr>
          <w:rStyle w:val="eop"/>
          <w:rFonts w:asciiTheme="majorBidi" w:eastAsiaTheme="majorEastAsia" w:hAnsiTheme="majorBidi" w:cstheme="majorBidi"/>
        </w:rPr>
        <w:t> </w:t>
      </w:r>
    </w:p>
    <w:p w14:paraId="7461D775" w14:textId="437550B3" w:rsidR="002B5C03" w:rsidRPr="00ED7E61" w:rsidRDefault="00756F0F" w:rsidP="00EF3E4F">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Hilborn, R., R.O. Amoroso, C.M. Anderson, J.K. Baum, T.A. Branch, C. Costello, C.L. de Moor, et al. 2020. “</w:t>
      </w:r>
      <w:r w:rsidRPr="00FB1598">
        <w:rPr>
          <w:rStyle w:val="normaltextrun"/>
          <w:rFonts w:asciiTheme="majorBidi" w:eastAsiaTheme="majorEastAsia" w:hAnsiTheme="majorBidi" w:cstheme="majorBidi"/>
          <w:i/>
          <w:iCs/>
        </w:rPr>
        <w:t>Effective Fisheries Management Instrumental in Improving Fish Stock Status.</w:t>
      </w:r>
      <w:r w:rsidRPr="00ED7E61">
        <w:rPr>
          <w:rStyle w:val="normaltextrun"/>
          <w:rFonts w:asciiTheme="majorBidi" w:eastAsiaTheme="majorEastAsia" w:hAnsiTheme="majorBidi" w:cstheme="majorBidi"/>
        </w:rPr>
        <w:t>” Proceedings of the National Academy of Sciences of the United States of America 117 (4): 2218–24. https://doi.org/10.1073/ pnas.1909726116. </w:t>
      </w:r>
      <w:r w:rsidRPr="00ED7E61">
        <w:rPr>
          <w:rStyle w:val="eop"/>
          <w:rFonts w:asciiTheme="majorBidi" w:eastAsiaTheme="majorEastAsia" w:hAnsiTheme="majorBidi" w:cstheme="majorBidi"/>
        </w:rPr>
        <w:t> </w:t>
      </w:r>
    </w:p>
    <w:p w14:paraId="300776EA" w14:textId="77777777" w:rsidR="00756F0F" w:rsidRPr="00ED7E61" w:rsidRDefault="00756F0F" w:rsidP="00EF3E4F">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UN (1995) Agreement for the implementation of the provisions of the United Nations Convention on the Law of the Sea of 10 December 1982 relating to the conservation and management of straddling fish stocks and highly migratory fish stocks. 40 pp.</w:t>
      </w:r>
      <w:r w:rsidRPr="00ED7E61">
        <w:rPr>
          <w:rStyle w:val="eop"/>
          <w:rFonts w:asciiTheme="majorBidi" w:eastAsiaTheme="majorEastAsia" w:hAnsiTheme="majorBidi" w:cstheme="majorBidi"/>
        </w:rPr>
        <w:t> </w:t>
      </w:r>
    </w:p>
    <w:p w14:paraId="2969B84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12. Graphs and diagrams</w:t>
      </w:r>
      <w:r w:rsidRPr="00ED7E61">
        <w:rPr>
          <w:rStyle w:val="eop"/>
          <w:rFonts w:asciiTheme="majorBidi" w:eastAsiaTheme="majorEastAsia" w:hAnsiTheme="majorBidi" w:cstheme="majorBidi"/>
          <w:sz w:val="22"/>
          <w:szCs w:val="22"/>
        </w:rPr>
        <w:t> </w:t>
      </w:r>
    </w:p>
    <w:p w14:paraId="57CFBB1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p>
    <w:p w14:paraId="57490A6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2272ED63"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28217307" w14:textId="11070F1A" w:rsidR="00756F0F" w:rsidRPr="00ED7E61" w:rsidRDefault="00756F0F" w:rsidP="00965B3D">
      <w:pPr>
        <w:pStyle w:val="Heading3"/>
      </w:pPr>
      <w:bookmarkStart w:id="47" w:name="_Toc178285860"/>
      <w:r w:rsidRPr="00ED7E61">
        <w:rPr>
          <w:rStyle w:val="normaltextrun"/>
        </w:rPr>
        <w:t>GBF indicator metadata</w:t>
      </w:r>
      <w:r w:rsidR="002946B5" w:rsidRPr="00ED7E61">
        <w:rPr>
          <w:rStyle w:val="normaltextrun"/>
        </w:rPr>
        <w:t>: 6.1 Rate of invasive alien species establishment</w:t>
      </w:r>
      <w:bookmarkEnd w:id="47"/>
      <w:r w:rsidRPr="00ED7E61">
        <w:rPr>
          <w:rStyle w:val="eop"/>
        </w:rPr>
        <w:t> </w:t>
      </w:r>
    </w:p>
    <w:p w14:paraId="2646AA50"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00007F9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sz w:val="22"/>
          <w:szCs w:val="22"/>
        </w:rPr>
        <w:t> </w:t>
      </w:r>
    </w:p>
    <w:p w14:paraId="2E2B134E" w14:textId="77777777" w:rsidR="00756F0F" w:rsidRPr="00ED7E61" w:rsidRDefault="00756F0F" w:rsidP="00395866">
      <w:pPr>
        <w:pStyle w:val="paragraph"/>
        <w:spacing w:before="0" w:beforeAutospacing="0" w:after="0" w:afterAutospacing="0"/>
        <w:ind w:right="-21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6.1 Rate of invasive alien species establishment</w:t>
      </w:r>
      <w:r w:rsidRPr="00ED7E61">
        <w:rPr>
          <w:rStyle w:val="eop"/>
          <w:rFonts w:asciiTheme="majorBidi" w:eastAsiaTheme="majorEastAsia" w:hAnsiTheme="majorBidi" w:cstheme="majorBidi"/>
          <w:sz w:val="22"/>
          <w:szCs w:val="22"/>
        </w:rPr>
        <w:t> </w:t>
      </w:r>
    </w:p>
    <w:p w14:paraId="45905634" w14:textId="77777777" w:rsidR="00756F0F" w:rsidRPr="00ED7E61" w:rsidRDefault="00756F0F" w:rsidP="00EF3E4F">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sz w:val="22"/>
          <w:szCs w:val="22"/>
        </w:rPr>
        <w:t> </w:t>
      </w:r>
    </w:p>
    <w:p w14:paraId="4D47D95D" w14:textId="49C9A58A"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lang w:val="en-GB"/>
        </w:rPr>
        <w:t>September</w:t>
      </w:r>
      <w:r w:rsidRPr="00ED7E61">
        <w:rPr>
          <w:rStyle w:val="normaltextrun"/>
          <w:rFonts w:asciiTheme="majorBidi" w:eastAsiaTheme="majorEastAsia" w:hAnsiTheme="majorBidi" w:cstheme="majorBidi"/>
          <w:sz w:val="22"/>
          <w:szCs w:val="22"/>
          <w:lang w:val="en-GB"/>
        </w:rPr>
        <w:t xml:space="preserve"> </w:t>
      </w:r>
      <w:r w:rsidR="00756F0F" w:rsidRPr="00ED7E61">
        <w:rPr>
          <w:rStyle w:val="normaltextrun"/>
          <w:rFonts w:asciiTheme="majorBidi" w:eastAsiaTheme="majorEastAsia" w:hAnsiTheme="majorBidi" w:cstheme="majorBidi"/>
          <w:sz w:val="22"/>
          <w:szCs w:val="22"/>
          <w:lang w:val="en-GB"/>
        </w:rPr>
        <w:t>2024</w:t>
      </w:r>
      <w:r w:rsidR="00756F0F" w:rsidRPr="00ED7E61">
        <w:rPr>
          <w:rStyle w:val="eop"/>
          <w:rFonts w:asciiTheme="majorBidi" w:eastAsiaTheme="majorEastAsia" w:hAnsiTheme="majorBidi" w:cstheme="majorBidi"/>
          <w:sz w:val="22"/>
          <w:szCs w:val="22"/>
        </w:rPr>
        <w:t> </w:t>
      </w:r>
    </w:p>
    <w:p w14:paraId="586AA1C5" w14:textId="77777777" w:rsidR="00756F0F" w:rsidRPr="00ED7E61" w:rsidRDefault="00756F0F" w:rsidP="00EF3E4F">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sz w:val="22"/>
          <w:szCs w:val="22"/>
        </w:rPr>
        <w:t> </w:t>
      </w:r>
    </w:p>
    <w:p w14:paraId="0DCCEC5E" w14:textId="77777777" w:rsidR="00756F0F" w:rsidRPr="00ED7E61" w:rsidRDefault="00756F0F" w:rsidP="00EF3E4F">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3a. Goal </w:t>
      </w:r>
      <w:r w:rsidRPr="00ED7E61">
        <w:rPr>
          <w:rStyle w:val="eop"/>
          <w:rFonts w:asciiTheme="majorBidi" w:eastAsiaTheme="majorEastAsia" w:hAnsiTheme="majorBidi" w:cstheme="majorBidi"/>
          <w:sz w:val="22"/>
          <w:szCs w:val="22"/>
        </w:rPr>
        <w:t> </w:t>
      </w:r>
    </w:p>
    <w:p w14:paraId="099497E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24947D3E" w14:textId="77777777" w:rsidR="00756F0F" w:rsidRPr="00ED7E61" w:rsidRDefault="00756F0F" w:rsidP="00EF3E4F">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3b. Target</w:t>
      </w:r>
      <w:r w:rsidRPr="00ED7E61">
        <w:rPr>
          <w:rStyle w:val="eop"/>
          <w:rFonts w:asciiTheme="majorBidi" w:eastAsiaTheme="majorEastAsia" w:hAnsiTheme="majorBidi" w:cstheme="majorBidi"/>
          <w:sz w:val="22"/>
          <w:szCs w:val="22"/>
        </w:rPr>
        <w:t> </w:t>
      </w:r>
    </w:p>
    <w:p w14:paraId="6F9584D1" w14:textId="06A5B634"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Headline indicator for Target 6: Eliminate, minimize, reduce and or mitigate the impacts of invasive alien species on biodiversity and ecosystem services by identifying and managing pathways of the introduction of alien species, preventing the introduction and establishment of priority invasive alien species, reducing the rates of introduction and establishment of other known or potential invasive alien species by at least 50 per cent by 2030, and eradicating or controlling invasive alien species, especially in priority sites, such as islands.</w:t>
      </w:r>
      <w:r w:rsidRPr="00ED7E61">
        <w:rPr>
          <w:rStyle w:val="eop"/>
          <w:rFonts w:asciiTheme="majorBidi" w:eastAsiaTheme="majorEastAsia" w:hAnsiTheme="majorBidi" w:cstheme="majorBidi"/>
          <w:sz w:val="22"/>
          <w:szCs w:val="22"/>
        </w:rPr>
        <w:t> </w:t>
      </w:r>
    </w:p>
    <w:p w14:paraId="5615493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4. Rationale</w:t>
      </w:r>
      <w:r w:rsidRPr="00ED7E61">
        <w:rPr>
          <w:rStyle w:val="eop"/>
          <w:rFonts w:asciiTheme="majorBidi" w:eastAsiaTheme="majorEastAsia" w:hAnsiTheme="majorBidi" w:cstheme="majorBidi"/>
          <w:sz w:val="22"/>
          <w:szCs w:val="22"/>
        </w:rPr>
        <w:t> </w:t>
      </w:r>
    </w:p>
    <w:p w14:paraId="24E8F4BB" w14:textId="606979E3" w:rsidR="002B5C03" w:rsidRPr="00ED7E61" w:rsidRDefault="00756F0F" w:rsidP="00B10F0C">
      <w:pPr>
        <w:pStyle w:val="CBDNormalNumber"/>
        <w:numPr>
          <w:ilvl w:val="0"/>
          <w:numId w:val="74"/>
        </w:numPr>
        <w:tabs>
          <w:tab w:val="clear" w:pos="1701"/>
        </w:tabs>
        <w:ind w:left="567" w:hanging="24"/>
        <w:rPr>
          <w:rFonts w:asciiTheme="majorBidi" w:hAnsiTheme="majorBidi" w:cstheme="majorBidi"/>
        </w:rPr>
      </w:pPr>
      <w:r w:rsidRPr="00ED7E61">
        <w:rPr>
          <w:rStyle w:val="normaltextrun"/>
          <w:rFonts w:eastAsiaTheme="majorEastAsia"/>
        </w:rPr>
        <w:t>The</w:t>
      </w:r>
      <w:r w:rsidRPr="00ED7E61">
        <w:rPr>
          <w:rStyle w:val="normaltextrun"/>
          <w:rFonts w:asciiTheme="majorBidi" w:eastAsiaTheme="majorEastAsia" w:hAnsiTheme="majorBidi" w:cstheme="majorBidi"/>
        </w:rPr>
        <w:t xml:space="preserve"> establishment of invasive alien species (IAS) is a main driver of biodiversity loss. Recent extensive analyses of biological invasions show that the documented numbers of IAS have continued to increase over recent decades (IPBES 2023). Multi-national agreements developed for the purposes of addressing the challenge and negative impacts of IAS require information on the status and trends of IAS establishment – within and across countries. Without a repeated data collection process and up-to-date evidence-base, progress to prevent and reduce the consequences of IAS is hindered, and neither the evaluation nor the achievement of policy targets is feasible.</w:t>
      </w:r>
      <w:r w:rsidRPr="00ED7E61">
        <w:rPr>
          <w:rStyle w:val="eop"/>
          <w:rFonts w:asciiTheme="majorBidi" w:eastAsiaTheme="majorEastAsia" w:hAnsiTheme="majorBidi" w:cstheme="majorBidi"/>
        </w:rPr>
        <w:t> </w:t>
      </w:r>
    </w:p>
    <w:p w14:paraId="4234EF4D" w14:textId="77777777" w:rsidR="00756F0F" w:rsidRPr="00ED7E61" w:rsidRDefault="00756F0F" w:rsidP="00B10F0C">
      <w:pPr>
        <w:pStyle w:val="CBDNormalNumber"/>
        <w:numPr>
          <w:ilvl w:val="0"/>
          <w:numId w:val="74"/>
        </w:numPr>
        <w:ind w:left="567" w:firstLine="0"/>
        <w:rPr>
          <w:rFonts w:asciiTheme="majorBidi" w:hAnsiTheme="majorBidi" w:cstheme="majorBidi"/>
        </w:rPr>
      </w:pPr>
      <w:r w:rsidRPr="00ED7E61">
        <w:rPr>
          <w:rStyle w:val="normaltextrun"/>
          <w:rFonts w:asciiTheme="majorBidi" w:eastAsiaTheme="majorEastAsia" w:hAnsiTheme="majorBidi" w:cstheme="majorBidi"/>
        </w:rPr>
        <w:t>This indicator links the management success of introduction pathways of IAS to the desired outcome to prevent new IAS country establishments. It directly supports Target 6 of the framework on managing pathways for the introduction of IAS and preventing and reducing their rate of introduction and establishment. It also informs the effectiveness of IAS management actions for the recovery and conservation of species and ecosystems.</w:t>
      </w:r>
      <w:r w:rsidRPr="00ED7E61">
        <w:rPr>
          <w:rStyle w:val="eop"/>
          <w:rFonts w:asciiTheme="majorBidi" w:eastAsiaTheme="majorEastAsia" w:hAnsiTheme="majorBidi" w:cstheme="majorBidi"/>
        </w:rPr>
        <w:t> </w:t>
      </w:r>
    </w:p>
    <w:p w14:paraId="4E5977E0" w14:textId="38960C2E" w:rsidR="00756F0F" w:rsidRPr="00ED7E61" w:rsidRDefault="00756F0F" w:rsidP="002B5C03">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b/>
          <w:bCs/>
          <w:sz w:val="22"/>
          <w:szCs w:val="22"/>
          <w:lang w:val="en-GB"/>
        </w:rPr>
        <w:t>5. Definitions, concepts and classifications</w:t>
      </w:r>
      <w:r w:rsidRPr="00ED7E61">
        <w:rPr>
          <w:rStyle w:val="eop"/>
          <w:rFonts w:asciiTheme="majorBidi" w:eastAsiaTheme="majorEastAsia" w:hAnsiTheme="majorBidi" w:cstheme="majorBidi"/>
          <w:sz w:val="22"/>
          <w:szCs w:val="22"/>
        </w:rPr>
        <w:t> </w:t>
      </w:r>
    </w:p>
    <w:p w14:paraId="5958AED4" w14:textId="77777777" w:rsidR="00756F0F" w:rsidRPr="00ED7E61" w:rsidRDefault="00756F0F" w:rsidP="00EF3E4F">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5a. Definition: </w:t>
      </w:r>
      <w:r w:rsidRPr="00ED7E61">
        <w:rPr>
          <w:rStyle w:val="eop"/>
          <w:rFonts w:asciiTheme="majorBidi" w:eastAsiaTheme="majorEastAsia" w:hAnsiTheme="majorBidi" w:cstheme="majorBidi"/>
          <w:sz w:val="22"/>
          <w:szCs w:val="22"/>
        </w:rPr>
        <w:t> </w:t>
      </w:r>
    </w:p>
    <w:p w14:paraId="4947801F" w14:textId="0FCF46EA" w:rsidR="002B5C03" w:rsidRPr="00ED7E61" w:rsidRDefault="00756F0F" w:rsidP="00B10F0C">
      <w:pPr>
        <w:pStyle w:val="CBDNormalNumber"/>
        <w:numPr>
          <w:ilvl w:val="0"/>
          <w:numId w:val="74"/>
        </w:numPr>
        <w:ind w:left="567" w:firstLine="0"/>
        <w:rPr>
          <w:rFonts w:asciiTheme="majorBidi" w:hAnsiTheme="majorBidi" w:cstheme="majorBidi"/>
        </w:rPr>
      </w:pPr>
      <w:r w:rsidRPr="00ED7E61">
        <w:rPr>
          <w:rStyle w:val="normaltextrun"/>
          <w:rFonts w:eastAsiaTheme="majorEastAsia"/>
        </w:rPr>
        <w:t>Rate</w:t>
      </w:r>
      <w:r w:rsidRPr="00ED7E61">
        <w:rPr>
          <w:rStyle w:val="normaltextrun"/>
          <w:rFonts w:asciiTheme="majorBidi" w:eastAsiaTheme="majorEastAsia" w:hAnsiTheme="majorBidi" w:cstheme="majorBidi"/>
        </w:rPr>
        <w:t xml:space="preserve"> of invasive alien species establishment indicator: The number of invasive alien species that are expected to have established in a new region or country compared with the reference period, based on modelled trends in IAS observations. </w:t>
      </w:r>
      <w:r w:rsidRPr="00ED7E61">
        <w:rPr>
          <w:rStyle w:val="eop"/>
          <w:rFonts w:asciiTheme="majorBidi" w:eastAsiaTheme="majorEastAsia" w:hAnsiTheme="majorBidi" w:cstheme="majorBidi"/>
        </w:rPr>
        <w:t> </w:t>
      </w:r>
    </w:p>
    <w:p w14:paraId="0ED03A7D" w14:textId="259B9EB3" w:rsidR="00756F0F" w:rsidRPr="00ED7E61" w:rsidRDefault="00756F0F" w:rsidP="00B10F0C">
      <w:pPr>
        <w:pStyle w:val="CBDNormalNumber"/>
        <w:numPr>
          <w:ilvl w:val="0"/>
          <w:numId w:val="74"/>
        </w:numPr>
        <w:ind w:left="567" w:firstLine="0"/>
        <w:rPr>
          <w:rFonts w:asciiTheme="majorBidi" w:hAnsiTheme="majorBidi" w:cstheme="majorBidi"/>
        </w:rPr>
      </w:pPr>
      <w:r w:rsidRPr="00ED7E61">
        <w:rPr>
          <w:rStyle w:val="normaltextrun"/>
          <w:rFonts w:asciiTheme="majorBidi" w:eastAsiaTheme="majorEastAsia" w:hAnsiTheme="majorBidi" w:cstheme="majorBidi"/>
        </w:rPr>
        <w:t>The unit of measurement is the rate of invasive alien species establishments (number/year). From this we can estimate the trend in the rate of change for the reporting period.</w:t>
      </w:r>
      <w:r w:rsidRPr="00ED7E61">
        <w:rPr>
          <w:rStyle w:val="eop"/>
          <w:rFonts w:asciiTheme="majorBidi" w:eastAsiaTheme="majorEastAsia" w:hAnsiTheme="majorBidi" w:cstheme="majorBidi"/>
        </w:rPr>
        <w:t> </w:t>
      </w:r>
    </w:p>
    <w:p w14:paraId="656079F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5b. Method of computation</w:t>
      </w:r>
      <w:r w:rsidRPr="00ED7E61">
        <w:rPr>
          <w:rStyle w:val="eop"/>
          <w:rFonts w:asciiTheme="majorBidi" w:eastAsiaTheme="majorEastAsia" w:hAnsiTheme="majorBidi" w:cstheme="majorBidi"/>
          <w:sz w:val="22"/>
          <w:szCs w:val="22"/>
        </w:rPr>
        <w:t> </w:t>
      </w:r>
    </w:p>
    <w:p w14:paraId="4134E209" w14:textId="77777777" w:rsidR="00756F0F" w:rsidRPr="00ED7E61" w:rsidRDefault="00756F0F" w:rsidP="00395866">
      <w:pPr>
        <w:pStyle w:val="paragraph"/>
        <w:spacing w:before="0" w:beforeAutospacing="0" w:after="0" w:afterAutospacing="0"/>
        <w:ind w:left="-30"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Step 1</w:t>
      </w:r>
      <w:r w:rsidRPr="00ED7E61">
        <w:rPr>
          <w:rStyle w:val="eop"/>
          <w:rFonts w:asciiTheme="majorBidi" w:eastAsiaTheme="majorEastAsia" w:hAnsiTheme="majorBidi" w:cstheme="majorBidi"/>
          <w:sz w:val="22"/>
          <w:szCs w:val="22"/>
        </w:rPr>
        <w:t> </w:t>
      </w:r>
    </w:p>
    <w:p w14:paraId="24D0482A" w14:textId="58E701A1"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eastAsiaTheme="majorEastAsia"/>
        </w:rPr>
        <w:t>The</w:t>
      </w:r>
      <w:r w:rsidRPr="00ED7E61">
        <w:rPr>
          <w:rStyle w:val="normaltextrun"/>
          <w:rFonts w:asciiTheme="majorBidi" w:eastAsiaTheme="majorEastAsia" w:hAnsiTheme="majorBidi" w:cstheme="majorBidi"/>
        </w:rPr>
        <w:t xml:space="preserve"> indicator is calculated from compiled </w:t>
      </w:r>
      <w:hyperlink r:id="rId451" w:tgtFrame="_blank" w:history="1">
        <w:r w:rsidRPr="00ED7E61">
          <w:rPr>
            <w:rStyle w:val="normaltextrun"/>
            <w:rFonts w:asciiTheme="majorBidi" w:eastAsiaTheme="majorEastAsia" w:hAnsiTheme="majorBidi" w:cstheme="majorBidi"/>
            <w:color w:val="467886"/>
            <w:u w:val="single"/>
          </w:rPr>
          <w:t>country checklists of introduced and invasive species</w:t>
        </w:r>
      </w:hyperlink>
      <w:r w:rsidRPr="00ED7E61">
        <w:rPr>
          <w:rStyle w:val="normaltextrun"/>
          <w:rFonts w:asciiTheme="majorBidi" w:eastAsiaTheme="majorEastAsia" w:hAnsiTheme="majorBidi" w:cstheme="majorBidi"/>
        </w:rPr>
        <w:t xml:space="preserve">, within the Global Register of Introduced and Invasive Species (GRIIS; Pagad et al. 2018; Pagad et al. 2022). GRIIS is maintained by the IUCN SSC Invasive Species Specialist Group (ISSG), published as open-access, interoperable checklist datasets through the Global Biodiversity Information Facility (GBIF), and available via </w:t>
      </w:r>
      <w:r w:rsidR="00ED3992">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invasive alien species</w:t>
      </w:r>
      <w:r w:rsidR="00ED399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links from the </w:t>
      </w:r>
      <w:hyperlink r:id="rId452" w:tgtFrame="_blank" w:history="1">
        <w:r w:rsidRPr="00ED7E61">
          <w:rPr>
            <w:rStyle w:val="normaltextrun"/>
            <w:rFonts w:asciiTheme="majorBidi" w:eastAsiaTheme="majorEastAsia" w:hAnsiTheme="majorBidi" w:cstheme="majorBidi"/>
            <w:color w:val="467886"/>
            <w:u w:val="single"/>
          </w:rPr>
          <w:t>country profile pages of the CBD global Clearing House Mechanism (CHM)</w:t>
        </w:r>
      </w:hyperlink>
      <w:r w:rsidRPr="00ED7E61">
        <w:rPr>
          <w:rStyle w:val="normaltextrun"/>
          <w:rFonts w:asciiTheme="majorBidi" w:eastAsiaTheme="majorEastAsia" w:hAnsiTheme="majorBidi" w:cstheme="majorBidi"/>
        </w:rPr>
        <w:t xml:space="preserve">. The checklists are updatable through national expert author teams coordinated globally by GRIIS, and form the backbone of country monitoring frameworks for IAS. The information value of this indicator is dependent on availability of the most up to date data on new IAS established in the country, and ongoing updates to the GRIIS country checklists and the  Alien Species First Record Database (Seebens et al. 2017; see e.g. </w:t>
      </w:r>
      <w:hyperlink r:id="rId453" w:tgtFrame="_blank" w:history="1">
        <w:r w:rsidRPr="00ED7E61">
          <w:rPr>
            <w:rStyle w:val="normaltextrun"/>
            <w:rFonts w:asciiTheme="majorBidi" w:eastAsiaTheme="majorEastAsia" w:hAnsiTheme="majorBidi" w:cstheme="majorBidi"/>
            <w:color w:val="467886"/>
            <w:u w:val="single"/>
          </w:rPr>
          <w:t>2023 update (v3) of the Alien Species First Record Database</w:t>
        </w:r>
      </w:hyperlink>
      <w:r w:rsidRPr="00ED7E61">
        <w:rPr>
          <w:rStyle w:val="normaltextrun"/>
          <w:rFonts w:asciiTheme="majorBidi" w:eastAsiaTheme="majorEastAsia" w:hAnsiTheme="majorBidi" w:cstheme="majorBidi"/>
        </w:rPr>
        <w:t>). It is also informed by ongoing collation of in-country evidence on which species have started to cause harm (have a negative impact) or continue to do so, and this information is fed back into the GRIIS country checklists. </w:t>
      </w:r>
      <w:r w:rsidRPr="00ED7E61">
        <w:rPr>
          <w:rStyle w:val="eop"/>
          <w:rFonts w:asciiTheme="majorBidi" w:eastAsiaTheme="majorEastAsia" w:hAnsiTheme="majorBidi" w:cstheme="majorBidi"/>
        </w:rPr>
        <w:t> </w:t>
      </w:r>
      <w:r w:rsidR="00A54050" w:rsidRPr="00ED7E61">
        <w:rPr>
          <w:rStyle w:val="eop"/>
          <w:rFonts w:asciiTheme="majorBidi" w:eastAsiaTheme="majorEastAsia" w:hAnsiTheme="majorBidi" w:cstheme="majorBidi"/>
        </w:rPr>
        <w:t>It may be necessary for Parties to review the database in advance, in order to ensure that it contains the necessary information. This review could be carried out by each country, with the cooperation of ISSG members as appropriate.</w:t>
      </w:r>
    </w:p>
    <w:p w14:paraId="656D4561" w14:textId="77777777" w:rsidR="00756F0F" w:rsidRPr="00ED7E61" w:rsidRDefault="00756F0F" w:rsidP="00395866">
      <w:pPr>
        <w:pStyle w:val="paragraph"/>
        <w:spacing w:before="0" w:beforeAutospacing="0" w:after="0" w:afterAutospacing="0"/>
        <w:ind w:left="-30"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Step 2</w:t>
      </w:r>
      <w:r w:rsidRPr="00ED7E61">
        <w:rPr>
          <w:rStyle w:val="eop"/>
          <w:rFonts w:asciiTheme="majorBidi" w:eastAsiaTheme="majorEastAsia" w:hAnsiTheme="majorBidi" w:cstheme="majorBidi"/>
          <w:sz w:val="22"/>
          <w:szCs w:val="22"/>
        </w:rPr>
        <w:t> </w:t>
      </w:r>
    </w:p>
    <w:p w14:paraId="2C0B7713" w14:textId="05B29F9B" w:rsidR="00756F0F" w:rsidRPr="00ED7E61" w:rsidRDefault="00756F0F" w:rsidP="00B10F0C">
      <w:pPr>
        <w:pStyle w:val="CBDNormalNumber"/>
        <w:numPr>
          <w:ilvl w:val="0"/>
          <w:numId w:val="74"/>
        </w:numPr>
        <w:ind w:left="567" w:firstLine="0"/>
        <w:jc w:val="left"/>
        <w:rPr>
          <w:rStyle w:val="normaltextrun"/>
          <w:rFonts w:eastAsiaTheme="majorEastAsia"/>
        </w:rPr>
      </w:pPr>
      <w:r w:rsidRPr="00ED7E61">
        <w:rPr>
          <w:rStyle w:val="normaltextrun"/>
          <w:rFonts w:eastAsiaTheme="majorEastAsia"/>
        </w:rPr>
        <w:t xml:space="preserve">The indicator can be calculated for different species subsets: (1) Species known to have an impact (i.e. based on the subset of invasive alien species in GRIIS for which there is evidence of impact in at least one country, denoted as </w:t>
      </w:r>
      <w:r w:rsidR="00ED3992">
        <w:rPr>
          <w:rStyle w:val="normaltextrun"/>
          <w:rFonts w:eastAsiaTheme="majorEastAsia"/>
        </w:rPr>
        <w:t>“</w:t>
      </w:r>
      <w:r w:rsidRPr="00FB1598">
        <w:rPr>
          <w:rStyle w:val="normaltextrun"/>
          <w:rFonts w:eastAsiaTheme="majorEastAsia"/>
          <w:i/>
          <w:iCs/>
        </w:rPr>
        <w:t>Invasive</w:t>
      </w:r>
      <w:r w:rsidR="00ED3992">
        <w:rPr>
          <w:rStyle w:val="normaltextrun"/>
          <w:rFonts w:eastAsiaTheme="majorEastAsia"/>
        </w:rPr>
        <w:t>”</w:t>
      </w:r>
      <w:r w:rsidRPr="00ED7E61">
        <w:rPr>
          <w:rStyle w:val="normaltextrun"/>
          <w:rFonts w:eastAsiaTheme="majorEastAsia"/>
        </w:rPr>
        <w:t xml:space="preserve"> in the </w:t>
      </w:r>
      <w:r w:rsidR="00ED3992">
        <w:rPr>
          <w:rStyle w:val="normaltextrun"/>
          <w:rFonts w:eastAsiaTheme="majorEastAsia"/>
        </w:rPr>
        <w:t>“</w:t>
      </w:r>
      <w:r w:rsidRPr="00FB1598">
        <w:rPr>
          <w:rStyle w:val="normaltextrun"/>
          <w:rFonts w:eastAsiaTheme="majorEastAsia"/>
          <w:i/>
          <w:iCs/>
        </w:rPr>
        <w:t>isInvasive</w:t>
      </w:r>
      <w:r w:rsidR="00ED3992">
        <w:rPr>
          <w:rStyle w:val="normaltextrun"/>
          <w:rFonts w:eastAsiaTheme="majorEastAsia"/>
        </w:rPr>
        <w:t>”</w:t>
      </w:r>
      <w:r w:rsidRPr="00ED7E61">
        <w:rPr>
          <w:rStyle w:val="normaltextrun"/>
          <w:rFonts w:eastAsiaTheme="majorEastAsia"/>
        </w:rPr>
        <w:t xml:space="preserve"> field of the country checklists); (2) All alien (introduced) species in a country using GRIIS data or alternative sources; (3) All alien species introduced via a particular pathway of introduction.</w:t>
      </w:r>
      <w:r w:rsidRPr="00ED7E61">
        <w:rPr>
          <w:rStyle w:val="normaltextrun"/>
        </w:rPr>
        <w:t> </w:t>
      </w:r>
    </w:p>
    <w:p w14:paraId="4EE3EFC4" w14:textId="77777777" w:rsidR="00756F0F" w:rsidRPr="00ED7E61" w:rsidRDefault="00756F0F" w:rsidP="00395866">
      <w:pPr>
        <w:pStyle w:val="paragraph"/>
        <w:spacing w:before="0" w:beforeAutospacing="0" w:after="0" w:afterAutospacing="0"/>
        <w:ind w:left="-30"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Step 3</w:t>
      </w:r>
      <w:r w:rsidRPr="00ED7E61">
        <w:rPr>
          <w:rStyle w:val="eop"/>
          <w:rFonts w:asciiTheme="majorBidi" w:eastAsiaTheme="majorEastAsia" w:hAnsiTheme="majorBidi" w:cstheme="majorBidi"/>
          <w:sz w:val="22"/>
          <w:szCs w:val="22"/>
        </w:rPr>
        <w:t> </w:t>
      </w:r>
    </w:p>
    <w:p w14:paraId="19720035" w14:textId="6BBF199B" w:rsidR="00756F0F" w:rsidRPr="00ED7E61" w:rsidRDefault="00756F0F" w:rsidP="00B10F0C">
      <w:pPr>
        <w:pStyle w:val="CBDNormalNumber"/>
        <w:numPr>
          <w:ilvl w:val="0"/>
          <w:numId w:val="74"/>
        </w:numPr>
        <w:ind w:left="567" w:firstLine="0"/>
        <w:jc w:val="left"/>
        <w:rPr>
          <w:rStyle w:val="normaltextrun"/>
          <w:rFonts w:eastAsiaTheme="majorEastAsia"/>
        </w:rPr>
      </w:pPr>
      <w:r w:rsidRPr="00ED7E61">
        <w:rPr>
          <w:rStyle w:val="normaltextrun"/>
          <w:rFonts w:eastAsiaTheme="majorEastAsia"/>
        </w:rPr>
        <w:t xml:space="preserve">For the subset of </w:t>
      </w:r>
      <w:r w:rsidR="00ED3992">
        <w:rPr>
          <w:rStyle w:val="normaltextrun"/>
          <w:rFonts w:eastAsiaTheme="majorEastAsia"/>
        </w:rPr>
        <w:t>“</w:t>
      </w:r>
      <w:r w:rsidRPr="00FB1598">
        <w:rPr>
          <w:rStyle w:val="normaltextrun"/>
          <w:rFonts w:eastAsiaTheme="majorEastAsia"/>
          <w:i/>
          <w:iCs/>
        </w:rPr>
        <w:t>isInvasive</w:t>
      </w:r>
      <w:r w:rsidR="00ED3992">
        <w:rPr>
          <w:rStyle w:val="normaltextrun"/>
          <w:rFonts w:eastAsiaTheme="majorEastAsia"/>
          <w:i/>
          <w:iCs/>
        </w:rPr>
        <w:t>”</w:t>
      </w:r>
      <w:r w:rsidRPr="00ED7E61">
        <w:rPr>
          <w:rStyle w:val="normaltextrun"/>
          <w:rFonts w:eastAsiaTheme="majorEastAsia"/>
        </w:rPr>
        <w:t xml:space="preserve"> species in the country (Pagad et al. 2022), the dates of introduction, estimated dates of introduction, or dates of </w:t>
      </w:r>
      <w:r w:rsidR="00ED3992">
        <w:rPr>
          <w:rStyle w:val="normaltextrun"/>
          <w:rFonts w:eastAsiaTheme="majorEastAsia"/>
        </w:rPr>
        <w:t>“</w:t>
      </w:r>
      <w:r w:rsidRPr="00FB1598">
        <w:rPr>
          <w:rStyle w:val="normaltextrun"/>
          <w:rFonts w:eastAsiaTheme="majorEastAsia"/>
          <w:i/>
          <w:iCs/>
        </w:rPr>
        <w:t>first record</w:t>
      </w:r>
      <w:r w:rsidR="00ED3992">
        <w:rPr>
          <w:rStyle w:val="normaltextrun"/>
          <w:rFonts w:eastAsiaTheme="majorEastAsia"/>
        </w:rPr>
        <w:t>”</w:t>
      </w:r>
      <w:r w:rsidRPr="00ED7E61">
        <w:rPr>
          <w:rStyle w:val="normaltextrun"/>
          <w:rFonts w:eastAsiaTheme="majorEastAsia"/>
        </w:rPr>
        <w:t xml:space="preserve"> are required (Seebens 2023). These data can be collated from in-country sources, or obtained from the IAS First Record Database (Seebens 2023) or similar sources. Date information can be compiled on a taxon-by-taxon basis, starting with those taxa for which the data are most readily available and complete.</w:t>
      </w:r>
      <w:r w:rsidRPr="00ED7E61">
        <w:rPr>
          <w:rStyle w:val="normaltextrun"/>
        </w:rPr>
        <w:t> </w:t>
      </w:r>
    </w:p>
    <w:p w14:paraId="457EA81A" w14:textId="77777777" w:rsidR="00756F0F" w:rsidRPr="00ED7E61" w:rsidRDefault="00756F0F" w:rsidP="00CC56A2">
      <w:pPr>
        <w:pStyle w:val="paragraph"/>
        <w:spacing w:before="0" w:beforeAutospacing="0" w:after="0" w:afterAutospacing="0"/>
        <w:ind w:left="-30" w:right="-30"/>
        <w:textAlignment w:val="baseline"/>
        <w:rPr>
          <w:rStyle w:val="normaltextrun"/>
          <w:rFonts w:eastAsiaTheme="majorEastAsia"/>
          <w:lang w:val="en-GB"/>
        </w:rPr>
      </w:pPr>
      <w:r w:rsidRPr="00ED7E61">
        <w:rPr>
          <w:rStyle w:val="normaltextrun"/>
          <w:rFonts w:asciiTheme="majorBidi" w:eastAsiaTheme="majorEastAsia" w:hAnsiTheme="majorBidi" w:cstheme="majorBidi"/>
          <w:sz w:val="22"/>
          <w:szCs w:val="22"/>
          <w:lang w:val="en-GB"/>
        </w:rPr>
        <w:t>Step 4</w:t>
      </w:r>
      <w:r w:rsidRPr="00ED7E61">
        <w:rPr>
          <w:rStyle w:val="normaltextrun"/>
          <w:rFonts w:eastAsiaTheme="majorEastAsia"/>
          <w:lang w:val="en-GB"/>
        </w:rPr>
        <w:t> </w:t>
      </w:r>
    </w:p>
    <w:p w14:paraId="2703C5CA"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eastAsiaTheme="majorEastAsia"/>
        </w:rPr>
        <w:t>Raw</w:t>
      </w:r>
      <w:r w:rsidRPr="00ED7E61">
        <w:rPr>
          <w:rStyle w:val="normaltextrun"/>
          <w:rFonts w:asciiTheme="majorBidi" w:eastAsiaTheme="majorEastAsia" w:hAnsiTheme="majorBidi" w:cstheme="majorBidi"/>
        </w:rPr>
        <w:t xml:space="preserve"> data trends can be compiled showing the known number of newly-established  species per year. </w:t>
      </w:r>
      <w:r w:rsidRPr="00ED7E61">
        <w:rPr>
          <w:rStyle w:val="eop"/>
          <w:rFonts w:asciiTheme="majorBidi" w:eastAsiaTheme="majorEastAsia" w:hAnsiTheme="majorBidi" w:cstheme="majorBidi"/>
        </w:rPr>
        <w:t> </w:t>
      </w:r>
    </w:p>
    <w:p w14:paraId="56C78FC7" w14:textId="77777777" w:rsidR="00756F0F" w:rsidRPr="00ED7E61" w:rsidRDefault="00756F0F" w:rsidP="00395866">
      <w:pPr>
        <w:pStyle w:val="paragraph"/>
        <w:spacing w:before="0" w:beforeAutospacing="0" w:after="0" w:afterAutospacing="0"/>
        <w:ind w:left="-30"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Step 5</w:t>
      </w:r>
      <w:r w:rsidRPr="00ED7E61">
        <w:rPr>
          <w:rStyle w:val="eop"/>
          <w:rFonts w:asciiTheme="majorBidi" w:eastAsiaTheme="majorEastAsia" w:hAnsiTheme="majorBidi" w:cstheme="majorBidi"/>
          <w:sz w:val="22"/>
          <w:szCs w:val="22"/>
        </w:rPr>
        <w:t> </w:t>
      </w:r>
    </w:p>
    <w:p w14:paraId="40E3A461" w14:textId="5D781DF5"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eastAsiaTheme="majorEastAsia"/>
        </w:rPr>
        <w:t>To</w:t>
      </w:r>
      <w:r w:rsidRPr="00ED7E61">
        <w:rPr>
          <w:rStyle w:val="normaltextrun"/>
          <w:rFonts w:asciiTheme="majorBidi" w:eastAsiaTheme="majorEastAsia" w:hAnsiTheme="majorBidi" w:cstheme="majorBidi"/>
        </w:rPr>
        <w:t xml:space="preserve"> estimate the </w:t>
      </w:r>
      <w:r w:rsidR="00ED3992">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Rate of Establishment Indicator</w:t>
      </w:r>
      <w:r w:rsidR="00ED399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the above information is then modelled to estimate new species invasions per year, along with an estimate of uncertainty (McGeoch et al. 2023). The model is based on a time series that measures the number of observed species in each time period, and estimates the rate of introduction of new species from these IAS observations. The observed number of IAS is the product of the number of introductions and the observation probability of the introduced species (</w:t>
      </w:r>
      <w:r w:rsidR="00307746">
        <w:rPr>
          <w:rStyle w:val="normaltextrun"/>
          <w:rFonts w:asciiTheme="majorBidi" w:eastAsiaTheme="majorEastAsia" w:hAnsiTheme="majorBidi" w:cstheme="majorBidi"/>
        </w:rPr>
        <w:t>f</w:t>
      </w:r>
      <w:r w:rsidRPr="00ED7E61">
        <w:rPr>
          <w:rStyle w:val="normaltextrun"/>
          <w:rFonts w:asciiTheme="majorBidi" w:eastAsiaTheme="majorEastAsia" w:hAnsiTheme="majorBidi" w:cstheme="majorBidi"/>
        </w:rPr>
        <w:t xml:space="preserve">igure </w:t>
      </w:r>
      <w:r w:rsidR="00307746">
        <w:rPr>
          <w:rStyle w:val="normaltextrun"/>
          <w:rFonts w:asciiTheme="majorBidi" w:eastAsiaTheme="majorEastAsia" w:hAnsiTheme="majorBidi" w:cstheme="majorBidi"/>
        </w:rPr>
        <w:t>I</w:t>
      </w:r>
      <w:r w:rsidRPr="00ED7E61">
        <w:rPr>
          <w:rStyle w:val="normaltextrun"/>
          <w:rFonts w:asciiTheme="majorBidi" w:eastAsiaTheme="majorEastAsia" w:hAnsiTheme="majorBidi" w:cstheme="majorBidi"/>
        </w:rPr>
        <w:t xml:space="preserve">). See </w:t>
      </w:r>
      <w:hyperlink r:id="rId454" w:tgtFrame="_blank" w:history="1">
        <w:r w:rsidRPr="00ED7E61">
          <w:rPr>
            <w:rStyle w:val="normaltextrun"/>
            <w:rFonts w:asciiTheme="majorBidi" w:eastAsiaTheme="majorEastAsia" w:hAnsiTheme="majorBidi" w:cstheme="majorBidi"/>
            <w:color w:val="467886"/>
            <w:u w:val="single"/>
          </w:rPr>
          <w:t>supporting information providing guidance to countries on constructing such indicators</w:t>
        </w:r>
      </w:hyperlink>
      <w:r w:rsidRPr="00ED7E61">
        <w:rPr>
          <w:rStyle w:val="normaltextrun"/>
          <w:rFonts w:asciiTheme="majorBidi" w:eastAsiaTheme="majorEastAsia" w:hAnsiTheme="majorBidi" w:cstheme="majorBidi"/>
        </w:rPr>
        <w:t xml:space="preserve"> for guidance on this estimation procedure. </w:t>
      </w:r>
      <w:r w:rsidRPr="00ED7E61">
        <w:rPr>
          <w:rStyle w:val="eop"/>
          <w:rFonts w:asciiTheme="majorBidi" w:eastAsiaTheme="majorEastAsia" w:hAnsiTheme="majorBidi" w:cstheme="majorBidi"/>
        </w:rPr>
        <w:t> </w:t>
      </w:r>
    </w:p>
    <w:p w14:paraId="7825E3F8" w14:textId="77777777" w:rsidR="00756F0F" w:rsidRPr="00ED7E61" w:rsidRDefault="00756F0F" w:rsidP="00395866">
      <w:pPr>
        <w:pStyle w:val="paragraph"/>
        <w:spacing w:before="0" w:beforeAutospacing="0" w:after="0" w:afterAutospacing="0"/>
        <w:ind w:left="-30"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Step 6</w:t>
      </w:r>
      <w:r w:rsidRPr="00ED7E61">
        <w:rPr>
          <w:rStyle w:val="eop"/>
          <w:rFonts w:asciiTheme="majorBidi" w:eastAsiaTheme="majorEastAsia" w:hAnsiTheme="majorBidi" w:cstheme="majorBidi"/>
          <w:sz w:val="22"/>
          <w:szCs w:val="22"/>
        </w:rPr>
        <w:t> </w:t>
      </w:r>
    </w:p>
    <w:p w14:paraId="60A78CEA"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eastAsiaTheme="majorEastAsia"/>
        </w:rPr>
        <w:t>Comparable</w:t>
      </w:r>
      <w:r w:rsidRPr="00ED7E61">
        <w:rPr>
          <w:rStyle w:val="normaltextrun"/>
          <w:rFonts w:asciiTheme="majorBidi" w:eastAsiaTheme="majorEastAsia" w:hAnsiTheme="majorBidi" w:cstheme="majorBidi"/>
        </w:rPr>
        <w:t xml:space="preserve"> use of this indicator by Parties relies on the use of the same baseline dataset and a consistent method for estimating the rate parameter. Further tools are currently being prepared by GEO BON to assist countries with this step.</w:t>
      </w:r>
      <w:r w:rsidRPr="00ED7E61">
        <w:rPr>
          <w:rStyle w:val="eop"/>
          <w:rFonts w:asciiTheme="majorBidi" w:eastAsiaTheme="majorEastAsia" w:hAnsiTheme="majorBidi" w:cstheme="majorBidi"/>
        </w:rPr>
        <w:t> </w:t>
      </w:r>
    </w:p>
    <w:p w14:paraId="16D5D589" w14:textId="77777777" w:rsidR="00756F0F" w:rsidRPr="00ED7E61" w:rsidRDefault="00756F0F" w:rsidP="00395866">
      <w:pPr>
        <w:pStyle w:val="paragraph"/>
        <w:spacing w:before="0" w:beforeAutospacing="0" w:after="0" w:afterAutospacing="0"/>
        <w:ind w:left="-30" w:right="-3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1C3DB904" w14:textId="264063EB" w:rsidR="00CC56A2" w:rsidRPr="00B3383B" w:rsidRDefault="00756F0F" w:rsidP="00B3383B">
      <w:pPr>
        <w:pStyle w:val="paragraph"/>
        <w:spacing w:before="0" w:beforeAutospacing="0" w:after="0" w:afterAutospacing="0"/>
        <w:ind w:left="567" w:right="-30"/>
        <w:textAlignment w:val="baseline"/>
        <w:rPr>
          <w:rStyle w:val="eop"/>
          <w:rFonts w:asciiTheme="majorBidi" w:eastAsiaTheme="majorEastAsia" w:hAnsiTheme="majorBidi" w:cstheme="majorBidi"/>
          <w:b/>
          <w:bCs/>
          <w:sz w:val="22"/>
          <w:szCs w:val="22"/>
        </w:rPr>
      </w:pPr>
      <w:r w:rsidRPr="00ED7E61">
        <w:rPr>
          <w:rStyle w:val="eop"/>
          <w:rFonts w:asciiTheme="majorBidi" w:eastAsiaTheme="majorEastAsia" w:hAnsiTheme="majorBidi" w:cstheme="majorBidi"/>
          <w:sz w:val="22"/>
          <w:szCs w:val="22"/>
        </w:rPr>
        <w:t> </w:t>
      </w:r>
      <w:r w:rsidR="00E225C2" w:rsidRPr="00ED7E61">
        <w:rPr>
          <w:noProof/>
          <w:lang w:val="fr-FR" w:eastAsia="fr-FR"/>
        </w:rPr>
        <w:drawing>
          <wp:inline distT="0" distB="0" distL="0" distR="0" wp14:anchorId="0B00EFCC" wp14:editId="3DFC0EEB">
            <wp:extent cx="5819775" cy="2982635"/>
            <wp:effectExtent l="0" t="0" r="0" b="0"/>
            <wp:docPr id="2023661444" name="Picture 2023661444" descr="A graph of a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61444" name="Picture 2023661444" descr="A graph of a survey&#10;&#10;Description automatically generated with medium confidence"/>
                    <pic:cNvPicPr/>
                  </pic:nvPicPr>
                  <pic:blipFill>
                    <a:blip r:embed="rId455">
                      <a:extLst>
                        <a:ext uri="{28A0092B-C50C-407E-A947-70E740481C1C}">
                          <a14:useLocalDpi xmlns:a14="http://schemas.microsoft.com/office/drawing/2010/main" val="0"/>
                        </a:ext>
                      </a:extLst>
                    </a:blip>
                    <a:stretch>
                      <a:fillRect/>
                    </a:stretch>
                  </pic:blipFill>
                  <pic:spPr>
                    <a:xfrm>
                      <a:off x="0" y="0"/>
                      <a:ext cx="5819775" cy="2982635"/>
                    </a:xfrm>
                    <a:prstGeom prst="rect">
                      <a:avLst/>
                    </a:prstGeom>
                  </pic:spPr>
                </pic:pic>
              </a:graphicData>
            </a:graphic>
          </wp:inline>
        </w:drawing>
      </w:r>
      <w:r w:rsidRPr="00B3383B">
        <w:rPr>
          <w:rStyle w:val="normaltextrun"/>
          <w:rFonts w:asciiTheme="majorBidi" w:eastAsiaTheme="majorEastAsia" w:hAnsiTheme="majorBidi" w:cstheme="majorBidi"/>
          <w:sz w:val="22"/>
          <w:szCs w:val="22"/>
          <w:lang w:val="en-GB"/>
        </w:rPr>
        <w:t xml:space="preserve">Figure </w:t>
      </w:r>
      <w:r w:rsidR="00307746" w:rsidRPr="00B3383B">
        <w:rPr>
          <w:rStyle w:val="normaltextrun"/>
          <w:rFonts w:asciiTheme="majorBidi" w:eastAsiaTheme="majorEastAsia" w:hAnsiTheme="majorBidi" w:cstheme="majorBidi"/>
          <w:sz w:val="22"/>
          <w:szCs w:val="22"/>
          <w:lang w:val="en-GB"/>
        </w:rPr>
        <w:t>I</w:t>
      </w:r>
      <w:r w:rsidRPr="00ED7E61">
        <w:rPr>
          <w:rStyle w:val="normaltextrun"/>
          <w:rFonts w:asciiTheme="majorBidi" w:eastAsiaTheme="majorEastAsia" w:hAnsiTheme="majorBidi" w:cstheme="majorBidi"/>
          <w:i/>
          <w:iCs/>
          <w:sz w:val="22"/>
          <w:szCs w:val="22"/>
          <w:lang w:val="en-GB"/>
        </w:rPr>
        <w:t xml:space="preserve"> </w:t>
      </w:r>
      <w:r w:rsidR="00307746">
        <w:rPr>
          <w:rStyle w:val="normaltextrun"/>
          <w:rFonts w:asciiTheme="majorBidi" w:eastAsiaTheme="majorEastAsia" w:hAnsiTheme="majorBidi" w:cstheme="majorBidi"/>
          <w:i/>
          <w:iCs/>
          <w:sz w:val="22"/>
          <w:szCs w:val="22"/>
          <w:lang w:val="en-GB"/>
        </w:rPr>
        <w:br/>
      </w:r>
      <w:r w:rsidRPr="00B3383B">
        <w:rPr>
          <w:rStyle w:val="normaltextrun"/>
          <w:rFonts w:asciiTheme="majorBidi" w:eastAsiaTheme="majorEastAsia" w:hAnsiTheme="majorBidi" w:cstheme="majorBidi"/>
          <w:b/>
          <w:bCs/>
          <w:sz w:val="22"/>
          <w:szCs w:val="22"/>
          <w:lang w:val="en-GB"/>
        </w:rPr>
        <w:t>The graph on the left show</w:t>
      </w:r>
      <w:r w:rsidR="00E225C2" w:rsidRPr="00B3383B">
        <w:rPr>
          <w:rStyle w:val="normaltextrun"/>
          <w:rFonts w:asciiTheme="majorBidi" w:eastAsiaTheme="majorEastAsia" w:hAnsiTheme="majorBidi" w:cstheme="majorBidi"/>
          <w:b/>
          <w:bCs/>
          <w:sz w:val="22"/>
          <w:szCs w:val="22"/>
          <w:lang w:val="en-GB"/>
        </w:rPr>
        <w:t>s</w:t>
      </w:r>
      <w:r w:rsidRPr="00B3383B">
        <w:rPr>
          <w:rStyle w:val="normaltextrun"/>
          <w:rFonts w:asciiTheme="majorBidi" w:eastAsiaTheme="majorEastAsia" w:hAnsiTheme="majorBidi" w:cstheme="majorBidi"/>
          <w:b/>
          <w:bCs/>
          <w:sz w:val="22"/>
          <w:szCs w:val="22"/>
          <w:lang w:val="en-GB"/>
        </w:rPr>
        <w:t xml:space="preserve"> an example of a step change in the true number of introductions (black line). This is estimated from checklist data updated over time. We see that survey effort (coloured dotted line) affects our knowledge of change in the rate of IAS (number per year). The true number is estimated with a model as described by McGeoch et al. (2023). The graph on the right shows the change in the rate of establishment of IAS over a longer period. This trend is estimated as a linear trend (as estimated with a slope from a regression) through a time series of IAS per year</w:t>
      </w:r>
    </w:p>
    <w:p w14:paraId="08D8A2DC" w14:textId="64B3D91C" w:rsidR="00CC56A2" w:rsidRPr="00ED7E61" w:rsidRDefault="00A54050" w:rsidP="00B10F0C">
      <w:pPr>
        <w:pStyle w:val="CBDNormalNumber"/>
        <w:numPr>
          <w:ilvl w:val="0"/>
          <w:numId w:val="74"/>
        </w:numPr>
        <w:ind w:left="567" w:firstLine="0"/>
        <w:jc w:val="left"/>
        <w:rPr>
          <w:rStyle w:val="normaltextrun"/>
          <w:rFonts w:eastAsiaTheme="majorEastAsia"/>
        </w:rPr>
      </w:pPr>
      <w:r w:rsidRPr="00ED7E61">
        <w:rPr>
          <w:rStyle w:val="normaltextrun"/>
          <w:rFonts w:eastAsiaTheme="majorEastAsia"/>
        </w:rPr>
        <w:t xml:space="preserve">For countries or regions which have local lists of invasive alien species, it is possible apply the methodology described above by calculating the establishment rate on the basis of the local list of invasive alien species. This can be done   in conjunction with the establishment rate calculated on the basis of GRIIS. </w:t>
      </w:r>
    </w:p>
    <w:p w14:paraId="7AA1D92E" w14:textId="5AC0EF6C"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E15A190"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eastAsiaTheme="majorEastAsia"/>
        </w:rPr>
        <w:t>Detailed</w:t>
      </w:r>
      <w:r w:rsidRPr="00ED7E61">
        <w:rPr>
          <w:rStyle w:val="normaltextrun"/>
          <w:rFonts w:asciiTheme="majorBidi" w:eastAsiaTheme="majorEastAsia" w:hAnsiTheme="majorBidi" w:cstheme="majorBidi"/>
          <w:color w:val="000000"/>
        </w:rPr>
        <w:t xml:space="preserve"> methodology for compiling country checklists within the Global Register of Introduced and Invasive Species (GRIIS, see previous section) is described in </w:t>
      </w:r>
      <w:hyperlink r:id="rId456" w:tgtFrame="_blank" w:history="1">
        <w:r w:rsidRPr="00ED7E61">
          <w:rPr>
            <w:rStyle w:val="normaltextrun"/>
            <w:rFonts w:asciiTheme="majorBidi" w:eastAsiaTheme="majorEastAsia" w:hAnsiTheme="majorBidi" w:cstheme="majorBidi"/>
            <w:color w:val="467886"/>
            <w:u w:val="single"/>
          </w:rPr>
          <w:t>Pagad et al. (2018)</w:t>
        </w:r>
      </w:hyperlink>
      <w:r w:rsidRPr="00ED7E61">
        <w:rPr>
          <w:rStyle w:val="normaltextrun"/>
          <w:rFonts w:asciiTheme="majorBidi" w:eastAsiaTheme="majorEastAsia" w:hAnsiTheme="majorBidi" w:cstheme="majorBidi"/>
          <w:color w:val="000000"/>
        </w:rPr>
        <w:t xml:space="preserve">, and included within the metadata associated with each checklist, available </w:t>
      </w:r>
      <w:hyperlink r:id="rId457" w:tgtFrame="_blank" w:history="1">
        <w:r w:rsidRPr="00ED7E61">
          <w:rPr>
            <w:rStyle w:val="normaltextrun"/>
            <w:rFonts w:asciiTheme="majorBidi" w:eastAsiaTheme="majorEastAsia" w:hAnsiTheme="majorBidi" w:cstheme="majorBidi"/>
            <w:color w:val="467886"/>
            <w:u w:val="single"/>
          </w:rPr>
          <w:t>through GBIF</w:t>
        </w:r>
      </w:hyperlink>
      <w:r w:rsidRPr="00ED7E61">
        <w:rPr>
          <w:rStyle w:val="normaltextrun"/>
          <w:rFonts w:asciiTheme="majorBidi" w:eastAsiaTheme="majorEastAsia" w:hAnsiTheme="majorBidi" w:cstheme="majorBidi"/>
          <w:color w:val="000000"/>
        </w:rPr>
        <w:t xml:space="preserve"> and linked from the </w:t>
      </w:r>
      <w:hyperlink r:id="rId458" w:tgtFrame="_blank" w:history="1">
        <w:r w:rsidRPr="00ED7E61">
          <w:rPr>
            <w:rStyle w:val="normaltextrun"/>
            <w:rFonts w:asciiTheme="majorBidi" w:eastAsiaTheme="majorEastAsia" w:hAnsiTheme="majorBidi" w:cstheme="majorBidi"/>
            <w:color w:val="467886"/>
            <w:u w:val="single"/>
          </w:rPr>
          <w:t>CHM country profile pages.</w:t>
        </w:r>
      </w:hyperlink>
      <w:r w:rsidRPr="00ED7E61">
        <w:rPr>
          <w:rStyle w:val="eop"/>
          <w:rFonts w:asciiTheme="majorBidi" w:eastAsiaTheme="majorEastAsia" w:hAnsiTheme="majorBidi" w:cstheme="majorBidi"/>
        </w:rPr>
        <w:t> </w:t>
      </w:r>
    </w:p>
    <w:p w14:paraId="0EE3E1DD"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eastAsiaTheme="majorEastAsia"/>
        </w:rPr>
        <w:t>The</w:t>
      </w:r>
      <w:r w:rsidRPr="00ED7E61">
        <w:rPr>
          <w:rStyle w:val="normaltextrun"/>
          <w:rFonts w:asciiTheme="majorBidi" w:eastAsiaTheme="majorEastAsia" w:hAnsiTheme="majorBidi" w:cstheme="majorBidi"/>
        </w:rPr>
        <w:t xml:space="preserve"> methodology for compiling the IAS First Record Database is described in </w:t>
      </w:r>
      <w:hyperlink r:id="rId459" w:tgtFrame="_blank" w:history="1">
        <w:r w:rsidRPr="00ED7E61">
          <w:rPr>
            <w:rStyle w:val="normaltextrun"/>
            <w:rFonts w:asciiTheme="majorBidi" w:eastAsiaTheme="majorEastAsia" w:hAnsiTheme="majorBidi" w:cstheme="majorBidi"/>
            <w:color w:val="467886"/>
            <w:u w:val="single"/>
          </w:rPr>
          <w:t>Seebens et al (2017)</w:t>
        </w:r>
      </w:hyperlink>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575C98E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1661AF0E" w14:textId="6BB0D225"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eastAsiaTheme="majorEastAsia"/>
        </w:rPr>
        <w:t>The</w:t>
      </w:r>
      <w:r w:rsidRPr="00ED7E61">
        <w:rPr>
          <w:rStyle w:val="normaltextrun"/>
          <w:rFonts w:asciiTheme="majorBidi" w:eastAsiaTheme="majorEastAsia" w:hAnsiTheme="majorBidi" w:cstheme="majorBidi"/>
        </w:rPr>
        <w:t xml:space="preserve"> methodology for the indicator is described in </w:t>
      </w:r>
      <w:hyperlink r:id="rId460" w:tgtFrame="_blank" w:history="1">
        <w:r w:rsidRPr="00ED7E61">
          <w:rPr>
            <w:rStyle w:val="normaltextrun"/>
            <w:rFonts w:asciiTheme="majorBidi" w:eastAsiaTheme="majorEastAsia" w:hAnsiTheme="majorBidi" w:cstheme="majorBidi"/>
            <w:color w:val="467886"/>
            <w:u w:val="single"/>
          </w:rPr>
          <w:t>McGeoch et al. (2023)</w:t>
        </w:r>
      </w:hyperlink>
      <w:r w:rsidRPr="00ED7E61">
        <w:rPr>
          <w:rStyle w:val="normaltextrun"/>
          <w:rFonts w:asciiTheme="majorBidi" w:eastAsiaTheme="majorEastAsia" w:hAnsiTheme="majorBidi" w:cstheme="majorBidi"/>
        </w:rPr>
        <w:t xml:space="preserve"> and its national application is supported by GEO BON.  As described in this paper governments and institutions responsible for assessing invasive alien species at the national level can follow four straightforward steps to build the data needed to estimate rates of invasive alien species (IAS) establishment (</w:t>
      </w:r>
      <w:r w:rsidR="005377BE">
        <w:rPr>
          <w:rStyle w:val="normaltextrun"/>
          <w:rFonts w:asciiTheme="majorBidi" w:eastAsiaTheme="majorEastAsia" w:hAnsiTheme="majorBidi" w:cstheme="majorBidi"/>
        </w:rPr>
        <w:t>f</w:t>
      </w:r>
      <w:r w:rsidRPr="00ED7E61">
        <w:rPr>
          <w:rStyle w:val="normaltextrun"/>
          <w:rFonts w:asciiTheme="majorBidi" w:eastAsiaTheme="majorEastAsia" w:hAnsiTheme="majorBidi" w:cstheme="majorBidi"/>
        </w:rPr>
        <w:t xml:space="preserve">igure </w:t>
      </w:r>
      <w:r w:rsidR="005377BE">
        <w:rPr>
          <w:rStyle w:val="normaltextrun"/>
          <w:rFonts w:asciiTheme="majorBidi" w:eastAsiaTheme="majorEastAsia" w:hAnsiTheme="majorBidi" w:cstheme="majorBidi"/>
        </w:rPr>
        <w:t>II</w:t>
      </w:r>
      <w:r w:rsidRPr="00ED7E61">
        <w:rPr>
          <w:rStyle w:val="normaltextrun"/>
          <w:rFonts w:asciiTheme="majorBidi" w:eastAsiaTheme="majorEastAsia" w:hAnsiTheme="majorBidi" w:cstheme="majorBidi"/>
        </w:rPr>
        <w:t>).</w:t>
      </w:r>
    </w:p>
    <w:p w14:paraId="5355B45A" w14:textId="77777777" w:rsidR="002D23EF" w:rsidRPr="00ED7E61" w:rsidRDefault="002D23EF" w:rsidP="00395866">
      <w:pPr>
        <w:pStyle w:val="paragraph"/>
        <w:spacing w:before="0" w:beforeAutospacing="0" w:after="0" w:afterAutospacing="0"/>
        <w:ind w:left="-30" w:right="-30"/>
        <w:textAlignment w:val="baseline"/>
        <w:rPr>
          <w:rStyle w:val="normaltextrun"/>
          <w:rFonts w:asciiTheme="majorBidi" w:eastAsiaTheme="majorEastAsia" w:hAnsiTheme="majorBidi" w:cstheme="majorBidi"/>
          <w:sz w:val="22"/>
          <w:szCs w:val="22"/>
        </w:rPr>
      </w:pPr>
    </w:p>
    <w:p w14:paraId="5D03C72C" w14:textId="74FCCDD4" w:rsidR="002D23EF" w:rsidRPr="00ED7E61" w:rsidRDefault="002D23EF" w:rsidP="00B3383B">
      <w:pPr>
        <w:pStyle w:val="paragraph"/>
        <w:spacing w:before="0" w:beforeAutospacing="0" w:after="0" w:afterAutospacing="0"/>
        <w:ind w:left="567" w:right="-30"/>
        <w:textAlignment w:val="baseline"/>
        <w:rPr>
          <w:rStyle w:val="normaltextrun"/>
          <w:rFonts w:asciiTheme="majorBidi" w:eastAsiaTheme="majorEastAsia" w:hAnsiTheme="majorBidi" w:cstheme="majorBidi"/>
          <w:sz w:val="22"/>
          <w:szCs w:val="22"/>
        </w:rPr>
      </w:pPr>
      <w:r w:rsidRPr="00ED7E61">
        <w:rPr>
          <w:noProof/>
          <w:lang w:val="fr-FR" w:eastAsia="fr-FR"/>
        </w:rPr>
        <w:drawing>
          <wp:inline distT="0" distB="0" distL="0" distR="0" wp14:anchorId="21713EF8" wp14:editId="1A7F362E">
            <wp:extent cx="4572000" cy="3000375"/>
            <wp:effectExtent l="0" t="0" r="0" b="0"/>
            <wp:docPr id="2121483890" name="Picture 2121483890" descr="A diagram of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83890" name="Picture 2121483890" descr="A diagram of data analysis&#10;&#10;Description automatically generated"/>
                    <pic:cNvPicPr/>
                  </pic:nvPicPr>
                  <pic:blipFill>
                    <a:blip r:embed="rId461" cstate="print">
                      <a:extLst>
                        <a:ext uri="{28A0092B-C50C-407E-A947-70E740481C1C}">
                          <a14:useLocalDpi xmlns:a14="http://schemas.microsoft.com/office/drawing/2010/main" val="0"/>
                        </a:ext>
                      </a:extLst>
                    </a:blip>
                    <a:stretch>
                      <a:fillRect/>
                    </a:stretch>
                  </pic:blipFill>
                  <pic:spPr>
                    <a:xfrm>
                      <a:off x="0" y="0"/>
                      <a:ext cx="4572000" cy="3000375"/>
                    </a:xfrm>
                    <a:prstGeom prst="rect">
                      <a:avLst/>
                    </a:prstGeom>
                  </pic:spPr>
                </pic:pic>
              </a:graphicData>
            </a:graphic>
          </wp:inline>
        </w:drawing>
      </w:r>
    </w:p>
    <w:p w14:paraId="125B7572" w14:textId="4797FC92" w:rsidR="00932941" w:rsidRPr="00B3383B" w:rsidRDefault="00932941" w:rsidP="00B3383B">
      <w:pPr>
        <w:pStyle w:val="paragraph"/>
        <w:spacing w:before="0" w:beforeAutospacing="0" w:after="0" w:afterAutospacing="0"/>
        <w:ind w:left="567" w:right="-30"/>
        <w:textAlignment w:val="baseline"/>
        <w:rPr>
          <w:rFonts w:asciiTheme="majorBidi" w:hAnsiTheme="majorBidi" w:cstheme="majorBidi"/>
          <w:b/>
          <w:bCs/>
          <w:sz w:val="22"/>
          <w:szCs w:val="22"/>
        </w:rPr>
      </w:pPr>
      <w:r w:rsidRPr="00B3383B">
        <w:rPr>
          <w:rStyle w:val="normaltextrun"/>
          <w:rFonts w:asciiTheme="majorBidi" w:eastAsiaTheme="majorEastAsia" w:hAnsiTheme="majorBidi" w:cstheme="majorBidi"/>
          <w:sz w:val="22"/>
          <w:szCs w:val="22"/>
          <w:lang w:val="en-GB"/>
        </w:rPr>
        <w:t xml:space="preserve">Figure </w:t>
      </w:r>
      <w:r w:rsidR="00B1417A" w:rsidRPr="00B3383B">
        <w:rPr>
          <w:rStyle w:val="normaltextrun"/>
          <w:rFonts w:asciiTheme="majorBidi" w:eastAsiaTheme="majorEastAsia" w:hAnsiTheme="majorBidi" w:cstheme="majorBidi"/>
          <w:sz w:val="22"/>
          <w:szCs w:val="22"/>
          <w:lang w:val="en-GB"/>
        </w:rPr>
        <w:t>II</w:t>
      </w:r>
      <w:r w:rsidRPr="00ED7E61">
        <w:rPr>
          <w:rStyle w:val="normaltextrun"/>
          <w:rFonts w:asciiTheme="majorBidi" w:eastAsiaTheme="majorEastAsia" w:hAnsiTheme="majorBidi" w:cstheme="majorBidi"/>
          <w:i/>
          <w:iCs/>
          <w:sz w:val="22"/>
          <w:szCs w:val="22"/>
          <w:lang w:val="en-GB"/>
        </w:rPr>
        <w:t xml:space="preserve"> </w:t>
      </w:r>
      <w:r w:rsidR="00B1417A">
        <w:rPr>
          <w:rStyle w:val="normaltextrun"/>
          <w:rFonts w:asciiTheme="majorBidi" w:eastAsiaTheme="majorEastAsia" w:hAnsiTheme="majorBidi" w:cstheme="majorBidi"/>
          <w:i/>
          <w:iCs/>
          <w:sz w:val="22"/>
          <w:szCs w:val="22"/>
          <w:lang w:val="en-GB"/>
        </w:rPr>
        <w:br/>
      </w:r>
      <w:r w:rsidRPr="00B3383B">
        <w:rPr>
          <w:rStyle w:val="normaltextrun"/>
          <w:rFonts w:asciiTheme="majorBidi" w:eastAsiaTheme="majorEastAsia" w:hAnsiTheme="majorBidi" w:cstheme="majorBidi"/>
          <w:b/>
          <w:bCs/>
          <w:sz w:val="22"/>
          <w:szCs w:val="22"/>
          <w:lang w:val="en-GB"/>
        </w:rPr>
        <w:t xml:space="preserve">Four steps for countries to build data required for this indicator (taken from McGeoch et al. 2023, </w:t>
      </w:r>
      <w:r w:rsidR="00B1417A">
        <w:rPr>
          <w:rStyle w:val="normaltextrun"/>
          <w:rFonts w:asciiTheme="majorBidi" w:eastAsiaTheme="majorEastAsia" w:hAnsiTheme="majorBidi" w:cstheme="majorBidi"/>
          <w:b/>
          <w:bCs/>
          <w:sz w:val="22"/>
          <w:szCs w:val="22"/>
          <w:lang w:val="en-GB"/>
        </w:rPr>
        <w:t>f</w:t>
      </w:r>
      <w:r w:rsidRPr="00B3383B">
        <w:rPr>
          <w:rStyle w:val="normaltextrun"/>
          <w:rFonts w:asciiTheme="majorBidi" w:eastAsiaTheme="majorEastAsia" w:hAnsiTheme="majorBidi" w:cstheme="majorBidi"/>
          <w:b/>
          <w:bCs/>
          <w:sz w:val="22"/>
          <w:szCs w:val="22"/>
          <w:lang w:val="en-GB"/>
        </w:rPr>
        <w:t>ig</w:t>
      </w:r>
      <w:r w:rsidR="00B1417A">
        <w:rPr>
          <w:rStyle w:val="normaltextrun"/>
          <w:rFonts w:asciiTheme="majorBidi" w:eastAsiaTheme="majorEastAsia" w:hAnsiTheme="majorBidi" w:cstheme="majorBidi"/>
          <w:b/>
          <w:bCs/>
          <w:sz w:val="22"/>
          <w:szCs w:val="22"/>
          <w:lang w:val="en-GB"/>
        </w:rPr>
        <w:t>ure</w:t>
      </w:r>
      <w:r w:rsidRPr="00B3383B">
        <w:rPr>
          <w:rStyle w:val="normaltextrun"/>
          <w:rFonts w:asciiTheme="majorBidi" w:eastAsiaTheme="majorEastAsia" w:hAnsiTheme="majorBidi" w:cstheme="majorBidi"/>
          <w:b/>
          <w:bCs/>
          <w:sz w:val="22"/>
          <w:szCs w:val="22"/>
          <w:lang w:val="en-GB"/>
        </w:rPr>
        <w:t xml:space="preserve"> </w:t>
      </w:r>
      <w:r w:rsidR="00B1417A">
        <w:rPr>
          <w:rStyle w:val="normaltextrun"/>
          <w:rFonts w:asciiTheme="majorBidi" w:eastAsiaTheme="majorEastAsia" w:hAnsiTheme="majorBidi" w:cstheme="majorBidi"/>
          <w:b/>
          <w:bCs/>
          <w:sz w:val="22"/>
          <w:szCs w:val="22"/>
          <w:lang w:val="en-GB"/>
        </w:rPr>
        <w:t>III</w:t>
      </w:r>
      <w:r w:rsidRPr="00B3383B">
        <w:rPr>
          <w:rStyle w:val="normaltextrun"/>
          <w:rFonts w:asciiTheme="majorBidi" w:eastAsiaTheme="majorEastAsia" w:hAnsiTheme="majorBidi" w:cstheme="majorBidi"/>
          <w:b/>
          <w:bCs/>
          <w:sz w:val="22"/>
          <w:szCs w:val="22"/>
          <w:lang w:val="en-GB"/>
        </w:rPr>
        <w:t>)</w:t>
      </w:r>
    </w:p>
    <w:p w14:paraId="57353DD9" w14:textId="1F209B09" w:rsidR="00CC56A2"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eastAsiaTheme="majorEastAsia"/>
        </w:rPr>
        <w:t>Parties</w:t>
      </w:r>
      <w:r w:rsidRPr="00ED7E61">
        <w:rPr>
          <w:rStyle w:val="normaltextrun"/>
          <w:rFonts w:asciiTheme="majorBidi" w:eastAsiaTheme="majorEastAsia" w:hAnsiTheme="majorBidi" w:cstheme="majorBidi"/>
        </w:rPr>
        <w:t xml:space="preserve"> can contribute to these efforts and to their own IAS establishment indicator by updating these data sources where necessary, and over time through ongoing observations of new species introductions and new evidence of IAS impacts within countries (Latombe et al. 2017). </w:t>
      </w:r>
    </w:p>
    <w:p w14:paraId="667BA8C8" w14:textId="572DD192"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 xml:space="preserve">GEO BON is producing additional material and tools to further support Parties in using this indicator, and will support a baseline indicator calculation that Parties can use in their reporting, or replace with their own calculation. Updates on this indicator will be made available at: </w:t>
      </w:r>
      <w:hyperlink r:id="rId462" w:tgtFrame="_blank" w:history="1">
        <w:r w:rsidRPr="00ED7E61">
          <w:rPr>
            <w:rStyle w:val="normaltextrun"/>
            <w:rFonts w:asciiTheme="majorBidi" w:eastAsiaTheme="majorEastAsia" w:hAnsiTheme="majorBidi" w:cstheme="majorBidi"/>
            <w:color w:val="0563C1"/>
            <w:u w:val="single"/>
          </w:rPr>
          <w:t>https://geobon.org/ebvs/indicators/</w:t>
        </w:r>
      </w:hyperlink>
      <w:r w:rsidR="007F0A45">
        <w:rPr>
          <w:rStyle w:val="normaltextrun"/>
          <w:rFonts w:asciiTheme="majorBidi" w:eastAsiaTheme="majorEastAsia" w:hAnsiTheme="majorBidi" w:cstheme="majorBidi"/>
          <w:color w:val="0563C1"/>
          <w:u w:val="single"/>
        </w:rPr>
        <w:t>.</w:t>
      </w:r>
      <w:r w:rsidRPr="00ED7E61">
        <w:rPr>
          <w:rStyle w:val="eop"/>
          <w:rFonts w:asciiTheme="majorBidi" w:eastAsiaTheme="majorEastAsia" w:hAnsiTheme="majorBidi" w:cstheme="majorBidi"/>
          <w:color w:val="0563C1"/>
        </w:rPr>
        <w:t> </w:t>
      </w:r>
    </w:p>
    <w:p w14:paraId="5D721711" w14:textId="77777777" w:rsidR="00A850EF" w:rsidRPr="00ED7E61" w:rsidRDefault="00A850EF" w:rsidP="005B0D1E">
      <w:pPr>
        <w:pStyle w:val="paragraph"/>
        <w:spacing w:before="0" w:beforeAutospacing="0" w:after="0" w:afterAutospacing="0"/>
        <w:ind w:left="-30" w:right="-30"/>
        <w:jc w:val="center"/>
        <w:textAlignment w:val="baseline"/>
        <w:rPr>
          <w:rStyle w:val="normaltextrun"/>
          <w:rFonts w:asciiTheme="majorBidi" w:eastAsiaTheme="majorEastAsia" w:hAnsiTheme="majorBidi" w:cstheme="majorBidi"/>
          <w:b/>
          <w:bCs/>
          <w:i/>
          <w:iCs/>
          <w:sz w:val="22"/>
          <w:szCs w:val="22"/>
          <w:lang w:val="en-GB"/>
        </w:rPr>
      </w:pPr>
    </w:p>
    <w:p w14:paraId="5F1BBE2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4A3A79A1" w14:textId="56D5CD81" w:rsidR="00CC56A2"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Country checklists of introduced and invasive Species, available via the Global Register of Introduced and Invasive Species (GRIIS, see 5b above; Pagad et al. 2018; Pagad et al. 2022)</w:t>
      </w:r>
      <w:r w:rsidRPr="00ED7E61">
        <w:rPr>
          <w:rStyle w:val="eop"/>
          <w:rFonts w:asciiTheme="majorBidi" w:eastAsiaTheme="majorEastAsia" w:hAnsiTheme="majorBidi" w:cstheme="majorBidi"/>
        </w:rPr>
        <w:t> </w:t>
      </w:r>
    </w:p>
    <w:p w14:paraId="078606AB" w14:textId="5BD5FAB5" w:rsidR="00CC56A2"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Date of first records for the country in the Alien Species First Record Database (Seebens 2023, see 5b above) </w:t>
      </w:r>
      <w:r w:rsidRPr="00ED7E61">
        <w:rPr>
          <w:rStyle w:val="eop"/>
          <w:rFonts w:asciiTheme="majorBidi" w:eastAsiaTheme="majorEastAsia" w:hAnsiTheme="majorBidi" w:cstheme="majorBidi"/>
        </w:rPr>
        <w:t> </w:t>
      </w:r>
    </w:p>
    <w:p w14:paraId="01BA3FB0" w14:textId="4ADB40FB" w:rsidR="00CC56A2"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 above sources can be replaced or supplemented by additional country data where these are available, including for example national and global citizen science platforms which often provide the most up to date records of IAS observations. Parties are strongly encouraged to share such data with GRIIS to bring the national checklists up to date.</w:t>
      </w:r>
      <w:r w:rsidRPr="00ED7E61">
        <w:rPr>
          <w:rStyle w:val="eop"/>
          <w:rFonts w:asciiTheme="majorBidi" w:eastAsiaTheme="majorEastAsia" w:hAnsiTheme="majorBidi" w:cstheme="majorBidi"/>
        </w:rPr>
        <w:t> </w:t>
      </w:r>
    </w:p>
    <w:p w14:paraId="61F8E1A5"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 xml:space="preserve">Aggregated species occurrence data via national biodiversity data platforms and/or the Global Biodiversity Information Facility (GBIF) </w:t>
      </w:r>
      <w:hyperlink r:id="rId463" w:tgtFrame="_blank" w:history="1">
        <w:r w:rsidRPr="00ED7E61">
          <w:rPr>
            <w:rStyle w:val="normaltextrun"/>
            <w:rFonts w:asciiTheme="majorBidi" w:eastAsiaTheme="majorEastAsia" w:hAnsiTheme="majorBidi" w:cstheme="majorBidi"/>
            <w:color w:val="467886"/>
            <w:u w:val="single"/>
          </w:rPr>
          <w:t>occurrence search</w:t>
        </w:r>
      </w:hyperlink>
      <w:r w:rsidRPr="00ED7E61">
        <w:rPr>
          <w:rStyle w:val="normaltextrun"/>
          <w:rFonts w:asciiTheme="majorBidi" w:eastAsiaTheme="majorEastAsia" w:hAnsiTheme="majorBidi" w:cstheme="majorBidi"/>
        </w:rPr>
        <w:t>, filtered by species and country. This will bring together a wide variety of data sources including specimen collection events, observations from field surveys, data associated with published research articles, eDNA and citizen science, among others.</w:t>
      </w:r>
      <w:r w:rsidRPr="00ED7E61">
        <w:rPr>
          <w:rStyle w:val="eop"/>
          <w:rFonts w:asciiTheme="majorBidi" w:eastAsiaTheme="majorEastAsia" w:hAnsiTheme="majorBidi" w:cstheme="majorBidi"/>
        </w:rPr>
        <w:t> </w:t>
      </w:r>
    </w:p>
    <w:p w14:paraId="23F5605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177EBF6E"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 indicator is available now. Indicator values can be produced for major taxonomic groups and countries with IAS checklists. The indicator can be updated annually, although annual updates rely on longer-term trends and interpreting change within the estimated uncertainty bounds.</w:t>
      </w:r>
      <w:r w:rsidRPr="00ED7E61">
        <w:rPr>
          <w:rStyle w:val="eop"/>
          <w:rFonts w:asciiTheme="majorBidi" w:eastAsiaTheme="majorEastAsia" w:hAnsiTheme="majorBidi" w:cstheme="majorBidi"/>
        </w:rPr>
        <w:t> </w:t>
      </w:r>
    </w:p>
    <w:p w14:paraId="7482AB2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53ED39AE"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Indicator will be available annually, from 1970 – present, although with highly variable levels of confidence depending on data availability at global and national levels.</w:t>
      </w:r>
      <w:r w:rsidRPr="00ED7E61">
        <w:rPr>
          <w:rStyle w:val="eop"/>
          <w:rFonts w:asciiTheme="majorBidi" w:eastAsiaTheme="majorEastAsia" w:hAnsiTheme="majorBidi" w:cstheme="majorBidi"/>
        </w:rPr>
        <w:t> </w:t>
      </w:r>
    </w:p>
    <w:p w14:paraId="4ECAB6B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51D0FAB3" w14:textId="2CAC2CFF"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Expert organizations, scientific societies, national and public repositories (e.g. IUCN ISSG, GRIIS, GBIF, CABI, GEO BON infrastructure</w:t>
      </w:r>
      <w:r w:rsidR="009A166E" w:rsidRPr="00ED7E61">
        <w:rPr>
          <w:rStyle w:val="normaltextrun"/>
          <w:rFonts w:asciiTheme="majorBidi" w:eastAsiaTheme="majorEastAsia" w:hAnsiTheme="majorBidi" w:cstheme="majorBidi"/>
        </w:rPr>
        <w:t>, OBIS</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592E8BE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9BA05D1" w14:textId="727C45CC"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 xml:space="preserve">GEO BON, IUCN ISSG, </w:t>
      </w:r>
      <w:r w:rsidR="009A166E" w:rsidRPr="00ED7E61">
        <w:rPr>
          <w:rStyle w:val="normaltextrun"/>
          <w:rFonts w:asciiTheme="majorBidi" w:eastAsiaTheme="majorEastAsia" w:hAnsiTheme="majorBidi" w:cstheme="majorBidi"/>
        </w:rPr>
        <w:t xml:space="preserve">OBIS, </w:t>
      </w:r>
      <w:r w:rsidRPr="00ED7E61">
        <w:rPr>
          <w:rStyle w:val="normaltextrun"/>
          <w:rFonts w:asciiTheme="majorBidi" w:eastAsiaTheme="majorEastAsia" w:hAnsiTheme="majorBidi" w:cstheme="majorBidi"/>
        </w:rPr>
        <w:t>national and subnational agencies responsible for monitoring IAS.</w:t>
      </w:r>
      <w:r w:rsidRPr="00ED7E61">
        <w:rPr>
          <w:rStyle w:val="eop"/>
          <w:rFonts w:asciiTheme="majorBidi" w:eastAsiaTheme="majorEastAsia" w:hAnsiTheme="majorBidi" w:cstheme="majorBidi"/>
        </w:rPr>
        <w:t> </w:t>
      </w:r>
    </w:p>
    <w:p w14:paraId="207E082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1E0BA938"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Gaps in overall data availability are reflected in the large variability of the completeness of the GRIIS country checklists. The methods outlined above are designed to deliver useful information in the face of incomplete data. The IPBES Invasive Alien Species Assessment highlighted the issue of incomplete IAS inventories across realms, taxonomic groups and geographic regions, in particular highlighting marine, tropical and Arctic ecosystems; microorganisms and invertebrates; and Africa and Central Asia (IPBES 2023).</w:t>
      </w:r>
      <w:r w:rsidRPr="00ED7E61">
        <w:rPr>
          <w:rStyle w:val="eop"/>
          <w:rFonts w:asciiTheme="majorBidi" w:eastAsiaTheme="majorEastAsia" w:hAnsiTheme="majorBidi" w:cstheme="majorBidi"/>
        </w:rPr>
        <w:t> </w:t>
      </w:r>
    </w:p>
    <w:p w14:paraId="4067962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5k. Treatment of missing values</w:t>
      </w:r>
      <w:r w:rsidRPr="00ED7E61">
        <w:rPr>
          <w:rStyle w:val="eop"/>
          <w:rFonts w:asciiTheme="majorBidi" w:eastAsiaTheme="majorEastAsia" w:hAnsiTheme="majorBidi" w:cstheme="majorBidi"/>
          <w:sz w:val="22"/>
          <w:szCs w:val="22"/>
        </w:rPr>
        <w:t> </w:t>
      </w:r>
    </w:p>
    <w:p w14:paraId="60F7EA3F"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 indicator can be expressed for specific taxonomic groups only, for examples for plants and all vertebrates or subsets such as mammals, and other taxa (e.g. microbes) with inadequate data omitted. Species-poor taxonomic groups can also be aggregated by introduction pathways (e.g. release, escape, contaminant, stowaway, corridors, and unaided natural dispersal) for rate of establishment per pathway. </w:t>
      </w:r>
      <w:r w:rsidRPr="00ED7E61">
        <w:rPr>
          <w:rStyle w:val="eop"/>
          <w:rFonts w:asciiTheme="majorBidi" w:eastAsiaTheme="majorEastAsia" w:hAnsiTheme="majorBidi" w:cstheme="majorBidi"/>
        </w:rPr>
        <w:t> </w:t>
      </w:r>
    </w:p>
    <w:p w14:paraId="21E266C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 Scale</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058EA03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6a. Scale of use </w:t>
      </w:r>
      <w:r w:rsidRPr="00ED7E61">
        <w:rPr>
          <w:rStyle w:val="eop"/>
          <w:rFonts w:asciiTheme="majorBidi" w:eastAsiaTheme="majorEastAsia" w:hAnsiTheme="majorBidi" w:cstheme="majorBidi"/>
          <w:sz w:val="22"/>
          <w:szCs w:val="22"/>
        </w:rPr>
        <w:t> </w:t>
      </w:r>
    </w:p>
    <w:p w14:paraId="4BA60ED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Scale of application (please check all relevant boxes):</w:t>
      </w:r>
      <w:r w:rsidRPr="00ED7E61">
        <w:rPr>
          <w:rStyle w:val="normaltextrun"/>
          <w:rFonts w:asciiTheme="majorBidi" w:eastAsiaTheme="majorEastAsia" w:hAnsiTheme="majorBidi" w:cstheme="majorBidi"/>
          <w:i/>
          <w:iCs/>
          <w:sz w:val="22"/>
          <w:szCs w:val="22"/>
          <w:lang w:val="en-GB"/>
        </w:rPr>
        <w:t> </w:t>
      </w:r>
      <w:r w:rsidRPr="00ED7E61">
        <w:rPr>
          <w:rStyle w:val="eop"/>
          <w:rFonts w:asciiTheme="majorBidi" w:eastAsiaTheme="majorEastAsia" w:hAnsiTheme="majorBidi" w:cstheme="majorBidi"/>
          <w:sz w:val="22"/>
          <w:szCs w:val="22"/>
        </w:rPr>
        <w:t> </w:t>
      </w:r>
    </w:p>
    <w:p w14:paraId="3C9511C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Global: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 xml:space="preserve">Regional: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National</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3DD88CF6" w14:textId="77777777" w:rsidR="00756F0F" w:rsidRPr="00ED7E61" w:rsidRDefault="00756F0F" w:rsidP="00B10F0C">
      <w:pPr>
        <w:pStyle w:val="CBDNormalNumber"/>
        <w:numPr>
          <w:ilvl w:val="0"/>
          <w:numId w:val="74"/>
        </w:numPr>
        <w:ind w:left="567" w:firstLine="0"/>
        <w:jc w:val="left"/>
        <w:rPr>
          <w:rStyle w:val="normaltextrun"/>
          <w:rFonts w:eastAsiaTheme="majorEastAsia"/>
        </w:rPr>
      </w:pPr>
      <w:r w:rsidRPr="00ED7E61">
        <w:rPr>
          <w:rStyle w:val="normaltextrun"/>
          <w:rFonts w:asciiTheme="majorBidi" w:eastAsiaTheme="majorEastAsia" w:hAnsiTheme="majorBidi" w:cstheme="majorBidi"/>
        </w:rPr>
        <w:t>Scale of data disaggregation/aggregation: </w:t>
      </w:r>
      <w:r w:rsidRPr="00ED7E61">
        <w:rPr>
          <w:rStyle w:val="normaltextrun"/>
        </w:rPr>
        <w:t> </w:t>
      </w:r>
    </w:p>
    <w:p w14:paraId="37A488A4" w14:textId="77777777" w:rsidR="00756F0F" w:rsidRPr="00ED7E61" w:rsidRDefault="00756F0F" w:rsidP="00B10F0C">
      <w:pPr>
        <w:pStyle w:val="CBDNormalNumber"/>
        <w:numPr>
          <w:ilvl w:val="1"/>
          <w:numId w:val="7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Global/ regional scale indicator can be disaggregated to national level: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3E1ADC29" w14:textId="77777777" w:rsidR="00756F0F" w:rsidRPr="00ED7E61" w:rsidRDefault="00756F0F" w:rsidP="00B10F0C">
      <w:pPr>
        <w:pStyle w:val="CBDNormalNumber"/>
        <w:numPr>
          <w:ilvl w:val="1"/>
          <w:numId w:val="7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 xml:space="preserve">National data is collated to form global indicator: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277CEFE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rPr>
        <w:t>This indicator can also be disaggregated to include within-country levels, in particular relating to islands.</w:t>
      </w:r>
      <w:r w:rsidRPr="00ED7E61">
        <w:rPr>
          <w:rStyle w:val="eop"/>
          <w:rFonts w:asciiTheme="majorBidi" w:eastAsiaTheme="majorEastAsia" w:hAnsiTheme="majorBidi" w:cstheme="majorBidi"/>
          <w:color w:val="000000"/>
          <w:sz w:val="22"/>
          <w:szCs w:val="22"/>
        </w:rPr>
        <w:t> </w:t>
      </w:r>
    </w:p>
    <w:p w14:paraId="7F0C570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6b. National/regional indicator production </w:t>
      </w:r>
      <w:r w:rsidRPr="00ED7E61">
        <w:rPr>
          <w:rStyle w:val="eop"/>
          <w:rFonts w:asciiTheme="majorBidi" w:eastAsiaTheme="majorEastAsia" w:hAnsiTheme="majorBidi" w:cstheme="majorBidi"/>
          <w:sz w:val="22"/>
          <w:szCs w:val="22"/>
        </w:rPr>
        <w:t> </w:t>
      </w:r>
    </w:p>
    <w:p w14:paraId="177430F1"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This</w:t>
      </w:r>
      <w:r w:rsidRPr="00ED7E61">
        <w:rPr>
          <w:rStyle w:val="normaltextrun"/>
          <w:rFonts w:asciiTheme="majorBidi" w:eastAsiaTheme="majorEastAsia" w:hAnsiTheme="majorBidi" w:cstheme="majorBidi"/>
          <w:color w:val="000000"/>
        </w:rPr>
        <w:t xml:space="preserve"> indicator is calculated based on data collected at the national level, supplemented by globally aggregated sources, see above.</w:t>
      </w:r>
      <w:r w:rsidRPr="00ED7E61">
        <w:rPr>
          <w:rStyle w:val="eop"/>
          <w:rFonts w:asciiTheme="majorBidi" w:eastAsiaTheme="majorEastAsia" w:hAnsiTheme="majorBidi" w:cstheme="majorBidi"/>
          <w:color w:val="000000"/>
        </w:rPr>
        <w:t> </w:t>
      </w:r>
    </w:p>
    <w:p w14:paraId="5F864F6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6c. Sources of differences between global and national figures</w:t>
      </w:r>
      <w:r w:rsidRPr="00ED7E61">
        <w:rPr>
          <w:rStyle w:val="eop"/>
          <w:rFonts w:asciiTheme="majorBidi" w:eastAsiaTheme="majorEastAsia" w:hAnsiTheme="majorBidi" w:cstheme="majorBidi"/>
          <w:sz w:val="22"/>
          <w:szCs w:val="22"/>
        </w:rPr>
        <w:t> </w:t>
      </w:r>
    </w:p>
    <w:p w14:paraId="3EA16262"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Differences between country and international estimates may originate from limited data availability and the size and impact of IAS interventions and control measures. Filling species data gaps and confirming detections will reduce discrepancies. In countries where resources are limited, global analysis e.g. through literature synthesis, can supplement data available nationally. Because the rate of IAS establishment is estimated over several years, the impact of new national, regional, or global prevention and control interventions will take time to manifest as changes in index values at higher levels.</w:t>
      </w:r>
      <w:r w:rsidRPr="00ED7E61">
        <w:rPr>
          <w:rStyle w:val="eop"/>
          <w:rFonts w:asciiTheme="majorBidi" w:eastAsiaTheme="majorEastAsia" w:hAnsiTheme="majorBidi" w:cstheme="majorBidi"/>
        </w:rPr>
        <w:t> </w:t>
      </w:r>
    </w:p>
    <w:p w14:paraId="661ABD42" w14:textId="3C5A4E94" w:rsidR="00756F0F" w:rsidRPr="00ED7E61" w:rsidRDefault="00756F0F" w:rsidP="005B0D1E">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lang w:val="en-GB"/>
        </w:rPr>
        <w:t>6d. Regional and global estimates &amp; data collection for global monitoring</w:t>
      </w:r>
      <w:r w:rsidRPr="00ED7E61">
        <w:rPr>
          <w:rStyle w:val="eop"/>
          <w:rFonts w:asciiTheme="majorBidi" w:eastAsiaTheme="majorEastAsia" w:hAnsiTheme="majorBidi" w:cstheme="majorBidi"/>
          <w:sz w:val="22"/>
          <w:szCs w:val="22"/>
        </w:rPr>
        <w:t> </w:t>
      </w:r>
    </w:p>
    <w:p w14:paraId="2ADB7A9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6d.1 Description of the methodology</w:t>
      </w:r>
      <w:r w:rsidRPr="00ED7E61">
        <w:rPr>
          <w:rStyle w:val="eop"/>
          <w:rFonts w:asciiTheme="majorBidi" w:eastAsiaTheme="majorEastAsia" w:hAnsiTheme="majorBidi" w:cstheme="majorBidi"/>
          <w:sz w:val="22"/>
          <w:szCs w:val="22"/>
        </w:rPr>
        <w:t> </w:t>
      </w:r>
    </w:p>
    <w:p w14:paraId="40FB0F75"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 indicator is based on a model-estimated change in the number of new introductions per year, assuming a sampling effect (Belmaker et al. 2009, McGeoch et al. 2012, McGeoch et al. 2023).</w:t>
      </w:r>
      <w:r w:rsidRPr="00ED7E61">
        <w:rPr>
          <w:rStyle w:val="eop"/>
          <w:rFonts w:asciiTheme="majorBidi" w:eastAsiaTheme="majorEastAsia" w:hAnsiTheme="majorBidi" w:cstheme="majorBidi"/>
        </w:rPr>
        <w:t> </w:t>
      </w:r>
    </w:p>
    <w:p w14:paraId="7A8CC71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6d.2 Additional methodological details</w:t>
      </w:r>
      <w:r w:rsidRPr="00ED7E61">
        <w:rPr>
          <w:rStyle w:val="eop"/>
          <w:rFonts w:asciiTheme="majorBidi" w:eastAsiaTheme="majorEastAsia" w:hAnsiTheme="majorBidi" w:cstheme="majorBidi"/>
          <w:sz w:val="22"/>
          <w:szCs w:val="22"/>
        </w:rPr>
        <w:t> </w:t>
      </w:r>
    </w:p>
    <w:p w14:paraId="05BF3B37"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The compendium of country data to be used for global indicator production is available (Pagad et al. 2022).</w:t>
      </w:r>
      <w:r w:rsidRPr="00ED7E61">
        <w:rPr>
          <w:rStyle w:val="eop"/>
          <w:rFonts w:asciiTheme="majorBidi" w:eastAsiaTheme="majorEastAsia" w:hAnsiTheme="majorBidi" w:cstheme="majorBidi"/>
        </w:rPr>
        <w:t> </w:t>
      </w:r>
    </w:p>
    <w:p w14:paraId="144F6FB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6d.3 Description of the mechanism for collecting data from countries</w:t>
      </w:r>
      <w:r w:rsidRPr="00ED7E61">
        <w:rPr>
          <w:rStyle w:val="eop"/>
          <w:rFonts w:asciiTheme="majorBidi" w:eastAsiaTheme="majorEastAsia" w:hAnsiTheme="majorBidi" w:cstheme="majorBidi"/>
          <w:sz w:val="22"/>
          <w:szCs w:val="22"/>
        </w:rPr>
        <w:t> </w:t>
      </w:r>
    </w:p>
    <w:p w14:paraId="467E9FCB"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Details available in Pagad et al. (2018).</w:t>
      </w:r>
      <w:r w:rsidRPr="00ED7E61">
        <w:rPr>
          <w:rStyle w:val="normaltextrun"/>
        </w:rPr>
        <w:t> </w:t>
      </w:r>
    </w:p>
    <w:p w14:paraId="02C50B70" w14:textId="3B1BAAE8"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 Other MEAs, processes and organi</w:t>
      </w:r>
      <w:r w:rsidR="00B10F0C">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ations</w:t>
      </w:r>
      <w:r w:rsidRPr="00ED7E61">
        <w:rPr>
          <w:rStyle w:val="eop"/>
          <w:rFonts w:asciiTheme="majorBidi" w:eastAsiaTheme="majorEastAsia" w:hAnsiTheme="majorBidi" w:cstheme="majorBidi"/>
          <w:sz w:val="22"/>
          <w:szCs w:val="22"/>
        </w:rPr>
        <w:t> </w:t>
      </w:r>
    </w:p>
    <w:p w14:paraId="5C546F40" w14:textId="77777777" w:rsidR="00756F0F" w:rsidRPr="00ED7E61" w:rsidRDefault="00756F0F" w:rsidP="000E7311">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2E3CC07F" w14:textId="13D8FA49" w:rsidR="00756F0F" w:rsidRPr="00ED7E61" w:rsidRDefault="00756F0F" w:rsidP="00B10F0C">
      <w:pPr>
        <w:pStyle w:val="CBDNormalNumber"/>
        <w:numPr>
          <w:ilvl w:val="0"/>
          <w:numId w:val="74"/>
        </w:numPr>
        <w:ind w:left="567" w:firstLine="0"/>
        <w:jc w:val="left"/>
        <w:rPr>
          <w:rStyle w:val="normaltextrun"/>
          <w:rFonts w:eastAsiaTheme="majorEastAsia"/>
        </w:rPr>
      </w:pPr>
      <w:r w:rsidRPr="00ED7E61">
        <w:rPr>
          <w:rStyle w:val="normaltextrun"/>
          <w:rFonts w:asciiTheme="majorBidi" w:eastAsiaTheme="majorEastAsia" w:hAnsiTheme="majorBidi" w:cstheme="majorBidi"/>
        </w:rPr>
        <w:t>An earlier version of this indicator was reported in the</w:t>
      </w:r>
      <w:r w:rsidR="00CC56A2"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w:t>
      </w:r>
      <w:r w:rsidRPr="00ED7E61">
        <w:rPr>
          <w:rStyle w:val="normaltextrun"/>
        </w:rPr>
        <w:t> </w:t>
      </w:r>
    </w:p>
    <w:p w14:paraId="6BB1953C" w14:textId="77777777" w:rsidR="00756F0F" w:rsidRPr="00ED7E61" w:rsidRDefault="00756F0F" w:rsidP="00B10F0C">
      <w:pPr>
        <w:pStyle w:val="CBDNormalNumber"/>
        <w:numPr>
          <w:ilvl w:val="1"/>
          <w:numId w:val="7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Intergovernmental Science-Policy Platform on Biodiversity and Ecosystem Services (IPBES) Invasive Alien Species (IAS) Assessment, by the CBD for Aichi Target 9.</w:t>
      </w:r>
      <w:r w:rsidRPr="00ED7E61">
        <w:rPr>
          <w:rStyle w:val="normaltextrun"/>
        </w:rPr>
        <w:t> </w:t>
      </w:r>
    </w:p>
    <w:p w14:paraId="16B71B7B" w14:textId="77777777" w:rsidR="00756F0F" w:rsidRPr="00ED7E61" w:rsidRDefault="00756F0F" w:rsidP="00B10F0C">
      <w:pPr>
        <w:pStyle w:val="CBDNormalNumber"/>
        <w:numPr>
          <w:ilvl w:val="1"/>
          <w:numId w:val="7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Sustainable Development Goal (SDG) Target 15.8. </w:t>
      </w:r>
      <w:r w:rsidRPr="00ED7E61">
        <w:rPr>
          <w:rStyle w:val="normaltextrun"/>
        </w:rPr>
        <w:t> </w:t>
      </w:r>
    </w:p>
    <w:p w14:paraId="09A5FAC1" w14:textId="1117D06D" w:rsidR="00756F0F" w:rsidRPr="00ED7E61" w:rsidRDefault="00756F0F" w:rsidP="00B10F0C">
      <w:pPr>
        <w:pStyle w:val="CBDNormalNumber"/>
        <w:numPr>
          <w:ilvl w:val="0"/>
          <w:numId w:val="74"/>
        </w:numPr>
        <w:ind w:left="567" w:firstLine="0"/>
        <w:jc w:val="left"/>
        <w:rPr>
          <w:rStyle w:val="normaltextrun"/>
          <w:rFonts w:eastAsiaTheme="majorEastAsia"/>
        </w:rPr>
      </w:pPr>
      <w:r w:rsidRPr="00ED7E61">
        <w:rPr>
          <w:rStyle w:val="normaltextrun"/>
          <w:rFonts w:asciiTheme="majorBidi" w:eastAsiaTheme="majorEastAsia" w:hAnsiTheme="majorBidi" w:cstheme="majorBidi"/>
        </w:rPr>
        <w:t>It will be relevant to</w:t>
      </w:r>
      <w:r w:rsidR="00CC56A2" w:rsidRPr="00ED7E61">
        <w:rPr>
          <w:rStyle w:val="normaltextrun"/>
          <w:rFonts w:asciiTheme="majorBidi" w:eastAsiaTheme="majorEastAsia" w:hAnsiTheme="majorBidi" w:cstheme="majorBidi"/>
        </w:rPr>
        <w:t>:</w:t>
      </w:r>
      <w:r w:rsidRPr="00ED7E61">
        <w:rPr>
          <w:rStyle w:val="normaltextrun"/>
        </w:rPr>
        <w:t> </w:t>
      </w:r>
    </w:p>
    <w:p w14:paraId="3F917303" w14:textId="77777777" w:rsidR="00756F0F" w:rsidRPr="00ED7E61" w:rsidRDefault="00756F0F" w:rsidP="00B10F0C">
      <w:pPr>
        <w:pStyle w:val="CBDNormalNumber"/>
        <w:numPr>
          <w:ilvl w:val="1"/>
          <w:numId w:val="7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Convention on the Conservation of Migratory Species of Wild Animals (CMS)</w:t>
      </w:r>
      <w:r w:rsidRPr="00ED7E61">
        <w:rPr>
          <w:rStyle w:val="normaltextrun"/>
        </w:rPr>
        <w:t> </w:t>
      </w:r>
    </w:p>
    <w:p w14:paraId="49F61D12" w14:textId="77777777" w:rsidR="00756F0F" w:rsidRPr="00ED7E61" w:rsidRDefault="00756F0F" w:rsidP="00B10F0C">
      <w:pPr>
        <w:pStyle w:val="CBDNormalNumber"/>
        <w:numPr>
          <w:ilvl w:val="1"/>
          <w:numId w:val="7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Convention on Wetlands, Ramsar, </w:t>
      </w:r>
      <w:r w:rsidRPr="00ED7E61">
        <w:rPr>
          <w:rStyle w:val="normaltextrun"/>
        </w:rPr>
        <w:t> </w:t>
      </w:r>
    </w:p>
    <w:p w14:paraId="01C6135C" w14:textId="77777777" w:rsidR="00756F0F" w:rsidRPr="00ED7E61" w:rsidRDefault="00756F0F" w:rsidP="00B10F0C">
      <w:pPr>
        <w:pStyle w:val="CBDNormalNumber"/>
        <w:numPr>
          <w:ilvl w:val="1"/>
          <w:numId w:val="7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United Nations Convention to Combat Desertification (UNCCD) </w:t>
      </w:r>
      <w:r w:rsidRPr="00ED7E61">
        <w:rPr>
          <w:rStyle w:val="normaltextrun"/>
        </w:rPr>
        <w:t> </w:t>
      </w:r>
    </w:p>
    <w:p w14:paraId="26E15F67" w14:textId="77777777" w:rsidR="00756F0F" w:rsidRPr="00ED7E61" w:rsidRDefault="00756F0F" w:rsidP="00B10F0C">
      <w:pPr>
        <w:pStyle w:val="CBDNormalNumber"/>
        <w:numPr>
          <w:ilvl w:val="1"/>
          <w:numId w:val="74"/>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asciiTheme="majorBidi" w:eastAsiaTheme="majorEastAsia" w:hAnsiTheme="majorBidi" w:cstheme="majorBidi"/>
        </w:rPr>
        <w:t>IPBES Global and Regional Assessments.</w:t>
      </w:r>
      <w:r w:rsidRPr="00ED7E61">
        <w:rPr>
          <w:rStyle w:val="normaltextrun"/>
        </w:rPr>
        <w:t> </w:t>
      </w:r>
    </w:p>
    <w:p w14:paraId="2F15C7F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71A61005" w14:textId="77777777" w:rsidR="00756F0F" w:rsidRPr="00ED7E61" w:rsidRDefault="00756F0F" w:rsidP="000E7311">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No: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0AC18B3A"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It is a successor of, but different from, the BIP indicator “</w:t>
      </w:r>
      <w:r w:rsidRPr="00FB1598">
        <w:rPr>
          <w:rStyle w:val="normaltextrun"/>
          <w:rFonts w:asciiTheme="majorBidi" w:eastAsiaTheme="majorEastAsia" w:hAnsiTheme="majorBidi" w:cstheme="majorBidi"/>
          <w:i/>
          <w:iCs/>
        </w:rPr>
        <w:t>Trends in the numbers of invasive alien species introduction events</w:t>
      </w:r>
      <w:r w:rsidRPr="00ED7E61">
        <w:rPr>
          <w:rStyle w:val="normaltextrun"/>
          <w:rFonts w:asciiTheme="majorBidi" w:eastAsiaTheme="majorEastAsia" w:hAnsiTheme="majorBidi" w:cstheme="majorBidi"/>
        </w:rPr>
        <w:t xml:space="preserve">” - </w:t>
      </w:r>
      <w:hyperlink r:id="rId464" w:tgtFrame="_blank" w:history="1">
        <w:r w:rsidRPr="00ED7E61">
          <w:rPr>
            <w:rStyle w:val="normaltextrun"/>
            <w:rFonts w:asciiTheme="majorBidi" w:eastAsiaTheme="majorEastAsia" w:hAnsiTheme="majorBidi" w:cstheme="majorBidi"/>
            <w:color w:val="467886"/>
            <w:u w:val="single"/>
          </w:rPr>
          <w:t>https://www.bipindicators.net/indicators/trends-in-numbers-of-invasive-alien-species-introduction-events</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2A45B8AB" w14:textId="40E70AFB" w:rsidR="00756F0F" w:rsidRPr="00ED7E61" w:rsidRDefault="00756F0F" w:rsidP="00047A98">
      <w:pPr>
        <w:pStyle w:val="paragraph"/>
        <w:pBdr>
          <w:bottom w:val="single" w:sz="4" w:space="1" w:color="000000"/>
        </w:pBdr>
        <w:spacing w:before="0" w:beforeAutospacing="0" w:after="0" w:afterAutospacing="0"/>
        <w:textAlignment w:val="baseline"/>
        <w:rPr>
          <w:rStyle w:val="normaltextrun"/>
          <w:rFonts w:eastAsiaTheme="majorEastAsia"/>
          <w:b/>
          <w:bCs/>
          <w:lang w:val="en-GB"/>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lang w:val="en-GB"/>
        </w:rPr>
        <w:t xml:space="preserve">8. </w:t>
      </w:r>
      <w:r w:rsidR="00047A98" w:rsidRPr="00ED7E61">
        <w:rPr>
          <w:rStyle w:val="normaltextrun"/>
          <w:rFonts w:asciiTheme="majorBidi" w:eastAsiaTheme="majorEastAsia" w:hAnsiTheme="majorBidi" w:cstheme="majorBidi"/>
          <w:b/>
          <w:bCs/>
          <w:sz w:val="22"/>
          <w:szCs w:val="22"/>
          <w:lang w:val="en-GB"/>
        </w:rPr>
        <w:t xml:space="preserve">Possible </w:t>
      </w:r>
      <w:r w:rsidRPr="00ED7E61">
        <w:rPr>
          <w:rStyle w:val="normaltextrun"/>
          <w:rFonts w:asciiTheme="majorBidi" w:eastAsiaTheme="majorEastAsia" w:hAnsiTheme="majorBidi" w:cstheme="majorBidi"/>
          <w:b/>
          <w:bCs/>
          <w:sz w:val="22"/>
          <w:szCs w:val="22"/>
          <w:lang w:val="en-GB"/>
        </w:rPr>
        <w:t>Disaggregation</w:t>
      </w:r>
      <w:r w:rsidR="00047A98" w:rsidRPr="00ED7E61">
        <w:rPr>
          <w:rStyle w:val="normaltextrun"/>
          <w:rFonts w:asciiTheme="majorBidi" w:eastAsiaTheme="majorEastAsia" w:hAnsiTheme="majorBidi" w:cstheme="majorBidi"/>
          <w:b/>
          <w:bCs/>
          <w:sz w:val="22"/>
          <w:szCs w:val="22"/>
          <w:lang w:val="en-GB"/>
        </w:rPr>
        <w:t>s</w:t>
      </w:r>
      <w:r w:rsidRPr="00ED7E61">
        <w:rPr>
          <w:rStyle w:val="normaltextrun"/>
          <w:rFonts w:eastAsiaTheme="majorEastAsia"/>
          <w:b/>
          <w:bCs/>
          <w:lang w:val="en-GB"/>
        </w:rPr>
        <w:t> </w:t>
      </w:r>
    </w:p>
    <w:p w14:paraId="4FCA509C"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Where the relevant data is available through GRIIS, this indicator can be disaggregated by species, taxon, region, country, sub-national unit (including islands), protected areas,  pathways or type of impact.</w:t>
      </w:r>
      <w:r w:rsidRPr="00ED7E61">
        <w:rPr>
          <w:rStyle w:val="eop"/>
          <w:rFonts w:asciiTheme="majorBidi" w:eastAsiaTheme="majorEastAsia" w:hAnsiTheme="majorBidi" w:cstheme="majorBidi"/>
        </w:rPr>
        <w:t> </w:t>
      </w:r>
    </w:p>
    <w:p w14:paraId="1F835E5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0DC812FE" w14:textId="77777777" w:rsidR="00756F0F" w:rsidRPr="00ED7E61" w:rsidRDefault="00756F0F" w:rsidP="00B10F0C">
      <w:pPr>
        <w:pStyle w:val="CBDNormalNumber"/>
        <w:numPr>
          <w:ilvl w:val="0"/>
          <w:numId w:val="74"/>
        </w:numPr>
        <w:ind w:left="567" w:firstLine="0"/>
        <w:jc w:val="left"/>
        <w:rPr>
          <w:rFonts w:asciiTheme="majorBidi" w:hAnsiTheme="majorBidi" w:cstheme="majorBidi"/>
        </w:rPr>
      </w:pPr>
      <w:r w:rsidRPr="00ED7E61">
        <w:rPr>
          <w:rStyle w:val="normaltextrun"/>
          <w:rFonts w:asciiTheme="majorBidi" w:eastAsiaTheme="majorEastAsia" w:hAnsiTheme="majorBidi" w:cstheme="majorBidi"/>
        </w:rPr>
        <w:t>As invasive species are a key driver of biodiversity loss, there is a clear link with goals A and B and its associated indicators (e.g. Red List Index, Red List of Ecosystems)</w:t>
      </w:r>
      <w:r w:rsidRPr="00ED7E61">
        <w:rPr>
          <w:rStyle w:val="eop"/>
          <w:rFonts w:asciiTheme="majorBidi" w:eastAsiaTheme="majorEastAsia" w:hAnsiTheme="majorBidi" w:cstheme="majorBidi"/>
        </w:rPr>
        <w:t> </w:t>
      </w:r>
    </w:p>
    <w:p w14:paraId="4F8D61C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7DEC0DE3" w14:textId="003DA009"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0E7311">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63DDC96E" w14:textId="77777777" w:rsidR="00756F0F" w:rsidRPr="00ED7E61" w:rsidRDefault="00756F0F" w:rsidP="000E7311">
      <w:pPr>
        <w:pStyle w:val="CBDNormalNumber"/>
        <w:numPr>
          <w:ilvl w:val="0"/>
          <w:numId w:val="0"/>
        </w:numPr>
        <w:ind w:left="567"/>
        <w:jc w:val="left"/>
        <w:rPr>
          <w:rStyle w:val="normaltextrun"/>
          <w:rFonts w:eastAsiaTheme="majorEastAsia"/>
        </w:rPr>
      </w:pPr>
      <w:r w:rsidRPr="00ED7E61">
        <w:rPr>
          <w:rStyle w:val="normaltextrun"/>
          <w:rFonts w:asciiTheme="majorBidi" w:eastAsiaTheme="majorEastAsia" w:hAnsiTheme="majorBidi" w:cstheme="majorBidi"/>
        </w:rPr>
        <w:t>Group on Earth Observations Biodiversity Observation Network (GEO BON)</w:t>
      </w:r>
      <w:r w:rsidRPr="00ED7E61">
        <w:rPr>
          <w:rStyle w:val="normaltextrun"/>
        </w:rPr>
        <w:t> </w:t>
      </w:r>
    </w:p>
    <w:p w14:paraId="4E85667D" w14:textId="77777777" w:rsidR="00756F0F" w:rsidRPr="00ED7E61" w:rsidRDefault="00756F0F" w:rsidP="000E7311">
      <w:pPr>
        <w:pStyle w:val="CBDNormalNumber"/>
        <w:numPr>
          <w:ilvl w:val="0"/>
          <w:numId w:val="0"/>
        </w:numPr>
        <w:ind w:left="567"/>
        <w:jc w:val="left"/>
        <w:rPr>
          <w:rStyle w:val="normaltextrun"/>
          <w:rFonts w:eastAsiaTheme="majorEastAsia"/>
        </w:rPr>
      </w:pPr>
      <w:r w:rsidRPr="00ED7E61">
        <w:rPr>
          <w:rStyle w:val="normaltextrun"/>
          <w:rFonts w:asciiTheme="majorBidi" w:eastAsiaTheme="majorEastAsia" w:hAnsiTheme="majorBidi" w:cstheme="majorBidi"/>
        </w:rPr>
        <w:t>IUCN Invasive Species Specialist Group (ISSG) </w:t>
      </w:r>
      <w:r w:rsidRPr="00ED7E61">
        <w:rPr>
          <w:rStyle w:val="normaltextrun"/>
        </w:rPr>
        <w:t> </w:t>
      </w:r>
    </w:p>
    <w:p w14:paraId="6EB9A7F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39E82353" w14:textId="35501E7A" w:rsidR="00CC56A2" w:rsidRPr="00ED7E61" w:rsidRDefault="00756F0F" w:rsidP="00E03ABB">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Melodie McGeoch, Monash University/GEO BON  (</w:t>
      </w:r>
      <w:hyperlink r:id="rId465" w:tgtFrame="_blank" w:history="1">
        <w:r w:rsidRPr="00ED7E61">
          <w:rPr>
            <w:rStyle w:val="normaltextrun"/>
            <w:rFonts w:asciiTheme="majorBidi" w:eastAsiaTheme="majorEastAsia" w:hAnsiTheme="majorBidi" w:cstheme="majorBidi"/>
            <w:color w:val="467886"/>
            <w:u w:val="single"/>
          </w:rPr>
          <w:t>melodie.mcgeoch@monash.edu</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2D1910E8" w14:textId="4F787B4E" w:rsidR="00CC56A2" w:rsidRPr="00ED7E61" w:rsidRDefault="00756F0F" w:rsidP="00E03ABB">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GEO BON Secretariat (</w:t>
      </w:r>
      <w:hyperlink r:id="rId466" w:tgtFrame="_blank" w:history="1">
        <w:r w:rsidRPr="00ED7E61">
          <w:rPr>
            <w:rStyle w:val="normaltextrun"/>
            <w:rFonts w:asciiTheme="majorBidi" w:eastAsiaTheme="majorEastAsia" w:hAnsiTheme="majorBidi" w:cstheme="majorBidi"/>
            <w:color w:val="467886"/>
            <w:u w:val="single"/>
          </w:rPr>
          <w:t>info@geobon.org</w:t>
        </w:r>
      </w:hyperlink>
      <w:r w:rsidRPr="00ED7E61">
        <w:rPr>
          <w:rStyle w:val="normaltextrun"/>
          <w:rFonts w:asciiTheme="majorBidi" w:eastAsiaTheme="majorEastAsia" w:hAnsiTheme="majorBidi" w:cstheme="majorBidi"/>
          <w:color w:val="467886"/>
          <w:u w:val="single"/>
        </w:rPr>
        <w:t>)</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64E2087E" w14:textId="77777777" w:rsidR="00756F0F" w:rsidRPr="00ED7E61" w:rsidRDefault="00756F0F" w:rsidP="00E03ABB">
      <w:pPr>
        <w:pStyle w:val="CBDNormalNumber"/>
        <w:numPr>
          <w:ilvl w:val="0"/>
          <w:numId w:val="0"/>
        </w:numPr>
        <w:ind w:left="567"/>
        <w:jc w:val="left"/>
        <w:rPr>
          <w:rFonts w:asciiTheme="majorBidi" w:hAnsiTheme="majorBidi" w:cstheme="majorBidi"/>
          <w:lang w:val="es-ES"/>
        </w:rPr>
      </w:pPr>
      <w:r w:rsidRPr="00ED7E61">
        <w:rPr>
          <w:rStyle w:val="normaltextrun"/>
          <w:rFonts w:asciiTheme="majorBidi" w:eastAsiaTheme="majorEastAsia" w:hAnsiTheme="majorBidi" w:cstheme="majorBidi"/>
          <w:lang w:val="es-ES"/>
        </w:rPr>
        <w:t>Shyama Pagad, IUCN ISSG (</w:t>
      </w:r>
      <w:hyperlink r:id="rId467" w:tgtFrame="_blank" w:history="1">
        <w:r w:rsidRPr="00ED7E61">
          <w:rPr>
            <w:rStyle w:val="normaltextrun"/>
            <w:rFonts w:asciiTheme="majorBidi" w:eastAsiaTheme="majorEastAsia" w:hAnsiTheme="majorBidi" w:cstheme="majorBidi"/>
            <w:color w:val="467886"/>
            <w:u w:val="single"/>
            <w:lang w:val="es-ES"/>
          </w:rPr>
          <w:t>s.pagad@auckland.ac.nz</w:t>
        </w:r>
      </w:hyperlink>
      <w:r w:rsidRPr="00ED7E61">
        <w:rPr>
          <w:rStyle w:val="normaltextrun"/>
          <w:rFonts w:asciiTheme="majorBidi" w:eastAsiaTheme="majorEastAsia" w:hAnsiTheme="majorBidi" w:cstheme="majorBidi"/>
          <w:color w:val="467886"/>
          <w:u w:val="single"/>
          <w:lang w:val="es-ES"/>
        </w:rPr>
        <w:t>)</w:t>
      </w:r>
      <w:r w:rsidRPr="00ED7E61">
        <w:rPr>
          <w:rStyle w:val="eop"/>
          <w:rFonts w:asciiTheme="majorBidi" w:eastAsiaTheme="majorEastAsia" w:hAnsiTheme="majorBidi" w:cstheme="majorBidi"/>
          <w:color w:val="467886"/>
          <w:lang w:val="es-ES"/>
        </w:rPr>
        <w:t> </w:t>
      </w:r>
    </w:p>
    <w:p w14:paraId="4E6CC01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11. References</w:t>
      </w:r>
      <w:r w:rsidRPr="00ED7E61">
        <w:rPr>
          <w:rStyle w:val="eop"/>
          <w:rFonts w:asciiTheme="majorBidi" w:eastAsiaTheme="majorEastAsia" w:hAnsiTheme="majorBidi" w:cstheme="majorBidi"/>
          <w:sz w:val="22"/>
          <w:szCs w:val="22"/>
        </w:rPr>
        <w:t> </w:t>
      </w:r>
    </w:p>
    <w:p w14:paraId="417B148A" w14:textId="4F2C954B" w:rsidR="00CC56A2" w:rsidRPr="00ED7E61" w:rsidRDefault="00756F0F" w:rsidP="00ED3F20">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IPBES</w:t>
      </w:r>
      <w:r w:rsidRPr="00ED7E61">
        <w:rPr>
          <w:rStyle w:val="normaltextrun"/>
          <w:rFonts w:asciiTheme="majorBidi" w:eastAsiaTheme="majorEastAsia" w:hAnsiTheme="majorBidi" w:cstheme="majorBidi"/>
          <w:lang w:val="en-AU"/>
        </w:rPr>
        <w:t xml:space="preserve"> (2023) Summary for Policymakers of the Thematic Assessment Report on Invasive Alien Species and their Control of the Intergovernmental Science-Policy Platform on Biodiversity and Ecosystem Services. Roy, H. E., Pauchard, A., Stoett, P., Renard Truong, T., Bacher, S., Galil, B. S., Hulme, P. E., Ikeda, T., Sankaran, K. V., McGeoch, M. A., Meyerson, L. A., Nuñez, M. A., Ordonez, A., Rahlao, S. J., Schwindt, E., Seebens, H., Sheppard, A. W., and Vandvik, V. (eds.). IPBES secretariat, Bonn, </w:t>
      </w:r>
      <w:r w:rsidRPr="00ED7E61">
        <w:rPr>
          <w:rStyle w:val="normaltextrun"/>
          <w:rFonts w:asciiTheme="majorBidi" w:eastAsiaTheme="majorEastAsia" w:hAnsiTheme="majorBidi" w:cstheme="majorBidi"/>
          <w:color w:val="676B5E"/>
          <w:lang w:val="en-AU"/>
        </w:rPr>
        <w:t xml:space="preserve">Germany. </w:t>
      </w:r>
      <w:hyperlink r:id="rId468" w:tgtFrame="_blank" w:history="1">
        <w:r w:rsidRPr="00ED7E61">
          <w:rPr>
            <w:rStyle w:val="normaltextrun"/>
            <w:rFonts w:asciiTheme="majorBidi" w:eastAsiaTheme="majorEastAsia" w:hAnsiTheme="majorBidi" w:cstheme="majorBidi"/>
            <w:color w:val="009390"/>
            <w:u w:val="single"/>
            <w:lang w:val="en-AU"/>
          </w:rPr>
          <w:t>https://doi.org/10.5281/zenodo.7430692</w:t>
        </w:r>
      </w:hyperlink>
      <w:r w:rsidRPr="00ED7E61">
        <w:rPr>
          <w:rStyle w:val="eop"/>
          <w:rFonts w:asciiTheme="majorBidi" w:eastAsiaTheme="majorEastAsia" w:hAnsiTheme="majorBidi" w:cstheme="majorBidi"/>
        </w:rPr>
        <w:t> </w:t>
      </w:r>
    </w:p>
    <w:p w14:paraId="671B8327" w14:textId="56B6DEA6" w:rsidR="00CC56A2" w:rsidRPr="00ED7E61" w:rsidRDefault="00756F0F" w:rsidP="00ED3F20">
      <w:pPr>
        <w:pStyle w:val="CBDNormalNumber"/>
        <w:numPr>
          <w:ilvl w:val="0"/>
          <w:numId w:val="0"/>
        </w:numPr>
        <w:ind w:left="567"/>
        <w:jc w:val="left"/>
        <w:rPr>
          <w:rFonts w:asciiTheme="majorBidi" w:hAnsiTheme="majorBidi" w:cstheme="majorBidi"/>
          <w:lang w:val="fr-FR"/>
        </w:rPr>
      </w:pPr>
      <w:r w:rsidRPr="009E462F">
        <w:rPr>
          <w:rStyle w:val="normaltextrun"/>
          <w:rFonts w:asciiTheme="majorBidi" w:eastAsiaTheme="majorEastAsia" w:hAnsiTheme="majorBidi" w:cstheme="majorBidi"/>
          <w:lang w:val="en-US"/>
        </w:rPr>
        <w:t xml:space="preserve">Latombe (2017). Latombe, G., P. Pysek, J. M. Jeschke et al. </w:t>
      </w:r>
      <w:r w:rsidRPr="00ED7E61">
        <w:rPr>
          <w:rStyle w:val="normaltextrun"/>
          <w:rFonts w:asciiTheme="majorBidi" w:eastAsiaTheme="majorEastAsia" w:hAnsiTheme="majorBidi" w:cstheme="majorBidi"/>
          <w:lang w:val="en-AU"/>
        </w:rPr>
        <w:t xml:space="preserve">(2017). A vision for global monitoring of biological invasions. </w:t>
      </w:r>
      <w:r w:rsidRPr="009E462F">
        <w:rPr>
          <w:rStyle w:val="normaltextrun"/>
          <w:rFonts w:asciiTheme="majorBidi" w:eastAsiaTheme="majorEastAsia" w:hAnsiTheme="majorBidi" w:cstheme="majorBidi"/>
          <w:lang w:val="fr-FR"/>
        </w:rPr>
        <w:t xml:space="preserve">Biological Conservation 213:295-308. </w:t>
      </w:r>
      <w:hyperlink r:id="rId469" w:tgtFrame="_blank" w:history="1">
        <w:r w:rsidRPr="00ED7E61">
          <w:rPr>
            <w:rStyle w:val="normaltextrun"/>
            <w:rFonts w:asciiTheme="majorBidi" w:eastAsiaTheme="majorEastAsia" w:hAnsiTheme="majorBidi" w:cstheme="majorBidi"/>
            <w:color w:val="467886"/>
            <w:u w:val="single"/>
            <w:lang w:val="fr-FR"/>
          </w:rPr>
          <w:t>http://dx.doi.org/10.1016/j.biocon.2016.06.013</w:t>
        </w:r>
      </w:hyperlink>
      <w:r w:rsidRPr="00ED7E61">
        <w:rPr>
          <w:rStyle w:val="normaltextrun"/>
          <w:rFonts w:asciiTheme="majorBidi" w:eastAsiaTheme="majorEastAsia" w:hAnsiTheme="majorBidi" w:cstheme="majorBidi"/>
          <w:lang w:val="fr-FR"/>
        </w:rPr>
        <w:t> </w:t>
      </w:r>
      <w:r w:rsidRPr="00ED7E61">
        <w:rPr>
          <w:rStyle w:val="eop"/>
          <w:rFonts w:asciiTheme="majorBidi" w:eastAsiaTheme="majorEastAsia" w:hAnsiTheme="majorBidi" w:cstheme="majorBidi"/>
          <w:lang w:val="fr-FR"/>
        </w:rPr>
        <w:t> </w:t>
      </w:r>
    </w:p>
    <w:p w14:paraId="7EE51E4F" w14:textId="6AC921D3" w:rsidR="00CC56A2" w:rsidRPr="00ED7E61" w:rsidRDefault="00756F0F" w:rsidP="00ED3F20">
      <w:pPr>
        <w:pStyle w:val="CBDNormalNumber"/>
        <w:numPr>
          <w:ilvl w:val="0"/>
          <w:numId w:val="0"/>
        </w:numPr>
        <w:ind w:left="567"/>
        <w:jc w:val="left"/>
        <w:rPr>
          <w:rFonts w:asciiTheme="majorBidi" w:hAnsiTheme="majorBidi" w:cstheme="majorBidi"/>
          <w:lang w:val="fr-FR"/>
        </w:rPr>
      </w:pPr>
      <w:r w:rsidRPr="00F72564">
        <w:rPr>
          <w:rStyle w:val="normaltextrun"/>
          <w:rFonts w:asciiTheme="majorBidi" w:eastAsiaTheme="majorEastAsia" w:hAnsiTheme="majorBidi" w:cstheme="majorBidi"/>
          <w:color w:val="1C1D1E"/>
          <w:lang w:val="fr-FR"/>
        </w:rPr>
        <w:t xml:space="preserve">McGeoch et al. (2023). </w:t>
      </w:r>
      <w:r w:rsidRPr="000A273E">
        <w:rPr>
          <w:rStyle w:val="normaltextrun"/>
          <w:rFonts w:asciiTheme="majorBidi" w:eastAsiaTheme="majorEastAsia" w:hAnsiTheme="majorBidi" w:cstheme="majorBidi"/>
          <w:color w:val="1C1D1E"/>
          <w:lang w:val="fr-FR"/>
        </w:rPr>
        <w:t xml:space="preserve">McGeoch, M. A., Buba, Y., Arlé, E., et al. </w:t>
      </w:r>
      <w:r w:rsidRPr="00ED7E61">
        <w:rPr>
          <w:rStyle w:val="normaltextrun"/>
          <w:rFonts w:asciiTheme="majorBidi" w:eastAsiaTheme="majorEastAsia" w:hAnsiTheme="majorBidi" w:cstheme="majorBidi"/>
          <w:color w:val="1C1D1E"/>
        </w:rPr>
        <w:t xml:space="preserve">(2023). Invasion trends: An interpretable measure of change is needed to support policy targets. </w:t>
      </w:r>
      <w:r w:rsidRPr="00ED7E61">
        <w:rPr>
          <w:rStyle w:val="normaltextrun"/>
          <w:rFonts w:asciiTheme="majorBidi" w:eastAsiaTheme="majorEastAsia" w:hAnsiTheme="majorBidi" w:cstheme="majorBidi"/>
          <w:i/>
          <w:iCs/>
          <w:color w:val="1C1D1E"/>
          <w:lang w:val="fr-FR"/>
        </w:rPr>
        <w:t>Conservation Letters</w:t>
      </w:r>
      <w:r w:rsidRPr="00ED7E61">
        <w:rPr>
          <w:rStyle w:val="normaltextrun"/>
          <w:rFonts w:asciiTheme="majorBidi" w:eastAsiaTheme="majorEastAsia" w:hAnsiTheme="majorBidi" w:cstheme="majorBidi"/>
          <w:color w:val="1C1D1E"/>
          <w:lang w:val="fr-FR"/>
        </w:rPr>
        <w:t xml:space="preserve">, 16, e12981. </w:t>
      </w:r>
      <w:hyperlink r:id="rId470" w:tgtFrame="_blank" w:history="1">
        <w:r w:rsidRPr="00ED7E61">
          <w:rPr>
            <w:rStyle w:val="normaltextrun"/>
            <w:rFonts w:asciiTheme="majorBidi" w:eastAsiaTheme="majorEastAsia" w:hAnsiTheme="majorBidi" w:cstheme="majorBidi"/>
            <w:color w:val="4A709F"/>
            <w:u w:val="single"/>
            <w:lang w:val="fr-FR"/>
          </w:rPr>
          <w:t>https://doi.org/10.1111/conl.12981</w:t>
        </w:r>
      </w:hyperlink>
      <w:r w:rsidRPr="00ED7E61">
        <w:rPr>
          <w:rStyle w:val="eop"/>
          <w:rFonts w:asciiTheme="majorBidi" w:eastAsiaTheme="majorEastAsia" w:hAnsiTheme="majorBidi" w:cstheme="majorBidi"/>
          <w:lang w:val="fr-FR"/>
        </w:rPr>
        <w:t> </w:t>
      </w:r>
    </w:p>
    <w:p w14:paraId="60FDD67E" w14:textId="5C3F9FF5" w:rsidR="00CC56A2" w:rsidRPr="009E462F" w:rsidRDefault="00756F0F" w:rsidP="00ED3F20">
      <w:pPr>
        <w:pStyle w:val="CBDNormalNumber"/>
        <w:numPr>
          <w:ilvl w:val="0"/>
          <w:numId w:val="0"/>
        </w:numPr>
        <w:ind w:left="567"/>
        <w:jc w:val="left"/>
        <w:rPr>
          <w:rFonts w:asciiTheme="majorBidi" w:hAnsiTheme="majorBidi" w:cstheme="majorBidi"/>
          <w:lang w:val="fr-FR"/>
        </w:rPr>
      </w:pPr>
      <w:r w:rsidRPr="001A748D">
        <w:rPr>
          <w:rStyle w:val="normaltextrun"/>
          <w:rFonts w:asciiTheme="majorBidi" w:eastAsiaTheme="majorEastAsia" w:hAnsiTheme="majorBidi" w:cstheme="majorBidi"/>
          <w:lang w:val="fr-FR"/>
        </w:rPr>
        <w:t xml:space="preserve">Pagad (2018) </w:t>
      </w:r>
      <w:r w:rsidRPr="001A748D">
        <w:rPr>
          <w:rStyle w:val="normaltextrun"/>
          <w:rFonts w:asciiTheme="majorBidi" w:eastAsiaTheme="majorEastAsia" w:hAnsiTheme="majorBidi" w:cstheme="majorBidi"/>
          <w:color w:val="222222"/>
          <w:lang w:val="fr-FR"/>
        </w:rPr>
        <w:t xml:space="preserve">Pagad, S., Genovesi, P., Carnevali, L. </w:t>
      </w:r>
      <w:r w:rsidRPr="001A748D">
        <w:rPr>
          <w:rStyle w:val="normaltextrun"/>
          <w:rFonts w:asciiTheme="majorBidi" w:eastAsiaTheme="majorEastAsia" w:hAnsiTheme="majorBidi" w:cstheme="majorBidi"/>
          <w:i/>
          <w:iCs/>
          <w:color w:val="222222"/>
          <w:lang w:val="fr-FR"/>
        </w:rPr>
        <w:t>et al.</w:t>
      </w:r>
      <w:r w:rsidRPr="001A748D">
        <w:rPr>
          <w:rStyle w:val="normaltextrun"/>
          <w:rFonts w:asciiTheme="majorBidi" w:eastAsiaTheme="majorEastAsia" w:hAnsiTheme="majorBidi" w:cstheme="majorBidi"/>
          <w:color w:val="222222"/>
          <w:lang w:val="fr-FR"/>
        </w:rPr>
        <w:t xml:space="preserve"> </w:t>
      </w:r>
      <w:r w:rsidRPr="00ED7E61">
        <w:rPr>
          <w:rStyle w:val="normaltextrun"/>
          <w:rFonts w:asciiTheme="majorBidi" w:eastAsiaTheme="majorEastAsia" w:hAnsiTheme="majorBidi" w:cstheme="majorBidi"/>
          <w:color w:val="222222"/>
        </w:rPr>
        <w:t xml:space="preserve">Introducing the Global Register of Introduced and Invasive Species. </w:t>
      </w:r>
      <w:r w:rsidRPr="009E462F">
        <w:rPr>
          <w:rStyle w:val="normaltextrun"/>
          <w:rFonts w:asciiTheme="majorBidi" w:eastAsiaTheme="majorEastAsia" w:hAnsiTheme="majorBidi" w:cstheme="majorBidi"/>
          <w:i/>
          <w:iCs/>
          <w:color w:val="222222"/>
          <w:lang w:val="fr-FR"/>
        </w:rPr>
        <w:t>Sci Data</w:t>
      </w:r>
      <w:r w:rsidRPr="009E462F">
        <w:rPr>
          <w:rStyle w:val="normaltextrun"/>
          <w:rFonts w:asciiTheme="majorBidi" w:eastAsiaTheme="majorEastAsia" w:hAnsiTheme="majorBidi" w:cstheme="majorBidi"/>
          <w:color w:val="222222"/>
          <w:lang w:val="fr-FR"/>
        </w:rPr>
        <w:t xml:space="preserve"> </w:t>
      </w:r>
      <w:r w:rsidRPr="009E462F">
        <w:rPr>
          <w:rStyle w:val="normaltextrun"/>
          <w:rFonts w:asciiTheme="majorBidi" w:eastAsiaTheme="majorEastAsia" w:hAnsiTheme="majorBidi" w:cstheme="majorBidi"/>
          <w:b/>
          <w:bCs/>
          <w:color w:val="222222"/>
          <w:lang w:val="fr-FR"/>
        </w:rPr>
        <w:t>5</w:t>
      </w:r>
      <w:r w:rsidRPr="009E462F">
        <w:rPr>
          <w:rStyle w:val="normaltextrun"/>
          <w:rFonts w:asciiTheme="majorBidi" w:eastAsiaTheme="majorEastAsia" w:hAnsiTheme="majorBidi" w:cstheme="majorBidi"/>
          <w:color w:val="222222"/>
          <w:lang w:val="fr-FR"/>
        </w:rPr>
        <w:t xml:space="preserve">, 170202 (2018). </w:t>
      </w:r>
      <w:r w:rsidRPr="009E462F">
        <w:rPr>
          <w:rStyle w:val="normaltextrun"/>
          <w:rFonts w:asciiTheme="majorBidi" w:eastAsiaTheme="majorEastAsia" w:hAnsiTheme="majorBidi" w:cstheme="majorBidi"/>
          <w:color w:val="467886"/>
          <w:u w:val="single"/>
          <w:lang w:val="fr-FR"/>
        </w:rPr>
        <w:t>https://doi.org/10.1038/sdata.2017.202</w:t>
      </w:r>
    </w:p>
    <w:p w14:paraId="0AAA17B8" w14:textId="4FD207EB" w:rsidR="00CC56A2" w:rsidRPr="00ED7E61" w:rsidRDefault="00756F0F" w:rsidP="00ED3F20">
      <w:pPr>
        <w:pStyle w:val="CBDNormalNumber"/>
        <w:numPr>
          <w:ilvl w:val="0"/>
          <w:numId w:val="0"/>
        </w:numPr>
        <w:ind w:left="567"/>
        <w:jc w:val="left"/>
        <w:rPr>
          <w:rFonts w:asciiTheme="majorBidi" w:hAnsiTheme="majorBidi" w:cstheme="majorBidi"/>
          <w:lang w:val="fr-FR"/>
        </w:rPr>
      </w:pPr>
      <w:r w:rsidRPr="00ED7E61">
        <w:rPr>
          <w:rStyle w:val="normaltextrun"/>
          <w:rFonts w:asciiTheme="majorBidi" w:eastAsiaTheme="majorEastAsia" w:hAnsiTheme="majorBidi" w:cstheme="majorBidi"/>
          <w:lang w:val="fr-FR"/>
        </w:rPr>
        <w:t xml:space="preserve">Pagad et al. (2022)  </w:t>
      </w:r>
      <w:r w:rsidRPr="00ED7E61">
        <w:rPr>
          <w:rStyle w:val="normaltextrun"/>
          <w:rFonts w:asciiTheme="majorBidi" w:eastAsiaTheme="majorEastAsia" w:hAnsiTheme="majorBidi" w:cstheme="majorBidi"/>
          <w:color w:val="222222"/>
          <w:lang w:val="fr-FR"/>
        </w:rPr>
        <w:t xml:space="preserve">Pagad, S., Bisset, S., Genovesi, P. </w:t>
      </w:r>
      <w:r w:rsidRPr="00ED7E61">
        <w:rPr>
          <w:rStyle w:val="normaltextrun"/>
          <w:rFonts w:asciiTheme="majorBidi" w:eastAsiaTheme="majorEastAsia" w:hAnsiTheme="majorBidi" w:cstheme="majorBidi"/>
          <w:i/>
          <w:iCs/>
          <w:color w:val="222222"/>
          <w:lang w:val="fr-FR"/>
        </w:rPr>
        <w:t>et al.</w:t>
      </w:r>
      <w:r w:rsidRPr="00ED7E61">
        <w:rPr>
          <w:rStyle w:val="normaltextrun"/>
          <w:rFonts w:asciiTheme="majorBidi" w:eastAsiaTheme="majorEastAsia" w:hAnsiTheme="majorBidi" w:cstheme="majorBidi"/>
          <w:color w:val="222222"/>
          <w:lang w:val="fr-FR"/>
        </w:rPr>
        <w:t xml:space="preserve"> </w:t>
      </w:r>
      <w:r w:rsidRPr="00ED7E61">
        <w:rPr>
          <w:rStyle w:val="normaltextrun"/>
          <w:rFonts w:asciiTheme="majorBidi" w:eastAsiaTheme="majorEastAsia" w:hAnsiTheme="majorBidi" w:cstheme="majorBidi"/>
          <w:color w:val="222222"/>
        </w:rPr>
        <w:t xml:space="preserve">Country Compendium of the Global Register of Introduced and Invasive Species. </w:t>
      </w:r>
      <w:r w:rsidRPr="00ED7E61">
        <w:rPr>
          <w:rStyle w:val="normaltextrun"/>
          <w:rFonts w:asciiTheme="majorBidi" w:eastAsiaTheme="majorEastAsia" w:hAnsiTheme="majorBidi" w:cstheme="majorBidi"/>
          <w:i/>
          <w:iCs/>
          <w:color w:val="222222"/>
          <w:lang w:val="fr-FR"/>
        </w:rPr>
        <w:t>Sci Data</w:t>
      </w:r>
      <w:r w:rsidRPr="00ED7E61">
        <w:rPr>
          <w:rStyle w:val="normaltextrun"/>
          <w:rFonts w:asciiTheme="majorBidi" w:eastAsiaTheme="majorEastAsia" w:hAnsiTheme="majorBidi" w:cstheme="majorBidi"/>
          <w:color w:val="222222"/>
          <w:lang w:val="fr-FR"/>
        </w:rPr>
        <w:t xml:space="preserve"> </w:t>
      </w:r>
      <w:r w:rsidRPr="00ED7E61">
        <w:rPr>
          <w:rStyle w:val="normaltextrun"/>
          <w:rFonts w:asciiTheme="majorBidi" w:eastAsiaTheme="majorEastAsia" w:hAnsiTheme="majorBidi" w:cstheme="majorBidi"/>
          <w:b/>
          <w:bCs/>
          <w:color w:val="222222"/>
          <w:lang w:val="fr-FR"/>
        </w:rPr>
        <w:t>9</w:t>
      </w:r>
      <w:r w:rsidRPr="00ED7E61">
        <w:rPr>
          <w:rStyle w:val="normaltextrun"/>
          <w:rFonts w:asciiTheme="majorBidi" w:eastAsiaTheme="majorEastAsia" w:hAnsiTheme="majorBidi" w:cstheme="majorBidi"/>
          <w:color w:val="222222"/>
          <w:lang w:val="fr-FR"/>
        </w:rPr>
        <w:t>, 391 (2022). https://doi.org/10.1038/s41597-022-01514-z</w:t>
      </w:r>
      <w:r w:rsidRPr="00ED7E61">
        <w:rPr>
          <w:rStyle w:val="normaltextrun"/>
          <w:rFonts w:asciiTheme="majorBidi" w:eastAsiaTheme="majorEastAsia" w:hAnsiTheme="majorBidi" w:cstheme="majorBidi"/>
          <w:lang w:val="fr-FR"/>
        </w:rPr>
        <w:t>  </w:t>
      </w:r>
      <w:r w:rsidRPr="00ED7E61">
        <w:rPr>
          <w:rStyle w:val="eop"/>
          <w:rFonts w:asciiTheme="majorBidi" w:eastAsiaTheme="majorEastAsia" w:hAnsiTheme="majorBidi" w:cstheme="majorBidi"/>
          <w:lang w:val="fr-FR"/>
        </w:rPr>
        <w:t> </w:t>
      </w:r>
    </w:p>
    <w:p w14:paraId="5D28A204" w14:textId="019F846D" w:rsidR="00CC56A2" w:rsidRPr="00ED7E61" w:rsidRDefault="00756F0F" w:rsidP="00ED3F20">
      <w:pPr>
        <w:pStyle w:val="CBDNormalNumber"/>
        <w:numPr>
          <w:ilvl w:val="0"/>
          <w:numId w:val="0"/>
        </w:numPr>
        <w:ind w:left="567"/>
        <w:jc w:val="left"/>
        <w:rPr>
          <w:rFonts w:asciiTheme="majorBidi" w:hAnsiTheme="majorBidi" w:cstheme="majorBidi"/>
        </w:rPr>
      </w:pPr>
      <w:r w:rsidRPr="009E462F">
        <w:rPr>
          <w:rStyle w:val="normaltextrun"/>
          <w:rFonts w:asciiTheme="majorBidi" w:eastAsiaTheme="majorEastAsia" w:hAnsiTheme="majorBidi" w:cstheme="majorBidi"/>
          <w:lang w:val="fr-FR"/>
        </w:rPr>
        <w:t xml:space="preserve">Seebens et al. </w:t>
      </w:r>
      <w:r w:rsidRPr="00ED7E61">
        <w:rPr>
          <w:rStyle w:val="normaltextrun"/>
          <w:rFonts w:asciiTheme="majorBidi" w:eastAsiaTheme="majorEastAsia" w:hAnsiTheme="majorBidi" w:cstheme="majorBidi"/>
        </w:rPr>
        <w:t xml:space="preserve">(2017) </w:t>
      </w:r>
      <w:r w:rsidRPr="00ED7E61">
        <w:rPr>
          <w:rStyle w:val="normaltextrun"/>
          <w:rFonts w:asciiTheme="majorBidi" w:eastAsiaTheme="majorEastAsia" w:hAnsiTheme="majorBidi" w:cstheme="majorBidi"/>
          <w:color w:val="222222"/>
        </w:rPr>
        <w:t xml:space="preserve">Seebens, H., Blackburn, T., Dyer, E. </w:t>
      </w:r>
      <w:r w:rsidRPr="00ED7E61">
        <w:rPr>
          <w:rStyle w:val="normaltextrun"/>
          <w:rFonts w:asciiTheme="majorBidi" w:eastAsiaTheme="majorEastAsia" w:hAnsiTheme="majorBidi" w:cstheme="majorBidi"/>
          <w:i/>
          <w:iCs/>
          <w:color w:val="222222"/>
        </w:rPr>
        <w:t>et al.</w:t>
      </w:r>
      <w:r w:rsidRPr="00ED7E61">
        <w:rPr>
          <w:rStyle w:val="normaltextrun"/>
          <w:rFonts w:asciiTheme="majorBidi" w:eastAsiaTheme="majorEastAsia" w:hAnsiTheme="majorBidi" w:cstheme="majorBidi"/>
          <w:color w:val="222222"/>
        </w:rPr>
        <w:t xml:space="preserve"> No saturation in the accumulation of alien species worldwide. </w:t>
      </w:r>
      <w:r w:rsidRPr="00ED7E61">
        <w:rPr>
          <w:rStyle w:val="normaltextrun"/>
          <w:rFonts w:asciiTheme="majorBidi" w:eastAsiaTheme="majorEastAsia" w:hAnsiTheme="majorBidi" w:cstheme="majorBidi"/>
          <w:i/>
          <w:iCs/>
          <w:color w:val="222222"/>
        </w:rPr>
        <w:t>Nat Commun</w:t>
      </w:r>
      <w:r w:rsidRPr="00ED7E61">
        <w:rPr>
          <w:rStyle w:val="normaltextrun"/>
          <w:rFonts w:asciiTheme="majorBidi" w:eastAsiaTheme="majorEastAsia" w:hAnsiTheme="majorBidi" w:cstheme="majorBidi"/>
          <w:color w:val="222222"/>
        </w:rPr>
        <w:t xml:space="preserve"> </w:t>
      </w:r>
      <w:r w:rsidRPr="00ED7E61">
        <w:rPr>
          <w:rStyle w:val="normaltextrun"/>
          <w:rFonts w:asciiTheme="majorBidi" w:eastAsiaTheme="majorEastAsia" w:hAnsiTheme="majorBidi" w:cstheme="majorBidi"/>
          <w:b/>
          <w:bCs/>
          <w:color w:val="222222"/>
        </w:rPr>
        <w:t>8</w:t>
      </w:r>
      <w:r w:rsidRPr="00ED7E61">
        <w:rPr>
          <w:rStyle w:val="normaltextrun"/>
          <w:rFonts w:asciiTheme="majorBidi" w:eastAsiaTheme="majorEastAsia" w:hAnsiTheme="majorBidi" w:cstheme="majorBidi"/>
          <w:color w:val="222222"/>
        </w:rPr>
        <w:t xml:space="preserve">, 14435 (2017). </w:t>
      </w:r>
      <w:hyperlink r:id="rId471" w:tgtFrame="_blank" w:history="1">
        <w:r w:rsidRPr="00ED7E61">
          <w:rPr>
            <w:rStyle w:val="normaltextrun"/>
            <w:rFonts w:asciiTheme="majorBidi" w:eastAsiaTheme="majorEastAsia" w:hAnsiTheme="majorBidi" w:cstheme="majorBidi"/>
            <w:color w:val="467886"/>
            <w:u w:val="single"/>
          </w:rPr>
          <w:t>https://doi.org/10.1038/ncomms14435</w:t>
        </w:r>
      </w:hyperlink>
      <w:r w:rsidRPr="00ED7E61">
        <w:rPr>
          <w:rStyle w:val="normaltextrun"/>
          <w:rFonts w:asciiTheme="majorBidi" w:eastAsiaTheme="majorEastAsia" w:hAnsiTheme="majorBidi" w:cstheme="majorBidi"/>
          <w:color w:val="222222"/>
        </w:rPr>
        <w:t> </w:t>
      </w:r>
      <w:r w:rsidRPr="00ED7E61">
        <w:rPr>
          <w:rStyle w:val="eop"/>
          <w:rFonts w:asciiTheme="majorBidi" w:eastAsiaTheme="majorEastAsia" w:hAnsiTheme="majorBidi" w:cstheme="majorBidi"/>
          <w:color w:val="222222"/>
        </w:rPr>
        <w:t> </w:t>
      </w:r>
    </w:p>
    <w:p w14:paraId="4B4A7AAF" w14:textId="77777777" w:rsidR="00756F0F" w:rsidRPr="00ED7E61" w:rsidRDefault="00756F0F" w:rsidP="00E370AD">
      <w:pPr>
        <w:pStyle w:val="CBDNormalNumber"/>
        <w:numPr>
          <w:ilvl w:val="0"/>
          <w:numId w:val="0"/>
        </w:numPr>
        <w:ind w:left="567"/>
        <w:rPr>
          <w:rFonts w:asciiTheme="majorBidi" w:hAnsiTheme="majorBidi" w:cstheme="majorBidi"/>
        </w:rPr>
      </w:pPr>
      <w:r w:rsidRPr="00ED7E61">
        <w:rPr>
          <w:rStyle w:val="normaltextrun"/>
          <w:rFonts w:asciiTheme="majorBidi" w:eastAsiaTheme="majorEastAsia" w:hAnsiTheme="majorBidi" w:cstheme="majorBidi"/>
        </w:rPr>
        <w:t>Seebens (2023), Alien Species First Records Database (Version 3.1).  Deposited 25 October 2023.</w:t>
      </w:r>
      <w:r w:rsidRPr="00ED7E61">
        <w:rPr>
          <w:rStyle w:val="normaltextrun"/>
          <w:rFonts w:asciiTheme="majorBidi" w:eastAsiaTheme="majorEastAsia" w:hAnsiTheme="majorBidi" w:cstheme="majorBidi"/>
          <w:i/>
          <w:iCs/>
        </w:rPr>
        <w:t>Zenodo</w:t>
      </w:r>
      <w:r w:rsidRPr="00ED7E61">
        <w:rPr>
          <w:rStyle w:val="normaltextrun"/>
          <w:rFonts w:asciiTheme="majorBidi" w:eastAsiaTheme="majorEastAsia" w:hAnsiTheme="majorBidi" w:cstheme="majorBidi"/>
        </w:rPr>
        <w:t xml:space="preserve">. </w:t>
      </w:r>
      <w:hyperlink r:id="rId472" w:tgtFrame="_blank" w:history="1">
        <w:r w:rsidRPr="00ED7E61">
          <w:rPr>
            <w:rStyle w:val="normaltextrun"/>
            <w:rFonts w:asciiTheme="majorBidi" w:eastAsiaTheme="majorEastAsia" w:hAnsiTheme="majorBidi" w:cstheme="majorBidi"/>
            <w:color w:val="467886"/>
            <w:u w:val="single"/>
          </w:rPr>
          <w:t>https://zenodo.org/doi/10.5281/zenodo.3690741</w:t>
        </w:r>
      </w:hyperlink>
      <w:r w:rsidRPr="00ED7E61">
        <w:rPr>
          <w:rStyle w:val="normaltextrun"/>
          <w:rFonts w:asciiTheme="majorBidi" w:eastAsiaTheme="majorEastAsia" w:hAnsiTheme="majorBidi" w:cstheme="majorBidi"/>
        </w:rPr>
        <w:t xml:space="preserve"> .NB this link will always resolve to the latest version of this database.</w:t>
      </w:r>
      <w:r w:rsidRPr="00ED7E61">
        <w:rPr>
          <w:rStyle w:val="eop"/>
          <w:rFonts w:asciiTheme="majorBidi" w:eastAsiaTheme="majorEastAsia" w:hAnsiTheme="majorBidi" w:cstheme="majorBidi"/>
        </w:rPr>
        <w:t> </w:t>
      </w:r>
    </w:p>
    <w:p w14:paraId="0351741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12. Graphs and diagrams</w:t>
      </w:r>
      <w:r w:rsidRPr="00ED7E61">
        <w:rPr>
          <w:rStyle w:val="eop"/>
          <w:rFonts w:asciiTheme="majorBidi" w:eastAsiaTheme="majorEastAsia" w:hAnsiTheme="majorBidi" w:cstheme="majorBidi"/>
          <w:sz w:val="22"/>
          <w:szCs w:val="22"/>
        </w:rPr>
        <w:t> </w:t>
      </w:r>
    </w:p>
    <w:p w14:paraId="66DFCBD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329B81A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45E85559"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5EA7AD70" w14:textId="77777777" w:rsidR="00C9506C" w:rsidRPr="00ED7E61" w:rsidRDefault="00C9506C" w:rsidP="00C9506C">
      <w:pPr>
        <w:pStyle w:val="Heading3"/>
        <w:rPr>
          <w:rStyle w:val="normaltextrun"/>
        </w:rPr>
      </w:pPr>
      <w:bookmarkStart w:id="48" w:name="_Toc178285861"/>
      <w:r w:rsidRPr="00ED7E61">
        <w:rPr>
          <w:rStyle w:val="normaltextrun"/>
        </w:rPr>
        <w:t>GBF indicator metadata: 6.b Target 6 binary indicator</w:t>
      </w:r>
      <w:bookmarkEnd w:id="48"/>
      <w:r w:rsidRPr="00ED7E61">
        <w:rPr>
          <w:rStyle w:val="normaltextrun"/>
        </w:rPr>
        <w:t xml:space="preserve"> </w:t>
      </w:r>
    </w:p>
    <w:p w14:paraId="61B57AED" w14:textId="77777777" w:rsidR="00C9506C" w:rsidRPr="00ED7E61" w:rsidRDefault="00C9506C" w:rsidP="00C9506C">
      <w:pPr>
        <w:jc w:val="both"/>
        <w:rPr>
          <w:rFonts w:asciiTheme="majorBidi" w:hAnsiTheme="majorBidi" w:cstheme="majorBidi"/>
          <w:b/>
          <w:bCs/>
          <w:sz w:val="22"/>
          <w:szCs w:val="22"/>
        </w:rPr>
      </w:pPr>
    </w:p>
    <w:p w14:paraId="0A39BCC1"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111C9B9E" w14:textId="349AD604"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color w:val="000000" w:themeColor="text1"/>
          <w:sz w:val="22"/>
          <w:szCs w:val="22"/>
          <w:lang w:val="en-GB"/>
        </w:rPr>
        <w:t>Number of countries adopting relevant regulations, processes and measures to reduce the impact of invasive alien species.</w:t>
      </w:r>
    </w:p>
    <w:p w14:paraId="118ABDF7" w14:textId="77777777" w:rsidR="00C9506C" w:rsidRPr="00ED7E61" w:rsidRDefault="00C9506C" w:rsidP="00C9506C">
      <w:pPr>
        <w:jc w:val="both"/>
        <w:rPr>
          <w:rFonts w:asciiTheme="majorBidi" w:hAnsiTheme="majorBidi" w:cstheme="majorBidi"/>
          <w:sz w:val="22"/>
          <w:szCs w:val="22"/>
          <w:lang w:val="en-US"/>
        </w:rPr>
      </w:pPr>
    </w:p>
    <w:p w14:paraId="12A65DBD" w14:textId="10B8C1C5"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1366C732" w14:textId="77777777" w:rsidR="00C9506C" w:rsidRPr="00ED7E61" w:rsidRDefault="00C9506C" w:rsidP="00C9506C">
      <w:pPr>
        <w:jc w:val="both"/>
        <w:rPr>
          <w:rFonts w:asciiTheme="majorBidi" w:hAnsiTheme="majorBidi" w:cstheme="majorBidi"/>
          <w:b/>
          <w:bCs/>
          <w:sz w:val="22"/>
          <w:szCs w:val="22"/>
        </w:rPr>
      </w:pPr>
    </w:p>
    <w:p w14:paraId="68F49118"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096F2DF3" w14:textId="77777777" w:rsidR="00C9506C" w:rsidRPr="00ED7E61" w:rsidRDefault="00C9506C" w:rsidP="00C9506C">
      <w:pPr>
        <w:jc w:val="both"/>
        <w:rPr>
          <w:rFonts w:asciiTheme="majorBidi" w:hAnsiTheme="majorBidi" w:cstheme="majorBidi"/>
          <w:color w:val="242424"/>
          <w:sz w:val="22"/>
          <w:szCs w:val="22"/>
        </w:rPr>
      </w:pPr>
      <w:r w:rsidRPr="00ED7E61">
        <w:rPr>
          <w:rFonts w:asciiTheme="majorBidi" w:hAnsiTheme="majorBidi" w:cstheme="majorBidi"/>
          <w:color w:val="242424"/>
          <w:sz w:val="22"/>
          <w:szCs w:val="22"/>
        </w:rPr>
        <w:t>N/A</w:t>
      </w:r>
    </w:p>
    <w:p w14:paraId="094269CB" w14:textId="77777777" w:rsidR="00C9506C" w:rsidRPr="00ED7E61" w:rsidRDefault="00C9506C" w:rsidP="00C9506C">
      <w:pPr>
        <w:jc w:val="both"/>
        <w:rPr>
          <w:rFonts w:asciiTheme="majorBidi" w:hAnsiTheme="majorBidi" w:cstheme="majorBidi"/>
          <w:sz w:val="22"/>
          <w:szCs w:val="22"/>
        </w:rPr>
      </w:pPr>
    </w:p>
    <w:p w14:paraId="53E15228"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Target</w:t>
      </w:r>
    </w:p>
    <w:p w14:paraId="0619B854"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sz w:val="22"/>
          <w:szCs w:val="22"/>
        </w:rPr>
        <w:t>Binary indicator for Target 6. Eliminate, minimize, reduce and/or mitigate the impacts of invasive alien species on biodiversity and ecosystem services by identifying and managing pathways of the introduction of alien species, preventing the introduction and establishment of priority invasive alien species, reducing the rates of introduction and establishment of other known or potential invasive alien species by at least 50 per cent by 2030, and eradicating or controlling invasive alien species, especially in priority sites, such as islands.</w:t>
      </w:r>
    </w:p>
    <w:p w14:paraId="23C1224B" w14:textId="77777777" w:rsidR="00C9506C" w:rsidRPr="00ED7E61" w:rsidRDefault="00C9506C" w:rsidP="00C9506C">
      <w:pPr>
        <w:jc w:val="both"/>
        <w:rPr>
          <w:rFonts w:asciiTheme="majorBidi" w:hAnsiTheme="majorBidi" w:cstheme="majorBidi"/>
          <w:sz w:val="22"/>
          <w:szCs w:val="22"/>
        </w:rPr>
      </w:pPr>
    </w:p>
    <w:p w14:paraId="434D5E6E"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7E3C1ECD" w14:textId="723B5B76" w:rsidR="00CC56A2" w:rsidRPr="00ED7E61" w:rsidRDefault="00C9506C" w:rsidP="00B10F0C">
      <w:pPr>
        <w:pStyle w:val="CBDNormalNumber"/>
        <w:numPr>
          <w:ilvl w:val="0"/>
          <w:numId w:val="75"/>
        </w:numPr>
        <w:tabs>
          <w:tab w:val="clear" w:pos="1701"/>
        </w:tabs>
        <w:ind w:left="567" w:firstLine="0"/>
        <w:rPr>
          <w:rFonts w:asciiTheme="majorBidi" w:hAnsiTheme="majorBidi" w:cstheme="majorBidi"/>
        </w:rPr>
      </w:pPr>
      <w:r w:rsidRPr="00ED7E61">
        <w:rPr>
          <w:rStyle w:val="normaltextrun"/>
          <w:rFonts w:eastAsiaTheme="majorEastAsia"/>
        </w:rPr>
        <w:t>Invasive</w:t>
      </w:r>
      <w:r w:rsidRPr="00ED7E61">
        <w:rPr>
          <w:rFonts w:asciiTheme="majorBidi" w:hAnsiTheme="majorBidi" w:cstheme="majorBidi"/>
        </w:rPr>
        <w:t xml:space="preserve"> alien species are one of the main direct drivers of biodiversity loss. In some ecosystems, such as islands, invasive alien species (IAS) are the leading cause of biodiversity decline. Invasive alien species affect biodiversity by competing with native species for resources, by direct predation or by introducing pathogens. They also modify the composition and structure of ecosystems, reducing the services they provide. In addition to their environmental impacts, invasive alien species pose a threat to food security, human health and economic activities. Globalization and an associated increase in human-mediated activities, such as international transport, trade and tourism, have made the movement of species beyond natural bio-geographical barriers easier and quicker, by creating new introduction pathways. Due to the wide and crosscutting impacts of IAS, including environmental, economic, health, social and cultural impacts, it is necessary to strengthen collaboration across sectors and government agencies at all levels and areas to ensure that this threat is managed effectively.</w:t>
      </w:r>
    </w:p>
    <w:p w14:paraId="065C00C8" w14:textId="77777777" w:rsidR="00C9506C" w:rsidRPr="00ED7E61" w:rsidRDefault="00C9506C" w:rsidP="00B10F0C">
      <w:pPr>
        <w:pStyle w:val="CBDNormalNumber"/>
        <w:numPr>
          <w:ilvl w:val="0"/>
          <w:numId w:val="75"/>
        </w:numPr>
        <w:ind w:left="567" w:firstLine="0"/>
      </w:pPr>
      <w:r w:rsidRPr="00ED7E61">
        <w:t>Governments have an important role to play in setting the regulatory landscape to support institutions in reducing the impacts of IAS. Business as usual practices have led to a large number of species being introduced to habitats where they have had significant impact on local biodiversity. Regulations, such as those on ballast water emptying, and appropriate resources to enforce them have a proven effect on reducing the rates of IAS establishment. Specifically, this indicator reports on the number of countries that have adopted regulation, processes and measures, and allocated resources, to reduce the impact of IAS.</w:t>
      </w:r>
    </w:p>
    <w:p w14:paraId="53F10C5B" w14:textId="02A744A2"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4C1D41">
        <w:rPr>
          <w:rFonts w:asciiTheme="majorBidi" w:hAnsiTheme="majorBidi" w:cstheme="majorBidi"/>
          <w:b/>
          <w:bCs/>
          <w:sz w:val="22"/>
          <w:szCs w:val="22"/>
        </w:rPr>
        <w:t>a</w:t>
      </w:r>
      <w:r w:rsidRPr="00ED7E61">
        <w:rPr>
          <w:rFonts w:asciiTheme="majorBidi" w:hAnsiTheme="majorBidi" w:cstheme="majorBidi"/>
          <w:b/>
          <w:bCs/>
          <w:sz w:val="22"/>
          <w:szCs w:val="22"/>
        </w:rPr>
        <w:t>nd Classifications</w:t>
      </w:r>
    </w:p>
    <w:p w14:paraId="37BBBA0B" w14:textId="32C5E2BC" w:rsidR="00C9506C" w:rsidRPr="00C76FBC" w:rsidRDefault="00C9506C" w:rsidP="00C76FBC">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2A9FC30D" w14:textId="64CB1314" w:rsidR="00CC56A2" w:rsidRPr="00ED7E61" w:rsidRDefault="00C9506C" w:rsidP="00B10F0C">
      <w:pPr>
        <w:pStyle w:val="CBDNormalNumber"/>
        <w:numPr>
          <w:ilvl w:val="0"/>
          <w:numId w:val="75"/>
        </w:numPr>
        <w:ind w:left="567" w:firstLine="0"/>
        <w:jc w:val="left"/>
      </w:pPr>
      <w:r w:rsidRPr="00ED7E61">
        <w:t>Impact of alien invasive species: Impacts are changes to nature, nature’s contributions to people and/or good quality of life. Impacts can be observed or unobserved. Generally, negative impacts become more apparent and problematic when invasive alien species are well established, widespread and present for a long time. Along with their adverse effects, some invasive alien species may have positive impacts providing benefits to some people.</w:t>
      </w:r>
    </w:p>
    <w:p w14:paraId="15C3A273" w14:textId="144B1808" w:rsidR="00CC56A2" w:rsidRPr="00ED7E61" w:rsidRDefault="00C9506C" w:rsidP="00B10F0C">
      <w:pPr>
        <w:pStyle w:val="CBDNormalNumber"/>
        <w:numPr>
          <w:ilvl w:val="0"/>
          <w:numId w:val="75"/>
        </w:numPr>
        <w:ind w:left="567" w:firstLine="0"/>
        <w:jc w:val="left"/>
        <w:rPr>
          <w:rFonts w:asciiTheme="majorBidi" w:hAnsiTheme="majorBidi" w:cstheme="majorBidi"/>
          <w:color w:val="000000" w:themeColor="text1"/>
        </w:rPr>
      </w:pPr>
      <w:r w:rsidRPr="00ED7E61">
        <w:rPr>
          <w:rFonts w:asciiTheme="majorBidi" w:hAnsiTheme="majorBidi" w:cstheme="majorBidi"/>
          <w:color w:val="000000" w:themeColor="text1"/>
        </w:rPr>
        <w:t xml:space="preserve">Alien invasive species: </w:t>
      </w:r>
      <w:r w:rsidRPr="00ED7E61">
        <w:rPr>
          <w:rFonts w:asciiTheme="majorBidi" w:hAnsiTheme="majorBidi" w:cstheme="majorBidi"/>
        </w:rPr>
        <w:t>An alien species whose introduction and/or spread threaten biological diversity.</w:t>
      </w:r>
    </w:p>
    <w:p w14:paraId="240BEAB4" w14:textId="406F078D" w:rsidR="00CC56A2" w:rsidRPr="00ED7E61" w:rsidRDefault="00C9506C" w:rsidP="00B10F0C">
      <w:pPr>
        <w:pStyle w:val="CBDNormalNumber"/>
        <w:numPr>
          <w:ilvl w:val="0"/>
          <w:numId w:val="75"/>
        </w:numPr>
        <w:ind w:left="567" w:firstLine="0"/>
        <w:jc w:val="left"/>
        <w:rPr>
          <w:rFonts w:asciiTheme="majorBidi" w:eastAsia="Garamond" w:hAnsiTheme="majorBidi" w:cstheme="majorBidi"/>
        </w:rPr>
      </w:pPr>
      <w:r w:rsidRPr="00ED7E61">
        <w:rPr>
          <w:rFonts w:asciiTheme="majorBidi" w:hAnsiTheme="majorBidi" w:cstheme="majorBidi"/>
          <w:color w:val="000000" w:themeColor="text1"/>
        </w:rPr>
        <w:t xml:space="preserve">Establishment: </w:t>
      </w:r>
      <w:r w:rsidRPr="00ED7E61">
        <w:rPr>
          <w:rFonts w:asciiTheme="majorBidi" w:hAnsiTheme="majorBidi" w:cstheme="majorBidi"/>
        </w:rPr>
        <w:t>Production of a viable, self-sustaining population.</w:t>
      </w:r>
    </w:p>
    <w:p w14:paraId="2C41DA96" w14:textId="5CCF4B16" w:rsidR="00CC56A2" w:rsidRPr="00ED7E61" w:rsidRDefault="00C9506C" w:rsidP="00B10F0C">
      <w:pPr>
        <w:pStyle w:val="CBDNormalNumber"/>
        <w:numPr>
          <w:ilvl w:val="0"/>
          <w:numId w:val="75"/>
        </w:numPr>
        <w:tabs>
          <w:tab w:val="clear" w:pos="567"/>
          <w:tab w:val="clear" w:pos="1134"/>
          <w:tab w:val="clear" w:pos="1701"/>
          <w:tab w:val="left" w:pos="560"/>
          <w:tab w:val="left" w:pos="1120"/>
          <w:tab w:val="left" w:pos="1680"/>
        </w:tabs>
        <w:ind w:left="567" w:firstLine="0"/>
        <w:jc w:val="left"/>
        <w:rPr>
          <w:rFonts w:asciiTheme="majorBidi" w:hAnsiTheme="majorBidi" w:cstheme="majorBidi"/>
          <w:lang w:val="en-US"/>
        </w:rPr>
      </w:pPr>
      <w:r w:rsidRPr="00ED7E61">
        <w:rPr>
          <w:rFonts w:asciiTheme="majorBidi" w:hAnsiTheme="majorBidi" w:cstheme="majorBidi"/>
          <w:color w:val="000000" w:themeColor="text1"/>
        </w:rPr>
        <w:t xml:space="preserve">Control: </w:t>
      </w:r>
      <w:r w:rsidRPr="00ED7E61">
        <w:rPr>
          <w:rFonts w:asciiTheme="majorBidi" w:hAnsiTheme="majorBidi" w:cstheme="majorBidi"/>
          <w:lang w:val="en-US"/>
        </w:rPr>
        <w:t>Direct action(s) taken to reduce or suppress the distribution, abundance, spread and impacts of invasive alien species within a defined geographic area (FAO, 1995)</w:t>
      </w:r>
    </w:p>
    <w:p w14:paraId="38ED9DF9" w14:textId="0D50A0B4" w:rsidR="00C9506C" w:rsidRPr="00C76FBC" w:rsidRDefault="00C9506C" w:rsidP="00B10F0C">
      <w:pPr>
        <w:pStyle w:val="CBDNormalNumber"/>
        <w:numPr>
          <w:ilvl w:val="0"/>
          <w:numId w:val="75"/>
        </w:numPr>
        <w:ind w:left="567" w:firstLine="0"/>
        <w:jc w:val="left"/>
        <w:rPr>
          <w:rFonts w:asciiTheme="majorBidi" w:hAnsiTheme="majorBidi" w:cstheme="majorBidi"/>
          <w:lang w:val="en-US"/>
        </w:rPr>
      </w:pPr>
      <w:r w:rsidRPr="00ED7E61">
        <w:rPr>
          <w:rFonts w:asciiTheme="majorBidi" w:hAnsiTheme="majorBidi" w:cstheme="majorBidi"/>
          <w:color w:val="000000" w:themeColor="text1"/>
        </w:rPr>
        <w:t xml:space="preserve">Eradicate: </w:t>
      </w:r>
      <w:r w:rsidRPr="00ED7E61">
        <w:rPr>
          <w:rFonts w:asciiTheme="majorBidi" w:hAnsiTheme="majorBidi" w:cstheme="majorBidi"/>
        </w:rPr>
        <w:t>E</w:t>
      </w:r>
      <w:r w:rsidRPr="00ED7E61">
        <w:rPr>
          <w:rFonts w:asciiTheme="majorBidi" w:hAnsiTheme="majorBidi" w:cstheme="majorBidi"/>
          <w:lang w:val="en-US"/>
        </w:rPr>
        <w:t>liminate/extirpate an invasive alien species from a defined geographic area even in the absence of all preventive measures obviating the necessity for further control measures (Dowdle, 1998). The time period after which an invasive alien species can be considered eradicated depends on the species and location.</w:t>
      </w:r>
    </w:p>
    <w:p w14:paraId="3203B0E7" w14:textId="16FD0F82" w:rsidR="00C9506C" w:rsidRPr="00C76FBC" w:rsidRDefault="00C9506C" w:rsidP="00C76FBC">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52A655EC" w14:textId="445B3E6C" w:rsidR="00C9506C" w:rsidRPr="00ED7E61" w:rsidRDefault="00C9506C" w:rsidP="00B10F0C">
      <w:pPr>
        <w:pStyle w:val="CBDNormalNumber"/>
        <w:numPr>
          <w:ilvl w:val="0"/>
          <w:numId w:val="75"/>
        </w:numPr>
        <w:ind w:left="567" w:firstLine="0"/>
        <w:jc w:val="left"/>
        <w:rPr>
          <w:rFonts w:asciiTheme="majorBidi" w:hAnsiTheme="majorBidi" w:cstheme="majorBidi"/>
          <w:color w:val="000000" w:themeColor="text1"/>
        </w:rPr>
      </w:pPr>
      <w:r w:rsidRPr="00ED7E61">
        <w:rPr>
          <w:rFonts w:asciiTheme="majorBidi" w:hAnsiTheme="majorBidi" w:cstheme="majorBidi"/>
          <w:color w:val="000000" w:themeColor="text1"/>
        </w:rPr>
        <w:t>This indicator is a binary indicator and must be compiled from the answers to three questions:</w:t>
      </w:r>
    </w:p>
    <w:p w14:paraId="00704223" w14:textId="1D86DA45" w:rsidR="00C9506C" w:rsidRPr="00ED7E61" w:rsidRDefault="00C9506C" w:rsidP="00B10F0C">
      <w:pPr>
        <w:pStyle w:val="CBDNormalNumber"/>
        <w:numPr>
          <w:ilvl w:val="1"/>
          <w:numId w:val="75"/>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6.1 Does your country have regulations and processes empowering relevant institutions to implement the measures necessary for a reduction of the introduction and impact of invasive alien species?</w:t>
      </w:r>
    </w:p>
    <w:p w14:paraId="0E6647E1" w14:textId="79D6C729" w:rsidR="00C9506C" w:rsidRPr="00ED7E61" w:rsidRDefault="00C9506C" w:rsidP="00B10F0C">
      <w:pPr>
        <w:pStyle w:val="CBDNormalNumber"/>
        <w:numPr>
          <w:ilvl w:val="1"/>
          <w:numId w:val="75"/>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6.2 Does your country have measures in place for preventing the introduction and establishment of invasive alien species?</w:t>
      </w:r>
    </w:p>
    <w:p w14:paraId="27C376B5" w14:textId="3AF5E330" w:rsidR="00C9506C" w:rsidRPr="00ED7E61" w:rsidRDefault="00C9506C" w:rsidP="00B10F0C">
      <w:pPr>
        <w:pStyle w:val="CBDNormalNumber"/>
        <w:numPr>
          <w:ilvl w:val="1"/>
          <w:numId w:val="75"/>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eastAsiaTheme="majorEastAsia"/>
        </w:rPr>
        <w:t xml:space="preserve">6.3 </w:t>
      </w:r>
      <w:r w:rsidRPr="00ED7E61">
        <w:rPr>
          <w:rStyle w:val="normaltextrun"/>
          <w:rFonts w:asciiTheme="majorBidi" w:eastAsiaTheme="majorEastAsia" w:hAnsiTheme="majorBidi" w:cstheme="majorBidi"/>
        </w:rPr>
        <w:t>Does your country have measures in place for eradicating or controlling invasive alien species?</w:t>
      </w:r>
    </w:p>
    <w:p w14:paraId="10ADC4B7" w14:textId="061980B5" w:rsidR="00C9506C" w:rsidRPr="00ED7E61" w:rsidRDefault="00C9506C" w:rsidP="00B10F0C">
      <w:pPr>
        <w:pStyle w:val="CBDNormalNumber"/>
        <w:numPr>
          <w:ilvl w:val="0"/>
          <w:numId w:val="75"/>
        </w:numPr>
        <w:ind w:left="567" w:firstLine="0"/>
        <w:jc w:val="left"/>
        <w:rPr>
          <w:rFonts w:asciiTheme="majorBidi" w:hAnsiTheme="majorBidi" w:cstheme="majorBidi"/>
          <w:color w:val="000000" w:themeColor="text1"/>
        </w:rPr>
      </w:pPr>
      <w:r w:rsidRPr="00ED7E61">
        <w:rPr>
          <w:rFonts w:asciiTheme="majorBidi" w:hAnsiTheme="majorBidi" w:cstheme="majorBidi"/>
          <w:color w:val="000000" w:themeColor="text1"/>
        </w:rPr>
        <w:t>There are four possible answers to each question</w:t>
      </w:r>
      <w:r w:rsidR="00694186" w:rsidRPr="00ED7E61">
        <w:rPr>
          <w:rStyle w:val="FootnoteReference"/>
          <w:rFonts w:asciiTheme="majorBidi" w:hAnsiTheme="majorBidi" w:cstheme="majorBidi"/>
          <w:color w:val="000000" w:themeColor="text1"/>
        </w:rPr>
        <w:footnoteReference w:id="39"/>
      </w:r>
      <w:r w:rsidRPr="00ED7E61">
        <w:rPr>
          <w:rFonts w:asciiTheme="majorBidi" w:hAnsiTheme="majorBidi" w:cstheme="majorBidi"/>
          <w:color w:val="000000" w:themeColor="text1"/>
        </w:rPr>
        <w:t>:</w:t>
      </w:r>
    </w:p>
    <w:p w14:paraId="7560547A" w14:textId="77777777" w:rsidR="00C9506C" w:rsidRPr="00ED7E61" w:rsidRDefault="00C9506C" w:rsidP="00B10F0C">
      <w:pPr>
        <w:pStyle w:val="CBDNormalNumber"/>
        <w:numPr>
          <w:ilvl w:val="1"/>
          <w:numId w:val="75"/>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No</w:t>
      </w:r>
    </w:p>
    <w:p w14:paraId="0B95CEC6" w14:textId="1B6B522F" w:rsidR="00C9506C" w:rsidRPr="00ED7E61" w:rsidRDefault="00C9506C" w:rsidP="00B10F0C">
      <w:pPr>
        <w:pStyle w:val="CBDNormalNumber"/>
        <w:numPr>
          <w:ilvl w:val="1"/>
          <w:numId w:val="75"/>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Under development</w:t>
      </w:r>
    </w:p>
    <w:p w14:paraId="0D2A3E8D" w14:textId="7F3C91EA" w:rsidR="00C9506C" w:rsidRPr="00ED7E61" w:rsidRDefault="00C9506C" w:rsidP="00B10F0C">
      <w:pPr>
        <w:pStyle w:val="CBDNormalNumber"/>
        <w:numPr>
          <w:ilvl w:val="1"/>
          <w:numId w:val="75"/>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Partially</w:t>
      </w:r>
    </w:p>
    <w:p w14:paraId="438CBA31" w14:textId="18DA355C" w:rsidR="00C9506C" w:rsidRPr="00C76FBC" w:rsidRDefault="00C9506C" w:rsidP="00B10F0C">
      <w:pPr>
        <w:pStyle w:val="CBDNormalNumber"/>
        <w:numPr>
          <w:ilvl w:val="1"/>
          <w:numId w:val="75"/>
        </w:numPr>
        <w:tabs>
          <w:tab w:val="clear" w:pos="567"/>
          <w:tab w:val="clear" w:pos="1134"/>
          <w:tab w:val="clear" w:pos="1701"/>
          <w:tab w:val="clear" w:pos="2268"/>
          <w:tab w:val="left" w:pos="1985"/>
        </w:tabs>
        <w:ind w:left="1276" w:firstLine="56"/>
        <w:rPr>
          <w:rFonts w:eastAsiaTheme="majorEastAsia"/>
        </w:rPr>
      </w:pPr>
      <w:r w:rsidRPr="00ED7E61">
        <w:rPr>
          <w:rStyle w:val="normaltextrun"/>
          <w:rFonts w:eastAsiaTheme="majorEastAsia"/>
        </w:rPr>
        <w:t>Fully</w:t>
      </w:r>
    </w:p>
    <w:p w14:paraId="1F76CE5F" w14:textId="42989644" w:rsidR="00C631BB" w:rsidRPr="00ED7E61" w:rsidRDefault="00C9506C" w:rsidP="00B10F0C">
      <w:pPr>
        <w:pStyle w:val="CBDNormalNumber"/>
        <w:numPr>
          <w:ilvl w:val="0"/>
          <w:numId w:val="75"/>
        </w:numPr>
        <w:ind w:left="567" w:firstLine="0"/>
        <w:jc w:val="left"/>
        <w:rPr>
          <w:rFonts w:asciiTheme="majorBidi" w:hAnsiTheme="majorBidi" w:cstheme="majorBidi"/>
          <w:color w:val="000000"/>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No</w:t>
      </w:r>
      <w:r w:rsidRPr="00ED7E61">
        <w:rPr>
          <w:rFonts w:asciiTheme="majorBidi" w:hAnsiTheme="majorBidi" w:cstheme="majorBidi"/>
          <w:color w:val="000000"/>
          <w:lang w:val="en-US"/>
        </w:rPr>
        <w:t xml:space="preserve">” answer implies that Parties have not put in place any regulation nor processes to reduce the introduction and impact of IAS (6.1) nor measures to prevent the introduction and establishment of IAS (6.2) nor for eradicating and controlling IAS (6.3). Therefore, no regulations nor policy measures exist in the country for the specific requirements of each question in turn and none have been proposed. </w:t>
      </w:r>
    </w:p>
    <w:p w14:paraId="364A4FB4" w14:textId="750B065E" w:rsidR="00C631BB" w:rsidRPr="00ED7E61" w:rsidRDefault="00C9506C" w:rsidP="00B10F0C">
      <w:pPr>
        <w:pStyle w:val="CBDNormalNumber"/>
        <w:numPr>
          <w:ilvl w:val="0"/>
          <w:numId w:val="75"/>
        </w:numPr>
        <w:ind w:left="567" w:firstLine="0"/>
        <w:jc w:val="left"/>
        <w:rPr>
          <w:color w:val="000000" w:themeColor="text1"/>
        </w:rPr>
      </w:pPr>
      <w:r w:rsidRPr="00ED7E61">
        <w:t>An “</w:t>
      </w:r>
      <w:r w:rsidRPr="00FB1598">
        <w:rPr>
          <w:i/>
          <w:iCs/>
        </w:rPr>
        <w:t>Under development</w:t>
      </w:r>
      <w:r w:rsidRPr="00ED7E61">
        <w:t xml:space="preserve">” answer implies a concerted effort at the national level to design and implement </w:t>
      </w:r>
      <w:r w:rsidRPr="00ED7E61">
        <w:rPr>
          <w:color w:val="000000" w:themeColor="text1"/>
        </w:rPr>
        <w:t>regulation on reduction of introduction and impacts</w:t>
      </w:r>
      <w:r w:rsidRPr="00ED7E61">
        <w:t xml:space="preserve"> (</w:t>
      </w:r>
      <w:r w:rsidRPr="00ED7E61">
        <w:rPr>
          <w:color w:val="000000" w:themeColor="text1"/>
        </w:rPr>
        <w:t>6.1</w:t>
      </w:r>
      <w:r w:rsidRPr="00ED7E61">
        <w:t xml:space="preserve">), prevention of introduction and establishment (6.2) or </w:t>
      </w:r>
      <w:r w:rsidRPr="00ED7E61">
        <w:rPr>
          <w:color w:val="000000" w:themeColor="text1"/>
        </w:rPr>
        <w:t>eradication and control of IAS</w:t>
      </w:r>
      <w:r w:rsidRPr="00ED7E61">
        <w:t xml:space="preserve"> (</w:t>
      </w:r>
      <w:r w:rsidRPr="00ED7E61">
        <w:rPr>
          <w:color w:val="000000" w:themeColor="text1"/>
        </w:rPr>
        <w:t>6.3</w:t>
      </w:r>
      <w:r w:rsidRPr="00ED7E61">
        <w:t xml:space="preserve">). For each of these items in turn, national governments must be in the design stage of such measures (e.g. </w:t>
      </w:r>
      <w:r w:rsidRPr="00ED7E61">
        <w:rPr>
          <w:color w:val="000000" w:themeColor="text1"/>
        </w:rPr>
        <w:t>a bill or measures have been proposed</w:t>
      </w:r>
      <w:r w:rsidRPr="00ED7E61">
        <w:t xml:space="preserve">) but none of them have passed nor been implemented yet. The development of these measures must involve legal or governmental </w:t>
      </w:r>
      <w:r w:rsidRPr="00ED7E61">
        <w:rPr>
          <w:color w:val="000000" w:themeColor="text1"/>
        </w:rPr>
        <w:t xml:space="preserve">bodies </w:t>
      </w:r>
      <w:r w:rsidRPr="00ED7E61">
        <w:t>with the authority to implement the proposed measures.</w:t>
      </w:r>
    </w:p>
    <w:p w14:paraId="165A0F8F" w14:textId="6932002D" w:rsidR="00C9506C" w:rsidRPr="00ED7E61" w:rsidRDefault="00C9506C" w:rsidP="00B10F0C">
      <w:pPr>
        <w:pStyle w:val="CBDNormalNumber"/>
        <w:numPr>
          <w:ilvl w:val="0"/>
          <w:numId w:val="75"/>
        </w:numPr>
        <w:ind w:left="567" w:firstLine="0"/>
        <w:jc w:val="left"/>
      </w:pPr>
      <w:r w:rsidRPr="00ED7E61">
        <w:t>A “</w:t>
      </w:r>
      <w:r w:rsidRPr="00FB1598">
        <w:rPr>
          <w:i/>
          <w:iCs/>
        </w:rPr>
        <w:t>Partially</w:t>
      </w:r>
      <w:r w:rsidRPr="00ED7E61">
        <w:t>” answer implies that only some of the elements in the question have been fulfilled. That is:</w:t>
      </w:r>
    </w:p>
    <w:p w14:paraId="18139E2B" w14:textId="77777777" w:rsidR="00C9506C" w:rsidRPr="00ED7E61" w:rsidRDefault="00C9506C" w:rsidP="00B10F0C">
      <w:pPr>
        <w:pStyle w:val="CBDNormalNumber"/>
        <w:numPr>
          <w:ilvl w:val="1"/>
          <w:numId w:val="75"/>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regulation or processes have been put in place but not both (6.1) </w:t>
      </w:r>
    </w:p>
    <w:p w14:paraId="43A79A75" w14:textId="77777777" w:rsidR="00C9506C" w:rsidRPr="00ED7E61" w:rsidRDefault="00C9506C" w:rsidP="00B10F0C">
      <w:pPr>
        <w:pStyle w:val="CBDNormalNumber"/>
        <w:numPr>
          <w:ilvl w:val="1"/>
          <w:numId w:val="75"/>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measures are in place to reduce introduction or impact of IAS but not both (6.1)</w:t>
      </w:r>
    </w:p>
    <w:p w14:paraId="0FDD553F" w14:textId="5ECD1B09" w:rsidR="00C9506C" w:rsidRPr="00ED7E61" w:rsidRDefault="00C9506C" w:rsidP="00B10F0C">
      <w:pPr>
        <w:pStyle w:val="CBDNormalNumber"/>
        <w:numPr>
          <w:ilvl w:val="1"/>
          <w:numId w:val="75"/>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measures are in place to prevent introduction or establishment of IAS but not both (6.2)</w:t>
      </w:r>
    </w:p>
    <w:p w14:paraId="391C0417" w14:textId="77777777" w:rsidR="00C9506C" w:rsidRPr="00ED7E61" w:rsidRDefault="00C9506C" w:rsidP="00B10F0C">
      <w:pPr>
        <w:pStyle w:val="CBDNormalNumber"/>
        <w:numPr>
          <w:ilvl w:val="1"/>
          <w:numId w:val="75"/>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measures are in place to eradicate or control some IAS (6.3)</w:t>
      </w:r>
    </w:p>
    <w:p w14:paraId="02D5B4A9" w14:textId="58880B3D" w:rsidR="00C9506C" w:rsidRPr="00ED7E61" w:rsidRDefault="00C9506C" w:rsidP="00B10F0C">
      <w:pPr>
        <w:pStyle w:val="CBDNormalNumber"/>
        <w:numPr>
          <w:ilvl w:val="0"/>
          <w:numId w:val="75"/>
        </w:numPr>
        <w:ind w:left="567" w:firstLine="0"/>
        <w:jc w:val="left"/>
        <w:rPr>
          <w:rFonts w:asciiTheme="majorBidi" w:hAnsiTheme="majorBidi" w:cstheme="majorBidi"/>
          <w:color w:val="000000" w:themeColor="text1"/>
          <w:lang w:val="en-US"/>
        </w:rPr>
      </w:pPr>
      <w:r w:rsidRPr="00ED7E61">
        <w:rPr>
          <w:rFonts w:asciiTheme="majorBidi" w:hAnsiTheme="majorBidi" w:cstheme="majorBidi"/>
          <w:color w:val="000000" w:themeColor="text1"/>
          <w:lang w:val="en-US"/>
        </w:rPr>
        <w:t>If any one of the above has been put in place, then partial achievement has been reached. Additionally, in the case where a subnational authority may have put in place both of the measures listed in questions 6.1 or 6.2 or to eradicate or control all IAS (6.3) in its area of jurisdiction, Parties may also select “</w:t>
      </w:r>
      <w:r w:rsidRPr="00FB1598">
        <w:rPr>
          <w:rFonts w:asciiTheme="majorBidi" w:hAnsiTheme="majorBidi" w:cstheme="majorBidi"/>
          <w:i/>
          <w:iCs/>
          <w:color w:val="000000" w:themeColor="text1"/>
          <w:lang w:val="en-US"/>
        </w:rPr>
        <w:t>Partially</w:t>
      </w:r>
      <w:r w:rsidRPr="00ED7E61">
        <w:rPr>
          <w:rFonts w:asciiTheme="majorBidi" w:hAnsiTheme="majorBidi" w:cstheme="majorBidi"/>
          <w:color w:val="000000" w:themeColor="text1"/>
          <w:lang w:val="en-US"/>
        </w:rPr>
        <w:t>” to represent the efforts being done in their country. In this case however, partial achievement of a question at the subnational level does not reach the threshold for Parties to select “</w:t>
      </w:r>
      <w:r w:rsidRPr="00FB1598">
        <w:rPr>
          <w:rFonts w:asciiTheme="majorBidi" w:hAnsiTheme="majorBidi" w:cstheme="majorBidi"/>
          <w:i/>
          <w:iCs/>
          <w:color w:val="000000" w:themeColor="text1"/>
          <w:lang w:val="en-US"/>
        </w:rPr>
        <w:t>Partially</w:t>
      </w:r>
      <w:r w:rsidRPr="00ED7E61">
        <w:rPr>
          <w:rFonts w:asciiTheme="majorBidi" w:hAnsiTheme="majorBidi" w:cstheme="majorBidi"/>
          <w:color w:val="000000" w:themeColor="text1"/>
          <w:lang w:val="en-US"/>
        </w:rPr>
        <w:t>” and Parties should revert to the “</w:t>
      </w:r>
      <w:r w:rsidRPr="00FB1598">
        <w:rPr>
          <w:rFonts w:asciiTheme="majorBidi" w:hAnsiTheme="majorBidi" w:cstheme="majorBidi"/>
          <w:i/>
          <w:iCs/>
          <w:color w:val="000000" w:themeColor="text1"/>
          <w:lang w:val="en-US"/>
        </w:rPr>
        <w:t>Under development</w:t>
      </w:r>
      <w:r w:rsidRPr="00ED7E61">
        <w:rPr>
          <w:rFonts w:asciiTheme="majorBidi" w:hAnsiTheme="majorBidi" w:cstheme="majorBidi"/>
          <w:color w:val="000000" w:themeColor="text1"/>
          <w:lang w:val="en-US"/>
        </w:rPr>
        <w:t>” answer.</w:t>
      </w:r>
    </w:p>
    <w:p w14:paraId="677FAAF8" w14:textId="43AD09C9" w:rsidR="00C9506C" w:rsidRPr="00ED7E61" w:rsidRDefault="00C9506C" w:rsidP="00B10F0C">
      <w:pPr>
        <w:pStyle w:val="CBDNormalNumber"/>
        <w:numPr>
          <w:ilvl w:val="0"/>
          <w:numId w:val="75"/>
        </w:numPr>
        <w:ind w:left="567" w:firstLine="0"/>
        <w:jc w:val="left"/>
        <w:rPr>
          <w:rFonts w:asciiTheme="majorBidi" w:hAnsiTheme="majorBidi" w:cstheme="majorBidi"/>
          <w:color w:val="000000" w:themeColor="text1"/>
          <w:lang w:val="en-US"/>
        </w:rPr>
      </w:pPr>
      <w:r w:rsidRPr="00ED7E61">
        <w:rPr>
          <w:rFonts w:asciiTheme="majorBidi" w:hAnsiTheme="majorBidi" w:cstheme="majorBidi"/>
          <w:color w:val="000000" w:themeColor="text1"/>
          <w:lang w:val="en-US"/>
        </w:rPr>
        <w:t>A “</w:t>
      </w:r>
      <w:r w:rsidRPr="00FB1598">
        <w:rPr>
          <w:rFonts w:asciiTheme="majorBidi" w:hAnsiTheme="majorBidi" w:cstheme="majorBidi"/>
          <w:i/>
          <w:iCs/>
          <w:color w:val="000000" w:themeColor="text1"/>
          <w:lang w:val="en-US"/>
        </w:rPr>
        <w:t>Fully</w:t>
      </w:r>
      <w:r w:rsidRPr="00ED7E61">
        <w:rPr>
          <w:rFonts w:asciiTheme="majorBidi" w:hAnsiTheme="majorBidi" w:cstheme="majorBidi"/>
          <w:color w:val="000000" w:themeColor="text1"/>
          <w:lang w:val="en-US"/>
        </w:rPr>
        <w:t>” answer implies that all the conditions outlined in “</w:t>
      </w:r>
      <w:r w:rsidRPr="00FB1598">
        <w:rPr>
          <w:rFonts w:asciiTheme="majorBidi" w:hAnsiTheme="majorBidi" w:cstheme="majorBidi"/>
          <w:i/>
          <w:iCs/>
          <w:color w:val="000000" w:themeColor="text1"/>
          <w:lang w:val="en-US"/>
        </w:rPr>
        <w:t>Partially</w:t>
      </w:r>
      <w:r w:rsidRPr="00ED7E61">
        <w:rPr>
          <w:rFonts w:asciiTheme="majorBidi" w:hAnsiTheme="majorBidi" w:cstheme="majorBidi"/>
          <w:color w:val="000000" w:themeColor="text1"/>
          <w:lang w:val="en-US"/>
        </w:rPr>
        <w:t>” have been met. Namely, for 6.1 that both regulation and processes are in place to empower institutions in reducing both introduction and the impact of IAS and for 6.2 that measures are in place to prevent the introduction and establishment of IAS. For 6.3 measures are in place to control or eradicate all IAS of particular concern for the Party. If any one element is missing, then only partial achievement has been reached. For all questions, the regulations, processes and measures must be in place at the national level. All measures put in place by governments need to be resourced (financial and human) to count as “</w:t>
      </w:r>
      <w:r w:rsidRPr="00FB1598">
        <w:rPr>
          <w:rFonts w:asciiTheme="majorBidi" w:hAnsiTheme="majorBidi" w:cstheme="majorBidi"/>
          <w:i/>
          <w:iCs/>
          <w:color w:val="000000" w:themeColor="text1"/>
          <w:lang w:val="en-US"/>
        </w:rPr>
        <w:t>Fully</w:t>
      </w:r>
      <w:r w:rsidRPr="00ED7E61">
        <w:rPr>
          <w:rFonts w:asciiTheme="majorBidi" w:hAnsiTheme="majorBidi" w:cstheme="majorBidi"/>
          <w:color w:val="000000" w:themeColor="text1"/>
          <w:lang w:val="en-US"/>
        </w:rPr>
        <w:t>”.</w:t>
      </w:r>
    </w:p>
    <w:p w14:paraId="1ACA9306" w14:textId="77777777"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Bidi" w:hAnsiTheme="majorBidi" w:cstheme="majorBidi"/>
          <w:sz w:val="22"/>
          <w:szCs w:val="22"/>
        </w:rPr>
      </w:pPr>
    </w:p>
    <w:p w14:paraId="77472602" w14:textId="77777777" w:rsidR="00C9506C" w:rsidRPr="00ED7E61" w:rsidRDefault="00C9506C">
      <w:pPr>
        <w:rPr>
          <w:rStyle w:val="normaltextrun"/>
          <w:rFonts w:asciiTheme="majorBidi" w:eastAsiaTheme="majorEastAsia" w:hAnsiTheme="majorBidi" w:cstheme="majorBidi"/>
          <w:b/>
          <w:sz w:val="28"/>
          <w:szCs w:val="28"/>
        </w:rPr>
      </w:pPr>
      <w:r w:rsidRPr="00ED7E61">
        <w:rPr>
          <w:rStyle w:val="normaltextrun"/>
        </w:rPr>
        <w:br w:type="page"/>
      </w:r>
    </w:p>
    <w:p w14:paraId="12CA856B" w14:textId="212C7402" w:rsidR="00756F0F" w:rsidRPr="00ED7E61" w:rsidRDefault="00756F0F" w:rsidP="00501E19">
      <w:pPr>
        <w:pStyle w:val="Heading3"/>
      </w:pPr>
      <w:bookmarkStart w:id="49" w:name="_Toc178285862"/>
      <w:r w:rsidRPr="00ED7E61">
        <w:rPr>
          <w:rStyle w:val="normaltextrun"/>
        </w:rPr>
        <w:t>GBF indicator metadata</w:t>
      </w:r>
      <w:r w:rsidR="002946B5" w:rsidRPr="00ED7E61">
        <w:rPr>
          <w:rStyle w:val="normaltextrun"/>
        </w:rPr>
        <w:t>: 7.1 Index of coastal eutrophication potential</w:t>
      </w:r>
      <w:r w:rsidR="00CE2041" w:rsidRPr="00ED7E61">
        <w:rPr>
          <w:rStyle w:val="FootnoteReference"/>
        </w:rPr>
        <w:footnoteReference w:id="40"/>
      </w:r>
      <w:bookmarkEnd w:id="49"/>
      <w:r w:rsidRPr="00ED7E61">
        <w:rPr>
          <w:rStyle w:val="normaltextrun"/>
        </w:rPr>
        <w:t> </w:t>
      </w:r>
      <w:r w:rsidRPr="00ED7E61">
        <w:rPr>
          <w:rStyle w:val="eop"/>
        </w:rPr>
        <w:t> </w:t>
      </w:r>
    </w:p>
    <w:p w14:paraId="7E6D1CD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3AF8E63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b/>
          <w:bCs/>
          <w:sz w:val="22"/>
          <w:szCs w:val="22"/>
        </w:rPr>
        <w:t> </w:t>
      </w:r>
    </w:p>
    <w:p w14:paraId="79A55C3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shd w:val="clear" w:color="auto" w:fill="FFFFFF"/>
          <w:lang w:val="en-GB"/>
        </w:rPr>
        <w:t>7.1 Index of coastal eutrophication potential</w:t>
      </w:r>
      <w:r w:rsidRPr="00ED7E61">
        <w:rPr>
          <w:rStyle w:val="eop"/>
          <w:rFonts w:asciiTheme="majorBidi" w:eastAsiaTheme="majorEastAsia" w:hAnsiTheme="majorBidi" w:cstheme="majorBidi"/>
          <w:sz w:val="22"/>
          <w:szCs w:val="22"/>
        </w:rPr>
        <w:t> </w:t>
      </w:r>
    </w:p>
    <w:p w14:paraId="57CEC02E" w14:textId="77777777" w:rsidR="00756F0F" w:rsidRPr="00ED7E61" w:rsidRDefault="00756F0F" w:rsidP="00471715">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b/>
          <w:bCs/>
          <w:sz w:val="22"/>
          <w:szCs w:val="22"/>
        </w:rPr>
        <w:t> </w:t>
      </w:r>
    </w:p>
    <w:p w14:paraId="03814F6F" w14:textId="45FFE34E" w:rsidR="00775978" w:rsidRPr="00ED7E61" w:rsidRDefault="006B30FE" w:rsidP="00395866">
      <w:pPr>
        <w:pStyle w:val="paragraph"/>
        <w:spacing w:before="0" w:beforeAutospacing="0" w:after="0" w:afterAutospacing="0"/>
        <w:textAlignment w:val="baseline"/>
        <w:rPr>
          <w:rStyle w:val="normaltextrun"/>
          <w:rFonts w:asciiTheme="majorBidi" w:eastAsiaTheme="majorEastAsia" w:hAnsiTheme="majorBidi" w:cstheme="majorBidi"/>
          <w:sz w:val="22"/>
          <w:szCs w:val="22"/>
          <w:lang w:val="en-GB"/>
        </w:rPr>
      </w:pPr>
      <w:r>
        <w:rPr>
          <w:rStyle w:val="normaltextrun"/>
          <w:rFonts w:asciiTheme="majorBidi" w:eastAsiaTheme="majorEastAsia" w:hAnsiTheme="majorBidi" w:cstheme="majorBidi"/>
          <w:sz w:val="22"/>
          <w:szCs w:val="22"/>
          <w:lang w:val="en-GB"/>
        </w:rPr>
        <w:t>September</w:t>
      </w:r>
      <w:r w:rsidRPr="00ED7E61">
        <w:rPr>
          <w:rStyle w:val="normaltextrun"/>
          <w:rFonts w:asciiTheme="majorBidi" w:eastAsiaTheme="majorEastAsia" w:hAnsiTheme="majorBidi" w:cstheme="majorBidi"/>
          <w:sz w:val="22"/>
          <w:szCs w:val="22"/>
          <w:lang w:val="en-GB"/>
        </w:rPr>
        <w:t xml:space="preserve"> </w:t>
      </w:r>
      <w:r w:rsidR="00775978" w:rsidRPr="00ED7E61">
        <w:rPr>
          <w:rStyle w:val="normaltextrun"/>
          <w:rFonts w:asciiTheme="majorBidi" w:eastAsiaTheme="majorEastAsia" w:hAnsiTheme="majorBidi" w:cstheme="majorBidi"/>
          <w:sz w:val="22"/>
          <w:szCs w:val="22"/>
          <w:lang w:val="en-GB"/>
        </w:rPr>
        <w:t xml:space="preserve">2024 </w:t>
      </w:r>
    </w:p>
    <w:p w14:paraId="3799163C" w14:textId="4A2B8B06" w:rsidR="00756F0F" w:rsidRPr="00ED7E61" w:rsidRDefault="00756F0F" w:rsidP="00471715">
      <w:pPr>
        <w:pStyle w:val="paragraph"/>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b/>
          <w:bCs/>
          <w:sz w:val="22"/>
          <w:szCs w:val="22"/>
        </w:rPr>
        <w:t> </w:t>
      </w:r>
    </w:p>
    <w:p w14:paraId="06F6DD48" w14:textId="77777777" w:rsidR="00756F0F" w:rsidRPr="00ED7E61" w:rsidRDefault="00756F0F" w:rsidP="00471715">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4793D2B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0D06D1B5" w14:textId="77777777" w:rsidR="00756F0F" w:rsidRPr="00ED7E61" w:rsidRDefault="00756F0F" w:rsidP="00471715">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p w14:paraId="59A7B47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Headline Indicator for </w:t>
      </w:r>
      <w:r w:rsidRPr="00ED7E61">
        <w:rPr>
          <w:rStyle w:val="normaltextrun"/>
          <w:rFonts w:asciiTheme="majorBidi" w:eastAsiaTheme="majorEastAsia" w:hAnsiTheme="majorBidi" w:cstheme="majorBidi"/>
          <w:sz w:val="22"/>
          <w:szCs w:val="22"/>
          <w:shd w:val="clear" w:color="auto" w:fill="FFFFFF"/>
          <w:lang w:val="en-GB"/>
        </w:rPr>
        <w:t>Target 7: Reduce pollution risks and the negative impact of pollution from all sources by 2030, to levels that are not harmful to biodiversity and ecosystem functions and services, considering cumulative effects, including: (a) by reducing excess nutrients lost to the environment by at least half, including through more efficient nutrient cycling and use; (b) by reducing the overall risk from pesticides and highly hazardous chemicals by at least half, including through integrated pest management, based on science, taking into account food security and livelihoods; and (c) by preventing, reducing, and working towards eliminating plastic pollution. </w:t>
      </w:r>
      <w:r w:rsidRPr="00ED7E61">
        <w:rPr>
          <w:rStyle w:val="eop"/>
          <w:rFonts w:asciiTheme="majorBidi" w:eastAsiaTheme="majorEastAsia" w:hAnsiTheme="majorBidi" w:cstheme="majorBidi"/>
          <w:sz w:val="22"/>
          <w:szCs w:val="22"/>
        </w:rPr>
        <w:t> </w:t>
      </w:r>
    </w:p>
    <w:p w14:paraId="11C31D6A" w14:textId="77777777" w:rsidR="00756F0F" w:rsidRPr="00ED7E61" w:rsidRDefault="00756F0F" w:rsidP="00471715">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5375E4EB" w14:textId="6318B2D0" w:rsidR="00756F0F" w:rsidRPr="00921920" w:rsidRDefault="00756F0F" w:rsidP="00B10F0C">
      <w:pPr>
        <w:pStyle w:val="CBDNormalNumber"/>
        <w:numPr>
          <w:ilvl w:val="0"/>
          <w:numId w:val="76"/>
        </w:numPr>
        <w:tabs>
          <w:tab w:val="clear" w:pos="1701"/>
        </w:tabs>
        <w:ind w:left="567" w:firstLine="0"/>
        <w:rPr>
          <w:rFonts w:asciiTheme="majorBidi" w:hAnsiTheme="majorBidi" w:cstheme="majorBidi"/>
          <w:color w:val="000000" w:themeColor="text1"/>
          <w:lang w:val="en-US"/>
        </w:rPr>
      </w:pPr>
      <w:r w:rsidRPr="00ED7E61">
        <w:rPr>
          <w:color w:val="000000" w:themeColor="text1"/>
          <w:lang w:val="en-US"/>
        </w:rPr>
        <w:t>Coastal areas are areas of high productivity where inputs from land, sea, air and people converge. With over 40 percent of the human population residing in coastal areas, ecosystem degradation in these areas can have disproportionate effects on society (IGOS, 2006). One of the largest pressures on coastal environments is eutrophication, resulting primarily from land-based nutrient input from agricultural runoff and domestic wastewater discharge. Coastal eutrophication can lead to serious damage to marine ecosystems and vital sea habitats and can cause the spread of harmful algal blooms.  </w:t>
      </w:r>
    </w:p>
    <w:p w14:paraId="6CDBE6E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4B37375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2051E5D6"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The</w:t>
      </w:r>
      <w:r w:rsidRPr="00ED7E61">
        <w:rPr>
          <w:rStyle w:val="normaltextrun"/>
          <w:rFonts w:asciiTheme="majorBidi" w:eastAsiaTheme="majorEastAsia" w:hAnsiTheme="majorBidi" w:cstheme="majorBidi"/>
        </w:rPr>
        <w:t xml:space="preserve"> indicator is a subset of the indicators used for SDG 14.1.1. The indicator </w:t>
      </w:r>
      <w:r w:rsidRPr="00ED7E61">
        <w:rPr>
          <w:rStyle w:val="normaltextrun"/>
          <w:rFonts w:asciiTheme="majorBidi" w:eastAsiaTheme="majorEastAsia" w:hAnsiTheme="majorBidi" w:cstheme="majorBidi"/>
          <w:color w:val="000000"/>
        </w:rPr>
        <w:t>aims to measure the contribution to coastal eutrophication from countries and the state of coastal eutrophication. Therefore, two levels of indicators are recommended</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00EAFA31" w14:textId="77777777" w:rsidR="00756F0F" w:rsidRPr="00ED7E61" w:rsidRDefault="00756F0F" w:rsidP="00B10F0C">
      <w:pPr>
        <w:pStyle w:val="CBDNormalNumber"/>
        <w:numPr>
          <w:ilvl w:val="1"/>
          <w:numId w:val="7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Level 1: Globally available data from earth observations and modelling </w:t>
      </w:r>
      <w:r w:rsidRPr="00ED7E61">
        <w:rPr>
          <w:rStyle w:val="normaltextrun"/>
        </w:rPr>
        <w:t> </w:t>
      </w:r>
    </w:p>
    <w:p w14:paraId="518CED29" w14:textId="77777777" w:rsidR="00756F0F" w:rsidRPr="00ED7E61" w:rsidRDefault="00756F0F" w:rsidP="00B10F0C">
      <w:pPr>
        <w:pStyle w:val="CBDNormalNumber"/>
        <w:numPr>
          <w:ilvl w:val="1"/>
          <w:numId w:val="76"/>
        </w:numPr>
        <w:tabs>
          <w:tab w:val="clear" w:pos="567"/>
          <w:tab w:val="clear" w:pos="1134"/>
          <w:tab w:val="clear" w:pos="2268"/>
          <w:tab w:val="left" w:pos="1985"/>
        </w:tabs>
        <w:ind w:left="567" w:firstLine="567"/>
        <w:rPr>
          <w:rStyle w:val="normaltextrun"/>
        </w:rPr>
      </w:pPr>
      <w:r w:rsidRPr="00ED7E61">
        <w:rPr>
          <w:rStyle w:val="normaltextrun"/>
          <w:rFonts w:eastAsiaTheme="majorEastAsia"/>
        </w:rPr>
        <w:t>Level 2: National data collected from countries (through the relevant Regional Seas Programme where applicable, that is, for countries that are a member of a Regional Seas Programme) </w:t>
      </w:r>
      <w:r w:rsidRPr="00ED7E61">
        <w:rPr>
          <w:rStyle w:val="normaltextrun"/>
        </w:rPr>
        <w:t> </w:t>
      </w:r>
    </w:p>
    <w:p w14:paraId="3A8267EA" w14:textId="77777777" w:rsidR="00BC612D" w:rsidRPr="00ED7E61" w:rsidRDefault="00BC612D" w:rsidP="00395866">
      <w:pPr>
        <w:pStyle w:val="paragraph"/>
        <w:spacing w:before="0" w:beforeAutospacing="0" w:after="0" w:afterAutospacing="0"/>
        <w:textAlignment w:val="baseline"/>
        <w:rPr>
          <w:rFonts w:asciiTheme="majorBidi" w:hAnsiTheme="majorBidi" w:cstheme="majorBidi"/>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5"/>
        <w:gridCol w:w="1050"/>
        <w:gridCol w:w="1035"/>
      </w:tblGrid>
      <w:tr w:rsidR="00756F0F" w:rsidRPr="00921920" w14:paraId="3B042A29" w14:textId="77777777" w:rsidTr="00756F0F">
        <w:trPr>
          <w:trHeight w:val="300"/>
        </w:trPr>
        <w:tc>
          <w:tcPr>
            <w:tcW w:w="6915" w:type="dxa"/>
            <w:tcBorders>
              <w:top w:val="single" w:sz="6" w:space="0" w:color="666666"/>
              <w:left w:val="single" w:sz="6" w:space="0" w:color="666666"/>
              <w:bottom w:val="single" w:sz="12" w:space="0" w:color="666666"/>
              <w:right w:val="single" w:sz="6" w:space="0" w:color="666666"/>
            </w:tcBorders>
            <w:shd w:val="clear" w:color="auto" w:fill="auto"/>
            <w:hideMark/>
          </w:tcPr>
          <w:p w14:paraId="2673230D" w14:textId="77777777" w:rsidR="00756F0F" w:rsidRPr="00921920" w:rsidRDefault="00756F0F" w:rsidP="00395866">
            <w:pPr>
              <w:pStyle w:val="paragraph"/>
              <w:spacing w:before="0" w:beforeAutospacing="0" w:after="0" w:afterAutospacing="0"/>
              <w:jc w:val="center"/>
              <w:textAlignment w:val="baseline"/>
              <w:rPr>
                <w:rFonts w:asciiTheme="majorBidi" w:hAnsiTheme="majorBidi" w:cstheme="majorBidi"/>
                <w:i/>
                <w:iCs/>
                <w:color w:val="000000"/>
                <w:sz w:val="22"/>
                <w:szCs w:val="22"/>
              </w:rPr>
            </w:pPr>
            <w:r w:rsidRPr="00921920">
              <w:rPr>
                <w:rStyle w:val="normaltextrun"/>
                <w:rFonts w:asciiTheme="majorBidi" w:eastAsiaTheme="majorEastAsia" w:hAnsiTheme="majorBidi" w:cstheme="majorBidi"/>
                <w:i/>
                <w:iCs/>
                <w:color w:val="000000"/>
                <w:sz w:val="22"/>
                <w:szCs w:val="22"/>
                <w:lang w:val="en-GB"/>
              </w:rPr>
              <w:t>Monitoring parameters</w:t>
            </w:r>
            <w:r w:rsidRPr="00921920">
              <w:rPr>
                <w:rStyle w:val="eop"/>
                <w:rFonts w:asciiTheme="majorBidi" w:eastAsiaTheme="majorEastAsia" w:hAnsiTheme="majorBidi" w:cstheme="majorBidi"/>
                <w:i/>
                <w:iCs/>
                <w:color w:val="000000"/>
                <w:sz w:val="22"/>
                <w:szCs w:val="22"/>
              </w:rPr>
              <w:t> </w:t>
            </w:r>
          </w:p>
        </w:tc>
        <w:tc>
          <w:tcPr>
            <w:tcW w:w="1050" w:type="dxa"/>
            <w:tcBorders>
              <w:top w:val="single" w:sz="6" w:space="0" w:color="666666"/>
              <w:left w:val="single" w:sz="6" w:space="0" w:color="666666"/>
              <w:bottom w:val="single" w:sz="12" w:space="0" w:color="666666"/>
              <w:right w:val="single" w:sz="6" w:space="0" w:color="666666"/>
            </w:tcBorders>
            <w:shd w:val="clear" w:color="auto" w:fill="auto"/>
            <w:hideMark/>
          </w:tcPr>
          <w:p w14:paraId="2A1470E8" w14:textId="77777777" w:rsidR="00756F0F" w:rsidRPr="00921920" w:rsidRDefault="00756F0F" w:rsidP="00395866">
            <w:pPr>
              <w:pStyle w:val="paragraph"/>
              <w:spacing w:before="0" w:beforeAutospacing="0" w:after="0" w:afterAutospacing="0"/>
              <w:jc w:val="center"/>
              <w:textAlignment w:val="baseline"/>
              <w:rPr>
                <w:rFonts w:asciiTheme="majorBidi" w:hAnsiTheme="majorBidi" w:cstheme="majorBidi"/>
                <w:i/>
                <w:iCs/>
                <w:color w:val="000000"/>
                <w:sz w:val="22"/>
                <w:szCs w:val="22"/>
              </w:rPr>
            </w:pPr>
            <w:r w:rsidRPr="00921920">
              <w:rPr>
                <w:rStyle w:val="normaltextrun"/>
                <w:rFonts w:asciiTheme="majorBidi" w:eastAsiaTheme="majorEastAsia" w:hAnsiTheme="majorBidi" w:cstheme="majorBidi"/>
                <w:i/>
                <w:iCs/>
                <w:color w:val="000000"/>
                <w:sz w:val="22"/>
                <w:szCs w:val="22"/>
                <w:lang w:val="en-GB"/>
              </w:rPr>
              <w:t>Level 1</w:t>
            </w:r>
            <w:r w:rsidRPr="00921920">
              <w:rPr>
                <w:rStyle w:val="eop"/>
                <w:rFonts w:asciiTheme="majorBidi" w:eastAsiaTheme="majorEastAsia" w:hAnsiTheme="majorBidi" w:cstheme="majorBidi"/>
                <w:i/>
                <w:iCs/>
                <w:color w:val="000000"/>
                <w:sz w:val="22"/>
                <w:szCs w:val="22"/>
              </w:rPr>
              <w:t> </w:t>
            </w:r>
          </w:p>
        </w:tc>
        <w:tc>
          <w:tcPr>
            <w:tcW w:w="1035" w:type="dxa"/>
            <w:tcBorders>
              <w:top w:val="single" w:sz="6" w:space="0" w:color="666666"/>
              <w:left w:val="single" w:sz="6" w:space="0" w:color="666666"/>
              <w:bottom w:val="single" w:sz="12" w:space="0" w:color="666666"/>
              <w:right w:val="single" w:sz="6" w:space="0" w:color="666666"/>
            </w:tcBorders>
            <w:shd w:val="clear" w:color="auto" w:fill="auto"/>
            <w:hideMark/>
          </w:tcPr>
          <w:p w14:paraId="6D3C3D2F" w14:textId="77777777" w:rsidR="00756F0F" w:rsidRPr="00921920" w:rsidRDefault="00756F0F" w:rsidP="00395866">
            <w:pPr>
              <w:pStyle w:val="paragraph"/>
              <w:spacing w:before="0" w:beforeAutospacing="0" w:after="0" w:afterAutospacing="0"/>
              <w:jc w:val="center"/>
              <w:textAlignment w:val="baseline"/>
              <w:rPr>
                <w:rFonts w:asciiTheme="majorBidi" w:hAnsiTheme="majorBidi" w:cstheme="majorBidi"/>
                <w:i/>
                <w:iCs/>
                <w:color w:val="000000"/>
                <w:sz w:val="22"/>
                <w:szCs w:val="22"/>
              </w:rPr>
            </w:pPr>
            <w:r w:rsidRPr="00921920">
              <w:rPr>
                <w:rStyle w:val="normaltextrun"/>
                <w:rFonts w:asciiTheme="majorBidi" w:eastAsiaTheme="majorEastAsia" w:hAnsiTheme="majorBidi" w:cstheme="majorBidi"/>
                <w:i/>
                <w:iCs/>
                <w:color w:val="000000"/>
                <w:sz w:val="22"/>
                <w:szCs w:val="22"/>
                <w:lang w:val="en-GB"/>
              </w:rPr>
              <w:t>Level 2</w:t>
            </w:r>
            <w:r w:rsidRPr="00921920">
              <w:rPr>
                <w:rStyle w:val="eop"/>
                <w:rFonts w:asciiTheme="majorBidi" w:eastAsiaTheme="majorEastAsia" w:hAnsiTheme="majorBidi" w:cstheme="majorBidi"/>
                <w:i/>
                <w:iCs/>
                <w:color w:val="000000"/>
                <w:sz w:val="22"/>
                <w:szCs w:val="22"/>
              </w:rPr>
              <w:t> </w:t>
            </w:r>
          </w:p>
        </w:tc>
      </w:tr>
      <w:tr w:rsidR="00756F0F" w:rsidRPr="00ED7E61" w14:paraId="5559FAD9" w14:textId="77777777" w:rsidTr="00756F0F">
        <w:trPr>
          <w:trHeight w:val="300"/>
        </w:trPr>
        <w:tc>
          <w:tcPr>
            <w:tcW w:w="6915" w:type="dxa"/>
            <w:tcBorders>
              <w:top w:val="single" w:sz="6" w:space="0" w:color="666666"/>
              <w:left w:val="single" w:sz="6" w:space="0" w:color="666666"/>
              <w:bottom w:val="single" w:sz="6" w:space="0" w:color="666666"/>
              <w:right w:val="single" w:sz="6" w:space="0" w:color="666666"/>
            </w:tcBorders>
            <w:shd w:val="clear" w:color="auto" w:fill="CCCCCC"/>
            <w:hideMark/>
          </w:tcPr>
          <w:p w14:paraId="29D24AE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color w:val="000000"/>
                <w:sz w:val="22"/>
                <w:szCs w:val="22"/>
              </w:rPr>
            </w:pPr>
            <w:r w:rsidRPr="00ED7E61">
              <w:rPr>
                <w:rStyle w:val="normaltextrun"/>
                <w:rFonts w:asciiTheme="majorBidi" w:eastAsiaTheme="majorEastAsia" w:hAnsiTheme="majorBidi" w:cstheme="majorBidi"/>
                <w:b/>
                <w:bCs/>
                <w:color w:val="000000"/>
                <w:sz w:val="22"/>
                <w:szCs w:val="22"/>
                <w:lang w:val="en-US"/>
              </w:rPr>
              <w:t>Indicator for Coastal Eutrophication Potential (N and P loading)</w:t>
            </w:r>
            <w:r w:rsidRPr="00ED7E61">
              <w:rPr>
                <w:rStyle w:val="eop"/>
                <w:rFonts w:asciiTheme="majorBidi" w:eastAsiaTheme="majorEastAsia" w:hAnsiTheme="majorBidi" w:cstheme="majorBidi"/>
                <w:b/>
                <w:bCs/>
                <w:color w:val="000000"/>
                <w:sz w:val="22"/>
                <w:szCs w:val="22"/>
              </w:rPr>
              <w:t> </w:t>
            </w:r>
          </w:p>
        </w:tc>
        <w:tc>
          <w:tcPr>
            <w:tcW w:w="1050" w:type="dxa"/>
            <w:tcBorders>
              <w:top w:val="single" w:sz="6" w:space="0" w:color="666666"/>
              <w:left w:val="single" w:sz="6" w:space="0" w:color="666666"/>
              <w:bottom w:val="single" w:sz="6" w:space="0" w:color="666666"/>
              <w:right w:val="single" w:sz="6" w:space="0" w:color="666666"/>
            </w:tcBorders>
            <w:shd w:val="clear" w:color="auto" w:fill="CCCCCC"/>
            <w:hideMark/>
          </w:tcPr>
          <w:p w14:paraId="03912C62"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color w:val="000000"/>
                <w:sz w:val="22"/>
                <w:szCs w:val="22"/>
              </w:rPr>
            </w:pPr>
            <w:r w:rsidRPr="00ED7E61">
              <w:rPr>
                <w:rStyle w:val="normaltextrun"/>
                <w:rFonts w:asciiTheme="majorBidi" w:eastAsiaTheme="majorEastAsia" w:hAnsiTheme="majorBidi" w:cstheme="majorBidi"/>
                <w:color w:val="000000"/>
                <w:sz w:val="22"/>
                <w:szCs w:val="22"/>
                <w:lang w:val="en-GB"/>
              </w:rPr>
              <w:t>X</w:t>
            </w:r>
            <w:r w:rsidRPr="00ED7E61">
              <w:rPr>
                <w:rStyle w:val="eop"/>
                <w:rFonts w:asciiTheme="majorBidi" w:eastAsiaTheme="majorEastAsia" w:hAnsiTheme="majorBidi" w:cstheme="majorBidi"/>
                <w:color w:val="000000"/>
                <w:sz w:val="22"/>
                <w:szCs w:val="22"/>
              </w:rPr>
              <w:t> </w:t>
            </w:r>
          </w:p>
        </w:tc>
        <w:tc>
          <w:tcPr>
            <w:tcW w:w="1035" w:type="dxa"/>
            <w:tcBorders>
              <w:top w:val="single" w:sz="6" w:space="0" w:color="666666"/>
              <w:left w:val="single" w:sz="6" w:space="0" w:color="666666"/>
              <w:bottom w:val="single" w:sz="6" w:space="0" w:color="666666"/>
              <w:right w:val="single" w:sz="6" w:space="0" w:color="666666"/>
            </w:tcBorders>
            <w:shd w:val="clear" w:color="auto" w:fill="CCCCCC"/>
            <w:hideMark/>
          </w:tcPr>
          <w:p w14:paraId="73606D9C"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color w:val="000000"/>
                <w:sz w:val="22"/>
                <w:szCs w:val="22"/>
              </w:rPr>
            </w:pPr>
            <w:r w:rsidRPr="00ED7E61">
              <w:rPr>
                <w:rStyle w:val="eop"/>
                <w:rFonts w:asciiTheme="majorBidi" w:eastAsiaTheme="majorEastAsia" w:hAnsiTheme="majorBidi" w:cstheme="majorBidi"/>
                <w:color w:val="000000"/>
                <w:sz w:val="22"/>
                <w:szCs w:val="22"/>
              </w:rPr>
              <w:t> </w:t>
            </w:r>
          </w:p>
        </w:tc>
      </w:tr>
      <w:tr w:rsidR="00756F0F" w:rsidRPr="00ED7E61" w14:paraId="04831E1D" w14:textId="77777777" w:rsidTr="00756F0F">
        <w:trPr>
          <w:trHeight w:val="300"/>
        </w:trPr>
        <w:tc>
          <w:tcPr>
            <w:tcW w:w="6915" w:type="dxa"/>
            <w:tcBorders>
              <w:top w:val="single" w:sz="6" w:space="0" w:color="666666"/>
              <w:left w:val="single" w:sz="6" w:space="0" w:color="666666"/>
              <w:bottom w:val="single" w:sz="6" w:space="0" w:color="666666"/>
              <w:right w:val="single" w:sz="6" w:space="0" w:color="666666"/>
            </w:tcBorders>
            <w:shd w:val="clear" w:color="auto" w:fill="auto"/>
            <w:hideMark/>
          </w:tcPr>
          <w:p w14:paraId="77F9365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color w:val="000000"/>
                <w:sz w:val="22"/>
                <w:szCs w:val="22"/>
              </w:rPr>
            </w:pPr>
            <w:r w:rsidRPr="00ED7E61">
              <w:rPr>
                <w:rStyle w:val="normaltextrun"/>
                <w:rFonts w:asciiTheme="majorBidi" w:eastAsiaTheme="majorEastAsia" w:hAnsiTheme="majorBidi" w:cstheme="majorBidi"/>
                <w:b/>
                <w:bCs/>
                <w:color w:val="000000"/>
                <w:sz w:val="22"/>
                <w:szCs w:val="22"/>
                <w:lang w:val="en-US"/>
              </w:rPr>
              <w:t>National modelling of indicator for Coastal Eutrophication Potential (ICEP) </w:t>
            </w:r>
            <w:r w:rsidRPr="00ED7E61">
              <w:rPr>
                <w:rStyle w:val="eop"/>
                <w:rFonts w:asciiTheme="majorBidi" w:eastAsiaTheme="majorEastAsia" w:hAnsiTheme="majorBidi" w:cstheme="majorBidi"/>
                <w:b/>
                <w:bCs/>
                <w:color w:val="000000"/>
                <w:sz w:val="22"/>
                <w:szCs w:val="22"/>
              </w:rPr>
              <w:t> </w:t>
            </w:r>
          </w:p>
        </w:tc>
        <w:tc>
          <w:tcPr>
            <w:tcW w:w="1050" w:type="dxa"/>
            <w:tcBorders>
              <w:top w:val="single" w:sz="6" w:space="0" w:color="666666"/>
              <w:left w:val="single" w:sz="6" w:space="0" w:color="666666"/>
              <w:bottom w:val="single" w:sz="6" w:space="0" w:color="666666"/>
              <w:right w:val="single" w:sz="6" w:space="0" w:color="666666"/>
            </w:tcBorders>
            <w:shd w:val="clear" w:color="auto" w:fill="auto"/>
            <w:hideMark/>
          </w:tcPr>
          <w:p w14:paraId="2EA77E54"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color w:val="000000"/>
                <w:sz w:val="22"/>
                <w:szCs w:val="22"/>
              </w:rPr>
            </w:pPr>
            <w:r w:rsidRPr="00ED7E61">
              <w:rPr>
                <w:rStyle w:val="eop"/>
                <w:rFonts w:asciiTheme="majorBidi" w:eastAsiaTheme="majorEastAsia" w:hAnsiTheme="majorBidi" w:cstheme="majorBidi"/>
                <w:color w:val="000000"/>
                <w:sz w:val="22"/>
                <w:szCs w:val="22"/>
              </w:rPr>
              <w:t> </w:t>
            </w:r>
          </w:p>
        </w:tc>
        <w:tc>
          <w:tcPr>
            <w:tcW w:w="1035" w:type="dxa"/>
            <w:tcBorders>
              <w:top w:val="single" w:sz="6" w:space="0" w:color="666666"/>
              <w:left w:val="single" w:sz="6" w:space="0" w:color="666666"/>
              <w:bottom w:val="single" w:sz="6" w:space="0" w:color="666666"/>
              <w:right w:val="single" w:sz="6" w:space="0" w:color="666666"/>
            </w:tcBorders>
            <w:shd w:val="clear" w:color="auto" w:fill="auto"/>
            <w:hideMark/>
          </w:tcPr>
          <w:p w14:paraId="6AA62FC2"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color w:val="000000"/>
                <w:sz w:val="22"/>
                <w:szCs w:val="22"/>
              </w:rPr>
            </w:pPr>
            <w:r w:rsidRPr="00ED7E61">
              <w:rPr>
                <w:rStyle w:val="normaltextrun"/>
                <w:rFonts w:asciiTheme="majorBidi" w:eastAsiaTheme="majorEastAsia" w:hAnsiTheme="majorBidi" w:cstheme="majorBidi"/>
                <w:color w:val="000000"/>
                <w:sz w:val="22"/>
                <w:szCs w:val="22"/>
                <w:lang w:val="en-GB"/>
              </w:rPr>
              <w:t>X</w:t>
            </w:r>
            <w:r w:rsidRPr="00ED7E61">
              <w:rPr>
                <w:rStyle w:val="eop"/>
                <w:rFonts w:asciiTheme="majorBidi" w:eastAsiaTheme="majorEastAsia" w:hAnsiTheme="majorBidi" w:cstheme="majorBidi"/>
                <w:color w:val="000000"/>
                <w:sz w:val="22"/>
                <w:szCs w:val="22"/>
              </w:rPr>
              <w:t> </w:t>
            </w:r>
          </w:p>
        </w:tc>
      </w:tr>
    </w:tbl>
    <w:p w14:paraId="299F41E8" w14:textId="77777777" w:rsidR="00BC612D" w:rsidRPr="00ED7E61" w:rsidRDefault="00BC612D" w:rsidP="00395866">
      <w:pPr>
        <w:pStyle w:val="paragraph"/>
        <w:spacing w:before="0" w:beforeAutospacing="0" w:after="0" w:afterAutospacing="0"/>
        <w:textAlignment w:val="baseline"/>
        <w:rPr>
          <w:rStyle w:val="normaltextrun"/>
          <w:rFonts w:asciiTheme="majorBidi" w:eastAsiaTheme="majorEastAsia" w:hAnsiTheme="majorBidi" w:cstheme="majorBidi"/>
          <w:sz w:val="22"/>
          <w:szCs w:val="22"/>
        </w:rPr>
      </w:pPr>
    </w:p>
    <w:p w14:paraId="352702F2" w14:textId="37D9625C"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Unit</w:t>
      </w:r>
      <w:r w:rsidRPr="00ED7E61">
        <w:rPr>
          <w:rStyle w:val="normaltextrun"/>
          <w:rFonts w:asciiTheme="majorBidi" w:eastAsiaTheme="majorEastAsia" w:hAnsiTheme="majorBidi" w:cstheme="majorBidi"/>
        </w:rPr>
        <w:t xml:space="preserve"> of measure: Indicator for Coastal Eutrophication Potential (ICEP): kilograms of carbon (from algae biomass) per square kilometre of river basin area per day (kg C km</w:t>
      </w:r>
      <w:r w:rsidRPr="00ED7E61">
        <w:rPr>
          <w:rStyle w:val="normaltextrun"/>
          <w:rFonts w:asciiTheme="majorBidi" w:eastAsiaTheme="majorEastAsia" w:hAnsiTheme="majorBidi" w:cstheme="majorBidi"/>
          <w:vertAlign w:val="superscript"/>
        </w:rPr>
        <w:t>-2</w:t>
      </w:r>
      <w:r w:rsidRPr="00ED7E61">
        <w:rPr>
          <w:rStyle w:val="normaltextrun"/>
          <w:rFonts w:asciiTheme="majorBidi" w:eastAsiaTheme="majorEastAsia" w:hAnsiTheme="majorBidi" w:cstheme="majorBidi"/>
        </w:rPr>
        <w:t xml:space="preserve"> day</w:t>
      </w:r>
      <w:r w:rsidRPr="00ED7E61">
        <w:rPr>
          <w:rStyle w:val="normaltextrun"/>
          <w:rFonts w:asciiTheme="majorBidi" w:eastAsiaTheme="majorEastAsia" w:hAnsiTheme="majorBidi" w:cstheme="majorBidi"/>
          <w:vertAlign w:val="superscript"/>
        </w:rPr>
        <w:t>-1</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34A8D18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4B7B438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Level 1: Indicator for coastal eutrophication potential</w:t>
      </w:r>
      <w:r w:rsidRPr="00ED7E61">
        <w:rPr>
          <w:rStyle w:val="eop"/>
          <w:rFonts w:asciiTheme="majorBidi" w:eastAsiaTheme="majorEastAsia" w:hAnsiTheme="majorBidi" w:cstheme="majorBidi"/>
          <w:sz w:val="22"/>
          <w:szCs w:val="22"/>
        </w:rPr>
        <w:t> </w:t>
      </w:r>
    </w:p>
    <w:p w14:paraId="10ED396A" w14:textId="73302AD3" w:rsidR="00694186" w:rsidRPr="00ED7E61" w:rsidRDefault="00756F0F" w:rsidP="00B10F0C">
      <w:pPr>
        <w:pStyle w:val="CBDNormalNumber"/>
        <w:numPr>
          <w:ilvl w:val="0"/>
          <w:numId w:val="76"/>
        </w:numPr>
        <w:ind w:left="567" w:firstLine="0"/>
        <w:rPr>
          <w:rFonts w:asciiTheme="majorBidi" w:hAnsiTheme="majorBidi" w:cstheme="majorBidi"/>
        </w:rPr>
      </w:pPr>
      <w:r w:rsidRPr="00ED7E61">
        <w:rPr>
          <w:color w:val="000000" w:themeColor="text1"/>
          <w:lang w:val="en-US"/>
        </w:rPr>
        <w:t>This</w:t>
      </w:r>
      <w:r w:rsidRPr="00ED7E61">
        <w:rPr>
          <w:rStyle w:val="normaltextrun"/>
          <w:rFonts w:asciiTheme="majorBidi" w:eastAsiaTheme="majorEastAsia" w:hAnsiTheme="majorBidi" w:cstheme="majorBidi"/>
        </w:rPr>
        <w:t xml:space="preserve"> indicator is based on loads and ratios of nitrogen, phosphorous and silica delivered by rivers to coastal waters (Garnier et al. 2010), which contribute to the ICEP. The basis for these loads is collected from land-based assessments of land use including fertilizer use, population density, socioeconomic factors and other contributors to nutrient pollution runoff. Given the land-based nature of the indicator, it provides a modelled number indicating the risk of coastal eutrophication at a specific river mouth. The indicator can be further developed by incorporating </w:t>
      </w:r>
      <w:r w:rsidRPr="00ED7E61">
        <w:rPr>
          <w:rStyle w:val="normaltextrun"/>
          <w:rFonts w:asciiTheme="majorBidi" w:eastAsiaTheme="majorEastAsia" w:hAnsiTheme="majorBidi" w:cstheme="majorBidi"/>
          <w:i/>
          <w:iCs/>
        </w:rPr>
        <w:t>in situ</w:t>
      </w:r>
      <w:r w:rsidRPr="00ED7E61">
        <w:rPr>
          <w:rStyle w:val="normaltextrun"/>
          <w:rFonts w:asciiTheme="majorBidi" w:eastAsiaTheme="majorEastAsia" w:hAnsiTheme="majorBidi" w:cstheme="majorBidi"/>
        </w:rPr>
        <w:t xml:space="preserve"> monitoring to evaluate the dispersion of concentrations of nitrogen, phosphorous and silica to ground-truth the index. The indicator assumes that excess concentrations of nitrogen or phosphorus relative to silica will result in increased growth of potentially harmful algae (ICEP &gt; 0). ICEP is expressed in kilograms of carbon (from algae biomass) per square kilometre of river basin area per day (kg C km</w:t>
      </w:r>
      <w:r w:rsidRPr="00ED7E61">
        <w:rPr>
          <w:rStyle w:val="normaltextrun"/>
          <w:rFonts w:asciiTheme="majorBidi" w:eastAsiaTheme="majorEastAsia" w:hAnsiTheme="majorBidi" w:cstheme="majorBidi"/>
          <w:vertAlign w:val="superscript"/>
        </w:rPr>
        <w:t>-2</w:t>
      </w:r>
      <w:r w:rsidRPr="00ED7E61">
        <w:rPr>
          <w:rStyle w:val="normaltextrun"/>
          <w:rFonts w:asciiTheme="majorBidi" w:eastAsiaTheme="majorEastAsia" w:hAnsiTheme="majorBidi" w:cstheme="majorBidi"/>
        </w:rPr>
        <w:t xml:space="preserve"> day</w:t>
      </w:r>
      <w:r w:rsidRPr="00ED7E61">
        <w:rPr>
          <w:rStyle w:val="normaltextrun"/>
          <w:rFonts w:asciiTheme="majorBidi" w:eastAsiaTheme="majorEastAsia" w:hAnsiTheme="majorBidi" w:cstheme="majorBidi"/>
          <w:vertAlign w:val="superscript"/>
        </w:rPr>
        <w:t>-1</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145D398B" w14:textId="77777777" w:rsidR="00756F0F" w:rsidRPr="00ED7E61" w:rsidRDefault="00756F0F" w:rsidP="00B10F0C">
      <w:pPr>
        <w:pStyle w:val="CBDNormalNumber"/>
        <w:numPr>
          <w:ilvl w:val="0"/>
          <w:numId w:val="76"/>
        </w:numPr>
        <w:ind w:left="567" w:firstLine="0"/>
        <w:jc w:val="left"/>
        <w:rPr>
          <w:rStyle w:val="eop"/>
          <w:rFonts w:asciiTheme="majorBidi" w:eastAsiaTheme="majorEastAsia" w:hAnsiTheme="majorBidi" w:cstheme="majorBidi"/>
        </w:rPr>
      </w:pPr>
      <w:r w:rsidRPr="00ED7E61">
        <w:rPr>
          <w:rStyle w:val="normaltextrun"/>
          <w:rFonts w:asciiTheme="majorBidi" w:eastAsiaTheme="majorEastAsia" w:hAnsiTheme="majorBidi" w:cstheme="majorBidi"/>
        </w:rPr>
        <w:t>The ICEP model is calculated using one of two equations depending on whether nitrogen or phosphorus is limiting. The equations (Billen and Garnier 2007) are:</w:t>
      </w:r>
      <w:r w:rsidRPr="00ED7E61">
        <w:rPr>
          <w:rStyle w:val="eop"/>
          <w:rFonts w:asciiTheme="majorBidi" w:eastAsiaTheme="majorEastAsia" w:hAnsiTheme="majorBidi" w:cstheme="majorBidi"/>
        </w:rPr>
        <w:t> </w:t>
      </w:r>
    </w:p>
    <w:p w14:paraId="099ED2B8" w14:textId="77777777" w:rsidR="00930B9B" w:rsidRPr="00ED7E61" w:rsidRDefault="00930B9B" w:rsidP="00930B9B">
      <w:pPr>
        <w:pStyle w:val="MText"/>
        <w:spacing w:after="240"/>
        <w:rPr>
          <w:rFonts w:ascii="Calibri" w:hAnsi="Calibri" w:cs="Calibri"/>
          <w:i/>
          <w:color w:val="auto"/>
          <w:sz w:val="20"/>
          <w:szCs w:val="20"/>
        </w:rPr>
      </w:pPr>
      <m:oMathPara>
        <m:oMath>
          <m:r>
            <w:rPr>
              <w:rFonts w:ascii="Cambria Math" w:hAnsi="Cambria Math" w:cs="Calibri"/>
              <w:color w:val="auto"/>
              <w:sz w:val="20"/>
              <w:szCs w:val="20"/>
            </w:rPr>
            <m:t xml:space="preserve">ICEP </m:t>
          </m:r>
          <m:d>
            <m:dPr>
              <m:ctrlPr>
                <w:rPr>
                  <w:rFonts w:ascii="Cambria Math" w:hAnsi="Cambria Math" w:cs="Calibri"/>
                  <w:i/>
                  <w:color w:val="auto"/>
                  <w:sz w:val="20"/>
                  <w:szCs w:val="20"/>
                </w:rPr>
              </m:ctrlPr>
            </m:dPr>
            <m:e>
              <m:r>
                <w:rPr>
                  <w:rFonts w:ascii="Cambria Math" w:hAnsi="Cambria Math" w:cs="Calibri"/>
                  <w:color w:val="auto"/>
                  <w:sz w:val="20"/>
                  <w:szCs w:val="20"/>
                </w:rPr>
                <m:t>N limiting</m:t>
              </m:r>
            </m:e>
          </m:d>
          <m:r>
            <w:rPr>
              <w:rFonts w:ascii="Cambria Math" w:hAnsi="Cambria Math" w:cs="Calibri"/>
              <w:color w:val="auto"/>
              <w:sz w:val="20"/>
              <w:szCs w:val="20"/>
            </w:rPr>
            <m:t>= [NFlx/(14*16)-SiFlx/(28*20)]*106*12</m:t>
          </m:r>
        </m:oMath>
      </m:oMathPara>
    </w:p>
    <w:p w14:paraId="2D069531" w14:textId="77777777" w:rsidR="00930B9B" w:rsidRPr="00ED7E61" w:rsidRDefault="00930B9B" w:rsidP="00930B9B">
      <w:pPr>
        <w:pStyle w:val="MText"/>
        <w:spacing w:after="240"/>
        <w:rPr>
          <w:rFonts w:ascii="Calibri" w:hAnsi="Calibri" w:cs="Calibri"/>
          <w:i/>
          <w:iCs/>
          <w:color w:val="auto"/>
          <w:sz w:val="20"/>
          <w:szCs w:val="20"/>
        </w:rPr>
      </w:pPr>
      <m:oMathPara>
        <m:oMath>
          <m:r>
            <w:rPr>
              <w:rFonts w:ascii="Cambria Math" w:hAnsi="Cambria Math" w:cs="Calibri"/>
              <w:color w:val="auto"/>
              <w:sz w:val="20"/>
              <w:szCs w:val="20"/>
            </w:rPr>
            <m:t>ICEP (P limiting) = [PFlx/31 – SiFlx/(28*20)]*106*12</m:t>
          </m:r>
        </m:oMath>
      </m:oMathPara>
    </w:p>
    <w:p w14:paraId="7B279D45" w14:textId="77777777" w:rsidR="00756F0F" w:rsidRPr="00ED7E61" w:rsidRDefault="00756F0F" w:rsidP="005B0D1E">
      <w:pPr>
        <w:pStyle w:val="paragraph"/>
        <w:spacing w:before="0" w:beforeAutospacing="0" w:after="0" w:afterAutospacing="0"/>
        <w:ind w:left="567"/>
        <w:textAlignment w:val="baseline"/>
        <w:rPr>
          <w:rFonts w:asciiTheme="majorBidi" w:hAnsiTheme="majorBidi" w:cstheme="majorBidi"/>
          <w:color w:val="000000" w:themeColor="text1"/>
          <w:sz w:val="22"/>
          <w:szCs w:val="22"/>
        </w:rPr>
      </w:pPr>
      <w:r w:rsidRPr="00ED7E61">
        <w:rPr>
          <w:rStyle w:val="normaltextrun"/>
          <w:rFonts w:asciiTheme="majorBidi" w:eastAsiaTheme="majorEastAsia" w:hAnsiTheme="majorBidi" w:cstheme="majorBidi"/>
          <w:color w:val="000000" w:themeColor="text1"/>
          <w:sz w:val="22"/>
          <w:szCs w:val="22"/>
          <w:lang w:val="en-GB"/>
        </w:rPr>
        <w:t xml:space="preserve">where </w:t>
      </w:r>
      <w:r w:rsidRPr="00ED7E61">
        <w:rPr>
          <w:rStyle w:val="normaltextrun"/>
          <w:rFonts w:asciiTheme="majorBidi" w:eastAsiaTheme="majorEastAsia" w:hAnsiTheme="majorBidi" w:cstheme="majorBidi"/>
          <w:i/>
          <w:iCs/>
          <w:color w:val="000000" w:themeColor="text1"/>
          <w:sz w:val="22"/>
          <w:szCs w:val="22"/>
          <w:lang w:val="en-GB"/>
        </w:rPr>
        <w:t>PFlx, NFlx</w:t>
      </w:r>
      <w:r w:rsidRPr="00ED7E61">
        <w:rPr>
          <w:rStyle w:val="normaltextrun"/>
          <w:rFonts w:asciiTheme="majorBidi" w:eastAsiaTheme="majorEastAsia" w:hAnsiTheme="majorBidi" w:cstheme="majorBidi"/>
          <w:color w:val="000000" w:themeColor="text1"/>
          <w:sz w:val="22"/>
          <w:szCs w:val="22"/>
          <w:lang w:val="en-GB"/>
        </w:rPr>
        <w:t xml:space="preserve"> and </w:t>
      </w:r>
      <w:r w:rsidRPr="00ED7E61">
        <w:rPr>
          <w:rStyle w:val="normaltextrun"/>
          <w:rFonts w:asciiTheme="majorBidi" w:eastAsiaTheme="majorEastAsia" w:hAnsiTheme="majorBidi" w:cstheme="majorBidi"/>
          <w:i/>
          <w:iCs/>
          <w:color w:val="000000" w:themeColor="text1"/>
          <w:sz w:val="22"/>
          <w:szCs w:val="22"/>
          <w:lang w:val="en-GB"/>
        </w:rPr>
        <w:t>SiFlx</w:t>
      </w:r>
      <w:r w:rsidRPr="00ED7E61">
        <w:rPr>
          <w:rStyle w:val="normaltextrun"/>
          <w:rFonts w:asciiTheme="majorBidi" w:eastAsiaTheme="majorEastAsia" w:hAnsiTheme="majorBidi" w:cstheme="majorBidi"/>
          <w:color w:val="000000" w:themeColor="text1"/>
          <w:sz w:val="22"/>
          <w:szCs w:val="22"/>
          <w:lang w:val="en-GB"/>
        </w:rPr>
        <w:t xml:space="preserve"> are respectively the mean specific values of total nitrogen, total phosphorus and dissolved silica delivered at the mouth of the river basin, expressed in </w:t>
      </w:r>
      <w:r w:rsidRPr="00ED7E61">
        <w:rPr>
          <w:rStyle w:val="normaltextrun"/>
          <w:rFonts w:asciiTheme="majorBidi" w:eastAsiaTheme="majorEastAsia" w:hAnsiTheme="majorBidi" w:cstheme="majorBidi"/>
          <w:i/>
          <w:iCs/>
          <w:color w:val="000000" w:themeColor="text1"/>
          <w:sz w:val="22"/>
          <w:szCs w:val="22"/>
          <w:lang w:val="en-GB"/>
        </w:rPr>
        <w:t>kg P km</w:t>
      </w:r>
      <w:r w:rsidRPr="00ED7E61">
        <w:rPr>
          <w:rStyle w:val="normaltextrun"/>
          <w:rFonts w:asciiTheme="majorBidi" w:eastAsiaTheme="majorEastAsia" w:hAnsiTheme="majorBidi" w:cstheme="majorBidi"/>
          <w:i/>
          <w:iCs/>
          <w:color w:val="000000" w:themeColor="text1"/>
          <w:sz w:val="22"/>
          <w:szCs w:val="22"/>
          <w:vertAlign w:val="superscript"/>
          <w:lang w:val="en-GB"/>
        </w:rPr>
        <w:t>-2</w:t>
      </w:r>
      <w:r w:rsidRPr="00ED7E61">
        <w:rPr>
          <w:rStyle w:val="normaltextrun"/>
          <w:rFonts w:asciiTheme="majorBidi" w:eastAsiaTheme="majorEastAsia" w:hAnsiTheme="majorBidi" w:cstheme="majorBidi"/>
          <w:i/>
          <w:iCs/>
          <w:color w:val="000000" w:themeColor="text1"/>
          <w:sz w:val="22"/>
          <w:szCs w:val="22"/>
          <w:lang w:val="en-GB"/>
        </w:rPr>
        <w:t xml:space="preserve"> day</w:t>
      </w:r>
      <w:r w:rsidRPr="00ED7E61">
        <w:rPr>
          <w:rStyle w:val="normaltextrun"/>
          <w:rFonts w:asciiTheme="majorBidi" w:eastAsiaTheme="majorEastAsia" w:hAnsiTheme="majorBidi" w:cstheme="majorBidi"/>
          <w:i/>
          <w:iCs/>
          <w:color w:val="000000" w:themeColor="text1"/>
          <w:sz w:val="22"/>
          <w:szCs w:val="22"/>
          <w:vertAlign w:val="superscript"/>
          <w:lang w:val="en-GB"/>
        </w:rPr>
        <w:t>-1</w:t>
      </w:r>
      <w:r w:rsidRPr="00ED7E61">
        <w:rPr>
          <w:rStyle w:val="normaltextrun"/>
          <w:rFonts w:asciiTheme="majorBidi" w:eastAsiaTheme="majorEastAsia" w:hAnsiTheme="majorBidi" w:cstheme="majorBidi"/>
          <w:color w:val="000000" w:themeColor="text1"/>
          <w:sz w:val="22"/>
          <w:szCs w:val="22"/>
          <w:lang w:val="en-GB"/>
        </w:rPr>
        <w:t xml:space="preserve">, in </w:t>
      </w:r>
      <w:r w:rsidRPr="00ED7E61">
        <w:rPr>
          <w:rStyle w:val="normaltextrun"/>
          <w:rFonts w:asciiTheme="majorBidi" w:eastAsiaTheme="majorEastAsia" w:hAnsiTheme="majorBidi" w:cstheme="majorBidi"/>
          <w:i/>
          <w:iCs/>
          <w:color w:val="000000" w:themeColor="text1"/>
          <w:sz w:val="22"/>
          <w:szCs w:val="22"/>
          <w:lang w:val="en-GB"/>
        </w:rPr>
        <w:t>kg N km</w:t>
      </w:r>
      <w:r w:rsidRPr="00ED7E61">
        <w:rPr>
          <w:rStyle w:val="normaltextrun"/>
          <w:rFonts w:asciiTheme="majorBidi" w:eastAsiaTheme="majorEastAsia" w:hAnsiTheme="majorBidi" w:cstheme="majorBidi"/>
          <w:i/>
          <w:iCs/>
          <w:color w:val="000000" w:themeColor="text1"/>
          <w:sz w:val="22"/>
          <w:szCs w:val="22"/>
          <w:vertAlign w:val="superscript"/>
          <w:lang w:val="en-GB"/>
        </w:rPr>
        <w:t>-2</w:t>
      </w:r>
      <w:r w:rsidRPr="00ED7E61">
        <w:rPr>
          <w:rStyle w:val="normaltextrun"/>
          <w:rFonts w:asciiTheme="majorBidi" w:eastAsiaTheme="majorEastAsia" w:hAnsiTheme="majorBidi" w:cstheme="majorBidi"/>
          <w:i/>
          <w:iCs/>
          <w:color w:val="000000" w:themeColor="text1"/>
          <w:sz w:val="22"/>
          <w:szCs w:val="22"/>
          <w:lang w:val="en-GB"/>
        </w:rPr>
        <w:t xml:space="preserve"> day</w:t>
      </w:r>
      <w:r w:rsidRPr="00ED7E61">
        <w:rPr>
          <w:rStyle w:val="normaltextrun"/>
          <w:rFonts w:asciiTheme="majorBidi" w:eastAsiaTheme="majorEastAsia" w:hAnsiTheme="majorBidi" w:cstheme="majorBidi"/>
          <w:i/>
          <w:iCs/>
          <w:color w:val="000000" w:themeColor="text1"/>
          <w:sz w:val="22"/>
          <w:szCs w:val="22"/>
          <w:vertAlign w:val="superscript"/>
          <w:lang w:val="en-GB"/>
        </w:rPr>
        <w:t>-1</w:t>
      </w:r>
      <w:r w:rsidRPr="00ED7E61">
        <w:rPr>
          <w:rStyle w:val="normaltextrun"/>
          <w:rFonts w:asciiTheme="majorBidi" w:eastAsiaTheme="majorEastAsia" w:hAnsiTheme="majorBidi" w:cstheme="majorBidi"/>
          <w:color w:val="000000" w:themeColor="text1"/>
          <w:sz w:val="22"/>
          <w:szCs w:val="22"/>
          <w:lang w:val="en-GB"/>
        </w:rPr>
        <w:t xml:space="preserve"> and </w:t>
      </w:r>
      <w:r w:rsidRPr="00ED7E61">
        <w:rPr>
          <w:rStyle w:val="normaltextrun"/>
          <w:rFonts w:asciiTheme="majorBidi" w:eastAsiaTheme="majorEastAsia" w:hAnsiTheme="majorBidi" w:cstheme="majorBidi"/>
          <w:i/>
          <w:iCs/>
          <w:color w:val="000000" w:themeColor="text1"/>
          <w:sz w:val="22"/>
          <w:szCs w:val="22"/>
          <w:lang w:val="en-GB"/>
        </w:rPr>
        <w:t>in kg Si km</w:t>
      </w:r>
      <w:r w:rsidRPr="00ED7E61">
        <w:rPr>
          <w:rStyle w:val="normaltextrun"/>
          <w:rFonts w:asciiTheme="majorBidi" w:eastAsiaTheme="majorEastAsia" w:hAnsiTheme="majorBidi" w:cstheme="majorBidi"/>
          <w:i/>
          <w:iCs/>
          <w:color w:val="000000" w:themeColor="text1"/>
          <w:sz w:val="22"/>
          <w:szCs w:val="22"/>
          <w:vertAlign w:val="superscript"/>
          <w:lang w:val="en-GB"/>
        </w:rPr>
        <w:t>-2</w:t>
      </w:r>
      <w:r w:rsidRPr="00ED7E61">
        <w:rPr>
          <w:rStyle w:val="normaltextrun"/>
          <w:rFonts w:asciiTheme="majorBidi" w:eastAsiaTheme="majorEastAsia" w:hAnsiTheme="majorBidi" w:cstheme="majorBidi"/>
          <w:i/>
          <w:iCs/>
          <w:color w:val="000000" w:themeColor="text1"/>
          <w:sz w:val="22"/>
          <w:szCs w:val="22"/>
          <w:lang w:val="en-GB"/>
        </w:rPr>
        <w:t xml:space="preserve"> day</w:t>
      </w:r>
      <w:r w:rsidRPr="00ED7E61">
        <w:rPr>
          <w:rStyle w:val="normaltextrun"/>
          <w:rFonts w:asciiTheme="majorBidi" w:eastAsiaTheme="majorEastAsia" w:hAnsiTheme="majorBidi" w:cstheme="majorBidi"/>
          <w:i/>
          <w:iCs/>
          <w:color w:val="000000" w:themeColor="text1"/>
          <w:sz w:val="22"/>
          <w:szCs w:val="22"/>
          <w:vertAlign w:val="superscript"/>
          <w:lang w:val="en-GB"/>
        </w:rPr>
        <w:t>-1</w:t>
      </w:r>
      <w:r w:rsidRPr="00ED7E61">
        <w:rPr>
          <w:rStyle w:val="normaltextrun"/>
          <w:rFonts w:asciiTheme="majorBidi" w:eastAsiaTheme="majorEastAsia" w:hAnsiTheme="majorBidi" w:cstheme="majorBidi"/>
          <w:color w:val="000000" w:themeColor="text1"/>
          <w:sz w:val="22"/>
          <w:szCs w:val="22"/>
          <w:lang w:val="en-GB"/>
        </w:rPr>
        <w:t>.</w:t>
      </w:r>
      <w:r w:rsidRPr="00ED7E61">
        <w:rPr>
          <w:rStyle w:val="eop"/>
          <w:rFonts w:asciiTheme="majorBidi" w:eastAsiaTheme="majorEastAsia" w:hAnsiTheme="majorBidi" w:cstheme="majorBidi"/>
          <w:color w:val="000000" w:themeColor="text1"/>
          <w:sz w:val="22"/>
          <w:szCs w:val="22"/>
        </w:rPr>
        <w:t> </w:t>
      </w:r>
    </w:p>
    <w:p w14:paraId="09DAECDB" w14:textId="77777777" w:rsidR="00694186" w:rsidRPr="00ED7E61" w:rsidRDefault="00694186" w:rsidP="00395866">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lang w:val="en-GB"/>
        </w:rPr>
      </w:pPr>
    </w:p>
    <w:p w14:paraId="39C95E9F" w14:textId="0F74AB43"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Level 2: National ICEP modelling </w:t>
      </w:r>
      <w:r w:rsidRPr="00ED7E61">
        <w:rPr>
          <w:rStyle w:val="eop"/>
          <w:rFonts w:asciiTheme="majorBidi" w:eastAsiaTheme="majorEastAsia" w:hAnsiTheme="majorBidi" w:cstheme="majorBidi"/>
          <w:sz w:val="22"/>
          <w:szCs w:val="22"/>
        </w:rPr>
        <w:t> </w:t>
      </w:r>
    </w:p>
    <w:p w14:paraId="7D3FCBA8"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Existing</w:t>
      </w:r>
      <w:r w:rsidRPr="00ED7E61">
        <w:rPr>
          <w:rStyle w:val="normaltextrun"/>
          <w:rFonts w:asciiTheme="majorBidi" w:eastAsiaTheme="majorEastAsia" w:hAnsiTheme="majorBidi" w:cstheme="majorBidi"/>
        </w:rPr>
        <w:t xml:space="preserve"> ICEP modelling at the national level is limited but could be further developed following the model of a current study analysing basin level data in Chinese rivers (Strokal et al. 2016). The study utilises Global NEWS – 2 (Nutrient Export from WaterSheds) and Nutrient flows in Food chains, Environment and Resources use (NUFER) as models. The Global NEWS-2 model is basin-scale and quantifies river export of various nutrients (nitrogen, phosphorus, carbon and silica) in multiple forms (dissolved inorganic, dissolved organic and particulate) as functions of human activities on land and basin characteristics (Strokal et al. 2016). Furthermore, the model shows past and future trends.</w:t>
      </w:r>
      <w:r w:rsidRPr="00ED7E61">
        <w:rPr>
          <w:rStyle w:val="eop"/>
          <w:rFonts w:asciiTheme="majorBidi" w:eastAsiaTheme="majorEastAsia" w:hAnsiTheme="majorBidi" w:cstheme="majorBidi"/>
        </w:rPr>
        <w:t> </w:t>
      </w:r>
    </w:p>
    <w:p w14:paraId="1374DA54"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A full methodology for this indicator is available in the “</w:t>
      </w:r>
      <w:r w:rsidRPr="00FB1598">
        <w:rPr>
          <w:i/>
          <w:iCs/>
          <w:color w:val="000000" w:themeColor="text1"/>
          <w:lang w:val="en-US"/>
        </w:rPr>
        <w:t>Global Manual on Ocean Statistics for Measuring SDG 14.1.1, 14.2.1 and 14.5.1</w:t>
      </w:r>
      <w:r w:rsidRPr="00ED7E61">
        <w:rPr>
          <w:color w:val="000000" w:themeColor="text1"/>
          <w:lang w:val="en-US"/>
        </w:rPr>
        <w:t>”.  </w:t>
      </w:r>
    </w:p>
    <w:p w14:paraId="04E88A6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811781D"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National data are collected through the Regional Seas Programmes to reduce the reporting burden on countries. For countries that are not included in the Regional Seas Programme, UNEP contacts countries directly. For globally derived data, UNEP has established a partnership with NOAA and GEO Blue Planet and the Global Nutrient Management System (GNMS) to facilitate the production of global data products. </w:t>
      </w:r>
    </w:p>
    <w:p w14:paraId="0139D85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232C3E7F"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The</w:t>
      </w:r>
      <w:r w:rsidRPr="00ED7E61">
        <w:rPr>
          <w:rStyle w:val="normaltextrun"/>
          <w:rFonts w:asciiTheme="majorBidi" w:eastAsiaTheme="majorEastAsia" w:hAnsiTheme="majorBidi" w:cstheme="majorBidi"/>
        </w:rPr>
        <w:t xml:space="preserve"> methodology for this indicator is published under the following link: </w:t>
      </w:r>
      <w:hyperlink r:id="rId473" w:tgtFrame="_blank" w:history="1">
        <w:r w:rsidRPr="00ED7E61">
          <w:rPr>
            <w:rStyle w:val="normaltextrun"/>
            <w:rFonts w:asciiTheme="majorBidi" w:eastAsiaTheme="majorEastAsia" w:hAnsiTheme="majorBidi" w:cstheme="majorBidi"/>
            <w:color w:val="467886"/>
            <w:u w:val="single"/>
          </w:rPr>
          <w:t>https://wedocs.unep.org/bitstream/handle/20.500.11822/35086/USO.pdf?sequence=3&amp;isAllowed=y</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736641E9"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The</w:t>
      </w:r>
      <w:r w:rsidRPr="00ED7E61">
        <w:rPr>
          <w:rStyle w:val="normaltextrun"/>
          <w:rFonts w:asciiTheme="majorBidi" w:eastAsiaTheme="majorEastAsia" w:hAnsiTheme="majorBidi" w:cstheme="majorBidi"/>
        </w:rPr>
        <w:t xml:space="preserve"> data for this indicator is also available on the UN SDG Global database:  </w:t>
      </w:r>
      <w:hyperlink r:id="rId474" w:tgtFrame="_blank" w:history="1">
        <w:r w:rsidRPr="00ED7E61">
          <w:rPr>
            <w:rStyle w:val="normaltextrun"/>
            <w:rFonts w:asciiTheme="majorBidi" w:eastAsiaTheme="majorEastAsia" w:hAnsiTheme="majorBidi" w:cstheme="majorBidi"/>
            <w:color w:val="467886"/>
            <w:u w:val="single"/>
          </w:rPr>
          <w:t>https://unstats.un.org/sdgs/dataportal/database</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34FB80B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2F84DDE5"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For Level 1 indicators: </w:t>
      </w:r>
    </w:p>
    <w:p w14:paraId="17415AA2"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Global models, which are based on official data from national governments as collected from UN organizations.</w:t>
      </w:r>
      <w:r w:rsidRPr="00ED7E61">
        <w:rPr>
          <w:rStyle w:val="normaltextrun"/>
        </w:rPr>
        <w:t> </w:t>
      </w:r>
    </w:p>
    <w:p w14:paraId="413EB46B"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For Level 2 indicators: </w:t>
      </w:r>
    </w:p>
    <w:p w14:paraId="11A48B06" w14:textId="4E4F6FF7" w:rsidR="00756F0F" w:rsidRPr="004C0D25" w:rsidRDefault="00756F0F" w:rsidP="00B10F0C">
      <w:pPr>
        <w:pStyle w:val="CBDNormalNumber"/>
        <w:numPr>
          <w:ilvl w:val="1"/>
          <w:numId w:val="76"/>
        </w:numPr>
        <w:tabs>
          <w:tab w:val="clear" w:pos="567"/>
          <w:tab w:val="clear" w:pos="1134"/>
          <w:tab w:val="clear" w:pos="1701"/>
          <w:tab w:val="clear" w:pos="2268"/>
          <w:tab w:val="left" w:pos="1985"/>
        </w:tabs>
        <w:ind w:left="1276" w:firstLine="56"/>
        <w:rPr>
          <w:rFonts w:eastAsiaTheme="majorEastAsia"/>
        </w:rPr>
      </w:pPr>
      <w:r w:rsidRPr="00ED7E61">
        <w:rPr>
          <w:rStyle w:val="normaltextrun"/>
          <w:rFonts w:eastAsiaTheme="majorEastAsia"/>
        </w:rPr>
        <w:t>Data provided by national governments.</w:t>
      </w:r>
      <w:r w:rsidRPr="00ED7E61">
        <w:rPr>
          <w:rStyle w:val="normaltextrun"/>
        </w:rPr>
        <w:t> </w:t>
      </w:r>
    </w:p>
    <w:p w14:paraId="70760F2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7C2FA720" w14:textId="2D937024"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For Level 1 indicators:</w:t>
      </w:r>
    </w:p>
    <w:p w14:paraId="4B2B68BE"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ICEP has been calculated for large marine ecosystems. River-basin scale information is expected in 2024. National models will be available beginning in late 2024 with the release of guidance from UNEP for preparing national models.</w:t>
      </w:r>
      <w:r w:rsidRPr="00ED7E61">
        <w:rPr>
          <w:rStyle w:val="normaltextrun"/>
        </w:rPr>
        <w:t> </w:t>
      </w:r>
    </w:p>
    <w:p w14:paraId="5B5E0D13"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For Level 2 indicators:  </w:t>
      </w:r>
    </w:p>
    <w:p w14:paraId="422879C1"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 first UNEP data collection is planned in 2023. After that, data collection will be synchronised with the Regional Seas data collection calendar.</w:t>
      </w:r>
      <w:r w:rsidRPr="00ED7E61">
        <w:rPr>
          <w:rStyle w:val="normaltextrun"/>
        </w:rPr>
        <w:t> </w:t>
      </w:r>
    </w:p>
    <w:p w14:paraId="25D3B18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454DC49C"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For</w:t>
      </w:r>
      <w:r w:rsidRPr="00ED7E61">
        <w:rPr>
          <w:rStyle w:val="normaltextrun"/>
          <w:rFonts w:asciiTheme="majorBidi" w:eastAsiaTheme="majorEastAsia" w:hAnsiTheme="majorBidi" w:cstheme="majorBidi"/>
        </w:rPr>
        <w:t xml:space="preserve"> Level 1 indicator: </w:t>
      </w:r>
      <w:r w:rsidRPr="00ED7E61">
        <w:rPr>
          <w:rStyle w:val="eop"/>
          <w:rFonts w:asciiTheme="majorBidi" w:eastAsiaTheme="majorEastAsia" w:hAnsiTheme="majorBidi" w:cstheme="majorBidi"/>
        </w:rPr>
        <w:t> </w:t>
      </w:r>
    </w:p>
    <w:p w14:paraId="537C5C3A"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ICEP: 1900-2015: data are available for Global large marine ecosystems (LMEs) and River Basins. Data are available for N loading, not P loading.</w:t>
      </w:r>
      <w:r w:rsidRPr="00ED7E61">
        <w:rPr>
          <w:rStyle w:val="normaltextrun"/>
        </w:rPr>
        <w:t> </w:t>
      </w:r>
    </w:p>
    <w:p w14:paraId="64EB08D1"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For Level 2 indicator:  </w:t>
      </w:r>
    </w:p>
    <w:p w14:paraId="27BE1B69"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 first UNEP data collection is planned in 2023. The plan is to align the data collection with Regional Seas every 4 years and the data will be yearly data, as used for SDG 14.1.1.</w:t>
      </w:r>
      <w:r w:rsidRPr="00ED7E61">
        <w:rPr>
          <w:rStyle w:val="normaltextrun"/>
        </w:rPr>
        <w:t> </w:t>
      </w:r>
    </w:p>
    <w:p w14:paraId="432E4AA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61F3F69C"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For Level 1 data:  </w:t>
      </w:r>
    </w:p>
    <w:p w14:paraId="6748B31C"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Fonts w:asciiTheme="majorBidi" w:hAnsiTheme="majorBidi" w:cstheme="majorBidi"/>
          <w:color w:val="4A4A4A"/>
        </w:rPr>
      </w:pPr>
      <w:r w:rsidRPr="00ED7E61">
        <w:rPr>
          <w:rStyle w:val="normaltextrun"/>
          <w:rFonts w:eastAsiaTheme="majorEastAsia"/>
        </w:rPr>
        <w:t>Geo Blue Planet, NOAA, Esri, IOC-UNESCO.</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6B0C1D59"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For Level 2 data: </w:t>
      </w:r>
    </w:p>
    <w:p w14:paraId="4ACED9EA"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National governments, through the Regional Seas, or directly to UNEP.</w:t>
      </w:r>
      <w:r w:rsidRPr="00ED7E61">
        <w:rPr>
          <w:rStyle w:val="normaltextrun"/>
        </w:rPr>
        <w:t> </w:t>
      </w:r>
    </w:p>
    <w:p w14:paraId="7C8AC62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72E02EA3"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United Nations Environment Programme (UNEP), in collaboration with partners mentioned in the other sections of this metadata. </w:t>
      </w:r>
    </w:p>
    <w:p w14:paraId="1D6A223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0BAF93B1"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Level 2 Data for ICEP is not yet available (forthcoming in 2024). </w:t>
      </w:r>
    </w:p>
    <w:p w14:paraId="69C19C81"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With the use of the index of coastal eutrophication potential (ICEP), freshwater pollution is not addressed; the ICEP is only a marine indicator. There are two related SDG indicators which may be considered as options to supplement national reporting: SDG 6.6.1 looking at trophic state and turbidity, using chl a, and SDG 6.3.2 on quality of freshwater (for which there are plans to integrate information from citizen science monitoring).</w:t>
      </w:r>
      <w:r w:rsidRPr="00ED7E61">
        <w:rPr>
          <w:rStyle w:val="normaltextrun"/>
        </w:rPr>
        <w:t> </w:t>
      </w:r>
    </w:p>
    <w:p w14:paraId="439DEB5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1C5A205B"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For Level 1 data:  </w:t>
      </w:r>
    </w:p>
    <w:p w14:paraId="4897FBEE" w14:textId="77777777" w:rsidR="00756F0F" w:rsidRPr="00ED7E61" w:rsidRDefault="00756F0F" w:rsidP="004C0D25">
      <w:pPr>
        <w:pStyle w:val="CBDNormalNumber"/>
        <w:numPr>
          <w:ilvl w:val="0"/>
          <w:numId w:val="0"/>
        </w:numPr>
        <w:tabs>
          <w:tab w:val="clear" w:pos="567"/>
          <w:tab w:val="clear" w:pos="1134"/>
          <w:tab w:val="clear" w:pos="1701"/>
          <w:tab w:val="clear" w:pos="2268"/>
          <w:tab w:val="left" w:pos="1985"/>
        </w:tabs>
        <w:ind w:left="1332"/>
        <w:rPr>
          <w:rStyle w:val="normaltextrun"/>
          <w:rFonts w:eastAsiaTheme="majorEastAsia"/>
        </w:rPr>
      </w:pPr>
      <w:r w:rsidRPr="00ED7E61">
        <w:rPr>
          <w:rStyle w:val="normaltextrun"/>
          <w:rFonts w:eastAsiaTheme="majorEastAsia"/>
        </w:rPr>
        <w:t>Not applicable.</w:t>
      </w:r>
      <w:r w:rsidRPr="00ED7E61">
        <w:rPr>
          <w:rStyle w:val="normaltextrun"/>
        </w:rPr>
        <w:t> </w:t>
      </w:r>
    </w:p>
    <w:p w14:paraId="09A8AE22"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For Level 2 data:  </w:t>
      </w:r>
    </w:p>
    <w:p w14:paraId="272D0B92" w14:textId="77777777" w:rsidR="00756F0F" w:rsidRPr="00ED7E61" w:rsidRDefault="00756F0F" w:rsidP="004C0D25">
      <w:pPr>
        <w:pStyle w:val="CBDNormalNumber"/>
        <w:numPr>
          <w:ilvl w:val="0"/>
          <w:numId w:val="0"/>
        </w:numPr>
        <w:tabs>
          <w:tab w:val="clear" w:pos="567"/>
          <w:tab w:val="clear" w:pos="1134"/>
          <w:tab w:val="clear" w:pos="1701"/>
          <w:tab w:val="clear" w:pos="2268"/>
          <w:tab w:val="left" w:pos="1985"/>
        </w:tabs>
        <w:ind w:left="1332"/>
        <w:rPr>
          <w:rStyle w:val="normaltextrun"/>
          <w:rFonts w:eastAsiaTheme="majorEastAsia"/>
        </w:rPr>
      </w:pPr>
      <w:r w:rsidRPr="00ED7E61">
        <w:rPr>
          <w:rStyle w:val="normaltextrun"/>
          <w:rFonts w:eastAsiaTheme="majorEastAsia"/>
        </w:rPr>
        <w:t>The United Nations Environment Programme (UNEP) and the Regional Seas do not make any estimation or imputation for missing values, so the number of data points provided are actual country data.</w:t>
      </w:r>
      <w:r w:rsidRPr="00ED7E61">
        <w:rPr>
          <w:rStyle w:val="normaltextrun"/>
        </w:rPr>
        <w:t> </w:t>
      </w:r>
    </w:p>
    <w:p w14:paraId="0621A2E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5372461D" w14:textId="77777777" w:rsidR="00756F0F" w:rsidRPr="00ED7E61" w:rsidRDefault="00756F0F" w:rsidP="007F3D0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61F89F19" w14:textId="77777777" w:rsidR="00756F0F" w:rsidRPr="00ED7E61" w:rsidRDefault="00756F0F" w:rsidP="004C0D25">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 </w:t>
      </w:r>
      <w:r w:rsidRPr="00ED7E61">
        <w:rPr>
          <w:rStyle w:val="eop"/>
          <w:rFonts w:asciiTheme="majorBidi" w:eastAsiaTheme="majorEastAsia" w:hAnsiTheme="majorBidi" w:cstheme="majorBidi"/>
          <w:sz w:val="22"/>
          <w:szCs w:val="22"/>
        </w:rPr>
        <w:t> </w:t>
      </w:r>
    </w:p>
    <w:p w14:paraId="19FC76BF" w14:textId="77777777" w:rsidR="00756F0F" w:rsidRPr="00ED7E61" w:rsidRDefault="00756F0F" w:rsidP="004C0D25">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National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0564501D"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Scale of data disaggregation/aggregation: Regional and national level. *Sub-national level can also be derived upon request.  </w:t>
      </w:r>
    </w:p>
    <w:p w14:paraId="74620A06"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Global/ regional scale indicator can be disaggregated to national level: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70278FCC"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National data is collated to form global indicator: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38C47C9F" w14:textId="77777777" w:rsidR="00756F0F" w:rsidRPr="00ED7E61" w:rsidRDefault="00756F0F" w:rsidP="00B10F0C">
      <w:pPr>
        <w:pStyle w:val="CBDNormalNumber"/>
        <w:numPr>
          <w:ilvl w:val="1"/>
          <w:numId w:val="7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Global LMEs and River Basins scale indicator: ​</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64EDAEC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0D582D3E"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The</w:t>
      </w:r>
      <w:r w:rsidRPr="00ED7E61">
        <w:rPr>
          <w:rStyle w:val="normaltextrun"/>
          <w:rFonts w:asciiTheme="majorBidi" w:eastAsiaTheme="majorEastAsia" w:hAnsiTheme="majorBidi" w:cstheme="majorBidi"/>
        </w:rPr>
        <w:t xml:space="preserve"> methodology for global (Level 1) and national (Level 2) indicators</w:t>
      </w:r>
      <w:r w:rsidRPr="00ED7E61">
        <w:rPr>
          <w:rStyle w:val="normaltextrun"/>
          <w:rFonts w:asciiTheme="majorBidi" w:eastAsiaTheme="majorEastAsia" w:hAnsiTheme="majorBidi" w:cstheme="majorBidi"/>
          <w:i/>
          <w:iCs/>
        </w:rPr>
        <w:t xml:space="preserve"> </w:t>
      </w:r>
      <w:r w:rsidRPr="00ED7E61">
        <w:rPr>
          <w:rStyle w:val="normaltextrun"/>
          <w:rFonts w:asciiTheme="majorBidi" w:eastAsiaTheme="majorEastAsia" w:hAnsiTheme="majorBidi" w:cstheme="majorBidi"/>
        </w:rPr>
        <w:t xml:space="preserve">(Global Manual on Ocean Statistics for Measuring SDG 14.1.1, 14.2.1 and 14.5.1) is available at the following link: </w:t>
      </w:r>
      <w:hyperlink r:id="rId475" w:tgtFrame="_blank" w:history="1">
        <w:r w:rsidRPr="00ED7E61">
          <w:rPr>
            <w:rStyle w:val="normaltextrun"/>
            <w:rFonts w:asciiTheme="majorBidi" w:eastAsiaTheme="majorEastAsia" w:hAnsiTheme="majorBidi" w:cstheme="majorBidi"/>
            <w:color w:val="467886"/>
            <w:u w:val="single"/>
          </w:rPr>
          <w:t>https://wedocs.unep.org/handle/20.500.11822/35086</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0ACC6889"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UNEP</w:t>
      </w:r>
      <w:r w:rsidRPr="00ED7E61">
        <w:rPr>
          <w:rStyle w:val="normaltextrun"/>
          <w:rFonts w:asciiTheme="majorBidi" w:eastAsiaTheme="majorEastAsia" w:hAnsiTheme="majorBidi" w:cstheme="majorBidi"/>
        </w:rPr>
        <w:t xml:space="preserve"> is preparing guidance for the development of national modelled values of the ICEP. Some countries are not coastal but do contribute to coastal nutrient loads via watersheds; however, the ICEP models are only designed for countries with mouths of river(s).  </w:t>
      </w:r>
      <w:r w:rsidRPr="00ED7E61">
        <w:rPr>
          <w:rStyle w:val="eop"/>
          <w:rFonts w:asciiTheme="majorBidi" w:eastAsiaTheme="majorEastAsia" w:hAnsiTheme="majorBidi" w:cstheme="majorBidi"/>
        </w:rPr>
        <w:t> </w:t>
      </w:r>
    </w:p>
    <w:p w14:paraId="5ED30E68"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The</w:t>
      </w:r>
      <w:r w:rsidRPr="00ED7E61">
        <w:rPr>
          <w:rStyle w:val="normaltextrun"/>
          <w:rFonts w:asciiTheme="majorBidi" w:eastAsiaTheme="majorEastAsia" w:hAnsiTheme="majorBidi" w:cstheme="majorBidi"/>
        </w:rPr>
        <w:t xml:space="preserve"> national level data for this indicator will be data collected from countries and will measure the ICEP at the mouth of rivers in those countries. Modelled data will not be used unless countries are not able to measure ICEP; it is not yet clear if the use of modelled data will cover landlocked countries.</w:t>
      </w:r>
      <w:r w:rsidRPr="00ED7E61">
        <w:rPr>
          <w:rStyle w:val="eop"/>
          <w:rFonts w:asciiTheme="majorBidi" w:eastAsiaTheme="majorEastAsia" w:hAnsiTheme="majorBidi" w:cstheme="majorBidi"/>
        </w:rPr>
        <w:t> </w:t>
      </w:r>
    </w:p>
    <w:p w14:paraId="61DCA64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68E43E0C" w14:textId="588EA846"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For</w:t>
      </w:r>
      <w:r w:rsidRPr="00ED7E61">
        <w:rPr>
          <w:rStyle w:val="normaltextrun"/>
          <w:rFonts w:asciiTheme="majorBidi" w:eastAsiaTheme="majorEastAsia" w:hAnsiTheme="majorBidi" w:cstheme="majorBidi"/>
        </w:rPr>
        <w:t xml:space="preserve"> Level 1</w:t>
      </w:r>
      <w:r w:rsidR="007F3D0B">
        <w:rPr>
          <w:rStyle w:val="normaltextrun"/>
          <w:rFonts w:asciiTheme="majorBidi" w:eastAsiaTheme="majorEastAsia" w:hAnsiTheme="majorBidi" w:cstheme="majorBidi"/>
        </w:rPr>
        <w:t>:</w:t>
      </w:r>
    </w:p>
    <w:p w14:paraId="172D320C" w14:textId="1B3AEF1A" w:rsidR="00756F0F" w:rsidRPr="00ED7E61" w:rsidRDefault="007F3D0B" w:rsidP="007F3D0B">
      <w:pPr>
        <w:pStyle w:val="CBDNormalNumber"/>
        <w:numPr>
          <w:ilvl w:val="0"/>
          <w:numId w:val="0"/>
        </w:numPr>
        <w:tabs>
          <w:tab w:val="clear" w:pos="567"/>
          <w:tab w:val="clear" w:pos="1134"/>
          <w:tab w:val="clear" w:pos="1701"/>
          <w:tab w:val="clear" w:pos="2268"/>
          <w:tab w:val="left" w:pos="1985"/>
        </w:tabs>
        <w:ind w:left="1332"/>
        <w:rPr>
          <w:rStyle w:val="normaltextrun"/>
          <w:rFonts w:eastAsiaTheme="majorEastAsia"/>
        </w:rPr>
      </w:pPr>
      <w:r>
        <w:rPr>
          <w:rStyle w:val="normaltextrun"/>
          <w:rFonts w:eastAsiaTheme="majorEastAsia"/>
        </w:rPr>
        <w:t>G</w:t>
      </w:r>
      <w:r w:rsidR="00756F0F" w:rsidRPr="00ED7E61">
        <w:rPr>
          <w:rStyle w:val="normaltextrun"/>
          <w:rFonts w:eastAsiaTheme="majorEastAsia"/>
        </w:rPr>
        <w:t>lobal models are used. </w:t>
      </w:r>
      <w:r w:rsidR="00756F0F" w:rsidRPr="00ED7E61">
        <w:rPr>
          <w:rStyle w:val="normaltextrun"/>
        </w:rPr>
        <w:t> </w:t>
      </w:r>
    </w:p>
    <w:p w14:paraId="3BE5A81D" w14:textId="68000850"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For Level 2</w:t>
      </w:r>
      <w:r w:rsidR="007F3D0B">
        <w:rPr>
          <w:color w:val="000000" w:themeColor="text1"/>
          <w:lang w:val="en-US"/>
        </w:rPr>
        <w:t>:</w:t>
      </w:r>
    </w:p>
    <w:p w14:paraId="746F2B63" w14:textId="4E28B911" w:rsidR="00756F0F" w:rsidRPr="00ED7E61" w:rsidRDefault="007F3D0B" w:rsidP="007F3D0B">
      <w:pPr>
        <w:pStyle w:val="CBDNormalNumber"/>
        <w:numPr>
          <w:ilvl w:val="0"/>
          <w:numId w:val="0"/>
        </w:numPr>
        <w:tabs>
          <w:tab w:val="clear" w:pos="567"/>
          <w:tab w:val="clear" w:pos="1134"/>
          <w:tab w:val="clear" w:pos="1701"/>
          <w:tab w:val="clear" w:pos="2268"/>
          <w:tab w:val="left" w:pos="1985"/>
        </w:tabs>
        <w:ind w:left="1332"/>
        <w:rPr>
          <w:rStyle w:val="normaltextrun"/>
          <w:rFonts w:eastAsiaTheme="majorEastAsia"/>
        </w:rPr>
      </w:pPr>
      <w:r>
        <w:rPr>
          <w:rStyle w:val="normaltextrun"/>
          <w:rFonts w:eastAsiaTheme="majorEastAsia"/>
        </w:rPr>
        <w:t>N</w:t>
      </w:r>
      <w:r w:rsidR="00756F0F" w:rsidRPr="00ED7E61">
        <w:rPr>
          <w:rStyle w:val="normaltextrun"/>
          <w:rFonts w:eastAsiaTheme="majorEastAsia"/>
        </w:rPr>
        <w:t>ational data is used. National level models of the index of coastal eutrophication will be initiated beginning in 2024.</w:t>
      </w:r>
      <w:r w:rsidR="00756F0F" w:rsidRPr="00ED7E61">
        <w:rPr>
          <w:rStyle w:val="normaltextrun"/>
        </w:rPr>
        <w:t> </w:t>
      </w:r>
    </w:p>
    <w:p w14:paraId="67E0606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25DF884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 Description of the methodology</w:t>
      </w:r>
      <w:r w:rsidRPr="00ED7E61">
        <w:rPr>
          <w:rStyle w:val="eop"/>
          <w:rFonts w:asciiTheme="majorBidi" w:eastAsiaTheme="majorEastAsia" w:hAnsiTheme="majorBidi" w:cstheme="majorBidi"/>
          <w:sz w:val="22"/>
          <w:szCs w:val="22"/>
        </w:rPr>
        <w:t> </w:t>
      </w:r>
    </w:p>
    <w:p w14:paraId="0B7B76AB"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The</w:t>
      </w:r>
      <w:r w:rsidRPr="00ED7E61">
        <w:rPr>
          <w:rStyle w:val="normaltextrun"/>
          <w:rFonts w:asciiTheme="majorBidi" w:eastAsiaTheme="majorEastAsia" w:hAnsiTheme="majorBidi" w:cstheme="majorBidi"/>
        </w:rPr>
        <w:t xml:space="preserve"> methodology for global (Level 1) and national (Level 2) indicators</w:t>
      </w:r>
      <w:r w:rsidRPr="00ED7E61">
        <w:rPr>
          <w:rStyle w:val="normaltextrun"/>
          <w:rFonts w:asciiTheme="majorBidi" w:eastAsiaTheme="majorEastAsia" w:hAnsiTheme="majorBidi" w:cstheme="majorBidi"/>
          <w:i/>
          <w:iCs/>
        </w:rPr>
        <w:t xml:space="preserve"> </w:t>
      </w:r>
      <w:r w:rsidRPr="00ED7E61">
        <w:rPr>
          <w:rStyle w:val="normaltextrun"/>
          <w:rFonts w:asciiTheme="majorBidi" w:eastAsiaTheme="majorEastAsia" w:hAnsiTheme="majorBidi" w:cstheme="majorBidi"/>
        </w:rPr>
        <w:t xml:space="preserve">(Global Manual on Ocean Statistics for Measuring SDG 14.1.1, 14.2.1 and 14.5.1) is available at the following link: </w:t>
      </w:r>
      <w:hyperlink r:id="rId476" w:tgtFrame="_blank" w:history="1">
        <w:r w:rsidRPr="00ED7E61">
          <w:rPr>
            <w:rStyle w:val="normaltextrun"/>
            <w:rFonts w:asciiTheme="majorBidi" w:eastAsiaTheme="majorEastAsia" w:hAnsiTheme="majorBidi" w:cstheme="majorBidi"/>
            <w:color w:val="467886"/>
            <w:u w:val="single"/>
          </w:rPr>
          <w:t>https://wedocs.unep.org/handle/20.500.11822/35086</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1A84290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5B27DAFF"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UN</w:t>
      </w:r>
      <w:r w:rsidRPr="00ED7E61">
        <w:rPr>
          <w:rStyle w:val="normaltextrun"/>
          <w:rFonts w:asciiTheme="majorBidi" w:eastAsiaTheme="majorEastAsia" w:hAnsiTheme="majorBidi" w:cstheme="majorBidi"/>
        </w:rPr>
        <w:t xml:space="preserve"> Environment will continue to provide regional (at the scale of large marine ecosystems and at the scale of basins) data for the ICEP values. UNEP is working (starting in 2024) to provide national modeled values for ICEP, and it is these national values that will be used to feed into CBD reporting.</w:t>
      </w:r>
      <w:r w:rsidRPr="00ED7E61">
        <w:rPr>
          <w:rStyle w:val="eop"/>
          <w:rFonts w:asciiTheme="majorBidi" w:eastAsiaTheme="majorEastAsia" w:hAnsiTheme="majorBidi" w:cstheme="majorBidi"/>
        </w:rPr>
        <w:t> </w:t>
      </w:r>
    </w:p>
    <w:p w14:paraId="23094B7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6d.3 Description of the mechanism for collecting data from countries</w:t>
      </w:r>
      <w:r w:rsidRPr="00ED7E61">
        <w:rPr>
          <w:rStyle w:val="eop"/>
          <w:rFonts w:asciiTheme="majorBidi" w:eastAsiaTheme="majorEastAsia" w:hAnsiTheme="majorBidi" w:cstheme="majorBidi"/>
          <w:sz w:val="22"/>
          <w:szCs w:val="22"/>
        </w:rPr>
        <w:t> </w:t>
      </w:r>
    </w:p>
    <w:p w14:paraId="36A10479"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National data collection through the Regional Seas already exists for many Regional Seas; this data will be compiled for SDG reporting in 2023. </w:t>
      </w:r>
    </w:p>
    <w:p w14:paraId="5A35738B" w14:textId="382915A4"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w:t>
      </w:r>
      <w:r w:rsidR="00B10F0C">
        <w:rPr>
          <w:rStyle w:val="normaltextrun"/>
          <w:rFonts w:asciiTheme="majorBidi" w:eastAsiaTheme="majorEastAsia" w:hAnsiTheme="majorBidi" w:cstheme="majorBidi"/>
          <w:b/>
          <w:bCs/>
          <w:sz w:val="22"/>
          <w:szCs w:val="22"/>
        </w:rPr>
        <w:t>z</w:t>
      </w:r>
      <w:r w:rsidRPr="00ED7E61">
        <w:rPr>
          <w:rStyle w:val="normaltextrun"/>
          <w:rFonts w:asciiTheme="majorBidi" w:eastAsiaTheme="majorEastAsia" w:hAnsiTheme="majorBidi" w:cstheme="majorBidi"/>
          <w:b/>
          <w:bCs/>
          <w:sz w:val="22"/>
          <w:szCs w:val="22"/>
        </w:rPr>
        <w:t>ations</w:t>
      </w:r>
      <w:r w:rsidRPr="00ED7E61">
        <w:rPr>
          <w:rStyle w:val="eop"/>
          <w:rFonts w:asciiTheme="majorBidi" w:eastAsiaTheme="majorEastAsia" w:hAnsiTheme="majorBidi" w:cstheme="majorBidi"/>
          <w:sz w:val="22"/>
          <w:szCs w:val="22"/>
        </w:rPr>
        <w:t> </w:t>
      </w:r>
    </w:p>
    <w:p w14:paraId="4F9E7050" w14:textId="77777777" w:rsidR="00756F0F" w:rsidRPr="00ED7E61" w:rsidRDefault="00756F0F" w:rsidP="006D3A5D">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0C479E95" w14:textId="77777777" w:rsidR="00756F0F" w:rsidRPr="00ED7E61" w:rsidRDefault="00756F0F" w:rsidP="006D3A5D">
      <w:pPr>
        <w:pStyle w:val="paragraph"/>
        <w:spacing w:before="0" w:beforeAutospacing="0" w:after="0" w:afterAutospacing="0"/>
        <w:ind w:left="567"/>
        <w:textAlignment w:val="baseline"/>
        <w:rPr>
          <w:rFonts w:asciiTheme="majorBidi" w:hAnsiTheme="majorBidi" w:cstheme="majorBidi"/>
          <w:color w:val="000000"/>
          <w:sz w:val="22"/>
          <w:szCs w:val="22"/>
        </w:rPr>
      </w:pPr>
      <w:r w:rsidRPr="00ED7E61">
        <w:rPr>
          <w:rStyle w:val="normaltextrun"/>
          <w:rFonts w:asciiTheme="majorBidi" w:eastAsiaTheme="majorEastAsia" w:hAnsiTheme="majorBidi" w:cstheme="majorBidi"/>
          <w:color w:val="000000"/>
          <w:sz w:val="22"/>
          <w:szCs w:val="22"/>
          <w:lang w:val="en-US"/>
        </w:rPr>
        <w:t>Sustainable Development Goals (SDG): indicator 14.1.1 (a) Index of coastal eutrophication</w:t>
      </w:r>
      <w:r w:rsidRPr="00ED7E61">
        <w:rPr>
          <w:rStyle w:val="eop"/>
          <w:rFonts w:asciiTheme="majorBidi" w:eastAsiaTheme="majorEastAsia" w:hAnsiTheme="majorBidi" w:cstheme="majorBidi"/>
          <w:color w:val="000000"/>
          <w:sz w:val="22"/>
          <w:szCs w:val="22"/>
        </w:rPr>
        <w:t> </w:t>
      </w:r>
    </w:p>
    <w:p w14:paraId="329B74B9" w14:textId="77777777" w:rsidR="00756F0F" w:rsidRPr="00ED7E61" w:rsidRDefault="00756F0F" w:rsidP="006D3A5D">
      <w:pPr>
        <w:pStyle w:val="paragraph"/>
        <w:pBdr>
          <w:bottom w:val="single" w:sz="4" w:space="1" w:color="000000"/>
        </w:pBdr>
        <w:spacing w:before="120" w:beforeAutospacing="0" w:after="0" w:afterAutospacing="0"/>
        <w:textAlignment w:val="baseline"/>
        <w:rPr>
          <w:rFonts w:asciiTheme="majorBidi" w:hAnsiTheme="majorBidi" w:cstheme="majorBidi"/>
          <w:color w:val="000000"/>
          <w:sz w:val="22"/>
          <w:szCs w:val="22"/>
        </w:rPr>
      </w:pPr>
      <w:r w:rsidRPr="00ED7E61">
        <w:rPr>
          <w:rStyle w:val="normaltextrun"/>
          <w:rFonts w:asciiTheme="majorBidi" w:eastAsiaTheme="majorEastAsia" w:hAnsiTheme="majorBidi" w:cstheme="majorBidi"/>
          <w:b/>
          <w:bCs/>
          <w:sz w:val="22"/>
          <w:szCs w:val="22"/>
          <w:lang w:val="en-US"/>
        </w:rPr>
        <w:t>7b.</w:t>
      </w:r>
      <w:r w:rsidRPr="00ED7E61">
        <w:rPr>
          <w:rStyle w:val="normaltextrun"/>
          <w:rFonts w:asciiTheme="majorBidi" w:eastAsiaTheme="majorEastAsia" w:hAnsiTheme="majorBidi" w:cstheme="majorBidi"/>
          <w:sz w:val="22"/>
          <w:szCs w:val="22"/>
          <w:lang w:val="en-US"/>
        </w:rPr>
        <w:t xml:space="preserve"> </w:t>
      </w:r>
      <w:r w:rsidRPr="00ED7E61">
        <w:rPr>
          <w:rStyle w:val="normaltextrun"/>
          <w:rFonts w:asciiTheme="majorBidi" w:eastAsiaTheme="majorEastAsia" w:hAnsiTheme="majorBidi" w:cstheme="majorBidi"/>
          <w:b/>
          <w:bCs/>
          <w:sz w:val="22"/>
          <w:szCs w:val="22"/>
          <w:lang w:val="en-US"/>
        </w:rPr>
        <w:t>Biodiversity Indicator Partnership</w:t>
      </w:r>
      <w:r w:rsidRPr="00ED7E61">
        <w:rPr>
          <w:rStyle w:val="eop"/>
          <w:rFonts w:asciiTheme="majorBidi" w:eastAsiaTheme="majorEastAsia" w:hAnsiTheme="majorBidi" w:cstheme="majorBidi"/>
          <w:sz w:val="22"/>
          <w:szCs w:val="22"/>
        </w:rPr>
        <w:t> </w:t>
      </w:r>
    </w:p>
    <w:p w14:paraId="10D9B8B3" w14:textId="77777777" w:rsidR="00756F0F" w:rsidRPr="00ED7E61" w:rsidRDefault="00756F0F" w:rsidP="006D3A5D">
      <w:pPr>
        <w:pStyle w:val="paragraph"/>
        <w:spacing w:before="0" w:beforeAutospacing="0" w:after="0" w:afterAutospacing="0"/>
        <w:ind w:left="567"/>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sz w:val="22"/>
          <w:szCs w:val="22"/>
        </w:rPr>
        <w:t xml:space="preserve">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0B8F5631" w14:textId="406C0545"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047A9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047A9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14EA3AE5" w14:textId="77777777"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A geospatial disaggregation of the state of pollution is proposed. For the ICEP loading indicators, this disaggregation should be at the sub-basin level. </w:t>
      </w:r>
    </w:p>
    <w:p w14:paraId="78E2134B" w14:textId="04BFF6FD" w:rsidR="00756F0F" w:rsidRPr="00ED7E61" w:rsidRDefault="00756F0F" w:rsidP="00B10F0C">
      <w:pPr>
        <w:pStyle w:val="CBDNormalNumber"/>
        <w:numPr>
          <w:ilvl w:val="0"/>
          <w:numId w:val="76"/>
        </w:numPr>
        <w:ind w:left="567" w:firstLine="0"/>
        <w:jc w:val="left"/>
        <w:rPr>
          <w:color w:val="000000" w:themeColor="text1"/>
          <w:lang w:val="en-US"/>
        </w:rPr>
      </w:pPr>
      <w:r w:rsidRPr="00ED7E61">
        <w:rPr>
          <w:color w:val="000000" w:themeColor="text1"/>
          <w:lang w:val="en-US"/>
        </w:rPr>
        <w:t xml:space="preserve">The processes of assessing and reporting on this indicator should be inclusive, following the approach outlined in Section C for implementing the GBF. The planned data collection for this ICEP indicator does not collect or permit disaggregation by gender or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ommunities</w:t>
      </w:r>
      <w:r w:rsidRPr="00ED7E61">
        <w:rPr>
          <w:color w:val="000000" w:themeColor="text1"/>
          <w:lang w:val="en-US"/>
        </w:rPr>
        <w:t>. The indicator does not assess the impact of pollution; rather, the indicator relies on environmental measurements or models of nutrient levels, human population levels, agricultural chemical use and other contributors to nutrient pollution runoff.   </w:t>
      </w:r>
    </w:p>
    <w:p w14:paraId="140B159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indicators</w:t>
      </w:r>
      <w:r w:rsidRPr="00ED7E61">
        <w:rPr>
          <w:rStyle w:val="eop"/>
          <w:rFonts w:asciiTheme="majorBidi" w:eastAsiaTheme="majorEastAsia" w:hAnsiTheme="majorBidi" w:cstheme="majorBidi"/>
          <w:sz w:val="22"/>
          <w:szCs w:val="22"/>
        </w:rPr>
        <w:t> </w:t>
      </w:r>
    </w:p>
    <w:p w14:paraId="0848FB22" w14:textId="77777777" w:rsidR="00756F0F" w:rsidRPr="00ED7E61" w:rsidRDefault="00756F0F" w:rsidP="006D3A5D">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i/>
          <w:iCs/>
        </w:rPr>
        <w:t>N/A</w:t>
      </w:r>
      <w:r w:rsidRPr="00ED7E61">
        <w:rPr>
          <w:rStyle w:val="eop"/>
          <w:rFonts w:asciiTheme="majorBidi" w:eastAsiaTheme="majorEastAsia" w:hAnsiTheme="majorBidi" w:cstheme="majorBidi"/>
        </w:rPr>
        <w:t> </w:t>
      </w:r>
    </w:p>
    <w:p w14:paraId="72D70BA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3EE82B97" w14:textId="3D03146A" w:rsidR="00756F0F" w:rsidRPr="006D3A5D"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6D3A5D">
        <w:rPr>
          <w:rStyle w:val="normaltextrun"/>
          <w:rFonts w:asciiTheme="majorBidi" w:eastAsiaTheme="majorEastAsia" w:hAnsiTheme="majorBidi" w:cstheme="majorBidi"/>
          <w:b/>
          <w:bCs/>
          <w:sz w:val="22"/>
          <w:szCs w:val="22"/>
        </w:rPr>
        <w:t>10a. Organi</w:t>
      </w:r>
      <w:r w:rsidR="006D3A5D" w:rsidRPr="006D3A5D">
        <w:rPr>
          <w:rStyle w:val="normaltextrun"/>
          <w:rFonts w:asciiTheme="majorBidi" w:eastAsiaTheme="majorEastAsia" w:hAnsiTheme="majorBidi" w:cstheme="majorBidi"/>
          <w:b/>
          <w:bCs/>
          <w:sz w:val="22"/>
          <w:szCs w:val="22"/>
        </w:rPr>
        <w:t>z</w:t>
      </w:r>
      <w:r w:rsidRPr="006D3A5D">
        <w:rPr>
          <w:rStyle w:val="normaltextrun"/>
          <w:rFonts w:asciiTheme="majorBidi" w:eastAsiaTheme="majorEastAsia" w:hAnsiTheme="majorBidi" w:cstheme="majorBidi"/>
          <w:b/>
          <w:bCs/>
          <w:sz w:val="22"/>
          <w:szCs w:val="22"/>
        </w:rPr>
        <w:t>ation </w:t>
      </w:r>
      <w:r w:rsidRPr="006D3A5D">
        <w:rPr>
          <w:rStyle w:val="eop"/>
          <w:rFonts w:asciiTheme="majorBidi" w:eastAsiaTheme="majorEastAsia" w:hAnsiTheme="majorBidi" w:cstheme="majorBidi"/>
          <w:sz w:val="22"/>
          <w:szCs w:val="22"/>
        </w:rPr>
        <w:t> </w:t>
      </w:r>
    </w:p>
    <w:p w14:paraId="6BDD12CC" w14:textId="77777777" w:rsidR="00756F0F" w:rsidRPr="00ED7E61" w:rsidRDefault="00756F0F" w:rsidP="006D3A5D">
      <w:pPr>
        <w:pStyle w:val="CBDNormalNumber"/>
        <w:numPr>
          <w:ilvl w:val="0"/>
          <w:numId w:val="0"/>
        </w:numPr>
        <w:ind w:left="567"/>
        <w:jc w:val="left"/>
        <w:rPr>
          <w:color w:val="000000" w:themeColor="text1"/>
          <w:lang w:val="en-US"/>
        </w:rPr>
      </w:pPr>
      <w:r w:rsidRPr="00ED7E61">
        <w:rPr>
          <w:color w:val="000000" w:themeColor="text1"/>
          <w:lang w:val="en-US"/>
        </w:rPr>
        <w:t>United Nations Environment Programme (UNEP) </w:t>
      </w:r>
    </w:p>
    <w:p w14:paraId="1B271F3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46E615D7" w14:textId="77777777" w:rsidR="00756F0F" w:rsidRPr="00ED7E61" w:rsidRDefault="00756F0F" w:rsidP="00B10F0C">
      <w:pPr>
        <w:pStyle w:val="CBDNormalNumber"/>
        <w:numPr>
          <w:ilvl w:val="0"/>
          <w:numId w:val="76"/>
        </w:numPr>
        <w:ind w:left="567" w:firstLine="0"/>
        <w:jc w:val="left"/>
        <w:rPr>
          <w:rFonts w:asciiTheme="majorBidi" w:hAnsiTheme="majorBidi" w:cstheme="majorBidi"/>
        </w:rPr>
      </w:pPr>
      <w:r w:rsidRPr="00ED7E61">
        <w:rPr>
          <w:color w:val="000000" w:themeColor="text1"/>
          <w:lang w:val="en-US"/>
        </w:rPr>
        <w:t>Dany</w:t>
      </w:r>
      <w:r w:rsidRPr="00ED7E61">
        <w:rPr>
          <w:rStyle w:val="normaltextrun"/>
          <w:rFonts w:asciiTheme="majorBidi" w:eastAsiaTheme="majorEastAsia" w:hAnsiTheme="majorBidi" w:cstheme="majorBidi"/>
        </w:rPr>
        <w:t xml:space="preserve"> Ghafari, (</w:t>
      </w:r>
      <w:hyperlink r:id="rId477" w:tgtFrame="_blank" w:history="1">
        <w:r w:rsidRPr="00ED7E61">
          <w:rPr>
            <w:rStyle w:val="normaltextrun"/>
            <w:rFonts w:asciiTheme="majorBidi" w:eastAsiaTheme="majorEastAsia" w:hAnsiTheme="majorBidi" w:cstheme="majorBidi"/>
            <w:color w:val="000000" w:themeColor="text1"/>
            <w:u w:val="single"/>
            <w:lang w:val="en-US"/>
          </w:rPr>
          <w:t>dany</w:t>
        </w:r>
        <w:r w:rsidRPr="00ED7E61">
          <w:rPr>
            <w:rStyle w:val="normaltextrun"/>
            <w:rFonts w:asciiTheme="majorBidi" w:eastAsiaTheme="majorEastAsia" w:hAnsiTheme="majorBidi" w:cstheme="majorBidi"/>
            <w:color w:val="467886"/>
            <w:u w:val="single"/>
          </w:rPr>
          <w:t>.ghafari@un.org</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03E0B92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11. References</w:t>
      </w:r>
      <w:r w:rsidRPr="00ED7E61">
        <w:rPr>
          <w:rStyle w:val="eop"/>
          <w:rFonts w:asciiTheme="majorBidi" w:eastAsiaTheme="majorEastAsia" w:hAnsiTheme="majorBidi" w:cstheme="majorBidi"/>
          <w:sz w:val="22"/>
          <w:szCs w:val="22"/>
        </w:rPr>
        <w:t> </w:t>
      </w:r>
    </w:p>
    <w:p w14:paraId="5F2C54D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Website</w:t>
      </w:r>
      <w:r w:rsidRPr="00ED7E61">
        <w:rPr>
          <w:rStyle w:val="eop"/>
          <w:rFonts w:asciiTheme="majorBidi" w:eastAsiaTheme="majorEastAsia" w:hAnsiTheme="majorBidi" w:cstheme="majorBidi"/>
          <w:sz w:val="22"/>
          <w:szCs w:val="22"/>
        </w:rPr>
        <w:t> </w:t>
      </w:r>
    </w:p>
    <w:p w14:paraId="42C00BCF" w14:textId="77777777" w:rsidR="00756F0F" w:rsidRPr="00ED7E61" w:rsidRDefault="00756F0F" w:rsidP="006D3A5D">
      <w:pPr>
        <w:pStyle w:val="CBDNormalNumber"/>
        <w:numPr>
          <w:ilvl w:val="0"/>
          <w:numId w:val="0"/>
        </w:numPr>
        <w:ind w:left="567"/>
        <w:jc w:val="left"/>
        <w:rPr>
          <w:rFonts w:asciiTheme="majorBidi" w:hAnsiTheme="majorBidi" w:cstheme="majorBidi"/>
        </w:rPr>
      </w:pPr>
      <w:r w:rsidRPr="00ED7E61">
        <w:rPr>
          <w:color w:val="000000" w:themeColor="text1"/>
          <w:lang w:val="en-US"/>
        </w:rPr>
        <w:t>Regional</w:t>
      </w:r>
      <w:r w:rsidRPr="00ED7E61">
        <w:rPr>
          <w:rStyle w:val="normaltextrun"/>
          <w:rFonts w:asciiTheme="majorBidi" w:eastAsiaTheme="majorEastAsia" w:hAnsiTheme="majorBidi" w:cstheme="majorBidi"/>
        </w:rPr>
        <w:t xml:space="preserve"> Seas website: </w:t>
      </w:r>
      <w:hyperlink r:id="rId478" w:tgtFrame="_blank" w:history="1">
        <w:r w:rsidRPr="00ED7E61">
          <w:rPr>
            <w:rStyle w:val="normaltextrun"/>
            <w:rFonts w:asciiTheme="majorBidi" w:eastAsiaTheme="majorEastAsia" w:hAnsiTheme="majorBidi" w:cstheme="majorBidi"/>
            <w:color w:val="467886"/>
            <w:u w:val="single"/>
          </w:rPr>
          <w:t>https://www.unenvironment.org/explore-topics/oceans-seas/what-wedo/working-regional-seas</w:t>
        </w:r>
      </w:hyperlink>
      <w:r w:rsidRPr="00ED7E61">
        <w:rPr>
          <w:rStyle w:val="eop"/>
          <w:rFonts w:asciiTheme="majorBidi" w:eastAsiaTheme="majorEastAsia" w:hAnsiTheme="majorBidi" w:cstheme="majorBidi"/>
          <w:color w:val="467886"/>
        </w:rPr>
        <w:t> </w:t>
      </w:r>
    </w:p>
    <w:p w14:paraId="5C91CB2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References</w:t>
      </w:r>
      <w:r w:rsidRPr="00ED7E61">
        <w:rPr>
          <w:rStyle w:val="eop"/>
          <w:rFonts w:asciiTheme="majorBidi" w:eastAsiaTheme="majorEastAsia" w:hAnsiTheme="majorBidi" w:cstheme="majorBidi"/>
          <w:sz w:val="22"/>
          <w:szCs w:val="22"/>
        </w:rPr>
        <w:t> </w:t>
      </w:r>
    </w:p>
    <w:p w14:paraId="1566C8C2" w14:textId="0C598594" w:rsidR="00694186" w:rsidRPr="00ED7E61" w:rsidRDefault="00756F0F" w:rsidP="006D3A5D">
      <w:pPr>
        <w:pStyle w:val="CBDNormalNumber"/>
        <w:numPr>
          <w:ilvl w:val="0"/>
          <w:numId w:val="0"/>
        </w:numPr>
        <w:ind w:left="567"/>
        <w:jc w:val="left"/>
        <w:rPr>
          <w:rFonts w:asciiTheme="majorBidi" w:hAnsiTheme="majorBidi" w:cstheme="majorBidi"/>
        </w:rPr>
      </w:pPr>
      <w:r w:rsidRPr="00ED7E61">
        <w:rPr>
          <w:color w:val="000000" w:themeColor="text1"/>
          <w:lang w:val="en-US"/>
        </w:rPr>
        <w:t>UN</w:t>
      </w:r>
      <w:r w:rsidRPr="00ED7E61">
        <w:rPr>
          <w:rStyle w:val="normaltextrun"/>
          <w:rFonts w:asciiTheme="majorBidi" w:eastAsiaTheme="majorEastAsia" w:hAnsiTheme="majorBidi" w:cstheme="majorBidi"/>
        </w:rPr>
        <w:t xml:space="preserve"> Environment (2018). Global Manual on Ocean Statistics. Towards a definition of indicator methodologies. </w:t>
      </w:r>
      <w:r w:rsidRPr="00ED7E61">
        <w:rPr>
          <w:rStyle w:val="normaltextrun"/>
          <w:rFonts w:asciiTheme="majorBidi" w:eastAsiaTheme="majorEastAsia" w:hAnsiTheme="majorBidi" w:cstheme="majorBidi"/>
          <w:lang w:val="en-US"/>
        </w:rPr>
        <w:t>Nairobi (Kenya): UN Environment. 46 pp. plus four appendices.</w:t>
      </w:r>
      <w:r w:rsidRPr="00ED7E61">
        <w:rPr>
          <w:rStyle w:val="eop"/>
          <w:rFonts w:asciiTheme="majorBidi" w:eastAsiaTheme="majorEastAsia" w:hAnsiTheme="majorBidi" w:cstheme="majorBidi"/>
        </w:rPr>
        <w:t> </w:t>
      </w:r>
    </w:p>
    <w:p w14:paraId="3AC48611" w14:textId="73EF5120" w:rsidR="00694186" w:rsidRPr="00ED7E61" w:rsidRDefault="00756F0F" w:rsidP="006D3A5D">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lang w:val="en-US"/>
        </w:rPr>
        <w:t>Wang, M., X. Liu, L. Jiang and S. Son (2017), The VIIRS Ocean Color Product Algorithm Theoretical Basis Document, National Oceanic and Atmospheric Administration, National Environmental Satellite and Data Information Service, 68 pp., doi: TBD.</w:t>
      </w:r>
      <w:r w:rsidRPr="00ED7E61">
        <w:rPr>
          <w:rStyle w:val="eop"/>
          <w:rFonts w:asciiTheme="majorBidi" w:eastAsiaTheme="majorEastAsia" w:hAnsiTheme="majorBidi" w:cstheme="majorBidi"/>
        </w:rPr>
        <w:t> </w:t>
      </w:r>
    </w:p>
    <w:p w14:paraId="518BB65A" w14:textId="01DDF415" w:rsidR="00694186" w:rsidRPr="00ED7E61" w:rsidRDefault="00756F0F" w:rsidP="006D3A5D">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lang w:val="en-US"/>
        </w:rPr>
        <w:t>Wang, M., X. Liu, L. Jiang, S. Son, J. Sun, W. Shi, L. Tan, P. Naik, K. Mikelsons, X. Wang and V. Lance (2014), Evaluation of VIIRS Ocean Color Products, Proc. SPIE 9261, 92610E, doi: 10.1117/12.2069251.</w:t>
      </w:r>
      <w:r w:rsidRPr="00ED7E61">
        <w:rPr>
          <w:rStyle w:val="eop"/>
          <w:rFonts w:asciiTheme="majorBidi" w:eastAsiaTheme="majorEastAsia" w:hAnsiTheme="majorBidi" w:cstheme="majorBidi"/>
        </w:rPr>
        <w:t> </w:t>
      </w:r>
    </w:p>
    <w:p w14:paraId="6E13A5FF" w14:textId="219C27DB" w:rsidR="00694186" w:rsidRPr="00ED7E61" w:rsidRDefault="00756F0F" w:rsidP="006D3A5D">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lang w:val="en-US"/>
        </w:rPr>
        <w:t>Stumpf, Richard P., Holderied, Kristine, Sinclair, Mark, (2003), Determination of water depth with high-resolution satellite imagery over variable bottom types, Limnology and Oceanography, 1, part, 2, doi: 10.4319/lo.2003.48.1_part_2.0547</w:t>
      </w:r>
      <w:r w:rsidRPr="00ED7E61">
        <w:rPr>
          <w:rStyle w:val="eop"/>
          <w:rFonts w:asciiTheme="majorBidi" w:eastAsiaTheme="majorEastAsia" w:hAnsiTheme="majorBidi" w:cstheme="majorBidi"/>
        </w:rPr>
        <w:t> </w:t>
      </w:r>
    </w:p>
    <w:p w14:paraId="0BB3FE68" w14:textId="2E7E950D" w:rsidR="00694186" w:rsidRPr="00ED7E61" w:rsidRDefault="00756F0F" w:rsidP="006D3A5D">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Garnier, J., Beusen, A., Thieu, V., Billen, G. and Bouwman, L. (2010) N:P:Si nutrient export ratios and ecological consequences in coastal seas evaluated by the ICEP approach</w:t>
      </w:r>
      <w:r w:rsidRPr="00ED7E61">
        <w:rPr>
          <w:rStyle w:val="eop"/>
          <w:rFonts w:asciiTheme="majorBidi" w:eastAsiaTheme="majorEastAsia" w:hAnsiTheme="majorBidi" w:cstheme="majorBidi"/>
        </w:rPr>
        <w:t> </w:t>
      </w:r>
    </w:p>
    <w:p w14:paraId="445636C9" w14:textId="7337025B" w:rsidR="00694186" w:rsidRPr="00ED7E61" w:rsidRDefault="00756F0F" w:rsidP="006D3A5D">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 xml:space="preserve">Billen, G. and Garnier, J.  (2007) River basin nutrient delivery to the coastal sea: Assessing its potential to sustain new production of non-siliceous algae </w:t>
      </w:r>
      <w:r w:rsidRPr="00ED7E61">
        <w:rPr>
          <w:rStyle w:val="normaltextrun"/>
          <w:rFonts w:asciiTheme="majorBidi" w:eastAsiaTheme="majorEastAsia" w:hAnsiTheme="majorBidi" w:cstheme="majorBidi"/>
          <w:i/>
          <w:iCs/>
        </w:rPr>
        <w:t>Marine Chemistry 106(1-2):148-160</w:t>
      </w:r>
      <w:r w:rsidRPr="00ED7E61">
        <w:rPr>
          <w:rStyle w:val="eop"/>
          <w:rFonts w:asciiTheme="majorBidi" w:eastAsiaTheme="majorEastAsia" w:hAnsiTheme="majorBidi" w:cstheme="majorBidi"/>
        </w:rPr>
        <w:t> </w:t>
      </w:r>
    </w:p>
    <w:p w14:paraId="5C22FE6C" w14:textId="01671D69" w:rsidR="00694186" w:rsidRPr="00ED7E61" w:rsidRDefault="00756F0F" w:rsidP="006D3A5D">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 xml:space="preserve">Sathyendranath S., Grant M., Brewin R.J.W., Brockmann C., Brotas V., Chuprin A., Doerffer R., Dowell M., Farman A., Groom S., et al. ESA Ocean Colour Climate Change Initiative (Ocean_Colour_cci): Version 3.1 Data. </w:t>
      </w:r>
      <w:r w:rsidRPr="00ED7E61">
        <w:rPr>
          <w:rStyle w:val="normaltextrun"/>
          <w:rFonts w:asciiTheme="majorBidi" w:eastAsiaTheme="majorEastAsia" w:hAnsiTheme="majorBidi" w:cstheme="majorBidi"/>
          <w:i/>
          <w:iCs/>
        </w:rPr>
        <w:t>Centre for Environmental Data Analysis; Harwell, UK: 2018. Technical Report.</w:t>
      </w:r>
      <w:r w:rsidRPr="00ED7E61">
        <w:rPr>
          <w:rStyle w:val="eop"/>
          <w:rFonts w:asciiTheme="majorBidi" w:eastAsiaTheme="majorEastAsia" w:hAnsiTheme="majorBidi" w:cstheme="majorBidi"/>
        </w:rPr>
        <w:t> </w:t>
      </w:r>
    </w:p>
    <w:p w14:paraId="2527A3AA" w14:textId="77777777" w:rsidR="00756F0F" w:rsidRPr="00ED7E61" w:rsidRDefault="00756F0F" w:rsidP="006D3A5D">
      <w:pPr>
        <w:pStyle w:val="CBDNormalNumber"/>
        <w:numPr>
          <w:ilvl w:val="0"/>
          <w:numId w:val="0"/>
        </w:numPr>
        <w:ind w:left="567"/>
        <w:jc w:val="left"/>
        <w:rPr>
          <w:rFonts w:asciiTheme="majorBidi" w:hAnsiTheme="majorBidi" w:cstheme="majorBidi"/>
        </w:rPr>
      </w:pPr>
      <w:r w:rsidRPr="00ED7E61">
        <w:rPr>
          <w:rStyle w:val="normaltextrun"/>
          <w:rFonts w:asciiTheme="majorBidi" w:eastAsiaTheme="majorEastAsia" w:hAnsiTheme="majorBidi" w:cstheme="majorBidi"/>
        </w:rPr>
        <w:t xml:space="preserve">Strokal, M., Kroeze, C., Wang, M., and Ma, L. (2016) Reducing future river export of nutrients to coastal waters of China in optimistic scenarios </w:t>
      </w:r>
      <w:r w:rsidRPr="00ED7E61">
        <w:rPr>
          <w:rStyle w:val="normaltextrun"/>
          <w:rFonts w:asciiTheme="majorBidi" w:eastAsiaTheme="majorEastAsia" w:hAnsiTheme="majorBidi" w:cstheme="majorBidi"/>
          <w:i/>
          <w:iCs/>
        </w:rPr>
        <w:t>Science of the Total Environment 579.</w:t>
      </w:r>
      <w:r w:rsidRPr="00ED7E61">
        <w:rPr>
          <w:rStyle w:val="eop"/>
          <w:rFonts w:asciiTheme="majorBidi" w:eastAsiaTheme="majorEastAsia" w:hAnsiTheme="majorBidi" w:cstheme="majorBidi"/>
        </w:rPr>
        <w:t> </w:t>
      </w:r>
    </w:p>
    <w:p w14:paraId="7CBE67C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12. Graphs and diagrams </w:t>
      </w:r>
      <w:r w:rsidRPr="00ED7E61">
        <w:rPr>
          <w:rStyle w:val="eop"/>
          <w:rFonts w:asciiTheme="majorBidi" w:eastAsiaTheme="majorEastAsia" w:hAnsiTheme="majorBidi" w:cstheme="majorBidi"/>
          <w:sz w:val="22"/>
          <w:szCs w:val="22"/>
        </w:rPr>
        <w:t> </w:t>
      </w:r>
    </w:p>
    <w:p w14:paraId="2F9F3D64" w14:textId="77777777" w:rsidR="00756F0F" w:rsidRPr="00ED7E61" w:rsidRDefault="00756F0F" w:rsidP="006D3A5D">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0B02FCE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51EE90D8"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0CADAA2D" w14:textId="3CBBF582" w:rsidR="00756F0F" w:rsidRPr="00ED7E61" w:rsidRDefault="00756F0F" w:rsidP="00501E19">
      <w:pPr>
        <w:pStyle w:val="Heading3"/>
      </w:pPr>
      <w:bookmarkStart w:id="50" w:name="_Toc178285863"/>
      <w:r w:rsidRPr="00ED7E61">
        <w:rPr>
          <w:rStyle w:val="normaltextrun"/>
        </w:rPr>
        <w:t>GBF indicator metadata</w:t>
      </w:r>
      <w:r w:rsidR="002946B5" w:rsidRPr="00ED7E61">
        <w:rPr>
          <w:rStyle w:val="normaltextrun"/>
        </w:rPr>
        <w:t>: 7.2 Aggregated Total Applied Toxicity (ATAT)</w:t>
      </w:r>
      <w:bookmarkEnd w:id="50"/>
      <w:r w:rsidRPr="00ED7E61">
        <w:rPr>
          <w:rStyle w:val="normaltextrun"/>
        </w:rPr>
        <w:t> </w:t>
      </w:r>
      <w:r w:rsidRPr="00ED7E61">
        <w:rPr>
          <w:rStyle w:val="eop"/>
        </w:rPr>
        <w:t> </w:t>
      </w:r>
    </w:p>
    <w:p w14:paraId="5C12E60F" w14:textId="77777777" w:rsidR="00501E19" w:rsidRPr="00ED7E61" w:rsidRDefault="00501E19" w:rsidP="00395866">
      <w:pPr>
        <w:pStyle w:val="paragraph"/>
        <w:pBdr>
          <w:bottom w:val="single" w:sz="4" w:space="1" w:color="000000"/>
        </w:pBdr>
        <w:spacing w:before="0" w:beforeAutospacing="0" w:after="0" w:afterAutospacing="0"/>
        <w:textAlignment w:val="baseline"/>
        <w:rPr>
          <w:rStyle w:val="normaltextrun"/>
          <w:rFonts w:asciiTheme="majorBidi" w:eastAsiaTheme="majorEastAsia" w:hAnsiTheme="majorBidi" w:cstheme="majorBidi"/>
          <w:b/>
          <w:bCs/>
          <w:sz w:val="22"/>
          <w:szCs w:val="22"/>
          <w:lang w:val="en-GB"/>
        </w:rPr>
      </w:pPr>
    </w:p>
    <w:p w14:paraId="5615695B" w14:textId="29D14363"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b/>
          <w:bCs/>
          <w:sz w:val="22"/>
          <w:szCs w:val="22"/>
        </w:rPr>
        <w:t> </w:t>
      </w:r>
    </w:p>
    <w:p w14:paraId="0E77B0E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7.2 Aggregated Total Applied Toxicity (ATAT)</w:t>
      </w:r>
      <w:r w:rsidRPr="00ED7E61">
        <w:rPr>
          <w:rStyle w:val="eop"/>
          <w:rFonts w:asciiTheme="majorBidi" w:eastAsiaTheme="majorEastAsia" w:hAnsiTheme="majorBidi" w:cstheme="majorBidi"/>
          <w:sz w:val="22"/>
          <w:szCs w:val="22"/>
        </w:rPr>
        <w:t> </w:t>
      </w:r>
    </w:p>
    <w:p w14:paraId="20C9AC5D" w14:textId="77777777" w:rsidR="00756F0F" w:rsidRPr="00ED7E61" w:rsidRDefault="00756F0F" w:rsidP="00650586">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b/>
          <w:bCs/>
          <w:sz w:val="22"/>
          <w:szCs w:val="22"/>
        </w:rPr>
        <w:t> </w:t>
      </w:r>
    </w:p>
    <w:p w14:paraId="73E63297" w14:textId="5372FE9B"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lang w:val="en-GB"/>
        </w:rPr>
        <w:t>September</w:t>
      </w:r>
      <w:r w:rsidRPr="00ED7E61">
        <w:rPr>
          <w:rStyle w:val="normaltextrun"/>
          <w:rFonts w:asciiTheme="majorBidi" w:eastAsiaTheme="majorEastAsia" w:hAnsiTheme="majorBidi" w:cstheme="majorBidi"/>
          <w:sz w:val="22"/>
          <w:szCs w:val="22"/>
          <w:lang w:val="en-GB"/>
        </w:rPr>
        <w:t xml:space="preserve"> </w:t>
      </w:r>
      <w:r w:rsidR="00775978" w:rsidRPr="00ED7E61">
        <w:rPr>
          <w:rStyle w:val="normaltextrun"/>
          <w:rFonts w:asciiTheme="majorBidi" w:eastAsiaTheme="majorEastAsia" w:hAnsiTheme="majorBidi" w:cstheme="majorBidi"/>
          <w:sz w:val="22"/>
          <w:szCs w:val="22"/>
          <w:lang w:val="en-GB"/>
        </w:rPr>
        <w:t>2024</w:t>
      </w:r>
      <w:r w:rsidR="00756F0F" w:rsidRPr="00ED7E61">
        <w:rPr>
          <w:rStyle w:val="eop"/>
          <w:rFonts w:asciiTheme="majorBidi" w:eastAsiaTheme="majorEastAsia" w:hAnsiTheme="majorBidi" w:cstheme="majorBidi"/>
          <w:sz w:val="22"/>
          <w:szCs w:val="22"/>
        </w:rPr>
        <w:t> </w:t>
      </w:r>
    </w:p>
    <w:p w14:paraId="612FBDA5" w14:textId="77777777" w:rsidR="00756F0F" w:rsidRPr="00ED7E61" w:rsidRDefault="00756F0F" w:rsidP="00650586">
      <w:pPr>
        <w:pStyle w:val="paragraph"/>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b/>
          <w:bCs/>
          <w:sz w:val="22"/>
          <w:szCs w:val="22"/>
        </w:rPr>
        <w:t> </w:t>
      </w:r>
    </w:p>
    <w:p w14:paraId="7F8B474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1D3A043A" w14:textId="77777777" w:rsidR="00756F0F" w:rsidRPr="00ED7E61" w:rsidRDefault="00756F0F" w:rsidP="00650586">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276255EF"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2CB8937E" w14:textId="08F1D8D4" w:rsidR="00250304" w:rsidRPr="00ED7E61" w:rsidRDefault="00697090" w:rsidP="00B10F0C">
      <w:pPr>
        <w:pStyle w:val="CBDNormalNumber"/>
        <w:numPr>
          <w:ilvl w:val="0"/>
          <w:numId w:val="77"/>
        </w:numPr>
        <w:tabs>
          <w:tab w:val="clear" w:pos="1701"/>
        </w:tabs>
        <w:ind w:left="567" w:firstLine="0"/>
      </w:pPr>
      <w:r w:rsidRPr="00ED7E61">
        <w:t xml:space="preserve">A reliance on chemical pesticides is a prominent feature of modern society: pesticides are used to maintain functionality and prevent the decay of infrastructure, to combat diseases and disease vectors, and to protect agricultural and forestry production, among other uses </w:t>
      </w:r>
      <w:r w:rsidR="00737A66" w:rsidRPr="00FB1598">
        <w:rPr>
          <w:lang w:val="en-CA"/>
        </w:rPr>
        <w:t xml:space="preserve">(Cooper </w:t>
      </w:r>
      <w:r w:rsidR="006B67E3">
        <w:rPr>
          <w:lang w:val="en-CA"/>
        </w:rPr>
        <w:t>et al</w:t>
      </w:r>
      <w:r w:rsidR="00737A66" w:rsidRPr="00FB1598">
        <w:rPr>
          <w:lang w:val="en-CA"/>
        </w:rPr>
        <w:t xml:space="preserve"> 2007, Tudi </w:t>
      </w:r>
      <w:r w:rsidR="006B67E3">
        <w:rPr>
          <w:lang w:val="en-CA"/>
        </w:rPr>
        <w:t>et al</w:t>
      </w:r>
      <w:r w:rsidR="00E81377">
        <w:rPr>
          <w:lang w:val="en-CA"/>
        </w:rPr>
        <w:t>.</w:t>
      </w:r>
      <w:r w:rsidR="00737A66" w:rsidRPr="00FB1598">
        <w:rPr>
          <w:lang w:val="en-CA"/>
        </w:rPr>
        <w:t xml:space="preserve"> 2023, and Oerke </w:t>
      </w:r>
      <w:r w:rsidR="006B67E3">
        <w:rPr>
          <w:lang w:val="en-CA"/>
        </w:rPr>
        <w:t>et al</w:t>
      </w:r>
      <w:r w:rsidR="00E81377">
        <w:rPr>
          <w:lang w:val="en-CA"/>
        </w:rPr>
        <w:t>.</w:t>
      </w:r>
      <w:r w:rsidR="00737A66" w:rsidRPr="00FB1598">
        <w:rPr>
          <w:lang w:val="en-CA"/>
        </w:rPr>
        <w:t xml:space="preserve"> 2021)</w:t>
      </w:r>
      <w:r w:rsidRPr="00ED7E61">
        <w:t>. Global pesticide use has markedly increased since the beginning of the millennium, with agriculture having by far the largest share</w:t>
      </w:r>
      <w:r w:rsidR="00737A66">
        <w:t xml:space="preserve"> </w:t>
      </w:r>
      <w:r w:rsidR="00737A66" w:rsidRPr="00737A66">
        <w:t xml:space="preserve">(Bernhardt </w:t>
      </w:r>
      <w:r w:rsidR="006B67E3">
        <w:t>et al</w:t>
      </w:r>
      <w:r w:rsidR="00E81377">
        <w:t>.</w:t>
      </w:r>
      <w:r w:rsidR="00737A66" w:rsidRPr="00737A66">
        <w:t xml:space="preserve"> 2017, Maggi </w:t>
      </w:r>
      <w:r w:rsidR="006B67E3">
        <w:t>et al</w:t>
      </w:r>
      <w:r w:rsidR="00E81377">
        <w:t>.</w:t>
      </w:r>
      <w:r w:rsidR="00737A66" w:rsidRPr="00737A66">
        <w:t xml:space="preserve"> 2019, and Food and Agriculture Organization of the United Nations 2024)</w:t>
      </w:r>
      <w:r w:rsidRPr="00ED7E61">
        <w:t>. Monitoring data for certain types of pesticides shows that the concentrations present in the environment sometimes exceed ecotoxicological thresholds set during regulatory pesticide risk assessments</w:t>
      </w:r>
      <w:r w:rsidR="00DE6E1A">
        <w:t xml:space="preserve"> (</w:t>
      </w:r>
      <w:r w:rsidR="00DE6E1A" w:rsidRPr="00DE6E1A">
        <w:t xml:space="preserve">Stehle </w:t>
      </w:r>
      <w:r w:rsidR="006B67E3">
        <w:t>et al</w:t>
      </w:r>
      <w:r w:rsidR="00E81377">
        <w:t>.</w:t>
      </w:r>
      <w:r w:rsidR="00DE6E1A" w:rsidRPr="00DE6E1A">
        <w:t xml:space="preserve"> 2015, Wolfram </w:t>
      </w:r>
      <w:r w:rsidR="006B67E3">
        <w:t>et al</w:t>
      </w:r>
      <w:r w:rsidR="00E81377">
        <w:t>.</w:t>
      </w:r>
      <w:r w:rsidR="00DE6E1A" w:rsidRPr="00DE6E1A">
        <w:t xml:space="preserve"> 2023, Rosana </w:t>
      </w:r>
      <w:r w:rsidR="006B67E3">
        <w:t>et al</w:t>
      </w:r>
      <w:r w:rsidR="00E81377">
        <w:t>.</w:t>
      </w:r>
      <w:r w:rsidR="00DE6E1A" w:rsidRPr="00DE6E1A">
        <w:t xml:space="preserve"> 2023, Ernst </w:t>
      </w:r>
      <w:r w:rsidR="006B67E3">
        <w:t>et al</w:t>
      </w:r>
      <w:r w:rsidR="00E81377">
        <w:t>.</w:t>
      </w:r>
      <w:r w:rsidR="00DE6E1A" w:rsidRPr="00DE6E1A">
        <w:t xml:space="preserve"> 2018, Oliveira </w:t>
      </w:r>
      <w:r w:rsidR="006B67E3">
        <w:t>et al</w:t>
      </w:r>
      <w:r w:rsidR="00E81377">
        <w:t>.</w:t>
      </w:r>
      <w:r w:rsidR="00DE6E1A" w:rsidRPr="00DE6E1A">
        <w:t xml:space="preserve"> 2016, Houbraken 2017, Amusa </w:t>
      </w:r>
      <w:r w:rsidR="006B67E3">
        <w:t>et al</w:t>
      </w:r>
      <w:r w:rsidR="00E81377">
        <w:t>.</w:t>
      </w:r>
      <w:r w:rsidR="00DE6E1A" w:rsidRPr="00DE6E1A">
        <w:t xml:space="preserve"> 2021, Desrochers </w:t>
      </w:r>
      <w:r w:rsidR="006B67E3">
        <w:t>et al</w:t>
      </w:r>
      <w:r w:rsidR="00E81377">
        <w:t>.</w:t>
      </w:r>
      <w:r w:rsidR="00DE6E1A" w:rsidRPr="00DE6E1A">
        <w:t xml:space="preserve"> 2024, Knauer </w:t>
      </w:r>
      <w:r w:rsidR="006B67E3">
        <w:t>et al</w:t>
      </w:r>
      <w:r w:rsidR="00E81377">
        <w:t>.</w:t>
      </w:r>
      <w:r w:rsidR="00DE6E1A" w:rsidRPr="00DE6E1A">
        <w:t xml:space="preserve"> 2016, Lechenet </w:t>
      </w:r>
      <w:r w:rsidR="006B67E3">
        <w:t>et al</w:t>
      </w:r>
      <w:r w:rsidR="00E81377">
        <w:t>.</w:t>
      </w:r>
      <w:r w:rsidR="00DE6E1A" w:rsidRPr="00DE6E1A">
        <w:t xml:space="preserve"> 2017, and Gurr </w:t>
      </w:r>
      <w:r w:rsidR="006B67E3">
        <w:t>et al</w:t>
      </w:r>
      <w:r w:rsidR="00E81377">
        <w:t>.</w:t>
      </w:r>
      <w:r w:rsidR="00DE6E1A" w:rsidRPr="00DE6E1A">
        <w:t xml:space="preserve"> 2016</w:t>
      </w:r>
      <w:r w:rsidR="00DE6E1A">
        <w:t>)</w:t>
      </w:r>
      <w:r w:rsidRPr="00ED7E61">
        <w:t>. Literature and experiences from case studies with pesticides show that by increasing efficiency and/or substituting active ingredients (thus lowering toxicity) risk reductions of 20-50% can be achieved without the redesign of production systems</w:t>
      </w:r>
      <w:r w:rsidR="00DE6E1A">
        <w:t xml:space="preserve"> (</w:t>
      </w:r>
      <w:r w:rsidR="00DE6E1A" w:rsidRPr="00DE6E1A">
        <w:t xml:space="preserve">Lechenet </w:t>
      </w:r>
      <w:r w:rsidR="006B67E3">
        <w:t>et al</w:t>
      </w:r>
      <w:r w:rsidR="00E81377">
        <w:t>.</w:t>
      </w:r>
      <w:r w:rsidR="00DE6E1A" w:rsidRPr="00DE6E1A">
        <w:t xml:space="preserve"> 2017, Gurr </w:t>
      </w:r>
      <w:r w:rsidR="006B67E3">
        <w:t>et al</w:t>
      </w:r>
      <w:r w:rsidR="00E81377">
        <w:t>.</w:t>
      </w:r>
      <w:r w:rsidR="00DE6E1A" w:rsidRPr="00DE6E1A">
        <w:t xml:space="preserve"> 2016, Waddington </w:t>
      </w:r>
      <w:r w:rsidR="006B67E3">
        <w:t>et al</w:t>
      </w:r>
      <w:r w:rsidR="00E81377">
        <w:t>.</w:t>
      </w:r>
      <w:r w:rsidR="00DE6E1A" w:rsidRPr="00DE6E1A">
        <w:t xml:space="preserve"> 2014, and Janssen 2021</w:t>
      </w:r>
      <w:r w:rsidR="00DE6E1A">
        <w:t>)</w:t>
      </w:r>
      <w:r w:rsidRPr="00ED7E61">
        <w:t xml:space="preserve">. Furthermore, considerable recent research has been directed toward the development of sustainable production systems that use low-toxicity, curative, pesticide products such as biocontrol agents and biopesticides </w:t>
      </w:r>
      <w:r w:rsidR="00DE6E1A">
        <w:t>(</w:t>
      </w:r>
      <w:r w:rsidR="00DE6E1A" w:rsidRPr="00DE6E1A">
        <w:t xml:space="preserve">Mascarin </w:t>
      </w:r>
      <w:r w:rsidR="006B67E3">
        <w:t>et al</w:t>
      </w:r>
      <w:r w:rsidR="00E81377">
        <w:t>.</w:t>
      </w:r>
      <w:r w:rsidR="00DE6E1A" w:rsidRPr="00DE6E1A">
        <w:t xml:space="preserve"> 2019, Hatting </w:t>
      </w:r>
      <w:r w:rsidR="006B67E3">
        <w:t>et al</w:t>
      </w:r>
      <w:r w:rsidR="00E81377">
        <w:t>.</w:t>
      </w:r>
      <w:r w:rsidR="00DE6E1A" w:rsidRPr="00DE6E1A">
        <w:t xml:space="preserve"> 2019, Karimi </w:t>
      </w:r>
      <w:r w:rsidR="006B67E3">
        <w:t>et al</w:t>
      </w:r>
      <w:r w:rsidR="00E81377">
        <w:t>.</w:t>
      </w:r>
      <w:r w:rsidR="00DE6E1A" w:rsidRPr="00DE6E1A">
        <w:t xml:space="preserve"> 2019, Kumar </w:t>
      </w:r>
      <w:r w:rsidR="006B67E3">
        <w:t>et al</w:t>
      </w:r>
      <w:r w:rsidR="00E81377">
        <w:t>.</w:t>
      </w:r>
      <w:r w:rsidR="00DE6E1A" w:rsidRPr="00DE6E1A">
        <w:t xml:space="preserve"> 2019, FAO and WHO 2023, Bullor </w:t>
      </w:r>
      <w:r w:rsidR="006B67E3">
        <w:t>et al</w:t>
      </w:r>
      <w:r w:rsidR="00E81377">
        <w:t>.</w:t>
      </w:r>
      <w:r w:rsidR="00DE6E1A" w:rsidRPr="00DE6E1A">
        <w:t xml:space="preserve"> 2024 and Faria </w:t>
      </w:r>
      <w:r w:rsidR="006B67E3">
        <w:t>et al</w:t>
      </w:r>
      <w:r w:rsidR="00E81377">
        <w:t>.</w:t>
      </w:r>
      <w:r w:rsidR="00DE6E1A" w:rsidRPr="00DE6E1A">
        <w:t xml:space="preserve"> 2021)</w:t>
      </w:r>
      <w:r w:rsidRPr="00ED7E61">
        <w:t>.</w:t>
      </w:r>
    </w:p>
    <w:p w14:paraId="4DE82D90" w14:textId="6A169110" w:rsidR="00697090" w:rsidRPr="00ED7E61" w:rsidRDefault="00697090" w:rsidP="00B10F0C">
      <w:pPr>
        <w:pStyle w:val="CBDNormalNumber"/>
        <w:numPr>
          <w:ilvl w:val="0"/>
          <w:numId w:val="77"/>
        </w:numPr>
        <w:ind w:left="567" w:firstLine="0"/>
      </w:pPr>
      <w:r w:rsidRPr="00ED7E61">
        <w:t>As the only toxic chemicals deliberately applied in the environment with the intention to kill or disrupt living organisms, pesticides have a considerable impact on biodiversity and ecosystem functioning</w:t>
      </w:r>
      <w:r w:rsidR="0030539B">
        <w:t xml:space="preserve"> </w:t>
      </w:r>
      <w:r w:rsidR="0030539B" w:rsidRPr="0030539B">
        <w:t xml:space="preserve">(Beketov </w:t>
      </w:r>
      <w:r w:rsidR="006B67E3">
        <w:t>et al</w:t>
      </w:r>
      <w:r w:rsidR="00E81377">
        <w:t>.</w:t>
      </w:r>
      <w:r w:rsidR="0030539B" w:rsidRPr="0030539B">
        <w:t xml:space="preserve"> 2013, Geiger </w:t>
      </w:r>
      <w:r w:rsidR="006B67E3">
        <w:t>et al</w:t>
      </w:r>
      <w:r w:rsidR="00E81377">
        <w:t>.</w:t>
      </w:r>
      <w:r w:rsidR="0030539B" w:rsidRPr="0030539B">
        <w:t xml:space="preserve"> 2010, Sánchez-Bayo </w:t>
      </w:r>
      <w:r w:rsidR="006B67E3">
        <w:t>et al</w:t>
      </w:r>
      <w:r w:rsidR="00E81377">
        <w:t>.</w:t>
      </w:r>
      <w:r w:rsidR="0030539B" w:rsidRPr="0030539B">
        <w:t xml:space="preserve"> 2019</w:t>
      </w:r>
      <w:r w:rsidR="0030539B">
        <w:t xml:space="preserve"> and </w:t>
      </w:r>
      <w:r w:rsidR="0030539B" w:rsidRPr="0030539B">
        <w:t>Mello</w:t>
      </w:r>
      <w:r w:rsidR="0030539B">
        <w:t xml:space="preserve"> </w:t>
      </w:r>
      <w:r w:rsidR="006B67E3">
        <w:t>et al</w:t>
      </w:r>
      <w:r w:rsidR="00E81377">
        <w:t>.</w:t>
      </w:r>
      <w:r w:rsidR="0030539B">
        <w:t xml:space="preserve"> 2019</w:t>
      </w:r>
      <w:r w:rsidR="0030539B" w:rsidRPr="0030539B">
        <w:t>)</w:t>
      </w:r>
      <w:r w:rsidRPr="00ED7E61">
        <w:t xml:space="preserve">. However, estimates of the regional and global pesticide impacts on biodiversity have been difficult to ascertain because: 1) information on the quantities and types of pesticides applied in the environment are often unavailable – particularly for Low and Middle-Income countries </w:t>
      </w:r>
      <w:r w:rsidRPr="00ED7E61">
        <w:fldChar w:fldCharType="begin"/>
      </w:r>
      <w:r w:rsidRPr="00ED7E61">
        <w:instrText xml:space="preserve"> ADDIN EN.CITE &lt;EndNote&gt;&lt;Cite&gt;&lt;Author&gt;van den Berg&lt;/Author&gt;&lt;Year&gt;2020&lt;/Year&gt;&lt;RecNum&gt;223&lt;/RecNum&gt;&lt;DisplayText&gt;&lt;style size="10"&gt;[31]&lt;/style&gt;&lt;/DisplayText&gt;&lt;record&gt;&lt;rec-number&gt;223&lt;/rec-number&gt;&lt;foreign-keys&gt;&lt;key app="EN" db-id="zvexaff970a5ehextp6vd2xy9d0s0d95sp05" timestamp="1709591389"&gt;223&lt;/key&gt;&lt;/foreign-keys&gt;&lt;ref-type name="Journal Article"&gt;17&lt;/ref-type&gt;&lt;contributors&gt;&lt;authors&gt;&lt;author&gt;van den Berg, Henk&lt;/author&gt;&lt;author&gt;Gu, Baogen&lt;/author&gt;&lt;author&gt;Grenier, Beatrice&lt;/author&gt;&lt;author&gt;Kohlschmid, Eva&lt;/author&gt;&lt;author&gt;Al-Eryani, Samira&lt;/author&gt;&lt;author&gt;da Silva Bezerra, Haroldo Sergio&lt;/author&gt;&lt;author&gt;Nagpal, Bhupender N.&lt;/author&gt;&lt;author&gt;Chanda, Emmanuel&lt;/author&gt;&lt;author&gt;Gasimov, Elkhan&lt;/author&gt;&lt;author&gt;Velayudhan, Raman&lt;/author&gt;&lt;author&gt;Yadav, Rajpal S.&lt;/author&gt;&lt;/authors&gt;&lt;/contributors&gt;&lt;titles&gt;&lt;title&gt;Pesticide lifecycle management in agriculture and public health: Where are the gaps?&lt;/title&gt;&lt;secondary-title&gt;Science of The Total Environment&lt;/secondary-title&gt;&lt;/titles&gt;&lt;periodical&gt;&lt;full-title&gt;Science of The Total Environment&lt;/full-title&gt;&lt;/periodical&gt;&lt;pages&gt;140598&lt;/pages&gt;&lt;volume&gt;742&lt;/volume&gt;&lt;keywords&gt;&lt;keyword&gt;Insecticide resistance&lt;/keyword&gt;&lt;keyword&gt;Pest control&lt;/keyword&gt;&lt;keyword&gt;Pesticide management&lt;/keyword&gt;&lt;keyword&gt;Lifecycle management&lt;/keyword&gt;&lt;keyword&gt;Risk reduction&lt;/keyword&gt;&lt;keyword&gt;Vector control&lt;/keyword&gt;&lt;/keywords&gt;&lt;dates&gt;&lt;year&gt;2020&lt;/year&gt;&lt;pub-dates&gt;&lt;date&gt;2020/11/10/&lt;/date&gt;&lt;/pub-dates&gt;&lt;/dates&gt;&lt;isbn&gt;0048-9697&lt;/isbn&gt;&lt;urls&gt;&lt;related-urls&gt;&lt;url&gt;https://www.sciencedirect.com/science/article/pii/S0048969720341206&lt;/url&gt;&lt;/related-urls&gt;&lt;/urls&gt;&lt;electronic-resource-num&gt;https://doi.org/10.1016/j.scitotenv.2020.140598&lt;/electronic-resource-num&gt;&lt;/record&gt;&lt;/Cite&gt;&lt;/EndNote&gt;</w:instrText>
      </w:r>
      <w:r w:rsidRPr="00ED7E61">
        <w:fldChar w:fldCharType="separate"/>
      </w:r>
      <w:r w:rsidR="0030539B">
        <w:rPr>
          <w:rFonts w:asciiTheme="majorBidi" w:hAnsiTheme="majorBidi" w:cstheme="majorBidi"/>
          <w:noProof/>
        </w:rPr>
        <w:t>(</w:t>
      </w:r>
      <w:r w:rsidR="0030539B" w:rsidRPr="00ED7E61">
        <w:rPr>
          <w:rFonts w:asciiTheme="majorBidi" w:hAnsiTheme="majorBidi" w:cstheme="majorBidi"/>
          <w:noProof/>
        </w:rPr>
        <w:t>van den Berg</w:t>
      </w:r>
      <w:r w:rsidR="0030539B">
        <w:rPr>
          <w:rFonts w:asciiTheme="majorBidi" w:hAnsiTheme="majorBidi" w:cstheme="majorBidi"/>
          <w:noProof/>
        </w:rPr>
        <w:t xml:space="preserve"> </w:t>
      </w:r>
      <w:r w:rsidR="006B67E3">
        <w:rPr>
          <w:rFonts w:asciiTheme="majorBidi" w:hAnsiTheme="majorBidi" w:cstheme="majorBidi"/>
          <w:noProof/>
        </w:rPr>
        <w:t>et al</w:t>
      </w:r>
      <w:r w:rsidR="00E81377">
        <w:rPr>
          <w:rFonts w:asciiTheme="majorBidi" w:hAnsiTheme="majorBidi" w:cstheme="majorBidi"/>
          <w:noProof/>
        </w:rPr>
        <w:t>.</w:t>
      </w:r>
      <w:r w:rsidR="0030539B">
        <w:rPr>
          <w:rFonts w:asciiTheme="majorBidi" w:hAnsiTheme="majorBidi" w:cstheme="majorBidi"/>
          <w:noProof/>
        </w:rPr>
        <w:t xml:space="preserve"> 202</w:t>
      </w:r>
      <w:r w:rsidRPr="00ED7E61">
        <w:fldChar w:fldCharType="end"/>
      </w:r>
      <w:r w:rsidRPr="00ED7E61">
        <w:t>2) Pesticide products vary widely in their toxicities to target and non-target organisms and, consequently, they have varying impacts on different components of ecological communities</w:t>
      </w:r>
      <w:r w:rsidR="00CE7236">
        <w:t xml:space="preserve"> </w:t>
      </w:r>
      <w:r w:rsidR="0030539B" w:rsidRPr="0030539B">
        <w:t xml:space="preserve">(Wolfram  </w:t>
      </w:r>
      <w:r w:rsidR="006B67E3">
        <w:t>et al</w:t>
      </w:r>
      <w:r w:rsidR="00E81377">
        <w:t>.</w:t>
      </w:r>
      <w:r w:rsidR="0030539B" w:rsidRPr="0030539B">
        <w:t xml:space="preserve"> 2023, Schulz </w:t>
      </w:r>
      <w:r w:rsidR="006B67E3">
        <w:t>et al</w:t>
      </w:r>
      <w:r w:rsidR="00E81377">
        <w:t>.</w:t>
      </w:r>
      <w:r w:rsidR="0030539B" w:rsidRPr="0030539B">
        <w:t xml:space="preserve"> 2021, Bub </w:t>
      </w:r>
      <w:r w:rsidR="006B67E3">
        <w:t>et al</w:t>
      </w:r>
      <w:r w:rsidR="00E81377">
        <w:t>.</w:t>
      </w:r>
      <w:r w:rsidR="0030539B" w:rsidRPr="0030539B">
        <w:t xml:space="preserve"> 2022, and Yasuda </w:t>
      </w:r>
      <w:r w:rsidR="006B67E3">
        <w:t>et al</w:t>
      </w:r>
      <w:r w:rsidR="00E81377">
        <w:t>.</w:t>
      </w:r>
      <w:r w:rsidR="0030539B" w:rsidRPr="0030539B">
        <w:t xml:space="preserve"> 2017</w:t>
      </w:r>
      <w:r w:rsidR="00E81377">
        <w:t>)</w:t>
      </w:r>
      <w:r w:rsidRPr="00ED7E61">
        <w:t>; and 3) pesticide impacts are partly determined by varying levels of biodiversity exposure at local, regional and global scales and in different crops or production environments. Pesticides have been included together with other contributors as a cause of biodiversity loss</w:t>
      </w:r>
      <w:r w:rsidR="00DA381F">
        <w:t xml:space="preserve"> (</w:t>
      </w:r>
      <w:r w:rsidR="00DA381F" w:rsidRPr="00DA381F">
        <w:t xml:space="preserve">Sánchez-Bayo </w:t>
      </w:r>
      <w:r w:rsidR="006B67E3">
        <w:t>et al</w:t>
      </w:r>
      <w:r w:rsidR="00E81377">
        <w:t>.</w:t>
      </w:r>
      <w:r w:rsidR="00DA381F" w:rsidRPr="00DA381F">
        <w:t xml:space="preserve"> 2019, Larsen </w:t>
      </w:r>
      <w:r w:rsidR="006B67E3">
        <w:t>et al</w:t>
      </w:r>
      <w:r w:rsidR="00E81377">
        <w:t>.</w:t>
      </w:r>
      <w:r w:rsidR="00DA381F" w:rsidRPr="00DA381F">
        <w:t xml:space="preserve"> 2020, Schiesari </w:t>
      </w:r>
      <w:r w:rsidR="006B67E3">
        <w:t>et al</w:t>
      </w:r>
      <w:r w:rsidR="00E81377">
        <w:t>.</w:t>
      </w:r>
      <w:r w:rsidR="00DA381F" w:rsidRPr="00DA381F">
        <w:t xml:space="preserve"> 2013 and Wagner </w:t>
      </w:r>
      <w:r w:rsidR="006B67E3">
        <w:t>et al</w:t>
      </w:r>
      <w:r w:rsidR="00E81377">
        <w:t>.</w:t>
      </w:r>
      <w:r w:rsidR="00DA381F" w:rsidRPr="00DA381F">
        <w:t xml:space="preserve"> 2021</w:t>
      </w:r>
      <w:r w:rsidR="00DA381F">
        <w:t>)</w:t>
      </w:r>
      <w:r w:rsidRPr="00ED7E61">
        <w:t>. However, there is debate as to the proportional contribution that pesticides make to this loss</w:t>
      </w:r>
      <w:r w:rsidR="00DA381F" w:rsidRPr="00DA381F">
        <w:t xml:space="preserve"> (Saunders </w:t>
      </w:r>
      <w:r w:rsidR="006B67E3">
        <w:t>et al</w:t>
      </w:r>
      <w:r w:rsidR="00E81377">
        <w:t>.</w:t>
      </w:r>
      <w:r w:rsidR="00DA381F" w:rsidRPr="00DA381F">
        <w:t xml:space="preserve"> 2020, Gabriel </w:t>
      </w:r>
      <w:r w:rsidR="006B67E3">
        <w:t>et al</w:t>
      </w:r>
      <w:r w:rsidR="00E81377">
        <w:t>.</w:t>
      </w:r>
      <w:r w:rsidR="00DA381F" w:rsidRPr="00DA381F">
        <w:t xml:space="preserve"> 2013, Rumohr </w:t>
      </w:r>
      <w:r w:rsidR="006B67E3">
        <w:t>et al</w:t>
      </w:r>
      <w:r w:rsidR="00E81377">
        <w:t>.</w:t>
      </w:r>
      <w:r w:rsidR="00DA381F" w:rsidRPr="00DA381F">
        <w:t xml:space="preserve"> 2023 and Maggi </w:t>
      </w:r>
      <w:r w:rsidR="006B67E3">
        <w:t>et al</w:t>
      </w:r>
      <w:r w:rsidR="00E81377">
        <w:t>.</w:t>
      </w:r>
      <w:r w:rsidR="00DA381F" w:rsidRPr="00DA381F">
        <w:t xml:space="preserve"> 2021)</w:t>
      </w:r>
      <w:r w:rsidRPr="00ED7E61">
        <w:t>.</w:t>
      </w:r>
    </w:p>
    <w:p w14:paraId="5F28B983" w14:textId="198F24C3" w:rsidR="00697090" w:rsidRPr="00ED7E61" w:rsidRDefault="00697090" w:rsidP="00B10F0C">
      <w:pPr>
        <w:pStyle w:val="CBDNormalNumber"/>
        <w:numPr>
          <w:ilvl w:val="0"/>
          <w:numId w:val="77"/>
        </w:numPr>
        <w:ind w:left="567" w:firstLine="0"/>
      </w:pPr>
      <w:r w:rsidRPr="00ED7E61">
        <w:t>Several useful indicators of the effects of pesticides on human health and non-target organisms have been developed and many are routinely applied in some countries to reduce the risks from pesticide use</w:t>
      </w:r>
      <w:r w:rsidR="00CE7236">
        <w:t xml:space="preserve"> </w:t>
      </w:r>
      <w:r w:rsidR="00456B13">
        <w:t>(</w:t>
      </w:r>
      <w:r w:rsidR="00456B13" w:rsidRPr="00456B13">
        <w:t xml:space="preserve">Maggi </w:t>
      </w:r>
      <w:r w:rsidR="006B67E3">
        <w:t>et al</w:t>
      </w:r>
      <w:r w:rsidR="00E81377">
        <w:t>.</w:t>
      </w:r>
      <w:r w:rsidR="00456B13" w:rsidRPr="00456B13">
        <w:t xml:space="preserve"> 2019, Schulz </w:t>
      </w:r>
      <w:r w:rsidR="006B67E3">
        <w:t>et al</w:t>
      </w:r>
      <w:r w:rsidR="00E81377">
        <w:t>.</w:t>
      </w:r>
      <w:r w:rsidR="00456B13" w:rsidRPr="00456B13">
        <w:t xml:space="preserve"> 2021, Bub </w:t>
      </w:r>
      <w:r w:rsidR="006B67E3">
        <w:t>et al</w:t>
      </w:r>
      <w:r w:rsidR="00E81377">
        <w:t>.</w:t>
      </w:r>
      <w:r w:rsidR="00456B13" w:rsidRPr="00456B13">
        <w:t xml:space="preserve"> 2022, Maggi </w:t>
      </w:r>
      <w:r w:rsidR="006B67E3">
        <w:t>et al</w:t>
      </w:r>
      <w:r w:rsidR="00E81377">
        <w:t>.</w:t>
      </w:r>
      <w:r w:rsidR="00456B13" w:rsidRPr="00456B13">
        <w:t xml:space="preserve"> 2021, Brown </w:t>
      </w:r>
      <w:r w:rsidR="006B67E3">
        <w:t>et al</w:t>
      </w:r>
      <w:r w:rsidR="00456B13" w:rsidRPr="00456B13">
        <w:t xml:space="preserve"> 2003, Cornell College of Agricultural and Life Sciences, Kudsk </w:t>
      </w:r>
      <w:r w:rsidR="006B67E3">
        <w:t>et al</w:t>
      </w:r>
      <w:r w:rsidR="00E81377">
        <w:t>.</w:t>
      </w:r>
      <w:r w:rsidR="00456B13" w:rsidRPr="00456B13">
        <w:t xml:space="preserve"> 2018, Danish Environmental Protection Agency 2012, Hart </w:t>
      </w:r>
      <w:r w:rsidR="006B67E3">
        <w:t>et al</w:t>
      </w:r>
      <w:r w:rsidR="00E81377">
        <w:t>.</w:t>
      </w:r>
      <w:r w:rsidR="00456B13" w:rsidRPr="00456B13">
        <w:t xml:space="preserve"> 2003, Lewis </w:t>
      </w:r>
      <w:r w:rsidR="006B67E3">
        <w:t>et al</w:t>
      </w:r>
      <w:r w:rsidR="00E81377">
        <w:t>.</w:t>
      </w:r>
      <w:r w:rsidR="00456B13" w:rsidRPr="00456B13">
        <w:t xml:space="preserve"> 2003, Lewis </w:t>
      </w:r>
      <w:r w:rsidR="006B67E3">
        <w:t>et al</w:t>
      </w:r>
      <w:r w:rsidR="00E81377">
        <w:t>.</w:t>
      </w:r>
      <w:r w:rsidR="00456B13" w:rsidRPr="00456B13">
        <w:t xml:space="preserve"> 2021, Maggi </w:t>
      </w:r>
      <w:r w:rsidR="006B67E3">
        <w:t>et al</w:t>
      </w:r>
      <w:r w:rsidR="00E81377">
        <w:t>.</w:t>
      </w:r>
      <w:r w:rsidR="00456B13" w:rsidRPr="00456B13">
        <w:t xml:space="preserve"> 2023, Möhring </w:t>
      </w:r>
      <w:r w:rsidR="006B67E3">
        <w:t>et al</w:t>
      </w:r>
      <w:r w:rsidR="00E81377">
        <w:t>.</w:t>
      </w:r>
      <w:r w:rsidR="00456B13" w:rsidRPr="00456B13">
        <w:t xml:space="preserve"> 2019 and Trevisan </w:t>
      </w:r>
      <w:r w:rsidR="006B67E3">
        <w:t>et al</w:t>
      </w:r>
      <w:r w:rsidR="00E81377">
        <w:t>.</w:t>
      </w:r>
      <w:r w:rsidR="00456B13" w:rsidRPr="00456B13">
        <w:t xml:space="preserve"> 2009</w:t>
      </w:r>
      <w:r w:rsidR="00456B13">
        <w:t>)</w:t>
      </w:r>
      <w:r w:rsidRPr="00ED7E61">
        <w:t>. Furthermore, many countries conduct some monitoring of pesticide contamination in foods and in habitats associated with food production and agricultural run-off, particularly in water bodies</w:t>
      </w:r>
      <w:r w:rsidR="00E81377">
        <w:t xml:space="preserve"> </w:t>
      </w:r>
      <w:r w:rsidR="009446FA">
        <w:t>(</w:t>
      </w:r>
      <w:r w:rsidR="009446FA" w:rsidRPr="009446FA">
        <w:t xml:space="preserve">Desrochers </w:t>
      </w:r>
      <w:r w:rsidR="006B67E3">
        <w:t>et al</w:t>
      </w:r>
      <w:r w:rsidR="00E81377">
        <w:t>.</w:t>
      </w:r>
      <w:r w:rsidR="009446FA" w:rsidRPr="009446FA">
        <w:t xml:space="preserve"> 2024, Knauer </w:t>
      </w:r>
      <w:r w:rsidR="006B67E3">
        <w:t>et al</w:t>
      </w:r>
      <w:r w:rsidR="00E81377">
        <w:t>.</w:t>
      </w:r>
      <w:r w:rsidR="009446FA" w:rsidRPr="009446FA">
        <w:t xml:space="preserve"> 2016, Centanni </w:t>
      </w:r>
      <w:r w:rsidR="006B67E3">
        <w:t>et al</w:t>
      </w:r>
      <w:r w:rsidR="00E81377">
        <w:t>.</w:t>
      </w:r>
      <w:r w:rsidR="009446FA" w:rsidRPr="009446FA">
        <w:t xml:space="preserve"> 2023, Stehle 2015, Ramírez-Morales 2021, and Toan 2013</w:t>
      </w:r>
      <w:r w:rsidR="009446FA">
        <w:t>)</w:t>
      </w:r>
      <w:r w:rsidRPr="00ED7E61">
        <w:t>. However, the quality of data on pesticide use is uneven across regions and countries, and direct measures of the impacts of pesticides on ecological communities is largely limited to case studies with low spatial and temporal coverage. In contrast, information on the toxic effects of pesticides on target and non-target organisms is generally available from toxicity studies that have mainly been conducted in laboratories as required for pesticide registration</w:t>
      </w:r>
      <w:r w:rsidR="00E81377">
        <w:t xml:space="preserve"> </w:t>
      </w:r>
      <w:r w:rsidR="009446FA" w:rsidRPr="009446FA">
        <w:t xml:space="preserve">(Schulz </w:t>
      </w:r>
      <w:r w:rsidR="006B67E3">
        <w:t>et al</w:t>
      </w:r>
      <w:r w:rsidR="00E81377">
        <w:t>.</w:t>
      </w:r>
      <w:r w:rsidR="009446FA" w:rsidRPr="009446FA">
        <w:t xml:space="preserve"> 2021, Lewis  </w:t>
      </w:r>
      <w:r w:rsidR="006B67E3">
        <w:t>et al</w:t>
      </w:r>
      <w:r w:rsidR="00E81377">
        <w:t>.</w:t>
      </w:r>
      <w:r w:rsidR="009446FA" w:rsidRPr="009446FA">
        <w:t xml:space="preserve"> 2021 and Lewis  </w:t>
      </w:r>
      <w:r w:rsidR="006B67E3">
        <w:t>et al</w:t>
      </w:r>
      <w:r w:rsidR="00E81377">
        <w:t>.</w:t>
      </w:r>
      <w:r w:rsidR="009446FA" w:rsidRPr="009446FA">
        <w:t xml:space="preserve"> 2016</w:t>
      </w:r>
      <w:r w:rsidR="009446FA">
        <w:t>)</w:t>
      </w:r>
      <w:r w:rsidRPr="00ED7E61">
        <w:t>.  </w:t>
      </w:r>
    </w:p>
    <w:p w14:paraId="2E739276" w14:textId="069A959B" w:rsidR="00697090" w:rsidRPr="00650586" w:rsidRDefault="00697090" w:rsidP="00B10F0C">
      <w:pPr>
        <w:pStyle w:val="CBDNormalNumber"/>
        <w:numPr>
          <w:ilvl w:val="0"/>
          <w:numId w:val="77"/>
        </w:numPr>
        <w:ind w:left="567" w:firstLine="0"/>
      </w:pPr>
      <w:r w:rsidRPr="00ED7E61">
        <w:t xml:space="preserve">Based on the above data limitations, global assessments of pesticide impacts on biodiversity can be complex, requiring fine-grained mapping of crops and their associated biodiversity, and taking account of location-specific climate, geology and production practices. Such impact assessments have been developed and are improving </w:t>
      </w:r>
      <w:r w:rsidR="00065B84">
        <w:t>(</w:t>
      </w:r>
      <w:r w:rsidR="00065B84" w:rsidRPr="00065B84">
        <w:t xml:space="preserve">Maggi </w:t>
      </w:r>
      <w:r w:rsidR="006B67E3">
        <w:t>et al</w:t>
      </w:r>
      <w:r w:rsidR="00E81377">
        <w:t>.</w:t>
      </w:r>
      <w:r w:rsidR="00065B84" w:rsidRPr="00065B84">
        <w:t xml:space="preserve"> 2019, Maggi </w:t>
      </w:r>
      <w:r w:rsidR="006B67E3">
        <w:t>et al</w:t>
      </w:r>
      <w:r w:rsidR="00E81377">
        <w:t>.</w:t>
      </w:r>
      <w:r w:rsidR="00065B84" w:rsidRPr="00065B84">
        <w:t xml:space="preserve"> 2021, Maggi </w:t>
      </w:r>
      <w:r w:rsidR="006B67E3">
        <w:t>et al</w:t>
      </w:r>
      <w:r w:rsidR="00E81377">
        <w:t>.</w:t>
      </w:r>
      <w:r w:rsidR="00065B84" w:rsidRPr="00065B84">
        <w:t xml:space="preserve"> 2023, Maggi </w:t>
      </w:r>
      <w:r w:rsidR="006B67E3">
        <w:t>et al</w:t>
      </w:r>
      <w:r w:rsidR="00E81377">
        <w:t>.</w:t>
      </w:r>
      <w:r w:rsidR="00065B84" w:rsidRPr="00065B84">
        <w:t xml:space="preserve"> 2020, Tang </w:t>
      </w:r>
      <w:r w:rsidR="006B67E3">
        <w:t>et al</w:t>
      </w:r>
      <w:r w:rsidR="00E81377">
        <w:t>.</w:t>
      </w:r>
      <w:r w:rsidR="00065B84" w:rsidRPr="00065B84">
        <w:t xml:space="preserve"> 2021, and Tang </w:t>
      </w:r>
      <w:r w:rsidR="006B67E3">
        <w:t>et al</w:t>
      </w:r>
      <w:r w:rsidR="00E81377">
        <w:t>.</w:t>
      </w:r>
      <w:r w:rsidR="00065B84" w:rsidRPr="00065B84">
        <w:t xml:space="preserve"> 2023</w:t>
      </w:r>
      <w:r w:rsidR="00065B84">
        <w:t>)</w:t>
      </w:r>
      <w:r w:rsidRPr="00ED7E61">
        <w:t xml:space="preserve"> Simpler assessments have been successfully applied to compare potential effects on a range of non-target animal and plant groups based on patterns of pesticide use and related toxicities in countries and over time</w:t>
      </w:r>
      <w:r w:rsidR="00065B84">
        <w:t xml:space="preserve"> (</w:t>
      </w:r>
      <w:r w:rsidR="00065B84" w:rsidRPr="00065B84">
        <w:t xml:space="preserve">Wolfram </w:t>
      </w:r>
      <w:r w:rsidR="006B67E3">
        <w:t>et al</w:t>
      </w:r>
      <w:r w:rsidR="00E81377">
        <w:t>.</w:t>
      </w:r>
      <w:r w:rsidR="00065B84" w:rsidRPr="00065B84">
        <w:t xml:space="preserve"> 2023, Schulz </w:t>
      </w:r>
      <w:r w:rsidR="006B67E3">
        <w:t>et al</w:t>
      </w:r>
      <w:r w:rsidR="00E81377">
        <w:t>.</w:t>
      </w:r>
      <w:r w:rsidR="00065B84" w:rsidRPr="00065B84">
        <w:t xml:space="preserve"> 2021 and Bub </w:t>
      </w:r>
      <w:r w:rsidR="006B67E3">
        <w:t>et al</w:t>
      </w:r>
      <w:r w:rsidR="00E81377">
        <w:t>.</w:t>
      </w:r>
      <w:r w:rsidR="00065B84" w:rsidRPr="00065B84">
        <w:t xml:space="preserve"> 2022</w:t>
      </w:r>
      <w:r w:rsidR="00065B84">
        <w:t>)</w:t>
      </w:r>
      <w:r w:rsidRPr="00ED7E61">
        <w:t>. Similar assessments can be applied at global scales: For example, the global risk to earthworms from chemical pesticides has recently been assessed by Maggi and Tang (2021). Total Applied Toxicity (TAT) is one possible indicator of global applied toxicity as a component of the risks from pesticides to biodiversity that can be adapted to assess changing trends impacting global pesticide-associated risks over time, with the intention of attaining or exceeding risk reduction targets set by the Kunming-Montreal Global Biodiversity Framework (e.g. 50% reduction in global risk)</w:t>
      </w:r>
      <w:r w:rsidR="00E81377">
        <w:t xml:space="preserve"> </w:t>
      </w:r>
      <w:r w:rsidR="00065B84">
        <w:t>(</w:t>
      </w:r>
      <w:r w:rsidR="00065B84" w:rsidRPr="00ED7E61">
        <w:t>Maggi and Tang 2021</w:t>
      </w:r>
      <w:r w:rsidR="00065B84">
        <w:t>)</w:t>
      </w:r>
      <w:r w:rsidRPr="00ED7E61">
        <w:t>. TATs are calculated for individual species or species groups and must be aggregated (ATAT) to present a single value as a component of risk to meet the requirements of headline indicators. The TAT, therefore, serves the purpose of providing a metric that is representative of relative risks over space and time, while more precise data is still unavailable. Furthermore, TATs can be conveniently represented as changes in percentage values relative to respective 100% baseline reference values to show progress towards meeting the target reduction goals.</w:t>
      </w:r>
    </w:p>
    <w:p w14:paraId="22C67962" w14:textId="77777777" w:rsidR="00697090" w:rsidRPr="00ED7E61" w:rsidRDefault="00697090" w:rsidP="00697090">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332B6724" w14:textId="77777777" w:rsidR="00697090" w:rsidRPr="00ED7E61" w:rsidRDefault="00697090" w:rsidP="00650586">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23208EF2" w14:textId="1BE7EB9C" w:rsidR="00697090" w:rsidRPr="00ED7E61" w:rsidRDefault="00697090" w:rsidP="00B10F0C">
      <w:pPr>
        <w:pStyle w:val="CBDNormalNumber"/>
        <w:numPr>
          <w:ilvl w:val="0"/>
          <w:numId w:val="77"/>
        </w:numPr>
        <w:ind w:left="567" w:firstLine="0"/>
      </w:pPr>
      <w:r w:rsidRPr="00ED7E61">
        <w:t>Aggregated Total Applied Toxicity (ATAT) is defined as a component of risks to ecological communities based on the combined impacts to key species groups from the annual outdoor, agricultural, forestry and public health use of total pesticides in active ingredients for the following categories of pesticides: fungicides, bactericides, herbicides, insecticides, molluscicides, plant growth regulators, seed treatment fungicides, seed treatment insecticides, mineral oils, rodenticides, disinfectants, and other pesticides (not elsewhere specified); and normalized by the area of cropland (which is the sum of arable land and land under permanent crops), treated plantation forests, and reported areas applied for vector control (i.e. outdoor public health). Microbial biopesticides will not be considered among pesticide types because these are target-specific pathogens, that do not leave residues, and with modes of action that do not include contact toxicity</w:t>
      </w:r>
      <w:r w:rsidR="00065B84">
        <w:t xml:space="preserve"> (</w:t>
      </w:r>
      <w:r w:rsidR="00065B84" w:rsidRPr="00ED7E61">
        <w:rPr>
          <w:rFonts w:asciiTheme="majorBidi" w:hAnsiTheme="majorBidi" w:cstheme="majorBidi"/>
          <w:noProof/>
        </w:rPr>
        <w:t>Ayilara</w:t>
      </w:r>
      <w:r w:rsidR="00065B84">
        <w:rPr>
          <w:rFonts w:asciiTheme="majorBidi" w:hAnsiTheme="majorBidi" w:cstheme="majorBidi"/>
          <w:noProof/>
        </w:rPr>
        <w:t xml:space="preserve"> </w:t>
      </w:r>
      <w:r w:rsidR="006B67E3">
        <w:rPr>
          <w:rFonts w:asciiTheme="majorBidi" w:hAnsiTheme="majorBidi" w:cstheme="majorBidi"/>
          <w:noProof/>
        </w:rPr>
        <w:t>et al</w:t>
      </w:r>
      <w:r w:rsidR="00E81377">
        <w:rPr>
          <w:rFonts w:asciiTheme="majorBidi" w:hAnsiTheme="majorBidi" w:cstheme="majorBidi"/>
          <w:noProof/>
        </w:rPr>
        <w:t>.</w:t>
      </w:r>
      <w:r w:rsidR="00065B84">
        <w:rPr>
          <w:rFonts w:asciiTheme="majorBidi" w:hAnsiTheme="majorBidi" w:cstheme="majorBidi"/>
          <w:noProof/>
        </w:rPr>
        <w:t xml:space="preserve"> 2023)</w:t>
      </w:r>
      <w:r w:rsidRPr="00ED7E61">
        <w:t>. </w:t>
      </w:r>
    </w:p>
    <w:p w14:paraId="523C8CBF" w14:textId="23617A55" w:rsidR="00697090" w:rsidRPr="00ED7E61" w:rsidRDefault="00697090" w:rsidP="00B10F0C">
      <w:pPr>
        <w:pStyle w:val="CBDNormalNumber"/>
        <w:numPr>
          <w:ilvl w:val="0"/>
          <w:numId w:val="77"/>
        </w:numPr>
        <w:ind w:left="567" w:firstLine="0"/>
      </w:pPr>
      <w:r w:rsidRPr="00ED7E61">
        <w:t>ATAT indicates large-scale temporal trends in how changes in pesticide use and associated toxicities are reflected in different species groups. The ATAT amalgamates the risks from applied pesticides to individual species groups as a single community effect. It is proposed that this might also be weighted based on species richness and proportional endemicities within each species group considered, following further review and testing.  </w:t>
      </w:r>
    </w:p>
    <w:p w14:paraId="5B0DB7B7" w14:textId="37B091DE" w:rsidR="00697090" w:rsidRPr="00ED7E61" w:rsidRDefault="00697090" w:rsidP="005B0D1E">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384DC152" w14:textId="77777777" w:rsidR="00697090" w:rsidRPr="00ED7E61" w:rsidRDefault="00697090" w:rsidP="00B10F0C">
      <w:pPr>
        <w:pStyle w:val="CBDNormalNumber"/>
        <w:numPr>
          <w:ilvl w:val="0"/>
          <w:numId w:val="77"/>
        </w:numPr>
        <w:ind w:left="567" w:firstLine="0"/>
      </w:pPr>
      <w:r w:rsidRPr="00ED7E61">
        <w:t>The ATAT is computed as follows: </w:t>
      </w:r>
    </w:p>
    <w:p w14:paraId="19FE3877" w14:textId="4791FA5E" w:rsidR="00697090" w:rsidRPr="00ED7E61" w:rsidRDefault="00697090" w:rsidP="00B10F0C">
      <w:pPr>
        <w:pStyle w:val="CBDNormalNumber"/>
        <w:numPr>
          <w:ilvl w:val="0"/>
          <w:numId w:val="77"/>
        </w:numPr>
        <w:ind w:left="567" w:firstLine="0"/>
      </w:pPr>
      <w:r w:rsidRPr="00ED7E61">
        <w:t>Total Applied Toxicity (TAT) was presented by Schultz et al</w:t>
      </w:r>
      <w:r w:rsidR="00E81377">
        <w:t>.</w:t>
      </w:r>
      <w:r w:rsidRPr="00ED7E61">
        <w:t xml:space="preserve"> (2021)</w:t>
      </w:r>
      <w:r w:rsidR="00E81377">
        <w:t xml:space="preserve"> </w:t>
      </w:r>
      <w:r w:rsidRPr="00ED7E61">
        <w:t xml:space="preserve">as the mass (m) of pesticide (s) applied within a given time period (t = one year) within a country (x), divided by the regulatory threshold level (RTL) that relates to the applied pesticide s and the species group sp. The pesticide product s refers to one of n number of pesticide active </w:t>
      </w:r>
      <w:r w:rsidR="009F38A8">
        <w:t>i</w:t>
      </w:r>
      <w:r w:rsidRPr="00ED7E61">
        <w:t>ngredients applied in outdoor agriculture, with n encompassing all registered active ingredients by country. The species groups include fish, birds, mammals, aquatic invertebrates, terrestrial arthropods (excluding pollinators), pollinators, aquatic plants and terrestrial plants. The ATAT intends to extend TAT to calculate a single indicator as a component of risk, by weighting RTLs using a factor that represents species group prominence (b) by incorporating species richness and/or endemicity; and by normalizing each country’s ATATs by agricultural and plantation forestry areas and major areas treated during national campaigns for vector control (a) to allow proportional representation by country prior to global aggregation. The need for, and functioning of these two factors (b and a) will be closely considered as the indicator is further developed and after a thorough review and testing. The equation for ATAT is:  </w:t>
      </w:r>
    </w:p>
    <w:p w14:paraId="48C8E042" w14:textId="77777777" w:rsidR="00697090" w:rsidRPr="00ED7E61" w:rsidRDefault="00697090" w:rsidP="00697090">
      <w:pPr>
        <w:spacing w:before="100" w:beforeAutospacing="1" w:after="100" w:afterAutospacing="1"/>
        <w:rPr>
          <w:rFonts w:ascii="Palatino Linotype" w:hAnsi="Palatino Linotype"/>
          <w:sz w:val="18"/>
          <w:szCs w:val="18"/>
        </w:rPr>
      </w:pPr>
      <m:oMath>
        <m:r>
          <w:rPr>
            <w:rFonts w:ascii="Cambria Math" w:hAnsi="Cambria Math"/>
            <w:sz w:val="18"/>
            <w:szCs w:val="18"/>
          </w:rPr>
          <m:t>ATA</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s,sp,t</m:t>
            </m:r>
          </m:sub>
        </m:sSub>
        <m:r>
          <w:rPr>
            <w:rFonts w:ascii="Cambria Math" w:hAnsi="Cambria Math"/>
            <w:sz w:val="18"/>
            <w:szCs w:val="18"/>
          </w:rPr>
          <m:t>=</m:t>
        </m:r>
        <m:nary>
          <m:naryPr>
            <m:chr m:val="∑"/>
            <m:limLoc m:val="subSup"/>
            <m:grow m:val="1"/>
            <m:ctrlPr>
              <w:rPr>
                <w:rFonts w:ascii="Cambria Math" w:hAnsi="Cambria Math"/>
                <w:i/>
                <w:sz w:val="18"/>
                <w:szCs w:val="18"/>
              </w:rPr>
            </m:ctrlPr>
          </m:naryPr>
          <m:sub>
            <m:r>
              <w:rPr>
                <w:rFonts w:ascii="Cambria Math" w:hAnsi="Cambria Math"/>
                <w:sz w:val="18"/>
                <w:szCs w:val="18"/>
              </w:rPr>
              <m:t>s=n</m:t>
            </m:r>
          </m:sub>
          <m:sup>
            <m:r>
              <w:rPr>
                <w:rFonts w:ascii="Cambria Math" w:hAnsi="Cambria Math"/>
                <w:sz w:val="18"/>
                <w:szCs w:val="18"/>
              </w:rPr>
              <m:t>s</m:t>
            </m:r>
          </m:sup>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s,t</m:t>
                        </m:r>
                      </m:sub>
                    </m:sSub>
                    <m:r>
                      <w:rPr>
                        <w:rFonts w:ascii="Cambria Math" w:hAnsi="Cambria Math"/>
                        <w:sz w:val="18"/>
                        <w:szCs w:val="18"/>
                      </w:rPr>
                      <m:t>b</m:t>
                    </m:r>
                  </m:num>
                  <m:den>
                    <m:d>
                      <m:dPr>
                        <m:ctrlPr>
                          <w:rPr>
                            <w:rFonts w:ascii="Cambria Math" w:hAnsi="Cambria Math"/>
                            <w:i/>
                            <w:sz w:val="18"/>
                            <w:szCs w:val="18"/>
                          </w:rPr>
                        </m:ctrlPr>
                      </m:dPr>
                      <m:e>
                        <m:r>
                          <w:rPr>
                            <w:rFonts w:ascii="Cambria Math" w:hAnsi="Cambria Math"/>
                            <w:sz w:val="18"/>
                            <w:szCs w:val="18"/>
                          </w:rPr>
                          <m:t>RT</m:t>
                        </m:r>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s,sp</m:t>
                            </m:r>
                          </m:sub>
                        </m:sSub>
                      </m:e>
                    </m:d>
                  </m:den>
                </m:f>
              </m:e>
            </m:d>
          </m:e>
        </m:nary>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sSub>
      </m:oMath>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t>(equation 1)</w:t>
      </w:r>
    </w:p>
    <w:p w14:paraId="5D501233" w14:textId="77777777" w:rsidR="00697090" w:rsidRPr="00ED7E61" w:rsidRDefault="00697090" w:rsidP="00B10F0C">
      <w:pPr>
        <w:pStyle w:val="CBDNormalNumber"/>
        <w:numPr>
          <w:ilvl w:val="0"/>
          <w:numId w:val="77"/>
        </w:numPr>
        <w:ind w:left="567" w:firstLine="0"/>
      </w:pPr>
      <w:r w:rsidRPr="00ED7E61">
        <w:t>The equation for global aggregation of the ATATs is:</w:t>
      </w:r>
    </w:p>
    <w:p w14:paraId="63D720A4" w14:textId="77777777" w:rsidR="00697090" w:rsidRPr="00ED7E61" w:rsidRDefault="00697090" w:rsidP="00697090">
      <w:pPr>
        <w:spacing w:before="100" w:beforeAutospacing="1" w:after="100" w:afterAutospacing="1"/>
        <w:rPr>
          <w:rFonts w:ascii="Palatino Linotype" w:hAnsi="Palatino Linotype"/>
          <w:sz w:val="18"/>
          <w:szCs w:val="18"/>
        </w:rPr>
      </w:pPr>
      <m:oMath>
        <m:r>
          <w:rPr>
            <w:rFonts w:ascii="Cambria Math" w:hAnsi="Cambria Math"/>
            <w:sz w:val="18"/>
            <w:szCs w:val="18"/>
          </w:rPr>
          <m:t>Global ATA</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s,sp,t,x</m:t>
            </m:r>
          </m:sub>
        </m:sSub>
        <m:r>
          <w:rPr>
            <w:rFonts w:ascii="Cambria Math" w:hAnsi="Cambria Math"/>
            <w:sz w:val="18"/>
            <w:szCs w:val="18"/>
          </w:rPr>
          <m:t>=</m:t>
        </m:r>
        <m:nary>
          <m:naryPr>
            <m:chr m:val="∑"/>
            <m:limLoc m:val="subSup"/>
            <m:grow m:val="1"/>
            <m:ctrlPr>
              <w:rPr>
                <w:rFonts w:ascii="Cambria Math" w:hAnsi="Cambria Math"/>
                <w:i/>
                <w:sz w:val="18"/>
                <w:szCs w:val="18"/>
              </w:rPr>
            </m:ctrlPr>
          </m:naryPr>
          <m:sub>
            <m:r>
              <w:rPr>
                <w:rFonts w:ascii="Cambria Math" w:hAnsi="Cambria Math"/>
                <w:sz w:val="18"/>
                <w:szCs w:val="18"/>
              </w:rPr>
              <m:t>x=n</m:t>
            </m:r>
          </m:sub>
          <m:sup>
            <m:r>
              <w:rPr>
                <w:rFonts w:ascii="Cambria Math" w:hAnsi="Cambria Math"/>
                <w:sz w:val="18"/>
                <w:szCs w:val="18"/>
              </w:rPr>
              <m:t>x</m:t>
            </m:r>
          </m:sup>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s,t,x</m:t>
                        </m:r>
                      </m:sub>
                    </m:sSub>
                    <m:r>
                      <w:rPr>
                        <w:rFonts w:ascii="Cambria Math" w:hAnsi="Cambria Math"/>
                        <w:sz w:val="18"/>
                        <w:szCs w:val="18"/>
                      </w:rPr>
                      <m:t>bx</m:t>
                    </m:r>
                  </m:num>
                  <m:den>
                    <m:d>
                      <m:dPr>
                        <m:ctrlPr>
                          <w:rPr>
                            <w:rFonts w:ascii="Cambria Math" w:hAnsi="Cambria Math"/>
                            <w:i/>
                            <w:sz w:val="18"/>
                            <w:szCs w:val="18"/>
                          </w:rPr>
                        </m:ctrlPr>
                      </m:dPr>
                      <m:e>
                        <m:r>
                          <w:rPr>
                            <w:rFonts w:ascii="Cambria Math" w:hAnsi="Cambria Math"/>
                            <w:sz w:val="18"/>
                            <w:szCs w:val="18"/>
                          </w:rPr>
                          <m:t>RT</m:t>
                        </m:r>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s,sp</m:t>
                            </m:r>
                          </m:sub>
                        </m:sSub>
                      </m:e>
                    </m:d>
                  </m:den>
                </m:f>
              </m:e>
            </m:d>
          </m:e>
        </m:nary>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x</m:t>
            </m:r>
          </m:sub>
        </m:sSub>
      </m:oMath>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r>
      <w:r w:rsidRPr="00ED7E61">
        <w:rPr>
          <w:rFonts w:ascii="Palatino Linotype" w:hAnsi="Palatino Linotype"/>
          <w:sz w:val="18"/>
          <w:szCs w:val="18"/>
        </w:rPr>
        <w:tab/>
        <w:t>(equation 2)</w:t>
      </w:r>
    </w:p>
    <w:p w14:paraId="20178941" w14:textId="5CD202F3" w:rsidR="00697090" w:rsidRPr="00181CB0" w:rsidRDefault="00697090" w:rsidP="00B10F0C">
      <w:pPr>
        <w:pStyle w:val="CBDNormalNumber"/>
        <w:numPr>
          <w:ilvl w:val="0"/>
          <w:numId w:val="77"/>
        </w:numPr>
        <w:ind w:left="567" w:firstLine="0"/>
      </w:pPr>
      <w:r w:rsidRPr="00ED7E61">
        <w:t xml:space="preserve">Related contributions to risk reductions can be assessed through yearly comparisons with estimated baseline risks. Because ATAT requires a protocol that can be applied by all countries, and requires standardization of key inputs across countries, then the functioning and feasibility of including some components for the calculation of ATAT remain to be verified through testing. In particular, issues around the normalization of applied areas that include forestry and areas applied for vector control requires testing; and the effects of weighting by species richness and endemicity for each test group requires testing. Furthermore, because RTLs are not complete for all active ingredients, the feasibility of applying RTLs universally, possible approaches for handling missing data, and standardized methods for computation across countries all need further review and testing. </w:t>
      </w:r>
    </w:p>
    <w:p w14:paraId="41F95722"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4E469B7" w14:textId="3393677F" w:rsidR="00697090" w:rsidRPr="00ED7E61" w:rsidRDefault="00697090" w:rsidP="00B10F0C">
      <w:pPr>
        <w:pStyle w:val="CBDNormalNumber"/>
        <w:numPr>
          <w:ilvl w:val="0"/>
          <w:numId w:val="77"/>
        </w:numPr>
        <w:ind w:left="567" w:firstLine="0"/>
      </w:pPr>
      <w:r w:rsidRPr="00ED7E61">
        <w:t>Each country can calculate yearly Aggregated TAT (ATAT) values using national statistics on pesticide sales or use and available open-source (publicly accessible) information on pesticide properties that include toxicity values for a range of species. Baseline ATAT values can be calculated for 2011-2020 using historical data on pesticide trade, sales or usage and applying publicly available toxicity values and respective weightings. When available, sales and/ or usage data will be used in preference to national pesticide imports, exports and production data.</w:t>
      </w:r>
    </w:p>
    <w:p w14:paraId="22FFBA34" w14:textId="4C514139" w:rsidR="00697090" w:rsidRPr="00ED7E61" w:rsidRDefault="00697090" w:rsidP="00B10F0C">
      <w:pPr>
        <w:pStyle w:val="CBDNormalNumber"/>
        <w:numPr>
          <w:ilvl w:val="0"/>
          <w:numId w:val="77"/>
        </w:numPr>
        <w:ind w:left="567" w:firstLine="0"/>
      </w:pPr>
      <w:r w:rsidRPr="00ED7E61">
        <w:t>Data on pesticide use based on producer/user reporting to governments is made available on an annual basis by some countries, whereas data on pesticide sales is available for others. These two parameters can be related to calculate TAT and ATAT. Sales/use data should be disaggregated by active ingredients and expressed as mass (</w:t>
      </w:r>
      <w:r w:rsidR="00111A92">
        <w:t>k</w:t>
      </w:r>
      <w:r w:rsidRPr="00ED7E61">
        <w:t>g of active ingredient or pesticide product). In the absence of sales and usage data, pesticide trade (import/export) and national production data can be used with annual usage estimated based on crop (including treated plantation forests) and livestock production, and recommended application rates together with areas and products applied for vector control</w:t>
      </w:r>
      <w:r w:rsidR="00E81377">
        <w:t xml:space="preserve"> </w:t>
      </w:r>
      <w:r w:rsidR="00065B84">
        <w:t>(</w:t>
      </w:r>
      <w:r w:rsidR="00065B84" w:rsidRPr="00065B84">
        <w:t>Maggi</w:t>
      </w:r>
      <w:r w:rsidR="00065B84" w:rsidRPr="00065B84" w:rsidDel="00065B84">
        <w:t xml:space="preserve"> </w:t>
      </w:r>
      <w:r w:rsidR="00065B84">
        <w:t xml:space="preserve"> </w:t>
      </w:r>
      <w:r w:rsidR="006B67E3">
        <w:t>et al</w:t>
      </w:r>
      <w:r w:rsidR="00E81377">
        <w:t>.</w:t>
      </w:r>
      <w:r w:rsidR="00065B84">
        <w:t xml:space="preserve"> 2019)</w:t>
      </w:r>
      <w:r w:rsidRPr="00ED7E61">
        <w:t>. Trade data is normally available through customs authorities and trade ministries. Forestry and agricultural areas and production, disaggregated by crop or livestock species, are normally collected on an annual basis by agricultural or trade ministries; in some cases, these are submitted to FAOSTAT</w:t>
      </w:r>
      <w:r w:rsidR="00065B84">
        <w:t xml:space="preserve"> </w:t>
      </w:r>
      <w:r w:rsidRPr="00ED7E61">
        <w:t>by area, tonnage and/or value.  </w:t>
      </w:r>
    </w:p>
    <w:p w14:paraId="0DCE049C" w14:textId="2A00B26C" w:rsidR="00697090" w:rsidRPr="00ED7E61" w:rsidRDefault="00697090" w:rsidP="00B10F0C">
      <w:pPr>
        <w:pStyle w:val="CBDNormalNumber"/>
        <w:numPr>
          <w:ilvl w:val="0"/>
          <w:numId w:val="77"/>
        </w:numPr>
        <w:ind w:left="567" w:firstLine="0"/>
      </w:pPr>
      <w:r w:rsidRPr="00ED7E61">
        <w:t>Toxicity values must be derived from recommended open-sources and standardized across countries. The weighting of toxicities for species groups could be based on species richness and reported endemicity for each group in each country. Weighting might consider species and endemics that are normally exposed to agricultural pesticides based on an established protocol to be developed and shared across countries.  </w:t>
      </w:r>
    </w:p>
    <w:p w14:paraId="33939962" w14:textId="77777777" w:rsidR="00697090" w:rsidRPr="00ED7E61" w:rsidRDefault="00697090" w:rsidP="00B10F0C">
      <w:pPr>
        <w:pStyle w:val="CBDNormalNumber"/>
        <w:numPr>
          <w:ilvl w:val="0"/>
          <w:numId w:val="77"/>
        </w:numPr>
        <w:ind w:left="567" w:firstLine="0"/>
      </w:pPr>
      <w:r w:rsidRPr="00ED7E61">
        <w:t>To facilitate reporting of ATAT, countries can streamline their pesticide reporting infrastructure using inventory systems and automated reporting to centralized authorities or data storage and reporting systems (such as FAOSTAT, USGS, etc.). Enabling legal, structural and technical environments need to be developed in some countries to operationalize the indicator (including component TATs for different species groups, standardized data sources, etc.), this requires some attention to capacity building. </w:t>
      </w:r>
    </w:p>
    <w:p w14:paraId="40700DBB"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25CBA390" w14:textId="1758F96F" w:rsidR="00697090" w:rsidRPr="00ED7E61" w:rsidRDefault="00697090" w:rsidP="00B10F0C">
      <w:pPr>
        <w:pStyle w:val="CBDNormalNumber"/>
        <w:numPr>
          <w:ilvl w:val="0"/>
          <w:numId w:val="77"/>
        </w:numPr>
        <w:ind w:left="567" w:firstLine="0"/>
      </w:pPr>
      <w:r w:rsidRPr="00ED7E61">
        <w:t>The methodology for calculating TAT for species groups is available as supplementary information in Schulz et al</w:t>
      </w:r>
      <w:r w:rsidR="00E81377">
        <w:t>.</w:t>
      </w:r>
      <w:r w:rsidRPr="00ED7E61">
        <w:t xml:space="preserve"> (2021). The method has been applied to compare trends in environmental toxicity for key species groups across countries and years</w:t>
      </w:r>
      <w:r w:rsidR="00065B84">
        <w:t>(</w:t>
      </w:r>
      <w:r w:rsidR="00065B84" w:rsidRPr="00065B84">
        <w:t xml:space="preserve">Wolfram </w:t>
      </w:r>
      <w:r w:rsidR="006B67E3">
        <w:t>et al</w:t>
      </w:r>
      <w:r w:rsidR="00065B84" w:rsidRPr="00065B84">
        <w:t xml:space="preserve"> 2023, Schulz </w:t>
      </w:r>
      <w:r w:rsidR="006B67E3">
        <w:t>et al</w:t>
      </w:r>
      <w:r w:rsidR="00E81377">
        <w:t>.</w:t>
      </w:r>
      <w:r w:rsidR="00065B84" w:rsidRPr="00065B84">
        <w:t xml:space="preserve"> 2021 and Bub </w:t>
      </w:r>
      <w:r w:rsidR="006B67E3">
        <w:t>et al</w:t>
      </w:r>
      <w:r w:rsidR="00E81377">
        <w:t>.</w:t>
      </w:r>
      <w:r w:rsidR="00065B84" w:rsidRPr="00065B84">
        <w:t xml:space="preserve"> 2022</w:t>
      </w:r>
      <w:r w:rsidR="00065B84">
        <w:t>)</w:t>
      </w:r>
      <w:r w:rsidRPr="00ED7E61">
        <w:t>. The method needs updating and testing to introduce robust diversity weighting (i.e. weighting of toxicities for individual species or species groups by species richness or endemicity) and allow aggregation of estimates across regions and globally. An updated methodology will be available in 2025. </w:t>
      </w:r>
    </w:p>
    <w:p w14:paraId="104EA2FB"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30A104AB" w14:textId="337461BC" w:rsidR="00697090" w:rsidRPr="00ED7E61" w:rsidRDefault="00697090" w:rsidP="00B10F0C">
      <w:pPr>
        <w:pStyle w:val="CBDNormalNumber"/>
        <w:numPr>
          <w:ilvl w:val="0"/>
          <w:numId w:val="77"/>
        </w:numPr>
        <w:ind w:left="567" w:firstLine="0"/>
        <w:rPr>
          <w:rFonts w:asciiTheme="majorBidi" w:hAnsiTheme="majorBidi" w:cstheme="majorBidi"/>
        </w:rPr>
      </w:pPr>
      <w:r w:rsidRPr="00ED7E61">
        <w:t>TAT calculations require pesticide sales and/or usage data. Furthermore, this data must be disaggregated by pesticide active ingredient. Disaggregated, open-source, national statistics on pesticide sales and usage are not accessible in many countries; however, data are generally recorded on an annual basis by all countries, if not publicly reported. Data on pesticide use are reported in an aggregated form (by pesticide classes by country) to FAOSTAT and some countries publicly report on sales and/or use. Where necessary, national biodiversity coordinators can source information on pesticide usage from relevant ministries.  </w:t>
      </w:r>
    </w:p>
    <w:p w14:paraId="35236ED6" w14:textId="55C8D3FE" w:rsidR="00697090" w:rsidRPr="00ED7E61" w:rsidRDefault="00697090" w:rsidP="00B10F0C">
      <w:pPr>
        <w:pStyle w:val="CBDNormalNumber"/>
        <w:numPr>
          <w:ilvl w:val="0"/>
          <w:numId w:val="77"/>
        </w:numPr>
        <w:ind w:left="567" w:firstLine="0"/>
        <w:rPr>
          <w:rFonts w:asciiTheme="majorBidi" w:hAnsiTheme="majorBidi" w:cstheme="majorBidi"/>
        </w:rPr>
      </w:pPr>
      <w:r w:rsidRPr="00ED7E61">
        <w:t>Data on pesticide properties are available through a range of open-source databases. Among these is the Pesticide Properties Data Base (PPDB) that holds data for c</w:t>
      </w:r>
      <w:r w:rsidR="00111A92">
        <w:t>irc</w:t>
      </w:r>
      <w:r w:rsidRPr="00ED7E61">
        <w:t>a 2</w:t>
      </w:r>
      <w:r w:rsidR="00111A92">
        <w:t>,</w:t>
      </w:r>
      <w:r w:rsidRPr="00ED7E61">
        <w:t>500 pesticide active substances and over 700 metabolites, with c</w:t>
      </w:r>
      <w:r w:rsidR="00111A92">
        <w:t>irc</w:t>
      </w:r>
      <w:r w:rsidRPr="00ED7E61">
        <w:t>a 320 parameters (e.g. toxicity, biodiversity risk assessments, etc.) stored for each substance</w:t>
      </w:r>
      <w:r w:rsidR="00E81377">
        <w:t xml:space="preserve"> </w:t>
      </w:r>
      <w:r w:rsidR="00065B84">
        <w:t>(</w:t>
      </w:r>
      <w:r w:rsidR="00065B84" w:rsidRPr="00065B84">
        <w:t>Lewis</w:t>
      </w:r>
      <w:r w:rsidR="00065B84" w:rsidRPr="00065B84" w:rsidDel="00065B84">
        <w:t xml:space="preserve"> </w:t>
      </w:r>
      <w:r w:rsidR="006B67E3">
        <w:t>et al</w:t>
      </w:r>
      <w:r w:rsidR="00E81377">
        <w:t>.</w:t>
      </w:r>
      <w:r w:rsidR="00065B84">
        <w:t xml:space="preserve"> 2016)</w:t>
      </w:r>
      <w:r w:rsidRPr="00ED7E61">
        <w:t xml:space="preserve">. The PPDB is publicly available </w:t>
      </w:r>
      <w:r w:rsidR="00065B84">
        <w:t>(</w:t>
      </w:r>
      <w:r w:rsidR="00065B84" w:rsidRPr="00065B84">
        <w:t>International Union of Pure and Applied Chemistry</w:t>
      </w:r>
      <w:r w:rsidR="00065B84">
        <w:t>)</w:t>
      </w:r>
      <w:r w:rsidRPr="00ED7E61">
        <w:t xml:space="preserve"> and is used worldwide to support pesticide risk assessments, models and indicators, policy focused monitoring exercises, and general research. To avoid differences in the parameters used during calculation of ATATs and thereby, possible biases in reporting, countries will need to apply a standard set of toxicity results as deemed suitable for the global indicator; the PPDB may be updated to highlight this set of data following the identification of a standard set of values that must be used by all countries to calculate the ATAT. Furthermore, because the PPDB is a dynamic database, the selected toxicities should be designed for application across countries and each year – including for the baseline data. Acute and, if available, chronic toxicity data should be used for the groups of organisms (based on laboratory studies using OECD guidelines) and applying respective RTLs. Chronic metrics can be adjusted using algorithms as applied for the Danish and UK PLIs using substance DT50</w:t>
      </w:r>
      <w:r w:rsidRPr="00ED7E61">
        <w:rPr>
          <w:vertAlign w:val="subscript"/>
        </w:rPr>
        <w:t xml:space="preserve">s </w:t>
      </w:r>
      <w:r w:rsidRPr="00ED7E61">
        <w:t>(half-life of the pesticide active ingredient) thereby accounting for persistence in the environment (soil and water). Means of RTLs for each compound and species group should be calculated – this would result in ca 15 acute and chronic RTL values for 400-600 pesticides.  </w:t>
      </w:r>
    </w:p>
    <w:p w14:paraId="199A1494" w14:textId="418EE695" w:rsidR="00697090" w:rsidRPr="00ED7E61" w:rsidRDefault="00697090" w:rsidP="00B10F0C">
      <w:pPr>
        <w:pStyle w:val="CBDNormalNumber"/>
        <w:numPr>
          <w:ilvl w:val="0"/>
          <w:numId w:val="77"/>
        </w:numPr>
        <w:ind w:left="567" w:firstLine="0"/>
        <w:rPr>
          <w:rFonts w:asciiTheme="majorBidi" w:hAnsiTheme="majorBidi" w:cstheme="majorBidi"/>
        </w:rPr>
      </w:pPr>
      <w:r w:rsidRPr="00ED7E61">
        <w:t>Data on crop production (crop types, crop acreage, yields) are available for most countries from FAOSTAT. Since FAOSTAT receives its data from national sources, any data that are reported through FAOSTAT are also available through national reporting authorities, often is a more disaggregated form. </w:t>
      </w:r>
    </w:p>
    <w:p w14:paraId="6BE281D0" w14:textId="523BA840" w:rsidR="00697090" w:rsidRPr="00ED7E61" w:rsidRDefault="00697090" w:rsidP="00B10F0C">
      <w:pPr>
        <w:pStyle w:val="CBDNormalNumber"/>
        <w:numPr>
          <w:ilvl w:val="0"/>
          <w:numId w:val="77"/>
        </w:numPr>
        <w:ind w:left="567" w:firstLine="0"/>
        <w:rPr>
          <w:rFonts w:asciiTheme="majorBidi" w:hAnsiTheme="majorBidi" w:cstheme="majorBidi"/>
        </w:rPr>
      </w:pPr>
      <w:r w:rsidRPr="00ED7E61">
        <w:t>National biodiversity inventories are frequently available as a component of open-source databases at national levels. In the absence of open-source data, national inventory records or global assessments of regional species richness and endemicities are often available for species’ groups. The methods used during biodiversity inventories will need to be screened to ensure they meet minimal criteria for inclusion. A thorough review for incorporating richness and other biodiversity indicators into the ATAT will be made prior to finalizing the global indicator. (See also 5j Gaps in Data Coverage)</w:t>
      </w:r>
    </w:p>
    <w:p w14:paraId="6B9AF6EE" w14:textId="77777777" w:rsidR="00697090" w:rsidRPr="00ED7E61" w:rsidRDefault="00697090" w:rsidP="00B10F0C">
      <w:pPr>
        <w:pStyle w:val="CBDNormalNumber"/>
        <w:numPr>
          <w:ilvl w:val="0"/>
          <w:numId w:val="77"/>
        </w:numPr>
        <w:ind w:left="567" w:firstLine="0"/>
      </w:pPr>
      <w:r w:rsidRPr="00ED7E61">
        <w:t>Data will be validated by the individual parties to the CBD and data ownership and distribution on national pesticide trade, sales, usage and properties, as well as crop production data, will be at the discretion of the parties. Protocols for data curation, validation and quality control will be developed with parties during testing. </w:t>
      </w:r>
    </w:p>
    <w:p w14:paraId="32FFF7BB"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20CF90BC" w14:textId="2230C303" w:rsidR="00697090" w:rsidRPr="00ED7E61" w:rsidRDefault="00697090" w:rsidP="00B10F0C">
      <w:pPr>
        <w:pStyle w:val="CBDNormalNumber"/>
        <w:numPr>
          <w:ilvl w:val="0"/>
          <w:numId w:val="77"/>
        </w:numPr>
        <w:ind w:left="567" w:firstLine="0"/>
      </w:pPr>
      <w:r w:rsidRPr="00ED7E61">
        <w:t>The ATAT indicator was accepted by a group of technical and policy experts at a dedicated meeting in FAO (Rome) in January 2024 as the most parsimonious indicator to meet the criteria for mapping risk reduction to biodiversity from pesticides. Whereas TAT is already available for use as an indicator of pesticide risks, it requires further development and testing to be used as a headline indicator (i.e. with a single value for each country) that provides a single global risk value. Furthermore, a methodology to report the indicator in terms of addressing proposed targets for risk reduction is still under development. Development and testing of the indicator will be addressed by academic and policy experts in 2024/25 and an updated methodology with test results is expected in 2025.  </w:t>
      </w:r>
    </w:p>
    <w:p w14:paraId="55F040EE"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7CF7D2FC" w14:textId="77777777" w:rsidR="00697090" w:rsidRPr="00ED7E61" w:rsidRDefault="00697090" w:rsidP="00B10F0C">
      <w:pPr>
        <w:pStyle w:val="CBDNormalNumber"/>
        <w:numPr>
          <w:ilvl w:val="0"/>
          <w:numId w:val="77"/>
        </w:numPr>
        <w:ind w:left="567" w:firstLine="0"/>
      </w:pPr>
      <w:r w:rsidRPr="00ED7E61">
        <w:t>The 2011-2020 baseline should be provided during initial reporting with comparative risks and risk reductions for each year reported from 2022 to 2030. To avoid biases, all parameters used to calculate baseline values will need to be continued as standards during the calculation of annual ATATs. For some countries, highly toxic pesticides used after 2011 but now de-registered may skew TAT values for certain species or species groups to produce disproportionate estimates of risk reductions when compared to other countries that de-registered the same products before 2011. Procedures to mitigate against such potential artifacts are required. </w:t>
      </w:r>
    </w:p>
    <w:p w14:paraId="4A65F64C"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44A6990D" w14:textId="77777777" w:rsidR="00697090" w:rsidRPr="00ED7E61" w:rsidRDefault="00697090" w:rsidP="00B10F0C">
      <w:pPr>
        <w:pStyle w:val="CBDNormalNumber"/>
        <w:numPr>
          <w:ilvl w:val="0"/>
          <w:numId w:val="77"/>
        </w:numPr>
        <w:ind w:left="567" w:firstLine="0"/>
      </w:pPr>
      <w:r w:rsidRPr="00ED7E61">
        <w:t>National governments; International Union of Pure and Applied Chemistry/IUPAC and University of Hertfordshire; FAO </w:t>
      </w:r>
    </w:p>
    <w:p w14:paraId="464A6096"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E6844AB" w14:textId="77777777" w:rsidR="00697090" w:rsidRPr="00ED7E61" w:rsidRDefault="00697090" w:rsidP="00B10F0C">
      <w:pPr>
        <w:pStyle w:val="CBDNormalNumber"/>
        <w:numPr>
          <w:ilvl w:val="0"/>
          <w:numId w:val="77"/>
        </w:numPr>
        <w:ind w:left="567" w:firstLine="0"/>
      </w:pPr>
      <w:r w:rsidRPr="00ED7E61">
        <w:t>FAO will compile the data </w:t>
      </w:r>
    </w:p>
    <w:p w14:paraId="711F165B"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50A990C7" w14:textId="77777777" w:rsidR="00697090" w:rsidRPr="00ED7E61" w:rsidRDefault="00697090" w:rsidP="00B10F0C">
      <w:pPr>
        <w:pStyle w:val="CBDNormalNumber"/>
        <w:numPr>
          <w:ilvl w:val="0"/>
          <w:numId w:val="77"/>
        </w:numPr>
        <w:ind w:left="567" w:firstLine="0"/>
      </w:pPr>
      <w:r w:rsidRPr="00ED7E61">
        <w:t>The indicator is non-cumulative and not dynamic in time—that is, it does not consider the effects of accumulated pesticides and their degradation products in the environment over time, and thus may not fully capture the pervasiveness of certain active ingredients. The PPDB has data for key metabolites, which are then used instead of the parent properties. A similar approach is recommended for the ATAT. </w:t>
      </w:r>
    </w:p>
    <w:p w14:paraId="1423F58B" w14:textId="77777777" w:rsidR="00697090" w:rsidRPr="00ED7E61" w:rsidRDefault="00697090" w:rsidP="00B10F0C">
      <w:pPr>
        <w:pStyle w:val="CBDNormalNumber"/>
        <w:numPr>
          <w:ilvl w:val="0"/>
          <w:numId w:val="77"/>
        </w:numPr>
        <w:ind w:left="567" w:firstLine="0"/>
      </w:pPr>
      <w:r w:rsidRPr="00ED7E61">
        <w:t>The indicator does not account for the synergistic or antagonistic effects of pesticide mixtures, which are currently poorly documented and for which useful toxicity data is largely unavailable.  </w:t>
      </w:r>
    </w:p>
    <w:p w14:paraId="428F8167" w14:textId="77777777" w:rsidR="00697090" w:rsidRPr="00ED7E61" w:rsidRDefault="00697090" w:rsidP="00B10F0C">
      <w:pPr>
        <w:pStyle w:val="CBDNormalNumber"/>
        <w:numPr>
          <w:ilvl w:val="0"/>
          <w:numId w:val="77"/>
        </w:numPr>
        <w:ind w:left="567" w:firstLine="0"/>
      </w:pPr>
      <w:r w:rsidRPr="00ED7E61">
        <w:t>The indicator omits illegally traded and illegally used pesticides for which information is largely unavailable, in particular, the indicator cannot include non-reported usage of banned pesticides – many of which have severe impacts on key indicator groups.  </w:t>
      </w:r>
    </w:p>
    <w:p w14:paraId="16643732" w14:textId="77777777" w:rsidR="00697090" w:rsidRPr="00ED7E61" w:rsidRDefault="00697090" w:rsidP="00B10F0C">
      <w:pPr>
        <w:pStyle w:val="CBDNormalNumber"/>
        <w:numPr>
          <w:ilvl w:val="0"/>
          <w:numId w:val="77"/>
        </w:numPr>
        <w:ind w:left="567" w:firstLine="0"/>
      </w:pPr>
      <w:r w:rsidRPr="00ED7E61">
        <w:t>The indicator does not include the detrimental effects of obsolete pesticide stocks in nations; these are often inadequately stored and can have severe adverse effects on biodiversity and ecosystems.  </w:t>
      </w:r>
    </w:p>
    <w:p w14:paraId="1DA6266C" w14:textId="77777777" w:rsidR="00697090" w:rsidRPr="00ED7E61" w:rsidRDefault="00697090" w:rsidP="00B10F0C">
      <w:pPr>
        <w:pStyle w:val="CBDNormalNumber"/>
        <w:numPr>
          <w:ilvl w:val="0"/>
          <w:numId w:val="77"/>
        </w:numPr>
        <w:ind w:left="567" w:firstLine="0"/>
      </w:pPr>
      <w:r w:rsidRPr="00ED7E61">
        <w:t>The indicator does not include adjuvants, solvents and industrial contaminants despite detrimental effects of some of these on non-target organisms, including prevalent effects in some formulations for widely used chemicals such as glyphosate; some adjuvants are considered highly hazardous, but these are difficult to quantify based on product labels. </w:t>
      </w:r>
    </w:p>
    <w:p w14:paraId="0A1CCBFD" w14:textId="406BED96" w:rsidR="00697090" w:rsidRPr="00ED7E61" w:rsidRDefault="00697090" w:rsidP="00B10F0C">
      <w:pPr>
        <w:pStyle w:val="CBDNormalNumber"/>
        <w:numPr>
          <w:ilvl w:val="0"/>
          <w:numId w:val="77"/>
        </w:numPr>
        <w:ind w:left="567" w:firstLine="0"/>
      </w:pPr>
      <w:r w:rsidRPr="00ED7E61">
        <w:t>The indicator currently does not address risk mitigation measures such as avoiding pesticide drift, avoiding riverine habitats, avoiding bird and fish breeding seasons, maintaining distances from water bodies, etc.; it assumes that pesticide run-off is ubiquitous over wide areas treated. </w:t>
      </w:r>
    </w:p>
    <w:p w14:paraId="0DCA58B8" w14:textId="43B61E9C" w:rsidR="00697090" w:rsidRPr="00ED7E61" w:rsidRDefault="00697090" w:rsidP="00B10F0C">
      <w:pPr>
        <w:pStyle w:val="CBDNormalNumber"/>
        <w:numPr>
          <w:ilvl w:val="0"/>
          <w:numId w:val="77"/>
        </w:numPr>
        <w:ind w:left="567" w:firstLine="0"/>
      </w:pPr>
      <w:r w:rsidRPr="00ED7E61">
        <w:t>The indicator does not incorporate cascade effects whereby pesticide impacts on one species or a group of species has detrimental effects on other community components (species or species groups) despite minimal direct pesticide impacts on the latter (e.g. herbicide effects on flowering weeds affects specialized pollinators or pesticide effects on chironomid larvae affects fish).  </w:t>
      </w:r>
    </w:p>
    <w:p w14:paraId="26BA39FA" w14:textId="77777777" w:rsidR="00697090" w:rsidRPr="00ED7E61" w:rsidRDefault="00697090" w:rsidP="00B10F0C">
      <w:pPr>
        <w:pStyle w:val="CBDNormalNumber"/>
        <w:numPr>
          <w:ilvl w:val="0"/>
          <w:numId w:val="77"/>
        </w:numPr>
        <w:ind w:left="567" w:firstLine="0"/>
      </w:pPr>
      <w:r w:rsidRPr="00ED7E61">
        <w:t>The indicator does not account for rare or endangered species that are not endemic to specific countries.  </w:t>
      </w:r>
    </w:p>
    <w:p w14:paraId="514EE8F6" w14:textId="77777777" w:rsidR="00697090" w:rsidRPr="00ED7E61" w:rsidRDefault="00697090" w:rsidP="00B10F0C">
      <w:pPr>
        <w:pStyle w:val="CBDNormalNumber"/>
        <w:numPr>
          <w:ilvl w:val="0"/>
          <w:numId w:val="77"/>
        </w:numPr>
        <w:ind w:left="567" w:firstLine="0"/>
      </w:pPr>
      <w:r w:rsidRPr="00ED7E61">
        <w:t>Biodiversity inventories generally underrepresent certain taxa, including plants, arthropods, microbiota; relations between species richness and ecosystem function are poorly understood </w:t>
      </w:r>
    </w:p>
    <w:p w14:paraId="5B4C0799" w14:textId="77777777" w:rsidR="00697090" w:rsidRPr="00ED7E61" w:rsidRDefault="00697090" w:rsidP="00B10F0C">
      <w:pPr>
        <w:pStyle w:val="CBDNormalNumber"/>
        <w:numPr>
          <w:ilvl w:val="0"/>
          <w:numId w:val="77"/>
        </w:numPr>
        <w:ind w:left="567" w:firstLine="0"/>
      </w:pPr>
      <w:r w:rsidRPr="00ED7E61">
        <w:t>The indicator does not include coastal and marine habitats and possible detrimental effects to marine organisms.  </w:t>
      </w:r>
    </w:p>
    <w:p w14:paraId="0ECC5772" w14:textId="3CC11C51" w:rsidR="00697090" w:rsidRPr="00ED7E61" w:rsidRDefault="00697090" w:rsidP="00B10F0C">
      <w:pPr>
        <w:pStyle w:val="CBDNormalNumber"/>
        <w:numPr>
          <w:ilvl w:val="0"/>
          <w:numId w:val="77"/>
        </w:numPr>
        <w:ind w:left="567" w:firstLine="0"/>
      </w:pPr>
      <w:r w:rsidRPr="00ED7E61">
        <w:t xml:space="preserve">The indicator does not include sub-lethal effects on non-target species that might alter </w:t>
      </w:r>
      <w:r w:rsidR="003945F8" w:rsidRPr="00ED7E61">
        <w:t>behaviours</w:t>
      </w:r>
      <w:r w:rsidRPr="00ED7E61">
        <w:t xml:space="preserve"> and, consequently, affect ecosystem services.  </w:t>
      </w:r>
    </w:p>
    <w:p w14:paraId="5043623E" w14:textId="77777777" w:rsidR="00697090" w:rsidRPr="00ED7E61" w:rsidRDefault="00697090" w:rsidP="00B10F0C">
      <w:pPr>
        <w:pStyle w:val="CBDNormalNumber"/>
        <w:numPr>
          <w:ilvl w:val="0"/>
          <w:numId w:val="77"/>
        </w:numPr>
        <w:ind w:left="567" w:firstLine="0"/>
      </w:pPr>
      <w:r w:rsidRPr="00ED7E61">
        <w:t>The indicator does not link regionally varying exposures based on biodiversity gradients to national ATAT estimates – this can be included to more accurately calculate ATAT values for large nations, but is not necessarily reported by countries and can inhibit adequate risk-mitigation measures. </w:t>
      </w:r>
    </w:p>
    <w:p w14:paraId="441CB658"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1C8C354C" w14:textId="4FCDA0DA" w:rsidR="00697090" w:rsidRPr="00ED7E61" w:rsidRDefault="00697090" w:rsidP="00B10F0C">
      <w:pPr>
        <w:pStyle w:val="CBDNormalNumber"/>
        <w:numPr>
          <w:ilvl w:val="0"/>
          <w:numId w:val="77"/>
        </w:numPr>
        <w:ind w:left="567" w:firstLine="0"/>
      </w:pPr>
      <w:r w:rsidRPr="00ED7E61">
        <w:t>For some countries, pesticide sales or use data are not widely available or are held-up at ministries; and data is made available only gradually with time lags that can be greater than 5 years. Where sales/use data is unavailable, countries can use trade data (which is more commonly available) to estimate usage based on crop types and areas. Using trade and production data (i.e. availability), pesticide usage can be estimated based on crop composition (up to 100 main crops or at least crop groups), pesticide label information (application rates, etc.), and basing usage on data from similar countries (e.g. similar climates, socio-economic factors, crops and landscape). A standard methodology will be defined to convert trade and sales data into usage; to ensure this is done in a consistent manner by different countries. </w:t>
      </w:r>
    </w:p>
    <w:p w14:paraId="49E56A98" w14:textId="14C571FC" w:rsidR="00697090" w:rsidRPr="00ED7E61" w:rsidRDefault="00697090" w:rsidP="00B10F0C">
      <w:pPr>
        <w:pStyle w:val="CBDNormalNumber"/>
        <w:numPr>
          <w:ilvl w:val="0"/>
          <w:numId w:val="77"/>
        </w:numPr>
        <w:ind w:left="567" w:firstLine="0"/>
      </w:pPr>
      <w:r w:rsidRPr="00ED7E61">
        <w:t>Some substances may not have all the data needed for the indicator. The UK PLI has a protocol for plugging gaps which includes using data for related substances or using an average value for the type of pesticide (i.e. insecticide, herbicide, fungicide, etc.) (an alternative is to use a worst-case value, i.e. 95th percentile). The UK PLI also has an exclusion protocol, to remove substances where substantial data are missing; any substances with less than 60% of the required data are excluded. A similar protocol will be defined for the Global ATAT to ensure transparency. </w:t>
      </w:r>
    </w:p>
    <w:p w14:paraId="013715BA" w14:textId="17E8E9E4" w:rsidR="00697090" w:rsidRPr="00ED7E61" w:rsidRDefault="00697090" w:rsidP="00B10F0C">
      <w:pPr>
        <w:pStyle w:val="CBDNormalNumber"/>
        <w:numPr>
          <w:ilvl w:val="0"/>
          <w:numId w:val="77"/>
        </w:numPr>
        <w:ind w:left="567" w:firstLine="0"/>
      </w:pPr>
      <w:r w:rsidRPr="00ED7E61">
        <w:t xml:space="preserve">In the absence of trade data, estimates of pesticide usage in crops can be generated by using PEST-CHEMGRIDS and CROPGRIDS and applying the related published protocols. These use crop production data by area and infer pesticide usage based on typical application rates for the same or similar crops based on registered sales from data rich countries </w:t>
      </w:r>
      <w:r w:rsidR="00F076D0">
        <w:t>(</w:t>
      </w:r>
      <w:r w:rsidR="00F076D0" w:rsidRPr="00ED7E61">
        <w:rPr>
          <w:rFonts w:asciiTheme="majorBidi" w:hAnsiTheme="majorBidi" w:cstheme="majorBidi"/>
          <w:noProof/>
        </w:rPr>
        <w:t xml:space="preserve">Maggi </w:t>
      </w:r>
      <w:r w:rsidR="006B67E3">
        <w:rPr>
          <w:rFonts w:asciiTheme="majorBidi" w:hAnsiTheme="majorBidi" w:cstheme="majorBidi"/>
          <w:noProof/>
        </w:rPr>
        <w:t>et al</w:t>
      </w:r>
      <w:r w:rsidR="00F076D0">
        <w:rPr>
          <w:rFonts w:asciiTheme="majorBidi" w:hAnsiTheme="majorBidi" w:cstheme="majorBidi"/>
          <w:noProof/>
        </w:rPr>
        <w:t xml:space="preserve"> 2019 and </w:t>
      </w:r>
      <w:r w:rsidR="00F076D0" w:rsidRPr="00ED7E61">
        <w:rPr>
          <w:rFonts w:asciiTheme="majorBidi" w:hAnsiTheme="majorBidi" w:cstheme="majorBidi"/>
          <w:noProof/>
        </w:rPr>
        <w:t>Tang</w:t>
      </w:r>
      <w:r w:rsidR="00F076D0">
        <w:rPr>
          <w:rFonts w:asciiTheme="majorBidi" w:hAnsiTheme="majorBidi" w:cstheme="majorBidi"/>
          <w:noProof/>
        </w:rPr>
        <w:t xml:space="preserve"> </w:t>
      </w:r>
      <w:r w:rsidR="006B67E3">
        <w:rPr>
          <w:rFonts w:asciiTheme="majorBidi" w:hAnsiTheme="majorBidi" w:cstheme="majorBidi"/>
          <w:noProof/>
        </w:rPr>
        <w:t>et al</w:t>
      </w:r>
      <w:r w:rsidR="00F076D0">
        <w:rPr>
          <w:rFonts w:asciiTheme="majorBidi" w:hAnsiTheme="majorBidi" w:cstheme="majorBidi"/>
          <w:noProof/>
        </w:rPr>
        <w:t xml:space="preserve"> 2023)</w:t>
      </w:r>
      <w:r w:rsidRPr="00ED7E61">
        <w:t>.  </w:t>
      </w:r>
    </w:p>
    <w:p w14:paraId="39491F24" w14:textId="77777777" w:rsidR="00697090" w:rsidRPr="00ED7E61" w:rsidRDefault="00697090" w:rsidP="00B10F0C">
      <w:pPr>
        <w:pStyle w:val="CBDNormalNumber"/>
        <w:numPr>
          <w:ilvl w:val="0"/>
          <w:numId w:val="77"/>
        </w:numPr>
        <w:ind w:left="567" w:firstLine="0"/>
      </w:pPr>
      <w:r w:rsidRPr="00ED7E61">
        <w:t>Non reporting or late reporting of ATATs by countries will delay estimates of global risks and risk reductions. This will be more prevalent during the initial years of indicator operationalization and become less prevalent over time, particularly where capacity building is put in place to support countries to evaluate and report pesticide associated risks. For real-time reporting, estimates can be made to fill data gaps based on countries with similar socioecological and agricultural conditions. Gap-fill estimates could be corrected retrospectively when more accurate data and risk estimates are available. </w:t>
      </w:r>
    </w:p>
    <w:p w14:paraId="453C861D" w14:textId="77777777" w:rsidR="00697090" w:rsidRPr="00ED7E61" w:rsidRDefault="00697090" w:rsidP="00697090">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3DF1EA44" w14:textId="77777777" w:rsidR="00697090" w:rsidRPr="00ED7E61" w:rsidRDefault="00697090" w:rsidP="00181CB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04B5037B" w14:textId="77777777" w:rsidR="00697090" w:rsidRPr="00ED7E61" w:rsidRDefault="00697090" w:rsidP="00181CB0">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 </w:t>
      </w:r>
      <w:r w:rsidRPr="00ED7E61">
        <w:rPr>
          <w:rStyle w:val="eop"/>
          <w:rFonts w:asciiTheme="majorBidi" w:eastAsiaTheme="majorEastAsia" w:hAnsiTheme="majorBidi" w:cstheme="majorBidi"/>
          <w:sz w:val="22"/>
          <w:szCs w:val="22"/>
        </w:rPr>
        <w:t> </w:t>
      </w:r>
    </w:p>
    <w:p w14:paraId="2F5331D1" w14:textId="77777777" w:rsidR="00697090" w:rsidRPr="00ED7E61" w:rsidRDefault="00697090" w:rsidP="00181CB0">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National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25AAF83E" w14:textId="77777777" w:rsidR="00697090" w:rsidRPr="00ED7E61" w:rsidRDefault="00697090" w:rsidP="00B10F0C">
      <w:pPr>
        <w:pStyle w:val="CBDNormalNumber"/>
        <w:numPr>
          <w:ilvl w:val="0"/>
          <w:numId w:val="77"/>
        </w:numPr>
        <w:ind w:left="567" w:firstLine="0"/>
      </w:pPr>
      <w:r w:rsidRPr="00ED7E61">
        <w:t>Scale of data disaggregation/aggregation: Aggregated by pesticide active ingredients, species and species groups, and crop production areas (including plantation forestry and pastures) or application areas (in the case of public health pesticides) </w:t>
      </w:r>
    </w:p>
    <w:p w14:paraId="2B0229C8" w14:textId="2462C749" w:rsidR="00697090" w:rsidRPr="00ED7E61" w:rsidRDefault="00697090" w:rsidP="001C6EE2">
      <w:pPr>
        <w:pStyle w:val="paragraph"/>
        <w:numPr>
          <w:ilvl w:val="0"/>
          <w:numId w:val="1"/>
        </w:numPr>
        <w:spacing w:before="0" w:beforeAutospacing="0" w:after="0" w:afterAutospacing="0"/>
        <w:ind w:left="1080" w:firstLine="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Global</w:t>
      </w:r>
      <w:r w:rsidR="002973AF">
        <w:rPr>
          <w:rStyle w:val="normaltextrun"/>
          <w:rFonts w:asciiTheme="majorBidi" w:eastAsiaTheme="majorEastAsia" w:hAnsiTheme="majorBidi" w:cstheme="majorBidi"/>
          <w:sz w:val="22"/>
          <w:szCs w:val="22"/>
        </w:rPr>
        <w:t xml:space="preserve"> </w:t>
      </w:r>
      <w:r w:rsidRPr="00ED7E61">
        <w:rPr>
          <w:rStyle w:val="normaltextrun"/>
          <w:rFonts w:asciiTheme="majorBidi" w:eastAsiaTheme="majorEastAsia" w:hAnsiTheme="majorBidi" w:cstheme="majorBidi"/>
          <w:sz w:val="22"/>
          <w:szCs w:val="22"/>
        </w:rPr>
        <w:t xml:space="preserve">/ regional scale indicator can be disaggregated to national level: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0D09AD89" w14:textId="77777777" w:rsidR="00697090" w:rsidRPr="00ED7E61" w:rsidRDefault="00697090" w:rsidP="001C6EE2">
      <w:pPr>
        <w:pStyle w:val="paragraph"/>
        <w:numPr>
          <w:ilvl w:val="0"/>
          <w:numId w:val="1"/>
        </w:numPr>
        <w:spacing w:before="0" w:beforeAutospacing="0" w:after="0" w:afterAutospacing="0"/>
        <w:ind w:left="1080" w:firstLine="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National data is collated to form global indicator: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47530602"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571A5F21" w14:textId="0FBAC0E7" w:rsidR="00697090" w:rsidRPr="00ED7E61" w:rsidRDefault="00697090" w:rsidP="00B10F0C">
      <w:pPr>
        <w:pStyle w:val="CBDNormalNumber"/>
        <w:numPr>
          <w:ilvl w:val="0"/>
          <w:numId w:val="77"/>
        </w:numPr>
        <w:ind w:left="567" w:firstLine="0"/>
      </w:pPr>
      <w:r w:rsidRPr="00ED7E61">
        <w:t>Indicator characteristics and calculations are available for national authorities in papers published by Schulz et al</w:t>
      </w:r>
      <w:r w:rsidR="00C074BA">
        <w:t>.</w:t>
      </w:r>
      <w:r w:rsidRPr="00ED7E61">
        <w:t xml:space="preserve"> (2021), Bub et a</w:t>
      </w:r>
      <w:r w:rsidR="00C074BA">
        <w:t>.</w:t>
      </w:r>
      <w:r w:rsidRPr="00ED7E61">
        <w:t>l (2022)</w:t>
      </w:r>
      <w:r w:rsidR="00C074BA">
        <w:t xml:space="preserve"> </w:t>
      </w:r>
      <w:r w:rsidRPr="00ED7E61">
        <w:t>and Wolfram et al</w:t>
      </w:r>
      <w:r w:rsidR="00C074BA">
        <w:t>.</w:t>
      </w:r>
      <w:r w:rsidRPr="00ED7E61">
        <w:t xml:space="preserve"> (2023). Data to calculate the indicator is available at national levels including, in many cases, to calculate the baseline indicator (2011-2020) using historical data. Extensions of the TAT for community weighting are not yet published; however, until the methodology is published, national authorities can report component indicators (i.e. 15 or more acute of chronic RTL values for all pesticides combined) with community weighting adjusted retrospectively. Component indicators will include TAT estimates for each species and species group and ATAT estimates for each country. PLIs for key species or species groups </w:t>
      </w:r>
      <w:r w:rsidRPr="00ED7E61">
        <w:fldChar w:fldCharType="begin"/>
      </w:r>
      <w:r w:rsidRPr="00ED7E61">
        <w:instrText xml:space="preserve"> ADDIN EN.CITE &lt;EndNote&gt;&lt;Cite&gt;&lt;Author&gt;Lewis&lt;/Author&gt;&lt;Year&gt;2021&lt;/Year&gt;&lt;RecNum&gt;193&lt;/RecNum&gt;&lt;DisplayText&gt;&lt;style size="10"&gt;[49]&lt;/style&gt;&lt;/DisplayText&gt;&lt;record&gt;&lt;rec-number&gt;193&lt;/rec-number&gt;&lt;foreign-keys&gt;&lt;key app="EN" db-id="zvexaff970a5ehextp6vd2xy9d0s0d95sp05" timestamp="1707998816"&gt;193&lt;/key&gt;&lt;/foreign-keys&gt;&lt;ref-type name="Journal Article"&gt;17&lt;/ref-type&gt;&lt;contributors&gt;&lt;authors&gt;&lt;author&gt;Lewis, Kathleen&lt;/author&gt;&lt;author&gt;Rainford, James&lt;/author&gt;&lt;author&gt;Tzilivakis, John&lt;/author&gt;&lt;author&gt;Garthwaite, David&lt;/author&gt;&lt;/authors&gt;&lt;/contributors&gt;&lt;titles&gt;&lt;title&gt;Application of the Danish Pesticide Load Indicator to UK arable agriculture&lt;/title&gt;&lt;secondary-title&gt;Journal of Environmental Quality&lt;/secondary-title&gt;&lt;/titles&gt;&lt;periodical&gt;&lt;full-title&gt;Journal of Environmental Quality&lt;/full-title&gt;&lt;/periodical&gt;&lt;pages&gt;1110-1122&lt;/pages&gt;&lt;volume&gt;50&lt;/volume&gt;&lt;dates&gt;&lt;year&gt;2021&lt;/year&gt;&lt;/dates&gt;&lt;urls&gt;&lt;/urls&gt;&lt;/record&gt;&lt;/Cite&gt;&lt;/EndNote&gt;</w:instrText>
      </w:r>
      <w:r w:rsidRPr="00ED7E61">
        <w:fldChar w:fldCharType="separate"/>
      </w:r>
      <w:r w:rsidRPr="00ED7E61">
        <w:t>[49]</w:t>
      </w:r>
      <w:r w:rsidRPr="00ED7E61">
        <w:fldChar w:fldCharType="end"/>
      </w:r>
      <w:r w:rsidRPr="00ED7E61">
        <w:t xml:space="preserve"> are recommended as useful complementary indicators. </w:t>
      </w:r>
    </w:p>
    <w:p w14:paraId="29C05E1D" w14:textId="62868343"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53E7524E" w14:textId="77777777" w:rsidR="00697090" w:rsidRPr="00ED7E61" w:rsidRDefault="00697090" w:rsidP="00B10F0C">
      <w:pPr>
        <w:pStyle w:val="CBDNormalNumber"/>
        <w:numPr>
          <w:ilvl w:val="0"/>
          <w:numId w:val="77"/>
        </w:numPr>
        <w:ind w:left="567" w:firstLine="0"/>
      </w:pPr>
      <w:r w:rsidRPr="00ED7E61">
        <w:t>ATAT is calculated individually for each country. Since the data is aggregated at the global level, there should be no differences. </w:t>
      </w:r>
    </w:p>
    <w:p w14:paraId="6C4D5705"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6E104F1A" w14:textId="77777777" w:rsidR="00697090" w:rsidRPr="00ED7E61" w:rsidRDefault="00697090" w:rsidP="00697090">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 Description of the methodology</w:t>
      </w:r>
      <w:r w:rsidRPr="00ED7E61">
        <w:rPr>
          <w:rStyle w:val="eop"/>
          <w:rFonts w:asciiTheme="majorBidi" w:eastAsiaTheme="majorEastAsia" w:hAnsiTheme="majorBidi" w:cstheme="majorBidi"/>
          <w:sz w:val="22"/>
          <w:szCs w:val="22"/>
        </w:rPr>
        <w:t> </w:t>
      </w:r>
    </w:p>
    <w:p w14:paraId="02B7950E" w14:textId="7DC87CA6" w:rsidR="00697090" w:rsidRPr="00ED7E61" w:rsidRDefault="00697090" w:rsidP="00B10F0C">
      <w:pPr>
        <w:pStyle w:val="CBDNormalNumber"/>
        <w:numPr>
          <w:ilvl w:val="0"/>
          <w:numId w:val="77"/>
        </w:numPr>
        <w:ind w:left="567" w:firstLine="0"/>
      </w:pPr>
      <w:r w:rsidRPr="00ED7E61">
        <w:t>The methodology for TAT and its application in comparing environmental toxicities between regions and over time is published by Schulz et al</w:t>
      </w:r>
      <w:r w:rsidR="00C074BA">
        <w:t>.</w:t>
      </w:r>
      <w:r w:rsidRPr="00ED7E61">
        <w:t xml:space="preserve"> (2021)</w:t>
      </w:r>
      <w:r w:rsidR="00F076D0">
        <w:t>.</w:t>
      </w:r>
    </w:p>
    <w:p w14:paraId="57DDF042" w14:textId="77777777" w:rsidR="00697090" w:rsidRPr="00ED7E61" w:rsidRDefault="00697090" w:rsidP="00697090">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7856FA54" w14:textId="5FEC0FF7" w:rsidR="00697090" w:rsidRPr="00ED7E61" w:rsidRDefault="00697090" w:rsidP="00B10F0C">
      <w:pPr>
        <w:pStyle w:val="CBDNormalNumber"/>
        <w:numPr>
          <w:ilvl w:val="0"/>
          <w:numId w:val="77"/>
        </w:numPr>
        <w:ind w:left="567" w:firstLine="0"/>
      </w:pPr>
      <w:r w:rsidRPr="00ED7E61">
        <w:t>Details for estimating pesticide use based on PEST-CHEMGRIDS and subsequent applications are available in publications by Maggi et al</w:t>
      </w:r>
      <w:r w:rsidR="00C074BA">
        <w:t>.</w:t>
      </w:r>
      <w:r w:rsidRPr="00ED7E61">
        <w:t xml:space="preserve"> (2019)</w:t>
      </w:r>
      <w:r w:rsidR="00F076D0">
        <w:t>.</w:t>
      </w:r>
    </w:p>
    <w:p w14:paraId="76F91F02" w14:textId="4C6D40BE" w:rsidR="00697090" w:rsidRPr="00ED7E61" w:rsidRDefault="00697090" w:rsidP="006233E3">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i/>
          <w:iCs/>
          <w:sz w:val="22"/>
          <w:szCs w:val="22"/>
        </w:rPr>
        <w:t>6d.3 Description of the mechanism for collecting data from countries</w:t>
      </w:r>
      <w:r w:rsidRPr="00ED7E61">
        <w:rPr>
          <w:rStyle w:val="eop"/>
          <w:rFonts w:asciiTheme="majorBidi" w:eastAsiaTheme="majorEastAsia" w:hAnsiTheme="majorBidi" w:cstheme="majorBidi"/>
          <w:sz w:val="22"/>
          <w:szCs w:val="22"/>
        </w:rPr>
        <w:t> </w:t>
      </w:r>
    </w:p>
    <w:p w14:paraId="78A284F0" w14:textId="5D7A1CA5" w:rsidR="00250304" w:rsidRPr="00ED7E61" w:rsidRDefault="00697090" w:rsidP="00B10F0C">
      <w:pPr>
        <w:pStyle w:val="CBDNormalNumber"/>
        <w:numPr>
          <w:ilvl w:val="0"/>
          <w:numId w:val="77"/>
        </w:numPr>
        <w:ind w:left="567" w:firstLine="0"/>
      </w:pPr>
      <w:r w:rsidRPr="00ED7E61">
        <w:t>Pesticide trade and usage data will be reported to FAO with pesticides disaggregated by active ingredient. </w:t>
      </w:r>
    </w:p>
    <w:p w14:paraId="1BD294A3" w14:textId="4E58B00B" w:rsidR="00250304" w:rsidRPr="00ED7E61" w:rsidRDefault="00697090" w:rsidP="00B10F0C">
      <w:pPr>
        <w:pStyle w:val="CBDNormalNumber"/>
        <w:numPr>
          <w:ilvl w:val="0"/>
          <w:numId w:val="77"/>
        </w:numPr>
        <w:ind w:left="567" w:firstLine="0"/>
      </w:pPr>
      <w:r w:rsidRPr="00ED7E61">
        <w:t>Pesticide properties are available and continually updated on the Pesticide Properties DataBase. </w:t>
      </w:r>
    </w:p>
    <w:p w14:paraId="05AA0C9C" w14:textId="77777777" w:rsidR="00697090" w:rsidRPr="00ED7E61" w:rsidRDefault="00697090" w:rsidP="00B10F0C">
      <w:pPr>
        <w:pStyle w:val="CBDNormalNumber"/>
        <w:numPr>
          <w:ilvl w:val="0"/>
          <w:numId w:val="77"/>
        </w:numPr>
        <w:ind w:left="567" w:firstLine="0"/>
      </w:pPr>
      <w:r w:rsidRPr="00ED7E61">
        <w:t>The ATAT will be reported by national biodiversity officers to the CBD using the Online Reporting Tool. Countries may seek support during reporting from FAO. </w:t>
      </w:r>
    </w:p>
    <w:p w14:paraId="67B2831A" w14:textId="1D27763C" w:rsidR="00697090" w:rsidRPr="00ED7E61" w:rsidRDefault="00697090" w:rsidP="00697090">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w:t>
      </w:r>
      <w:r w:rsidR="00B10F0C">
        <w:rPr>
          <w:rStyle w:val="normaltextrun"/>
          <w:rFonts w:asciiTheme="majorBidi" w:eastAsiaTheme="majorEastAsia" w:hAnsiTheme="majorBidi" w:cstheme="majorBidi"/>
          <w:b/>
          <w:bCs/>
          <w:sz w:val="22"/>
          <w:szCs w:val="22"/>
        </w:rPr>
        <w:t>z</w:t>
      </w:r>
      <w:r w:rsidRPr="00ED7E61">
        <w:rPr>
          <w:rStyle w:val="normaltextrun"/>
          <w:rFonts w:asciiTheme="majorBidi" w:eastAsiaTheme="majorEastAsia" w:hAnsiTheme="majorBidi" w:cstheme="majorBidi"/>
          <w:b/>
          <w:bCs/>
          <w:sz w:val="22"/>
          <w:szCs w:val="22"/>
        </w:rPr>
        <w:t>ations</w:t>
      </w:r>
      <w:r w:rsidRPr="00ED7E61">
        <w:rPr>
          <w:rStyle w:val="eop"/>
          <w:rFonts w:asciiTheme="majorBidi" w:eastAsiaTheme="majorEastAsia" w:hAnsiTheme="majorBidi" w:cstheme="majorBidi"/>
          <w:sz w:val="22"/>
          <w:szCs w:val="22"/>
        </w:rPr>
        <w:t> </w:t>
      </w:r>
    </w:p>
    <w:p w14:paraId="465C72C2" w14:textId="77777777" w:rsidR="00697090" w:rsidRPr="00ED7E61" w:rsidRDefault="00697090" w:rsidP="00181CB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63AB4F0C" w14:textId="77777777" w:rsidR="00697090" w:rsidRPr="00ED7E61" w:rsidRDefault="00697090" w:rsidP="00B10F0C">
      <w:pPr>
        <w:pStyle w:val="CBDNormalNumber"/>
        <w:numPr>
          <w:ilvl w:val="0"/>
          <w:numId w:val="77"/>
        </w:numPr>
        <w:ind w:left="567" w:firstLine="0"/>
      </w:pPr>
      <w:r w:rsidRPr="00ED7E61">
        <w:t>ATAT complements SDG 6 and SDG 15, which currently has an emphasis on protected lands and waters; directly contributes to monitoring hazardous pesticide risk reduction under the Global Framework on Chemicals (GFC) target A7 and supports related targets (A5, B6 and D5); IPBES (global and regional assessments, thematic assessments and sustainability); contributes to monitoring implementation of Stockholm, Rotterdam, Basel and Minamata Conventions and the Montreal Protocol. The component indicator further supports the Globally Harmonized System of classification and labelling of chemicals, the Codex Alimentarius and the World Health Organization’s pre-qualification of vector control products - among other key international agreements and mechanisms that address pesticide management.  </w:t>
      </w:r>
    </w:p>
    <w:p w14:paraId="3E045FA5"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color w:val="000000"/>
          <w:sz w:val="22"/>
          <w:szCs w:val="22"/>
        </w:rPr>
      </w:pPr>
      <w:r w:rsidRPr="00ED7E61">
        <w:rPr>
          <w:rStyle w:val="normaltextrun"/>
          <w:rFonts w:asciiTheme="majorBidi" w:eastAsiaTheme="majorEastAsia" w:hAnsiTheme="majorBidi" w:cstheme="majorBidi"/>
          <w:b/>
          <w:bCs/>
          <w:sz w:val="22"/>
          <w:szCs w:val="22"/>
          <w:lang w:val="en-US"/>
        </w:rPr>
        <w:t>7b.</w:t>
      </w:r>
      <w:r w:rsidRPr="00ED7E61">
        <w:rPr>
          <w:rStyle w:val="normaltextrun"/>
          <w:rFonts w:asciiTheme="majorBidi" w:eastAsiaTheme="majorEastAsia" w:hAnsiTheme="majorBidi" w:cstheme="majorBidi"/>
          <w:sz w:val="22"/>
          <w:szCs w:val="22"/>
          <w:lang w:val="en-US"/>
        </w:rPr>
        <w:t xml:space="preserve"> </w:t>
      </w:r>
      <w:r w:rsidRPr="00ED7E61">
        <w:rPr>
          <w:rStyle w:val="normaltextrun"/>
          <w:rFonts w:asciiTheme="majorBidi" w:eastAsiaTheme="majorEastAsia" w:hAnsiTheme="majorBidi" w:cstheme="majorBidi"/>
          <w:b/>
          <w:bCs/>
          <w:sz w:val="22"/>
          <w:szCs w:val="22"/>
          <w:lang w:val="en-US"/>
        </w:rPr>
        <w:t>Biodiversity Indicator Partnership</w:t>
      </w:r>
      <w:r w:rsidRPr="00ED7E61">
        <w:rPr>
          <w:rStyle w:val="eop"/>
          <w:rFonts w:asciiTheme="majorBidi" w:eastAsiaTheme="majorEastAsia" w:hAnsiTheme="majorBidi" w:cstheme="majorBidi"/>
          <w:sz w:val="22"/>
          <w:szCs w:val="22"/>
        </w:rPr>
        <w:t> </w:t>
      </w:r>
    </w:p>
    <w:p w14:paraId="48D60014" w14:textId="77777777" w:rsidR="00697090" w:rsidRPr="00ED7E61" w:rsidRDefault="00697090" w:rsidP="00181CB0">
      <w:pPr>
        <w:pStyle w:val="paragraph"/>
        <w:spacing w:before="0" w:beforeAutospacing="0" w:after="0" w:afterAutospacing="0"/>
        <w:ind w:left="567"/>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sz w:val="22"/>
          <w:szCs w:val="22"/>
        </w:rPr>
        <w:t xml:space="preserve">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54CDCF83" w14:textId="466F23A7" w:rsidR="00697090" w:rsidRPr="00ED7E61" w:rsidRDefault="00697090" w:rsidP="00181CB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047A9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047A9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769EC308" w14:textId="3B6686B0" w:rsidR="00697090" w:rsidRPr="00ED7E61" w:rsidRDefault="00697090" w:rsidP="00B10F0C">
      <w:pPr>
        <w:pStyle w:val="CBDNormalNumber"/>
        <w:numPr>
          <w:ilvl w:val="0"/>
          <w:numId w:val="77"/>
        </w:numPr>
        <w:ind w:left="567" w:firstLine="0"/>
      </w:pPr>
      <w:r w:rsidRPr="00ED7E61">
        <w:t>The headline indicator can be disaggregated by pesticide types (herbicide, insecticide, molluscicide, fungicide, etc.) and their relative toxicities to non-target organisms. Disaggregation by nationally listed highly hazardous pesticides (e.g. those listed under international agreements or with human carcinogenic, mutagenic and adverse effects of reproduction) and safer alternatives will also be possible. Disaggregation by sector (agriculture, forestry, public health) may be achieved based on the types of pesticide products; however, this needs to be further tested and verified. </w:t>
      </w:r>
    </w:p>
    <w:p w14:paraId="43AD0011"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indicators</w:t>
      </w:r>
      <w:r w:rsidRPr="00ED7E61">
        <w:rPr>
          <w:rStyle w:val="eop"/>
          <w:rFonts w:asciiTheme="majorBidi" w:eastAsiaTheme="majorEastAsia" w:hAnsiTheme="majorBidi" w:cstheme="majorBidi"/>
          <w:sz w:val="22"/>
          <w:szCs w:val="22"/>
        </w:rPr>
        <w:t> </w:t>
      </w:r>
    </w:p>
    <w:p w14:paraId="5EE8773F" w14:textId="77777777" w:rsidR="00697090" w:rsidRPr="00ED7E61" w:rsidRDefault="00697090" w:rsidP="00B10F0C">
      <w:pPr>
        <w:pStyle w:val="CBDNormalNumber"/>
        <w:numPr>
          <w:ilvl w:val="0"/>
          <w:numId w:val="77"/>
        </w:numPr>
        <w:ind w:left="567" w:firstLine="0"/>
      </w:pPr>
      <w:r w:rsidRPr="00ED7E61">
        <w:t>The ATAT will complement monitoring of Goal B and the implementation of targets 9, 10, 11, 15, and 18 of the Kunming-Montreal GBF and indicators 10.2 progress towards sustainable forest management and 18.2 Value of subsidies and other incentives harmful to biodiversity, that have been eliminated, phased out or reformed.  </w:t>
      </w:r>
    </w:p>
    <w:p w14:paraId="31DCBCDE" w14:textId="65DB3745" w:rsidR="00697090" w:rsidRPr="00ED7E61" w:rsidRDefault="00697090" w:rsidP="006233E3">
      <w:pPr>
        <w:pStyle w:val="paragraph"/>
        <w:spacing w:before="0" w:beforeAutospacing="0" w:after="0" w:afterAutospacing="0"/>
        <w:textAlignment w:val="baseline"/>
        <w:rPr>
          <w:rFonts w:asciiTheme="majorBidi" w:hAnsiTheme="majorBidi" w:cstheme="majorBidi"/>
          <w:sz w:val="22"/>
          <w:szCs w:val="22"/>
          <w:lang w:val="en-GB"/>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lang w:val="en-GB"/>
        </w:rPr>
        <w:t> </w:t>
      </w:r>
    </w:p>
    <w:p w14:paraId="7C466850" w14:textId="6BF341B4"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181CB0">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341CB2D5" w14:textId="77777777" w:rsidR="00697090" w:rsidRPr="00ED7E61" w:rsidRDefault="00697090" w:rsidP="00181CB0">
      <w:pPr>
        <w:pStyle w:val="CBDNormalNumber"/>
        <w:numPr>
          <w:ilvl w:val="0"/>
          <w:numId w:val="0"/>
        </w:numPr>
        <w:ind w:left="567"/>
      </w:pPr>
      <w:r w:rsidRPr="00ED7E61">
        <w:t>Food and Agriculture Organization (FAO) </w:t>
      </w:r>
    </w:p>
    <w:p w14:paraId="4C057343"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0823C209" w14:textId="77777777" w:rsidR="00697090" w:rsidRPr="00ED7E61" w:rsidRDefault="00697090" w:rsidP="00181CB0">
      <w:pPr>
        <w:pStyle w:val="CBDNormalNumber"/>
        <w:numPr>
          <w:ilvl w:val="0"/>
          <w:numId w:val="0"/>
        </w:numPr>
        <w:ind w:left="567"/>
      </w:pPr>
      <w:r w:rsidRPr="00ED7E61">
        <w:t>Kim-Anh Tempelman (</w:t>
      </w:r>
      <w:hyperlink r:id="rId479" w:tgtFrame="_blank" w:history="1">
        <w:r w:rsidRPr="00ED7E61">
          <w:t>kimanh.tempelman@fao.org</w:t>
        </w:r>
      </w:hyperlink>
      <w:r w:rsidRPr="00ED7E61">
        <w:t>) </w:t>
      </w:r>
    </w:p>
    <w:p w14:paraId="5ED78DF0"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11. References</w:t>
      </w:r>
      <w:r w:rsidRPr="00ED7E61">
        <w:rPr>
          <w:rStyle w:val="eop"/>
          <w:rFonts w:asciiTheme="majorBidi" w:eastAsiaTheme="majorEastAsia" w:hAnsiTheme="majorBidi" w:cstheme="majorBidi"/>
          <w:sz w:val="22"/>
          <w:szCs w:val="22"/>
        </w:rPr>
        <w:t> </w:t>
      </w:r>
    </w:p>
    <w:bookmarkStart w:id="51" w:name="_Hlk178272523"/>
    <w:p w14:paraId="768D538C" w14:textId="1A61828D" w:rsidR="00F076D0" w:rsidRPr="00ED7E61" w:rsidRDefault="00697090" w:rsidP="00181CB0">
      <w:pPr>
        <w:pStyle w:val="CBDNormalNumber"/>
        <w:numPr>
          <w:ilvl w:val="0"/>
          <w:numId w:val="0"/>
        </w:numPr>
        <w:ind w:left="567"/>
        <w:rPr>
          <w:rFonts w:asciiTheme="majorBidi" w:hAnsiTheme="majorBidi" w:cstheme="majorBidi"/>
          <w:noProof/>
        </w:rPr>
      </w:pPr>
      <w:r w:rsidRPr="00ED7E61">
        <w:rPr>
          <w:rStyle w:val="normaltextrun"/>
          <w:rFonts w:asciiTheme="majorBidi" w:eastAsiaTheme="majorEastAsia" w:hAnsiTheme="majorBidi" w:cstheme="majorBidi"/>
          <w:b/>
          <w:bCs/>
          <w:kern w:val="2"/>
          <w14:ligatures w14:val="standardContextual"/>
        </w:rPr>
        <w:fldChar w:fldCharType="begin"/>
      </w:r>
      <w:r w:rsidRPr="00ED7E61">
        <w:rPr>
          <w:rStyle w:val="normaltextrun"/>
          <w:rFonts w:asciiTheme="majorBidi" w:eastAsiaTheme="majorEastAsia" w:hAnsiTheme="majorBidi" w:cstheme="majorBidi"/>
          <w:b/>
          <w:bCs/>
        </w:rPr>
        <w:instrText xml:space="preserve"> ADDIN EN.REFLIST </w:instrText>
      </w:r>
      <w:r w:rsidRPr="00ED7E61">
        <w:rPr>
          <w:rStyle w:val="normaltextrun"/>
          <w:rFonts w:asciiTheme="majorBidi" w:eastAsiaTheme="majorEastAsia" w:hAnsiTheme="majorBidi" w:cstheme="majorBidi"/>
          <w:b/>
          <w:bCs/>
          <w:kern w:val="2"/>
          <w14:ligatures w14:val="standardContextual"/>
        </w:rPr>
        <w:fldChar w:fldCharType="separate"/>
      </w:r>
      <w:r w:rsidRPr="00FB1598">
        <w:t>Cooper</w:t>
      </w:r>
      <w:r w:rsidRPr="00ED7E61">
        <w:rPr>
          <w:rFonts w:asciiTheme="majorBidi" w:hAnsiTheme="majorBidi" w:cstheme="majorBidi"/>
          <w:noProof/>
        </w:rPr>
        <w:t xml:space="preserve">, J.; Dobson, H. The benefits of pesticides to mankind and the environment. </w:t>
      </w:r>
      <w:r w:rsidRPr="00ED7E61">
        <w:rPr>
          <w:rFonts w:asciiTheme="majorBidi" w:hAnsiTheme="majorBidi" w:cstheme="majorBidi"/>
          <w:i/>
          <w:noProof/>
        </w:rPr>
        <w:t xml:space="preserve">Crop Protection </w:t>
      </w:r>
      <w:r w:rsidRPr="00ED7E61">
        <w:rPr>
          <w:rFonts w:asciiTheme="majorBidi" w:hAnsiTheme="majorBidi" w:cstheme="majorBidi"/>
          <w:b/>
          <w:noProof/>
        </w:rPr>
        <w:t>2007</w:t>
      </w:r>
      <w:r w:rsidRPr="00ED7E61">
        <w:rPr>
          <w:rFonts w:asciiTheme="majorBidi" w:hAnsiTheme="majorBidi" w:cstheme="majorBidi"/>
          <w:noProof/>
        </w:rPr>
        <w:t xml:space="preserve">, </w:t>
      </w:r>
      <w:r w:rsidRPr="00ED7E61">
        <w:rPr>
          <w:rFonts w:asciiTheme="majorBidi" w:hAnsiTheme="majorBidi" w:cstheme="majorBidi"/>
          <w:i/>
          <w:noProof/>
        </w:rPr>
        <w:t>26</w:t>
      </w:r>
      <w:r w:rsidRPr="00ED7E61">
        <w:rPr>
          <w:rFonts w:asciiTheme="majorBidi" w:hAnsiTheme="majorBidi" w:cstheme="majorBidi"/>
          <w:noProof/>
        </w:rPr>
        <w:t>, 1337-1348, doi:https://doi.org/10.1016/j.cropro.2007.03.022.</w:t>
      </w:r>
    </w:p>
    <w:p w14:paraId="6A4B3372" w14:textId="309C5C96"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Tudi, M.; Daniel Ruan, H.; Wang, L.; Lyu, J.; Sadler, R.; Connell, D.; Chu, C.; Phung, D.T. Agriculture development, pesticide application and its impact on the environment. </w:t>
      </w:r>
      <w:r w:rsidRPr="00FB1598">
        <w:rPr>
          <w:rFonts w:asciiTheme="majorBidi" w:hAnsiTheme="majorBidi" w:cstheme="majorBidi"/>
          <w:i/>
          <w:noProof/>
        </w:rPr>
        <w:t xml:space="preserve">International journal of environmental research and public health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18</w:t>
      </w:r>
      <w:r w:rsidRPr="00FB1598">
        <w:rPr>
          <w:rFonts w:asciiTheme="majorBidi" w:hAnsiTheme="majorBidi" w:cstheme="majorBidi"/>
          <w:noProof/>
        </w:rPr>
        <w:t>, 1112.</w:t>
      </w:r>
    </w:p>
    <w:p w14:paraId="5122B70E" w14:textId="74876981"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Oerke, E.-C.; Dehne, H.-W. Safeguarding production—losses in major crops and the role of crop protection. </w:t>
      </w:r>
      <w:r w:rsidRPr="00FB1598">
        <w:rPr>
          <w:rFonts w:asciiTheme="majorBidi" w:hAnsiTheme="majorBidi" w:cstheme="majorBidi"/>
          <w:i/>
          <w:noProof/>
        </w:rPr>
        <w:t xml:space="preserve">Crop protection </w:t>
      </w:r>
      <w:r w:rsidRPr="00FB1598">
        <w:rPr>
          <w:rFonts w:asciiTheme="majorBidi" w:hAnsiTheme="majorBidi" w:cstheme="majorBidi"/>
          <w:b/>
          <w:noProof/>
        </w:rPr>
        <w:t>2004</w:t>
      </w:r>
      <w:r w:rsidRPr="00FB1598">
        <w:rPr>
          <w:rFonts w:asciiTheme="majorBidi" w:hAnsiTheme="majorBidi" w:cstheme="majorBidi"/>
          <w:noProof/>
        </w:rPr>
        <w:t xml:space="preserve">, </w:t>
      </w:r>
      <w:r w:rsidRPr="00FB1598">
        <w:rPr>
          <w:rFonts w:asciiTheme="majorBidi" w:hAnsiTheme="majorBidi" w:cstheme="majorBidi"/>
          <w:i/>
          <w:noProof/>
        </w:rPr>
        <w:t>23</w:t>
      </w:r>
      <w:r w:rsidRPr="00FB1598">
        <w:rPr>
          <w:rFonts w:asciiTheme="majorBidi" w:hAnsiTheme="majorBidi" w:cstheme="majorBidi"/>
          <w:noProof/>
        </w:rPr>
        <w:t>, 275-285.</w:t>
      </w:r>
    </w:p>
    <w:p w14:paraId="06DCBE42" w14:textId="0F1D7D1E"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Bernhardt, E.S.; Rosi, E.J.; Gessner, M.O. Synthetic chemicals as agents of global change. </w:t>
      </w:r>
      <w:r w:rsidRPr="00FB1598">
        <w:rPr>
          <w:rFonts w:asciiTheme="majorBidi" w:hAnsiTheme="majorBidi" w:cstheme="majorBidi"/>
          <w:i/>
          <w:noProof/>
        </w:rPr>
        <w:t xml:space="preserve">Frontiers in Ecology and the Environment </w:t>
      </w:r>
      <w:r w:rsidRPr="00FB1598">
        <w:rPr>
          <w:rFonts w:asciiTheme="majorBidi" w:hAnsiTheme="majorBidi" w:cstheme="majorBidi"/>
          <w:b/>
          <w:noProof/>
        </w:rPr>
        <w:t>2017</w:t>
      </w:r>
      <w:r w:rsidRPr="00FB1598">
        <w:rPr>
          <w:rFonts w:asciiTheme="majorBidi" w:hAnsiTheme="majorBidi" w:cstheme="majorBidi"/>
          <w:noProof/>
        </w:rPr>
        <w:t xml:space="preserve">, </w:t>
      </w:r>
      <w:r w:rsidRPr="00FB1598">
        <w:rPr>
          <w:rFonts w:asciiTheme="majorBidi" w:hAnsiTheme="majorBidi" w:cstheme="majorBidi"/>
          <w:i/>
          <w:noProof/>
        </w:rPr>
        <w:t>15</w:t>
      </w:r>
      <w:r w:rsidRPr="00FB1598">
        <w:rPr>
          <w:rFonts w:asciiTheme="majorBidi" w:hAnsiTheme="majorBidi" w:cstheme="majorBidi"/>
          <w:noProof/>
        </w:rPr>
        <w:t>, 84-90.</w:t>
      </w:r>
    </w:p>
    <w:p w14:paraId="607388F7" w14:textId="64F15B24"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Maggi, F.; Tang, F.H.M.; la Cecilia, D.; McBratney, A. PEST-CHEMGRIDS, global gridded maps of the top 20 crop-specific pesticide application rates from 2015 to 2025. </w:t>
      </w:r>
      <w:r w:rsidRPr="00FB1598">
        <w:rPr>
          <w:rFonts w:asciiTheme="majorBidi" w:hAnsiTheme="majorBidi" w:cstheme="majorBidi"/>
          <w:i/>
          <w:noProof/>
        </w:rPr>
        <w:t xml:space="preserve">Scientific Data </w:t>
      </w:r>
      <w:r w:rsidRPr="00FB1598">
        <w:rPr>
          <w:rFonts w:asciiTheme="majorBidi" w:hAnsiTheme="majorBidi" w:cstheme="majorBidi"/>
          <w:b/>
          <w:noProof/>
        </w:rPr>
        <w:t>2019</w:t>
      </w:r>
      <w:r w:rsidRPr="00FB1598">
        <w:rPr>
          <w:rFonts w:asciiTheme="majorBidi" w:hAnsiTheme="majorBidi" w:cstheme="majorBidi"/>
          <w:noProof/>
        </w:rPr>
        <w:t xml:space="preserve">, </w:t>
      </w:r>
      <w:r w:rsidRPr="00FB1598">
        <w:rPr>
          <w:rFonts w:asciiTheme="majorBidi" w:hAnsiTheme="majorBidi" w:cstheme="majorBidi"/>
          <w:i/>
          <w:noProof/>
        </w:rPr>
        <w:t>6</w:t>
      </w:r>
      <w:r w:rsidRPr="00FB1598">
        <w:rPr>
          <w:rFonts w:asciiTheme="majorBidi" w:hAnsiTheme="majorBidi" w:cstheme="majorBidi"/>
          <w:noProof/>
        </w:rPr>
        <w:t>, 170, doi:10.1038/s41597-019-0169-4.</w:t>
      </w:r>
    </w:p>
    <w:p w14:paraId="69FD53E8" w14:textId="7CBF8186"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Food and Agriculture Organization of the United Nations. FAOSTAT. </w:t>
      </w:r>
      <w:r w:rsidRPr="00FB1598">
        <w:rPr>
          <w:rFonts w:asciiTheme="majorBidi" w:hAnsiTheme="majorBidi" w:cstheme="majorBidi"/>
          <w:b/>
          <w:noProof/>
        </w:rPr>
        <w:t>2024</w:t>
      </w:r>
      <w:r w:rsidRPr="00FB1598">
        <w:rPr>
          <w:rFonts w:asciiTheme="majorBidi" w:hAnsiTheme="majorBidi" w:cstheme="majorBidi"/>
          <w:noProof/>
        </w:rPr>
        <w:t>.</w:t>
      </w:r>
    </w:p>
    <w:p w14:paraId="760BB090" w14:textId="703A9A13"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Stehle, S.; Schulz, R. Pesticide authorization in the EU—environment unprotected? </w:t>
      </w:r>
      <w:r w:rsidRPr="00FB1598">
        <w:rPr>
          <w:rFonts w:asciiTheme="majorBidi" w:hAnsiTheme="majorBidi" w:cstheme="majorBidi"/>
          <w:i/>
          <w:noProof/>
        </w:rPr>
        <w:t xml:space="preserve">Environmental Science and Pollution Research </w:t>
      </w:r>
      <w:r w:rsidRPr="00FB1598">
        <w:rPr>
          <w:rFonts w:asciiTheme="majorBidi" w:hAnsiTheme="majorBidi" w:cstheme="majorBidi"/>
          <w:b/>
          <w:noProof/>
        </w:rPr>
        <w:t>2015</w:t>
      </w:r>
      <w:r w:rsidRPr="00FB1598">
        <w:rPr>
          <w:rFonts w:asciiTheme="majorBidi" w:hAnsiTheme="majorBidi" w:cstheme="majorBidi"/>
          <w:noProof/>
        </w:rPr>
        <w:t xml:space="preserve">, </w:t>
      </w:r>
      <w:r w:rsidRPr="00FB1598">
        <w:rPr>
          <w:rFonts w:asciiTheme="majorBidi" w:hAnsiTheme="majorBidi" w:cstheme="majorBidi"/>
          <w:i/>
          <w:noProof/>
        </w:rPr>
        <w:t>22</w:t>
      </w:r>
      <w:r w:rsidRPr="00FB1598">
        <w:rPr>
          <w:rFonts w:asciiTheme="majorBidi" w:hAnsiTheme="majorBidi" w:cstheme="majorBidi"/>
          <w:noProof/>
        </w:rPr>
        <w:t>, 19632-19647, doi:10.1007/s11356-015-5148-5.</w:t>
      </w:r>
    </w:p>
    <w:p w14:paraId="22EE3574" w14:textId="0E902115"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Wolfram, J.; Bub, S.; Petschick, L.L.; Schemmer, A.; Stehle, S.; Schulz, R. Pesticide occurrence in protected surface waters in nature conservation areas of Germany.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2023</w:t>
      </w:r>
      <w:r w:rsidRPr="00FB1598">
        <w:rPr>
          <w:rFonts w:asciiTheme="majorBidi" w:hAnsiTheme="majorBidi" w:cstheme="majorBidi"/>
          <w:noProof/>
        </w:rPr>
        <w:t xml:space="preserve">, </w:t>
      </w:r>
      <w:r w:rsidRPr="00FB1598">
        <w:rPr>
          <w:rFonts w:asciiTheme="majorBidi" w:hAnsiTheme="majorBidi" w:cstheme="majorBidi"/>
          <w:i/>
          <w:noProof/>
        </w:rPr>
        <w:t>858</w:t>
      </w:r>
      <w:r w:rsidRPr="00FB1598">
        <w:rPr>
          <w:rFonts w:asciiTheme="majorBidi" w:hAnsiTheme="majorBidi" w:cstheme="majorBidi"/>
          <w:noProof/>
        </w:rPr>
        <w:t>, 160074, doi:https://doi.org/10.1016/j.scitotenv.2022.160074.</w:t>
      </w:r>
    </w:p>
    <w:p w14:paraId="54EF209F" w14:textId="42CBA1BF"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Rosana, M.; Sara, E.; Henrik, K.; Sverker, M. Pesticide Residues in Rivers of a Brazilian Rain Forest Reserve: Assessing Potential Concern for Effects on Aquatic Life and Human Health. </w:t>
      </w:r>
      <w:r w:rsidRPr="00FB1598">
        <w:rPr>
          <w:rFonts w:asciiTheme="majorBidi" w:hAnsiTheme="majorBidi" w:cstheme="majorBidi"/>
          <w:i/>
          <w:noProof/>
        </w:rPr>
        <w:t xml:space="preserve">AMBIO: A Journal of the Human Environment </w:t>
      </w:r>
      <w:r w:rsidRPr="00FB1598">
        <w:rPr>
          <w:rFonts w:asciiTheme="majorBidi" w:hAnsiTheme="majorBidi" w:cstheme="majorBidi"/>
          <w:b/>
          <w:noProof/>
        </w:rPr>
        <w:t>2003</w:t>
      </w:r>
      <w:r w:rsidRPr="00FB1598">
        <w:rPr>
          <w:rFonts w:asciiTheme="majorBidi" w:hAnsiTheme="majorBidi" w:cstheme="majorBidi"/>
          <w:noProof/>
        </w:rPr>
        <w:t xml:space="preserve">, </w:t>
      </w:r>
      <w:r w:rsidRPr="00FB1598">
        <w:rPr>
          <w:rFonts w:asciiTheme="majorBidi" w:hAnsiTheme="majorBidi" w:cstheme="majorBidi"/>
          <w:i/>
          <w:noProof/>
        </w:rPr>
        <w:t>32</w:t>
      </w:r>
      <w:r w:rsidRPr="00FB1598">
        <w:rPr>
          <w:rFonts w:asciiTheme="majorBidi" w:hAnsiTheme="majorBidi" w:cstheme="majorBidi"/>
          <w:noProof/>
        </w:rPr>
        <w:t>, 258-263, doi:10.1579/0044-7447-32.4.258.</w:t>
      </w:r>
    </w:p>
    <w:p w14:paraId="4129C9E9" w14:textId="059EDA7B"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lang w:val="es-ES"/>
        </w:rPr>
        <w:t xml:space="preserve">Ernst, F.; Alonso, B.; Colazzo, M.; Pareja, L.; Cesio, V.; Pereira, A.; Márquez, A.; Errico, E.; Segura, A.M.; Heinzen, H.; et al. </w:t>
      </w:r>
      <w:r w:rsidRPr="00FB1598">
        <w:rPr>
          <w:rFonts w:asciiTheme="majorBidi" w:hAnsiTheme="majorBidi" w:cstheme="majorBidi"/>
          <w:noProof/>
        </w:rPr>
        <w:t xml:space="preserve">Occurrence of pesticide residues in fish from south American rainfed agroecosystems.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2018</w:t>
      </w:r>
      <w:r w:rsidRPr="00FB1598">
        <w:rPr>
          <w:rFonts w:asciiTheme="majorBidi" w:hAnsiTheme="majorBidi" w:cstheme="majorBidi"/>
          <w:noProof/>
        </w:rPr>
        <w:t xml:space="preserve">, </w:t>
      </w:r>
      <w:r w:rsidRPr="00FB1598">
        <w:rPr>
          <w:rFonts w:asciiTheme="majorBidi" w:hAnsiTheme="majorBidi" w:cstheme="majorBidi"/>
          <w:i/>
          <w:noProof/>
        </w:rPr>
        <w:t>631-632</w:t>
      </w:r>
      <w:r w:rsidRPr="00FB1598">
        <w:rPr>
          <w:rFonts w:asciiTheme="majorBidi" w:hAnsiTheme="majorBidi" w:cstheme="majorBidi"/>
          <w:noProof/>
        </w:rPr>
        <w:t>, 169-179, doi:https://doi.org/10.1016/j.scitotenv.2018.02.320.</w:t>
      </w:r>
    </w:p>
    <w:p w14:paraId="0FF4883B" w14:textId="6D330261"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Oliveira, A.H.B.; Cavalcante, R.M.; Duaví, W.C.; Fernandes, G.M.; Nascimento, R.F.; Queiroz, M.E.L.R.; Mendonça, K.V. The legacy of organochlorine pesticide usage in a tropical semi-arid region (Jaguaribe River, Ceará, Brazil): Implications of the influence of sediment parameters on occurrence, distribution and fate.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2016</w:t>
      </w:r>
      <w:r w:rsidRPr="00FB1598">
        <w:rPr>
          <w:rFonts w:asciiTheme="majorBidi" w:hAnsiTheme="majorBidi" w:cstheme="majorBidi"/>
          <w:noProof/>
        </w:rPr>
        <w:t xml:space="preserve">, </w:t>
      </w:r>
      <w:r w:rsidRPr="00FB1598">
        <w:rPr>
          <w:rFonts w:asciiTheme="majorBidi" w:hAnsiTheme="majorBidi" w:cstheme="majorBidi"/>
          <w:i/>
          <w:noProof/>
        </w:rPr>
        <w:t>542</w:t>
      </w:r>
      <w:r w:rsidRPr="00FB1598">
        <w:rPr>
          <w:rFonts w:asciiTheme="majorBidi" w:hAnsiTheme="majorBidi" w:cstheme="majorBidi"/>
          <w:noProof/>
        </w:rPr>
        <w:t>, 254-263, doi:https://doi.org/10.1016/j.scitotenv.2015.10.058.</w:t>
      </w:r>
    </w:p>
    <w:p w14:paraId="7735F018" w14:textId="6D687E51"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Houbraken, M.; Habimana, V.; Senaeve, D.; López-Dávila, E.; Spanoghe, P. Multi-residue determination and ecological risk assessment of pesticides in the lakes of Rwanda.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2017</w:t>
      </w:r>
      <w:r w:rsidRPr="00FB1598">
        <w:rPr>
          <w:rFonts w:asciiTheme="majorBidi" w:hAnsiTheme="majorBidi" w:cstheme="majorBidi"/>
          <w:noProof/>
        </w:rPr>
        <w:t xml:space="preserve">, </w:t>
      </w:r>
      <w:r w:rsidRPr="00FB1598">
        <w:rPr>
          <w:rFonts w:asciiTheme="majorBidi" w:hAnsiTheme="majorBidi" w:cstheme="majorBidi"/>
          <w:i/>
          <w:noProof/>
        </w:rPr>
        <w:t>576</w:t>
      </w:r>
      <w:r w:rsidRPr="00FB1598">
        <w:rPr>
          <w:rFonts w:asciiTheme="majorBidi" w:hAnsiTheme="majorBidi" w:cstheme="majorBidi"/>
          <w:noProof/>
        </w:rPr>
        <w:t>, 888-894, doi:https://doi.org/10.1016/j.scitotenv.2016.10.127.</w:t>
      </w:r>
    </w:p>
    <w:p w14:paraId="1F865E19" w14:textId="6C67ACDF"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Amusa, C.; Rothman, J.; Odongo, S.; Matovu, H.; Ssebugere, P.; Baranga, D.; Sillanpää, M. The endangered African Great Ape: Pesticide residues in soil and plants consumed by Mountain Gorillas (Gorilla beringei) in Bwindi Impenetrable National Park, East Africa.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758</w:t>
      </w:r>
      <w:r w:rsidRPr="00FB1598">
        <w:rPr>
          <w:rFonts w:asciiTheme="majorBidi" w:hAnsiTheme="majorBidi" w:cstheme="majorBidi"/>
          <w:noProof/>
        </w:rPr>
        <w:t>, 143692, doi:https://doi.org/10.1016/j.scitotenv.2020.143692.</w:t>
      </w:r>
    </w:p>
    <w:p w14:paraId="36EE2018" w14:textId="5927C6E2"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Desrochers, D.; Prosser, R.S.; Hanson, M.L.; Rodríguez-Gil, J.L. Exposure Assessment of Pesticides in Surface Waters of Ontario, Canada Reveals Low Probability of Exceeding Acute Regulatory Thresholds. </w:t>
      </w:r>
      <w:r w:rsidRPr="00FB1598">
        <w:rPr>
          <w:rFonts w:asciiTheme="majorBidi" w:hAnsiTheme="majorBidi" w:cstheme="majorBidi"/>
          <w:i/>
          <w:noProof/>
        </w:rPr>
        <w:t xml:space="preserve">Bulletin of Environmental Contamination and Toxicology </w:t>
      </w:r>
      <w:r w:rsidRPr="00FB1598">
        <w:rPr>
          <w:rFonts w:asciiTheme="majorBidi" w:hAnsiTheme="majorBidi" w:cstheme="majorBidi"/>
          <w:b/>
          <w:noProof/>
        </w:rPr>
        <w:t>2024</w:t>
      </w:r>
      <w:r w:rsidRPr="00FB1598">
        <w:rPr>
          <w:rFonts w:asciiTheme="majorBidi" w:hAnsiTheme="majorBidi" w:cstheme="majorBidi"/>
          <w:noProof/>
        </w:rPr>
        <w:t xml:space="preserve">, </w:t>
      </w:r>
      <w:r w:rsidRPr="00FB1598">
        <w:rPr>
          <w:rFonts w:asciiTheme="majorBidi" w:hAnsiTheme="majorBidi" w:cstheme="majorBidi"/>
          <w:i/>
          <w:noProof/>
        </w:rPr>
        <w:t>112</w:t>
      </w:r>
      <w:r w:rsidRPr="00FB1598">
        <w:rPr>
          <w:rFonts w:asciiTheme="majorBidi" w:hAnsiTheme="majorBidi" w:cstheme="majorBidi"/>
          <w:noProof/>
        </w:rPr>
        <w:t>, 53.</w:t>
      </w:r>
    </w:p>
    <w:p w14:paraId="53239F5F" w14:textId="0345AE82"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Knauer, K. Pesticides in surface waters: a comparison with regulatory acceptable concentrations (RACs) determined in the authorization process and consideration for regulation. </w:t>
      </w:r>
      <w:r w:rsidRPr="00FB1598">
        <w:rPr>
          <w:rFonts w:asciiTheme="majorBidi" w:hAnsiTheme="majorBidi" w:cstheme="majorBidi"/>
          <w:i/>
          <w:noProof/>
        </w:rPr>
        <w:t xml:space="preserve">Environmental Sciences Europe </w:t>
      </w:r>
      <w:r w:rsidRPr="00FB1598">
        <w:rPr>
          <w:rFonts w:asciiTheme="majorBidi" w:hAnsiTheme="majorBidi" w:cstheme="majorBidi"/>
          <w:b/>
          <w:noProof/>
        </w:rPr>
        <w:t>2016</w:t>
      </w:r>
      <w:r w:rsidRPr="00FB1598">
        <w:rPr>
          <w:rFonts w:asciiTheme="majorBidi" w:hAnsiTheme="majorBidi" w:cstheme="majorBidi"/>
          <w:noProof/>
        </w:rPr>
        <w:t xml:space="preserve">, </w:t>
      </w:r>
      <w:r w:rsidRPr="00FB1598">
        <w:rPr>
          <w:rFonts w:asciiTheme="majorBidi" w:hAnsiTheme="majorBidi" w:cstheme="majorBidi"/>
          <w:i/>
          <w:noProof/>
        </w:rPr>
        <w:t>28</w:t>
      </w:r>
      <w:r w:rsidRPr="00FB1598">
        <w:rPr>
          <w:rFonts w:asciiTheme="majorBidi" w:hAnsiTheme="majorBidi" w:cstheme="majorBidi"/>
          <w:noProof/>
        </w:rPr>
        <w:t>, 1-7.</w:t>
      </w:r>
    </w:p>
    <w:p w14:paraId="2FA66754" w14:textId="1367AD17" w:rsidR="00F076D0" w:rsidRPr="00FB1598" w:rsidRDefault="00697090" w:rsidP="00181CB0">
      <w:pPr>
        <w:pStyle w:val="CBDNormalNumber"/>
        <w:numPr>
          <w:ilvl w:val="0"/>
          <w:numId w:val="0"/>
        </w:numPr>
        <w:ind w:left="567"/>
        <w:rPr>
          <w:rFonts w:asciiTheme="majorBidi" w:hAnsiTheme="majorBidi" w:cstheme="majorBidi"/>
          <w:noProof/>
          <w:lang w:val="fr-FR"/>
        </w:rPr>
      </w:pPr>
      <w:r w:rsidRPr="00FB1598">
        <w:rPr>
          <w:rFonts w:asciiTheme="majorBidi" w:hAnsiTheme="majorBidi" w:cstheme="majorBidi"/>
          <w:noProof/>
        </w:rPr>
        <w:t xml:space="preserve">Lechenet, M.; Dessaint, F.; Py, G.; Makowski, D.; Munier-Jolain, N. Reducing pesticide use while preserving crop productivity and profitability on arable farms. </w:t>
      </w:r>
      <w:r w:rsidRPr="00FB1598">
        <w:rPr>
          <w:rFonts w:asciiTheme="majorBidi" w:hAnsiTheme="majorBidi" w:cstheme="majorBidi"/>
          <w:i/>
          <w:noProof/>
          <w:lang w:val="fr-FR"/>
        </w:rPr>
        <w:t xml:space="preserve">Nature plants </w:t>
      </w:r>
      <w:r w:rsidRPr="00FB1598">
        <w:rPr>
          <w:rFonts w:asciiTheme="majorBidi" w:hAnsiTheme="majorBidi" w:cstheme="majorBidi"/>
          <w:b/>
          <w:noProof/>
          <w:lang w:val="fr-FR"/>
        </w:rPr>
        <w:t>2017</w:t>
      </w:r>
      <w:r w:rsidRPr="00FB1598">
        <w:rPr>
          <w:rFonts w:asciiTheme="majorBidi" w:hAnsiTheme="majorBidi" w:cstheme="majorBidi"/>
          <w:noProof/>
          <w:lang w:val="fr-FR"/>
        </w:rPr>
        <w:t xml:space="preserve">, </w:t>
      </w:r>
      <w:r w:rsidRPr="00FB1598">
        <w:rPr>
          <w:rFonts w:asciiTheme="majorBidi" w:hAnsiTheme="majorBidi" w:cstheme="majorBidi"/>
          <w:i/>
          <w:noProof/>
          <w:lang w:val="fr-FR"/>
        </w:rPr>
        <w:t>3</w:t>
      </w:r>
      <w:r w:rsidRPr="00FB1598">
        <w:rPr>
          <w:rFonts w:asciiTheme="majorBidi" w:hAnsiTheme="majorBidi" w:cstheme="majorBidi"/>
          <w:noProof/>
          <w:lang w:val="fr-FR"/>
        </w:rPr>
        <w:t>, 1-6.</w:t>
      </w:r>
    </w:p>
    <w:p w14:paraId="3D8B9446" w14:textId="336DD799"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lang w:val="fr-FR"/>
        </w:rPr>
        <w:t xml:space="preserve">Gurr, G.M.; Lu, Z.; Zheng, X.; Xu, H.; Zhu, P.; Chen, G.; Yao, X.; Cheng, J.; Zhu, Z.; Catindig, J.L.; et al. </w:t>
      </w:r>
      <w:r w:rsidRPr="00FB1598">
        <w:rPr>
          <w:rFonts w:asciiTheme="majorBidi" w:hAnsiTheme="majorBidi" w:cstheme="majorBidi"/>
          <w:noProof/>
        </w:rPr>
        <w:t xml:space="preserve">Multi-country evidence that crop diversification promotes ecological intensification of agriculture. </w:t>
      </w:r>
      <w:r w:rsidRPr="00FB1598">
        <w:rPr>
          <w:rFonts w:asciiTheme="majorBidi" w:hAnsiTheme="majorBidi" w:cstheme="majorBidi"/>
          <w:i/>
          <w:noProof/>
        </w:rPr>
        <w:t xml:space="preserve">Nature Plants </w:t>
      </w:r>
      <w:r w:rsidRPr="00FB1598">
        <w:rPr>
          <w:rFonts w:asciiTheme="majorBidi" w:hAnsiTheme="majorBidi" w:cstheme="majorBidi"/>
          <w:b/>
          <w:noProof/>
        </w:rPr>
        <w:t>2016</w:t>
      </w:r>
      <w:r w:rsidRPr="00FB1598">
        <w:rPr>
          <w:rFonts w:asciiTheme="majorBidi" w:hAnsiTheme="majorBidi" w:cstheme="majorBidi"/>
          <w:noProof/>
        </w:rPr>
        <w:t xml:space="preserve">, </w:t>
      </w:r>
      <w:r w:rsidRPr="00FB1598">
        <w:rPr>
          <w:rFonts w:asciiTheme="majorBidi" w:hAnsiTheme="majorBidi" w:cstheme="majorBidi"/>
          <w:i/>
          <w:noProof/>
        </w:rPr>
        <w:t>2</w:t>
      </w:r>
      <w:r w:rsidRPr="00FB1598">
        <w:rPr>
          <w:rFonts w:asciiTheme="majorBidi" w:hAnsiTheme="majorBidi" w:cstheme="majorBidi"/>
          <w:noProof/>
        </w:rPr>
        <w:t>, 16014, doi:10.1038/nplants.2016.14.</w:t>
      </w:r>
    </w:p>
    <w:p w14:paraId="28B31C52" w14:textId="2803E1E4"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Waddington, H.; Snilstveit, B.; Hombrados, J.; Vojtkova, M.; Phillips, D.; Davies, P.; White, H. Farmer field schools for improving farming practices and farmer outcomes: A systematic review. </w:t>
      </w:r>
      <w:r w:rsidRPr="00FB1598">
        <w:rPr>
          <w:rFonts w:asciiTheme="majorBidi" w:hAnsiTheme="majorBidi" w:cstheme="majorBidi"/>
          <w:i/>
          <w:noProof/>
        </w:rPr>
        <w:t xml:space="preserve">Campbell systematic reviews </w:t>
      </w:r>
      <w:r w:rsidRPr="00FB1598">
        <w:rPr>
          <w:rFonts w:asciiTheme="majorBidi" w:hAnsiTheme="majorBidi" w:cstheme="majorBidi"/>
          <w:b/>
          <w:noProof/>
        </w:rPr>
        <w:t>2014</w:t>
      </w:r>
      <w:r w:rsidRPr="00FB1598">
        <w:rPr>
          <w:rFonts w:asciiTheme="majorBidi" w:hAnsiTheme="majorBidi" w:cstheme="majorBidi"/>
          <w:noProof/>
        </w:rPr>
        <w:t xml:space="preserve">, </w:t>
      </w:r>
      <w:r w:rsidRPr="00FB1598">
        <w:rPr>
          <w:rFonts w:asciiTheme="majorBidi" w:hAnsiTheme="majorBidi" w:cstheme="majorBidi"/>
          <w:i/>
          <w:noProof/>
        </w:rPr>
        <w:t>10</w:t>
      </w:r>
      <w:r w:rsidRPr="00FB1598">
        <w:rPr>
          <w:rFonts w:asciiTheme="majorBidi" w:hAnsiTheme="majorBidi" w:cstheme="majorBidi"/>
          <w:noProof/>
        </w:rPr>
        <w:t>, i-335.</w:t>
      </w:r>
    </w:p>
    <w:p w14:paraId="1CF821C6" w14:textId="1BC51CC3"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Janssen, A.; van Rijn, P.C. Pesticides do not significantly reduce arthropod pest densities in the presence of natural enemies. </w:t>
      </w:r>
      <w:r w:rsidRPr="00FB1598">
        <w:rPr>
          <w:rFonts w:asciiTheme="majorBidi" w:hAnsiTheme="majorBidi" w:cstheme="majorBidi"/>
          <w:i/>
          <w:noProof/>
        </w:rPr>
        <w:t xml:space="preserve">Ecology Letters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24</w:t>
      </w:r>
      <w:r w:rsidRPr="00FB1598">
        <w:rPr>
          <w:rFonts w:asciiTheme="majorBidi" w:hAnsiTheme="majorBidi" w:cstheme="majorBidi"/>
          <w:noProof/>
        </w:rPr>
        <w:t>, 2010-2024.</w:t>
      </w:r>
    </w:p>
    <w:p w14:paraId="00EDCCDC" w14:textId="6D2EC60A"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Mascarin, G.M.; Lopes, R.B.; Delalibera, Í.; Fernandes, É.K.K.; Luz, C.; Faria, M. Current status and perspectives of fungal entomopathogens used for microbial control of arthropod pests in Brazil. </w:t>
      </w:r>
      <w:r w:rsidRPr="00FB1598">
        <w:rPr>
          <w:rFonts w:asciiTheme="majorBidi" w:hAnsiTheme="majorBidi" w:cstheme="majorBidi"/>
          <w:i/>
          <w:noProof/>
        </w:rPr>
        <w:t xml:space="preserve">Journal of Invertebrate Pathology </w:t>
      </w:r>
      <w:r w:rsidRPr="00FB1598">
        <w:rPr>
          <w:rFonts w:asciiTheme="majorBidi" w:hAnsiTheme="majorBidi" w:cstheme="majorBidi"/>
          <w:b/>
          <w:noProof/>
        </w:rPr>
        <w:t>2019</w:t>
      </w:r>
      <w:r w:rsidRPr="00FB1598">
        <w:rPr>
          <w:rFonts w:asciiTheme="majorBidi" w:hAnsiTheme="majorBidi" w:cstheme="majorBidi"/>
          <w:noProof/>
        </w:rPr>
        <w:t xml:space="preserve">, </w:t>
      </w:r>
      <w:r w:rsidRPr="00FB1598">
        <w:rPr>
          <w:rFonts w:asciiTheme="majorBidi" w:hAnsiTheme="majorBidi" w:cstheme="majorBidi"/>
          <w:i/>
          <w:noProof/>
        </w:rPr>
        <w:t>165</w:t>
      </w:r>
      <w:r w:rsidRPr="00FB1598">
        <w:rPr>
          <w:rFonts w:asciiTheme="majorBidi" w:hAnsiTheme="majorBidi" w:cstheme="majorBidi"/>
          <w:noProof/>
        </w:rPr>
        <w:t>, 46-53, doi:https://doi.org/10.1016/j.jip.2018.01.001.</w:t>
      </w:r>
    </w:p>
    <w:p w14:paraId="6BC1A6E4" w14:textId="0F979A7F"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Hatting, J.L.; Moore, S.D.; Malan, A.P. Microbial control of phytophagous invertebrate pests in South Africa: Current status and future prospects. </w:t>
      </w:r>
      <w:r w:rsidRPr="00FB1598">
        <w:rPr>
          <w:rFonts w:asciiTheme="majorBidi" w:hAnsiTheme="majorBidi" w:cstheme="majorBidi"/>
          <w:i/>
          <w:noProof/>
        </w:rPr>
        <w:t xml:space="preserve">Journal of Invertebrate Pathology </w:t>
      </w:r>
      <w:r w:rsidRPr="00FB1598">
        <w:rPr>
          <w:rFonts w:asciiTheme="majorBidi" w:hAnsiTheme="majorBidi" w:cstheme="majorBidi"/>
          <w:b/>
          <w:noProof/>
        </w:rPr>
        <w:t>2019</w:t>
      </w:r>
      <w:r w:rsidRPr="00FB1598">
        <w:rPr>
          <w:rFonts w:asciiTheme="majorBidi" w:hAnsiTheme="majorBidi" w:cstheme="majorBidi"/>
          <w:noProof/>
        </w:rPr>
        <w:t xml:space="preserve">, </w:t>
      </w:r>
      <w:r w:rsidRPr="00FB1598">
        <w:rPr>
          <w:rFonts w:asciiTheme="majorBidi" w:hAnsiTheme="majorBidi" w:cstheme="majorBidi"/>
          <w:i/>
          <w:noProof/>
        </w:rPr>
        <w:t>165</w:t>
      </w:r>
      <w:r w:rsidRPr="00FB1598">
        <w:rPr>
          <w:rFonts w:asciiTheme="majorBidi" w:hAnsiTheme="majorBidi" w:cstheme="majorBidi"/>
          <w:noProof/>
        </w:rPr>
        <w:t>, 54-66, doi:https://doi.org/10.1016/j.jip.2018.02.004.</w:t>
      </w:r>
    </w:p>
    <w:p w14:paraId="1F45D6CD" w14:textId="3CAE4BA1"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Karimi, J.; Dara, S.K.; Arthurs, S. Microbial insecticides in Iran: History, current status, challenges and perspective. </w:t>
      </w:r>
      <w:r w:rsidRPr="00FB1598">
        <w:rPr>
          <w:rFonts w:asciiTheme="majorBidi" w:hAnsiTheme="majorBidi" w:cstheme="majorBidi"/>
          <w:i/>
          <w:noProof/>
        </w:rPr>
        <w:t xml:space="preserve">Journal of Invertebrate Pathology </w:t>
      </w:r>
      <w:r w:rsidRPr="00FB1598">
        <w:rPr>
          <w:rFonts w:asciiTheme="majorBidi" w:hAnsiTheme="majorBidi" w:cstheme="majorBidi"/>
          <w:b/>
          <w:noProof/>
        </w:rPr>
        <w:t>2019</w:t>
      </w:r>
      <w:r w:rsidRPr="00FB1598">
        <w:rPr>
          <w:rFonts w:asciiTheme="majorBidi" w:hAnsiTheme="majorBidi" w:cstheme="majorBidi"/>
          <w:noProof/>
        </w:rPr>
        <w:t xml:space="preserve">, </w:t>
      </w:r>
      <w:r w:rsidRPr="00FB1598">
        <w:rPr>
          <w:rFonts w:asciiTheme="majorBidi" w:hAnsiTheme="majorBidi" w:cstheme="majorBidi"/>
          <w:i/>
          <w:noProof/>
        </w:rPr>
        <w:t>165</w:t>
      </w:r>
      <w:r w:rsidRPr="00FB1598">
        <w:rPr>
          <w:rFonts w:asciiTheme="majorBidi" w:hAnsiTheme="majorBidi" w:cstheme="majorBidi"/>
          <w:noProof/>
        </w:rPr>
        <w:t>, 67-73, doi:https://doi.org/10.1016/j.jip.2018.02.016.</w:t>
      </w:r>
    </w:p>
    <w:p w14:paraId="110D2A63" w14:textId="3B830132"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Kumar, K.K.; Sridhar, J.; Murali-Baskaran, R.K.; Senthil-Nathan, S.; Kaushal, P.; Dara, S.K.; Arthurs, S. Microbial biopesticides for insect pest management in India: Current status and future prospects. </w:t>
      </w:r>
      <w:r w:rsidRPr="00FB1598">
        <w:rPr>
          <w:rFonts w:asciiTheme="majorBidi" w:hAnsiTheme="majorBidi" w:cstheme="majorBidi"/>
          <w:i/>
          <w:noProof/>
        </w:rPr>
        <w:t xml:space="preserve">Journal of Invertebrate Pathology </w:t>
      </w:r>
      <w:r w:rsidRPr="00FB1598">
        <w:rPr>
          <w:rFonts w:asciiTheme="majorBidi" w:hAnsiTheme="majorBidi" w:cstheme="majorBidi"/>
          <w:b/>
          <w:noProof/>
        </w:rPr>
        <w:t>2019</w:t>
      </w:r>
      <w:r w:rsidRPr="00FB1598">
        <w:rPr>
          <w:rFonts w:asciiTheme="majorBidi" w:hAnsiTheme="majorBidi" w:cstheme="majorBidi"/>
          <w:noProof/>
        </w:rPr>
        <w:t xml:space="preserve">, </w:t>
      </w:r>
      <w:r w:rsidRPr="00FB1598">
        <w:rPr>
          <w:rFonts w:asciiTheme="majorBidi" w:hAnsiTheme="majorBidi" w:cstheme="majorBidi"/>
          <w:i/>
          <w:noProof/>
        </w:rPr>
        <w:t>165</w:t>
      </w:r>
      <w:r w:rsidRPr="00FB1598">
        <w:rPr>
          <w:rFonts w:asciiTheme="majorBidi" w:hAnsiTheme="majorBidi" w:cstheme="majorBidi"/>
          <w:noProof/>
        </w:rPr>
        <w:t>, 74-81, doi:https://doi.org/10.1016/j.jip.2018.10.008.</w:t>
      </w:r>
    </w:p>
    <w:p w14:paraId="3DBBA3F4" w14:textId="28EE43F5"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FAO; WHO. </w:t>
      </w:r>
      <w:r w:rsidRPr="00FB1598">
        <w:rPr>
          <w:rFonts w:asciiTheme="majorBidi" w:hAnsiTheme="majorBidi" w:cstheme="majorBidi"/>
          <w:i/>
          <w:noProof/>
        </w:rPr>
        <w:t>Manual on the development and use of FAO and WHO specifications for chemical pesticides</w:t>
      </w:r>
      <w:r w:rsidRPr="00FB1598">
        <w:rPr>
          <w:rFonts w:asciiTheme="majorBidi" w:hAnsiTheme="majorBidi" w:cstheme="majorBidi"/>
          <w:noProof/>
        </w:rPr>
        <w:t>; Food and Agriculture Organisation of the United Nations (FAO) and World Health Organization (WHO): Rome, Italy, 2023.</w:t>
      </w:r>
    </w:p>
    <w:p w14:paraId="6318852B" w14:textId="5C189DAB"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Bullor, L.; Braude, H.; Monzón, J.; Cotes Prado, A.M.; Casavola, V.; Carbajal Morón, N.; Risopoulos, J. </w:t>
      </w:r>
      <w:r w:rsidRPr="00FB1598">
        <w:rPr>
          <w:rFonts w:asciiTheme="majorBidi" w:hAnsiTheme="majorBidi" w:cstheme="majorBidi"/>
          <w:i/>
          <w:noProof/>
        </w:rPr>
        <w:t>Bioinputs: Investment opportunities in Latin America</w:t>
      </w:r>
      <w:r w:rsidRPr="00FB1598">
        <w:rPr>
          <w:rFonts w:asciiTheme="majorBidi" w:hAnsiTheme="majorBidi" w:cstheme="majorBidi"/>
          <w:noProof/>
        </w:rPr>
        <w:t>; Food and Agriculture Organization of the United Nations (FAO): Rome, Italy, 2024.</w:t>
      </w:r>
    </w:p>
    <w:p w14:paraId="4EDEEDE1" w14:textId="5037DCAE"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Faria, J.M.S.; Barbosa, P.; Vieira, P.; Vicente, C.S.L.; Figueiredo, A.C.; Mota, M. Phytochemicals as Biopesticides against the Pinewood Nematode Bursaphelenchus xylophilus: A Review on Essential Oils and Their Volatiles. </w:t>
      </w:r>
      <w:r w:rsidRPr="00FB1598">
        <w:rPr>
          <w:rFonts w:asciiTheme="majorBidi" w:hAnsiTheme="majorBidi" w:cstheme="majorBidi"/>
          <w:i/>
          <w:noProof/>
        </w:rPr>
        <w:t xml:space="preserve">Plants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10</w:t>
      </w:r>
      <w:r w:rsidRPr="00FB1598">
        <w:rPr>
          <w:rFonts w:asciiTheme="majorBidi" w:hAnsiTheme="majorBidi" w:cstheme="majorBidi"/>
          <w:noProof/>
        </w:rPr>
        <w:t>, 2614.</w:t>
      </w:r>
    </w:p>
    <w:p w14:paraId="4CC9B799" w14:textId="1D7A6FF5"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Beketov, M.A.; Kefford, B.J.; Schäfer, R.B.; Liess, M. Pesticides reduce regional biodiversity of stream invertebrates. </w:t>
      </w:r>
      <w:r w:rsidRPr="00FB1598">
        <w:rPr>
          <w:rFonts w:asciiTheme="majorBidi" w:hAnsiTheme="majorBidi" w:cstheme="majorBidi"/>
          <w:i/>
          <w:noProof/>
        </w:rPr>
        <w:t xml:space="preserve">Proceedings of the National Academy of Sciences </w:t>
      </w:r>
      <w:r w:rsidRPr="00FB1598">
        <w:rPr>
          <w:rFonts w:asciiTheme="majorBidi" w:hAnsiTheme="majorBidi" w:cstheme="majorBidi"/>
          <w:b/>
          <w:noProof/>
        </w:rPr>
        <w:t>2013</w:t>
      </w:r>
      <w:r w:rsidRPr="00FB1598">
        <w:rPr>
          <w:rFonts w:asciiTheme="majorBidi" w:hAnsiTheme="majorBidi" w:cstheme="majorBidi"/>
          <w:noProof/>
        </w:rPr>
        <w:t xml:space="preserve">, </w:t>
      </w:r>
      <w:r w:rsidRPr="00FB1598">
        <w:rPr>
          <w:rFonts w:asciiTheme="majorBidi" w:hAnsiTheme="majorBidi" w:cstheme="majorBidi"/>
          <w:i/>
          <w:noProof/>
        </w:rPr>
        <w:t>110</w:t>
      </w:r>
      <w:r w:rsidRPr="00FB1598">
        <w:rPr>
          <w:rFonts w:asciiTheme="majorBidi" w:hAnsiTheme="majorBidi" w:cstheme="majorBidi"/>
          <w:noProof/>
        </w:rPr>
        <w:t>, 11039-11043, doi:doi:10.1073/pnas.1305618110.</w:t>
      </w:r>
    </w:p>
    <w:p w14:paraId="3B96169C" w14:textId="2CBA7FA8"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Geiger, F.; Bengtsson, J.; Berendse, F.; Weisser, W.W.; Emmerson, M.; Morales, M.B.; Ceryngier, P.; Liira, J.; Tscharntke, T.; Winqvist, C.; et al. Persistent negative effects of pesticides on biodiversity and biological control potential on European farmland. </w:t>
      </w:r>
      <w:r w:rsidRPr="00FB1598">
        <w:rPr>
          <w:rFonts w:asciiTheme="majorBidi" w:hAnsiTheme="majorBidi" w:cstheme="majorBidi"/>
          <w:i/>
          <w:noProof/>
        </w:rPr>
        <w:t xml:space="preserve">Basic and Applied Ecology </w:t>
      </w:r>
      <w:r w:rsidRPr="00FB1598">
        <w:rPr>
          <w:rFonts w:asciiTheme="majorBidi" w:hAnsiTheme="majorBidi" w:cstheme="majorBidi"/>
          <w:b/>
          <w:noProof/>
        </w:rPr>
        <w:t>2010</w:t>
      </w:r>
      <w:r w:rsidRPr="00FB1598">
        <w:rPr>
          <w:rFonts w:asciiTheme="majorBidi" w:hAnsiTheme="majorBidi" w:cstheme="majorBidi"/>
          <w:noProof/>
        </w:rPr>
        <w:t xml:space="preserve">, </w:t>
      </w:r>
      <w:r w:rsidRPr="00FB1598">
        <w:rPr>
          <w:rFonts w:asciiTheme="majorBidi" w:hAnsiTheme="majorBidi" w:cstheme="majorBidi"/>
          <w:i/>
          <w:noProof/>
        </w:rPr>
        <w:t>11</w:t>
      </w:r>
      <w:r w:rsidRPr="00FB1598">
        <w:rPr>
          <w:rFonts w:asciiTheme="majorBidi" w:hAnsiTheme="majorBidi" w:cstheme="majorBidi"/>
          <w:noProof/>
        </w:rPr>
        <w:t>, 97-105, doi:https://doi.org/10.1016/j.baae.2009.12.001.</w:t>
      </w:r>
    </w:p>
    <w:p w14:paraId="3F0E9398" w14:textId="2BB16615"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Sánchez-Bayo, F.; Wyckhuys, K.A.G. Worldwide decline of the entomofauna: A review of its drivers. </w:t>
      </w:r>
      <w:r w:rsidRPr="00FB1598">
        <w:rPr>
          <w:rFonts w:asciiTheme="majorBidi" w:hAnsiTheme="majorBidi" w:cstheme="majorBidi"/>
          <w:i/>
          <w:noProof/>
        </w:rPr>
        <w:t xml:space="preserve">Biological Conservation </w:t>
      </w:r>
      <w:r w:rsidRPr="00FB1598">
        <w:rPr>
          <w:rFonts w:asciiTheme="majorBidi" w:hAnsiTheme="majorBidi" w:cstheme="majorBidi"/>
          <w:b/>
          <w:noProof/>
        </w:rPr>
        <w:t>2019</w:t>
      </w:r>
      <w:r w:rsidRPr="00FB1598">
        <w:rPr>
          <w:rFonts w:asciiTheme="majorBidi" w:hAnsiTheme="majorBidi" w:cstheme="majorBidi"/>
          <w:noProof/>
        </w:rPr>
        <w:t xml:space="preserve">, </w:t>
      </w:r>
      <w:r w:rsidRPr="00FB1598">
        <w:rPr>
          <w:rFonts w:asciiTheme="majorBidi" w:hAnsiTheme="majorBidi" w:cstheme="majorBidi"/>
          <w:i/>
          <w:noProof/>
        </w:rPr>
        <w:t>232</w:t>
      </w:r>
      <w:r w:rsidRPr="00FB1598">
        <w:rPr>
          <w:rFonts w:asciiTheme="majorBidi" w:hAnsiTheme="majorBidi" w:cstheme="majorBidi"/>
          <w:noProof/>
        </w:rPr>
        <w:t>, 8-27, doi:https://doi.org/10.1016/j.biocon.2019.01.020.</w:t>
      </w:r>
    </w:p>
    <w:p w14:paraId="5198E16C" w14:textId="2E4E9E10"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Mello, J.L.; Cardoso, B.N.; Colombo-Corbi, V.; Corbi, J.J. Effects of Agrochemicals on Freshwater Macroinvertebrates: Challenges and Perspectives from Southeastern Brazil. </w:t>
      </w:r>
      <w:r w:rsidRPr="00FB1598">
        <w:rPr>
          <w:rFonts w:asciiTheme="majorBidi" w:hAnsiTheme="majorBidi" w:cstheme="majorBidi"/>
          <w:i/>
          <w:noProof/>
        </w:rPr>
        <w:t xml:space="preserve">Limnology and Oceanography Bulletin </w:t>
      </w:r>
      <w:r w:rsidRPr="00FB1598">
        <w:rPr>
          <w:rFonts w:asciiTheme="majorBidi" w:hAnsiTheme="majorBidi" w:cstheme="majorBidi"/>
          <w:b/>
          <w:noProof/>
        </w:rPr>
        <w:t>2019</w:t>
      </w:r>
      <w:r w:rsidRPr="00FB1598">
        <w:rPr>
          <w:rFonts w:asciiTheme="majorBidi" w:hAnsiTheme="majorBidi" w:cstheme="majorBidi"/>
          <w:noProof/>
        </w:rPr>
        <w:t xml:space="preserve">, </w:t>
      </w:r>
      <w:r w:rsidRPr="00FB1598">
        <w:rPr>
          <w:rFonts w:asciiTheme="majorBidi" w:hAnsiTheme="majorBidi" w:cstheme="majorBidi"/>
          <w:i/>
          <w:noProof/>
        </w:rPr>
        <w:t>28</w:t>
      </w:r>
      <w:r w:rsidRPr="00FB1598">
        <w:rPr>
          <w:rFonts w:asciiTheme="majorBidi" w:hAnsiTheme="majorBidi" w:cstheme="majorBidi"/>
          <w:noProof/>
        </w:rPr>
        <w:t>, 1-4, doi:https://doi.org/10.1002/lob.10284.</w:t>
      </w:r>
    </w:p>
    <w:p w14:paraId="09F4DE65" w14:textId="79FF99A2"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lang w:val="es-ES"/>
        </w:rPr>
        <w:t xml:space="preserve">van den Berg, H.; Gu, B.; Grenier, B.; Kohlschmid, E.; Al-Eryani, S.; da Silva Bezerra, H.S.; Nagpal, B.N.; Chanda, E.; Gasimov, E.; Velayudhan, R.; et al. </w:t>
      </w:r>
      <w:r w:rsidRPr="00FB1598">
        <w:rPr>
          <w:rFonts w:asciiTheme="majorBidi" w:hAnsiTheme="majorBidi" w:cstheme="majorBidi"/>
          <w:noProof/>
        </w:rPr>
        <w:t xml:space="preserve">Pesticide lifecycle management in agriculture and public health: Where are the gaps?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2020</w:t>
      </w:r>
      <w:r w:rsidRPr="00FB1598">
        <w:rPr>
          <w:rFonts w:asciiTheme="majorBidi" w:hAnsiTheme="majorBidi" w:cstheme="majorBidi"/>
          <w:noProof/>
        </w:rPr>
        <w:t xml:space="preserve">, </w:t>
      </w:r>
      <w:r w:rsidRPr="00FB1598">
        <w:rPr>
          <w:rFonts w:asciiTheme="majorBidi" w:hAnsiTheme="majorBidi" w:cstheme="majorBidi"/>
          <w:i/>
          <w:noProof/>
        </w:rPr>
        <w:t>742</w:t>
      </w:r>
      <w:r w:rsidRPr="00FB1598">
        <w:rPr>
          <w:rFonts w:asciiTheme="majorBidi" w:hAnsiTheme="majorBidi" w:cstheme="majorBidi"/>
          <w:noProof/>
        </w:rPr>
        <w:t>, 140598, doi:https://doi.org/10.1016/j.scitotenv.2020.140598.</w:t>
      </w:r>
    </w:p>
    <w:p w14:paraId="371E334E" w14:textId="220A7664"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Schulz, R.; Bub, S.; Petschick, L.L.; Stehle, S.; Wolfram, J. Applied pesticide toxicity shifts toward plants and invertebrates, even in GM crops. </w:t>
      </w:r>
      <w:r w:rsidRPr="00FB1598">
        <w:rPr>
          <w:rFonts w:asciiTheme="majorBidi" w:hAnsiTheme="majorBidi" w:cstheme="majorBidi"/>
          <w:i/>
          <w:noProof/>
        </w:rPr>
        <w:t xml:space="preserve">Science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372</w:t>
      </w:r>
      <w:r w:rsidRPr="00FB1598">
        <w:rPr>
          <w:rFonts w:asciiTheme="majorBidi" w:hAnsiTheme="majorBidi" w:cstheme="majorBidi"/>
          <w:noProof/>
        </w:rPr>
        <w:t>, 81-84.</w:t>
      </w:r>
    </w:p>
    <w:p w14:paraId="6BE8565C" w14:textId="0FB9704B"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Bub, S.; Wolfram, J.; Petschick, L.L.; Stehle, S.; Schulz, R. Trends of total applied pesticide toxicity in German agriculture. </w:t>
      </w:r>
      <w:r w:rsidRPr="00FB1598">
        <w:rPr>
          <w:rFonts w:asciiTheme="majorBidi" w:hAnsiTheme="majorBidi" w:cstheme="majorBidi"/>
          <w:i/>
          <w:noProof/>
        </w:rPr>
        <w:t xml:space="preserve">Environmental science &amp; technology </w:t>
      </w:r>
      <w:r w:rsidRPr="00FB1598">
        <w:rPr>
          <w:rFonts w:asciiTheme="majorBidi" w:hAnsiTheme="majorBidi" w:cstheme="majorBidi"/>
          <w:b/>
          <w:noProof/>
        </w:rPr>
        <w:t>2022</w:t>
      </w:r>
      <w:r w:rsidRPr="00FB1598">
        <w:rPr>
          <w:rFonts w:asciiTheme="majorBidi" w:hAnsiTheme="majorBidi" w:cstheme="majorBidi"/>
          <w:noProof/>
        </w:rPr>
        <w:t xml:space="preserve">, </w:t>
      </w:r>
      <w:r w:rsidRPr="00FB1598">
        <w:rPr>
          <w:rFonts w:asciiTheme="majorBidi" w:hAnsiTheme="majorBidi" w:cstheme="majorBidi"/>
          <w:i/>
          <w:noProof/>
        </w:rPr>
        <w:t>57</w:t>
      </w:r>
      <w:r w:rsidRPr="00FB1598">
        <w:rPr>
          <w:rFonts w:asciiTheme="majorBidi" w:hAnsiTheme="majorBidi" w:cstheme="majorBidi"/>
          <w:noProof/>
        </w:rPr>
        <w:t>, 852-861.</w:t>
      </w:r>
    </w:p>
    <w:p w14:paraId="51A5CE68" w14:textId="5100082A"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Yasuda, M.; Sakamoto, Y.; Goka, K.; Nagamitsu, T.; Taki, H. Insecticide Susceptibility in Asian Honey Bees (Apis cerana (Hymenoptera: Apidae)) and Implications for Wild Honey Bees in Asia. </w:t>
      </w:r>
      <w:r w:rsidRPr="00FB1598">
        <w:rPr>
          <w:rFonts w:asciiTheme="majorBidi" w:hAnsiTheme="majorBidi" w:cstheme="majorBidi"/>
          <w:i/>
          <w:noProof/>
        </w:rPr>
        <w:t xml:space="preserve">Journal of Economic Entomology </w:t>
      </w:r>
      <w:r w:rsidRPr="00FB1598">
        <w:rPr>
          <w:rFonts w:asciiTheme="majorBidi" w:hAnsiTheme="majorBidi" w:cstheme="majorBidi"/>
          <w:b/>
          <w:noProof/>
        </w:rPr>
        <w:t>2017</w:t>
      </w:r>
      <w:r w:rsidRPr="00FB1598">
        <w:rPr>
          <w:rFonts w:asciiTheme="majorBidi" w:hAnsiTheme="majorBidi" w:cstheme="majorBidi"/>
          <w:noProof/>
        </w:rPr>
        <w:t xml:space="preserve">, </w:t>
      </w:r>
      <w:r w:rsidRPr="00FB1598">
        <w:rPr>
          <w:rFonts w:asciiTheme="majorBidi" w:hAnsiTheme="majorBidi" w:cstheme="majorBidi"/>
          <w:i/>
          <w:noProof/>
        </w:rPr>
        <w:t>110</w:t>
      </w:r>
      <w:r w:rsidRPr="00FB1598">
        <w:rPr>
          <w:rFonts w:asciiTheme="majorBidi" w:hAnsiTheme="majorBidi" w:cstheme="majorBidi"/>
          <w:noProof/>
        </w:rPr>
        <w:t>, 447-452, doi:10.1093/jee/tox032.</w:t>
      </w:r>
    </w:p>
    <w:p w14:paraId="6FB4309B" w14:textId="5DE77B78"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Larsen, A.E.; Farrant, D.N.; MacDonald, A.J. Spatiotemporal overlap of pesticide use and species richness hotspots in California. </w:t>
      </w:r>
      <w:r w:rsidRPr="00FB1598">
        <w:rPr>
          <w:rFonts w:asciiTheme="majorBidi" w:hAnsiTheme="majorBidi" w:cstheme="majorBidi"/>
          <w:i/>
          <w:noProof/>
        </w:rPr>
        <w:t xml:space="preserve">Agriculture, Ecosystems &amp; Environment </w:t>
      </w:r>
      <w:r w:rsidRPr="00FB1598">
        <w:rPr>
          <w:rFonts w:asciiTheme="majorBidi" w:hAnsiTheme="majorBidi" w:cstheme="majorBidi"/>
          <w:b/>
          <w:noProof/>
        </w:rPr>
        <w:t>2020</w:t>
      </w:r>
      <w:r w:rsidRPr="00FB1598">
        <w:rPr>
          <w:rFonts w:asciiTheme="majorBidi" w:hAnsiTheme="majorBidi" w:cstheme="majorBidi"/>
          <w:noProof/>
        </w:rPr>
        <w:t xml:space="preserve">, </w:t>
      </w:r>
      <w:r w:rsidRPr="00FB1598">
        <w:rPr>
          <w:rFonts w:asciiTheme="majorBidi" w:hAnsiTheme="majorBidi" w:cstheme="majorBidi"/>
          <w:i/>
          <w:noProof/>
        </w:rPr>
        <w:t>289</w:t>
      </w:r>
      <w:r w:rsidRPr="00FB1598">
        <w:rPr>
          <w:rFonts w:asciiTheme="majorBidi" w:hAnsiTheme="majorBidi" w:cstheme="majorBidi"/>
          <w:noProof/>
        </w:rPr>
        <w:t>, 106741, doi:https://doi.org/10.1016/j.agee.2019.106741.</w:t>
      </w:r>
    </w:p>
    <w:p w14:paraId="7BA78561" w14:textId="728B194F"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Schiesari, L.; Waichman, A.; Brock, T.; Adams, C.; Grillitsch, B. Pesticide use and biodiversity conservation in the Amazonian agricultural frontier. </w:t>
      </w:r>
      <w:r w:rsidRPr="00FB1598">
        <w:rPr>
          <w:rFonts w:asciiTheme="majorBidi" w:hAnsiTheme="majorBidi" w:cstheme="majorBidi"/>
          <w:i/>
          <w:noProof/>
        </w:rPr>
        <w:t xml:space="preserve">Philosophical Transactions of the Royal Society B: Biological Sciences </w:t>
      </w:r>
      <w:r w:rsidRPr="00FB1598">
        <w:rPr>
          <w:rFonts w:asciiTheme="majorBidi" w:hAnsiTheme="majorBidi" w:cstheme="majorBidi"/>
          <w:b/>
          <w:noProof/>
        </w:rPr>
        <w:t>2013</w:t>
      </w:r>
      <w:r w:rsidRPr="00FB1598">
        <w:rPr>
          <w:rFonts w:asciiTheme="majorBidi" w:hAnsiTheme="majorBidi" w:cstheme="majorBidi"/>
          <w:noProof/>
        </w:rPr>
        <w:t xml:space="preserve">, </w:t>
      </w:r>
      <w:r w:rsidRPr="00FB1598">
        <w:rPr>
          <w:rFonts w:asciiTheme="majorBidi" w:hAnsiTheme="majorBidi" w:cstheme="majorBidi"/>
          <w:i/>
          <w:noProof/>
        </w:rPr>
        <w:t>368</w:t>
      </w:r>
      <w:r w:rsidRPr="00FB1598">
        <w:rPr>
          <w:rFonts w:asciiTheme="majorBidi" w:hAnsiTheme="majorBidi" w:cstheme="majorBidi"/>
          <w:noProof/>
        </w:rPr>
        <w:t>, 20120378, doi:10.1098/rstb.2012.0378.</w:t>
      </w:r>
    </w:p>
    <w:p w14:paraId="67FB0B1A" w14:textId="6618A31D"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Wagner, D.L.; Grames, E.M.; Forister, M.L.; Berenbaum, M.R.; Stopak, D. Insect decline in the Anthropocene: Death by a thousand cuts. </w:t>
      </w:r>
      <w:r w:rsidRPr="00FB1598">
        <w:rPr>
          <w:rFonts w:asciiTheme="majorBidi" w:hAnsiTheme="majorBidi" w:cstheme="majorBidi"/>
          <w:i/>
          <w:noProof/>
        </w:rPr>
        <w:t xml:space="preserve">Proceedings of the National Academy of Sciences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118</w:t>
      </w:r>
      <w:r w:rsidRPr="00FB1598">
        <w:rPr>
          <w:rFonts w:asciiTheme="majorBidi" w:hAnsiTheme="majorBidi" w:cstheme="majorBidi"/>
          <w:noProof/>
        </w:rPr>
        <w:t>, e2023989118.</w:t>
      </w:r>
    </w:p>
    <w:p w14:paraId="4E0055B9" w14:textId="796340C5"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Saunders, M.E.; Janes, J.K.; O’Hanlon, J.C. Moving on from the insect apocalypse narrative: engaging with evidence-based insect conservation. </w:t>
      </w:r>
      <w:r w:rsidRPr="00FB1598">
        <w:rPr>
          <w:rFonts w:asciiTheme="majorBidi" w:hAnsiTheme="majorBidi" w:cstheme="majorBidi"/>
          <w:i/>
          <w:noProof/>
        </w:rPr>
        <w:t xml:space="preserve">BioScience </w:t>
      </w:r>
      <w:r w:rsidRPr="00FB1598">
        <w:rPr>
          <w:rFonts w:asciiTheme="majorBidi" w:hAnsiTheme="majorBidi" w:cstheme="majorBidi"/>
          <w:b/>
          <w:noProof/>
        </w:rPr>
        <w:t>2020</w:t>
      </w:r>
      <w:r w:rsidRPr="00FB1598">
        <w:rPr>
          <w:rFonts w:asciiTheme="majorBidi" w:hAnsiTheme="majorBidi" w:cstheme="majorBidi"/>
          <w:noProof/>
        </w:rPr>
        <w:t xml:space="preserve">, </w:t>
      </w:r>
      <w:r w:rsidRPr="00FB1598">
        <w:rPr>
          <w:rFonts w:asciiTheme="majorBidi" w:hAnsiTheme="majorBidi" w:cstheme="majorBidi"/>
          <w:i/>
          <w:noProof/>
        </w:rPr>
        <w:t>70</w:t>
      </w:r>
      <w:r w:rsidRPr="00FB1598">
        <w:rPr>
          <w:rFonts w:asciiTheme="majorBidi" w:hAnsiTheme="majorBidi" w:cstheme="majorBidi"/>
          <w:noProof/>
        </w:rPr>
        <w:t>, 80-89.</w:t>
      </w:r>
    </w:p>
    <w:p w14:paraId="0B13A44B" w14:textId="1D8DD37E"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Gabriel, D.; Sait, S.M.; Kunin, W.E.; Benton, T.G. Food production vs. biodiversity: comparing organic and conventional agriculture. </w:t>
      </w:r>
      <w:r w:rsidRPr="00FB1598">
        <w:rPr>
          <w:rFonts w:asciiTheme="majorBidi" w:hAnsiTheme="majorBidi" w:cstheme="majorBidi"/>
          <w:i/>
          <w:noProof/>
        </w:rPr>
        <w:t xml:space="preserve">Journal of applied ecology </w:t>
      </w:r>
      <w:r w:rsidRPr="00FB1598">
        <w:rPr>
          <w:rFonts w:asciiTheme="majorBidi" w:hAnsiTheme="majorBidi" w:cstheme="majorBidi"/>
          <w:b/>
          <w:noProof/>
        </w:rPr>
        <w:t>2013</w:t>
      </w:r>
      <w:r w:rsidRPr="00FB1598">
        <w:rPr>
          <w:rFonts w:asciiTheme="majorBidi" w:hAnsiTheme="majorBidi" w:cstheme="majorBidi"/>
          <w:noProof/>
        </w:rPr>
        <w:t xml:space="preserve">, </w:t>
      </w:r>
      <w:r w:rsidRPr="00FB1598">
        <w:rPr>
          <w:rFonts w:asciiTheme="majorBidi" w:hAnsiTheme="majorBidi" w:cstheme="majorBidi"/>
          <w:i/>
          <w:noProof/>
        </w:rPr>
        <w:t>50</w:t>
      </w:r>
      <w:r w:rsidRPr="00FB1598">
        <w:rPr>
          <w:rFonts w:asciiTheme="majorBidi" w:hAnsiTheme="majorBidi" w:cstheme="majorBidi"/>
          <w:noProof/>
        </w:rPr>
        <w:t>, 355-364.</w:t>
      </w:r>
    </w:p>
    <w:p w14:paraId="732B0266" w14:textId="7DBD9EAD"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Rumohr, Q.; Baden, C.U.; Bergtold, M.; Marx, M.T.; Oellers, J.; Schade, M.; Toschki, A.; Maus, C. Drivers and pressures behind insect decline in Central and Western Europe based on long-term monitoring data. </w:t>
      </w:r>
      <w:r w:rsidRPr="00FB1598">
        <w:rPr>
          <w:rFonts w:asciiTheme="majorBidi" w:hAnsiTheme="majorBidi" w:cstheme="majorBidi"/>
          <w:i/>
          <w:noProof/>
        </w:rPr>
        <w:t xml:space="preserve">PLoS One </w:t>
      </w:r>
      <w:r w:rsidRPr="00FB1598">
        <w:rPr>
          <w:rFonts w:asciiTheme="majorBidi" w:hAnsiTheme="majorBidi" w:cstheme="majorBidi"/>
          <w:b/>
          <w:noProof/>
        </w:rPr>
        <w:t>2023</w:t>
      </w:r>
      <w:r w:rsidRPr="00FB1598">
        <w:rPr>
          <w:rFonts w:asciiTheme="majorBidi" w:hAnsiTheme="majorBidi" w:cstheme="majorBidi"/>
          <w:noProof/>
        </w:rPr>
        <w:t xml:space="preserve">, </w:t>
      </w:r>
      <w:r w:rsidRPr="00FB1598">
        <w:rPr>
          <w:rFonts w:asciiTheme="majorBidi" w:hAnsiTheme="majorBidi" w:cstheme="majorBidi"/>
          <w:i/>
          <w:noProof/>
        </w:rPr>
        <w:t>18</w:t>
      </w:r>
      <w:r w:rsidRPr="00FB1598">
        <w:rPr>
          <w:rFonts w:asciiTheme="majorBidi" w:hAnsiTheme="majorBidi" w:cstheme="majorBidi"/>
          <w:noProof/>
        </w:rPr>
        <w:t>, e0289565.</w:t>
      </w:r>
    </w:p>
    <w:p w14:paraId="19A7B668" w14:textId="56194BCD"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Lykogianni, M.; Bempelou, E.; Karamaouna, F.; Aliferis, K.A. Do pesticides promote or hinder sustainability in agriculture? The challenge of sustainable use of pesticides in modern agriculture.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795</w:t>
      </w:r>
      <w:r w:rsidRPr="00FB1598">
        <w:rPr>
          <w:rFonts w:asciiTheme="majorBidi" w:hAnsiTheme="majorBidi" w:cstheme="majorBidi"/>
          <w:noProof/>
        </w:rPr>
        <w:t>, 148625.</w:t>
      </w:r>
    </w:p>
    <w:p w14:paraId="3D67B93F" w14:textId="2CFBF9ED"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Maggi, F.; Tang, F.H.M.; Black, A.J.; Marks, G.B.; McBratney, A. The pesticide health risk index - An application to the world's countries.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801</w:t>
      </w:r>
      <w:r w:rsidRPr="00FB1598">
        <w:rPr>
          <w:rFonts w:asciiTheme="majorBidi" w:hAnsiTheme="majorBidi" w:cstheme="majorBidi"/>
          <w:noProof/>
        </w:rPr>
        <w:t>, 149731, doi:https://doi.org/10.1016/j.scitotenv.2021.149731.</w:t>
      </w:r>
    </w:p>
    <w:p w14:paraId="47134896" w14:textId="46453500"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Brown, C.; Hart, A.; Lewis, K.; Dubus, I. p-EMA (I): simulating the environmental fate of pesticides for a farm-level risk assessment system. </w:t>
      </w:r>
      <w:r w:rsidRPr="00FB1598">
        <w:rPr>
          <w:rFonts w:asciiTheme="majorBidi" w:hAnsiTheme="majorBidi" w:cstheme="majorBidi"/>
          <w:i/>
          <w:noProof/>
        </w:rPr>
        <w:t xml:space="preserve">Agronomie </w:t>
      </w:r>
      <w:r w:rsidRPr="00FB1598">
        <w:rPr>
          <w:rFonts w:asciiTheme="majorBidi" w:hAnsiTheme="majorBidi" w:cstheme="majorBidi"/>
          <w:b/>
          <w:noProof/>
        </w:rPr>
        <w:t>2003</w:t>
      </w:r>
      <w:r w:rsidRPr="00FB1598">
        <w:rPr>
          <w:rFonts w:asciiTheme="majorBidi" w:hAnsiTheme="majorBidi" w:cstheme="majorBidi"/>
          <w:noProof/>
        </w:rPr>
        <w:t xml:space="preserve">, </w:t>
      </w:r>
      <w:r w:rsidRPr="00FB1598">
        <w:rPr>
          <w:rFonts w:asciiTheme="majorBidi" w:hAnsiTheme="majorBidi" w:cstheme="majorBidi"/>
          <w:i/>
          <w:noProof/>
        </w:rPr>
        <w:t>23</w:t>
      </w:r>
      <w:r w:rsidRPr="00FB1598">
        <w:rPr>
          <w:rFonts w:asciiTheme="majorBidi" w:hAnsiTheme="majorBidi" w:cstheme="majorBidi"/>
          <w:noProof/>
        </w:rPr>
        <w:t>, 67-74.</w:t>
      </w:r>
    </w:p>
    <w:p w14:paraId="5167C13A" w14:textId="288524C2"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Cornell College of Agricultural and Life Sciences. Environmental Impact Quotient: EIQ—A Method to Measure the Environmental Impact of Pesticides. Available online: https://cals.cornell.edu/new-york-state-integrated-pest-management/risk-assessment/eiq#:~:text=The%20Environmental%20Impact%20Quotient%20(EIQ,decisions%20regarding%20their%20pesticide%20selection (accessed on </w:t>
      </w:r>
    </w:p>
    <w:p w14:paraId="086708E5" w14:textId="29B57DE5"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Kudsk, P.; Jørgensen, L.N.; Ørum, J.E. Pesticide Load—A new Danish pesticide risk indicator with multiple applications. </w:t>
      </w:r>
      <w:r w:rsidRPr="00FB1598">
        <w:rPr>
          <w:rFonts w:asciiTheme="majorBidi" w:hAnsiTheme="majorBidi" w:cstheme="majorBidi"/>
          <w:i/>
          <w:noProof/>
        </w:rPr>
        <w:t xml:space="preserve">Land Use Policy </w:t>
      </w:r>
      <w:r w:rsidRPr="00FB1598">
        <w:rPr>
          <w:rFonts w:asciiTheme="majorBidi" w:hAnsiTheme="majorBidi" w:cstheme="majorBidi"/>
          <w:b/>
          <w:noProof/>
        </w:rPr>
        <w:t>2018</w:t>
      </w:r>
      <w:r w:rsidRPr="00FB1598">
        <w:rPr>
          <w:rFonts w:asciiTheme="majorBidi" w:hAnsiTheme="majorBidi" w:cstheme="majorBidi"/>
          <w:noProof/>
        </w:rPr>
        <w:t xml:space="preserve">, </w:t>
      </w:r>
      <w:r w:rsidRPr="00FB1598">
        <w:rPr>
          <w:rFonts w:asciiTheme="majorBidi" w:hAnsiTheme="majorBidi" w:cstheme="majorBidi"/>
          <w:i/>
          <w:noProof/>
        </w:rPr>
        <w:t>70</w:t>
      </w:r>
      <w:r w:rsidRPr="00FB1598">
        <w:rPr>
          <w:rFonts w:asciiTheme="majorBidi" w:hAnsiTheme="majorBidi" w:cstheme="majorBidi"/>
          <w:noProof/>
        </w:rPr>
        <w:t>, 384-393.</w:t>
      </w:r>
    </w:p>
    <w:p w14:paraId="6128368C" w14:textId="774A3764"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Danish Environmental Protection Agency. The Agricultural Pesticide Load in Denmark 2007–2010. </w:t>
      </w:r>
      <w:r w:rsidRPr="00FB1598">
        <w:rPr>
          <w:rFonts w:asciiTheme="majorBidi" w:hAnsiTheme="majorBidi" w:cstheme="majorBidi"/>
          <w:i/>
          <w:noProof/>
        </w:rPr>
        <w:t xml:space="preserve">Environmental Review 2 </w:t>
      </w:r>
      <w:r w:rsidRPr="00FB1598">
        <w:rPr>
          <w:rFonts w:asciiTheme="majorBidi" w:hAnsiTheme="majorBidi" w:cstheme="majorBidi"/>
          <w:b/>
          <w:noProof/>
        </w:rPr>
        <w:t>2012</w:t>
      </w:r>
      <w:r w:rsidRPr="00FB1598">
        <w:rPr>
          <w:rFonts w:asciiTheme="majorBidi" w:hAnsiTheme="majorBidi" w:cstheme="majorBidi"/>
          <w:noProof/>
        </w:rPr>
        <w:t>.</w:t>
      </w:r>
    </w:p>
    <w:p w14:paraId="17990237" w14:textId="17DBF66F"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Hart, A.; Brown, C.; Lewis, K.; Tzilivakis, J. p-EMA (II): evaluating ecological risks of pesticides for a farm-level risk assessment system. </w:t>
      </w:r>
      <w:r w:rsidRPr="00FB1598">
        <w:rPr>
          <w:rFonts w:asciiTheme="majorBidi" w:hAnsiTheme="majorBidi" w:cstheme="majorBidi"/>
          <w:i/>
          <w:noProof/>
        </w:rPr>
        <w:t xml:space="preserve">Agronomie </w:t>
      </w:r>
      <w:r w:rsidRPr="00FB1598">
        <w:rPr>
          <w:rFonts w:asciiTheme="majorBidi" w:hAnsiTheme="majorBidi" w:cstheme="majorBidi"/>
          <w:b/>
          <w:noProof/>
        </w:rPr>
        <w:t>2003</w:t>
      </w:r>
      <w:r w:rsidRPr="00FB1598">
        <w:rPr>
          <w:rFonts w:asciiTheme="majorBidi" w:hAnsiTheme="majorBidi" w:cstheme="majorBidi"/>
          <w:noProof/>
        </w:rPr>
        <w:t xml:space="preserve">, </w:t>
      </w:r>
      <w:r w:rsidRPr="00FB1598">
        <w:rPr>
          <w:rFonts w:asciiTheme="majorBidi" w:hAnsiTheme="majorBidi" w:cstheme="majorBidi"/>
          <w:i/>
          <w:noProof/>
        </w:rPr>
        <w:t>23</w:t>
      </w:r>
      <w:r w:rsidRPr="00FB1598">
        <w:rPr>
          <w:rFonts w:asciiTheme="majorBidi" w:hAnsiTheme="majorBidi" w:cstheme="majorBidi"/>
          <w:noProof/>
        </w:rPr>
        <w:t>, 75-84.</w:t>
      </w:r>
    </w:p>
    <w:p w14:paraId="5BEE9D9B" w14:textId="7A088E0A"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Lewis, K.; Brown, C.; Hart, A.; Tzilivakis, J. p-EMA (III): overview and application of a software system designed to assess the environmental risk of agricultural pesticides. </w:t>
      </w:r>
      <w:r w:rsidRPr="00FB1598">
        <w:rPr>
          <w:rFonts w:asciiTheme="majorBidi" w:hAnsiTheme="majorBidi" w:cstheme="majorBidi"/>
          <w:i/>
          <w:noProof/>
        </w:rPr>
        <w:t xml:space="preserve">Agronomie </w:t>
      </w:r>
      <w:r w:rsidRPr="00FB1598">
        <w:rPr>
          <w:rFonts w:asciiTheme="majorBidi" w:hAnsiTheme="majorBidi" w:cstheme="majorBidi"/>
          <w:b/>
          <w:noProof/>
        </w:rPr>
        <w:t>2003</w:t>
      </w:r>
      <w:r w:rsidRPr="00FB1598">
        <w:rPr>
          <w:rFonts w:asciiTheme="majorBidi" w:hAnsiTheme="majorBidi" w:cstheme="majorBidi"/>
          <w:noProof/>
        </w:rPr>
        <w:t xml:space="preserve">, </w:t>
      </w:r>
      <w:r w:rsidRPr="00FB1598">
        <w:rPr>
          <w:rFonts w:asciiTheme="majorBidi" w:hAnsiTheme="majorBidi" w:cstheme="majorBidi"/>
          <w:i/>
          <w:noProof/>
        </w:rPr>
        <w:t>23</w:t>
      </w:r>
      <w:r w:rsidRPr="00FB1598">
        <w:rPr>
          <w:rFonts w:asciiTheme="majorBidi" w:hAnsiTheme="majorBidi" w:cstheme="majorBidi"/>
          <w:noProof/>
        </w:rPr>
        <w:t>, 85-96.</w:t>
      </w:r>
    </w:p>
    <w:p w14:paraId="1BE45CF0" w14:textId="267A2B4A"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Lewis, K.; Rainford, J.; Tzilivakis, J.; Garthwaite, D. Application of the Danish Pesticide Load Indicator to UK arable agriculture. </w:t>
      </w:r>
      <w:r w:rsidRPr="00FB1598">
        <w:rPr>
          <w:rFonts w:asciiTheme="majorBidi" w:hAnsiTheme="majorBidi" w:cstheme="majorBidi"/>
          <w:i/>
          <w:noProof/>
        </w:rPr>
        <w:t xml:space="preserve">Journal of Environmental Quality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50</w:t>
      </w:r>
      <w:r w:rsidRPr="00FB1598">
        <w:rPr>
          <w:rFonts w:asciiTheme="majorBidi" w:hAnsiTheme="majorBidi" w:cstheme="majorBidi"/>
          <w:noProof/>
        </w:rPr>
        <w:t>, 1110-1122.</w:t>
      </w:r>
    </w:p>
    <w:p w14:paraId="2FB4F626" w14:textId="79AD45D6"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Maggi, F.; Tang, F.H.M.; Tubiello, F.N. Agricultural pesticide land budget and river discharge to oceans. </w:t>
      </w:r>
      <w:r w:rsidRPr="00FB1598">
        <w:rPr>
          <w:rFonts w:asciiTheme="majorBidi" w:hAnsiTheme="majorBidi" w:cstheme="majorBidi"/>
          <w:i/>
          <w:noProof/>
        </w:rPr>
        <w:t xml:space="preserve">Nature </w:t>
      </w:r>
      <w:r w:rsidRPr="00FB1598">
        <w:rPr>
          <w:rFonts w:asciiTheme="majorBidi" w:hAnsiTheme="majorBidi" w:cstheme="majorBidi"/>
          <w:b/>
          <w:noProof/>
        </w:rPr>
        <w:t>2023</w:t>
      </w:r>
      <w:r w:rsidRPr="00FB1598">
        <w:rPr>
          <w:rFonts w:asciiTheme="majorBidi" w:hAnsiTheme="majorBidi" w:cstheme="majorBidi"/>
          <w:noProof/>
        </w:rPr>
        <w:t xml:space="preserve">, </w:t>
      </w:r>
      <w:r w:rsidRPr="00FB1598">
        <w:rPr>
          <w:rFonts w:asciiTheme="majorBidi" w:hAnsiTheme="majorBidi" w:cstheme="majorBidi"/>
          <w:i/>
          <w:noProof/>
        </w:rPr>
        <w:t>620</w:t>
      </w:r>
      <w:r w:rsidRPr="00FB1598">
        <w:rPr>
          <w:rFonts w:asciiTheme="majorBidi" w:hAnsiTheme="majorBidi" w:cstheme="majorBidi"/>
          <w:noProof/>
        </w:rPr>
        <w:t>, 1013-1017, doi:10.1038/s41586-023-06296-x.</w:t>
      </w:r>
    </w:p>
    <w:p w14:paraId="267B3301" w14:textId="1C1DC390"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Möhring, N.; Gaba, S.; Finger, R. Quantity based indicators fail to identify extreme pesticide risks.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2019</w:t>
      </w:r>
      <w:r w:rsidRPr="00FB1598">
        <w:rPr>
          <w:rFonts w:asciiTheme="majorBidi" w:hAnsiTheme="majorBidi" w:cstheme="majorBidi"/>
          <w:noProof/>
        </w:rPr>
        <w:t xml:space="preserve">, </w:t>
      </w:r>
      <w:r w:rsidRPr="00FB1598">
        <w:rPr>
          <w:rFonts w:asciiTheme="majorBidi" w:hAnsiTheme="majorBidi" w:cstheme="majorBidi"/>
          <w:i/>
          <w:noProof/>
        </w:rPr>
        <w:t>646</w:t>
      </w:r>
      <w:r w:rsidRPr="00FB1598">
        <w:rPr>
          <w:rFonts w:asciiTheme="majorBidi" w:hAnsiTheme="majorBidi" w:cstheme="majorBidi"/>
          <w:noProof/>
        </w:rPr>
        <w:t>, 503-523, doi:https://doi.org/10.1016/j.scitotenv.2018.07.287.</w:t>
      </w:r>
    </w:p>
    <w:p w14:paraId="0D6E323C" w14:textId="167B1D30"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Trevisan, M.; Di Guardo, A.; Balderacchi, M. An environmental indicator to drive sustainable pest management practices. </w:t>
      </w:r>
      <w:r w:rsidRPr="00FB1598">
        <w:rPr>
          <w:rFonts w:asciiTheme="majorBidi" w:hAnsiTheme="majorBidi" w:cstheme="majorBidi"/>
          <w:i/>
          <w:noProof/>
        </w:rPr>
        <w:t xml:space="preserve">Environmental Modelling &amp; Software </w:t>
      </w:r>
      <w:r w:rsidRPr="00FB1598">
        <w:rPr>
          <w:rFonts w:asciiTheme="majorBidi" w:hAnsiTheme="majorBidi" w:cstheme="majorBidi"/>
          <w:b/>
          <w:noProof/>
        </w:rPr>
        <w:t>2009</w:t>
      </w:r>
      <w:r w:rsidRPr="00FB1598">
        <w:rPr>
          <w:rFonts w:asciiTheme="majorBidi" w:hAnsiTheme="majorBidi" w:cstheme="majorBidi"/>
          <w:noProof/>
        </w:rPr>
        <w:t xml:space="preserve">, </w:t>
      </w:r>
      <w:r w:rsidRPr="00FB1598">
        <w:rPr>
          <w:rFonts w:asciiTheme="majorBidi" w:hAnsiTheme="majorBidi" w:cstheme="majorBidi"/>
          <w:i/>
          <w:noProof/>
        </w:rPr>
        <w:t>24</w:t>
      </w:r>
      <w:r w:rsidRPr="00FB1598">
        <w:rPr>
          <w:rFonts w:asciiTheme="majorBidi" w:hAnsiTheme="majorBidi" w:cstheme="majorBidi"/>
          <w:noProof/>
        </w:rPr>
        <w:t>, 994-1002, doi:https://doi.org/10.1016/j.envsoft.2008.12.008.</w:t>
      </w:r>
    </w:p>
    <w:p w14:paraId="56243C01" w14:textId="13E15558"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Centanni, M.; Ricci, G.; De Girolamo, A.; Romano, G.; Gentile, F. A review of modeling pesticides in freshwaters: Current status, progress achieved and desirable improvements. </w:t>
      </w:r>
      <w:r w:rsidRPr="00FB1598">
        <w:rPr>
          <w:rFonts w:asciiTheme="majorBidi" w:hAnsiTheme="majorBidi" w:cstheme="majorBidi"/>
          <w:i/>
          <w:noProof/>
        </w:rPr>
        <w:t xml:space="preserve">Environmental pollution </w:t>
      </w:r>
      <w:r w:rsidRPr="00FB1598">
        <w:rPr>
          <w:rFonts w:asciiTheme="majorBidi" w:hAnsiTheme="majorBidi" w:cstheme="majorBidi"/>
          <w:b/>
          <w:noProof/>
        </w:rPr>
        <w:t>2023</w:t>
      </w:r>
      <w:r w:rsidRPr="00FB1598">
        <w:rPr>
          <w:rFonts w:asciiTheme="majorBidi" w:hAnsiTheme="majorBidi" w:cstheme="majorBidi"/>
          <w:noProof/>
        </w:rPr>
        <w:t xml:space="preserve">, </w:t>
      </w:r>
      <w:r w:rsidRPr="00FB1598">
        <w:rPr>
          <w:rFonts w:asciiTheme="majorBidi" w:hAnsiTheme="majorBidi" w:cstheme="majorBidi"/>
          <w:i/>
          <w:noProof/>
        </w:rPr>
        <w:t>316</w:t>
      </w:r>
      <w:r w:rsidRPr="00FB1598">
        <w:rPr>
          <w:rFonts w:asciiTheme="majorBidi" w:hAnsiTheme="majorBidi" w:cstheme="majorBidi"/>
          <w:noProof/>
        </w:rPr>
        <w:t>, 120553.</w:t>
      </w:r>
    </w:p>
    <w:p w14:paraId="24DF6C1C" w14:textId="320E8B1B"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Stehle, S.; Schulz, R. Agricultural insecticides threaten surface waters at the global scale. </w:t>
      </w:r>
      <w:r w:rsidRPr="00FB1598">
        <w:rPr>
          <w:rFonts w:asciiTheme="majorBidi" w:hAnsiTheme="majorBidi" w:cstheme="majorBidi"/>
          <w:i/>
          <w:noProof/>
        </w:rPr>
        <w:t xml:space="preserve">Proceedings of the National Academy of Sciences </w:t>
      </w:r>
      <w:r w:rsidRPr="00FB1598">
        <w:rPr>
          <w:rFonts w:asciiTheme="majorBidi" w:hAnsiTheme="majorBidi" w:cstheme="majorBidi"/>
          <w:b/>
          <w:noProof/>
        </w:rPr>
        <w:t>2015</w:t>
      </w:r>
      <w:r w:rsidRPr="00FB1598">
        <w:rPr>
          <w:rFonts w:asciiTheme="majorBidi" w:hAnsiTheme="majorBidi" w:cstheme="majorBidi"/>
          <w:noProof/>
        </w:rPr>
        <w:t xml:space="preserve">, </w:t>
      </w:r>
      <w:r w:rsidRPr="00FB1598">
        <w:rPr>
          <w:rFonts w:asciiTheme="majorBidi" w:hAnsiTheme="majorBidi" w:cstheme="majorBidi"/>
          <w:i/>
          <w:noProof/>
        </w:rPr>
        <w:t>112</w:t>
      </w:r>
      <w:r w:rsidRPr="00FB1598">
        <w:rPr>
          <w:rFonts w:asciiTheme="majorBidi" w:hAnsiTheme="majorBidi" w:cstheme="majorBidi"/>
          <w:noProof/>
        </w:rPr>
        <w:t>, 5750-5755.</w:t>
      </w:r>
    </w:p>
    <w:p w14:paraId="59F2BD22" w14:textId="32175D0E"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Ramírez-Morales, D.; Pérez-Villanueva, M.E.; Chin-Pampillo, J.S.; Aguilar-Mora, P.; Arias-Mora, V.; Masís-Mora, M. Pesticide occurrence and water quality assessment from an agriculturally influenced Latin-American tropical region. </w:t>
      </w:r>
      <w:r w:rsidRPr="00FB1598">
        <w:rPr>
          <w:rFonts w:asciiTheme="majorBidi" w:hAnsiTheme="majorBidi" w:cstheme="majorBidi"/>
          <w:i/>
          <w:noProof/>
        </w:rPr>
        <w:t xml:space="preserve">Chemosphere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262</w:t>
      </w:r>
      <w:r w:rsidRPr="00FB1598">
        <w:rPr>
          <w:rFonts w:asciiTheme="majorBidi" w:hAnsiTheme="majorBidi" w:cstheme="majorBidi"/>
          <w:noProof/>
        </w:rPr>
        <w:t>, 127851, doi:https://doi.org/10.1016/j.chemosphere.2020.127851.</w:t>
      </w:r>
    </w:p>
    <w:p w14:paraId="0E1F9CDB" w14:textId="1C1E60B5"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Toan, P.V.; Sebesvari, Z.; Bläsing, M.; Rosendahl, I.; Renaud, F.G. Pesticide management and their residues in sediments and surface and drinking water in the Mekong Delta, Vietnam.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2013</w:t>
      </w:r>
      <w:r w:rsidRPr="00FB1598">
        <w:rPr>
          <w:rFonts w:asciiTheme="majorBidi" w:hAnsiTheme="majorBidi" w:cstheme="majorBidi"/>
          <w:noProof/>
        </w:rPr>
        <w:t xml:space="preserve">, </w:t>
      </w:r>
      <w:r w:rsidRPr="00FB1598">
        <w:rPr>
          <w:rFonts w:asciiTheme="majorBidi" w:hAnsiTheme="majorBidi" w:cstheme="majorBidi"/>
          <w:i/>
          <w:noProof/>
        </w:rPr>
        <w:t>452-453</w:t>
      </w:r>
      <w:r w:rsidRPr="00FB1598">
        <w:rPr>
          <w:rFonts w:asciiTheme="majorBidi" w:hAnsiTheme="majorBidi" w:cstheme="majorBidi"/>
          <w:noProof/>
        </w:rPr>
        <w:t>, 28-39, doi:https://doi.org/10.1016/j.scitotenv.2013.02.026.</w:t>
      </w:r>
    </w:p>
    <w:p w14:paraId="4461085C" w14:textId="03B2636F"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Lewis, K.A.; Tzilivakis, J.; Warner, D.J.; Green, A. An international database for pesticide risk assessments and management. </w:t>
      </w:r>
      <w:r w:rsidRPr="00FB1598">
        <w:rPr>
          <w:rFonts w:asciiTheme="majorBidi" w:hAnsiTheme="majorBidi" w:cstheme="majorBidi"/>
          <w:i/>
          <w:noProof/>
        </w:rPr>
        <w:t xml:space="preserve">Human and Ecological Risk Assessment: An International Journal </w:t>
      </w:r>
      <w:r w:rsidRPr="00FB1598">
        <w:rPr>
          <w:rFonts w:asciiTheme="majorBidi" w:hAnsiTheme="majorBidi" w:cstheme="majorBidi"/>
          <w:b/>
          <w:noProof/>
        </w:rPr>
        <w:t>2016</w:t>
      </w:r>
      <w:r w:rsidRPr="00FB1598">
        <w:rPr>
          <w:rFonts w:asciiTheme="majorBidi" w:hAnsiTheme="majorBidi" w:cstheme="majorBidi"/>
          <w:noProof/>
        </w:rPr>
        <w:t xml:space="preserve">, </w:t>
      </w:r>
      <w:r w:rsidRPr="00FB1598">
        <w:rPr>
          <w:rFonts w:asciiTheme="majorBidi" w:hAnsiTheme="majorBidi" w:cstheme="majorBidi"/>
          <w:i/>
          <w:noProof/>
        </w:rPr>
        <w:t>22</w:t>
      </w:r>
      <w:r w:rsidRPr="00FB1598">
        <w:rPr>
          <w:rFonts w:asciiTheme="majorBidi" w:hAnsiTheme="majorBidi" w:cstheme="majorBidi"/>
          <w:noProof/>
        </w:rPr>
        <w:t>, 1050-1064.</w:t>
      </w:r>
    </w:p>
    <w:p w14:paraId="0CA92C4E" w14:textId="493E87A0"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Maggi, F.; la Cecilia, D.; Tang, F.H.M.; McBratney, A. The global environmental hazard of glyphosate use. </w:t>
      </w:r>
      <w:r w:rsidRPr="00FB1598">
        <w:rPr>
          <w:rFonts w:asciiTheme="majorBidi" w:hAnsiTheme="majorBidi" w:cstheme="majorBidi"/>
          <w:i/>
          <w:noProof/>
        </w:rPr>
        <w:t xml:space="preserve">Science of The Total Environment </w:t>
      </w:r>
      <w:r w:rsidRPr="00FB1598">
        <w:rPr>
          <w:rFonts w:asciiTheme="majorBidi" w:hAnsiTheme="majorBidi" w:cstheme="majorBidi"/>
          <w:b/>
          <w:noProof/>
        </w:rPr>
        <w:t>2020</w:t>
      </w:r>
      <w:r w:rsidRPr="00FB1598">
        <w:rPr>
          <w:rFonts w:asciiTheme="majorBidi" w:hAnsiTheme="majorBidi" w:cstheme="majorBidi"/>
          <w:noProof/>
        </w:rPr>
        <w:t xml:space="preserve">, </w:t>
      </w:r>
      <w:r w:rsidRPr="00FB1598">
        <w:rPr>
          <w:rFonts w:asciiTheme="majorBidi" w:hAnsiTheme="majorBidi" w:cstheme="majorBidi"/>
          <w:i/>
          <w:noProof/>
        </w:rPr>
        <w:t>717</w:t>
      </w:r>
      <w:r w:rsidRPr="00FB1598">
        <w:rPr>
          <w:rFonts w:asciiTheme="majorBidi" w:hAnsiTheme="majorBidi" w:cstheme="majorBidi"/>
          <w:noProof/>
        </w:rPr>
        <w:t>, 137167, doi:https://doi.org/10.1016/j.scitotenv.2020.137167.</w:t>
      </w:r>
    </w:p>
    <w:p w14:paraId="75450EAB" w14:textId="51969333"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Tang, F.H.M.; Lenzen, M.; McBratney, A.; Maggi, F. Risk of pesticide pollution at the global scale. </w:t>
      </w:r>
      <w:r w:rsidRPr="00FB1598">
        <w:rPr>
          <w:rFonts w:asciiTheme="majorBidi" w:hAnsiTheme="majorBidi" w:cstheme="majorBidi"/>
          <w:i/>
          <w:noProof/>
        </w:rPr>
        <w:t xml:space="preserve">Nature Geoscience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14</w:t>
      </w:r>
      <w:r w:rsidRPr="00FB1598">
        <w:rPr>
          <w:rFonts w:asciiTheme="majorBidi" w:hAnsiTheme="majorBidi" w:cstheme="majorBidi"/>
          <w:noProof/>
        </w:rPr>
        <w:t>, 206-210, doi:10.1038/s41561-021-00712-5.</w:t>
      </w:r>
    </w:p>
    <w:p w14:paraId="6A58877E" w14:textId="619CA8DB"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Tang, F.H.; Nguyen, T.H.; Conchedda, G.; Casse, L.; Tubiello, F.N.; Maggi, F. CROPGRIDS: A global geo-referenced dataset of 173 crops circa 2020. </w:t>
      </w:r>
      <w:r w:rsidRPr="00FB1598">
        <w:rPr>
          <w:rFonts w:asciiTheme="majorBidi" w:hAnsiTheme="majorBidi" w:cstheme="majorBidi"/>
          <w:i/>
          <w:noProof/>
        </w:rPr>
        <w:t xml:space="preserve">Earth System Science Data Discussions </w:t>
      </w:r>
      <w:r w:rsidRPr="00FB1598">
        <w:rPr>
          <w:rFonts w:asciiTheme="majorBidi" w:hAnsiTheme="majorBidi" w:cstheme="majorBidi"/>
          <w:b/>
          <w:noProof/>
        </w:rPr>
        <w:t>2023</w:t>
      </w:r>
      <w:r w:rsidRPr="00FB1598">
        <w:rPr>
          <w:rFonts w:asciiTheme="majorBidi" w:hAnsiTheme="majorBidi" w:cstheme="majorBidi"/>
          <w:noProof/>
        </w:rPr>
        <w:t xml:space="preserve">, </w:t>
      </w:r>
      <w:r w:rsidRPr="00FB1598">
        <w:rPr>
          <w:rFonts w:asciiTheme="majorBidi" w:hAnsiTheme="majorBidi" w:cstheme="majorBidi"/>
          <w:i/>
          <w:noProof/>
        </w:rPr>
        <w:t>2023</w:t>
      </w:r>
      <w:r w:rsidRPr="00FB1598">
        <w:rPr>
          <w:rFonts w:asciiTheme="majorBidi" w:hAnsiTheme="majorBidi" w:cstheme="majorBidi"/>
          <w:noProof/>
        </w:rPr>
        <w:t>, 1-22.</w:t>
      </w:r>
    </w:p>
    <w:p w14:paraId="77BEF2A4" w14:textId="67E34D4A"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Maggi, F.; Tang, F.H.M. Estimated decline in global earthworm population size caused by pesticide residue in soil. </w:t>
      </w:r>
      <w:r w:rsidRPr="00FB1598">
        <w:rPr>
          <w:rFonts w:asciiTheme="majorBidi" w:hAnsiTheme="majorBidi" w:cstheme="majorBidi"/>
          <w:i/>
          <w:noProof/>
        </w:rPr>
        <w:t xml:space="preserve">Soil Security </w:t>
      </w:r>
      <w:r w:rsidRPr="00FB1598">
        <w:rPr>
          <w:rFonts w:asciiTheme="majorBidi" w:hAnsiTheme="majorBidi" w:cstheme="majorBidi"/>
          <w:b/>
          <w:noProof/>
        </w:rPr>
        <w:t>2021</w:t>
      </w:r>
      <w:r w:rsidRPr="00FB1598">
        <w:rPr>
          <w:rFonts w:asciiTheme="majorBidi" w:hAnsiTheme="majorBidi" w:cstheme="majorBidi"/>
          <w:noProof/>
        </w:rPr>
        <w:t xml:space="preserve">, </w:t>
      </w:r>
      <w:r w:rsidRPr="00FB1598">
        <w:rPr>
          <w:rFonts w:asciiTheme="majorBidi" w:hAnsiTheme="majorBidi" w:cstheme="majorBidi"/>
          <w:i/>
          <w:noProof/>
        </w:rPr>
        <w:t>5</w:t>
      </w:r>
      <w:r w:rsidRPr="00FB1598">
        <w:rPr>
          <w:rFonts w:asciiTheme="majorBidi" w:hAnsiTheme="majorBidi" w:cstheme="majorBidi"/>
          <w:noProof/>
        </w:rPr>
        <w:t>, 100014, doi:https://doi.org/10.1016/j.soisec.2021.100014.</w:t>
      </w:r>
    </w:p>
    <w:p w14:paraId="5BB9C4E2" w14:textId="5AA1ECA1"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Convention on Biodiversity. Decision adopted by the Conference of the Parties to the Convention on Biodiversity: 15/4 Kunming-Montreal Global Biodiversity Framework. Available online: https://</w:t>
      </w:r>
      <w:hyperlink r:id="rId480" w:history="1">
        <w:r w:rsidRPr="00F076D0">
          <w:rPr>
            <w:rStyle w:val="Hyperlink"/>
            <w:rFonts w:asciiTheme="majorBidi" w:hAnsiTheme="majorBidi" w:cstheme="majorBidi"/>
            <w:noProof/>
          </w:rPr>
          <w:t>www.cbd.int/doc/decisions/cop-15/cop-15-dec-04-en.pdf</w:t>
        </w:r>
      </w:hyperlink>
      <w:r w:rsidRPr="00FB1598">
        <w:rPr>
          <w:rFonts w:asciiTheme="majorBidi" w:hAnsiTheme="majorBidi" w:cstheme="majorBidi"/>
          <w:noProof/>
        </w:rPr>
        <w:t xml:space="preserve"> (accessed on </w:t>
      </w:r>
    </w:p>
    <w:p w14:paraId="7936F533" w14:textId="3DC03DA7" w:rsidR="00F076D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Ayilara, M.S.; Adeleke, B.S.; Akinola, S.A.; Fayose, C.A.; Adeyemi, U.T.; Gbadegesin, L.A.; Omole, R.K.; Johnson, R.M.; Uthman, Q.O.; Babalola, O.O. Biopesticides as a promising alternative to synthetic pesticides: A case for microbial pesticides, phytopesticides, and nanobiopesticides. </w:t>
      </w:r>
      <w:r w:rsidRPr="00FB1598">
        <w:rPr>
          <w:rFonts w:asciiTheme="majorBidi" w:hAnsiTheme="majorBidi" w:cstheme="majorBidi"/>
          <w:i/>
          <w:noProof/>
        </w:rPr>
        <w:t xml:space="preserve">Frontiers in Microbiology </w:t>
      </w:r>
      <w:r w:rsidRPr="00FB1598">
        <w:rPr>
          <w:rFonts w:asciiTheme="majorBidi" w:hAnsiTheme="majorBidi" w:cstheme="majorBidi"/>
          <w:b/>
          <w:noProof/>
        </w:rPr>
        <w:t>2023</w:t>
      </w:r>
      <w:r w:rsidRPr="00FB1598">
        <w:rPr>
          <w:rFonts w:asciiTheme="majorBidi" w:hAnsiTheme="majorBidi" w:cstheme="majorBidi"/>
          <w:noProof/>
        </w:rPr>
        <w:t xml:space="preserve">, </w:t>
      </w:r>
      <w:r w:rsidRPr="00FB1598">
        <w:rPr>
          <w:rFonts w:asciiTheme="majorBidi" w:hAnsiTheme="majorBidi" w:cstheme="majorBidi"/>
          <w:i/>
          <w:noProof/>
        </w:rPr>
        <w:t>14</w:t>
      </w:r>
      <w:r w:rsidRPr="00FB1598">
        <w:rPr>
          <w:rFonts w:asciiTheme="majorBidi" w:hAnsiTheme="majorBidi" w:cstheme="majorBidi"/>
          <w:noProof/>
        </w:rPr>
        <w:t>, doi:10.3389/fmicb.2023.1040901.</w:t>
      </w:r>
    </w:p>
    <w:p w14:paraId="3837BD90" w14:textId="130A059D" w:rsidR="00697090" w:rsidRPr="00FB1598" w:rsidRDefault="00697090" w:rsidP="00181CB0">
      <w:pPr>
        <w:pStyle w:val="CBDNormalNumber"/>
        <w:numPr>
          <w:ilvl w:val="0"/>
          <w:numId w:val="0"/>
        </w:numPr>
        <w:ind w:left="567"/>
        <w:rPr>
          <w:rFonts w:asciiTheme="majorBidi" w:hAnsiTheme="majorBidi" w:cstheme="majorBidi"/>
          <w:noProof/>
        </w:rPr>
      </w:pPr>
      <w:r w:rsidRPr="00FB1598">
        <w:rPr>
          <w:rFonts w:asciiTheme="majorBidi" w:hAnsiTheme="majorBidi" w:cstheme="majorBidi"/>
          <w:noProof/>
        </w:rPr>
        <w:t xml:space="preserve">International Union of Pure and Applied Chemistry. IUPAC Pesticides Properties DataBase. Available online: https://sitem.herts.ac.uk/aeru/iupac/index.htm (accessed on </w:t>
      </w:r>
    </w:p>
    <w:p w14:paraId="550C7176" w14:textId="10A5144A" w:rsidR="00697090" w:rsidRPr="00ED7E61" w:rsidRDefault="00697090" w:rsidP="00FB1598">
      <w:pPr>
        <w:rPr>
          <w:rStyle w:val="eop"/>
          <w:rFonts w:asciiTheme="majorBidi" w:eastAsiaTheme="majorEastAsia" w:hAnsiTheme="majorBidi" w:cstheme="majorBidi"/>
          <w:sz w:val="22"/>
          <w:szCs w:val="22"/>
          <w:lang w:val="en-GB"/>
        </w:rPr>
      </w:pPr>
      <w:r w:rsidRPr="00ED7E61">
        <w:rPr>
          <w:rStyle w:val="normaltextrun"/>
          <w:rFonts w:asciiTheme="majorBidi" w:eastAsiaTheme="majorEastAsia" w:hAnsiTheme="majorBidi" w:cstheme="majorBidi"/>
          <w:b/>
          <w:bCs/>
          <w:sz w:val="22"/>
          <w:szCs w:val="22"/>
          <w:lang w:val="en-GB"/>
        </w:rPr>
        <w:fldChar w:fldCharType="end"/>
      </w:r>
      <w:bookmarkEnd w:id="51"/>
    </w:p>
    <w:p w14:paraId="040D03B9" w14:textId="77777777" w:rsidR="00697090" w:rsidRPr="00ED7E61" w:rsidRDefault="00697090" w:rsidP="00697090">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12. Graphs and diagrams </w:t>
      </w:r>
      <w:r w:rsidRPr="00ED7E61">
        <w:rPr>
          <w:rStyle w:val="eop"/>
          <w:rFonts w:asciiTheme="majorBidi" w:eastAsiaTheme="majorEastAsia" w:hAnsiTheme="majorBidi" w:cstheme="majorBidi"/>
          <w:sz w:val="22"/>
          <w:szCs w:val="22"/>
        </w:rPr>
        <w:t> </w:t>
      </w:r>
    </w:p>
    <w:p w14:paraId="02547573" w14:textId="77777777" w:rsidR="00697090" w:rsidRPr="00ED7E61" w:rsidRDefault="00697090" w:rsidP="00697090">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6249FF5C" w14:textId="77777777" w:rsidR="00697090" w:rsidRPr="00ED7E61" w:rsidRDefault="00697090">
      <w:pPr>
        <w:rPr>
          <w:rStyle w:val="normaltextrun"/>
          <w:rFonts w:asciiTheme="majorBidi" w:eastAsiaTheme="majorEastAsia" w:hAnsiTheme="majorBidi" w:cstheme="majorBidi"/>
          <w:b/>
          <w:sz w:val="28"/>
          <w:szCs w:val="28"/>
        </w:rPr>
      </w:pPr>
      <w:r w:rsidRPr="00ED7E61">
        <w:rPr>
          <w:rStyle w:val="normaltextrun"/>
        </w:rPr>
        <w:br w:type="page"/>
      </w:r>
    </w:p>
    <w:p w14:paraId="4514A4C0" w14:textId="78EE1FE1" w:rsidR="00C9506C" w:rsidRPr="00ED7E61" w:rsidRDefault="00C9506C" w:rsidP="00C9506C">
      <w:pPr>
        <w:pStyle w:val="Heading3"/>
      </w:pPr>
      <w:bookmarkStart w:id="52" w:name="_Toc178285864"/>
      <w:r w:rsidRPr="00ED7E61">
        <w:rPr>
          <w:rStyle w:val="normaltextrun"/>
        </w:rPr>
        <w:t>GBF indicator metadata: 8.b Target 8 binary indicator</w:t>
      </w:r>
      <w:bookmarkEnd w:id="52"/>
      <w:r w:rsidRPr="00ED7E61">
        <w:rPr>
          <w:rStyle w:val="normaltextrun"/>
        </w:rPr>
        <w:t xml:space="preserve">  </w:t>
      </w:r>
      <w:r w:rsidRPr="00ED7E61">
        <w:rPr>
          <w:rStyle w:val="eop"/>
        </w:rPr>
        <w:t> </w:t>
      </w:r>
    </w:p>
    <w:p w14:paraId="440138C2" w14:textId="77777777" w:rsidR="00C9506C" w:rsidRPr="00ED7E61" w:rsidRDefault="00C9506C" w:rsidP="00C9506C">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lang w:val="en-GB"/>
        </w:rPr>
      </w:pPr>
    </w:p>
    <w:p w14:paraId="7DEB509A"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b/>
          <w:bCs/>
          <w:sz w:val="22"/>
          <w:szCs w:val="22"/>
        </w:rPr>
        <w:t>Full Indicator Name</w:t>
      </w:r>
    </w:p>
    <w:p w14:paraId="1787D3B1" w14:textId="234DBA75"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color w:val="000000" w:themeColor="text1"/>
          <w:sz w:val="22"/>
          <w:szCs w:val="22"/>
          <w:lang w:val="en-GB"/>
        </w:rPr>
        <w:t>Number of countries with policies to minimize the impact of climate change and ocean acidification on biodiversity and to minimize negative and foster positive impacts of climate action on biodiversity.</w:t>
      </w:r>
    </w:p>
    <w:p w14:paraId="50D0FA2D" w14:textId="77777777" w:rsidR="00C9506C" w:rsidRPr="00ED7E61" w:rsidRDefault="00C9506C" w:rsidP="00C9506C">
      <w:pPr>
        <w:jc w:val="both"/>
        <w:rPr>
          <w:rFonts w:asciiTheme="majorBidi" w:hAnsiTheme="majorBidi" w:cstheme="majorBidi"/>
          <w:sz w:val="22"/>
          <w:szCs w:val="22"/>
        </w:rPr>
      </w:pPr>
    </w:p>
    <w:p w14:paraId="7C1A781F" w14:textId="28080B23"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1E7F2D0F" w14:textId="77777777" w:rsidR="00C9506C" w:rsidRPr="00ED7E61" w:rsidRDefault="00C9506C" w:rsidP="00C9506C">
      <w:pPr>
        <w:jc w:val="both"/>
        <w:rPr>
          <w:rFonts w:asciiTheme="majorBidi" w:hAnsiTheme="majorBidi" w:cstheme="majorBidi"/>
          <w:b/>
          <w:bCs/>
          <w:sz w:val="22"/>
          <w:szCs w:val="22"/>
        </w:rPr>
      </w:pPr>
    </w:p>
    <w:p w14:paraId="0FF04C3A"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10A91441"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color w:val="242424"/>
          <w:sz w:val="22"/>
          <w:szCs w:val="22"/>
        </w:rPr>
        <w:t>N/A</w:t>
      </w:r>
    </w:p>
    <w:p w14:paraId="417ACA85" w14:textId="77777777" w:rsidR="00C9506C" w:rsidRPr="00ED7E61" w:rsidRDefault="00C9506C" w:rsidP="00C9506C">
      <w:pPr>
        <w:jc w:val="both"/>
        <w:rPr>
          <w:rFonts w:asciiTheme="majorBidi" w:hAnsiTheme="majorBidi" w:cstheme="majorBidi"/>
          <w:sz w:val="22"/>
          <w:szCs w:val="22"/>
        </w:rPr>
      </w:pPr>
    </w:p>
    <w:p w14:paraId="1EB8200B"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Target</w:t>
      </w:r>
    </w:p>
    <w:p w14:paraId="0043570B" w14:textId="06DC2C0E"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sz w:val="22"/>
          <w:szCs w:val="22"/>
        </w:rPr>
        <w:t>Binary indicator for Target 8. Minimize the impact of climate change and ocean acidification on biodiversity and increase its resilience through mitigation, adaptation, and disaster risk reduction actions, including through nature-based solutions and/or ecosystem-based approaches, while minimizing negative and fostering positive impacts of climate action on biodiversity.</w:t>
      </w:r>
    </w:p>
    <w:p w14:paraId="326F0302" w14:textId="77777777" w:rsidR="00C9506C" w:rsidRPr="00ED7E61" w:rsidRDefault="00C9506C" w:rsidP="00181CB0">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081B525C" w14:textId="2C61C8CF" w:rsidR="006233E3" w:rsidRPr="00ED7E61" w:rsidRDefault="00C9506C" w:rsidP="00B10F0C">
      <w:pPr>
        <w:pStyle w:val="CBDNormalNumber"/>
        <w:numPr>
          <w:ilvl w:val="0"/>
          <w:numId w:val="78"/>
        </w:numPr>
        <w:tabs>
          <w:tab w:val="clear" w:pos="1701"/>
        </w:tabs>
        <w:ind w:left="567" w:hanging="24"/>
        <w:rPr>
          <w:rFonts w:asciiTheme="majorBidi" w:hAnsiTheme="majorBidi" w:cstheme="majorBidi"/>
        </w:rPr>
      </w:pPr>
      <w:r w:rsidRPr="00ED7E61">
        <w:t>Climate</w:t>
      </w:r>
      <w:r w:rsidRPr="00ED7E61">
        <w:rPr>
          <w:rFonts w:asciiTheme="majorBidi" w:hAnsiTheme="majorBidi" w:cstheme="majorBidi"/>
        </w:rPr>
        <w:t xml:space="preserve"> change is one of the main direct drivers of biodiversity loss. In addition to climate change, rising atmospheric carbon dioxide concentrations have also resulted in ocean acidification. Seawater pH can be further reduced by other processes, such as the decomposition of organic material, aspects of nitrogen cycling and inputs of acidic pollutants. Various mitigation, adaptation and disaster risk reduction measures, including nature-based solutions and/or ecosystem-based approaches, have the potential to increase the resilience of ecosystems and human livelihoods to the impacts of climate change and ocean acidification, including reducing emissions from deforestation and other land-use changes, managing inputs of organic material and nutrients to the marine environment and by enhancing natural carbon sinks. These approaches can also deliver numerous social, economic and environmental co-benefits. </w:t>
      </w:r>
    </w:p>
    <w:p w14:paraId="4395FFCE" w14:textId="2D0560AE" w:rsidR="00C9506C" w:rsidRPr="00181CB0" w:rsidRDefault="00C9506C" w:rsidP="00B10F0C">
      <w:pPr>
        <w:pStyle w:val="CBDNormalNumber"/>
        <w:numPr>
          <w:ilvl w:val="0"/>
          <w:numId w:val="78"/>
        </w:numPr>
        <w:ind w:left="567" w:firstLine="0"/>
      </w:pPr>
      <w:r w:rsidRPr="00ED7E61">
        <w:t xml:space="preserve">However, while some climate actions have demonstrated beneficial effects on biodiversity (e.g. increased habitat availability from tree planting or mangrove and seagrass restoration) others </w:t>
      </w:r>
      <w:r w:rsidR="002973AF">
        <w:t>can</w:t>
      </w:r>
      <w:r w:rsidR="002973AF" w:rsidRPr="00ED7E61">
        <w:t xml:space="preserve"> </w:t>
      </w:r>
      <w:r w:rsidRPr="00ED7E61">
        <w:t xml:space="preserve">have strongly negative effects (e.g. terrestrial or deep-sea mining for rare metals currently used in electric batteries). </w:t>
      </w:r>
      <w:r w:rsidR="002973AF">
        <w:t>S</w:t>
      </w:r>
      <w:r w:rsidRPr="00ED7E61">
        <w:t xml:space="preserve">ome proposed climate mitigation strategies, such as marine Carbon Dioxide Removal (mCDR), </w:t>
      </w:r>
      <w:r w:rsidR="002973AF">
        <w:t xml:space="preserve">also </w:t>
      </w:r>
      <w:r w:rsidRPr="00ED7E61">
        <w:t>have the potential to exacerbate the scale and rate of ocean acidification. Therefore, it is important to ensure that negative impacts of climate action on biodiversity are avoided as much as possible whilst positive impacts are promoted. Therefore, policies to fight climate change and ocean acidification must be considerate of biodiversity. As such, this indicator tracks progress towards the national implementation of policies that reduce the impact of climate change and ocean acidification on biodiversity whilst minimizing negative impacts and fostering positive impacts of climate action on biodiversity.</w:t>
      </w:r>
    </w:p>
    <w:p w14:paraId="068ECB74" w14:textId="28375BBD"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Definitions Concepts And Classifications</w:t>
      </w:r>
    </w:p>
    <w:p w14:paraId="2F1FDF1C" w14:textId="77777777" w:rsidR="00C9506C" w:rsidRPr="00ED7E61" w:rsidRDefault="00C9506C" w:rsidP="00181CB0">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74BEF0F6" w14:textId="77777777"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Adaptation: Adjustment in natural or human systems in response to actual or expected climatic stimuli or their effects, which moderates harm or exploits beneficial opportunities.</w:t>
      </w:r>
    </w:p>
    <w:p w14:paraId="5C2F0B9F" w14:textId="77777777"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Mitigation: A human intervention to reduce the drivers of climate change and ocean acidification, or enhance the sinks of greenhouse gases.</w:t>
      </w:r>
    </w:p>
    <w:p w14:paraId="13DDAF27" w14:textId="77777777"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Disaster risk reduction: The concept and practice of reducing disaster risks through systematic efforts to analyze and manage the causal factors of disasters, including through reduced exposure to hazards, lessened vulnerability of people and property, evidence-based management of land and the environment, and improved preparedness for adverse events.</w:t>
      </w:r>
    </w:p>
    <w:p w14:paraId="3A951D39" w14:textId="092ADEF2"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 xml:space="preserve">Climate change:  The United Nations Framework Convention on Climate Change (UNFCCC), in its Article 1, defines climate change as: </w:t>
      </w:r>
      <w:r w:rsidR="00ED3992">
        <w:rPr>
          <w:rFonts w:asciiTheme="majorBidi" w:hAnsiTheme="majorBidi" w:cstheme="majorBidi"/>
        </w:rPr>
        <w:t>“</w:t>
      </w:r>
      <w:r w:rsidRPr="00FB1598">
        <w:rPr>
          <w:rFonts w:asciiTheme="majorBidi" w:hAnsiTheme="majorBidi" w:cstheme="majorBidi"/>
          <w:i/>
          <w:iCs/>
        </w:rPr>
        <w:t>a change of climate which is attributed directly or indirectly to human activity that alters the composition of the global atmosphere and which is in addition to natural climate variability observed over comparable time periods</w:t>
      </w:r>
      <w:r w:rsidR="00ED3992">
        <w:rPr>
          <w:rFonts w:asciiTheme="majorBidi" w:hAnsiTheme="majorBidi" w:cstheme="majorBidi"/>
        </w:rPr>
        <w:t>”</w:t>
      </w:r>
      <w:r w:rsidRPr="00ED7E61">
        <w:rPr>
          <w:rFonts w:asciiTheme="majorBidi" w:hAnsiTheme="majorBidi" w:cstheme="majorBidi"/>
        </w:rPr>
        <w:t xml:space="preserve">. </w:t>
      </w:r>
    </w:p>
    <w:p w14:paraId="058ED413" w14:textId="77777777"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 xml:space="preserve">Ocean acidification: Ongoing reduction in the pH of the ocean, caused primarily by the uptake of carbon dioxide (CO2) from the atmosphere, but can also be exacerbated by local processes, such as the decomposition of organic material, microbial processes involved in nitrogen cycling and acidic wastewater discharge. </w:t>
      </w:r>
    </w:p>
    <w:p w14:paraId="536A9180" w14:textId="77777777"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Minimize the impact of climate change and ocean acidification on biodiversity: This requires action to reduce the severity and rate of climate change and ocean acidification by reducing greenhouse gas emissions and managing any additional local factors or drivers. It also requires action to increase the resilience to, or reduce the sensitivity of, biodiversity to the effects of climate change and ocean acidification. These actions may include nature-based solutions and ecosystem-based approaches, as well as considerations such as the siting of protected and conserved areas and species recovery programmes to take into account climate change and ocean acidification.</w:t>
      </w:r>
    </w:p>
    <w:p w14:paraId="3A5CC8F9" w14:textId="77777777"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Minimizing negative and fostering positive impacts of climate action on biodiversity: While efforts and activities to address climate change could have the potential to generate significant positive impacts on biodiversity and those dependent on it, they could also unintentionally result in negative impacts if they are not appropriately designed and implemented. The potential benefits for, and risks to, biodiversity from specific climate actions should be assessed and understood prior to implementation. Once implemented, climate action should include effective monitoring, reporting and verification procedures. Taking into consideration biodiversity when designing, implementing and monitoring climate change adaptation and mitigation activities, can both deliver multiple benefits, and also contribute to avoiding negative impacts of the activities on biodiversity and ecosystems.</w:t>
      </w:r>
    </w:p>
    <w:p w14:paraId="1496BA66" w14:textId="77777777"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Climate action: Climate action refers to efforts taken to combat climate change and its impacts. These efforts include, but are not limited to, reducing greenhouse gas emissions to the atmosphere, reducing concentrations of greenhouse gasses in the atmosphere or ocean (reversing the associated effects of greenhouse gases (e.g. by enhancing ocean alkalinity), and/or taking action to build resilience or promote adaptation.</w:t>
      </w:r>
    </w:p>
    <w:p w14:paraId="75798889" w14:textId="4CB79333"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Resilience: The capacity of a system to absorb disturbance and reorganize while undergoing change so as to still retain essentially the same function, structure, identity, and feedbacks (Walker et al. 2004). A concept initially developed and applied in ecology, which progressively gained usage in the social and environmental sciences.</w:t>
      </w:r>
    </w:p>
    <w:p w14:paraId="6B2BF3C6" w14:textId="035EFC74" w:rsidR="00C9506C" w:rsidRPr="00181CB0"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1033E9FE" w14:textId="5E6C8699"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This indicator is a binary indicator and must be compiled from the answers to nine questions:</w:t>
      </w:r>
    </w:p>
    <w:p w14:paraId="6BF0F5C7" w14:textId="5D87D683"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8.1 Does your country’s national biodiversity strategy and action plan include actions to prevent or minimize the impacts of the following (select all that apply)</w:t>
      </w:r>
    </w:p>
    <w:p w14:paraId="417628B7" w14:textId="170035B3"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8.2 Do your country’s climate change policies address the impacts of climate change on biodiversity?</w:t>
      </w:r>
    </w:p>
    <w:p w14:paraId="6DE48084" w14:textId="688A6042"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8.3 Do your country’s other policies address the impacts of climate change on biodiversity? </w:t>
      </w:r>
    </w:p>
    <w:p w14:paraId="531792C4" w14:textId="333FF6A8" w:rsidR="006233E3"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8.4 Do your country’s other policies address the impacts of ocean acidification on biodiversity?</w:t>
      </w:r>
    </w:p>
    <w:p w14:paraId="1FEC7ECC" w14:textId="390753B9" w:rsidR="006233E3"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rFonts w:asciiTheme="majorBidi" w:hAnsiTheme="majorBidi" w:cstheme="majorBidi"/>
          <w:color w:val="000000"/>
          <w:shd w:val="clear" w:color="auto" w:fill="FFFFFF"/>
        </w:rPr>
      </w:pPr>
      <w:r w:rsidRPr="00ED7E61">
        <w:t xml:space="preserve">8.5 </w:t>
      </w:r>
      <w:r w:rsidRPr="00ED7E61">
        <w:rPr>
          <w:rStyle w:val="normaltextrun"/>
          <w:rFonts w:asciiTheme="majorBidi" w:hAnsiTheme="majorBidi"/>
          <w:color w:val="000000"/>
          <w:shd w:val="clear" w:color="auto" w:fill="FFFFFF"/>
        </w:rPr>
        <w:t xml:space="preserve">Are </w:t>
      </w:r>
      <w:r w:rsidRPr="00ED7E61">
        <w:rPr>
          <w:rStyle w:val="normaltextrun"/>
          <w:rFonts w:asciiTheme="majorBidi" w:hAnsiTheme="majorBidi" w:cstheme="majorBidi"/>
          <w:color w:val="000000" w:themeColor="text1"/>
        </w:rPr>
        <w:t>the impacts of climate</w:t>
      </w:r>
      <w:r w:rsidRPr="00ED7E61">
        <w:rPr>
          <w:rStyle w:val="normaltextrun"/>
          <w:rFonts w:asciiTheme="majorBidi" w:hAnsiTheme="majorBidi"/>
          <w:color w:val="000000" w:themeColor="text1"/>
        </w:rPr>
        <w:t xml:space="preserve"> change </w:t>
      </w:r>
      <w:r w:rsidRPr="00ED7E61">
        <w:rPr>
          <w:rStyle w:val="normaltextrun"/>
          <w:rFonts w:asciiTheme="majorBidi" w:hAnsiTheme="majorBidi"/>
          <w:color w:val="000000"/>
          <w:shd w:val="clear" w:color="auto" w:fill="FFFFFF"/>
        </w:rPr>
        <w:t>on biodiversity</w:t>
      </w:r>
      <w:r w:rsidRPr="00ED7E61">
        <w:rPr>
          <w:rStyle w:val="normaltextrun"/>
          <w:rFonts w:asciiTheme="majorBidi" w:hAnsiTheme="majorBidi" w:cstheme="majorBidi"/>
          <w:color w:val="000000"/>
          <w:shd w:val="clear" w:color="auto" w:fill="FFFFFF"/>
        </w:rPr>
        <w:t xml:space="preserve"> monitored and reported on?</w:t>
      </w:r>
    </w:p>
    <w:p w14:paraId="4512476A" w14:textId="41894312" w:rsidR="006233E3"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rFonts w:asciiTheme="majorBidi" w:hAnsiTheme="majorBidi" w:cstheme="majorBidi"/>
          <w:color w:val="000000"/>
          <w:shd w:val="clear" w:color="auto" w:fill="FFFFFF"/>
        </w:rPr>
      </w:pPr>
      <w:r w:rsidRPr="00ED7E61">
        <w:rPr>
          <w:lang w:val="en-US"/>
        </w:rPr>
        <w:t xml:space="preserve">8.6 </w:t>
      </w:r>
      <w:r w:rsidRPr="00ED7E61">
        <w:rPr>
          <w:rStyle w:val="normaltextrun"/>
          <w:rFonts w:asciiTheme="majorBidi" w:hAnsiTheme="majorBidi"/>
          <w:color w:val="000000"/>
          <w:shd w:val="clear" w:color="auto" w:fill="FFFFFF"/>
        </w:rPr>
        <w:t xml:space="preserve">Are </w:t>
      </w:r>
      <w:r w:rsidRPr="00ED7E61">
        <w:rPr>
          <w:rStyle w:val="normaltextrun"/>
          <w:rFonts w:asciiTheme="majorBidi" w:hAnsiTheme="majorBidi" w:cstheme="majorBidi"/>
          <w:color w:val="000000" w:themeColor="text1"/>
        </w:rPr>
        <w:t>the impacts of ocean acidification</w:t>
      </w:r>
      <w:r w:rsidRPr="00ED7E61">
        <w:rPr>
          <w:rStyle w:val="normaltextrun"/>
          <w:rFonts w:asciiTheme="majorBidi" w:hAnsiTheme="majorBidi"/>
          <w:color w:val="000000" w:themeColor="text1"/>
        </w:rPr>
        <w:t xml:space="preserve"> </w:t>
      </w:r>
      <w:r w:rsidRPr="00ED7E61">
        <w:rPr>
          <w:rStyle w:val="normaltextrun"/>
          <w:rFonts w:asciiTheme="majorBidi" w:hAnsiTheme="majorBidi"/>
          <w:color w:val="000000"/>
          <w:shd w:val="clear" w:color="auto" w:fill="FFFFFF"/>
        </w:rPr>
        <w:t>on biodiversity</w:t>
      </w:r>
      <w:r w:rsidRPr="00ED7E61">
        <w:rPr>
          <w:rStyle w:val="normaltextrun"/>
          <w:rFonts w:asciiTheme="majorBidi" w:hAnsiTheme="majorBidi" w:cstheme="majorBidi"/>
          <w:color w:val="000000"/>
          <w:shd w:val="clear" w:color="auto" w:fill="FFFFFF"/>
        </w:rPr>
        <w:t xml:space="preserve"> monitored and reported on?</w:t>
      </w:r>
    </w:p>
    <w:p w14:paraId="1AF34966" w14:textId="69291CC8" w:rsidR="006233E3"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rFonts w:asciiTheme="majorBidi" w:hAnsiTheme="majorBidi" w:cstheme="majorBidi"/>
          <w:color w:val="000000"/>
          <w:shd w:val="clear" w:color="auto" w:fill="FFFFFF"/>
        </w:rPr>
      </w:pPr>
      <w:r w:rsidRPr="00ED7E61">
        <w:rPr>
          <w:rStyle w:val="normaltextrun"/>
          <w:rFonts w:asciiTheme="majorBidi" w:hAnsiTheme="majorBidi" w:cstheme="majorBidi"/>
          <w:color w:val="000000"/>
          <w:shd w:val="clear" w:color="auto" w:fill="FFFFFF"/>
        </w:rPr>
        <w:t xml:space="preserve">8.7 </w:t>
      </w:r>
      <w:r w:rsidRPr="00ED7E61">
        <w:rPr>
          <w:rStyle w:val="normaltextrun"/>
          <w:rFonts w:asciiTheme="majorBidi" w:hAnsiTheme="majorBidi" w:cstheme="majorBidi"/>
        </w:rPr>
        <w:t xml:space="preserve">Do your country’s policies or action plans </w:t>
      </w:r>
      <w:r w:rsidRPr="00ED7E61">
        <w:rPr>
          <w:rStyle w:val="normaltextrun"/>
          <w:rFonts w:asciiTheme="majorBidi" w:hAnsiTheme="majorBidi"/>
          <w:color w:val="000000" w:themeColor="text1"/>
        </w:rPr>
        <w:t xml:space="preserve">on the impact of climate change and ocean acidification </w:t>
      </w:r>
      <w:r w:rsidRPr="00ED7E61">
        <w:rPr>
          <w:rStyle w:val="normaltextrun"/>
          <w:rFonts w:asciiTheme="majorBidi" w:hAnsiTheme="majorBidi" w:cstheme="majorBidi"/>
        </w:rPr>
        <w:t>contain the following types of actions designed to increase biodiversity resilience or reduce impacts (s</w:t>
      </w:r>
      <w:r w:rsidRPr="00ED7E61">
        <w:rPr>
          <w:rStyle w:val="normaltextrun"/>
          <w:rFonts w:asciiTheme="majorBidi" w:hAnsiTheme="majorBidi" w:cstheme="majorBidi"/>
          <w:color w:val="000000"/>
          <w:shd w:val="clear" w:color="auto" w:fill="FFFFFF"/>
        </w:rPr>
        <w:t>elect all that apply)</w:t>
      </w:r>
    </w:p>
    <w:p w14:paraId="782F1FBD" w14:textId="63A269A6" w:rsidR="006233E3"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rFonts w:asciiTheme="majorBidi" w:hAnsiTheme="majorBidi" w:cstheme="majorBidi"/>
          <w:color w:val="000000" w:themeColor="text1"/>
        </w:rPr>
      </w:pPr>
      <w:r w:rsidRPr="00ED7E61">
        <w:rPr>
          <w:rStyle w:val="normaltextrun"/>
          <w:rFonts w:asciiTheme="majorBidi" w:hAnsiTheme="majorBidi" w:cstheme="majorBidi"/>
          <w:color w:val="000000"/>
          <w:shd w:val="clear" w:color="auto" w:fill="FFFFFF"/>
        </w:rPr>
        <w:t xml:space="preserve">8.8 </w:t>
      </w:r>
      <w:r w:rsidRPr="00ED7E61">
        <w:rPr>
          <w:rStyle w:val="normaltextrun"/>
          <w:rFonts w:asciiTheme="majorBidi" w:hAnsiTheme="majorBidi" w:cstheme="majorBidi"/>
          <w:color w:val="000000" w:themeColor="text1"/>
        </w:rPr>
        <w:t>Are measures included in your country’s policies or actions plans to minimize the negative impacts of climate actions on biodiversity?</w:t>
      </w:r>
    </w:p>
    <w:p w14:paraId="12F2075E" w14:textId="09E73270"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lang w:val="en-US"/>
        </w:rPr>
      </w:pPr>
      <w:r w:rsidRPr="00ED7E61">
        <w:rPr>
          <w:rStyle w:val="normaltextrun"/>
          <w:rFonts w:asciiTheme="majorBidi" w:hAnsiTheme="majorBidi" w:cstheme="majorBidi"/>
          <w:color w:val="000000" w:themeColor="text1"/>
        </w:rPr>
        <w:t>8.9 Are measures included in your country’s policies or actions plans to foster positive impacts of climate actions on biodiversity?</w:t>
      </w:r>
    </w:p>
    <w:p w14:paraId="35B1B241" w14:textId="4E59FB50"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There are three possible answers to question 8.1</w:t>
      </w:r>
      <w:r w:rsidR="006233E3" w:rsidRPr="00ED7E61">
        <w:rPr>
          <w:rStyle w:val="FootnoteReference"/>
          <w:rFonts w:asciiTheme="majorBidi" w:hAnsiTheme="majorBidi" w:cstheme="majorBidi"/>
        </w:rPr>
        <w:footnoteReference w:id="41"/>
      </w:r>
      <w:r w:rsidRPr="00ED7E61">
        <w:rPr>
          <w:rFonts w:asciiTheme="majorBidi" w:hAnsiTheme="majorBidi" w:cstheme="majorBidi"/>
        </w:rPr>
        <w:t>:</w:t>
      </w:r>
    </w:p>
    <w:p w14:paraId="7D104293"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color w:val="000000"/>
          <w:shd w:val="clear" w:color="auto" w:fill="FFFFFF"/>
        </w:rPr>
      </w:pPr>
      <w:r w:rsidRPr="00ED7E61">
        <w:rPr>
          <w:rStyle w:val="normaltextrun"/>
          <w:color w:val="000000"/>
          <w:shd w:val="clear" w:color="auto" w:fill="FFFFFF"/>
        </w:rPr>
        <w:t>Climate change</w:t>
      </w:r>
    </w:p>
    <w:p w14:paraId="73D6EEDF"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color w:val="000000"/>
          <w:shd w:val="clear" w:color="auto" w:fill="FFFFFF"/>
        </w:rPr>
      </w:pPr>
      <w:r w:rsidRPr="00ED7E61">
        <w:rPr>
          <w:rStyle w:val="normaltextrun"/>
          <w:color w:val="000000"/>
          <w:shd w:val="clear" w:color="auto" w:fill="FFFFFF"/>
        </w:rPr>
        <w:t>Ocean acidification</w:t>
      </w:r>
    </w:p>
    <w:p w14:paraId="1796C964"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color w:val="000000"/>
          <w:shd w:val="clear" w:color="auto" w:fill="FFFFFF"/>
        </w:rPr>
      </w:pPr>
      <w:r w:rsidRPr="00ED7E61">
        <w:rPr>
          <w:rStyle w:val="normaltextrun"/>
          <w:color w:val="000000"/>
          <w:shd w:val="clear" w:color="auto" w:fill="FFFFFF"/>
        </w:rPr>
        <w:t>None of the above</w:t>
      </w:r>
    </w:p>
    <w:p w14:paraId="5F2552B2" w14:textId="47D8D878"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Each of the answers here is to be chosen using a “</w:t>
      </w:r>
      <w:r w:rsidRPr="00FB1598">
        <w:rPr>
          <w:rFonts w:asciiTheme="majorBidi" w:hAnsiTheme="majorBidi" w:cstheme="majorBidi"/>
          <w:i/>
          <w:iCs/>
        </w:rPr>
        <w:t>select all that apply</w:t>
      </w:r>
      <w:r w:rsidRPr="00ED7E61">
        <w:rPr>
          <w:rFonts w:asciiTheme="majorBidi" w:hAnsiTheme="majorBidi" w:cstheme="majorBidi"/>
        </w:rPr>
        <w:t>” approach. Namely, if a country’s national biodiversity strategy and action plan (NBSAP) includes actions to prevent or minimize the impact of climate change and/or ocean acidification then select the option to which these apply. In other words, select each option for which the answer to 8.1 is “</w:t>
      </w:r>
      <w:r w:rsidRPr="00FB1598">
        <w:rPr>
          <w:rFonts w:asciiTheme="majorBidi" w:hAnsiTheme="majorBidi" w:cstheme="majorBidi"/>
          <w:i/>
          <w:iCs/>
        </w:rPr>
        <w:t>Yes</w:t>
      </w:r>
      <w:r w:rsidRPr="00ED7E61">
        <w:rPr>
          <w:rFonts w:asciiTheme="majorBidi" w:hAnsiTheme="majorBidi" w:cstheme="majorBidi"/>
        </w:rPr>
        <w:t>”. If the NBSAP does not include actions to prevent or minimize the impact of neither climate change nor ocean acidification select “</w:t>
      </w:r>
      <w:r w:rsidRPr="00FB1598">
        <w:rPr>
          <w:rFonts w:asciiTheme="majorBidi" w:hAnsiTheme="majorBidi" w:cstheme="majorBidi"/>
          <w:i/>
          <w:iCs/>
        </w:rPr>
        <w:t>None of the above</w:t>
      </w:r>
      <w:r w:rsidRPr="00ED7E61">
        <w:rPr>
          <w:rFonts w:asciiTheme="majorBidi" w:hAnsiTheme="majorBidi" w:cstheme="majorBidi"/>
        </w:rPr>
        <w:t>”. In this question, it is understood that an NBSAP exists, it has been adopted and it meets the criteria for 8.1. Note that if a country is landlocked, answer (b) is deemed not applicable.</w:t>
      </w:r>
    </w:p>
    <w:p w14:paraId="49001676" w14:textId="52FC7D61" w:rsidR="00C9506C" w:rsidRPr="00ED7E61" w:rsidRDefault="00C9506C" w:rsidP="00B10F0C">
      <w:pPr>
        <w:pStyle w:val="CBDNormalNumber"/>
        <w:numPr>
          <w:ilvl w:val="0"/>
          <w:numId w:val="78"/>
        </w:numPr>
        <w:ind w:left="567" w:firstLine="0"/>
        <w:rPr>
          <w:rFonts w:asciiTheme="majorBidi" w:hAnsiTheme="majorBidi" w:cstheme="majorBidi"/>
        </w:rPr>
      </w:pPr>
      <w:r w:rsidRPr="00ED7E61">
        <w:rPr>
          <w:rFonts w:asciiTheme="majorBidi" w:hAnsiTheme="majorBidi" w:cstheme="majorBidi"/>
        </w:rPr>
        <w:t>There are four possible answers to questions 8.2, 8.3, 8.4, 8.5, 8.6, 8.8 and 8.9</w:t>
      </w:r>
      <w:r w:rsidR="006233E3" w:rsidRPr="00ED7E61">
        <w:rPr>
          <w:rStyle w:val="FootnoteReference"/>
          <w:rFonts w:asciiTheme="majorBidi" w:hAnsiTheme="majorBidi" w:cstheme="majorBidi"/>
        </w:rPr>
        <w:footnoteReference w:id="42"/>
      </w:r>
      <w:r w:rsidRPr="00ED7E61">
        <w:rPr>
          <w:rFonts w:asciiTheme="majorBidi" w:hAnsiTheme="majorBidi" w:cstheme="majorBidi"/>
        </w:rPr>
        <w:t>:</w:t>
      </w:r>
    </w:p>
    <w:p w14:paraId="236A940C"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No</w:t>
      </w:r>
    </w:p>
    <w:p w14:paraId="4ABE4868" w14:textId="3B62C21D"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Under development</w:t>
      </w:r>
    </w:p>
    <w:p w14:paraId="00EC9288" w14:textId="56BD9E23"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Partially</w:t>
      </w:r>
    </w:p>
    <w:p w14:paraId="0EBE093B" w14:textId="4368891E"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Fully</w:t>
      </w:r>
    </w:p>
    <w:p w14:paraId="3D08276B" w14:textId="15AA6E87" w:rsidR="00C9506C" w:rsidRPr="00ED7E61" w:rsidRDefault="00C9506C" w:rsidP="00B10F0C">
      <w:pPr>
        <w:pStyle w:val="CBDNormalNumber"/>
        <w:numPr>
          <w:ilvl w:val="0"/>
          <w:numId w:val="78"/>
        </w:numPr>
        <w:ind w:left="567" w:firstLine="0"/>
        <w:rPr>
          <w:rFonts w:asciiTheme="majorBidi" w:hAnsiTheme="majorBidi" w:cstheme="majorBidi"/>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No</w:t>
      </w:r>
      <w:r w:rsidRPr="00ED7E61">
        <w:rPr>
          <w:rFonts w:asciiTheme="majorBidi" w:hAnsiTheme="majorBidi" w:cstheme="majorBidi"/>
          <w:color w:val="000000"/>
          <w:lang w:val="en-US"/>
        </w:rPr>
        <w:t xml:space="preserve">” answer implies that there is no mention nor consideration of the impacts of climate change on biodiversity in national policies on climate change (8.2) nor any consideration of the impacts of climate change (8.3) nor ocean acidification (8.4) on biodiversity in any other national policy. Current policy on climate change or other may be at any level of implementation (from draft to law) yet it fails to specifically address impacts on biodiversity. Additionally, no monitoring of the impacts of climate change (8.5) nor ocean acidification (8.6) on biodiversity is ongoing. Moreover, no </w:t>
      </w:r>
      <w:r w:rsidRPr="00ED7E61">
        <w:rPr>
          <w:rFonts w:asciiTheme="majorBidi" w:eastAsia="Garamond" w:hAnsiTheme="majorBidi" w:cstheme="majorBidi"/>
          <w:color w:val="000000" w:themeColor="text1"/>
        </w:rPr>
        <w:t>measures are included in national policies nor action plans to minimize negative impacts (8.8) and foster positive impacts (8.9) of climate actions on biodiversity.</w:t>
      </w:r>
    </w:p>
    <w:p w14:paraId="48DDCFD2" w14:textId="4C805DE7" w:rsidR="00C9506C" w:rsidRPr="00ED7E61" w:rsidRDefault="00C9506C" w:rsidP="00B10F0C">
      <w:pPr>
        <w:pStyle w:val="CBDNormalNumber"/>
        <w:numPr>
          <w:ilvl w:val="0"/>
          <w:numId w:val="78"/>
        </w:numPr>
        <w:ind w:left="567" w:firstLine="0"/>
        <w:rPr>
          <w:rFonts w:asciiTheme="majorBidi" w:hAnsiTheme="majorBidi" w:cstheme="majorBidi"/>
          <w:color w:val="000000" w:themeColor="text1"/>
          <w:lang w:val="en-US"/>
        </w:rPr>
      </w:pPr>
      <w:r w:rsidRPr="00ED7E61">
        <w:rPr>
          <w:rFonts w:asciiTheme="majorBidi" w:hAnsiTheme="majorBidi" w:cstheme="majorBidi"/>
          <w:color w:val="000000"/>
          <w:lang w:val="en-US"/>
        </w:rPr>
        <w:t>An “</w:t>
      </w:r>
      <w:r w:rsidRPr="00FB1598">
        <w:rPr>
          <w:rFonts w:asciiTheme="majorBidi" w:hAnsiTheme="majorBidi" w:cstheme="majorBidi"/>
          <w:i/>
          <w:iCs/>
          <w:color w:val="000000"/>
          <w:lang w:val="en-US"/>
        </w:rPr>
        <w:t>Under development</w:t>
      </w:r>
      <w:r w:rsidRPr="00ED7E61">
        <w:rPr>
          <w:rFonts w:asciiTheme="majorBidi" w:hAnsiTheme="majorBidi" w:cstheme="majorBidi"/>
          <w:color w:val="000000"/>
          <w:lang w:val="en-US"/>
        </w:rPr>
        <w:t xml:space="preserve">” answer implies a concerted effort at the national level to include the impacts of climate change on biodiversity in climate (8.2) and other policy (8.3), to include the impacts of ocean acidification on biodiversity in policy (8.4), to start monitoring and reporting on these impacts (8.5 and 8.6) or to put measures in place </w:t>
      </w:r>
      <w:r w:rsidRPr="00ED7E61">
        <w:rPr>
          <w:rFonts w:asciiTheme="majorBidi" w:eastAsia="Garamond" w:hAnsiTheme="majorBidi" w:cstheme="majorBidi"/>
          <w:color w:val="000000" w:themeColor="text1"/>
        </w:rPr>
        <w:t>to minimize negative impacts (8.8) and foster positive impacts (8.9) of climate actions on biodiversity</w:t>
      </w:r>
      <w:r w:rsidRPr="00ED7E61">
        <w:rPr>
          <w:rFonts w:asciiTheme="majorBidi" w:hAnsiTheme="majorBidi" w:cstheme="majorBidi"/>
          <w:color w:val="000000"/>
          <w:lang w:val="en-US"/>
        </w:rPr>
        <w:t>. New climate or other policy drafts including biodiversity, or amendments to current policy to include biodiversity, may have been proposed, but these have not been accepted nor implemented yet. Additionally, monitoring programs and reporting systems may be in the design phase or be completed and accepted but not resourced, and therefore have not begun. Finally, new measures to account for biodiversity in climate action may have been designed and/or proposed but not yet implemented.</w:t>
      </w:r>
    </w:p>
    <w:p w14:paraId="770D17C3" w14:textId="78613FBB" w:rsidR="00C9506C" w:rsidRPr="00ED7E61" w:rsidRDefault="00C9506C" w:rsidP="00B10F0C">
      <w:pPr>
        <w:pStyle w:val="CBDNormalNumber"/>
        <w:numPr>
          <w:ilvl w:val="0"/>
          <w:numId w:val="78"/>
        </w:numPr>
        <w:ind w:left="567" w:firstLine="0"/>
        <w:rPr>
          <w:rFonts w:asciiTheme="majorBidi" w:hAnsiTheme="majorBidi" w:cstheme="majorBidi"/>
          <w:color w:val="000000"/>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Partially</w:t>
      </w:r>
      <w:r w:rsidRPr="00ED7E61">
        <w:rPr>
          <w:rFonts w:asciiTheme="majorBidi" w:hAnsiTheme="majorBidi" w:cstheme="majorBidi"/>
          <w:color w:val="000000"/>
          <w:lang w:val="en-US"/>
        </w:rPr>
        <w:t xml:space="preserve">” answer implies that: </w:t>
      </w:r>
    </w:p>
    <w:p w14:paraId="4C558369" w14:textId="08C26A78"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a country’s climate (8.2) or other (8.3) policies address some the impacts of climate change on biodiversity but not all, or addresses all the impacts of climate change but only on some aspects of biodiversity (e.g. species diversity)</w:t>
      </w:r>
    </w:p>
    <w:p w14:paraId="079F23FF" w14:textId="0324850F"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a country’s policies address some of the impacts of ocean acidification on biodiversity (8.4) but not all, or addresses all the impacts of ocean acidification but only on some aspects of biodiversity (e.g. species diversity)</w:t>
      </w:r>
    </w:p>
    <w:p w14:paraId="7F34A0BC" w14:textId="14F4C816"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 xml:space="preserve">some or all the impacts of climate change on some or all of biodiversity are being monitored and/or reported (8.5) </w:t>
      </w:r>
    </w:p>
    <w:p w14:paraId="210747DB"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 xml:space="preserve">some or all the impacts of ocean acidification on some or all of biodiversity are being monitored and/or reported (8.6) </w:t>
      </w:r>
    </w:p>
    <w:p w14:paraId="2F5C6444"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measures are in place to minimize some of the negative impacts of climate actions on biodiversity (8.8) but not all, or to minimize all negative impacts of climate actions but only on some aspects of biodiversity (e.g. species diversity)</w:t>
      </w:r>
    </w:p>
    <w:p w14:paraId="067F5807"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measures are in place to foster positive impacts of climate actions on biodiversity (8.9) but not all, or to foster all positive impacts of climate actions but only on some aspects of biodiversity (e.g. species diversity)</w:t>
      </w:r>
    </w:p>
    <w:p w14:paraId="5E60B76B" w14:textId="0DACA42D" w:rsidR="00C9506C" w:rsidRPr="00ED7E61" w:rsidRDefault="00C9506C" w:rsidP="00B10F0C">
      <w:pPr>
        <w:pStyle w:val="CBDNormalNumber"/>
        <w:numPr>
          <w:ilvl w:val="0"/>
          <w:numId w:val="78"/>
        </w:numPr>
        <w:ind w:left="567" w:firstLine="0"/>
        <w:rPr>
          <w:rFonts w:asciiTheme="majorBidi" w:hAnsiTheme="majorBidi" w:cstheme="majorBidi"/>
          <w:color w:val="000000"/>
          <w:lang w:val="en-US"/>
        </w:rPr>
      </w:pPr>
      <w:r w:rsidRPr="00ED7E61">
        <w:rPr>
          <w:rFonts w:asciiTheme="majorBidi" w:hAnsiTheme="majorBidi" w:cstheme="majorBidi"/>
          <w:color w:val="000000"/>
          <w:lang w:val="en-US"/>
        </w:rPr>
        <w:t>If any one of the cases outlined applies, only partial achievement has been reached.</w:t>
      </w:r>
    </w:p>
    <w:p w14:paraId="4A286AAD" w14:textId="393C355A" w:rsidR="00C9506C" w:rsidRPr="00ED7E61" w:rsidRDefault="00C9506C" w:rsidP="00B10F0C">
      <w:pPr>
        <w:pStyle w:val="CBDNormalNumber"/>
        <w:numPr>
          <w:ilvl w:val="0"/>
          <w:numId w:val="78"/>
        </w:numPr>
        <w:ind w:left="567" w:firstLine="0"/>
        <w:rPr>
          <w:rFonts w:asciiTheme="majorBidi" w:hAnsiTheme="majorBidi" w:cstheme="majorBidi"/>
          <w:color w:val="000000"/>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Fully</w:t>
      </w:r>
      <w:r w:rsidRPr="00ED7E61">
        <w:rPr>
          <w:rFonts w:asciiTheme="majorBidi" w:hAnsiTheme="majorBidi" w:cstheme="majorBidi"/>
          <w:color w:val="000000"/>
          <w:lang w:val="en-US"/>
        </w:rPr>
        <w:t>” answer implies that all the conditions outlined in “</w:t>
      </w:r>
      <w:r w:rsidRPr="00FB1598">
        <w:rPr>
          <w:rFonts w:asciiTheme="majorBidi" w:hAnsiTheme="majorBidi" w:cstheme="majorBidi"/>
          <w:i/>
          <w:iCs/>
          <w:color w:val="000000"/>
          <w:lang w:val="en-US"/>
        </w:rPr>
        <w:t>Partially</w:t>
      </w:r>
      <w:r w:rsidRPr="00ED7E61">
        <w:rPr>
          <w:rFonts w:asciiTheme="majorBidi" w:hAnsiTheme="majorBidi" w:cstheme="majorBidi"/>
          <w:color w:val="000000"/>
          <w:lang w:val="en-US"/>
        </w:rPr>
        <w:t>” have been met. Namely that all the impacts of climate change on biodiversity are addressed in national climate (8.2) and other (8.3) policy, that all impacts of ocean acidification on biodiversity are addressed in national policy (8.4), that monitoring and reporting on both these impacts on biodiversity is resourced and ongoing (8.5 and 8.6) and that measures are in place to both minimize all negative impacts (8.8) and foster all positive impacts of climate actions on biodiversity (8.9).</w:t>
      </w:r>
    </w:p>
    <w:p w14:paraId="5D6DD2D4" w14:textId="22B61740" w:rsidR="00C9506C" w:rsidRPr="00ED7E61" w:rsidRDefault="00C9506C" w:rsidP="00B10F0C">
      <w:pPr>
        <w:pStyle w:val="CBDNormalNumber"/>
        <w:numPr>
          <w:ilvl w:val="0"/>
          <w:numId w:val="78"/>
        </w:numPr>
        <w:ind w:left="567" w:firstLine="0"/>
        <w:rPr>
          <w:rFonts w:asciiTheme="majorBidi" w:hAnsiTheme="majorBidi" w:cstheme="majorBidi"/>
          <w:color w:val="000000"/>
          <w:lang w:val="en-US"/>
        </w:rPr>
      </w:pPr>
      <w:r w:rsidRPr="00ED7E61">
        <w:rPr>
          <w:rFonts w:asciiTheme="majorBidi" w:hAnsiTheme="majorBidi" w:cstheme="majorBidi"/>
          <w:color w:val="000000"/>
          <w:lang w:val="en-US"/>
        </w:rPr>
        <w:t>There are seven possible answers to question 8.7:</w:t>
      </w:r>
    </w:p>
    <w:p w14:paraId="593DE661"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Mitigation</w:t>
      </w:r>
    </w:p>
    <w:p w14:paraId="36BC0F80"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Adaptation</w:t>
      </w:r>
    </w:p>
    <w:p w14:paraId="67AB696E" w14:textId="3EA6BADB"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Disaster risk reduction</w:t>
      </w:r>
    </w:p>
    <w:p w14:paraId="35F88930"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Nature-based solutions and/or ecosystem-based approaches</w:t>
      </w:r>
    </w:p>
    <w:p w14:paraId="1AB3C351"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Policies to minimize negative and foster positive impacts of climate action on biodiversity</w:t>
      </w:r>
    </w:p>
    <w:p w14:paraId="7D58BBD6"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Other</w:t>
      </w:r>
    </w:p>
    <w:p w14:paraId="502AF089" w14:textId="77777777" w:rsidR="00C9506C" w:rsidRPr="00ED7E61" w:rsidRDefault="00C9506C" w:rsidP="00B10F0C">
      <w:pPr>
        <w:pStyle w:val="CBDNormalNumber"/>
        <w:numPr>
          <w:ilvl w:val="1"/>
          <w:numId w:val="78"/>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None of the above</w:t>
      </w:r>
    </w:p>
    <w:p w14:paraId="1F9C5ED4" w14:textId="4104A7FB" w:rsidR="00C9506C" w:rsidRPr="00ED7E61" w:rsidRDefault="00C9506C" w:rsidP="00B10F0C">
      <w:pPr>
        <w:pStyle w:val="CBDNormalNumber"/>
        <w:numPr>
          <w:ilvl w:val="0"/>
          <w:numId w:val="78"/>
        </w:numPr>
        <w:ind w:left="567" w:firstLine="0"/>
        <w:rPr>
          <w:rFonts w:asciiTheme="majorBidi" w:hAnsiTheme="majorBidi" w:cstheme="majorBidi"/>
          <w:color w:val="000000"/>
          <w:lang w:val="en-US"/>
        </w:rPr>
      </w:pPr>
      <w:r w:rsidRPr="00ED7E61">
        <w:rPr>
          <w:rFonts w:asciiTheme="majorBidi" w:hAnsiTheme="majorBidi" w:cstheme="majorBidi"/>
          <w:color w:val="000000"/>
          <w:lang w:val="en-US"/>
        </w:rPr>
        <w:t>Each of the answers here is to be chosen using a “</w:t>
      </w:r>
      <w:r w:rsidRPr="00FB1598">
        <w:rPr>
          <w:rFonts w:asciiTheme="majorBidi" w:hAnsiTheme="majorBidi" w:cstheme="majorBidi"/>
          <w:i/>
          <w:iCs/>
          <w:color w:val="000000"/>
          <w:lang w:val="en-US"/>
        </w:rPr>
        <w:t>select all that apply</w:t>
      </w:r>
      <w:r w:rsidRPr="00ED7E61">
        <w:rPr>
          <w:rFonts w:asciiTheme="majorBidi" w:hAnsiTheme="majorBidi" w:cstheme="majorBidi"/>
          <w:color w:val="000000"/>
          <w:lang w:val="en-US"/>
        </w:rPr>
        <w:t>” approach. Namely, if a country’s action plans, policies or strategies on the impacts of climate change and ocean acidification contain actions on mitigation, adaptation, disaster risk reduction, nature-based solutions and/or ecosystem-based approaches, policies to minimize negative and foster positive impacts of climate action on biodiversity or other to increase biodiversity resilience or reduce impacts, then select the option(s) which apply. In other words, select each option for which the answer to 8.7 is “</w:t>
      </w:r>
      <w:r w:rsidRPr="00FB1598">
        <w:rPr>
          <w:rFonts w:asciiTheme="majorBidi" w:hAnsiTheme="majorBidi" w:cstheme="majorBidi"/>
          <w:i/>
          <w:iCs/>
          <w:color w:val="000000"/>
          <w:lang w:val="en-US"/>
        </w:rPr>
        <w:t>Yes</w:t>
      </w:r>
      <w:r w:rsidRPr="00ED7E61">
        <w:rPr>
          <w:rFonts w:asciiTheme="majorBidi" w:hAnsiTheme="majorBidi" w:cstheme="majorBidi"/>
          <w:color w:val="000000"/>
          <w:lang w:val="en-US"/>
        </w:rPr>
        <w:t>”. In the case that “</w:t>
      </w:r>
      <w:r w:rsidRPr="00FB1598">
        <w:rPr>
          <w:rFonts w:asciiTheme="majorBidi" w:hAnsiTheme="majorBidi" w:cstheme="majorBidi"/>
          <w:i/>
          <w:iCs/>
          <w:color w:val="000000"/>
          <w:lang w:val="en-US"/>
        </w:rPr>
        <w:t>Others</w:t>
      </w:r>
      <w:r w:rsidRPr="00ED7E61">
        <w:rPr>
          <w:rFonts w:asciiTheme="majorBidi" w:hAnsiTheme="majorBidi" w:cstheme="majorBidi"/>
          <w:color w:val="000000"/>
          <w:lang w:val="en-US"/>
        </w:rPr>
        <w:t>” is selected, please specify what this refers to in the free text section. If policies or action plans on the impact of climate change and ocean acidification do not contain any of the actions listed, select “</w:t>
      </w:r>
      <w:r w:rsidRPr="00FB1598">
        <w:rPr>
          <w:rFonts w:asciiTheme="majorBidi" w:hAnsiTheme="majorBidi" w:cstheme="majorBidi"/>
          <w:i/>
          <w:iCs/>
          <w:color w:val="000000"/>
          <w:lang w:val="en-US"/>
        </w:rPr>
        <w:t>None of the above</w:t>
      </w:r>
      <w:r w:rsidRPr="00ED7E61">
        <w:rPr>
          <w:rFonts w:asciiTheme="majorBidi" w:hAnsiTheme="majorBidi" w:cstheme="majorBidi"/>
          <w:color w:val="000000"/>
          <w:lang w:val="en-US"/>
        </w:rPr>
        <w:t>”. In this question, it is understood that nations have plans to tackle climate change and ocean acidification and asks whether these actions are also designed to increase biodiversity resilience or not.</w:t>
      </w:r>
    </w:p>
    <w:p w14:paraId="60D6AA90"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3A1C2202" w14:textId="1162AF9C" w:rsidR="002946B5" w:rsidRPr="00181CB0" w:rsidRDefault="002946B5" w:rsidP="00181CB0">
      <w:pPr>
        <w:pStyle w:val="Heading3"/>
      </w:pPr>
      <w:bookmarkStart w:id="53" w:name="_Toc178285865"/>
      <w:r w:rsidRPr="00ED7E61">
        <w:t>Note on headline indicator</w:t>
      </w:r>
      <w:r w:rsidR="00501E19" w:rsidRPr="00ED7E61">
        <w:t>:</w:t>
      </w:r>
      <w:r w:rsidRPr="00ED7E61">
        <w:t xml:space="preserve"> 9.1 Benefits from the sustainable use of wild species</w:t>
      </w:r>
      <w:bookmarkEnd w:id="53"/>
    </w:p>
    <w:p w14:paraId="6451800A" w14:textId="77777777" w:rsidR="002946B5" w:rsidRPr="00ED7E61" w:rsidRDefault="002946B5" w:rsidP="00B10F0C">
      <w:pPr>
        <w:pStyle w:val="CBDNormalNumber"/>
        <w:numPr>
          <w:ilvl w:val="0"/>
          <w:numId w:val="79"/>
        </w:numPr>
        <w:tabs>
          <w:tab w:val="clear" w:pos="1701"/>
        </w:tabs>
        <w:ind w:left="567" w:firstLine="0"/>
        <w:rPr>
          <w:rFonts w:asciiTheme="majorBidi" w:hAnsiTheme="majorBidi" w:cstheme="majorBidi"/>
          <w:color w:val="000000"/>
          <w:lang w:val="en-US"/>
        </w:rPr>
      </w:pPr>
      <w:r w:rsidRPr="00ED7E61">
        <w:rPr>
          <w:rFonts w:asciiTheme="majorBidi" w:hAnsiTheme="majorBidi" w:cstheme="majorBidi"/>
          <w:color w:val="000000"/>
          <w:lang w:val="en-US"/>
        </w:rPr>
        <w:t xml:space="preserve">The monitoring framework for the Kunming-Montreal Global Biodiversity Framework (GBF) adopted by the 15th meeting of the Conference of Parties (COP 15) included a list of indicators to monitor the goals and targets of the GBF as contained in </w:t>
      </w:r>
      <w:hyperlink r:id="rId481" w:history="1">
        <w:r w:rsidRPr="00ED7E61">
          <w:rPr>
            <w:color w:val="000000"/>
            <w:lang w:val="en-US"/>
          </w:rPr>
          <w:t>decision 15/5</w:t>
        </w:r>
      </w:hyperlink>
      <w:r w:rsidRPr="00ED7E61">
        <w:rPr>
          <w:rFonts w:asciiTheme="majorBidi" w:hAnsiTheme="majorBidi" w:cstheme="majorBidi"/>
          <w:color w:val="000000"/>
          <w:lang w:val="en-US"/>
        </w:rPr>
        <w:t xml:space="preserve"> of the COP 15. This list includes the headline indicator 9.1 Benefits from the sustainable use of wild species to monitor Target 9 of the convention, namely:</w:t>
      </w:r>
    </w:p>
    <w:p w14:paraId="25A9ED41" w14:textId="77777777" w:rsidR="002946B5" w:rsidRPr="00ED7E61" w:rsidRDefault="002946B5" w:rsidP="00181CB0">
      <w:pPr>
        <w:pStyle w:val="CBDNormalNumber"/>
        <w:numPr>
          <w:ilvl w:val="0"/>
          <w:numId w:val="0"/>
        </w:numPr>
        <w:tabs>
          <w:tab w:val="clear" w:pos="567"/>
          <w:tab w:val="clear" w:pos="1134"/>
          <w:tab w:val="clear" w:pos="1701"/>
          <w:tab w:val="clear" w:pos="2268"/>
          <w:tab w:val="left" w:pos="1985"/>
        </w:tabs>
        <w:ind w:left="1332"/>
        <w:rPr>
          <w:rStyle w:val="normaltextrun"/>
          <w:shd w:val="clear" w:color="auto" w:fill="FFFFFF"/>
        </w:rPr>
      </w:pPr>
      <w:r w:rsidRPr="00ED7E61">
        <w:rPr>
          <w:rStyle w:val="normaltextrun"/>
          <w:shd w:val="clear" w:color="auto" w:fill="FFFFFF"/>
        </w:rPr>
        <w:t>Target 9. Manage Wild Species Sustainably to Benefit People</w:t>
      </w:r>
      <w:r w:rsidRPr="00ED7E61">
        <w:rPr>
          <w:rStyle w:val="normaltextrun"/>
          <w:shd w:val="clear" w:color="auto" w:fill="FFFFFF"/>
        </w:rPr>
        <w:br/>
        <w:t xml:space="preserve">Ensure that the management and use of wild species are sustainable, thereby providing social, economic and environmental benefits for people, especially those in vulnerable situations and those most dependent on biodiversity, including through sustainable biodiversity-based activities, products and services that enhance biodiversity, and protecting and encouraging customary sustainable use by indigenous peoples and local communities. </w:t>
      </w:r>
    </w:p>
    <w:p w14:paraId="66C3EA61" w14:textId="32375334" w:rsidR="003D694D" w:rsidRPr="00ED7E61" w:rsidRDefault="002946B5" w:rsidP="00B10F0C">
      <w:pPr>
        <w:pStyle w:val="CBDNormalNumber"/>
        <w:numPr>
          <w:ilvl w:val="0"/>
          <w:numId w:val="79"/>
        </w:numPr>
        <w:ind w:left="567" w:firstLine="0"/>
        <w:rPr>
          <w:rFonts w:asciiTheme="majorBidi" w:hAnsiTheme="majorBidi" w:cstheme="majorBidi"/>
        </w:rPr>
      </w:pPr>
      <w:r w:rsidRPr="00ED7E61">
        <w:rPr>
          <w:rFonts w:asciiTheme="majorBidi" w:hAnsiTheme="majorBidi" w:cstheme="majorBidi"/>
          <w:color w:val="000000"/>
          <w:lang w:val="en-US"/>
        </w:rPr>
        <w:t>Indicator</w:t>
      </w:r>
      <w:r w:rsidRPr="00ED7E61">
        <w:rPr>
          <w:rFonts w:asciiTheme="majorBidi" w:hAnsiTheme="majorBidi" w:cstheme="majorBidi"/>
        </w:rPr>
        <w:t xml:space="preserve"> 9.1 was initially understood as a possible disaggregation of indicator B.1 S</w:t>
      </w:r>
      <w:r w:rsidRPr="00ED7E61">
        <w:rPr>
          <w:rFonts w:asciiTheme="majorBidi" w:hAnsiTheme="majorBidi" w:cstheme="majorBidi"/>
          <w:i/>
          <w:iCs/>
        </w:rPr>
        <w:t>ervices provided by ecosystems</w:t>
      </w:r>
      <w:r w:rsidRPr="00ED7E61">
        <w:rPr>
          <w:rFonts w:asciiTheme="majorBidi" w:hAnsiTheme="majorBidi" w:cstheme="majorBidi"/>
        </w:rPr>
        <w:t xml:space="preserve">, since benefits derived from the use of wild species can be measured through the ecosystem service accounts in indicator B.1 under Goal B. Although for indicator B.1 parties are encouraged to flag, when possible, if ecosystem services are used above certain sustainability thresholds, the sustainable use of ecosystem services is not the primary focus of indicator B.1 while it is a prerequisite for the adequate monitoring of target 9 (indicator 9.1). </w:t>
      </w:r>
    </w:p>
    <w:p w14:paraId="39255011" w14:textId="040075C4" w:rsidR="003D694D" w:rsidRPr="00ED7E61" w:rsidRDefault="002946B5" w:rsidP="00B10F0C">
      <w:pPr>
        <w:pStyle w:val="CBDNormalNumber"/>
        <w:numPr>
          <w:ilvl w:val="0"/>
          <w:numId w:val="79"/>
        </w:numPr>
        <w:ind w:left="567" w:firstLine="0"/>
        <w:rPr>
          <w:rFonts w:asciiTheme="majorBidi" w:hAnsiTheme="majorBidi" w:cstheme="majorBidi"/>
        </w:rPr>
      </w:pPr>
      <w:r w:rsidRPr="00ED7E61">
        <w:rPr>
          <w:rFonts w:asciiTheme="majorBidi" w:hAnsiTheme="majorBidi" w:cstheme="majorBidi"/>
        </w:rPr>
        <w:t>The AHTEG, at its 6</w:t>
      </w:r>
      <w:r w:rsidRPr="00ED7E61">
        <w:rPr>
          <w:rFonts w:asciiTheme="majorBidi" w:hAnsiTheme="majorBidi" w:cstheme="majorBidi"/>
          <w:vertAlign w:val="superscript"/>
        </w:rPr>
        <w:t>th</w:t>
      </w:r>
      <w:r w:rsidRPr="00ED7E61">
        <w:rPr>
          <w:rFonts w:asciiTheme="majorBidi" w:hAnsiTheme="majorBidi" w:cstheme="majorBidi"/>
        </w:rPr>
        <w:t xml:space="preserve"> meeting in March 2024, discussed indicator 9.1 and acknowledged that in practice it is difficult to capture the benefits from the sustainable use of wild species. Various options for indicator 9.1 were considered, including a binary indicator, however, the AHTEG, recognizing the importance of this indicator, agreed to maintain it as a headline indicator for Target 9, noting that more work is needed in order to provide a methodology that allows the sustainability assessment aspect of the use of ecosystem services.</w:t>
      </w:r>
      <w:r w:rsidR="00CA7325" w:rsidRPr="00ED7E61">
        <w:rPr>
          <w:rFonts w:asciiTheme="majorBidi" w:hAnsiTheme="majorBidi" w:cstheme="majorBidi"/>
        </w:rPr>
        <w:t xml:space="preserve"> As such, it is suggested that Goal B1 and Target 9 use the same indicator for reporting purposes. </w:t>
      </w:r>
    </w:p>
    <w:p w14:paraId="06A9B01D" w14:textId="29634121" w:rsidR="003D694D" w:rsidRPr="00ED7E61" w:rsidRDefault="002946B5" w:rsidP="00B10F0C">
      <w:pPr>
        <w:pStyle w:val="CBDNormalNumber"/>
        <w:numPr>
          <w:ilvl w:val="0"/>
          <w:numId w:val="79"/>
        </w:numPr>
        <w:ind w:left="567" w:firstLine="0"/>
      </w:pPr>
      <w:r w:rsidRPr="00ED7E61">
        <w:rPr>
          <w:rFonts w:asciiTheme="majorBidi" w:hAnsiTheme="majorBidi" w:cstheme="majorBidi"/>
          <w:color w:val="000000"/>
          <w:lang w:val="en-US"/>
        </w:rPr>
        <w:t>The</w:t>
      </w:r>
      <w:r w:rsidRPr="00ED7E61">
        <w:t xml:space="preserve"> AHTEG also noted that the benefits from the sustainable use of the wild species are undoubtedly enormous, especially to indigenous people</w:t>
      </w:r>
      <w:r w:rsidR="00616510">
        <w:t>s</w:t>
      </w:r>
      <w:r w:rsidRPr="00ED7E61">
        <w:t xml:space="preserve"> and local communities. However, to monitor progress towards “</w:t>
      </w:r>
      <w:r w:rsidRPr="00FB1598">
        <w:rPr>
          <w:i/>
          <w:iCs/>
        </w:rPr>
        <w:t>ensuring that the management and use of wild species are sustainable</w:t>
      </w:r>
      <w:r w:rsidRPr="00ED7E61">
        <w:t xml:space="preserve">”, it is important to measure if the overall use of wild species is sustainable or not rather than only looking at the benefits from the sustainable use. Once the sustainable use of wild species is guaranteed, then, it would be possible to assess the benefits provided, as well as the beneficiaries or users through ecosystem service accounts. </w:t>
      </w:r>
    </w:p>
    <w:p w14:paraId="4FFCB9E6" w14:textId="6E04A9B7" w:rsidR="002946B5" w:rsidRPr="00ED7E61" w:rsidRDefault="002946B5" w:rsidP="00B10F0C">
      <w:pPr>
        <w:pStyle w:val="CBDNormalNumber"/>
        <w:numPr>
          <w:ilvl w:val="0"/>
          <w:numId w:val="79"/>
        </w:numPr>
        <w:ind w:left="567" w:firstLine="0"/>
        <w:rPr>
          <w:rFonts w:asciiTheme="majorBidi" w:hAnsiTheme="majorBidi" w:cstheme="majorBidi"/>
        </w:rPr>
      </w:pPr>
      <w:r w:rsidRPr="00ED7E61">
        <w:rPr>
          <w:rFonts w:asciiTheme="majorBidi" w:hAnsiTheme="majorBidi" w:cstheme="majorBidi"/>
        </w:rPr>
        <w:t xml:space="preserve">Indicator B.1 </w:t>
      </w:r>
      <w:r w:rsidR="00585E26" w:rsidRPr="00ED7E61">
        <w:rPr>
          <w:rFonts w:asciiTheme="majorBidi" w:hAnsiTheme="majorBidi" w:cstheme="majorBidi"/>
        </w:rPr>
        <w:t>may</w:t>
      </w:r>
      <w:r w:rsidRPr="00ED7E61">
        <w:rPr>
          <w:rFonts w:asciiTheme="majorBidi" w:hAnsiTheme="majorBidi" w:cstheme="majorBidi"/>
        </w:rPr>
        <w:t xml:space="preserve"> provide relevant information toward target 9 on the overall use of wild </w:t>
      </w:r>
      <w:r w:rsidR="00585E26" w:rsidRPr="00ED7E61">
        <w:rPr>
          <w:rFonts w:asciiTheme="majorBidi" w:hAnsiTheme="majorBidi" w:cstheme="majorBidi"/>
        </w:rPr>
        <w:t>if</w:t>
      </w:r>
      <w:r w:rsidRPr="00ED7E61">
        <w:rPr>
          <w:rFonts w:asciiTheme="majorBidi" w:hAnsiTheme="majorBidi" w:cstheme="majorBidi"/>
        </w:rPr>
        <w:t xml:space="preserve"> ecosystem services, such as “</w:t>
      </w:r>
      <w:r w:rsidRPr="00FB1598">
        <w:rPr>
          <w:rFonts w:asciiTheme="majorBidi" w:hAnsiTheme="majorBidi" w:cstheme="majorBidi"/>
          <w:i/>
          <w:iCs/>
        </w:rPr>
        <w:t>Wild animals, plants and other biomass provisioning services</w:t>
      </w:r>
      <w:r w:rsidRPr="00ED7E61">
        <w:rPr>
          <w:rFonts w:asciiTheme="majorBidi" w:hAnsiTheme="majorBidi" w:cstheme="majorBidi"/>
        </w:rPr>
        <w:t>” “</w:t>
      </w:r>
      <w:r w:rsidRPr="00FB1598">
        <w:rPr>
          <w:rFonts w:asciiTheme="majorBidi" w:hAnsiTheme="majorBidi" w:cstheme="majorBidi"/>
          <w:i/>
          <w:iCs/>
        </w:rPr>
        <w:t>Wild fish and other natural aquatic biomass provisioning services</w:t>
      </w:r>
      <w:r w:rsidRPr="00ED7E61">
        <w:rPr>
          <w:rFonts w:asciiTheme="majorBidi" w:hAnsiTheme="majorBidi" w:cstheme="majorBidi"/>
        </w:rPr>
        <w:t>” or “</w:t>
      </w:r>
      <w:r w:rsidRPr="00FB1598">
        <w:rPr>
          <w:rFonts w:asciiTheme="majorBidi" w:hAnsiTheme="majorBidi" w:cstheme="majorBidi"/>
          <w:i/>
          <w:iCs/>
        </w:rPr>
        <w:t>Recreation-related services</w:t>
      </w:r>
      <w:r w:rsidRPr="00ED7E61">
        <w:rPr>
          <w:rFonts w:asciiTheme="majorBidi" w:hAnsiTheme="majorBidi" w:cstheme="majorBidi"/>
        </w:rPr>
        <w:t xml:space="preserve">” </w:t>
      </w:r>
      <w:r w:rsidR="00585E26" w:rsidRPr="00ED7E61">
        <w:rPr>
          <w:rFonts w:asciiTheme="majorBidi" w:hAnsiTheme="majorBidi" w:cstheme="majorBidi"/>
        </w:rPr>
        <w:t xml:space="preserve">are included </w:t>
      </w:r>
      <w:r w:rsidRPr="00ED7E61">
        <w:rPr>
          <w:rFonts w:asciiTheme="majorBidi" w:hAnsiTheme="majorBidi" w:cstheme="majorBidi"/>
        </w:rPr>
        <w:t>in the reporting under B.1.</w:t>
      </w:r>
    </w:p>
    <w:p w14:paraId="10529D6E" w14:textId="77777777" w:rsidR="002946B5" w:rsidRPr="00ED7E61" w:rsidRDefault="002946B5" w:rsidP="00395866">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rPr>
      </w:pPr>
    </w:p>
    <w:p w14:paraId="702B7530" w14:textId="77777777" w:rsidR="002946B5" w:rsidRPr="00ED7E61" w:rsidRDefault="002946B5"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1F2CD48C" w14:textId="78B52B34" w:rsidR="00756F0F" w:rsidRPr="00ED7E61" w:rsidRDefault="00756F0F" w:rsidP="00501E19">
      <w:pPr>
        <w:pStyle w:val="Heading3"/>
      </w:pPr>
      <w:bookmarkStart w:id="54" w:name="_Toc178285866"/>
      <w:r w:rsidRPr="00ED7E61">
        <w:rPr>
          <w:rStyle w:val="normaltextrun"/>
        </w:rPr>
        <w:t>GBF indicator metadata</w:t>
      </w:r>
      <w:r w:rsidR="002946B5" w:rsidRPr="00ED7E61">
        <w:rPr>
          <w:rStyle w:val="normaltextrun"/>
        </w:rPr>
        <w:t>: 9.2 Percentage of the population in traditional occupations</w:t>
      </w:r>
      <w:bookmarkEnd w:id="54"/>
      <w:r w:rsidRPr="00ED7E61">
        <w:rPr>
          <w:rStyle w:val="normaltextrun"/>
        </w:rPr>
        <w:t> </w:t>
      </w:r>
      <w:r w:rsidRPr="00ED7E61">
        <w:rPr>
          <w:rStyle w:val="eop"/>
        </w:rPr>
        <w:t> </w:t>
      </w:r>
    </w:p>
    <w:p w14:paraId="15E2D03C"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395B4B5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sz w:val="22"/>
          <w:szCs w:val="22"/>
        </w:rPr>
        <w:t> </w:t>
      </w:r>
    </w:p>
    <w:p w14:paraId="7E651AC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9.2 Percentage of the population in traditional occupations</w:t>
      </w:r>
      <w:r w:rsidRPr="00ED7E61">
        <w:rPr>
          <w:rStyle w:val="eop"/>
          <w:rFonts w:asciiTheme="majorBidi" w:eastAsiaTheme="majorEastAsia" w:hAnsiTheme="majorBidi" w:cstheme="majorBidi"/>
          <w:sz w:val="22"/>
          <w:szCs w:val="22"/>
        </w:rPr>
        <w:t> </w:t>
      </w:r>
    </w:p>
    <w:p w14:paraId="07C0E83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Traditional Knowledge - Status and trends in the practice of traditional occupations</w:t>
      </w:r>
      <w:r w:rsidRPr="00ED7E61">
        <w:rPr>
          <w:rStyle w:val="eop"/>
          <w:rFonts w:asciiTheme="majorBidi" w:eastAsiaTheme="majorEastAsia" w:hAnsiTheme="majorBidi" w:cstheme="majorBidi"/>
          <w:sz w:val="22"/>
          <w:szCs w:val="22"/>
        </w:rPr>
        <w:t> </w:t>
      </w:r>
    </w:p>
    <w:p w14:paraId="0E982D37" w14:textId="77777777" w:rsidR="00756F0F" w:rsidRPr="00ED7E61" w:rsidRDefault="00756F0F" w:rsidP="00B10F0C">
      <w:pPr>
        <w:pStyle w:val="CBDNormalNumber"/>
        <w:numPr>
          <w:ilvl w:val="0"/>
          <w:numId w:val="79"/>
        </w:numPr>
        <w:ind w:left="567" w:firstLine="0"/>
        <w:rPr>
          <w:rFonts w:asciiTheme="majorBidi" w:hAnsiTheme="majorBidi" w:cstheme="majorBidi"/>
        </w:rPr>
      </w:pPr>
      <w:r w:rsidRPr="00ED7E61">
        <w:rPr>
          <w:color w:val="000000"/>
          <w:lang w:val="en-US"/>
        </w:rPr>
        <w:t>Discussion</w:t>
      </w:r>
      <w:r w:rsidRPr="00ED7E61">
        <w:rPr>
          <w:rStyle w:val="normaltextrun"/>
          <w:rFonts w:asciiTheme="majorBidi" w:eastAsiaTheme="majorEastAsia" w:hAnsiTheme="majorBidi" w:cstheme="majorBidi"/>
        </w:rPr>
        <w:t xml:space="preserve"> will need to take place for the further development and operationalization of this indicator, including suggestions for a more suitable indicator name (see rationale in section 4).  </w:t>
      </w:r>
      <w:r w:rsidRPr="00ED7E61">
        <w:rPr>
          <w:rStyle w:val="eop"/>
          <w:rFonts w:asciiTheme="majorBidi" w:eastAsiaTheme="majorEastAsia" w:hAnsiTheme="majorBidi" w:cstheme="majorBidi"/>
        </w:rPr>
        <w:t> </w:t>
      </w:r>
    </w:p>
    <w:p w14:paraId="7F0B5E2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sz w:val="22"/>
          <w:szCs w:val="22"/>
        </w:rPr>
        <w:t> </w:t>
      </w:r>
    </w:p>
    <w:p w14:paraId="72283A29" w14:textId="3996F417"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lang w:val="en-GB"/>
        </w:rPr>
        <w:t>September</w:t>
      </w:r>
      <w:r w:rsidRPr="00ED7E61">
        <w:rPr>
          <w:rStyle w:val="normaltextrun"/>
          <w:rFonts w:asciiTheme="majorBidi" w:eastAsiaTheme="majorEastAsia" w:hAnsiTheme="majorBidi" w:cstheme="majorBidi"/>
          <w:sz w:val="22"/>
          <w:szCs w:val="22"/>
          <w:lang w:val="en-GB"/>
        </w:rPr>
        <w:t xml:space="preserve"> </w:t>
      </w:r>
      <w:r w:rsidR="00756F0F" w:rsidRPr="00ED7E61">
        <w:rPr>
          <w:rStyle w:val="normaltextrun"/>
          <w:rFonts w:asciiTheme="majorBidi" w:eastAsiaTheme="majorEastAsia" w:hAnsiTheme="majorBidi" w:cstheme="majorBidi"/>
          <w:sz w:val="22"/>
          <w:szCs w:val="22"/>
          <w:lang w:val="en-GB"/>
        </w:rPr>
        <w:t>2024</w:t>
      </w:r>
      <w:r w:rsidR="00756F0F" w:rsidRPr="00ED7E61">
        <w:rPr>
          <w:rStyle w:val="eop"/>
          <w:rFonts w:asciiTheme="majorBidi" w:eastAsiaTheme="majorEastAsia" w:hAnsiTheme="majorBidi" w:cstheme="majorBidi"/>
          <w:sz w:val="22"/>
          <w:szCs w:val="22"/>
        </w:rPr>
        <w:t> </w:t>
      </w:r>
    </w:p>
    <w:p w14:paraId="0C4C2D0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sz w:val="22"/>
          <w:szCs w:val="22"/>
        </w:rPr>
        <w:t> </w:t>
      </w:r>
    </w:p>
    <w:p w14:paraId="61695D2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3a. Goal </w:t>
      </w:r>
      <w:r w:rsidRPr="00ED7E61">
        <w:rPr>
          <w:rStyle w:val="eop"/>
          <w:rFonts w:asciiTheme="majorBidi" w:eastAsiaTheme="majorEastAsia" w:hAnsiTheme="majorBidi" w:cstheme="majorBidi"/>
          <w:sz w:val="22"/>
          <w:szCs w:val="22"/>
        </w:rPr>
        <w:t> </w:t>
      </w:r>
    </w:p>
    <w:p w14:paraId="2227B70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68A545C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3b. Target</w:t>
      </w:r>
      <w:r w:rsidRPr="00ED7E61">
        <w:rPr>
          <w:rStyle w:val="eop"/>
          <w:rFonts w:asciiTheme="majorBidi" w:eastAsiaTheme="majorEastAsia" w:hAnsiTheme="majorBidi" w:cstheme="majorBidi"/>
          <w:sz w:val="22"/>
          <w:szCs w:val="22"/>
        </w:rPr>
        <w:t> </w:t>
      </w:r>
    </w:p>
    <w:p w14:paraId="2773EDD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Headline indicator for Target 9. Ensure that the management and use of wild species are sustainable, thereby providing social, economic and environmental benefits for people, especially those in vulnerable situations and those most dependent on biodiversity, including through sustainable biodiversity-based activities, products and services that enhance biodiversity, and protecting and encouraging customary sustainable use by indigenous peoples and local communities</w:t>
      </w:r>
      <w:r w:rsidRPr="00ED7E61">
        <w:rPr>
          <w:rStyle w:val="normaltextrun"/>
          <w:rFonts w:asciiTheme="majorBidi" w:eastAsiaTheme="majorEastAsia" w:hAnsiTheme="majorBidi" w:cstheme="majorBidi"/>
          <w:i/>
          <w:iCs/>
          <w:sz w:val="22"/>
          <w:szCs w:val="22"/>
          <w:shd w:val="clear" w:color="auto" w:fill="FFFFFF"/>
          <w:lang w:val="en-GB"/>
        </w:rPr>
        <w:t>.</w:t>
      </w:r>
      <w:r w:rsidRPr="00ED7E61">
        <w:rPr>
          <w:rStyle w:val="eop"/>
          <w:rFonts w:asciiTheme="majorBidi" w:eastAsiaTheme="majorEastAsia" w:hAnsiTheme="majorBidi" w:cstheme="majorBidi"/>
          <w:sz w:val="22"/>
          <w:szCs w:val="22"/>
        </w:rPr>
        <w:t> </w:t>
      </w:r>
    </w:p>
    <w:p w14:paraId="2579250F" w14:textId="77777777" w:rsidR="00756F0F" w:rsidRPr="00ED7E61" w:rsidRDefault="00756F0F" w:rsidP="00181CB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4. Rationale</w:t>
      </w:r>
      <w:r w:rsidRPr="00ED7E61">
        <w:rPr>
          <w:rStyle w:val="eop"/>
          <w:rFonts w:asciiTheme="majorBidi" w:eastAsiaTheme="majorEastAsia" w:hAnsiTheme="majorBidi" w:cstheme="majorBidi"/>
          <w:sz w:val="22"/>
          <w:szCs w:val="22"/>
        </w:rPr>
        <w:t> </w:t>
      </w:r>
    </w:p>
    <w:p w14:paraId="338F67E6" w14:textId="77777777" w:rsidR="00756F0F" w:rsidRPr="00ED7E61" w:rsidRDefault="00756F0F" w:rsidP="00B10F0C">
      <w:pPr>
        <w:pStyle w:val="CBDNormalNumber"/>
        <w:numPr>
          <w:ilvl w:val="0"/>
          <w:numId w:val="80"/>
        </w:numPr>
        <w:tabs>
          <w:tab w:val="clear" w:pos="1701"/>
        </w:tabs>
        <w:ind w:left="567" w:hanging="24"/>
        <w:rPr>
          <w:rFonts w:asciiTheme="majorBidi" w:hAnsiTheme="majorBidi" w:cstheme="majorBidi"/>
          <w:color w:val="000000"/>
          <w:lang w:val="en-US"/>
        </w:rPr>
      </w:pPr>
      <w:r w:rsidRPr="00ED7E61">
        <w:rPr>
          <w:color w:val="000000"/>
          <w:lang w:val="en-US"/>
        </w:rPr>
        <w:t>Actions to implement Target 9 need to take into account indigenous and local systems for the control, use and management of natural resources and seek to protect and encourage these. The practice of traditional occupations is a key a element of this which is not only essential to the spiritual, cultural, social and economic wellbeing of Indigenous Peoples and local communities but also a key element in ensuring that the management and use of wild species is sustainable.  </w:t>
      </w:r>
    </w:p>
    <w:p w14:paraId="1F91A5EB" w14:textId="77777777" w:rsidR="00756F0F" w:rsidRPr="00ED7E61" w:rsidRDefault="00756F0F" w:rsidP="00B10F0C">
      <w:pPr>
        <w:pStyle w:val="CBDNormalNumber"/>
        <w:numPr>
          <w:ilvl w:val="0"/>
          <w:numId w:val="80"/>
        </w:numPr>
        <w:ind w:left="567" w:firstLine="0"/>
        <w:rPr>
          <w:rFonts w:asciiTheme="majorBidi" w:hAnsiTheme="majorBidi" w:cstheme="majorBidi"/>
        </w:rPr>
      </w:pPr>
      <w:r w:rsidRPr="00ED7E61">
        <w:rPr>
          <w:color w:val="000000"/>
          <w:lang w:val="en-US"/>
        </w:rPr>
        <w:t>The</w:t>
      </w:r>
      <w:r w:rsidRPr="00ED7E61">
        <w:rPr>
          <w:rStyle w:val="normaltextrun"/>
          <w:rFonts w:asciiTheme="majorBidi" w:eastAsiaTheme="majorEastAsia" w:hAnsiTheme="majorBidi" w:cstheme="majorBidi"/>
        </w:rPr>
        <w:t xml:space="preserve"> traditional knowledge indicator on “</w:t>
      </w:r>
      <w:r w:rsidRPr="00FB1598">
        <w:rPr>
          <w:rStyle w:val="normaltextrun"/>
          <w:rFonts w:asciiTheme="majorBidi" w:eastAsiaTheme="majorEastAsia" w:hAnsiTheme="majorBidi" w:cstheme="majorBidi"/>
          <w:i/>
          <w:iCs/>
        </w:rPr>
        <w:t>Status and trends in the practice of traditional occupations</w:t>
      </w:r>
      <w:r w:rsidRPr="00ED7E61">
        <w:rPr>
          <w:rStyle w:val="normaltextrun"/>
          <w:rFonts w:asciiTheme="majorBidi" w:eastAsiaTheme="majorEastAsia" w:hAnsiTheme="majorBidi" w:cstheme="majorBidi"/>
        </w:rPr>
        <w:t>” was adopted by COP-13 in 2016. COP-15 adopted a related but (slightly) different indicator as headline indicator for Target 9. “</w:t>
      </w:r>
      <w:r w:rsidRPr="00FB1598">
        <w:rPr>
          <w:rStyle w:val="normaltextrun"/>
          <w:rFonts w:asciiTheme="majorBidi" w:eastAsiaTheme="majorEastAsia" w:hAnsiTheme="majorBidi" w:cstheme="majorBidi"/>
          <w:i/>
          <w:iCs/>
        </w:rPr>
        <w:t>Percentage of the population in traditional occupations</w:t>
      </w:r>
      <w:r w:rsidRPr="00ED7E61">
        <w:rPr>
          <w:rStyle w:val="normaltextrun"/>
          <w:rFonts w:asciiTheme="majorBidi" w:eastAsiaTheme="majorEastAsia" w:hAnsiTheme="majorBidi" w:cstheme="majorBidi"/>
        </w:rPr>
        <w:t>”. Discussion has started on how best to further develop and operationalize this indicator.</w:t>
      </w:r>
      <w:r w:rsidRPr="00ED7E61">
        <w:rPr>
          <w:rStyle w:val="eop"/>
          <w:rFonts w:asciiTheme="majorBidi" w:eastAsiaTheme="majorEastAsia" w:hAnsiTheme="majorBidi" w:cstheme="majorBidi"/>
        </w:rPr>
        <w:t> </w:t>
      </w:r>
    </w:p>
    <w:p w14:paraId="3196E72A" w14:textId="142CED4A" w:rsidR="00756F0F" w:rsidRPr="00ED7E61" w:rsidRDefault="00756F0F" w:rsidP="00B10F0C">
      <w:pPr>
        <w:pStyle w:val="CBDNormalNumber"/>
        <w:numPr>
          <w:ilvl w:val="0"/>
          <w:numId w:val="80"/>
        </w:numPr>
        <w:ind w:left="567" w:firstLine="0"/>
        <w:rPr>
          <w:rFonts w:asciiTheme="majorBidi" w:hAnsiTheme="majorBidi" w:cstheme="majorBidi"/>
        </w:rPr>
      </w:pPr>
      <w:r w:rsidRPr="00ED7E61">
        <w:rPr>
          <w:rStyle w:val="normaltextrun"/>
          <w:rFonts w:asciiTheme="majorBidi" w:eastAsiaTheme="majorEastAsia" w:hAnsiTheme="majorBidi" w:cstheme="majorBidi"/>
        </w:rPr>
        <w:t>A potential computation by “</w:t>
      </w:r>
      <w:r w:rsidRPr="00FB1598">
        <w:rPr>
          <w:rStyle w:val="normaltextrun"/>
          <w:rFonts w:asciiTheme="majorBidi" w:eastAsiaTheme="majorEastAsia" w:hAnsiTheme="majorBidi" w:cstheme="majorBidi"/>
          <w:i/>
          <w:iCs/>
        </w:rPr>
        <w:t>dividing the number of Indigenous People (IP) practicing traditional occupations by the total number of working age indigenous people in a country</w:t>
      </w:r>
      <w:r w:rsidRPr="00ED7E61">
        <w:rPr>
          <w:rStyle w:val="normaltextrun"/>
          <w:rFonts w:asciiTheme="majorBidi" w:eastAsiaTheme="majorEastAsia" w:hAnsiTheme="majorBidi" w:cstheme="majorBidi"/>
        </w:rPr>
        <w:t xml:space="preserve">” was originally proposed in the technical paper on </w:t>
      </w:r>
      <w:r w:rsidRPr="00ED7E61">
        <w:rPr>
          <w:rStyle w:val="normaltextrun"/>
          <w:rFonts w:asciiTheme="majorBidi" w:eastAsiaTheme="majorEastAsia" w:hAnsiTheme="majorBidi" w:cstheme="majorBidi"/>
          <w:i/>
          <w:iCs/>
        </w:rPr>
        <w:t>Traditional Occupations of Indigenous and Tribal Peoples in Labour Statistics,</w:t>
      </w:r>
      <w:r w:rsidRPr="00ED7E61">
        <w:rPr>
          <w:rStyle w:val="normaltextrun"/>
          <w:rFonts w:asciiTheme="majorBidi" w:eastAsiaTheme="majorEastAsia" w:hAnsiTheme="majorBidi" w:cstheme="majorBidi"/>
        </w:rPr>
        <w:t xml:space="preserve"> </w:t>
      </w:r>
      <w:r w:rsidR="008F237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Geneva. International Labour Office,</w:t>
      </w:r>
      <w:r w:rsidR="008F2372">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2023). However, based on existing data, it is not yet possible (beyond pilot studies) to measure this indicator on a global and national level due to the lack of identifiers for Indigenous Peoples in countries’ census processes. The international Labour Organization (ILO) observed that “</w:t>
      </w:r>
      <w:r w:rsidRPr="00ED7E61">
        <w:rPr>
          <w:rStyle w:val="normaltextrun"/>
          <w:rFonts w:asciiTheme="majorBidi" w:eastAsiaTheme="majorEastAsia" w:hAnsiTheme="majorBidi" w:cstheme="majorBidi"/>
          <w:i/>
          <w:iCs/>
        </w:rPr>
        <w:t>Comprehensive official statistics on traditional occupations are rarely available, partly owing to the continuing poor visibility of indigenous and tribal peoples in official statistics, and partly owing to the absence of an agreed definition of traditional occupations for statistical purposes.</w:t>
      </w:r>
      <w:r w:rsidRPr="00FB1598">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052EF1FB" w14:textId="2EF8DFA9" w:rsidR="00756F0F" w:rsidRPr="00ED7E61" w:rsidRDefault="00756F0F" w:rsidP="00B10F0C">
      <w:pPr>
        <w:pStyle w:val="CBDNormalNumber"/>
        <w:numPr>
          <w:ilvl w:val="0"/>
          <w:numId w:val="80"/>
        </w:numPr>
        <w:ind w:left="567" w:firstLine="0"/>
        <w:rPr>
          <w:rFonts w:asciiTheme="majorBidi" w:hAnsiTheme="majorBidi" w:cstheme="majorBidi"/>
        </w:rPr>
      </w:pPr>
      <w:r w:rsidRPr="00ED7E61">
        <w:rPr>
          <w:color w:val="000000"/>
          <w:lang w:val="en-US"/>
        </w:rPr>
        <w:t>We</w:t>
      </w:r>
      <w:r w:rsidRPr="00ED7E61">
        <w:rPr>
          <w:rStyle w:val="normaltextrun"/>
          <w:rFonts w:asciiTheme="majorBidi" w:eastAsiaTheme="majorEastAsia" w:hAnsiTheme="majorBidi" w:cstheme="majorBidi"/>
        </w:rPr>
        <w:t xml:space="preserve"> therefore propose that this indicator could be measured across scales (from local to global) through the use of structural, process and outcome indicators generated through </w:t>
      </w:r>
      <w:r w:rsidR="00140474" w:rsidRPr="00ED7E61">
        <w:rPr>
          <w:rFonts w:asciiTheme="majorBidi" w:hAnsiTheme="majorBidi" w:cstheme="majorBidi"/>
        </w:rPr>
        <w:t>Community Based Monitoring and Information Systems (</w:t>
      </w:r>
      <w:r w:rsidRPr="00ED7E61">
        <w:rPr>
          <w:rStyle w:val="normaltextrun"/>
          <w:rFonts w:asciiTheme="majorBidi" w:eastAsiaTheme="majorEastAsia" w:hAnsiTheme="majorBidi" w:cstheme="majorBidi"/>
        </w:rPr>
        <w:t>CBMIS</w:t>
      </w:r>
      <w:r w:rsidR="00140474"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combined with binary indicators (covering structural and process questions/aspects) being developed by the AHTEG on indicators.</w:t>
      </w:r>
      <w:r w:rsidRPr="00ED7E61">
        <w:rPr>
          <w:rStyle w:val="eop"/>
          <w:rFonts w:asciiTheme="majorBidi" w:eastAsiaTheme="majorEastAsia" w:hAnsiTheme="majorBidi" w:cstheme="majorBidi"/>
        </w:rPr>
        <w:t> </w:t>
      </w:r>
    </w:p>
    <w:p w14:paraId="7505D4BD" w14:textId="77777777" w:rsidR="00756F0F" w:rsidRPr="00ED7E61" w:rsidRDefault="00756F0F" w:rsidP="00B10F0C">
      <w:pPr>
        <w:pStyle w:val="CBDNormalNumber"/>
        <w:numPr>
          <w:ilvl w:val="0"/>
          <w:numId w:val="80"/>
        </w:numPr>
        <w:ind w:left="567" w:firstLine="0"/>
        <w:rPr>
          <w:rFonts w:asciiTheme="majorBidi" w:hAnsiTheme="majorBidi" w:cstheme="majorBidi"/>
        </w:rPr>
      </w:pPr>
      <w:r w:rsidRPr="00ED7E61">
        <w:rPr>
          <w:color w:val="000000"/>
          <w:lang w:val="en-US"/>
        </w:rPr>
        <w:t>Potential</w:t>
      </w:r>
      <w:r w:rsidRPr="00ED7E61">
        <w:rPr>
          <w:rStyle w:val="normaltextrun"/>
          <w:rFonts w:asciiTheme="majorBidi" w:eastAsiaTheme="majorEastAsia" w:hAnsiTheme="majorBidi" w:cstheme="majorBidi"/>
        </w:rPr>
        <w:t xml:space="preserve"> titles for the indicator include:</w:t>
      </w:r>
      <w:r w:rsidRPr="00ED7E61">
        <w:rPr>
          <w:rStyle w:val="eop"/>
          <w:rFonts w:asciiTheme="majorBidi" w:eastAsiaTheme="majorEastAsia" w:hAnsiTheme="majorBidi" w:cstheme="majorBidi"/>
        </w:rPr>
        <w:t> </w:t>
      </w:r>
    </w:p>
    <w:p w14:paraId="7BBF5D74" w14:textId="77777777" w:rsidR="00756F0F" w:rsidRPr="00ED7E61" w:rsidRDefault="00756F0F" w:rsidP="00B10F0C">
      <w:pPr>
        <w:pStyle w:val="CBDNormalNumber"/>
        <w:numPr>
          <w:ilvl w:val="1"/>
          <w:numId w:val="80"/>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Number of countries/programmes/processes supporting customary sustainable use of indigenous peoples and local communities </w:t>
      </w:r>
    </w:p>
    <w:p w14:paraId="777122A6" w14:textId="77777777" w:rsidR="00756F0F" w:rsidRPr="00ED7E61" w:rsidRDefault="00756F0F" w:rsidP="00B10F0C">
      <w:pPr>
        <w:pStyle w:val="CBDNormalNumber"/>
        <w:numPr>
          <w:ilvl w:val="1"/>
          <w:numId w:val="80"/>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Number of Indigenous Peoples and local communities with plans for customary sustainable use/support for traditional occupations </w:t>
      </w:r>
    </w:p>
    <w:p w14:paraId="41727199" w14:textId="08C7D324" w:rsidR="00756F0F" w:rsidRPr="00181CB0" w:rsidRDefault="00756F0F" w:rsidP="00B10F0C">
      <w:pPr>
        <w:pStyle w:val="CBDNormalNumber"/>
        <w:numPr>
          <w:ilvl w:val="0"/>
          <w:numId w:val="80"/>
        </w:numPr>
        <w:ind w:left="567" w:firstLine="0"/>
        <w:rPr>
          <w:color w:val="000000"/>
          <w:lang w:val="en-US"/>
        </w:rPr>
      </w:pPr>
      <w:r w:rsidRPr="00ED7E61">
        <w:rPr>
          <w:color w:val="000000"/>
          <w:lang w:val="en-US"/>
        </w:rPr>
        <w:t>These aspects and proposals will need to be discussed and agreed before SBSTTA-26. </w:t>
      </w:r>
    </w:p>
    <w:p w14:paraId="5E7CC68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 Definitions, concepts and classifications</w:t>
      </w:r>
      <w:r w:rsidRPr="00ED7E61">
        <w:rPr>
          <w:rStyle w:val="eop"/>
          <w:rFonts w:asciiTheme="majorBidi" w:eastAsiaTheme="majorEastAsia" w:hAnsiTheme="majorBidi" w:cstheme="majorBidi"/>
          <w:sz w:val="22"/>
          <w:szCs w:val="22"/>
        </w:rPr>
        <w:t> </w:t>
      </w:r>
    </w:p>
    <w:p w14:paraId="73DA3CD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5a. Definition: </w:t>
      </w:r>
      <w:r w:rsidRPr="00ED7E61">
        <w:rPr>
          <w:rStyle w:val="eop"/>
          <w:rFonts w:asciiTheme="majorBidi" w:eastAsiaTheme="majorEastAsia" w:hAnsiTheme="majorBidi" w:cstheme="majorBidi"/>
          <w:sz w:val="22"/>
          <w:szCs w:val="22"/>
        </w:rPr>
        <w:t> </w:t>
      </w:r>
    </w:p>
    <w:p w14:paraId="165C8BE7" w14:textId="77777777" w:rsidR="00756F0F" w:rsidRPr="00ED7E61" w:rsidRDefault="00756F0F" w:rsidP="00B10F0C">
      <w:pPr>
        <w:pStyle w:val="CBDNormalNumber"/>
        <w:numPr>
          <w:ilvl w:val="0"/>
          <w:numId w:val="80"/>
        </w:numPr>
        <w:ind w:left="567" w:firstLine="0"/>
        <w:rPr>
          <w:rFonts w:asciiTheme="majorBidi" w:hAnsiTheme="majorBidi" w:cstheme="majorBidi"/>
        </w:rPr>
      </w:pPr>
      <w:r w:rsidRPr="00ED7E61">
        <w:rPr>
          <w:color w:val="000000"/>
          <w:lang w:val="en-US"/>
        </w:rPr>
        <w:t>Traditional</w:t>
      </w:r>
      <w:r w:rsidRPr="00ED7E61">
        <w:rPr>
          <w:rStyle w:val="normaltextrun"/>
          <w:rFonts w:asciiTheme="majorBidi" w:eastAsiaTheme="majorEastAsia" w:hAnsiTheme="majorBidi" w:cstheme="majorBidi"/>
        </w:rPr>
        <w:t xml:space="preserve"> occupations are generally understood as the activities that indigenous and tribal peoples have traditionally undertaken to provide for their subsistence needs and livelihoods. The practice of these occupations relies on intimate knowledge of ancestral lands, the environment, and natural resources passed on from generation to generation. These occupations and the skills and knowledge underlying them are not static. They have evolved over time and will continue to do so. The concept of traditional occupations to be measured in statistics should not therefore be limited to the economic and cultural activities that indigenous peoples have traditionally undertaken in the past, but should also embrace other occupations in which indigenous peoples are using their traditional knowledge today and will do so in the future, for example in life sciences, climate research and tourism. </w:t>
      </w:r>
      <w:r w:rsidRPr="00ED7E61">
        <w:rPr>
          <w:rStyle w:val="eop"/>
          <w:rFonts w:asciiTheme="majorBidi" w:eastAsiaTheme="majorEastAsia" w:hAnsiTheme="majorBidi" w:cstheme="majorBidi"/>
        </w:rPr>
        <w:t> </w:t>
      </w:r>
    </w:p>
    <w:p w14:paraId="776FCC32" w14:textId="77777777" w:rsidR="00756F0F" w:rsidRPr="00ED7E61" w:rsidRDefault="00756F0F" w:rsidP="00B10F0C">
      <w:pPr>
        <w:pStyle w:val="CBDNormalNumber"/>
        <w:numPr>
          <w:ilvl w:val="0"/>
          <w:numId w:val="80"/>
        </w:numPr>
        <w:ind w:left="567" w:firstLine="0"/>
        <w:rPr>
          <w:rFonts w:asciiTheme="majorBidi" w:hAnsiTheme="majorBidi" w:cstheme="majorBidi"/>
        </w:rPr>
      </w:pPr>
      <w:r w:rsidRPr="00ED7E61">
        <w:rPr>
          <w:color w:val="000000"/>
          <w:lang w:val="en-US"/>
        </w:rPr>
        <w:t>The</w:t>
      </w:r>
      <w:r w:rsidRPr="00ED7E61">
        <w:rPr>
          <w:rStyle w:val="normaltextrun"/>
          <w:rFonts w:asciiTheme="majorBidi" w:eastAsiaTheme="majorEastAsia" w:hAnsiTheme="majorBidi" w:cstheme="majorBidi"/>
        </w:rPr>
        <w:t xml:space="preserve"> concept of work adopted in 2013 by the 19th International Conference of Labour Statisticians for the purposes of official statistics is very broad and includes any activity performed by persons of any sex and age to produce goods or to provide services for use by others or for own use. Traditional occupations may be practised in any of the forms of work recognized in official labour statistics, including own-use production work, employment for pay or profit, unpaid trainee work, volunteer work, and other work activities. </w:t>
      </w:r>
      <w:r w:rsidRPr="00ED7E61">
        <w:rPr>
          <w:rStyle w:val="eop"/>
          <w:rFonts w:asciiTheme="majorBidi" w:eastAsiaTheme="majorEastAsia" w:hAnsiTheme="majorBidi" w:cstheme="majorBidi"/>
        </w:rPr>
        <w:t> </w:t>
      </w:r>
    </w:p>
    <w:p w14:paraId="16F98B9C" w14:textId="77777777" w:rsidR="00756F0F" w:rsidRPr="00ED7E61" w:rsidRDefault="00756F0F" w:rsidP="00B10F0C">
      <w:pPr>
        <w:pStyle w:val="CBDNormalNumber"/>
        <w:numPr>
          <w:ilvl w:val="0"/>
          <w:numId w:val="80"/>
        </w:numPr>
        <w:ind w:left="567" w:firstLine="0"/>
        <w:rPr>
          <w:rFonts w:asciiTheme="majorBidi" w:hAnsiTheme="majorBidi" w:cstheme="majorBidi"/>
        </w:rPr>
      </w:pPr>
      <w:r w:rsidRPr="00ED7E61">
        <w:rPr>
          <w:color w:val="000000"/>
          <w:lang w:val="en-US"/>
        </w:rPr>
        <w:t>For</w:t>
      </w:r>
      <w:r w:rsidRPr="00ED7E61">
        <w:rPr>
          <w:rStyle w:val="normaltextrun"/>
          <w:rFonts w:asciiTheme="majorBidi" w:eastAsiaTheme="majorEastAsia" w:hAnsiTheme="majorBidi" w:cstheme="majorBidi"/>
        </w:rPr>
        <w:t xml:space="preserve"> the purposes of this indicator, traditional occupations is defined as: </w:t>
      </w:r>
      <w:r w:rsidRPr="00ED7E61">
        <w:rPr>
          <w:rStyle w:val="eop"/>
          <w:rFonts w:asciiTheme="majorBidi" w:eastAsiaTheme="majorEastAsia" w:hAnsiTheme="majorBidi" w:cstheme="majorBidi"/>
        </w:rPr>
        <w:t> </w:t>
      </w:r>
    </w:p>
    <w:p w14:paraId="7E6D9372" w14:textId="77777777" w:rsidR="00756F0F" w:rsidRPr="00ED7E61" w:rsidRDefault="00756F0F" w:rsidP="00B10F0C">
      <w:pPr>
        <w:pStyle w:val="CBDNormalNumber"/>
        <w:numPr>
          <w:ilvl w:val="1"/>
          <w:numId w:val="80"/>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shd w:val="clear" w:color="auto" w:fill="FFFFFF"/>
        </w:rPr>
        <w:t>Traditional</w:t>
      </w:r>
      <w:r w:rsidRPr="00ED7E61">
        <w:rPr>
          <w:rStyle w:val="normaltextrun"/>
          <w:rFonts w:asciiTheme="majorBidi" w:eastAsiaTheme="majorEastAsia" w:hAnsiTheme="majorBidi" w:cstheme="majorBidi"/>
        </w:rPr>
        <w:t xml:space="preserve"> occupations are occupations in which indigenous knowledge, cultural practices, innovations and technologies may influence the way the work is performed, if the work is performed by a person who identifies as belonging to an indigenous or tribal group. Indigenous knowledge refers to the constantly evolving information, skills, practices, science and technology passed from generation to generation within an indigenous or tribal group. The work performed in traditional occupations embraces production of goods and services for own use and other forms of unpaid work including volunteer work and unpaid trainee work, as well as employment for pay or profit. </w:t>
      </w:r>
      <w:r w:rsidRPr="00ED7E61">
        <w:rPr>
          <w:rStyle w:val="eop"/>
          <w:rFonts w:asciiTheme="majorBidi" w:eastAsiaTheme="majorEastAsia" w:hAnsiTheme="majorBidi" w:cstheme="majorBidi"/>
        </w:rPr>
        <w:t> </w:t>
      </w:r>
    </w:p>
    <w:p w14:paraId="4CBE69F5" w14:textId="77777777" w:rsidR="00756F0F" w:rsidRPr="00ED7E61" w:rsidRDefault="00756F0F" w:rsidP="00B10F0C">
      <w:pPr>
        <w:pStyle w:val="CBDNormalNumber"/>
        <w:numPr>
          <w:ilvl w:val="0"/>
          <w:numId w:val="80"/>
        </w:numPr>
        <w:ind w:left="567" w:firstLine="0"/>
        <w:rPr>
          <w:rFonts w:asciiTheme="majorBidi" w:hAnsiTheme="majorBidi" w:cstheme="majorBidi"/>
        </w:rPr>
      </w:pPr>
      <w:r w:rsidRPr="00ED7E61">
        <w:rPr>
          <w:color w:val="000000"/>
          <w:lang w:val="en-US"/>
        </w:rPr>
        <w:t>For</w:t>
      </w:r>
      <w:r w:rsidRPr="00ED7E61">
        <w:rPr>
          <w:rStyle w:val="normaltextrun"/>
          <w:rFonts w:asciiTheme="majorBidi" w:eastAsiaTheme="majorEastAsia" w:hAnsiTheme="majorBidi" w:cstheme="majorBidi"/>
        </w:rPr>
        <w:t xml:space="preserve"> the operational measurement of traditional occupations, it is necessary to reflect this definition in terms of a set of occupations defined in a classification of occupations used for the compilation of official labour statistics. </w:t>
      </w:r>
      <w:r w:rsidRPr="00ED7E61">
        <w:rPr>
          <w:rStyle w:val="eop"/>
          <w:rFonts w:asciiTheme="majorBidi" w:eastAsiaTheme="majorEastAsia" w:hAnsiTheme="majorBidi" w:cstheme="majorBidi"/>
        </w:rPr>
        <w:t> </w:t>
      </w:r>
    </w:p>
    <w:p w14:paraId="3FF3CB6C" w14:textId="77777777" w:rsidR="00756F0F" w:rsidRPr="00ED7E61" w:rsidRDefault="00756F0F" w:rsidP="00B10F0C">
      <w:pPr>
        <w:pStyle w:val="CBDNormalNumber"/>
        <w:numPr>
          <w:ilvl w:val="0"/>
          <w:numId w:val="80"/>
        </w:numPr>
        <w:ind w:left="567" w:firstLine="0"/>
        <w:rPr>
          <w:rFonts w:asciiTheme="majorBidi" w:hAnsiTheme="majorBidi" w:cstheme="majorBidi"/>
        </w:rPr>
      </w:pPr>
      <w:r w:rsidRPr="00ED7E61">
        <w:rPr>
          <w:color w:val="000000"/>
          <w:lang w:val="en-US"/>
        </w:rPr>
        <w:t>The</w:t>
      </w:r>
      <w:r w:rsidRPr="00ED7E61">
        <w:rPr>
          <w:rStyle w:val="normaltextrun"/>
          <w:rFonts w:asciiTheme="majorBidi" w:eastAsiaTheme="majorEastAsia" w:hAnsiTheme="majorBidi" w:cstheme="majorBidi"/>
        </w:rPr>
        <w:t xml:space="preserve"> International Standard Classification of Occupations (ISCO-08) provides a system for classifying and aggregating occupational information obtained by means of statistical censuses and surveys, as well as from administrative records (see annex 1). Many national classifications are based on ISCO-08 or on its predecessor, ISCO-88. Some countries have national occupation classifications that are not based on ISCO, but in most cases it is possible to map data from detailed levels of the national classification to a relatively detailed level of ISCO08. In countries that have not developed their own national classifications, a version of ISCO may be used directly. ISCO-08 is a four-level, hierarchically structured classification that allows all jobs in the world to be classified into 436 unit groups. These groups form the most detailed level of the classification structure and are aggregated into 130 minor groups, 43 sub-major groups and 10 major groups, on the basis of their similarity in terms of the skill level and skill specialization required for the jobs. This allows the production of relatively detailed internationally comparable data as well as summary information for only ten groups at the highest level of aggregation. A subset of these unit groups (see annex) are used to identify jobs which could be considered as traditional occupations. However national occupation classification schemes may frequently identify specific occupations that fit within the definition of traditional occupations that are not separately identified in ISCO. It would be preferable in such cases, therefore, to identify the groups in the national classification that fit the definition of traditional occupations, using the agreed list of ISCO groups as guidance.</w:t>
      </w:r>
      <w:r w:rsidRPr="00ED7E61">
        <w:rPr>
          <w:rStyle w:val="eop"/>
          <w:rFonts w:asciiTheme="majorBidi" w:eastAsiaTheme="majorEastAsia" w:hAnsiTheme="majorBidi" w:cstheme="majorBidi"/>
        </w:rPr>
        <w:t> </w:t>
      </w:r>
    </w:p>
    <w:p w14:paraId="06CFCBE6" w14:textId="77777777" w:rsidR="00756F0F" w:rsidRPr="00ED7E61" w:rsidRDefault="00756F0F" w:rsidP="00B10F0C">
      <w:pPr>
        <w:pStyle w:val="CBDNormalNumber"/>
        <w:numPr>
          <w:ilvl w:val="0"/>
          <w:numId w:val="80"/>
        </w:numPr>
        <w:ind w:left="567" w:firstLine="0"/>
        <w:rPr>
          <w:rFonts w:asciiTheme="majorBidi" w:hAnsiTheme="majorBidi" w:cstheme="majorBidi"/>
        </w:rPr>
      </w:pPr>
      <w:r w:rsidRPr="00ED7E61">
        <w:rPr>
          <w:color w:val="000000"/>
          <w:lang w:val="en-US"/>
        </w:rPr>
        <w:t>There</w:t>
      </w:r>
      <w:r w:rsidRPr="00ED7E61">
        <w:rPr>
          <w:rStyle w:val="normaltextrun"/>
          <w:rFonts w:asciiTheme="majorBidi" w:eastAsiaTheme="majorEastAsia" w:hAnsiTheme="majorBidi" w:cstheme="majorBidi"/>
        </w:rPr>
        <w:t xml:space="preserve"> is no internally agreed definition of “</w:t>
      </w:r>
      <w:r w:rsidRPr="00FB1598">
        <w:rPr>
          <w:rStyle w:val="normaltextrun"/>
          <w:rFonts w:asciiTheme="majorBidi" w:eastAsiaTheme="majorEastAsia" w:hAnsiTheme="majorBidi" w:cstheme="majorBidi"/>
          <w:i/>
          <w:iCs/>
        </w:rPr>
        <w:t>indigenous peoples</w:t>
      </w:r>
      <w:r w:rsidRPr="00ED7E61">
        <w:rPr>
          <w:rStyle w:val="normaltextrun"/>
          <w:rFonts w:asciiTheme="majorBidi" w:eastAsiaTheme="majorEastAsia" w:hAnsiTheme="majorBidi" w:cstheme="majorBidi"/>
        </w:rPr>
        <w:t>”. However, individuals belonging to such a group would generally have an ancestral connection to the group and self-identify as a member of that group. The most appropriate approach to the design of questions to identify such people will vary between countries and regions depending on cultural perceptions about concepts of ethnicity and indigeneity, and the number and nature of the ethnic groups that need to be identified. </w:t>
      </w:r>
      <w:r w:rsidRPr="00ED7E61">
        <w:rPr>
          <w:rStyle w:val="eop"/>
          <w:rFonts w:asciiTheme="majorBidi" w:eastAsiaTheme="majorEastAsia" w:hAnsiTheme="majorBidi" w:cstheme="majorBidi"/>
        </w:rPr>
        <w:t> </w:t>
      </w:r>
    </w:p>
    <w:p w14:paraId="6CCDEBFA" w14:textId="77777777" w:rsidR="00756F0F" w:rsidRPr="00ED7E61" w:rsidRDefault="00756F0F" w:rsidP="00B10F0C">
      <w:pPr>
        <w:pStyle w:val="CBDNormalNumber"/>
        <w:numPr>
          <w:ilvl w:val="0"/>
          <w:numId w:val="80"/>
        </w:numPr>
        <w:ind w:left="567" w:firstLine="0"/>
        <w:rPr>
          <w:rFonts w:asciiTheme="majorBidi" w:hAnsiTheme="majorBidi" w:cstheme="majorBidi"/>
        </w:rPr>
      </w:pPr>
      <w:r w:rsidRPr="00ED7E61">
        <w:rPr>
          <w:rStyle w:val="normaltextrun"/>
          <w:rFonts w:asciiTheme="majorBidi" w:eastAsiaTheme="majorEastAsia" w:hAnsiTheme="majorBidi" w:cstheme="majorBidi"/>
        </w:rPr>
        <w:t>Many countries already have their own definitions or criteria, and information is generally collected through national census or surveys. Such national data collection exercises can be used to calculate the indicator.  </w:t>
      </w:r>
      <w:r w:rsidRPr="00ED7E61">
        <w:rPr>
          <w:rStyle w:val="eop"/>
          <w:rFonts w:asciiTheme="majorBidi" w:eastAsiaTheme="majorEastAsia" w:hAnsiTheme="majorBidi" w:cstheme="majorBidi"/>
        </w:rPr>
        <w:t> </w:t>
      </w:r>
    </w:p>
    <w:p w14:paraId="32E2C33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5b. Method of computation</w:t>
      </w:r>
      <w:r w:rsidRPr="00ED7E61">
        <w:rPr>
          <w:rStyle w:val="eop"/>
          <w:rFonts w:asciiTheme="majorBidi" w:eastAsiaTheme="majorEastAsia" w:hAnsiTheme="majorBidi" w:cstheme="majorBidi"/>
          <w:sz w:val="22"/>
          <w:szCs w:val="22"/>
        </w:rPr>
        <w:t> </w:t>
      </w:r>
    </w:p>
    <w:p w14:paraId="6F613307" w14:textId="10D1E143"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color w:val="000000"/>
        </w:rPr>
      </w:pPr>
      <w:r w:rsidRPr="00ED7E61">
        <w:rPr>
          <w:rStyle w:val="normaltextrun"/>
          <w:rFonts w:asciiTheme="majorBidi" w:eastAsiaTheme="majorEastAsia" w:hAnsiTheme="majorBidi" w:cstheme="majorBidi"/>
        </w:rPr>
        <w:t xml:space="preserve">The indicator will need to be measured across scales. Using the binary question below could be the first step to compute the indicator. </w:t>
      </w:r>
      <w:r w:rsidR="008D3953">
        <w:rPr>
          <w:rStyle w:val="normaltextrun"/>
          <w:rFonts w:asciiTheme="majorBidi" w:eastAsiaTheme="majorEastAsia" w:hAnsiTheme="majorBidi" w:cstheme="majorBidi"/>
        </w:rPr>
        <w:t>C</w:t>
      </w:r>
      <w:r w:rsidRPr="00ED7E61">
        <w:rPr>
          <w:rStyle w:val="normaltextrun"/>
          <w:rFonts w:asciiTheme="majorBidi" w:eastAsiaTheme="majorEastAsia" w:hAnsiTheme="majorBidi" w:cstheme="majorBidi"/>
        </w:rPr>
        <w:t xml:space="preserve">ountries could </w:t>
      </w:r>
      <w:r w:rsidR="008D3953">
        <w:rPr>
          <w:rStyle w:val="normaltextrun"/>
          <w:rFonts w:asciiTheme="majorBidi" w:eastAsiaTheme="majorEastAsia" w:hAnsiTheme="majorBidi" w:cstheme="majorBidi"/>
        </w:rPr>
        <w:t xml:space="preserve">also </w:t>
      </w:r>
      <w:r w:rsidRPr="00ED7E61">
        <w:rPr>
          <w:rStyle w:val="normaltextrun"/>
          <w:rFonts w:asciiTheme="majorBidi" w:eastAsiaTheme="majorEastAsia" w:hAnsiTheme="majorBidi" w:cstheme="majorBidi"/>
        </w:rPr>
        <w:t xml:space="preserve">be asked whether they offer programs focused on indigenous peoples and local communities engaged in traditional occupations. It is still to be determined if the question about programs will include the topics of some/co-management/full management of lands by IPs and LCs, use of Indigenous </w:t>
      </w:r>
      <w:r w:rsidR="008D3953" w:rsidRPr="00ED7E61">
        <w:rPr>
          <w:rStyle w:val="normaltextrun"/>
          <w:rFonts w:asciiTheme="majorBidi" w:eastAsiaTheme="majorEastAsia" w:hAnsiTheme="majorBidi" w:cstheme="majorBidi"/>
        </w:rPr>
        <w:t>Knowledge</w:t>
      </w:r>
      <w:r w:rsidRPr="00ED7E61">
        <w:rPr>
          <w:rStyle w:val="normaltextrun"/>
          <w:rFonts w:asciiTheme="majorBidi" w:eastAsiaTheme="majorEastAsia" w:hAnsiTheme="majorBidi" w:cstheme="majorBidi"/>
        </w:rPr>
        <w:t xml:space="preserve"> (IK) in land management, access to traditional foods, education policies promoting the learning of IPs and IK, and tourism. Similar questions asked for the land tenure and language indicators could also demonstrate the support of the right of traditional occupations. Case studies and community- based monitoring and information systems would allow countries to demonstrate if countries are upholding their customary sustainable use laws and policies and programs are achieving their goals. However, the exact computation is still to be determined.</w:t>
      </w:r>
      <w:r w:rsidRPr="00ED7E61">
        <w:rPr>
          <w:rStyle w:val="eop"/>
          <w:rFonts w:asciiTheme="majorBidi" w:eastAsiaTheme="majorEastAsia" w:hAnsiTheme="majorBidi" w:cstheme="majorBidi"/>
        </w:rPr>
        <w:t> </w:t>
      </w:r>
      <w:r w:rsidRPr="00ED7E61">
        <w:rPr>
          <w:rStyle w:val="normaltextrun"/>
          <w:rFonts w:asciiTheme="majorBidi" w:eastAsiaTheme="majorEastAsia" w:hAnsiTheme="majorBidi" w:cstheme="majorBidi"/>
          <w:color w:val="000000"/>
        </w:rPr>
        <w:t> </w:t>
      </w:r>
    </w:p>
    <w:p w14:paraId="7EEF76D2" w14:textId="77777777" w:rsidR="00756F0F" w:rsidRPr="00ED7E61" w:rsidRDefault="00756F0F" w:rsidP="00B10F0C">
      <w:pPr>
        <w:pStyle w:val="CBDNormalNumber"/>
        <w:numPr>
          <w:ilvl w:val="0"/>
          <w:numId w:val="80"/>
        </w:numPr>
        <w:ind w:left="567" w:firstLine="0"/>
        <w:rPr>
          <w:rFonts w:asciiTheme="majorBidi" w:hAnsiTheme="majorBidi" w:cstheme="majorBidi"/>
        </w:rPr>
      </w:pPr>
      <w:r w:rsidRPr="00ED7E61">
        <w:rPr>
          <w:rStyle w:val="normaltextrun"/>
          <w:rFonts w:asciiTheme="majorBidi" w:eastAsiaTheme="majorEastAsia" w:hAnsiTheme="majorBidi" w:cstheme="majorBidi"/>
        </w:rPr>
        <w:t>Global:</w:t>
      </w:r>
      <w:r w:rsidRPr="00ED7E61">
        <w:rPr>
          <w:rStyle w:val="eop"/>
          <w:rFonts w:asciiTheme="majorBidi" w:eastAsiaTheme="majorEastAsia" w:hAnsiTheme="majorBidi" w:cstheme="majorBidi"/>
        </w:rPr>
        <w:t> </w:t>
      </w:r>
    </w:p>
    <w:p w14:paraId="43AE4A0E" w14:textId="5D618061" w:rsidR="00756F0F" w:rsidRPr="00ED7E61" w:rsidRDefault="00756F0F" w:rsidP="00181CB0">
      <w:pPr>
        <w:pStyle w:val="CBDNormalNumber"/>
        <w:numPr>
          <w:ilvl w:val="0"/>
          <w:numId w:val="0"/>
        </w:numPr>
        <w:tabs>
          <w:tab w:val="clear" w:pos="567"/>
          <w:tab w:val="clear" w:pos="1134"/>
          <w:tab w:val="clear" w:pos="1701"/>
          <w:tab w:val="clear" w:pos="2268"/>
          <w:tab w:val="left" w:pos="1985"/>
        </w:tabs>
        <w:ind w:left="1332"/>
        <w:rPr>
          <w:rFonts w:asciiTheme="majorBidi" w:hAnsiTheme="majorBidi" w:cstheme="majorBidi"/>
        </w:rPr>
      </w:pPr>
      <w:r w:rsidRPr="00ED7E61">
        <w:rPr>
          <w:rStyle w:val="normaltextrun"/>
          <w:shd w:val="clear" w:color="auto" w:fill="FFFFFF"/>
        </w:rPr>
        <w:t>Data</w:t>
      </w:r>
      <w:r w:rsidRPr="00ED7E61">
        <w:rPr>
          <w:rStyle w:val="normaltextrun"/>
          <w:rFonts w:asciiTheme="majorBidi" w:eastAsiaTheme="majorEastAsia" w:hAnsiTheme="majorBidi" w:cstheme="majorBidi"/>
        </w:rPr>
        <w:t xml:space="preserve"> collection found there was very little standardized data about </w:t>
      </w:r>
      <w:r w:rsidR="008D3953">
        <w:rPr>
          <w:rStyle w:val="normaltextrun"/>
          <w:rFonts w:asciiTheme="majorBidi" w:eastAsiaTheme="majorEastAsia" w:hAnsiTheme="majorBidi" w:cstheme="majorBidi"/>
        </w:rPr>
        <w:t>i</w:t>
      </w:r>
      <w:r w:rsidRPr="00ED7E61">
        <w:rPr>
          <w:rStyle w:val="normaltextrun"/>
          <w:rFonts w:asciiTheme="majorBidi" w:eastAsiaTheme="majorEastAsia" w:hAnsiTheme="majorBidi" w:cstheme="majorBidi"/>
        </w:rPr>
        <w:t xml:space="preserve">ndigenous </w:t>
      </w:r>
      <w:r w:rsidR="008D3953">
        <w:rPr>
          <w:rStyle w:val="normaltextrun"/>
          <w:rFonts w:asciiTheme="majorBidi" w:eastAsiaTheme="majorEastAsia" w:hAnsiTheme="majorBidi" w:cstheme="majorBidi"/>
        </w:rPr>
        <w:t>p</w:t>
      </w:r>
      <w:r w:rsidRPr="00ED7E61">
        <w:rPr>
          <w:rStyle w:val="normaltextrun"/>
          <w:rFonts w:asciiTheme="majorBidi" w:eastAsiaTheme="majorEastAsia" w:hAnsiTheme="majorBidi" w:cstheme="majorBidi"/>
        </w:rPr>
        <w:t xml:space="preserve">eoples and </w:t>
      </w:r>
      <w:r w:rsidR="008D3953">
        <w:rPr>
          <w:rStyle w:val="normaltextrun"/>
          <w:rFonts w:asciiTheme="majorBidi" w:eastAsiaTheme="majorEastAsia" w:hAnsiTheme="majorBidi" w:cstheme="majorBidi"/>
        </w:rPr>
        <w:t>l</w:t>
      </w:r>
      <w:r w:rsidRPr="00ED7E61">
        <w:rPr>
          <w:rStyle w:val="normaltextrun"/>
          <w:rFonts w:asciiTheme="majorBidi" w:eastAsiaTheme="majorEastAsia" w:hAnsiTheme="majorBidi" w:cstheme="majorBidi"/>
        </w:rPr>
        <w:t xml:space="preserve">ocal </w:t>
      </w:r>
      <w:r w:rsidR="008D3953">
        <w:rPr>
          <w:rStyle w:val="normaltextrun"/>
          <w:rFonts w:asciiTheme="majorBidi" w:eastAsiaTheme="majorEastAsia" w:hAnsiTheme="majorBidi" w:cstheme="majorBidi"/>
        </w:rPr>
        <w:t>c</w:t>
      </w:r>
      <w:r w:rsidRPr="00ED7E61">
        <w:rPr>
          <w:rStyle w:val="normaltextrun"/>
          <w:rFonts w:asciiTheme="majorBidi" w:eastAsiaTheme="majorEastAsia" w:hAnsiTheme="majorBidi" w:cstheme="majorBidi"/>
        </w:rPr>
        <w:t>ommunities and traditional occupations </w:t>
      </w:r>
      <w:r w:rsidRPr="00ED7E61">
        <w:rPr>
          <w:rStyle w:val="eop"/>
          <w:rFonts w:asciiTheme="majorBidi" w:eastAsiaTheme="majorEastAsia" w:hAnsiTheme="majorBidi" w:cstheme="majorBidi"/>
        </w:rPr>
        <w:t> </w:t>
      </w:r>
    </w:p>
    <w:p w14:paraId="105BC6FE"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National</w:t>
      </w:r>
      <w:r w:rsidRPr="00ED7E61">
        <w:rPr>
          <w:rStyle w:val="eop"/>
          <w:rFonts w:asciiTheme="majorBidi" w:eastAsiaTheme="majorEastAsia" w:hAnsiTheme="majorBidi" w:cstheme="majorBidi"/>
        </w:rPr>
        <w:t> </w:t>
      </w:r>
    </w:p>
    <w:p w14:paraId="2BEDB1D3" w14:textId="77777777" w:rsidR="00756F0F" w:rsidRPr="00ED7E61" w:rsidRDefault="00756F0F" w:rsidP="00181CB0">
      <w:pPr>
        <w:pStyle w:val="CBDNormalNumber"/>
        <w:numPr>
          <w:ilvl w:val="0"/>
          <w:numId w:val="0"/>
        </w:numPr>
        <w:tabs>
          <w:tab w:val="clear" w:pos="567"/>
          <w:tab w:val="clear" w:pos="1134"/>
          <w:tab w:val="clear" w:pos="1701"/>
          <w:tab w:val="clear" w:pos="2268"/>
          <w:tab w:val="left" w:pos="1985"/>
        </w:tabs>
        <w:ind w:left="1332"/>
        <w:rPr>
          <w:rStyle w:val="normaltextrun"/>
          <w:shd w:val="clear" w:color="auto" w:fill="FFFFFF"/>
        </w:rPr>
      </w:pPr>
      <w:r w:rsidRPr="00ED7E61">
        <w:rPr>
          <w:rStyle w:val="normaltextrun"/>
          <w:shd w:val="clear" w:color="auto" w:fill="FFFFFF"/>
        </w:rPr>
        <w:t>Between the discussions with the staff of the International Labour Office and their 2023 Traditional Occupations of Indigenous and Tribal Peoples in Labour Statistics it became clear due to the lack of inclusion of IPs and Local Communities (LC) in countries’ census processes it is difficult to measure this indicator on a global and national level. Instead as described above of other possible ways to compute this indicator.  </w:t>
      </w:r>
    </w:p>
    <w:p w14:paraId="58CBC44B"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Community</w:t>
      </w:r>
      <w:r w:rsidRPr="00ED7E61">
        <w:rPr>
          <w:rStyle w:val="eop"/>
          <w:rFonts w:asciiTheme="majorBidi" w:eastAsiaTheme="majorEastAsia" w:hAnsiTheme="majorBidi" w:cstheme="majorBidi"/>
        </w:rPr>
        <w:t> </w:t>
      </w:r>
    </w:p>
    <w:p w14:paraId="1C364684" w14:textId="77777777" w:rsidR="00756F0F" w:rsidRPr="00ED7E61" w:rsidRDefault="00756F0F" w:rsidP="00181CB0">
      <w:pPr>
        <w:pStyle w:val="CBDNormalNumber"/>
        <w:numPr>
          <w:ilvl w:val="0"/>
          <w:numId w:val="0"/>
        </w:numPr>
        <w:tabs>
          <w:tab w:val="clear" w:pos="567"/>
          <w:tab w:val="clear" w:pos="1134"/>
          <w:tab w:val="clear" w:pos="1701"/>
          <w:tab w:val="clear" w:pos="2268"/>
          <w:tab w:val="left" w:pos="1985"/>
        </w:tabs>
        <w:ind w:left="1332"/>
        <w:rPr>
          <w:rStyle w:val="normaltextrun"/>
          <w:shd w:val="clear" w:color="auto" w:fill="FFFFFF"/>
        </w:rPr>
      </w:pPr>
      <w:r w:rsidRPr="00ED7E61">
        <w:rPr>
          <w:rStyle w:val="normaltextrun"/>
          <w:shd w:val="clear" w:color="auto" w:fill="FFFFFF"/>
        </w:rPr>
        <w:t>Data collection demonstrated there are available sources of community -based monitoring and information systems and case studies that could provide both quantitative and qualitative date  </w:t>
      </w:r>
    </w:p>
    <w:p w14:paraId="693C048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3E8783D1" w14:textId="69A2E43F"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Forest Peoples Program (FPP) collaborated with a team at the University of Michigan (UM) to research what data is available about traditional occupations, what are the themes, and how is the data presented. After multiple meetings and including a meeting with FPP staff and International Labor Office [ILO] staff the UM team decided to create a spreadsheet and focus on four resources to research. The four resources included the Indigenous Navigator (found 39 entries that matched the key word searches), Local Biodiversity Outlook (49 different case studies/community based monitoring and information systems entries), academic articles (51 articles found and used Google Scholar), and media sources (10 sources found, but limited time spent on search. The UM team used agreed-upon keywords for searches like livelihoods, co-management, traditional occupation, and subsistence. </w:t>
      </w:r>
      <w:r w:rsidR="008D3953">
        <w:rPr>
          <w:rStyle w:val="normaltextrun"/>
          <w:rFonts w:asciiTheme="majorBidi" w:eastAsiaTheme="majorEastAsia" w:hAnsiTheme="majorBidi" w:cstheme="majorBidi"/>
        </w:rPr>
        <w:t>Y</w:t>
      </w:r>
      <w:r w:rsidRPr="00ED7E61">
        <w:rPr>
          <w:rStyle w:val="normaltextrun"/>
          <w:rFonts w:asciiTheme="majorBidi" w:eastAsiaTheme="majorEastAsia" w:hAnsiTheme="majorBidi" w:cstheme="majorBidi"/>
        </w:rPr>
        <w:t xml:space="preserve">ears parameters for searches were 2011-2023. They produced </w:t>
      </w:r>
      <w:r w:rsidR="008D3953">
        <w:rPr>
          <w:rStyle w:val="normaltextrun"/>
          <w:rFonts w:asciiTheme="majorBidi" w:eastAsiaTheme="majorEastAsia" w:hAnsiTheme="majorBidi" w:cstheme="majorBidi"/>
        </w:rPr>
        <w:t xml:space="preserve">a </w:t>
      </w:r>
      <w:r w:rsidRPr="00ED7E61">
        <w:rPr>
          <w:rStyle w:val="normaltextrun"/>
          <w:rFonts w:asciiTheme="majorBidi" w:eastAsiaTheme="majorEastAsia" w:hAnsiTheme="majorBidi" w:cstheme="majorBidi"/>
        </w:rPr>
        <w:t>spreadsheet</w:t>
      </w:r>
      <w:r w:rsidR="008D3953">
        <w:rPr>
          <w:rStyle w:val="FootnoteReference"/>
          <w:rFonts w:asciiTheme="majorBidi" w:eastAsiaTheme="majorEastAsia" w:hAnsiTheme="majorBidi" w:cstheme="majorBidi"/>
        </w:rPr>
        <w:footnoteReference w:id="43"/>
      </w:r>
      <w:r w:rsidRPr="00ED7E61">
        <w:rPr>
          <w:rStyle w:val="normaltextrun"/>
          <w:rFonts w:asciiTheme="majorBidi" w:eastAsiaTheme="majorEastAsia" w:hAnsiTheme="majorBidi" w:cstheme="majorBidi"/>
        </w:rPr>
        <w:t>, which includes 43 countries, which means the country appeared in at least one of the four search areas and sometimes more than one. </w:t>
      </w:r>
      <w:r w:rsidRPr="00ED7E61">
        <w:rPr>
          <w:rStyle w:val="eop"/>
          <w:rFonts w:asciiTheme="majorBidi" w:eastAsiaTheme="majorEastAsia" w:hAnsiTheme="majorBidi" w:cstheme="majorBidi"/>
        </w:rPr>
        <w:t> </w:t>
      </w:r>
    </w:p>
    <w:p w14:paraId="6A4A2426" w14:textId="74FBB968" w:rsidR="00756F0F" w:rsidRPr="00ED7E61" w:rsidRDefault="00756F0F" w:rsidP="005B0D1E">
      <w:pPr>
        <w:pStyle w:val="paragraph"/>
        <w:spacing w:before="0" w:beforeAutospacing="0" w:after="0" w:afterAutospacing="0"/>
        <w:textAlignment w:val="baseline"/>
        <w:rPr>
          <w:rStyle w:val="normaltextrun"/>
          <w:rFonts w:eastAsiaTheme="majorEastAsia"/>
          <w:lang w:val="en-GB"/>
        </w:rPr>
      </w:pPr>
      <w:r w:rsidRPr="00ED7E61">
        <w:rPr>
          <w:rStyle w:val="normaltextrun"/>
          <w:rFonts w:asciiTheme="majorBidi" w:eastAsiaTheme="majorEastAsia" w:hAnsiTheme="majorBidi" w:cstheme="majorBidi"/>
          <w:b/>
          <w:bCs/>
          <w:sz w:val="22"/>
          <w:szCs w:val="22"/>
          <w:lang w:val="en-GB"/>
        </w:rPr>
        <w:t xml:space="preserve">5d. Accessibility </w:t>
      </w:r>
      <w:r w:rsidRPr="00ED7E61">
        <w:rPr>
          <w:rStyle w:val="normaltextrun"/>
          <w:rFonts w:asciiTheme="majorBidi" w:eastAsiaTheme="majorEastAsia" w:hAnsiTheme="majorBidi" w:cstheme="majorBidi"/>
          <w:sz w:val="22"/>
          <w:szCs w:val="22"/>
          <w:lang w:val="en-GB"/>
        </w:rPr>
        <w:t>of methodology</w:t>
      </w:r>
      <w:r w:rsidRPr="00ED7E61">
        <w:rPr>
          <w:rStyle w:val="normaltextrun"/>
          <w:rFonts w:eastAsiaTheme="majorEastAsia"/>
          <w:lang w:val="en-GB"/>
        </w:rPr>
        <w:t> </w:t>
      </w:r>
    </w:p>
    <w:p w14:paraId="3959AF3B" w14:textId="291B30C9"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The methodology is not currently published in a peer-reviewed location. The spreadsheet is open to anyone with a link and there are further links in the spreadsheet to the four different types of research areas. However, some of the academic articles are not open source and behind a paywall. People can access the websites of the Indigenous Navigator and the Local Biodiversity Outlook on their own. A 2023 discussion paper </w:t>
      </w:r>
      <w:r w:rsidRPr="00ED7E61">
        <w:rPr>
          <w:rStyle w:val="normaltextrun"/>
          <w:rFonts w:asciiTheme="majorBidi" w:eastAsiaTheme="majorEastAsia" w:hAnsiTheme="majorBidi" w:cstheme="majorBidi"/>
          <w:i/>
          <w:iCs/>
        </w:rPr>
        <w:t>Traditional Occupations of Indigenous and Tribal Peoples in Labour Statistics</w:t>
      </w:r>
      <w:r w:rsidRPr="00ED7E61">
        <w:rPr>
          <w:rStyle w:val="normaltextrun"/>
          <w:rFonts w:asciiTheme="majorBidi" w:eastAsiaTheme="majorEastAsia" w:hAnsiTheme="majorBidi" w:cstheme="majorBidi"/>
        </w:rPr>
        <w:t xml:space="preserve"> has been prepared by the International Labour Organization which provides further information, including on the limitations of this approach (T</w:t>
      </w:r>
      <w:r w:rsidRPr="00ED7E61">
        <w:rPr>
          <w:rStyle w:val="normaltextrun"/>
          <w:rFonts w:asciiTheme="majorBidi" w:eastAsiaTheme="majorEastAsia" w:hAnsiTheme="majorBidi" w:cstheme="majorBidi"/>
          <w:i/>
          <w:iCs/>
        </w:rPr>
        <w:t>raditional Occupations of Indigenous and Tribal Peoples in Labour Statistics</w:t>
      </w:r>
      <w:r w:rsidRPr="00ED7E61">
        <w:rPr>
          <w:rStyle w:val="normaltextrun"/>
          <w:rFonts w:asciiTheme="majorBidi" w:eastAsiaTheme="majorEastAsia" w:hAnsiTheme="majorBidi" w:cstheme="majorBidi"/>
        </w:rPr>
        <w:t>. Geneva: International Labour Office, 2023).</w:t>
      </w:r>
      <w:r w:rsidRPr="00ED7E61">
        <w:rPr>
          <w:rStyle w:val="eop"/>
          <w:rFonts w:asciiTheme="majorBidi" w:eastAsiaTheme="majorEastAsia" w:hAnsiTheme="majorBidi" w:cstheme="majorBidi"/>
        </w:rPr>
        <w:t> </w:t>
      </w:r>
    </w:p>
    <w:p w14:paraId="40A433B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7660BFAE" w14:textId="132B5814"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data collected so far included data and information from the Indigenous Navigator, Local Biodiversity Outlook, media articles from both news, United Nations, and NGO sources, and peer reviewed journal articles. In the ILO report there are micro analys</w:t>
      </w:r>
      <w:r w:rsidR="005068D9">
        <w:rPr>
          <w:rStyle w:val="normaltextrun"/>
          <w:rFonts w:asciiTheme="majorBidi" w:eastAsiaTheme="majorEastAsia" w:hAnsiTheme="majorBidi" w:cstheme="majorBidi"/>
        </w:rPr>
        <w:t>e</w:t>
      </w:r>
      <w:r w:rsidRPr="00ED7E61">
        <w:rPr>
          <w:rStyle w:val="normaltextrun"/>
          <w:rFonts w:asciiTheme="majorBidi" w:eastAsiaTheme="majorEastAsia" w:hAnsiTheme="majorBidi" w:cstheme="majorBidi"/>
        </w:rPr>
        <w:t>s of multiple countries. </w:t>
      </w:r>
      <w:r w:rsidRPr="00ED7E61">
        <w:rPr>
          <w:rStyle w:val="eop"/>
          <w:rFonts w:asciiTheme="majorBidi" w:eastAsiaTheme="majorEastAsia" w:hAnsiTheme="majorBidi" w:cstheme="majorBidi"/>
        </w:rPr>
        <w:t> </w:t>
      </w:r>
    </w:p>
    <w:p w14:paraId="78A66BFF"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There are multiple Indigenous-led organizations like the Inuit Circumpolar Council-Alaska that provide case studies in order to apply this indicator. </w:t>
      </w:r>
      <w:r w:rsidRPr="00ED7E61">
        <w:rPr>
          <w:rStyle w:val="eop"/>
          <w:rFonts w:asciiTheme="majorBidi" w:eastAsiaTheme="majorEastAsia" w:hAnsiTheme="majorBidi" w:cstheme="majorBidi"/>
        </w:rPr>
        <w:t> </w:t>
      </w:r>
    </w:p>
    <w:p w14:paraId="238A042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00CE4961"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indicator is currently in development. The global monitoring process for this indicator, the update frequency and release calendar are currently under development. The year when the first round of data will be ready is pending.</w:t>
      </w:r>
      <w:r w:rsidRPr="00ED7E61">
        <w:rPr>
          <w:rStyle w:val="eop"/>
          <w:rFonts w:asciiTheme="majorBidi" w:eastAsiaTheme="majorEastAsia" w:hAnsiTheme="majorBidi" w:cstheme="majorBidi"/>
        </w:rPr>
        <w:t> </w:t>
      </w:r>
    </w:p>
    <w:p w14:paraId="04E1AF5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1111AD6"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indicator is under development. To be determined. The University of Michigan team researched from the years 2011-2023</w:t>
      </w:r>
      <w:r w:rsidRPr="00ED7E61">
        <w:rPr>
          <w:rStyle w:val="eop"/>
          <w:rFonts w:asciiTheme="majorBidi" w:eastAsiaTheme="majorEastAsia" w:hAnsiTheme="majorBidi" w:cstheme="majorBidi"/>
        </w:rPr>
        <w:t> </w:t>
      </w:r>
    </w:p>
    <w:p w14:paraId="683F74D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657248AD" w14:textId="77777777" w:rsidR="00756F0F" w:rsidRPr="00ED7E61" w:rsidRDefault="00756F0F" w:rsidP="00181CB0">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International Labor Organization (ILO)</w:t>
      </w:r>
      <w:r w:rsidRPr="00ED7E61">
        <w:rPr>
          <w:rStyle w:val="normaltextrun"/>
        </w:rPr>
        <w:t> </w:t>
      </w:r>
    </w:p>
    <w:p w14:paraId="6C5AF641" w14:textId="77777777" w:rsidR="00756F0F" w:rsidRPr="00ED7E61" w:rsidRDefault="00756F0F" w:rsidP="00181CB0">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Indigenous Navigator supported by IWGIA, Tebtebba, AIPP, Forest Peoples Programme and the Danish Institute for Human Rights, with the support of the European Union </w:t>
      </w:r>
      <w:r w:rsidRPr="00ED7E61">
        <w:rPr>
          <w:rStyle w:val="normaltextrun"/>
        </w:rPr>
        <w:t> </w:t>
      </w:r>
    </w:p>
    <w:p w14:paraId="78A5FA8B" w14:textId="77777777" w:rsidR="00756F0F" w:rsidRPr="00ED7E61" w:rsidRDefault="00756F0F" w:rsidP="00181CB0">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Local Biodiversity Outlook International Indigenous Forum on Biodiversity, Indigenous Women’s Biodiversity Network, Forest Peoples Programe</w:t>
      </w:r>
      <w:r w:rsidRPr="00ED7E61">
        <w:rPr>
          <w:rStyle w:val="normaltextrun"/>
        </w:rPr>
        <w:t> </w:t>
      </w:r>
    </w:p>
    <w:p w14:paraId="1289AC19" w14:textId="77777777" w:rsidR="00756F0F" w:rsidRPr="00ED7E61" w:rsidRDefault="00756F0F" w:rsidP="00181CB0">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Media– Mongabay, WWF, Vox, Grist, UNESCO, and IISD</w:t>
      </w:r>
      <w:r w:rsidRPr="00ED7E61">
        <w:rPr>
          <w:rStyle w:val="normaltextrun"/>
        </w:rPr>
        <w:t> </w:t>
      </w:r>
    </w:p>
    <w:p w14:paraId="469BE976" w14:textId="77777777" w:rsidR="00756F0F" w:rsidRPr="00ED7E61" w:rsidRDefault="00756F0F" w:rsidP="00181CB0">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Academic Journals-Biological Conservation, Forests,The International Journal of Climate Change: Impacts and Responses, Health &amp; Place, Development and Change, Marine Policy, Forest Ecology and Management, Identities, Journal of Ethnobiology and Ethnomedicine, Habitat International, BMC Public Health, International Journal for Equity in Health, and more</w:t>
      </w:r>
      <w:r w:rsidRPr="00ED7E61">
        <w:rPr>
          <w:rStyle w:val="normaltextrun"/>
        </w:rPr>
        <w:t> </w:t>
      </w:r>
    </w:p>
    <w:p w14:paraId="66583E6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25F4D96"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Forest Peoples Programme (FPP), are leading the development of the indicator, together with the International Labor Organization (ILO) and the team from the University of Michigan.  [To be determined] would be a potential custodian for the indicator working in collaboration with CBD Secretariat. </w:t>
      </w:r>
      <w:r w:rsidRPr="00ED7E61">
        <w:rPr>
          <w:rStyle w:val="eop"/>
          <w:rFonts w:asciiTheme="majorBidi" w:eastAsiaTheme="majorEastAsia" w:hAnsiTheme="majorBidi" w:cstheme="majorBidi"/>
        </w:rPr>
        <w:t> </w:t>
      </w:r>
    </w:p>
    <w:p w14:paraId="7D304E9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55C11720" w14:textId="63D3E042" w:rsidR="00C93B0B"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indicator is under development. To be determined.</w:t>
      </w:r>
      <w:r w:rsidRPr="00ED7E61">
        <w:rPr>
          <w:rStyle w:val="eop"/>
          <w:rFonts w:asciiTheme="majorBidi" w:eastAsiaTheme="majorEastAsia" w:hAnsiTheme="majorBidi" w:cstheme="majorBidi"/>
        </w:rPr>
        <w:t> </w:t>
      </w:r>
    </w:p>
    <w:p w14:paraId="747BBA2F" w14:textId="00DEAE91" w:rsidR="00C93B0B"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Overall, there is a lack of national statistics for traditional occupations. Part of this comes from the lack of questions asking if someone is Indigenous national censuses (ILO 2023). Even if IPs are included in the national census the population is too small to be considered statistically significant.  In their 2023 report ILO recommends microdata analysis, </w:t>
      </w:r>
      <w:r w:rsidR="005068D9" w:rsidRPr="00ED7E61">
        <w:rPr>
          <w:rStyle w:val="normaltextrun"/>
          <w:rFonts w:asciiTheme="majorBidi" w:eastAsiaTheme="majorEastAsia" w:hAnsiTheme="majorBidi" w:cstheme="majorBidi"/>
        </w:rPr>
        <w:t>labour</w:t>
      </w:r>
      <w:r w:rsidRPr="00ED7E61">
        <w:rPr>
          <w:rStyle w:val="normaltextrun"/>
          <w:rFonts w:asciiTheme="majorBidi" w:eastAsiaTheme="majorEastAsia" w:hAnsiTheme="majorBidi" w:cstheme="majorBidi"/>
        </w:rPr>
        <w:t xml:space="preserve"> force survey, surveys targeting Indigenous Peoples, time-use surveys, population census, economic data collections, and administrative records to create a statistically significant measure.-include global</w:t>
      </w:r>
      <w:r w:rsidRPr="00ED7E61">
        <w:rPr>
          <w:rStyle w:val="eop"/>
          <w:rFonts w:asciiTheme="majorBidi" w:eastAsiaTheme="majorEastAsia" w:hAnsiTheme="majorBidi" w:cstheme="majorBidi"/>
        </w:rPr>
        <w:t> </w:t>
      </w:r>
    </w:p>
    <w:p w14:paraId="38260649" w14:textId="79DBA619" w:rsidR="00C93B0B"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The data currently includes 43 countries. The Indigenous Navigator currently covers 30 countries with national partners using the Indigenous Navigator surveys with 300 </w:t>
      </w:r>
      <w:r w:rsidR="005068D9" w:rsidRPr="00ED7E61">
        <w:rPr>
          <w:rStyle w:val="normaltextrun"/>
          <w:rFonts w:asciiTheme="majorBidi" w:eastAsiaTheme="majorEastAsia" w:hAnsiTheme="majorBidi" w:cstheme="majorBidi"/>
        </w:rPr>
        <w:t>communities</w:t>
      </w:r>
      <w:r w:rsidRPr="00ED7E61">
        <w:rPr>
          <w:rStyle w:val="normaltextrun"/>
          <w:rFonts w:asciiTheme="majorBidi" w:eastAsiaTheme="majorEastAsia" w:hAnsiTheme="majorBidi" w:cstheme="majorBidi"/>
        </w:rPr>
        <w:t>. In the Local Biodiversity Outlook just over 20 countries’ case studies met the research criteria. There are many more countries signed on to the CBD. To further develop and operationalize this indicator it should be decided what sources are approved to use their case studies and community based monitoring and information systems. </w:t>
      </w:r>
      <w:r w:rsidRPr="00ED7E61">
        <w:rPr>
          <w:rStyle w:val="eop"/>
          <w:rFonts w:asciiTheme="majorBidi" w:eastAsiaTheme="majorEastAsia" w:hAnsiTheme="majorBidi" w:cstheme="majorBidi"/>
        </w:rPr>
        <w:t> </w:t>
      </w:r>
    </w:p>
    <w:p w14:paraId="6FF55B67"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definition of traditional occupation is very broad so the data compilers narrowed down what occupational to research. Those occupations focused on agricultural, forestry and fishery labourers, education, health, and tourism. The occupation research is a brief summary and more research could be conducted and data gather. Also it excludes other possible occupations.</w:t>
      </w:r>
      <w:r w:rsidRPr="00ED7E61">
        <w:rPr>
          <w:rStyle w:val="eop"/>
          <w:rFonts w:asciiTheme="majorBidi" w:eastAsiaTheme="majorEastAsia" w:hAnsiTheme="majorBidi" w:cstheme="majorBidi"/>
        </w:rPr>
        <w:t> </w:t>
      </w:r>
    </w:p>
    <w:p w14:paraId="32C07A2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5k. Treatment of missing values</w:t>
      </w:r>
      <w:r w:rsidRPr="00ED7E61">
        <w:rPr>
          <w:rStyle w:val="eop"/>
          <w:rFonts w:asciiTheme="majorBidi" w:eastAsiaTheme="majorEastAsia" w:hAnsiTheme="majorBidi" w:cstheme="majorBidi"/>
          <w:sz w:val="22"/>
          <w:szCs w:val="22"/>
        </w:rPr>
        <w:t> </w:t>
      </w:r>
    </w:p>
    <w:p w14:paraId="1D19F345"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indicator is under development. To be determined.</w:t>
      </w:r>
      <w:r w:rsidRPr="00ED7E61">
        <w:rPr>
          <w:rStyle w:val="eop"/>
          <w:rFonts w:asciiTheme="majorBidi" w:eastAsiaTheme="majorEastAsia" w:hAnsiTheme="majorBidi" w:cstheme="majorBidi"/>
        </w:rPr>
        <w:t> </w:t>
      </w:r>
    </w:p>
    <w:p w14:paraId="0796692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 Scale</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304C8A6E" w14:textId="77777777" w:rsidR="00756F0F" w:rsidRPr="00ED7E61" w:rsidRDefault="00756F0F" w:rsidP="00B554BF">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6a. Scale of use </w:t>
      </w:r>
      <w:r w:rsidRPr="00ED7E61">
        <w:rPr>
          <w:rStyle w:val="eop"/>
          <w:rFonts w:asciiTheme="majorBidi" w:eastAsiaTheme="majorEastAsia" w:hAnsiTheme="majorBidi" w:cstheme="majorBidi"/>
          <w:sz w:val="22"/>
          <w:szCs w:val="22"/>
        </w:rPr>
        <w:t> </w:t>
      </w:r>
    </w:p>
    <w:p w14:paraId="03677D93"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indicator data will be more qualitative for the time being before it can be scaled to a global level. </w:t>
      </w:r>
      <w:r w:rsidRPr="00ED7E61">
        <w:rPr>
          <w:rStyle w:val="eop"/>
          <w:rFonts w:asciiTheme="majorBidi" w:eastAsiaTheme="majorEastAsia" w:hAnsiTheme="majorBidi" w:cstheme="majorBidi"/>
        </w:rPr>
        <w:t> </w:t>
      </w:r>
    </w:p>
    <w:p w14:paraId="73A4CF69" w14:textId="48550CA8" w:rsidR="00756F0F" w:rsidRPr="00ED7E61" w:rsidRDefault="00756F0F" w:rsidP="005B0D1E">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lang w:val="en-GB"/>
        </w:rPr>
        <w:t>6b. National/regional indicator production </w:t>
      </w:r>
      <w:r w:rsidRPr="00ED7E61">
        <w:rPr>
          <w:rStyle w:val="eop"/>
          <w:rFonts w:asciiTheme="majorBidi" w:eastAsiaTheme="majorEastAsia" w:hAnsiTheme="majorBidi" w:cstheme="majorBidi"/>
          <w:sz w:val="22"/>
          <w:szCs w:val="22"/>
        </w:rPr>
        <w:t> </w:t>
      </w:r>
    </w:p>
    <w:p w14:paraId="14B5DA38"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indicator is under development.</w:t>
      </w:r>
      <w:r w:rsidRPr="00ED7E61">
        <w:rPr>
          <w:rStyle w:val="eop"/>
          <w:rFonts w:asciiTheme="majorBidi" w:eastAsiaTheme="majorEastAsia" w:hAnsiTheme="majorBidi" w:cstheme="majorBidi"/>
        </w:rPr>
        <w:t> </w:t>
      </w:r>
    </w:p>
    <w:p w14:paraId="1F815F8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6c. Sources of differences between global and national figures</w:t>
      </w:r>
      <w:r w:rsidRPr="00ED7E61">
        <w:rPr>
          <w:rStyle w:val="eop"/>
          <w:rFonts w:asciiTheme="majorBidi" w:eastAsiaTheme="majorEastAsia" w:hAnsiTheme="majorBidi" w:cstheme="majorBidi"/>
          <w:sz w:val="22"/>
          <w:szCs w:val="22"/>
        </w:rPr>
        <w:t> </w:t>
      </w:r>
    </w:p>
    <w:p w14:paraId="413B6975"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indicator is under development but no discrepancies are anticipated given the data collection method.</w:t>
      </w:r>
      <w:r w:rsidRPr="00ED7E61">
        <w:rPr>
          <w:rStyle w:val="eop"/>
          <w:rFonts w:asciiTheme="majorBidi" w:eastAsiaTheme="majorEastAsia" w:hAnsiTheme="majorBidi" w:cstheme="majorBidi"/>
        </w:rPr>
        <w:t> </w:t>
      </w:r>
    </w:p>
    <w:p w14:paraId="1F49810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6d. Regional and global estimates &amp; data collection for global monitoring</w:t>
      </w:r>
      <w:r w:rsidRPr="00ED7E61">
        <w:rPr>
          <w:rStyle w:val="eop"/>
          <w:rFonts w:asciiTheme="majorBidi" w:eastAsiaTheme="majorEastAsia" w:hAnsiTheme="majorBidi" w:cstheme="majorBidi"/>
          <w:sz w:val="22"/>
          <w:szCs w:val="22"/>
        </w:rPr>
        <w:t> </w:t>
      </w:r>
    </w:p>
    <w:p w14:paraId="61E8978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6d.1 Description of the methodology</w:t>
      </w:r>
      <w:r w:rsidRPr="00ED7E61">
        <w:rPr>
          <w:rStyle w:val="eop"/>
          <w:rFonts w:asciiTheme="majorBidi" w:eastAsiaTheme="majorEastAsia" w:hAnsiTheme="majorBidi" w:cstheme="majorBidi"/>
          <w:sz w:val="22"/>
          <w:szCs w:val="22"/>
        </w:rPr>
        <w:t> </w:t>
      </w:r>
    </w:p>
    <w:p w14:paraId="33090A27"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Regional and global estimates are produced by aggregating country-level data.</w:t>
      </w:r>
      <w:r w:rsidRPr="00ED7E61">
        <w:rPr>
          <w:rStyle w:val="eop"/>
          <w:rFonts w:asciiTheme="majorBidi" w:eastAsiaTheme="majorEastAsia" w:hAnsiTheme="majorBidi" w:cstheme="majorBidi"/>
        </w:rPr>
        <w:t> </w:t>
      </w:r>
    </w:p>
    <w:p w14:paraId="6B098A8B" w14:textId="0849BF92" w:rsidR="00756F0F" w:rsidRPr="00ED7E61" w:rsidRDefault="00756F0F" w:rsidP="00C93B0B">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i/>
          <w:iCs/>
          <w:sz w:val="22"/>
          <w:szCs w:val="22"/>
          <w:lang w:val="en-GB"/>
        </w:rPr>
        <w:t>6d.2 Additional methodological details</w:t>
      </w:r>
      <w:r w:rsidRPr="00ED7E61">
        <w:rPr>
          <w:rStyle w:val="eop"/>
          <w:rFonts w:asciiTheme="majorBidi" w:eastAsiaTheme="majorEastAsia" w:hAnsiTheme="majorBidi" w:cstheme="majorBidi"/>
          <w:sz w:val="22"/>
          <w:szCs w:val="22"/>
        </w:rPr>
        <w:t> </w:t>
      </w:r>
    </w:p>
    <w:p w14:paraId="6814ED68" w14:textId="77777777" w:rsidR="00756F0F" w:rsidRPr="00ED7E61" w:rsidRDefault="00756F0F" w:rsidP="00B554BF">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i/>
          <w:iCs/>
        </w:rPr>
        <w:t>N/A</w:t>
      </w:r>
      <w:r w:rsidRPr="00ED7E61">
        <w:rPr>
          <w:rStyle w:val="eop"/>
          <w:rFonts w:asciiTheme="majorBidi" w:eastAsiaTheme="majorEastAsia" w:hAnsiTheme="majorBidi" w:cstheme="majorBidi"/>
        </w:rPr>
        <w:t> </w:t>
      </w:r>
    </w:p>
    <w:p w14:paraId="05E492D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6d.3 Description of the mechanism for collecting data from countries</w:t>
      </w:r>
      <w:r w:rsidRPr="00ED7E61">
        <w:rPr>
          <w:rStyle w:val="eop"/>
          <w:rFonts w:asciiTheme="majorBidi" w:eastAsiaTheme="majorEastAsia" w:hAnsiTheme="majorBidi" w:cstheme="majorBidi"/>
          <w:sz w:val="22"/>
          <w:szCs w:val="22"/>
        </w:rPr>
        <w:t> </w:t>
      </w:r>
    </w:p>
    <w:p w14:paraId="2CE0FBD9"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i/>
          <w:iCs/>
        </w:rPr>
        <w:t>The</w:t>
      </w:r>
      <w:r w:rsidRPr="00ED7E61">
        <w:rPr>
          <w:rStyle w:val="normaltextrun"/>
          <w:rFonts w:asciiTheme="majorBidi" w:eastAsiaTheme="majorEastAsia" w:hAnsiTheme="majorBidi" w:cstheme="majorBidi"/>
        </w:rPr>
        <w:t xml:space="preserve"> data for the indicator would be collected across the national and community scales. </w:t>
      </w:r>
      <w:r w:rsidRPr="00ED7E61">
        <w:rPr>
          <w:rStyle w:val="eop"/>
          <w:rFonts w:asciiTheme="majorBidi" w:eastAsiaTheme="majorEastAsia" w:hAnsiTheme="majorBidi" w:cstheme="majorBidi"/>
        </w:rPr>
        <w:t> </w:t>
      </w:r>
    </w:p>
    <w:p w14:paraId="4E2A75D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 Other MEAs, processes and organisations</w:t>
      </w:r>
      <w:r w:rsidRPr="00ED7E61">
        <w:rPr>
          <w:rStyle w:val="eop"/>
          <w:rFonts w:asciiTheme="majorBidi" w:eastAsiaTheme="majorEastAsia" w:hAnsiTheme="majorBidi" w:cstheme="majorBidi"/>
          <w:sz w:val="22"/>
          <w:szCs w:val="22"/>
        </w:rPr>
        <w:t> </w:t>
      </w:r>
    </w:p>
    <w:p w14:paraId="4DF7BA4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33B23BB1"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The indicator was adopted by the Conference of the Parties to the Convention on Biological Diversity through </w:t>
      </w:r>
      <w:hyperlink r:id="rId482" w:tgtFrame="_blank" w:history="1">
        <w:r w:rsidRPr="00ED7E61">
          <w:rPr>
            <w:rStyle w:val="normaltextrun"/>
            <w:rFonts w:asciiTheme="majorBidi" w:eastAsiaTheme="majorEastAsia" w:hAnsiTheme="majorBidi" w:cstheme="majorBidi"/>
            <w:color w:val="0563C1"/>
            <w:u w:val="single"/>
          </w:rPr>
          <w:t>decision X/43</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57A8BF7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7FC6A4C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color w:val="000000"/>
          <w:sz w:val="22"/>
          <w:szCs w:val="22"/>
          <w:lang w:val="en-GB"/>
        </w:rPr>
        <w:t>Yes:</w:t>
      </w:r>
      <w:r w:rsidRPr="00ED7E61">
        <w:rPr>
          <w:rStyle w:val="normaltextrun"/>
          <w:rFonts w:ascii="Segoe UI Symbol" w:eastAsiaTheme="majorEastAsia" w:hAnsi="Segoe UI Symbol" w:cs="Segoe UI Symbol"/>
          <w:color w:val="000000"/>
          <w:sz w:val="22"/>
          <w:szCs w:val="22"/>
          <w:lang w:val="en-GB"/>
        </w:rPr>
        <w:t>☐</w:t>
      </w:r>
      <w:r w:rsidRPr="00ED7E61">
        <w:rPr>
          <w:rStyle w:val="normaltextrun"/>
          <w:rFonts w:asciiTheme="majorBidi" w:eastAsiaTheme="majorEastAsia" w:hAnsiTheme="majorBidi" w:cstheme="majorBidi"/>
          <w:color w:val="000000"/>
          <w:sz w:val="22"/>
          <w:szCs w:val="22"/>
          <w:lang w:val="en-GB"/>
        </w:rPr>
        <w:t xml:space="preserve"> No:</w:t>
      </w:r>
      <w:r w:rsidRPr="00ED7E61">
        <w:rPr>
          <w:rStyle w:val="normaltextrun"/>
          <w:rFonts w:ascii="Segoe UI Symbol" w:eastAsiaTheme="majorEastAsia" w:hAnsi="Segoe UI Symbol" w:cs="Segoe UI Symbol"/>
          <w:color w:val="000000"/>
          <w:sz w:val="22"/>
          <w:szCs w:val="22"/>
          <w:lang w:val="en-GB"/>
        </w:rPr>
        <w:t>☒</w:t>
      </w:r>
      <w:r w:rsidRPr="00ED7E61">
        <w:rPr>
          <w:rStyle w:val="normaltextrun"/>
          <w:rFonts w:asciiTheme="majorBidi" w:eastAsiaTheme="majorEastAsia" w:hAnsiTheme="majorBidi" w:cstheme="majorBidi"/>
          <w:color w:val="000000"/>
          <w:sz w:val="22"/>
          <w:szCs w:val="22"/>
          <w:lang w:val="en-GB"/>
        </w:rPr>
        <w:t> </w:t>
      </w:r>
      <w:r w:rsidRPr="00ED7E61">
        <w:rPr>
          <w:rStyle w:val="eop"/>
          <w:rFonts w:asciiTheme="majorBidi" w:eastAsiaTheme="majorEastAsia" w:hAnsiTheme="majorBidi" w:cstheme="majorBidi"/>
          <w:color w:val="000000"/>
          <w:sz w:val="22"/>
          <w:szCs w:val="22"/>
        </w:rPr>
        <w:t> </w:t>
      </w:r>
    </w:p>
    <w:p w14:paraId="02AC50FF" w14:textId="361F4E4C" w:rsidR="00756F0F" w:rsidRPr="00ED7E61" w:rsidRDefault="00756F0F" w:rsidP="00B554BF">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 xml:space="preserve">8. </w:t>
      </w:r>
      <w:r w:rsidR="00047A98" w:rsidRPr="00ED7E61">
        <w:rPr>
          <w:rStyle w:val="normaltextrun"/>
          <w:rFonts w:asciiTheme="majorBidi" w:eastAsiaTheme="majorEastAsia" w:hAnsiTheme="majorBidi" w:cstheme="majorBidi"/>
          <w:b/>
          <w:bCs/>
          <w:sz w:val="22"/>
          <w:szCs w:val="22"/>
          <w:lang w:val="en-GB"/>
        </w:rPr>
        <w:t xml:space="preserve">Possible </w:t>
      </w:r>
      <w:r w:rsidRPr="00ED7E61">
        <w:rPr>
          <w:rStyle w:val="normaltextrun"/>
          <w:rFonts w:asciiTheme="majorBidi" w:eastAsiaTheme="majorEastAsia" w:hAnsiTheme="majorBidi" w:cstheme="majorBidi"/>
          <w:b/>
          <w:bCs/>
          <w:sz w:val="22"/>
          <w:szCs w:val="22"/>
          <w:lang w:val="en-GB"/>
        </w:rPr>
        <w:t>Disaggregation</w:t>
      </w:r>
      <w:r w:rsidR="00047A98" w:rsidRPr="00ED7E61">
        <w:rPr>
          <w:rStyle w:val="normaltextrun"/>
          <w:rFonts w:asciiTheme="majorBidi" w:eastAsiaTheme="majorEastAsia" w:hAnsiTheme="majorBidi" w:cstheme="majorBidi"/>
          <w:b/>
          <w:bCs/>
          <w:sz w:val="22"/>
          <w:szCs w:val="22"/>
          <w:lang w:val="en-GB"/>
        </w:rPr>
        <w:t>s</w:t>
      </w:r>
      <w:r w:rsidRPr="00ED7E61">
        <w:rPr>
          <w:rStyle w:val="eop"/>
          <w:rFonts w:asciiTheme="majorBidi" w:eastAsiaTheme="majorEastAsia" w:hAnsiTheme="majorBidi" w:cstheme="majorBidi"/>
          <w:sz w:val="22"/>
          <w:szCs w:val="22"/>
        </w:rPr>
        <w:t> </w:t>
      </w:r>
    </w:p>
    <w:p w14:paraId="27ABECED" w14:textId="1046FB5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Disaggregation could be possible through case studies and community based monitoring and information systems based on the data provided by the communities. </w:t>
      </w:r>
      <w:r w:rsidRPr="00ED7E61">
        <w:rPr>
          <w:rStyle w:val="eop"/>
          <w:rFonts w:asciiTheme="majorBidi" w:eastAsiaTheme="majorEastAsia" w:hAnsiTheme="majorBidi" w:cstheme="majorBidi"/>
        </w:rPr>
        <w:t> </w:t>
      </w:r>
    </w:p>
    <w:p w14:paraId="09AD12F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color w:val="000000"/>
          <w:sz w:val="22"/>
          <w:szCs w:val="22"/>
          <w:lang w:val="en-GB"/>
        </w:rPr>
        <w:t>9. Related goals, targets and indicators</w:t>
      </w:r>
      <w:r w:rsidRPr="00ED7E61">
        <w:rPr>
          <w:rStyle w:val="eop"/>
          <w:rFonts w:asciiTheme="majorBidi" w:eastAsiaTheme="majorEastAsia" w:hAnsiTheme="majorBidi" w:cstheme="majorBidi"/>
          <w:color w:val="000000"/>
          <w:sz w:val="22"/>
          <w:szCs w:val="22"/>
        </w:rPr>
        <w:t> </w:t>
      </w:r>
    </w:p>
    <w:p w14:paraId="4FBDA0E4"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Depending on the finalization of the indicator, it may be relevant to goal B as well as several other targets, particularly targets 1, 3, 5, 9, 10, 11, 19, and 22, 23. </w:t>
      </w:r>
      <w:r w:rsidRPr="00ED7E61">
        <w:rPr>
          <w:rStyle w:val="eop"/>
          <w:rFonts w:asciiTheme="majorBidi" w:eastAsiaTheme="majorEastAsia" w:hAnsiTheme="majorBidi" w:cstheme="majorBidi"/>
        </w:rPr>
        <w:t> </w:t>
      </w:r>
    </w:p>
    <w:p w14:paraId="38D21AC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6F5A16DD" w14:textId="2F4CC68E" w:rsidR="00756F0F" w:rsidRPr="00ED7E61" w:rsidRDefault="00756F0F" w:rsidP="00C87939">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C87939">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6E2BFC91" w14:textId="77777777" w:rsidR="00756F0F" w:rsidRPr="00ED7E61" w:rsidRDefault="00756F0F" w:rsidP="00B10F0C">
      <w:pPr>
        <w:pStyle w:val="CBDNormalNumber"/>
        <w:numPr>
          <w:ilvl w:val="0"/>
          <w:numId w:val="80"/>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Indicator under development. To be determined. </w:t>
      </w:r>
      <w:r w:rsidRPr="00ED7E61">
        <w:rPr>
          <w:rStyle w:val="eop"/>
          <w:rFonts w:asciiTheme="majorBidi" w:eastAsiaTheme="majorEastAsia" w:hAnsiTheme="majorBidi" w:cstheme="majorBidi"/>
        </w:rPr>
        <w:t> </w:t>
      </w:r>
    </w:p>
    <w:p w14:paraId="2885304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156FA747" w14:textId="72EF2B84" w:rsidR="00C93B0B" w:rsidRPr="00ED7E61" w:rsidRDefault="00756F0F" w:rsidP="00D45252">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Indicator under development. To be determined. </w:t>
      </w:r>
      <w:r w:rsidRPr="00ED7E61">
        <w:rPr>
          <w:rStyle w:val="eop"/>
          <w:rFonts w:asciiTheme="majorBidi" w:eastAsiaTheme="majorEastAsia" w:hAnsiTheme="majorBidi" w:cstheme="majorBidi"/>
        </w:rPr>
        <w:t> </w:t>
      </w:r>
    </w:p>
    <w:p w14:paraId="2B6F4341" w14:textId="56BB78CA" w:rsidR="00C93B0B" w:rsidRPr="00ED7E61" w:rsidRDefault="002F1008" w:rsidP="00D45252">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Q”apaj Conde, Secretariat of the Convention on Biological Diversity (qapaj.conde@un.org)</w:t>
      </w:r>
    </w:p>
    <w:p w14:paraId="2CB7B8EE" w14:textId="77777777" w:rsidR="00756F0F" w:rsidRPr="00ED7E61" w:rsidRDefault="00756F0F" w:rsidP="00C93B0B">
      <w:pPr>
        <w:pStyle w:val="paragraph"/>
        <w:pBdr>
          <w:bottom w:val="single" w:sz="4" w:space="1" w:color="000000"/>
        </w:pBdr>
        <w:spacing w:before="0" w:beforeAutospacing="0" w:after="0" w:afterAutospacing="0"/>
        <w:textAlignment w:val="baseline"/>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t>11. References</w:t>
      </w:r>
      <w:r w:rsidRPr="00ED7E61">
        <w:rPr>
          <w:rStyle w:val="normaltextrun"/>
          <w:rFonts w:eastAsiaTheme="majorEastAsia"/>
          <w:b/>
          <w:bCs/>
          <w:lang w:val="en-GB"/>
        </w:rPr>
        <w:t> </w:t>
      </w:r>
    </w:p>
    <w:p w14:paraId="1F3E588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shd w:val="clear" w:color="auto" w:fill="FFFFFF"/>
          <w:lang w:val="en-GB"/>
        </w:rPr>
        <w:t>Websites</w:t>
      </w:r>
      <w:r w:rsidRPr="00ED7E61">
        <w:rPr>
          <w:rStyle w:val="eop"/>
          <w:rFonts w:asciiTheme="majorBidi" w:eastAsiaTheme="majorEastAsia" w:hAnsiTheme="majorBidi" w:cstheme="majorBidi"/>
          <w:sz w:val="22"/>
          <w:szCs w:val="22"/>
        </w:rPr>
        <w:t> </w:t>
      </w:r>
    </w:p>
    <w:p w14:paraId="09B891DC" w14:textId="164346F3" w:rsidR="00C93B0B" w:rsidRPr="009E462F" w:rsidRDefault="00756F0F" w:rsidP="00D45252">
      <w:pPr>
        <w:pStyle w:val="CBDNormalNumber"/>
        <w:numPr>
          <w:ilvl w:val="0"/>
          <w:numId w:val="0"/>
        </w:numPr>
        <w:shd w:val="clear" w:color="auto" w:fill="FFFFFF"/>
        <w:ind w:left="567"/>
        <w:rPr>
          <w:rFonts w:asciiTheme="majorBidi" w:hAnsiTheme="majorBidi" w:cstheme="majorBidi"/>
          <w:lang w:val="en-US"/>
        </w:rPr>
      </w:pPr>
      <w:r w:rsidRPr="009E462F">
        <w:rPr>
          <w:rStyle w:val="normaltextrun"/>
          <w:rFonts w:asciiTheme="majorBidi" w:eastAsiaTheme="majorEastAsia" w:hAnsiTheme="majorBidi" w:cstheme="majorBidi"/>
          <w:lang w:val="en-US"/>
        </w:rPr>
        <w:t>Indigenous</w:t>
      </w:r>
      <w:r w:rsidRPr="009E462F">
        <w:rPr>
          <w:rStyle w:val="normaltextrun"/>
          <w:rFonts w:asciiTheme="majorBidi" w:eastAsiaTheme="majorEastAsia" w:hAnsiTheme="majorBidi" w:cstheme="majorBidi"/>
          <w:shd w:val="clear" w:color="auto" w:fill="FFFFFF"/>
          <w:lang w:val="en-US"/>
        </w:rPr>
        <w:t xml:space="preserve"> Navigator:</w:t>
      </w:r>
      <w:hyperlink r:id="rId483" w:tgtFrame="_blank" w:history="1">
        <w:r w:rsidRPr="009E462F">
          <w:rPr>
            <w:rStyle w:val="normaltextrun"/>
            <w:rFonts w:asciiTheme="majorBidi" w:eastAsiaTheme="majorEastAsia" w:hAnsiTheme="majorBidi" w:cstheme="majorBidi"/>
            <w:color w:val="0000FF"/>
            <w:shd w:val="clear" w:color="auto" w:fill="FFFFFF"/>
            <w:lang w:val="en-US"/>
          </w:rPr>
          <w:t xml:space="preserve"> </w:t>
        </w:r>
      </w:hyperlink>
      <w:hyperlink r:id="rId484" w:tgtFrame="_blank" w:history="1">
        <w:r w:rsidRPr="009E462F">
          <w:rPr>
            <w:rStyle w:val="normaltextrun"/>
            <w:rFonts w:asciiTheme="majorBidi" w:eastAsiaTheme="majorEastAsia" w:hAnsiTheme="majorBidi" w:cstheme="majorBidi"/>
            <w:color w:val="1155CC"/>
            <w:u w:val="single"/>
            <w:shd w:val="clear" w:color="auto" w:fill="FFFFFF"/>
            <w:lang w:val="en-US"/>
          </w:rPr>
          <w:t>https://indigenousnavigator.org/</w:t>
        </w:r>
      </w:hyperlink>
      <w:r w:rsidRPr="009E462F">
        <w:rPr>
          <w:rStyle w:val="eop"/>
          <w:rFonts w:asciiTheme="majorBidi" w:eastAsiaTheme="majorEastAsia" w:hAnsiTheme="majorBidi" w:cstheme="majorBidi"/>
          <w:color w:val="1155CC"/>
          <w:lang w:val="en-US"/>
        </w:rPr>
        <w:t> </w:t>
      </w:r>
    </w:p>
    <w:p w14:paraId="5DF46532" w14:textId="03FA9A6D" w:rsidR="00C93B0B" w:rsidRPr="00ED7E61" w:rsidRDefault="00756F0F" w:rsidP="00D45252">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shd w:val="clear" w:color="auto" w:fill="FFFFFF"/>
        </w:rPr>
        <w:t xml:space="preserve">Local Biodiversity Outlook: </w:t>
      </w:r>
      <w:hyperlink r:id="rId485" w:tgtFrame="_blank" w:history="1">
        <w:r w:rsidRPr="00ED7E61">
          <w:rPr>
            <w:rStyle w:val="normaltextrun"/>
            <w:rFonts w:asciiTheme="majorBidi" w:eastAsiaTheme="majorEastAsia" w:hAnsiTheme="majorBidi" w:cstheme="majorBidi"/>
            <w:color w:val="467886"/>
            <w:u w:val="single"/>
            <w:shd w:val="clear" w:color="auto" w:fill="FFFFFF"/>
          </w:rPr>
          <w:t>https://localbiodiversityoutlooks.net</w:t>
        </w:r>
      </w:hyperlink>
      <w:r w:rsidRPr="00ED7E61">
        <w:rPr>
          <w:rStyle w:val="normaltextrun"/>
          <w:rFonts w:asciiTheme="majorBidi" w:eastAsiaTheme="majorEastAsia" w:hAnsiTheme="majorBidi" w:cstheme="majorBidi"/>
          <w:shd w:val="clear" w:color="auto" w:fill="FFFFFF"/>
        </w:rPr>
        <w:t> </w:t>
      </w:r>
      <w:r w:rsidRPr="00ED7E61">
        <w:rPr>
          <w:rStyle w:val="eop"/>
          <w:rFonts w:asciiTheme="majorBidi" w:eastAsiaTheme="majorEastAsia" w:hAnsiTheme="majorBidi" w:cstheme="majorBidi"/>
        </w:rPr>
        <w:t> </w:t>
      </w:r>
    </w:p>
    <w:p w14:paraId="505730CC" w14:textId="22B26EC1" w:rsidR="00C93B0B" w:rsidRPr="00ED7E61" w:rsidRDefault="00756F0F" w:rsidP="00D45252">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i/>
          <w:iCs/>
        </w:rPr>
        <w:t>Traditional Occupations of Indigenous and Tribal Peoples in Labour Statistics</w:t>
      </w:r>
      <w:r w:rsidRPr="00ED7E61">
        <w:rPr>
          <w:rStyle w:val="normaltextrun"/>
          <w:rFonts w:asciiTheme="majorBidi" w:eastAsiaTheme="majorEastAsia" w:hAnsiTheme="majorBidi" w:cstheme="majorBidi"/>
        </w:rPr>
        <w:t xml:space="preserve">, Geneva: International Labour Office, 2023: </w:t>
      </w:r>
      <w:hyperlink r:id="rId486" w:tgtFrame="_blank" w:history="1">
        <w:r w:rsidRPr="00ED7E61">
          <w:rPr>
            <w:rStyle w:val="normaltextrun"/>
            <w:rFonts w:asciiTheme="majorBidi" w:eastAsiaTheme="majorEastAsia" w:hAnsiTheme="majorBidi" w:cstheme="majorBidi"/>
            <w:color w:val="1155CC"/>
            <w:u w:val="single"/>
          </w:rPr>
          <w:t>https://www.ilo.org/global/publications/WCMS_862144/lang--en/index.htm</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5616941C" w14:textId="77777777" w:rsidR="00756F0F" w:rsidRPr="00ED7E61" w:rsidRDefault="00756F0F" w:rsidP="00D45252">
      <w:pPr>
        <w:pStyle w:val="CBDNormalNumber"/>
        <w:numPr>
          <w:ilvl w:val="0"/>
          <w:numId w:val="0"/>
        </w:numPr>
        <w:shd w:val="clear" w:color="auto" w:fill="FFFFFF"/>
        <w:ind w:left="567"/>
        <w:rPr>
          <w:rFonts w:asciiTheme="majorBidi" w:hAnsiTheme="majorBidi" w:cstheme="majorBidi"/>
        </w:rPr>
      </w:pPr>
      <w:hyperlink r:id="rId487" w:tgtFrame="_blank" w:history="1">
        <w:r w:rsidRPr="00ED7E61">
          <w:rPr>
            <w:rStyle w:val="normaltextrun"/>
            <w:rFonts w:asciiTheme="majorBidi" w:eastAsiaTheme="majorEastAsia" w:hAnsiTheme="majorBidi" w:cstheme="majorBidi"/>
            <w:color w:val="1155CC"/>
            <w:u w:val="single"/>
          </w:rPr>
          <w:t>Team from University of Michigan's Spreadsheet</w:t>
        </w:r>
      </w:hyperlink>
      <w:r w:rsidRPr="00ED7E61">
        <w:rPr>
          <w:rStyle w:val="eop"/>
          <w:rFonts w:asciiTheme="majorBidi" w:eastAsiaTheme="majorEastAsia" w:hAnsiTheme="majorBidi" w:cstheme="majorBidi"/>
        </w:rPr>
        <w:t> </w:t>
      </w:r>
    </w:p>
    <w:p w14:paraId="3B3CE2F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12. Graphs and diagrams</w:t>
      </w:r>
      <w:r w:rsidRPr="00ED7E61">
        <w:rPr>
          <w:rStyle w:val="eop"/>
          <w:rFonts w:asciiTheme="majorBidi" w:eastAsiaTheme="majorEastAsia" w:hAnsiTheme="majorBidi" w:cstheme="majorBidi"/>
          <w:sz w:val="22"/>
          <w:szCs w:val="22"/>
        </w:rPr>
        <w:t> </w:t>
      </w:r>
    </w:p>
    <w:p w14:paraId="29DC140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4B802E94" w14:textId="77777777" w:rsidR="00756F0F" w:rsidRPr="000C7B63" w:rsidRDefault="00756F0F" w:rsidP="0001254A">
      <w:pPr>
        <w:pStyle w:val="paragraph"/>
        <w:pBdr>
          <w:bottom w:val="single" w:sz="8" w:space="1" w:color="auto"/>
        </w:pBdr>
        <w:spacing w:before="240" w:beforeAutospacing="0" w:after="0" w:afterAutospacing="0"/>
        <w:textAlignment w:val="baseline"/>
        <w:rPr>
          <w:rFonts w:asciiTheme="majorBidi" w:hAnsiTheme="majorBidi" w:cstheme="majorBidi"/>
          <w:b/>
          <w:bCs/>
          <w:sz w:val="22"/>
          <w:szCs w:val="22"/>
        </w:rPr>
      </w:pPr>
      <w:r w:rsidRPr="00B568F4">
        <w:rPr>
          <w:rStyle w:val="normaltextrun"/>
          <w:rFonts w:asciiTheme="majorBidi" w:eastAsiaTheme="majorEastAsia" w:hAnsiTheme="majorBidi" w:cstheme="majorBidi"/>
          <w:b/>
          <w:bCs/>
          <w:sz w:val="22"/>
          <w:szCs w:val="22"/>
          <w:lang w:val="en-GB"/>
        </w:rPr>
        <w:t>Annex 1</w:t>
      </w:r>
      <w:r w:rsidRPr="000C7B63">
        <w:rPr>
          <w:rStyle w:val="eop"/>
          <w:rFonts w:asciiTheme="majorBidi" w:eastAsiaTheme="majorEastAsia" w:hAnsiTheme="majorBidi" w:cstheme="majorBidi"/>
          <w:b/>
          <w:bCs/>
          <w:sz w:val="22"/>
          <w:szCs w:val="22"/>
        </w:rPr>
        <w:t> </w:t>
      </w:r>
    </w:p>
    <w:p w14:paraId="3A8B236C" w14:textId="004353C1" w:rsidR="00C93B0B" w:rsidRPr="00ED7E61" w:rsidRDefault="00756F0F" w:rsidP="00B10F0C">
      <w:pPr>
        <w:pStyle w:val="CBDNormalNumber"/>
        <w:numPr>
          <w:ilvl w:val="0"/>
          <w:numId w:val="83"/>
        </w:numPr>
        <w:shd w:val="clear" w:color="auto" w:fill="FFFFFF"/>
        <w:tabs>
          <w:tab w:val="clear" w:pos="1701"/>
        </w:tabs>
        <w:ind w:left="567" w:hanging="24"/>
        <w:rPr>
          <w:rFonts w:asciiTheme="majorBidi" w:hAnsiTheme="majorBidi" w:cstheme="majorBidi"/>
        </w:rPr>
      </w:pPr>
      <w:r w:rsidRPr="00ED7E61">
        <w:rPr>
          <w:rStyle w:val="normaltextrun"/>
          <w:rFonts w:asciiTheme="majorBidi" w:eastAsiaTheme="majorEastAsia" w:hAnsiTheme="majorBidi" w:cstheme="majorBidi"/>
        </w:rPr>
        <w:t>ISCO-08 groups to be used for operational measurement of traditional occupations when information on the use of indigenous knowledge at work is not directly available. </w:t>
      </w:r>
      <w:r w:rsidRPr="00ED7E61">
        <w:rPr>
          <w:rStyle w:val="eop"/>
          <w:rFonts w:asciiTheme="majorBidi" w:eastAsiaTheme="majorEastAsia" w:hAnsiTheme="majorBidi" w:cstheme="majorBidi"/>
        </w:rPr>
        <w:t> </w:t>
      </w:r>
    </w:p>
    <w:p w14:paraId="36429405" w14:textId="42A26C84" w:rsidR="00C93B0B" w:rsidRPr="00ED7E61" w:rsidRDefault="00756F0F" w:rsidP="00B10F0C">
      <w:pPr>
        <w:pStyle w:val="CBDNormalNumber"/>
        <w:numPr>
          <w:ilvl w:val="0"/>
          <w:numId w:val="8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Unit groups</w:t>
      </w:r>
      <w:r w:rsidR="00C93B0B"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The following ISCO-08 unit groups could be used or help guide relevant categories in national occupation classification schemes. In addition, all unit groups in sub-major group 92 (Agricultural, forestry and fishery labourers) should be included if the status in employment of the indigenous worker is employer, independent worker without employees (own-account worker), or contributing family worker</w:t>
      </w:r>
      <w:r w:rsidR="00C93B0B"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0759DF4D" w14:textId="156B1D31" w:rsidR="00C93B0B"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1113 Traditional Chiefs and Heads of Villages  </w:t>
      </w:r>
    </w:p>
    <w:p w14:paraId="47471088"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2131 Biologists, Botanists, Zoologists and Related Professionals  </w:t>
      </w:r>
    </w:p>
    <w:p w14:paraId="0C520554"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2132 Farming, Forestry and Fisheries Advisers  </w:t>
      </w:r>
    </w:p>
    <w:p w14:paraId="41A32BC7"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2133 Environmental Protection Professionals  </w:t>
      </w:r>
    </w:p>
    <w:p w14:paraId="2BD336FA"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2230 Traditional and complementary medical practitioners  </w:t>
      </w:r>
    </w:p>
    <w:p w14:paraId="60F0EBCF"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2341 Primary School Teachers  </w:t>
      </w:r>
    </w:p>
    <w:p w14:paraId="15935FFC"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2342 Early Childhood Educators  </w:t>
      </w:r>
    </w:p>
    <w:p w14:paraId="51D5FCB8"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2354 Other Music Teachers  </w:t>
      </w:r>
    </w:p>
    <w:p w14:paraId="194D0533"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2355 Other Arts Teachers  </w:t>
      </w:r>
    </w:p>
    <w:p w14:paraId="3ACD2DA6"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2641 Authors and Related Writers  </w:t>
      </w:r>
    </w:p>
    <w:p w14:paraId="6C5D1504"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2642 Journalists  </w:t>
      </w:r>
    </w:p>
    <w:p w14:paraId="49FC20E1"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2643 Translators, Interpreters and Other Linguists  </w:t>
      </w:r>
    </w:p>
    <w:p w14:paraId="68863D44"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2651 Visual Artists  </w:t>
      </w:r>
    </w:p>
    <w:p w14:paraId="00E93844"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2652 Musicians, Singers and Composers  </w:t>
      </w:r>
    </w:p>
    <w:p w14:paraId="0E204506"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2653 Dancers and Choreographers  </w:t>
      </w:r>
    </w:p>
    <w:p w14:paraId="0704B321"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2654 Film, Stage and Related Directors and Producers  </w:t>
      </w:r>
    </w:p>
    <w:p w14:paraId="5A589D97"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2655 Actors  </w:t>
      </w:r>
    </w:p>
    <w:p w14:paraId="14A28C94"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2656 Announcers on Radio, Television and Other Media  </w:t>
      </w:r>
    </w:p>
    <w:p w14:paraId="3AF7B5F9"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2659 Creative and Performing Artists Not Elsewhere Classified  </w:t>
      </w:r>
    </w:p>
    <w:p w14:paraId="4C0CF1BD"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3141 Life Science Technicians (excluding Medical)  </w:t>
      </w:r>
    </w:p>
    <w:p w14:paraId="27A2C929"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3142 Agricultural Technicians  </w:t>
      </w:r>
    </w:p>
    <w:p w14:paraId="2B0BFA25"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3143 Forestry Technicians  </w:t>
      </w:r>
    </w:p>
    <w:p w14:paraId="05882587"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3230 Traditional and Complementary Medicine Associate Professionals  </w:t>
      </w:r>
    </w:p>
    <w:p w14:paraId="5314557A"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3413 Religious Associate Professionals  </w:t>
      </w:r>
    </w:p>
    <w:p w14:paraId="4E201451"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3434 Chefs  </w:t>
      </w:r>
    </w:p>
    <w:p w14:paraId="3FB84FF3"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5113 Travel Guides  </w:t>
      </w:r>
    </w:p>
    <w:p w14:paraId="1CE00608"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5120 Cooks  </w:t>
      </w:r>
    </w:p>
    <w:p w14:paraId="595411D5"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5311 Child Care Workers  </w:t>
      </w:r>
    </w:p>
    <w:p w14:paraId="093D09AD"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5312 Teachers’ Aides  </w:t>
      </w:r>
    </w:p>
    <w:p w14:paraId="05A8D78A"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6111 Field Crop and Vegetable Growers  </w:t>
      </w:r>
    </w:p>
    <w:p w14:paraId="39618A9F"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6112 Tree and Shrub Crop Growers </w:t>
      </w:r>
    </w:p>
    <w:p w14:paraId="6E0FC628"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6113 Gardeners; Horticultural and Nursery Growers  </w:t>
      </w:r>
    </w:p>
    <w:p w14:paraId="6E31E8E9"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6114 Mixed Crop Growers  </w:t>
      </w:r>
    </w:p>
    <w:p w14:paraId="0BC12091"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6121 Livestock and Dairy Producers </w:t>
      </w:r>
    </w:p>
    <w:p w14:paraId="0B0B2023"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 6122 Poultry Producers  </w:t>
      </w:r>
    </w:p>
    <w:p w14:paraId="44DCA0CD"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6123 Apiarists and Sericulturists </w:t>
      </w:r>
    </w:p>
    <w:p w14:paraId="5F11BA41"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 6129 Animal Producers Not Elsewhere Classified </w:t>
      </w:r>
    </w:p>
    <w:p w14:paraId="46232B07"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 6130 Mixed Crop and Animal Producers  </w:t>
      </w:r>
    </w:p>
    <w:p w14:paraId="4E367619"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6210 Forestry and Related Workers  </w:t>
      </w:r>
    </w:p>
    <w:p w14:paraId="1A5D6CA9"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6221 Aquaculture Workers  </w:t>
      </w:r>
    </w:p>
    <w:p w14:paraId="0D1E3F21"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6222 Inland and Coastal Waters Fishery Workers  </w:t>
      </w:r>
    </w:p>
    <w:p w14:paraId="5C687D26"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6223 Deep-sea Fishery Workers  </w:t>
      </w:r>
    </w:p>
    <w:p w14:paraId="2F96026F"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6224 Hunters and Trappers  </w:t>
      </w:r>
    </w:p>
    <w:p w14:paraId="28E817D2"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6310 Subsistence Crop Farmers  </w:t>
      </w:r>
    </w:p>
    <w:p w14:paraId="6AE68F4E"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6320 Subsistence Livestock Farmers  </w:t>
      </w:r>
    </w:p>
    <w:p w14:paraId="2A149022"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6330 Subsistence Mixed Crop and Livestock Farmers  </w:t>
      </w:r>
    </w:p>
    <w:p w14:paraId="71EA384C"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6340 Subsistence Fishers, Hunters, Trappers and Gatherers  </w:t>
      </w:r>
    </w:p>
    <w:p w14:paraId="417EB48B"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7111 House Builders  </w:t>
      </w:r>
    </w:p>
    <w:p w14:paraId="34E118EE"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7115 Carpenters and Joiners [includes wooden boat builders]  </w:t>
      </w:r>
    </w:p>
    <w:p w14:paraId="3A863389"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7312 Musical Instrument Makers and Tuners  </w:t>
      </w:r>
    </w:p>
    <w:p w14:paraId="4973D6C6"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7313 Jewellery and Precious Metal Workers </w:t>
      </w:r>
    </w:p>
    <w:p w14:paraId="7C03591F"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 7314 Potters and Related Workers  </w:t>
      </w:r>
    </w:p>
    <w:p w14:paraId="277EE962"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7315 Glass Makers, Cutters, Grinders and Finishers  </w:t>
      </w:r>
    </w:p>
    <w:p w14:paraId="4ACC1677"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7316 Signwriters, Decorative Painters, Engravers and Etchers  </w:t>
      </w:r>
    </w:p>
    <w:p w14:paraId="1286A01C"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7317 Handicraft Workers in Wood, Basketry and Related Materials  </w:t>
      </w:r>
    </w:p>
    <w:p w14:paraId="51B91395"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7318 Handicraft Workers in Textile, Leather and Related Materials.  </w:t>
      </w:r>
    </w:p>
    <w:p w14:paraId="44312AEC"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7511 Butchers, Fishmongers and Related Food Preparers  </w:t>
      </w:r>
    </w:p>
    <w:p w14:paraId="2D4879E0"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7512 Bakers, Pastry-cooks and Confectionery Makers  </w:t>
      </w:r>
    </w:p>
    <w:p w14:paraId="50784D8E"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7513 Dairy Products Makers  </w:t>
      </w:r>
    </w:p>
    <w:p w14:paraId="32442FDB"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7514 Fruit, Vegetable and Related Preservers  </w:t>
      </w:r>
    </w:p>
    <w:p w14:paraId="7CECB447"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7531 Tailors, Dressmakers, Furriers and Hatters  </w:t>
      </w:r>
    </w:p>
    <w:p w14:paraId="1FCD1230"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7535 Pelt Dressers, Tanners and Fellmongers  </w:t>
      </w:r>
    </w:p>
    <w:p w14:paraId="193F81CC"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7536 Shoemakers and Related Workers  </w:t>
      </w:r>
    </w:p>
    <w:p w14:paraId="34633817"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9624 Water and Firewood Collectors. </w:t>
      </w:r>
    </w:p>
    <w:p w14:paraId="050E2946" w14:textId="0DF0D9DB" w:rsidR="00756F0F" w:rsidRPr="00ED7E61" w:rsidRDefault="00756F0F" w:rsidP="00B10F0C">
      <w:pPr>
        <w:pStyle w:val="CBDNormalNumber"/>
        <w:numPr>
          <w:ilvl w:val="0"/>
          <w:numId w:val="83"/>
        </w:numPr>
        <w:shd w:val="clear" w:color="auto" w:fill="FFFFFF"/>
        <w:ind w:left="567" w:firstLine="0"/>
        <w:rPr>
          <w:rStyle w:val="normaltextrun"/>
          <w:shd w:val="clear" w:color="auto" w:fill="FFFFFF"/>
        </w:rPr>
      </w:pPr>
      <w:r w:rsidRPr="00ED7E61">
        <w:rPr>
          <w:rStyle w:val="normaltextrun"/>
          <w:rFonts w:asciiTheme="majorBidi" w:eastAsiaTheme="majorEastAsia" w:hAnsiTheme="majorBidi" w:cstheme="majorBidi"/>
        </w:rPr>
        <w:t>Minor groups </w:t>
      </w:r>
      <w:r w:rsidR="00C93B0B" w:rsidRPr="00ED7E61">
        <w:rPr>
          <w:rStyle w:val="normaltextrun"/>
          <w:shd w:val="clear" w:color="auto" w:fill="FFFFFF"/>
        </w:rPr>
        <w:t xml:space="preserve">- </w:t>
      </w:r>
      <w:r w:rsidRPr="00ED7E61">
        <w:rPr>
          <w:rStyle w:val="normaltextrun"/>
          <w:shd w:val="clear" w:color="auto" w:fill="FFFFFF"/>
        </w:rPr>
        <w:t>When data are only available at the ISCO-08 minor group (3-digit) level, indigenous persons employed in the following groups should be considered to be practising traditional occupations</w:t>
      </w:r>
      <w:r w:rsidR="00C93B0B" w:rsidRPr="00ED7E61">
        <w:rPr>
          <w:rStyle w:val="normaltextrun"/>
          <w:shd w:val="clear" w:color="auto" w:fill="FFFFFF"/>
        </w:rPr>
        <w:t>:</w:t>
      </w:r>
      <w:r w:rsidRPr="00ED7E61">
        <w:rPr>
          <w:rStyle w:val="normaltextrun"/>
          <w:shd w:val="clear" w:color="auto" w:fill="FFFFFF"/>
        </w:rPr>
        <w:t> </w:t>
      </w:r>
    </w:p>
    <w:p w14:paraId="0B5202BA"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213 Life Science Professionals  </w:t>
      </w:r>
    </w:p>
    <w:p w14:paraId="643F580F"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264 Authors, Journalists and Linguists  </w:t>
      </w:r>
    </w:p>
    <w:p w14:paraId="6D222405"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265 Creative and Performing Artists  </w:t>
      </w:r>
    </w:p>
    <w:p w14:paraId="51CCB539"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323 Traditional and Complementary Medicine Associate Professionals  </w:t>
      </w:r>
    </w:p>
    <w:p w14:paraId="35512AA4"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611 Market Gardeners and Crop Growers  </w:t>
      </w:r>
    </w:p>
    <w:p w14:paraId="05DDB4BE"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612 Animal Producers  </w:t>
      </w:r>
    </w:p>
    <w:p w14:paraId="256B845D"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613 Mixed Crop and Animal Producers </w:t>
      </w:r>
    </w:p>
    <w:p w14:paraId="28C1A520"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 621 Forestry and Related Workers  </w:t>
      </w:r>
    </w:p>
    <w:p w14:paraId="27E87F17"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622 Fishery Workers, Hunters and Trappers  </w:t>
      </w:r>
    </w:p>
    <w:p w14:paraId="1D604D41"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631 Subsistence Crop Farmers  </w:t>
      </w:r>
    </w:p>
    <w:p w14:paraId="12807D6C"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632 Subsistence Livestock Farmers  </w:t>
      </w:r>
    </w:p>
    <w:p w14:paraId="665864A9"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633 Subsistence Mixed Crop and Livestock Farmers  </w:t>
      </w:r>
    </w:p>
    <w:p w14:paraId="681A8BB9"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634 Subsistence Fishers, Hunters, Trappers and Gatherers  </w:t>
      </w:r>
    </w:p>
    <w:p w14:paraId="5D6F1A5D"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731 Handicraft Workers </w:t>
      </w:r>
    </w:p>
    <w:p w14:paraId="0A5339AE"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 921 Agricultural, Forestry and Fishery Labourers (only if status in employment is employer, independent worker without employees (own-account worker), or contributing family worker). </w:t>
      </w:r>
    </w:p>
    <w:p w14:paraId="4D6CBC57" w14:textId="6CDE2EA0" w:rsidR="00756F0F" w:rsidRPr="00ED7E61" w:rsidRDefault="00756F0F" w:rsidP="00B10F0C">
      <w:pPr>
        <w:pStyle w:val="CBDNormalNumber"/>
        <w:numPr>
          <w:ilvl w:val="0"/>
          <w:numId w:val="83"/>
        </w:numPr>
        <w:shd w:val="clear" w:color="auto" w:fill="FFFFFF"/>
        <w:ind w:left="567" w:firstLine="0"/>
        <w:rPr>
          <w:rStyle w:val="normaltextrun"/>
          <w:shd w:val="clear" w:color="auto" w:fill="FFFFFF"/>
        </w:rPr>
      </w:pPr>
      <w:r w:rsidRPr="00ED7E61">
        <w:rPr>
          <w:rStyle w:val="normaltextrun"/>
          <w:rFonts w:asciiTheme="majorBidi" w:eastAsiaTheme="majorEastAsia" w:hAnsiTheme="majorBidi" w:cstheme="majorBidi"/>
        </w:rPr>
        <w:t>Sub-major groups </w:t>
      </w:r>
      <w:r w:rsidRPr="00ED7E61">
        <w:rPr>
          <w:rStyle w:val="normaltextrun"/>
        </w:rPr>
        <w:t> </w:t>
      </w:r>
      <w:r w:rsidR="00C93B0B" w:rsidRPr="00ED7E61">
        <w:rPr>
          <w:rStyle w:val="normaltextrun"/>
          <w:shd w:val="clear" w:color="auto" w:fill="FFFFFF"/>
        </w:rPr>
        <w:t xml:space="preserve">- </w:t>
      </w:r>
      <w:r w:rsidRPr="00ED7E61">
        <w:rPr>
          <w:rStyle w:val="normaltextrun"/>
          <w:shd w:val="clear" w:color="auto" w:fill="FFFFFF"/>
        </w:rPr>
        <w:t>When data are only available at the ISCO-08 sub-major group (2-digit) level, indigenous persons employed in the following groups should be considered to be practising traditional occupations.  </w:t>
      </w:r>
    </w:p>
    <w:p w14:paraId="5F824074"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61 Market-oriented Skilled Agricultural Workers  </w:t>
      </w:r>
    </w:p>
    <w:p w14:paraId="22EF7CBB"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63 Subsistence Farmers, Fishers, Hunters and Gatherers  </w:t>
      </w:r>
    </w:p>
    <w:p w14:paraId="5890DC90" w14:textId="77777777" w:rsidR="00756F0F" w:rsidRPr="00ED7E61" w:rsidRDefault="00756F0F" w:rsidP="00B10F0C">
      <w:pPr>
        <w:pStyle w:val="CBDNormalNumber"/>
        <w:numPr>
          <w:ilvl w:val="1"/>
          <w:numId w:val="83"/>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92 Agricultural, Forestry and Fishery Labourers (only if status in employment is employer, independent worker without employees (own-account worker), , or contributing family worker) </w:t>
      </w:r>
    </w:p>
    <w:p w14:paraId="486A56D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2CAAE5ED"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4355A71A" w14:textId="77777777" w:rsidR="00C9506C" w:rsidRPr="00ED7E61" w:rsidRDefault="00C9506C" w:rsidP="00C9506C">
      <w:pPr>
        <w:pStyle w:val="Heading3"/>
      </w:pPr>
      <w:bookmarkStart w:id="55" w:name="_Toc178285867"/>
      <w:r w:rsidRPr="00ED7E61">
        <w:rPr>
          <w:rStyle w:val="normaltextrun"/>
        </w:rPr>
        <w:t>GBF indicator metadata: 9.b Target 9 binary indicator</w:t>
      </w:r>
      <w:bookmarkEnd w:id="55"/>
      <w:r w:rsidRPr="00ED7E61">
        <w:rPr>
          <w:rStyle w:val="normaltextrun"/>
        </w:rPr>
        <w:t> </w:t>
      </w:r>
      <w:r w:rsidRPr="00ED7E61">
        <w:rPr>
          <w:rStyle w:val="eop"/>
        </w:rPr>
        <w:t> </w:t>
      </w:r>
    </w:p>
    <w:p w14:paraId="47F87A65" w14:textId="77777777" w:rsidR="00C9506C" w:rsidRPr="00ED7E61" w:rsidRDefault="00C9506C" w:rsidP="00C9506C">
      <w:pPr>
        <w:jc w:val="both"/>
        <w:rPr>
          <w:rFonts w:asciiTheme="majorBidi" w:hAnsiTheme="majorBidi" w:cstheme="majorBidi"/>
          <w:b/>
          <w:bCs/>
          <w:sz w:val="22"/>
          <w:szCs w:val="22"/>
        </w:rPr>
      </w:pPr>
    </w:p>
    <w:p w14:paraId="227C4863"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1C52B2A0" w14:textId="2601C5BF"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color w:val="000000" w:themeColor="text1"/>
          <w:sz w:val="22"/>
          <w:szCs w:val="22"/>
        </w:rPr>
        <w:t xml:space="preserve">Number of countries with policies to manage the use in wild species sustainably, providing social, economic and environmental benefits for people, and to protect and encourage customary sustainable use by indigenous peoples and local communities </w:t>
      </w:r>
    </w:p>
    <w:p w14:paraId="2B9B53A2" w14:textId="77777777" w:rsidR="00C9506C" w:rsidRPr="00ED7E61" w:rsidRDefault="00C9506C" w:rsidP="00C9506C">
      <w:pPr>
        <w:jc w:val="both"/>
        <w:rPr>
          <w:rFonts w:asciiTheme="majorBidi" w:hAnsiTheme="majorBidi" w:cstheme="majorBidi"/>
          <w:sz w:val="22"/>
          <w:szCs w:val="22"/>
        </w:rPr>
      </w:pPr>
    </w:p>
    <w:p w14:paraId="00E4277A" w14:textId="7A7FFA7A"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4BCB1A95"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49C7A6DD"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color w:val="242424"/>
          <w:sz w:val="22"/>
          <w:szCs w:val="22"/>
        </w:rPr>
        <w:t>N/A</w:t>
      </w:r>
    </w:p>
    <w:p w14:paraId="0B593E56" w14:textId="77777777" w:rsidR="00C9506C" w:rsidRPr="00ED7E61" w:rsidRDefault="00C9506C" w:rsidP="00C9506C">
      <w:pPr>
        <w:jc w:val="both"/>
        <w:rPr>
          <w:rFonts w:asciiTheme="majorBidi" w:hAnsiTheme="majorBidi" w:cstheme="majorBidi"/>
          <w:sz w:val="22"/>
          <w:szCs w:val="22"/>
        </w:rPr>
      </w:pPr>
    </w:p>
    <w:p w14:paraId="79B918BE"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Target</w:t>
      </w:r>
    </w:p>
    <w:p w14:paraId="4CF7375F"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sz w:val="22"/>
          <w:szCs w:val="22"/>
        </w:rPr>
        <w:t>Binary indicator for Target 9. Ensure that the management and use of wild species are sustainable, thereby providing social, economic and environmental benefits for people, especially those in vulnerable situations and those most dependent on biodiversity, including through sustainable biodiversity-based activities, products and services that enhance biodiversity, and protecting and encouraging customary sustainable use by indigenous peoples and local communities.</w:t>
      </w:r>
    </w:p>
    <w:p w14:paraId="43140536" w14:textId="77777777" w:rsidR="00C9506C" w:rsidRPr="00ED7E61" w:rsidRDefault="00C9506C" w:rsidP="00C9506C">
      <w:pPr>
        <w:jc w:val="both"/>
        <w:rPr>
          <w:rFonts w:asciiTheme="majorBidi" w:hAnsiTheme="majorBidi" w:cstheme="majorBidi"/>
          <w:sz w:val="22"/>
          <w:szCs w:val="22"/>
        </w:rPr>
      </w:pPr>
    </w:p>
    <w:p w14:paraId="7218D051"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27A75D5A" w14:textId="17353AA1" w:rsidR="00303312" w:rsidRPr="00ED7E61" w:rsidRDefault="00C9506C" w:rsidP="00B10F0C">
      <w:pPr>
        <w:pStyle w:val="CBDNormalNumber"/>
        <w:numPr>
          <w:ilvl w:val="0"/>
          <w:numId w:val="81"/>
        </w:numPr>
        <w:shd w:val="clear" w:color="auto" w:fill="FFFFFF"/>
        <w:tabs>
          <w:tab w:val="clear" w:pos="1701"/>
        </w:tabs>
        <w:ind w:left="567" w:firstLine="0"/>
        <w:rPr>
          <w:rFonts w:asciiTheme="majorBidi" w:hAnsiTheme="majorBidi" w:cstheme="majorBidi"/>
        </w:rPr>
      </w:pPr>
      <w:r w:rsidRPr="00ED7E61">
        <w:rPr>
          <w:rStyle w:val="normaltextrun"/>
          <w:rFonts w:eastAsiaTheme="majorEastAsia"/>
        </w:rPr>
        <w:t>Biodiversity</w:t>
      </w:r>
      <w:r w:rsidRPr="00ED7E61">
        <w:rPr>
          <w:rFonts w:asciiTheme="majorBidi" w:hAnsiTheme="majorBidi" w:cstheme="majorBidi"/>
        </w:rPr>
        <w:t xml:space="preserve"> is the source of many goods and services on which people depend. The maintenance, in quantity and quality, of the benefits provided by biodiversity offers an important incentive for the conservation and sustainable use of biodiversity. It will not be possible to reach the 2050 Vision if the benefits provided by biodiversity, particularly those related to nutrition, food security, livelihoods, health and well-being, are not ensured. The main focus of this target is ensuring that the management and use of wild species is sustainable for the benefit of people.</w:t>
      </w:r>
    </w:p>
    <w:p w14:paraId="62CE9137" w14:textId="15B5D1B3" w:rsidR="00C9506C" w:rsidRPr="00437DF0" w:rsidRDefault="00C9506C" w:rsidP="00B10F0C">
      <w:pPr>
        <w:pStyle w:val="CBDNormalNumber"/>
        <w:numPr>
          <w:ilvl w:val="0"/>
          <w:numId w:val="81"/>
        </w:numPr>
        <w:shd w:val="clear" w:color="auto" w:fill="FFFFFF"/>
        <w:ind w:left="567" w:firstLine="0"/>
      </w:pPr>
      <w:r w:rsidRPr="00ED7E61">
        <w:t>Governments have a major role to play in ensuring that biodiversity is sustainably used and managed and that benefits are fairly shared between people. Through the passing of laws and legislation, governments can regulate how biodiversity is used and traded to protect species and ensure sustainable social, economic and environmental benefits for people. As such, this indicator tracks the existence of policies put in place to sustainably use, manage and trade wild species whilst protecting customary sustainable use by indigenous peoples and local communities.</w:t>
      </w:r>
    </w:p>
    <w:p w14:paraId="583475AF" w14:textId="7D507C64"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833DDB">
        <w:rPr>
          <w:rFonts w:asciiTheme="majorBidi" w:hAnsiTheme="majorBidi" w:cstheme="majorBidi"/>
          <w:b/>
          <w:bCs/>
          <w:sz w:val="22"/>
          <w:szCs w:val="22"/>
        </w:rPr>
        <w:t>a</w:t>
      </w:r>
      <w:r w:rsidRPr="00ED7E61">
        <w:rPr>
          <w:rFonts w:asciiTheme="majorBidi" w:hAnsiTheme="majorBidi" w:cstheme="majorBidi"/>
          <w:b/>
          <w:bCs/>
          <w:sz w:val="22"/>
          <w:szCs w:val="22"/>
        </w:rPr>
        <w:t>nd Classifications</w:t>
      </w:r>
    </w:p>
    <w:p w14:paraId="6F9398C2" w14:textId="77777777" w:rsidR="00C9506C" w:rsidRPr="00ED7E61" w:rsidRDefault="00C9506C" w:rsidP="00437DF0">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458F8AB4" w14:textId="057DD756" w:rsidR="00303312" w:rsidRPr="00ED7E61" w:rsidRDefault="00C9506C" w:rsidP="00B10F0C">
      <w:pPr>
        <w:pStyle w:val="CBDNormalNumber"/>
        <w:numPr>
          <w:ilvl w:val="0"/>
          <w:numId w:val="81"/>
        </w:numPr>
        <w:shd w:val="clear" w:color="auto" w:fill="FFFFFF"/>
        <w:ind w:left="567" w:firstLine="0"/>
        <w:rPr>
          <w:rFonts w:asciiTheme="majorBidi" w:hAnsiTheme="majorBidi" w:cstheme="majorBidi"/>
          <w:lang w:val="en-US"/>
        </w:rPr>
      </w:pPr>
      <w:r w:rsidRPr="00ED7E61">
        <w:rPr>
          <w:rStyle w:val="normaltextrun"/>
          <w:rFonts w:eastAsiaTheme="majorEastAsia"/>
        </w:rPr>
        <w:t>Biodiversity</w:t>
      </w:r>
      <w:r w:rsidRPr="00ED7E61">
        <w:rPr>
          <w:rFonts w:asciiTheme="majorBidi" w:hAnsiTheme="majorBidi" w:cstheme="majorBidi"/>
          <w:i/>
          <w:iCs/>
          <w:color w:val="000000" w:themeColor="text1"/>
        </w:rPr>
        <w:t>-based products and services</w:t>
      </w:r>
      <w:r w:rsidRPr="00ED7E61">
        <w:rPr>
          <w:rFonts w:asciiTheme="majorBidi" w:hAnsiTheme="majorBidi" w:cstheme="majorBidi"/>
          <w:color w:val="000000" w:themeColor="text1"/>
        </w:rPr>
        <w:t xml:space="preserve">: </w:t>
      </w:r>
      <w:r w:rsidRPr="00ED7E61">
        <w:rPr>
          <w:rFonts w:asciiTheme="majorBidi" w:hAnsiTheme="majorBidi" w:cstheme="majorBidi"/>
          <w:lang w:val="en-US"/>
        </w:rPr>
        <w:t xml:space="preserve">Biodiversity-based </w:t>
      </w:r>
      <w:r w:rsidRPr="00ED7E61">
        <w:rPr>
          <w:rFonts w:asciiTheme="majorBidi" w:hAnsiTheme="majorBidi" w:cstheme="majorBidi"/>
        </w:rPr>
        <w:t>commercial and non-commercial actions and</w:t>
      </w:r>
      <w:r w:rsidRPr="00ED7E61">
        <w:rPr>
          <w:rFonts w:asciiTheme="majorBidi" w:hAnsiTheme="majorBidi" w:cstheme="majorBidi"/>
          <w:lang w:val="en-US"/>
        </w:rPr>
        <w:t xml:space="preserve"> products result from the collection, production or transformation of biological resources. They are found in industries as varied as food and beverage, cosmetics, pharmaceuticals, paper, textiles, energy, and handicrafts. Services based on biodiversity are those that derive value from genetic resources, species and ecosystems, such as nature-based tourism, pollination, and water treatment. The sustainable production, use and trade of biodiversity-derived products and services provide developing countries with valuable opportunities for biodiversity conservation, poverty reduction, economic diversification, value addition, improved livelihoods, and the empowerment of vulnerable groups, including women and ethnic minorities. (</w:t>
      </w:r>
      <w:hyperlink r:id="rId488">
        <w:r w:rsidRPr="00ED7E61">
          <w:rPr>
            <w:rStyle w:val="Hyperlink"/>
            <w:rFonts w:asciiTheme="majorBidi" w:eastAsiaTheme="majorEastAsia" w:hAnsiTheme="majorBidi" w:cstheme="majorBidi"/>
            <w:lang w:val="en-US"/>
          </w:rPr>
          <w:t>UN, Implications of COVID-19 for Biodiversity-based Products and Services, including BioTrade</w:t>
        </w:r>
      </w:hyperlink>
      <w:r w:rsidRPr="00ED7E61">
        <w:rPr>
          <w:rFonts w:asciiTheme="majorBidi" w:hAnsiTheme="majorBidi" w:cstheme="majorBidi"/>
          <w:lang w:val="en-US"/>
        </w:rPr>
        <w:t>)</w:t>
      </w:r>
    </w:p>
    <w:p w14:paraId="3C310BFD" w14:textId="09166ACF" w:rsidR="00303312" w:rsidRPr="00ED7E61" w:rsidRDefault="00C9506C" w:rsidP="00B10F0C">
      <w:pPr>
        <w:pStyle w:val="CBDNormalNumber"/>
        <w:numPr>
          <w:ilvl w:val="0"/>
          <w:numId w:val="81"/>
        </w:numPr>
        <w:shd w:val="clear" w:color="auto" w:fill="FFFFFF"/>
        <w:ind w:left="567" w:firstLine="0"/>
        <w:rPr>
          <w:rFonts w:asciiTheme="majorBidi" w:hAnsiTheme="majorBidi" w:cstheme="majorBidi"/>
          <w:lang w:val="en-US"/>
        </w:rPr>
      </w:pPr>
      <w:r w:rsidRPr="00ED7E61">
        <w:rPr>
          <w:rFonts w:asciiTheme="majorBidi" w:hAnsiTheme="majorBidi" w:cstheme="majorBidi"/>
          <w:i/>
          <w:iCs/>
        </w:rPr>
        <w:t>Trade in wild species</w:t>
      </w:r>
      <w:r w:rsidRPr="00ED7E61">
        <w:rPr>
          <w:rFonts w:asciiTheme="majorBidi" w:hAnsiTheme="majorBidi" w:cstheme="majorBidi"/>
        </w:rPr>
        <w:t xml:space="preserve">: </w:t>
      </w:r>
      <w:r w:rsidRPr="00ED7E61">
        <w:rPr>
          <w:rFonts w:asciiTheme="majorBidi" w:hAnsiTheme="majorBidi" w:cstheme="majorBidi"/>
          <w:lang w:val="en-US"/>
        </w:rPr>
        <w:t>The selling or trading (i.e. selling of dead or living wildlife and/or products derived from them) of wild species for food and non-food purposes, such as for clothing, medicinal, cultural, scientific, recreational and work-related uses. Adapted from “</w:t>
      </w:r>
      <w:r w:rsidRPr="00FB1598">
        <w:rPr>
          <w:rFonts w:asciiTheme="majorBidi" w:hAnsiTheme="majorBidi" w:cstheme="majorBidi"/>
          <w:i/>
          <w:iCs/>
          <w:lang w:val="en-US"/>
        </w:rPr>
        <w:t>Trade and use</w:t>
      </w:r>
      <w:r w:rsidRPr="00ED7E61">
        <w:rPr>
          <w:rFonts w:asciiTheme="majorBidi" w:hAnsiTheme="majorBidi" w:cstheme="majorBidi"/>
          <w:lang w:val="en-US"/>
        </w:rPr>
        <w:t>”</w:t>
      </w:r>
    </w:p>
    <w:p w14:paraId="21905819" w14:textId="197718EB" w:rsidR="00303312" w:rsidRPr="00ED7E61" w:rsidRDefault="00C9506C" w:rsidP="00B10F0C">
      <w:pPr>
        <w:pStyle w:val="CBDNormalNumber"/>
        <w:numPr>
          <w:ilvl w:val="0"/>
          <w:numId w:val="81"/>
        </w:numPr>
        <w:shd w:val="clear" w:color="auto" w:fill="FFFFFF"/>
        <w:ind w:left="567" w:firstLine="0"/>
        <w:rPr>
          <w:rFonts w:asciiTheme="majorBidi" w:hAnsiTheme="majorBidi" w:cstheme="majorBidi"/>
          <w:lang w:val="en-US"/>
        </w:rPr>
      </w:pPr>
      <w:r w:rsidRPr="00ED7E61">
        <w:rPr>
          <w:rFonts w:asciiTheme="majorBidi" w:hAnsiTheme="majorBidi" w:cstheme="majorBidi"/>
          <w:i/>
          <w:iCs/>
        </w:rPr>
        <w:t>Wild species</w:t>
      </w:r>
      <w:r w:rsidRPr="00ED7E61">
        <w:rPr>
          <w:rFonts w:asciiTheme="majorBidi" w:hAnsiTheme="majorBidi" w:cstheme="majorBidi"/>
        </w:rPr>
        <w:t>: Populations of any species that have not been domesticated through multigenerational selection for particular traits, and which can survive independently of human intervention that may occur in any environment. This does not imply a complete absence of human management and recognizes various intermediate states between wild and domesticated.</w:t>
      </w:r>
    </w:p>
    <w:p w14:paraId="05595C40" w14:textId="60DC9F50" w:rsidR="00303312" w:rsidRPr="00ED7E61" w:rsidRDefault="00C9506C" w:rsidP="00B10F0C">
      <w:pPr>
        <w:pStyle w:val="CBDNormalNumber"/>
        <w:numPr>
          <w:ilvl w:val="0"/>
          <w:numId w:val="81"/>
        </w:numPr>
        <w:shd w:val="clear" w:color="auto" w:fill="FFFFFF"/>
        <w:ind w:left="567" w:firstLine="0"/>
        <w:rPr>
          <w:rFonts w:asciiTheme="majorBidi" w:hAnsiTheme="majorBidi" w:cstheme="majorBidi"/>
        </w:rPr>
      </w:pPr>
      <w:r w:rsidRPr="00ED7E61">
        <w:rPr>
          <w:rFonts w:asciiTheme="majorBidi" w:hAnsiTheme="majorBidi" w:cstheme="majorBidi"/>
          <w:i/>
          <w:iCs/>
        </w:rPr>
        <w:t>Customary sustainable use by indigenous peoples and local communities</w:t>
      </w:r>
      <w:r w:rsidRPr="00ED7E61">
        <w:rPr>
          <w:rFonts w:asciiTheme="majorBidi" w:hAnsiTheme="majorBidi" w:cstheme="majorBidi"/>
        </w:rPr>
        <w:t>: Actions to implement this target should take into account indigenous and local systems for the control, use and management of natural resources and seek to protect and encourage these. Customary use of biological resources includes spiritual, cultural, economic and subsistence functions.</w:t>
      </w:r>
    </w:p>
    <w:p w14:paraId="72032E95" w14:textId="65FC7E72" w:rsidR="00303312" w:rsidRPr="00ED7E61" w:rsidRDefault="00C9506C" w:rsidP="00B10F0C">
      <w:pPr>
        <w:pStyle w:val="CBDNormalNumber"/>
        <w:numPr>
          <w:ilvl w:val="0"/>
          <w:numId w:val="81"/>
        </w:numPr>
        <w:shd w:val="clear" w:color="auto" w:fill="FFFFFF"/>
        <w:ind w:left="567" w:firstLine="0"/>
        <w:rPr>
          <w:rFonts w:asciiTheme="majorBidi" w:hAnsiTheme="majorBidi" w:cstheme="majorBidi"/>
        </w:rPr>
      </w:pPr>
      <w:r w:rsidRPr="00ED7E61">
        <w:rPr>
          <w:rFonts w:asciiTheme="majorBidi" w:hAnsiTheme="majorBidi" w:cstheme="majorBidi"/>
          <w:i/>
          <w:iCs/>
        </w:rPr>
        <w:t>Social, economic and environmental benefits</w:t>
      </w:r>
      <w:r w:rsidRPr="00ED7E61">
        <w:rPr>
          <w:rFonts w:asciiTheme="majorBidi" w:hAnsiTheme="majorBidi" w:cstheme="majorBidi"/>
        </w:rPr>
        <w:t>: Wild terrestrial, freshwater and marine species contribute to human well-being in multiple ways, including by providing nutrition, food security, medicines and livelihoods. The use and management of wild species needs to consider the various social, economic and environmental benefits provided by wild species to people. The target further specifies that particular attention should be given to those people living in vulnerable situations and for whom wild species are particularly important to their well-being as they may be engaged in biodiversity-based economic activities, or rely on biodiversity based products and services.</w:t>
      </w:r>
    </w:p>
    <w:p w14:paraId="6F982F8E" w14:textId="77777777" w:rsidR="00C9506C" w:rsidRPr="00ED7E61" w:rsidRDefault="00C9506C" w:rsidP="00B10F0C">
      <w:pPr>
        <w:pStyle w:val="CBDNormalNumber"/>
        <w:numPr>
          <w:ilvl w:val="0"/>
          <w:numId w:val="81"/>
        </w:numPr>
        <w:shd w:val="clear" w:color="auto" w:fill="FFFFFF"/>
        <w:ind w:left="567" w:firstLine="0"/>
        <w:rPr>
          <w:rFonts w:asciiTheme="majorBidi" w:hAnsiTheme="majorBidi" w:cstheme="majorBidi"/>
        </w:rPr>
      </w:pPr>
      <w:r w:rsidRPr="00ED7E61">
        <w:rPr>
          <w:rFonts w:asciiTheme="majorBidi" w:hAnsiTheme="majorBidi" w:cstheme="majorBidi"/>
          <w:i/>
          <w:iCs/>
        </w:rPr>
        <w:t>Sustainable use</w:t>
      </w:r>
      <w:r w:rsidRPr="00ED7E61">
        <w:rPr>
          <w:rFonts w:asciiTheme="majorBidi" w:hAnsiTheme="majorBidi" w:cstheme="majorBidi"/>
        </w:rPr>
        <w:t>: The use of components of biological diversity in a way and at a rate that does not lead to the long-term decline of biological diversity, thereby maintaining its potential to meet the needs and aspirations of present and future generations.</w:t>
      </w:r>
    </w:p>
    <w:p w14:paraId="332CCFC0" w14:textId="2A97356F" w:rsidR="00C9506C" w:rsidRPr="00437DF0"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592AC673" w14:textId="2C5135CE" w:rsidR="00C9506C" w:rsidRPr="00ED7E61" w:rsidRDefault="00C9506C" w:rsidP="00B10F0C">
      <w:pPr>
        <w:pStyle w:val="CBDNormalNumber"/>
        <w:numPr>
          <w:ilvl w:val="0"/>
          <w:numId w:val="81"/>
        </w:numPr>
        <w:shd w:val="clear" w:color="auto" w:fill="FFFFFF"/>
        <w:ind w:left="567" w:firstLine="0"/>
        <w:rPr>
          <w:rFonts w:asciiTheme="majorBidi" w:hAnsiTheme="majorBidi" w:cstheme="majorBidi"/>
        </w:rPr>
      </w:pPr>
      <w:r w:rsidRPr="00ED7E61">
        <w:rPr>
          <w:rFonts w:asciiTheme="majorBidi" w:hAnsiTheme="majorBidi" w:cstheme="majorBidi"/>
        </w:rPr>
        <w:t>This indicator is a binary indicator and must be compiled from the answers to five questions:</w:t>
      </w:r>
    </w:p>
    <w:p w14:paraId="18B38FB4" w14:textId="7B752F49"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9.1 Does your country have legal instruments or other policy frameworks or administrative measures for the sustainable management and use of wild species?</w:t>
      </w:r>
    </w:p>
    <w:p w14:paraId="059377F5" w14:textId="5EB671F4"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9.2 Does your country monitor the sustainable management and use of wild species?</w:t>
      </w:r>
    </w:p>
    <w:p w14:paraId="5C049F40" w14:textId="0201A2A0"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[9.3 Does your country have legal instruments or other policy frameworks to regulate trade in wild species (select all that apply)]</w:t>
      </w:r>
    </w:p>
    <w:p w14:paraId="10B66B65" w14:textId="4FC7149A"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9.4 Does your country monitor the social, economic and environmental benefits derived from the use of wild species for people, in particular those in vulnerable situations and most dependent on biodiversity?</w:t>
      </w:r>
      <w:r w:rsidRPr="00ED7E61" w:rsidDel="00287E4F">
        <w:rPr>
          <w:rStyle w:val="normaltextrun"/>
          <w:shd w:val="clear" w:color="auto" w:fill="FFFFFF"/>
        </w:rPr>
        <w:t xml:space="preserve"> </w:t>
      </w:r>
    </w:p>
    <w:p w14:paraId="4142ACC7" w14:textId="6AA51B55"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rPr>
      </w:pPr>
      <w:r w:rsidRPr="00ED7E61">
        <w:rPr>
          <w:rStyle w:val="normaltextrun"/>
          <w:shd w:val="clear" w:color="auto" w:fill="FFFFFF"/>
        </w:rPr>
        <w:t>9.5 Does your country have legal instruments or other policy frameworks to protect and encourage the customary sustainable use of biodiversity by indigenous peoples and local communities, for example, the plan of action on customary sustainable use of biological diversity or other relevant initiatives?</w:t>
      </w:r>
    </w:p>
    <w:p w14:paraId="163C36E2" w14:textId="244C16D8" w:rsidR="00C9506C" w:rsidRPr="00ED7E61" w:rsidRDefault="00C9506C" w:rsidP="00B10F0C">
      <w:pPr>
        <w:pStyle w:val="CBDNormalNumber"/>
        <w:numPr>
          <w:ilvl w:val="0"/>
          <w:numId w:val="81"/>
        </w:numPr>
        <w:shd w:val="clear" w:color="auto" w:fill="FFFFFF"/>
        <w:ind w:left="567" w:firstLine="0"/>
        <w:rPr>
          <w:rFonts w:asciiTheme="majorBidi" w:hAnsiTheme="majorBidi" w:cstheme="majorBidi"/>
        </w:rPr>
      </w:pPr>
      <w:r w:rsidRPr="00ED7E61">
        <w:rPr>
          <w:rFonts w:asciiTheme="majorBidi" w:hAnsiTheme="majorBidi" w:cstheme="majorBidi"/>
        </w:rPr>
        <w:t>There are four possible answers to questions 9.1, 9.2, 9.4 and 9.5:</w:t>
      </w:r>
    </w:p>
    <w:p w14:paraId="1F1246BC" w14:textId="77777777"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No</w:t>
      </w:r>
    </w:p>
    <w:p w14:paraId="1B304A7A" w14:textId="161524A1"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Under development</w:t>
      </w:r>
    </w:p>
    <w:p w14:paraId="26A5FC4B" w14:textId="442AE4E4"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Partially</w:t>
      </w:r>
    </w:p>
    <w:p w14:paraId="48CC9825" w14:textId="3C9BE5B5"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Fully</w:t>
      </w:r>
    </w:p>
    <w:p w14:paraId="01A868C9" w14:textId="385305CC" w:rsidR="00303312" w:rsidRPr="00ED7E61" w:rsidRDefault="00C9506C" w:rsidP="00B10F0C">
      <w:pPr>
        <w:pStyle w:val="CBDNormalNumber"/>
        <w:numPr>
          <w:ilvl w:val="0"/>
          <w:numId w:val="81"/>
        </w:numPr>
        <w:shd w:val="clear" w:color="auto" w:fill="FFFFFF"/>
        <w:ind w:left="567" w:firstLine="0"/>
        <w:rPr>
          <w:rFonts w:asciiTheme="majorBidi" w:hAnsiTheme="majorBidi" w:cstheme="majorBidi"/>
        </w:rPr>
      </w:pPr>
      <w:r w:rsidRPr="00ED7E61">
        <w:rPr>
          <w:rFonts w:asciiTheme="majorBidi" w:hAnsiTheme="majorBidi" w:cstheme="majorBidi"/>
        </w:rPr>
        <w:t>A “</w:t>
      </w:r>
      <w:r w:rsidRPr="00FB1598">
        <w:rPr>
          <w:rFonts w:asciiTheme="majorBidi" w:hAnsiTheme="majorBidi" w:cstheme="majorBidi"/>
          <w:i/>
          <w:iCs/>
        </w:rPr>
        <w:t>No</w:t>
      </w:r>
      <w:r w:rsidRPr="00ED7E61">
        <w:rPr>
          <w:rFonts w:asciiTheme="majorBidi" w:hAnsiTheme="majorBidi" w:cstheme="majorBidi"/>
        </w:rPr>
        <w:t xml:space="preserve">” answer implies that there are currently no legal instruments nor policy frameworks or administrative measures in place for the sustainable management and use of wild species (9.1), no monitoring of sustainable management and use of wild species (9.2) no </w:t>
      </w:r>
      <w:r w:rsidR="009614F1">
        <w:rPr>
          <w:rFonts w:asciiTheme="majorBidi" w:hAnsiTheme="majorBidi" w:cstheme="majorBidi"/>
        </w:rPr>
        <w:t xml:space="preserve">monitoring </w:t>
      </w:r>
      <w:r w:rsidRPr="00ED7E61">
        <w:rPr>
          <w:rFonts w:asciiTheme="majorBidi" w:hAnsiTheme="majorBidi" w:cstheme="majorBidi"/>
        </w:rPr>
        <w:t>of any of the benefits derived from the use of wild species (9.4) and there are no legal instruments nor other policy frameworks in place to protect and encourage customary sustainable use of biodiversity by indigenous peoples and local communities (9.5). In all cases, there are no national-level efforts to legislate or monitor the management and sustainable use of wild species.</w:t>
      </w:r>
    </w:p>
    <w:p w14:paraId="1B0B59A9" w14:textId="4072FF9A" w:rsidR="00C9506C" w:rsidRPr="00ED7E61" w:rsidRDefault="00C9506C" w:rsidP="00B10F0C">
      <w:pPr>
        <w:pStyle w:val="CBDNormalNumber"/>
        <w:numPr>
          <w:ilvl w:val="0"/>
          <w:numId w:val="81"/>
        </w:numPr>
        <w:shd w:val="clear" w:color="auto" w:fill="FFFFFF"/>
        <w:ind w:left="567" w:firstLine="0"/>
        <w:rPr>
          <w:color w:val="000000"/>
        </w:rPr>
      </w:pPr>
      <w:r w:rsidRPr="00ED7E61">
        <w:rPr>
          <w:color w:val="000000"/>
        </w:rPr>
        <w:t>An “</w:t>
      </w:r>
      <w:r w:rsidRPr="00FB1598">
        <w:rPr>
          <w:i/>
          <w:iCs/>
          <w:color w:val="000000"/>
        </w:rPr>
        <w:t>Under development</w:t>
      </w:r>
      <w:r w:rsidRPr="00ED7E61">
        <w:rPr>
          <w:color w:val="000000"/>
        </w:rPr>
        <w:t>” answer implies a concerted effort at the national level to:</w:t>
      </w:r>
    </w:p>
    <w:p w14:paraId="1D7B59ED" w14:textId="64122319"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design legal instruments, policy frameworks or administrative measures for the sustainable management and use of wild species (9.1).</w:t>
      </w:r>
    </w:p>
    <w:p w14:paraId="20358F0C" w14:textId="1F20A8C7"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monitor the sustainable management and use of wild species (9.2) by designing a monitoring program and strategy and mobilizing resources to begin data collection.</w:t>
      </w:r>
    </w:p>
    <w:p w14:paraId="41BD90CF" w14:textId="77777777"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monitor the social, economic and environmental benefits derived from the use of wild species for people, in particular those in vulnerable situations and most dependent on biodiversity (9.4), by designing a monitoring program and strategy and mobilizing resources to begin data collection.</w:t>
      </w:r>
    </w:p>
    <w:p w14:paraId="206919B0" w14:textId="26D95492"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 xml:space="preserve">design legal instruments or other policy frameworks to protect and encourage customary sustainable use of biodiversity by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ommunities</w:t>
      </w:r>
      <w:r w:rsidRPr="00ED7E61">
        <w:rPr>
          <w:rStyle w:val="normaltextrun"/>
          <w:shd w:val="clear" w:color="auto" w:fill="FFFFFF"/>
        </w:rPr>
        <w:t xml:space="preserve"> (9.5).</w:t>
      </w:r>
    </w:p>
    <w:p w14:paraId="76F8AFB2" w14:textId="618FA641" w:rsidR="00303312" w:rsidRPr="00ED7E61" w:rsidRDefault="00C9506C" w:rsidP="00B10F0C">
      <w:pPr>
        <w:pStyle w:val="CBDNormalNumber"/>
        <w:numPr>
          <w:ilvl w:val="0"/>
          <w:numId w:val="81"/>
        </w:numPr>
        <w:shd w:val="clear" w:color="auto" w:fill="FFFFFF"/>
        <w:ind w:left="567" w:firstLine="0"/>
        <w:rPr>
          <w:color w:val="000000"/>
        </w:rPr>
      </w:pPr>
      <w:r w:rsidRPr="00ED7E61">
        <w:rPr>
          <w:color w:val="000000"/>
        </w:rPr>
        <w:t xml:space="preserve">In each of these cases, legal, policy and administrative frameworks may be in the draft stages and awaiting ratification. </w:t>
      </w:r>
      <w:bookmarkStart w:id="56" w:name="_Int_jBEzTSLd"/>
      <w:r w:rsidRPr="00ED7E61">
        <w:rPr>
          <w:color w:val="000000"/>
        </w:rPr>
        <w:t>Resources may also be in the process of being mobilized to support these frameworks.</w:t>
      </w:r>
      <w:bookmarkEnd w:id="56"/>
      <w:r w:rsidRPr="00ED7E61">
        <w:rPr>
          <w:color w:val="000000"/>
        </w:rPr>
        <w:t xml:space="preserve"> Importantly, these processes must be ongoing at the national level and backed by governmental bodies with implementation authority.</w:t>
      </w:r>
    </w:p>
    <w:p w14:paraId="3643AD02" w14:textId="05210526" w:rsidR="00C9506C" w:rsidRPr="00ED7E61" w:rsidRDefault="00C9506C" w:rsidP="00B10F0C">
      <w:pPr>
        <w:pStyle w:val="CBDNormalNumber"/>
        <w:numPr>
          <w:ilvl w:val="0"/>
          <w:numId w:val="81"/>
        </w:numPr>
        <w:shd w:val="clear" w:color="auto" w:fill="FFFFFF"/>
        <w:ind w:left="567" w:firstLine="0"/>
      </w:pPr>
      <w:r w:rsidRPr="00ED7E61">
        <w:t>A “</w:t>
      </w:r>
      <w:r w:rsidRPr="00FB1598">
        <w:rPr>
          <w:i/>
          <w:iCs/>
        </w:rPr>
        <w:t>Partially</w:t>
      </w:r>
      <w:r w:rsidRPr="00ED7E61">
        <w:t xml:space="preserve">” answer implies that: </w:t>
      </w:r>
    </w:p>
    <w:p w14:paraId="5D50F7C6" w14:textId="5ECF2CC3"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legal, policy or administrative frameworks for the sustainable management or use of some wild species are in place (9.1).</w:t>
      </w:r>
    </w:p>
    <w:p w14:paraId="063E3CCD" w14:textId="498BBFB1"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 xml:space="preserve">monitoring of sustainable management or use of wild species has begun but does not cover all wild species or uses (9.2). </w:t>
      </w:r>
    </w:p>
    <w:p w14:paraId="1CAF3E18" w14:textId="77777777"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monitoring of the social, economic or environmental benefits derived from the use of wild species for people (9.4) has begun but does not cover all three types of benefits or only accounts for some uses and wild species and/or does not consider those in vulnerable situations and most dependent on biodiversity.</w:t>
      </w:r>
    </w:p>
    <w:p w14:paraId="09EDEC59" w14:textId="7A8E1A62"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 xml:space="preserve">legal instruments or other policy frameworks to protect or encourage some types of customary sustainable use of biodiversity by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ommunities</w:t>
      </w:r>
      <w:r w:rsidRPr="00ED7E61">
        <w:rPr>
          <w:rStyle w:val="normaltextrun"/>
          <w:shd w:val="clear" w:color="auto" w:fill="FFFFFF"/>
        </w:rPr>
        <w:t xml:space="preserve"> (9.5) are in place. </w:t>
      </w:r>
    </w:p>
    <w:p w14:paraId="0790CCB4" w14:textId="77777777" w:rsidR="00C9506C" w:rsidRPr="00ED7E61" w:rsidRDefault="00C9506C" w:rsidP="00B10F0C">
      <w:pPr>
        <w:pStyle w:val="CBDNormalNumber"/>
        <w:numPr>
          <w:ilvl w:val="0"/>
          <w:numId w:val="81"/>
        </w:numPr>
        <w:shd w:val="clear" w:color="auto" w:fill="FFFFFF"/>
        <w:ind w:left="567" w:firstLine="0"/>
        <w:rPr>
          <w:color w:val="000000"/>
        </w:rPr>
      </w:pPr>
      <w:r w:rsidRPr="00ED7E61">
        <w:rPr>
          <w:color w:val="000000"/>
        </w:rPr>
        <w:t>In all these cases, government initiatives are resourced and implemented but they do not address the entirety of the question’s asks. If any one of the cases outlined above applies, only partial achievement has been reached.</w:t>
      </w:r>
    </w:p>
    <w:p w14:paraId="6A48BD57" w14:textId="2B827EBE" w:rsidR="00C9506C" w:rsidRPr="00ED7E61" w:rsidRDefault="00C9506C" w:rsidP="00B10F0C">
      <w:pPr>
        <w:pStyle w:val="CBDNormalNumber"/>
        <w:numPr>
          <w:ilvl w:val="0"/>
          <w:numId w:val="81"/>
        </w:numPr>
        <w:shd w:val="clear" w:color="auto" w:fill="FFFFFF"/>
        <w:ind w:left="567" w:firstLine="0"/>
        <w:rPr>
          <w:color w:val="000000"/>
        </w:rPr>
      </w:pPr>
      <w:r w:rsidRPr="00ED7E61">
        <w:rPr>
          <w:color w:val="000000"/>
        </w:rPr>
        <w:t>A “</w:t>
      </w:r>
      <w:r w:rsidRPr="00FB1598">
        <w:rPr>
          <w:i/>
          <w:iCs/>
          <w:color w:val="000000"/>
        </w:rPr>
        <w:t>Fully</w:t>
      </w:r>
      <w:r w:rsidRPr="00ED7E61">
        <w:rPr>
          <w:color w:val="000000"/>
        </w:rPr>
        <w:t>” answer implies that all the conditions outlined in “</w:t>
      </w:r>
      <w:r w:rsidRPr="00FB1598">
        <w:rPr>
          <w:i/>
          <w:iCs/>
          <w:color w:val="000000"/>
        </w:rPr>
        <w:t>Partially</w:t>
      </w:r>
      <w:r w:rsidRPr="00ED7E61">
        <w:rPr>
          <w:color w:val="000000"/>
        </w:rPr>
        <w:t xml:space="preserve">” have been met. Namely that: </w:t>
      </w:r>
    </w:p>
    <w:p w14:paraId="0394A34D" w14:textId="1DEBC70E"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legal, policy or administrative frameworks for both the sustainable management and all types of use of wild species are in place (9.1),</w:t>
      </w:r>
    </w:p>
    <w:p w14:paraId="78497BA3" w14:textId="77777777"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monitoring of sustainable management or use of wild species has begun and covers all wild species and uses (9.2).</w:t>
      </w:r>
    </w:p>
    <w:p w14:paraId="36192509" w14:textId="77777777"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monitoring of the social, economic or environmental benefits derived from the use of wild species for people (9.4) has begun and covers all three types of benefits, accounts for all uses and wild species, and considers those in vulnerable situations and most dependent on biodiversity.</w:t>
      </w:r>
    </w:p>
    <w:p w14:paraId="7DAE97D1" w14:textId="38972E65" w:rsidR="00C9506C" w:rsidRPr="00ED7E61" w:rsidRDefault="00C9506C" w:rsidP="00B10F0C">
      <w:pPr>
        <w:pStyle w:val="CBDNormalNumber"/>
        <w:numPr>
          <w:ilvl w:val="1"/>
          <w:numId w:val="81"/>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 xml:space="preserve">legal instruments or other policy frameworks to both protect and encourage all types of customary sustainable use of biodiversity by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 xml:space="preserve">ommunities </w:t>
      </w:r>
      <w:r w:rsidRPr="00ED7E61">
        <w:rPr>
          <w:rStyle w:val="normaltextrun"/>
          <w:shd w:val="clear" w:color="auto" w:fill="FFFFFF"/>
        </w:rPr>
        <w:t xml:space="preserve">(9.5) are in place. </w:t>
      </w:r>
    </w:p>
    <w:p w14:paraId="2E032D0E" w14:textId="5E4469C8" w:rsidR="00C9506C" w:rsidRPr="00ED7E61" w:rsidRDefault="00C9506C" w:rsidP="00B10F0C">
      <w:pPr>
        <w:pStyle w:val="CBDNormalNumber"/>
        <w:numPr>
          <w:ilvl w:val="0"/>
          <w:numId w:val="81"/>
        </w:numPr>
        <w:shd w:val="clear" w:color="auto" w:fill="FFFFFF"/>
        <w:ind w:left="567" w:firstLine="0"/>
        <w:rPr>
          <w:color w:val="000000"/>
        </w:rPr>
      </w:pPr>
      <w:r w:rsidRPr="00ED7E61">
        <w:rPr>
          <w:color w:val="000000"/>
        </w:rPr>
        <w:t>Note that all these frameworks and legislations must be established at the national level and be appropriately resourced (financial and human).</w:t>
      </w:r>
    </w:p>
    <w:p w14:paraId="44AC36AD" w14:textId="49928F87" w:rsidR="00C9506C" w:rsidRPr="00ED7E61" w:rsidRDefault="00C9506C" w:rsidP="00B10F0C">
      <w:pPr>
        <w:pStyle w:val="CBDNormalNumber"/>
        <w:numPr>
          <w:ilvl w:val="0"/>
          <w:numId w:val="81"/>
        </w:numPr>
        <w:shd w:val="clear" w:color="auto" w:fill="FFFFFF"/>
        <w:ind w:left="567" w:firstLine="0"/>
        <w:rPr>
          <w:rFonts w:asciiTheme="majorBidi" w:eastAsia="Garamond" w:hAnsiTheme="majorBidi" w:cstheme="majorBidi"/>
          <w:color w:val="000000" w:themeColor="text1"/>
          <w:lang w:val="en-US"/>
        </w:rPr>
      </w:pPr>
      <w:r w:rsidRPr="00ED7E61">
        <w:rPr>
          <w:rFonts w:asciiTheme="majorBidi" w:eastAsia="Garamond" w:hAnsiTheme="majorBidi" w:cstheme="majorBidi"/>
          <w:color w:val="000000" w:themeColor="text1"/>
          <w:lang w:val="en-US"/>
        </w:rPr>
        <w:t>[</w:t>
      </w:r>
      <w:r w:rsidRPr="00ED7E61">
        <w:rPr>
          <w:color w:val="000000"/>
        </w:rPr>
        <w:t>There</w:t>
      </w:r>
      <w:r w:rsidRPr="00ED7E61">
        <w:rPr>
          <w:rFonts w:asciiTheme="majorBidi" w:eastAsia="Garamond" w:hAnsiTheme="majorBidi" w:cstheme="majorBidi"/>
          <w:color w:val="000000" w:themeColor="text1"/>
          <w:lang w:val="en-US"/>
        </w:rPr>
        <w:t xml:space="preserve"> are four possible answers to question 9.3</w:t>
      </w:r>
      <w:r w:rsidR="00303312" w:rsidRPr="00ED7E61">
        <w:rPr>
          <w:rStyle w:val="FootnoteReference"/>
          <w:rFonts w:asciiTheme="majorBidi" w:eastAsia="Garamond" w:hAnsiTheme="majorBidi" w:cstheme="majorBidi"/>
          <w:color w:val="000000" w:themeColor="text1"/>
          <w:lang w:val="en-US"/>
        </w:rPr>
        <w:footnoteReference w:id="44"/>
      </w:r>
      <w:r w:rsidRPr="00ED7E61">
        <w:rPr>
          <w:rFonts w:asciiTheme="majorBidi" w:eastAsia="Garamond" w:hAnsiTheme="majorBidi" w:cstheme="majorBidi"/>
          <w:color w:val="000000" w:themeColor="text1"/>
          <w:lang w:val="en-US"/>
        </w:rPr>
        <w:t>:</w:t>
      </w:r>
    </w:p>
    <w:p w14:paraId="1DBA6464" w14:textId="16990FD4"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For terrestrial species</w:t>
      </w:r>
    </w:p>
    <w:p w14:paraId="12AA0621" w14:textId="77777777"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For freshwater species</w:t>
      </w:r>
    </w:p>
    <w:p w14:paraId="1FB9E380" w14:textId="0900ED12"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For marine species</w:t>
      </w:r>
    </w:p>
    <w:p w14:paraId="3959723A" w14:textId="03936FBC"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For international trade</w:t>
      </w:r>
    </w:p>
    <w:p w14:paraId="377FF4E9" w14:textId="77777777" w:rsidR="00C9506C" w:rsidRPr="00ED7E61" w:rsidRDefault="00C9506C" w:rsidP="00B10F0C">
      <w:pPr>
        <w:pStyle w:val="CBDNormalNumber"/>
        <w:numPr>
          <w:ilvl w:val="1"/>
          <w:numId w:val="81"/>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None of the above</w:t>
      </w:r>
    </w:p>
    <w:p w14:paraId="560ACCB6" w14:textId="635D90E1" w:rsidR="00C9506C" w:rsidRPr="00803D50" w:rsidRDefault="00C9506C" w:rsidP="00B10F0C">
      <w:pPr>
        <w:pStyle w:val="CBDNormalNumber"/>
        <w:numPr>
          <w:ilvl w:val="0"/>
          <w:numId w:val="81"/>
        </w:numPr>
        <w:shd w:val="clear" w:color="auto" w:fill="FFFFFF"/>
        <w:ind w:left="567" w:firstLine="0"/>
        <w:rPr>
          <w:rStyle w:val="normaltextrun"/>
          <w:rFonts w:asciiTheme="majorBidi" w:eastAsia="Garamond" w:hAnsiTheme="majorBidi" w:cstheme="majorBidi"/>
          <w:color w:val="000000" w:themeColor="text1"/>
          <w:lang w:val="en-US"/>
        </w:rPr>
      </w:pPr>
      <w:r w:rsidRPr="00ED7E61">
        <w:rPr>
          <w:rFonts w:asciiTheme="majorBidi" w:eastAsia="Garamond" w:hAnsiTheme="majorBidi" w:cstheme="majorBidi"/>
          <w:color w:val="000000" w:themeColor="text1"/>
          <w:lang w:val="en-US"/>
        </w:rPr>
        <w:t>Each of the answers here is to be chosen using a “</w:t>
      </w:r>
      <w:r w:rsidRPr="00FB1598">
        <w:rPr>
          <w:rFonts w:asciiTheme="majorBidi" w:eastAsia="Garamond" w:hAnsiTheme="majorBidi" w:cstheme="majorBidi"/>
          <w:i/>
          <w:iCs/>
          <w:color w:val="000000" w:themeColor="text1"/>
          <w:lang w:val="en-US"/>
        </w:rPr>
        <w:t>select all that apply</w:t>
      </w:r>
      <w:r w:rsidRPr="00ED7E61">
        <w:rPr>
          <w:rFonts w:asciiTheme="majorBidi" w:eastAsia="Garamond" w:hAnsiTheme="majorBidi" w:cstheme="majorBidi"/>
          <w:color w:val="000000" w:themeColor="text1"/>
          <w:lang w:val="en-US"/>
        </w:rPr>
        <w:t>” approach. Namely, if a country has legal instruments or other policy frameworks to regulate trade in wild species then select to which species these legal instruments apply and whether they include international trade. In other words, select each option for which the answer to 9.3 is “</w:t>
      </w:r>
      <w:r w:rsidRPr="00FB1598">
        <w:rPr>
          <w:rFonts w:asciiTheme="majorBidi" w:eastAsia="Garamond" w:hAnsiTheme="majorBidi" w:cstheme="majorBidi"/>
          <w:i/>
          <w:iCs/>
          <w:color w:val="000000" w:themeColor="text1"/>
          <w:lang w:val="en-US"/>
        </w:rPr>
        <w:t>Yes</w:t>
      </w:r>
      <w:r w:rsidRPr="00ED7E61">
        <w:rPr>
          <w:rFonts w:asciiTheme="majorBidi" w:eastAsia="Garamond" w:hAnsiTheme="majorBidi" w:cstheme="majorBidi"/>
          <w:color w:val="000000" w:themeColor="text1"/>
          <w:lang w:val="en-US"/>
        </w:rPr>
        <w:t xml:space="preserve">”. If </w:t>
      </w:r>
      <w:r w:rsidR="000A49F7">
        <w:rPr>
          <w:rFonts w:asciiTheme="majorBidi" w:eastAsia="Garamond" w:hAnsiTheme="majorBidi" w:cstheme="majorBidi"/>
          <w:color w:val="000000" w:themeColor="text1"/>
          <w:lang w:val="en-US"/>
        </w:rPr>
        <w:t xml:space="preserve">no </w:t>
      </w:r>
      <w:r w:rsidRPr="00ED7E61">
        <w:rPr>
          <w:rFonts w:asciiTheme="majorBidi" w:eastAsia="Garamond" w:hAnsiTheme="majorBidi" w:cstheme="majorBidi"/>
          <w:color w:val="000000" w:themeColor="text1"/>
          <w:lang w:val="en-US"/>
        </w:rPr>
        <w:t>species group nor international trade are covered by legal instruments or other policy frameworks, select “</w:t>
      </w:r>
      <w:r w:rsidRPr="00FB1598">
        <w:rPr>
          <w:rFonts w:asciiTheme="majorBidi" w:eastAsia="Garamond" w:hAnsiTheme="majorBidi" w:cstheme="majorBidi"/>
          <w:i/>
          <w:iCs/>
          <w:color w:val="000000" w:themeColor="text1"/>
          <w:lang w:val="en-US"/>
        </w:rPr>
        <w:t>None of the above</w:t>
      </w:r>
      <w:r w:rsidRPr="00ED7E61">
        <w:rPr>
          <w:rFonts w:asciiTheme="majorBidi" w:eastAsia="Garamond" w:hAnsiTheme="majorBidi" w:cstheme="majorBidi"/>
          <w:color w:val="000000" w:themeColor="text1"/>
          <w:lang w:val="en-US"/>
        </w:rPr>
        <w:t>”. In this question, it is understood that nations have already passed legislation through parliament to regulate trade on wild species, if this is not the case or such laws are in development, then do not select any answer. Further, it is understood that for each species group (terrestrial, freshwater and marine) regulation of wild species applies to all wild species of this group and not just a fraction of them.]</w:t>
      </w:r>
    </w:p>
    <w:p w14:paraId="6FA4D22B" w14:textId="77777777" w:rsidR="00D311B8" w:rsidRPr="00ED7E61" w:rsidRDefault="00D311B8" w:rsidP="00395866">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lang w:val="en-GB"/>
        </w:rPr>
      </w:pPr>
    </w:p>
    <w:p w14:paraId="58B4C7FD"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3292E188" w14:textId="4D8FEE53" w:rsidR="00756F0F" w:rsidRPr="00ED7E61" w:rsidRDefault="00756F0F" w:rsidP="00501E19">
      <w:pPr>
        <w:pStyle w:val="Heading3"/>
      </w:pPr>
      <w:bookmarkStart w:id="57" w:name="_Toc178285868"/>
      <w:r w:rsidRPr="00ED7E61">
        <w:rPr>
          <w:rStyle w:val="normaltextrun"/>
        </w:rPr>
        <w:t>GBF indicator metadata</w:t>
      </w:r>
      <w:r w:rsidR="004F77DE" w:rsidRPr="00ED7E61">
        <w:rPr>
          <w:rStyle w:val="normaltextrun"/>
        </w:rPr>
        <w:t>: 10.1 Proportion of agricultural area under productive and sustainable agriculture</w:t>
      </w:r>
      <w:r w:rsidR="000537BB" w:rsidRPr="00ED7E61">
        <w:rPr>
          <w:rStyle w:val="FootnoteReference"/>
        </w:rPr>
        <w:footnoteReference w:id="45"/>
      </w:r>
      <w:bookmarkEnd w:id="57"/>
      <w:r w:rsidRPr="00ED7E61">
        <w:rPr>
          <w:rStyle w:val="normaltextrun"/>
        </w:rPr>
        <w:t> </w:t>
      </w:r>
      <w:r w:rsidRPr="00ED7E61">
        <w:rPr>
          <w:rStyle w:val="eop"/>
        </w:rPr>
        <w:t> </w:t>
      </w:r>
    </w:p>
    <w:p w14:paraId="357EF1FA" w14:textId="77777777" w:rsidR="00672DBA" w:rsidRPr="00ED7E61" w:rsidRDefault="00672DBA" w:rsidP="00672DBA">
      <w:pPr>
        <w:pStyle w:val="paragraph"/>
        <w:pBdr>
          <w:bottom w:val="single" w:sz="4" w:space="1" w:color="000000"/>
        </w:pBdr>
        <w:spacing w:before="0" w:beforeAutospacing="0" w:after="0" w:afterAutospacing="0"/>
        <w:textAlignment w:val="baseline"/>
        <w:rPr>
          <w:rStyle w:val="normaltextrun"/>
          <w:rFonts w:asciiTheme="majorBidi" w:eastAsiaTheme="majorEastAsia" w:hAnsiTheme="majorBidi" w:cstheme="majorBidi"/>
          <w:b/>
          <w:bCs/>
          <w:sz w:val="22"/>
          <w:szCs w:val="22"/>
          <w:lang w:val="en-GB"/>
        </w:rPr>
      </w:pPr>
    </w:p>
    <w:p w14:paraId="6215C169"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77A9BED2" w14:textId="77777777" w:rsidR="00672DBA" w:rsidRPr="00ED7E61" w:rsidRDefault="00672DBA" w:rsidP="00672DBA">
      <w:pPr>
        <w:pStyle w:val="paragraph"/>
        <w:spacing w:before="0" w:beforeAutospacing="0" w:after="0" w:afterAutospacing="0"/>
        <w:ind w:right="-21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shd w:val="clear" w:color="auto" w:fill="FFFFFF"/>
          <w:lang w:val="en-GB"/>
        </w:rPr>
        <w:t>10.1 Proportion of agricultural area under productive and sustainable agriculture</w:t>
      </w:r>
      <w:r w:rsidRPr="00ED7E61">
        <w:rPr>
          <w:rStyle w:val="eop"/>
          <w:rFonts w:asciiTheme="majorBidi" w:eastAsiaTheme="majorEastAsia" w:hAnsiTheme="majorBidi" w:cstheme="majorBidi"/>
          <w:sz w:val="22"/>
          <w:szCs w:val="22"/>
        </w:rPr>
        <w:t> </w:t>
      </w:r>
    </w:p>
    <w:p w14:paraId="460A6AC9" w14:textId="77777777" w:rsidR="00672DBA" w:rsidRPr="00ED7E61" w:rsidRDefault="00672DBA" w:rsidP="00803D5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18AF7B76" w14:textId="1ADB97DC" w:rsidR="00672DBA" w:rsidRPr="00ED7E61" w:rsidRDefault="006B30FE" w:rsidP="00672DBA">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672DBA" w:rsidRPr="00ED7E61">
        <w:rPr>
          <w:rStyle w:val="normaltextrun"/>
          <w:rFonts w:asciiTheme="majorBidi" w:eastAsiaTheme="majorEastAsia" w:hAnsiTheme="majorBidi" w:cstheme="majorBidi"/>
          <w:sz w:val="22"/>
          <w:szCs w:val="22"/>
        </w:rPr>
        <w:t>2024</w:t>
      </w:r>
    </w:p>
    <w:p w14:paraId="1F201A90" w14:textId="77777777" w:rsidR="00672DBA" w:rsidRPr="00ED7E61" w:rsidRDefault="00672DBA" w:rsidP="00803D50">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2DA7BEBC" w14:textId="77777777" w:rsidR="00672DBA" w:rsidRPr="00ED7E61" w:rsidRDefault="00672DBA" w:rsidP="00803D5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174D0386" w14:textId="77777777" w:rsidR="00672DBA" w:rsidRPr="00ED7E61" w:rsidRDefault="00672DBA" w:rsidP="0001254A">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p>
    <w:p w14:paraId="008CDB43" w14:textId="77777777" w:rsidR="00672DBA" w:rsidRPr="00ED7E61" w:rsidRDefault="00672DBA" w:rsidP="0001254A">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p w14:paraId="36C459EE" w14:textId="77777777" w:rsidR="00672DBA" w:rsidRPr="00ED7E61" w:rsidRDefault="00672DBA" w:rsidP="00672DBA">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Headline indicator for Target 10. Ensure that areas under agriculture, aquaculture, fisheries and forestry are managed sustainably, in particular through the sustainable use of biodiversity, including through a substantial increase of the application of biodiversity friendly practices, such as sustainable intensification, agroecological and other innovative approaches, contributing to the resilience and long-term efficiency and productivity of these production systems, and to food security, conserving and restoring biodiversity and maintaining nature’s contributions to people, including ecosystem functions and services.</w:t>
      </w:r>
      <w:r w:rsidRPr="00ED7E61">
        <w:rPr>
          <w:rStyle w:val="eop"/>
          <w:rFonts w:asciiTheme="majorBidi" w:eastAsiaTheme="majorEastAsia" w:hAnsiTheme="majorBidi" w:cstheme="majorBidi"/>
          <w:sz w:val="22"/>
          <w:szCs w:val="22"/>
        </w:rPr>
        <w:t> </w:t>
      </w:r>
    </w:p>
    <w:p w14:paraId="25BAC8F8" w14:textId="77777777" w:rsidR="00672DBA" w:rsidRPr="00ED7E61" w:rsidRDefault="00672DBA" w:rsidP="00803D5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09BC984E" w14:textId="77777777" w:rsidR="00672DBA" w:rsidRPr="00ED7E61" w:rsidRDefault="00672DBA" w:rsidP="00B10F0C">
      <w:pPr>
        <w:pStyle w:val="CBDNormalNumber"/>
        <w:numPr>
          <w:ilvl w:val="0"/>
          <w:numId w:val="82"/>
        </w:numPr>
        <w:shd w:val="clear" w:color="auto" w:fill="FFFFFF"/>
        <w:tabs>
          <w:tab w:val="clear" w:pos="1701"/>
        </w:tabs>
        <w:ind w:left="567" w:hanging="24"/>
        <w:rPr>
          <w:rFonts w:asciiTheme="majorBidi" w:eastAsia="Garamond" w:hAnsiTheme="majorBidi" w:cstheme="majorBidi"/>
          <w:color w:val="000000" w:themeColor="text1"/>
          <w:lang w:val="en-US"/>
        </w:rPr>
      </w:pPr>
      <w:r w:rsidRPr="00ED7E61">
        <w:rPr>
          <w:rFonts w:eastAsia="Garamond"/>
          <w:color w:val="000000" w:themeColor="text1"/>
          <w:lang w:val="en-US"/>
        </w:rPr>
        <w:t>The approaches to framing and defining sustainable agriculture vary in terms of their coverage of the three primary dimensions of sustainability, i.e. economic, environmental and social, and in terms of the scale that is used to assess sustainability, i.e. from field and farm scales, to national and global scales. Some approaches consider different features of sustainability, for example whether current practices are economically feasible, environmentally friendly and socially desirable. Other approaches focus on particular practices such as organic, regenerative or low-input agriculture and can equate these with sustainable agriculture. The conclusion from a literature review associated with the methodological development of this indicator is that the multi-dimensional approach developed by FAO in 1988 is a meaningful framing of the concept. Thus, sustainable agriculture can be considered as “</w:t>
      </w:r>
      <w:r w:rsidRPr="00FB1598">
        <w:rPr>
          <w:rFonts w:eastAsia="Garamond"/>
          <w:i/>
          <w:iCs/>
          <w:color w:val="000000" w:themeColor="text1"/>
          <w:lang w:val="en-US"/>
        </w:rPr>
        <w:t>the management and conservation of the natural resource base, and the orientation of technological and institutional change in such a manner as to ensure the attainment and continued satisfaction of human needs for present and future generation. Such development (in agriculture, forestry and fishing etc.) conserves land, water, plant and animal genetic resources, environmentally non-degrading, technically appropriate, economically viable and socially acceptable</w:t>
      </w:r>
      <w:r w:rsidRPr="00ED7E61">
        <w:rPr>
          <w:rFonts w:eastAsia="Garamond"/>
          <w:color w:val="000000" w:themeColor="text1"/>
          <w:lang w:val="en-US"/>
        </w:rPr>
        <w:t>.” (FAO, 1988) </w:t>
      </w:r>
    </w:p>
    <w:p w14:paraId="5C279F2C" w14:textId="304F4393" w:rsidR="00672DBA" w:rsidRPr="00ED7E61" w:rsidRDefault="00672DBA" w:rsidP="009925BD">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77123A24"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114D6B25" w14:textId="77777777" w:rsidR="00672DBA" w:rsidRPr="00ED7E61" w:rsidRDefault="00672DBA" w:rsidP="00B10F0C">
      <w:pPr>
        <w:pStyle w:val="CBDNormalNumber"/>
        <w:numPr>
          <w:ilvl w:val="0"/>
          <w:numId w:val="82"/>
        </w:numPr>
        <w:shd w:val="clear" w:color="auto" w:fill="FFFFFF"/>
        <w:ind w:left="567" w:firstLine="0"/>
        <w:rPr>
          <w:rFonts w:eastAsia="Garamond"/>
          <w:color w:val="000000" w:themeColor="text1"/>
          <w:lang w:val="en-US"/>
        </w:rPr>
      </w:pPr>
      <w:r w:rsidRPr="00ED7E61">
        <w:rPr>
          <w:rFonts w:eastAsia="Garamond"/>
          <w:color w:val="000000" w:themeColor="text1"/>
          <w:lang w:val="en-US"/>
        </w:rPr>
        <w:t>The indicator is defined by the formula: </w:t>
      </w:r>
    </w:p>
    <w:p w14:paraId="62142BDA" w14:textId="4D8963CA" w:rsidR="00672DBA" w:rsidRPr="007A5A7E" w:rsidRDefault="00672DBA" w:rsidP="007A5A7E">
      <w:pPr>
        <w:pStyle w:val="paragraph"/>
        <w:spacing w:before="0" w:beforeAutospacing="0" w:after="0" w:afterAutospacing="0"/>
        <w:textAlignment w:val="baseline"/>
        <w:rPr>
          <w:sz w:val="22"/>
          <w:szCs w:val="22"/>
        </w:rPr>
      </w:pPr>
      <w:r w:rsidRPr="007A5A7E">
        <w:rPr>
          <w:rStyle w:val="normaltextrun"/>
          <w:rFonts w:ascii="Cambria Math" w:eastAsiaTheme="majorEastAsia" w:hAnsi="Cambria Math" w:cs="Cambria Math"/>
          <w:sz w:val="22"/>
          <w:szCs w:val="22"/>
          <w:lang w:val="en-GB"/>
        </w:rPr>
        <w:t>𝐴𝑟𝑒𝑎</w:t>
      </w:r>
      <w:r w:rsidRPr="007A5A7E">
        <w:rPr>
          <w:rStyle w:val="normaltextrun"/>
          <w:rFonts w:eastAsiaTheme="majorEastAsia"/>
          <w:sz w:val="22"/>
          <w:szCs w:val="22"/>
          <w:lang w:val="en-GB"/>
        </w:rPr>
        <w:t xml:space="preserve"> </w:t>
      </w:r>
      <w:r w:rsidRPr="007A5A7E">
        <w:rPr>
          <w:rStyle w:val="normaltextrun"/>
          <w:rFonts w:ascii="Cambria Math" w:eastAsiaTheme="majorEastAsia" w:hAnsi="Cambria Math" w:cs="Cambria Math"/>
          <w:sz w:val="22"/>
          <w:szCs w:val="22"/>
          <w:lang w:val="en-GB"/>
        </w:rPr>
        <w:t>𝑢𝑛𝑑𝑒𝑟</w:t>
      </w:r>
      <w:r w:rsidRPr="007A5A7E">
        <w:rPr>
          <w:rStyle w:val="normaltextrun"/>
          <w:rFonts w:eastAsiaTheme="majorEastAsia"/>
          <w:sz w:val="22"/>
          <w:szCs w:val="22"/>
          <w:lang w:val="en-GB"/>
        </w:rPr>
        <w:t xml:space="preserve"> </w:t>
      </w:r>
      <w:r w:rsidRPr="007A5A7E">
        <w:rPr>
          <w:rStyle w:val="normaltextrun"/>
          <w:rFonts w:ascii="Cambria Math" w:eastAsiaTheme="majorEastAsia" w:hAnsi="Cambria Math" w:cs="Cambria Math"/>
          <w:sz w:val="22"/>
          <w:szCs w:val="22"/>
          <w:lang w:val="en-GB"/>
        </w:rPr>
        <w:t>𝑝𝑟𝑜𝑑𝑢𝑐𝑡𝑖𝑣𝑒</w:t>
      </w:r>
      <w:r w:rsidRPr="007A5A7E">
        <w:rPr>
          <w:rStyle w:val="normaltextrun"/>
          <w:rFonts w:eastAsiaTheme="majorEastAsia"/>
          <w:sz w:val="22"/>
          <w:szCs w:val="22"/>
          <w:lang w:val="en-GB"/>
        </w:rPr>
        <w:t xml:space="preserve"> </w:t>
      </w:r>
      <w:r w:rsidRPr="007A5A7E">
        <w:rPr>
          <w:rStyle w:val="normaltextrun"/>
          <w:rFonts w:ascii="Cambria Math" w:eastAsiaTheme="majorEastAsia" w:hAnsi="Cambria Math" w:cs="Cambria Math"/>
          <w:sz w:val="22"/>
          <w:szCs w:val="22"/>
          <w:lang w:val="en-GB"/>
        </w:rPr>
        <w:t>𝑎𝑛𝑑</w:t>
      </w:r>
      <w:r w:rsidRPr="007A5A7E">
        <w:rPr>
          <w:rStyle w:val="normaltextrun"/>
          <w:rFonts w:eastAsiaTheme="majorEastAsia"/>
          <w:sz w:val="22"/>
          <w:szCs w:val="22"/>
          <w:lang w:val="en-GB"/>
        </w:rPr>
        <w:t xml:space="preserve"> </w:t>
      </w:r>
      <w:r w:rsidRPr="007A5A7E">
        <w:rPr>
          <w:rStyle w:val="normaltextrun"/>
          <w:rFonts w:ascii="Cambria Math" w:eastAsiaTheme="majorEastAsia" w:hAnsi="Cambria Math" w:cs="Cambria Math"/>
          <w:sz w:val="22"/>
          <w:szCs w:val="22"/>
          <w:lang w:val="en-GB"/>
        </w:rPr>
        <w:t>𝑠𝑢𝑠𝑡𝑎𝑖𝑛𝑎𝑏𝑙𝑒</w:t>
      </w:r>
      <w:r w:rsidRPr="007A5A7E">
        <w:rPr>
          <w:rStyle w:val="normaltextrun"/>
          <w:rFonts w:eastAsiaTheme="majorEastAsia"/>
          <w:sz w:val="22"/>
          <w:szCs w:val="22"/>
          <w:lang w:val="en-GB"/>
        </w:rPr>
        <w:t xml:space="preserve"> </w:t>
      </w:r>
      <w:r w:rsidRPr="007A5A7E">
        <w:rPr>
          <w:rStyle w:val="normaltextrun"/>
          <w:rFonts w:ascii="Cambria Math" w:eastAsiaTheme="majorEastAsia" w:hAnsi="Cambria Math" w:cs="Cambria Math"/>
          <w:sz w:val="22"/>
          <w:szCs w:val="22"/>
          <w:lang w:val="en-GB"/>
        </w:rPr>
        <w:t>𝑎𝑔𝑟𝑖𝑐𝑢𝑙𝑡𝑢𝑟𝑒</w:t>
      </w:r>
      <w:r w:rsidRPr="007A5A7E">
        <w:rPr>
          <w:rStyle w:val="normaltextrun"/>
          <w:rFonts w:eastAsiaTheme="majorEastAsia"/>
          <w:sz w:val="22"/>
          <w:szCs w:val="22"/>
          <w:lang w:val="en-GB"/>
        </w:rPr>
        <w:t xml:space="preserve"> /</w:t>
      </w:r>
      <w:r w:rsidRPr="007A5A7E">
        <w:rPr>
          <w:rStyle w:val="normaltextrun"/>
          <w:rFonts w:ascii="Cambria Math" w:eastAsiaTheme="majorEastAsia" w:hAnsi="Cambria Math" w:cs="Cambria Math"/>
          <w:sz w:val="22"/>
          <w:szCs w:val="22"/>
          <w:lang w:val="en-GB"/>
        </w:rPr>
        <w:t>𝐴𝑔𝑟𝑖𝑐𝑢𝑙𝑡𝑢𝑟𝑎𝑙</w:t>
      </w:r>
      <w:r w:rsidRPr="007A5A7E">
        <w:rPr>
          <w:rStyle w:val="normaltextrun"/>
          <w:rFonts w:eastAsiaTheme="majorEastAsia"/>
          <w:sz w:val="22"/>
          <w:szCs w:val="22"/>
          <w:lang w:val="en-GB"/>
        </w:rPr>
        <w:t xml:space="preserve"> </w:t>
      </w:r>
      <w:r w:rsidRPr="007A5A7E">
        <w:rPr>
          <w:rStyle w:val="normaltextrun"/>
          <w:rFonts w:ascii="Cambria Math" w:eastAsiaTheme="majorEastAsia" w:hAnsi="Cambria Math" w:cs="Cambria Math"/>
          <w:sz w:val="22"/>
          <w:szCs w:val="22"/>
          <w:lang w:val="en-GB"/>
        </w:rPr>
        <w:t>𝑙𝑎𝑛𝑑</w:t>
      </w:r>
      <w:r w:rsidRPr="007A5A7E">
        <w:rPr>
          <w:rStyle w:val="normaltextrun"/>
          <w:rFonts w:eastAsiaTheme="majorEastAsia"/>
          <w:sz w:val="22"/>
          <w:szCs w:val="22"/>
          <w:lang w:val="en-GB"/>
        </w:rPr>
        <w:t xml:space="preserve"> </w:t>
      </w:r>
      <w:r w:rsidRPr="007A5A7E">
        <w:rPr>
          <w:rStyle w:val="normaltextrun"/>
          <w:rFonts w:ascii="Cambria Math" w:eastAsiaTheme="majorEastAsia" w:hAnsi="Cambria Math" w:cs="Cambria Math"/>
          <w:sz w:val="22"/>
          <w:szCs w:val="22"/>
          <w:lang w:val="en-GB"/>
        </w:rPr>
        <w:t>𝑎𝑟𝑒𝑎</w:t>
      </w:r>
    </w:p>
    <w:p w14:paraId="3AE339FD" w14:textId="7825E1E9" w:rsidR="00672DBA" w:rsidRPr="00ED7E61" w:rsidRDefault="00672DBA" w:rsidP="00B10F0C">
      <w:pPr>
        <w:pStyle w:val="CBDNormalNumber"/>
        <w:numPr>
          <w:ilvl w:val="0"/>
          <w:numId w:val="82"/>
        </w:numPr>
        <w:shd w:val="clear" w:color="auto" w:fill="FFFFFF"/>
        <w:ind w:left="567" w:firstLine="0"/>
        <w:rPr>
          <w:rFonts w:eastAsia="Garamond"/>
          <w:color w:val="000000" w:themeColor="text1"/>
          <w:lang w:val="en-US"/>
        </w:rPr>
      </w:pPr>
      <w:r w:rsidRPr="00ED7E61">
        <w:rPr>
          <w:rFonts w:eastAsia="Garamond"/>
          <w:color w:val="000000" w:themeColor="text1"/>
          <w:lang w:val="en-US"/>
        </w:rPr>
        <w:t>This implies the need to measure both the extent of land under productive and sustainable agriculture (the numerator), as well as the extent of agriculture land area (the denominator).  </w:t>
      </w:r>
    </w:p>
    <w:p w14:paraId="3A34790D" w14:textId="20AEE095" w:rsidR="00672DBA" w:rsidRPr="00ED7E61" w:rsidRDefault="00672DBA" w:rsidP="00B10F0C">
      <w:pPr>
        <w:pStyle w:val="CBDNormalNumber"/>
        <w:numPr>
          <w:ilvl w:val="0"/>
          <w:numId w:val="82"/>
        </w:numPr>
        <w:shd w:val="clear" w:color="auto" w:fill="FFFFFF"/>
        <w:ind w:left="567" w:firstLine="0"/>
        <w:rPr>
          <w:rFonts w:eastAsia="Garamond"/>
          <w:color w:val="000000" w:themeColor="text1"/>
          <w:lang w:val="en-US"/>
        </w:rPr>
      </w:pPr>
      <w:r w:rsidRPr="00ED7E61">
        <w:rPr>
          <w:rFonts w:eastAsia="Garamond"/>
          <w:color w:val="000000" w:themeColor="text1"/>
          <w:lang w:val="en-US"/>
        </w:rPr>
        <w:t>The numerator captures the three dimensions of sustainable production: environmental, economic and social. It corresponds to agricultural land area of the farms that satisfy the sustainability criteria of the 11 sub-indicators selected across all three dimensions</w:t>
      </w:r>
      <w:r w:rsidRPr="00FB1598">
        <w:rPr>
          <w:rFonts w:eastAsia="Garamond"/>
          <w:color w:val="000000" w:themeColor="text1"/>
          <w:vertAlign w:val="superscript"/>
          <w:lang w:val="en-US"/>
        </w:rPr>
        <w:footnoteReference w:id="46"/>
      </w:r>
      <w:r w:rsidR="00AF24F0">
        <w:rPr>
          <w:rFonts w:eastAsia="Garamond"/>
          <w:color w:val="000000" w:themeColor="text1"/>
          <w:lang w:val="en-US"/>
        </w:rPr>
        <w:t xml:space="preserve">. </w:t>
      </w:r>
    </w:p>
    <w:p w14:paraId="0E6BE9BC" w14:textId="1AA197B6" w:rsidR="009925BD" w:rsidRPr="00ED7E61" w:rsidRDefault="00672DBA" w:rsidP="00B10F0C">
      <w:pPr>
        <w:pStyle w:val="CBDNormalNumber"/>
        <w:numPr>
          <w:ilvl w:val="0"/>
          <w:numId w:val="82"/>
        </w:numPr>
        <w:shd w:val="clear" w:color="auto" w:fill="FFFFFF"/>
        <w:ind w:left="567" w:firstLine="0"/>
        <w:rPr>
          <w:rFonts w:eastAsia="Garamond"/>
          <w:color w:val="000000" w:themeColor="text1"/>
          <w:lang w:val="en-US"/>
        </w:rPr>
      </w:pPr>
      <w:r w:rsidRPr="00ED7E61">
        <w:rPr>
          <w:rFonts w:eastAsia="Garamond"/>
          <w:color w:val="000000" w:themeColor="text1"/>
          <w:lang w:val="en-US"/>
        </w:rPr>
        <w:t>The denominator in turn the sum of agricultural land area (as defined by FAO) utilized by agricultural holdings that are owned (excluding rented-out), rented-in, leased, sharecropped or borrowed. State or communal land used by farm holdings is not included. Please see the methodological document</w:t>
      </w:r>
      <w:r w:rsidRPr="00FB1598">
        <w:rPr>
          <w:rFonts w:eastAsia="Garamond"/>
          <w:color w:val="000000" w:themeColor="text1"/>
          <w:vertAlign w:val="superscript"/>
          <w:lang w:val="en-US"/>
        </w:rPr>
        <w:footnoteReference w:id="47"/>
      </w:r>
      <w:r w:rsidRPr="00ED7E61">
        <w:rPr>
          <w:rFonts w:eastAsia="Garamond"/>
          <w:color w:val="000000" w:themeColor="text1"/>
          <w:lang w:val="en-US"/>
        </w:rPr>
        <w:t xml:space="preserve"> prepared by FAO for a more detailed explanation.  </w:t>
      </w:r>
    </w:p>
    <w:p w14:paraId="67EAEE92" w14:textId="36DC4AE7"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scope of the indicator is the agricultural farm holding, and more precisely the agricultural land area of the farm holdings, i.e. land used primarily to grow crops and raise livestock. This choice of scope is fully consistent with the intended use of a country’s agricultural land area as the denominator of the aggregate indicator. Specifically, the following are:</w:t>
      </w:r>
      <w:r w:rsidRPr="00ED7E61">
        <w:rPr>
          <w:rStyle w:val="eop"/>
          <w:rFonts w:asciiTheme="majorBidi" w:eastAsiaTheme="majorEastAsia" w:hAnsiTheme="majorBidi" w:cstheme="majorBidi"/>
        </w:rPr>
        <w:t> </w:t>
      </w:r>
    </w:p>
    <w:p w14:paraId="0AFAD82A" w14:textId="77777777"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Included within scope:</w:t>
      </w:r>
      <w:r w:rsidRPr="00ED7E61">
        <w:rPr>
          <w:rStyle w:val="eop"/>
          <w:rFonts w:asciiTheme="majorBidi" w:eastAsiaTheme="majorEastAsia" w:hAnsiTheme="majorBidi" w:cstheme="majorBidi"/>
        </w:rPr>
        <w:t> </w:t>
      </w:r>
    </w:p>
    <w:p w14:paraId="544380EC" w14:textId="77777777"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Intensive and extensive crops and livestock production systems.  </w:t>
      </w:r>
    </w:p>
    <w:p w14:paraId="3CB5CA62" w14:textId="77777777"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Subsistence agriculture. </w:t>
      </w:r>
    </w:p>
    <w:p w14:paraId="2521D39E" w14:textId="77777777"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State and common land when used exclusively and managed by the farm holdings. </w:t>
      </w:r>
    </w:p>
    <w:p w14:paraId="6470E85A" w14:textId="77777777" w:rsidR="00F12195"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 xml:space="preserve">Food and non-food crops and livestock products (e.g. tobacco, cotton, and sheep wool). </w:t>
      </w:r>
    </w:p>
    <w:p w14:paraId="1DC008DA" w14:textId="6FEA7025"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Crops grown for fodder or for energy purposes.  </w:t>
      </w:r>
    </w:p>
    <w:p w14:paraId="6B204C5D" w14:textId="77777777"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Agro-forestry (trees on the agriculture land areas of the farm) and Aquaculture, to the extent that it takes place within the agricultural land area of the farm as secondary activities. For example, rice fish farming and similar systems.  </w:t>
      </w:r>
    </w:p>
    <w:p w14:paraId="511E7C54" w14:textId="77777777" w:rsidR="00672DBA" w:rsidRPr="00ED7E61" w:rsidRDefault="00672DBA" w:rsidP="00B10F0C">
      <w:pPr>
        <w:pStyle w:val="CBDNormalNumber"/>
        <w:numPr>
          <w:ilvl w:val="0"/>
          <w:numId w:val="82"/>
        </w:numPr>
        <w:shd w:val="clear" w:color="auto" w:fill="FFFFFF"/>
        <w:ind w:left="567" w:firstLine="0"/>
        <w:rPr>
          <w:rFonts w:eastAsia="Garamond"/>
          <w:color w:val="000000" w:themeColor="text1"/>
          <w:lang w:val="en-US"/>
        </w:rPr>
      </w:pPr>
      <w:r w:rsidRPr="00ED7E61">
        <w:rPr>
          <w:rFonts w:eastAsia="Garamond"/>
          <w:color w:val="000000" w:themeColor="text1"/>
          <w:lang w:val="en-US"/>
        </w:rPr>
        <w:t>Excluded from scope:  </w:t>
      </w:r>
    </w:p>
    <w:p w14:paraId="199475C3" w14:textId="77777777" w:rsidR="00672DBA" w:rsidRPr="00ED7E61" w:rsidRDefault="00672DBA" w:rsidP="00B10F0C">
      <w:pPr>
        <w:pStyle w:val="CBDNormalNumber"/>
        <w:numPr>
          <w:ilvl w:val="1"/>
          <w:numId w:val="82"/>
        </w:numPr>
        <w:tabs>
          <w:tab w:val="clear" w:pos="567"/>
          <w:tab w:val="clear" w:pos="1134"/>
          <w:tab w:val="clear" w:pos="2268"/>
          <w:tab w:val="left" w:pos="1985"/>
        </w:tabs>
        <w:ind w:left="1134" w:firstLine="56"/>
        <w:rPr>
          <w:rStyle w:val="normaltextrun"/>
          <w:shd w:val="clear" w:color="auto" w:fill="FFFFFF"/>
        </w:rPr>
      </w:pPr>
      <w:r w:rsidRPr="00ED7E61">
        <w:rPr>
          <w:rStyle w:val="normaltextrun"/>
          <w:shd w:val="clear" w:color="auto" w:fill="FFFFFF"/>
        </w:rPr>
        <w:t>State and common land not used exclusively by the farm holding.  </w:t>
      </w:r>
    </w:p>
    <w:p w14:paraId="6F768C1C" w14:textId="77777777" w:rsidR="00672DBA" w:rsidRPr="00ED7E61" w:rsidRDefault="00672DBA" w:rsidP="00B10F0C">
      <w:pPr>
        <w:pStyle w:val="CBDNormalNumber"/>
        <w:numPr>
          <w:ilvl w:val="1"/>
          <w:numId w:val="82"/>
        </w:numPr>
        <w:tabs>
          <w:tab w:val="clear" w:pos="567"/>
          <w:tab w:val="clear" w:pos="1134"/>
          <w:tab w:val="clear" w:pos="2268"/>
          <w:tab w:val="left" w:pos="1985"/>
        </w:tabs>
        <w:ind w:left="1134" w:firstLine="56"/>
        <w:rPr>
          <w:rStyle w:val="normaltextrun"/>
          <w:shd w:val="clear" w:color="auto" w:fill="FFFFFF"/>
        </w:rPr>
      </w:pPr>
      <w:r w:rsidRPr="00ED7E61">
        <w:rPr>
          <w:rStyle w:val="normaltextrun"/>
          <w:shd w:val="clear" w:color="auto" w:fill="FFFFFF"/>
        </w:rPr>
        <w:t>Nomadic pastoralism.  </w:t>
      </w:r>
    </w:p>
    <w:p w14:paraId="31E9F8F2" w14:textId="77777777" w:rsidR="00672DBA" w:rsidRPr="00ED7E61" w:rsidRDefault="00672DBA" w:rsidP="00B10F0C">
      <w:pPr>
        <w:pStyle w:val="CBDNormalNumber"/>
        <w:numPr>
          <w:ilvl w:val="1"/>
          <w:numId w:val="82"/>
        </w:numPr>
        <w:tabs>
          <w:tab w:val="clear" w:pos="567"/>
          <w:tab w:val="clear" w:pos="1134"/>
          <w:tab w:val="clear" w:pos="2268"/>
          <w:tab w:val="left" w:pos="1985"/>
        </w:tabs>
        <w:ind w:left="1134" w:firstLine="56"/>
        <w:rPr>
          <w:rStyle w:val="normaltextrun"/>
          <w:shd w:val="clear" w:color="auto" w:fill="FFFFFF"/>
        </w:rPr>
      </w:pPr>
      <w:r w:rsidRPr="00ED7E61">
        <w:rPr>
          <w:rStyle w:val="normaltextrun"/>
          <w:shd w:val="clear" w:color="auto" w:fill="FFFFFF"/>
        </w:rPr>
        <w:t>Production from gardens and backyards. Production from hobby farms  </w:t>
      </w:r>
    </w:p>
    <w:p w14:paraId="78002F9B" w14:textId="77777777" w:rsidR="00672DBA" w:rsidRPr="00ED7E61" w:rsidRDefault="00672DBA" w:rsidP="00B10F0C">
      <w:pPr>
        <w:pStyle w:val="CBDNormalNumber"/>
        <w:numPr>
          <w:ilvl w:val="1"/>
          <w:numId w:val="82"/>
        </w:numPr>
        <w:tabs>
          <w:tab w:val="clear" w:pos="567"/>
          <w:tab w:val="clear" w:pos="1134"/>
          <w:tab w:val="clear" w:pos="2268"/>
          <w:tab w:val="left" w:pos="1985"/>
        </w:tabs>
        <w:ind w:left="1134" w:firstLine="56"/>
        <w:rPr>
          <w:rStyle w:val="normaltextrun"/>
          <w:shd w:val="clear" w:color="auto" w:fill="FFFFFF"/>
        </w:rPr>
      </w:pPr>
      <w:r w:rsidRPr="00ED7E61">
        <w:rPr>
          <w:rStyle w:val="normaltextrun"/>
          <w:shd w:val="clear" w:color="auto" w:fill="FFFFFF"/>
        </w:rPr>
        <w:t>Holdings focusing exclusively on aquaculture.  </w:t>
      </w:r>
    </w:p>
    <w:p w14:paraId="3A2F4964" w14:textId="77777777" w:rsidR="00672DBA" w:rsidRPr="00ED7E61" w:rsidRDefault="00672DBA" w:rsidP="00B10F0C">
      <w:pPr>
        <w:pStyle w:val="CBDNormalNumber"/>
        <w:numPr>
          <w:ilvl w:val="1"/>
          <w:numId w:val="82"/>
        </w:numPr>
        <w:tabs>
          <w:tab w:val="clear" w:pos="567"/>
          <w:tab w:val="clear" w:pos="1134"/>
          <w:tab w:val="clear" w:pos="2268"/>
          <w:tab w:val="left" w:pos="1985"/>
        </w:tabs>
        <w:ind w:left="1134" w:firstLine="56"/>
        <w:rPr>
          <w:rStyle w:val="normaltextrun"/>
          <w:shd w:val="clear" w:color="auto" w:fill="FFFFFF"/>
        </w:rPr>
      </w:pPr>
      <w:r w:rsidRPr="00ED7E61">
        <w:rPr>
          <w:rStyle w:val="normaltextrun"/>
          <w:shd w:val="clear" w:color="auto" w:fill="FFFFFF"/>
        </w:rPr>
        <w:t>Holdings focusing exclusively on forestry.  </w:t>
      </w:r>
    </w:p>
    <w:p w14:paraId="23CE5FBF" w14:textId="4A77D081" w:rsidR="00672DBA" w:rsidRPr="00ED7E61" w:rsidRDefault="00672DBA" w:rsidP="00B10F0C">
      <w:pPr>
        <w:pStyle w:val="CBDNormalNumber"/>
        <w:numPr>
          <w:ilvl w:val="1"/>
          <w:numId w:val="82"/>
        </w:numPr>
        <w:tabs>
          <w:tab w:val="clear" w:pos="567"/>
          <w:tab w:val="clear" w:pos="1134"/>
          <w:tab w:val="clear" w:pos="2268"/>
          <w:tab w:val="left" w:pos="1985"/>
        </w:tabs>
        <w:ind w:left="1134" w:firstLine="56"/>
        <w:rPr>
          <w:rStyle w:val="eop"/>
          <w:rFonts w:asciiTheme="majorBidi" w:hAnsiTheme="majorBidi" w:cstheme="majorBidi"/>
        </w:rPr>
      </w:pPr>
      <w:r w:rsidRPr="00ED7E61">
        <w:rPr>
          <w:rStyle w:val="normaltextrun"/>
          <w:shd w:val="clear" w:color="auto" w:fill="FFFFFF"/>
        </w:rPr>
        <w:t>Food harvested from the wild. </w:t>
      </w:r>
    </w:p>
    <w:p w14:paraId="63B1A4F3" w14:textId="0D532721" w:rsidR="009925BD" w:rsidRPr="00ED7E61" w:rsidRDefault="00672DBA" w:rsidP="00B10F0C">
      <w:pPr>
        <w:pStyle w:val="CBDNormalNumber"/>
        <w:numPr>
          <w:ilvl w:val="0"/>
          <w:numId w:val="82"/>
        </w:numPr>
        <w:shd w:val="clear" w:color="auto" w:fill="FFFFFF"/>
        <w:ind w:left="567" w:firstLine="0"/>
        <w:rPr>
          <w:rFonts w:eastAsia="Garamond"/>
          <w:color w:val="000000" w:themeColor="text1"/>
          <w:lang w:val="en-US"/>
        </w:rPr>
      </w:pPr>
      <w:r w:rsidRPr="00ED7E61">
        <w:rPr>
          <w:rFonts w:eastAsia="Garamond"/>
          <w:color w:val="000000" w:themeColor="text1"/>
          <w:lang w:val="en-US"/>
        </w:rPr>
        <w:t>Concepts: The literature review (Hayati, 2017) identified a large number of potential sustainability themes across the three dimensions of sustainability and, for each theme, usually a large number of possible sub</w:t>
      </w:r>
      <w:r w:rsidR="00F12195">
        <w:rPr>
          <w:rFonts w:eastAsia="Garamond"/>
          <w:color w:val="000000" w:themeColor="text1"/>
          <w:lang w:val="en-US"/>
        </w:rPr>
        <w:t>-</w:t>
      </w:r>
      <w:r w:rsidRPr="00ED7E61">
        <w:rPr>
          <w:rFonts w:eastAsia="Garamond"/>
          <w:color w:val="000000" w:themeColor="text1"/>
          <w:lang w:val="en-US"/>
        </w:rPr>
        <w:t>indicators. The key considerations in the selection of themes are relevance and measurability. In terms of relevance, the relationship between the associated sub-indicator and sustainable agriculture outcomes at farm level should be strong. Following this approach, only sub-indicators that are responsive to farm level policies aimed at improving sustainable agriculture are considered. In terms of measurability, only a “</w:t>
      </w:r>
      <w:r w:rsidRPr="00FB1598">
        <w:rPr>
          <w:rFonts w:eastAsia="Garamond"/>
          <w:i/>
          <w:iCs/>
          <w:color w:val="000000" w:themeColor="text1"/>
          <w:lang w:val="en-US"/>
        </w:rPr>
        <w:t>core</w:t>
      </w:r>
      <w:r w:rsidRPr="00ED7E61">
        <w:rPr>
          <w:rFonts w:eastAsia="Garamond"/>
          <w:color w:val="000000" w:themeColor="text1"/>
          <w:lang w:val="en-US"/>
        </w:rPr>
        <w:t xml:space="preserve">” set of themes and sub-indicators for which measurement and reporting is expected in the majority of countries are selected. </w:t>
      </w:r>
    </w:p>
    <w:p w14:paraId="75CCDE2B" w14:textId="797E81DC" w:rsidR="009925BD" w:rsidRPr="00ED7E61" w:rsidRDefault="00672DBA" w:rsidP="00B10F0C">
      <w:pPr>
        <w:pStyle w:val="CBDNormalNumber"/>
        <w:numPr>
          <w:ilvl w:val="0"/>
          <w:numId w:val="82"/>
        </w:numPr>
        <w:shd w:val="clear" w:color="auto" w:fill="FFFFFF"/>
        <w:ind w:left="567" w:firstLine="0"/>
      </w:pPr>
      <w:r w:rsidRPr="00ED7E61">
        <w:t xml:space="preserve">A key aspect of all approaches to measuring sustainable agriculture is the recognition that sustainability is a multi-dimensional concept, and that these multiple dimensions need to be reflected in the construction of the indicator. This implies that SDG indicator 2.4.1 must be based on a set of sub-indicators that cover these three dimensions. </w:t>
      </w:r>
    </w:p>
    <w:p w14:paraId="54E1AF40" w14:textId="77777777" w:rsidR="00672DBA" w:rsidRPr="00ED7E61" w:rsidRDefault="00672DBA" w:rsidP="00B10F0C">
      <w:pPr>
        <w:pStyle w:val="CBDNormalNumber"/>
        <w:numPr>
          <w:ilvl w:val="0"/>
          <w:numId w:val="82"/>
        </w:numPr>
        <w:shd w:val="clear" w:color="auto" w:fill="FFFFFF"/>
        <w:ind w:left="567" w:firstLine="0"/>
      </w:pPr>
      <w:r w:rsidRPr="00ED7E61">
        <w:t xml:space="preserve">Through a consultative process that has lasted over two years, 11 themes and sub-indicators have been identified, which make up SDG 2.4.1. </w:t>
      </w:r>
    </w:p>
    <w:p w14:paraId="1E31632A" w14:textId="77777777" w:rsidR="00672DBA" w:rsidRPr="00ED7E61" w:rsidRDefault="00672DBA" w:rsidP="00672DBA">
      <w:pPr>
        <w:pStyle w:val="paragraph"/>
        <w:spacing w:before="0" w:beforeAutospacing="0" w:after="0" w:afterAutospacing="0"/>
        <w:textAlignment w:val="baseline"/>
        <w:rPr>
          <w:rFonts w:asciiTheme="majorBidi" w:hAnsiTheme="majorBidi" w:cstheme="majorBidi"/>
          <w:sz w:val="22"/>
          <w:szCs w:val="22"/>
        </w:rPr>
      </w:pPr>
      <w:r w:rsidRPr="00ED7E61">
        <w:rPr>
          <w:rFonts w:asciiTheme="majorBidi" w:hAnsiTheme="majorBidi" w:cstheme="majorBidi"/>
          <w:noProof/>
          <w:sz w:val="22"/>
          <w:szCs w:val="22"/>
          <w:lang w:val="fr-FR" w:eastAsia="fr-FR"/>
        </w:rPr>
        <w:drawing>
          <wp:inline distT="0" distB="0" distL="0" distR="0" wp14:anchorId="5CD01312" wp14:editId="4711EEA6">
            <wp:extent cx="5762625" cy="2476500"/>
            <wp:effectExtent l="0" t="0" r="9525" b="0"/>
            <wp:docPr id="511147328" name="Picture 1" descr="A table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47328" name="Picture 1" descr="A table with text and images&#10;&#10;Description automatically generated with medium confidence"/>
                    <pic:cNvPicPr/>
                  </pic:nvPicPr>
                  <pic:blipFill rotWithShape="1">
                    <a:blip r:embed="rId489"/>
                    <a:srcRect t="1887"/>
                    <a:stretch/>
                  </pic:blipFill>
                  <pic:spPr bwMode="auto">
                    <a:xfrm>
                      <a:off x="0" y="0"/>
                      <a:ext cx="5762625" cy="2476500"/>
                    </a:xfrm>
                    <a:prstGeom prst="rect">
                      <a:avLst/>
                    </a:prstGeom>
                    <a:ln>
                      <a:noFill/>
                    </a:ln>
                    <a:extLst>
                      <a:ext uri="{53640926-AAD7-44D8-BBD7-CCE9431645EC}">
                        <a14:shadowObscured xmlns:a14="http://schemas.microsoft.com/office/drawing/2010/main"/>
                      </a:ext>
                    </a:extLst>
                  </pic:spPr>
                </pic:pic>
              </a:graphicData>
            </a:graphic>
          </wp:inline>
        </w:drawing>
      </w:r>
    </w:p>
    <w:p w14:paraId="67B5F2E2" w14:textId="77777777" w:rsidR="00672DBA" w:rsidRPr="00ED7E61" w:rsidRDefault="00672DBA" w:rsidP="00672DBA">
      <w:pPr>
        <w:pStyle w:val="paragraph"/>
        <w:spacing w:before="0" w:beforeAutospacing="0" w:after="0" w:afterAutospacing="0"/>
        <w:textAlignment w:val="baseline"/>
        <w:rPr>
          <w:rFonts w:asciiTheme="majorBidi" w:hAnsiTheme="majorBidi" w:cstheme="majorBidi"/>
          <w:sz w:val="22"/>
          <w:szCs w:val="22"/>
        </w:rPr>
      </w:pPr>
    </w:p>
    <w:p w14:paraId="3EEE91A3" w14:textId="0450621A" w:rsidR="00672DBA" w:rsidRPr="00ED7E61" w:rsidRDefault="00672DBA" w:rsidP="009925BD">
      <w:pPr>
        <w:pStyle w:val="paragraph"/>
        <w:spacing w:before="0" w:beforeAutospacing="0" w:after="0" w:afterAutospacing="0"/>
        <w:textAlignment w:val="baseline"/>
        <w:rPr>
          <w:rFonts w:asciiTheme="majorBidi" w:hAnsiTheme="majorBidi" w:cstheme="majorBidi"/>
          <w:sz w:val="22"/>
          <w:szCs w:val="22"/>
        </w:rPr>
      </w:pPr>
      <w:r w:rsidRPr="00ED7E61">
        <w:rPr>
          <w:rFonts w:asciiTheme="majorBidi" w:hAnsiTheme="majorBidi" w:cstheme="majorBidi"/>
          <w:sz w:val="22"/>
          <w:szCs w:val="22"/>
        </w:rPr>
        <w:t>Please see the annex of the official metadata</w:t>
      </w:r>
      <w:r w:rsidR="009925BD" w:rsidRPr="00ED7E61">
        <w:rPr>
          <w:rFonts w:asciiTheme="majorBidi" w:hAnsiTheme="majorBidi" w:cstheme="majorBidi"/>
          <w:sz w:val="22"/>
          <w:szCs w:val="22"/>
        </w:rPr>
        <w:t xml:space="preserve"> </w:t>
      </w:r>
      <w:r w:rsidRPr="00ED7E61">
        <w:rPr>
          <w:rFonts w:asciiTheme="majorBidi" w:hAnsiTheme="majorBidi" w:cstheme="majorBidi"/>
          <w:sz w:val="22"/>
          <w:szCs w:val="22"/>
        </w:rPr>
        <w:t>sheet (</w:t>
      </w:r>
      <w:hyperlink r:id="rId490" w:history="1">
        <w:r w:rsidRPr="00ED7E61">
          <w:rPr>
            <w:rStyle w:val="Hyperlink"/>
            <w:rFonts w:asciiTheme="majorBidi" w:hAnsiTheme="majorBidi" w:cstheme="majorBidi"/>
            <w:sz w:val="22"/>
            <w:szCs w:val="22"/>
          </w:rPr>
          <w:t>https://unstats.un.org/sdgs/metadata/files/Metadata-02-04-01.pdf</w:t>
        </w:r>
      </w:hyperlink>
      <w:r w:rsidRPr="00ED7E61">
        <w:rPr>
          <w:rFonts w:asciiTheme="majorBidi" w:hAnsiTheme="majorBidi" w:cstheme="majorBidi"/>
          <w:sz w:val="22"/>
          <w:szCs w:val="22"/>
        </w:rPr>
        <w:t>) for a detailed description of the sub-indicators.</w:t>
      </w:r>
    </w:p>
    <w:p w14:paraId="61560091" w14:textId="77777777" w:rsidR="00672DBA" w:rsidRPr="00ED7E61" w:rsidRDefault="00672DBA" w:rsidP="005B0D1E">
      <w:pPr>
        <w:pStyle w:val="paragraph"/>
        <w:spacing w:before="0" w:beforeAutospacing="0" w:after="0" w:afterAutospacing="0"/>
        <w:textAlignment w:val="baseline"/>
        <w:rPr>
          <w:rFonts w:asciiTheme="majorBidi" w:hAnsiTheme="majorBidi" w:cstheme="majorBidi"/>
          <w:sz w:val="22"/>
          <w:szCs w:val="22"/>
        </w:rPr>
      </w:pPr>
    </w:p>
    <w:p w14:paraId="3B609929"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03E0959C" w14:textId="77777777"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t>Steps undertaken to develop the methodology of the indicator include:</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59D841BC" w14:textId="325D7C1C"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 xml:space="preserve">Determining the scope of the indicator: The scope of </w:t>
      </w:r>
      <w:r w:rsidR="00F12195">
        <w:rPr>
          <w:rStyle w:val="normaltextrun"/>
          <w:shd w:val="clear" w:color="auto" w:fill="FFFFFF"/>
        </w:rPr>
        <w:t>i</w:t>
      </w:r>
      <w:r w:rsidRPr="00ED7E61">
        <w:rPr>
          <w:rStyle w:val="normaltextrun"/>
          <w:shd w:val="clear" w:color="auto" w:fill="FFFFFF"/>
        </w:rPr>
        <w:t>ndicator is the agricultural farm holdings, and more precisely the agricultural land area of the farm holdings, i.e. land used primarily to grow crops and raise livestock. Forestry, fisheries and aquaculture activities may be included to the extent that they are secondary activities conducted on the agricultural area of the farm holdings, for example rice fish farming and similar systems </w:t>
      </w:r>
    </w:p>
    <w:p w14:paraId="585EAEC0" w14:textId="77777777"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Determining the dimensions to be covered: Indicator includes environmental, economic and social dimensions in the sustainability assessment. </w:t>
      </w:r>
    </w:p>
    <w:p w14:paraId="4362D357" w14:textId="77777777"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Choosing the scale for the sustainability assessment: Indicator is farm level with aggregation to higher levels. </w:t>
      </w:r>
    </w:p>
    <w:p w14:paraId="41529768" w14:textId="77777777"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Selecting the data collection instrument(s). It is recommended that indicator be collected through a farm survey. </w:t>
      </w:r>
    </w:p>
    <w:p w14:paraId="188752B7" w14:textId="52CB8B79"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Selecting the themes within each dimension, and choosing a sub-indicator for each theme. The sub-indicators should satisfy a number of sustainability criteria (described in annex 1 for each sub-indicator in the methodological document</w:t>
      </w:r>
      <w:r w:rsidR="009614F1">
        <w:rPr>
          <w:rStyle w:val="FootnoteReference"/>
          <w:shd w:val="clear" w:color="auto" w:fill="FFFFFF"/>
        </w:rPr>
        <w:footnoteReference w:id="48"/>
      </w:r>
      <w:r w:rsidRPr="00ED7E61">
        <w:rPr>
          <w:rStyle w:val="normaltextrun"/>
          <w:shd w:val="clear" w:color="auto" w:fill="FFFFFF"/>
        </w:rPr>
        <w:t>). </w:t>
      </w:r>
    </w:p>
    <w:p w14:paraId="1A7CF978" w14:textId="77777777"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Assessing sustainability performance at farm level for each sub-indicator: Specific sustainability criteria are applied in order to assess the sustainability level of the farm for each theme according to the respective sub-indicators.  </w:t>
      </w:r>
    </w:p>
    <w:p w14:paraId="477B32E8" w14:textId="77777777"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Deciding the periodicity of monitoring the indicator. It is recommended to be collected at least every three years.  </w:t>
      </w:r>
    </w:p>
    <w:p w14:paraId="5C5CBE9A" w14:textId="77777777" w:rsidR="00672DBA" w:rsidRPr="00ED7E61" w:rsidRDefault="00672DBA" w:rsidP="00B10F0C">
      <w:pPr>
        <w:pStyle w:val="CBDNormalNumber"/>
        <w:numPr>
          <w:ilvl w:val="1"/>
          <w:numId w:val="82"/>
        </w:numPr>
        <w:tabs>
          <w:tab w:val="clear" w:pos="567"/>
          <w:tab w:val="clear" w:pos="1134"/>
          <w:tab w:val="clear" w:pos="2268"/>
          <w:tab w:val="left" w:pos="1985"/>
        </w:tabs>
        <w:ind w:left="567" w:firstLine="567"/>
        <w:rPr>
          <w:rStyle w:val="normaltextrun"/>
          <w:shd w:val="clear" w:color="auto" w:fill="FFFFFF"/>
        </w:rPr>
      </w:pPr>
      <w:r w:rsidRPr="00ED7E61">
        <w:rPr>
          <w:rStyle w:val="normaltextrun"/>
          <w:shd w:val="clear" w:color="auto" w:fill="FFFFFF"/>
        </w:rPr>
        <w:t>Modality of reporting the indicator. The set of sub-indicators are presented in the form of a dashboard. The dashboard approach offers a response in terms of measuring sustainability at farm level and aggregating it at national level. </w:t>
      </w:r>
    </w:p>
    <w:p w14:paraId="2705D6F1" w14:textId="1E489B0B"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t>The</w:t>
      </w:r>
      <w:r w:rsidRPr="00ED7E61">
        <w:rPr>
          <w:rStyle w:val="normaltextrun"/>
          <w:rFonts w:asciiTheme="majorBidi" w:eastAsiaTheme="majorEastAsia" w:hAnsiTheme="majorBidi" w:cstheme="majorBidi"/>
        </w:rPr>
        <w:t xml:space="preserve"> methodology proposes reporting of indicator through a national-level dashboard, presenting the different sub-indicators together but independently. The dashboard approach offers several advantages, including the possibility of combining data from different sources and identification of critical sustainability issues, facilitating the search for a balance between the three sustainability dimensions. As a result, countries can easily visualize their performance in terms of the different sustainability dimensions and themes, and understand where policy efforts can be focused for future improvements.</w:t>
      </w:r>
      <w:r w:rsidRPr="00ED7E61">
        <w:rPr>
          <w:rStyle w:val="eop"/>
          <w:rFonts w:asciiTheme="majorBidi" w:eastAsiaTheme="majorEastAsia" w:hAnsiTheme="majorBidi" w:cstheme="majorBidi"/>
        </w:rPr>
        <w:t> </w:t>
      </w:r>
    </w:p>
    <w:p w14:paraId="0F9F081A" w14:textId="21577ED6"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Computation of results and construction of the dashboard are performed for each sub-indicator separately using the </w:t>
      </w:r>
      <w:r w:rsidR="004056F3">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traffic light</w:t>
      </w:r>
      <w:r w:rsidR="004056F3">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approach already defined for each sub-indicator: aggregation at national level is performed for each sub-indicator independently, by summing the agricultural land area of each agricultural holdings by sustainability category (red, yellow or green), and reporting the resulting national total as percentage of the total national agricultural land area of all agricultural farm holdings in the country. In practice, the reported value of</w:t>
      </w:r>
      <w:r w:rsidR="00F12195">
        <w:rPr>
          <w:rStyle w:val="normaltextrun"/>
          <w:rFonts w:asciiTheme="majorBidi" w:eastAsiaTheme="majorEastAsia" w:hAnsiTheme="majorBidi" w:cstheme="majorBidi"/>
        </w:rPr>
        <w:t xml:space="preserve"> the</w:t>
      </w:r>
      <w:r w:rsidRPr="00ED7E61">
        <w:rPr>
          <w:rStyle w:val="normaltextrun"/>
          <w:rFonts w:asciiTheme="majorBidi" w:eastAsiaTheme="majorEastAsia" w:hAnsiTheme="majorBidi" w:cstheme="majorBidi"/>
        </w:rPr>
        <w:t xml:space="preserve"> </w:t>
      </w:r>
      <w:r w:rsidR="00F12195">
        <w:rPr>
          <w:rStyle w:val="normaltextrun"/>
          <w:rFonts w:asciiTheme="majorBidi" w:eastAsiaTheme="majorEastAsia" w:hAnsiTheme="majorBidi" w:cstheme="majorBidi"/>
        </w:rPr>
        <w:t>i</w:t>
      </w:r>
      <w:r w:rsidRPr="00ED7E61">
        <w:rPr>
          <w:rStyle w:val="normaltextrun"/>
          <w:rFonts w:asciiTheme="majorBidi" w:eastAsiaTheme="majorEastAsia" w:hAnsiTheme="majorBidi" w:cstheme="majorBidi"/>
        </w:rPr>
        <w:t>ndicator is determined by the results of most limiting sub-indicator in terms of sustainability performance.</w:t>
      </w:r>
      <w:r w:rsidRPr="00ED7E61">
        <w:rPr>
          <w:rStyle w:val="eop"/>
          <w:rFonts w:asciiTheme="majorBidi" w:eastAsiaTheme="majorEastAsia" w:hAnsiTheme="majorBidi" w:cstheme="majorBidi"/>
        </w:rPr>
        <w:t> </w:t>
      </w:r>
    </w:p>
    <w:p w14:paraId="6306929A"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7A375CB1" w14:textId="34A9A7FE"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A questionnaire </w:t>
      </w:r>
      <w:r w:rsidR="001E2387">
        <w:rPr>
          <w:rStyle w:val="normaltextrun"/>
          <w:rFonts w:asciiTheme="majorBidi" w:eastAsiaTheme="majorEastAsia" w:hAnsiTheme="majorBidi" w:cstheme="majorBidi"/>
        </w:rPr>
        <w:t>has been</w:t>
      </w:r>
      <w:r w:rsidR="001E2387" w:rsidRPr="00ED7E61">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sent to all countries annually since 2020 (http://www.fao.org/sustainabledevelopment-goals/indicators/241/en/). Furthermore, in order to facilitate data collection by countries, a data collection module</w:t>
      </w:r>
      <w:r w:rsidRPr="00ED7E61">
        <w:rPr>
          <w:rStyle w:val="FootnoteReference"/>
          <w:rFonts w:asciiTheme="majorBidi" w:eastAsiaTheme="majorEastAsia" w:hAnsiTheme="majorBidi" w:cstheme="majorBidi"/>
        </w:rPr>
        <w:footnoteReference w:id="49"/>
      </w:r>
      <w:r w:rsidRPr="00ED7E61">
        <w:rPr>
          <w:rStyle w:val="normaltextrun"/>
          <w:rFonts w:asciiTheme="majorBidi" w:eastAsiaTheme="majorEastAsia" w:hAnsiTheme="majorBidi" w:cstheme="majorBidi"/>
        </w:rPr>
        <w:t xml:space="preserve"> has been designed, which contains the core set of questions necessary to obtain the data for the indicator. If farm surveys already exist within a country, these questions can be integrated into existing instruments in order to minimize the burden to national statistical offices in data collection. </w:t>
      </w:r>
      <w:r w:rsidRPr="00ED7E61">
        <w:rPr>
          <w:rStyle w:val="eop"/>
          <w:rFonts w:asciiTheme="majorBidi" w:eastAsiaTheme="majorEastAsia" w:hAnsiTheme="majorBidi" w:cstheme="majorBidi"/>
        </w:rPr>
        <w:t> </w:t>
      </w:r>
    </w:p>
    <w:p w14:paraId="581BA05E" w14:textId="77777777"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All data collection activities will be done through the National Statistical Office (NSO) or the offices designated (Ministry of Agriculture in some countries) to collect data for this indicator. FAO, together with the Global Strategy to improve Agriculture and Rural Statistics (GSARS), have developed the capacity development material necessary for this indicator, including a methodological guide</w:t>
      </w:r>
      <w:r w:rsidRPr="00ED7E61">
        <w:rPr>
          <w:rStyle w:val="FootnoteReference"/>
          <w:rFonts w:asciiTheme="majorBidi" w:eastAsiaTheme="majorEastAsia" w:hAnsiTheme="majorBidi" w:cstheme="majorBidi"/>
        </w:rPr>
        <w:footnoteReference w:id="50"/>
      </w:r>
      <w:r w:rsidRPr="00ED7E61">
        <w:rPr>
          <w:rStyle w:val="normaltextrun"/>
          <w:rFonts w:asciiTheme="majorBidi" w:eastAsiaTheme="majorEastAsia" w:hAnsiTheme="majorBidi" w:cstheme="majorBidi"/>
        </w:rPr>
        <w:t>, an enumerator manual</w:t>
      </w:r>
      <w:r w:rsidRPr="00ED7E61">
        <w:rPr>
          <w:rStyle w:val="FootnoteReference"/>
          <w:rFonts w:asciiTheme="majorBidi" w:eastAsiaTheme="majorEastAsia" w:hAnsiTheme="majorBidi" w:cstheme="majorBidi"/>
        </w:rPr>
        <w:footnoteReference w:id="51"/>
      </w:r>
      <w:r w:rsidRPr="00ED7E61">
        <w:rPr>
          <w:rStyle w:val="normaltextrun"/>
          <w:rFonts w:asciiTheme="majorBidi" w:eastAsiaTheme="majorEastAsia" w:hAnsiTheme="majorBidi" w:cstheme="majorBidi"/>
        </w:rPr>
        <w:t>, data entry guidelines</w:t>
      </w:r>
      <w:r w:rsidRPr="00ED7E61">
        <w:rPr>
          <w:rStyle w:val="FootnoteReference"/>
          <w:rFonts w:asciiTheme="majorBidi" w:eastAsiaTheme="majorEastAsia" w:hAnsiTheme="majorBidi" w:cstheme="majorBidi"/>
        </w:rPr>
        <w:footnoteReference w:id="52"/>
      </w:r>
      <w:r w:rsidRPr="00ED7E61">
        <w:rPr>
          <w:rStyle w:val="normaltextrun"/>
          <w:rFonts w:asciiTheme="majorBidi" w:eastAsiaTheme="majorEastAsia" w:hAnsiTheme="majorBidi" w:cstheme="majorBidi"/>
        </w:rPr>
        <w:t>, calculation procedure document</w:t>
      </w:r>
      <w:r w:rsidRPr="00ED7E61">
        <w:rPr>
          <w:rStyle w:val="FootnoteReference"/>
          <w:rFonts w:asciiTheme="majorBidi" w:eastAsiaTheme="majorEastAsia" w:hAnsiTheme="majorBidi" w:cstheme="majorBidi"/>
        </w:rPr>
        <w:footnoteReference w:id="53"/>
      </w:r>
      <w:r w:rsidRPr="00ED7E61">
        <w:rPr>
          <w:rStyle w:val="normaltextrun"/>
          <w:rFonts w:asciiTheme="majorBidi" w:eastAsiaTheme="majorEastAsia" w:hAnsiTheme="majorBidi" w:cstheme="majorBidi"/>
        </w:rPr>
        <w:t>, sampling guidance</w:t>
      </w:r>
      <w:r w:rsidRPr="00ED7E61">
        <w:rPr>
          <w:rStyle w:val="FootnoteReference"/>
          <w:rFonts w:asciiTheme="majorBidi" w:eastAsiaTheme="majorEastAsia" w:hAnsiTheme="majorBidi" w:cstheme="majorBidi"/>
        </w:rPr>
        <w:footnoteReference w:id="54"/>
      </w:r>
      <w:r w:rsidRPr="00ED7E61">
        <w:rPr>
          <w:rStyle w:val="normaltextrun"/>
          <w:rFonts w:asciiTheme="majorBidi" w:eastAsiaTheme="majorEastAsia" w:hAnsiTheme="majorBidi" w:cstheme="majorBidi"/>
        </w:rPr>
        <w:t xml:space="preserve"> and an e-learning course</w:t>
      </w:r>
      <w:r w:rsidRPr="00ED7E61">
        <w:rPr>
          <w:rStyle w:val="FootnoteReference"/>
          <w:rFonts w:asciiTheme="majorBidi" w:eastAsiaTheme="majorEastAsia" w:hAnsiTheme="majorBidi" w:cstheme="majorBidi"/>
        </w:rPr>
        <w:footnoteReference w:id="55"/>
      </w:r>
      <w:r w:rsidRPr="00ED7E61">
        <w:rPr>
          <w:rStyle w:val="normaltextrun"/>
          <w:rFonts w:asciiTheme="majorBidi" w:eastAsiaTheme="majorEastAsia" w:hAnsiTheme="majorBidi" w:cstheme="majorBidi"/>
        </w:rPr>
        <w:t xml:space="preserve"> to train country NSO and other relevant staff on the indicator.</w:t>
      </w:r>
      <w:r w:rsidRPr="00ED7E61">
        <w:rPr>
          <w:rStyle w:val="eop"/>
          <w:rFonts w:asciiTheme="majorBidi" w:eastAsiaTheme="majorEastAsia" w:hAnsiTheme="majorBidi" w:cstheme="majorBidi"/>
        </w:rPr>
        <w:t> </w:t>
      </w:r>
    </w:p>
    <w:p w14:paraId="36E41010"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66490E73" w14:textId="39D0E047"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methodological, support documents, update on capacity development activities etc. can be found at this link: https://www.fao.org/sustainable-development-goals-data-portal/data/indicators/Indicator2.4.1-proportion-of-agricultural-area-under-productive-and-sustainable-agriculture/en</w:t>
      </w:r>
    </w:p>
    <w:p w14:paraId="1BBC4D69"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4E01E40F" w14:textId="6102FEE7"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In order to propose a manageable and cost-effective solution, a requirement stressed by several countries during the consultations, the methodology offers a single data collection instrument for all sub-indicators: the farm survey.</w:t>
      </w:r>
      <w:r w:rsidRPr="00ED7E61">
        <w:rPr>
          <w:rStyle w:val="eop"/>
          <w:rFonts w:asciiTheme="majorBidi" w:eastAsiaTheme="majorEastAsia" w:hAnsiTheme="majorBidi" w:cstheme="majorBidi"/>
        </w:rPr>
        <w:t> </w:t>
      </w:r>
    </w:p>
    <w:p w14:paraId="7B621DFF" w14:textId="4CCB2260"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In the process of capacity development, several countries have suggested using existing data sources or alternative data sources on the grounds that these instruments can be more cost-effective and sometimes provide more reliable results than farm surveys. These instruments include remote sensing, GIS, models, agricultural surveys, household surveys, administrative data or environmental monitoring systems. </w:t>
      </w:r>
      <w:r w:rsidRPr="00ED7E61">
        <w:rPr>
          <w:rStyle w:val="eop"/>
          <w:rFonts w:asciiTheme="majorBidi" w:eastAsiaTheme="majorEastAsia" w:hAnsiTheme="majorBidi" w:cstheme="majorBidi"/>
        </w:rPr>
        <w:t> </w:t>
      </w:r>
    </w:p>
    <w:p w14:paraId="5E735214" w14:textId="36052762"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Often, environmental data are collected through environmental monitoring systems, including remote sensing. Yet many countries do not have the capacity or resources to do so, and therefore these data are sparse or non-existent. </w:t>
      </w:r>
      <w:r w:rsidRPr="00ED7E61">
        <w:rPr>
          <w:rStyle w:val="eop"/>
          <w:rFonts w:asciiTheme="majorBidi" w:eastAsiaTheme="majorEastAsia" w:hAnsiTheme="majorBidi" w:cstheme="majorBidi"/>
        </w:rPr>
        <w:t> </w:t>
      </w:r>
    </w:p>
    <w:p w14:paraId="3A9BE82F" w14:textId="77777777"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methodology considers the possibility to use such instruments, subject to a series of criteria to ensure data quality and international comparability. Other data sources may also be used to complement and/or validate farm survey results. The methodology note also recommends that countries complement the farm survey with a monitoring system that can measure the impact of agriculture on the environment (soil, water, fertilizer and pesticide pollution, biodiversity, etc.) and on health (pesticides residues in food and human bodies). This will provide additional information and help crosscheck the robustness of the indicator with regard to the environmental dimension of sustainability. In this respect, FAO has initiated work streams on alternative data sources to improve reporting of the indicator. In addition, FAO has also commenced development of a proxy approach to report on the indicator as an interim solution to bridge the data gaps while countries get ready to adopt and implement the farm survey based methodology. The proxy approach is under development, once the proposal is finalized, tested and approved and endorsed by IAEG-SDG, it will be shared with member states.</w:t>
      </w:r>
      <w:r w:rsidRPr="00ED7E61">
        <w:rPr>
          <w:rStyle w:val="eop"/>
          <w:rFonts w:asciiTheme="majorBidi" w:eastAsiaTheme="majorEastAsia" w:hAnsiTheme="majorBidi" w:cstheme="majorBidi"/>
        </w:rPr>
        <w:t> </w:t>
      </w:r>
    </w:p>
    <w:p w14:paraId="0A271CF5"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198E9A3B" w14:textId="77777777" w:rsidR="00672DBA" w:rsidRPr="00ED7E61" w:rsidRDefault="00672DBA" w:rsidP="00B10F0C">
      <w:pPr>
        <w:pStyle w:val="CBDNormalNumber"/>
        <w:numPr>
          <w:ilvl w:val="0"/>
          <w:numId w:val="82"/>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Although new data may not be available annually for each country, all new information are expected to be released annually through FAO SDG portal and UNSD.</w:t>
      </w:r>
      <w:r w:rsidRPr="00ED7E61">
        <w:rPr>
          <w:rStyle w:val="normaltextrun"/>
        </w:rPr>
        <w:t> </w:t>
      </w:r>
    </w:p>
    <w:p w14:paraId="0EBF77E4"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626730FB" w14:textId="77777777" w:rsidR="00672DBA" w:rsidRPr="00ED7E61" w:rsidRDefault="00672DBA" w:rsidP="00B10F0C">
      <w:pPr>
        <w:pStyle w:val="CBDNormalNumber"/>
        <w:numPr>
          <w:ilvl w:val="0"/>
          <w:numId w:val="82"/>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Indicator measures progress towards more sustainable and productive agriculture over a three year periodicity because for many sub-indicators, it is likely that changes will be relatively limited from one year to another. Furthermore, the 3-year periodicity will enable countries to have three data points on the indicator before 2030.</w:t>
      </w:r>
      <w:r w:rsidRPr="00ED7E61">
        <w:rPr>
          <w:rStyle w:val="normaltextrun"/>
        </w:rPr>
        <w:t> </w:t>
      </w:r>
    </w:p>
    <w:p w14:paraId="2BCEEE24"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3C92B691" w14:textId="77777777" w:rsidR="00672DBA" w:rsidRPr="00ED7E61" w:rsidRDefault="00672DBA" w:rsidP="00B10F0C">
      <w:pPr>
        <w:pStyle w:val="CBDNormalNumber"/>
        <w:numPr>
          <w:ilvl w:val="0"/>
          <w:numId w:val="82"/>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National Statistical Offices, Ministries of Agriculture or national offices designated by countries will be responsible for collecting and reporting data for this indicator,</w:t>
      </w:r>
      <w:r w:rsidRPr="00ED7E61">
        <w:rPr>
          <w:rStyle w:val="normaltextrun"/>
        </w:rPr>
        <w:t> </w:t>
      </w:r>
    </w:p>
    <w:p w14:paraId="6372AA32"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eop"/>
          <w:rFonts w:asciiTheme="majorBidi" w:eastAsiaTheme="majorEastAsia" w:hAnsiTheme="majorBidi" w:cstheme="majorBidi"/>
          <w:sz w:val="22"/>
          <w:szCs w:val="22"/>
        </w:rPr>
        <w:t> </w:t>
      </w:r>
    </w:p>
    <w:p w14:paraId="40F831FB" w14:textId="77777777" w:rsidR="00672DBA" w:rsidRPr="00ED7E61" w:rsidRDefault="00672DBA" w:rsidP="00B10F0C">
      <w:pPr>
        <w:pStyle w:val="CBDNormalNumber"/>
        <w:numPr>
          <w:ilvl w:val="0"/>
          <w:numId w:val="82"/>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National Statistical Offices or designated offices within countries will be responsible for collecting and compiling data for this indicator. They will in turn report to FAO, which provides capacity development, conducts quality control and disseminates the information through the FAO SDG portal. FAO will in turn report the regional and global estimates to the international statistical community and UNSD.</w:t>
      </w:r>
      <w:r w:rsidRPr="00ED7E61">
        <w:rPr>
          <w:rStyle w:val="normaltextrun"/>
        </w:rPr>
        <w:t> </w:t>
      </w:r>
    </w:p>
    <w:p w14:paraId="0CA240A8"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479711AC" w14:textId="77777777" w:rsidR="00672DBA" w:rsidRPr="00ED7E61" w:rsidRDefault="00672DBA" w:rsidP="00B10F0C">
      <w:pPr>
        <w:pStyle w:val="CBDNormalNumber"/>
        <w:numPr>
          <w:ilvl w:val="0"/>
          <w:numId w:val="82"/>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The indicator is new and complex and thus current data coverage of the indicator is low. Few countries have reported the entire dashboard, several reported a sub-set of the sub-indicators and the majority have yet to provide data. The data coverage will improve over time (in the short to medium term), thanks to the capacity development efforts that include both regional and national trainings and bilateral technical assistance to member states. </w:t>
      </w:r>
      <w:r w:rsidRPr="00ED7E61">
        <w:rPr>
          <w:rStyle w:val="normaltextrun"/>
        </w:rPr>
        <w:t> </w:t>
      </w:r>
    </w:p>
    <w:p w14:paraId="098DC682"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1F052698" w14:textId="23E101A2" w:rsidR="00672DBA" w:rsidRPr="00ED7E61" w:rsidRDefault="00672DBA" w:rsidP="00B10F0C">
      <w:pPr>
        <w:pStyle w:val="CBDNormalNumber"/>
        <w:numPr>
          <w:ilvl w:val="0"/>
          <w:numId w:val="82"/>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 xml:space="preserve">Partial non-response at individual level (farm holding) will be imputed using appropriate statistical techniques, such as nearest-neighbour algorithms. The decision on whether to impute or not and the choice of the method is a function of the nature of the variable to impute and the amount and type of data available for the imputation, such as the availability of auxiliary data coming from different sources (e.g. surveys, administrative information). It is important to clearly distinguish missing data from non-applicable events. As specified above and in the sub-indicator methodology sheets, some sub-indicators can be recorded as </w:t>
      </w:r>
      <w:r w:rsidR="004056F3">
        <w:rPr>
          <w:rStyle w:val="normaltextrun"/>
          <w:rFonts w:asciiTheme="majorBidi" w:eastAsiaTheme="majorEastAsia" w:hAnsiTheme="majorBidi" w:cstheme="majorBidi"/>
        </w:rPr>
        <w:t>“</w:t>
      </w:r>
      <w:r w:rsidR="004056F3">
        <w:rPr>
          <w:rStyle w:val="normaltextrun"/>
          <w:rFonts w:asciiTheme="majorBidi" w:eastAsiaTheme="majorEastAsia" w:hAnsiTheme="majorBidi" w:cstheme="majorBidi"/>
          <w:i/>
          <w:iCs/>
        </w:rPr>
        <w:t>N</w:t>
      </w:r>
      <w:r w:rsidRPr="00FB1598">
        <w:rPr>
          <w:rStyle w:val="normaltextrun"/>
          <w:rFonts w:asciiTheme="majorBidi" w:eastAsiaTheme="majorEastAsia" w:hAnsiTheme="majorBidi" w:cstheme="majorBidi"/>
          <w:i/>
          <w:iCs/>
        </w:rPr>
        <w:t>ot applicable</w:t>
      </w:r>
      <w:r w:rsidR="004056F3">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for a given farm. In this case, the farm will be considered sustainable from the perspective of the given sub-indicators.</w:t>
      </w:r>
      <w:r w:rsidRPr="00ED7E61">
        <w:rPr>
          <w:rStyle w:val="normaltextrun"/>
        </w:rPr>
        <w:t> </w:t>
      </w:r>
    </w:p>
    <w:p w14:paraId="23A665FE" w14:textId="77777777" w:rsidR="00672DBA" w:rsidRPr="00ED7E61" w:rsidRDefault="00672DBA" w:rsidP="00672DBA">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41A393C5" w14:textId="77777777" w:rsidR="00672DBA" w:rsidRPr="00ED7E61" w:rsidRDefault="00672DBA" w:rsidP="0028702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3B68C5E2" w14:textId="77777777" w:rsidR="00672DBA" w:rsidRPr="00ED7E61" w:rsidRDefault="00672DBA" w:rsidP="0028702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eop"/>
          <w:rFonts w:asciiTheme="majorBidi" w:eastAsiaTheme="majorEastAsia" w:hAnsiTheme="majorBidi" w:cstheme="majorBidi"/>
          <w:sz w:val="22"/>
          <w:szCs w:val="22"/>
        </w:rPr>
        <w:t> </w:t>
      </w:r>
    </w:p>
    <w:p w14:paraId="3D7C365C" w14:textId="77777777" w:rsidR="00672DBA" w:rsidRPr="00ED7E61" w:rsidRDefault="00672DBA" w:rsidP="0028702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 </w:t>
      </w: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National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613E374B" w14:textId="77777777" w:rsidR="00672DBA" w:rsidRPr="00ED7E61" w:rsidRDefault="00672DBA" w:rsidP="00B10F0C">
      <w:pPr>
        <w:pStyle w:val="CBDNormalNumber"/>
        <w:numPr>
          <w:ilvl w:val="0"/>
          <w:numId w:val="82"/>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Scale of data disaggregation/aggregation: </w:t>
      </w:r>
      <w:r w:rsidRPr="00ED7E61">
        <w:rPr>
          <w:rStyle w:val="normaltextrun"/>
        </w:rPr>
        <w:t> </w:t>
      </w:r>
    </w:p>
    <w:p w14:paraId="2ADC2A37" w14:textId="77777777" w:rsidR="00672DBA" w:rsidRPr="00ED7E61" w:rsidRDefault="00672DBA" w:rsidP="00B10F0C">
      <w:pPr>
        <w:pStyle w:val="CBDNormalNumber"/>
        <w:numPr>
          <w:ilvl w:val="1"/>
          <w:numId w:val="82"/>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Global/ regional scale indicator can be disaggregated to national level: ​</w:t>
      </w:r>
      <w:r w:rsidRPr="00ED7E61">
        <w:rPr>
          <w:rStyle w:val="normaltextrun"/>
          <w:rFonts w:ascii="Segoe UI Symbol" w:hAnsi="Segoe UI Symbol" w:cs="Segoe UI Symbol"/>
          <w:shd w:val="clear" w:color="auto" w:fill="FFFFFF"/>
        </w:rPr>
        <w:t>☐</w:t>
      </w:r>
      <w:r w:rsidRPr="00ED7E61">
        <w:rPr>
          <w:rStyle w:val="normaltextrun"/>
          <w:shd w:val="clear" w:color="auto" w:fill="FFFFFF"/>
        </w:rPr>
        <w:t>​ </w:t>
      </w:r>
    </w:p>
    <w:p w14:paraId="5B4C3E05" w14:textId="77777777" w:rsidR="00672DBA" w:rsidRPr="00ED7E61" w:rsidRDefault="00672DBA" w:rsidP="00B10F0C">
      <w:pPr>
        <w:pStyle w:val="CBDNormalNumber"/>
        <w:numPr>
          <w:ilvl w:val="1"/>
          <w:numId w:val="82"/>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National data is collated to form global indicator: ​</w:t>
      </w:r>
      <w:r w:rsidRPr="00ED7E61">
        <w:rPr>
          <w:rStyle w:val="normaltextrun"/>
          <w:rFonts w:ascii="Segoe UI Symbol" w:hAnsi="Segoe UI Symbol" w:cs="Segoe UI Symbol"/>
          <w:shd w:val="clear" w:color="auto" w:fill="FFFFFF"/>
        </w:rPr>
        <w:t>☒</w:t>
      </w:r>
      <w:r w:rsidRPr="00ED7E61">
        <w:rPr>
          <w:rStyle w:val="normaltextrun"/>
          <w:shd w:val="clear" w:color="auto" w:fill="FFFFFF"/>
        </w:rPr>
        <w:t>​ </w:t>
      </w:r>
    </w:p>
    <w:p w14:paraId="16F42EF2"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30B9A752" w14:textId="55CD1961" w:rsidR="00672DBA" w:rsidRPr="00ED7E61" w:rsidRDefault="004E6707" w:rsidP="00B3383B">
      <w:pPr>
        <w:pStyle w:val="paragraph"/>
        <w:spacing w:before="120" w:beforeAutospacing="0" w:after="120" w:afterAutospacing="0"/>
        <w:ind w:left="567"/>
        <w:textAlignment w:val="baseline"/>
        <w:rPr>
          <w:rFonts w:asciiTheme="majorBidi" w:hAnsiTheme="majorBidi" w:cstheme="majorBidi"/>
          <w:sz w:val="22"/>
          <w:szCs w:val="22"/>
        </w:rPr>
      </w:pPr>
      <w:hyperlink r:id="rId491" w:tgtFrame="_blank" w:history="1">
        <w:r>
          <w:rPr>
            <w:rStyle w:val="normaltextrun"/>
            <w:rFonts w:asciiTheme="majorBidi" w:eastAsiaTheme="majorEastAsia" w:hAnsiTheme="majorBidi" w:cstheme="majorBidi"/>
            <w:color w:val="467886"/>
            <w:sz w:val="22"/>
            <w:szCs w:val="22"/>
            <w:u w:val="single"/>
            <w:lang w:val="en-GB"/>
          </w:rPr>
          <w:t>www.fao.org/3/ca7154en/ca7154en.pdf</w:t>
        </w:r>
      </w:hyperlink>
      <w:r w:rsidR="00672DBA" w:rsidRPr="00ED7E61">
        <w:rPr>
          <w:rStyle w:val="normaltextrun"/>
          <w:rFonts w:asciiTheme="majorBidi" w:eastAsiaTheme="majorEastAsia" w:hAnsiTheme="majorBidi" w:cstheme="majorBidi"/>
          <w:sz w:val="22"/>
          <w:szCs w:val="22"/>
          <w:lang w:val="en-GB"/>
        </w:rPr>
        <w:t> </w:t>
      </w:r>
      <w:r w:rsidR="00672DBA" w:rsidRPr="00ED7E61">
        <w:rPr>
          <w:rStyle w:val="eop"/>
          <w:rFonts w:asciiTheme="majorBidi" w:eastAsiaTheme="majorEastAsia" w:hAnsiTheme="majorBidi" w:cstheme="majorBidi"/>
          <w:sz w:val="22"/>
          <w:szCs w:val="22"/>
        </w:rPr>
        <w:t> </w:t>
      </w:r>
    </w:p>
    <w:p w14:paraId="5D54D179"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678A5E21" w14:textId="77041F73"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Fonts w:asciiTheme="majorBidi" w:hAnsiTheme="majorBidi" w:cstheme="majorBidi"/>
        </w:rPr>
        <w:t>Data on the official SDG indicator 2.4.1 is currently scarce, as countries still build their capacity to adapt their agricultural surveys to collect the necessary information. As a provisional, stop-gap solution, the UN Statistical Commission has approved the use of a proxy (https://unstats.un.org/UNSDWebsite/statcom/session_55/documents/2024-36-FinalReport-E.pdf) for monitoring progress towards productive and sustainable agriculture, based on widely available national-level statistics. The proxy consists of seven sub-indicators capturing the three dimensions of sustainability (environmental, economic and social) in the agricultural sphere and shall be used as a “</w:t>
      </w:r>
      <w:r w:rsidRPr="00FB1598">
        <w:rPr>
          <w:rFonts w:asciiTheme="majorBidi" w:hAnsiTheme="majorBidi" w:cstheme="majorBidi"/>
          <w:i/>
          <w:iCs/>
        </w:rPr>
        <w:t>practical interim solution</w:t>
      </w:r>
      <w:r w:rsidRPr="00ED7E61">
        <w:rPr>
          <w:rFonts w:asciiTheme="majorBidi" w:hAnsiTheme="majorBidi" w:cstheme="majorBidi"/>
        </w:rPr>
        <w:t>” while FAO continues to work with countries “</w:t>
      </w:r>
      <w:r w:rsidRPr="00FB1598">
        <w:rPr>
          <w:rFonts w:asciiTheme="majorBidi" w:hAnsiTheme="majorBidi" w:cstheme="majorBidi"/>
          <w:i/>
          <w:iCs/>
        </w:rPr>
        <w:t>to strengthen capacity-building activities for the official indicator</w:t>
      </w:r>
      <w:r w:rsidRPr="00ED7E61">
        <w:rPr>
          <w:rFonts w:asciiTheme="majorBidi" w:hAnsiTheme="majorBidi" w:cstheme="majorBidi"/>
        </w:rPr>
        <w:t>”. For information on the SDG Indicator 2.4.1 Proxy "</w:t>
      </w:r>
      <w:r w:rsidRPr="00FB1598">
        <w:rPr>
          <w:rFonts w:asciiTheme="majorBidi" w:hAnsiTheme="majorBidi" w:cstheme="majorBidi"/>
          <w:i/>
          <w:iCs/>
        </w:rPr>
        <w:t>Progress towards productive and sustainable agriculture</w:t>
      </w:r>
      <w:r w:rsidRPr="00ED7E61">
        <w:rPr>
          <w:rFonts w:asciiTheme="majorBidi" w:hAnsiTheme="majorBidi" w:cstheme="majorBidi"/>
        </w:rPr>
        <w:t xml:space="preserve">", please see  </w:t>
      </w:r>
      <w:hyperlink r:id="rId492" w:history="1">
        <w:r w:rsidR="004E6707">
          <w:rPr>
            <w:rStyle w:val="Hyperlink"/>
            <w:rFonts w:asciiTheme="majorBidi" w:hAnsiTheme="majorBidi" w:cstheme="majorBidi"/>
          </w:rPr>
          <w:t>www.fao.org/sustainable-development-goals-data-portal/data/indicators/indicator-241-proxy-progress-towards-productive-and-sustainable-agriculture/en</w:t>
        </w:r>
      </w:hyperlink>
      <w:r w:rsidRPr="00ED7E61">
        <w:rPr>
          <w:rFonts w:asciiTheme="majorBidi" w:hAnsiTheme="majorBidi" w:cstheme="majorBidi"/>
        </w:rPr>
        <w:t>.</w:t>
      </w:r>
      <w:r w:rsidR="004E6707">
        <w:rPr>
          <w:rFonts w:asciiTheme="majorBidi" w:hAnsiTheme="majorBidi" w:cstheme="majorBidi"/>
        </w:rPr>
        <w:t xml:space="preserve"> </w:t>
      </w:r>
    </w:p>
    <w:p w14:paraId="4249F473"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2A33BF2A" w14:textId="77777777" w:rsidR="00672DBA" w:rsidRPr="00ED7E61" w:rsidRDefault="00672DBA" w:rsidP="00672DBA">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 Description of the methodology</w:t>
      </w:r>
      <w:r w:rsidRPr="00ED7E61">
        <w:rPr>
          <w:rStyle w:val="eop"/>
          <w:rFonts w:asciiTheme="majorBidi" w:eastAsiaTheme="majorEastAsia" w:hAnsiTheme="majorBidi" w:cstheme="majorBidi"/>
          <w:sz w:val="22"/>
          <w:szCs w:val="22"/>
        </w:rPr>
        <w:t> </w:t>
      </w:r>
    </w:p>
    <w:p w14:paraId="75B216DD" w14:textId="1589E12E"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t>The</w:t>
      </w:r>
      <w:r w:rsidRPr="00ED7E61">
        <w:rPr>
          <w:rStyle w:val="normaltextrun"/>
          <w:rFonts w:asciiTheme="majorBidi" w:eastAsiaTheme="majorEastAsia" w:hAnsiTheme="majorBidi" w:cstheme="majorBidi"/>
        </w:rPr>
        <w:t xml:space="preserve"> indicator methodology proposes reporting of the indicator through a national-level dashboard, presenting the different sub-indicators together but independently. </w:t>
      </w:r>
      <w:r w:rsidRPr="00ED7E61">
        <w:rPr>
          <w:rStyle w:val="eop"/>
          <w:rFonts w:asciiTheme="majorBidi" w:eastAsiaTheme="majorEastAsia" w:hAnsiTheme="majorBidi" w:cstheme="majorBidi"/>
        </w:rPr>
        <w:t> </w:t>
      </w:r>
    </w:p>
    <w:p w14:paraId="1BB78BD7" w14:textId="0049BDD1"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Computation of results and construction of the dashboard are performed for each sub-indicator separately using the </w:t>
      </w:r>
      <w:r w:rsidR="004056F3">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traffic light</w:t>
      </w:r>
      <w:r w:rsidR="004056F3">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approach already defined for each sub-indicator. In practice, the reported value of the indicator is determined by the results of the most limiting sub-indicator in terms of sustainability performance.</w:t>
      </w:r>
      <w:r w:rsidRPr="00ED7E61">
        <w:rPr>
          <w:rStyle w:val="eop"/>
          <w:rFonts w:asciiTheme="majorBidi" w:eastAsiaTheme="majorEastAsia" w:hAnsiTheme="majorBidi" w:cstheme="majorBidi"/>
        </w:rPr>
        <w:t> </w:t>
      </w:r>
    </w:p>
    <w:p w14:paraId="20822B6F" w14:textId="2940CBD3" w:rsidR="00672DBA" w:rsidRPr="00ED7E61" w:rsidRDefault="00672DBA" w:rsidP="009925BD">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3CC8F3FA" w14:textId="77777777"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t>Several</w:t>
      </w:r>
      <w:r w:rsidRPr="00ED7E61">
        <w:rPr>
          <w:rStyle w:val="normaltextrun"/>
          <w:rFonts w:asciiTheme="majorBidi" w:eastAsiaTheme="majorEastAsia" w:hAnsiTheme="majorBidi" w:cstheme="majorBidi"/>
        </w:rPr>
        <w:t xml:space="preserve"> levels of analysis will be undertaken with the data received from member countries. Time series of unsustainability for the entire world (both % and area) will allow progress towards a sustainable agriculture worldwide to be measured and tracked. Charts by regions will show the % of unsustainability comparing the results of the same triennium, comparison will be done also analysing the results of three country groups: developed economies, economies in transition, and developing economies. A map will be used to display the % of unsustainability, considering a given year or triennium, to have an immediate visualization of the most critical countries. A similar map will show the distance to the target of sustainability.</w:t>
      </w:r>
      <w:r w:rsidRPr="00ED7E61">
        <w:rPr>
          <w:rStyle w:val="eop"/>
          <w:rFonts w:asciiTheme="majorBidi" w:eastAsiaTheme="majorEastAsia" w:hAnsiTheme="majorBidi" w:cstheme="majorBidi"/>
        </w:rPr>
        <w:t> </w:t>
      </w:r>
    </w:p>
    <w:p w14:paraId="04448F92" w14:textId="77777777" w:rsidR="00672DBA" w:rsidRPr="00ED7E61" w:rsidRDefault="00672DBA" w:rsidP="00672DBA">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6d.3 Description of the mechanism for collecting data from countries</w:t>
      </w:r>
      <w:r w:rsidRPr="00ED7E61">
        <w:rPr>
          <w:rStyle w:val="eop"/>
          <w:rFonts w:asciiTheme="majorBidi" w:eastAsiaTheme="majorEastAsia" w:hAnsiTheme="majorBidi" w:cstheme="majorBidi"/>
          <w:sz w:val="22"/>
          <w:szCs w:val="22"/>
        </w:rPr>
        <w:t> </w:t>
      </w:r>
    </w:p>
    <w:p w14:paraId="6AEE0E5C" w14:textId="738F6AAB"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t>National</w:t>
      </w:r>
      <w:r w:rsidRPr="00ED7E61">
        <w:rPr>
          <w:rStyle w:val="normaltextrun"/>
          <w:rFonts w:asciiTheme="majorBidi" w:eastAsiaTheme="majorEastAsia" w:hAnsiTheme="majorBidi" w:cstheme="majorBidi"/>
        </w:rPr>
        <w:t xml:space="preserve"> Statistical Offices, Ministries of Agriculture or designated offices within countries will be responsible for collecting and compiling data for this indicator. They will in turn report to FAO who will conduct quality control and disseminate the information through FAO SDG portal. FAO will in turn report to the international statistical community and UNSD.</w:t>
      </w:r>
      <w:r w:rsidRPr="00ED7E61">
        <w:rPr>
          <w:rStyle w:val="eop"/>
          <w:rFonts w:asciiTheme="majorBidi" w:eastAsiaTheme="majorEastAsia" w:hAnsiTheme="majorBidi" w:cstheme="majorBidi"/>
        </w:rPr>
        <w:t> </w:t>
      </w:r>
    </w:p>
    <w:p w14:paraId="25B1F0F2" w14:textId="2803AC3B"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A questionnaire is sent by email to all countries annually since 2020 (</w:t>
      </w:r>
      <w:r w:rsidRPr="00ED7E61">
        <w:rPr>
          <w:rFonts w:asciiTheme="majorBidi" w:eastAsiaTheme="majorEastAsia" w:hAnsiTheme="majorBidi" w:cstheme="majorBidi"/>
          <w:color w:val="467886"/>
          <w:u w:val="single"/>
          <w:lang w:val="en-US"/>
        </w:rPr>
        <w:t>https://www.fao.org/fileadmin/user_upload/faoweb/statistics/questionnaires/SDG_Indicator_241_Agricultural_Sustainability_EN.xlsx</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7047B781" w14:textId="64D67E1D"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email is sent to the National focal point relevant to the indicator, National focal point for generic SDG and Heads of NSO. With copy to FAO Representative, Country, Regional and Sub-regional offices, FAO Regional Statisticians in the Region and in the Sub-regional offices, staff officially nominated to be in “</w:t>
      </w:r>
      <w:r w:rsidRPr="00FB1598">
        <w:rPr>
          <w:rStyle w:val="normaltextrun"/>
          <w:rFonts w:asciiTheme="majorBidi" w:eastAsiaTheme="majorEastAsia" w:hAnsiTheme="majorBidi" w:cstheme="majorBidi"/>
          <w:i/>
          <w:iCs/>
        </w:rPr>
        <w:t>CC</w:t>
      </w:r>
      <w:r w:rsidRPr="00ED7E61">
        <w:rPr>
          <w:rStyle w:val="normaltextrun"/>
          <w:rFonts w:asciiTheme="majorBidi" w:eastAsiaTheme="majorEastAsia" w:hAnsiTheme="majorBidi" w:cstheme="majorBidi"/>
        </w:rPr>
        <w:t>” of all indicator communications and ESS-Registry, with a deadline for returning the filled in questionnaire within 4 weeks. </w:t>
      </w:r>
      <w:r w:rsidRPr="00ED7E61">
        <w:rPr>
          <w:rStyle w:val="eop"/>
          <w:rFonts w:asciiTheme="majorBidi" w:eastAsiaTheme="majorEastAsia" w:hAnsiTheme="majorBidi" w:cstheme="majorBidi"/>
        </w:rPr>
        <w:t> </w:t>
      </w:r>
    </w:p>
    <w:p w14:paraId="3CFA5534" w14:textId="2FF31AD8"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Special cases for Bahrain, Brazil, Cuba, Iran (Islamic Republic of), Nicaragua, Oman, Saudi Arabia, Venezuela (Bolivarian Republic of), </w:t>
      </w:r>
      <w:r w:rsidRPr="00ED7E61">
        <w:rPr>
          <w:rFonts w:asciiTheme="majorBidi" w:eastAsiaTheme="majorEastAsia" w:hAnsiTheme="majorBidi" w:cstheme="majorBidi"/>
          <w:lang w:val="en-US"/>
        </w:rPr>
        <w:t xml:space="preserve">Yemen, Myanmar, Afghanistan </w:t>
      </w:r>
      <w:r w:rsidRPr="00ED7E61">
        <w:rPr>
          <w:rStyle w:val="normaltextrun"/>
          <w:rFonts w:asciiTheme="majorBidi" w:eastAsiaTheme="majorEastAsia" w:hAnsiTheme="majorBidi" w:cstheme="majorBidi"/>
        </w:rPr>
        <w:t>for which the dispatch will be addressed according to the “</w:t>
      </w:r>
      <w:r w:rsidRPr="00FB1598">
        <w:rPr>
          <w:rStyle w:val="normaltextrun"/>
          <w:rFonts w:asciiTheme="majorBidi" w:eastAsiaTheme="majorEastAsia" w:hAnsiTheme="majorBidi" w:cstheme="majorBidi"/>
          <w:i/>
          <w:iCs/>
        </w:rPr>
        <w:t>Data Collection Phase</w:t>
      </w:r>
      <w:r w:rsidRPr="00ED7E61">
        <w:rPr>
          <w:rStyle w:val="normaltextrun"/>
          <w:rFonts w:asciiTheme="majorBidi" w:eastAsiaTheme="majorEastAsia" w:hAnsiTheme="majorBidi" w:cstheme="majorBidi"/>
        </w:rPr>
        <w:t xml:space="preserve">” guidelines (Statistical Standard Series, endorsed by the IDWG-TTF on Statistics, 15 November 2019, </w:t>
      </w:r>
      <w:r w:rsidRPr="00ED7E61">
        <w:rPr>
          <w:rFonts w:asciiTheme="majorBidi" w:eastAsiaTheme="majorEastAsia" w:hAnsiTheme="majorBidi" w:cstheme="majorBidi"/>
          <w:lang w:val="en-US"/>
        </w:rPr>
        <w:t>Revised 16 June 2023</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31301CD1" w14:textId="59F8A48A" w:rsidR="009925BD"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Once the questionnaires are received a validation process is done through the check of the person who replied with the questionnaire returned: indicator focal point / FAO local office / Regional Statistician might be contacted to clarify if the questionnaire returned is considered valid or not.</w:t>
      </w:r>
      <w:r w:rsidRPr="00ED7E61">
        <w:rPr>
          <w:rStyle w:val="eop"/>
          <w:rFonts w:asciiTheme="majorBidi" w:eastAsiaTheme="majorEastAsia" w:hAnsiTheme="majorBidi" w:cstheme="majorBidi"/>
        </w:rPr>
        <w:t> </w:t>
      </w:r>
    </w:p>
    <w:p w14:paraId="5BCB1711" w14:textId="77777777"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received questionnaires are analysed in all their parts. Namely, checking individually, both manually and automatically through an R script, standard rules (unit, text out of the spaces, time series, outliers, inconsistencies, anomalies, missing data).</w:t>
      </w:r>
      <w:r w:rsidRPr="00ED7E61">
        <w:rPr>
          <w:rStyle w:val="eop"/>
          <w:rFonts w:asciiTheme="majorBidi" w:eastAsiaTheme="majorEastAsia" w:hAnsiTheme="majorBidi" w:cstheme="majorBidi"/>
        </w:rPr>
        <w:t> </w:t>
      </w:r>
    </w:p>
    <w:p w14:paraId="1940D194" w14:textId="77777777" w:rsidR="00672DBA" w:rsidRPr="00ED7E61" w:rsidRDefault="00672DBA" w:rsidP="00672DBA">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organisations</w:t>
      </w:r>
      <w:r w:rsidRPr="00ED7E61">
        <w:rPr>
          <w:rStyle w:val="eop"/>
          <w:rFonts w:asciiTheme="majorBidi" w:eastAsiaTheme="majorEastAsia" w:hAnsiTheme="majorBidi" w:cstheme="majorBidi"/>
          <w:sz w:val="22"/>
          <w:szCs w:val="22"/>
        </w:rPr>
        <w:t> </w:t>
      </w:r>
    </w:p>
    <w:p w14:paraId="66B4CB8B" w14:textId="77777777" w:rsidR="00672DBA" w:rsidRPr="00ED7E61" w:rsidRDefault="00672DBA" w:rsidP="00E0084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40F176DA" w14:textId="77777777" w:rsidR="00672DBA" w:rsidRPr="00ED7E61" w:rsidRDefault="00672DBA" w:rsidP="00B10F0C">
      <w:pPr>
        <w:pStyle w:val="CBDNormalNumber"/>
        <w:numPr>
          <w:ilvl w:val="0"/>
          <w:numId w:val="82"/>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The indicator is the Sustainable Development Goal (SDG) indicator 2.4.1 and is linked with SDG Goal 2 and targets 2.3.1, 2.4.1, 2.3.2 and 5.a.1</w:t>
      </w:r>
      <w:r w:rsidRPr="00ED7E61">
        <w:rPr>
          <w:rStyle w:val="normaltextrun"/>
        </w:rPr>
        <w:t> </w:t>
      </w:r>
    </w:p>
    <w:p w14:paraId="0A695D7E"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07346B84" w14:textId="77777777" w:rsidR="00672DBA" w:rsidRPr="00ED7E61" w:rsidRDefault="00672DBA" w:rsidP="00E0084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Yes: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010D5809" w14:textId="0BB534A1" w:rsidR="00672DBA" w:rsidRPr="00ED7E61" w:rsidRDefault="00672DBA" w:rsidP="00E0084B">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047A98" w:rsidRPr="00ED7E61">
        <w:rPr>
          <w:rStyle w:val="normaltextrun"/>
          <w:rFonts w:asciiTheme="majorBidi" w:eastAsiaTheme="majorEastAsia" w:hAnsiTheme="majorBidi" w:cstheme="majorBidi"/>
          <w:b/>
          <w:bCs/>
          <w:sz w:val="22"/>
          <w:szCs w:val="22"/>
        </w:rPr>
        <w:t xml:space="preserve">Posisble </w:t>
      </w:r>
      <w:r w:rsidRPr="00ED7E61">
        <w:rPr>
          <w:rStyle w:val="normaltextrun"/>
          <w:rFonts w:asciiTheme="majorBidi" w:eastAsiaTheme="majorEastAsia" w:hAnsiTheme="majorBidi" w:cstheme="majorBidi"/>
          <w:b/>
          <w:bCs/>
          <w:sz w:val="22"/>
          <w:szCs w:val="22"/>
        </w:rPr>
        <w:t>Disaggregation</w:t>
      </w:r>
      <w:r w:rsidR="00047A9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77F703C5" w14:textId="275C5E4F" w:rsidR="00672DBA" w:rsidRPr="00ED7E61" w:rsidRDefault="00672DBA" w:rsidP="00B10F0C">
      <w:pPr>
        <w:pStyle w:val="CBDNormalNumber"/>
        <w:numPr>
          <w:ilvl w:val="0"/>
          <w:numId w:val="82"/>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Proposed disaggregation</w:t>
      </w:r>
      <w:r w:rsidR="009925BD" w:rsidRPr="00ED7E61">
        <w:rPr>
          <w:rStyle w:val="normaltextrun"/>
          <w:rFonts w:asciiTheme="majorBidi" w:eastAsiaTheme="majorEastAsia" w:hAnsiTheme="majorBidi" w:cstheme="majorBidi"/>
        </w:rPr>
        <w:t>:</w:t>
      </w:r>
      <w:r w:rsidRPr="00ED7E61">
        <w:rPr>
          <w:rStyle w:val="normaltextrun"/>
        </w:rPr>
        <w:t> </w:t>
      </w:r>
    </w:p>
    <w:p w14:paraId="5A5886BD" w14:textId="77777777" w:rsidR="00672DBA" w:rsidRPr="00ED7E61" w:rsidRDefault="00672DBA" w:rsidP="00B10F0C">
      <w:pPr>
        <w:pStyle w:val="CBDNormalNumber"/>
        <w:numPr>
          <w:ilvl w:val="1"/>
          <w:numId w:val="82"/>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Household and non-household sector farms </w:t>
      </w:r>
    </w:p>
    <w:p w14:paraId="1135F4E1" w14:textId="77777777" w:rsidR="00672DBA" w:rsidRPr="00ED7E61" w:rsidRDefault="00672DBA" w:rsidP="00B10F0C">
      <w:pPr>
        <w:pStyle w:val="CBDNormalNumber"/>
        <w:numPr>
          <w:ilvl w:val="1"/>
          <w:numId w:val="82"/>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Crops, livestock and mixed </w:t>
      </w:r>
    </w:p>
    <w:p w14:paraId="5E0004A6" w14:textId="77777777" w:rsidR="00672DBA" w:rsidRPr="00ED7E61" w:rsidRDefault="00672DBA" w:rsidP="00B10F0C">
      <w:pPr>
        <w:pStyle w:val="CBDNormalNumber"/>
        <w:numPr>
          <w:ilvl w:val="1"/>
          <w:numId w:val="82"/>
        </w:numPr>
        <w:tabs>
          <w:tab w:val="clear" w:pos="567"/>
          <w:tab w:val="clear" w:pos="1134"/>
          <w:tab w:val="clear" w:pos="1701"/>
          <w:tab w:val="clear" w:pos="2268"/>
          <w:tab w:val="left" w:pos="1985"/>
        </w:tabs>
        <w:ind w:left="1276" w:firstLine="56"/>
        <w:rPr>
          <w:rStyle w:val="normaltextrun"/>
          <w:shd w:val="clear" w:color="auto" w:fill="FFFFFF"/>
        </w:rPr>
      </w:pPr>
      <w:r w:rsidRPr="00ED7E61">
        <w:rPr>
          <w:rStyle w:val="normaltextrun"/>
          <w:shd w:val="clear" w:color="auto" w:fill="FFFFFF"/>
        </w:rPr>
        <w:t>Irrigated and non-irrigated  </w:t>
      </w:r>
    </w:p>
    <w:p w14:paraId="41BF34E3" w14:textId="77777777" w:rsidR="00672DBA" w:rsidRPr="00ED7E61" w:rsidRDefault="00672DBA" w:rsidP="00B10F0C">
      <w:pPr>
        <w:pStyle w:val="CBDNormalNumber"/>
        <w:numPr>
          <w:ilvl w:val="0"/>
          <w:numId w:val="82"/>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Although not a mandatory variable for international reporting for SDG 2.4.1, the indicator can in principle be disaggregated by gender of the farm holder. This information is not, and will not be publicly available as a default in FAO and UNSD databases and reporting systems. Nevertheless, a question on gender disaggregation of data is incorporated into the SDG 2.4.1 questionnaire, accompanied by guidance for countries to collect and report information on the gender of the holder of the agriculture holding. Therefore, for national policy-making purposes, the country has the necessary tools, guidance and thus the capability to produce disaggregated estimates by gender should countries wish to collect and report sex-disaggregated data on 2.4.1 at the national level.</w:t>
      </w:r>
      <w:r w:rsidRPr="00ED7E61">
        <w:rPr>
          <w:rStyle w:val="eop"/>
          <w:rFonts w:asciiTheme="majorBidi" w:eastAsiaTheme="majorEastAsia" w:hAnsiTheme="majorBidi" w:cstheme="majorBidi"/>
        </w:rPr>
        <w:t> </w:t>
      </w:r>
    </w:p>
    <w:p w14:paraId="5F5CC779"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055D5317" w14:textId="77777777" w:rsidR="00672DBA" w:rsidRPr="00ED7E61" w:rsidRDefault="00672DBA" w:rsidP="00E0084B">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N/A</w:t>
      </w:r>
      <w:r w:rsidRPr="00ED7E61">
        <w:rPr>
          <w:rStyle w:val="normaltextrun"/>
        </w:rPr>
        <w:t> </w:t>
      </w:r>
    </w:p>
    <w:p w14:paraId="68493C92" w14:textId="77777777" w:rsidR="00672DBA" w:rsidRPr="00ED7E61" w:rsidRDefault="00672DBA" w:rsidP="00672DBA">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5CA5951D" w14:textId="43EAFB35"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E0084B">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57565ED6" w14:textId="77777777" w:rsidR="00672DBA" w:rsidRPr="00ED7E61" w:rsidRDefault="00672DBA" w:rsidP="00E0084B">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Food and Agriculture Organisation (FAO) Statistics Division, Agri-environment team</w:t>
      </w:r>
      <w:r w:rsidRPr="00ED7E61">
        <w:rPr>
          <w:rStyle w:val="eop"/>
          <w:rFonts w:asciiTheme="majorBidi" w:eastAsiaTheme="majorEastAsia" w:hAnsiTheme="majorBidi" w:cstheme="majorBidi"/>
        </w:rPr>
        <w:t> </w:t>
      </w:r>
    </w:p>
    <w:p w14:paraId="278127C3"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lang w:val="en-US"/>
        </w:rPr>
      </w:pPr>
      <w:r w:rsidRPr="00ED7E61">
        <w:rPr>
          <w:rStyle w:val="normaltextrun"/>
          <w:rFonts w:asciiTheme="majorBidi" w:eastAsiaTheme="majorEastAsia" w:hAnsiTheme="majorBidi" w:cstheme="majorBidi"/>
          <w:b/>
          <w:bCs/>
          <w:sz w:val="22"/>
          <w:szCs w:val="22"/>
          <w:lang w:val="en-US"/>
        </w:rPr>
        <w:t>10b. Contact person(s)</w:t>
      </w:r>
      <w:r w:rsidRPr="00ED7E61">
        <w:rPr>
          <w:rStyle w:val="eop"/>
          <w:rFonts w:asciiTheme="majorBidi" w:eastAsiaTheme="majorEastAsia" w:hAnsiTheme="majorBidi" w:cstheme="majorBidi"/>
          <w:sz w:val="22"/>
          <w:szCs w:val="22"/>
          <w:lang w:val="en-US"/>
        </w:rPr>
        <w:t> </w:t>
      </w:r>
    </w:p>
    <w:p w14:paraId="4892CC93" w14:textId="42E62E80" w:rsidR="009925BD" w:rsidRPr="00ED7E61" w:rsidRDefault="00672DBA" w:rsidP="00E0084B">
      <w:pPr>
        <w:pStyle w:val="CBDNormalNumber"/>
        <w:numPr>
          <w:ilvl w:val="0"/>
          <w:numId w:val="0"/>
        </w:numPr>
        <w:shd w:val="clear" w:color="auto" w:fill="FFFFFF"/>
        <w:ind w:left="567"/>
        <w:rPr>
          <w:rFonts w:asciiTheme="majorBidi" w:hAnsiTheme="majorBidi" w:cstheme="majorBidi"/>
          <w:lang w:val="es-ES"/>
        </w:rPr>
      </w:pPr>
      <w:r w:rsidRPr="00ED7E61">
        <w:rPr>
          <w:rStyle w:val="normaltextrun"/>
          <w:rFonts w:asciiTheme="majorBidi" w:eastAsiaTheme="majorEastAsia" w:hAnsiTheme="majorBidi" w:cstheme="majorBidi"/>
          <w:lang w:val="es-ES"/>
        </w:rPr>
        <w:t>Francesco Nicola Tubiello : (</w:t>
      </w:r>
      <w:hyperlink r:id="rId493" w:tgtFrame="_blank" w:history="1">
        <w:r w:rsidRPr="00ED7E61">
          <w:rPr>
            <w:rStyle w:val="normaltextrun"/>
            <w:rFonts w:asciiTheme="majorBidi" w:eastAsiaTheme="majorEastAsia" w:hAnsiTheme="majorBidi" w:cstheme="majorBidi"/>
            <w:color w:val="467886"/>
            <w:u w:val="single"/>
            <w:shd w:val="clear" w:color="auto" w:fill="FFFFFF"/>
            <w:lang w:val="es-CO"/>
          </w:rPr>
          <w:t>Francesco.Tubiello@fao.org</w:t>
        </w:r>
      </w:hyperlink>
      <w:r w:rsidRPr="00ED7E61">
        <w:rPr>
          <w:rStyle w:val="normaltextrun"/>
          <w:rFonts w:asciiTheme="majorBidi" w:eastAsiaTheme="majorEastAsia" w:hAnsiTheme="majorBidi" w:cstheme="majorBidi"/>
          <w:color w:val="545454"/>
          <w:shd w:val="clear" w:color="auto" w:fill="FFFFFF"/>
          <w:lang w:val="es-CO"/>
        </w:rPr>
        <w:t>)</w:t>
      </w:r>
      <w:r w:rsidRPr="00ED7E61">
        <w:rPr>
          <w:rStyle w:val="eop"/>
          <w:rFonts w:asciiTheme="majorBidi" w:eastAsiaTheme="majorEastAsia" w:hAnsiTheme="majorBidi" w:cstheme="majorBidi"/>
          <w:color w:val="545454"/>
          <w:lang w:val="es-ES"/>
        </w:rPr>
        <w:t> </w:t>
      </w:r>
    </w:p>
    <w:p w14:paraId="6B904504" w14:textId="3B1376B3" w:rsidR="009925BD" w:rsidRPr="00ED7E61" w:rsidRDefault="00672DBA" w:rsidP="00E0084B">
      <w:pPr>
        <w:pStyle w:val="CBDNormalNumber"/>
        <w:numPr>
          <w:ilvl w:val="0"/>
          <w:numId w:val="0"/>
        </w:numPr>
        <w:shd w:val="clear" w:color="auto" w:fill="FFFFFF"/>
        <w:ind w:left="567"/>
        <w:rPr>
          <w:rStyle w:val="eop"/>
          <w:rFonts w:asciiTheme="majorBidi" w:eastAsiaTheme="majorEastAsia" w:hAnsiTheme="majorBidi" w:cstheme="majorBidi"/>
          <w:lang w:val="es-ES"/>
        </w:rPr>
      </w:pPr>
      <w:r w:rsidRPr="00ED7E61">
        <w:rPr>
          <w:rStyle w:val="normaltextrun"/>
          <w:rFonts w:asciiTheme="majorBidi" w:eastAsiaTheme="majorEastAsia" w:hAnsiTheme="majorBidi" w:cstheme="majorBidi"/>
          <w:lang w:val="es-ES"/>
        </w:rPr>
        <w:t>Arbab Asfandiyar Khan: (</w:t>
      </w:r>
      <w:hyperlink r:id="rId494" w:history="1">
        <w:r w:rsidRPr="00ED7E61">
          <w:rPr>
            <w:rStyle w:val="Hyperlink"/>
            <w:rFonts w:asciiTheme="majorBidi" w:eastAsiaTheme="majorEastAsia" w:hAnsiTheme="majorBidi" w:cstheme="majorBidi"/>
            <w:lang w:val="es-ES"/>
          </w:rPr>
          <w:t>Arbab.Khan@fao.org</w:t>
        </w:r>
      </w:hyperlink>
      <w:r w:rsidRPr="00ED7E61">
        <w:rPr>
          <w:rStyle w:val="normaltextrun"/>
          <w:rFonts w:asciiTheme="majorBidi" w:eastAsiaTheme="majorEastAsia" w:hAnsiTheme="majorBidi" w:cstheme="majorBidi"/>
          <w:lang w:val="es-ES"/>
        </w:rPr>
        <w:t>) </w:t>
      </w:r>
      <w:r w:rsidRPr="00ED7E61">
        <w:rPr>
          <w:rStyle w:val="eop"/>
          <w:rFonts w:asciiTheme="majorBidi" w:eastAsiaTheme="majorEastAsia" w:hAnsiTheme="majorBidi" w:cstheme="majorBidi"/>
          <w:lang w:val="es-ES"/>
        </w:rPr>
        <w:t> </w:t>
      </w:r>
    </w:p>
    <w:p w14:paraId="3B7AB788" w14:textId="77777777" w:rsidR="00672DBA" w:rsidRPr="00ED7E61" w:rsidRDefault="00672DBA" w:rsidP="00E0084B">
      <w:pPr>
        <w:pStyle w:val="CBDNormalNumber"/>
        <w:numPr>
          <w:ilvl w:val="0"/>
          <w:numId w:val="0"/>
        </w:numPr>
        <w:shd w:val="clear" w:color="auto" w:fill="FFFFFF"/>
        <w:ind w:left="567"/>
        <w:rPr>
          <w:rFonts w:asciiTheme="majorBidi" w:hAnsiTheme="majorBidi" w:cstheme="majorBidi"/>
          <w:lang w:val="es-ES"/>
        </w:rPr>
      </w:pPr>
      <w:r w:rsidRPr="00ED7E61">
        <w:rPr>
          <w:rFonts w:asciiTheme="majorBidi" w:hAnsiTheme="majorBidi" w:cstheme="majorBidi"/>
          <w:lang w:val="es-ES"/>
        </w:rPr>
        <w:t>SDG241-Indicator@fao.org</w:t>
      </w:r>
    </w:p>
    <w:p w14:paraId="6DDFA190"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lang w:val="es-ES"/>
        </w:rPr>
      </w:pPr>
      <w:r w:rsidRPr="00ED7E61">
        <w:rPr>
          <w:rStyle w:val="normaltextrun"/>
          <w:rFonts w:asciiTheme="majorBidi" w:eastAsiaTheme="majorEastAsia" w:hAnsiTheme="majorBidi" w:cstheme="majorBidi"/>
          <w:b/>
          <w:bCs/>
          <w:sz w:val="22"/>
          <w:szCs w:val="22"/>
          <w:lang w:val="es-ES"/>
        </w:rPr>
        <w:t>11. References</w:t>
      </w:r>
      <w:r w:rsidRPr="00ED7E61">
        <w:rPr>
          <w:rStyle w:val="eop"/>
          <w:rFonts w:asciiTheme="majorBidi" w:eastAsiaTheme="majorEastAsia" w:hAnsiTheme="majorBidi" w:cstheme="majorBidi"/>
          <w:sz w:val="22"/>
          <w:szCs w:val="22"/>
          <w:lang w:val="es-ES"/>
        </w:rPr>
        <w:t> </w:t>
      </w:r>
    </w:p>
    <w:p w14:paraId="0825452B" w14:textId="099B1F23" w:rsidR="009925BD" w:rsidRPr="00ED7E61" w:rsidRDefault="00E0084B" w:rsidP="00E0084B">
      <w:pPr>
        <w:pStyle w:val="CBDNormalNumber"/>
        <w:numPr>
          <w:ilvl w:val="0"/>
          <w:numId w:val="0"/>
        </w:numPr>
        <w:shd w:val="clear" w:color="auto" w:fill="FFFFFF"/>
        <w:ind w:left="567"/>
        <w:rPr>
          <w:rFonts w:asciiTheme="majorBidi" w:hAnsiTheme="majorBidi" w:cstheme="majorBidi"/>
          <w:lang w:val="es-ES"/>
        </w:rPr>
      </w:pPr>
      <w:hyperlink r:id="rId495" w:history="1">
        <w:r w:rsidRPr="004C58D6">
          <w:rPr>
            <w:rStyle w:val="Hyperlink"/>
            <w:rFonts w:asciiTheme="majorBidi" w:eastAsiaTheme="majorEastAsia" w:hAnsiTheme="majorBidi" w:cstheme="majorBidi"/>
            <w:lang w:val="es-ES"/>
          </w:rPr>
          <w:t>https</w:t>
        </w:r>
        <w:r w:rsidRPr="004C58D6">
          <w:rPr>
            <w:rStyle w:val="Hyperlink"/>
            <w:lang w:val="es-ES"/>
          </w:rPr>
          <w:t>://www.fao.org/sustainable-development-goals-data-portal/data/indicators/Indicator2.4.1-proportion-of-agricultural-area-under-productive-and-sustainable-agriculture/en</w:t>
        </w:r>
      </w:hyperlink>
    </w:p>
    <w:p w14:paraId="141DFDAB" w14:textId="77777777" w:rsidR="00672DBA" w:rsidRPr="00ED7E61" w:rsidRDefault="00672DBA" w:rsidP="00672DBA">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12. Graphs and diagrams</w:t>
      </w:r>
      <w:r w:rsidRPr="00ED7E61">
        <w:rPr>
          <w:rStyle w:val="eop"/>
          <w:rFonts w:asciiTheme="majorBidi" w:eastAsiaTheme="majorEastAsia" w:hAnsiTheme="majorBidi" w:cstheme="majorBidi"/>
          <w:sz w:val="22"/>
          <w:szCs w:val="22"/>
        </w:rPr>
        <w:t> </w:t>
      </w:r>
    </w:p>
    <w:p w14:paraId="5D994A9B" w14:textId="77777777" w:rsidR="00672DBA" w:rsidRPr="00ED7E61" w:rsidRDefault="00672DBA" w:rsidP="00E0084B">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p>
    <w:p w14:paraId="4045FFD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478ED69C"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58744E4B" w14:textId="0394978E" w:rsidR="00756F0F" w:rsidRPr="00ED7E61" w:rsidRDefault="00756F0F" w:rsidP="00501E19">
      <w:pPr>
        <w:pStyle w:val="Heading3"/>
      </w:pPr>
      <w:bookmarkStart w:id="58" w:name="_Toc178285869"/>
      <w:r w:rsidRPr="00ED7E61">
        <w:rPr>
          <w:rStyle w:val="normaltextrun"/>
        </w:rPr>
        <w:t>GBF indicator metadata</w:t>
      </w:r>
      <w:r w:rsidR="004F77DE" w:rsidRPr="00ED7E61">
        <w:rPr>
          <w:rStyle w:val="normaltextrun"/>
        </w:rPr>
        <w:t>: 10.2 Progress towards sustainable forest management</w:t>
      </w:r>
      <w:r w:rsidR="00B668FA" w:rsidRPr="00ED7E61">
        <w:rPr>
          <w:rStyle w:val="FootnoteReference"/>
        </w:rPr>
        <w:footnoteReference w:id="56"/>
      </w:r>
      <w:bookmarkEnd w:id="58"/>
      <w:r w:rsidRPr="00ED7E61">
        <w:rPr>
          <w:rStyle w:val="normaltextrun"/>
        </w:rPr>
        <w:t> </w:t>
      </w:r>
      <w:r w:rsidRPr="00ED7E61">
        <w:rPr>
          <w:rStyle w:val="eop"/>
        </w:rPr>
        <w:t> </w:t>
      </w:r>
    </w:p>
    <w:p w14:paraId="08C89AA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rPr>
        <w:t> </w:t>
      </w:r>
      <w:r w:rsidRPr="00ED7E61">
        <w:rPr>
          <w:rStyle w:val="eop"/>
          <w:rFonts w:asciiTheme="majorBidi" w:eastAsiaTheme="majorEastAsia" w:hAnsiTheme="majorBidi" w:cstheme="majorBidi"/>
          <w:sz w:val="22"/>
          <w:szCs w:val="22"/>
        </w:rPr>
        <w:t> </w:t>
      </w:r>
    </w:p>
    <w:p w14:paraId="12E29E8A" w14:textId="77777777" w:rsidR="00756F0F" w:rsidRPr="00ED7E61" w:rsidRDefault="00756F0F" w:rsidP="00395866">
      <w:pPr>
        <w:pStyle w:val="paragraph"/>
        <w:spacing w:before="0" w:beforeAutospacing="0" w:after="0" w:afterAutospacing="0"/>
        <w:ind w:right="-21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shd w:val="clear" w:color="auto" w:fill="FFFFFF"/>
          <w:lang w:val="en-GB"/>
        </w:rPr>
        <w:t>10.2 Progress towards sustainable forest management</w:t>
      </w:r>
      <w:r w:rsidRPr="00ED7E61">
        <w:rPr>
          <w:rStyle w:val="eop"/>
          <w:rFonts w:asciiTheme="majorBidi" w:eastAsiaTheme="majorEastAsia" w:hAnsiTheme="majorBidi" w:cstheme="majorBidi"/>
          <w:sz w:val="22"/>
          <w:szCs w:val="22"/>
        </w:rPr>
        <w:t> </w:t>
      </w:r>
    </w:p>
    <w:p w14:paraId="1AE8E240" w14:textId="77777777" w:rsidR="00756F0F" w:rsidRPr="00ED7E61" w:rsidRDefault="00756F0F" w:rsidP="00BF0E81">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2. Date of metadata update  </w:t>
      </w:r>
      <w:r w:rsidRPr="00ED7E61">
        <w:rPr>
          <w:rStyle w:val="eop"/>
          <w:rFonts w:asciiTheme="majorBidi" w:eastAsiaTheme="majorEastAsia" w:hAnsiTheme="majorBidi" w:cstheme="majorBidi"/>
          <w:sz w:val="22"/>
          <w:szCs w:val="22"/>
        </w:rPr>
        <w:t> </w:t>
      </w:r>
    </w:p>
    <w:p w14:paraId="733C5F5E" w14:textId="1C59964E"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lang w:val="en-GB"/>
        </w:rPr>
        <w:t>September</w:t>
      </w:r>
      <w:r w:rsidRPr="00ED7E61">
        <w:rPr>
          <w:rStyle w:val="normaltextrun"/>
          <w:rFonts w:asciiTheme="majorBidi" w:eastAsiaTheme="majorEastAsia" w:hAnsiTheme="majorBidi" w:cstheme="majorBidi"/>
          <w:sz w:val="22"/>
          <w:szCs w:val="22"/>
          <w:lang w:val="en-GB"/>
        </w:rPr>
        <w:t xml:space="preserve"> </w:t>
      </w:r>
      <w:r w:rsidR="00775978" w:rsidRPr="00ED7E61">
        <w:rPr>
          <w:rStyle w:val="normaltextrun"/>
          <w:rFonts w:asciiTheme="majorBidi" w:eastAsiaTheme="majorEastAsia" w:hAnsiTheme="majorBidi" w:cstheme="majorBidi"/>
          <w:sz w:val="22"/>
          <w:szCs w:val="22"/>
          <w:lang w:val="en-GB"/>
        </w:rPr>
        <w:t>2024</w:t>
      </w:r>
      <w:r w:rsidR="00756F0F" w:rsidRPr="00ED7E61">
        <w:rPr>
          <w:rStyle w:val="eop"/>
          <w:rFonts w:asciiTheme="majorBidi" w:eastAsiaTheme="majorEastAsia" w:hAnsiTheme="majorBidi" w:cstheme="majorBidi"/>
          <w:sz w:val="22"/>
          <w:szCs w:val="22"/>
        </w:rPr>
        <w:t> </w:t>
      </w:r>
    </w:p>
    <w:p w14:paraId="6E237E7D" w14:textId="77777777" w:rsidR="00756F0F" w:rsidRPr="00ED7E61" w:rsidRDefault="00756F0F" w:rsidP="00BF0E81">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 Goals and Targets addressed</w:t>
      </w:r>
      <w:r w:rsidRPr="00ED7E61">
        <w:rPr>
          <w:rStyle w:val="eop"/>
          <w:rFonts w:asciiTheme="majorBidi" w:eastAsiaTheme="majorEastAsia" w:hAnsiTheme="majorBidi" w:cstheme="majorBidi"/>
          <w:sz w:val="22"/>
          <w:szCs w:val="22"/>
        </w:rPr>
        <w:t> </w:t>
      </w:r>
    </w:p>
    <w:p w14:paraId="62B861D7" w14:textId="77777777" w:rsidR="00756F0F" w:rsidRPr="00ED7E61" w:rsidRDefault="00756F0F" w:rsidP="00BF0E81">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3a. Goal </w:t>
      </w:r>
      <w:r w:rsidRPr="00ED7E61">
        <w:rPr>
          <w:rStyle w:val="eop"/>
          <w:rFonts w:asciiTheme="majorBidi" w:eastAsiaTheme="majorEastAsia" w:hAnsiTheme="majorBidi" w:cstheme="majorBidi"/>
          <w:sz w:val="22"/>
          <w:szCs w:val="22"/>
        </w:rPr>
        <w:t> </w:t>
      </w:r>
    </w:p>
    <w:p w14:paraId="568E6C9D" w14:textId="77777777" w:rsidR="00756F0F" w:rsidRPr="00ED7E61" w:rsidRDefault="00756F0F" w:rsidP="00BF0E81">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p>
    <w:p w14:paraId="30E9B860" w14:textId="77777777" w:rsidR="00756F0F" w:rsidRPr="00ED7E61" w:rsidRDefault="00756F0F" w:rsidP="00BF0E81">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3b. Target</w:t>
      </w:r>
      <w:r w:rsidRPr="00ED7E61">
        <w:rPr>
          <w:rStyle w:val="eop"/>
          <w:rFonts w:asciiTheme="majorBidi" w:eastAsiaTheme="majorEastAsia" w:hAnsiTheme="majorBidi" w:cstheme="majorBidi"/>
          <w:sz w:val="22"/>
          <w:szCs w:val="22"/>
        </w:rPr>
        <w:t> </w:t>
      </w:r>
    </w:p>
    <w:p w14:paraId="1152FF9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Headline indicator for Target 10. Ensure that areas under agriculture, aquaculture, fisheries and forestry are managed sustainably, in particular through the sustainable use of biodiversity, including through a substantial increase of the application of biodiversity friendly practices, such as sustainable intensification, agroecological and other innovative approaches, contributing to the resilience and long-term efficiency and productivity of these production systems, and to food security, conserving and restoring biodiversity and maintaining nature’s contributions to people, including ecosystem functions and services.</w:t>
      </w:r>
      <w:r w:rsidRPr="00ED7E61">
        <w:rPr>
          <w:rStyle w:val="eop"/>
          <w:rFonts w:asciiTheme="majorBidi" w:eastAsiaTheme="majorEastAsia" w:hAnsiTheme="majorBidi" w:cstheme="majorBidi"/>
          <w:sz w:val="22"/>
          <w:szCs w:val="22"/>
        </w:rPr>
        <w:t> </w:t>
      </w:r>
    </w:p>
    <w:p w14:paraId="3823E69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4. Rationale</w:t>
      </w:r>
      <w:r w:rsidRPr="00ED7E61">
        <w:rPr>
          <w:rStyle w:val="eop"/>
          <w:rFonts w:asciiTheme="majorBidi" w:eastAsiaTheme="majorEastAsia" w:hAnsiTheme="majorBidi" w:cstheme="majorBidi"/>
          <w:sz w:val="22"/>
          <w:szCs w:val="22"/>
        </w:rPr>
        <w:t> </w:t>
      </w:r>
    </w:p>
    <w:p w14:paraId="4822AEFB" w14:textId="7E911592" w:rsidR="009925BD" w:rsidRPr="00ED7E61" w:rsidRDefault="00756F0F" w:rsidP="00B10F0C">
      <w:pPr>
        <w:pStyle w:val="CBDNormalNumber"/>
        <w:numPr>
          <w:ilvl w:val="0"/>
          <w:numId w:val="84"/>
        </w:numPr>
        <w:shd w:val="clear" w:color="auto" w:fill="FFFFFF"/>
        <w:tabs>
          <w:tab w:val="clear" w:pos="1701"/>
        </w:tabs>
        <w:ind w:left="567" w:firstLine="0"/>
        <w:rPr>
          <w:rStyle w:val="normaltextrun"/>
          <w:rFonts w:eastAsiaTheme="majorEastAsia"/>
        </w:rPr>
      </w:pPr>
      <w:r w:rsidRPr="00ED7E61">
        <w:rPr>
          <w:rStyle w:val="normaltextrun"/>
          <w:rFonts w:asciiTheme="majorBidi" w:eastAsiaTheme="majorEastAsia" w:hAnsiTheme="majorBidi" w:cstheme="majorBidi"/>
        </w:rPr>
        <w:t>This indicator aims to monitor the progress towards sustainable forest management (SFM) which is a central concept for Target 10. </w:t>
      </w:r>
      <w:r w:rsidRPr="00ED7E61">
        <w:rPr>
          <w:rStyle w:val="normaltextrun"/>
        </w:rPr>
        <w:t> </w:t>
      </w:r>
    </w:p>
    <w:p w14:paraId="19C041FF"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The definition of SFM by the UN General Assembly contains several key aspects, notably that sustainable forest management is a concept which varies over time and between countries, whose circumstances – ecological, social and economic – vary widely, but that it should always address a wide range of forest values, including economic, social and environmental values, and take intergenerational equity into account. Clearly a simple measure of forest area is insufficient to monitor sustainable forest management as a whole. The significance of the five sub-indicators can be briefly explained as follows: </w:t>
      </w:r>
      <w:r w:rsidRPr="00ED7E61">
        <w:rPr>
          <w:rStyle w:val="eop"/>
          <w:rFonts w:asciiTheme="majorBidi" w:eastAsiaTheme="majorEastAsia" w:hAnsiTheme="majorBidi" w:cstheme="majorBidi"/>
          <w:color w:val="242424"/>
        </w:rPr>
        <w:t> </w:t>
      </w:r>
    </w:p>
    <w:p w14:paraId="51C18D60" w14:textId="0B777D30" w:rsidR="009925BD" w:rsidRPr="00ED7E61" w:rsidRDefault="00756F0F" w:rsidP="00B10F0C">
      <w:pPr>
        <w:pStyle w:val="CBDNormalNumber"/>
        <w:numPr>
          <w:ilvl w:val="1"/>
          <w:numId w:val="84"/>
        </w:numPr>
        <w:tabs>
          <w:tab w:val="clear" w:pos="567"/>
          <w:tab w:val="clear" w:pos="1134"/>
          <w:tab w:val="clear" w:pos="2268"/>
          <w:tab w:val="left" w:pos="1985"/>
        </w:tabs>
        <w:ind w:left="567" w:firstLine="567"/>
        <w:rPr>
          <w:rFonts w:asciiTheme="majorBidi" w:hAnsiTheme="majorBidi" w:cstheme="majorBidi"/>
        </w:rPr>
      </w:pPr>
      <w:r w:rsidRPr="00ED7E61">
        <w:rPr>
          <w:rStyle w:val="normaltextrun"/>
          <w:shd w:val="clear" w:color="auto" w:fill="FFFFFF"/>
        </w:rPr>
        <w:t>Trends</w:t>
      </w:r>
      <w:r w:rsidRPr="00ED7E61">
        <w:rPr>
          <w:rStyle w:val="normaltextrun"/>
          <w:rFonts w:asciiTheme="majorBidi" w:eastAsiaTheme="majorEastAsia" w:hAnsiTheme="majorBidi" w:cstheme="majorBidi"/>
          <w:color w:val="242424"/>
        </w:rPr>
        <w:t xml:space="preserve"> in forest area are crucial for monitoring SFM. The first sub-indicator focuses on both the direction of change (whether there is a loss or gain in forest area) and how the change rate varies over time; the latter is important to capture progress among countries that are losing forest area but have managed to reduce the rate of annual forest area loss. </w:t>
      </w:r>
      <w:r w:rsidRPr="00ED7E61">
        <w:rPr>
          <w:rStyle w:val="eop"/>
          <w:rFonts w:asciiTheme="majorBidi" w:eastAsiaTheme="majorEastAsia" w:hAnsiTheme="majorBidi" w:cstheme="majorBidi"/>
          <w:color w:val="242424"/>
        </w:rPr>
        <w:t> </w:t>
      </w:r>
    </w:p>
    <w:p w14:paraId="64D56A2C" w14:textId="722E3CC2" w:rsidR="009925BD" w:rsidRPr="00ED7E61" w:rsidRDefault="00756F0F" w:rsidP="00B10F0C">
      <w:pPr>
        <w:pStyle w:val="CBDNormalNumber"/>
        <w:numPr>
          <w:ilvl w:val="1"/>
          <w:numId w:val="84"/>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242424"/>
        </w:rPr>
        <w:t>Changes in the above-ground biomass stock in forest indicate the balance between gains in biomass stock due to forest growth and losses due to wood removals, natural losses, fire, wind, pests and diseases. At country level and over a longer period, sustainable forest management would imply a stable or increasing biomass stock per hectare, while a long-term reduction of biomass stock per hectare would imply either unsustainable management of the forests and degradation or unexpected major losses due to fire, wind, pests or diseases. </w:t>
      </w:r>
      <w:r w:rsidRPr="00ED7E61">
        <w:rPr>
          <w:rStyle w:val="eop"/>
          <w:rFonts w:asciiTheme="majorBidi" w:eastAsiaTheme="majorEastAsia" w:hAnsiTheme="majorBidi" w:cstheme="majorBidi"/>
          <w:color w:val="242424"/>
        </w:rPr>
        <w:t> </w:t>
      </w:r>
    </w:p>
    <w:p w14:paraId="1850235D" w14:textId="4A009695" w:rsidR="009925BD" w:rsidRPr="00ED7E61" w:rsidRDefault="00756F0F" w:rsidP="00B10F0C">
      <w:pPr>
        <w:pStyle w:val="CBDNormalNumber"/>
        <w:numPr>
          <w:ilvl w:val="1"/>
          <w:numId w:val="84"/>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242424"/>
        </w:rPr>
        <w:t>The change in forest area within legally protected areas is a proxy for trends in conservation of forest biodiversity as well as cultural and spiritual values of forests and thus a clear indication of the political will to protect and conserve forests. This indicator is related to GBF Target 3 which calls for each country to conserve at least 30 per cent of terrestrial and inland water areas. </w:t>
      </w:r>
      <w:r w:rsidRPr="00ED7E61">
        <w:rPr>
          <w:rStyle w:val="eop"/>
          <w:rFonts w:asciiTheme="majorBidi" w:eastAsiaTheme="majorEastAsia" w:hAnsiTheme="majorBidi" w:cstheme="majorBidi"/>
          <w:color w:val="242424"/>
        </w:rPr>
        <w:t> </w:t>
      </w:r>
    </w:p>
    <w:p w14:paraId="0D1E1439" w14:textId="2A9BEF2F" w:rsidR="009925BD" w:rsidRPr="00ED7E61" w:rsidRDefault="00756F0F" w:rsidP="00B10F0C">
      <w:pPr>
        <w:pStyle w:val="CBDNormalNumber"/>
        <w:numPr>
          <w:ilvl w:val="1"/>
          <w:numId w:val="84"/>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242424"/>
        </w:rPr>
        <w:t>The fourth sub-indicator looks at the forest area that is under a long-term forest management plan. The existence of a documented forest management plan is the basis for long term and sustainable management of the forest resources for a variety of management objectives such as for wood and non-wood forest products, protection of soil and water, biodiversity conservation, social and cultural use, and a combination of two or several of these. An increasing area under forest management plan is therefore an indicator of progress towards sustainable forest management. </w:t>
      </w:r>
      <w:r w:rsidRPr="00ED7E61">
        <w:rPr>
          <w:rStyle w:val="eop"/>
          <w:rFonts w:asciiTheme="majorBidi" w:eastAsiaTheme="majorEastAsia" w:hAnsiTheme="majorBidi" w:cstheme="majorBidi"/>
          <w:color w:val="242424"/>
        </w:rPr>
        <w:t> </w:t>
      </w:r>
    </w:p>
    <w:p w14:paraId="730F1086"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242424"/>
        </w:rPr>
        <w:t>The fifth sub-indicator is the forest area that is certified by an independently verified forest management certification scheme. Such certification schemes apply standards that generally are higher than those established by the countries’ own normative frameworks, and compliance is verified by an independent and accredited certifier. An increase in certified forest area therefore provides an additional indication of progress towards sustainable forest management. It should however be noted that there are significant areas of sustainably managed forest which are not certified, either because their owners have chosen not to seek certification (which is voluntary and market-based) or because no credible or affordable certification scheme is in place for that area.</w:t>
      </w:r>
      <w:r w:rsidRPr="00ED7E61">
        <w:rPr>
          <w:rStyle w:val="eop"/>
          <w:rFonts w:asciiTheme="majorBidi" w:eastAsiaTheme="majorEastAsia" w:hAnsiTheme="majorBidi" w:cstheme="majorBidi"/>
          <w:color w:val="242424"/>
        </w:rPr>
        <w:t> </w:t>
      </w:r>
    </w:p>
    <w:p w14:paraId="23F9DBF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 Definitions, concepts and classifications</w:t>
      </w:r>
      <w:r w:rsidRPr="00ED7E61">
        <w:rPr>
          <w:rStyle w:val="eop"/>
          <w:rFonts w:asciiTheme="majorBidi" w:eastAsiaTheme="majorEastAsia" w:hAnsiTheme="majorBidi" w:cstheme="majorBidi"/>
          <w:sz w:val="22"/>
          <w:szCs w:val="22"/>
        </w:rPr>
        <w:t> </w:t>
      </w:r>
    </w:p>
    <w:p w14:paraId="4378732A" w14:textId="77777777" w:rsidR="00756F0F" w:rsidRPr="00ED7E61" w:rsidRDefault="00756F0F" w:rsidP="00BF0E81">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5a. Definition: </w:t>
      </w:r>
      <w:r w:rsidRPr="00ED7E61">
        <w:rPr>
          <w:rStyle w:val="eop"/>
          <w:rFonts w:asciiTheme="majorBidi" w:eastAsiaTheme="majorEastAsia" w:hAnsiTheme="majorBidi" w:cstheme="majorBidi"/>
          <w:sz w:val="22"/>
          <w:szCs w:val="22"/>
        </w:rPr>
        <w:t> </w:t>
      </w:r>
    </w:p>
    <w:p w14:paraId="7EE6E354" w14:textId="77777777" w:rsidR="00756F0F" w:rsidRPr="00ED7E61" w:rsidRDefault="00756F0F" w:rsidP="00BF0E81">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Indicator definition</w:t>
      </w:r>
      <w:r w:rsidRPr="00ED7E61">
        <w:rPr>
          <w:rStyle w:val="eop"/>
          <w:rFonts w:asciiTheme="majorBidi" w:eastAsiaTheme="majorEastAsia" w:hAnsiTheme="majorBidi" w:cstheme="majorBidi"/>
          <w:sz w:val="22"/>
          <w:szCs w:val="22"/>
        </w:rPr>
        <w:t> </w:t>
      </w:r>
    </w:p>
    <w:p w14:paraId="7AABFBE2"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Sustainable forest management</w:t>
      </w:r>
      <w:r w:rsidRPr="00ED7E61">
        <w:rPr>
          <w:rStyle w:val="normaltextrun"/>
          <w:rFonts w:asciiTheme="majorBidi" w:eastAsiaTheme="majorEastAsia" w:hAnsiTheme="majorBidi" w:cstheme="majorBidi"/>
        </w:rPr>
        <w:t>” (SFM) has been formally defined, by the UN General Assembly, as follows:</w:t>
      </w:r>
      <w:r w:rsidRPr="00ED7E61">
        <w:rPr>
          <w:rStyle w:val="normaltextrun"/>
        </w:rPr>
        <w:t> </w:t>
      </w:r>
    </w:p>
    <w:p w14:paraId="32EAFC5F" w14:textId="77777777" w:rsidR="00756F0F" w:rsidRPr="00ED7E61" w:rsidRDefault="00756F0F" w:rsidP="005B0D1E">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242424"/>
          <w:sz w:val="22"/>
          <w:szCs w:val="22"/>
          <w:lang w:val="en-GB"/>
        </w:rPr>
        <w:t>[a] dynamic and evolving concept [that] aims to maintain and enhance the economic, social and environmental values of all types of forests, for the benefit of present and future generations</w:t>
      </w:r>
      <w:r w:rsidRPr="00ED7E61">
        <w:rPr>
          <w:rStyle w:val="normaltextrun"/>
          <w:rFonts w:asciiTheme="majorBidi" w:eastAsiaTheme="majorEastAsia" w:hAnsiTheme="majorBidi" w:cstheme="majorBidi"/>
          <w:color w:val="242424"/>
          <w:sz w:val="22"/>
          <w:szCs w:val="22"/>
          <w:lang w:val="en-GB"/>
        </w:rPr>
        <w:t>” (Resolution A/RES/62/98)</w:t>
      </w:r>
      <w:r w:rsidRPr="00ED7E61">
        <w:rPr>
          <w:rStyle w:val="eop"/>
          <w:rFonts w:asciiTheme="majorBidi" w:eastAsiaTheme="majorEastAsia" w:hAnsiTheme="majorBidi" w:cstheme="majorBidi"/>
          <w:color w:val="242424"/>
          <w:sz w:val="22"/>
          <w:szCs w:val="22"/>
        </w:rPr>
        <w:t> </w:t>
      </w:r>
    </w:p>
    <w:p w14:paraId="7BE0984F" w14:textId="6B77C3C0" w:rsidR="00756F0F" w:rsidRPr="00ED7E61" w:rsidRDefault="00756F0F" w:rsidP="00B10F0C">
      <w:pPr>
        <w:pStyle w:val="CBDNormalNumber"/>
        <w:numPr>
          <w:ilvl w:val="0"/>
          <w:numId w:val="8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The indicator is composed of five sub-indicators that measure progress towards all dimensions of sustainable forest management. The environmental values of forests are covered by three sub-indicators focused on the extension of forest area, biomass within the forest area and protection and maintenance of biological diversity, and of natural and associated cultural resources. Social and economic values of forests are reconciled with environmental values through sustainable management plans. The sub</w:t>
      </w:r>
      <w:r w:rsidR="00D56314">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indicator provides further qualification to the management of forest areas, by assessing areas which are independently verified for compliance with a set of national or international standards.</w:t>
      </w:r>
      <w:r w:rsidRPr="00ED7E61">
        <w:rPr>
          <w:rStyle w:val="normaltextrun"/>
        </w:rPr>
        <w:t> </w:t>
      </w:r>
    </w:p>
    <w:p w14:paraId="723FF9B2"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The sub-indicators are:</w:t>
      </w:r>
      <w:r w:rsidRPr="00ED7E61">
        <w:rPr>
          <w:rStyle w:val="normaltextrun"/>
        </w:rPr>
        <w:t> </w:t>
      </w:r>
    </w:p>
    <w:p w14:paraId="1B5B0A31"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Annual forest area change rate </w:t>
      </w:r>
      <w:r w:rsidRPr="00ED7E61">
        <w:rPr>
          <w:rStyle w:val="normaltextrun"/>
        </w:rPr>
        <w:t> </w:t>
      </w:r>
    </w:p>
    <w:p w14:paraId="0EA2BC44"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Above-ground biomass in forest</w:t>
      </w:r>
      <w:r w:rsidRPr="00ED7E61">
        <w:rPr>
          <w:rStyle w:val="normaltextrun"/>
        </w:rPr>
        <w:t> </w:t>
      </w:r>
    </w:p>
    <w:p w14:paraId="141D349A"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Proportion of forest area within legally established protected areas </w:t>
      </w:r>
      <w:r w:rsidRPr="00ED7E61">
        <w:rPr>
          <w:rStyle w:val="normaltextrun"/>
        </w:rPr>
        <w:t> </w:t>
      </w:r>
    </w:p>
    <w:p w14:paraId="3F77BEC1"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Proportion of forest area under a long-term management plan</w:t>
      </w:r>
      <w:r w:rsidRPr="00ED7E61">
        <w:rPr>
          <w:rStyle w:val="normaltextrun"/>
        </w:rPr>
        <w:t> </w:t>
      </w:r>
    </w:p>
    <w:p w14:paraId="6FDDBE8A"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Forest area under an independently verified forest management certification scheme</w:t>
      </w:r>
      <w:r w:rsidRPr="00ED7E61">
        <w:rPr>
          <w:rStyle w:val="normaltextrun"/>
        </w:rPr>
        <w:t> </w:t>
      </w:r>
    </w:p>
    <w:p w14:paraId="28E39877"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 xml:space="preserve">A </w:t>
      </w:r>
      <w:r w:rsidRPr="00ED7E61">
        <w:rPr>
          <w:rStyle w:val="normaltextrun"/>
          <w:rFonts w:asciiTheme="majorBidi" w:eastAsiaTheme="majorEastAsia" w:hAnsiTheme="majorBidi" w:cstheme="majorBidi"/>
        </w:rPr>
        <w:t>dashboard</w:t>
      </w:r>
      <w:r w:rsidRPr="00ED7E61">
        <w:rPr>
          <w:rStyle w:val="normaltextrun"/>
          <w:rFonts w:asciiTheme="majorBidi" w:eastAsiaTheme="majorEastAsia" w:hAnsiTheme="majorBidi" w:cstheme="majorBidi"/>
          <w:color w:val="242424"/>
        </w:rPr>
        <w:t xml:space="preserve"> is used to assess progress related to the five sub-indicators. The adoption of the dashboard approach aims at ensuring consideration of all dimensions of sustainable forest management and provides for clear view of areas where progress has been achieved.</w:t>
      </w:r>
      <w:r w:rsidRPr="00ED7E61">
        <w:rPr>
          <w:rStyle w:val="eop"/>
          <w:rFonts w:asciiTheme="majorBidi" w:eastAsiaTheme="majorEastAsia" w:hAnsiTheme="majorBidi" w:cstheme="majorBidi"/>
          <w:color w:val="242424"/>
        </w:rPr>
        <w:t> </w:t>
      </w:r>
    </w:p>
    <w:p w14:paraId="3E5CC919" w14:textId="77777777" w:rsidR="00756F0F" w:rsidRPr="00ED7E61" w:rsidRDefault="00756F0F" w:rsidP="001F68D7">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b/>
          <w:bCs/>
          <w:color w:val="000000"/>
          <w:lang w:val="en-AU"/>
        </w:rPr>
        <w:t>Other key concepts and definitions:</w:t>
      </w:r>
      <w:r w:rsidRPr="00ED7E61">
        <w:rPr>
          <w:rStyle w:val="eop"/>
          <w:rFonts w:asciiTheme="majorBidi" w:eastAsiaTheme="majorEastAsia" w:hAnsiTheme="majorBidi" w:cstheme="majorBidi"/>
          <w:color w:val="000000"/>
        </w:rPr>
        <w:t> </w:t>
      </w:r>
    </w:p>
    <w:p w14:paraId="089BA2F2" w14:textId="3B339DFD"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Forest Land spanning more than 0.5 hectares with trees higher than 5 meters and a canopy cover of more than 10 percent, or trees able to reach these thresholds in situ. It does not include land that is predominantly under agricultural or urban land use</w:t>
      </w:r>
      <w:r w:rsidR="009925BD" w:rsidRPr="00ED7E61">
        <w:rPr>
          <w:rStyle w:val="normaltextrun"/>
          <w:rFonts w:asciiTheme="majorBidi" w:eastAsiaTheme="majorEastAsia" w:hAnsiTheme="majorBidi" w:cstheme="majorBidi"/>
          <w:color w:val="242424"/>
        </w:rPr>
        <w:t>:</w:t>
      </w:r>
      <w:r w:rsidRPr="00ED7E61">
        <w:rPr>
          <w:rStyle w:val="normaltextrun"/>
        </w:rPr>
        <w:t> </w:t>
      </w:r>
    </w:p>
    <w:p w14:paraId="55C6CFBE"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Forest is determined both by the presence of trees and the absence of other predominant land uses. The trees should be able to reach a minimum height of 5 meters.</w:t>
      </w:r>
      <w:r w:rsidRPr="00ED7E61">
        <w:rPr>
          <w:rStyle w:val="normaltextrun"/>
        </w:rPr>
        <w:t> </w:t>
      </w:r>
    </w:p>
    <w:p w14:paraId="471C7DD8"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Includes areas with young trees that have not yet reached but which are expected to reach a canopy cover of at least 10 percent and tree height of 5 meters or more. It also includes areas that are temporarily unstocked due to clear-cutting as part of a forest management practice or natural disasters, and which are expected to be regenerated within 5 years. Local conditions may, in exceptional cases, justify that a longer time frame is used.</w:t>
      </w:r>
      <w:r w:rsidRPr="00ED7E61">
        <w:rPr>
          <w:rStyle w:val="normaltextrun"/>
        </w:rPr>
        <w:t> </w:t>
      </w:r>
    </w:p>
    <w:p w14:paraId="2B14AECC"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Includes forest roads, firebreaks and other small open areas; forest in national parks, nature reserves and other protected areas such as those of specific environmental, scientific, historical, cultural or spiritual interest.</w:t>
      </w:r>
      <w:r w:rsidRPr="00ED7E61">
        <w:rPr>
          <w:rStyle w:val="normaltextrun"/>
        </w:rPr>
        <w:t> </w:t>
      </w:r>
    </w:p>
    <w:p w14:paraId="53828E17"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Includes windbreaks, shelterbelts and corridors of trees with an area of more than 0.5 hectares and width of more than 20 meters.</w:t>
      </w:r>
      <w:r w:rsidRPr="00ED7E61">
        <w:rPr>
          <w:rStyle w:val="normaltextrun"/>
        </w:rPr>
        <w:t> </w:t>
      </w:r>
    </w:p>
    <w:p w14:paraId="5291FB38" w14:textId="33E7ECE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Includes abandon</w:t>
      </w:r>
      <w:r w:rsidR="00D56314">
        <w:rPr>
          <w:rStyle w:val="normaltextrun"/>
          <w:rFonts w:asciiTheme="majorBidi" w:eastAsiaTheme="majorEastAsia" w:hAnsiTheme="majorBidi" w:cstheme="majorBidi"/>
          <w:color w:val="242424"/>
        </w:rPr>
        <w:t>-</w:t>
      </w:r>
      <w:r w:rsidRPr="00ED7E61">
        <w:rPr>
          <w:rStyle w:val="normaltextrun"/>
          <w:rFonts w:asciiTheme="majorBidi" w:eastAsiaTheme="majorEastAsia" w:hAnsiTheme="majorBidi" w:cstheme="majorBidi"/>
          <w:color w:val="242424"/>
        </w:rPr>
        <w:t>meth</w:t>
      </w:r>
      <w:r w:rsidR="00D56314">
        <w:rPr>
          <w:rStyle w:val="normaltextrun"/>
          <w:rFonts w:asciiTheme="majorBidi" w:eastAsiaTheme="majorEastAsia" w:hAnsiTheme="majorBidi" w:cstheme="majorBidi"/>
          <w:color w:val="242424"/>
        </w:rPr>
        <w:t>o</w:t>
      </w:r>
      <w:r w:rsidRPr="00ED7E61">
        <w:rPr>
          <w:rStyle w:val="normaltextrun"/>
          <w:rFonts w:asciiTheme="majorBidi" w:eastAsiaTheme="majorEastAsia" w:hAnsiTheme="majorBidi" w:cstheme="majorBidi"/>
          <w:color w:val="242424"/>
        </w:rPr>
        <w:t>d shifting cultivation land with a regeneration of trees that have, or are expected to reach, a canopy cover of at least 10 percent and tree height of at least 5 meters.</w:t>
      </w:r>
      <w:r w:rsidRPr="00ED7E61">
        <w:rPr>
          <w:rStyle w:val="normaltextrun"/>
        </w:rPr>
        <w:t> </w:t>
      </w:r>
    </w:p>
    <w:p w14:paraId="455F7EA4"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Includes areas with mangroves in tidal zones, regardless whether this area is classified as land area or not.</w:t>
      </w:r>
      <w:r w:rsidRPr="00ED7E61">
        <w:rPr>
          <w:rStyle w:val="normaltextrun"/>
        </w:rPr>
        <w:t> </w:t>
      </w:r>
    </w:p>
    <w:p w14:paraId="7B8A379C"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Includes rubberwood, cork oak and Christmas tree plantations.</w:t>
      </w:r>
      <w:r w:rsidRPr="00ED7E61">
        <w:rPr>
          <w:rStyle w:val="normaltextrun"/>
        </w:rPr>
        <w:t> </w:t>
      </w:r>
    </w:p>
    <w:p w14:paraId="00845A4E"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Includes areas with bamboo and palms provided that land use, height and canopy cover criteria are met.</w:t>
      </w:r>
      <w:r w:rsidRPr="00ED7E61">
        <w:rPr>
          <w:rStyle w:val="normaltextrun"/>
        </w:rPr>
        <w:t> </w:t>
      </w:r>
    </w:p>
    <w:p w14:paraId="708914E9"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Excludes tree stands in agricultural production systems, such as fruit tree plantations, oil palm plantations, olive orchards and agroforestry systems when crops are grown under tree cover. Note: Some agroforestry systems such as the “</w:t>
      </w:r>
      <w:r w:rsidRPr="00FB1598">
        <w:rPr>
          <w:rStyle w:val="normaltextrun"/>
          <w:rFonts w:asciiTheme="majorBidi" w:eastAsiaTheme="majorEastAsia" w:hAnsiTheme="majorBidi" w:cstheme="majorBidi"/>
          <w:i/>
          <w:iCs/>
          <w:color w:val="242424"/>
        </w:rPr>
        <w:t>Taungya</w:t>
      </w:r>
      <w:r w:rsidRPr="00ED7E61">
        <w:rPr>
          <w:rStyle w:val="normaltextrun"/>
          <w:rFonts w:asciiTheme="majorBidi" w:eastAsiaTheme="majorEastAsia" w:hAnsiTheme="majorBidi" w:cstheme="majorBidi"/>
          <w:color w:val="242424"/>
        </w:rPr>
        <w:t>” system where crops are grown only during the first years of the forest rotation should be classified as forest.</w:t>
      </w:r>
      <w:r w:rsidRPr="00ED7E61">
        <w:rPr>
          <w:rStyle w:val="normaltextrun"/>
        </w:rPr>
        <w:t> </w:t>
      </w:r>
    </w:p>
    <w:p w14:paraId="55F41FC9" w14:textId="4640CA6D"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Above-ground biomass All living biomass above the soil including stem, stump, branches, bark, seeds, and foliage</w:t>
      </w:r>
      <w:r w:rsidR="009925BD" w:rsidRPr="00ED7E61">
        <w:rPr>
          <w:rStyle w:val="normaltextrun"/>
          <w:rFonts w:asciiTheme="majorBidi" w:eastAsiaTheme="majorEastAsia" w:hAnsiTheme="majorBidi" w:cstheme="majorBidi"/>
          <w:color w:val="242424"/>
        </w:rPr>
        <w:t>:</w:t>
      </w:r>
      <w:r w:rsidRPr="00ED7E61">
        <w:rPr>
          <w:rStyle w:val="normaltextrun"/>
        </w:rPr>
        <w:t> </w:t>
      </w:r>
    </w:p>
    <w:p w14:paraId="1174520A" w14:textId="38F0E425" w:rsidR="00756F0F" w:rsidRPr="00ED7E61" w:rsidRDefault="00756F0F" w:rsidP="001F68D7">
      <w:pPr>
        <w:pStyle w:val="CBDNormalNumber"/>
        <w:numPr>
          <w:ilvl w:val="0"/>
          <w:numId w:val="0"/>
        </w:numPr>
        <w:tabs>
          <w:tab w:val="clear" w:pos="567"/>
          <w:tab w:val="clear" w:pos="1134"/>
          <w:tab w:val="clear" w:pos="1701"/>
          <w:tab w:val="clear" w:pos="2268"/>
          <w:tab w:val="left" w:pos="1985"/>
        </w:tabs>
        <w:ind w:left="1332"/>
        <w:rPr>
          <w:rStyle w:val="normaltextrun"/>
          <w:rFonts w:eastAsiaTheme="majorEastAsia"/>
          <w:color w:val="242424"/>
        </w:rPr>
      </w:pPr>
      <w:r w:rsidRPr="00ED7E61">
        <w:rPr>
          <w:rStyle w:val="normaltextrun"/>
          <w:rFonts w:asciiTheme="majorBidi" w:eastAsiaTheme="majorEastAsia" w:hAnsiTheme="majorBidi" w:cstheme="majorBidi"/>
          <w:color w:val="242424"/>
        </w:rPr>
        <w:t>In cases where forest understorey is a relatively small component of the above</w:t>
      </w:r>
      <w:r w:rsidR="00D56314">
        <w:rPr>
          <w:rStyle w:val="normaltextrun"/>
          <w:rFonts w:asciiTheme="majorBidi" w:eastAsiaTheme="majorEastAsia" w:hAnsiTheme="majorBidi" w:cstheme="majorBidi"/>
          <w:color w:val="242424"/>
        </w:rPr>
        <w:t xml:space="preserve"> </w:t>
      </w:r>
      <w:r w:rsidRPr="00ED7E61">
        <w:rPr>
          <w:rStyle w:val="normaltextrun"/>
          <w:rFonts w:asciiTheme="majorBidi" w:eastAsiaTheme="majorEastAsia" w:hAnsiTheme="majorBidi" w:cstheme="majorBidi"/>
          <w:color w:val="242424"/>
        </w:rPr>
        <w:t>ground biomass carbon pool, it is acceptable to exclude it, provided this is done in a consistent manner throughout the inventory time series.</w:t>
      </w:r>
      <w:r w:rsidRPr="00ED7E61">
        <w:rPr>
          <w:rStyle w:val="normaltextrun"/>
        </w:rPr>
        <w:t> </w:t>
      </w:r>
    </w:p>
    <w:p w14:paraId="367C1250"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Protected areas Areas especially dedicated to the protection and maintenance of biological diversity, and of natural and associated cultural resources, and managed through legal or other effective means.</w:t>
      </w:r>
      <w:r w:rsidRPr="00ED7E61">
        <w:rPr>
          <w:rStyle w:val="normaltextrun"/>
        </w:rPr>
        <w:t> </w:t>
      </w:r>
    </w:p>
    <w:p w14:paraId="50D7683E" w14:textId="3EA2976E"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Forest area within protected areas Forest area within formally established protected areas independently of the purpose for which the protected areas were established</w:t>
      </w:r>
      <w:r w:rsidR="009925BD" w:rsidRPr="00ED7E61">
        <w:rPr>
          <w:rStyle w:val="normaltextrun"/>
          <w:rFonts w:asciiTheme="majorBidi" w:eastAsiaTheme="majorEastAsia" w:hAnsiTheme="majorBidi" w:cstheme="majorBidi"/>
          <w:color w:val="242424"/>
        </w:rPr>
        <w:t>:</w:t>
      </w:r>
      <w:r w:rsidRPr="00ED7E61">
        <w:rPr>
          <w:rStyle w:val="normaltextrun"/>
          <w:rFonts w:asciiTheme="majorBidi" w:eastAsiaTheme="majorEastAsia" w:hAnsiTheme="majorBidi" w:cstheme="majorBidi"/>
          <w:color w:val="242424"/>
        </w:rPr>
        <w:t> </w:t>
      </w:r>
      <w:r w:rsidRPr="00ED7E61">
        <w:rPr>
          <w:rStyle w:val="normaltextrun"/>
        </w:rPr>
        <w:t> </w:t>
      </w:r>
    </w:p>
    <w:p w14:paraId="72C702EA"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Includes IUCN Categories I – IV</w:t>
      </w:r>
      <w:r w:rsidRPr="00ED7E61">
        <w:rPr>
          <w:rStyle w:val="normaltextrun"/>
        </w:rPr>
        <w:t> </w:t>
      </w:r>
    </w:p>
    <w:p w14:paraId="57C7B687"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Excludes IUCN Categories V-VI</w:t>
      </w:r>
      <w:r w:rsidRPr="00ED7E61">
        <w:rPr>
          <w:rStyle w:val="normaltextrun"/>
        </w:rPr>
        <w:t> </w:t>
      </w:r>
    </w:p>
    <w:p w14:paraId="23B24C0F" w14:textId="63782718"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 xml:space="preserve">Forest area with management plan </w:t>
      </w:r>
      <w:r w:rsidR="00D56314">
        <w:rPr>
          <w:rStyle w:val="normaltextrun"/>
          <w:rFonts w:asciiTheme="majorBidi" w:eastAsiaTheme="majorEastAsia" w:hAnsiTheme="majorBidi" w:cstheme="majorBidi"/>
          <w:color w:val="242424"/>
        </w:rPr>
        <w:t>f</w:t>
      </w:r>
      <w:r w:rsidRPr="00ED7E61">
        <w:rPr>
          <w:rStyle w:val="normaltextrun"/>
          <w:rFonts w:asciiTheme="majorBidi" w:eastAsiaTheme="majorEastAsia" w:hAnsiTheme="majorBidi" w:cstheme="majorBidi"/>
          <w:color w:val="242424"/>
        </w:rPr>
        <w:t>orest area that has a long-term documented management plan, aiming at defined management goals, which is periodically revised</w:t>
      </w:r>
      <w:r w:rsidR="009925BD" w:rsidRPr="00ED7E61">
        <w:rPr>
          <w:rStyle w:val="normaltextrun"/>
          <w:rFonts w:asciiTheme="majorBidi" w:eastAsiaTheme="majorEastAsia" w:hAnsiTheme="majorBidi" w:cstheme="majorBidi"/>
          <w:color w:val="242424"/>
        </w:rPr>
        <w:t>:</w:t>
      </w:r>
      <w:r w:rsidRPr="00ED7E61">
        <w:rPr>
          <w:rStyle w:val="normaltextrun"/>
        </w:rPr>
        <w:t> </w:t>
      </w:r>
    </w:p>
    <w:p w14:paraId="0A1CAE53"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A forest area with management plan may refer to forest management unit level or aggregated forest management unit level (forest blocks, farms, enterprises, watersheds, municipalities, or wider units).</w:t>
      </w:r>
      <w:r w:rsidRPr="00ED7E61">
        <w:rPr>
          <w:rStyle w:val="normaltextrun"/>
        </w:rPr>
        <w:t> </w:t>
      </w:r>
    </w:p>
    <w:p w14:paraId="09585596"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A management plan must include adequate detail on operations planned for individual operational units (stands or compartments) but may also provide general strategies and activities planned to reach management goals.</w:t>
      </w:r>
      <w:r w:rsidRPr="00ED7E61">
        <w:rPr>
          <w:rStyle w:val="normaltextrun"/>
        </w:rPr>
        <w:t> </w:t>
      </w:r>
    </w:p>
    <w:p w14:paraId="1CD80E25"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Includes forest area in protected areas with management plan.</w:t>
      </w:r>
      <w:r w:rsidRPr="00ED7E61">
        <w:rPr>
          <w:rStyle w:val="normaltextrun"/>
        </w:rPr>
        <w:t> </w:t>
      </w:r>
    </w:p>
    <w:p w14:paraId="27A37331" w14:textId="1380A102"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 xml:space="preserve">Independently verified forest management certification </w:t>
      </w:r>
      <w:r w:rsidR="00D56314">
        <w:rPr>
          <w:rStyle w:val="normaltextrun"/>
          <w:rFonts w:asciiTheme="majorBidi" w:eastAsiaTheme="majorEastAsia" w:hAnsiTheme="majorBidi" w:cstheme="majorBidi"/>
          <w:color w:val="242424"/>
        </w:rPr>
        <w:t>f</w:t>
      </w:r>
      <w:r w:rsidRPr="00ED7E61">
        <w:rPr>
          <w:rStyle w:val="normaltextrun"/>
          <w:rFonts w:asciiTheme="majorBidi" w:eastAsiaTheme="majorEastAsia" w:hAnsiTheme="majorBidi" w:cstheme="majorBidi"/>
          <w:color w:val="242424"/>
        </w:rPr>
        <w:t>orest area certified under a forest management certification scheme with published standards and is independently verified by a third-party.</w:t>
      </w:r>
      <w:r w:rsidRPr="00ED7E61">
        <w:rPr>
          <w:rStyle w:val="normaltextrun"/>
        </w:rPr>
        <w:t> </w:t>
      </w:r>
    </w:p>
    <w:p w14:paraId="4486D8C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242424"/>
          <w:sz w:val="22"/>
          <w:szCs w:val="22"/>
          <w:lang w:val="en-GB"/>
        </w:rPr>
        <w:t>Units of measure</w:t>
      </w:r>
      <w:r w:rsidRPr="00ED7E61">
        <w:rPr>
          <w:rStyle w:val="eop"/>
          <w:rFonts w:asciiTheme="majorBidi" w:eastAsiaTheme="majorEastAsia" w:hAnsiTheme="majorBidi" w:cstheme="majorBidi"/>
          <w:color w:val="242424"/>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90"/>
        <w:gridCol w:w="2310"/>
      </w:tblGrid>
      <w:tr w:rsidR="00756F0F" w:rsidRPr="001F68D7" w14:paraId="448B10A1" w14:textId="77777777" w:rsidTr="00756F0F">
        <w:trPr>
          <w:trHeight w:val="300"/>
        </w:trPr>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0437D438" w14:textId="77777777" w:rsidR="00756F0F" w:rsidRPr="001F68D7" w:rsidRDefault="00756F0F" w:rsidP="00395866">
            <w:pPr>
              <w:pStyle w:val="paragraph"/>
              <w:spacing w:before="0" w:beforeAutospacing="0" w:after="0" w:afterAutospacing="0"/>
              <w:textAlignment w:val="baseline"/>
              <w:rPr>
                <w:rFonts w:asciiTheme="majorBidi" w:hAnsiTheme="majorBidi" w:cstheme="majorBidi"/>
                <w:i/>
                <w:iCs/>
                <w:sz w:val="22"/>
                <w:szCs w:val="22"/>
              </w:rPr>
            </w:pPr>
            <w:r w:rsidRPr="001F68D7">
              <w:rPr>
                <w:rStyle w:val="normaltextrun"/>
                <w:rFonts w:asciiTheme="majorBidi" w:eastAsiaTheme="majorEastAsia" w:hAnsiTheme="majorBidi" w:cstheme="majorBidi"/>
                <w:i/>
                <w:iCs/>
                <w:sz w:val="22"/>
                <w:szCs w:val="22"/>
                <w:lang w:val="en-GB"/>
              </w:rPr>
              <w:t>SUB-INDICATOR</w:t>
            </w:r>
            <w:r w:rsidRPr="001F68D7">
              <w:rPr>
                <w:rStyle w:val="eop"/>
                <w:rFonts w:asciiTheme="majorBidi" w:eastAsiaTheme="majorEastAsia" w:hAnsiTheme="majorBidi" w:cstheme="majorBidi"/>
                <w:i/>
                <w:iCs/>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6CD50E1B" w14:textId="77777777" w:rsidR="00756F0F" w:rsidRPr="001F68D7" w:rsidRDefault="00756F0F" w:rsidP="00395866">
            <w:pPr>
              <w:pStyle w:val="paragraph"/>
              <w:spacing w:before="0" w:beforeAutospacing="0" w:after="0" w:afterAutospacing="0"/>
              <w:textAlignment w:val="baseline"/>
              <w:rPr>
                <w:rFonts w:asciiTheme="majorBidi" w:hAnsiTheme="majorBidi" w:cstheme="majorBidi"/>
                <w:i/>
                <w:iCs/>
                <w:sz w:val="22"/>
                <w:szCs w:val="22"/>
              </w:rPr>
            </w:pPr>
            <w:r w:rsidRPr="001F68D7">
              <w:rPr>
                <w:rStyle w:val="normaltextrun"/>
                <w:rFonts w:asciiTheme="majorBidi" w:eastAsiaTheme="majorEastAsia" w:hAnsiTheme="majorBidi" w:cstheme="majorBidi"/>
                <w:i/>
                <w:iCs/>
                <w:sz w:val="22"/>
                <w:szCs w:val="22"/>
                <w:lang w:val="en-GB"/>
              </w:rPr>
              <w:t>UNIT</w:t>
            </w:r>
            <w:r w:rsidRPr="001F68D7">
              <w:rPr>
                <w:rStyle w:val="eop"/>
                <w:rFonts w:asciiTheme="majorBidi" w:eastAsiaTheme="majorEastAsia" w:hAnsiTheme="majorBidi" w:cstheme="majorBidi"/>
                <w:i/>
                <w:iCs/>
                <w:sz w:val="22"/>
                <w:szCs w:val="22"/>
              </w:rPr>
              <w:t> </w:t>
            </w:r>
          </w:p>
        </w:tc>
      </w:tr>
      <w:tr w:rsidR="00756F0F" w:rsidRPr="00ED7E61" w14:paraId="7D0DF881" w14:textId="77777777" w:rsidTr="00756F0F">
        <w:trPr>
          <w:trHeight w:val="300"/>
        </w:trPr>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2609BCD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Annual forest area change rate</w:t>
            </w:r>
            <w:r w:rsidRPr="00ED7E61">
              <w:rPr>
                <w:rStyle w:val="eop"/>
                <w:rFonts w:asciiTheme="majorBidi" w:eastAsiaTheme="majorEastAsia" w:hAnsiTheme="majorBidi" w:cstheme="majorBidi"/>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5E9E617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Percent (%)</w:t>
            </w:r>
            <w:r w:rsidRPr="00ED7E61">
              <w:rPr>
                <w:rStyle w:val="eop"/>
                <w:rFonts w:asciiTheme="majorBidi" w:eastAsiaTheme="majorEastAsia" w:hAnsiTheme="majorBidi" w:cstheme="majorBidi"/>
                <w:sz w:val="22"/>
                <w:szCs w:val="22"/>
              </w:rPr>
              <w:t> </w:t>
            </w:r>
          </w:p>
        </w:tc>
      </w:tr>
      <w:tr w:rsidR="00756F0F" w:rsidRPr="00ED7E61" w14:paraId="3632E99D" w14:textId="77777777" w:rsidTr="00756F0F">
        <w:trPr>
          <w:trHeight w:val="300"/>
        </w:trPr>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1C036AB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Above-ground biomass in forest</w:t>
            </w:r>
            <w:r w:rsidRPr="00ED7E61">
              <w:rPr>
                <w:rStyle w:val="eop"/>
                <w:rFonts w:asciiTheme="majorBidi" w:eastAsiaTheme="majorEastAsia" w:hAnsiTheme="majorBidi" w:cstheme="majorBidi"/>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4A22DAD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Tonnes per hectare</w:t>
            </w:r>
            <w:r w:rsidRPr="00ED7E61">
              <w:rPr>
                <w:rStyle w:val="eop"/>
                <w:rFonts w:asciiTheme="majorBidi" w:eastAsiaTheme="majorEastAsia" w:hAnsiTheme="majorBidi" w:cstheme="majorBidi"/>
                <w:sz w:val="22"/>
                <w:szCs w:val="22"/>
              </w:rPr>
              <w:t> </w:t>
            </w:r>
          </w:p>
        </w:tc>
      </w:tr>
      <w:tr w:rsidR="00756F0F" w:rsidRPr="00ED7E61" w14:paraId="7ECC4FA4" w14:textId="77777777" w:rsidTr="00756F0F">
        <w:trPr>
          <w:trHeight w:val="300"/>
        </w:trPr>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5A38EEA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Proportion of forest area within legally established protected areas</w:t>
            </w:r>
            <w:r w:rsidRPr="00ED7E61">
              <w:rPr>
                <w:rStyle w:val="eop"/>
                <w:rFonts w:asciiTheme="majorBidi" w:eastAsiaTheme="majorEastAsia" w:hAnsiTheme="majorBidi" w:cstheme="majorBidi"/>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55281C2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Percent (%)</w:t>
            </w:r>
            <w:r w:rsidRPr="00ED7E61">
              <w:rPr>
                <w:rStyle w:val="eop"/>
                <w:rFonts w:asciiTheme="majorBidi" w:eastAsiaTheme="majorEastAsia" w:hAnsiTheme="majorBidi" w:cstheme="majorBidi"/>
                <w:sz w:val="22"/>
                <w:szCs w:val="22"/>
              </w:rPr>
              <w:t> </w:t>
            </w:r>
          </w:p>
        </w:tc>
      </w:tr>
      <w:tr w:rsidR="00756F0F" w:rsidRPr="00ED7E61" w14:paraId="76E7A032" w14:textId="77777777" w:rsidTr="00756F0F">
        <w:trPr>
          <w:trHeight w:val="300"/>
        </w:trPr>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7F183A1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Proportion of forest area under a long-term forest management plan </w:t>
            </w:r>
            <w:r w:rsidRPr="00ED7E61">
              <w:rPr>
                <w:rStyle w:val="eop"/>
                <w:rFonts w:asciiTheme="majorBidi" w:eastAsiaTheme="majorEastAsia" w:hAnsiTheme="majorBidi" w:cstheme="majorBidi"/>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5F7A6E5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Percent (%)</w:t>
            </w:r>
            <w:r w:rsidRPr="00ED7E61">
              <w:rPr>
                <w:rStyle w:val="eop"/>
                <w:rFonts w:asciiTheme="majorBidi" w:eastAsiaTheme="majorEastAsia" w:hAnsiTheme="majorBidi" w:cstheme="majorBidi"/>
                <w:sz w:val="22"/>
                <w:szCs w:val="22"/>
              </w:rPr>
              <w:t> </w:t>
            </w:r>
          </w:p>
        </w:tc>
      </w:tr>
      <w:tr w:rsidR="00756F0F" w:rsidRPr="00ED7E61" w14:paraId="03D1EFA9" w14:textId="77777777" w:rsidTr="00756F0F">
        <w:trPr>
          <w:trHeight w:val="300"/>
        </w:trPr>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2EF99EE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Forest area under an independently verified forest management certification scheme</w:t>
            </w:r>
            <w:r w:rsidRPr="00ED7E61">
              <w:rPr>
                <w:rStyle w:val="eop"/>
                <w:rFonts w:asciiTheme="majorBidi" w:eastAsiaTheme="majorEastAsia" w:hAnsiTheme="majorBidi" w:cstheme="majorBidi"/>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39516D1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1000 hectares</w:t>
            </w:r>
            <w:r w:rsidRPr="00ED7E61">
              <w:rPr>
                <w:rStyle w:val="eop"/>
                <w:rFonts w:asciiTheme="majorBidi" w:eastAsiaTheme="majorEastAsia" w:hAnsiTheme="majorBidi" w:cstheme="majorBidi"/>
                <w:sz w:val="22"/>
                <w:szCs w:val="22"/>
              </w:rPr>
              <w:t> </w:t>
            </w:r>
          </w:p>
        </w:tc>
      </w:tr>
    </w:tbl>
    <w:p w14:paraId="27E3C8A3" w14:textId="77777777" w:rsidR="00756F0F" w:rsidRPr="00ED7E61" w:rsidRDefault="00756F0F" w:rsidP="001F68D7">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5b. Method of computation</w:t>
      </w:r>
      <w:r w:rsidRPr="00ED7E61">
        <w:rPr>
          <w:rStyle w:val="eop"/>
          <w:rFonts w:asciiTheme="majorBidi" w:eastAsiaTheme="majorEastAsia" w:hAnsiTheme="majorBidi" w:cstheme="majorBidi"/>
          <w:sz w:val="22"/>
          <w:szCs w:val="22"/>
        </w:rPr>
        <w:t> </w:t>
      </w:r>
    </w:p>
    <w:p w14:paraId="6894EF6D"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National data on forest area, biomass stock, forest area within protected areas, and forest area under management plan are reported directly by countries to FAO for pre-established reference years. Based on the country reported data, FAO then makes country-level estimates of the forest area net change rate using the compound interest formula. The proportion of forest area within protected area and under management plan is calculated using the reported areas for each reference year and the forest area for year 2015.</w:t>
      </w:r>
      <w:r w:rsidRPr="00ED7E61">
        <w:rPr>
          <w:rStyle w:val="normaltextrun"/>
        </w:rPr>
        <w:t> </w:t>
      </w:r>
    </w:p>
    <w:p w14:paraId="34B21D1D"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Data on forest area under an independently verified forest management certification scheme are reported to FAO by the head offices of respective forest certification scheme. Reported data include the area certified under each certification scheme, as well as areas that are double-certified by the two schemes. That allows for estimating the total certified forest area, adjusted for double certified area.</w:t>
      </w:r>
      <w:r w:rsidRPr="00ED7E61">
        <w:rPr>
          <w:rStyle w:val="normaltextrun"/>
        </w:rPr>
        <w:t> </w:t>
      </w:r>
    </w:p>
    <w:p w14:paraId="3013A652"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No dashboard traffic lights are made at country level.</w:t>
      </w:r>
      <w:r w:rsidRPr="00ED7E61">
        <w:rPr>
          <w:rStyle w:val="normaltextrun"/>
        </w:rPr>
        <w:t> </w:t>
      </w:r>
    </w:p>
    <w:p w14:paraId="7CE067E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47FE4FF9"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Sub-indicators 1 to 4</w:t>
      </w:r>
      <w:r w:rsidRPr="00ED7E61">
        <w:rPr>
          <w:rStyle w:val="normaltextrun"/>
        </w:rPr>
        <w:t> </w:t>
      </w:r>
    </w:p>
    <w:p w14:paraId="024EDB80"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Data on these sub-indicators are collected through FAO’s Global Forest Resources Assessment (FRA) programme. Officially nominated national correspondents and their teams prepare the country reports for the assessment. Some prepare more than one report as they also report on dependent territories. For the remaining countries and territories where no information is provided, a report is prepared by FAO using existing information and a literature search.</w:t>
      </w:r>
      <w:r w:rsidRPr="00ED7E61">
        <w:rPr>
          <w:rStyle w:val="normaltextrun"/>
        </w:rPr>
        <w:t> </w:t>
      </w:r>
    </w:p>
    <w:p w14:paraId="26478163"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All data are provided to FAO by countries in the form of a country report through an online platform following a standard format, which includes the original data and reference sources and descriptions of how these have been used to estimate the forest area for different points in time. The online platform was used for all data entry, review and quality control.</w:t>
      </w:r>
      <w:r w:rsidRPr="00ED7E61">
        <w:rPr>
          <w:rStyle w:val="normaltextrun"/>
        </w:rPr>
        <w:t> </w:t>
      </w:r>
    </w:p>
    <w:p w14:paraId="203B7C2D" w14:textId="77777777" w:rsidR="00756F0F" w:rsidRPr="00ED7E61" w:rsidRDefault="00756F0F" w:rsidP="00B10F0C">
      <w:pPr>
        <w:pStyle w:val="CBDNormalNumber"/>
        <w:numPr>
          <w:ilvl w:val="1"/>
          <w:numId w:val="84"/>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In order to obtain internationally comparable data, countries are requested to provide national categories and definitions, and in case these are different than the FAO categories and definitions, countries are requested to perform a reclassification of national data to correspond to the FAO categories and definitions and to document this step in the country report. Countries are also requested to use interpolation or extrapolation of national data in order to provide estimates for the specific reporting years.</w:t>
      </w:r>
      <w:r w:rsidRPr="00ED7E61">
        <w:rPr>
          <w:rStyle w:val="normaltextrun"/>
        </w:rPr>
        <w:t> </w:t>
      </w:r>
    </w:p>
    <w:p w14:paraId="25178039"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Sub-indicator 5</w:t>
      </w:r>
      <w:r w:rsidRPr="00ED7E61">
        <w:rPr>
          <w:rStyle w:val="normaltextrun"/>
        </w:rPr>
        <w:t> </w:t>
      </w:r>
    </w:p>
    <w:p w14:paraId="119ED530" w14:textId="77777777" w:rsidR="00756F0F" w:rsidRPr="00ED7E61" w:rsidRDefault="00756F0F" w:rsidP="001F68D7">
      <w:pPr>
        <w:pStyle w:val="CBDNormalNumber"/>
        <w:numPr>
          <w:ilvl w:val="0"/>
          <w:numId w:val="0"/>
        </w:numPr>
        <w:tabs>
          <w:tab w:val="clear" w:pos="567"/>
          <w:tab w:val="clear" w:pos="1134"/>
          <w:tab w:val="clear" w:pos="1701"/>
          <w:tab w:val="clear" w:pos="2268"/>
          <w:tab w:val="left" w:pos="1985"/>
        </w:tabs>
        <w:ind w:left="1332"/>
        <w:rPr>
          <w:rStyle w:val="normaltextrun"/>
          <w:rFonts w:eastAsiaTheme="majorEastAsia"/>
          <w:color w:val="242424"/>
        </w:rPr>
      </w:pPr>
      <w:r w:rsidRPr="00ED7E61">
        <w:rPr>
          <w:rStyle w:val="normaltextrun"/>
          <w:rFonts w:asciiTheme="majorBidi" w:eastAsiaTheme="majorEastAsia" w:hAnsiTheme="majorBidi" w:cstheme="majorBidi"/>
          <w:color w:val="242424"/>
        </w:rPr>
        <w:t>Data are annually reported by the certification bodies to FAO and consolidated into estimates of total certified forest area, which are made available to the countries through the FRA platform where country officials can view the data that are being submitted.</w:t>
      </w:r>
      <w:r w:rsidRPr="00ED7E61">
        <w:rPr>
          <w:rStyle w:val="normaltextrun"/>
        </w:rPr>
        <w:t> </w:t>
      </w:r>
    </w:p>
    <w:p w14:paraId="6C628F35" w14:textId="23D74887" w:rsidR="00756F0F" w:rsidRPr="00ED7E61" w:rsidRDefault="00756F0F" w:rsidP="005B0D1E">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1C1CD8C5"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The methodology for the SDG 15.2.1 indicator is published in SDG indicators metadata on UNSD website at  </w:t>
      </w:r>
      <w:hyperlink r:id="rId496" w:tgtFrame="_blank" w:history="1">
        <w:r w:rsidRPr="00ED7E61">
          <w:rPr>
            <w:rStyle w:val="normaltextrun"/>
            <w:rFonts w:asciiTheme="majorBidi" w:eastAsiaTheme="majorEastAsia" w:hAnsiTheme="majorBidi" w:cstheme="majorBidi"/>
            <w:color w:val="1876BA"/>
            <w:u w:val="single"/>
          </w:rPr>
          <w:t>https://unstats.un.org/sdgs/metadata/</w:t>
        </w:r>
      </w:hyperlink>
      <w:r w:rsidRPr="00ED7E61">
        <w:rPr>
          <w:rStyle w:val="eop"/>
          <w:rFonts w:asciiTheme="majorBidi" w:eastAsiaTheme="majorEastAsia" w:hAnsiTheme="majorBidi" w:cstheme="majorBidi"/>
          <w:color w:val="242424"/>
        </w:rPr>
        <w:t> </w:t>
      </w:r>
    </w:p>
    <w:p w14:paraId="19B4C26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4693A6AA"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Sub-indicators 1 to 4</w:t>
      </w:r>
      <w:r w:rsidRPr="00ED7E61">
        <w:rPr>
          <w:rStyle w:val="normaltextrun"/>
        </w:rPr>
        <w:t> </w:t>
      </w:r>
    </w:p>
    <w:p w14:paraId="296DA425"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Data are collected by FAO through the Global Forest Resources Assessment (FRA). Assessments have been carried out at regular intervals since 1946 and are now produced every five years. The latest of these assessments, FRA 2020, contains information for 236 countries and territories on about 60 variables related to the extent of forests, their conditions, uses and values for several points in time.</w:t>
      </w:r>
      <w:r w:rsidRPr="00ED7E61">
        <w:rPr>
          <w:rStyle w:val="normaltextrun"/>
        </w:rPr>
        <w:t> </w:t>
      </w:r>
    </w:p>
    <w:p w14:paraId="00B7734A"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Sub-indicator 5</w:t>
      </w:r>
      <w:r w:rsidRPr="00ED7E61">
        <w:rPr>
          <w:rStyle w:val="normaltextrun"/>
        </w:rPr>
        <w:t> </w:t>
      </w:r>
    </w:p>
    <w:p w14:paraId="18CE928F"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Currently, forest certification by the Forest Stewardship Council (FSC) and the Programme for the Endorsement of Forest Certification (PEFC) are included in the data submissions. The latter includes several national/regional certification schemes that have been endorsed according to the PEFC standards.</w:t>
      </w:r>
      <w:r w:rsidRPr="00ED7E61">
        <w:rPr>
          <w:rStyle w:val="normaltextrun"/>
        </w:rPr>
        <w:t> </w:t>
      </w:r>
    </w:p>
    <w:p w14:paraId="47D94607"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Data on forest certification are submitted annually to FAO by the head offices of the respective forest certification scheme. Data include the area certified by each scheme, as well as areas that are double certified by the two schemes. That allows for estimating the total certified forest area, adjusted for double certified area.</w:t>
      </w:r>
      <w:r w:rsidRPr="00ED7E61">
        <w:rPr>
          <w:rStyle w:val="normaltextrun"/>
        </w:rPr>
        <w:t> </w:t>
      </w:r>
    </w:p>
    <w:p w14:paraId="756043D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091831D5"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Data with updated time series and including year 2020 was released in July 2020 as part of FRA 2020 dataset. Next release of a complete FRA dataset is scheduled for 2025. More frequent reporting on forest area and other key indicators will be applied from 2024 onward. Data on forest certification is updated annually.</w:t>
      </w:r>
      <w:r w:rsidRPr="00ED7E61">
        <w:rPr>
          <w:rStyle w:val="normaltextrun"/>
        </w:rPr>
        <w:t> </w:t>
      </w:r>
    </w:p>
    <w:p w14:paraId="003C62DE"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Data availability:</w:t>
      </w:r>
      <w:r w:rsidRPr="00ED7E61">
        <w:rPr>
          <w:rStyle w:val="normaltextrun"/>
        </w:rPr>
        <w:t> </w:t>
      </w:r>
    </w:p>
    <w:p w14:paraId="27A991C0"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The Global Forest Resources Assessment 2020 collected data from 236 countries and territories. </w:t>
      </w:r>
      <w:r w:rsidRPr="00ED7E61">
        <w:rPr>
          <w:rStyle w:val="normaltextru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5"/>
        <w:gridCol w:w="733"/>
        <w:gridCol w:w="578"/>
        <w:gridCol w:w="632"/>
        <w:gridCol w:w="817"/>
        <w:gridCol w:w="924"/>
        <w:gridCol w:w="1012"/>
        <w:gridCol w:w="578"/>
        <w:gridCol w:w="632"/>
        <w:gridCol w:w="817"/>
        <w:gridCol w:w="924"/>
        <w:gridCol w:w="1012"/>
      </w:tblGrid>
      <w:tr w:rsidR="00756F0F" w:rsidRPr="00ED7E61" w14:paraId="1DA4952E" w14:textId="77777777" w:rsidTr="00756F0F">
        <w:trPr>
          <w:trHeight w:val="105"/>
        </w:trPr>
        <w:tc>
          <w:tcPr>
            <w:tcW w:w="26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F4947F2"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Region Name</w:t>
            </w:r>
            <w:r w:rsidRPr="008917DD">
              <w:rPr>
                <w:rStyle w:val="eop"/>
                <w:rFonts w:asciiTheme="majorBidi" w:eastAsiaTheme="majorEastAsia" w:hAnsiTheme="majorBidi" w:cstheme="majorBidi"/>
                <w:color w:val="4A4A4A"/>
                <w:sz w:val="18"/>
                <w:szCs w:val="18"/>
              </w:rPr>
              <w:t> </w:t>
            </w:r>
          </w:p>
        </w:tc>
        <w:tc>
          <w:tcPr>
            <w:tcW w:w="57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959E4EF"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Total number of countries</w:t>
            </w:r>
            <w:r w:rsidRPr="008917DD">
              <w:rPr>
                <w:rStyle w:val="eop"/>
                <w:rFonts w:asciiTheme="majorBidi" w:eastAsiaTheme="majorEastAsia" w:hAnsiTheme="majorBidi" w:cstheme="majorBidi"/>
                <w:color w:val="4A4A4A"/>
                <w:sz w:val="18"/>
                <w:szCs w:val="18"/>
              </w:rPr>
              <w:t> </w:t>
            </w:r>
          </w:p>
        </w:tc>
        <w:tc>
          <w:tcPr>
            <w:tcW w:w="2865" w:type="dxa"/>
            <w:gridSpan w:val="5"/>
            <w:tcBorders>
              <w:top w:val="single" w:sz="6" w:space="0" w:color="auto"/>
              <w:left w:val="single" w:sz="6" w:space="0" w:color="auto"/>
              <w:bottom w:val="single" w:sz="6" w:space="0" w:color="auto"/>
              <w:right w:val="single" w:sz="6" w:space="0" w:color="auto"/>
            </w:tcBorders>
            <w:shd w:val="clear" w:color="auto" w:fill="auto"/>
            <w:hideMark/>
          </w:tcPr>
          <w:p w14:paraId="78B06C61"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Number of countries reporting latest year</w:t>
            </w:r>
            <w:r w:rsidRPr="008917DD">
              <w:rPr>
                <w:rStyle w:val="eop"/>
                <w:rFonts w:asciiTheme="majorBidi" w:eastAsiaTheme="majorEastAsia" w:hAnsiTheme="majorBidi" w:cstheme="majorBidi"/>
                <w:color w:val="4A4A4A"/>
                <w:sz w:val="18"/>
                <w:szCs w:val="18"/>
              </w:rPr>
              <w:t> </w:t>
            </w:r>
          </w:p>
        </w:tc>
        <w:tc>
          <w:tcPr>
            <w:tcW w:w="2865" w:type="dxa"/>
            <w:gridSpan w:val="5"/>
            <w:tcBorders>
              <w:top w:val="single" w:sz="6" w:space="0" w:color="auto"/>
              <w:left w:val="single" w:sz="6" w:space="0" w:color="auto"/>
              <w:bottom w:val="single" w:sz="6" w:space="0" w:color="auto"/>
              <w:right w:val="single" w:sz="6" w:space="0" w:color="auto"/>
            </w:tcBorders>
            <w:shd w:val="clear" w:color="auto" w:fill="auto"/>
            <w:hideMark/>
          </w:tcPr>
          <w:p w14:paraId="233AB0FD"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Percentage of countries reporting latest year</w:t>
            </w:r>
            <w:r w:rsidRPr="008917DD">
              <w:rPr>
                <w:rStyle w:val="eop"/>
                <w:rFonts w:asciiTheme="majorBidi" w:eastAsiaTheme="majorEastAsia" w:hAnsiTheme="majorBidi" w:cstheme="majorBidi"/>
                <w:color w:val="4A4A4A"/>
                <w:sz w:val="18"/>
                <w:szCs w:val="18"/>
              </w:rPr>
              <w:t> </w:t>
            </w:r>
          </w:p>
        </w:tc>
      </w:tr>
      <w:tr w:rsidR="00A31362" w:rsidRPr="00ED7E61" w14:paraId="16DC46CB" w14:textId="77777777" w:rsidTr="00756F0F">
        <w:trPr>
          <w:trHeight w:val="274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DFBD330" w14:textId="77777777" w:rsidR="00756F0F" w:rsidRPr="008917DD" w:rsidRDefault="00756F0F" w:rsidP="008917DD">
            <w:pPr>
              <w:rPr>
                <w:rFonts w:asciiTheme="majorBidi" w:hAnsiTheme="majorBidi" w:cstheme="majorBidi"/>
                <w:sz w:val="18"/>
                <w:szCs w:val="18"/>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E1AB3C" w14:textId="77777777" w:rsidR="00756F0F" w:rsidRPr="008917DD" w:rsidRDefault="00756F0F" w:rsidP="008917DD">
            <w:pPr>
              <w:rPr>
                <w:rFonts w:asciiTheme="majorBidi" w:hAnsiTheme="majorBidi" w:cstheme="majorBidi"/>
                <w:sz w:val="18"/>
                <w:szCs w:val="18"/>
              </w:rPr>
            </w:pP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C72EB9E"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Annual forest area change rate </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FC60FE5"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Above-ground biomass in forest </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C5CBC00"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Proportion of forest area within legally established protected areas </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CA536DA"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Proportion of forest area under a long-term management plan </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935FD6D"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Forest area under an independently verified forest management certification scheme</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747E2DC"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Annual forest area change rate</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BD70ED4"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Above-ground biomass in forest </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460AD10"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Proportion of forest area within legally established protected areas </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BDC14AF"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Proportion of forest area under a long-term management plan </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5123732" w14:textId="77777777" w:rsidR="00756F0F" w:rsidRPr="008917DD" w:rsidRDefault="00756F0F" w:rsidP="008917DD">
            <w:pPr>
              <w:pStyle w:val="paragraph"/>
              <w:spacing w:before="0" w:beforeAutospacing="0" w:after="0" w:afterAutospacing="0"/>
              <w:ind w:left="105"/>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Forest area under an independently verified forest management certification scheme</w:t>
            </w:r>
            <w:r w:rsidRPr="008917DD">
              <w:rPr>
                <w:rStyle w:val="eop"/>
                <w:rFonts w:asciiTheme="majorBidi" w:eastAsiaTheme="majorEastAsia" w:hAnsiTheme="majorBidi" w:cstheme="majorBidi"/>
                <w:color w:val="4A4A4A"/>
                <w:sz w:val="18"/>
                <w:szCs w:val="18"/>
              </w:rPr>
              <w:t> </w:t>
            </w:r>
          </w:p>
        </w:tc>
      </w:tr>
      <w:tr w:rsidR="00A31362" w:rsidRPr="00ED7E61" w14:paraId="06A5920A"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B94941E"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World</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E03097B"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236</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58F9192"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236</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FD0585F"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205</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6DAEF2E"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162</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8169A2A"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128</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6253106"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236</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BD67F15"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100%</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ED6228B"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87%</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7F80723"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69%</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1369EFB"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54%</w:t>
            </w:r>
            <w:r w:rsidRPr="008917DD">
              <w:rPr>
                <w:rStyle w:val="eop"/>
                <w:rFonts w:asciiTheme="majorBidi" w:eastAsiaTheme="majorEastAsia" w:hAnsiTheme="majorBidi" w:cstheme="majorBidi"/>
                <w:color w:val="4A4A4A"/>
                <w:sz w:val="18"/>
                <w:szCs w:val="18"/>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77DF827" w14:textId="77777777" w:rsidR="00756F0F" w:rsidRPr="008917DD" w:rsidRDefault="00756F0F" w:rsidP="008917DD">
            <w:pPr>
              <w:pStyle w:val="paragraph"/>
              <w:spacing w:before="0" w:beforeAutospacing="0" w:after="0" w:afterAutospacing="0"/>
              <w:textAlignment w:val="baseline"/>
              <w:rPr>
                <w:rFonts w:asciiTheme="majorBidi" w:hAnsiTheme="majorBidi" w:cstheme="majorBidi"/>
                <w:sz w:val="18"/>
                <w:szCs w:val="18"/>
              </w:rPr>
            </w:pPr>
            <w:r w:rsidRPr="008917DD">
              <w:rPr>
                <w:rStyle w:val="normaltextrun"/>
                <w:rFonts w:asciiTheme="majorBidi" w:eastAsiaTheme="majorEastAsia" w:hAnsiTheme="majorBidi" w:cstheme="majorBidi"/>
                <w:color w:val="4A4A4A"/>
                <w:sz w:val="18"/>
                <w:szCs w:val="18"/>
                <w:lang w:val="en-GB"/>
              </w:rPr>
              <w:t>100%</w:t>
            </w:r>
            <w:r w:rsidRPr="008917DD">
              <w:rPr>
                <w:rStyle w:val="eop"/>
                <w:rFonts w:asciiTheme="majorBidi" w:eastAsiaTheme="majorEastAsia" w:hAnsiTheme="majorBidi" w:cstheme="majorBidi"/>
                <w:color w:val="4A4A4A"/>
                <w:sz w:val="18"/>
                <w:szCs w:val="18"/>
              </w:rPr>
              <w:t> </w:t>
            </w:r>
          </w:p>
        </w:tc>
      </w:tr>
      <w:tr w:rsidR="00A31362" w:rsidRPr="00ED7E61" w14:paraId="58DA670B"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8E0410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Central and Southern Asia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E2AA61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533B62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BE097C4"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22B15B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9EBF8D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CB5821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A4D1C4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B429ACC"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539572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3D070B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E81139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30CDBC98"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DAFF83F" w14:textId="77777777" w:rsidR="00756F0F" w:rsidRPr="008917DD" w:rsidRDefault="00756F0F" w:rsidP="00A31362">
            <w:pPr>
              <w:pStyle w:val="paragraph"/>
              <w:spacing w:before="0" w:beforeAutospacing="0" w:after="0" w:afterAutospacing="0"/>
              <w:textAlignment w:val="baseline"/>
              <w:rPr>
                <w:sz w:val="16"/>
                <w:szCs w:val="16"/>
              </w:rPr>
            </w:pPr>
            <w:r w:rsidRPr="008917DD">
              <w:rPr>
                <w:rStyle w:val="normaltextrun"/>
                <w:rFonts w:eastAsiaTheme="majorEastAsia"/>
                <w:i/>
                <w:iCs/>
                <w:color w:val="4A4A4A"/>
                <w:sz w:val="16"/>
                <w:szCs w:val="16"/>
                <w:lang w:val="en-GB"/>
              </w:rPr>
              <w:t>Central Asia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2D36E4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439F754"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ED21614"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CA5B87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CA24D6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97F32C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FCC643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F2CB2D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0D5084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7AAFAB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560E21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4EE0842A"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FC8F287" w14:textId="77777777" w:rsidR="00756F0F" w:rsidRPr="008917DD" w:rsidRDefault="00756F0F" w:rsidP="00A31362">
            <w:pPr>
              <w:pStyle w:val="paragraph"/>
              <w:spacing w:before="0" w:beforeAutospacing="0" w:after="0" w:afterAutospacing="0"/>
              <w:textAlignment w:val="baseline"/>
              <w:rPr>
                <w:sz w:val="16"/>
                <w:szCs w:val="16"/>
              </w:rPr>
            </w:pPr>
            <w:r w:rsidRPr="008917DD">
              <w:rPr>
                <w:rStyle w:val="normaltextrun"/>
                <w:rFonts w:eastAsiaTheme="majorEastAsia"/>
                <w:i/>
                <w:iCs/>
                <w:color w:val="4A4A4A"/>
                <w:sz w:val="16"/>
                <w:szCs w:val="16"/>
                <w:lang w:val="en-GB"/>
              </w:rPr>
              <w:t>Southern Asia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B0D00A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CDFF2A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66D73B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FFC4AF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CD463E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B0A93E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FD7E03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7C1E19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3F94E5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E3FB85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D91010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6292E80B"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63B225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Eastern and South-Eastern Asia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5A035D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E3E970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235CA0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494557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11</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9A0B2A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4F21EA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790090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BB60E5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2518C3A"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D7D7EB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273E13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7C0F4FB1"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8DCE6B5" w14:textId="77777777" w:rsidR="00756F0F" w:rsidRPr="008917DD" w:rsidRDefault="00756F0F" w:rsidP="00A31362">
            <w:pPr>
              <w:pStyle w:val="paragraph"/>
              <w:spacing w:before="0" w:beforeAutospacing="0" w:after="0" w:afterAutospacing="0"/>
              <w:textAlignment w:val="baseline"/>
              <w:rPr>
                <w:sz w:val="16"/>
                <w:szCs w:val="16"/>
              </w:rPr>
            </w:pPr>
            <w:r w:rsidRPr="008917DD">
              <w:rPr>
                <w:rStyle w:val="normaltextrun"/>
                <w:rFonts w:eastAsiaTheme="majorEastAsia"/>
                <w:i/>
                <w:iCs/>
                <w:color w:val="4A4A4A"/>
                <w:sz w:val="16"/>
                <w:szCs w:val="16"/>
                <w:lang w:val="en-GB"/>
              </w:rPr>
              <w:t>Eastern Asia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D8B792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AB2DCDA"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ACF665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1952A7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289CBA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B568BA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2385DA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76CF32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9B82CA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996D41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A528D9A"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20C5A8E4"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2713814" w14:textId="77777777" w:rsidR="00756F0F" w:rsidRPr="008917DD" w:rsidRDefault="00756F0F" w:rsidP="00A31362">
            <w:pPr>
              <w:pStyle w:val="paragraph"/>
              <w:spacing w:before="0" w:beforeAutospacing="0" w:after="0" w:afterAutospacing="0"/>
              <w:textAlignment w:val="baseline"/>
              <w:rPr>
                <w:sz w:val="16"/>
                <w:szCs w:val="16"/>
              </w:rPr>
            </w:pPr>
            <w:r w:rsidRPr="008917DD">
              <w:rPr>
                <w:rStyle w:val="normaltextrun"/>
                <w:rFonts w:eastAsiaTheme="majorEastAsia"/>
                <w:i/>
                <w:iCs/>
                <w:color w:val="4A4A4A"/>
                <w:sz w:val="16"/>
                <w:szCs w:val="16"/>
                <w:lang w:val="en-GB"/>
              </w:rPr>
              <w:t>South-Eastern Asia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C813DF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11</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534145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11</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9FC0F3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11</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5E075C4"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F12B04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B025A7A"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11</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455F8B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133BB8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8AE209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B24B53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A49EAE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76CEB7AC"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9ECE7C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Northern Africa and Western Asia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0858D6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E8F3BE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7FAEF4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21</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0B969A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416173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E86392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E4B7DA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11FA25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5A3D26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8CC6BD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55346C4"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123CA458"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36945F4" w14:textId="77777777" w:rsidR="00756F0F" w:rsidRPr="008917DD" w:rsidRDefault="00756F0F" w:rsidP="00A31362">
            <w:pPr>
              <w:pStyle w:val="paragraph"/>
              <w:spacing w:before="0" w:beforeAutospacing="0" w:after="0" w:afterAutospacing="0"/>
              <w:textAlignment w:val="baseline"/>
              <w:rPr>
                <w:sz w:val="16"/>
                <w:szCs w:val="16"/>
              </w:rPr>
            </w:pPr>
            <w:r w:rsidRPr="008917DD">
              <w:rPr>
                <w:rStyle w:val="normaltextrun"/>
                <w:rFonts w:eastAsiaTheme="majorEastAsia"/>
                <w:i/>
                <w:iCs/>
                <w:color w:val="4A4A4A"/>
                <w:sz w:val="16"/>
                <w:szCs w:val="16"/>
                <w:lang w:val="en-GB"/>
              </w:rPr>
              <w:t>Northern Africa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8ADA73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8F5A3E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29DBF7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8C71D4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9BC3AE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52BF27A"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2020E4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3E9CEF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BB4F30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7DB461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21C498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32FFBDD4"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B798C94" w14:textId="77777777" w:rsidR="00756F0F" w:rsidRPr="008917DD" w:rsidRDefault="00756F0F" w:rsidP="00A31362">
            <w:pPr>
              <w:pStyle w:val="paragraph"/>
              <w:spacing w:before="0" w:beforeAutospacing="0" w:after="0" w:afterAutospacing="0"/>
              <w:textAlignment w:val="baseline"/>
              <w:rPr>
                <w:sz w:val="16"/>
                <w:szCs w:val="16"/>
              </w:rPr>
            </w:pPr>
            <w:r w:rsidRPr="008917DD">
              <w:rPr>
                <w:rStyle w:val="normaltextrun"/>
                <w:rFonts w:eastAsiaTheme="majorEastAsia"/>
                <w:i/>
                <w:iCs/>
                <w:color w:val="4A4A4A"/>
                <w:sz w:val="16"/>
                <w:szCs w:val="16"/>
                <w:lang w:val="en-GB"/>
              </w:rPr>
              <w:t>Western Asia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112D49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A739CD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054F67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67F1D1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58B3B7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9743A3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AEA13A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100555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4D5DD1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B8EAA7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B2DB18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5C246CC6"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82237E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Sub-Saharan Africa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3C729C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51</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A9A8C1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51</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5FDFFB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C46E3E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6A1A3A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2111BB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51</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561C6B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3128A3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94%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94D517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63C561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3BFB23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0C7BF679"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C6DD9B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Europe and Northern America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D474AD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30F7EB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47CED14"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79FCD6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89746D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E85E4A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1A18AC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D5598E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7D8DBD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576D13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A44624C"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3B77F897"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AAB32E9" w14:textId="77777777" w:rsidR="00756F0F" w:rsidRPr="008917DD" w:rsidRDefault="00756F0F" w:rsidP="00A31362">
            <w:pPr>
              <w:pStyle w:val="paragraph"/>
              <w:spacing w:before="0" w:beforeAutospacing="0" w:after="0" w:afterAutospacing="0"/>
              <w:textAlignment w:val="baseline"/>
              <w:rPr>
                <w:sz w:val="16"/>
                <w:szCs w:val="16"/>
              </w:rPr>
            </w:pPr>
            <w:r w:rsidRPr="008917DD">
              <w:rPr>
                <w:rStyle w:val="normaltextrun"/>
                <w:rFonts w:eastAsiaTheme="majorEastAsia"/>
                <w:i/>
                <w:iCs/>
                <w:color w:val="4A4A4A"/>
                <w:sz w:val="16"/>
                <w:szCs w:val="16"/>
                <w:lang w:val="en-GB"/>
              </w:rPr>
              <w:t>Europe</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4CCDBE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21CFCC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D1AC35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6C511B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146426C"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F6EFD0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FECEC0C"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F287CA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F42C28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F2E515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EF2962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72961F0C"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4889432" w14:textId="77777777" w:rsidR="00756F0F" w:rsidRPr="008917DD" w:rsidRDefault="00756F0F" w:rsidP="00A31362">
            <w:pPr>
              <w:pStyle w:val="paragraph"/>
              <w:spacing w:before="0" w:beforeAutospacing="0" w:after="0" w:afterAutospacing="0"/>
              <w:textAlignment w:val="baseline"/>
              <w:rPr>
                <w:sz w:val="16"/>
                <w:szCs w:val="16"/>
              </w:rPr>
            </w:pPr>
            <w:r w:rsidRPr="008917DD">
              <w:rPr>
                <w:rStyle w:val="normaltextrun"/>
                <w:rFonts w:eastAsiaTheme="majorEastAsia"/>
                <w:i/>
                <w:iCs/>
                <w:color w:val="4A4A4A"/>
                <w:sz w:val="16"/>
                <w:szCs w:val="16"/>
                <w:lang w:val="en-GB"/>
              </w:rPr>
              <w:t>Northern America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6AA05C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3AB6A7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21F6D2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AAA836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A7FB5EC"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072FEB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6A2A67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8D92A5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E399F1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399601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E09372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6F2A3C4D"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431F2A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Latin America and the Caribbean</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B364AFC"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CE74B0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035850A"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03D870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37212C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A4814A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A4DC7E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4FBA6D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53C547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74%</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681CC5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C8A429C"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245919D0"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25849D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Oceania</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014838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E05EEF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4AE34C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A2C94F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B5B57D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A45AEF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25</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E562E1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B332BE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52921CC"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602954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C26B776"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1AC67921"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940026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i/>
                <w:iCs/>
                <w:color w:val="4A4A4A"/>
                <w:sz w:val="16"/>
                <w:szCs w:val="16"/>
                <w:lang w:val="en-GB"/>
              </w:rPr>
              <w:t>Oceania (exc. Australia and New Zealand)</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7A9DC7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A7BF5B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08EF6C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79EF794"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88CD23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D686B1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9E0D0D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0B84AC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91A88F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A064F0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F13198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0DD6390F"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B21A5DA"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i/>
                <w:iCs/>
                <w:color w:val="4A4A4A"/>
                <w:sz w:val="16"/>
                <w:szCs w:val="16"/>
                <w:lang w:val="en-GB"/>
              </w:rPr>
              <w:t>Australia and New Zealand</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4E4853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DD88EB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7E6D6B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DC92AF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98112F4"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7C0E55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E2B3E7B"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C08C28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71BD10C"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12F739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471D3C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357D2A96"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E57BE0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Landlocked developing countries (LLDCs)</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721FA9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D9864C7"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A5EF6EA"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83359E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50DE105"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07E4354"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6E99E1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B61E6F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88%</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5E75892"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69%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373D98C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11BE06A"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13A2B918"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DD77B6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Least Developed Countries (LDCs)</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EA71AFA"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BC2D7D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CE01A9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5C69F75D"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36</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8438E1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2ADEF81"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5C9ECB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E8B4C4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89%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0FA0CD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3CAA3A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FF48BC3"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r w:rsidR="00A31362" w:rsidRPr="00ED7E61" w14:paraId="26FE7425" w14:textId="77777777" w:rsidTr="00756F0F">
        <w:trPr>
          <w:trHeight w:val="10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4A38DE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Small island developing States (SIDS)</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188D6D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29A7388C"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F31142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42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8DDCB1E"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27</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FC6204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12</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ED13098"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0A41E0C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C5A1169"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79%</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465AA31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51%</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1E2E8650"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23%</w:t>
            </w:r>
            <w:r w:rsidRPr="008917DD">
              <w:rPr>
                <w:rStyle w:val="eop"/>
                <w:rFonts w:eastAsiaTheme="majorEastAsia"/>
                <w:color w:val="4A4A4A"/>
                <w:sz w:val="16"/>
                <w:szCs w:val="16"/>
              </w:rPr>
              <w:t>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79E37B4F" w14:textId="77777777" w:rsidR="00756F0F" w:rsidRPr="008917DD" w:rsidRDefault="00756F0F" w:rsidP="008917DD">
            <w:pPr>
              <w:pStyle w:val="paragraph"/>
              <w:spacing w:before="0" w:beforeAutospacing="0" w:after="0" w:afterAutospacing="0"/>
              <w:textAlignment w:val="baseline"/>
              <w:rPr>
                <w:sz w:val="16"/>
                <w:szCs w:val="16"/>
              </w:rPr>
            </w:pPr>
            <w:r w:rsidRPr="008917DD">
              <w:rPr>
                <w:rStyle w:val="normaltextrun"/>
                <w:rFonts w:eastAsiaTheme="majorEastAsia"/>
                <w:color w:val="4A4A4A"/>
                <w:sz w:val="16"/>
                <w:szCs w:val="16"/>
                <w:lang w:val="en-GB"/>
              </w:rPr>
              <w:t>100%</w:t>
            </w:r>
            <w:r w:rsidRPr="008917DD">
              <w:rPr>
                <w:rStyle w:val="eop"/>
                <w:rFonts w:eastAsiaTheme="majorEastAsia"/>
                <w:color w:val="4A4A4A"/>
                <w:sz w:val="16"/>
                <w:szCs w:val="16"/>
              </w:rPr>
              <w:t> </w:t>
            </w:r>
          </w:p>
        </w:tc>
      </w:tr>
    </w:tbl>
    <w:p w14:paraId="0ABA7F6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FB5F1E7"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sub-indicators 1 to 4.</w:t>
      </w:r>
      <w:r w:rsidRPr="00ED7E61">
        <w:rPr>
          <w:rStyle w:val="normaltextrun"/>
        </w:rPr>
        <w:t> </w:t>
      </w:r>
    </w:p>
    <w:p w14:paraId="720DE4D6" w14:textId="77777777" w:rsidR="00756F0F" w:rsidRPr="00ED7E61" w:rsidRDefault="00756F0F" w:rsidP="001C6EE2">
      <w:pPr>
        <w:pStyle w:val="paragraph"/>
        <w:numPr>
          <w:ilvl w:val="0"/>
          <w:numId w:val="2"/>
        </w:numPr>
        <w:spacing w:before="0" w:beforeAutospacing="0" w:after="0" w:afterAutospacing="0"/>
        <w:ind w:left="1080" w:firstLine="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lang w:val="en-GB"/>
        </w:rPr>
        <w:t>2000, 2010, 2015, 2016, 2017, 2018, 2019, 2020</w:t>
      </w:r>
      <w:r w:rsidRPr="00ED7E61">
        <w:rPr>
          <w:rStyle w:val="eop"/>
          <w:rFonts w:asciiTheme="majorBidi" w:eastAsiaTheme="majorEastAsia" w:hAnsiTheme="majorBidi" w:cstheme="majorBidi"/>
          <w:color w:val="242424"/>
          <w:sz w:val="22"/>
          <w:szCs w:val="22"/>
        </w:rPr>
        <w:t> </w:t>
      </w:r>
    </w:p>
    <w:p w14:paraId="1A10CF3E"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for sub-indicator 5.</w:t>
      </w:r>
      <w:r w:rsidRPr="00ED7E61">
        <w:rPr>
          <w:rStyle w:val="normaltextrun"/>
        </w:rPr>
        <w:t> </w:t>
      </w:r>
    </w:p>
    <w:p w14:paraId="11EB4DC6" w14:textId="77777777" w:rsidR="00756F0F" w:rsidRPr="00ED7E61" w:rsidRDefault="00756F0F" w:rsidP="001C6EE2">
      <w:pPr>
        <w:pStyle w:val="paragraph"/>
        <w:numPr>
          <w:ilvl w:val="0"/>
          <w:numId w:val="3"/>
        </w:numPr>
        <w:spacing w:before="0" w:beforeAutospacing="0" w:after="0" w:afterAutospacing="0"/>
        <w:ind w:left="1080" w:firstLine="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lang w:val="en-GB"/>
        </w:rPr>
        <w:t>2000, 2010, 2015, and every year since</w:t>
      </w:r>
      <w:r w:rsidRPr="00ED7E61">
        <w:rPr>
          <w:rStyle w:val="eop"/>
          <w:rFonts w:asciiTheme="majorBidi" w:eastAsiaTheme="majorEastAsia" w:hAnsiTheme="majorBidi" w:cstheme="majorBidi"/>
          <w:color w:val="242424"/>
          <w:sz w:val="22"/>
          <w:szCs w:val="22"/>
        </w:rPr>
        <w:t> </w:t>
      </w:r>
    </w:p>
    <w:p w14:paraId="0B136D0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0349DBE4"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sub-indicators 1 to 4 </w:t>
      </w:r>
      <w:r w:rsidRPr="00ED7E61">
        <w:rPr>
          <w:rStyle w:val="normaltextrun"/>
        </w:rPr>
        <w:t> </w:t>
      </w:r>
    </w:p>
    <w:p w14:paraId="43857E76"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provided by the countries through a global network of officially nominated national correspondents. For the countries and territories which do not have a national correspondent, a report is prepared by FAO using previously reported information, literature search, remote sensing or their combination.</w:t>
      </w:r>
      <w:r w:rsidRPr="00ED7E61">
        <w:rPr>
          <w:rStyle w:val="normaltextrun"/>
        </w:rPr>
        <w:t> </w:t>
      </w:r>
    </w:p>
    <w:p w14:paraId="73515D64"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sub-indicator 5, </w:t>
      </w:r>
      <w:r w:rsidRPr="00ED7E61">
        <w:rPr>
          <w:rStyle w:val="normaltextrun"/>
        </w:rPr>
        <w:t> </w:t>
      </w:r>
    </w:p>
    <w:p w14:paraId="1378C515"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forest certification scheme, data are provided by head offices of respective forest certification scheme.</w:t>
      </w:r>
      <w:r w:rsidRPr="00ED7E61">
        <w:rPr>
          <w:rStyle w:val="normaltextrun"/>
        </w:rPr>
        <w:t> </w:t>
      </w:r>
    </w:p>
    <w:p w14:paraId="1B2D84EE"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5i. Data compilers</w:t>
      </w:r>
      <w:r w:rsidRPr="00ED7E61">
        <w:rPr>
          <w:rStyle w:val="normaltextrun"/>
          <w:color w:val="242424"/>
        </w:rPr>
        <w:t> </w:t>
      </w:r>
    </w:p>
    <w:p w14:paraId="3C51712F"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Food and Agriculture Organization of the United Nations (FAO)</w:t>
      </w:r>
      <w:r w:rsidRPr="00ED7E61">
        <w:rPr>
          <w:rStyle w:val="normaltextrun"/>
        </w:rPr>
        <w:t> </w:t>
      </w:r>
    </w:p>
    <w:p w14:paraId="1B6FDFE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2DEE8EB8"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The geographical coverage of each sub-indicators is provided by region in the above table.</w:t>
      </w:r>
      <w:r w:rsidRPr="00ED7E61">
        <w:rPr>
          <w:rStyle w:val="eop"/>
          <w:rFonts w:asciiTheme="majorBidi" w:eastAsiaTheme="majorEastAsia" w:hAnsiTheme="majorBidi" w:cstheme="majorBidi"/>
          <w:color w:val="242424"/>
        </w:rPr>
        <w:t> </w:t>
      </w:r>
    </w:p>
    <w:p w14:paraId="33E5F9D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5k. Treatment of missing values</w:t>
      </w:r>
      <w:r w:rsidRPr="00ED7E61">
        <w:rPr>
          <w:rStyle w:val="eop"/>
          <w:rFonts w:asciiTheme="majorBidi" w:eastAsiaTheme="majorEastAsia" w:hAnsiTheme="majorBidi" w:cstheme="majorBidi"/>
          <w:sz w:val="22"/>
          <w:szCs w:val="22"/>
        </w:rPr>
        <w:t> </w:t>
      </w:r>
    </w:p>
    <w:p w14:paraId="18AE9482" w14:textId="19744588"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At country level</w:t>
      </w:r>
      <w:r w:rsidR="006A112D">
        <w:rPr>
          <w:rStyle w:val="normaltextrun"/>
        </w:rPr>
        <w:t>:</w:t>
      </w:r>
    </w:p>
    <w:p w14:paraId="7C840C2D" w14:textId="77777777" w:rsidR="00756F0F" w:rsidRPr="00ED7E61" w:rsidRDefault="00756F0F" w:rsidP="006A112D">
      <w:pPr>
        <w:pStyle w:val="CBDNormalNumber"/>
        <w:numPr>
          <w:ilvl w:val="0"/>
          <w:numId w:val="0"/>
        </w:numPr>
        <w:tabs>
          <w:tab w:val="clear" w:pos="567"/>
          <w:tab w:val="clear" w:pos="1134"/>
          <w:tab w:val="clear" w:pos="1701"/>
          <w:tab w:val="clear" w:pos="2268"/>
          <w:tab w:val="left" w:pos="1985"/>
        </w:tabs>
        <w:ind w:left="1332"/>
        <w:rPr>
          <w:rStyle w:val="normaltextrun"/>
          <w:rFonts w:eastAsiaTheme="majorEastAsia"/>
          <w:color w:val="242424"/>
        </w:rPr>
      </w:pPr>
      <w:r w:rsidRPr="00ED7E61">
        <w:rPr>
          <w:rStyle w:val="normaltextrun"/>
          <w:rFonts w:asciiTheme="majorBidi" w:eastAsiaTheme="majorEastAsia" w:hAnsiTheme="majorBidi" w:cstheme="majorBidi"/>
          <w:color w:val="242424"/>
        </w:rPr>
        <w:t>For countries and territories where no information was provided to FAO for FRA 2020 (47 countries and territories representing 0.5 percent of the global forest area), a report was prepared by FAO using existing information from previous assessments, literature search, remote sensing or a combination of two or more of them.</w:t>
      </w:r>
      <w:r w:rsidRPr="00ED7E61">
        <w:rPr>
          <w:rStyle w:val="normaltextrun"/>
        </w:rPr>
        <w:t> </w:t>
      </w:r>
    </w:p>
    <w:p w14:paraId="70D40917"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For the above-ground biomass sub-indicator, imputation of the missing values has been carried out by FAO for those countries with at least one data point in the time series. The value of the data point closest in time was used as imputed value. For those countries where no value was reported for any of the reporting years, no imputation was done and the values for all years were set as “</w:t>
      </w:r>
      <w:r w:rsidRPr="00FB1598">
        <w:rPr>
          <w:rStyle w:val="normaltextrun"/>
          <w:rFonts w:asciiTheme="majorBidi" w:eastAsiaTheme="majorEastAsia" w:hAnsiTheme="majorBidi" w:cstheme="majorBidi"/>
          <w:i/>
          <w:iCs/>
          <w:color w:val="242424"/>
        </w:rPr>
        <w:t>Not Available</w:t>
      </w:r>
      <w:r w:rsidRPr="00ED7E61">
        <w:rPr>
          <w:rStyle w:val="normaltextrun"/>
          <w:rFonts w:asciiTheme="majorBidi" w:eastAsiaTheme="majorEastAsia" w:hAnsiTheme="majorBidi" w:cstheme="majorBidi"/>
          <w:color w:val="242424"/>
        </w:rPr>
        <w:t>”.</w:t>
      </w:r>
      <w:r w:rsidRPr="00ED7E61">
        <w:rPr>
          <w:rStyle w:val="eop"/>
          <w:rFonts w:asciiTheme="majorBidi" w:eastAsiaTheme="majorEastAsia" w:hAnsiTheme="majorBidi" w:cstheme="majorBidi"/>
          <w:color w:val="242424"/>
        </w:rPr>
        <w:t> </w:t>
      </w:r>
    </w:p>
    <w:p w14:paraId="116DA32E" w14:textId="2D941EB5"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At regional and global levels</w:t>
      </w:r>
      <w:r w:rsidR="006A112D">
        <w:rPr>
          <w:rStyle w:val="eop"/>
          <w:rFonts w:asciiTheme="majorBidi" w:eastAsiaTheme="majorEastAsia" w:hAnsiTheme="majorBidi" w:cstheme="majorBidi"/>
          <w:color w:val="242424"/>
        </w:rPr>
        <w:t>:</w:t>
      </w:r>
    </w:p>
    <w:p w14:paraId="3619DDE0" w14:textId="77777777" w:rsidR="00756F0F" w:rsidRPr="00ED7E61" w:rsidRDefault="00756F0F" w:rsidP="006A112D">
      <w:pPr>
        <w:pStyle w:val="CBDNormalNumber"/>
        <w:numPr>
          <w:ilvl w:val="0"/>
          <w:numId w:val="0"/>
        </w:numPr>
        <w:tabs>
          <w:tab w:val="clear" w:pos="567"/>
          <w:tab w:val="clear" w:pos="1134"/>
          <w:tab w:val="clear" w:pos="1701"/>
          <w:tab w:val="clear" w:pos="2268"/>
          <w:tab w:val="left" w:pos="1985"/>
        </w:tabs>
        <w:ind w:left="1332"/>
        <w:rPr>
          <w:rStyle w:val="normaltextrun"/>
          <w:rFonts w:eastAsiaTheme="majorEastAsia"/>
          <w:color w:val="242424"/>
        </w:rPr>
      </w:pPr>
      <w:r w:rsidRPr="00ED7E61">
        <w:rPr>
          <w:rStyle w:val="normaltextrun"/>
          <w:rFonts w:asciiTheme="majorBidi" w:eastAsiaTheme="majorEastAsia" w:hAnsiTheme="majorBidi" w:cstheme="majorBidi"/>
          <w:color w:val="242424"/>
        </w:rPr>
        <w:t>For those sub-indicators where there are gaps in the data set, only the countries with complete data for the relevant years (either provided by the countries or estimated by FAO) are included in the regional and global aggregates.</w:t>
      </w:r>
      <w:r w:rsidRPr="00ED7E61">
        <w:rPr>
          <w:rStyle w:val="normaltextrun"/>
        </w:rPr>
        <w:t> </w:t>
      </w:r>
    </w:p>
    <w:p w14:paraId="19619CC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 Scale</w:t>
      </w:r>
      <w:r w:rsidRPr="00ED7E61">
        <w:rPr>
          <w:rStyle w:val="normaltextrun"/>
          <w:rFonts w:asciiTheme="majorBidi" w:eastAsiaTheme="majorEastAsia" w:hAnsiTheme="majorBidi" w:cstheme="majorBidi"/>
          <w:sz w:val="22"/>
          <w:szCs w:val="22"/>
        </w:rPr>
        <w:t> </w:t>
      </w:r>
      <w:r w:rsidRPr="00ED7E61">
        <w:rPr>
          <w:rStyle w:val="eop"/>
          <w:rFonts w:asciiTheme="majorBidi" w:eastAsiaTheme="majorEastAsia" w:hAnsiTheme="majorBidi" w:cstheme="majorBidi"/>
          <w:sz w:val="22"/>
          <w:szCs w:val="22"/>
        </w:rPr>
        <w:t> </w:t>
      </w:r>
    </w:p>
    <w:p w14:paraId="50C7BC21" w14:textId="77777777" w:rsidR="00756F0F" w:rsidRPr="00ED7E61" w:rsidRDefault="00756F0F" w:rsidP="006A112D">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6a. Scale of use </w:t>
      </w:r>
      <w:r w:rsidRPr="00ED7E61">
        <w:rPr>
          <w:rStyle w:val="eop"/>
          <w:rFonts w:asciiTheme="majorBidi" w:eastAsiaTheme="majorEastAsia" w:hAnsiTheme="majorBidi" w:cstheme="majorBidi"/>
          <w:sz w:val="22"/>
          <w:szCs w:val="22"/>
        </w:rPr>
        <w:t> </w:t>
      </w:r>
    </w:p>
    <w:p w14:paraId="19892F48" w14:textId="77777777" w:rsidR="00756F0F" w:rsidRPr="00ED7E61" w:rsidRDefault="00756F0F" w:rsidP="006A112D">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application (please check all relevant boxes):</w:t>
      </w:r>
      <w:r w:rsidRPr="00ED7E61">
        <w:rPr>
          <w:rStyle w:val="eop"/>
          <w:rFonts w:asciiTheme="majorBidi" w:eastAsiaTheme="majorEastAsia" w:hAnsiTheme="majorBidi" w:cstheme="majorBidi"/>
          <w:sz w:val="22"/>
          <w:szCs w:val="22"/>
        </w:rPr>
        <w:t> </w:t>
      </w:r>
    </w:p>
    <w:p w14:paraId="3EE7A935" w14:textId="77777777" w:rsidR="00756F0F" w:rsidRPr="00ED7E61" w:rsidRDefault="00756F0F" w:rsidP="006A112D">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 </w:t>
      </w: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National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58533E1A"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Scale of data disaggregation/aggregation: </w:t>
      </w:r>
      <w:r w:rsidRPr="00ED7E61">
        <w:rPr>
          <w:rStyle w:val="normaltextrun"/>
          <w:color w:val="242424"/>
        </w:rPr>
        <w:t> </w:t>
      </w:r>
    </w:p>
    <w:p w14:paraId="0C826236"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 xml:space="preserve">Global/ regional scale indicator can be disaggregated to national level: </w:t>
      </w:r>
      <w:r w:rsidRPr="00ED7E61">
        <w:rPr>
          <w:rStyle w:val="normaltextrun"/>
          <w:rFonts w:eastAsiaTheme="majorEastAsia"/>
          <w:color w:val="242424"/>
        </w:rPr>
        <w:t>​</w:t>
      </w:r>
      <w:r w:rsidRPr="00ED7E61">
        <w:rPr>
          <w:rStyle w:val="normaltextrun"/>
          <w:rFonts w:ascii="Segoe UI Symbol" w:eastAsiaTheme="majorEastAsia" w:hAnsi="Segoe UI Symbol" w:cs="Segoe UI Symbol"/>
          <w:color w:val="242424"/>
        </w:rPr>
        <w:t>☐</w:t>
      </w:r>
      <w:r w:rsidRPr="00ED7E61">
        <w:rPr>
          <w:rStyle w:val="normaltextrun"/>
          <w:rFonts w:eastAsiaTheme="majorEastAsia"/>
          <w:color w:val="242424"/>
        </w:rPr>
        <w:t>​</w:t>
      </w:r>
      <w:r w:rsidRPr="00ED7E61">
        <w:rPr>
          <w:rStyle w:val="normaltextrun"/>
          <w:color w:val="242424"/>
        </w:rPr>
        <w:t> </w:t>
      </w:r>
    </w:p>
    <w:p w14:paraId="00FE6147" w14:textId="77777777" w:rsidR="00756F0F" w:rsidRPr="00ED7E61" w:rsidRDefault="00756F0F" w:rsidP="00B10F0C">
      <w:pPr>
        <w:pStyle w:val="CBDNormalNumber"/>
        <w:numPr>
          <w:ilvl w:val="1"/>
          <w:numId w:val="84"/>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 xml:space="preserve">National data is collated to form global indicator: </w:t>
      </w:r>
      <w:r w:rsidRPr="00ED7E61">
        <w:rPr>
          <w:rStyle w:val="normaltextrun"/>
          <w:rFonts w:eastAsiaTheme="majorEastAsia"/>
          <w:color w:val="242424"/>
        </w:rPr>
        <w:t>​</w:t>
      </w:r>
      <w:r w:rsidRPr="00ED7E61">
        <w:rPr>
          <w:rStyle w:val="normaltextrun"/>
          <w:rFonts w:ascii="Segoe UI Symbol" w:eastAsiaTheme="majorEastAsia" w:hAnsi="Segoe UI Symbol" w:cs="Segoe UI Symbol"/>
          <w:color w:val="242424"/>
        </w:rPr>
        <w:t>☒</w:t>
      </w:r>
      <w:r w:rsidRPr="00ED7E61">
        <w:rPr>
          <w:rStyle w:val="normaltextrun"/>
          <w:rFonts w:eastAsiaTheme="majorEastAsia"/>
          <w:color w:val="242424"/>
        </w:rPr>
        <w:t>​</w:t>
      </w:r>
      <w:r w:rsidRPr="00ED7E61">
        <w:rPr>
          <w:rStyle w:val="normaltextrun"/>
          <w:color w:val="242424"/>
        </w:rPr>
        <w:t> </w:t>
      </w:r>
    </w:p>
    <w:p w14:paraId="39E681F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6b. </w:t>
      </w:r>
      <w:r w:rsidRPr="00ED7E61">
        <w:rPr>
          <w:rStyle w:val="normaltextrun"/>
          <w:rFonts w:asciiTheme="majorBidi" w:eastAsiaTheme="majorEastAsia" w:hAnsiTheme="majorBidi" w:cstheme="majorBidi"/>
          <w:b/>
          <w:bCs/>
          <w:sz w:val="22"/>
          <w:szCs w:val="22"/>
          <w:lang w:val="en-GB"/>
        </w:rPr>
        <w:t>National/regional indicator production </w:t>
      </w:r>
      <w:r w:rsidRPr="00ED7E61">
        <w:rPr>
          <w:rStyle w:val="eop"/>
          <w:rFonts w:asciiTheme="majorBidi" w:eastAsiaTheme="majorEastAsia" w:hAnsiTheme="majorBidi" w:cstheme="majorBidi"/>
          <w:sz w:val="22"/>
          <w:szCs w:val="22"/>
        </w:rPr>
        <w:t> </w:t>
      </w:r>
    </w:p>
    <w:p w14:paraId="5B158C4B"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Detailed methodology and guidance on how to prepare the country reports through an online reporting platform and to convert national data according to national categories and definitions to FAO’s global categories and definitions is found in the documents “</w:t>
      </w:r>
      <w:r w:rsidRPr="00ED7E61">
        <w:rPr>
          <w:rStyle w:val="normaltextrun"/>
          <w:rFonts w:asciiTheme="majorBidi" w:eastAsiaTheme="majorEastAsia" w:hAnsiTheme="majorBidi" w:cstheme="majorBidi"/>
          <w:i/>
          <w:iCs/>
          <w:color w:val="242424"/>
        </w:rPr>
        <w:t>Guidelines and Specifications</w:t>
      </w:r>
      <w:r w:rsidRPr="00ED7E61">
        <w:rPr>
          <w:rStyle w:val="normaltextrun"/>
          <w:rFonts w:asciiTheme="majorBidi" w:eastAsiaTheme="majorEastAsia" w:hAnsiTheme="majorBidi" w:cstheme="majorBidi"/>
          <w:color w:val="242424"/>
        </w:rPr>
        <w:t>” (</w:t>
      </w:r>
      <w:hyperlink r:id="rId497" w:tgtFrame="_blank" w:history="1">
        <w:r w:rsidRPr="00ED7E61">
          <w:rPr>
            <w:rStyle w:val="normaltextrun"/>
            <w:rFonts w:asciiTheme="majorBidi" w:eastAsiaTheme="majorEastAsia" w:hAnsiTheme="majorBidi" w:cstheme="majorBidi"/>
            <w:color w:val="1876BA"/>
            <w:u w:val="single"/>
          </w:rPr>
          <w:t>www.fao.org/3/I8699EN/i8699en.pdf</w:t>
        </w:r>
      </w:hyperlink>
      <w:r w:rsidRPr="00ED7E61">
        <w:rPr>
          <w:rStyle w:val="normaltextrun"/>
          <w:rFonts w:asciiTheme="majorBidi" w:eastAsiaTheme="majorEastAsia" w:hAnsiTheme="majorBidi" w:cstheme="majorBidi"/>
          <w:color w:val="242424"/>
        </w:rPr>
        <w:t>) and “</w:t>
      </w:r>
      <w:r w:rsidRPr="00ED7E61">
        <w:rPr>
          <w:rStyle w:val="normaltextrun"/>
          <w:rFonts w:asciiTheme="majorBidi" w:eastAsiaTheme="majorEastAsia" w:hAnsiTheme="majorBidi" w:cstheme="majorBidi"/>
          <w:i/>
          <w:iCs/>
          <w:color w:val="242424"/>
        </w:rPr>
        <w:t>Terms and Definitions</w:t>
      </w:r>
      <w:r w:rsidRPr="00ED7E61">
        <w:rPr>
          <w:rStyle w:val="normaltextrun"/>
          <w:rFonts w:asciiTheme="majorBidi" w:eastAsiaTheme="majorEastAsia" w:hAnsiTheme="majorBidi" w:cstheme="majorBidi"/>
          <w:color w:val="242424"/>
        </w:rPr>
        <w:t>” (</w:t>
      </w:r>
      <w:hyperlink r:id="rId498" w:tgtFrame="_blank" w:history="1">
        <w:r w:rsidRPr="00ED7E61">
          <w:rPr>
            <w:rStyle w:val="normaltextrun"/>
            <w:rFonts w:asciiTheme="majorBidi" w:eastAsiaTheme="majorEastAsia" w:hAnsiTheme="majorBidi" w:cstheme="majorBidi"/>
            <w:color w:val="1876BA"/>
            <w:u w:val="single"/>
          </w:rPr>
          <w:t>www.fao.org/3/I8661EN/i8661en.pdf</w:t>
        </w:r>
      </w:hyperlink>
      <w:r w:rsidRPr="00ED7E61">
        <w:rPr>
          <w:rStyle w:val="normaltextrun"/>
          <w:rFonts w:asciiTheme="majorBidi" w:eastAsiaTheme="majorEastAsia" w:hAnsiTheme="majorBidi" w:cstheme="majorBidi"/>
          <w:color w:val="242424"/>
        </w:rPr>
        <w:t>).</w:t>
      </w:r>
      <w:r w:rsidRPr="00ED7E61">
        <w:rPr>
          <w:rStyle w:val="eop"/>
          <w:rFonts w:asciiTheme="majorBidi" w:eastAsiaTheme="majorEastAsia" w:hAnsiTheme="majorBidi" w:cstheme="majorBidi"/>
          <w:color w:val="242424"/>
        </w:rPr>
        <w:t> </w:t>
      </w:r>
    </w:p>
    <w:p w14:paraId="64B40631"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FAO supports the reporting process through capacity development on reporting methodology and remote sensing. The reporting platform provides easy access to relevant and freely available global remote sensing data sets and products.</w:t>
      </w:r>
      <w:r w:rsidRPr="00ED7E61">
        <w:rPr>
          <w:rStyle w:val="eop"/>
          <w:rFonts w:asciiTheme="majorBidi" w:eastAsiaTheme="majorEastAsia" w:hAnsiTheme="majorBidi" w:cstheme="majorBidi"/>
          <w:color w:val="242424"/>
        </w:rPr>
        <w:t> </w:t>
      </w:r>
    </w:p>
    <w:p w14:paraId="695E63A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6c. Sources of differences between global and national figures</w:t>
      </w:r>
      <w:r w:rsidRPr="00ED7E61">
        <w:rPr>
          <w:rStyle w:val="eop"/>
          <w:rFonts w:asciiTheme="majorBidi" w:eastAsiaTheme="majorEastAsia" w:hAnsiTheme="majorBidi" w:cstheme="majorBidi"/>
          <w:sz w:val="22"/>
          <w:szCs w:val="22"/>
        </w:rPr>
        <w:t> </w:t>
      </w:r>
    </w:p>
    <w:p w14:paraId="65232144"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For those sub-indicators where there are gaps in the data set, only the countries with complete data for the relevant years (either provided by the countries or estimated by FAO) are included in the regional and global aggregates.</w:t>
      </w:r>
      <w:r w:rsidRPr="00ED7E61">
        <w:rPr>
          <w:rStyle w:val="eop"/>
          <w:rFonts w:asciiTheme="majorBidi" w:eastAsiaTheme="majorEastAsia" w:hAnsiTheme="majorBidi" w:cstheme="majorBidi"/>
          <w:color w:val="242424"/>
        </w:rPr>
        <w:t> </w:t>
      </w:r>
    </w:p>
    <w:p w14:paraId="0FC00EB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6d. Regional and global estimates &amp; data collection for global monitoring</w:t>
      </w:r>
      <w:r w:rsidRPr="00ED7E61">
        <w:rPr>
          <w:rStyle w:val="eop"/>
          <w:rFonts w:asciiTheme="majorBidi" w:eastAsiaTheme="majorEastAsia" w:hAnsiTheme="majorBidi" w:cstheme="majorBidi"/>
          <w:sz w:val="22"/>
          <w:szCs w:val="22"/>
        </w:rPr>
        <w:t> </w:t>
      </w:r>
    </w:p>
    <w:p w14:paraId="560224C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6d.1 Description of the methodology</w:t>
      </w:r>
      <w:r w:rsidRPr="00ED7E61">
        <w:rPr>
          <w:rStyle w:val="eop"/>
          <w:rFonts w:asciiTheme="majorBidi" w:eastAsiaTheme="majorEastAsia" w:hAnsiTheme="majorBidi" w:cstheme="majorBidi"/>
          <w:sz w:val="22"/>
          <w:szCs w:val="22"/>
        </w:rPr>
        <w:t> </w:t>
      </w:r>
    </w:p>
    <w:p w14:paraId="2B48CD84" w14:textId="77777777" w:rsidR="00756F0F" w:rsidRPr="00ED7E61" w:rsidRDefault="00756F0F" w:rsidP="005D1978">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242424"/>
          <w:sz w:val="22"/>
          <w:szCs w:val="22"/>
          <w:lang w:val="en-GB"/>
        </w:rPr>
        <w:t>Sub-indicator 1 - Annual forest area change rate</w:t>
      </w:r>
      <w:r w:rsidRPr="00ED7E61">
        <w:rPr>
          <w:rStyle w:val="eop"/>
          <w:rFonts w:asciiTheme="majorBidi" w:eastAsiaTheme="majorEastAsia" w:hAnsiTheme="majorBidi" w:cstheme="majorBidi"/>
          <w:color w:val="242424"/>
          <w:sz w:val="22"/>
          <w:szCs w:val="22"/>
        </w:rPr>
        <w:t> </w:t>
      </w:r>
    </w:p>
    <w:p w14:paraId="23010CC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Unit</w:t>
      </w:r>
      <w:r w:rsidRPr="00ED7E61">
        <w:rPr>
          <w:rStyle w:val="normaltextrun"/>
          <w:rFonts w:asciiTheme="majorBidi" w:eastAsiaTheme="majorEastAsia" w:hAnsiTheme="majorBidi" w:cstheme="majorBidi"/>
          <w:color w:val="242424"/>
          <w:sz w:val="22"/>
          <w:szCs w:val="22"/>
          <w:lang w:val="en-GB"/>
        </w:rPr>
        <w:t>: Percent</w:t>
      </w:r>
      <w:r w:rsidRPr="00ED7E61">
        <w:rPr>
          <w:rStyle w:val="eop"/>
          <w:rFonts w:asciiTheme="majorBidi" w:eastAsiaTheme="majorEastAsia" w:hAnsiTheme="majorBidi" w:cstheme="majorBidi"/>
          <w:color w:val="242424"/>
          <w:sz w:val="22"/>
          <w:szCs w:val="22"/>
        </w:rPr>
        <w:t> </w:t>
      </w:r>
    </w:p>
    <w:p w14:paraId="7A54279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Reference period</w:t>
      </w:r>
      <w:r w:rsidRPr="00ED7E61">
        <w:rPr>
          <w:rStyle w:val="normaltextrun"/>
          <w:rFonts w:asciiTheme="majorBidi" w:eastAsiaTheme="majorEastAsia" w:hAnsiTheme="majorBidi" w:cstheme="majorBidi"/>
          <w:color w:val="242424"/>
          <w:sz w:val="22"/>
          <w:szCs w:val="22"/>
          <w:lang w:val="en-GB"/>
        </w:rPr>
        <w:t>: 2010-2020</w:t>
      </w:r>
      <w:r w:rsidRPr="00ED7E61">
        <w:rPr>
          <w:rStyle w:val="eop"/>
          <w:rFonts w:asciiTheme="majorBidi" w:eastAsiaTheme="majorEastAsia" w:hAnsiTheme="majorBidi" w:cstheme="majorBidi"/>
          <w:color w:val="242424"/>
          <w:sz w:val="22"/>
          <w:szCs w:val="22"/>
        </w:rPr>
        <w:t> </w:t>
      </w:r>
    </w:p>
    <w:p w14:paraId="09801BB6" w14:textId="77777777" w:rsidR="00756F0F" w:rsidRPr="00ED7E61" w:rsidRDefault="00756F0F" w:rsidP="00395866">
      <w:pPr>
        <w:pStyle w:val="paragraph"/>
        <w:spacing w:before="0" w:beforeAutospacing="0" w:after="0" w:afterAutospacing="0"/>
        <w:textAlignment w:val="baseline"/>
        <w:rPr>
          <w:rStyle w:val="eop"/>
          <w:rFonts w:asciiTheme="majorBidi" w:eastAsiaTheme="majorEastAsia" w:hAnsiTheme="majorBidi" w:cstheme="majorBidi"/>
          <w:color w:val="242424"/>
          <w:sz w:val="22"/>
          <w:szCs w:val="22"/>
        </w:rPr>
      </w:pPr>
      <w:r w:rsidRPr="00ED7E61">
        <w:rPr>
          <w:rStyle w:val="normaltextrun"/>
          <w:rFonts w:asciiTheme="majorBidi" w:eastAsiaTheme="majorEastAsia" w:hAnsiTheme="majorBidi" w:cstheme="majorBidi"/>
          <w:color w:val="242424"/>
          <w:sz w:val="22"/>
          <w:szCs w:val="22"/>
          <w:u w:val="single"/>
          <w:lang w:val="en-GB"/>
        </w:rPr>
        <w:t>Method of estimation</w:t>
      </w:r>
      <w:r w:rsidRPr="00ED7E61">
        <w:rPr>
          <w:rStyle w:val="normaltextrun"/>
          <w:rFonts w:asciiTheme="majorBidi" w:eastAsiaTheme="majorEastAsia" w:hAnsiTheme="majorBidi" w:cstheme="majorBidi"/>
          <w:color w:val="242424"/>
          <w:sz w:val="22"/>
          <w:szCs w:val="22"/>
          <w:lang w:val="en-GB"/>
        </w:rPr>
        <w:t>: Compound annual change rate formula as follows:</w:t>
      </w:r>
      <w:r w:rsidRPr="00ED7E61">
        <w:rPr>
          <w:rStyle w:val="eop"/>
          <w:rFonts w:asciiTheme="majorBidi" w:eastAsiaTheme="majorEastAsia" w:hAnsiTheme="majorBidi" w:cstheme="majorBidi"/>
          <w:color w:val="242424"/>
          <w:sz w:val="22"/>
          <w:szCs w:val="22"/>
        </w:rPr>
        <w:t> </w:t>
      </w:r>
    </w:p>
    <w:p w14:paraId="463B14D9" w14:textId="77777777" w:rsidR="0040571C" w:rsidRPr="00ED7E61" w:rsidRDefault="0040571C" w:rsidP="00395866">
      <w:pPr>
        <w:pStyle w:val="paragraph"/>
        <w:spacing w:before="0" w:beforeAutospacing="0" w:after="0" w:afterAutospacing="0"/>
        <w:textAlignment w:val="baseline"/>
        <w:rPr>
          <w:rStyle w:val="eop"/>
          <w:rFonts w:asciiTheme="majorBidi" w:eastAsiaTheme="majorEastAsia" w:hAnsiTheme="majorBidi" w:cstheme="majorBidi"/>
          <w:color w:val="242424"/>
          <w:sz w:val="22"/>
          <w:szCs w:val="22"/>
        </w:rPr>
      </w:pPr>
    </w:p>
    <w:p w14:paraId="5421C121" w14:textId="4144218F" w:rsidR="0040571C" w:rsidRPr="00ED7E61" w:rsidRDefault="0040571C" w:rsidP="005B0D1E">
      <w:pPr>
        <w:pStyle w:val="paragraph"/>
        <w:spacing w:before="0" w:beforeAutospacing="0" w:after="0" w:afterAutospacing="0"/>
        <w:jc w:val="center"/>
        <w:textAlignment w:val="baseline"/>
        <w:rPr>
          <w:rFonts w:asciiTheme="majorBidi" w:hAnsiTheme="majorBidi" w:cstheme="majorBidi"/>
          <w:sz w:val="22"/>
          <w:szCs w:val="22"/>
        </w:rPr>
      </w:pPr>
      <w:r w:rsidRPr="00ED7E61">
        <w:rPr>
          <w:rFonts w:asciiTheme="majorBidi" w:hAnsiTheme="majorBidi" w:cstheme="majorBidi"/>
          <w:noProof/>
          <w:sz w:val="22"/>
          <w:szCs w:val="22"/>
          <w:lang w:val="fr-FR" w:eastAsia="fr-FR"/>
        </w:rPr>
        <w:drawing>
          <wp:inline distT="0" distB="0" distL="0" distR="0" wp14:anchorId="6DC837C0" wp14:editId="350FA18F">
            <wp:extent cx="1949550" cy="533427"/>
            <wp:effectExtent l="0" t="0" r="0" b="0"/>
            <wp:docPr id="2120950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50273" name=""/>
                    <pic:cNvPicPr/>
                  </pic:nvPicPr>
                  <pic:blipFill>
                    <a:blip r:embed="rId499"/>
                    <a:stretch>
                      <a:fillRect/>
                    </a:stretch>
                  </pic:blipFill>
                  <pic:spPr>
                    <a:xfrm>
                      <a:off x="0" y="0"/>
                      <a:ext cx="1949550" cy="533427"/>
                    </a:xfrm>
                    <a:prstGeom prst="rect">
                      <a:avLst/>
                    </a:prstGeom>
                  </pic:spPr>
                </pic:pic>
              </a:graphicData>
            </a:graphic>
          </wp:inline>
        </w:drawing>
      </w:r>
    </w:p>
    <w:p w14:paraId="12B3C3CD" w14:textId="77777777" w:rsidR="00756F0F" w:rsidRPr="00ED7E61" w:rsidRDefault="00756F0F" w:rsidP="00395866">
      <w:pPr>
        <w:pStyle w:val="paragraph"/>
        <w:spacing w:before="0" w:beforeAutospacing="0" w:after="0" w:afterAutospacing="0"/>
        <w:ind w:firstLine="720"/>
        <w:textAlignment w:val="baseline"/>
        <w:rPr>
          <w:rFonts w:asciiTheme="majorBidi" w:hAnsiTheme="majorBidi" w:cstheme="majorBidi"/>
          <w:sz w:val="22"/>
          <w:szCs w:val="22"/>
        </w:rPr>
      </w:pPr>
      <w:r w:rsidRPr="00ED7E61">
        <w:rPr>
          <w:rStyle w:val="eop"/>
          <w:rFonts w:asciiTheme="majorBidi" w:eastAsiaTheme="majorEastAsia" w:hAnsiTheme="majorBidi" w:cstheme="majorBidi"/>
          <w:color w:val="242424"/>
          <w:sz w:val="22"/>
          <w:szCs w:val="22"/>
        </w:rPr>
        <w:t> </w:t>
      </w:r>
    </w:p>
    <w:p w14:paraId="156B492C" w14:textId="77777777" w:rsidR="00756F0F" w:rsidRPr="00ED7E61" w:rsidRDefault="00756F0F" w:rsidP="00395866">
      <w:pPr>
        <w:pStyle w:val="paragraph"/>
        <w:spacing w:before="0" w:beforeAutospacing="0" w:after="0" w:afterAutospacing="0"/>
        <w:ind w:firstLine="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lang w:val="en-GB"/>
        </w:rPr>
        <w:t>where: </w:t>
      </w:r>
      <w:r w:rsidRPr="00ED7E61">
        <w:rPr>
          <w:rStyle w:val="eop"/>
          <w:rFonts w:asciiTheme="majorBidi" w:eastAsiaTheme="majorEastAsia" w:hAnsiTheme="majorBidi" w:cstheme="majorBidi"/>
          <w:color w:val="242424"/>
          <w:sz w:val="22"/>
          <w:szCs w:val="22"/>
        </w:rPr>
        <w:t> </w:t>
      </w:r>
    </w:p>
    <w:p w14:paraId="4FE2CB37" w14:textId="77777777" w:rsidR="00756F0F" w:rsidRPr="00ED7E61" w:rsidRDefault="00756F0F" w:rsidP="00395866">
      <w:pPr>
        <w:pStyle w:val="paragraph"/>
        <w:spacing w:before="0" w:beforeAutospacing="0" w:after="0" w:afterAutospacing="0"/>
        <w:ind w:left="144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242424"/>
          <w:sz w:val="22"/>
          <w:szCs w:val="22"/>
          <w:lang w:val="en-GB"/>
        </w:rPr>
        <w:t xml:space="preserve">r </w:t>
      </w:r>
      <w:r w:rsidRPr="00ED7E61">
        <w:rPr>
          <w:rStyle w:val="normaltextrun"/>
          <w:rFonts w:asciiTheme="majorBidi" w:eastAsiaTheme="majorEastAsia" w:hAnsiTheme="majorBidi" w:cstheme="majorBidi"/>
          <w:color w:val="242424"/>
          <w:sz w:val="22"/>
          <w:szCs w:val="22"/>
          <w:lang w:val="en-GB"/>
        </w:rPr>
        <w:t xml:space="preserve">= compound annual change rate for the period </w:t>
      </w:r>
      <w:r w:rsidRPr="00ED7E61">
        <w:rPr>
          <w:rStyle w:val="normaltextrun"/>
          <w:rFonts w:asciiTheme="majorBidi" w:eastAsiaTheme="majorEastAsia" w:hAnsiTheme="majorBidi" w:cstheme="majorBidi"/>
          <w:i/>
          <w:iCs/>
          <w:color w:val="242424"/>
          <w:sz w:val="22"/>
          <w:szCs w:val="22"/>
          <w:lang w:val="en-GB"/>
        </w:rPr>
        <w:t>t</w:t>
      </w:r>
      <w:r w:rsidRPr="00ED7E61">
        <w:rPr>
          <w:rStyle w:val="normaltextrun"/>
          <w:rFonts w:asciiTheme="majorBidi" w:eastAsiaTheme="majorEastAsia" w:hAnsiTheme="majorBidi" w:cstheme="majorBidi"/>
          <w:i/>
          <w:iCs/>
          <w:color w:val="242424"/>
          <w:sz w:val="22"/>
          <w:szCs w:val="22"/>
          <w:vertAlign w:val="subscript"/>
          <w:lang w:val="en-GB"/>
        </w:rPr>
        <w:t>1</w:t>
      </w:r>
      <w:r w:rsidRPr="00ED7E61">
        <w:rPr>
          <w:rStyle w:val="normaltextrun"/>
          <w:rFonts w:asciiTheme="majorBidi" w:eastAsiaTheme="majorEastAsia" w:hAnsiTheme="majorBidi" w:cstheme="majorBidi"/>
          <w:i/>
          <w:iCs/>
          <w:color w:val="242424"/>
          <w:sz w:val="22"/>
          <w:szCs w:val="22"/>
          <w:lang w:val="en-GB"/>
        </w:rPr>
        <w:t xml:space="preserve"> -t</w:t>
      </w:r>
      <w:r w:rsidRPr="00ED7E61">
        <w:rPr>
          <w:rStyle w:val="normaltextrun"/>
          <w:rFonts w:asciiTheme="majorBidi" w:eastAsiaTheme="majorEastAsia" w:hAnsiTheme="majorBidi" w:cstheme="majorBidi"/>
          <w:i/>
          <w:iCs/>
          <w:color w:val="242424"/>
          <w:sz w:val="22"/>
          <w:szCs w:val="22"/>
          <w:vertAlign w:val="subscript"/>
          <w:lang w:val="en-GB"/>
        </w:rPr>
        <w:t>2</w:t>
      </w:r>
      <w:r w:rsidRPr="00ED7E61">
        <w:rPr>
          <w:rStyle w:val="eop"/>
          <w:rFonts w:asciiTheme="majorBidi" w:eastAsiaTheme="majorEastAsia" w:hAnsiTheme="majorBidi" w:cstheme="majorBidi"/>
          <w:color w:val="242424"/>
          <w:sz w:val="22"/>
          <w:szCs w:val="22"/>
        </w:rPr>
        <w:t> </w:t>
      </w:r>
    </w:p>
    <w:p w14:paraId="4A9AD997" w14:textId="77777777" w:rsidR="00756F0F" w:rsidRPr="00ED7E61" w:rsidRDefault="00756F0F" w:rsidP="00395866">
      <w:pPr>
        <w:pStyle w:val="paragraph"/>
        <w:spacing w:before="0" w:beforeAutospacing="0" w:after="0" w:afterAutospacing="0"/>
        <w:ind w:left="720" w:firstLine="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242424"/>
          <w:sz w:val="22"/>
          <w:szCs w:val="22"/>
          <w:lang w:val="en-GB"/>
        </w:rPr>
        <w:t>t</w:t>
      </w:r>
      <w:r w:rsidRPr="00ED7E61">
        <w:rPr>
          <w:rStyle w:val="normaltextrun"/>
          <w:rFonts w:asciiTheme="majorBidi" w:eastAsiaTheme="majorEastAsia" w:hAnsiTheme="majorBidi" w:cstheme="majorBidi"/>
          <w:i/>
          <w:iCs/>
          <w:color w:val="242424"/>
          <w:sz w:val="22"/>
          <w:szCs w:val="22"/>
          <w:vertAlign w:val="subscript"/>
          <w:lang w:val="en-GB"/>
        </w:rPr>
        <w:t>i</w:t>
      </w:r>
      <w:r w:rsidRPr="00ED7E61">
        <w:rPr>
          <w:rStyle w:val="normaltextrun"/>
          <w:rFonts w:asciiTheme="majorBidi" w:eastAsiaTheme="majorEastAsia" w:hAnsiTheme="majorBidi" w:cstheme="majorBidi"/>
          <w:i/>
          <w:iCs/>
          <w:color w:val="242424"/>
          <w:sz w:val="22"/>
          <w:szCs w:val="22"/>
          <w:lang w:val="en-GB"/>
        </w:rPr>
        <w:t xml:space="preserve"> </w:t>
      </w:r>
      <w:r w:rsidRPr="00ED7E61">
        <w:rPr>
          <w:rStyle w:val="normaltextrun"/>
          <w:rFonts w:asciiTheme="majorBidi" w:eastAsiaTheme="majorEastAsia" w:hAnsiTheme="majorBidi" w:cstheme="majorBidi"/>
          <w:color w:val="242424"/>
          <w:sz w:val="22"/>
          <w:szCs w:val="22"/>
          <w:lang w:val="en-GB"/>
        </w:rPr>
        <w:t>= time i (year)</w:t>
      </w:r>
      <w:r w:rsidRPr="00ED7E61">
        <w:rPr>
          <w:rStyle w:val="eop"/>
          <w:rFonts w:asciiTheme="majorBidi" w:eastAsiaTheme="majorEastAsia" w:hAnsiTheme="majorBidi" w:cstheme="majorBidi"/>
          <w:color w:val="242424"/>
          <w:sz w:val="22"/>
          <w:szCs w:val="22"/>
        </w:rPr>
        <w:t> </w:t>
      </w:r>
    </w:p>
    <w:p w14:paraId="319A632D" w14:textId="77777777" w:rsidR="00756F0F" w:rsidRPr="00ED7E61" w:rsidRDefault="00756F0F" w:rsidP="00395866">
      <w:pPr>
        <w:pStyle w:val="paragraph"/>
        <w:spacing w:before="0" w:beforeAutospacing="0" w:after="0" w:afterAutospacing="0"/>
        <w:ind w:left="720" w:firstLine="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242424"/>
          <w:sz w:val="22"/>
          <w:szCs w:val="22"/>
          <w:lang w:val="en-GB"/>
        </w:rPr>
        <w:t>AF</w:t>
      </w:r>
      <w:r w:rsidRPr="00ED7E61">
        <w:rPr>
          <w:rStyle w:val="normaltextrun"/>
          <w:rFonts w:asciiTheme="majorBidi" w:eastAsiaTheme="majorEastAsia" w:hAnsiTheme="majorBidi" w:cstheme="majorBidi"/>
          <w:i/>
          <w:iCs/>
          <w:color w:val="242424"/>
          <w:sz w:val="22"/>
          <w:szCs w:val="22"/>
          <w:vertAlign w:val="subscript"/>
          <w:lang w:val="en-GB"/>
        </w:rPr>
        <w:t>t1</w:t>
      </w:r>
      <w:r w:rsidRPr="00ED7E61">
        <w:rPr>
          <w:rStyle w:val="normaltextrun"/>
          <w:rFonts w:asciiTheme="majorBidi" w:eastAsiaTheme="majorEastAsia" w:hAnsiTheme="majorBidi" w:cstheme="majorBidi"/>
          <w:color w:val="242424"/>
          <w:sz w:val="22"/>
          <w:szCs w:val="22"/>
          <w:vertAlign w:val="subscript"/>
          <w:lang w:val="en-GB"/>
        </w:rPr>
        <w:t xml:space="preserve"> </w:t>
      </w:r>
      <w:r w:rsidRPr="00ED7E61">
        <w:rPr>
          <w:rStyle w:val="normaltextrun"/>
          <w:rFonts w:asciiTheme="majorBidi" w:eastAsiaTheme="majorEastAsia" w:hAnsiTheme="majorBidi" w:cstheme="majorBidi"/>
          <w:color w:val="242424"/>
          <w:sz w:val="22"/>
          <w:szCs w:val="22"/>
          <w:lang w:val="en-GB"/>
        </w:rPr>
        <w:t>= forest area at</w:t>
      </w:r>
      <w:r w:rsidRPr="00ED7E61">
        <w:rPr>
          <w:rStyle w:val="normaltextrun"/>
          <w:rFonts w:asciiTheme="majorBidi" w:eastAsiaTheme="majorEastAsia" w:hAnsiTheme="majorBidi" w:cstheme="majorBidi"/>
          <w:i/>
          <w:iCs/>
          <w:color w:val="242424"/>
          <w:sz w:val="22"/>
          <w:szCs w:val="22"/>
          <w:lang w:val="en-GB"/>
        </w:rPr>
        <w:t xml:space="preserve"> t</w:t>
      </w:r>
      <w:r w:rsidRPr="00ED7E61">
        <w:rPr>
          <w:rStyle w:val="normaltextrun"/>
          <w:rFonts w:asciiTheme="majorBidi" w:eastAsiaTheme="majorEastAsia" w:hAnsiTheme="majorBidi" w:cstheme="majorBidi"/>
          <w:i/>
          <w:iCs/>
          <w:color w:val="242424"/>
          <w:sz w:val="22"/>
          <w:szCs w:val="22"/>
          <w:vertAlign w:val="subscript"/>
          <w:lang w:val="en-GB"/>
        </w:rPr>
        <w:t>1</w:t>
      </w:r>
      <w:r w:rsidRPr="00ED7E61">
        <w:rPr>
          <w:rStyle w:val="eop"/>
          <w:rFonts w:asciiTheme="majorBidi" w:eastAsiaTheme="majorEastAsia" w:hAnsiTheme="majorBidi" w:cstheme="majorBidi"/>
          <w:color w:val="242424"/>
          <w:sz w:val="22"/>
          <w:szCs w:val="22"/>
        </w:rPr>
        <w:t> </w:t>
      </w:r>
    </w:p>
    <w:p w14:paraId="0ADB8FB7" w14:textId="77777777" w:rsidR="00756F0F" w:rsidRPr="00ED7E61" w:rsidRDefault="00756F0F" w:rsidP="00395866">
      <w:pPr>
        <w:pStyle w:val="paragraph"/>
        <w:spacing w:before="0" w:beforeAutospacing="0" w:after="0" w:afterAutospacing="0"/>
        <w:ind w:left="720" w:firstLine="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lang w:val="en-GB"/>
        </w:rPr>
        <w:t>AF</w:t>
      </w:r>
      <w:r w:rsidRPr="00ED7E61">
        <w:rPr>
          <w:rStyle w:val="normaltextrun"/>
          <w:rFonts w:asciiTheme="majorBidi" w:eastAsiaTheme="majorEastAsia" w:hAnsiTheme="majorBidi" w:cstheme="majorBidi"/>
          <w:i/>
          <w:iCs/>
          <w:color w:val="242424"/>
          <w:sz w:val="22"/>
          <w:szCs w:val="22"/>
          <w:vertAlign w:val="subscript"/>
          <w:lang w:val="en-GB"/>
        </w:rPr>
        <w:t>t2</w:t>
      </w:r>
      <w:r w:rsidRPr="00ED7E61">
        <w:rPr>
          <w:rStyle w:val="normaltextrun"/>
          <w:rFonts w:asciiTheme="majorBidi" w:eastAsiaTheme="majorEastAsia" w:hAnsiTheme="majorBidi" w:cstheme="majorBidi"/>
          <w:color w:val="242424"/>
          <w:sz w:val="22"/>
          <w:szCs w:val="22"/>
          <w:lang w:val="en-GB"/>
        </w:rPr>
        <w:t xml:space="preserve"> = forest area at</w:t>
      </w:r>
      <w:r w:rsidRPr="00ED7E61">
        <w:rPr>
          <w:rStyle w:val="normaltextrun"/>
          <w:rFonts w:asciiTheme="majorBidi" w:eastAsiaTheme="majorEastAsia" w:hAnsiTheme="majorBidi" w:cstheme="majorBidi"/>
          <w:i/>
          <w:iCs/>
          <w:color w:val="242424"/>
          <w:sz w:val="22"/>
          <w:szCs w:val="22"/>
          <w:lang w:val="en-GB"/>
        </w:rPr>
        <w:t xml:space="preserve"> t</w:t>
      </w:r>
      <w:r w:rsidRPr="00ED7E61">
        <w:rPr>
          <w:rStyle w:val="normaltextrun"/>
          <w:rFonts w:asciiTheme="majorBidi" w:eastAsiaTheme="majorEastAsia" w:hAnsiTheme="majorBidi" w:cstheme="majorBidi"/>
          <w:i/>
          <w:iCs/>
          <w:color w:val="242424"/>
          <w:sz w:val="22"/>
          <w:szCs w:val="22"/>
          <w:vertAlign w:val="subscript"/>
          <w:lang w:val="en-GB"/>
        </w:rPr>
        <w:t>2</w:t>
      </w:r>
      <w:r w:rsidRPr="00ED7E61">
        <w:rPr>
          <w:rStyle w:val="eop"/>
          <w:rFonts w:asciiTheme="majorBidi" w:eastAsiaTheme="majorEastAsia" w:hAnsiTheme="majorBidi" w:cstheme="majorBidi"/>
          <w:color w:val="242424"/>
          <w:sz w:val="22"/>
          <w:szCs w:val="22"/>
        </w:rPr>
        <w:t> </w:t>
      </w:r>
    </w:p>
    <w:p w14:paraId="2425153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Translation to dashboard/traffic light</w:t>
      </w:r>
      <w:r w:rsidRPr="00ED7E61">
        <w:rPr>
          <w:rStyle w:val="eop"/>
          <w:rFonts w:asciiTheme="majorBidi" w:eastAsiaTheme="majorEastAsia" w:hAnsiTheme="majorBidi" w:cstheme="majorBidi"/>
          <w:color w:val="242424"/>
          <w:sz w:val="22"/>
          <w:szCs w:val="22"/>
        </w:rPr>
        <w:t> </w:t>
      </w:r>
    </w:p>
    <w:p w14:paraId="6C0DEBEE" w14:textId="44CA50D9" w:rsidR="0040571C"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The following flowchart explains the logic behind the translation of this indicator to a dashboard/traffic light:</w:t>
      </w:r>
      <w:r w:rsidRPr="00ED7E61">
        <w:rPr>
          <w:rStyle w:val="normaltextrun"/>
        </w:rPr>
        <w:t> </w:t>
      </w:r>
    </w:p>
    <w:p w14:paraId="6FFAB8F4" w14:textId="2C969724" w:rsidR="00756F0F" w:rsidRPr="00ED7E61" w:rsidRDefault="0040571C" w:rsidP="005D1978">
      <w:pPr>
        <w:pStyle w:val="CBDNormalNumber"/>
        <w:numPr>
          <w:ilvl w:val="0"/>
          <w:numId w:val="0"/>
        </w:numPr>
        <w:shd w:val="clear" w:color="auto" w:fill="FFFFFF"/>
        <w:ind w:left="567"/>
        <w:rPr>
          <w:rFonts w:asciiTheme="majorBidi" w:hAnsiTheme="majorBidi" w:cstheme="majorBidi"/>
        </w:rPr>
      </w:pPr>
      <w:r w:rsidRPr="00ED7E61">
        <w:rPr>
          <w:rStyle w:val="eop"/>
          <w:rFonts w:asciiTheme="majorBidi" w:eastAsiaTheme="majorEastAsia" w:hAnsiTheme="majorBidi" w:cstheme="majorBidi"/>
          <w:noProof/>
          <w:color w:val="242424"/>
          <w:lang w:val="fr-FR" w:eastAsia="fr-FR"/>
        </w:rPr>
        <w:drawing>
          <wp:inline distT="0" distB="0" distL="0" distR="0" wp14:anchorId="2254EF41" wp14:editId="2F6B644F">
            <wp:extent cx="2273417" cy="2902099"/>
            <wp:effectExtent l="0" t="0" r="0" b="0"/>
            <wp:docPr id="1549337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37544" name=""/>
                    <pic:cNvPicPr/>
                  </pic:nvPicPr>
                  <pic:blipFill>
                    <a:blip r:embed="rId500"/>
                    <a:stretch>
                      <a:fillRect/>
                    </a:stretch>
                  </pic:blipFill>
                  <pic:spPr>
                    <a:xfrm>
                      <a:off x="0" y="0"/>
                      <a:ext cx="2273417" cy="2902099"/>
                    </a:xfrm>
                    <a:prstGeom prst="rect">
                      <a:avLst/>
                    </a:prstGeom>
                  </pic:spPr>
                </pic:pic>
              </a:graphicData>
            </a:graphic>
          </wp:inline>
        </w:drawing>
      </w:r>
    </w:p>
    <w:p w14:paraId="00966879"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 xml:space="preserve">The forest area change direction is determined by examining the value of the forest area change rate for the most recent period, a negative value indicate a loss of forest area, a zero value means that forest area is stable, and a positive value means that forest area has increased. The change in forest area loss rate is based on a comparison of the annual forest area change rate for the period 2010-2020 with the annual </w:t>
      </w:r>
      <w:r w:rsidRPr="00ED7E61">
        <w:rPr>
          <w:rStyle w:val="normaltextrun"/>
          <w:rFonts w:asciiTheme="majorBidi" w:eastAsiaTheme="majorEastAsia" w:hAnsiTheme="majorBidi" w:cstheme="majorBidi"/>
          <w:color w:val="242424"/>
          <w:u w:val="single"/>
        </w:rPr>
        <w:t xml:space="preserve">forest area change rate for the period 2000-2010 (baseline). </w:t>
      </w:r>
      <w:r w:rsidRPr="00ED7E61">
        <w:rPr>
          <w:rStyle w:val="normaltextrun"/>
          <w:rFonts w:asciiTheme="majorBidi" w:eastAsiaTheme="majorEastAsia" w:hAnsiTheme="majorBidi" w:cstheme="majorBidi"/>
        </w:rPr>
        <w:t>If forest area change rate is negative (= forest loss) then: annual forest area loss rate = - (annual forest area change rate)</w:t>
      </w:r>
      <w:r w:rsidRPr="00ED7E61">
        <w:rPr>
          <w:rStyle w:val="eop"/>
          <w:rFonts w:asciiTheme="majorBidi" w:eastAsiaTheme="majorEastAsia" w:hAnsiTheme="majorBidi" w:cstheme="majorBidi"/>
        </w:rPr>
        <w:t> </w:t>
      </w:r>
    </w:p>
    <w:p w14:paraId="253298F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Comments:</w:t>
      </w:r>
      <w:r w:rsidRPr="00ED7E61">
        <w:rPr>
          <w:rStyle w:val="eop"/>
          <w:rFonts w:asciiTheme="majorBidi" w:eastAsiaTheme="majorEastAsia" w:hAnsiTheme="majorBidi" w:cstheme="majorBidi"/>
          <w:color w:val="242424"/>
          <w:sz w:val="22"/>
          <w:szCs w:val="22"/>
        </w:rPr>
        <w:t> </w:t>
      </w:r>
    </w:p>
    <w:p w14:paraId="212204C2"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This traffic light takes into consideration both the direction of forest area change (if forest area increases or decreases) as well as changes in the rate of forest area loss – the latter important in order to indicate progress among countries that are losing forest area but manage to reduce the loss rate. </w:t>
      </w:r>
      <w:r w:rsidRPr="00ED7E61">
        <w:rPr>
          <w:rStyle w:val="eop"/>
          <w:rFonts w:asciiTheme="majorBidi" w:eastAsiaTheme="majorEastAsia" w:hAnsiTheme="majorBidi" w:cstheme="majorBidi"/>
          <w:color w:val="242424"/>
        </w:rPr>
        <w:t> </w:t>
      </w:r>
    </w:p>
    <w:p w14:paraId="311D5617"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The baseline should be updated every 5 years. In 2020 a new baseline was calculated for the period 2000-2010 based on updated country data. </w:t>
      </w:r>
      <w:r w:rsidRPr="00ED7E61">
        <w:rPr>
          <w:rStyle w:val="eop"/>
          <w:rFonts w:asciiTheme="majorBidi" w:eastAsiaTheme="majorEastAsia" w:hAnsiTheme="majorBidi" w:cstheme="majorBidi"/>
          <w:color w:val="242424"/>
        </w:rPr>
        <w:t> </w:t>
      </w:r>
    </w:p>
    <w:p w14:paraId="4D7C76C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242424"/>
          <w:sz w:val="22"/>
          <w:szCs w:val="22"/>
          <w:lang w:val="en-GB"/>
        </w:rPr>
        <w:t>Sub-indicator 2 – Above-ground biomass in forest </w:t>
      </w:r>
      <w:r w:rsidRPr="00ED7E61">
        <w:rPr>
          <w:rStyle w:val="eop"/>
          <w:rFonts w:asciiTheme="majorBidi" w:eastAsiaTheme="majorEastAsia" w:hAnsiTheme="majorBidi" w:cstheme="majorBidi"/>
          <w:color w:val="242424"/>
          <w:sz w:val="22"/>
          <w:szCs w:val="22"/>
        </w:rPr>
        <w:t> </w:t>
      </w:r>
    </w:p>
    <w:p w14:paraId="3AE4836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Unit</w:t>
      </w:r>
      <w:r w:rsidRPr="00ED7E61">
        <w:rPr>
          <w:rStyle w:val="normaltextrun"/>
          <w:rFonts w:asciiTheme="majorBidi" w:eastAsiaTheme="majorEastAsia" w:hAnsiTheme="majorBidi" w:cstheme="majorBidi"/>
          <w:color w:val="242424"/>
          <w:sz w:val="22"/>
          <w:szCs w:val="22"/>
          <w:lang w:val="en-GB"/>
        </w:rPr>
        <w:t>: tonnes/hectare</w:t>
      </w:r>
      <w:r w:rsidRPr="00ED7E61">
        <w:rPr>
          <w:rStyle w:val="eop"/>
          <w:rFonts w:asciiTheme="majorBidi" w:eastAsiaTheme="majorEastAsia" w:hAnsiTheme="majorBidi" w:cstheme="majorBidi"/>
          <w:color w:val="242424"/>
          <w:sz w:val="22"/>
          <w:szCs w:val="22"/>
        </w:rPr>
        <w:t> </w:t>
      </w:r>
    </w:p>
    <w:p w14:paraId="6B91A18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Reference year</w:t>
      </w:r>
      <w:r w:rsidRPr="00ED7E61">
        <w:rPr>
          <w:rStyle w:val="normaltextrun"/>
          <w:rFonts w:asciiTheme="majorBidi" w:eastAsiaTheme="majorEastAsia" w:hAnsiTheme="majorBidi" w:cstheme="majorBidi"/>
          <w:color w:val="242424"/>
          <w:sz w:val="22"/>
          <w:szCs w:val="22"/>
          <w:lang w:val="en-GB"/>
        </w:rPr>
        <w:t>: Latest reporting year</w:t>
      </w:r>
      <w:r w:rsidRPr="00ED7E61">
        <w:rPr>
          <w:rStyle w:val="eop"/>
          <w:rFonts w:asciiTheme="majorBidi" w:eastAsiaTheme="majorEastAsia" w:hAnsiTheme="majorBidi" w:cstheme="majorBidi"/>
          <w:color w:val="242424"/>
          <w:sz w:val="22"/>
          <w:szCs w:val="22"/>
        </w:rPr>
        <w:t> </w:t>
      </w:r>
    </w:p>
    <w:p w14:paraId="4CEF21E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Method of estimation</w:t>
      </w:r>
      <w:r w:rsidRPr="00ED7E61">
        <w:rPr>
          <w:rStyle w:val="normaltextrun"/>
          <w:rFonts w:asciiTheme="majorBidi" w:eastAsiaTheme="majorEastAsia" w:hAnsiTheme="majorBidi" w:cstheme="majorBidi"/>
          <w:color w:val="242424"/>
          <w:sz w:val="22"/>
          <w:szCs w:val="22"/>
          <w:lang w:val="en-GB"/>
        </w:rPr>
        <w:t>: Reported directly by countries</w:t>
      </w:r>
      <w:r w:rsidRPr="00ED7E61">
        <w:rPr>
          <w:rStyle w:val="eop"/>
          <w:rFonts w:asciiTheme="majorBidi" w:eastAsiaTheme="majorEastAsia" w:hAnsiTheme="majorBidi" w:cstheme="majorBidi"/>
          <w:color w:val="242424"/>
          <w:sz w:val="22"/>
          <w:szCs w:val="22"/>
        </w:rPr>
        <w:t> </w:t>
      </w:r>
    </w:p>
    <w:p w14:paraId="0CF4244A" w14:textId="77777777" w:rsidR="00756F0F" w:rsidRPr="00ED7E61" w:rsidRDefault="00756F0F" w:rsidP="00395866">
      <w:pPr>
        <w:pStyle w:val="paragraph"/>
        <w:spacing w:before="0" w:beforeAutospacing="0" w:after="0" w:afterAutospacing="0"/>
        <w:textAlignment w:val="baseline"/>
        <w:rPr>
          <w:rStyle w:val="eop"/>
          <w:rFonts w:asciiTheme="majorBidi" w:eastAsiaTheme="majorEastAsia" w:hAnsiTheme="majorBidi" w:cstheme="majorBidi"/>
          <w:color w:val="242424"/>
          <w:sz w:val="22"/>
          <w:szCs w:val="22"/>
        </w:rPr>
      </w:pPr>
      <w:r w:rsidRPr="00ED7E61">
        <w:rPr>
          <w:rStyle w:val="normaltextrun"/>
          <w:rFonts w:asciiTheme="majorBidi" w:eastAsiaTheme="majorEastAsia" w:hAnsiTheme="majorBidi" w:cstheme="majorBidi"/>
          <w:color w:val="242424"/>
          <w:sz w:val="22"/>
          <w:szCs w:val="22"/>
          <w:u w:val="single"/>
          <w:lang w:val="en-GB"/>
        </w:rPr>
        <w:t>Translation to dashboard/traffic light:</w:t>
      </w:r>
      <w:r w:rsidRPr="00ED7E61">
        <w:rPr>
          <w:rStyle w:val="eop"/>
          <w:rFonts w:asciiTheme="majorBidi" w:eastAsiaTheme="majorEastAsia" w:hAnsiTheme="majorBidi" w:cstheme="majorBidi"/>
          <w:color w:val="242424"/>
          <w:sz w:val="22"/>
          <w:szCs w:val="22"/>
        </w:rPr>
        <w:t> </w:t>
      </w:r>
    </w:p>
    <w:p w14:paraId="06DF9DB0" w14:textId="51E310E5" w:rsidR="0040571C" w:rsidRPr="00ED7E61" w:rsidRDefault="0040571C" w:rsidP="005B0D1E">
      <w:pPr>
        <w:pStyle w:val="paragraph"/>
        <w:spacing w:before="0" w:beforeAutospacing="0" w:after="0" w:afterAutospacing="0"/>
        <w:jc w:val="center"/>
        <w:textAlignment w:val="baseline"/>
        <w:rPr>
          <w:rFonts w:asciiTheme="majorBidi" w:hAnsiTheme="majorBidi" w:cstheme="majorBidi"/>
          <w:sz w:val="22"/>
          <w:szCs w:val="22"/>
        </w:rPr>
      </w:pPr>
    </w:p>
    <w:p w14:paraId="0D20D30C"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The indicator value for the latest reporting year is compared with the indicator value reported for 2010.</w:t>
      </w:r>
      <w:r w:rsidRPr="00ED7E61">
        <w:rPr>
          <w:rStyle w:val="eop"/>
          <w:rFonts w:asciiTheme="majorBidi" w:eastAsiaTheme="majorEastAsia" w:hAnsiTheme="majorBidi" w:cstheme="majorBidi"/>
          <w:color w:val="242424"/>
        </w:rPr>
        <w:t> </w:t>
      </w:r>
    </w:p>
    <w:p w14:paraId="3F4D349F" w14:textId="48AD82AC"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 xml:space="preserve">The ratio (r) between the current indicator value and the value reported for 2010 is calculated; r&gt;1 means an increase in stock per hectare, r&lt;1 means a decrease while 1 indicates no change. A narrow interval for r has been established to indicate a stable condition, and traffic-light </w:t>
      </w:r>
      <w:r w:rsidR="00C24132" w:rsidRPr="00ED7E61">
        <w:rPr>
          <w:rStyle w:val="normaltextrun"/>
          <w:rFonts w:asciiTheme="majorBidi" w:eastAsiaTheme="majorEastAsia" w:hAnsiTheme="majorBidi" w:cstheme="majorBidi"/>
          <w:color w:val="242424"/>
        </w:rPr>
        <w:t>colours</w:t>
      </w:r>
      <w:r w:rsidRPr="00ED7E61">
        <w:rPr>
          <w:rStyle w:val="normaltextrun"/>
          <w:rFonts w:asciiTheme="majorBidi" w:eastAsiaTheme="majorEastAsia" w:hAnsiTheme="majorBidi" w:cstheme="majorBidi"/>
          <w:color w:val="242424"/>
        </w:rPr>
        <w:t xml:space="preserve"> are assigned as follows:</w:t>
      </w:r>
      <w:r w:rsidRPr="00ED7E61">
        <w:rPr>
          <w:rStyle w:val="eop"/>
          <w:rFonts w:asciiTheme="majorBidi" w:eastAsiaTheme="majorEastAsia" w:hAnsiTheme="majorBidi" w:cstheme="majorBidi"/>
          <w:color w:val="242424"/>
        </w:rPr>
        <w:t> </w:t>
      </w:r>
    </w:p>
    <w:p w14:paraId="0FE8999F" w14:textId="51B1FB1E" w:rsidR="00756F0F" w:rsidRPr="00ED7E61" w:rsidRDefault="0040571C"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Fonts w:asciiTheme="majorBidi" w:hAnsiTheme="majorBidi" w:cstheme="majorBidi"/>
          <w:noProof/>
          <w:sz w:val="22"/>
          <w:szCs w:val="22"/>
          <w:lang w:val="fr-FR" w:eastAsia="fr-FR"/>
        </w:rPr>
        <w:drawing>
          <wp:inline distT="0" distB="0" distL="0" distR="0" wp14:anchorId="33FB8857" wp14:editId="1752E0AB">
            <wp:extent cx="1625684" cy="654084"/>
            <wp:effectExtent l="0" t="0" r="0" b="0"/>
            <wp:docPr id="107723982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39828" name="Picture 1" descr="A black text on a white background&#10;&#10;Description automatically generated"/>
                    <pic:cNvPicPr/>
                  </pic:nvPicPr>
                  <pic:blipFill>
                    <a:blip r:embed="rId501"/>
                    <a:stretch>
                      <a:fillRect/>
                    </a:stretch>
                  </pic:blipFill>
                  <pic:spPr>
                    <a:xfrm>
                      <a:off x="0" y="0"/>
                      <a:ext cx="1625684" cy="654084"/>
                    </a:xfrm>
                    <a:prstGeom prst="rect">
                      <a:avLst/>
                    </a:prstGeom>
                  </pic:spPr>
                </pic:pic>
              </a:graphicData>
            </a:graphic>
          </wp:inline>
        </w:drawing>
      </w:r>
      <w:r w:rsidR="00756F0F" w:rsidRPr="00ED7E61">
        <w:rPr>
          <w:rStyle w:val="eop"/>
          <w:rFonts w:asciiTheme="majorBidi" w:eastAsiaTheme="majorEastAsia" w:hAnsiTheme="majorBidi" w:cstheme="majorBidi"/>
          <w:color w:val="242424"/>
          <w:sz w:val="22"/>
          <w:szCs w:val="22"/>
        </w:rPr>
        <w:t> </w:t>
      </w:r>
    </w:p>
    <w:p w14:paraId="695A24C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242424"/>
          <w:sz w:val="22"/>
          <w:szCs w:val="22"/>
          <w:lang w:val="en-GB"/>
        </w:rPr>
        <w:t>Sub-indicator 3 – Proportion of forest area within legally established protected areas</w:t>
      </w:r>
      <w:r w:rsidRPr="00ED7E61">
        <w:rPr>
          <w:rStyle w:val="eop"/>
          <w:rFonts w:asciiTheme="majorBidi" w:eastAsiaTheme="majorEastAsia" w:hAnsiTheme="majorBidi" w:cstheme="majorBidi"/>
          <w:color w:val="242424"/>
          <w:sz w:val="22"/>
          <w:szCs w:val="22"/>
        </w:rPr>
        <w:t> </w:t>
      </w:r>
    </w:p>
    <w:p w14:paraId="4241D31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Unit</w:t>
      </w:r>
      <w:r w:rsidRPr="00ED7E61">
        <w:rPr>
          <w:rStyle w:val="normaltextrun"/>
          <w:rFonts w:asciiTheme="majorBidi" w:eastAsiaTheme="majorEastAsia" w:hAnsiTheme="majorBidi" w:cstheme="majorBidi"/>
          <w:color w:val="242424"/>
          <w:sz w:val="22"/>
          <w:szCs w:val="22"/>
          <w:lang w:val="en-GB"/>
        </w:rPr>
        <w:t>: Percent</w:t>
      </w:r>
      <w:r w:rsidRPr="00ED7E61">
        <w:rPr>
          <w:rStyle w:val="eop"/>
          <w:rFonts w:asciiTheme="majorBidi" w:eastAsiaTheme="majorEastAsia" w:hAnsiTheme="majorBidi" w:cstheme="majorBidi"/>
          <w:color w:val="242424"/>
          <w:sz w:val="22"/>
          <w:szCs w:val="22"/>
        </w:rPr>
        <w:t> </w:t>
      </w:r>
    </w:p>
    <w:p w14:paraId="724BE94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Reference year</w:t>
      </w:r>
      <w:r w:rsidRPr="00ED7E61">
        <w:rPr>
          <w:rStyle w:val="normaltextrun"/>
          <w:rFonts w:asciiTheme="majorBidi" w:eastAsiaTheme="majorEastAsia" w:hAnsiTheme="majorBidi" w:cstheme="majorBidi"/>
          <w:color w:val="242424"/>
          <w:sz w:val="22"/>
          <w:szCs w:val="22"/>
          <w:lang w:val="en-GB"/>
        </w:rPr>
        <w:t>: Latest reporting year</w:t>
      </w:r>
      <w:r w:rsidRPr="00ED7E61">
        <w:rPr>
          <w:rStyle w:val="eop"/>
          <w:rFonts w:asciiTheme="majorBidi" w:eastAsiaTheme="majorEastAsia" w:hAnsiTheme="majorBidi" w:cstheme="majorBidi"/>
          <w:color w:val="242424"/>
          <w:sz w:val="22"/>
          <w:szCs w:val="22"/>
        </w:rPr>
        <w:t> </w:t>
      </w:r>
    </w:p>
    <w:p w14:paraId="654227E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Method of estimation</w:t>
      </w:r>
      <w:r w:rsidRPr="00ED7E61">
        <w:rPr>
          <w:rStyle w:val="normaltextrun"/>
          <w:rFonts w:asciiTheme="majorBidi" w:eastAsiaTheme="majorEastAsia" w:hAnsiTheme="majorBidi" w:cstheme="majorBidi"/>
          <w:color w:val="242424"/>
          <w:sz w:val="22"/>
          <w:szCs w:val="22"/>
          <w:lang w:val="en-GB"/>
        </w:rPr>
        <w:t>:</w:t>
      </w:r>
      <w:r w:rsidRPr="00ED7E61">
        <w:rPr>
          <w:rStyle w:val="eop"/>
          <w:rFonts w:asciiTheme="majorBidi" w:eastAsiaTheme="majorEastAsia" w:hAnsiTheme="majorBidi" w:cstheme="majorBidi"/>
          <w:color w:val="242424"/>
          <w:sz w:val="22"/>
          <w:szCs w:val="22"/>
        </w:rPr>
        <w:t> </w:t>
      </w:r>
    </w:p>
    <w:p w14:paraId="3601CFB7" w14:textId="36A5D061" w:rsidR="00756F0F" w:rsidRPr="00ED7E61" w:rsidRDefault="0040571C" w:rsidP="005B0D1E">
      <w:pPr>
        <w:pStyle w:val="paragraph"/>
        <w:spacing w:before="0" w:beforeAutospacing="0" w:after="0" w:afterAutospacing="0"/>
        <w:ind w:firstLine="72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noProof/>
          <w:color w:val="242424"/>
          <w:sz w:val="22"/>
          <w:szCs w:val="22"/>
          <w:lang w:val="fr-FR" w:eastAsia="fr-FR"/>
        </w:rPr>
        <w:drawing>
          <wp:inline distT="0" distB="0" distL="0" distR="0" wp14:anchorId="5BBC5ED5" wp14:editId="42C05A55">
            <wp:extent cx="2101958" cy="520727"/>
            <wp:effectExtent l="0" t="0" r="0" b="0"/>
            <wp:docPr id="891390062" name="Picture 1" descr="A black text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0062" name="Picture 1" descr="A black text with a black line&#10;&#10;Description automatically generated"/>
                    <pic:cNvPicPr/>
                  </pic:nvPicPr>
                  <pic:blipFill>
                    <a:blip r:embed="rId502"/>
                    <a:stretch>
                      <a:fillRect/>
                    </a:stretch>
                  </pic:blipFill>
                  <pic:spPr>
                    <a:xfrm>
                      <a:off x="0" y="0"/>
                      <a:ext cx="2101958" cy="520727"/>
                    </a:xfrm>
                    <a:prstGeom prst="rect">
                      <a:avLst/>
                    </a:prstGeom>
                  </pic:spPr>
                </pic:pic>
              </a:graphicData>
            </a:graphic>
          </wp:inline>
        </w:drawing>
      </w:r>
    </w:p>
    <w:p w14:paraId="7E8A708D" w14:textId="77777777" w:rsidR="00756F0F" w:rsidRPr="00ED7E61" w:rsidRDefault="00756F0F" w:rsidP="00395866">
      <w:pPr>
        <w:pStyle w:val="paragraph"/>
        <w:spacing w:before="0" w:beforeAutospacing="0" w:after="0" w:afterAutospacing="0"/>
        <w:ind w:firstLine="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lang w:val="en-GB"/>
        </w:rPr>
        <w:t>Where:</w:t>
      </w:r>
      <w:r w:rsidRPr="00ED7E61">
        <w:rPr>
          <w:rStyle w:val="eop"/>
          <w:rFonts w:asciiTheme="majorBidi" w:eastAsiaTheme="majorEastAsia" w:hAnsiTheme="majorBidi" w:cstheme="majorBidi"/>
          <w:color w:val="242424"/>
          <w:sz w:val="22"/>
          <w:szCs w:val="22"/>
        </w:rPr>
        <w:t> </w:t>
      </w:r>
    </w:p>
    <w:p w14:paraId="200CBF98" w14:textId="77777777" w:rsidR="00756F0F" w:rsidRPr="00ED7E61" w:rsidRDefault="00756F0F" w:rsidP="00395866">
      <w:pPr>
        <w:pStyle w:val="paragraph"/>
        <w:spacing w:before="0" w:beforeAutospacing="0" w:after="0" w:afterAutospacing="0"/>
        <w:ind w:firstLine="144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242424"/>
          <w:sz w:val="22"/>
          <w:szCs w:val="22"/>
          <w:lang w:val="en-GB"/>
        </w:rPr>
        <w:t xml:space="preserve">AFP </w:t>
      </w:r>
      <w:r w:rsidRPr="00ED7E61">
        <w:rPr>
          <w:rStyle w:val="normaltextrun"/>
          <w:rFonts w:asciiTheme="majorBidi" w:eastAsiaTheme="majorEastAsia" w:hAnsiTheme="majorBidi" w:cstheme="majorBidi"/>
          <w:color w:val="242424"/>
          <w:sz w:val="22"/>
          <w:szCs w:val="22"/>
          <w:lang w:val="en-GB"/>
        </w:rPr>
        <w:t>= Forest area within legally established protected areas</w:t>
      </w:r>
      <w:r w:rsidRPr="00ED7E61">
        <w:rPr>
          <w:rStyle w:val="eop"/>
          <w:rFonts w:asciiTheme="majorBidi" w:eastAsiaTheme="majorEastAsia" w:hAnsiTheme="majorBidi" w:cstheme="majorBidi"/>
          <w:color w:val="242424"/>
          <w:sz w:val="22"/>
          <w:szCs w:val="22"/>
        </w:rPr>
        <w:t> </w:t>
      </w:r>
    </w:p>
    <w:p w14:paraId="241EF320" w14:textId="77777777" w:rsidR="00756F0F" w:rsidRPr="00ED7E61" w:rsidRDefault="00756F0F" w:rsidP="00395866">
      <w:pPr>
        <w:pStyle w:val="paragraph"/>
        <w:spacing w:before="0" w:beforeAutospacing="0" w:after="0" w:afterAutospacing="0"/>
        <w:ind w:left="720" w:firstLine="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242424"/>
          <w:sz w:val="22"/>
          <w:szCs w:val="22"/>
          <w:lang w:val="en-GB"/>
        </w:rPr>
        <w:t xml:space="preserve">AF </w:t>
      </w:r>
      <w:r w:rsidRPr="00ED7E61">
        <w:rPr>
          <w:rStyle w:val="normaltextrun"/>
          <w:rFonts w:asciiTheme="majorBidi" w:eastAsiaTheme="majorEastAsia" w:hAnsiTheme="majorBidi" w:cstheme="majorBidi"/>
          <w:color w:val="242424"/>
          <w:sz w:val="22"/>
          <w:szCs w:val="22"/>
          <w:lang w:val="en-GB"/>
        </w:rPr>
        <w:t>= Total forest area</w:t>
      </w:r>
      <w:r w:rsidRPr="00ED7E61">
        <w:rPr>
          <w:rStyle w:val="eop"/>
          <w:rFonts w:asciiTheme="majorBidi" w:eastAsiaTheme="majorEastAsia" w:hAnsiTheme="majorBidi" w:cstheme="majorBidi"/>
          <w:color w:val="242424"/>
          <w:sz w:val="22"/>
          <w:szCs w:val="22"/>
        </w:rPr>
        <w:t> </w:t>
      </w:r>
    </w:p>
    <w:p w14:paraId="5261E25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Translation to dashboard/traffic light:</w:t>
      </w:r>
      <w:r w:rsidRPr="00ED7E61">
        <w:rPr>
          <w:rStyle w:val="eop"/>
          <w:rFonts w:asciiTheme="majorBidi" w:eastAsiaTheme="majorEastAsia" w:hAnsiTheme="majorBidi" w:cstheme="majorBidi"/>
          <w:color w:val="242424"/>
          <w:sz w:val="22"/>
          <w:szCs w:val="22"/>
        </w:rPr>
        <w:t> </w:t>
      </w:r>
    </w:p>
    <w:p w14:paraId="1035545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lang w:val="en-GB"/>
        </w:rPr>
        <w:t>The indicator value for latest reporting year is compared with the indicator value reported for 2010.</w:t>
      </w:r>
      <w:r w:rsidRPr="00ED7E61">
        <w:rPr>
          <w:rStyle w:val="eop"/>
          <w:rFonts w:asciiTheme="majorBidi" w:eastAsiaTheme="majorEastAsia" w:hAnsiTheme="majorBidi" w:cstheme="majorBidi"/>
          <w:color w:val="242424"/>
          <w:sz w:val="22"/>
          <w:szCs w:val="22"/>
        </w:rPr>
        <w:t> </w:t>
      </w:r>
    </w:p>
    <w:p w14:paraId="68F23A11" w14:textId="437ADC1F" w:rsidR="00756F0F" w:rsidRPr="00ED7E61" w:rsidRDefault="00756F0F" w:rsidP="00B10F0C">
      <w:pPr>
        <w:pStyle w:val="CBDNormalNumber"/>
        <w:numPr>
          <w:ilvl w:val="0"/>
          <w:numId w:val="84"/>
        </w:numPr>
        <w:shd w:val="clear" w:color="auto" w:fill="FFFFFF"/>
        <w:ind w:left="567" w:firstLine="0"/>
        <w:rPr>
          <w:rStyle w:val="eop"/>
          <w:rFonts w:asciiTheme="majorBidi" w:hAnsiTheme="majorBidi" w:cstheme="majorBidi"/>
        </w:rPr>
      </w:pPr>
      <w:r w:rsidRPr="00ED7E61">
        <w:rPr>
          <w:rStyle w:val="normaltextrun"/>
          <w:rFonts w:asciiTheme="majorBidi" w:eastAsiaTheme="majorEastAsia" w:hAnsiTheme="majorBidi" w:cstheme="majorBidi"/>
          <w:color w:val="242424"/>
        </w:rPr>
        <w:t xml:space="preserve">The ratio (r) between the current indicator value and the value reported for 2010 is calculated; r&gt;1 means an increase in forest area within protected areas, r&lt;1 means a decrease while 1 indicates no change. A narrow interval for r has been established to indicate a stable condition, and traffic-light </w:t>
      </w:r>
      <w:r w:rsidR="00C24132" w:rsidRPr="00ED7E61">
        <w:rPr>
          <w:rStyle w:val="normaltextrun"/>
          <w:rFonts w:asciiTheme="majorBidi" w:eastAsiaTheme="majorEastAsia" w:hAnsiTheme="majorBidi" w:cstheme="majorBidi"/>
          <w:color w:val="242424"/>
        </w:rPr>
        <w:t>colours</w:t>
      </w:r>
      <w:r w:rsidRPr="00ED7E61">
        <w:rPr>
          <w:rStyle w:val="normaltextrun"/>
          <w:rFonts w:asciiTheme="majorBidi" w:eastAsiaTheme="majorEastAsia" w:hAnsiTheme="majorBidi" w:cstheme="majorBidi"/>
          <w:color w:val="242424"/>
        </w:rPr>
        <w:t xml:space="preserve"> are assigned as follows:</w:t>
      </w:r>
      <w:r w:rsidRPr="00ED7E61">
        <w:rPr>
          <w:rStyle w:val="eop"/>
          <w:rFonts w:asciiTheme="majorBidi" w:eastAsiaTheme="majorEastAsia" w:hAnsiTheme="majorBidi" w:cstheme="majorBidi"/>
          <w:color w:val="242424"/>
        </w:rPr>
        <w:t> </w:t>
      </w:r>
    </w:p>
    <w:p w14:paraId="0D8BAEDF" w14:textId="3CC27BDE" w:rsidR="0040571C" w:rsidRPr="00ED7E61" w:rsidRDefault="0040571C" w:rsidP="005B0D1E">
      <w:pPr>
        <w:pStyle w:val="CBDNormalNumber"/>
        <w:shd w:val="clear" w:color="auto" w:fill="FFFFFF"/>
        <w:jc w:val="center"/>
        <w:rPr>
          <w:rFonts w:asciiTheme="majorBidi" w:hAnsiTheme="majorBidi" w:cstheme="majorBidi"/>
        </w:rPr>
      </w:pPr>
      <w:r w:rsidRPr="00ED7E61">
        <w:rPr>
          <w:rFonts w:asciiTheme="majorBidi" w:hAnsiTheme="majorBidi" w:cstheme="majorBidi"/>
          <w:noProof/>
          <w:lang w:val="fr-FR" w:eastAsia="fr-FR"/>
        </w:rPr>
        <w:drawing>
          <wp:inline distT="0" distB="0" distL="0" distR="0" wp14:anchorId="0C16C074" wp14:editId="12102F31">
            <wp:extent cx="1568531" cy="685835"/>
            <wp:effectExtent l="0" t="0" r="0" b="0"/>
            <wp:docPr id="780008176" name="Picture 1"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08176" name="Picture 1" descr="A number on a white background&#10;&#10;Description automatically generated"/>
                    <pic:cNvPicPr/>
                  </pic:nvPicPr>
                  <pic:blipFill>
                    <a:blip r:embed="rId503"/>
                    <a:stretch>
                      <a:fillRect/>
                    </a:stretch>
                  </pic:blipFill>
                  <pic:spPr>
                    <a:xfrm>
                      <a:off x="0" y="0"/>
                      <a:ext cx="1568531" cy="685835"/>
                    </a:xfrm>
                    <a:prstGeom prst="rect">
                      <a:avLst/>
                    </a:prstGeom>
                  </pic:spPr>
                </pic:pic>
              </a:graphicData>
            </a:graphic>
          </wp:inline>
        </w:drawing>
      </w:r>
    </w:p>
    <w:p w14:paraId="3BF8AA09" w14:textId="77777777" w:rsidR="00756F0F" w:rsidRPr="00ED7E61" w:rsidRDefault="00756F0F" w:rsidP="00BB7BA7">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Comment:</w:t>
      </w:r>
      <w:r w:rsidRPr="00ED7E61">
        <w:rPr>
          <w:rStyle w:val="eop"/>
          <w:rFonts w:asciiTheme="majorBidi" w:eastAsiaTheme="majorEastAsia" w:hAnsiTheme="majorBidi" w:cstheme="majorBidi"/>
          <w:color w:val="242424"/>
          <w:sz w:val="22"/>
          <w:szCs w:val="22"/>
        </w:rPr>
        <w:t> </w:t>
      </w:r>
    </w:p>
    <w:p w14:paraId="4D9FFACD"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Using forest area in 2015 as denominator for estimating this indicator ensures that the time series of percentages reflect real changes in the forest area within legally established protected areas and is not affected by changes (losses or gains) in total forest area.</w:t>
      </w:r>
      <w:r w:rsidRPr="00ED7E61">
        <w:rPr>
          <w:rStyle w:val="normaltextrun"/>
        </w:rPr>
        <w:t> </w:t>
      </w:r>
    </w:p>
    <w:p w14:paraId="0D657B0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242424"/>
          <w:sz w:val="22"/>
          <w:szCs w:val="22"/>
          <w:lang w:val="en-GB"/>
        </w:rPr>
        <w:t>Sub-indicator 4 – Proportion of forest area under a long-term forest management plan</w:t>
      </w:r>
      <w:r w:rsidRPr="00ED7E61">
        <w:rPr>
          <w:rStyle w:val="eop"/>
          <w:rFonts w:asciiTheme="majorBidi" w:eastAsiaTheme="majorEastAsia" w:hAnsiTheme="majorBidi" w:cstheme="majorBidi"/>
          <w:color w:val="242424"/>
          <w:sz w:val="22"/>
          <w:szCs w:val="22"/>
        </w:rPr>
        <w:t> </w:t>
      </w:r>
    </w:p>
    <w:p w14:paraId="092D1B8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Unit</w:t>
      </w:r>
      <w:r w:rsidRPr="00ED7E61">
        <w:rPr>
          <w:rStyle w:val="normaltextrun"/>
          <w:rFonts w:asciiTheme="majorBidi" w:eastAsiaTheme="majorEastAsia" w:hAnsiTheme="majorBidi" w:cstheme="majorBidi"/>
          <w:color w:val="242424"/>
          <w:sz w:val="22"/>
          <w:szCs w:val="22"/>
          <w:lang w:val="en-GB"/>
        </w:rPr>
        <w:t>: Percent</w:t>
      </w:r>
      <w:r w:rsidRPr="00ED7E61">
        <w:rPr>
          <w:rStyle w:val="eop"/>
          <w:rFonts w:asciiTheme="majorBidi" w:eastAsiaTheme="majorEastAsia" w:hAnsiTheme="majorBidi" w:cstheme="majorBidi"/>
          <w:color w:val="242424"/>
          <w:sz w:val="22"/>
          <w:szCs w:val="22"/>
        </w:rPr>
        <w:t> </w:t>
      </w:r>
    </w:p>
    <w:p w14:paraId="2286B48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Reference year:</w:t>
      </w:r>
      <w:r w:rsidRPr="00ED7E61">
        <w:rPr>
          <w:rStyle w:val="normaltextrun"/>
          <w:rFonts w:asciiTheme="majorBidi" w:eastAsiaTheme="majorEastAsia" w:hAnsiTheme="majorBidi" w:cstheme="majorBidi"/>
          <w:color w:val="242424"/>
          <w:sz w:val="22"/>
          <w:szCs w:val="22"/>
          <w:lang w:val="en-GB"/>
        </w:rPr>
        <w:t> Latest reporting year</w:t>
      </w:r>
      <w:r w:rsidRPr="00ED7E61">
        <w:rPr>
          <w:rStyle w:val="eop"/>
          <w:rFonts w:asciiTheme="majorBidi" w:eastAsiaTheme="majorEastAsia" w:hAnsiTheme="majorBidi" w:cstheme="majorBidi"/>
          <w:color w:val="242424"/>
          <w:sz w:val="22"/>
          <w:szCs w:val="22"/>
        </w:rPr>
        <w:t> </w:t>
      </w:r>
    </w:p>
    <w:p w14:paraId="24C99E9A" w14:textId="77777777" w:rsidR="00756F0F" w:rsidRPr="00ED7E61" w:rsidRDefault="00756F0F" w:rsidP="00395866">
      <w:pPr>
        <w:pStyle w:val="paragraph"/>
        <w:spacing w:before="0" w:beforeAutospacing="0" w:after="0" w:afterAutospacing="0"/>
        <w:textAlignment w:val="baseline"/>
        <w:rPr>
          <w:rStyle w:val="eop"/>
          <w:rFonts w:asciiTheme="majorBidi" w:eastAsiaTheme="majorEastAsia" w:hAnsiTheme="majorBidi" w:cstheme="majorBidi"/>
          <w:color w:val="242424"/>
          <w:sz w:val="22"/>
          <w:szCs w:val="22"/>
        </w:rPr>
      </w:pPr>
      <w:r w:rsidRPr="00ED7E61">
        <w:rPr>
          <w:rStyle w:val="normaltextrun"/>
          <w:rFonts w:asciiTheme="majorBidi" w:eastAsiaTheme="majorEastAsia" w:hAnsiTheme="majorBidi" w:cstheme="majorBidi"/>
          <w:color w:val="242424"/>
          <w:sz w:val="22"/>
          <w:szCs w:val="22"/>
          <w:u w:val="single"/>
          <w:lang w:val="en-GB"/>
        </w:rPr>
        <w:t>Method of estimation:</w:t>
      </w:r>
      <w:r w:rsidRPr="00ED7E61">
        <w:rPr>
          <w:rStyle w:val="eop"/>
          <w:rFonts w:asciiTheme="majorBidi" w:eastAsiaTheme="majorEastAsia" w:hAnsiTheme="majorBidi" w:cstheme="majorBidi"/>
          <w:color w:val="242424"/>
          <w:sz w:val="22"/>
          <w:szCs w:val="22"/>
        </w:rPr>
        <w:t> </w:t>
      </w:r>
    </w:p>
    <w:p w14:paraId="794DD658" w14:textId="17BF1E1F" w:rsidR="0040571C" w:rsidRPr="00ED7E61" w:rsidRDefault="0040571C" w:rsidP="005B0D1E">
      <w:pPr>
        <w:pStyle w:val="paragraph"/>
        <w:spacing w:before="0" w:beforeAutospacing="0" w:after="0" w:afterAutospacing="0"/>
        <w:jc w:val="center"/>
        <w:textAlignment w:val="baseline"/>
        <w:rPr>
          <w:rFonts w:asciiTheme="majorBidi" w:hAnsiTheme="majorBidi" w:cstheme="majorBidi"/>
          <w:sz w:val="22"/>
          <w:szCs w:val="22"/>
        </w:rPr>
      </w:pPr>
      <w:r w:rsidRPr="00ED7E61">
        <w:rPr>
          <w:rFonts w:asciiTheme="majorBidi" w:hAnsiTheme="majorBidi" w:cstheme="majorBidi"/>
          <w:noProof/>
          <w:sz w:val="22"/>
          <w:szCs w:val="22"/>
          <w:lang w:val="fr-FR" w:eastAsia="fr-FR"/>
        </w:rPr>
        <w:drawing>
          <wp:inline distT="0" distB="0" distL="0" distR="0" wp14:anchorId="19F3482E" wp14:editId="0E81E264">
            <wp:extent cx="2197213" cy="520727"/>
            <wp:effectExtent l="0" t="0" r="0" b="0"/>
            <wp:docPr id="143765066" name="Picture 1" descr="A black text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5066" name="Picture 1" descr="A black text with a black line&#10;&#10;Description automatically generated"/>
                    <pic:cNvPicPr/>
                  </pic:nvPicPr>
                  <pic:blipFill>
                    <a:blip r:embed="rId504"/>
                    <a:stretch>
                      <a:fillRect/>
                    </a:stretch>
                  </pic:blipFill>
                  <pic:spPr>
                    <a:xfrm>
                      <a:off x="0" y="0"/>
                      <a:ext cx="2197213" cy="520727"/>
                    </a:xfrm>
                    <a:prstGeom prst="rect">
                      <a:avLst/>
                    </a:prstGeom>
                  </pic:spPr>
                </pic:pic>
              </a:graphicData>
            </a:graphic>
          </wp:inline>
        </w:drawing>
      </w:r>
    </w:p>
    <w:p w14:paraId="65D64CD0" w14:textId="77777777" w:rsidR="00756F0F" w:rsidRPr="00ED7E61" w:rsidRDefault="00756F0F" w:rsidP="00395866">
      <w:pPr>
        <w:pStyle w:val="paragraph"/>
        <w:spacing w:before="0" w:beforeAutospacing="0" w:after="0" w:afterAutospacing="0"/>
        <w:ind w:firstLine="720"/>
        <w:textAlignment w:val="baseline"/>
        <w:rPr>
          <w:rFonts w:asciiTheme="majorBidi" w:hAnsiTheme="majorBidi" w:cstheme="majorBidi"/>
          <w:sz w:val="22"/>
          <w:szCs w:val="22"/>
        </w:rPr>
      </w:pPr>
      <w:r w:rsidRPr="00ED7E61">
        <w:rPr>
          <w:rStyle w:val="eop"/>
          <w:rFonts w:asciiTheme="majorBidi" w:eastAsiaTheme="majorEastAsia" w:hAnsiTheme="majorBidi" w:cstheme="majorBidi"/>
          <w:color w:val="242424"/>
          <w:sz w:val="22"/>
          <w:szCs w:val="22"/>
        </w:rPr>
        <w:t> </w:t>
      </w:r>
    </w:p>
    <w:p w14:paraId="694DC3B7" w14:textId="77777777" w:rsidR="00756F0F" w:rsidRPr="00ED7E61" w:rsidRDefault="00756F0F" w:rsidP="00395866">
      <w:pPr>
        <w:pStyle w:val="paragraph"/>
        <w:spacing w:before="0" w:beforeAutospacing="0" w:after="0" w:afterAutospacing="0"/>
        <w:ind w:firstLine="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lang w:val="en-GB"/>
        </w:rPr>
        <w:t>Where:</w:t>
      </w:r>
      <w:r w:rsidRPr="00ED7E61">
        <w:rPr>
          <w:rStyle w:val="eop"/>
          <w:rFonts w:asciiTheme="majorBidi" w:eastAsiaTheme="majorEastAsia" w:hAnsiTheme="majorBidi" w:cstheme="majorBidi"/>
          <w:color w:val="242424"/>
          <w:sz w:val="22"/>
          <w:szCs w:val="22"/>
        </w:rPr>
        <w:t> </w:t>
      </w:r>
    </w:p>
    <w:p w14:paraId="675A42DB" w14:textId="77777777" w:rsidR="00756F0F" w:rsidRPr="00ED7E61" w:rsidRDefault="00756F0F" w:rsidP="00395866">
      <w:pPr>
        <w:pStyle w:val="paragraph"/>
        <w:spacing w:before="0" w:beforeAutospacing="0" w:after="0" w:afterAutospacing="0"/>
        <w:ind w:left="720" w:firstLine="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242424"/>
          <w:sz w:val="22"/>
          <w:szCs w:val="22"/>
          <w:lang w:val="en-GB"/>
        </w:rPr>
        <w:t>AFMP</w:t>
      </w:r>
      <w:r w:rsidRPr="00ED7E61">
        <w:rPr>
          <w:rStyle w:val="normaltextrun"/>
          <w:rFonts w:asciiTheme="majorBidi" w:eastAsiaTheme="majorEastAsia" w:hAnsiTheme="majorBidi" w:cstheme="majorBidi"/>
          <w:color w:val="242424"/>
          <w:sz w:val="22"/>
          <w:szCs w:val="22"/>
          <w:lang w:val="en-GB"/>
        </w:rPr>
        <w:t> = Forest area under a long-term management plan</w:t>
      </w:r>
      <w:r w:rsidRPr="00ED7E61">
        <w:rPr>
          <w:rStyle w:val="eop"/>
          <w:rFonts w:asciiTheme="majorBidi" w:eastAsiaTheme="majorEastAsia" w:hAnsiTheme="majorBidi" w:cstheme="majorBidi"/>
          <w:color w:val="242424"/>
          <w:sz w:val="22"/>
          <w:szCs w:val="22"/>
        </w:rPr>
        <w:t> </w:t>
      </w:r>
    </w:p>
    <w:p w14:paraId="0CC3C3AC" w14:textId="77777777" w:rsidR="00756F0F" w:rsidRPr="00ED7E61" w:rsidRDefault="00756F0F" w:rsidP="00395866">
      <w:pPr>
        <w:pStyle w:val="paragraph"/>
        <w:spacing w:before="0" w:beforeAutospacing="0" w:after="0" w:afterAutospacing="0"/>
        <w:ind w:left="720" w:firstLine="72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242424"/>
          <w:sz w:val="22"/>
          <w:szCs w:val="22"/>
          <w:lang w:val="en-GB"/>
        </w:rPr>
        <w:t>AF</w:t>
      </w:r>
      <w:r w:rsidRPr="00ED7E61">
        <w:rPr>
          <w:rStyle w:val="normaltextrun"/>
          <w:rFonts w:asciiTheme="majorBidi" w:eastAsiaTheme="majorEastAsia" w:hAnsiTheme="majorBidi" w:cstheme="majorBidi"/>
          <w:color w:val="242424"/>
          <w:sz w:val="22"/>
          <w:szCs w:val="22"/>
          <w:lang w:val="en-GB"/>
        </w:rPr>
        <w:t> = Total forest area</w:t>
      </w:r>
      <w:r w:rsidRPr="00ED7E61">
        <w:rPr>
          <w:rStyle w:val="eop"/>
          <w:rFonts w:asciiTheme="majorBidi" w:eastAsiaTheme="majorEastAsia" w:hAnsiTheme="majorBidi" w:cstheme="majorBidi"/>
          <w:color w:val="242424"/>
          <w:sz w:val="22"/>
          <w:szCs w:val="22"/>
        </w:rPr>
        <w:t> </w:t>
      </w:r>
    </w:p>
    <w:p w14:paraId="4D36577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Translation to dashboard/traffic light: </w:t>
      </w:r>
      <w:r w:rsidRPr="00ED7E61">
        <w:rPr>
          <w:rStyle w:val="normaltextrun"/>
          <w:rFonts w:asciiTheme="majorBidi" w:eastAsiaTheme="majorEastAsia" w:hAnsiTheme="majorBidi" w:cstheme="majorBidi"/>
          <w:color w:val="242424"/>
          <w:sz w:val="22"/>
          <w:szCs w:val="22"/>
          <w:lang w:val="en-GB"/>
        </w:rPr>
        <w:t>The indicator value for latest reporting year is compared with the indicator value for previous reporting year for assessment of continuity of progress since last report.</w:t>
      </w:r>
      <w:r w:rsidRPr="00ED7E61">
        <w:rPr>
          <w:rStyle w:val="eop"/>
          <w:rFonts w:asciiTheme="majorBidi" w:eastAsiaTheme="majorEastAsia" w:hAnsiTheme="majorBidi" w:cstheme="majorBidi"/>
          <w:color w:val="242424"/>
          <w:sz w:val="22"/>
          <w:szCs w:val="22"/>
        </w:rPr>
        <w:t> </w:t>
      </w:r>
    </w:p>
    <w:p w14:paraId="38C6D3CA" w14:textId="5B5B70B8" w:rsidR="00756F0F" w:rsidRPr="00ED7E61" w:rsidRDefault="00756F0F" w:rsidP="00395866">
      <w:pPr>
        <w:pStyle w:val="paragraph"/>
        <w:spacing w:before="0" w:beforeAutospacing="0" w:after="0" w:afterAutospacing="0"/>
        <w:textAlignment w:val="baseline"/>
        <w:rPr>
          <w:rStyle w:val="eop"/>
          <w:rFonts w:asciiTheme="majorBidi" w:eastAsiaTheme="majorEastAsia" w:hAnsiTheme="majorBidi" w:cstheme="majorBidi"/>
          <w:color w:val="242424"/>
          <w:sz w:val="22"/>
          <w:szCs w:val="22"/>
        </w:rPr>
      </w:pPr>
      <w:r w:rsidRPr="00ED7E61">
        <w:rPr>
          <w:rStyle w:val="normaltextrun"/>
          <w:rFonts w:asciiTheme="majorBidi" w:eastAsiaTheme="majorEastAsia" w:hAnsiTheme="majorBidi" w:cstheme="majorBidi"/>
          <w:color w:val="242424"/>
          <w:sz w:val="22"/>
          <w:szCs w:val="22"/>
          <w:lang w:val="en-GB"/>
        </w:rPr>
        <w:t xml:space="preserve">The ratio (r) between the current indicator value and the value reported for 2010 is calculated; r&gt;1 means an increase in areas under forest management plan, r&lt;1 means a decrease while 1 indicates no change. A narrow interval for r has been established to indicate a stable condition, and traffic-light </w:t>
      </w:r>
      <w:r w:rsidR="00C24132" w:rsidRPr="00ED7E61">
        <w:rPr>
          <w:rStyle w:val="normaltextrun"/>
          <w:rFonts w:asciiTheme="majorBidi" w:eastAsiaTheme="majorEastAsia" w:hAnsiTheme="majorBidi" w:cstheme="majorBidi"/>
          <w:color w:val="242424"/>
          <w:sz w:val="22"/>
          <w:szCs w:val="22"/>
          <w:lang w:val="en-GB"/>
        </w:rPr>
        <w:t>colours</w:t>
      </w:r>
      <w:r w:rsidRPr="00ED7E61">
        <w:rPr>
          <w:rStyle w:val="normaltextrun"/>
          <w:rFonts w:asciiTheme="majorBidi" w:eastAsiaTheme="majorEastAsia" w:hAnsiTheme="majorBidi" w:cstheme="majorBidi"/>
          <w:color w:val="242424"/>
          <w:sz w:val="22"/>
          <w:szCs w:val="22"/>
          <w:lang w:val="en-GB"/>
        </w:rPr>
        <w:t xml:space="preserve"> are assigned as follows:</w:t>
      </w:r>
      <w:r w:rsidRPr="00ED7E61">
        <w:rPr>
          <w:rStyle w:val="eop"/>
          <w:rFonts w:asciiTheme="majorBidi" w:eastAsiaTheme="majorEastAsia" w:hAnsiTheme="majorBidi" w:cstheme="majorBidi"/>
          <w:color w:val="242424"/>
          <w:sz w:val="22"/>
          <w:szCs w:val="22"/>
        </w:rPr>
        <w:t> </w:t>
      </w:r>
    </w:p>
    <w:p w14:paraId="400EAFFA" w14:textId="637646C7" w:rsidR="0040571C" w:rsidRPr="00ED7E61" w:rsidRDefault="0040571C" w:rsidP="005B0D1E">
      <w:pPr>
        <w:pStyle w:val="paragraph"/>
        <w:spacing w:before="0" w:beforeAutospacing="0" w:after="0" w:afterAutospacing="0"/>
        <w:jc w:val="center"/>
        <w:textAlignment w:val="baseline"/>
        <w:rPr>
          <w:rFonts w:asciiTheme="majorBidi" w:hAnsiTheme="majorBidi" w:cstheme="majorBidi"/>
          <w:sz w:val="22"/>
          <w:szCs w:val="22"/>
        </w:rPr>
      </w:pPr>
      <w:r w:rsidRPr="00ED7E61">
        <w:rPr>
          <w:rFonts w:asciiTheme="majorBidi" w:hAnsiTheme="majorBidi" w:cstheme="majorBidi"/>
          <w:noProof/>
          <w:sz w:val="22"/>
          <w:szCs w:val="22"/>
          <w:lang w:val="fr-FR" w:eastAsia="fr-FR"/>
        </w:rPr>
        <w:drawing>
          <wp:inline distT="0" distB="0" distL="0" distR="0" wp14:anchorId="4B863841" wp14:editId="36CCD762">
            <wp:extent cx="1644735" cy="635033"/>
            <wp:effectExtent l="0" t="0" r="0" b="0"/>
            <wp:docPr id="96264808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48083" name="Picture 1" descr="A black text on a white background&#10;&#10;Description automatically generated"/>
                    <pic:cNvPicPr/>
                  </pic:nvPicPr>
                  <pic:blipFill>
                    <a:blip r:embed="rId505"/>
                    <a:stretch>
                      <a:fillRect/>
                    </a:stretch>
                  </pic:blipFill>
                  <pic:spPr>
                    <a:xfrm>
                      <a:off x="0" y="0"/>
                      <a:ext cx="1644735" cy="635033"/>
                    </a:xfrm>
                    <a:prstGeom prst="rect">
                      <a:avLst/>
                    </a:prstGeom>
                  </pic:spPr>
                </pic:pic>
              </a:graphicData>
            </a:graphic>
          </wp:inline>
        </w:drawing>
      </w:r>
    </w:p>
    <w:p w14:paraId="6EA892A2" w14:textId="77777777" w:rsidR="00756F0F" w:rsidRPr="00ED7E61" w:rsidRDefault="00756F0F" w:rsidP="005B0D1E">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color w:val="242424"/>
          <w:sz w:val="22"/>
          <w:szCs w:val="22"/>
        </w:rPr>
        <w:t> </w:t>
      </w:r>
    </w:p>
    <w:p w14:paraId="540E4D9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Comment:</w:t>
      </w:r>
      <w:r w:rsidRPr="00ED7E61">
        <w:rPr>
          <w:rStyle w:val="eop"/>
          <w:rFonts w:asciiTheme="majorBidi" w:eastAsiaTheme="majorEastAsia" w:hAnsiTheme="majorBidi" w:cstheme="majorBidi"/>
          <w:color w:val="242424"/>
          <w:sz w:val="22"/>
          <w:szCs w:val="22"/>
        </w:rPr>
        <w:t> </w:t>
      </w:r>
    </w:p>
    <w:p w14:paraId="43C41DC8"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Using forest area in 2015 as denominator for estimating this indicator ensures that the time series of percentages reflect real changes in the forest area under forest management plan and is not affected by changes (losses or gains) in total forest area.</w:t>
      </w:r>
      <w:r w:rsidRPr="00ED7E61">
        <w:rPr>
          <w:rStyle w:val="eop"/>
          <w:rFonts w:asciiTheme="majorBidi" w:eastAsiaTheme="majorEastAsia" w:hAnsiTheme="majorBidi" w:cstheme="majorBidi"/>
          <w:color w:val="242424"/>
        </w:rPr>
        <w:t> </w:t>
      </w:r>
    </w:p>
    <w:p w14:paraId="55B75FC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242424"/>
          <w:sz w:val="22"/>
          <w:szCs w:val="22"/>
          <w:lang w:val="en-GB"/>
        </w:rPr>
        <w:t>Sub-indicator 5 – Forest area under an independently verified forest management certification scheme</w:t>
      </w:r>
      <w:r w:rsidRPr="00ED7E61">
        <w:rPr>
          <w:rStyle w:val="eop"/>
          <w:rFonts w:asciiTheme="majorBidi" w:eastAsiaTheme="majorEastAsia" w:hAnsiTheme="majorBidi" w:cstheme="majorBidi"/>
          <w:color w:val="242424"/>
          <w:sz w:val="22"/>
          <w:szCs w:val="22"/>
        </w:rPr>
        <w:t> </w:t>
      </w:r>
    </w:p>
    <w:p w14:paraId="76E1C16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Unit</w:t>
      </w:r>
      <w:r w:rsidRPr="00ED7E61">
        <w:rPr>
          <w:rStyle w:val="normaltextrun"/>
          <w:rFonts w:asciiTheme="majorBidi" w:eastAsiaTheme="majorEastAsia" w:hAnsiTheme="majorBidi" w:cstheme="majorBidi"/>
          <w:color w:val="242424"/>
          <w:sz w:val="22"/>
          <w:szCs w:val="22"/>
          <w:lang w:val="en-GB"/>
        </w:rPr>
        <w:t>: Thousand hectares</w:t>
      </w:r>
      <w:r w:rsidRPr="00ED7E61">
        <w:rPr>
          <w:rStyle w:val="eop"/>
          <w:rFonts w:asciiTheme="majorBidi" w:eastAsiaTheme="majorEastAsia" w:hAnsiTheme="majorBidi" w:cstheme="majorBidi"/>
          <w:color w:val="242424"/>
          <w:sz w:val="22"/>
          <w:szCs w:val="22"/>
        </w:rPr>
        <w:t> </w:t>
      </w:r>
    </w:p>
    <w:p w14:paraId="4DC6BA5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Reference year:</w:t>
      </w:r>
      <w:r w:rsidRPr="00ED7E61">
        <w:rPr>
          <w:rStyle w:val="normaltextrun"/>
          <w:rFonts w:asciiTheme="majorBidi" w:eastAsiaTheme="majorEastAsia" w:hAnsiTheme="majorBidi" w:cstheme="majorBidi"/>
          <w:color w:val="242424"/>
          <w:sz w:val="22"/>
          <w:szCs w:val="22"/>
          <w:lang w:val="en-GB"/>
        </w:rPr>
        <w:t> Latest reporting year (as of June 30)</w:t>
      </w:r>
      <w:r w:rsidRPr="00ED7E61">
        <w:rPr>
          <w:rStyle w:val="eop"/>
          <w:rFonts w:asciiTheme="majorBidi" w:eastAsiaTheme="majorEastAsia" w:hAnsiTheme="majorBidi" w:cstheme="majorBidi"/>
          <w:color w:val="242424"/>
          <w:sz w:val="22"/>
          <w:szCs w:val="22"/>
        </w:rPr>
        <w:t> </w:t>
      </w:r>
    </w:p>
    <w:p w14:paraId="5BE818C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Method of estimation:</w:t>
      </w:r>
      <w:r w:rsidRPr="00ED7E61">
        <w:rPr>
          <w:rStyle w:val="normaltextrun"/>
          <w:rFonts w:asciiTheme="majorBidi" w:eastAsiaTheme="majorEastAsia" w:hAnsiTheme="majorBidi" w:cstheme="majorBidi"/>
          <w:color w:val="242424"/>
          <w:sz w:val="22"/>
          <w:szCs w:val="22"/>
          <w:lang w:val="en-GB"/>
        </w:rPr>
        <w:t> Data is collected directly from the databases of each certification scheme and provided to countries for validation.</w:t>
      </w:r>
      <w:r w:rsidRPr="00ED7E61">
        <w:rPr>
          <w:rStyle w:val="eop"/>
          <w:rFonts w:asciiTheme="majorBidi" w:eastAsiaTheme="majorEastAsia" w:hAnsiTheme="majorBidi" w:cstheme="majorBidi"/>
          <w:color w:val="242424"/>
          <w:sz w:val="22"/>
          <w:szCs w:val="22"/>
        </w:rPr>
        <w:t> </w:t>
      </w:r>
    </w:p>
    <w:p w14:paraId="720BCE2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Translation to dashboard/traffic light:</w:t>
      </w:r>
      <w:r w:rsidRPr="00ED7E61">
        <w:rPr>
          <w:rStyle w:val="normaltextrun"/>
          <w:rFonts w:asciiTheme="majorBidi" w:eastAsiaTheme="majorEastAsia" w:hAnsiTheme="majorBidi" w:cstheme="majorBidi"/>
          <w:color w:val="242424"/>
          <w:sz w:val="22"/>
          <w:szCs w:val="22"/>
          <w:lang w:val="en-GB"/>
        </w:rPr>
        <w:t> The indicator value for latest reporting year is compared with the indicator value for previous reporting year for assessment of continuity of progress since last report.</w:t>
      </w:r>
      <w:r w:rsidRPr="00ED7E61">
        <w:rPr>
          <w:rStyle w:val="eop"/>
          <w:rFonts w:asciiTheme="majorBidi" w:eastAsiaTheme="majorEastAsia" w:hAnsiTheme="majorBidi" w:cstheme="majorBidi"/>
          <w:color w:val="242424"/>
          <w:sz w:val="22"/>
          <w:szCs w:val="22"/>
        </w:rPr>
        <w:t> </w:t>
      </w:r>
    </w:p>
    <w:p w14:paraId="49F0A707" w14:textId="5E002C6B"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lang w:val="en-GB"/>
        </w:rPr>
        <w:t xml:space="preserve">The ratio (r) between the current indicator value and the previously reported value is calculated; r&gt;1 means an increase in areas under an independent forest management certification scheme, r&lt;1 means a decrease while 1 indicates no change. A small interval for r has been established to indicate a stable condition, and traffic-light </w:t>
      </w:r>
      <w:r w:rsidR="00C24132" w:rsidRPr="00ED7E61">
        <w:rPr>
          <w:rStyle w:val="normaltextrun"/>
          <w:rFonts w:asciiTheme="majorBidi" w:eastAsiaTheme="majorEastAsia" w:hAnsiTheme="majorBidi" w:cstheme="majorBidi"/>
          <w:color w:val="242424"/>
          <w:sz w:val="22"/>
          <w:szCs w:val="22"/>
          <w:lang w:val="en-GB"/>
        </w:rPr>
        <w:t>colours</w:t>
      </w:r>
      <w:r w:rsidRPr="00ED7E61">
        <w:rPr>
          <w:rStyle w:val="normaltextrun"/>
          <w:rFonts w:asciiTheme="majorBidi" w:eastAsiaTheme="majorEastAsia" w:hAnsiTheme="majorBidi" w:cstheme="majorBidi"/>
          <w:color w:val="242424"/>
          <w:sz w:val="22"/>
          <w:szCs w:val="22"/>
          <w:lang w:val="en-GB"/>
        </w:rPr>
        <w:t xml:space="preserve"> are assigned as follows:</w:t>
      </w:r>
      <w:r w:rsidRPr="00ED7E61">
        <w:rPr>
          <w:rStyle w:val="eop"/>
          <w:rFonts w:asciiTheme="majorBidi" w:eastAsiaTheme="majorEastAsia" w:hAnsiTheme="majorBidi" w:cstheme="majorBidi"/>
          <w:color w:val="242424"/>
          <w:sz w:val="22"/>
          <w:szCs w:val="22"/>
        </w:rPr>
        <w:t> </w:t>
      </w:r>
    </w:p>
    <w:p w14:paraId="304490EF" w14:textId="200EEAEE" w:rsidR="00756F0F" w:rsidRPr="00ED7E61" w:rsidRDefault="0040571C" w:rsidP="00395866">
      <w:pPr>
        <w:pStyle w:val="paragraph"/>
        <w:spacing w:before="0" w:beforeAutospacing="0" w:after="0" w:afterAutospacing="0"/>
        <w:ind w:firstLine="72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noProof/>
          <w:color w:val="242424"/>
          <w:sz w:val="22"/>
          <w:szCs w:val="22"/>
          <w:lang w:val="fr-FR" w:eastAsia="fr-FR"/>
        </w:rPr>
        <w:drawing>
          <wp:inline distT="0" distB="0" distL="0" distR="0" wp14:anchorId="77577BBB" wp14:editId="4ACE1B83">
            <wp:extent cx="1530429" cy="685835"/>
            <wp:effectExtent l="0" t="0" r="0" b="0"/>
            <wp:docPr id="1045897140" name="Picture 1"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97140" name="Picture 1" descr="A number on a white background&#10;&#10;Description automatically generated"/>
                    <pic:cNvPicPr/>
                  </pic:nvPicPr>
                  <pic:blipFill>
                    <a:blip r:embed="rId506"/>
                    <a:stretch>
                      <a:fillRect/>
                    </a:stretch>
                  </pic:blipFill>
                  <pic:spPr>
                    <a:xfrm>
                      <a:off x="0" y="0"/>
                      <a:ext cx="1530429" cy="685835"/>
                    </a:xfrm>
                    <a:prstGeom prst="rect">
                      <a:avLst/>
                    </a:prstGeom>
                  </pic:spPr>
                </pic:pic>
              </a:graphicData>
            </a:graphic>
          </wp:inline>
        </w:drawing>
      </w:r>
      <w:r w:rsidR="00756F0F" w:rsidRPr="00ED7E61">
        <w:rPr>
          <w:rStyle w:val="eop"/>
          <w:rFonts w:asciiTheme="majorBidi" w:eastAsiaTheme="majorEastAsia" w:hAnsiTheme="majorBidi" w:cstheme="majorBidi"/>
          <w:color w:val="242424"/>
          <w:sz w:val="22"/>
          <w:szCs w:val="22"/>
        </w:rPr>
        <w:t> </w:t>
      </w:r>
    </w:p>
    <w:p w14:paraId="5178EF0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242424"/>
          <w:sz w:val="22"/>
          <w:szCs w:val="22"/>
          <w:u w:val="single"/>
          <w:lang w:val="en-GB"/>
        </w:rPr>
        <w:t>Comments:</w:t>
      </w:r>
      <w:r w:rsidRPr="00ED7E61">
        <w:rPr>
          <w:rStyle w:val="eop"/>
          <w:rFonts w:asciiTheme="majorBidi" w:eastAsiaTheme="majorEastAsia" w:hAnsiTheme="majorBidi" w:cstheme="majorBidi"/>
          <w:color w:val="242424"/>
          <w:sz w:val="22"/>
          <w:szCs w:val="22"/>
        </w:rPr>
        <w:t> </w:t>
      </w:r>
    </w:p>
    <w:p w14:paraId="2777917A"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Using June 30 as the date for reporting, allows for the certification bodies to have their databases updated so they can provide information to FAO by end of the year, and then be included in the annual reporting to SDG in the beginning of the following year.</w:t>
      </w:r>
      <w:r w:rsidRPr="00ED7E61">
        <w:rPr>
          <w:rStyle w:val="eop"/>
          <w:rFonts w:asciiTheme="majorBidi" w:eastAsiaTheme="majorEastAsia" w:hAnsiTheme="majorBidi" w:cstheme="majorBidi"/>
          <w:color w:val="242424"/>
        </w:rPr>
        <w:t> </w:t>
      </w:r>
    </w:p>
    <w:p w14:paraId="3114C14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6d.2 Additional methodological details</w:t>
      </w:r>
      <w:r w:rsidRPr="00ED7E61">
        <w:rPr>
          <w:rStyle w:val="eop"/>
          <w:rFonts w:asciiTheme="majorBidi" w:eastAsiaTheme="majorEastAsia" w:hAnsiTheme="majorBidi" w:cstheme="majorBidi"/>
          <w:sz w:val="22"/>
          <w:szCs w:val="22"/>
        </w:rPr>
        <w:t> </w:t>
      </w:r>
    </w:p>
    <w:p w14:paraId="0448617F" w14:textId="77777777" w:rsidR="00756F0F" w:rsidRPr="00ED7E61" w:rsidRDefault="00756F0F" w:rsidP="00B10F0C">
      <w:pPr>
        <w:pStyle w:val="CBDNormalNumber"/>
        <w:numPr>
          <w:ilvl w:val="0"/>
          <w:numId w:val="84"/>
        </w:numPr>
        <w:shd w:val="clear" w:color="auto" w:fill="FFFFFF"/>
        <w:ind w:left="567" w:firstLine="0"/>
        <w:rPr>
          <w:rStyle w:val="normaltextrun"/>
          <w:rFonts w:eastAsiaTheme="majorEastAsia"/>
          <w:color w:val="242424"/>
        </w:rPr>
      </w:pPr>
      <w:r w:rsidRPr="00ED7E61">
        <w:rPr>
          <w:rStyle w:val="normaltextrun"/>
          <w:rFonts w:asciiTheme="majorBidi" w:eastAsiaTheme="majorEastAsia" w:hAnsiTheme="majorBidi" w:cstheme="majorBidi"/>
          <w:color w:val="242424"/>
        </w:rPr>
        <w:t>See above</w:t>
      </w:r>
      <w:r w:rsidRPr="00ED7E61">
        <w:rPr>
          <w:rStyle w:val="normaltextrun"/>
        </w:rPr>
        <w:t> </w:t>
      </w:r>
    </w:p>
    <w:p w14:paraId="67D0F34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6d.3 Description of the mechanism for collecting data from countries</w:t>
      </w:r>
      <w:r w:rsidRPr="00ED7E61">
        <w:rPr>
          <w:rStyle w:val="eop"/>
          <w:rFonts w:asciiTheme="majorBidi" w:eastAsiaTheme="majorEastAsia" w:hAnsiTheme="majorBidi" w:cstheme="majorBidi"/>
          <w:sz w:val="22"/>
          <w:szCs w:val="22"/>
        </w:rPr>
        <w:t> </w:t>
      </w:r>
    </w:p>
    <w:p w14:paraId="561259E3"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The data for sub-indicators 1 to 4 are reported to FAO by National Correspondents, national experts officially nominated by the countries to coordinate compilation of data from different national sources. The FRA National Correspondent network currently covers 187 countries and territories. National Correspondents compile country reports using commonly agreed terms and definitions and a standardized reporting methodology. The actual reporting is facilitated by a dedicated online platform, where all the National Correspondents are asked to document data sources and how they computed and reclassified data to comply with the international definitions.</w:t>
      </w:r>
      <w:r w:rsidRPr="00ED7E61">
        <w:rPr>
          <w:rStyle w:val="eop"/>
          <w:rFonts w:asciiTheme="majorBidi" w:eastAsiaTheme="majorEastAsia" w:hAnsiTheme="majorBidi" w:cstheme="majorBidi"/>
          <w:color w:val="242424"/>
        </w:rPr>
        <w:t> </w:t>
      </w:r>
    </w:p>
    <w:p w14:paraId="190F4AE9"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For sub-indicator 5, forest certification, data are provided by head offices of respective forest certification scheme.</w:t>
      </w:r>
      <w:r w:rsidRPr="00ED7E61">
        <w:rPr>
          <w:rStyle w:val="eop"/>
          <w:rFonts w:asciiTheme="majorBidi" w:eastAsiaTheme="majorEastAsia" w:hAnsiTheme="majorBidi" w:cstheme="majorBidi"/>
          <w:color w:val="242424"/>
        </w:rPr>
        <w:t> </w:t>
      </w:r>
    </w:p>
    <w:p w14:paraId="7AB98044"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Data reported by countries to FAO are subject to a rigorous review process to ensure correct use of definitions and methodology as well as internal consistency. A comparison is made with past assessments and other existing data sources. Regular contacts between national correspondents and FAO staff by e-mail and regional/sub-regional review workshops form part of this review process.</w:t>
      </w:r>
      <w:r w:rsidRPr="00ED7E61">
        <w:rPr>
          <w:rStyle w:val="eop"/>
          <w:rFonts w:asciiTheme="majorBidi" w:eastAsiaTheme="majorEastAsia" w:hAnsiTheme="majorBidi" w:cstheme="majorBidi"/>
          <w:color w:val="242424"/>
        </w:rPr>
        <w:t> </w:t>
      </w:r>
    </w:p>
    <w:p w14:paraId="397AB6AD" w14:textId="77777777"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All data submitted by countries to FRA, including the FAO estimates made in case of desk studies, are available at the FRA online platform (</w:t>
      </w:r>
      <w:hyperlink r:id="rId507" w:tgtFrame="_blank" w:history="1">
        <w:r w:rsidRPr="00ED7E61">
          <w:rPr>
            <w:rStyle w:val="normaltextrun"/>
            <w:rFonts w:asciiTheme="majorBidi" w:eastAsiaTheme="majorEastAsia" w:hAnsiTheme="majorBidi" w:cstheme="majorBidi"/>
            <w:color w:val="467886"/>
            <w:u w:val="single"/>
          </w:rPr>
          <w:t>https://fra-data.fao.org</w:t>
        </w:r>
      </w:hyperlink>
      <w:r w:rsidRPr="00ED7E61">
        <w:rPr>
          <w:rStyle w:val="normaltextrun"/>
          <w:rFonts w:asciiTheme="majorBidi" w:eastAsiaTheme="majorEastAsia" w:hAnsiTheme="majorBidi" w:cstheme="majorBidi"/>
          <w:color w:val="242424"/>
        </w:rPr>
        <w:t>). The platform also includes the sub-indicators for 15.2.1. A request for validation is sent to the respective Head of Forestry before finalization and publishing of data.</w:t>
      </w:r>
      <w:r w:rsidRPr="00ED7E61">
        <w:rPr>
          <w:rStyle w:val="eop"/>
          <w:rFonts w:asciiTheme="majorBidi" w:eastAsiaTheme="majorEastAsia" w:hAnsiTheme="majorBidi" w:cstheme="majorBidi"/>
          <w:color w:val="242424"/>
        </w:rPr>
        <w:t> </w:t>
      </w:r>
    </w:p>
    <w:p w14:paraId="33BEDBF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7. Other MEAs, processes and organisations</w:t>
      </w:r>
      <w:r w:rsidRPr="00ED7E61">
        <w:rPr>
          <w:rStyle w:val="eop"/>
          <w:rFonts w:asciiTheme="majorBidi" w:eastAsiaTheme="majorEastAsia" w:hAnsiTheme="majorBidi" w:cstheme="majorBidi"/>
          <w:sz w:val="22"/>
          <w:szCs w:val="22"/>
        </w:rPr>
        <w:t> </w:t>
      </w:r>
    </w:p>
    <w:p w14:paraId="3C0A949D" w14:textId="77777777" w:rsidR="00756F0F" w:rsidRPr="00ED7E61" w:rsidRDefault="00756F0F" w:rsidP="005D1978">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7CF40FB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The indicator is the Sustainable Development Goal (SDG) indicator 15.2.1</w:t>
      </w:r>
      <w:r w:rsidRPr="00ED7E61">
        <w:rPr>
          <w:rStyle w:val="eop"/>
          <w:rFonts w:asciiTheme="majorBidi" w:eastAsiaTheme="majorEastAsia" w:hAnsiTheme="majorBidi" w:cstheme="majorBidi"/>
          <w:sz w:val="22"/>
          <w:szCs w:val="22"/>
        </w:rPr>
        <w:t> </w:t>
      </w:r>
    </w:p>
    <w:p w14:paraId="3A0CDB84" w14:textId="77777777" w:rsidR="00756F0F" w:rsidRPr="00ED7E61" w:rsidRDefault="00756F0F" w:rsidP="005D1978">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1A4E3B96" w14:textId="77777777" w:rsidR="00756F0F" w:rsidRPr="00ED7E61" w:rsidRDefault="00756F0F" w:rsidP="005D1978">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Yes: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46509ACC" w14:textId="68756339" w:rsidR="00756F0F" w:rsidRPr="00ED7E61" w:rsidRDefault="00756F0F" w:rsidP="005D1978">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 xml:space="preserve">8. </w:t>
      </w:r>
      <w:r w:rsidR="00047A98" w:rsidRPr="00ED7E61">
        <w:rPr>
          <w:rStyle w:val="normaltextrun"/>
          <w:rFonts w:asciiTheme="majorBidi" w:eastAsiaTheme="majorEastAsia" w:hAnsiTheme="majorBidi" w:cstheme="majorBidi"/>
          <w:b/>
          <w:bCs/>
          <w:sz w:val="22"/>
          <w:szCs w:val="22"/>
        </w:rPr>
        <w:t xml:space="preserve">Possible </w:t>
      </w:r>
      <w:r w:rsidRPr="00ED7E61">
        <w:rPr>
          <w:rStyle w:val="normaltextrun"/>
          <w:rFonts w:asciiTheme="majorBidi" w:eastAsiaTheme="majorEastAsia" w:hAnsiTheme="majorBidi" w:cstheme="majorBidi"/>
          <w:b/>
          <w:bCs/>
          <w:sz w:val="22"/>
          <w:szCs w:val="22"/>
        </w:rPr>
        <w:t>Disaggregation</w:t>
      </w:r>
      <w:r w:rsidR="00047A98" w:rsidRPr="00ED7E61">
        <w:rPr>
          <w:rStyle w:val="normaltextrun"/>
          <w:rFonts w:asciiTheme="majorBidi" w:eastAsiaTheme="majorEastAsia" w:hAnsiTheme="majorBidi" w:cstheme="majorBidi"/>
          <w:b/>
          <w:bCs/>
          <w:sz w:val="22"/>
          <w:szCs w:val="22"/>
        </w:rPr>
        <w:t>s</w:t>
      </w:r>
      <w:r w:rsidRPr="00ED7E61">
        <w:rPr>
          <w:rStyle w:val="eop"/>
          <w:rFonts w:asciiTheme="majorBidi" w:eastAsiaTheme="majorEastAsia" w:hAnsiTheme="majorBidi" w:cstheme="majorBidi"/>
          <w:sz w:val="22"/>
          <w:szCs w:val="22"/>
        </w:rPr>
        <w:t> </w:t>
      </w:r>
    </w:p>
    <w:p w14:paraId="1D4F4B85" w14:textId="006C2252"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 xml:space="preserve">The FRA guidelines includes data disaggregation by </w:t>
      </w:r>
      <w:r w:rsidR="00C24132">
        <w:rPr>
          <w:rStyle w:val="normaltextrun"/>
          <w:rFonts w:asciiTheme="majorBidi" w:eastAsiaTheme="majorEastAsia" w:hAnsiTheme="majorBidi" w:cstheme="majorBidi"/>
          <w:color w:val="242424"/>
        </w:rPr>
        <w:t>i</w:t>
      </w:r>
      <w:r w:rsidRPr="00ED7E61">
        <w:rPr>
          <w:rStyle w:val="normaltextrun"/>
          <w:rFonts w:asciiTheme="majorBidi" w:eastAsiaTheme="majorEastAsia" w:hAnsiTheme="majorBidi" w:cstheme="majorBidi"/>
          <w:color w:val="242424"/>
        </w:rPr>
        <w:t xml:space="preserve">ndigenous peoples and local communities for forest ownership and management rights. This means countries have the tools and guidance and thus possibly the capability to produce disaggregated estimates by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 xml:space="preserve">ommunities </w:t>
      </w:r>
      <w:r w:rsidRPr="00ED7E61">
        <w:rPr>
          <w:rStyle w:val="normaltextrun"/>
          <w:rFonts w:asciiTheme="majorBidi" w:eastAsiaTheme="majorEastAsia" w:hAnsiTheme="majorBidi" w:cstheme="majorBidi"/>
          <w:color w:val="242424"/>
        </w:rPr>
        <w:t>ownership/management rights (provided countries wish and have the requirement to collect and report data at the national level). Countries are encouraged to report on the elements related to forest ownership and management rights, noting that these attributes contribute to the long-term effectiveness of forest management. </w:t>
      </w:r>
      <w:r w:rsidRPr="00ED7E61">
        <w:rPr>
          <w:rStyle w:val="eop"/>
          <w:rFonts w:asciiTheme="majorBidi" w:eastAsiaTheme="majorEastAsia" w:hAnsiTheme="majorBidi" w:cstheme="majorBidi"/>
          <w:color w:val="242424"/>
        </w:rPr>
        <w:t> </w:t>
      </w:r>
    </w:p>
    <w:p w14:paraId="0610E4C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sz w:val="22"/>
          <w:szCs w:val="22"/>
        </w:rPr>
        <w:t> </w:t>
      </w:r>
    </w:p>
    <w:p w14:paraId="5124F690" w14:textId="4F1B2472" w:rsidR="00756F0F" w:rsidRPr="00ED7E61" w:rsidRDefault="00756F0F" w:rsidP="00B10F0C">
      <w:pPr>
        <w:pStyle w:val="CBDNormalNumber"/>
        <w:numPr>
          <w:ilvl w:val="0"/>
          <w:numId w:val="8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242424"/>
        </w:rPr>
        <w:t>The indicator is linked to Goal A Indicator “</w:t>
      </w:r>
      <w:r w:rsidRPr="00FB1598">
        <w:rPr>
          <w:rStyle w:val="normaltextrun"/>
          <w:rFonts w:asciiTheme="majorBidi" w:eastAsiaTheme="majorEastAsia" w:hAnsiTheme="majorBidi" w:cstheme="majorBidi"/>
          <w:i/>
          <w:iCs/>
          <w:color w:val="242424"/>
        </w:rPr>
        <w:t>extent of natural ecosystems by type</w:t>
      </w:r>
      <w:r w:rsidRPr="00ED7E61">
        <w:rPr>
          <w:rStyle w:val="normaltextrun"/>
          <w:rFonts w:asciiTheme="majorBidi" w:eastAsiaTheme="majorEastAsia" w:hAnsiTheme="majorBidi" w:cstheme="majorBidi"/>
          <w:color w:val="242424"/>
        </w:rPr>
        <w:t>” (forest data), and Goal B “</w:t>
      </w:r>
      <w:r w:rsidRPr="00FB1598">
        <w:rPr>
          <w:rStyle w:val="normaltextrun"/>
          <w:rFonts w:asciiTheme="majorBidi" w:eastAsiaTheme="majorEastAsia" w:hAnsiTheme="majorBidi" w:cstheme="majorBidi"/>
          <w:i/>
          <w:iCs/>
          <w:color w:val="242424"/>
        </w:rPr>
        <w:t>Functions and services provided by ecosystems, by service type</w:t>
      </w:r>
      <w:r w:rsidRPr="00ED7E61">
        <w:rPr>
          <w:rStyle w:val="normaltextrun"/>
          <w:rFonts w:asciiTheme="majorBidi" w:eastAsiaTheme="majorEastAsia" w:hAnsiTheme="majorBidi" w:cstheme="majorBidi"/>
          <w:color w:val="242424"/>
        </w:rPr>
        <w:t>.</w:t>
      </w:r>
      <w:r w:rsidR="008B3F8D">
        <w:rPr>
          <w:rStyle w:val="normaltextrun"/>
          <w:rFonts w:asciiTheme="majorBidi" w:eastAsiaTheme="majorEastAsia" w:hAnsiTheme="majorBidi" w:cstheme="majorBidi"/>
          <w:color w:val="242424"/>
        </w:rPr>
        <w:t>”</w:t>
      </w:r>
      <w:r w:rsidRPr="00ED7E61">
        <w:rPr>
          <w:rStyle w:val="eop"/>
          <w:rFonts w:asciiTheme="majorBidi" w:eastAsiaTheme="majorEastAsia" w:hAnsiTheme="majorBidi" w:cstheme="majorBidi"/>
          <w:color w:val="242424"/>
        </w:rPr>
        <w:t> </w:t>
      </w:r>
    </w:p>
    <w:p w14:paraId="1213D77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sz w:val="22"/>
          <w:szCs w:val="22"/>
        </w:rPr>
        <w:t> </w:t>
      </w:r>
    </w:p>
    <w:p w14:paraId="1E3DD250" w14:textId="29F3D792" w:rsidR="00756F0F" w:rsidRPr="00ED7E61" w:rsidRDefault="00756F0F" w:rsidP="005D1978">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10a. Organi</w:t>
      </w:r>
      <w:r w:rsidR="005D1978">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sz w:val="22"/>
          <w:szCs w:val="22"/>
        </w:rPr>
        <w:t> </w:t>
      </w:r>
    </w:p>
    <w:p w14:paraId="44BA17FC" w14:textId="77777777" w:rsidR="00756F0F" w:rsidRPr="00ED7E61" w:rsidRDefault="00756F0F" w:rsidP="005D1978">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color w:val="242424"/>
        </w:rPr>
        <w:t>Food</w:t>
      </w:r>
      <w:r w:rsidRPr="00ED7E61">
        <w:rPr>
          <w:rStyle w:val="normaltextrun"/>
          <w:rFonts w:asciiTheme="majorBidi" w:eastAsiaTheme="majorEastAsia" w:hAnsiTheme="majorBidi" w:cstheme="majorBidi"/>
        </w:rPr>
        <w:t xml:space="preserve"> and Agriculture Organisation </w:t>
      </w:r>
      <w:r w:rsidRPr="00ED7E61">
        <w:rPr>
          <w:rStyle w:val="normaltextrun"/>
          <w:rFonts w:asciiTheme="majorBidi" w:eastAsiaTheme="majorEastAsia" w:hAnsiTheme="majorBidi" w:cstheme="majorBidi"/>
          <w:color w:val="242424"/>
        </w:rPr>
        <w:t>of the United Nations</w:t>
      </w:r>
      <w:r w:rsidRPr="00ED7E61">
        <w:rPr>
          <w:rStyle w:val="normaltextrun"/>
          <w:rFonts w:asciiTheme="majorBidi" w:eastAsiaTheme="majorEastAsia" w:hAnsiTheme="majorBidi" w:cstheme="majorBidi"/>
        </w:rPr>
        <w:t xml:space="preserve"> (FAO) </w:t>
      </w:r>
      <w:r w:rsidRPr="00ED7E61">
        <w:rPr>
          <w:rStyle w:val="eop"/>
          <w:rFonts w:asciiTheme="majorBidi" w:eastAsiaTheme="majorEastAsia" w:hAnsiTheme="majorBidi" w:cstheme="majorBidi"/>
        </w:rPr>
        <w:t> </w:t>
      </w:r>
    </w:p>
    <w:p w14:paraId="3236FEF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lang w:val="fr-FR"/>
        </w:rPr>
      </w:pPr>
      <w:r w:rsidRPr="00ED7E61">
        <w:rPr>
          <w:rStyle w:val="normaltextrun"/>
          <w:rFonts w:asciiTheme="majorBidi" w:eastAsiaTheme="majorEastAsia" w:hAnsiTheme="majorBidi" w:cstheme="majorBidi"/>
          <w:b/>
          <w:bCs/>
          <w:sz w:val="22"/>
          <w:szCs w:val="22"/>
          <w:lang w:val="fr-FR"/>
        </w:rPr>
        <w:t>10b. Contact person(s)</w:t>
      </w:r>
      <w:r w:rsidRPr="00ED7E61">
        <w:rPr>
          <w:rStyle w:val="eop"/>
          <w:rFonts w:asciiTheme="majorBidi" w:eastAsiaTheme="majorEastAsia" w:hAnsiTheme="majorBidi" w:cstheme="majorBidi"/>
          <w:sz w:val="22"/>
          <w:szCs w:val="22"/>
          <w:lang w:val="fr-FR"/>
        </w:rPr>
        <w:t> </w:t>
      </w:r>
    </w:p>
    <w:p w14:paraId="02E0B443" w14:textId="26CB2FA6" w:rsidR="00756F0F" w:rsidRPr="00ED7E61" w:rsidRDefault="00756F0F" w:rsidP="00D804E8">
      <w:pPr>
        <w:pStyle w:val="CBDNormalNumber"/>
        <w:numPr>
          <w:ilvl w:val="0"/>
          <w:numId w:val="0"/>
        </w:numPr>
        <w:shd w:val="clear" w:color="auto" w:fill="FFFFFF"/>
        <w:spacing w:after="0"/>
        <w:ind w:left="567"/>
        <w:rPr>
          <w:rFonts w:asciiTheme="majorBidi" w:hAnsiTheme="majorBidi" w:cstheme="majorBidi"/>
          <w:lang w:val="fr-FR"/>
        </w:rPr>
      </w:pPr>
      <w:r w:rsidRPr="00ED7E61">
        <w:rPr>
          <w:rStyle w:val="eop"/>
          <w:lang w:val="fr-FR"/>
        </w:rPr>
        <w:t>Anne</w:t>
      </w:r>
      <w:r w:rsidRPr="00ED7E61">
        <w:rPr>
          <w:rStyle w:val="normaltextrun"/>
          <w:rFonts w:asciiTheme="majorBidi" w:eastAsiaTheme="majorEastAsia" w:hAnsiTheme="majorBidi" w:cstheme="majorBidi"/>
          <w:color w:val="242424"/>
          <w:lang w:val="fr-FR"/>
        </w:rPr>
        <w:t xml:space="preserve"> Branthomme</w:t>
      </w:r>
      <w:r w:rsidR="00AC25E3" w:rsidRPr="00ED7E61">
        <w:rPr>
          <w:rStyle w:val="normaltextrun"/>
          <w:rFonts w:asciiTheme="majorBidi" w:eastAsiaTheme="majorEastAsia" w:hAnsiTheme="majorBidi" w:cstheme="majorBidi"/>
          <w:color w:val="242424"/>
          <w:lang w:val="fr-FR"/>
        </w:rPr>
        <w:t xml:space="preserve"> </w:t>
      </w:r>
      <w:r w:rsidRPr="00ED7E61">
        <w:rPr>
          <w:rStyle w:val="normaltextrun"/>
          <w:rFonts w:asciiTheme="majorBidi" w:eastAsiaTheme="majorEastAsia" w:hAnsiTheme="majorBidi" w:cstheme="majorBidi"/>
          <w:color w:val="242424"/>
          <w:lang w:val="fr-FR"/>
        </w:rPr>
        <w:t>(</w:t>
      </w:r>
      <w:hyperlink r:id="rId508" w:tgtFrame="_blank" w:history="1">
        <w:r w:rsidRPr="00ED7E61">
          <w:rPr>
            <w:rStyle w:val="normaltextrun"/>
            <w:rFonts w:asciiTheme="majorBidi" w:eastAsiaTheme="majorEastAsia" w:hAnsiTheme="majorBidi" w:cstheme="majorBidi"/>
            <w:color w:val="467886"/>
            <w:u w:val="single"/>
            <w:lang w:val="fr-FR"/>
          </w:rPr>
          <w:t>anne.branthomme@fao.org</w:t>
        </w:r>
      </w:hyperlink>
      <w:r w:rsidRPr="00ED7E61">
        <w:rPr>
          <w:rStyle w:val="normaltextrun"/>
          <w:rFonts w:asciiTheme="majorBidi" w:eastAsiaTheme="majorEastAsia" w:hAnsiTheme="majorBidi" w:cstheme="majorBidi"/>
          <w:color w:val="1876BA"/>
          <w:u w:val="single"/>
          <w:lang w:val="fr-FR"/>
        </w:rPr>
        <w:t>)</w:t>
      </w:r>
      <w:r w:rsidRPr="00ED7E61">
        <w:rPr>
          <w:rStyle w:val="eop"/>
          <w:rFonts w:asciiTheme="majorBidi" w:eastAsiaTheme="majorEastAsia" w:hAnsiTheme="majorBidi" w:cstheme="majorBidi"/>
          <w:color w:val="1876BA"/>
          <w:lang w:val="fr-FR"/>
        </w:rPr>
        <w:t> </w:t>
      </w:r>
    </w:p>
    <w:p w14:paraId="01700FF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lang w:val="fr-FR"/>
        </w:rPr>
      </w:pPr>
      <w:r w:rsidRPr="00ED7E61">
        <w:rPr>
          <w:rStyle w:val="normaltextrun"/>
          <w:rFonts w:asciiTheme="majorBidi" w:eastAsiaTheme="majorEastAsia" w:hAnsiTheme="majorBidi" w:cstheme="majorBidi"/>
          <w:b/>
          <w:bCs/>
          <w:sz w:val="22"/>
          <w:szCs w:val="22"/>
          <w:lang w:val="fr-FR"/>
        </w:rPr>
        <w:t>11. References</w:t>
      </w:r>
      <w:r w:rsidRPr="00ED7E61">
        <w:rPr>
          <w:rStyle w:val="eop"/>
          <w:rFonts w:asciiTheme="majorBidi" w:eastAsiaTheme="majorEastAsia" w:hAnsiTheme="majorBidi" w:cstheme="majorBidi"/>
          <w:sz w:val="22"/>
          <w:szCs w:val="22"/>
          <w:lang w:val="fr-FR"/>
        </w:rPr>
        <w:t> </w:t>
      </w:r>
    </w:p>
    <w:p w14:paraId="4321FF6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lang w:val="fr-FR"/>
        </w:rPr>
      </w:pPr>
      <w:r w:rsidRPr="00ED7E61">
        <w:rPr>
          <w:rStyle w:val="normaltextrun"/>
          <w:rFonts w:asciiTheme="majorBidi" w:eastAsiaTheme="majorEastAsia" w:hAnsiTheme="majorBidi" w:cstheme="majorBidi"/>
          <w:b/>
          <w:bCs/>
          <w:color w:val="242424"/>
          <w:sz w:val="22"/>
          <w:szCs w:val="22"/>
          <w:lang w:val="fr-FR"/>
        </w:rPr>
        <w:t>Websites:</w:t>
      </w:r>
      <w:r w:rsidRPr="00ED7E61">
        <w:rPr>
          <w:rStyle w:val="eop"/>
          <w:rFonts w:asciiTheme="majorBidi" w:eastAsiaTheme="majorEastAsia" w:hAnsiTheme="majorBidi" w:cstheme="majorBidi"/>
          <w:color w:val="242424"/>
          <w:sz w:val="22"/>
          <w:szCs w:val="22"/>
          <w:lang w:val="fr-FR"/>
        </w:rPr>
        <w:t> </w:t>
      </w:r>
    </w:p>
    <w:p w14:paraId="272A4028" w14:textId="57B90D9F" w:rsidR="00BB7BA7" w:rsidRPr="00ED7E61" w:rsidRDefault="005D1978" w:rsidP="005D1978">
      <w:pPr>
        <w:pStyle w:val="CBDNormalNumber"/>
        <w:numPr>
          <w:ilvl w:val="0"/>
          <w:numId w:val="0"/>
        </w:numPr>
        <w:shd w:val="clear" w:color="auto" w:fill="FFFFFF"/>
        <w:ind w:left="567"/>
        <w:rPr>
          <w:rFonts w:asciiTheme="majorBidi" w:hAnsiTheme="majorBidi" w:cstheme="majorBidi"/>
          <w:lang w:val="fr-FR"/>
        </w:rPr>
      </w:pPr>
      <w:hyperlink r:id="rId509" w:history="1">
        <w:r w:rsidRPr="004C58D6">
          <w:rPr>
            <w:rStyle w:val="Hyperlink"/>
            <w:lang w:val="fr-FR"/>
          </w:rPr>
          <w:t>http</w:t>
        </w:r>
        <w:r w:rsidRPr="004C58D6">
          <w:rPr>
            <w:rStyle w:val="Hyperlink"/>
            <w:rFonts w:asciiTheme="majorBidi" w:eastAsiaTheme="majorEastAsia" w:hAnsiTheme="majorBidi" w:cstheme="majorBidi"/>
            <w:lang w:val="fr-FR"/>
          </w:rPr>
          <w:t>://www.fao.org/forest-resources-assessment/en/</w:t>
        </w:r>
      </w:hyperlink>
      <w:r w:rsidR="00756F0F" w:rsidRPr="00ED7E61">
        <w:rPr>
          <w:rStyle w:val="eop"/>
          <w:rFonts w:asciiTheme="majorBidi" w:eastAsiaTheme="majorEastAsia" w:hAnsiTheme="majorBidi" w:cstheme="majorBidi"/>
          <w:color w:val="1876BA"/>
          <w:lang w:val="fr-FR"/>
        </w:rPr>
        <w:t> </w:t>
      </w:r>
    </w:p>
    <w:p w14:paraId="158BDB41" w14:textId="46164EF6" w:rsidR="00756F0F" w:rsidRPr="00ED7E61" w:rsidRDefault="005D1978" w:rsidP="005D1978">
      <w:pPr>
        <w:pStyle w:val="CBDNormalNumber"/>
        <w:numPr>
          <w:ilvl w:val="0"/>
          <w:numId w:val="0"/>
        </w:numPr>
        <w:shd w:val="clear" w:color="auto" w:fill="FFFFFF"/>
        <w:ind w:left="567"/>
        <w:rPr>
          <w:rFonts w:asciiTheme="majorBidi" w:hAnsiTheme="majorBidi" w:cstheme="majorBidi"/>
          <w:lang w:val="fr-FR"/>
        </w:rPr>
      </w:pPr>
      <w:hyperlink r:id="rId510" w:history="1">
        <w:r w:rsidRPr="004C58D6">
          <w:rPr>
            <w:rStyle w:val="Hyperlink"/>
            <w:lang w:val="fr-FR"/>
          </w:rPr>
          <w:t>https://www.fao.org/sustainable-development-goals-data-portal/data/indicators/1521-sustainable-forest-management/en</w:t>
        </w:r>
      </w:hyperlink>
      <w:r w:rsidR="00756F0F" w:rsidRPr="00ED7E61">
        <w:rPr>
          <w:rStyle w:val="normaltextrun"/>
          <w:rFonts w:asciiTheme="majorBidi" w:eastAsiaTheme="majorEastAsia" w:hAnsiTheme="majorBidi" w:cstheme="majorBidi"/>
          <w:color w:val="242424"/>
          <w:lang w:val="pt-PT"/>
        </w:rPr>
        <w:t> </w:t>
      </w:r>
      <w:r w:rsidR="00756F0F" w:rsidRPr="00ED7E61">
        <w:rPr>
          <w:rStyle w:val="eop"/>
          <w:rFonts w:asciiTheme="majorBidi" w:eastAsiaTheme="majorEastAsia" w:hAnsiTheme="majorBidi" w:cstheme="majorBidi"/>
          <w:color w:val="242424"/>
          <w:lang w:val="fr-FR"/>
        </w:rPr>
        <w:t> </w:t>
      </w:r>
    </w:p>
    <w:p w14:paraId="31670722"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242424"/>
          <w:sz w:val="22"/>
          <w:szCs w:val="22"/>
          <w:lang w:val="en-GB"/>
        </w:rPr>
        <w:t>References:</w:t>
      </w:r>
      <w:r w:rsidRPr="00ED7E61">
        <w:rPr>
          <w:rStyle w:val="eop"/>
          <w:rFonts w:asciiTheme="majorBidi" w:eastAsiaTheme="majorEastAsia" w:hAnsiTheme="majorBidi" w:cstheme="majorBidi"/>
          <w:color w:val="242424"/>
          <w:sz w:val="22"/>
          <w:szCs w:val="22"/>
        </w:rPr>
        <w:t> </w:t>
      </w:r>
    </w:p>
    <w:p w14:paraId="48A335C9" w14:textId="0BC24C87" w:rsidR="00BB7BA7" w:rsidRPr="00ED7E61" w:rsidRDefault="00756F0F" w:rsidP="005D1978">
      <w:pPr>
        <w:pStyle w:val="CBDNormalNumber"/>
        <w:numPr>
          <w:ilvl w:val="0"/>
          <w:numId w:val="0"/>
        </w:numPr>
        <w:shd w:val="clear" w:color="auto" w:fill="FFFFFF"/>
        <w:ind w:left="567"/>
        <w:jc w:val="left"/>
        <w:rPr>
          <w:rFonts w:asciiTheme="majorBidi" w:hAnsiTheme="majorBidi" w:cstheme="majorBidi"/>
        </w:rPr>
      </w:pPr>
      <w:r w:rsidRPr="00ED7E61">
        <w:rPr>
          <w:rStyle w:val="eop"/>
        </w:rPr>
        <w:t>Global</w:t>
      </w:r>
      <w:r w:rsidRPr="00ED7E61">
        <w:rPr>
          <w:rStyle w:val="normaltextrun"/>
          <w:rFonts w:asciiTheme="majorBidi" w:eastAsiaTheme="majorEastAsia" w:hAnsiTheme="majorBidi" w:cstheme="majorBidi"/>
          <w:color w:val="242424"/>
        </w:rPr>
        <w:t xml:space="preserve"> Forest Resources Assessment 2020, Guidelines and Specifications (</w:t>
      </w:r>
      <w:hyperlink r:id="rId511" w:tgtFrame="_blank" w:history="1">
        <w:r w:rsidRPr="00ED7E61">
          <w:rPr>
            <w:rStyle w:val="normaltextrun"/>
            <w:rFonts w:asciiTheme="majorBidi" w:eastAsiaTheme="majorEastAsia" w:hAnsiTheme="majorBidi" w:cstheme="majorBidi"/>
            <w:color w:val="1876BA"/>
            <w:u w:val="single"/>
          </w:rPr>
          <w:t>www.fao.org/3/I8699EN/i8699en.pdf</w:t>
        </w:r>
      </w:hyperlink>
      <w:r w:rsidRPr="00ED7E61">
        <w:rPr>
          <w:rStyle w:val="normaltextrun"/>
          <w:rFonts w:asciiTheme="majorBidi" w:eastAsiaTheme="majorEastAsia" w:hAnsiTheme="majorBidi" w:cstheme="majorBidi"/>
          <w:color w:val="242424"/>
        </w:rPr>
        <w:t>)</w:t>
      </w:r>
    </w:p>
    <w:p w14:paraId="6B10F51C" w14:textId="0BC7566D" w:rsidR="00BB7BA7" w:rsidRPr="00ED7E61" w:rsidRDefault="00756F0F" w:rsidP="005D1978">
      <w:pPr>
        <w:pStyle w:val="CBDNormalNumber"/>
        <w:numPr>
          <w:ilvl w:val="0"/>
          <w:numId w:val="0"/>
        </w:numPr>
        <w:shd w:val="clear" w:color="auto" w:fill="FFFFFF"/>
        <w:ind w:left="567"/>
        <w:jc w:val="left"/>
        <w:rPr>
          <w:rFonts w:asciiTheme="majorBidi" w:hAnsiTheme="majorBidi" w:cstheme="majorBidi"/>
        </w:rPr>
      </w:pPr>
      <w:r w:rsidRPr="00ED7E61">
        <w:rPr>
          <w:rStyle w:val="normaltextrun"/>
          <w:rFonts w:asciiTheme="majorBidi" w:eastAsiaTheme="majorEastAsia" w:hAnsiTheme="majorBidi" w:cstheme="majorBidi"/>
          <w:color w:val="242424"/>
        </w:rPr>
        <w:t>Global Forest Resources Assessment 2020, Terms and Definitions (</w:t>
      </w:r>
      <w:hyperlink r:id="rId512" w:tgtFrame="_blank" w:history="1">
        <w:r w:rsidRPr="00ED7E61">
          <w:rPr>
            <w:rStyle w:val="normaltextrun"/>
            <w:rFonts w:asciiTheme="majorBidi" w:eastAsiaTheme="majorEastAsia" w:hAnsiTheme="majorBidi" w:cstheme="majorBidi"/>
            <w:color w:val="1876BA"/>
            <w:u w:val="single"/>
          </w:rPr>
          <w:t>www.fao.org/3/I8661EN/i8661en.pdf</w:t>
        </w:r>
      </w:hyperlink>
      <w:r w:rsidRPr="00ED7E61">
        <w:rPr>
          <w:rStyle w:val="normaltextrun"/>
          <w:rFonts w:asciiTheme="majorBidi" w:eastAsiaTheme="majorEastAsia" w:hAnsiTheme="majorBidi" w:cstheme="majorBidi"/>
          <w:color w:val="242424"/>
        </w:rPr>
        <w:t>).</w:t>
      </w:r>
      <w:r w:rsidRPr="00ED7E61">
        <w:rPr>
          <w:rStyle w:val="eop"/>
          <w:rFonts w:asciiTheme="majorBidi" w:eastAsiaTheme="majorEastAsia" w:hAnsiTheme="majorBidi" w:cstheme="majorBidi"/>
          <w:color w:val="242424"/>
        </w:rPr>
        <w:t> </w:t>
      </w:r>
    </w:p>
    <w:p w14:paraId="223CA71D" w14:textId="77777777" w:rsidR="00756F0F" w:rsidRPr="00ED7E61" w:rsidRDefault="00756F0F" w:rsidP="005D1978">
      <w:pPr>
        <w:pStyle w:val="CBDNormalNumber"/>
        <w:numPr>
          <w:ilvl w:val="0"/>
          <w:numId w:val="0"/>
        </w:numPr>
        <w:shd w:val="clear" w:color="auto" w:fill="FFFFFF"/>
        <w:ind w:left="567"/>
        <w:jc w:val="left"/>
        <w:rPr>
          <w:rFonts w:asciiTheme="majorBidi" w:hAnsiTheme="majorBidi" w:cstheme="majorBidi"/>
        </w:rPr>
      </w:pPr>
      <w:r w:rsidRPr="00ED7E61">
        <w:rPr>
          <w:rStyle w:val="normaltextrun"/>
          <w:rFonts w:asciiTheme="majorBidi" w:eastAsiaTheme="majorEastAsia" w:hAnsiTheme="majorBidi" w:cstheme="majorBidi"/>
          <w:color w:val="242424"/>
        </w:rPr>
        <w:t>United Nations. Resolution adopted by the General Assembly on 17 December 2007 (</w:t>
      </w:r>
      <w:hyperlink r:id="rId513" w:tgtFrame="_blank" w:history="1">
        <w:r w:rsidRPr="00ED7E61">
          <w:rPr>
            <w:rStyle w:val="normaltextrun"/>
            <w:rFonts w:asciiTheme="majorBidi" w:eastAsiaTheme="majorEastAsia" w:hAnsiTheme="majorBidi" w:cstheme="majorBidi"/>
            <w:color w:val="1876BA"/>
            <w:u w:val="single"/>
          </w:rPr>
          <w:t>https://undocs.org/en/A/RES/62/98</w:t>
        </w:r>
      </w:hyperlink>
      <w:r w:rsidRPr="00ED7E61">
        <w:rPr>
          <w:rStyle w:val="normaltextrun"/>
          <w:rFonts w:asciiTheme="majorBidi" w:eastAsiaTheme="majorEastAsia" w:hAnsiTheme="majorBidi" w:cstheme="majorBidi"/>
          <w:color w:val="242424"/>
        </w:rPr>
        <w:t>).</w:t>
      </w:r>
      <w:r w:rsidRPr="00ED7E61">
        <w:rPr>
          <w:rStyle w:val="eop"/>
          <w:rFonts w:asciiTheme="majorBidi" w:eastAsiaTheme="majorEastAsia" w:hAnsiTheme="majorBidi" w:cstheme="majorBidi"/>
          <w:color w:val="242424"/>
        </w:rPr>
        <w:t> </w:t>
      </w:r>
    </w:p>
    <w:p w14:paraId="0BE3B72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12. Graphs and diagrams</w:t>
      </w:r>
      <w:r w:rsidRPr="00ED7E61">
        <w:rPr>
          <w:rStyle w:val="eop"/>
          <w:rFonts w:asciiTheme="majorBidi" w:eastAsiaTheme="majorEastAsia" w:hAnsiTheme="majorBidi" w:cstheme="majorBidi"/>
          <w:sz w:val="22"/>
          <w:szCs w:val="22"/>
        </w:rPr>
        <w:t> </w:t>
      </w:r>
    </w:p>
    <w:p w14:paraId="258245D5" w14:textId="5904AD52" w:rsidR="00D311B8" w:rsidRPr="00D804E8" w:rsidRDefault="00756F0F" w:rsidP="00D804E8">
      <w:pPr>
        <w:pStyle w:val="paragraph"/>
        <w:spacing w:before="0" w:beforeAutospacing="0" w:after="0" w:afterAutospacing="0"/>
        <w:textAlignment w:val="baseline"/>
        <w:rPr>
          <w:rStyle w:val="normaltextrun"/>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r w:rsidR="00D311B8" w:rsidRPr="00ED7E61">
        <w:rPr>
          <w:rStyle w:val="normaltextrun"/>
          <w:rFonts w:asciiTheme="majorBidi" w:eastAsiaTheme="majorEastAsia" w:hAnsiTheme="majorBidi" w:cstheme="majorBidi"/>
          <w:b/>
          <w:bCs/>
          <w:sz w:val="22"/>
          <w:szCs w:val="22"/>
          <w:lang w:val="en-GB"/>
        </w:rPr>
        <w:br w:type="page"/>
      </w:r>
    </w:p>
    <w:p w14:paraId="7AABC710" w14:textId="1B083FB5" w:rsidR="00756F0F" w:rsidRPr="00ED7E61" w:rsidRDefault="00756F0F" w:rsidP="00AF78EC">
      <w:pPr>
        <w:pStyle w:val="Heading3"/>
      </w:pPr>
      <w:bookmarkStart w:id="59" w:name="_Toc178285870"/>
      <w:r w:rsidRPr="00ED7E61">
        <w:rPr>
          <w:rStyle w:val="normaltextrun"/>
        </w:rPr>
        <w:t>GBF indicator metadata</w:t>
      </w:r>
      <w:r w:rsidR="004F77DE" w:rsidRPr="00ED7E61">
        <w:rPr>
          <w:rStyle w:val="normaltextrun"/>
        </w:rPr>
        <w:t>: 12.1 Average share of the built-up area of cities that is green/blue space for public use for all</w:t>
      </w:r>
      <w:r w:rsidR="000A444A" w:rsidRPr="00ED7E61">
        <w:rPr>
          <w:rStyle w:val="FootnoteReference"/>
        </w:rPr>
        <w:footnoteReference w:id="57"/>
      </w:r>
      <w:bookmarkEnd w:id="59"/>
      <w:r w:rsidRPr="00ED7E61">
        <w:rPr>
          <w:rStyle w:val="normaltextrun"/>
        </w:rPr>
        <w:t> </w:t>
      </w:r>
      <w:r w:rsidRPr="00ED7E61">
        <w:rPr>
          <w:rStyle w:val="eop"/>
        </w:rPr>
        <w:t> </w:t>
      </w:r>
    </w:p>
    <w:p w14:paraId="2B009BE3"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51691CA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sz w:val="22"/>
          <w:szCs w:val="22"/>
        </w:rPr>
        <w:t> </w:t>
      </w:r>
    </w:p>
    <w:p w14:paraId="487DB7B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shd w:val="clear" w:color="auto" w:fill="FFFFFF"/>
          <w:lang w:val="en-GB"/>
        </w:rPr>
        <w:t>12.1 Average share of the built-up area of cities that is green/blue space for public use for all</w:t>
      </w:r>
      <w:r w:rsidRPr="00ED7E61">
        <w:rPr>
          <w:rStyle w:val="normaltextrun"/>
          <w:rFonts w:asciiTheme="majorBidi" w:eastAsiaTheme="majorEastAsia"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19FDE164" w14:textId="77777777" w:rsidR="00756F0F" w:rsidRPr="00ED7E61" w:rsidRDefault="00756F0F" w:rsidP="00D804E8">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sz w:val="22"/>
          <w:szCs w:val="22"/>
        </w:rPr>
        <w:t> </w:t>
      </w:r>
    </w:p>
    <w:p w14:paraId="684D0814" w14:textId="4F6D4D99" w:rsidR="00775978" w:rsidRPr="00ED7E61" w:rsidRDefault="006B30FE" w:rsidP="00395866">
      <w:pPr>
        <w:pStyle w:val="paragraph"/>
        <w:spacing w:before="0" w:beforeAutospacing="0" w:after="0" w:afterAutospacing="0"/>
        <w:textAlignment w:val="baseline"/>
        <w:rPr>
          <w:rStyle w:val="normaltextrun"/>
          <w:rFonts w:asciiTheme="majorBidi" w:eastAsiaTheme="majorEastAsia" w:hAnsiTheme="majorBidi" w:cstheme="majorBidi"/>
          <w:sz w:val="22"/>
          <w:szCs w:val="22"/>
        </w:rPr>
      </w:pPr>
      <w:r>
        <w:rPr>
          <w:rStyle w:val="normaltextrun"/>
          <w:rFonts w:asciiTheme="majorBidi" w:eastAsiaTheme="majorEastAsia" w:hAnsiTheme="majorBidi" w:cstheme="majorBidi"/>
          <w:sz w:val="22"/>
          <w:szCs w:val="22"/>
        </w:rPr>
        <w:t>September</w:t>
      </w:r>
      <w:r w:rsidRPr="00ED7E61">
        <w:rPr>
          <w:rStyle w:val="normaltextrun"/>
          <w:rFonts w:asciiTheme="majorBidi" w:eastAsiaTheme="majorEastAsia" w:hAnsiTheme="majorBidi" w:cstheme="majorBidi"/>
          <w:sz w:val="22"/>
          <w:szCs w:val="22"/>
        </w:rPr>
        <w:t xml:space="preserve"> </w:t>
      </w:r>
      <w:r w:rsidR="00775978" w:rsidRPr="00ED7E61">
        <w:rPr>
          <w:rStyle w:val="normaltextrun"/>
          <w:rFonts w:asciiTheme="majorBidi" w:eastAsiaTheme="majorEastAsia" w:hAnsiTheme="majorBidi" w:cstheme="majorBidi"/>
          <w:sz w:val="22"/>
          <w:szCs w:val="22"/>
        </w:rPr>
        <w:t>2024</w:t>
      </w:r>
    </w:p>
    <w:p w14:paraId="49B1E976" w14:textId="6D6C2179"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sz w:val="22"/>
          <w:szCs w:val="22"/>
        </w:rPr>
        <w:t> </w:t>
      </w:r>
    </w:p>
    <w:p w14:paraId="495628FC" w14:textId="77777777" w:rsidR="00756F0F" w:rsidRPr="00ED7E61" w:rsidRDefault="00756F0F" w:rsidP="00D804E8">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3a. Goal </w:t>
      </w:r>
      <w:r w:rsidRPr="00ED7E61">
        <w:rPr>
          <w:rStyle w:val="eop"/>
          <w:rFonts w:asciiTheme="majorBidi" w:eastAsiaTheme="majorEastAsia" w:hAnsiTheme="majorBidi" w:cstheme="majorBidi"/>
          <w:sz w:val="22"/>
          <w:szCs w:val="22"/>
        </w:rPr>
        <w:t> </w:t>
      </w:r>
    </w:p>
    <w:p w14:paraId="096F329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p>
    <w:p w14:paraId="09F401E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3b. Target</w:t>
      </w:r>
      <w:r w:rsidRPr="00ED7E61">
        <w:rPr>
          <w:rStyle w:val="eop"/>
          <w:rFonts w:asciiTheme="majorBidi" w:eastAsiaTheme="majorEastAsia" w:hAnsiTheme="majorBidi" w:cstheme="majorBidi"/>
          <w:sz w:val="22"/>
          <w:szCs w:val="22"/>
        </w:rPr>
        <w:t> </w:t>
      </w:r>
    </w:p>
    <w:p w14:paraId="70F8CB5C" w14:textId="58CFCB9D"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Headline indicator for Target 12:Significantly increase the area and quality, and connectivity of, access to, and benefits from green and blue spaces in urban and densely populated areas sustainably, by mainstreaming the conservation and sustainable use of biodiversity, and ensure biodiversity-inclusive urban planning, enhancing native biodiversity, ecological connectivity and integrity, and improving human health and well-being and connection to nature, and contributing to inclusive and sustainable urbanization and to the provision of ecosystem functions and services</w:t>
      </w:r>
      <w:r w:rsidRPr="00ED7E61">
        <w:rPr>
          <w:rStyle w:val="eop"/>
          <w:rFonts w:asciiTheme="majorBidi" w:eastAsiaTheme="majorEastAsia" w:hAnsiTheme="majorBidi" w:cstheme="majorBidi"/>
          <w:sz w:val="22"/>
          <w:szCs w:val="22"/>
        </w:rPr>
        <w:t> </w:t>
      </w:r>
    </w:p>
    <w:p w14:paraId="139E7239" w14:textId="5EC2BB6B"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4. Rationale</w:t>
      </w:r>
    </w:p>
    <w:p w14:paraId="09E8D693" w14:textId="10E92B84" w:rsidR="00F14134" w:rsidRPr="00ED7E61" w:rsidRDefault="00756F0F" w:rsidP="00B10F0C">
      <w:pPr>
        <w:pStyle w:val="CBDNormalNumber"/>
        <w:numPr>
          <w:ilvl w:val="0"/>
          <w:numId w:val="85"/>
        </w:numPr>
        <w:shd w:val="clear" w:color="auto" w:fill="FFFFFF"/>
        <w:tabs>
          <w:tab w:val="clear" w:pos="1701"/>
        </w:tabs>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The value of public spaces is often overlooked or underestimated by policy makers, leaders, citizens and urban developers. There are several reasons for this, such as lack of appreciation of the value of these spaces to the functioning of urban systems and quality of life, prevailing urban planning processes, the </w:t>
      </w:r>
      <w:r w:rsidRPr="00ED7E61">
        <w:rPr>
          <w:rStyle w:val="normaltextrun"/>
          <w:rFonts w:asciiTheme="majorBidi" w:eastAsiaTheme="majorEastAsia" w:hAnsiTheme="majorBidi" w:cstheme="majorBidi"/>
          <w:color w:val="242424"/>
        </w:rPr>
        <w:t>lack</w:t>
      </w:r>
      <w:r w:rsidRPr="00ED7E61">
        <w:rPr>
          <w:rStyle w:val="normaltextrun"/>
          <w:rFonts w:asciiTheme="majorBidi" w:eastAsiaTheme="majorEastAsia" w:hAnsiTheme="majorBidi" w:cstheme="majorBidi"/>
        </w:rPr>
        <w:t xml:space="preserve"> of resources, or understanding or capacity to use public space as a complete, multi-functional urban system. Often the lack of appropriate enabling frameworks, weak political will and the absence of the means of public engagement compound the situation.</w:t>
      </w:r>
      <w:r w:rsidRPr="00ED7E61">
        <w:rPr>
          <w:rStyle w:val="eop"/>
          <w:rFonts w:asciiTheme="majorBidi" w:eastAsiaTheme="majorEastAsia" w:hAnsiTheme="majorBidi" w:cstheme="majorBidi"/>
        </w:rPr>
        <w:t> </w:t>
      </w:r>
    </w:p>
    <w:p w14:paraId="1117AC30" w14:textId="74376713" w:rsidR="005F6C63"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The Sustainable Development Goals (SDGs) have for the first time provided a platform where public spaces can be globally monitored. </w:t>
      </w:r>
      <w:r w:rsidR="008312D9">
        <w:rPr>
          <w:rStyle w:val="normaltextrun"/>
          <w:rFonts w:asciiTheme="majorBidi" w:eastAsiaTheme="majorEastAsia" w:hAnsiTheme="majorBidi" w:cstheme="majorBidi"/>
        </w:rPr>
        <w:t xml:space="preserve">SDG </w:t>
      </w:r>
      <w:r w:rsidR="00CE7236">
        <w:rPr>
          <w:rStyle w:val="normaltextrun"/>
          <w:rFonts w:asciiTheme="majorBidi" w:eastAsiaTheme="majorEastAsia" w:hAnsiTheme="majorBidi" w:cstheme="majorBidi"/>
        </w:rPr>
        <w:t>i</w:t>
      </w:r>
      <w:r w:rsidRPr="00ED7E61">
        <w:rPr>
          <w:rStyle w:val="normaltextrun"/>
          <w:rFonts w:asciiTheme="majorBidi" w:eastAsiaTheme="majorEastAsia" w:hAnsiTheme="majorBidi" w:cstheme="majorBidi"/>
        </w:rPr>
        <w:t>ndicator 11.7.1 measures the share of land allocated to public spaces and the total population with access of these spaces by age, gender and disability. The share of land that a city allocates to streets and open public spaces is not only critical to its productivity, but also contributes significantly to the social dimensions and health of its population. The size, distribution and quality of a city’s overall public space act as a good indicator of shared prosperity. A well developed and properly designed network of streets increases connectivity, promotes walking and social interactions but also income, gender, race or disability status and one that promotes multiple activities not only encourages their use, but also contributes to the urban character and quality of urban life.</w:t>
      </w:r>
      <w:r w:rsidRPr="00ED7E61">
        <w:rPr>
          <w:rStyle w:val="eop"/>
          <w:rFonts w:asciiTheme="majorBidi" w:eastAsiaTheme="majorEastAsia" w:hAnsiTheme="majorBidi" w:cstheme="majorBidi"/>
        </w:rPr>
        <w:t> </w:t>
      </w:r>
    </w:p>
    <w:p w14:paraId="54C13A19"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Cities that improve and sustain the use of public space, including streets, enhance community cohesion, civic identity, and quality of life. A prosperous city develops policies and actions for sustainable use of, and equitable access to public space. In many cities however, there has been neglect of public space - both in quantity and quality, which has been further exacerbated by uncontrolled rapid urbanization which has created disorderly settlement patterns with alarmingly low shares of public space, as well as a dramatic reduction of public spaces. There is a need to expand the ratio of land allocated to public spaces and improve their qualities to make cities and urban areas more efficient, liveable, prosperous, and sustainable. Reclaiming urban spaces for people encourages development of other street activities that bring life to a city. Equally, a well distributed and hierarchical system of open public spaces that can be accessed by all regardless of is part of how we can humanize our cities and make our streets and public areas more communal.</w:t>
      </w:r>
      <w:r w:rsidRPr="00ED7E61">
        <w:rPr>
          <w:rStyle w:val="eop"/>
          <w:rFonts w:asciiTheme="majorBidi" w:eastAsiaTheme="majorEastAsia" w:hAnsiTheme="majorBidi" w:cstheme="majorBidi"/>
        </w:rPr>
        <w:t> </w:t>
      </w:r>
    </w:p>
    <w:p w14:paraId="13DEADF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 Definitions, concepts and classifications</w:t>
      </w:r>
      <w:r w:rsidRPr="00ED7E61">
        <w:rPr>
          <w:rStyle w:val="eop"/>
          <w:rFonts w:asciiTheme="majorBidi" w:eastAsiaTheme="majorEastAsia" w:hAnsiTheme="majorBidi" w:cstheme="majorBidi"/>
          <w:sz w:val="22"/>
          <w:szCs w:val="22"/>
        </w:rPr>
        <w:t> </w:t>
      </w:r>
    </w:p>
    <w:p w14:paraId="60C5CC1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5a. Definition: </w:t>
      </w:r>
      <w:r w:rsidRPr="00ED7E61">
        <w:rPr>
          <w:rStyle w:val="eop"/>
          <w:rFonts w:asciiTheme="majorBidi" w:eastAsiaTheme="majorEastAsia" w:hAnsiTheme="majorBidi" w:cstheme="majorBidi"/>
          <w:sz w:val="22"/>
          <w:szCs w:val="22"/>
        </w:rPr>
        <w:t> </w:t>
      </w:r>
    </w:p>
    <w:p w14:paraId="479D94F9" w14:textId="4A5BF4D5" w:rsidR="005F6C63"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following is the definition of the SDG 11.7.1 indicator and consequently there could be small variations in the definition for the</w:t>
      </w:r>
      <w:r w:rsidR="004056F3">
        <w:rPr>
          <w:rStyle w:val="normaltextrun"/>
          <w:rFonts w:asciiTheme="majorBidi" w:eastAsiaTheme="majorEastAsia" w:hAnsiTheme="majorBidi" w:cstheme="majorBidi"/>
        </w:rPr>
        <w:t xml:space="preserve"> “</w:t>
      </w:r>
      <w:r w:rsidRPr="00FB1598">
        <w:rPr>
          <w:rStyle w:val="normaltextrun"/>
          <w:rFonts w:asciiTheme="majorBidi" w:eastAsiaTheme="majorEastAsia" w:hAnsiTheme="majorBidi" w:cstheme="majorBidi"/>
          <w:i/>
          <w:iCs/>
          <w:shd w:val="clear" w:color="auto" w:fill="FFFFFF"/>
        </w:rPr>
        <w:t>Average share of the built-up area of cities that is green/blue space for public use for all</w:t>
      </w:r>
      <w:r w:rsidR="004056F3">
        <w:rPr>
          <w:rStyle w:val="normaltextrun"/>
          <w:rFonts w:asciiTheme="majorBidi" w:eastAsiaTheme="majorEastAsia" w:hAnsiTheme="majorBidi" w:cstheme="majorBidi"/>
          <w:shd w:val="clear" w:color="auto" w:fill="FFFFFF"/>
        </w:rPr>
        <w:t>”</w:t>
      </w:r>
      <w:r w:rsidRPr="00ED7E61">
        <w:rPr>
          <w:rStyle w:val="normaltextrun"/>
          <w:rFonts w:asciiTheme="majorBidi" w:eastAsiaTheme="majorEastAsia" w:hAnsiTheme="majorBidi" w:cstheme="majorBidi"/>
          <w:shd w:val="clear" w:color="auto" w:fill="FFFFFF"/>
        </w:rPr>
        <w:t>.</w:t>
      </w:r>
      <w:r w:rsidRPr="00ED7E61">
        <w:rPr>
          <w:rStyle w:val="eop"/>
          <w:rFonts w:asciiTheme="majorBidi" w:eastAsiaTheme="majorEastAsia" w:hAnsiTheme="majorBidi" w:cstheme="majorBidi"/>
        </w:rPr>
        <w:t> </w:t>
      </w:r>
    </w:p>
    <w:p w14:paraId="3B750228" w14:textId="140DEF87" w:rsidR="00491071" w:rsidRPr="00ED7E61" w:rsidRDefault="008312D9" w:rsidP="00B10F0C">
      <w:pPr>
        <w:pStyle w:val="CBDNormalNumber"/>
        <w:numPr>
          <w:ilvl w:val="0"/>
          <w:numId w:val="85"/>
        </w:numPr>
        <w:shd w:val="clear" w:color="auto" w:fill="FFFFFF"/>
        <w:ind w:left="567" w:firstLine="0"/>
        <w:rPr>
          <w:rFonts w:asciiTheme="majorBidi" w:hAnsiTheme="majorBidi" w:cstheme="majorBidi"/>
        </w:rPr>
      </w:pPr>
      <w:r>
        <w:rPr>
          <w:rStyle w:val="normaltextrun"/>
          <w:rFonts w:asciiTheme="majorBidi" w:eastAsiaTheme="majorEastAsia" w:hAnsiTheme="majorBidi" w:cstheme="majorBidi"/>
        </w:rPr>
        <w:t xml:space="preserve">SDG </w:t>
      </w:r>
      <w:r w:rsidR="00756F0F" w:rsidRPr="00ED7E61">
        <w:rPr>
          <w:rStyle w:val="normaltextrun"/>
          <w:rFonts w:asciiTheme="majorBidi" w:eastAsiaTheme="majorEastAsia" w:hAnsiTheme="majorBidi" w:cstheme="majorBidi"/>
        </w:rPr>
        <w:t>Indicator 11.7.1 has several interesting concepts that required global consultations and consensus. These include; built-up area, cities, open spaces for public use, etc. As a custodian agency, UN-Habitat has worked on these concepts along with several other partners.</w:t>
      </w:r>
      <w:r w:rsidR="00756F0F" w:rsidRPr="00ED7E61">
        <w:rPr>
          <w:rStyle w:val="eop"/>
          <w:rFonts w:asciiTheme="majorBidi" w:eastAsiaTheme="majorEastAsia" w:hAnsiTheme="majorBidi" w:cstheme="majorBidi"/>
        </w:rPr>
        <w:t> </w:t>
      </w:r>
    </w:p>
    <w:p w14:paraId="01796E42" w14:textId="0A734132" w:rsidR="00491071"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City: A range of accepted definitions of “</w:t>
      </w:r>
      <w:r w:rsidRPr="00FB1598">
        <w:rPr>
          <w:rStyle w:val="normaltextrun"/>
          <w:rFonts w:asciiTheme="majorBidi" w:eastAsiaTheme="majorEastAsia" w:hAnsiTheme="majorBidi" w:cstheme="majorBidi"/>
          <w:i/>
          <w:iCs/>
        </w:rPr>
        <w:t>city</w:t>
      </w:r>
      <w:r w:rsidRPr="00ED7E61">
        <w:rPr>
          <w:rStyle w:val="normaltextrun"/>
          <w:rFonts w:asciiTheme="majorBidi" w:eastAsiaTheme="majorEastAsia" w:hAnsiTheme="majorBidi" w:cstheme="majorBidi"/>
        </w:rPr>
        <w:t>” exist, from those based on population data and extent of the built-up area to those that are based solely on administrative boundaries. These definitions vary within and between nations, complicating the task of international reporting for the SDGs. Definitions of cities, metropolitan areas and urban agglomerations also vary depending on legal, administrative, political, economic or cultural criteria in the respective countries and regions. Since 2016</w:t>
      </w:r>
      <w:r w:rsidR="008312D9">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 xml:space="preserve">UN-Habitat and partners organized global consultations and discussions to narrow down the set of meaningful definitions that would be helpful for the global monitoring and reporting process. Following consultations with 86 member states, the United Nations Statistical Commission, in its 51st Session (March 2020) endorsed the Degree of Urbanisation (DEGURBA) as a workable method to delineate cities, urban and rural areas for international statistical comparisons. This definition combines population size and population density thresholds to classify the entire territory of a country along the urban-rural continuum, and captures the full extent of a city, including the dense neighbourhoods beyond the boundary of the central municipality. DEGURBA is applied in a two-step process: First, 1 km2 grid cells are classified based on population density, contiguity and population size. Subsequently, local units are classified as urban or rural based on the type of grid cells in which majority of their population resides. For the computation of </w:t>
      </w:r>
      <w:r w:rsidR="008312D9">
        <w:rPr>
          <w:rStyle w:val="normaltextrun"/>
          <w:rFonts w:asciiTheme="majorBidi" w:eastAsiaTheme="majorEastAsia" w:hAnsiTheme="majorBidi" w:cstheme="majorBidi"/>
        </w:rPr>
        <w:t xml:space="preserve">SDG </w:t>
      </w:r>
      <w:r w:rsidRPr="00ED7E61">
        <w:rPr>
          <w:rStyle w:val="normaltextrun"/>
          <w:rFonts w:asciiTheme="majorBidi" w:eastAsiaTheme="majorEastAsia" w:hAnsiTheme="majorBidi" w:cstheme="majorBidi"/>
        </w:rPr>
        <w:t>indicator 11.7.1, built up areas, as the indicator denominator has the same meaning as “</w:t>
      </w:r>
      <w:r w:rsidRPr="00FB1598">
        <w:rPr>
          <w:rStyle w:val="normaltextrun"/>
          <w:rFonts w:asciiTheme="majorBidi" w:eastAsiaTheme="majorEastAsia" w:hAnsiTheme="majorBidi" w:cstheme="majorBidi"/>
          <w:i/>
          <w:iCs/>
        </w:rPr>
        <w:t>city</w:t>
      </w:r>
      <w:r w:rsidRPr="00ED7E61">
        <w:rPr>
          <w:rStyle w:val="normaltextrun"/>
          <w:rFonts w:asciiTheme="majorBidi" w:eastAsiaTheme="majorEastAsia" w:hAnsiTheme="majorBidi" w:cstheme="majorBidi"/>
        </w:rPr>
        <w:t>” (see definition of city above). </w:t>
      </w:r>
      <w:r w:rsidRPr="00ED7E61">
        <w:rPr>
          <w:rStyle w:val="eop"/>
          <w:rFonts w:asciiTheme="majorBidi" w:eastAsiaTheme="majorEastAsia" w:hAnsiTheme="majorBidi" w:cstheme="majorBidi"/>
        </w:rPr>
        <w:t> </w:t>
      </w:r>
    </w:p>
    <w:p w14:paraId="3C2D8D90" w14:textId="4653D09E" w:rsidR="004513C7"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Public space: The Global Public Space toolkit defines Public Space as all places that are publicly owned or of public use, accessible and enjoyable by all, for free and without a profit motive, categorized into streets, open spaces and public facilities. Public space in general is defined as the meeting or gathering places that exist outside the home and workplace that are generally accessible by members of the public, and which foster resident interaction and opportunities for contact and proximity. This definition implies a higher level of community interaction and places a focus on public involvement rather than public ownership or stewardship. For the purpose of monitoring and reporting on </w:t>
      </w:r>
      <w:r w:rsidR="008312D9">
        <w:rPr>
          <w:rStyle w:val="normaltextrun"/>
          <w:rFonts w:asciiTheme="majorBidi" w:eastAsiaTheme="majorEastAsia" w:hAnsiTheme="majorBidi" w:cstheme="majorBidi"/>
        </w:rPr>
        <w:t xml:space="preserve">SDG </w:t>
      </w:r>
      <w:r w:rsidRPr="00ED7E61">
        <w:rPr>
          <w:rStyle w:val="normaltextrun"/>
          <w:rFonts w:asciiTheme="majorBidi" w:eastAsiaTheme="majorEastAsia" w:hAnsiTheme="majorBidi" w:cstheme="majorBidi"/>
        </w:rPr>
        <w:t>indicator 11.7.1, public space is defined as all places of public use, accessible by all, and comprises open public space and streets. </w:t>
      </w:r>
      <w:r w:rsidRPr="00ED7E61">
        <w:rPr>
          <w:rStyle w:val="eop"/>
          <w:rFonts w:asciiTheme="majorBidi" w:eastAsiaTheme="majorEastAsia" w:hAnsiTheme="majorBidi" w:cstheme="majorBidi"/>
        </w:rPr>
        <w:t> </w:t>
      </w:r>
    </w:p>
    <w:p w14:paraId="3B45F2BC" w14:textId="122C8C40" w:rsidR="004513C7"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Land allocated to streets refers to the total area of the city/urban area that is occupied by all forms of streets (as defined above). This indicator only includes streets available at the time of data collection and excludes proposed networks.</w:t>
      </w:r>
      <w:r w:rsidRPr="00ED7E61">
        <w:rPr>
          <w:rStyle w:val="eop"/>
          <w:rFonts w:asciiTheme="majorBidi" w:eastAsiaTheme="majorEastAsia" w:hAnsiTheme="majorBidi" w:cstheme="majorBidi"/>
        </w:rPr>
        <w:t> </w:t>
      </w:r>
    </w:p>
    <w:p w14:paraId="2D380F42" w14:textId="529CBEB1" w:rsidR="004513C7"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Open public space: is any open piece of land that is undeveloped or land with no buildings (or other built structures) that is accessible to the public without charge, and provides recreational areas for residents and helps to enhance the beauty and environmental quality of neighbourhoods.  UN-Habitat recognizes that different cities have different types of open public spaces, which vary in both size and typology. Based on the size of both soft and hard surfaces, open public spaces are broadly classified into six categories: national/metropolitan open spaces, regional/larger city open spaces, district/city open spaces, neighbourhood open spaces, local/pocket open spaces and linear open spaces.  Classification of open public space by typology is described by the function of the space and can include: green public areas, riparian reserves, parks and urban forests, playground, square, plazas, waterfronts, sports field, community gardens, parklets and pocket parks. </w:t>
      </w:r>
      <w:r w:rsidRPr="00ED7E61">
        <w:rPr>
          <w:rStyle w:val="eop"/>
          <w:rFonts w:asciiTheme="majorBidi" w:eastAsiaTheme="majorEastAsia" w:hAnsiTheme="majorBidi" w:cstheme="majorBidi"/>
        </w:rPr>
        <w:t> </w:t>
      </w:r>
    </w:p>
    <w:p w14:paraId="125D0754" w14:textId="2070C340" w:rsidR="004513C7"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Potential open public space:  the identification of open public spaces across cities can be implemented through, among other sources, analysis of high to very high resolution satellite imagery, from base-maps provided by different organizations (e</w:t>
      </w:r>
      <w:r w:rsidR="008312D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g</w:t>
      </w:r>
      <w:r w:rsidR="008312D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OpenStreetMap, Esri, etc</w:t>
      </w:r>
      <w:r w:rsidR="00D63349">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or as crowd-sourced and volunteered data. While these sources provide important baseline data for</w:t>
      </w:r>
      <w:r w:rsidR="008312D9">
        <w:rPr>
          <w:rStyle w:val="normaltextrun"/>
          <w:rFonts w:asciiTheme="majorBidi" w:eastAsiaTheme="majorEastAsia" w:hAnsiTheme="majorBidi" w:cstheme="majorBidi"/>
        </w:rPr>
        <w:t xml:space="preserve"> SDG</w:t>
      </w:r>
      <w:r w:rsidRPr="00ED7E61">
        <w:rPr>
          <w:rStyle w:val="normaltextrun"/>
          <w:rFonts w:asciiTheme="majorBidi" w:eastAsiaTheme="majorEastAsia" w:hAnsiTheme="majorBidi" w:cstheme="majorBidi"/>
        </w:rPr>
        <w:t xml:space="preserve"> indicator 11.7.1, some of the identifiable spaces may not meet the criteria of being “</w:t>
      </w:r>
      <w:r w:rsidRPr="00FB1598">
        <w:rPr>
          <w:rStyle w:val="normaltextrun"/>
          <w:rFonts w:asciiTheme="majorBidi" w:eastAsiaTheme="majorEastAsia" w:hAnsiTheme="majorBidi" w:cstheme="majorBidi"/>
          <w:i/>
          <w:iCs/>
        </w:rPr>
        <w:t>accessible to the public without charge</w:t>
      </w:r>
      <w:r w:rsidRPr="00ED7E61">
        <w:rPr>
          <w:rStyle w:val="normaltextrun"/>
          <w:rFonts w:asciiTheme="majorBidi" w:eastAsiaTheme="majorEastAsia" w:hAnsiTheme="majorBidi" w:cstheme="majorBidi"/>
        </w:rPr>
        <w:t>”. The term “</w:t>
      </w:r>
      <w:r w:rsidRPr="00FB1598">
        <w:rPr>
          <w:rStyle w:val="normaltextrun"/>
          <w:rFonts w:asciiTheme="majorBidi" w:eastAsiaTheme="majorEastAsia" w:hAnsiTheme="majorBidi" w:cstheme="majorBidi"/>
          <w:i/>
          <w:iCs/>
        </w:rPr>
        <w:t>potential open public space</w:t>
      </w:r>
      <w:r w:rsidRPr="00ED7E61">
        <w:rPr>
          <w:rStyle w:val="normaltextrun"/>
          <w:rFonts w:asciiTheme="majorBidi" w:eastAsiaTheme="majorEastAsia" w:hAnsiTheme="majorBidi" w:cstheme="majorBidi"/>
        </w:rPr>
        <w:t>” is thus used to refer to open public spaces which are extracted from the above-mentioned sources (based on their spatial character), but which are not yet validated to confirm if they are accessible to the public without charge.</w:t>
      </w:r>
      <w:r w:rsidRPr="00ED7E61">
        <w:rPr>
          <w:rStyle w:val="eop"/>
          <w:rFonts w:asciiTheme="majorBidi" w:eastAsiaTheme="majorEastAsia" w:hAnsiTheme="majorBidi" w:cstheme="majorBidi"/>
        </w:rPr>
        <w:t> </w:t>
      </w:r>
    </w:p>
    <w:p w14:paraId="60EE31B2" w14:textId="673C061F" w:rsidR="004513C7"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Streets are defined thoroughfares that are based inside urban areas, towns, cities and neighbourhoods most commonly lined with houses or buildings used by pedestrians or vehicles in order to go from one place to another in the city, interact and to earn a livelihood. The main purpose of a street is facilitating movement and enabling public interaction. The following elements are considered as streets space: Streets, avenues and boulevards, pavements, passages and galleries, Bicycle paths, sidewalks, traffic island, tramways and roundabouts. Elements excluded from street space include plots (either built-up), open space blocks, railways, paved space within parking lots and airports and individual industries.</w:t>
      </w:r>
      <w:r w:rsidRPr="00ED7E61">
        <w:rPr>
          <w:rStyle w:val="eop"/>
          <w:rFonts w:asciiTheme="majorBidi" w:eastAsiaTheme="majorEastAsia" w:hAnsiTheme="majorBidi" w:cstheme="majorBidi"/>
        </w:rPr>
        <w:t> </w:t>
      </w:r>
    </w:p>
    <w:p w14:paraId="57731F14" w14:textId="60F4E527" w:rsidR="00756F0F" w:rsidRPr="00D804E8"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For more details and illustrations on the definition of the different types of open spaces considered for </w:t>
      </w:r>
      <w:r w:rsidR="008312D9">
        <w:rPr>
          <w:rStyle w:val="normaltextrun"/>
          <w:rFonts w:asciiTheme="majorBidi" w:eastAsiaTheme="majorEastAsia" w:hAnsiTheme="majorBidi" w:cstheme="majorBidi"/>
        </w:rPr>
        <w:t xml:space="preserve">SDG </w:t>
      </w:r>
      <w:r w:rsidRPr="00ED7E61">
        <w:rPr>
          <w:rStyle w:val="normaltextrun"/>
          <w:rFonts w:asciiTheme="majorBidi" w:eastAsiaTheme="majorEastAsia" w:hAnsiTheme="majorBidi" w:cstheme="majorBidi"/>
        </w:rPr>
        <w:t xml:space="preserve">indicator 11.7.1 see </w:t>
      </w:r>
      <w:r w:rsidR="008312D9">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rPr>
        <w:t xml:space="preserve"> step by step training module (</w:t>
      </w:r>
      <w:hyperlink r:id="rId514" w:tgtFrame="_blank" w:history="1">
        <w:r w:rsidRPr="00ED7E61">
          <w:rPr>
            <w:rStyle w:val="normaltextrun"/>
            <w:rFonts w:asciiTheme="majorBidi" w:eastAsiaTheme="majorEastAsia" w:hAnsiTheme="majorBidi" w:cstheme="majorBidi"/>
            <w:color w:val="0000FF"/>
          </w:rPr>
          <w:t>https://unhabitat.org/sites/default/files/2020/07/indicator_11.7.1_training_module_public_space.pdf</w:t>
        </w:r>
      </w:hyperlink>
      <w:r w:rsidRPr="00ED7E61">
        <w:rPr>
          <w:rStyle w:val="normaltextrun"/>
          <w:rFonts w:asciiTheme="majorBidi" w:eastAsiaTheme="majorEastAsia" w:hAnsiTheme="majorBidi" w:cstheme="majorBidi"/>
        </w:rPr>
        <w:t>).</w:t>
      </w:r>
    </w:p>
    <w:p w14:paraId="767C359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5b. Method of computation</w:t>
      </w:r>
      <w:r w:rsidRPr="00ED7E61">
        <w:rPr>
          <w:rStyle w:val="eop"/>
          <w:rFonts w:asciiTheme="majorBidi" w:eastAsiaTheme="majorEastAsia" w:hAnsiTheme="majorBidi" w:cstheme="majorBidi"/>
          <w:sz w:val="22"/>
          <w:szCs w:val="22"/>
        </w:rPr>
        <w:t> </w:t>
      </w:r>
    </w:p>
    <w:p w14:paraId="36EF15DD" w14:textId="1E31B960" w:rsidR="004513C7"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following is the definition of the SDG 11.7.1 indicator and consequently there could be small variations in the definition for the</w:t>
      </w:r>
      <w:r w:rsidR="004056F3">
        <w:rPr>
          <w:rStyle w:val="normaltextrun"/>
          <w:rFonts w:asciiTheme="majorBidi" w:eastAsiaTheme="majorEastAsia" w:hAnsiTheme="majorBidi" w:cstheme="majorBidi"/>
        </w:rPr>
        <w:t xml:space="preserve"> ”</w:t>
      </w:r>
      <w:r w:rsidRPr="00FB1598">
        <w:rPr>
          <w:rStyle w:val="normaltextrun"/>
          <w:rFonts w:asciiTheme="majorBidi" w:eastAsiaTheme="majorEastAsia" w:hAnsiTheme="majorBidi" w:cstheme="majorBidi"/>
          <w:i/>
          <w:iCs/>
          <w:shd w:val="clear" w:color="auto" w:fill="FFFFFF"/>
        </w:rPr>
        <w:t>Average share of the built-up area of cities that is green/blue space for public use for all</w:t>
      </w:r>
      <w:r w:rsidR="004056F3">
        <w:rPr>
          <w:rStyle w:val="normaltextrun"/>
          <w:rFonts w:asciiTheme="majorBidi" w:eastAsiaTheme="majorEastAsia" w:hAnsiTheme="majorBidi" w:cstheme="majorBidi"/>
          <w:shd w:val="clear" w:color="auto" w:fill="FFFFFF"/>
        </w:rPr>
        <w:t>”</w:t>
      </w:r>
      <w:r w:rsidRPr="00ED7E61">
        <w:rPr>
          <w:rStyle w:val="normaltextrun"/>
          <w:rFonts w:asciiTheme="majorBidi" w:eastAsiaTheme="majorEastAsia" w:hAnsiTheme="majorBidi" w:cstheme="majorBidi"/>
          <w:shd w:val="clear" w:color="auto" w:fill="FFFFFF"/>
        </w:rPr>
        <w:t>.</w:t>
      </w:r>
      <w:r w:rsidRPr="00ED7E61">
        <w:rPr>
          <w:rStyle w:val="eop"/>
          <w:rFonts w:asciiTheme="majorBidi" w:eastAsiaTheme="majorEastAsia" w:hAnsiTheme="majorBidi" w:cstheme="majorBidi"/>
        </w:rPr>
        <w:t> </w:t>
      </w:r>
    </w:p>
    <w:p w14:paraId="72B0300C"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method to estimate the area of public space has been globally piloted in over 600 cities and this follows a series of methodological developments that go back to the last 7 years. The finalized methodology is a three-step process: </w:t>
      </w:r>
      <w:r w:rsidRPr="00ED7E61">
        <w:rPr>
          <w:rStyle w:val="eop"/>
          <w:rFonts w:asciiTheme="majorBidi" w:eastAsiaTheme="majorEastAsia" w:hAnsiTheme="majorBidi" w:cstheme="majorBidi"/>
        </w:rPr>
        <w:t> </w:t>
      </w:r>
    </w:p>
    <w:p w14:paraId="6C3024CF" w14:textId="77777777" w:rsidR="00756F0F"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Spatial analysis to delimit the city/urban area which will act as the geographical scope for the spatial analysis and indicator computation; </w:t>
      </w:r>
      <w:r w:rsidRPr="00ED7E61">
        <w:rPr>
          <w:rStyle w:val="normaltextrun"/>
          <w:color w:val="242424"/>
        </w:rPr>
        <w:t> </w:t>
      </w:r>
    </w:p>
    <w:p w14:paraId="0E00FB22" w14:textId="77777777" w:rsidR="00756F0F"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Spatial analysis to identify potential open public spaces, expert consultations and/or field work to validate data and assess the quality of spaces and calculation of the total area occupied by the verified open public spaces; </w:t>
      </w:r>
      <w:r w:rsidRPr="00ED7E61">
        <w:rPr>
          <w:rStyle w:val="normaltextrun"/>
          <w:color w:val="242424"/>
        </w:rPr>
        <w:t> </w:t>
      </w:r>
    </w:p>
    <w:p w14:paraId="29CBDCFD" w14:textId="1B388F60" w:rsidR="00285C8C"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Estimation of the total area allocated to streets;</w:t>
      </w:r>
      <w:r w:rsidRPr="00ED7E61">
        <w:rPr>
          <w:rStyle w:val="normaltextrun"/>
          <w:color w:val="242424"/>
        </w:rPr>
        <w:t> </w:t>
      </w:r>
    </w:p>
    <w:p w14:paraId="142F4DCA" w14:textId="77777777" w:rsidR="00756F0F"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Estimation of share of population with access to open public spaces within 400 meters walking distance out of the total population in the city/ urban area and disaggregation of the population with access by sex, age and persons with disabilities </w:t>
      </w:r>
      <w:r w:rsidRPr="00ED7E61">
        <w:rPr>
          <w:rStyle w:val="normaltextrun"/>
          <w:color w:val="242424"/>
        </w:rPr>
        <w:t> </w:t>
      </w:r>
    </w:p>
    <w:p w14:paraId="75C80A95" w14:textId="77777777" w:rsidR="00756F0F" w:rsidRPr="00ED7E61" w:rsidRDefault="00756F0F" w:rsidP="00395866">
      <w:pPr>
        <w:pStyle w:val="paragraph"/>
        <w:shd w:val="clear" w:color="auto" w:fill="FFFFFF"/>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Spatial analysis to delimit the city/urban area  </w:t>
      </w:r>
      <w:r w:rsidRPr="00ED7E61">
        <w:rPr>
          <w:rStyle w:val="eop"/>
          <w:rFonts w:asciiTheme="majorBidi" w:eastAsiaTheme="majorEastAsia" w:hAnsiTheme="majorBidi" w:cstheme="majorBidi"/>
          <w:sz w:val="22"/>
          <w:szCs w:val="22"/>
        </w:rPr>
        <w:t> </w:t>
      </w:r>
    </w:p>
    <w:p w14:paraId="164AEBEB" w14:textId="010FDAB6"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shd w:val="clear" w:color="auto" w:fill="FFFFFF"/>
        </w:rPr>
        <w:t>Following</w:t>
      </w:r>
      <w:r w:rsidRPr="00ED7E61">
        <w:rPr>
          <w:rStyle w:val="normaltextrun"/>
          <w:rFonts w:asciiTheme="majorBidi" w:eastAsiaTheme="majorEastAsia" w:hAnsiTheme="majorBidi" w:cstheme="majorBidi"/>
        </w:rPr>
        <w:t xml:space="preserve"> consultations with 86 member states, the United Nations Statistical Commission in its 51</w:t>
      </w:r>
      <w:r w:rsidRPr="00ED7E61">
        <w:rPr>
          <w:rStyle w:val="normaltextrun"/>
          <w:rFonts w:asciiTheme="majorBidi" w:eastAsiaTheme="majorEastAsia" w:hAnsiTheme="majorBidi" w:cstheme="majorBidi"/>
          <w:vertAlign w:val="superscript"/>
        </w:rPr>
        <w:t>st</w:t>
      </w:r>
      <w:r w:rsidRPr="00ED7E61">
        <w:rPr>
          <w:rStyle w:val="normaltextrun"/>
          <w:rFonts w:asciiTheme="majorBidi" w:eastAsiaTheme="majorEastAsia" w:hAnsiTheme="majorBidi" w:cstheme="majorBidi"/>
        </w:rPr>
        <w:t xml:space="preserve"> Session (March 2020) endorsed the Degree of Urbanisation (DEGURBA) as a workable method to delineate cities, urban and rural areas for international statistical comparisons. Countries are thus encouraged to adopt this approach, which will help them produce data that is comparable across urban areas within their territories, as well as with urban areas and cities in other countries. More details on DEGURBA and its application are available here:  </w:t>
      </w:r>
      <w:hyperlink r:id="rId515" w:tgtFrame="_blank" w:history="1">
        <w:r w:rsidRPr="00ED7E61">
          <w:rPr>
            <w:rStyle w:val="normaltextrun"/>
            <w:rFonts w:asciiTheme="majorBidi" w:eastAsiaTheme="majorEastAsia" w:hAnsiTheme="majorBidi" w:cstheme="majorBidi"/>
            <w:color w:val="467886"/>
            <w:u w:val="single"/>
            <w:shd w:val="clear" w:color="auto" w:fill="E1E3E6"/>
          </w:rPr>
          <w:t>https://unstats.un.org/unsd/statcom/51st-session/documents/BG-Item3j-Recommendation-E.pdf</w:t>
        </w:r>
      </w:hyperlink>
      <w:r w:rsidR="00CE544C">
        <w:rPr>
          <w:rStyle w:val="normaltextrun"/>
          <w:rFonts w:asciiTheme="majorBidi" w:eastAsiaTheme="majorEastAsia" w:hAnsiTheme="majorBidi" w:cstheme="majorBidi"/>
          <w:color w:val="467886"/>
          <w:u w:val="single"/>
          <w:shd w:val="clear" w:color="auto" w:fill="E1E3E6"/>
        </w:rPr>
        <w:t>.</w:t>
      </w:r>
      <w:r w:rsidRPr="00ED7E61">
        <w:rPr>
          <w:rStyle w:val="eop"/>
          <w:rFonts w:asciiTheme="majorBidi" w:eastAsiaTheme="majorEastAsia" w:hAnsiTheme="majorBidi" w:cstheme="majorBidi"/>
        </w:rPr>
        <w:t> </w:t>
      </w:r>
    </w:p>
    <w:p w14:paraId="53495E87" w14:textId="77777777" w:rsidR="00756F0F" w:rsidRPr="00ED7E61" w:rsidRDefault="00756F0F" w:rsidP="00395866">
      <w:pPr>
        <w:pStyle w:val="paragraph"/>
        <w:shd w:val="clear" w:color="auto" w:fill="FFFFFF"/>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Spatial analysis to identify potential open public spaces, ground verification and estimating their total area</w:t>
      </w:r>
      <w:r w:rsidRPr="00ED7E61">
        <w:rPr>
          <w:rStyle w:val="eop"/>
          <w:rFonts w:asciiTheme="majorBidi" w:eastAsiaTheme="majorEastAsia" w:hAnsiTheme="majorBidi" w:cstheme="majorBidi"/>
          <w:sz w:val="22"/>
          <w:szCs w:val="22"/>
        </w:rPr>
        <w:t> </w:t>
      </w:r>
    </w:p>
    <w:p w14:paraId="40BC37CF"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shd w:val="clear" w:color="auto" w:fill="FFFFFF"/>
        </w:rPr>
        <w:t>This</w:t>
      </w:r>
      <w:r w:rsidRPr="00ED7E61">
        <w:rPr>
          <w:rStyle w:val="normaltextrun"/>
          <w:rFonts w:asciiTheme="majorBidi" w:eastAsiaTheme="majorEastAsia" w:hAnsiTheme="majorBidi" w:cstheme="majorBidi"/>
        </w:rPr>
        <w:t xml:space="preserve"> step involves mapping of potential open public spaces within the urban boundaries defined in step one above and estimation of their area. Identification of potential open public spaces is based on the spatial character of each space and is also informed by existing country/ city land use maps and open space inventories. To compute this component of the indicator, follow these steps:</w:t>
      </w:r>
      <w:r w:rsidRPr="00ED7E61">
        <w:rPr>
          <w:rStyle w:val="eop"/>
          <w:rFonts w:asciiTheme="majorBidi" w:eastAsiaTheme="majorEastAsia" w:hAnsiTheme="majorBidi" w:cstheme="majorBidi"/>
        </w:rPr>
        <w:t> </w:t>
      </w:r>
    </w:p>
    <w:p w14:paraId="0FB5E714" w14:textId="74A15E74" w:rsidR="00756F0F" w:rsidRPr="00ED7E61" w:rsidRDefault="00756F0F" w:rsidP="00B10F0C">
      <w:pPr>
        <w:pStyle w:val="CBDNormalNumber"/>
        <w:numPr>
          <w:ilvl w:val="1"/>
          <w:numId w:val="85"/>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An inventory of Open Public Spaces should be the initial source of information. Additional legal documents, land use plans and other official sources of information can be used to complement the data from the inventory. If the focus urban area or city has a detailed and up-to-date database of its open public spaces, use the information to plot such spaces in GIS software and compute their areas. Where necessary, clean data to remove components which are not applicable in the computation of this sub-indicator (e.g. recreation areas which attract a fee such as golf courses, etc</w:t>
      </w:r>
      <w:r w:rsidR="00D63349">
        <w:rPr>
          <w:rStyle w:val="normaltextrun"/>
          <w:rFonts w:asciiTheme="majorBidi" w:eastAsiaTheme="majorEastAsia" w:hAnsiTheme="majorBidi" w:cstheme="majorBidi"/>
          <w:color w:val="242424"/>
        </w:rPr>
        <w:t>.</w:t>
      </w:r>
      <w:r w:rsidRPr="00ED7E61">
        <w:rPr>
          <w:rStyle w:val="normaltextrun"/>
          <w:rFonts w:asciiTheme="majorBidi" w:eastAsiaTheme="majorEastAsia" w:hAnsiTheme="majorBidi" w:cstheme="majorBidi"/>
          <w:color w:val="242424"/>
        </w:rPr>
        <w:t>). </w:t>
      </w:r>
      <w:r w:rsidRPr="00ED7E61">
        <w:rPr>
          <w:rStyle w:val="normaltextrun"/>
          <w:color w:val="242424"/>
        </w:rPr>
        <w:t> </w:t>
      </w:r>
    </w:p>
    <w:p w14:paraId="108CB12D" w14:textId="6DB18C63" w:rsidR="004D4F11" w:rsidRPr="00ED7E61" w:rsidRDefault="00756F0F" w:rsidP="00B10F0C">
      <w:pPr>
        <w:pStyle w:val="CBDNormalNumber"/>
        <w:numPr>
          <w:ilvl w:val="1"/>
          <w:numId w:val="85"/>
        </w:numPr>
        <w:tabs>
          <w:tab w:val="clear" w:pos="567"/>
          <w:tab w:val="clear" w:pos="1134"/>
          <w:tab w:val="clear" w:pos="2268"/>
          <w:tab w:val="left" w:pos="1985"/>
        </w:tabs>
        <w:ind w:left="567" w:firstLine="567"/>
        <w:rPr>
          <w:rStyle w:val="normaltextrun"/>
          <w:rFonts w:asciiTheme="majorBidi" w:eastAsiaTheme="majorEastAsia" w:hAnsiTheme="majorBidi" w:cstheme="majorBidi"/>
          <w:color w:val="242424"/>
        </w:rPr>
      </w:pPr>
      <w:r w:rsidRPr="00ED7E61">
        <w:rPr>
          <w:rStyle w:val="normaltextrun"/>
          <w:rFonts w:asciiTheme="majorBidi" w:eastAsiaTheme="majorEastAsia" w:hAnsiTheme="majorBidi" w:cstheme="majorBidi"/>
          <w:color w:val="242424"/>
        </w:rPr>
        <w:t>Since many cities and countries do not have an open public spaces inventory, satellite imagery can be used to extract information on potential open public spaces. The identification of such spaces from imagery should be based on careful evaluation of the character of each space against the known forms of open public spaces within that city / country. High resolution satellite imagery or Google Earth imagery can be used in this analysis. Open data sources such as OpenStreetMap (OSM) have some polygon data on open spaces in many cities. While this data may not be comprehensive for all cities, it can contribute to the data collection efforts and can be explored. </w:t>
      </w:r>
      <w:r w:rsidRPr="00ED7E61">
        <w:rPr>
          <w:rStyle w:val="normaltextrun"/>
          <w:color w:val="242424"/>
        </w:rPr>
        <w:t> </w:t>
      </w:r>
    </w:p>
    <w:p w14:paraId="40E819B3" w14:textId="4F63A2BB" w:rsidR="00756F0F" w:rsidRPr="00ED7E61" w:rsidRDefault="00756F0F" w:rsidP="00B10F0C">
      <w:pPr>
        <w:pStyle w:val="CBDNormalNumber"/>
        <w:numPr>
          <w:ilvl w:val="1"/>
          <w:numId w:val="85"/>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Using the data extracted from step 2 above, undertake validation to remove spaces which are not open for public use (e.g. private non-built up land within the urban area), or to add new spaces that might have been omitted during the extraction stage. This can be achieved through analysing the character of spaces (e.g. size, shape, land cover, etc</w:t>
      </w:r>
      <w:r w:rsidR="00194105">
        <w:rPr>
          <w:rStyle w:val="normaltextrun"/>
          <w:rFonts w:asciiTheme="majorBidi" w:eastAsiaTheme="majorEastAsia" w:hAnsiTheme="majorBidi" w:cstheme="majorBidi"/>
          <w:color w:val="242424"/>
        </w:rPr>
        <w:t>.</w:t>
      </w:r>
      <w:r w:rsidRPr="00ED7E61">
        <w:rPr>
          <w:rStyle w:val="normaltextrun"/>
          <w:rFonts w:asciiTheme="majorBidi" w:eastAsiaTheme="majorEastAsia" w:hAnsiTheme="majorBidi" w:cstheme="majorBidi"/>
          <w:color w:val="242424"/>
        </w:rPr>
        <w:t>), comparison of </w:t>
      </w:r>
      <w:r w:rsidRPr="00ED7E61">
        <w:rPr>
          <w:rStyle w:val="normaltextrun"/>
          <w:color w:val="242424"/>
        </w:rPr>
        <w:t> </w:t>
      </w:r>
    </w:p>
    <w:p w14:paraId="232ED114" w14:textId="4E13DA07" w:rsidR="00756F0F" w:rsidRPr="00ED7E61" w:rsidRDefault="00756F0F" w:rsidP="00B10F0C">
      <w:pPr>
        <w:pStyle w:val="CBDNormalNumber"/>
        <w:numPr>
          <w:ilvl w:val="1"/>
          <w:numId w:val="85"/>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 xml:space="preserve">identified spaces with known recreational areas within the city or with data from OpenStreetMap, or consultations with city leaders, local civil society groups, community representatives among others. UN-Habitat, in consultation with partners, experts and data producers have developed a detailed tool to facilitate the verification of each space and collection of additional data on the space quality and accessibility. This tool is freely available and allows for on-site definition/ editing of the space’s boundaries. It also contains standard and extended questions which collect data relevant to the indicator, including location of the spaces, their ownership and management, safety, inclusivity and accessibility. This data provides basic information about each space, as well as information relevant for disaggregation - such as access issues linked to age, gender and disabilities, as requested for by the indicator. The tool is dynamic and allows cities to include extra questions which generate information that is useful for their decision making (Tool is available at </w:t>
      </w:r>
      <w:hyperlink r:id="rId516" w:anchor="IGFf6ubq" w:history="1">
        <w:r w:rsidR="00CE544C" w:rsidRPr="00192E25">
          <w:rPr>
            <w:rStyle w:val="Hyperlink"/>
            <w:rFonts w:asciiTheme="majorBidi" w:eastAsiaTheme="majorEastAsia" w:hAnsiTheme="majorBidi" w:cstheme="majorBidi"/>
          </w:rPr>
          <w:t>https://ee.kobotoolbox.org/x/#IGFf6ubq</w:t>
        </w:r>
      </w:hyperlink>
      <w:r w:rsidRPr="00ED7E61">
        <w:rPr>
          <w:rStyle w:val="normaltextrun"/>
          <w:rFonts w:asciiTheme="majorBidi" w:eastAsiaTheme="majorEastAsia" w:hAnsiTheme="majorBidi" w:cstheme="majorBidi"/>
          <w:color w:val="242424"/>
        </w:rPr>
        <w:t>).</w:t>
      </w:r>
      <w:r w:rsidR="00CE544C">
        <w:rPr>
          <w:rStyle w:val="normaltextrun"/>
          <w:rFonts w:asciiTheme="majorBidi" w:eastAsiaTheme="majorEastAsia" w:hAnsiTheme="majorBidi" w:cstheme="majorBidi"/>
          <w:color w:val="242424"/>
        </w:rPr>
        <w:t xml:space="preserve"> </w:t>
      </w:r>
      <w:r w:rsidRPr="00ED7E61">
        <w:rPr>
          <w:rStyle w:val="normaltextrun"/>
          <w:rFonts w:asciiTheme="majorBidi" w:eastAsiaTheme="majorEastAsia" w:hAnsiTheme="majorBidi" w:cstheme="majorBidi"/>
          <w:color w:val="242424"/>
        </w:rPr>
        <w:t>It should however be noted that the validation approaches which require primary data collection are capital intensive and may not be feasible for most countries in the short term. Validation based on existing city-level data and continuous stakeholder engagement should thus be adopted since they have been shown to produce reliable results at lower costs.</w:t>
      </w:r>
      <w:r w:rsidRPr="00ED7E61">
        <w:rPr>
          <w:rStyle w:val="normaltextrun"/>
          <w:color w:val="242424"/>
        </w:rPr>
        <w:t> </w:t>
      </w:r>
    </w:p>
    <w:p w14:paraId="5617B911" w14:textId="6AA02E8F" w:rsidR="00756F0F" w:rsidRPr="00ED7E61" w:rsidRDefault="00756F0F" w:rsidP="00B10F0C">
      <w:pPr>
        <w:pStyle w:val="CBDNormalNumber"/>
        <w:numPr>
          <w:ilvl w:val="1"/>
          <w:numId w:val="85"/>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Calculate the total area covered by the verified open public spaces. Once all open public spaces have been verified, calculate their area in GIS or other database management software. The share of land occupied by these spaces is then calculated using the formula</w:t>
      </w:r>
      <w:r w:rsidR="00F11C78" w:rsidRPr="00ED7E61">
        <w:rPr>
          <w:rStyle w:val="normaltextrun"/>
          <w:rFonts w:asciiTheme="majorBidi" w:eastAsiaTheme="majorEastAsia" w:hAnsiTheme="majorBidi" w:cstheme="majorBidi"/>
          <w:color w:val="242424"/>
        </w:rPr>
        <w:t>:</w:t>
      </w:r>
    </w:p>
    <w:p w14:paraId="6981FAD8" w14:textId="2F8BE08C" w:rsidR="00F11C78" w:rsidRPr="00ED7E61" w:rsidRDefault="00F11C78" w:rsidP="00395866">
      <w:pPr>
        <w:pStyle w:val="paragraph"/>
        <w:shd w:val="clear" w:color="auto" w:fill="FFFFFF"/>
        <w:spacing w:before="0" w:beforeAutospacing="0" w:after="0" w:afterAutospacing="0"/>
        <w:textAlignment w:val="baseline"/>
        <w:rPr>
          <w:rStyle w:val="normaltextrun"/>
          <w:rFonts w:asciiTheme="majorBidi" w:eastAsiaTheme="majorEastAsia" w:hAnsiTheme="majorBidi" w:cstheme="majorBidi"/>
          <w:b/>
          <w:bCs/>
          <w:sz w:val="22"/>
          <w:szCs w:val="22"/>
          <w:lang w:val="en-GB"/>
        </w:rPr>
      </w:pPr>
      <w:r w:rsidRPr="00ED7E61">
        <w:rPr>
          <w:noProof/>
          <w:color w:val="000000"/>
          <w:lang w:val="fr-FR" w:eastAsia="fr-FR"/>
        </w:rPr>
        <w:drawing>
          <wp:inline distT="0" distB="0" distL="0" distR="0" wp14:anchorId="6089B3FF" wp14:editId="6CE1DA98">
            <wp:extent cx="5029200" cy="556260"/>
            <wp:effectExtent l="0" t="0" r="0" b="15240"/>
            <wp:docPr id="190148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7" r:link="rId518">
                      <a:extLst>
                        <a:ext uri="{28A0092B-C50C-407E-A947-70E740481C1C}">
                          <a14:useLocalDpi xmlns:a14="http://schemas.microsoft.com/office/drawing/2010/main" val="0"/>
                        </a:ext>
                      </a:extLst>
                    </a:blip>
                    <a:srcRect/>
                    <a:stretch>
                      <a:fillRect/>
                    </a:stretch>
                  </pic:blipFill>
                  <pic:spPr bwMode="auto">
                    <a:xfrm>
                      <a:off x="0" y="0"/>
                      <a:ext cx="5029200" cy="556260"/>
                    </a:xfrm>
                    <a:prstGeom prst="rect">
                      <a:avLst/>
                    </a:prstGeom>
                    <a:noFill/>
                    <a:ln>
                      <a:noFill/>
                    </a:ln>
                  </pic:spPr>
                </pic:pic>
              </a:graphicData>
            </a:graphic>
          </wp:inline>
        </w:drawing>
      </w:r>
    </w:p>
    <w:p w14:paraId="04D9BA57" w14:textId="77777777" w:rsidR="00F11C78" w:rsidRPr="00ED7E61" w:rsidRDefault="00F11C78" w:rsidP="00395866">
      <w:pPr>
        <w:pStyle w:val="paragraph"/>
        <w:shd w:val="clear" w:color="auto" w:fill="FFFFFF"/>
        <w:spacing w:before="0" w:beforeAutospacing="0" w:after="0" w:afterAutospacing="0"/>
        <w:textAlignment w:val="baseline"/>
        <w:rPr>
          <w:rStyle w:val="normaltextrun"/>
          <w:rFonts w:asciiTheme="majorBidi" w:eastAsiaTheme="majorEastAsia" w:hAnsiTheme="majorBidi" w:cstheme="majorBidi"/>
          <w:b/>
          <w:bCs/>
          <w:sz w:val="22"/>
          <w:szCs w:val="22"/>
          <w:lang w:val="en-GB"/>
        </w:rPr>
      </w:pPr>
    </w:p>
    <w:p w14:paraId="6723A1FB" w14:textId="3A811399" w:rsidR="00756F0F" w:rsidRPr="00ED7E61" w:rsidRDefault="00756F0F" w:rsidP="00395866">
      <w:pPr>
        <w:pStyle w:val="paragraph"/>
        <w:shd w:val="clear" w:color="auto" w:fill="FFFFFF"/>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Computation of land allocated to streets (LAS) </w:t>
      </w:r>
      <w:r w:rsidRPr="00ED7E61">
        <w:rPr>
          <w:rStyle w:val="eop"/>
          <w:rFonts w:asciiTheme="majorBidi" w:eastAsiaTheme="majorEastAsia" w:hAnsiTheme="majorBidi" w:cstheme="majorBidi"/>
          <w:sz w:val="22"/>
          <w:szCs w:val="22"/>
        </w:rPr>
        <w:t> </w:t>
      </w:r>
    </w:p>
    <w:p w14:paraId="5D0A0E19" w14:textId="77777777" w:rsidR="00756F0F" w:rsidRPr="00ED7E61" w:rsidRDefault="00756F0F" w:rsidP="00B10F0C">
      <w:pPr>
        <w:pStyle w:val="CBDNormalNumber"/>
        <w:numPr>
          <w:ilvl w:val="0"/>
          <w:numId w:val="85"/>
        </w:numPr>
        <w:shd w:val="clear" w:color="auto" w:fill="FFFFFF"/>
        <w:ind w:left="567" w:firstLine="0"/>
        <w:rPr>
          <w:rStyle w:val="normaltextrun"/>
          <w:rFonts w:eastAsiaTheme="majorEastAsia"/>
          <w:shd w:val="clear" w:color="auto" w:fill="FFFFFF"/>
        </w:rPr>
      </w:pPr>
      <w:r w:rsidRPr="00ED7E61">
        <w:rPr>
          <w:rStyle w:val="normaltextrun"/>
          <w:rFonts w:asciiTheme="majorBidi" w:eastAsiaTheme="majorEastAsia" w:hAnsiTheme="majorBidi" w:cstheme="majorBidi"/>
        </w:rPr>
        <w:t>Where</w:t>
      </w:r>
      <w:r w:rsidRPr="00ED7E61">
        <w:rPr>
          <w:rStyle w:val="normaltextrun"/>
          <w:rFonts w:asciiTheme="majorBidi" w:eastAsiaTheme="majorEastAsia" w:hAnsiTheme="majorBidi" w:cstheme="majorBidi"/>
          <w:shd w:val="clear" w:color="auto" w:fill="FFFFFF"/>
        </w:rPr>
        <w:t xml:space="preserve"> street data by width and length fields is available/specified, the following methodology could be used:</w:t>
      </w:r>
      <w:r w:rsidRPr="00ED7E61">
        <w:rPr>
          <w:rStyle w:val="normaltextrun"/>
          <w:shd w:val="clear" w:color="auto" w:fill="FFFFFF"/>
        </w:rPr>
        <w:t> </w:t>
      </w:r>
    </w:p>
    <w:p w14:paraId="65CBAED8" w14:textId="77777777" w:rsidR="00756F0F"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Select only the streets included in the city / urban area (or clip streets to the city/urban boundary)</w:t>
      </w:r>
      <w:r w:rsidRPr="00ED7E61">
        <w:rPr>
          <w:rStyle w:val="normaltextrun"/>
          <w:color w:val="242424"/>
        </w:rPr>
        <w:t> </w:t>
      </w:r>
    </w:p>
    <w:p w14:paraId="51FF8589" w14:textId="77777777" w:rsidR="00756F0F"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Style w:val="normaltextrun"/>
          <w:rFonts w:eastAsiaTheme="majorEastAsia"/>
          <w:color w:val="242424"/>
        </w:rPr>
      </w:pPr>
      <w:r w:rsidRPr="00ED7E61">
        <w:rPr>
          <w:rStyle w:val="normaltextrun"/>
          <w:rFonts w:asciiTheme="majorBidi" w:eastAsiaTheme="majorEastAsia" w:hAnsiTheme="majorBidi" w:cstheme="majorBidi"/>
          <w:color w:val="242424"/>
        </w:rPr>
        <w:t>From GIS (or alternative software), calculate the total area occupied by each street by multiplying its length with width. Add up all individual street areas to attain the total amount of land occupied all streets within the defined urban area. </w:t>
      </w:r>
      <w:r w:rsidRPr="00ED7E61">
        <w:rPr>
          <w:rStyle w:val="normaltextrun"/>
          <w:color w:val="242424"/>
        </w:rPr>
        <w:t> </w:t>
      </w:r>
    </w:p>
    <w:p w14:paraId="52B2B647" w14:textId="6CBD3575"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Where detailed data on streets is not available, there is </w:t>
      </w:r>
      <w:r w:rsidR="00CE544C">
        <w:rPr>
          <w:rStyle w:val="normaltextrun"/>
          <w:rFonts w:asciiTheme="majorBidi" w:eastAsiaTheme="majorEastAsia" w:hAnsiTheme="majorBidi" w:cstheme="majorBidi"/>
        </w:rPr>
        <w:t xml:space="preserve">a </w:t>
      </w:r>
      <w:r w:rsidRPr="00ED7E61">
        <w:rPr>
          <w:rStyle w:val="normaltextrun"/>
          <w:rFonts w:asciiTheme="majorBidi" w:eastAsiaTheme="majorEastAsia" w:hAnsiTheme="majorBidi" w:cstheme="majorBidi"/>
        </w:rPr>
        <w:t>need to map out each street line (or the entire area covered by the streets), measure its length and width, which are required for the area computation. For small urban areas, it is possible to manually digitize all streets, but this is more complex for large urban areas and cities. For these large urban areas, an alternative technique for computing land allocated to the streets is one that adopts sampling principles.  An approach that uses the Halton sampling sequence is recommended, specifically because the sequence generates equidistant points, increasing the degree of sample representativeness. To compute LAS using this method, follow the following steps:   </w:t>
      </w:r>
      <w:r w:rsidRPr="00ED7E61">
        <w:rPr>
          <w:rStyle w:val="eop"/>
          <w:rFonts w:asciiTheme="majorBidi" w:eastAsiaTheme="majorEastAsia" w:hAnsiTheme="majorBidi" w:cstheme="majorBidi"/>
        </w:rPr>
        <w:t> </w:t>
      </w:r>
    </w:p>
    <w:p w14:paraId="18275A8B" w14:textId="1E2712FF" w:rsidR="00062ABF"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color w:val="242424"/>
        </w:rPr>
        <w:t>Using</w:t>
      </w:r>
      <w:r w:rsidRPr="00ED7E61">
        <w:rPr>
          <w:rStyle w:val="normaltextrun"/>
          <w:rFonts w:asciiTheme="majorBidi" w:eastAsiaTheme="majorEastAsia" w:hAnsiTheme="majorBidi" w:cstheme="majorBidi"/>
        </w:rPr>
        <w:t xml:space="preserve"> the urban extent boundary identified earlier, generate a Halton sequence of sample points (Halton sequence refers to quasi-random sequence used to generate points in space that are ex-post evenly spread</w:t>
      </w:r>
      <w:r w:rsidR="00CE544C">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i.e. </w:t>
      </w:r>
      <w:r w:rsidR="00CE544C">
        <w:rPr>
          <w:rStyle w:val="normaltextrun"/>
          <w:rFonts w:asciiTheme="majorBidi" w:eastAsiaTheme="majorEastAsia" w:hAnsiTheme="majorBidi" w:cstheme="majorBidi"/>
        </w:rPr>
        <w:t>e</w:t>
      </w:r>
      <w:r w:rsidRPr="00ED7E61">
        <w:rPr>
          <w:rStyle w:val="normaltextrun"/>
          <w:rFonts w:asciiTheme="majorBidi" w:eastAsiaTheme="majorEastAsia" w:hAnsiTheme="majorBidi" w:cstheme="majorBidi"/>
        </w:rPr>
        <w:t>quidistant). The number of points used for each city varies based on its area.  In large study areas of more than 20 km</w:t>
      </w:r>
      <w:r w:rsidRPr="00ED7E61">
        <w:rPr>
          <w:rStyle w:val="normaltextrun"/>
          <w:rFonts w:asciiTheme="majorBidi" w:eastAsiaTheme="majorEastAsia" w:hAnsiTheme="majorBidi" w:cstheme="majorBidi"/>
          <w:vertAlign w:val="superscript"/>
        </w:rPr>
        <w:t>2</w:t>
      </w:r>
      <w:r w:rsidRPr="00ED7E61">
        <w:rPr>
          <w:rStyle w:val="normaltextrun"/>
          <w:rFonts w:asciiTheme="majorBidi" w:eastAsiaTheme="majorEastAsia" w:hAnsiTheme="majorBidi" w:cstheme="majorBidi"/>
        </w:rPr>
        <w:t>, a density of one circle per hectare is used while in small study areas of less than 20 km</w:t>
      </w:r>
      <w:r w:rsidRPr="00ED7E61">
        <w:rPr>
          <w:rStyle w:val="normaltextrun"/>
          <w:rFonts w:asciiTheme="majorBidi" w:eastAsiaTheme="majorEastAsia" w:hAnsiTheme="majorBidi" w:cstheme="majorBidi"/>
          <w:vertAlign w:val="superscript"/>
        </w:rPr>
        <w:t>2</w:t>
      </w:r>
      <w:r w:rsidRPr="00ED7E61">
        <w:rPr>
          <w:rStyle w:val="normaltextrun"/>
          <w:rFonts w:asciiTheme="majorBidi" w:eastAsiaTheme="majorEastAsia" w:hAnsiTheme="majorBidi" w:cstheme="majorBidi"/>
        </w:rPr>
        <w:t xml:space="preserve"> a density of 0.5 circle per hectare is used.</w:t>
      </w:r>
      <w:r w:rsidRPr="00ED7E61">
        <w:rPr>
          <w:rStyle w:val="eop"/>
          <w:rFonts w:asciiTheme="majorBidi" w:eastAsiaTheme="majorEastAsia" w:hAnsiTheme="majorBidi" w:cstheme="majorBidi"/>
        </w:rPr>
        <w:t> </w:t>
      </w:r>
    </w:p>
    <w:p w14:paraId="48A158DA" w14:textId="6100EE8A" w:rsidR="00062ABF"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Buffer the points to get sample areas with an area of 10 hectares each. </w:t>
      </w:r>
      <w:r w:rsidRPr="00ED7E61">
        <w:rPr>
          <w:rStyle w:val="eop"/>
          <w:rFonts w:asciiTheme="majorBidi" w:eastAsiaTheme="majorEastAsia" w:hAnsiTheme="majorBidi" w:cstheme="majorBidi"/>
        </w:rPr>
        <w:t> </w:t>
      </w:r>
    </w:p>
    <w:p w14:paraId="55ED7707" w14:textId="00B73B44" w:rsidR="00062ABF"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Within each 10-hectare sample area, digitize all streets in GIS software and compute the total amount of land they occupy.  </w:t>
      </w:r>
      <w:r w:rsidRPr="00ED7E61">
        <w:rPr>
          <w:rStyle w:val="eop"/>
          <w:rFonts w:asciiTheme="majorBidi" w:eastAsiaTheme="majorEastAsia" w:hAnsiTheme="majorBidi" w:cstheme="majorBidi"/>
        </w:rPr>
        <w:t> </w:t>
      </w:r>
    </w:p>
    <w:p w14:paraId="1C1FA286" w14:textId="25EB1440" w:rsidR="00062ABF"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Calculate the average land allocated to streets for all sample areas using the following formula:</w:t>
      </w:r>
      <w:r w:rsidRPr="00ED7E61">
        <w:rPr>
          <w:rStyle w:val="eop"/>
          <w:rFonts w:asciiTheme="majorBidi" w:eastAsiaTheme="majorEastAsia" w:hAnsiTheme="majorBidi" w:cstheme="majorBidi"/>
        </w:rPr>
        <w:t> </w:t>
      </w:r>
    </w:p>
    <w:p w14:paraId="117C4BD8" w14:textId="77777777" w:rsidR="00CC5C9D"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Fonts w:ascii="Arial" w:hAnsi="Arial" w:cs="Arial"/>
          <w:lang w:eastAsia="en-GB"/>
        </w:rPr>
      </w:pPr>
      <w:r w:rsidRPr="00ED7E61">
        <w:rPr>
          <w:rFonts w:asciiTheme="majorBidi" w:eastAsiaTheme="majorEastAsia" w:hAnsiTheme="majorBidi" w:cstheme="majorBidi"/>
        </w:rPr>
        <w:t xml:space="preserve">The land allocated to streets = </w:t>
      </w:r>
    </w:p>
    <w:p w14:paraId="68765EBB" w14:textId="4674A252" w:rsidR="00CC5C9D" w:rsidRPr="00ED7E61" w:rsidRDefault="00CC5C9D" w:rsidP="00CC5C9D">
      <w:pPr>
        <w:pStyle w:val="MText"/>
        <w:spacing w:after="160" w:line="240" w:lineRule="auto"/>
        <w:jc w:val="center"/>
        <w:rPr>
          <w:rFonts w:ascii="Arial" w:hAnsi="Arial" w:cs="Arial"/>
          <w:color w:val="auto"/>
          <w:sz w:val="24"/>
          <w:szCs w:val="24"/>
        </w:rPr>
      </w:pPr>
      <w:r w:rsidRPr="00ED7E61">
        <w:rPr>
          <w:rFonts w:ascii="Arial" w:hAnsi="Arial" w:cs="Arial"/>
          <w:color w:val="auto"/>
          <w:sz w:val="24"/>
          <w:szCs w:val="24"/>
        </w:rPr>
        <w:t xml:space="preserve"> </w:t>
      </w:r>
      <m:oMath>
        <m:f>
          <m:fPr>
            <m:ctrlPr>
              <w:rPr>
                <w:rFonts w:ascii="Cambria Math" w:hAnsi="Cambria Math" w:cs="Arial"/>
                <w:color w:val="auto"/>
                <w:sz w:val="24"/>
                <w:szCs w:val="24"/>
              </w:rPr>
            </m:ctrlPr>
          </m:fPr>
          <m:num>
            <m:r>
              <m:rPr>
                <m:sty m:val="p"/>
              </m:rPr>
              <w:rPr>
                <w:rFonts w:ascii="Cambria Math" w:hAnsi="Cambria Math" w:cs="Arial"/>
                <w:color w:val="auto"/>
                <w:sz w:val="24"/>
                <w:szCs w:val="24"/>
              </w:rPr>
              <m:t>Sum of LAS  from all sampling points</m:t>
            </m:r>
          </m:num>
          <m:den>
            <m:r>
              <m:rPr>
                <m:sty m:val="p"/>
              </m:rPr>
              <w:rPr>
                <w:rFonts w:ascii="Cambria Math" w:hAnsi="Cambria Math" w:cs="Arial"/>
                <w:color w:val="auto"/>
                <w:sz w:val="24"/>
                <w:szCs w:val="24"/>
              </w:rPr>
              <m:t>Number of sampling points</m:t>
            </m:r>
          </m:den>
        </m:f>
      </m:oMath>
    </w:p>
    <w:p w14:paraId="65B49D65" w14:textId="44765F02" w:rsidR="00062ABF" w:rsidRPr="00ED7E61" w:rsidRDefault="00CC5C9D" w:rsidP="00B10F0C">
      <w:pPr>
        <w:pStyle w:val="CBDNormalNumber"/>
        <w:numPr>
          <w:ilvl w:val="0"/>
          <w:numId w:val="85"/>
        </w:numPr>
        <w:shd w:val="clear" w:color="auto" w:fill="FFFFFF"/>
        <w:ind w:left="567" w:firstLine="0"/>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 xml:space="preserve">Open-source datasets such as OpenStreetMap (OSM) have a good amount of street data on many cities, which is increasingly being updated and extended to cover new areas. This data can also be used as a starting point to understand the pattern of streets in a city. Upon verification of the OSM street categorization for each city, sampling can be used to estimate the average width of each street category, which can in turn help compute the share of land allocated to streets. </w:t>
      </w:r>
    </w:p>
    <w:p w14:paraId="3E0985A3" w14:textId="77777777" w:rsidR="00CC5C9D" w:rsidRPr="00ED7E61" w:rsidRDefault="00CC5C9D" w:rsidP="00B10F0C">
      <w:pPr>
        <w:pStyle w:val="CBDNormalNumber"/>
        <w:numPr>
          <w:ilvl w:val="0"/>
          <w:numId w:val="85"/>
        </w:numPr>
        <w:shd w:val="clear" w:color="auto" w:fill="FFFFFF"/>
        <w:ind w:left="567" w:firstLine="0"/>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The final computation of the indicator is done using the formula:</w:t>
      </w:r>
    </w:p>
    <w:p w14:paraId="0E588E2B" w14:textId="77777777" w:rsidR="00CC5C9D" w:rsidRPr="00ED7E61" w:rsidRDefault="00CC5C9D" w:rsidP="00CC5C9D">
      <w:pPr>
        <w:pStyle w:val="MText"/>
        <w:spacing w:after="160" w:line="240" w:lineRule="auto"/>
        <w:rPr>
          <w:rFonts w:ascii="Arial" w:hAnsi="Arial" w:cs="Arial"/>
          <w:b/>
          <w:color w:val="auto"/>
        </w:rPr>
      </w:pPr>
      <m:oMathPara>
        <m:oMath>
          <m:r>
            <m:rPr>
              <m:sty m:val="b"/>
            </m:rPr>
            <w:rPr>
              <w:rFonts w:ascii="Cambria Math" w:hAnsi="Cambria Math" w:cs="Arial"/>
              <w:color w:val="auto"/>
            </w:rPr>
            <m:t>Share of the built-up area of the city that is open space in public use</m:t>
          </m:r>
          <m:d>
            <m:dPr>
              <m:ctrlPr>
                <w:rPr>
                  <w:rFonts w:ascii="Cambria Math" w:hAnsi="Cambria Math" w:cs="Arial"/>
                  <w:b/>
                  <w:color w:val="auto"/>
                </w:rPr>
              </m:ctrlPr>
            </m:dPr>
            <m:e>
              <m:r>
                <m:rPr>
                  <m:sty m:val="b"/>
                </m:rPr>
                <w:rPr>
                  <w:rFonts w:ascii="Cambria Math" w:hAnsi="Cambria Math" w:cs="Arial"/>
                  <w:color w:val="auto"/>
                </w:rPr>
                <m:t>%</m:t>
              </m:r>
            </m:e>
          </m:d>
        </m:oMath>
      </m:oMathPara>
    </w:p>
    <w:p w14:paraId="1D15F008" w14:textId="77777777" w:rsidR="007B7CA5" w:rsidRPr="00ED7E61" w:rsidRDefault="00CC5C9D" w:rsidP="00CC5C9D">
      <w:pPr>
        <w:pStyle w:val="paragraph"/>
        <w:shd w:val="clear" w:color="auto" w:fill="FFFFFF"/>
        <w:spacing w:before="0" w:beforeAutospacing="0" w:after="0" w:afterAutospacing="0"/>
        <w:ind w:firstLine="720"/>
        <w:textAlignment w:val="baseline"/>
        <w:rPr>
          <w:rFonts w:ascii="Arial" w:hAnsi="Arial" w:cs="Arial"/>
        </w:rPr>
      </w:pPr>
      <m:oMathPara>
        <m:oMath>
          <m:r>
            <m:rPr>
              <m:sty m:val="p"/>
            </m:rPr>
            <w:rPr>
              <w:rFonts w:ascii="Cambria Math" w:hAnsi="Cambria Math" w:cs="Arial"/>
            </w:rPr>
            <m:t>=</m:t>
          </m:r>
          <m:f>
            <m:fPr>
              <m:ctrlPr>
                <w:rPr>
                  <w:rFonts w:ascii="Cambria Math" w:hAnsi="Cambria Math" w:cs="Arial"/>
                </w:rPr>
              </m:ctrlPr>
            </m:fPr>
            <m:num>
              <m:r>
                <m:rPr>
                  <m:sty m:val="b"/>
                </m:rPr>
                <w:rPr>
                  <w:rFonts w:ascii="Cambria Math" w:hAnsi="Cambria Math" w:cs="Arial"/>
                </w:rPr>
                <m:t>Total</m:t>
              </m:r>
              <m:r>
                <m:rPr>
                  <m:sty m:val="p"/>
                </m:rPr>
                <w:rPr>
                  <w:rFonts w:ascii="Cambria Math" w:hAnsi="Cambria Math" w:cs="Arial"/>
                </w:rPr>
                <m:t xml:space="preserve"> </m:t>
              </m:r>
              <m:r>
                <m:rPr>
                  <m:sty m:val="b"/>
                </m:rPr>
                <w:rPr>
                  <w:rFonts w:ascii="Cambria Math" w:hAnsi="Cambria Math" w:cs="Arial"/>
                </w:rPr>
                <m:t>surface</m:t>
              </m:r>
              <m:r>
                <m:rPr>
                  <m:sty m:val="p"/>
                </m:rPr>
                <w:rPr>
                  <w:rFonts w:ascii="Cambria Math" w:hAnsi="Cambria Math" w:cs="Arial"/>
                </w:rPr>
                <m:t xml:space="preserve"> </m:t>
              </m:r>
              <m:r>
                <m:rPr>
                  <m:sty m:val="b"/>
                </m:rPr>
                <w:rPr>
                  <w:rFonts w:ascii="Cambria Math" w:hAnsi="Cambria Math" w:cs="Arial"/>
                </w:rPr>
                <m:t>of</m:t>
              </m:r>
              <m:r>
                <m:rPr>
                  <m:sty m:val="p"/>
                </m:rPr>
                <w:rPr>
                  <w:rFonts w:ascii="Cambria Math" w:hAnsi="Cambria Math" w:cs="Arial"/>
                </w:rPr>
                <m:t xml:space="preserve"> </m:t>
              </m:r>
              <m:r>
                <m:rPr>
                  <m:sty m:val="b"/>
                </m:rPr>
                <w:rPr>
                  <w:rFonts w:ascii="Cambria Math" w:hAnsi="Cambria Math" w:cs="Arial"/>
                </w:rPr>
                <m:t>open</m:t>
              </m:r>
              <m:r>
                <m:rPr>
                  <m:sty m:val="p"/>
                </m:rPr>
                <w:rPr>
                  <w:rFonts w:ascii="Cambria Math" w:hAnsi="Cambria Math" w:cs="Arial"/>
                </w:rPr>
                <m:t xml:space="preserve"> </m:t>
              </m:r>
              <m:r>
                <m:rPr>
                  <m:sty m:val="b"/>
                </m:rPr>
                <w:rPr>
                  <w:rFonts w:ascii="Cambria Math" w:hAnsi="Cambria Math" w:cs="Arial"/>
                </w:rPr>
                <m:t>public</m:t>
              </m:r>
              <m:r>
                <m:rPr>
                  <m:sty m:val="p"/>
                </m:rPr>
                <w:rPr>
                  <w:rFonts w:ascii="Cambria Math" w:hAnsi="Cambria Math" w:cs="Arial"/>
                </w:rPr>
                <m:t xml:space="preserve"> </m:t>
              </m:r>
              <m:r>
                <m:rPr>
                  <m:sty m:val="b"/>
                </m:rPr>
                <w:rPr>
                  <w:rFonts w:ascii="Cambria Math" w:hAnsi="Cambria Math" w:cs="Arial"/>
                </w:rPr>
                <m:t>space</m:t>
              </m:r>
              <m:r>
                <m:rPr>
                  <m:sty m:val="p"/>
                </m:rPr>
                <w:rPr>
                  <w:rFonts w:ascii="Cambria Math" w:hAnsi="Cambria Math" w:cs="Arial"/>
                </w:rPr>
                <m:t>+</m:t>
              </m:r>
              <m:r>
                <m:rPr>
                  <m:sty m:val="b"/>
                </m:rPr>
                <w:rPr>
                  <w:rFonts w:ascii="Cambria Math" w:hAnsi="Cambria Math" w:cs="Arial"/>
                </w:rPr>
                <m:t>Total</m:t>
              </m:r>
              <m:r>
                <m:rPr>
                  <m:sty m:val="p"/>
                </m:rPr>
                <w:rPr>
                  <w:rFonts w:ascii="Cambria Math" w:hAnsi="Cambria Math" w:cs="Arial"/>
                </w:rPr>
                <m:t xml:space="preserve"> </m:t>
              </m:r>
              <m:r>
                <m:rPr>
                  <m:sty m:val="b"/>
                </m:rPr>
                <w:rPr>
                  <w:rFonts w:ascii="Cambria Math" w:hAnsi="Cambria Math" w:cs="Arial"/>
                </w:rPr>
                <m:t>surface</m:t>
              </m:r>
              <m:r>
                <m:rPr>
                  <m:sty m:val="p"/>
                </m:rPr>
                <w:rPr>
                  <w:rFonts w:ascii="Cambria Math" w:hAnsi="Cambria Math" w:cs="Arial"/>
                </w:rPr>
                <m:t xml:space="preserve"> </m:t>
              </m:r>
              <m:r>
                <m:rPr>
                  <m:sty m:val="b"/>
                </m:rPr>
                <w:rPr>
                  <w:rFonts w:ascii="Cambria Math" w:hAnsi="Cambria Math" w:cs="Arial"/>
                </w:rPr>
                <m:t>of</m:t>
              </m:r>
              <m:r>
                <m:rPr>
                  <m:sty m:val="p"/>
                </m:rPr>
                <w:rPr>
                  <w:rFonts w:ascii="Cambria Math" w:hAnsi="Cambria Math" w:cs="Arial"/>
                </w:rPr>
                <m:t xml:space="preserve"> </m:t>
              </m:r>
              <m:r>
                <m:rPr>
                  <m:sty m:val="b"/>
                </m:rPr>
                <w:rPr>
                  <w:rFonts w:ascii="Cambria Math" w:hAnsi="Cambria Math" w:cs="Arial"/>
                </w:rPr>
                <m:t>land</m:t>
              </m:r>
              <m:r>
                <m:rPr>
                  <m:sty m:val="p"/>
                </m:rPr>
                <w:rPr>
                  <w:rFonts w:ascii="Cambria Math" w:hAnsi="Cambria Math" w:cs="Arial"/>
                </w:rPr>
                <m:t xml:space="preserve"> </m:t>
              </m:r>
              <m:r>
                <m:rPr>
                  <m:sty m:val="b"/>
                </m:rPr>
                <w:rPr>
                  <w:rFonts w:ascii="Cambria Math" w:hAnsi="Cambria Math" w:cs="Arial"/>
                </w:rPr>
                <m:t>allocated</m:t>
              </m:r>
              <m:r>
                <m:rPr>
                  <m:sty m:val="p"/>
                </m:rPr>
                <w:rPr>
                  <w:rFonts w:ascii="Cambria Math" w:hAnsi="Cambria Math" w:cs="Arial"/>
                </w:rPr>
                <m:t xml:space="preserve"> </m:t>
              </m:r>
              <m:r>
                <m:rPr>
                  <m:sty m:val="b"/>
                </m:rPr>
                <w:rPr>
                  <w:rFonts w:ascii="Cambria Math" w:hAnsi="Cambria Math" w:cs="Arial"/>
                </w:rPr>
                <m:t>to</m:t>
              </m:r>
              <m:r>
                <m:rPr>
                  <m:sty m:val="p"/>
                </m:rPr>
                <w:rPr>
                  <w:rFonts w:ascii="Cambria Math" w:hAnsi="Cambria Math" w:cs="Arial"/>
                </w:rPr>
                <m:t xml:space="preserve"> </m:t>
              </m:r>
              <m:r>
                <m:rPr>
                  <m:sty m:val="b"/>
                </m:rPr>
                <w:rPr>
                  <w:rFonts w:ascii="Cambria Math" w:hAnsi="Cambria Math" w:cs="Arial"/>
                </w:rPr>
                <m:t>sreets</m:t>
              </m:r>
            </m:num>
            <m:den>
              <m:eqArr>
                <m:eqArrPr>
                  <m:ctrlPr>
                    <w:rPr>
                      <w:rFonts w:ascii="Cambria Math" w:hAnsi="Cambria Math" w:cs="Arial"/>
                    </w:rPr>
                  </m:ctrlPr>
                </m:eqArrPr>
                <m:e>
                  <m:r>
                    <m:rPr>
                      <m:sty m:val="b"/>
                    </m:rPr>
                    <w:rPr>
                      <w:rFonts w:ascii="Cambria Math" w:hAnsi="Cambria Math" w:cs="Arial"/>
                    </w:rPr>
                    <m:t>Total</m:t>
                  </m:r>
                  <m:r>
                    <m:rPr>
                      <m:sty m:val="p"/>
                    </m:rPr>
                    <w:rPr>
                      <w:rFonts w:ascii="Cambria Math" w:hAnsi="Cambria Math" w:cs="Arial"/>
                    </w:rPr>
                    <m:t xml:space="preserve"> </m:t>
                  </m:r>
                  <m:r>
                    <m:rPr>
                      <m:sty m:val="b"/>
                    </m:rPr>
                    <w:rPr>
                      <w:rFonts w:ascii="Cambria Math" w:hAnsi="Cambria Math" w:cs="Arial"/>
                    </w:rPr>
                    <m:t xml:space="preserve">area of the city  </m:t>
                  </m:r>
                </m:e>
                <m:e>
                  <m:r>
                    <m:rPr>
                      <m:sty m:val="p"/>
                    </m:rPr>
                    <w:rPr>
                      <w:rFonts w:ascii="Cambria Math" w:hAnsi="Cambria Math" w:cs="Arial"/>
                    </w:rPr>
                    <m:t xml:space="preserve"> </m:t>
                  </m:r>
                </m:e>
              </m:eqArr>
            </m:den>
          </m:f>
        </m:oMath>
      </m:oMathPara>
    </w:p>
    <w:p w14:paraId="33F8E7A0" w14:textId="77777777" w:rsidR="00AA16E5" w:rsidRPr="00ED7E61" w:rsidRDefault="00AA16E5" w:rsidP="00450BAE">
      <w:pPr>
        <w:pStyle w:val="ListParagraph"/>
        <w:autoSpaceDE w:val="0"/>
        <w:autoSpaceDN w:val="0"/>
        <w:adjustRightInd w:val="0"/>
        <w:spacing w:after="160"/>
        <w:ind w:hanging="360"/>
        <w:jc w:val="both"/>
        <w:rPr>
          <w:rStyle w:val="normaltextrun"/>
          <w:rFonts w:asciiTheme="majorBidi" w:eastAsiaTheme="majorEastAsia" w:hAnsiTheme="majorBidi" w:cstheme="majorBidi"/>
          <w:b/>
          <w:bCs/>
          <w:sz w:val="22"/>
          <w:szCs w:val="22"/>
          <w:lang w:val="en-GB"/>
        </w:rPr>
      </w:pPr>
    </w:p>
    <w:p w14:paraId="0DC912FF" w14:textId="63A82CEA" w:rsidR="007B7CA5" w:rsidRPr="00ED7E61" w:rsidRDefault="00450BAE" w:rsidP="00AA16E5">
      <w:pPr>
        <w:pStyle w:val="ListParagraph"/>
        <w:autoSpaceDE w:val="0"/>
        <w:autoSpaceDN w:val="0"/>
        <w:adjustRightInd w:val="0"/>
        <w:spacing w:after="160"/>
        <w:ind w:hanging="360"/>
        <w:jc w:val="both"/>
        <w:rPr>
          <w:rFonts w:ascii="Arial" w:hAnsi="Arial" w:cs="Arial"/>
          <w:sz w:val="22"/>
          <w:szCs w:val="22"/>
        </w:rPr>
      </w:pPr>
      <w:r w:rsidRPr="00ED7E61">
        <w:rPr>
          <w:rStyle w:val="normaltextrun"/>
          <w:rFonts w:asciiTheme="majorBidi" w:eastAsiaTheme="majorEastAsia" w:hAnsiTheme="majorBidi" w:cstheme="majorBidi"/>
          <w:b/>
          <w:bCs/>
          <w:sz w:val="22"/>
          <w:szCs w:val="22"/>
          <w:lang w:val="en-GB"/>
        </w:rPr>
        <w:t xml:space="preserve">d) </w:t>
      </w:r>
      <w:r w:rsidR="00756F0F" w:rsidRPr="00ED7E61">
        <w:rPr>
          <w:rStyle w:val="normaltextrun"/>
          <w:rFonts w:asciiTheme="majorBidi" w:eastAsiaTheme="majorEastAsia" w:hAnsiTheme="majorBidi" w:cstheme="majorBidi"/>
          <w:b/>
          <w:bCs/>
          <w:sz w:val="22"/>
          <w:szCs w:val="22"/>
          <w:lang w:val="en-GB"/>
        </w:rPr>
        <w:t>Estimation of share of population with access to open public spaces and disaggregation by population group</w:t>
      </w:r>
      <w:r w:rsidR="00756F0F" w:rsidRPr="00ED7E61">
        <w:rPr>
          <w:rStyle w:val="eop"/>
          <w:rFonts w:asciiTheme="majorBidi" w:eastAsiaTheme="majorEastAsia" w:hAnsiTheme="majorBidi" w:cstheme="majorBidi"/>
          <w:sz w:val="22"/>
          <w:szCs w:val="22"/>
        </w:rPr>
        <w:t> </w:t>
      </w:r>
    </w:p>
    <w:p w14:paraId="6658EEDE" w14:textId="2A679032" w:rsidR="00756F0F" w:rsidRPr="00ED7E61" w:rsidRDefault="00756F0F" w:rsidP="00B10F0C">
      <w:pPr>
        <w:pStyle w:val="CBDNormalNumber"/>
        <w:numPr>
          <w:ilvl w:val="0"/>
          <w:numId w:val="85"/>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To help define an “</w:t>
      </w:r>
      <w:r w:rsidRPr="00FB1598">
        <w:rPr>
          <w:rStyle w:val="normaltextrun"/>
          <w:rFonts w:asciiTheme="majorBidi" w:eastAsiaTheme="majorEastAsia" w:hAnsiTheme="majorBidi" w:cstheme="majorBidi"/>
          <w:i/>
          <w:iCs/>
        </w:rPr>
        <w:t>acceptable walking distance</w:t>
      </w:r>
      <w:r w:rsidRPr="00ED7E61">
        <w:rPr>
          <w:rStyle w:val="normaltextrun"/>
          <w:rFonts w:asciiTheme="majorBidi" w:eastAsiaTheme="majorEastAsia" w:hAnsiTheme="majorBidi" w:cstheme="majorBidi"/>
        </w:rPr>
        <w:t xml:space="preserve">” to </w:t>
      </w:r>
      <w:r w:rsidR="008B3F8D">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open public spaces</w:t>
      </w:r>
      <w:r w:rsidRPr="00ED7E61">
        <w:rPr>
          <w:rStyle w:val="normaltextrun"/>
          <w:rFonts w:asciiTheme="majorBidi" w:eastAsiaTheme="majorEastAsia" w:hAnsiTheme="majorBidi" w:cstheme="majorBidi"/>
        </w:rPr>
        <w:t xml:space="preserve">”, UN-Habitat organized a series of consultations with national statistical officers, civil society and community groups, experts in diverse fields, representatives from academia, think tanks, other UN-agencies, and regional commissions among other partners. These consultations, which were held between 2016 and 2018 concluded that a walking distance of 400 meters - equivalent to 5 minutes’ walk </w:t>
      </w:r>
      <w:r w:rsidR="00CE544C">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was a practical and realistic threshold. Based on this, a street network-based service area is drawn around each public open space, using the 400 meters access threshold. All populations living within the service areas are in turn identified as having access to the public open spaces, based on the following key assumptions:</w:t>
      </w:r>
      <w:r w:rsidRPr="00ED7E61">
        <w:rPr>
          <w:rStyle w:val="normaltextrun"/>
        </w:rPr>
        <w:t> </w:t>
      </w:r>
    </w:p>
    <w:p w14:paraId="7CD0AD5C" w14:textId="77777777" w:rsidR="00756F0F" w:rsidRPr="00ED7E61" w:rsidRDefault="00756F0F" w:rsidP="00B10F0C">
      <w:pPr>
        <w:pStyle w:val="CBDNormalNumber"/>
        <w:numPr>
          <w:ilvl w:val="1"/>
          <w:numId w:val="85"/>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Equal access to each space by all groups of people – i.e. children, the disabled, women, elderly can walk a distance of 400 meters (for 5 minutes) to access the spaces (in actual sense, these will vary significantly by group).</w:t>
      </w:r>
      <w:r w:rsidRPr="00ED7E61">
        <w:rPr>
          <w:rStyle w:val="normaltextrun"/>
          <w:color w:val="242424"/>
        </w:rPr>
        <w:t> </w:t>
      </w:r>
    </w:p>
    <w:p w14:paraId="6C97A625" w14:textId="703FD6CB" w:rsidR="00756F0F" w:rsidRPr="00ED7E61" w:rsidRDefault="00756F0F" w:rsidP="00B10F0C">
      <w:pPr>
        <w:pStyle w:val="CBDNormalNumber"/>
        <w:numPr>
          <w:ilvl w:val="1"/>
          <w:numId w:val="85"/>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All streets are walkable – where existing barriers are known (e.g. un-walkable streets, lack of pedestrian crossings, etc</w:t>
      </w:r>
      <w:r w:rsidR="00194105">
        <w:rPr>
          <w:rStyle w:val="normaltextrun"/>
          <w:rFonts w:asciiTheme="majorBidi" w:eastAsiaTheme="majorEastAsia" w:hAnsiTheme="majorBidi" w:cstheme="majorBidi"/>
          <w:color w:val="242424"/>
        </w:rPr>
        <w:t>.</w:t>
      </w:r>
      <w:r w:rsidRPr="00ED7E61">
        <w:rPr>
          <w:rStyle w:val="normaltextrun"/>
          <w:rFonts w:asciiTheme="majorBidi" w:eastAsiaTheme="majorEastAsia" w:hAnsiTheme="majorBidi" w:cstheme="majorBidi"/>
          <w:color w:val="242424"/>
        </w:rPr>
        <w:t>), these can be defined in the delimitation of the space service area. </w:t>
      </w:r>
      <w:r w:rsidRPr="00ED7E61">
        <w:rPr>
          <w:rStyle w:val="normaltextrun"/>
          <w:color w:val="242424"/>
        </w:rPr>
        <w:t> </w:t>
      </w:r>
    </w:p>
    <w:p w14:paraId="10CDBFDF" w14:textId="77777777" w:rsidR="00756F0F" w:rsidRPr="00ED7E61" w:rsidRDefault="00756F0F" w:rsidP="00B10F0C">
      <w:pPr>
        <w:pStyle w:val="CBDNormalNumber"/>
        <w:numPr>
          <w:ilvl w:val="1"/>
          <w:numId w:val="85"/>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All public open spaces have equal area of influence – which is measured as 400 meters along street networks. In real life situations, bigger spaces have a much larger area of influence. </w:t>
      </w:r>
      <w:r w:rsidRPr="00ED7E61">
        <w:rPr>
          <w:rStyle w:val="normaltextrun"/>
          <w:color w:val="242424"/>
        </w:rPr>
        <w:t> </w:t>
      </w:r>
    </w:p>
    <w:p w14:paraId="40468D2D" w14:textId="77777777" w:rsidR="00756F0F" w:rsidRPr="00ED7E61" w:rsidRDefault="00756F0F" w:rsidP="00B10F0C">
      <w:pPr>
        <w:pStyle w:val="CBDNormalNumber"/>
        <w:numPr>
          <w:ilvl w:val="1"/>
          <w:numId w:val="85"/>
        </w:numPr>
        <w:tabs>
          <w:tab w:val="clear" w:pos="567"/>
          <w:tab w:val="clear" w:pos="1134"/>
          <w:tab w:val="clear" w:pos="2268"/>
          <w:tab w:val="left" w:pos="1985"/>
        </w:tabs>
        <w:ind w:left="567" w:firstLine="567"/>
        <w:rPr>
          <w:rStyle w:val="normaltextrun"/>
          <w:rFonts w:eastAsiaTheme="majorEastAsia"/>
          <w:color w:val="242424"/>
        </w:rPr>
      </w:pPr>
      <w:r w:rsidRPr="00ED7E61">
        <w:rPr>
          <w:rStyle w:val="normaltextrun"/>
          <w:rFonts w:asciiTheme="majorBidi" w:eastAsiaTheme="majorEastAsia" w:hAnsiTheme="majorBidi" w:cstheme="majorBidi"/>
          <w:color w:val="242424"/>
        </w:rPr>
        <w:t>All buildings within the service area are habitable, and that the population is equally distributed in all buildings/built up areas </w:t>
      </w:r>
      <w:r w:rsidRPr="00ED7E61">
        <w:rPr>
          <w:rStyle w:val="normaltextrun"/>
          <w:color w:val="242424"/>
        </w:rPr>
        <w:t> </w:t>
      </w:r>
    </w:p>
    <w:p w14:paraId="6DA2D5E8" w14:textId="77777777" w:rsidR="00756F0F" w:rsidRPr="00ED7E61" w:rsidRDefault="00756F0F" w:rsidP="00B10F0C">
      <w:pPr>
        <w:pStyle w:val="CBDNormalNumber"/>
        <w:numPr>
          <w:ilvl w:val="0"/>
          <w:numId w:val="85"/>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The estimation of total population with access to open public spaces is achieved using the two broad steps described below:</w:t>
      </w:r>
      <w:r w:rsidRPr="00ED7E61">
        <w:rPr>
          <w:rStyle w:val="normaltextrun"/>
        </w:rPr>
        <w:t> </w:t>
      </w:r>
    </w:p>
    <w:p w14:paraId="5665746C" w14:textId="5C107B74" w:rsidR="00B75B95" w:rsidRPr="00ED7E61" w:rsidRDefault="00756F0F" w:rsidP="00B10F0C">
      <w:pPr>
        <w:pStyle w:val="CBDNormalNumber"/>
        <w:numPr>
          <w:ilvl w:val="1"/>
          <w:numId w:val="85"/>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color w:val="242424"/>
        </w:rPr>
        <w:t>Create 400 meters walking distance service area from each open public along the street network. This requires use of the network analyst tool in GIS software and street data (such as that from City Authorities or from Open Sources such as OpenStreetMap). A network service area is a region that encompasses all accessible areas via the streets network within a specified impedance/distance. The distance in each direction (and in turn the shape of the surface area) varies depending on, among other things, existence of streets, presence of barriers along each route (e.g. lack of foot bridges and turns) and walkability or availability of pedestrian walkways along each street section. In the absence of detailed information on barriers and walkability along each street network, the major assumption in creating the service areas is that all streets are walkable. Since the analysis is done at the city level, local knowledge can be used to exclude streets which are not walkable. The recommendation is to run the service area analysis for each OPS separately then merge all individual service areas to create a continuous service area polygon. Step by step guidance on how to create the service area is provided in the detailed SDG 11.7.1 training module</w:t>
      </w:r>
      <w:r w:rsidRPr="00ED7E61">
        <w:rPr>
          <w:rStyle w:val="normaltextrun"/>
          <w:rFonts w:asciiTheme="majorBidi" w:eastAsiaTheme="majorEastAsia" w:hAnsiTheme="majorBidi" w:cstheme="majorBidi"/>
        </w:rPr>
        <w:t xml:space="preserve"> (</w:t>
      </w:r>
      <w:hyperlink r:id="rId519" w:tgtFrame="_blank" w:history="1">
        <w:r w:rsidRPr="00ED7E61">
          <w:rPr>
            <w:rStyle w:val="normaltextrun"/>
            <w:rFonts w:asciiTheme="majorBidi" w:eastAsiaTheme="majorEastAsia" w:hAnsiTheme="majorBidi" w:cstheme="majorBidi"/>
            <w:color w:val="467886"/>
            <w:u w:val="single"/>
          </w:rPr>
          <w:t>https://unhabitat.org/sites/default/files/2020/07/indicator_11.7.1_training_module_public_space.pdf</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20766649" w14:textId="7F5D0188" w:rsidR="00FE0A01" w:rsidRPr="00ED7E61" w:rsidRDefault="00756F0F" w:rsidP="00B10F0C">
      <w:pPr>
        <w:pStyle w:val="CBDNormalNumber"/>
        <w:numPr>
          <w:ilvl w:val="1"/>
          <w:numId w:val="85"/>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In GIS, overlay the created service area with high resolution demographic data, which should be disaggregated by age, gender, and disability. The best source of population data for the analysis is individual dwelling or block level total population which is collected by National Statistical Offices through censuses and other surveys. Where this level of population data is not available, or where data is released at large population units, countries are encouraged to create population grids, which can help disaggregate the data from large and different sized census/ population data release units to smaller uniform sized grids. For more details on the available methods for creation of population grids explore the links provided under the references section on “</w:t>
      </w:r>
      <w:r w:rsidRPr="00FB1598">
        <w:rPr>
          <w:rStyle w:val="normaltextrun"/>
          <w:rFonts w:asciiTheme="majorBidi" w:eastAsiaTheme="majorEastAsia" w:hAnsiTheme="majorBidi" w:cstheme="majorBidi"/>
          <w:i/>
          <w:iCs/>
        </w:rPr>
        <w:t>Some population gridding approaches</w:t>
      </w:r>
      <w:r w:rsidRPr="00ED7E61">
        <w:rPr>
          <w:rStyle w:val="normaltextrun"/>
          <w:rFonts w:asciiTheme="majorBidi" w:eastAsiaTheme="majorEastAsia" w:hAnsiTheme="majorBidi" w:cstheme="majorBidi"/>
        </w:rPr>
        <w:t xml:space="preserve">”. A generic description of the different sources of population data for the indicator computation is also provided in the detailed </w:t>
      </w:r>
      <w:r w:rsidR="00CE544C">
        <w:rPr>
          <w:rStyle w:val="normaltextrun"/>
          <w:rFonts w:asciiTheme="majorBidi" w:eastAsiaTheme="majorEastAsia" w:hAnsiTheme="majorBidi" w:cstheme="majorBidi"/>
        </w:rPr>
        <w:t xml:space="preserve">SDG </w:t>
      </w:r>
      <w:r w:rsidRPr="00ED7E61">
        <w:rPr>
          <w:rStyle w:val="normaltextrun"/>
          <w:rFonts w:asciiTheme="majorBidi" w:eastAsiaTheme="majorEastAsia" w:hAnsiTheme="majorBidi" w:cstheme="majorBidi"/>
        </w:rPr>
        <w:t>ndicator 11.7.1 training module (</w:t>
      </w:r>
      <w:hyperlink r:id="rId520" w:tgtFrame="_blank" w:history="1">
        <w:r w:rsidRPr="00ED7E61">
          <w:rPr>
            <w:rStyle w:val="normaltextrun"/>
            <w:rFonts w:asciiTheme="majorBidi" w:eastAsiaTheme="majorEastAsia" w:hAnsiTheme="majorBidi" w:cstheme="majorBidi"/>
            <w:color w:val="467886"/>
            <w:u w:val="single"/>
          </w:rPr>
          <w:t>https://unhabitat.org/sites/default/files/2020/07/indicator_11.7.1_training_module_public_space.pdf</w:t>
        </w:r>
      </w:hyperlink>
      <w:r w:rsidRPr="00ED7E61">
        <w:rPr>
          <w:rStyle w:val="normaltextrun"/>
          <w:rFonts w:asciiTheme="majorBidi" w:eastAsiaTheme="majorEastAsia" w:hAnsiTheme="majorBidi" w:cstheme="majorBidi"/>
        </w:rPr>
        <w:t>).  Once the appropriate source of population data is acquired, the total population with access to open public spaces in the city/urban area will be equal to the population encompassed within the combined service area for all open public spaces, calculated using the formula below</w:t>
      </w:r>
    </w:p>
    <w:p w14:paraId="793EB6CA" w14:textId="77777777" w:rsidR="00FE0A01" w:rsidRPr="00ED7E61" w:rsidRDefault="00FE0A01" w:rsidP="00FE0A01">
      <w:pPr>
        <w:ind w:left="360"/>
        <w:jc w:val="center"/>
        <w:rPr>
          <w:rFonts w:ascii="Arial" w:hAnsi="Arial" w:cs="Arial"/>
          <w:b/>
        </w:rPr>
      </w:pPr>
      <m:oMathPara>
        <m:oMath>
          <m:r>
            <m:rPr>
              <m:sty m:val="b"/>
            </m:rPr>
            <w:rPr>
              <w:rFonts w:ascii="Cambria Math" w:hAnsi="Cambria Math" w:cs="Arial"/>
            </w:rPr>
            <m:t xml:space="preserve">Share of population with access to open space in public spaces </m:t>
          </m:r>
          <m:d>
            <m:dPr>
              <m:ctrlPr>
                <w:rPr>
                  <w:rFonts w:ascii="Cambria Math" w:hAnsi="Cambria Math" w:cs="Arial"/>
                  <w:b/>
                </w:rPr>
              </m:ctrlPr>
            </m:dPr>
            <m:e>
              <m:r>
                <m:rPr>
                  <m:sty m:val="b"/>
                </m:rPr>
                <w:rPr>
                  <w:rFonts w:ascii="Cambria Math" w:hAnsi="Cambria Math" w:cs="Arial"/>
                </w:rPr>
                <m:t>%</m:t>
              </m:r>
            </m:e>
          </m:d>
        </m:oMath>
      </m:oMathPara>
    </w:p>
    <w:p w14:paraId="75F74D07" w14:textId="77777777" w:rsidR="00FE0A01" w:rsidRPr="00ED7E61" w:rsidRDefault="00FE0A01" w:rsidP="00FE0A01">
      <w:pPr>
        <w:ind w:left="360"/>
        <w:rPr>
          <w:rFonts w:ascii="Arial" w:hAnsi="Arial" w:cs="Arial"/>
          <w:b/>
        </w:rPr>
      </w:pPr>
      <m:oMathPara>
        <m:oMath>
          <m:r>
            <m:rPr>
              <m:sty m:val="b"/>
            </m:rPr>
            <w:rPr>
              <w:rFonts w:ascii="Cambria Math" w:hAnsi="Cambria Math" w:cs="Arial"/>
            </w:rPr>
            <m:t xml:space="preserve">= </m:t>
          </m:r>
          <m:f>
            <m:fPr>
              <m:ctrlPr>
                <w:rPr>
                  <w:rFonts w:ascii="Cambria Math" w:hAnsi="Cambria Math" w:cs="Arial"/>
                  <w:b/>
                </w:rPr>
              </m:ctrlPr>
            </m:fPr>
            <m:num>
              <m:r>
                <m:rPr>
                  <m:sty m:val="b"/>
                </m:rPr>
                <w:rPr>
                  <w:rFonts w:ascii="Cambria Math" w:hAnsi="Cambria Math" w:cs="Arial"/>
                </w:rPr>
                <m:t>Total population within 400 m service areas</m:t>
              </m:r>
            </m:num>
            <m:den>
              <m:r>
                <m:rPr>
                  <m:sty m:val="b"/>
                </m:rPr>
                <w:rPr>
                  <w:rFonts w:ascii="Cambria Math" w:hAnsi="Cambria Math" w:cs="Arial"/>
                </w:rPr>
                <m:t>Total population within the city/urban extent</m:t>
              </m:r>
              <m:r>
                <w:rPr>
                  <w:rStyle w:val="CommentReference"/>
                  <w:rFonts w:ascii="Cambria Math" w:eastAsiaTheme="majorEastAsia" w:hAnsi="Cambria Math" w:cs="Arial"/>
                </w:rPr>
                <m:t xml:space="preserve"> </m:t>
              </m:r>
            </m:den>
          </m:f>
        </m:oMath>
      </m:oMathPara>
    </w:p>
    <w:p w14:paraId="5053C1C1" w14:textId="77777777" w:rsidR="00FE0A01" w:rsidRPr="00ED7E61" w:rsidRDefault="00FE0A01" w:rsidP="00FE0A01">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lang w:val="en-GB"/>
        </w:rPr>
      </w:pPr>
    </w:p>
    <w:p w14:paraId="695C972E" w14:textId="2EDC3115" w:rsidR="00756F0F" w:rsidRPr="00ED7E61" w:rsidRDefault="00756F0F" w:rsidP="00FE0A01">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5c. Data collection method</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2020B726"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method to estimate the area of public space has been globally piloted in over 600 cities and this follows a series of methodological developments that go back to the last 7 years. The finalized methodology is a three-step process: a) Spatial analysis to delimit the city/urban area which will act as the geographical scope for the spatial analysis and indicator computation; b) Spatial analysis to identify potential open public spaces, expert consultations and/or field work to validate data and assess the quality of spaces, and calculation of the total area occupied by the verified open public spaces; c) Estimation of the total area allocated to streets; d) Estimation of share of population with access to open public spaces within 400 meters walking distance out of the total population in the city/ urban area and disaggregation of the population with access by sex, age and persons with disabilities.</w:t>
      </w:r>
      <w:r w:rsidRPr="00ED7E61">
        <w:rPr>
          <w:rStyle w:val="eop"/>
          <w:rFonts w:asciiTheme="majorBidi" w:eastAsiaTheme="majorEastAsia" w:hAnsiTheme="majorBidi" w:cstheme="majorBidi"/>
        </w:rPr>
        <w:t> </w:t>
      </w:r>
    </w:p>
    <w:p w14:paraId="221EF4D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sz w:val="22"/>
          <w:szCs w:val="22"/>
        </w:rPr>
        <w:t> </w:t>
      </w:r>
    </w:p>
    <w:p w14:paraId="18A29865" w14:textId="58E925EF"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Methodology for SDG </w:t>
      </w:r>
      <w:r w:rsidR="00CE544C">
        <w:rPr>
          <w:rStyle w:val="normaltextrun"/>
          <w:rFonts w:asciiTheme="majorBidi" w:eastAsiaTheme="majorEastAsia" w:hAnsiTheme="majorBidi" w:cstheme="majorBidi"/>
        </w:rPr>
        <w:t xml:space="preserve">indicator </w:t>
      </w:r>
      <w:r w:rsidRPr="00ED7E61">
        <w:rPr>
          <w:rStyle w:val="normaltextrun"/>
          <w:rFonts w:asciiTheme="majorBidi" w:eastAsiaTheme="majorEastAsia" w:hAnsiTheme="majorBidi" w:cstheme="majorBidi"/>
        </w:rPr>
        <w:t>11.7.1 is available and has been piloted in over 1</w:t>
      </w:r>
      <w:r w:rsidR="00CE544C">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000 cities and 123 countries. Data on the indicator is published by UN-Habitat (</w:t>
      </w:r>
      <w:hyperlink r:id="rId521" w:tgtFrame="_blank" w:history="1">
        <w:r w:rsidRPr="00ED7E61">
          <w:rPr>
            <w:rStyle w:val="normaltextrun"/>
            <w:rFonts w:asciiTheme="majorBidi" w:eastAsiaTheme="majorEastAsia" w:hAnsiTheme="majorBidi" w:cstheme="majorBidi"/>
            <w:color w:val="467886"/>
            <w:u w:val="single"/>
          </w:rPr>
          <w:t>https://data.unhabitat.org</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30BD237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sz w:val="22"/>
          <w:szCs w:val="22"/>
        </w:rPr>
        <w:t> </w:t>
      </w:r>
    </w:p>
    <w:p w14:paraId="6305B490"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City land use plans, high to very high-resolution satellite imagery (open sources), documentation outlining publicly owned land and community-based maps are the main sources of data.</w:t>
      </w:r>
      <w:r w:rsidRPr="00ED7E61">
        <w:rPr>
          <w:rStyle w:val="eop"/>
          <w:rFonts w:asciiTheme="majorBidi" w:eastAsiaTheme="majorEastAsia" w:hAnsiTheme="majorBidi" w:cstheme="majorBidi"/>
        </w:rPr>
        <w:t> </w:t>
      </w:r>
    </w:p>
    <w:p w14:paraId="6CECE495"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sz w:val="22"/>
          <w:szCs w:val="22"/>
        </w:rPr>
        <w:t> </w:t>
      </w:r>
    </w:p>
    <w:p w14:paraId="570A1406"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monitoring of the indicator can be repeated at regular intervals of 3-5 years, allowing for three reporting points until the year 2030. However, annual updates to the existing database will be done and hence data releases based on annual updates will be available every year. Monitoring in 3-5-year intervals will allow cities to determine whether the shares of open public space in the built-up areas of cities are increasing significantly over time, as well as deriving the share of the global urban population living in cities where the open public space is below the acceptable minimum.</w:t>
      </w:r>
      <w:r w:rsidRPr="00ED7E61">
        <w:rPr>
          <w:rStyle w:val="eop"/>
          <w:rFonts w:asciiTheme="majorBidi" w:eastAsiaTheme="majorEastAsia" w:hAnsiTheme="majorBidi" w:cstheme="majorBidi"/>
        </w:rPr>
        <w:t> </w:t>
      </w:r>
    </w:p>
    <w:p w14:paraId="38AF199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5g. Time series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3075E03E" w14:textId="5649F3F6"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Baseline data on SDG </w:t>
      </w:r>
      <w:r w:rsidR="00DF2E06">
        <w:rPr>
          <w:rStyle w:val="normaltextrun"/>
          <w:rFonts w:asciiTheme="majorBidi" w:eastAsiaTheme="majorEastAsia" w:hAnsiTheme="majorBidi" w:cstheme="majorBidi"/>
        </w:rPr>
        <w:t xml:space="preserve">indicator </w:t>
      </w:r>
      <w:r w:rsidRPr="00ED7E61">
        <w:rPr>
          <w:rStyle w:val="normaltextrun"/>
          <w:rFonts w:asciiTheme="majorBidi" w:eastAsiaTheme="majorEastAsia" w:hAnsiTheme="majorBidi" w:cstheme="majorBidi"/>
        </w:rPr>
        <w:t>11.7.1 available for 2020</w:t>
      </w:r>
      <w:r w:rsidRPr="00ED7E61">
        <w:rPr>
          <w:rStyle w:val="eop"/>
          <w:rFonts w:asciiTheme="majorBidi" w:eastAsiaTheme="majorEastAsia" w:hAnsiTheme="majorBidi" w:cstheme="majorBidi"/>
        </w:rPr>
        <w:t> </w:t>
      </w:r>
    </w:p>
    <w:p w14:paraId="3528865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sz w:val="22"/>
          <w:szCs w:val="22"/>
        </w:rPr>
        <w:t> </w:t>
      </w:r>
    </w:p>
    <w:p w14:paraId="6EB57218"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Ministries in charge of urban development, national mapping agencies, national statistical offices</w:t>
      </w:r>
      <w:r w:rsidRPr="00ED7E61">
        <w:rPr>
          <w:rStyle w:val="eop"/>
          <w:rFonts w:asciiTheme="majorBidi" w:eastAsiaTheme="majorEastAsia" w:hAnsiTheme="majorBidi" w:cstheme="majorBidi"/>
        </w:rPr>
        <w:t> </w:t>
      </w:r>
    </w:p>
    <w:p w14:paraId="41E6E40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5i. Data compilers</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51C79EC3"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UN-Habitat is the lead agency on the global reporting for this indicator and as such, has since 2016 coordinated the efforts of various partners, on methodological developments and piloting of data collection. Key among these partners have included National Statistical Offices, New York University, ESRI, FAO, UNGGIM, UCLG, Local government departments, the European Commission, UN regional commissions, KTH University-Sweden, Urban Observatories, etc. Working in partnership with these partners, UN-Habitat has undertaken trainings and capacity development activities in cities, countries and regions, which have contributed to enhanced data collection and setting up of systems to monitor and report on the indicator.</w:t>
      </w:r>
      <w:r w:rsidRPr="00ED7E61">
        <w:rPr>
          <w:rStyle w:val="eop"/>
          <w:rFonts w:asciiTheme="majorBidi" w:eastAsiaTheme="majorEastAsia" w:hAnsiTheme="majorBidi" w:cstheme="majorBidi"/>
        </w:rPr>
        <w:t> </w:t>
      </w:r>
    </w:p>
    <w:p w14:paraId="7222891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sz w:val="22"/>
          <w:szCs w:val="22"/>
        </w:rPr>
        <w:t> </w:t>
      </w:r>
    </w:p>
    <w:p w14:paraId="31F20090"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currently available data covers cities and urban areas of different sizes but is not classified by typology of open public space i.e. green, blue and artificial surfaces. A methodology for identifying and classifying green space (shrublands and forest) is being developed and piloted at this time. However, methodology is needed for blue (freshwater or marine) spaces. Other facets of biodiversity are missing, including measures of taxonomic and functional measures of diversity. Protected status should also be added (e.g. protected urban park). </w:t>
      </w:r>
      <w:r w:rsidRPr="00ED7E61">
        <w:rPr>
          <w:rStyle w:val="eop"/>
          <w:rFonts w:asciiTheme="majorBidi" w:eastAsiaTheme="majorEastAsia" w:hAnsiTheme="majorBidi" w:cstheme="majorBidi"/>
        </w:rPr>
        <w:t> </w:t>
      </w:r>
    </w:p>
    <w:p w14:paraId="2C0C599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5k. Treatment of missing values</w:t>
      </w:r>
      <w:r w:rsidRPr="00ED7E61">
        <w:rPr>
          <w:rStyle w:val="eop"/>
          <w:rFonts w:asciiTheme="majorBidi" w:eastAsiaTheme="majorEastAsia" w:hAnsiTheme="majorBidi" w:cstheme="majorBidi"/>
          <w:sz w:val="22"/>
          <w:szCs w:val="22"/>
        </w:rPr>
        <w:t> </w:t>
      </w:r>
    </w:p>
    <w:p w14:paraId="03A57E75" w14:textId="1976EFAD"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All qualifying cities/countries are expected to fully report on this indicator more consistently following implementation and full roll out of this methodology. In the early years of this indicator, we had data gaps due to no data being collected at the time, as opposed to missing data. In most of the cases, missing values to-date reflect a non-measurement of the indicator for the city. However, because national statistical agencies will report national figures from a complete coverage of all their cities, some cities may take longer to be measured or monitored. As a result, UN-habitat has worked with partners to develop a concept of applying a National Sample of Cities. With this approach, countries will be able to select a nationally representative sample of cities from their system of cities, and these will be used for global monitoring and reporting purposes for the period of the SDGs. The fully developed methodology on this concept has been rolled out and countries that are unable to cover the full spectrum of their cities are already applying this approach. See: </w:t>
      </w:r>
      <w:r w:rsidRPr="00ED7E61">
        <w:rPr>
          <w:rStyle w:val="eop"/>
          <w:rFonts w:asciiTheme="majorBidi" w:eastAsiaTheme="majorEastAsia" w:hAnsiTheme="majorBidi" w:cstheme="majorBidi"/>
        </w:rPr>
        <w:t> </w:t>
      </w:r>
      <w:hyperlink r:id="rId522" w:history="1">
        <w:r w:rsidR="007B1E43" w:rsidRPr="00ED7E61">
          <w:rPr>
            <w:rStyle w:val="Hyperlink"/>
          </w:rPr>
          <w:t>https://unhabitat.org/sites/default/files/2020/06/national_sample_of_cities_english.pdf</w:t>
        </w:r>
      </w:hyperlink>
      <w:r w:rsidRPr="00ED7E61">
        <w:rPr>
          <w:rStyle w:val="eop"/>
          <w:rFonts w:asciiTheme="majorBidi" w:eastAsiaTheme="majorEastAsia" w:hAnsiTheme="majorBidi" w:cstheme="majorBidi"/>
        </w:rPr>
        <w:t> </w:t>
      </w:r>
    </w:p>
    <w:p w14:paraId="7EF102E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 Scale</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7F084A4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6a. Scale of use </w:t>
      </w:r>
      <w:r w:rsidRPr="00ED7E61">
        <w:rPr>
          <w:rStyle w:val="eop"/>
          <w:rFonts w:asciiTheme="majorBidi" w:eastAsiaTheme="majorEastAsia" w:hAnsiTheme="majorBidi" w:cstheme="majorBidi"/>
          <w:sz w:val="22"/>
          <w:szCs w:val="22"/>
        </w:rPr>
        <w:t> </w:t>
      </w:r>
    </w:p>
    <w:p w14:paraId="7C1760C8" w14:textId="77777777" w:rsidR="00756F0F" w:rsidRPr="00ED7E61" w:rsidRDefault="00756F0F" w:rsidP="00F869E0">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Scale of application (please check all relevant boxes):</w:t>
      </w:r>
      <w:r w:rsidRPr="00ED7E61">
        <w:rPr>
          <w:rStyle w:val="normaltextrun"/>
          <w:rFonts w:asciiTheme="majorBidi" w:eastAsiaTheme="majorEastAsia" w:hAnsiTheme="majorBidi" w:cstheme="majorBidi"/>
          <w:i/>
          <w:iCs/>
          <w:sz w:val="22"/>
          <w:szCs w:val="22"/>
          <w:lang w:val="en-GB"/>
        </w:rPr>
        <w:t> </w:t>
      </w:r>
      <w:r w:rsidRPr="00ED7E61">
        <w:rPr>
          <w:rStyle w:val="eop"/>
          <w:rFonts w:asciiTheme="majorBidi" w:eastAsiaTheme="majorEastAsia" w:hAnsiTheme="majorBidi" w:cstheme="majorBidi"/>
          <w:sz w:val="22"/>
          <w:szCs w:val="22"/>
        </w:rPr>
        <w:t> </w:t>
      </w:r>
    </w:p>
    <w:p w14:paraId="27E8DFC1" w14:textId="77777777" w:rsidR="00756F0F" w:rsidRPr="00ED7E61" w:rsidRDefault="00756F0F" w:rsidP="00F869E0">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Global: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 xml:space="preserve">Regional: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National</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28D49379" w14:textId="3B415456" w:rsidR="00B75B95" w:rsidRPr="00ED7E61" w:rsidRDefault="00756F0F" w:rsidP="00F869E0">
      <w:pPr>
        <w:pStyle w:val="CBDNormalNumber"/>
        <w:tabs>
          <w:tab w:val="clear" w:pos="567"/>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Scale of data disaggregation/aggregation: </w:t>
      </w:r>
      <w:r w:rsidRPr="00ED7E61">
        <w:rPr>
          <w:rStyle w:val="eop"/>
          <w:rFonts w:asciiTheme="majorBidi" w:eastAsiaTheme="majorEastAsia" w:hAnsiTheme="majorBidi" w:cstheme="majorBidi"/>
        </w:rPr>
        <w:t> </w:t>
      </w:r>
    </w:p>
    <w:p w14:paraId="79A357B9" w14:textId="755B7425" w:rsidR="00B75B95"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 xml:space="preserve">Global/ regional scale indicator can be disaggregated to national level: </w:t>
      </w:r>
      <w:r w:rsidRPr="00ED7E61">
        <w:rPr>
          <w:rStyle w:val="contentcontrolboundarysink"/>
          <w:rFonts w:asciiTheme="majorBidi" w:hAnsiTheme="majorBidi" w:cstheme="majorBidi"/>
        </w:rPr>
        <w:t>​</w:t>
      </w:r>
      <w:r w:rsidRPr="00ED7E61">
        <w:rPr>
          <w:rStyle w:val="normaltextrun"/>
          <w:rFonts w:ascii="Segoe UI Symbol" w:eastAsiaTheme="majorEastAsia" w:hAnsi="Segoe UI Symbol" w:cs="Segoe UI Symbol"/>
        </w:rPr>
        <w:t>☐</w:t>
      </w:r>
      <w:r w:rsidRPr="00ED7E61">
        <w:rPr>
          <w:rStyle w:val="contentcontrolboundarysink"/>
          <w:rFonts w:asciiTheme="majorBidi" w:hAnsiTheme="majorBidi" w:cstheme="majorBidi"/>
        </w:rPr>
        <w:t>​</w:t>
      </w:r>
      <w:r w:rsidRPr="00ED7E61">
        <w:rPr>
          <w:rStyle w:val="eop"/>
          <w:rFonts w:asciiTheme="majorBidi" w:eastAsiaTheme="majorEastAsia" w:hAnsiTheme="majorBidi" w:cstheme="majorBidi"/>
        </w:rPr>
        <w:t> </w:t>
      </w:r>
    </w:p>
    <w:p w14:paraId="322C9471" w14:textId="77777777" w:rsidR="00756F0F" w:rsidRPr="00ED7E61" w:rsidRDefault="00756F0F" w:rsidP="00B10F0C">
      <w:pPr>
        <w:pStyle w:val="CBDNormalNumber"/>
        <w:numPr>
          <w:ilvl w:val="1"/>
          <w:numId w:val="85"/>
        </w:numPr>
        <w:tabs>
          <w:tab w:val="clear" w:pos="567"/>
          <w:tab w:val="clear" w:pos="1134"/>
          <w:tab w:val="clear" w:pos="1701"/>
          <w:tab w:val="clear" w:pos="2268"/>
          <w:tab w:val="left" w:pos="1985"/>
        </w:tabs>
        <w:ind w:left="1276" w:firstLine="56"/>
        <w:rPr>
          <w:rFonts w:asciiTheme="majorBidi" w:hAnsiTheme="majorBidi" w:cstheme="majorBidi"/>
        </w:rPr>
      </w:pPr>
      <w:r w:rsidRPr="00ED7E61">
        <w:rPr>
          <w:rStyle w:val="normaltextrun"/>
          <w:rFonts w:asciiTheme="majorBidi" w:eastAsiaTheme="majorEastAsia" w:hAnsiTheme="majorBidi" w:cstheme="majorBidi"/>
        </w:rPr>
        <w:t xml:space="preserve">National data is collated to form global indicator: </w:t>
      </w:r>
      <w:r w:rsidRPr="00ED7E61">
        <w:rPr>
          <w:rStyle w:val="contentcontrolboundarysink"/>
          <w:rFonts w:asciiTheme="majorBidi" w:hAnsiTheme="majorBidi" w:cstheme="majorBidi"/>
        </w:rPr>
        <w:t>​</w:t>
      </w:r>
      <w:r w:rsidRPr="00ED7E61">
        <w:rPr>
          <w:rStyle w:val="normaltextrun"/>
          <w:rFonts w:asciiTheme="majorBidi" w:eastAsiaTheme="majorEastAsia" w:hAnsiTheme="majorBidi" w:cstheme="majorBidi"/>
        </w:rPr>
        <w:t xml:space="preserve">: </w:t>
      </w:r>
      <w:r w:rsidRPr="00ED7E61">
        <w:rPr>
          <w:rStyle w:val="contentcontrolboundarysink"/>
          <w:rFonts w:asciiTheme="majorBidi" w:hAnsiTheme="majorBidi" w:cstheme="majorBidi"/>
        </w:rPr>
        <w:t>​</w:t>
      </w:r>
      <w:r w:rsidRPr="00ED7E61">
        <w:rPr>
          <w:rStyle w:val="normaltextrun"/>
          <w:rFonts w:ascii="Segoe UI Symbol" w:eastAsiaTheme="majorEastAsia" w:hAnsi="Segoe UI Symbol" w:cs="Segoe UI Symbol"/>
        </w:rPr>
        <w:t>☐</w:t>
      </w:r>
      <w:r w:rsidRPr="00ED7E61">
        <w:rPr>
          <w:rStyle w:val="contentcontrolboundarysink"/>
          <w:rFonts w:asciiTheme="majorBidi" w:hAnsiTheme="majorBidi" w:cstheme="majorBidi"/>
        </w:rPr>
        <w:t>​​</w:t>
      </w:r>
      <w:r w:rsidRPr="00ED7E61">
        <w:rPr>
          <w:rStyle w:val="eop"/>
          <w:rFonts w:asciiTheme="majorBidi" w:eastAsiaTheme="majorEastAsia" w:hAnsiTheme="majorBidi" w:cstheme="majorBidi"/>
        </w:rPr>
        <w:t> </w:t>
      </w:r>
    </w:p>
    <w:p w14:paraId="73479474"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indicator is applicable from city to national and regional/global levels. Measurement is done at the city level (for all cities and/or using a sample of representative cities) from where data can be aggregated to national, regional and global levels. </w:t>
      </w:r>
      <w:r w:rsidRPr="00ED7E61">
        <w:rPr>
          <w:rStyle w:val="eop"/>
          <w:rFonts w:asciiTheme="majorBidi" w:eastAsiaTheme="majorEastAsia" w:hAnsiTheme="majorBidi" w:cstheme="majorBidi"/>
        </w:rPr>
        <w:t> </w:t>
      </w:r>
    </w:p>
    <w:p w14:paraId="1C172B7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6b. National/regional indicator production </w:t>
      </w:r>
      <w:r w:rsidRPr="00ED7E61">
        <w:rPr>
          <w:rStyle w:val="eop"/>
          <w:rFonts w:asciiTheme="majorBidi" w:eastAsiaTheme="majorEastAsia" w:hAnsiTheme="majorBidi" w:cstheme="majorBidi"/>
          <w:sz w:val="22"/>
          <w:szCs w:val="22"/>
        </w:rPr>
        <w:t> </w:t>
      </w:r>
    </w:p>
    <w:p w14:paraId="3FEA46EC" w14:textId="75607400"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Global SDG</w:t>
      </w:r>
      <w:r w:rsidR="00DF2E06">
        <w:rPr>
          <w:rStyle w:val="normaltextrun"/>
          <w:rFonts w:asciiTheme="majorBidi" w:eastAsiaTheme="majorEastAsia" w:hAnsiTheme="majorBidi" w:cstheme="majorBidi"/>
        </w:rPr>
        <w:t xml:space="preserve"> indicator</w:t>
      </w:r>
      <w:r w:rsidRPr="00ED7E61">
        <w:rPr>
          <w:rStyle w:val="normaltextrun"/>
          <w:rFonts w:asciiTheme="majorBidi" w:eastAsiaTheme="majorEastAsia" w:hAnsiTheme="majorBidi" w:cstheme="majorBidi"/>
        </w:rPr>
        <w:t xml:space="preserve"> 11.7.1 methodology is applicable to national and local city levels (see </w:t>
      </w:r>
      <w:hyperlink r:id="rId523" w:tgtFrame="_blank" w:history="1">
        <w:r w:rsidRPr="00ED7E61">
          <w:rPr>
            <w:rStyle w:val="normaltextrun"/>
            <w:rFonts w:asciiTheme="majorBidi" w:eastAsiaTheme="majorEastAsia" w:hAnsiTheme="majorBidi" w:cstheme="majorBidi"/>
            <w:color w:val="467886"/>
            <w:u w:val="single"/>
          </w:rPr>
          <w:t>https://unstats.un.org/sdgs/metadata/files/Metadata-11-07-01.pdf</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19AFA068"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Since countries have the responsibility to produce data on the indicator, the underlying data is available to them through existing national and local data sharing mechanisms. Data produced through the efforts of international organizations such as UN-Habitat is openly available to countries for use.</w:t>
      </w:r>
      <w:r w:rsidRPr="00ED7E61">
        <w:rPr>
          <w:rStyle w:val="eop"/>
          <w:rFonts w:asciiTheme="majorBidi" w:eastAsiaTheme="majorEastAsia" w:hAnsiTheme="majorBidi" w:cstheme="majorBidi"/>
        </w:rPr>
        <w:t> </w:t>
      </w:r>
    </w:p>
    <w:p w14:paraId="01A9730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6c. Sources of differences between global and national figures</w:t>
      </w:r>
      <w:r w:rsidRPr="00ED7E61">
        <w:rPr>
          <w:rStyle w:val="eop"/>
          <w:rFonts w:asciiTheme="majorBidi" w:eastAsiaTheme="majorEastAsia" w:hAnsiTheme="majorBidi" w:cstheme="majorBidi"/>
          <w:sz w:val="22"/>
          <w:szCs w:val="22"/>
        </w:rPr>
        <w:t> </w:t>
      </w:r>
    </w:p>
    <w:p w14:paraId="5CAD89D6"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Minimal to no differences are likely to emerge for this indicator since measurement is done at the city level, with data aggregated to national, regional then global levels. Data produced by international organizations is to be shared with countries for validation, and nationally produced data will be treated as the most authoritative data. The only likely source of variations may be on the application of the globally harmonized approach to defining cities and urban areas, where countries may choose to use their national definitions as opposed to the harmonized approach. Data for this indicator should thus be accompanied by an explanation on the definition of city/urban area used in the computations. </w:t>
      </w:r>
      <w:r w:rsidRPr="00ED7E61">
        <w:rPr>
          <w:rStyle w:val="eop"/>
          <w:rFonts w:asciiTheme="majorBidi" w:eastAsiaTheme="majorEastAsia" w:hAnsiTheme="majorBidi" w:cstheme="majorBidi"/>
        </w:rPr>
        <w:t> </w:t>
      </w:r>
    </w:p>
    <w:p w14:paraId="088DB17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6d. Regional and global estimates &amp; data collection for global monitoring</w:t>
      </w:r>
      <w:r w:rsidRPr="00ED7E61">
        <w:rPr>
          <w:rStyle w:val="eop"/>
          <w:rFonts w:asciiTheme="majorBidi" w:eastAsiaTheme="majorEastAsia" w:hAnsiTheme="majorBidi" w:cstheme="majorBidi"/>
          <w:sz w:val="22"/>
          <w:szCs w:val="22"/>
        </w:rPr>
        <w:t> </w:t>
      </w:r>
    </w:p>
    <w:p w14:paraId="3EDE9FB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6d.1 Description of the methodology</w:t>
      </w:r>
      <w:r w:rsidRPr="00ED7E61">
        <w:rPr>
          <w:rStyle w:val="eop"/>
          <w:rFonts w:asciiTheme="majorBidi" w:eastAsiaTheme="majorEastAsia" w:hAnsiTheme="majorBidi" w:cstheme="majorBidi"/>
          <w:sz w:val="22"/>
          <w:szCs w:val="22"/>
        </w:rPr>
        <w:t> </w:t>
      </w:r>
    </w:p>
    <w:p w14:paraId="7DA1F5C3"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Data produced at the city/urban level within each country is aggregated to produce a national value based on the national sample of cities approach developed by UN-Habitat, through which a weighting scheme is developed for each city as a factor of its national representativeness (See: https://unhabitat.org/sites/default/files/2020/06/national_sample_of_cities_english.pdf). The national aggregates from different countries are then used to produce regional and global estimates. </w:t>
      </w:r>
      <w:r w:rsidRPr="00ED7E61">
        <w:rPr>
          <w:rStyle w:val="eop"/>
          <w:rFonts w:asciiTheme="majorBidi" w:eastAsiaTheme="majorEastAsia" w:hAnsiTheme="majorBidi" w:cstheme="majorBidi"/>
        </w:rPr>
        <w:t> </w:t>
      </w:r>
    </w:p>
    <w:p w14:paraId="495E2237"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Anticipating the challenge of limited data availability from countries in the earlier years of the indicator, the global sample of cities developed jointly by UN-Habitat, New York University and the Lincoln Institute of Land Policy presents a consistent approach to producing regional and global aggregates. The global sample of cities includes a list of cities which are representative of all regions and for which data can be produced and used to produce weighted regional and global values on the indicator performance (see </w:t>
      </w:r>
      <w:hyperlink r:id="rId524" w:tgtFrame="_blank" w:history="1">
        <w:r w:rsidRPr="00ED7E61">
          <w:rPr>
            <w:rStyle w:val="normaltextrun"/>
            <w:rFonts w:asciiTheme="majorBidi" w:eastAsiaTheme="majorEastAsia" w:hAnsiTheme="majorBidi" w:cstheme="majorBidi"/>
            <w:color w:val="467886"/>
            <w:u w:val="single"/>
          </w:rPr>
          <w:t>https://www.lincolninst.edu/sites/default/files/pubfiles/atlas-of-urban-expansion-2016-volume-1-full.pdf</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3B5372D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6d.2 Additional methodological details</w:t>
      </w:r>
      <w:r w:rsidRPr="00ED7E61">
        <w:rPr>
          <w:rStyle w:val="eop"/>
          <w:rFonts w:asciiTheme="majorBidi" w:eastAsiaTheme="majorEastAsia" w:hAnsiTheme="majorBidi" w:cstheme="majorBidi"/>
          <w:sz w:val="22"/>
          <w:szCs w:val="22"/>
        </w:rPr>
        <w:t> </w:t>
      </w:r>
    </w:p>
    <w:p w14:paraId="0B6A9527" w14:textId="77777777" w:rsidR="00756F0F" w:rsidRPr="00ED7E61" w:rsidRDefault="00756F0F" w:rsidP="00F869E0">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N/A</w:t>
      </w:r>
      <w:r w:rsidRPr="00ED7E61">
        <w:rPr>
          <w:rStyle w:val="normaltextrun"/>
        </w:rPr>
        <w:t> </w:t>
      </w:r>
    </w:p>
    <w:p w14:paraId="12E8BF3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6d.3 Description of the mechanism for collecting data from countries</w:t>
      </w:r>
      <w:r w:rsidRPr="00ED7E61">
        <w:rPr>
          <w:rStyle w:val="eop"/>
          <w:rFonts w:asciiTheme="majorBidi" w:eastAsiaTheme="majorEastAsia" w:hAnsiTheme="majorBidi" w:cstheme="majorBidi"/>
          <w:sz w:val="22"/>
          <w:szCs w:val="22"/>
        </w:rPr>
        <w:t> </w:t>
      </w:r>
    </w:p>
    <w:p w14:paraId="05FCE78B" w14:textId="77777777" w:rsidR="00756F0F" w:rsidRPr="00ED7E61" w:rsidRDefault="00756F0F" w:rsidP="00F869E0">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N/A</w:t>
      </w:r>
      <w:r w:rsidRPr="00ED7E61">
        <w:rPr>
          <w:rStyle w:val="normaltextrun"/>
        </w:rPr>
        <w:t> </w:t>
      </w:r>
    </w:p>
    <w:p w14:paraId="524B804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 Other MEAs, processes and organisations</w:t>
      </w:r>
      <w:r w:rsidRPr="00ED7E61">
        <w:rPr>
          <w:rStyle w:val="eop"/>
          <w:rFonts w:asciiTheme="majorBidi" w:eastAsiaTheme="majorEastAsia" w:hAnsiTheme="majorBidi" w:cstheme="majorBidi"/>
          <w:sz w:val="22"/>
          <w:szCs w:val="22"/>
        </w:rPr>
        <w:t> </w:t>
      </w:r>
    </w:p>
    <w:p w14:paraId="3586351C" w14:textId="77777777" w:rsidR="00756F0F" w:rsidRPr="00ED7E61" w:rsidRDefault="00756F0F" w:rsidP="00F869E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sz w:val="22"/>
          <w:szCs w:val="22"/>
        </w:rPr>
        <w:t> </w:t>
      </w:r>
    </w:p>
    <w:p w14:paraId="78B047EA" w14:textId="77777777" w:rsidR="00756F0F" w:rsidRPr="00ED7E61" w:rsidRDefault="00756F0F" w:rsidP="00F869E0">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1DC3C68F" w14:textId="77777777" w:rsidR="00756F0F" w:rsidRPr="00ED7E61" w:rsidRDefault="00756F0F" w:rsidP="00F869E0">
      <w:pPr>
        <w:pStyle w:val="paragraph"/>
        <w:pBdr>
          <w:bottom w:val="single" w:sz="4" w:space="1" w:color="000000"/>
        </w:pBdr>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7b.</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b/>
          <w:bCs/>
          <w:sz w:val="22"/>
          <w:szCs w:val="22"/>
          <w:lang w:val="en-GB"/>
        </w:rPr>
        <w:t>Biodiversity Indicator Partnership</w:t>
      </w:r>
      <w:r w:rsidRPr="00ED7E61">
        <w:rPr>
          <w:rStyle w:val="eop"/>
          <w:rFonts w:asciiTheme="majorBidi" w:eastAsiaTheme="majorEastAsia" w:hAnsiTheme="majorBidi" w:cstheme="majorBidi"/>
          <w:sz w:val="22"/>
          <w:szCs w:val="22"/>
        </w:rPr>
        <w:t> </w:t>
      </w:r>
    </w:p>
    <w:p w14:paraId="7AA51AD0" w14:textId="77777777" w:rsidR="00756F0F" w:rsidRPr="00ED7E61" w:rsidRDefault="00756F0F" w:rsidP="00F869E0">
      <w:pPr>
        <w:pStyle w:val="paragraph"/>
        <w:spacing w:before="0" w:beforeAutospacing="0" w:after="0" w:afterAutospacing="0"/>
        <w:ind w:left="567"/>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color w:val="000000"/>
          <w:sz w:val="22"/>
          <w:szCs w:val="22"/>
          <w:lang w:val="en-GB"/>
        </w:rPr>
        <w:t xml:space="preserve">Yes: </w:t>
      </w:r>
      <w:r w:rsidRPr="00ED7E61">
        <w:rPr>
          <w:rStyle w:val="contentcontrolboundarysink"/>
          <w:rFonts w:asciiTheme="majorBidi" w:hAnsiTheme="majorBidi" w:cstheme="majorBidi"/>
          <w:color w:val="0F4761"/>
          <w:sz w:val="22"/>
          <w:szCs w:val="22"/>
          <w:lang w:val="en-GB"/>
        </w:rPr>
        <w:t>​</w:t>
      </w:r>
      <w:r w:rsidRPr="00ED7E61">
        <w:rPr>
          <w:rStyle w:val="normaltextrun"/>
          <w:rFonts w:ascii="Segoe UI Symbol" w:eastAsiaTheme="majorEastAsia" w:hAnsi="Segoe UI Symbol" w:cs="Segoe UI Symbol"/>
          <w:color w:val="000000"/>
          <w:sz w:val="22"/>
          <w:szCs w:val="22"/>
          <w:lang w:val="en-GB"/>
        </w:rPr>
        <w:t>☐</w:t>
      </w:r>
      <w:r w:rsidRPr="00ED7E61">
        <w:rPr>
          <w:rStyle w:val="contentcontrolboundarysink"/>
          <w:rFonts w:asciiTheme="majorBidi" w:hAnsiTheme="majorBidi" w:cstheme="majorBidi"/>
          <w:color w:val="0F4761"/>
          <w:sz w:val="22"/>
          <w:szCs w:val="22"/>
          <w:lang w:val="en-GB"/>
        </w:rPr>
        <w:t>​</w:t>
      </w:r>
      <w:r w:rsidRPr="00ED7E61">
        <w:rPr>
          <w:rStyle w:val="normaltextrun"/>
          <w:rFonts w:asciiTheme="majorBidi" w:eastAsiaTheme="majorEastAsia" w:hAnsiTheme="majorBidi" w:cstheme="majorBidi"/>
          <w:color w:val="000000"/>
          <w:sz w:val="22"/>
          <w:szCs w:val="22"/>
          <w:lang w:val="en-GB"/>
        </w:rPr>
        <w:t xml:space="preserve"> No: </w:t>
      </w:r>
      <w:r w:rsidRPr="00ED7E61">
        <w:rPr>
          <w:rStyle w:val="contentcontrolboundarysink"/>
          <w:rFonts w:asciiTheme="majorBidi" w:hAnsiTheme="majorBidi" w:cstheme="majorBidi"/>
          <w:color w:val="0F4761"/>
          <w:sz w:val="22"/>
          <w:szCs w:val="22"/>
          <w:lang w:val="en-GB"/>
        </w:rPr>
        <w:t>​</w:t>
      </w:r>
      <w:r w:rsidRPr="00ED7E61">
        <w:rPr>
          <w:rStyle w:val="normaltextrun"/>
          <w:rFonts w:ascii="Segoe UI Symbol" w:eastAsiaTheme="majorEastAsia" w:hAnsi="Segoe UI Symbol" w:cs="Segoe UI Symbol"/>
          <w:color w:val="000000"/>
          <w:sz w:val="22"/>
          <w:szCs w:val="22"/>
          <w:lang w:val="en-GB"/>
        </w:rPr>
        <w:t>☒</w:t>
      </w:r>
      <w:r w:rsidRPr="00ED7E61">
        <w:rPr>
          <w:rStyle w:val="contentcontrolboundarysink"/>
          <w:rFonts w:asciiTheme="majorBidi" w:hAnsiTheme="majorBidi" w:cstheme="majorBidi"/>
          <w:color w:val="0F4761"/>
          <w:sz w:val="22"/>
          <w:szCs w:val="22"/>
          <w:lang w:val="en-GB"/>
        </w:rPr>
        <w:t>​</w:t>
      </w:r>
      <w:r w:rsidRPr="00ED7E61">
        <w:rPr>
          <w:rStyle w:val="eop"/>
          <w:rFonts w:asciiTheme="majorBidi" w:eastAsiaTheme="majorEastAsia" w:hAnsiTheme="majorBidi" w:cstheme="majorBidi"/>
          <w:color w:val="000000"/>
          <w:sz w:val="22"/>
          <w:szCs w:val="22"/>
        </w:rPr>
        <w:t> </w:t>
      </w:r>
    </w:p>
    <w:p w14:paraId="2B02869D" w14:textId="449FF0BE" w:rsidR="00756F0F" w:rsidRPr="00ED7E61" w:rsidRDefault="00756F0F" w:rsidP="00F869E0">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u w:val="single"/>
          <w:lang w:val="en-GB"/>
        </w:rPr>
        <w:t xml:space="preserve">8. </w:t>
      </w:r>
      <w:r w:rsidR="00D761D9" w:rsidRPr="00ED7E61">
        <w:rPr>
          <w:rStyle w:val="normaltextrun"/>
          <w:rFonts w:asciiTheme="majorBidi" w:eastAsiaTheme="majorEastAsia" w:hAnsiTheme="majorBidi" w:cstheme="majorBidi"/>
          <w:b/>
          <w:bCs/>
          <w:sz w:val="22"/>
          <w:szCs w:val="22"/>
          <w:u w:val="single"/>
          <w:lang w:val="en-GB"/>
        </w:rPr>
        <w:t xml:space="preserve">Possible </w:t>
      </w:r>
      <w:r w:rsidRPr="00ED7E61">
        <w:rPr>
          <w:rStyle w:val="normaltextrun"/>
          <w:rFonts w:asciiTheme="majorBidi" w:eastAsiaTheme="majorEastAsia" w:hAnsiTheme="majorBidi" w:cstheme="majorBidi"/>
          <w:b/>
          <w:bCs/>
          <w:sz w:val="22"/>
          <w:szCs w:val="22"/>
          <w:u w:val="single"/>
          <w:lang w:val="en-GB"/>
        </w:rPr>
        <w:t>Disaggregation</w:t>
      </w:r>
      <w:r w:rsidR="00B308A2" w:rsidRPr="00ED7E61">
        <w:rPr>
          <w:rStyle w:val="normaltextrun"/>
          <w:rFonts w:asciiTheme="majorBidi" w:eastAsiaTheme="majorEastAsia" w:hAnsiTheme="majorBidi" w:cstheme="majorBidi"/>
          <w:b/>
          <w:bCs/>
          <w:sz w:val="22"/>
          <w:szCs w:val="22"/>
          <w:u w:val="single"/>
          <w:lang w:val="en-GB"/>
        </w:rPr>
        <w:t>s</w:t>
      </w:r>
      <w:r w:rsidRPr="00ED7E61">
        <w:rPr>
          <w:rStyle w:val="eop"/>
          <w:rFonts w:asciiTheme="majorBidi" w:eastAsiaTheme="majorEastAsia" w:hAnsiTheme="majorBidi" w:cstheme="majorBidi"/>
          <w:sz w:val="22"/>
          <w:szCs w:val="22"/>
        </w:rPr>
        <w:t> </w:t>
      </w:r>
    </w:p>
    <w:p w14:paraId="1AF301FD"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Based on availability of high-resolution population data, population with access to open public spaces should be disaggregated by age, gender and disability.</w:t>
      </w:r>
      <w:r w:rsidRPr="00ED7E61">
        <w:rPr>
          <w:rStyle w:val="eop"/>
          <w:rFonts w:asciiTheme="majorBidi" w:eastAsiaTheme="majorEastAsia" w:hAnsiTheme="majorBidi" w:cstheme="majorBidi"/>
        </w:rPr>
        <w:t> </w:t>
      </w:r>
    </w:p>
    <w:p w14:paraId="77A00F4A"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Wherever possible, it would also be useful to have information disaggregated by:</w:t>
      </w:r>
      <w:r w:rsidRPr="00ED7E61">
        <w:rPr>
          <w:rStyle w:val="eop"/>
          <w:rFonts w:asciiTheme="majorBidi" w:eastAsiaTheme="majorEastAsia" w:hAnsiTheme="majorBidi" w:cstheme="majorBidi"/>
        </w:rPr>
        <w:t> </w:t>
      </w:r>
    </w:p>
    <w:p w14:paraId="7A162747" w14:textId="6055A103" w:rsidR="00A42D17" w:rsidRPr="00ED7E61" w:rsidRDefault="00756F0F" w:rsidP="00B10F0C">
      <w:pPr>
        <w:pStyle w:val="CBDNormalNumber"/>
        <w:numPr>
          <w:ilvl w:val="1"/>
          <w:numId w:val="85"/>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Location of public spaces (intra-urban) </w:t>
      </w:r>
      <w:r w:rsidRPr="00ED7E61">
        <w:rPr>
          <w:rStyle w:val="eop"/>
          <w:rFonts w:asciiTheme="majorBidi" w:eastAsiaTheme="majorEastAsia" w:hAnsiTheme="majorBidi" w:cstheme="majorBidi"/>
        </w:rPr>
        <w:t> </w:t>
      </w:r>
    </w:p>
    <w:p w14:paraId="626D0311" w14:textId="220C5807" w:rsidR="00A42D17" w:rsidRPr="00ED7E61" w:rsidRDefault="00756F0F" w:rsidP="00B10F0C">
      <w:pPr>
        <w:pStyle w:val="CBDNormalNumber"/>
        <w:numPr>
          <w:ilvl w:val="1"/>
          <w:numId w:val="85"/>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Quality of the green/blue space by safety, inclusivity, accessibility, greenness, and comfort </w:t>
      </w:r>
      <w:r w:rsidRPr="00ED7E61">
        <w:rPr>
          <w:rStyle w:val="eop"/>
          <w:rFonts w:asciiTheme="majorBidi" w:eastAsiaTheme="majorEastAsia" w:hAnsiTheme="majorBidi" w:cstheme="majorBidi"/>
        </w:rPr>
        <w:t> </w:t>
      </w:r>
    </w:p>
    <w:p w14:paraId="085760E7" w14:textId="3C414B2C" w:rsidR="00A42D17" w:rsidRPr="00ED7E61" w:rsidRDefault="00756F0F" w:rsidP="00B10F0C">
      <w:pPr>
        <w:pStyle w:val="CBDNormalNumber"/>
        <w:numPr>
          <w:ilvl w:val="1"/>
          <w:numId w:val="85"/>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Type of green/blue space as a share of the city area. This includes a classification of green (e.g. forest, shrub land, grassland) and blue (e.g. wetland, lake, river, mangrove) ecosystem type and extent, and a measure of ecosystem condition. </w:t>
      </w:r>
      <w:r w:rsidRPr="00ED7E61">
        <w:rPr>
          <w:rStyle w:val="eop"/>
          <w:rFonts w:asciiTheme="majorBidi" w:eastAsiaTheme="majorEastAsia" w:hAnsiTheme="majorBidi" w:cstheme="majorBidi"/>
        </w:rPr>
        <w:t> </w:t>
      </w:r>
    </w:p>
    <w:p w14:paraId="2C8DDFDB" w14:textId="1B068B4B" w:rsidR="00A42D17" w:rsidRPr="00ED7E61" w:rsidRDefault="00756F0F" w:rsidP="00B10F0C">
      <w:pPr>
        <w:pStyle w:val="CBDNormalNumber"/>
        <w:numPr>
          <w:ilvl w:val="1"/>
          <w:numId w:val="85"/>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Measures of ecosystem functions and services (nature’s contributions to people) to people such as health and wellbeing are needed to reflect this wording in the target.  </w:t>
      </w:r>
      <w:r w:rsidRPr="00ED7E61">
        <w:rPr>
          <w:rStyle w:val="eop"/>
          <w:rFonts w:asciiTheme="majorBidi" w:eastAsiaTheme="majorEastAsia" w:hAnsiTheme="majorBidi" w:cstheme="majorBidi"/>
        </w:rPr>
        <w:t> </w:t>
      </w:r>
    </w:p>
    <w:p w14:paraId="7A4CEDE0" w14:textId="06496DD8" w:rsidR="00A42D17" w:rsidRPr="00ED7E61" w:rsidRDefault="00756F0F" w:rsidP="00B10F0C">
      <w:pPr>
        <w:pStyle w:val="CBDNormalNumber"/>
        <w:numPr>
          <w:ilvl w:val="1"/>
          <w:numId w:val="85"/>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The share of green/blue space in public use which are universally accessible, particularly for persons with disabilities. </w:t>
      </w:r>
      <w:r w:rsidRPr="00ED7E61">
        <w:rPr>
          <w:rStyle w:val="eop"/>
          <w:rFonts w:asciiTheme="majorBidi" w:eastAsiaTheme="majorEastAsia" w:hAnsiTheme="majorBidi" w:cstheme="majorBidi"/>
        </w:rPr>
        <w:t> </w:t>
      </w:r>
    </w:p>
    <w:p w14:paraId="79902E5F" w14:textId="77777777" w:rsidR="00756F0F" w:rsidRPr="00ED7E61" w:rsidRDefault="00756F0F" w:rsidP="00B10F0C">
      <w:pPr>
        <w:pStyle w:val="CBDNormalNumber"/>
        <w:numPr>
          <w:ilvl w:val="1"/>
          <w:numId w:val="85"/>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Type of human settlements</w:t>
      </w:r>
      <w:r w:rsidRPr="00ED7E61">
        <w:rPr>
          <w:rStyle w:val="eop"/>
          <w:rFonts w:asciiTheme="majorBidi" w:eastAsiaTheme="majorEastAsia" w:hAnsiTheme="majorBidi" w:cstheme="majorBidi"/>
        </w:rPr>
        <w:t> </w:t>
      </w:r>
    </w:p>
    <w:p w14:paraId="2B4FFCF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b/>
          <w:bCs/>
          <w:color w:val="000000"/>
          <w:sz w:val="22"/>
          <w:szCs w:val="22"/>
          <w:lang w:val="en-GB"/>
        </w:rPr>
        <w:t>9. Related goals, targets and indicators</w:t>
      </w:r>
      <w:r w:rsidRPr="00ED7E61">
        <w:rPr>
          <w:rStyle w:val="eop"/>
          <w:rFonts w:asciiTheme="majorBidi" w:eastAsiaTheme="majorEastAsia" w:hAnsiTheme="majorBidi" w:cstheme="majorBidi"/>
          <w:color w:val="000000"/>
          <w:sz w:val="22"/>
          <w:szCs w:val="22"/>
        </w:rPr>
        <w:t> </w:t>
      </w:r>
    </w:p>
    <w:p w14:paraId="36A8F670" w14:textId="77777777" w:rsidR="00756F0F" w:rsidRPr="00ED7E61" w:rsidRDefault="00756F0F" w:rsidP="00B10F0C">
      <w:pPr>
        <w:pStyle w:val="CBDNormalNumber"/>
        <w:numPr>
          <w:ilvl w:val="0"/>
          <w:numId w:val="85"/>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Indicators for biodiversity used in Goal A are valuable to assessing the contribution of urban green and blue spaces to urban biodiversity targets. Complementary indicators for estimating the integrity, connectivity and resilience of ecosystems are relevant and could be applied to urban ecosystems. Also relevant are indicators for Goal B, such as those to be used for ecosystem services and other contributions of nature to human well-being. </w:t>
      </w:r>
      <w:r w:rsidRPr="00ED7E61">
        <w:rPr>
          <w:rStyle w:val="eop"/>
          <w:rFonts w:asciiTheme="majorBidi" w:eastAsiaTheme="majorEastAsia" w:hAnsiTheme="majorBidi" w:cstheme="majorBidi"/>
        </w:rPr>
        <w:t> </w:t>
      </w:r>
    </w:p>
    <w:p w14:paraId="0DB458A8" w14:textId="2045A45C" w:rsidR="00756F0F" w:rsidRPr="009E462F" w:rsidRDefault="00756F0F" w:rsidP="00E51276">
      <w:pPr>
        <w:pStyle w:val="paragraph"/>
        <w:spacing w:before="0" w:beforeAutospacing="0" w:after="0" w:afterAutospacing="0"/>
        <w:textAlignment w:val="baseline"/>
        <w:rPr>
          <w:rFonts w:asciiTheme="majorBidi" w:hAnsiTheme="majorBidi" w:cstheme="majorBidi"/>
          <w:sz w:val="22"/>
          <w:szCs w:val="22"/>
          <w:lang w:val="en-US"/>
        </w:rPr>
      </w:pPr>
      <w:r w:rsidRPr="00ED7E61">
        <w:rPr>
          <w:rStyle w:val="eop"/>
          <w:rFonts w:asciiTheme="majorBidi" w:eastAsiaTheme="majorEastAsia" w:hAnsiTheme="majorBidi" w:cstheme="majorBidi"/>
          <w:sz w:val="22"/>
          <w:szCs w:val="22"/>
          <w:lang w:val="en-GB"/>
        </w:rPr>
        <w:t> </w:t>
      </w:r>
      <w:r w:rsidRPr="009E462F">
        <w:rPr>
          <w:rStyle w:val="normaltextrun"/>
          <w:rFonts w:asciiTheme="majorBidi" w:eastAsiaTheme="majorEastAsia" w:hAnsiTheme="majorBidi" w:cstheme="majorBidi"/>
          <w:b/>
          <w:bCs/>
          <w:sz w:val="22"/>
          <w:szCs w:val="22"/>
          <w:lang w:val="en-US"/>
        </w:rPr>
        <w:t>10. Data reporter</w:t>
      </w:r>
      <w:r w:rsidRPr="009E462F">
        <w:rPr>
          <w:rStyle w:val="eop"/>
          <w:rFonts w:asciiTheme="majorBidi" w:eastAsiaTheme="majorEastAsia" w:hAnsiTheme="majorBidi" w:cstheme="majorBidi"/>
          <w:sz w:val="22"/>
          <w:szCs w:val="22"/>
          <w:lang w:val="en-US"/>
        </w:rPr>
        <w:t> </w:t>
      </w:r>
    </w:p>
    <w:p w14:paraId="5AB9DA9B" w14:textId="7523213C" w:rsidR="00756F0F" w:rsidRPr="009E462F" w:rsidRDefault="00756F0F" w:rsidP="00F869E0">
      <w:pPr>
        <w:pStyle w:val="paragraph"/>
        <w:pBdr>
          <w:bottom w:val="single" w:sz="4" w:space="1" w:color="000000"/>
        </w:pBdr>
        <w:spacing w:before="120" w:beforeAutospacing="0" w:after="0" w:afterAutospacing="0"/>
        <w:textAlignment w:val="baseline"/>
        <w:rPr>
          <w:rFonts w:asciiTheme="majorBidi" w:hAnsiTheme="majorBidi" w:cstheme="majorBidi"/>
          <w:sz w:val="22"/>
          <w:szCs w:val="22"/>
          <w:lang w:val="en-US"/>
        </w:rPr>
      </w:pPr>
      <w:r w:rsidRPr="009E462F">
        <w:rPr>
          <w:rStyle w:val="normaltextrun"/>
          <w:rFonts w:asciiTheme="majorBidi" w:eastAsiaTheme="majorEastAsia" w:hAnsiTheme="majorBidi" w:cstheme="majorBidi"/>
          <w:b/>
          <w:bCs/>
          <w:sz w:val="22"/>
          <w:szCs w:val="22"/>
          <w:lang w:val="en-US"/>
        </w:rPr>
        <w:t>10a. Organ</w:t>
      </w:r>
      <w:r w:rsidR="00F869E0" w:rsidRPr="009E462F">
        <w:rPr>
          <w:rStyle w:val="normaltextrun"/>
          <w:rFonts w:asciiTheme="majorBidi" w:eastAsiaTheme="majorEastAsia" w:hAnsiTheme="majorBidi" w:cstheme="majorBidi"/>
          <w:b/>
          <w:bCs/>
          <w:sz w:val="22"/>
          <w:szCs w:val="22"/>
          <w:lang w:val="en-US"/>
        </w:rPr>
        <w:t>iz</w:t>
      </w:r>
      <w:r w:rsidRPr="009E462F">
        <w:rPr>
          <w:rStyle w:val="normaltextrun"/>
          <w:rFonts w:asciiTheme="majorBidi" w:eastAsiaTheme="majorEastAsia" w:hAnsiTheme="majorBidi" w:cstheme="majorBidi"/>
          <w:b/>
          <w:bCs/>
          <w:sz w:val="22"/>
          <w:szCs w:val="22"/>
          <w:lang w:val="en-US"/>
        </w:rPr>
        <w:t>ation </w:t>
      </w:r>
      <w:r w:rsidRPr="009E462F">
        <w:rPr>
          <w:rStyle w:val="eop"/>
          <w:rFonts w:asciiTheme="majorBidi" w:eastAsiaTheme="majorEastAsia" w:hAnsiTheme="majorBidi" w:cstheme="majorBidi"/>
          <w:sz w:val="22"/>
          <w:szCs w:val="22"/>
          <w:lang w:val="en-US"/>
        </w:rPr>
        <w:t> </w:t>
      </w:r>
    </w:p>
    <w:p w14:paraId="27044147" w14:textId="77777777" w:rsidR="00756F0F" w:rsidRPr="009E462F" w:rsidRDefault="00756F0F" w:rsidP="00F869E0">
      <w:pPr>
        <w:pStyle w:val="CBDNormalNumber"/>
        <w:numPr>
          <w:ilvl w:val="0"/>
          <w:numId w:val="0"/>
        </w:numPr>
        <w:shd w:val="clear" w:color="auto" w:fill="FFFFFF"/>
        <w:ind w:left="567"/>
        <w:rPr>
          <w:rFonts w:asciiTheme="majorBidi" w:hAnsiTheme="majorBidi" w:cstheme="majorBidi"/>
          <w:lang w:val="en-US"/>
        </w:rPr>
      </w:pPr>
      <w:r w:rsidRPr="00ED7E61">
        <w:rPr>
          <w:rStyle w:val="normaltextrun"/>
          <w:rFonts w:asciiTheme="majorBidi" w:eastAsiaTheme="majorEastAsia" w:hAnsiTheme="majorBidi" w:cstheme="majorBidi"/>
        </w:rPr>
        <w:t>UN</w:t>
      </w:r>
      <w:r w:rsidRPr="009E462F">
        <w:rPr>
          <w:rStyle w:val="normaltextrun"/>
          <w:rFonts w:asciiTheme="majorBidi" w:eastAsiaTheme="majorEastAsia" w:hAnsiTheme="majorBidi" w:cstheme="majorBidi"/>
          <w:lang w:val="en-US"/>
        </w:rPr>
        <w:t>-Habitat</w:t>
      </w:r>
      <w:r w:rsidRPr="009E462F">
        <w:rPr>
          <w:rStyle w:val="eop"/>
          <w:rFonts w:asciiTheme="majorBidi" w:eastAsiaTheme="majorEastAsia" w:hAnsiTheme="majorBidi" w:cstheme="majorBidi"/>
          <w:lang w:val="en-US"/>
        </w:rPr>
        <w:t> </w:t>
      </w:r>
    </w:p>
    <w:p w14:paraId="694919E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sz w:val="22"/>
          <w:szCs w:val="22"/>
        </w:rPr>
        <w:t> </w:t>
      </w:r>
    </w:p>
    <w:p w14:paraId="3472CBD1" w14:textId="77777777" w:rsidR="00756F0F" w:rsidRPr="00ED7E61" w:rsidRDefault="00756F0F" w:rsidP="00F869E0">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Robert</w:t>
      </w:r>
      <w:r w:rsidRPr="00ED7E61">
        <w:rPr>
          <w:rStyle w:val="normaltextrun"/>
          <w:rFonts w:asciiTheme="majorBidi" w:eastAsiaTheme="majorEastAsia" w:hAnsiTheme="majorBidi" w:cstheme="majorBidi"/>
          <w:shd w:val="clear" w:color="auto" w:fill="FFFFFF"/>
        </w:rPr>
        <w:t xml:space="preserve"> Ndugwa: (</w:t>
      </w:r>
      <w:hyperlink r:id="rId525" w:tgtFrame="_blank" w:history="1">
        <w:r w:rsidRPr="00ED7E61">
          <w:rPr>
            <w:rStyle w:val="normaltextrun"/>
            <w:rFonts w:asciiTheme="majorBidi" w:eastAsiaTheme="majorEastAsia" w:hAnsiTheme="majorBidi" w:cstheme="majorBidi"/>
            <w:color w:val="467886"/>
            <w:u w:val="single"/>
            <w:shd w:val="clear" w:color="auto" w:fill="FFFFFF"/>
          </w:rPr>
          <w:t>robert.ndugwa@un.org</w:t>
        </w:r>
      </w:hyperlink>
      <w:r w:rsidRPr="00ED7E61">
        <w:rPr>
          <w:rStyle w:val="normaltextrun"/>
          <w:rFonts w:asciiTheme="majorBidi" w:eastAsiaTheme="majorEastAsia" w:hAnsiTheme="majorBidi" w:cstheme="majorBidi"/>
          <w:shd w:val="clear" w:color="auto" w:fill="FFFFFF"/>
        </w:rPr>
        <w:t>) </w:t>
      </w:r>
      <w:r w:rsidRPr="00ED7E61">
        <w:rPr>
          <w:rStyle w:val="eop"/>
          <w:rFonts w:asciiTheme="majorBidi" w:eastAsiaTheme="majorEastAsia" w:hAnsiTheme="majorBidi" w:cstheme="majorBidi"/>
        </w:rPr>
        <w:t> </w:t>
      </w:r>
    </w:p>
    <w:p w14:paraId="3301ED2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11. References</w:t>
      </w:r>
      <w:r w:rsidRPr="00ED7E61">
        <w:rPr>
          <w:rStyle w:val="eop"/>
          <w:rFonts w:asciiTheme="majorBidi" w:eastAsiaTheme="majorEastAsia" w:hAnsiTheme="majorBidi" w:cstheme="majorBidi"/>
          <w:sz w:val="22"/>
          <w:szCs w:val="22"/>
        </w:rPr>
        <w:t> </w:t>
      </w:r>
    </w:p>
    <w:p w14:paraId="5D87E512" w14:textId="6CC4C5C5" w:rsidR="00597E50" w:rsidRPr="00ED7E61" w:rsidRDefault="00756F0F" w:rsidP="00F869E0">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 xml:space="preserve">Axon Johnson Foundation, Public Spaces and Place making, Future of Places </w:t>
      </w:r>
      <w:hyperlink r:id="rId526" w:tgtFrame="_blank" w:history="1">
        <w:r w:rsidRPr="00ED7E61">
          <w:rPr>
            <w:rStyle w:val="normaltextrun"/>
            <w:rFonts w:asciiTheme="majorBidi" w:eastAsiaTheme="majorEastAsia" w:hAnsiTheme="majorBidi" w:cstheme="majorBidi"/>
            <w:color w:val="467886"/>
            <w:u w:val="single"/>
          </w:rPr>
          <w:t>http://futureofplaces.com</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29678565" w14:textId="4F6ED945" w:rsidR="00597E50" w:rsidRPr="00ED7E61" w:rsidRDefault="00756F0F" w:rsidP="00F869E0">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UN-Habitat (2013) Streets as Public Spaces and Drivers of Urban Prosperity, Nairobi</w:t>
      </w:r>
      <w:r w:rsidRPr="00ED7E61">
        <w:rPr>
          <w:rStyle w:val="eop"/>
          <w:rFonts w:asciiTheme="majorBidi" w:eastAsiaTheme="majorEastAsia" w:hAnsiTheme="majorBidi" w:cstheme="majorBidi"/>
        </w:rPr>
        <w:t> </w:t>
      </w:r>
    </w:p>
    <w:p w14:paraId="78D3B9D1" w14:textId="3F0893F7" w:rsidR="00597E50" w:rsidRPr="00ED7E61" w:rsidRDefault="00756F0F" w:rsidP="00F869E0">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UN-Habitat (2014) Methodology for Measuring Street Connectivity Index</w:t>
      </w:r>
      <w:r w:rsidRPr="00ED7E61">
        <w:rPr>
          <w:rStyle w:val="eop"/>
          <w:rFonts w:asciiTheme="majorBidi" w:eastAsiaTheme="majorEastAsia" w:hAnsiTheme="majorBidi" w:cstheme="majorBidi"/>
        </w:rPr>
        <w:t> </w:t>
      </w:r>
    </w:p>
    <w:p w14:paraId="4DB2F7B4" w14:textId="6E76CE0B" w:rsidR="00597E50" w:rsidRPr="00ED7E61" w:rsidRDefault="00756F0F" w:rsidP="00F869E0">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UN-Habitat (2015) Spatial Capital of Saudi Arabian Cities, Street Connectivity as part of City Prosperity Initiative</w:t>
      </w:r>
      <w:r w:rsidRPr="00ED7E61">
        <w:rPr>
          <w:rStyle w:val="eop"/>
          <w:rFonts w:asciiTheme="majorBidi" w:eastAsiaTheme="majorEastAsia" w:hAnsiTheme="majorBidi" w:cstheme="majorBidi"/>
        </w:rPr>
        <w:t> </w:t>
      </w:r>
    </w:p>
    <w:p w14:paraId="5ED4CCA8" w14:textId="29DFED42" w:rsidR="00597E50" w:rsidRPr="00ED7E61" w:rsidRDefault="00756F0F" w:rsidP="00F869E0">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UN-Habitat (2015) Global Public Space Toolkit from Global Principles to Local Policies and Practice</w:t>
      </w:r>
      <w:r w:rsidRPr="00ED7E61">
        <w:rPr>
          <w:rStyle w:val="eop"/>
          <w:rFonts w:asciiTheme="majorBidi" w:eastAsiaTheme="majorEastAsia" w:hAnsiTheme="majorBidi" w:cstheme="majorBidi"/>
        </w:rPr>
        <w:t> </w:t>
      </w:r>
    </w:p>
    <w:p w14:paraId="0797EC78" w14:textId="3E6D8AFF" w:rsidR="00597E50" w:rsidRPr="00ED7E61" w:rsidRDefault="00756F0F" w:rsidP="00F869E0">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 xml:space="preserve">UN-Habitat (2018). SDG Indicator 11.7.1 Training Module: Public Space. United Nations Human Settlement Programme (UN-Habitat), Nairobi. Available at </w:t>
      </w:r>
      <w:hyperlink r:id="rId527" w:tgtFrame="_blank" w:history="1">
        <w:r w:rsidRPr="00ED7E61">
          <w:rPr>
            <w:rStyle w:val="normaltextrun"/>
            <w:rFonts w:asciiTheme="majorBidi" w:eastAsiaTheme="majorEastAsia" w:hAnsiTheme="majorBidi" w:cstheme="majorBidi"/>
            <w:color w:val="467886"/>
            <w:u w:val="single"/>
          </w:rPr>
          <w:t>https://unhabitat.org/sites/default/files/2020/07/indicator_11.7.1_training_module_public_space.pdf</w:t>
        </w:r>
      </w:hyperlink>
      <w:r w:rsidRPr="00ED7E61">
        <w:rPr>
          <w:rStyle w:val="eop"/>
          <w:rFonts w:asciiTheme="majorBidi" w:eastAsiaTheme="majorEastAsia" w:hAnsiTheme="majorBidi" w:cstheme="majorBidi"/>
        </w:rPr>
        <w:t> </w:t>
      </w:r>
    </w:p>
    <w:p w14:paraId="4080712C" w14:textId="2CC9D6C6" w:rsidR="00597E50" w:rsidRPr="00ED7E61" w:rsidRDefault="00756F0F" w:rsidP="00F869E0">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Kaw, Jon Kher, Hyunji Lee, and Sameh Wahba, editors. 2020. The Hidden Wealth of Cities: Creating, Financing, and Managing Public Spaces. Washington, DC: World Bank. doi:10.1596/978-1-4648-1449-5. License: Creative Commons Attribution CC BY 3.0 IGO </w:t>
      </w:r>
      <w:r w:rsidRPr="00ED7E61">
        <w:rPr>
          <w:rStyle w:val="eop"/>
          <w:rFonts w:asciiTheme="majorBidi" w:eastAsiaTheme="majorEastAsia" w:hAnsiTheme="majorBidi" w:cstheme="majorBidi"/>
        </w:rPr>
        <w:t> </w:t>
      </w:r>
    </w:p>
    <w:p w14:paraId="3CC23005" w14:textId="77777777" w:rsidR="00756F0F" w:rsidRPr="00ED7E61" w:rsidRDefault="00756F0F" w:rsidP="00F869E0">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 xml:space="preserve">SDG 11.7.1 metadata, 2020. </w:t>
      </w:r>
      <w:hyperlink r:id="rId528" w:tgtFrame="_blank" w:history="1">
        <w:r w:rsidRPr="00ED7E61">
          <w:rPr>
            <w:rStyle w:val="normaltextrun"/>
            <w:rFonts w:asciiTheme="majorBidi" w:eastAsiaTheme="majorEastAsia" w:hAnsiTheme="majorBidi" w:cstheme="majorBidi"/>
            <w:color w:val="467886"/>
            <w:u w:val="single"/>
          </w:rPr>
          <w:t>https://unstats.un.org/sdgs/metadata/files/Metadata-11-07-01.pdf</w:t>
        </w:r>
      </w:hyperlink>
      <w:r w:rsidRPr="00ED7E61">
        <w:rPr>
          <w:rStyle w:val="eop"/>
          <w:rFonts w:asciiTheme="majorBidi" w:eastAsiaTheme="majorEastAsia" w:hAnsiTheme="majorBidi" w:cstheme="majorBidi"/>
        </w:rPr>
        <w:t> </w:t>
      </w:r>
    </w:p>
    <w:p w14:paraId="00B8F5F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12. Graphs and diagrams</w:t>
      </w:r>
      <w:r w:rsidRPr="00ED7E61">
        <w:rPr>
          <w:rStyle w:val="eop"/>
          <w:rFonts w:asciiTheme="majorBidi" w:eastAsiaTheme="majorEastAsia" w:hAnsiTheme="majorBidi" w:cstheme="majorBidi"/>
          <w:sz w:val="22"/>
          <w:szCs w:val="22"/>
        </w:rPr>
        <w:t> </w:t>
      </w:r>
    </w:p>
    <w:p w14:paraId="52C045B7" w14:textId="77777777" w:rsidR="00756F0F" w:rsidRPr="00ED7E61" w:rsidRDefault="00756F0F" w:rsidP="00F869E0">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353F608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5CA777F3"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2B30C90A" w14:textId="77777777" w:rsidR="00C9506C" w:rsidRPr="00ED7E61" w:rsidRDefault="00C9506C" w:rsidP="00C9506C">
      <w:pPr>
        <w:pStyle w:val="Heading3"/>
        <w:rPr>
          <w:rStyle w:val="normaltextrun"/>
        </w:rPr>
      </w:pPr>
      <w:bookmarkStart w:id="60" w:name="_Toc178285871"/>
      <w:r w:rsidRPr="00ED7E61">
        <w:rPr>
          <w:rStyle w:val="normaltextrun"/>
        </w:rPr>
        <w:t>GBF indicator metadata 12.b Target 12 binary indicator</w:t>
      </w:r>
      <w:bookmarkEnd w:id="60"/>
    </w:p>
    <w:p w14:paraId="099D587B" w14:textId="77777777" w:rsidR="00C9506C" w:rsidRPr="00ED7E61" w:rsidRDefault="00C9506C" w:rsidP="00C9506C">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lang w:val="en-GB"/>
        </w:rPr>
      </w:pPr>
    </w:p>
    <w:p w14:paraId="745823F9"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7468F79F" w14:textId="77777777" w:rsidR="00C9506C" w:rsidRPr="00ED7E61" w:rsidRDefault="00C9506C" w:rsidP="00C9506C">
      <w:pPr>
        <w:jc w:val="both"/>
        <w:rPr>
          <w:rFonts w:asciiTheme="majorBidi" w:hAnsiTheme="majorBidi" w:cstheme="majorBidi"/>
          <w:color w:val="000000" w:themeColor="text1"/>
          <w:kern w:val="22"/>
          <w:sz w:val="22"/>
          <w:szCs w:val="22"/>
        </w:rPr>
      </w:pPr>
      <w:r w:rsidRPr="00ED7E61">
        <w:rPr>
          <w:rFonts w:asciiTheme="majorBidi" w:hAnsiTheme="majorBidi" w:cstheme="majorBidi"/>
          <w:color w:val="000000" w:themeColor="text1"/>
          <w:kern w:val="22"/>
          <w:sz w:val="22"/>
          <w:szCs w:val="22"/>
        </w:rPr>
        <w:t>Number of countries with biodiversity-inclusive urban planning referring to green or blue urban spaces.</w:t>
      </w:r>
    </w:p>
    <w:p w14:paraId="1C30B0E9" w14:textId="0A125602" w:rsidR="00C9506C" w:rsidRPr="00ED7E61" w:rsidRDefault="00C9506C" w:rsidP="00C9506C">
      <w:pPr>
        <w:jc w:val="both"/>
        <w:rPr>
          <w:rFonts w:asciiTheme="majorBidi" w:hAnsiTheme="majorBidi" w:cstheme="majorBidi"/>
          <w:sz w:val="22"/>
          <w:szCs w:val="22"/>
        </w:rPr>
      </w:pPr>
      <w:r w:rsidRPr="00ED7E61" w:rsidDel="00287E4F">
        <w:rPr>
          <w:rFonts w:asciiTheme="majorBidi" w:hAnsiTheme="majorBidi" w:cstheme="majorBidi"/>
          <w:sz w:val="22"/>
          <w:szCs w:val="22"/>
        </w:rPr>
        <w:t xml:space="preserve"> </w:t>
      </w:r>
    </w:p>
    <w:p w14:paraId="12FFA859" w14:textId="2E10A9EE"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74EA1FAB" w14:textId="77777777" w:rsidR="00C9506C" w:rsidRPr="00ED7E61" w:rsidRDefault="00C9506C" w:rsidP="00C9506C">
      <w:pPr>
        <w:jc w:val="both"/>
        <w:rPr>
          <w:rFonts w:asciiTheme="majorBidi" w:hAnsiTheme="majorBidi" w:cstheme="majorBidi"/>
          <w:b/>
          <w:bCs/>
          <w:sz w:val="22"/>
          <w:szCs w:val="22"/>
        </w:rPr>
      </w:pPr>
    </w:p>
    <w:p w14:paraId="54CDCBF2"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7615E13F" w14:textId="77777777" w:rsidR="00C9506C" w:rsidRPr="00ED7E61" w:rsidRDefault="00C9506C" w:rsidP="00C9506C">
      <w:pPr>
        <w:jc w:val="both"/>
        <w:rPr>
          <w:rFonts w:asciiTheme="majorBidi" w:hAnsiTheme="majorBidi" w:cstheme="majorBidi"/>
          <w:color w:val="242424"/>
          <w:sz w:val="22"/>
          <w:szCs w:val="22"/>
        </w:rPr>
      </w:pPr>
      <w:r w:rsidRPr="00ED7E61">
        <w:rPr>
          <w:rFonts w:asciiTheme="majorBidi" w:hAnsiTheme="majorBidi" w:cstheme="majorBidi"/>
          <w:color w:val="242424"/>
          <w:sz w:val="22"/>
          <w:szCs w:val="22"/>
        </w:rPr>
        <w:t>Goal A The integrity, connectivity and resilience of all ecosystems are maintained, enhanced, or restored, substantially increasing the area of natural ecosystems by 2050; Human induced extinction of known threatened species is halted, and, by 2050, the extinction rate and risk of all species are reduced tenfold and the abundance of native wild species is increased to healthy and resilient levels; The genetic diversity within populations of wild and domesticated species, is maintained, safeguarding their adaptive potential.</w:t>
      </w:r>
    </w:p>
    <w:p w14:paraId="406F2207" w14:textId="77777777" w:rsidR="00C9506C" w:rsidRPr="00ED7E61" w:rsidRDefault="00C9506C" w:rsidP="00C9506C">
      <w:pPr>
        <w:jc w:val="both"/>
        <w:rPr>
          <w:rFonts w:asciiTheme="majorBidi" w:hAnsiTheme="majorBidi" w:cstheme="majorBidi"/>
          <w:color w:val="242424"/>
          <w:sz w:val="22"/>
          <w:szCs w:val="22"/>
        </w:rPr>
      </w:pPr>
      <w:r w:rsidRPr="00ED7E61">
        <w:rPr>
          <w:rFonts w:asciiTheme="majorBidi" w:hAnsiTheme="majorBidi" w:cstheme="majorBidi"/>
          <w:color w:val="242424"/>
          <w:sz w:val="22"/>
          <w:szCs w:val="22"/>
        </w:rPr>
        <w:t>Goal B Biodiversity is sustainably used and managed and nature’s contributions to people, including ecosystem functions and services, are valued, maintained and enhanced, with those currently in decline being restored, supporting the achievement of sustainable development for the benefit of present and future generations by 2050.</w:t>
      </w:r>
    </w:p>
    <w:p w14:paraId="02792F01" w14:textId="77777777" w:rsidR="00C9506C" w:rsidRPr="00ED7E61" w:rsidRDefault="00C9506C" w:rsidP="00C9506C">
      <w:pPr>
        <w:jc w:val="both"/>
        <w:rPr>
          <w:rFonts w:asciiTheme="majorBidi" w:hAnsiTheme="majorBidi" w:cstheme="majorBidi"/>
          <w:sz w:val="22"/>
          <w:szCs w:val="22"/>
        </w:rPr>
      </w:pPr>
    </w:p>
    <w:p w14:paraId="7E0CDF46"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Target</w:t>
      </w:r>
    </w:p>
    <w:p w14:paraId="4EDE7D30" w14:textId="77777777"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color w:val="000000"/>
          <w:sz w:val="22"/>
          <w:szCs w:val="22"/>
          <w:lang w:val="en-US"/>
        </w:rPr>
      </w:pPr>
      <w:r w:rsidRPr="00ED7E61">
        <w:rPr>
          <w:rFonts w:asciiTheme="majorBidi" w:hAnsiTheme="majorBidi" w:cstheme="majorBidi"/>
          <w:sz w:val="22"/>
          <w:szCs w:val="22"/>
        </w:rPr>
        <w:t xml:space="preserve">Binary indicator for Target 12. </w:t>
      </w:r>
      <w:r w:rsidRPr="00ED7E61">
        <w:rPr>
          <w:rFonts w:asciiTheme="majorBidi" w:hAnsiTheme="majorBidi" w:cstheme="majorBidi"/>
          <w:color w:val="000000"/>
          <w:sz w:val="22"/>
          <w:szCs w:val="22"/>
          <w:lang w:val="en-US"/>
        </w:rPr>
        <w:t>Significantly increase the area and quality, and connectivity of, access to, and benefits from green and blue spaces in urban and densely populated areas sustainably, by mainstreaming the conservation and sustainable use of biodiversity, and ensure biodiversity-inclusive urban planning, enhancing native biodiversity, ecological connectivity and integrity, and improving human health and well-being and connection to nature, and contributing to inclusive and sustainable urbanization and to the provision of ecosystem functions and services.</w:t>
      </w:r>
    </w:p>
    <w:p w14:paraId="4875757A" w14:textId="77777777" w:rsidR="00C9506C" w:rsidRPr="00ED7E61" w:rsidRDefault="00C9506C" w:rsidP="00C9506C">
      <w:pPr>
        <w:jc w:val="both"/>
        <w:rPr>
          <w:rFonts w:asciiTheme="majorBidi" w:hAnsiTheme="majorBidi" w:cstheme="majorBidi"/>
          <w:sz w:val="22"/>
          <w:szCs w:val="22"/>
        </w:rPr>
      </w:pPr>
    </w:p>
    <w:p w14:paraId="7944E1DE" w14:textId="63A39DEB" w:rsidR="00C9506C" w:rsidRPr="00ED7E61" w:rsidRDefault="00C9506C" w:rsidP="005007EE">
      <w:pPr>
        <w:jc w:val="both"/>
        <w:rPr>
          <w:rFonts w:asciiTheme="majorBidi" w:hAnsiTheme="majorBidi" w:cstheme="majorBidi"/>
          <w:sz w:val="22"/>
          <w:szCs w:val="22"/>
        </w:rPr>
      </w:pPr>
      <w:r w:rsidRPr="00ED7E61">
        <w:rPr>
          <w:rFonts w:asciiTheme="majorBidi" w:hAnsiTheme="majorBidi" w:cstheme="majorBidi"/>
          <w:b/>
          <w:bCs/>
          <w:sz w:val="22"/>
          <w:szCs w:val="22"/>
        </w:rPr>
        <w:t>Rationale</w:t>
      </w:r>
    </w:p>
    <w:p w14:paraId="6299FC3B" w14:textId="77777777" w:rsidR="00C9506C" w:rsidRPr="00ED7E61" w:rsidRDefault="00C9506C" w:rsidP="00B10F0C">
      <w:pPr>
        <w:pStyle w:val="CBDNormalNumber"/>
        <w:numPr>
          <w:ilvl w:val="0"/>
          <w:numId w:val="86"/>
        </w:numPr>
        <w:shd w:val="clear" w:color="auto" w:fill="FFFFFF"/>
        <w:tabs>
          <w:tab w:val="clear" w:pos="1701"/>
        </w:tabs>
        <w:ind w:left="567" w:hanging="24"/>
        <w:rPr>
          <w:rFonts w:asciiTheme="majorBidi" w:hAnsiTheme="majorBidi" w:cstheme="majorBidi"/>
        </w:rPr>
      </w:pPr>
      <w:r w:rsidRPr="00ED7E61">
        <w:rPr>
          <w:rStyle w:val="normaltextrun"/>
          <w:rFonts w:eastAsiaTheme="majorEastAsia"/>
        </w:rPr>
        <w:t>Green</w:t>
      </w:r>
      <w:r w:rsidRPr="00ED7E61">
        <w:rPr>
          <w:rFonts w:asciiTheme="majorBidi" w:hAnsiTheme="majorBidi" w:cstheme="majorBidi"/>
        </w:rPr>
        <w:t xml:space="preserve"> and blue spaces have a range of positive effects on human physical and mental well-being. Ensuring the availability and accessibility of such areas is particularly important given that the increasing trend towards urbanization risks separating people further from nature, with potential negative effects on human health and reduced understanding of biodiversity, and the ecosystem services it provides. Further, green and blue spaces can provide important habitat for species, improve habitat connectivity, provide ecosystem services and help mediate extreme events, if managed with such objectives in mind. The target focuses on the importance of biodiversity-inclusive urban planning and making space for nature within built landscapes to improve the health and quality of life for citizens and to reduce the environmental footprint of cities and infrastructure. It also recognizes the dependency of urban communities on well-functioning ecosystems and the importance of spatial planning to reduce the negative impacts on biodiversity of urban expansion, roads and other infrastructure.</w:t>
      </w:r>
    </w:p>
    <w:p w14:paraId="5BF415A6" w14:textId="6C7E2F6C" w:rsidR="00C9506C" w:rsidRPr="00F869E0" w:rsidRDefault="00C9506C" w:rsidP="00B10F0C">
      <w:pPr>
        <w:pStyle w:val="CBDNormalNumber"/>
        <w:numPr>
          <w:ilvl w:val="0"/>
          <w:numId w:val="86"/>
        </w:numPr>
        <w:shd w:val="clear" w:color="auto" w:fill="FFFFFF"/>
        <w:ind w:left="567" w:firstLine="0"/>
        <w:rPr>
          <w:rFonts w:asciiTheme="majorBidi" w:hAnsiTheme="majorBidi" w:cstheme="majorBidi"/>
        </w:rPr>
      </w:pPr>
      <w:r w:rsidRPr="00ED7E61">
        <w:rPr>
          <w:rStyle w:val="normaltextrun"/>
          <w:rFonts w:eastAsiaTheme="majorEastAsia"/>
        </w:rPr>
        <w:t>Poor</w:t>
      </w:r>
      <w:r w:rsidRPr="00ED7E61">
        <w:rPr>
          <w:rFonts w:asciiTheme="majorBidi" w:hAnsiTheme="majorBidi" w:cstheme="majorBidi"/>
        </w:rPr>
        <w:t xml:space="preserve"> urban planning has many negative effects on people, affecting wellbeing, health and social relationships. Effective urban planning on the other hand can improve such outcomes for people and biodiversity. Many cities around the world are actively increasing the amount of green and blue spaces available to promote biodiversity and human wellbeing. There is a need to support such action and encourage biodiversity-inclusive urban planning. This indicator tracks the effort made by cities to improve their urban planning to include the conservation and sustainable use of biodiversity and the provision ecosystem services and nature’s contribution to people.</w:t>
      </w:r>
    </w:p>
    <w:p w14:paraId="258229D8" w14:textId="194B3AB6"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CE7236">
        <w:rPr>
          <w:rFonts w:asciiTheme="majorBidi" w:hAnsiTheme="majorBidi" w:cstheme="majorBidi"/>
          <w:b/>
          <w:bCs/>
          <w:sz w:val="22"/>
          <w:szCs w:val="22"/>
        </w:rPr>
        <w:t>a</w:t>
      </w:r>
      <w:r w:rsidRPr="00ED7E61">
        <w:rPr>
          <w:rFonts w:asciiTheme="majorBidi" w:hAnsiTheme="majorBidi" w:cstheme="majorBidi"/>
          <w:b/>
          <w:bCs/>
          <w:sz w:val="22"/>
          <w:szCs w:val="22"/>
        </w:rPr>
        <w:t>nd Classifications</w:t>
      </w:r>
    </w:p>
    <w:p w14:paraId="508CF10E" w14:textId="13A47247" w:rsidR="00C9506C" w:rsidRPr="00F869E0" w:rsidRDefault="00C9506C" w:rsidP="00F869E0">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7FF7A59D" w14:textId="64A1783E" w:rsidR="00E51276"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themeColor="text1"/>
        </w:rPr>
      </w:pPr>
      <w:r w:rsidRPr="00ED7E61">
        <w:rPr>
          <w:rFonts w:asciiTheme="majorBidi" w:hAnsiTheme="majorBidi" w:cstheme="majorBidi"/>
        </w:rPr>
        <w:t>Biodiversity</w:t>
      </w:r>
      <w:r w:rsidRPr="00ED7E61">
        <w:rPr>
          <w:rFonts w:asciiTheme="majorBidi" w:hAnsiTheme="majorBidi" w:cstheme="majorBidi"/>
          <w:color w:val="000000" w:themeColor="text1"/>
        </w:rPr>
        <w:t xml:space="preserve">-inclusive urban planning: </w:t>
      </w:r>
      <w:r w:rsidRPr="00ED7E61">
        <w:rPr>
          <w:rFonts w:asciiTheme="majorBidi" w:hAnsiTheme="majorBidi" w:cstheme="majorBidi"/>
        </w:rPr>
        <w:t>Urban planning is the process that is applied as a way to organize the dynamics of human actions in cities, with the purpose of stipulating guidelines that order spatial occupation through typological patterns of use, mobility, distribution of equipment, services, and natural areas in the territory, in order to provide uniformity in the distribution of the onus and advantages generated by the development of the infrastructures. The planning, furthermore, aims to announce in advance what can be done in the face of solving problems that may hinder the dynamics of functioning that involve cities. The Framework specifically calls for such processes to be biodiversity inclusive.</w:t>
      </w:r>
    </w:p>
    <w:p w14:paraId="172C2473" w14:textId="2760A7B1" w:rsidR="00E51276"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themeColor="text1"/>
        </w:rPr>
      </w:pPr>
      <w:r w:rsidRPr="00ED7E61">
        <w:rPr>
          <w:rFonts w:asciiTheme="majorBidi" w:hAnsiTheme="majorBidi" w:cstheme="majorBidi"/>
          <w:color w:val="000000" w:themeColor="text1"/>
        </w:rPr>
        <w:t>Green and blue spaces: These are areas of vegetation, inland and coastal waters, generally in or near to urban areas and other densely populated areas. The target specifically calls for the area, quality, connectivity, accessibility and benefits from such areas to be increased for the purposes of enhancing native biodiversity, ecological connectivity and integrity, and improve human health and well-being and connection to nature. This could be accomplished in various ways, including by creating new green and blue spaces, better managing existing areas for biodiversity and health outcomes, and ensuring that such areas are accessible to people. </w:t>
      </w:r>
    </w:p>
    <w:p w14:paraId="7825DD19" w14:textId="016F8314" w:rsidR="00E51276"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themeColor="text1"/>
        </w:rPr>
      </w:pPr>
      <w:r w:rsidRPr="00ED7E61">
        <w:rPr>
          <w:rFonts w:asciiTheme="majorBidi" w:hAnsiTheme="majorBidi" w:cstheme="majorBidi"/>
          <w:color w:val="000000" w:themeColor="text1"/>
        </w:rPr>
        <w:t>Urbanisation</w:t>
      </w:r>
      <w:r w:rsidRPr="00ED7E61">
        <w:rPr>
          <w:rFonts w:asciiTheme="majorBidi" w:hAnsiTheme="majorBidi" w:cstheme="majorBidi"/>
          <w:b/>
          <w:bCs/>
          <w:color w:val="000000" w:themeColor="text1"/>
        </w:rPr>
        <w:t>:</w:t>
      </w:r>
      <w:r w:rsidRPr="00ED7E61">
        <w:rPr>
          <w:rFonts w:asciiTheme="majorBidi" w:hAnsiTheme="majorBidi" w:cstheme="majorBidi"/>
          <w:color w:val="000000" w:themeColor="text1"/>
        </w:rPr>
        <w:t xml:space="preserve"> </w:t>
      </w:r>
      <w:r w:rsidRPr="00ED7E61">
        <w:rPr>
          <w:rFonts w:asciiTheme="majorBidi" w:hAnsiTheme="majorBidi" w:cstheme="majorBidi"/>
          <w:color w:val="000000" w:themeColor="text1"/>
          <w:shd w:val="clear" w:color="auto" w:fill="FFFFFF"/>
        </w:rPr>
        <w:t>The increase in the proportion of a population living in urban areas; the process by which a large number of people becomes permanently concentrated in relatively small areas, forming cities.</w:t>
      </w:r>
    </w:p>
    <w:p w14:paraId="39812F32" w14:textId="40DC3DE1" w:rsidR="00C9506C" w:rsidRPr="00F869E0" w:rsidRDefault="00C9506C" w:rsidP="00B10F0C">
      <w:pPr>
        <w:pStyle w:val="CBDNormalNumber"/>
        <w:numPr>
          <w:ilvl w:val="0"/>
          <w:numId w:val="86"/>
        </w:numPr>
        <w:shd w:val="clear" w:color="auto" w:fill="FFFFFF"/>
        <w:ind w:left="567" w:firstLine="0"/>
        <w:rPr>
          <w:rFonts w:asciiTheme="majorBidi" w:hAnsiTheme="majorBidi" w:cstheme="majorBidi"/>
          <w:color w:val="000000" w:themeColor="text1"/>
        </w:rPr>
      </w:pPr>
      <w:r w:rsidRPr="00ED7E61">
        <w:rPr>
          <w:rFonts w:asciiTheme="majorBidi" w:hAnsiTheme="majorBidi" w:cstheme="majorBidi"/>
          <w:color w:val="000000" w:themeColor="text1"/>
        </w:rPr>
        <w:t xml:space="preserve">Urban and densely populated areas: Variable per country but generally refers to areas highly modified by and for humans where large numbers of people live. United Nations definitions, provided by national statistics offices, by country can be found </w:t>
      </w:r>
      <w:hyperlink r:id="rId529" w:history="1">
        <w:r w:rsidRPr="00ED7E61">
          <w:rPr>
            <w:rStyle w:val="Hyperlink"/>
            <w:rFonts w:asciiTheme="majorBidi" w:eastAsiaTheme="majorEastAsia" w:hAnsiTheme="majorBidi" w:cstheme="majorBidi"/>
            <w:color w:val="0070C0"/>
          </w:rPr>
          <w:t>here</w:t>
        </w:r>
      </w:hyperlink>
      <w:r w:rsidRPr="00ED7E61">
        <w:rPr>
          <w:rFonts w:asciiTheme="majorBidi" w:hAnsiTheme="majorBidi" w:cstheme="majorBidi"/>
          <w:color w:val="000000" w:themeColor="text1"/>
        </w:rPr>
        <w:t>.</w:t>
      </w:r>
    </w:p>
    <w:p w14:paraId="2BFC57AC"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71CC95DD" w14:textId="77777777"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rPr>
      </w:pPr>
      <w:r w:rsidRPr="00ED7E61">
        <w:rPr>
          <w:rFonts w:asciiTheme="majorBidi" w:hAnsiTheme="majorBidi" w:cstheme="majorBidi"/>
          <w:color w:val="000000" w:themeColor="text1"/>
        </w:rPr>
        <w:t>This</w:t>
      </w:r>
      <w:r w:rsidRPr="00ED7E61">
        <w:rPr>
          <w:rFonts w:asciiTheme="majorBidi" w:hAnsiTheme="majorBidi" w:cstheme="majorBidi"/>
        </w:rPr>
        <w:t xml:space="preserve"> indicator is a binary indicator and must be compiled from the answers to two questions:</w:t>
      </w:r>
    </w:p>
    <w:p w14:paraId="794412CF" w14:textId="774930BA" w:rsidR="00C9506C" w:rsidRPr="00ED7E61" w:rsidRDefault="00C9506C" w:rsidP="00F869E0">
      <w:pPr>
        <w:pStyle w:val="CBDNormalNumber"/>
        <w:numPr>
          <w:ilvl w:val="0"/>
          <w:numId w:val="0"/>
        </w:numPr>
        <w:tabs>
          <w:tab w:val="clear" w:pos="567"/>
          <w:tab w:val="clear" w:pos="1134"/>
          <w:tab w:val="clear" w:pos="1701"/>
          <w:tab w:val="clear" w:pos="2268"/>
          <w:tab w:val="left" w:pos="1985"/>
        </w:tabs>
        <w:ind w:left="1332"/>
        <w:rPr>
          <w:rStyle w:val="normaltextrun"/>
          <w:rFonts w:eastAsiaTheme="majorEastAsia"/>
        </w:rPr>
      </w:pPr>
      <w:r w:rsidRPr="00ED7E61">
        <w:rPr>
          <w:rStyle w:val="normaltextrun"/>
          <w:rFonts w:eastAsiaTheme="majorEastAsia"/>
        </w:rPr>
        <w:t>12.1 Does your country have urban areas under biodiversity-inclusive urban planning that incorporates the management of green or blue spaces for the conservation and sustainable use of biodiversity?</w:t>
      </w:r>
    </w:p>
    <w:p w14:paraId="43927746" w14:textId="0B5A6CCD" w:rsidR="00C9506C" w:rsidRPr="00ED7E61" w:rsidRDefault="00C9506C" w:rsidP="00F869E0">
      <w:pPr>
        <w:pStyle w:val="CBDNormalNumber"/>
        <w:numPr>
          <w:ilvl w:val="0"/>
          <w:numId w:val="0"/>
        </w:numPr>
        <w:tabs>
          <w:tab w:val="clear" w:pos="567"/>
          <w:tab w:val="clear" w:pos="1134"/>
          <w:tab w:val="clear" w:pos="1701"/>
          <w:tab w:val="clear" w:pos="2268"/>
          <w:tab w:val="left" w:pos="1985"/>
        </w:tabs>
        <w:ind w:left="1332"/>
        <w:rPr>
          <w:rStyle w:val="normaltextrun"/>
          <w:rFonts w:eastAsiaTheme="majorEastAsia"/>
        </w:rPr>
      </w:pPr>
      <w:r w:rsidRPr="00ED7E61">
        <w:rPr>
          <w:rStyle w:val="normaltextrun"/>
          <w:rFonts w:eastAsiaTheme="majorEastAsia"/>
        </w:rPr>
        <w:t>12.2 Does your country have urban areas under biodiversity-inclusive urban planning incorporating the management of green or blue spaces for ecosystem services and nature’s contributions to people?</w:t>
      </w:r>
    </w:p>
    <w:p w14:paraId="6410DED2" w14:textId="26257A20"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lang w:val="en-US"/>
        </w:rPr>
      </w:pPr>
      <w:r w:rsidRPr="00ED7E61">
        <w:rPr>
          <w:rFonts w:asciiTheme="majorBidi" w:hAnsiTheme="majorBidi" w:cstheme="majorBidi"/>
          <w:color w:val="000000" w:themeColor="text1"/>
        </w:rPr>
        <w:t>There</w:t>
      </w:r>
      <w:r w:rsidRPr="00ED7E61">
        <w:rPr>
          <w:rFonts w:asciiTheme="majorBidi" w:hAnsiTheme="majorBidi" w:cstheme="majorBidi"/>
          <w:color w:val="000000"/>
          <w:lang w:val="en-US"/>
        </w:rPr>
        <w:t xml:space="preserve"> are four possible answers to each of these questions</w:t>
      </w:r>
      <w:r w:rsidR="00E51276" w:rsidRPr="00ED7E61">
        <w:rPr>
          <w:rStyle w:val="FootnoteReference"/>
          <w:rFonts w:asciiTheme="majorBidi" w:hAnsiTheme="majorBidi" w:cstheme="majorBidi"/>
          <w:color w:val="000000"/>
          <w:lang w:val="en-US"/>
        </w:rPr>
        <w:footnoteReference w:id="58"/>
      </w:r>
      <w:r w:rsidRPr="00ED7E61">
        <w:rPr>
          <w:rFonts w:asciiTheme="majorBidi" w:hAnsiTheme="majorBidi" w:cstheme="majorBidi"/>
          <w:color w:val="000000"/>
          <w:lang w:val="en-US"/>
        </w:rPr>
        <w:t>:</w:t>
      </w:r>
    </w:p>
    <w:p w14:paraId="76410935"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No</w:t>
      </w:r>
    </w:p>
    <w:p w14:paraId="380B3E2D" w14:textId="06CAD680"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Under development</w:t>
      </w:r>
    </w:p>
    <w:p w14:paraId="225D0B02" w14:textId="2E939ACF"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Partially</w:t>
      </w:r>
    </w:p>
    <w:p w14:paraId="667C0A37" w14:textId="6FA6B46A"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Fully</w:t>
      </w:r>
    </w:p>
    <w:p w14:paraId="36677CAE" w14:textId="5282FD00" w:rsidR="00E51276"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No</w:t>
      </w:r>
      <w:r w:rsidRPr="00ED7E61">
        <w:rPr>
          <w:rFonts w:asciiTheme="majorBidi" w:hAnsiTheme="majorBidi" w:cstheme="majorBidi"/>
          <w:color w:val="000000"/>
          <w:lang w:val="en-US"/>
        </w:rPr>
        <w:t>” answer implies that urban planning strategies within nations contain no wording on biodiversity (12.1) or nature’s contributions to people (12.2) and no effort is being made at the national level to include biodiversity and nature’s contributions to people in urban planning. In the case where some cities are implementing biodiversity-inclusive urban planning voluntarily on an ad hoc basis with no concerted effort at the national level, select “</w:t>
      </w:r>
      <w:r w:rsidRPr="00FB1598">
        <w:rPr>
          <w:rFonts w:asciiTheme="majorBidi" w:hAnsiTheme="majorBidi" w:cstheme="majorBidi"/>
          <w:i/>
          <w:iCs/>
          <w:color w:val="000000"/>
          <w:lang w:val="en-US"/>
        </w:rPr>
        <w:t>No</w:t>
      </w:r>
      <w:r w:rsidRPr="00ED7E61">
        <w:rPr>
          <w:rFonts w:asciiTheme="majorBidi" w:hAnsiTheme="majorBidi" w:cstheme="majorBidi"/>
          <w:color w:val="000000"/>
          <w:lang w:val="en-US"/>
        </w:rPr>
        <w:t>”.</w:t>
      </w:r>
    </w:p>
    <w:p w14:paraId="5567973F" w14:textId="5053DC1D" w:rsidR="00E51276" w:rsidRPr="00ED7E61" w:rsidRDefault="00C9506C" w:rsidP="00B10F0C">
      <w:pPr>
        <w:pStyle w:val="CBDNormalNumber"/>
        <w:numPr>
          <w:ilvl w:val="0"/>
          <w:numId w:val="86"/>
        </w:numPr>
        <w:shd w:val="clear" w:color="auto" w:fill="FFFFFF"/>
        <w:ind w:left="567" w:firstLine="0"/>
      </w:pPr>
      <w:r w:rsidRPr="00ED7E61">
        <w:t>An “</w:t>
      </w:r>
      <w:r w:rsidRPr="00FB1598">
        <w:rPr>
          <w:i/>
          <w:iCs/>
        </w:rPr>
        <w:t>Under development</w:t>
      </w:r>
      <w:r w:rsidRPr="00ED7E61">
        <w:t>” answer implies a concerted effort at the national level to urge cities to produce new plans that are biodiversity-inclusive, such plans must be improved to specifically include green and blue spaces with the intent to conserve and sustainably use biodiversity (12.1) and improve provisioning of nature’s contributions to people (12.2). A concerted effort must imply that funding is being mobilized to support cities in upgrading their plans, and policies are put in place to incentivize cities to take action. However, the presence of resources and policies on their own is not sufficient to answer “</w:t>
      </w:r>
      <w:r w:rsidR="00FF4FA9">
        <w:rPr>
          <w:i/>
          <w:iCs/>
        </w:rPr>
        <w:t>U</w:t>
      </w:r>
      <w:r w:rsidRPr="00FB1598">
        <w:rPr>
          <w:i/>
          <w:iCs/>
        </w:rPr>
        <w:t>nder development</w:t>
      </w:r>
      <w:r w:rsidRPr="00ED7E61">
        <w:t>”, cities must be actively applying for or using these resources in developing new biodiversity-inclusive urban plans.</w:t>
      </w:r>
    </w:p>
    <w:p w14:paraId="20378B08" w14:textId="1F8DDEA7" w:rsidR="00C9506C" w:rsidRPr="00ED7E61" w:rsidRDefault="00C9506C" w:rsidP="00B10F0C">
      <w:pPr>
        <w:pStyle w:val="CBDNormalNumber"/>
        <w:numPr>
          <w:ilvl w:val="0"/>
          <w:numId w:val="86"/>
        </w:numPr>
        <w:shd w:val="clear" w:color="auto" w:fill="FFFFFF"/>
        <w:ind w:left="567" w:firstLine="0"/>
      </w:pPr>
      <w:r w:rsidRPr="00ED7E61">
        <w:t>A “</w:t>
      </w:r>
      <w:r w:rsidRPr="00FB1598">
        <w:rPr>
          <w:i/>
          <w:iCs/>
        </w:rPr>
        <w:t>Partially</w:t>
      </w:r>
      <w:r w:rsidRPr="00ED7E61">
        <w:t>” answer implies that biodiversity-inclusive urban planning is already being done and supported in some cities but not fully. That is:</w:t>
      </w:r>
    </w:p>
    <w:p w14:paraId="0DDD745F" w14:textId="28A4102D" w:rsidR="00C9506C" w:rsidRPr="00ED7E61" w:rsidRDefault="00F869E0" w:rsidP="00B10F0C">
      <w:pPr>
        <w:pStyle w:val="CBDNormalNumber"/>
        <w:numPr>
          <w:ilvl w:val="1"/>
          <w:numId w:val="86"/>
        </w:numPr>
        <w:tabs>
          <w:tab w:val="clear" w:pos="567"/>
          <w:tab w:val="clear" w:pos="1134"/>
          <w:tab w:val="clear" w:pos="2268"/>
          <w:tab w:val="left" w:pos="1985"/>
        </w:tabs>
        <w:ind w:left="567" w:firstLine="567"/>
        <w:rPr>
          <w:rStyle w:val="normaltextrun"/>
          <w:rFonts w:eastAsiaTheme="majorEastAsia"/>
        </w:rPr>
      </w:pPr>
      <w:r>
        <w:rPr>
          <w:rStyle w:val="normaltextrun"/>
          <w:rFonts w:eastAsiaTheme="majorEastAsia"/>
        </w:rPr>
        <w:t>O</w:t>
      </w:r>
      <w:r w:rsidR="00C9506C" w:rsidRPr="00ED7E61">
        <w:rPr>
          <w:rStyle w:val="normaltextrun"/>
          <w:rFonts w:eastAsiaTheme="majorEastAsia"/>
        </w:rPr>
        <w:t>nly green or blue spaces are being managed but not both (12.1 &amp; 12.2)</w:t>
      </w:r>
    </w:p>
    <w:p w14:paraId="03C6186A" w14:textId="4FAE0A47" w:rsidR="00C9506C" w:rsidRPr="00ED7E61" w:rsidRDefault="00F869E0" w:rsidP="00B10F0C">
      <w:pPr>
        <w:pStyle w:val="CBDNormalNumber"/>
        <w:numPr>
          <w:ilvl w:val="1"/>
          <w:numId w:val="86"/>
        </w:numPr>
        <w:tabs>
          <w:tab w:val="clear" w:pos="567"/>
          <w:tab w:val="clear" w:pos="1134"/>
          <w:tab w:val="clear" w:pos="2268"/>
          <w:tab w:val="left" w:pos="1985"/>
        </w:tabs>
        <w:ind w:left="567" w:firstLine="567"/>
        <w:rPr>
          <w:rStyle w:val="normaltextrun"/>
          <w:rFonts w:eastAsiaTheme="majorEastAsia"/>
        </w:rPr>
      </w:pPr>
      <w:r>
        <w:rPr>
          <w:rStyle w:val="normaltextrun"/>
          <w:rFonts w:eastAsiaTheme="majorEastAsia"/>
        </w:rPr>
        <w:t>B</w:t>
      </w:r>
      <w:r w:rsidR="00C9506C" w:rsidRPr="00ED7E61">
        <w:rPr>
          <w:rStyle w:val="normaltextrun"/>
          <w:rFonts w:eastAsiaTheme="majorEastAsia"/>
        </w:rPr>
        <w:t>iodiversity is only being managed for sustainable use but not conservation or vice versa (12.1)</w:t>
      </w:r>
    </w:p>
    <w:p w14:paraId="61A33AF3" w14:textId="718E43AB" w:rsidR="00C9506C" w:rsidRPr="00ED7E61" w:rsidRDefault="00F869E0" w:rsidP="00B10F0C">
      <w:pPr>
        <w:pStyle w:val="CBDNormalNumber"/>
        <w:numPr>
          <w:ilvl w:val="1"/>
          <w:numId w:val="86"/>
        </w:numPr>
        <w:tabs>
          <w:tab w:val="clear" w:pos="567"/>
          <w:tab w:val="clear" w:pos="1134"/>
          <w:tab w:val="clear" w:pos="2268"/>
          <w:tab w:val="left" w:pos="1985"/>
        </w:tabs>
        <w:ind w:left="567" w:firstLine="567"/>
        <w:rPr>
          <w:rStyle w:val="normaltextrun"/>
          <w:rFonts w:eastAsiaTheme="majorEastAsia"/>
        </w:rPr>
      </w:pPr>
      <w:r>
        <w:rPr>
          <w:rStyle w:val="normaltextrun"/>
          <w:rFonts w:eastAsiaTheme="majorEastAsia"/>
        </w:rPr>
        <w:t>O</w:t>
      </w:r>
      <w:r w:rsidR="00C9506C" w:rsidRPr="00ED7E61">
        <w:rPr>
          <w:rStyle w:val="normaltextrun"/>
          <w:rFonts w:eastAsiaTheme="majorEastAsia"/>
        </w:rPr>
        <w:t>nly ecosystem services are being managed but not nature’s contributions to people or vice versa (12.2)</w:t>
      </w:r>
    </w:p>
    <w:p w14:paraId="4E196F11" w14:textId="77777777"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lang w:val="en-US"/>
        </w:rPr>
      </w:pPr>
      <w:r w:rsidRPr="00ED7E61">
        <w:t>If</w:t>
      </w:r>
      <w:r w:rsidRPr="00ED7E61">
        <w:rPr>
          <w:rFonts w:asciiTheme="majorBidi" w:hAnsiTheme="majorBidi" w:cstheme="majorBidi"/>
          <w:color w:val="000000"/>
          <w:lang w:val="en-US"/>
        </w:rPr>
        <w:t xml:space="preserve"> any one of the cases outlined above applies, only partial achievement has been reached.</w:t>
      </w:r>
    </w:p>
    <w:p w14:paraId="24470E05" w14:textId="3C301768"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rPr>
      </w:pPr>
      <w:r w:rsidRPr="00ED7E61">
        <w:rPr>
          <w:rFonts w:asciiTheme="majorBidi" w:hAnsiTheme="majorBidi" w:cstheme="majorBidi"/>
          <w:color w:val="000000"/>
        </w:rPr>
        <w:t>A “</w:t>
      </w:r>
      <w:r w:rsidRPr="00FB1598">
        <w:rPr>
          <w:rFonts w:asciiTheme="majorBidi" w:hAnsiTheme="majorBidi" w:cstheme="majorBidi"/>
          <w:i/>
          <w:iCs/>
          <w:color w:val="000000"/>
        </w:rPr>
        <w:t>Fully</w:t>
      </w:r>
      <w:r w:rsidRPr="00ED7E61">
        <w:rPr>
          <w:rFonts w:asciiTheme="majorBidi" w:hAnsiTheme="majorBidi" w:cstheme="majorBidi"/>
          <w:color w:val="000000"/>
        </w:rPr>
        <w:t>” answer implies that all the conditions outlined in “</w:t>
      </w:r>
      <w:r w:rsidRPr="00FB1598">
        <w:rPr>
          <w:rFonts w:asciiTheme="majorBidi" w:hAnsiTheme="majorBidi" w:cstheme="majorBidi"/>
          <w:i/>
          <w:iCs/>
          <w:color w:val="000000"/>
        </w:rPr>
        <w:t>Partially</w:t>
      </w:r>
      <w:r w:rsidRPr="00ED7E61">
        <w:rPr>
          <w:rFonts w:asciiTheme="majorBidi" w:hAnsiTheme="majorBidi" w:cstheme="majorBidi"/>
          <w:color w:val="000000"/>
        </w:rPr>
        <w:t>” have been met. Namely that biodiversity-inclusive urban planning it being done and supported in some cities, it includes both green and blue spaces, biodiversity is managed for both conservation and sustainable use (12.1) and ecosystem services and nature’s contributions to people are incorporated (12.2). The minimum number of cities needed to achieve these criteria and answer “</w:t>
      </w:r>
      <w:r w:rsidRPr="00FB1598">
        <w:rPr>
          <w:rFonts w:asciiTheme="majorBidi" w:hAnsiTheme="majorBidi" w:cstheme="majorBidi"/>
          <w:i/>
          <w:iCs/>
          <w:color w:val="000000"/>
        </w:rPr>
        <w:t>Yes</w:t>
      </w:r>
      <w:r w:rsidRPr="00ED7E61">
        <w:rPr>
          <w:rFonts w:asciiTheme="majorBidi" w:hAnsiTheme="majorBidi" w:cstheme="majorBidi"/>
          <w:color w:val="000000"/>
        </w:rPr>
        <w:t>” is 1. However, it is essential that this not be an outlier case but that the city be responding to concerted efforts and policies at the national level, otherwise refer to the description of “</w:t>
      </w:r>
      <w:r w:rsidRPr="00FB1598">
        <w:rPr>
          <w:rFonts w:asciiTheme="majorBidi" w:hAnsiTheme="majorBidi" w:cstheme="majorBidi"/>
          <w:i/>
          <w:iCs/>
          <w:color w:val="000000"/>
        </w:rPr>
        <w:t>No</w:t>
      </w:r>
      <w:r w:rsidRPr="00ED7E61">
        <w:rPr>
          <w:rFonts w:asciiTheme="majorBidi" w:hAnsiTheme="majorBidi" w:cstheme="majorBidi"/>
          <w:color w:val="000000"/>
        </w:rPr>
        <w:t>”.</w:t>
      </w:r>
    </w:p>
    <w:p w14:paraId="54F1ADB5" w14:textId="77777777"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color w:val="000000" w:themeColor="text1"/>
          <w:sz w:val="22"/>
          <w:szCs w:val="22"/>
          <w:lang w:val="en-US"/>
        </w:rPr>
      </w:pPr>
    </w:p>
    <w:p w14:paraId="64BE9990" w14:textId="77777777" w:rsidR="00D311B8" w:rsidRPr="00ED7E61" w:rsidRDefault="00D311B8" w:rsidP="00395866">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lang w:val="en-US"/>
        </w:rPr>
      </w:pPr>
    </w:p>
    <w:p w14:paraId="31DFFD29"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3DE608E2" w14:textId="77777777" w:rsidR="00C9506C" w:rsidRPr="00ED7E61" w:rsidRDefault="00C9506C" w:rsidP="00C9506C">
      <w:pPr>
        <w:pStyle w:val="Heading3"/>
      </w:pPr>
      <w:bookmarkStart w:id="61" w:name="_Toc178285872"/>
      <w:r w:rsidRPr="00ED7E61">
        <w:rPr>
          <w:rStyle w:val="normaltextrun"/>
        </w:rPr>
        <w:t>GBF indicator metadata:</w:t>
      </w:r>
      <w:r w:rsidRPr="00ED7E61">
        <w:rPr>
          <w:rStyle w:val="eop"/>
        </w:rPr>
        <w:t> 13.b Target 13 binary indicator</w:t>
      </w:r>
      <w:bookmarkEnd w:id="61"/>
      <w:r w:rsidRPr="00ED7E61">
        <w:rPr>
          <w:rStyle w:val="eop"/>
        </w:rPr>
        <w:t xml:space="preserve"> </w:t>
      </w:r>
    </w:p>
    <w:p w14:paraId="3CEF8A96" w14:textId="77777777" w:rsidR="00C9506C" w:rsidRPr="00ED7E61" w:rsidRDefault="00C9506C" w:rsidP="00C9506C">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lang w:val="en-GB"/>
        </w:rPr>
      </w:pPr>
    </w:p>
    <w:p w14:paraId="4CA47714"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2F7D5985" w14:textId="023EE66F" w:rsidR="00C9506C" w:rsidRPr="00A626CF" w:rsidRDefault="00C9506C" w:rsidP="00C9506C">
      <w:pPr>
        <w:jc w:val="both"/>
        <w:rPr>
          <w:rFonts w:asciiTheme="majorBidi" w:hAnsiTheme="majorBidi" w:cstheme="majorBidi"/>
          <w:sz w:val="22"/>
          <w:szCs w:val="22"/>
        </w:rPr>
      </w:pPr>
      <w:r w:rsidRPr="00ED7E61">
        <w:rPr>
          <w:rFonts w:asciiTheme="majorBidi" w:eastAsia="DengXian" w:hAnsiTheme="majorBidi" w:cstheme="majorBidi"/>
          <w:color w:val="000000" w:themeColor="text1"/>
          <w:kern w:val="22"/>
          <w:sz w:val="22"/>
          <w:szCs w:val="22"/>
          <w:lang w:val="en-GB"/>
        </w:rPr>
        <w:t>[Number of countries that have t</w:t>
      </w:r>
      <w:r w:rsidRPr="00ED7E61">
        <w:rPr>
          <w:rFonts w:asciiTheme="majorBidi" w:hAnsiTheme="majorBidi" w:cstheme="majorBidi"/>
          <w:color w:val="000000" w:themeColor="text1"/>
          <w:sz w:val="22"/>
          <w:szCs w:val="22"/>
          <w:lang w:val="en-GB"/>
        </w:rPr>
        <w:t>aken effective legal, policy, administrative and capacity-building measures at all levels, as appropriate, to ensure the fair and equitable sharing of benefits</w:t>
      </w:r>
      <w:r w:rsidRPr="00ED7E61">
        <w:rPr>
          <w:sz w:val="22"/>
          <w:szCs w:val="22"/>
          <w:lang w:val="en-GB"/>
        </w:rPr>
        <w:t xml:space="preserve"> </w:t>
      </w:r>
      <w:r w:rsidRPr="00ED7E61">
        <w:rPr>
          <w:rFonts w:asciiTheme="majorBidi" w:hAnsiTheme="majorBidi" w:cstheme="majorBidi"/>
          <w:color w:val="000000" w:themeColor="text1"/>
          <w:sz w:val="22"/>
          <w:szCs w:val="22"/>
          <w:lang w:val="en-GB"/>
        </w:rPr>
        <w:t>from the utilization of genetic resources and from digital sequence information on genetic resources, as well as traditional knowledge associated with genetic resources.]</w:t>
      </w:r>
    </w:p>
    <w:p w14:paraId="0D9D86C9" w14:textId="2210AA54" w:rsidR="00C9506C" w:rsidRPr="00ED7E61" w:rsidRDefault="00C9506C" w:rsidP="00A626C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6F488AD5" w14:textId="77777777" w:rsidR="00C9506C" w:rsidRPr="00ED7E61" w:rsidRDefault="00C9506C" w:rsidP="00A626C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08554881" w14:textId="667BC328" w:rsidR="00C9506C" w:rsidRPr="00A626CF" w:rsidRDefault="00C9506C" w:rsidP="00C9506C">
      <w:pPr>
        <w:jc w:val="both"/>
        <w:rPr>
          <w:rFonts w:asciiTheme="majorBidi" w:hAnsiTheme="majorBidi" w:cstheme="majorBidi"/>
          <w:color w:val="242424"/>
          <w:sz w:val="22"/>
          <w:szCs w:val="22"/>
        </w:rPr>
      </w:pPr>
      <w:r w:rsidRPr="00ED7E61">
        <w:rPr>
          <w:rFonts w:asciiTheme="majorBidi" w:hAnsiTheme="majorBidi" w:cstheme="majorBidi"/>
          <w:color w:val="242424"/>
          <w:sz w:val="22"/>
          <w:szCs w:val="22"/>
        </w:rPr>
        <w:t>N/A</w:t>
      </w:r>
    </w:p>
    <w:p w14:paraId="4ACB3210" w14:textId="77777777" w:rsidR="00C9506C" w:rsidRPr="00ED7E61" w:rsidRDefault="00C9506C" w:rsidP="00A626CF">
      <w:pPr>
        <w:spacing w:before="120"/>
        <w:jc w:val="both"/>
        <w:rPr>
          <w:rFonts w:asciiTheme="majorBidi" w:hAnsiTheme="majorBidi" w:cstheme="majorBidi"/>
          <w:sz w:val="22"/>
          <w:szCs w:val="22"/>
        </w:rPr>
      </w:pPr>
      <w:r w:rsidRPr="00ED7E61">
        <w:rPr>
          <w:rFonts w:asciiTheme="majorBidi" w:hAnsiTheme="majorBidi" w:cstheme="majorBidi"/>
          <w:b/>
          <w:bCs/>
          <w:sz w:val="22"/>
          <w:szCs w:val="22"/>
        </w:rPr>
        <w:t>Target</w:t>
      </w:r>
    </w:p>
    <w:p w14:paraId="3E4A3FAB" w14:textId="1CD97086" w:rsidR="00C9506C" w:rsidRPr="00A626CF" w:rsidRDefault="00C9506C" w:rsidP="00C9506C">
      <w:pPr>
        <w:jc w:val="both"/>
        <w:rPr>
          <w:rFonts w:asciiTheme="majorBidi" w:hAnsiTheme="majorBidi" w:cstheme="majorBidi"/>
          <w:sz w:val="22"/>
          <w:szCs w:val="22"/>
          <w:lang w:val="en-US"/>
        </w:rPr>
      </w:pPr>
      <w:r w:rsidRPr="00ED7E61">
        <w:rPr>
          <w:rFonts w:asciiTheme="majorBidi" w:hAnsiTheme="majorBidi" w:cstheme="majorBidi"/>
          <w:sz w:val="22"/>
          <w:szCs w:val="22"/>
        </w:rPr>
        <w:t>Binary indicator for Target 13. Take effective legal, policy, administrative and capacity-building measures at all levels, as appropriate, to ensure the fair and equitable sharing of benefits that arise from the utilization of genetic resources and from digital sequence information on genetic resources, as well as traditional knowledge associated with genetic resources, and facilitating appropriate access to genetic resources, and by 2030, facilitating a significant increase of the benefits shared, in accordance with applicable international access and benefit-sharing instruments.</w:t>
      </w:r>
    </w:p>
    <w:p w14:paraId="417959F7" w14:textId="77777777" w:rsidR="00C9506C" w:rsidRPr="00ED7E61" w:rsidRDefault="00C9506C" w:rsidP="00A626C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46499C65" w14:textId="77777777"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rPr>
      </w:pPr>
      <w:r w:rsidRPr="00ED7E61">
        <w:t>The</w:t>
      </w:r>
      <w:r w:rsidRPr="00ED7E61">
        <w:rPr>
          <w:rFonts w:asciiTheme="majorBidi" w:hAnsiTheme="majorBidi" w:cstheme="majorBidi"/>
        </w:rPr>
        <w:t xml:space="preserve"> sharing of benefits that arise from the utilization of genetic resources and associated traditional knowledge is one of the three objectives of the Convention and a key pillar for the success of its implementation. It builds an equity dimension among countries providing and using biodiversity with the dual objective of providing incentives for conservation and sustainable use of biodiversity and mobilizing new resources redirected towards biodiversity. Access and benefit-sharing is included in several international instruments. Under the Convention, the framework for the implementation of its third objective is provided in Article 15. In addition, </w:t>
      </w:r>
      <w:hyperlink r:id="rId530">
        <w:r w:rsidRPr="00ED7E61">
          <w:rPr>
            <w:rStyle w:val="Hyperlink"/>
            <w:rFonts w:asciiTheme="majorBidi" w:eastAsiaTheme="majorEastAsia" w:hAnsiTheme="majorBidi" w:cstheme="majorBidi"/>
          </w:rPr>
          <w:t>Article 8(j)</w:t>
        </w:r>
      </w:hyperlink>
      <w:r w:rsidRPr="00ED7E61">
        <w:rPr>
          <w:rFonts w:asciiTheme="majorBidi" w:hAnsiTheme="majorBidi" w:cstheme="majorBidi"/>
        </w:rPr>
        <w:t xml:space="preserve"> contains provision to encourage the equitable sharing of the benefits arising from the utilization of knowledge, innovations and practices of indigenous peoples and local communities embodying traditional lifestyles relevant for conservation and sustainable use of biological diversity. The adoption of the Nagoya Protocol on Access and Benefit Sharing (ABS) created greater legal certainty, clarity and transparency for both users and providers of genetic resources and associated traditional knowledge. At COP 15 in December 2022, Parties agreed to develop a solution for the sharing of benefits arising from the use of digital sequence information (DSI) on genetic resources and established a way forward to advance the consideration of this issue under the Convention.</w:t>
      </w:r>
    </w:p>
    <w:p w14:paraId="7035387D" w14:textId="798D5ABF" w:rsidR="00C9506C" w:rsidRPr="00520446" w:rsidRDefault="00C9506C" w:rsidP="00B10F0C">
      <w:pPr>
        <w:pStyle w:val="CBDNormalNumber"/>
        <w:numPr>
          <w:ilvl w:val="0"/>
          <w:numId w:val="86"/>
        </w:numPr>
        <w:shd w:val="clear" w:color="auto" w:fill="FFFFFF"/>
        <w:ind w:left="567" w:firstLine="0"/>
        <w:rPr>
          <w:rFonts w:asciiTheme="majorBidi" w:hAnsiTheme="majorBidi" w:cstheme="majorBidi"/>
        </w:rPr>
      </w:pPr>
      <w:r w:rsidRPr="00ED7E61">
        <w:t>The</w:t>
      </w:r>
      <w:r w:rsidRPr="00ED7E61">
        <w:rPr>
          <w:rFonts w:asciiTheme="majorBidi" w:hAnsiTheme="majorBidi" w:cstheme="majorBidi"/>
        </w:rPr>
        <w:t xml:space="preserve"> implementation of these Articles and of the Nagoya Protocol require active governmental involvement and regulation of genetic resources and their use for the benefit of all members of society. Therefore, one of the main elements of this target is to put in place legal, policy and administrative measures on ABS. As such, this indicator tracks Parties’ progress towards implementing the necessary measures on ABS.</w:t>
      </w:r>
    </w:p>
    <w:p w14:paraId="5321B2BC" w14:textId="53D3F5C0" w:rsidR="00C9506C" w:rsidRPr="00ED7E61" w:rsidRDefault="00C9506C" w:rsidP="00520446">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CE7236">
        <w:rPr>
          <w:rFonts w:asciiTheme="majorBidi" w:hAnsiTheme="majorBidi" w:cstheme="majorBidi"/>
          <w:b/>
          <w:bCs/>
          <w:sz w:val="22"/>
          <w:szCs w:val="22"/>
        </w:rPr>
        <w:t>a</w:t>
      </w:r>
      <w:r w:rsidRPr="00ED7E61">
        <w:rPr>
          <w:rFonts w:asciiTheme="majorBidi" w:hAnsiTheme="majorBidi" w:cstheme="majorBidi"/>
          <w:b/>
          <w:bCs/>
          <w:sz w:val="22"/>
          <w:szCs w:val="22"/>
        </w:rPr>
        <w:t>nd Classifications</w:t>
      </w:r>
    </w:p>
    <w:p w14:paraId="4ED2C318" w14:textId="77777777" w:rsidR="00C9506C" w:rsidRPr="00ED7E61" w:rsidRDefault="00C9506C" w:rsidP="00520446">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59FE55B1" w14:textId="77777777"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rPr>
      </w:pPr>
      <w:r w:rsidRPr="00ED7E61">
        <w:rPr>
          <w:rFonts w:asciiTheme="majorBidi" w:hAnsiTheme="majorBidi" w:cstheme="majorBidi"/>
        </w:rPr>
        <w:t>Benefits arising from the utilization of genetic resources or traditional knowledge associated with genetic resources: Benefits may include monetary and non-monetary benefits, including but not limited to those listed in the Annex of the Nagoya Protocol.</w:t>
      </w:r>
    </w:p>
    <w:p w14:paraId="5BACBBC0" w14:textId="245045BC" w:rsidR="005007EE" w:rsidRPr="00ED7E61" w:rsidRDefault="00C9506C" w:rsidP="00B10F0C">
      <w:pPr>
        <w:pStyle w:val="CBDNormalNumber"/>
        <w:numPr>
          <w:ilvl w:val="0"/>
          <w:numId w:val="86"/>
        </w:numPr>
        <w:shd w:val="clear" w:color="auto" w:fill="FFFFFF"/>
        <w:ind w:left="567" w:firstLine="0"/>
        <w:rPr>
          <w:rFonts w:asciiTheme="majorBidi" w:hAnsiTheme="majorBidi" w:cstheme="majorBidi"/>
        </w:rPr>
      </w:pPr>
      <w:r w:rsidRPr="00ED7E61">
        <w:rPr>
          <w:rFonts w:asciiTheme="majorBidi" w:hAnsiTheme="majorBidi" w:cstheme="majorBidi"/>
        </w:rPr>
        <w:t xml:space="preserve">Access and benefit sharing: One of the three objectives of the Convention on Biological Diversity, as set out in its Article 1, is the fair and equitable sharing of the benefits arising out of the utilization of genetic resources, including by appropriate access to genetic resources and by appropriate transfer of relevant technologies, taking into account all rights over those resources and to technologies, and by appropriate funding. The CBD also has several articles (especially Article 15) regarding international aspects of access to genetic resources. Access and benefit-sharing refers to the way in which genetic resources may be accessed, and how the benefits that result from their use are shared between the people or countries using the resources (users) and the people or countries that provide them (providers). In some cases, this also includes valuable traditional knowledge associated with genetic resources that comes from </w:t>
      </w:r>
      <w:r w:rsidR="00012525">
        <w:rPr>
          <w:rFonts w:asciiTheme="majorBidi" w:hAnsiTheme="majorBidi" w:cstheme="majorBidi"/>
        </w:rPr>
        <w:t>i</w:t>
      </w:r>
      <w:r w:rsidRPr="00ED7E61">
        <w:rPr>
          <w:rFonts w:asciiTheme="majorBidi" w:hAnsiTheme="majorBidi" w:cstheme="majorBidi"/>
        </w:rPr>
        <w:t xml:space="preserve">ndigenous </w:t>
      </w:r>
      <w:r w:rsidR="00012525">
        <w:rPr>
          <w:rFonts w:asciiTheme="majorBidi" w:hAnsiTheme="majorBidi" w:cstheme="majorBidi"/>
        </w:rPr>
        <w:t>p</w:t>
      </w:r>
      <w:r w:rsidRPr="00ED7E61">
        <w:rPr>
          <w:rFonts w:asciiTheme="majorBidi" w:hAnsiTheme="majorBidi" w:cstheme="majorBidi"/>
        </w:rPr>
        <w:t xml:space="preserve">eoples and </w:t>
      </w:r>
      <w:r w:rsidR="00012525">
        <w:rPr>
          <w:rFonts w:asciiTheme="majorBidi" w:hAnsiTheme="majorBidi" w:cstheme="majorBidi"/>
        </w:rPr>
        <w:t>l</w:t>
      </w:r>
      <w:r w:rsidRPr="00ED7E61">
        <w:rPr>
          <w:rFonts w:asciiTheme="majorBidi" w:hAnsiTheme="majorBidi" w:cstheme="majorBidi"/>
        </w:rPr>
        <w:t xml:space="preserve">ocal </w:t>
      </w:r>
      <w:r w:rsidR="00012525">
        <w:rPr>
          <w:rFonts w:asciiTheme="majorBidi" w:hAnsiTheme="majorBidi" w:cstheme="majorBidi"/>
        </w:rPr>
        <w:t>c</w:t>
      </w:r>
      <w:r w:rsidRPr="00ED7E61">
        <w:rPr>
          <w:rFonts w:asciiTheme="majorBidi" w:hAnsiTheme="majorBidi" w:cstheme="majorBidi"/>
        </w:rPr>
        <w:t>ommunities. The benefits to be shared can be monetary, such as sharing royalties when the resources are used to create a commercial product, or non-monetary, such as the development of research skills and knowledge.</w:t>
      </w:r>
    </w:p>
    <w:p w14:paraId="0218A1CA" w14:textId="6231F361" w:rsidR="005007EE" w:rsidRPr="00ED7E61" w:rsidRDefault="00C9506C" w:rsidP="00B10F0C">
      <w:pPr>
        <w:pStyle w:val="CBDNormalNumber"/>
        <w:numPr>
          <w:ilvl w:val="0"/>
          <w:numId w:val="86"/>
        </w:numPr>
        <w:shd w:val="clear" w:color="auto" w:fill="FFFFFF"/>
        <w:ind w:left="567" w:firstLine="0"/>
        <w:rPr>
          <w:rFonts w:asciiTheme="majorBidi" w:hAnsiTheme="majorBidi" w:cstheme="majorBidi"/>
        </w:rPr>
      </w:pPr>
      <w:r w:rsidRPr="00ED7E61">
        <w:rPr>
          <w:rFonts w:asciiTheme="majorBidi" w:hAnsiTheme="majorBidi" w:cstheme="majorBidi"/>
        </w:rPr>
        <w:t xml:space="preserve">Genetic resources: </w:t>
      </w:r>
      <w:r w:rsidRPr="00ED7E61">
        <w:rPr>
          <w:rFonts w:asciiTheme="majorBidi" w:hAnsiTheme="majorBidi" w:cstheme="majorBidi"/>
          <w:lang w:val="en-US"/>
        </w:rPr>
        <w:t>Genetic resources means genetic material of actual or potential value. (CBD, article 2). Note that genetic material means any material of plant, animal, microbial or other origin containing functional units of heredity.</w:t>
      </w:r>
    </w:p>
    <w:p w14:paraId="379CD8BD" w14:textId="4B1D4D37"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rPr>
      </w:pPr>
      <w:r w:rsidRPr="00ED7E61">
        <w:rPr>
          <w:rFonts w:asciiTheme="majorBidi" w:hAnsiTheme="majorBidi" w:cstheme="majorBidi"/>
        </w:rPr>
        <w:t>Traditional knowledge: The concept of Traditional Knowledge (TK) in the Convention for Biological Diversity (CBD) has two characteristics. Firstly, CBD defines TK as one kind of knowledge, innovations and practices which is helpful to conservation and sustainable use of biodiversity. Secondly, CBD limits the TK to link with indigenous peoples and local communities  embodying traditional lifestyles, i.e. these TK were created and preserved by IP</w:t>
      </w:r>
      <w:r w:rsidR="00B929B4" w:rsidRPr="00B929B4">
        <w:rPr>
          <w:rStyle w:val="normaltextrun"/>
          <w:rFonts w:asciiTheme="majorBidi" w:eastAsiaTheme="majorEastAsia" w:hAnsiTheme="majorBidi" w:cstheme="majorBidi"/>
          <w:color w:val="000000"/>
          <w:lang w:val="en-AU"/>
        </w:rPr>
        <w:t xml:space="preserve">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 xml:space="preserve">ommunities </w:t>
      </w:r>
      <w:r w:rsidRPr="00ED7E61">
        <w:rPr>
          <w:rFonts w:asciiTheme="majorBidi" w:hAnsiTheme="majorBidi" w:cstheme="majorBidi"/>
        </w:rPr>
        <w:t>and they are accumulated, developed and inherited generation by generation.</w:t>
      </w:r>
    </w:p>
    <w:p w14:paraId="309152D3"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2A8D320C" w14:textId="54916AE6"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rPr>
      </w:pPr>
      <w:r w:rsidRPr="00ED7E61">
        <w:rPr>
          <w:rFonts w:asciiTheme="majorBidi" w:hAnsiTheme="majorBidi" w:cstheme="majorBidi"/>
        </w:rPr>
        <w:t>This indicator is a binary indicator and must be compiled from the answers to six questions:</w:t>
      </w:r>
    </w:p>
    <w:p w14:paraId="69D03423" w14:textId="2AEE2334" w:rsidR="00C9506C" w:rsidRPr="00ED7E61" w:rsidRDefault="00C9506C" w:rsidP="00B10F0C">
      <w:pPr>
        <w:pStyle w:val="CBDNormalNumber"/>
        <w:numPr>
          <w:ilvl w:val="1"/>
          <w:numId w:val="8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13.1 Does your country have effective legal, administrative and policy measures to ensure the fair and equitable sharing of benefits that arise from the utilization of genetic resources?</w:t>
      </w:r>
    </w:p>
    <w:p w14:paraId="3AD07AD7" w14:textId="4793368C" w:rsidR="00C9506C" w:rsidRPr="00ED7E61" w:rsidRDefault="00C9506C" w:rsidP="00B10F0C">
      <w:pPr>
        <w:pStyle w:val="CBDNormalNumber"/>
        <w:numPr>
          <w:ilvl w:val="1"/>
          <w:numId w:val="8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13.2 Does your country have capacity-building measures to ensure the fair and equitable sharing of benefits that arise from the utilization of genetic resources?</w:t>
      </w:r>
    </w:p>
    <w:p w14:paraId="47739C9F" w14:textId="494C20DD" w:rsidR="00C9506C" w:rsidRPr="00ED7E61" w:rsidRDefault="00C9506C" w:rsidP="00B10F0C">
      <w:pPr>
        <w:pStyle w:val="CBDNormalNumber"/>
        <w:numPr>
          <w:ilvl w:val="1"/>
          <w:numId w:val="8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13.3 Do the measures mentioned in question[s] 13.1 [and 13.2] include the utilization of traditional knowledge associated with genetic resources?</w:t>
      </w:r>
    </w:p>
    <w:p w14:paraId="42E225ED" w14:textId="3C6354BA" w:rsidR="00C9506C" w:rsidRPr="00ED7E61" w:rsidRDefault="00C9506C" w:rsidP="00B10F0C">
      <w:pPr>
        <w:pStyle w:val="CBDNormalNumber"/>
        <w:numPr>
          <w:ilvl w:val="1"/>
          <w:numId w:val="8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13.4a</w:t>
      </w:r>
      <w:r w:rsidRPr="00ED7E61">
        <w:rPr>
          <w:rStyle w:val="normaltextrun"/>
          <w:rFonts w:eastAsiaTheme="majorEastAsia"/>
        </w:rPr>
        <w:tab/>
        <w:t>Does your country monitor [the fair and equitable benefit-sharing arising] [the] [benefits received] from the utilization of genetic resources and/or traditional knowledge associated with genetic resources [that were accessed from your country]?</w:t>
      </w:r>
    </w:p>
    <w:p w14:paraId="3C4B6C0D" w14:textId="6C334DF1" w:rsidR="00C9506C" w:rsidRPr="00ED7E61" w:rsidRDefault="00C9506C" w:rsidP="00B10F0C">
      <w:pPr>
        <w:pStyle w:val="CBDNormalNumber"/>
        <w:numPr>
          <w:ilvl w:val="1"/>
          <w:numId w:val="8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13.4b Does your country monitor non-monetary [the fair and equitable benefit-sharing arising] [the benefits received] from the utilization of genetic resources and/or traditional knowledge associated with genetic resources [that were accessed from your country]?</w:t>
      </w:r>
    </w:p>
    <w:p w14:paraId="347D0677" w14:textId="77777777" w:rsidR="00C9506C" w:rsidRPr="00ED7E61" w:rsidRDefault="00C9506C" w:rsidP="00B10F0C">
      <w:pPr>
        <w:pStyle w:val="CBDNormalNumber"/>
        <w:numPr>
          <w:ilvl w:val="1"/>
          <w:numId w:val="8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[13.5</w:t>
      </w:r>
      <w:r w:rsidRPr="00ED7E61">
        <w:rPr>
          <w:rStyle w:val="normaltextrun"/>
          <w:rFonts w:eastAsiaTheme="majorEastAsia"/>
        </w:rPr>
        <w:tab/>
        <w:t>Has your country established measures to ensure compliance with domestic access and benefit-sharing legislation of the country of origin of the genetic resources?]</w:t>
      </w:r>
    </w:p>
    <w:p w14:paraId="7F0F00FF" w14:textId="29928F67"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lang w:val="en-US"/>
        </w:rPr>
      </w:pPr>
      <w:r w:rsidRPr="00ED7E61">
        <w:rPr>
          <w:rFonts w:asciiTheme="majorBidi" w:hAnsiTheme="majorBidi" w:cstheme="majorBidi"/>
        </w:rPr>
        <w:t>There</w:t>
      </w:r>
      <w:r w:rsidRPr="00ED7E61">
        <w:rPr>
          <w:rFonts w:asciiTheme="majorBidi" w:hAnsiTheme="majorBidi" w:cstheme="majorBidi"/>
          <w:color w:val="000000"/>
          <w:lang w:val="en-US"/>
        </w:rPr>
        <w:t xml:space="preserve"> are five possible answers to questions 13.1, 13.2, 13.4a, 13.4b and 13.5:</w:t>
      </w:r>
    </w:p>
    <w:p w14:paraId="6942ADED" w14:textId="654F6276"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No</w:t>
      </w:r>
    </w:p>
    <w:p w14:paraId="1F8BB9DB" w14:textId="2220FDC4"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Under development</w:t>
      </w:r>
    </w:p>
    <w:p w14:paraId="2AA45462" w14:textId="460CD943" w:rsidR="005E5103"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Partially</w:t>
      </w:r>
    </w:p>
    <w:p w14:paraId="099DAA37" w14:textId="1FFF0CDB" w:rsidR="005E5103"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Fully</w:t>
      </w:r>
    </w:p>
    <w:p w14:paraId="339F9B70"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Fonts w:asciiTheme="majorBidi" w:hAnsiTheme="majorBidi" w:cstheme="majorBidi"/>
          <w:color w:val="000000"/>
          <w:lang w:val="en-US"/>
        </w:rPr>
      </w:pPr>
      <w:r w:rsidRPr="00ED7E61">
        <w:rPr>
          <w:rFonts w:asciiTheme="majorBidi" w:hAnsiTheme="majorBidi" w:cstheme="majorBidi"/>
          <w:color w:val="000000" w:themeColor="text1"/>
          <w:lang w:val="en-US"/>
        </w:rPr>
        <w:t>Not applicable</w:t>
      </w:r>
    </w:p>
    <w:p w14:paraId="5A706F27" w14:textId="77777777"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No</w:t>
      </w:r>
      <w:r w:rsidRPr="00ED7E61">
        <w:rPr>
          <w:rFonts w:asciiTheme="majorBidi" w:hAnsiTheme="majorBidi" w:cstheme="majorBidi"/>
          <w:color w:val="000000"/>
          <w:lang w:val="en-US"/>
        </w:rPr>
        <w:t>” answer implies that:</w:t>
      </w:r>
    </w:p>
    <w:p w14:paraId="26651B86" w14:textId="4CB8BD70"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no legal, administrative and policy measures to ensure the fair and equitable sharing of benefits that arise from the utilization of genetic resources are in place or operational (13.1). Therefore, no legal, administrative and policy measures exist in the country for ABS.</w:t>
      </w:r>
    </w:p>
    <w:p w14:paraId="0FDDB880" w14:textId="3E280402"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no capacity-building measures to ensure the fair and equitable sharing of benefits that arise from the utilization of genetic resources are in place or operational (13.2). Therefore, no </w:t>
      </w:r>
      <w:r w:rsidR="00012525" w:rsidRPr="00ED7E61">
        <w:rPr>
          <w:rStyle w:val="normaltextrun"/>
          <w:rFonts w:eastAsiaTheme="majorEastAsia"/>
        </w:rPr>
        <w:t>capacity</w:t>
      </w:r>
      <w:r w:rsidRPr="00ED7E61">
        <w:rPr>
          <w:rStyle w:val="normaltextrun"/>
          <w:rFonts w:eastAsiaTheme="majorEastAsia"/>
        </w:rPr>
        <w:t>-building measures exist in the country for ABS.</w:t>
      </w:r>
    </w:p>
    <w:p w14:paraId="47FBD1A7"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there is no ongoing monitoring of monetary benefits from the utilization of genetic resources nor traditional knowledge associated with genetic resources (13.4a).</w:t>
      </w:r>
    </w:p>
    <w:p w14:paraId="22A6D4A1"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there is no ongoing monitoring of non-monetary benefits from the utilization of genetic resources nor traditional knowledge associated with genetic resources (13.4b).</w:t>
      </w:r>
    </w:p>
    <w:p w14:paraId="7AA42D8E" w14:textId="7FFF9F90" w:rsidR="00C9506C" w:rsidRPr="003B3C92" w:rsidRDefault="00C9506C" w:rsidP="00B10F0C">
      <w:pPr>
        <w:pStyle w:val="CBDNormalNumber"/>
        <w:numPr>
          <w:ilvl w:val="1"/>
          <w:numId w:val="86"/>
        </w:numPr>
        <w:tabs>
          <w:tab w:val="clear" w:pos="567"/>
          <w:tab w:val="clear" w:pos="1134"/>
          <w:tab w:val="clear" w:pos="1701"/>
          <w:tab w:val="clear" w:pos="2268"/>
          <w:tab w:val="left" w:pos="1985"/>
        </w:tabs>
        <w:ind w:left="1276" w:firstLine="56"/>
        <w:rPr>
          <w:rFonts w:eastAsiaTheme="majorEastAsia"/>
        </w:rPr>
      </w:pPr>
      <w:r w:rsidRPr="00ED7E61">
        <w:rPr>
          <w:rStyle w:val="normaltextrun"/>
          <w:rFonts w:eastAsiaTheme="majorEastAsia"/>
        </w:rPr>
        <w:t>no measures have been established to ensure compliance with domestic access and benefit-sharing of the country of origin of the genetic resources (13.5).</w:t>
      </w:r>
    </w:p>
    <w:p w14:paraId="07749268" w14:textId="6648423C"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lang w:val="en-US"/>
        </w:rPr>
      </w:pPr>
      <w:r w:rsidRPr="00ED7E61">
        <w:rPr>
          <w:rFonts w:asciiTheme="majorBidi" w:hAnsiTheme="majorBidi" w:cstheme="majorBidi"/>
          <w:color w:val="000000"/>
          <w:lang w:val="en-US"/>
        </w:rPr>
        <w:t>An “</w:t>
      </w:r>
      <w:r w:rsidRPr="00FB1598">
        <w:rPr>
          <w:rFonts w:asciiTheme="majorBidi" w:hAnsiTheme="majorBidi" w:cstheme="majorBidi"/>
          <w:i/>
          <w:iCs/>
          <w:color w:val="000000"/>
          <w:lang w:val="en-US"/>
        </w:rPr>
        <w:t>Under development</w:t>
      </w:r>
      <w:r w:rsidRPr="00ED7E61">
        <w:rPr>
          <w:rFonts w:asciiTheme="majorBidi" w:hAnsiTheme="majorBidi" w:cstheme="majorBidi"/>
          <w:color w:val="000000"/>
          <w:lang w:val="en-US"/>
        </w:rPr>
        <w:t>” answer implies a concerted effort at the national level to:</w:t>
      </w:r>
    </w:p>
    <w:p w14:paraId="1E214FF6" w14:textId="0A575088"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implement legal, administrative and policy measures to ensure the fair and equitable sharing of benefits that arise from the utilization of genetic resources (13.1). </w:t>
      </w:r>
    </w:p>
    <w:p w14:paraId="7F056256"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implement capacity-building measures to ensure the fair and equitable sharing of benefits that arise from the utilization of genetic resources (13.2).</w:t>
      </w:r>
    </w:p>
    <w:p w14:paraId="4C4F344B" w14:textId="77777777" w:rsidR="00012525" w:rsidRPr="00ED7E61" w:rsidRDefault="00012525"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monitor monetary benefits from the utilization of genetic resources or traditional knowledge associated with genetic resources (13.4a). </w:t>
      </w:r>
    </w:p>
    <w:p w14:paraId="159605CE" w14:textId="77777777" w:rsidR="00012525" w:rsidRPr="00ED7E61" w:rsidRDefault="00012525"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monitor non-monetary benefits from the utilization of genetic resources or traditional knowledge associated with genetic resources (13.4b).</w:t>
      </w:r>
    </w:p>
    <w:p w14:paraId="0C9A7282"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implement measures to ensure compliance with domestic access and benefit-sharing of the country of origin of the genetic resources (13.5).</w:t>
      </w:r>
    </w:p>
    <w:p w14:paraId="1C27A30B"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Such measures may be at various stages of development: proposal or accepted, but they are not operational. If there is progress towards implementing measures but these are not resourced and ongoing then select this answer.</w:t>
      </w:r>
    </w:p>
    <w:p w14:paraId="65BF1318" w14:textId="77777777"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themeColor="text1"/>
          <w:lang w:val="en-US"/>
        </w:rPr>
      </w:pPr>
      <w:r w:rsidRPr="00ED7E61">
        <w:rPr>
          <w:rFonts w:asciiTheme="majorBidi" w:hAnsiTheme="majorBidi" w:cstheme="majorBidi"/>
          <w:color w:val="000000"/>
          <w:lang w:val="en-US"/>
        </w:rPr>
        <w:t>Such</w:t>
      </w:r>
      <w:r w:rsidRPr="00ED7E61">
        <w:rPr>
          <w:rFonts w:asciiTheme="majorBidi" w:hAnsiTheme="majorBidi" w:cstheme="majorBidi"/>
          <w:color w:val="000000" w:themeColor="text1"/>
          <w:lang w:val="en-US"/>
        </w:rPr>
        <w:t xml:space="preserve"> monitoring may be at various stages of development: proposal or accepted, but it is not operational. If there is progress towards monitoring but it is not resourced and ongoing then select this answer.</w:t>
      </w:r>
    </w:p>
    <w:p w14:paraId="07A094BD" w14:textId="3B20ED4A"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Partially</w:t>
      </w:r>
      <w:r w:rsidRPr="00ED7E61">
        <w:rPr>
          <w:rFonts w:asciiTheme="majorBidi" w:hAnsiTheme="majorBidi" w:cstheme="majorBidi"/>
          <w:color w:val="000000"/>
          <w:lang w:val="en-US"/>
        </w:rPr>
        <w:t>” answer implies that:</w:t>
      </w:r>
    </w:p>
    <w:p w14:paraId="3676C724" w14:textId="0D56C684"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some legal, administrative and policy measures to ensure the fair and equitable sharing of benefits that arise from the utilization of some genetic resources are in place and operational (13.1). If the measures put in place cover only some genetic resources but not all, then only partial achievement has been reached. Additionally, if only a legal, policy or administrative framework is in place, even if it covers all genetic resources, then select this answer.</w:t>
      </w:r>
    </w:p>
    <w:p w14:paraId="05C27790"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capacity-building measures to ensure the fair and equitable sharing of benefits that arise from the utilization of some genetic resources are in place and operational (13.2). That is, these measures do not apply to all benefits or genetic resources.</w:t>
      </w:r>
    </w:p>
    <w:p w14:paraId="10718DBB"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monitoring of some monetary benefits from the utilization of genetic resources and/or traditional knowledge associated with some genetic resources (13.4a) is ongoing. That is, data is being collected on part of the monetary benefits and/or only some genetic resources.</w:t>
      </w:r>
    </w:p>
    <w:p w14:paraId="6F56FE2C"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monitoring of some non-monetary benefits from the utilization of genetic resources and/or traditional knowledge associated with some genetic resources (13.4b) is ongoing. That is, data is being collected on part of the non-monetary benefits and/or only some genetic resources.</w:t>
      </w:r>
    </w:p>
    <w:p w14:paraId="7C965739" w14:textId="4B3764D9"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measures to ensure compliance with domestic access and benefit-sharing of the country of origin for some genetic resources are in place and operational (13.5). That is, these measures do not apply to all genetic resources.</w:t>
      </w:r>
    </w:p>
    <w:p w14:paraId="0F8A1E7E" w14:textId="1A4799FE"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Fully</w:t>
      </w:r>
      <w:r w:rsidRPr="00ED7E61">
        <w:rPr>
          <w:rFonts w:asciiTheme="majorBidi" w:hAnsiTheme="majorBidi" w:cstheme="majorBidi"/>
          <w:color w:val="000000"/>
          <w:lang w:val="en-US"/>
        </w:rPr>
        <w:t>” answer implies that all the conditions outlined in “</w:t>
      </w:r>
      <w:r w:rsidRPr="00FB1598">
        <w:rPr>
          <w:rFonts w:asciiTheme="majorBidi" w:hAnsiTheme="majorBidi" w:cstheme="majorBidi"/>
          <w:i/>
          <w:iCs/>
          <w:color w:val="000000"/>
          <w:lang w:val="en-US"/>
        </w:rPr>
        <w:t>Partially</w:t>
      </w:r>
      <w:r w:rsidRPr="00ED7E61">
        <w:rPr>
          <w:rFonts w:asciiTheme="majorBidi" w:hAnsiTheme="majorBidi" w:cstheme="majorBidi"/>
          <w:color w:val="000000"/>
          <w:lang w:val="en-US"/>
        </w:rPr>
        <w:t>” have been met. Namely that:</w:t>
      </w:r>
    </w:p>
    <w:p w14:paraId="40C06E36" w14:textId="2A93311B"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legal, administrative and policy measures to ensure the fair and equitable sharing of benefits that arise from the utilization of genetic resources are in place and operational (13.1) and that these cover all genetic resources.</w:t>
      </w:r>
    </w:p>
    <w:p w14:paraId="3150EE6D"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capacity-building measures to ensure the fair and equitable sharing of benefits that arise from the utilization of genetic resources are in place and operational (13.2) and that these cover all genetic resources.</w:t>
      </w:r>
    </w:p>
    <w:p w14:paraId="08D79927"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monitoring of monetary benefits from the utilization of genetic resources and/or traditional knowledge associated with some genetic resources (13.4a) is ongoing. That is, data is being collected on the monetary benefits of all genetic resources.</w:t>
      </w:r>
    </w:p>
    <w:p w14:paraId="521B2091"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monitoring of some non-monetary benefits from the utilization of genetic resources and/or traditional knowledge associated with genetic resources (13.4b) is ongoing. That is, data is being collected on the non-monetary benefits of all genetic resources.</w:t>
      </w:r>
    </w:p>
    <w:p w14:paraId="7A0F9588" w14:textId="2A0213BA"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measures to ensure compliance with domestic access and benefit-sharing of the country of origin for genetic resources are in place and operational (13.5). That is, these measures apply to all genetic resources and respective countries of origin.</w:t>
      </w:r>
    </w:p>
    <w:p w14:paraId="6B1B811C" w14:textId="77777777" w:rsidR="00C9506C" w:rsidRPr="00ED7E61" w:rsidRDefault="00C9506C" w:rsidP="00B10F0C">
      <w:pPr>
        <w:pStyle w:val="CBDNormalNumber"/>
        <w:numPr>
          <w:ilvl w:val="0"/>
          <w:numId w:val="86"/>
        </w:numPr>
        <w:shd w:val="clear" w:color="auto" w:fill="FFFFFF"/>
        <w:ind w:left="567" w:firstLine="0"/>
        <w:rPr>
          <w:rFonts w:asciiTheme="majorBidi" w:hAnsiTheme="majorBidi" w:cstheme="majorBidi"/>
          <w:color w:val="000000" w:themeColor="text1"/>
          <w:lang w:val="en-US"/>
        </w:rPr>
      </w:pPr>
      <w:r w:rsidRPr="00ED7E61">
        <w:rPr>
          <w:rFonts w:asciiTheme="majorBidi" w:hAnsiTheme="majorBidi" w:cstheme="majorBidi"/>
          <w:color w:val="000000" w:themeColor="text1"/>
          <w:lang w:val="en-US"/>
        </w:rPr>
        <w:t>A “</w:t>
      </w:r>
      <w:r w:rsidRPr="00FB1598">
        <w:rPr>
          <w:rFonts w:asciiTheme="majorBidi" w:hAnsiTheme="majorBidi" w:cstheme="majorBidi"/>
          <w:i/>
          <w:iCs/>
          <w:color w:val="000000" w:themeColor="text1"/>
          <w:lang w:val="en-US"/>
        </w:rPr>
        <w:t>Not applicable</w:t>
      </w:r>
      <w:r w:rsidRPr="00ED7E61">
        <w:rPr>
          <w:rFonts w:asciiTheme="majorBidi" w:hAnsiTheme="majorBidi" w:cstheme="majorBidi"/>
          <w:color w:val="000000" w:themeColor="text1"/>
          <w:lang w:val="en-US"/>
        </w:rPr>
        <w:t>” answer can be selected by parties who have chosen not to regulate access to genetic resources under Article 6 of the Nagoya Protocol.</w:t>
      </w:r>
    </w:p>
    <w:p w14:paraId="1FE9F23F" w14:textId="6FD832E6" w:rsidR="00C9506C" w:rsidRPr="00ED7E61" w:rsidRDefault="00C9506C" w:rsidP="00B10F0C">
      <w:pPr>
        <w:pStyle w:val="CBDNormalNumber"/>
        <w:numPr>
          <w:ilvl w:val="0"/>
          <w:numId w:val="86"/>
        </w:numPr>
        <w:shd w:val="clear" w:color="auto" w:fill="FFFFFF"/>
        <w:ind w:left="567" w:firstLine="0"/>
        <w:rPr>
          <w:rFonts w:asciiTheme="majorBidi" w:eastAsia="Garamond" w:hAnsiTheme="majorBidi" w:cstheme="majorBidi"/>
          <w:color w:val="000000" w:themeColor="text1"/>
          <w:lang w:val="en-US"/>
        </w:rPr>
      </w:pPr>
      <w:r w:rsidRPr="00ED7E61">
        <w:rPr>
          <w:rFonts w:asciiTheme="majorBidi" w:hAnsiTheme="majorBidi" w:cstheme="majorBidi"/>
          <w:color w:val="000000" w:themeColor="text1"/>
          <w:lang w:val="en-US"/>
        </w:rPr>
        <w:t>There</w:t>
      </w:r>
      <w:r w:rsidRPr="00ED7E61">
        <w:rPr>
          <w:rFonts w:asciiTheme="majorBidi" w:eastAsia="Garamond" w:hAnsiTheme="majorBidi" w:cstheme="majorBidi"/>
          <w:color w:val="000000" w:themeColor="text1"/>
          <w:lang w:val="en-US"/>
        </w:rPr>
        <w:t xml:space="preserve"> are three possible answers to question 13.2</w:t>
      </w:r>
      <w:r w:rsidR="00753FA0" w:rsidRPr="00ED7E61">
        <w:rPr>
          <w:rStyle w:val="FootnoteReference"/>
          <w:rFonts w:asciiTheme="majorBidi" w:eastAsia="Garamond" w:hAnsiTheme="majorBidi" w:cstheme="majorBidi"/>
          <w:color w:val="000000" w:themeColor="text1"/>
          <w:lang w:val="en-US"/>
        </w:rPr>
        <w:footnoteReference w:id="59"/>
      </w:r>
      <w:r w:rsidRPr="00ED7E61">
        <w:rPr>
          <w:rFonts w:asciiTheme="majorBidi" w:eastAsia="Garamond" w:hAnsiTheme="majorBidi" w:cstheme="majorBidi"/>
          <w:color w:val="000000" w:themeColor="text1"/>
          <w:lang w:val="en-US"/>
        </w:rPr>
        <w:t>:</w:t>
      </w:r>
    </w:p>
    <w:p w14:paraId="6CFF28F6"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No</w:t>
      </w:r>
    </w:p>
    <w:p w14:paraId="13D3498D"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Yes</w:t>
      </w:r>
    </w:p>
    <w:p w14:paraId="2BB95428" w14:textId="77777777" w:rsidR="00C9506C" w:rsidRPr="00ED7E61" w:rsidRDefault="00C9506C" w:rsidP="00B10F0C">
      <w:pPr>
        <w:pStyle w:val="CBDNormalNumber"/>
        <w:numPr>
          <w:ilvl w:val="1"/>
          <w:numId w:val="86"/>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Not applicable</w:t>
      </w:r>
    </w:p>
    <w:p w14:paraId="435CCAD1" w14:textId="685E38AF" w:rsidR="00753FA0" w:rsidRPr="00ED7E61" w:rsidRDefault="00C9506C" w:rsidP="00B10F0C">
      <w:pPr>
        <w:pStyle w:val="CBDNormalNumber"/>
        <w:numPr>
          <w:ilvl w:val="0"/>
          <w:numId w:val="86"/>
        </w:numPr>
        <w:shd w:val="clear" w:color="auto" w:fill="FFFFFF"/>
        <w:ind w:left="567" w:firstLine="0"/>
        <w:rPr>
          <w:rFonts w:asciiTheme="majorBidi" w:hAnsiTheme="majorBidi" w:cstheme="majorBidi"/>
        </w:rPr>
      </w:pPr>
      <w:r w:rsidRPr="00ED7E61">
        <w:rPr>
          <w:rFonts w:asciiTheme="majorBidi" w:eastAsia="Garamond" w:hAnsiTheme="majorBidi" w:cstheme="majorBidi"/>
          <w:color w:val="000000" w:themeColor="text1"/>
          <w:lang w:val="en-US"/>
        </w:rPr>
        <w:t>A “</w:t>
      </w:r>
      <w:r w:rsidRPr="00FB1598">
        <w:rPr>
          <w:rFonts w:asciiTheme="majorBidi" w:eastAsia="Garamond" w:hAnsiTheme="majorBidi" w:cstheme="majorBidi"/>
          <w:i/>
          <w:iCs/>
          <w:color w:val="000000" w:themeColor="text1"/>
          <w:lang w:val="en-US"/>
        </w:rPr>
        <w:t>No</w:t>
      </w:r>
      <w:r w:rsidRPr="00ED7E61">
        <w:rPr>
          <w:rFonts w:asciiTheme="majorBidi" w:eastAsia="Garamond" w:hAnsiTheme="majorBidi" w:cstheme="majorBidi"/>
          <w:color w:val="000000" w:themeColor="text1"/>
          <w:lang w:val="en-US"/>
        </w:rPr>
        <w:t xml:space="preserve">” answer implies that </w:t>
      </w:r>
      <w:r w:rsidRPr="00ED7E61">
        <w:rPr>
          <w:rFonts w:asciiTheme="majorBidi" w:hAnsiTheme="majorBidi" w:cstheme="majorBidi"/>
        </w:rPr>
        <w:t>the framework or measures mentioned in question[s] 13.1 [and 13.2] do not include the utilization of the traditional knowledge associated with genetic resources.</w:t>
      </w:r>
    </w:p>
    <w:p w14:paraId="6F6F3E22" w14:textId="0387DF3D" w:rsidR="00753FA0" w:rsidRPr="00ED7E61" w:rsidRDefault="00C9506C" w:rsidP="00B10F0C">
      <w:pPr>
        <w:pStyle w:val="CBDNormalNumber"/>
        <w:numPr>
          <w:ilvl w:val="0"/>
          <w:numId w:val="86"/>
        </w:numPr>
        <w:shd w:val="clear" w:color="auto" w:fill="FFFFFF"/>
        <w:ind w:left="567" w:firstLine="0"/>
        <w:rPr>
          <w:rFonts w:asciiTheme="majorBidi" w:hAnsiTheme="majorBidi" w:cstheme="majorBidi"/>
        </w:rPr>
      </w:pPr>
      <w:r w:rsidRPr="00ED7E61">
        <w:rPr>
          <w:rFonts w:asciiTheme="majorBidi" w:eastAsia="Garamond" w:hAnsiTheme="majorBidi" w:cstheme="majorBidi"/>
          <w:color w:val="000000" w:themeColor="text1"/>
          <w:lang w:val="en-US"/>
        </w:rPr>
        <w:t>A “</w:t>
      </w:r>
      <w:r w:rsidRPr="00FB1598">
        <w:rPr>
          <w:rFonts w:asciiTheme="majorBidi" w:eastAsia="Garamond" w:hAnsiTheme="majorBidi" w:cstheme="majorBidi"/>
          <w:i/>
          <w:iCs/>
          <w:color w:val="000000" w:themeColor="text1"/>
          <w:lang w:val="en-US"/>
        </w:rPr>
        <w:t>Yes</w:t>
      </w:r>
      <w:r w:rsidRPr="00ED7E61">
        <w:rPr>
          <w:rFonts w:asciiTheme="majorBidi" w:eastAsia="Garamond" w:hAnsiTheme="majorBidi" w:cstheme="majorBidi"/>
          <w:color w:val="000000" w:themeColor="text1"/>
          <w:lang w:val="en-US"/>
        </w:rPr>
        <w:t xml:space="preserve">” answer implies that </w:t>
      </w:r>
      <w:r w:rsidRPr="00ED7E61">
        <w:rPr>
          <w:rFonts w:asciiTheme="majorBidi" w:hAnsiTheme="majorBidi" w:cstheme="majorBidi"/>
        </w:rPr>
        <w:t>the framework or measures mentioned in question[s] 13.1 [and 13.2] do include the utilization of the traditional knowledge associated with genetic resources.</w:t>
      </w:r>
    </w:p>
    <w:p w14:paraId="6FE9E786" w14:textId="7CF3762F" w:rsidR="00C9506C" w:rsidRPr="00ED7E61" w:rsidRDefault="00C9506C" w:rsidP="00B10F0C">
      <w:pPr>
        <w:pStyle w:val="CBDNormalNumber"/>
        <w:numPr>
          <w:ilvl w:val="0"/>
          <w:numId w:val="86"/>
        </w:numPr>
        <w:shd w:val="clear" w:color="auto" w:fill="FFFFFF"/>
        <w:ind w:left="567" w:firstLine="0"/>
        <w:rPr>
          <w:color w:val="000000" w:themeColor="text1"/>
          <w:lang w:val="en-US"/>
        </w:rPr>
      </w:pPr>
      <w:r w:rsidRPr="00ED7E61">
        <w:rPr>
          <w:rFonts w:asciiTheme="majorBidi" w:hAnsiTheme="majorBidi" w:cstheme="majorBidi"/>
        </w:rPr>
        <w:t>A “</w:t>
      </w:r>
      <w:r w:rsidRPr="00FB1598">
        <w:rPr>
          <w:rFonts w:asciiTheme="majorBidi" w:hAnsiTheme="majorBidi" w:cstheme="majorBidi"/>
          <w:i/>
          <w:iCs/>
        </w:rPr>
        <w:t>Not applicable</w:t>
      </w:r>
      <w:r w:rsidRPr="00ED7E61">
        <w:rPr>
          <w:rFonts w:asciiTheme="majorBidi" w:hAnsiTheme="majorBidi" w:cstheme="majorBidi"/>
        </w:rPr>
        <w:t>” answer is to be selected by Parties who have chosen not to regulate traditional knowledge associated with genetic resources</w:t>
      </w:r>
      <w:r w:rsidRPr="00ED7E61">
        <w:rPr>
          <w:rFonts w:asciiTheme="majorBidi" w:hAnsiTheme="majorBidi" w:cstheme="majorBidi"/>
          <w:color w:val="000000" w:themeColor="text1"/>
          <w:lang w:val="en-US"/>
        </w:rPr>
        <w:t xml:space="preserve"> under Article 6 of the Nagoya Protocol</w:t>
      </w:r>
      <w:r w:rsidRPr="00ED7E61">
        <w:rPr>
          <w:rFonts w:asciiTheme="majorBidi" w:hAnsiTheme="majorBidi" w:cstheme="majorBidi"/>
        </w:rPr>
        <w:t>.</w:t>
      </w:r>
    </w:p>
    <w:p w14:paraId="7B63E953" w14:textId="77777777"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Bidi" w:hAnsiTheme="majorBidi" w:cstheme="majorBidi"/>
          <w:sz w:val="22"/>
          <w:szCs w:val="22"/>
        </w:rPr>
      </w:pPr>
    </w:p>
    <w:p w14:paraId="42FB19DA" w14:textId="2309F305"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5DD03B43" w14:textId="77777777" w:rsidR="00C9506C" w:rsidRPr="00ED7E61" w:rsidRDefault="00C9506C" w:rsidP="00C9506C">
      <w:pPr>
        <w:pStyle w:val="Heading3"/>
      </w:pPr>
      <w:bookmarkStart w:id="62" w:name="_Toc178285873"/>
      <w:r w:rsidRPr="00ED7E61">
        <w:rPr>
          <w:rStyle w:val="normaltextrun"/>
        </w:rPr>
        <w:t xml:space="preserve">GBF indicator metadata: </w:t>
      </w:r>
      <w:r w:rsidRPr="00ED7E61">
        <w:rPr>
          <w:rStyle w:val="eop"/>
        </w:rPr>
        <w:t>14.b Target 14 binary indicator</w:t>
      </w:r>
      <w:bookmarkEnd w:id="62"/>
      <w:r w:rsidRPr="00ED7E61">
        <w:rPr>
          <w:rStyle w:val="eop"/>
        </w:rPr>
        <w:t xml:space="preserve"> </w:t>
      </w:r>
    </w:p>
    <w:p w14:paraId="187E5F65" w14:textId="77777777" w:rsidR="00C9506C" w:rsidRPr="00ED7E61" w:rsidRDefault="00C9506C" w:rsidP="00C9506C">
      <w:pPr>
        <w:jc w:val="both"/>
        <w:rPr>
          <w:rFonts w:asciiTheme="majorBidi" w:hAnsiTheme="majorBidi" w:cstheme="majorBidi"/>
          <w:b/>
          <w:bCs/>
          <w:sz w:val="22"/>
          <w:szCs w:val="22"/>
        </w:rPr>
      </w:pPr>
    </w:p>
    <w:p w14:paraId="431E684E"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7816DA66" w14:textId="1E31F788"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color w:val="000000" w:themeColor="text1"/>
          <w:kern w:val="22"/>
          <w:sz w:val="22"/>
          <w:szCs w:val="22"/>
        </w:rPr>
        <w:t>Number of countries integrating biodiversity and its multiple values into policies, regulations, planning, development processes, poverty eradication strategies and, as appropriate, national accounts, within and across all levels and across all sectors, and progressively aligning</w:t>
      </w:r>
      <w:r w:rsidRPr="00ED7E61">
        <w:rPr>
          <w:sz w:val="22"/>
          <w:szCs w:val="22"/>
        </w:rPr>
        <w:t xml:space="preserve"> </w:t>
      </w:r>
      <w:r w:rsidRPr="00ED7E61">
        <w:rPr>
          <w:rFonts w:asciiTheme="majorBidi" w:hAnsiTheme="majorBidi" w:cstheme="majorBidi"/>
          <w:color w:val="000000" w:themeColor="text1"/>
          <w:kern w:val="22"/>
          <w:sz w:val="22"/>
          <w:szCs w:val="22"/>
        </w:rPr>
        <w:t>all relevant public and private activities</w:t>
      </w:r>
      <w:r w:rsidRPr="00ED7E61" w:rsidDel="00D40E24">
        <w:rPr>
          <w:rFonts w:asciiTheme="majorBidi" w:hAnsiTheme="majorBidi" w:cstheme="majorBidi"/>
          <w:color w:val="000000" w:themeColor="text1"/>
          <w:kern w:val="22"/>
          <w:sz w:val="22"/>
          <w:szCs w:val="22"/>
        </w:rPr>
        <w:t xml:space="preserve"> </w:t>
      </w:r>
      <w:r w:rsidRPr="00ED7E61">
        <w:rPr>
          <w:rFonts w:asciiTheme="majorBidi" w:hAnsiTheme="majorBidi" w:cstheme="majorBidi"/>
          <w:color w:val="000000" w:themeColor="text1"/>
          <w:kern w:val="22"/>
          <w:sz w:val="22"/>
          <w:szCs w:val="22"/>
        </w:rPr>
        <w:t>and fiscal and financial flows</w:t>
      </w:r>
      <w:r w:rsidRPr="00ED7E61">
        <w:rPr>
          <w:sz w:val="22"/>
          <w:szCs w:val="22"/>
        </w:rPr>
        <w:t xml:space="preserve"> </w:t>
      </w:r>
      <w:r w:rsidRPr="00ED7E61">
        <w:rPr>
          <w:rFonts w:asciiTheme="majorBidi" w:hAnsiTheme="majorBidi" w:cstheme="majorBidi"/>
          <w:color w:val="000000" w:themeColor="text1"/>
          <w:kern w:val="22"/>
          <w:sz w:val="22"/>
          <w:szCs w:val="22"/>
        </w:rPr>
        <w:t>with the goals and targets of the Framework.</w:t>
      </w:r>
    </w:p>
    <w:p w14:paraId="7292AD46" w14:textId="71E35E48" w:rsidR="00C9506C" w:rsidRPr="00ED7E61" w:rsidRDefault="00C9506C" w:rsidP="003B3C92">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000E55AA" w14:textId="77777777" w:rsidR="00C9506C" w:rsidRPr="00ED7E61" w:rsidRDefault="00C9506C" w:rsidP="003B3C92">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2A5C8B3C" w14:textId="00ABB586"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color w:val="242424"/>
          <w:sz w:val="22"/>
          <w:szCs w:val="22"/>
        </w:rPr>
        <w:t>N/A</w:t>
      </w:r>
    </w:p>
    <w:p w14:paraId="3B564B8C" w14:textId="77777777" w:rsidR="00C9506C" w:rsidRPr="00ED7E61" w:rsidRDefault="00C9506C" w:rsidP="003B3C92">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Target</w:t>
      </w:r>
    </w:p>
    <w:p w14:paraId="3C7CB209" w14:textId="4FFDD316" w:rsidR="00C9506C" w:rsidRPr="003B3C92" w:rsidRDefault="00C9506C" w:rsidP="003B3C92">
      <w:pPr>
        <w:autoSpaceDE w:val="0"/>
        <w:autoSpaceDN w:val="0"/>
        <w:adjustRightInd w:val="0"/>
        <w:jc w:val="both"/>
        <w:rPr>
          <w:rFonts w:asciiTheme="majorBidi" w:hAnsiTheme="majorBidi" w:cstheme="majorBidi"/>
          <w:color w:val="000000"/>
          <w:sz w:val="22"/>
          <w:szCs w:val="22"/>
          <w:lang w:val="en-US"/>
        </w:rPr>
      </w:pPr>
      <w:r w:rsidRPr="00ED7E61">
        <w:rPr>
          <w:rFonts w:asciiTheme="majorBidi" w:hAnsiTheme="majorBidi" w:cstheme="majorBidi"/>
          <w:sz w:val="22"/>
          <w:szCs w:val="22"/>
        </w:rPr>
        <w:t>Binary indicator for Target 14. Ensure the full integration of biodiversity and its multiple values into policies, regulations, planning and development processes, poverty eradication strategies, strategic environmental assessments, environmental impact assessments and, as appropriate, national accounting, within and across all levels of government and across all sectors, in particular those with significant impacts on biodiversity, progressively aligning all relevant public and private activities, and fiscal and financial flows with the goals and targets of this framework.</w:t>
      </w:r>
    </w:p>
    <w:p w14:paraId="16C6E6DA" w14:textId="77777777" w:rsidR="00C9506C" w:rsidRPr="00ED7E61" w:rsidRDefault="00C9506C" w:rsidP="003B3C92">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0F15A0E0" w14:textId="59D5A4C8" w:rsidR="00343D57" w:rsidRPr="00ED7E61" w:rsidRDefault="00C9506C" w:rsidP="00B10F0C">
      <w:pPr>
        <w:pStyle w:val="CBDNormalNumber"/>
        <w:numPr>
          <w:ilvl w:val="0"/>
          <w:numId w:val="87"/>
        </w:numPr>
        <w:shd w:val="clear" w:color="auto" w:fill="FFFFFF"/>
        <w:tabs>
          <w:tab w:val="clear" w:pos="1701"/>
        </w:tabs>
        <w:ind w:left="567" w:hanging="24"/>
        <w:rPr>
          <w:rFonts w:asciiTheme="majorBidi" w:hAnsiTheme="majorBidi" w:cstheme="majorBidi"/>
        </w:rPr>
      </w:pPr>
      <w:r w:rsidRPr="00ED7E61">
        <w:rPr>
          <w:rFonts w:asciiTheme="majorBidi" w:eastAsia="Garamond" w:hAnsiTheme="majorBidi" w:cstheme="majorBidi"/>
          <w:color w:val="000000" w:themeColor="text1"/>
          <w:lang w:val="en-US"/>
        </w:rPr>
        <w:t>Article</w:t>
      </w:r>
      <w:r w:rsidRPr="00ED7E61">
        <w:rPr>
          <w:rFonts w:asciiTheme="majorBidi" w:hAnsiTheme="majorBidi" w:cstheme="majorBidi"/>
        </w:rPr>
        <w:t xml:space="preserve"> 6 (b) of the Convention calls upon Parties, in accordance with their particular conditions and capabilities, to integrate, as far as possible and as appropriate, the conservation and sustainable use of biological diversity into relevant sectoral or cross-sectoral plans, programmes and policies. Such “</w:t>
      </w:r>
      <w:r w:rsidRPr="00FB1598">
        <w:rPr>
          <w:rFonts w:asciiTheme="majorBidi" w:hAnsiTheme="majorBidi" w:cstheme="majorBidi"/>
          <w:i/>
          <w:iCs/>
        </w:rPr>
        <w:t>biodiversity mainstreaming</w:t>
      </w:r>
      <w:r w:rsidRPr="00ED7E61">
        <w:rPr>
          <w:rFonts w:asciiTheme="majorBidi" w:hAnsiTheme="majorBidi" w:cstheme="majorBidi"/>
        </w:rPr>
        <w:t>” seeks to ensure that the multiple biodiversity values are duly taken into account in decision- and policy-making of private and public actors, across governments, economic sectors and society more broadly. As many (if not most) activities that rely on biodiversity or have an impact on biodiversity are outside of the remit of biodiversity policies, implementing this target is critical for implementing the objectives of the Convention. Nevertheless, the multiple values of biodiversity are not widely reflected in decision-making. Integrating and reflecting the contribution of biodiversity and the ecosystem services it provides in relevant strategies, policies, programmes, and reporting systems is an important element in ensuring that the diverse values of biodiversity and the opportunities derived from its conservation and sustainable use are recognized and reflected in decision-making.</w:t>
      </w:r>
    </w:p>
    <w:p w14:paraId="26CD31C4" w14:textId="5BD7DEF2" w:rsidR="00C9506C" w:rsidRPr="003B3C92" w:rsidRDefault="00C9506C" w:rsidP="00B10F0C">
      <w:pPr>
        <w:pStyle w:val="CBDNormalNumber"/>
        <w:numPr>
          <w:ilvl w:val="0"/>
          <w:numId w:val="87"/>
        </w:numPr>
        <w:shd w:val="clear" w:color="auto" w:fill="FFFFFF"/>
        <w:ind w:left="567" w:firstLine="0"/>
      </w:pPr>
      <w:r w:rsidRPr="00ED7E61">
        <w:t>The aim of this target is to ensure that the values of biodiversity are fully reflected or mainstreamed in all relevant decision-making frameworks so that it is given proper attention in decision-making, leading to alignment of all activities, and of all financial flows, with the goals and targets of the framework. As such, this indicator tracks progress towards the full integration of biodiversity and its multiple values into policy, regulation, planning and strategy in both the public and private sectors. Specifically, it asks processes currently account for the multiple values of biodiversity in their design and implementation.</w:t>
      </w:r>
    </w:p>
    <w:p w14:paraId="28FAF410" w14:textId="4742BDB1"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CE7236">
        <w:rPr>
          <w:rFonts w:asciiTheme="majorBidi" w:hAnsiTheme="majorBidi" w:cstheme="majorBidi"/>
          <w:b/>
          <w:bCs/>
          <w:sz w:val="22"/>
          <w:szCs w:val="22"/>
        </w:rPr>
        <w:t>a</w:t>
      </w:r>
      <w:r w:rsidRPr="00ED7E61">
        <w:rPr>
          <w:rFonts w:asciiTheme="majorBidi" w:hAnsiTheme="majorBidi" w:cstheme="majorBidi"/>
          <w:b/>
          <w:bCs/>
          <w:sz w:val="22"/>
          <w:szCs w:val="22"/>
        </w:rPr>
        <w:t>nd Classifications</w:t>
      </w:r>
    </w:p>
    <w:p w14:paraId="3E71C4B5"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7B94C49D" w14:textId="4241F268" w:rsidR="00343D57" w:rsidRPr="00ED7E61"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rPr>
        <w:t>Multiple</w:t>
      </w:r>
      <w:r w:rsidRPr="00ED7E61">
        <w:rPr>
          <w:rFonts w:asciiTheme="majorBidi" w:hAnsiTheme="majorBidi" w:cstheme="majorBidi"/>
          <w:color w:val="000000" w:themeColor="text1"/>
        </w:rPr>
        <w:t xml:space="preserve"> values of biodiversity: </w:t>
      </w:r>
      <w:r w:rsidRPr="00ED7E61">
        <w:rPr>
          <w:rFonts w:asciiTheme="majorBidi" w:hAnsiTheme="majorBidi" w:cstheme="majorBidi"/>
        </w:rPr>
        <w:t>Biodiversity values include diverse considerations from ecological, genetic, economic, cultural, social, scientific, educational, recreational, aesthetic and intrinsic perspectives. Valuation and values of biodiversity require the recognition of a wide range of worldviews and plural value dimensions of the meaning and importance of nature associated with the quality of human life seen as interdependent in terms of biophysical, sociocultural, economic, health or holistic perspectives.</w:t>
      </w:r>
    </w:p>
    <w:p w14:paraId="17732DFF" w14:textId="3B21F57B" w:rsidR="00343D57" w:rsidRPr="00ED7E61" w:rsidRDefault="00C9506C" w:rsidP="00B10F0C">
      <w:pPr>
        <w:pStyle w:val="CBDNormalNumber"/>
        <w:numPr>
          <w:ilvl w:val="0"/>
          <w:numId w:val="87"/>
        </w:numPr>
        <w:shd w:val="clear" w:color="auto" w:fill="FFFFFF"/>
        <w:ind w:left="567" w:firstLine="0"/>
        <w:rPr>
          <w:rFonts w:asciiTheme="majorBidi" w:hAnsiTheme="majorBidi" w:cstheme="majorBidi"/>
        </w:rPr>
      </w:pPr>
      <w:r w:rsidRPr="00ED7E61">
        <w:rPr>
          <w:rFonts w:asciiTheme="majorBidi" w:hAnsiTheme="majorBidi" w:cstheme="majorBidi"/>
        </w:rPr>
        <w:t>Mainstreaming: Biodiversity mainstreaming is generally understood as ensuring that biodiversity, and the services it provides, are appropriately and adequately factored into policies, strategies, plans and practices that rely and have an impact on biodiversity, so that it is conserved and sustainably used. A final definition may be proposed during COP16 as part of the Long-term Strategic Approach to Mainstreaming Biodiversity (see CBD/COP/DEC/15/6).</w:t>
      </w:r>
    </w:p>
    <w:p w14:paraId="2277C594" w14:textId="2073284F" w:rsidR="00343D57" w:rsidRPr="00ED7E61"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rPr>
        <w:t xml:space="preserve">Environmental impact assessment: </w:t>
      </w:r>
      <w:r w:rsidRPr="00ED7E61">
        <w:rPr>
          <w:rFonts w:asciiTheme="majorBidi" w:hAnsiTheme="majorBidi" w:cstheme="majorBidi"/>
          <w:lang w:val="en-US"/>
        </w:rPr>
        <w:t>Environmental impact assessment is a process of evaluating the</w:t>
      </w:r>
      <w:r w:rsidR="00343D57" w:rsidRPr="00ED7E61">
        <w:rPr>
          <w:rFonts w:asciiTheme="majorBidi" w:hAnsiTheme="majorBidi" w:cstheme="majorBidi"/>
          <w:lang w:val="en-US"/>
        </w:rPr>
        <w:t xml:space="preserve"> </w:t>
      </w:r>
      <w:r w:rsidRPr="00ED7E61">
        <w:rPr>
          <w:rFonts w:asciiTheme="majorBidi" w:hAnsiTheme="majorBidi" w:cstheme="majorBidi"/>
          <w:lang w:val="en-US"/>
        </w:rPr>
        <w:t>likely environmental impacts of a proposed project or development, taking into account interrelated socioeconomic, cultural and human-health impacts, both beneficial and adverse.</w:t>
      </w:r>
    </w:p>
    <w:p w14:paraId="5ED10ADB" w14:textId="59D5868C" w:rsidR="00343D57" w:rsidRPr="00ED7E61"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 xml:space="preserve">Environmental economic accounting: A set of national statistical accounts that organize and present statistics on the environment and its relationship with the economy, for example the </w:t>
      </w:r>
      <w:hyperlink r:id="rId531">
        <w:r w:rsidRPr="00ED7E61">
          <w:rPr>
            <w:rStyle w:val="Hyperlink"/>
            <w:rFonts w:asciiTheme="majorBidi" w:eastAsiaTheme="majorEastAsia" w:hAnsiTheme="majorBidi" w:cstheme="majorBidi"/>
            <w:lang w:val="en-US"/>
          </w:rPr>
          <w:t>UN SEEA</w:t>
        </w:r>
      </w:hyperlink>
      <w:r w:rsidRPr="00ED7E61">
        <w:rPr>
          <w:rFonts w:asciiTheme="majorBidi" w:hAnsiTheme="majorBidi" w:cstheme="majorBidi"/>
          <w:lang w:val="en-US"/>
        </w:rPr>
        <w:t>.</w:t>
      </w:r>
    </w:p>
    <w:p w14:paraId="78C65BB8" w14:textId="748DD024" w:rsidR="00343D57" w:rsidRPr="00ED7E61"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Poverty eradication strategies: Governmental plans designed, and actions taken in line with the United Nations SDG Goal 1 of “</w:t>
      </w:r>
      <w:r w:rsidRPr="00FB1598">
        <w:rPr>
          <w:rFonts w:asciiTheme="majorBidi" w:hAnsiTheme="majorBidi" w:cstheme="majorBidi"/>
          <w:i/>
          <w:iCs/>
          <w:lang w:val="en-US"/>
        </w:rPr>
        <w:t>ending poverty in all its forms everywhere</w:t>
      </w:r>
      <w:r w:rsidRPr="00ED7E61">
        <w:rPr>
          <w:rFonts w:asciiTheme="majorBidi" w:hAnsiTheme="majorBidi" w:cstheme="majorBidi"/>
          <w:lang w:val="en-US"/>
        </w:rPr>
        <w:t>”.</w:t>
      </w:r>
    </w:p>
    <w:p w14:paraId="70643FE0" w14:textId="7AE130A3" w:rsidR="00343D57" w:rsidRPr="00ED7E61"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Non-monetary values: The value attributable to an item or a service without relation to any acceptable cash price and for which a fixed or determinable amount of currency is absent (e.g. many ecosystem services, interpersonal good-will, health, etc.).</w:t>
      </w:r>
    </w:p>
    <w:p w14:paraId="25B9C4E0" w14:textId="653C4718" w:rsidR="00C9506C" w:rsidRPr="004E0302"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Fiscal and financial flows: Financial flows consist of transactions and other flows and represent the movement of money in and out of accounts. Fiscal flows refer to transactions in and out of national treasury accounts.</w:t>
      </w:r>
    </w:p>
    <w:p w14:paraId="5E463F74" w14:textId="5CDA201E" w:rsidR="00C9506C" w:rsidRPr="004E0302"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47FD36E2" w14:textId="2C13DA0C" w:rsidR="00C9506C" w:rsidRPr="00ED7E61" w:rsidRDefault="00C9506C" w:rsidP="00B10F0C">
      <w:pPr>
        <w:pStyle w:val="CBDNormalNumber"/>
        <w:numPr>
          <w:ilvl w:val="0"/>
          <w:numId w:val="87"/>
        </w:numPr>
        <w:shd w:val="clear" w:color="auto" w:fill="FFFFFF"/>
        <w:ind w:left="567" w:firstLine="0"/>
        <w:rPr>
          <w:rFonts w:asciiTheme="majorBidi" w:hAnsiTheme="majorBidi" w:cstheme="majorBidi"/>
        </w:rPr>
      </w:pPr>
      <w:r w:rsidRPr="00ED7E61">
        <w:rPr>
          <w:rFonts w:asciiTheme="majorBidi" w:hAnsiTheme="majorBidi" w:cstheme="majorBidi"/>
          <w:lang w:val="en-US"/>
        </w:rPr>
        <w:t>This</w:t>
      </w:r>
      <w:r w:rsidRPr="00ED7E61">
        <w:rPr>
          <w:rFonts w:asciiTheme="majorBidi" w:hAnsiTheme="majorBidi" w:cstheme="majorBidi"/>
        </w:rPr>
        <w:t xml:space="preserve"> indicator is a binary indicator and must be compiled from the answers to five questions:</w:t>
      </w:r>
    </w:p>
    <w:p w14:paraId="29742212" w14:textId="64CA3E18"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14.1 Does your country integrate biodiversity and its multiple values into policies, regulations, planning, development processes and poverty eradication strategies at all levels of government?</w:t>
      </w:r>
    </w:p>
    <w:p w14:paraId="66795687" w14:textId="6FC97D71"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14.2 Does your country use environmental economic accounting to quantify the monetary and non-monetary values of biodiversity?</w:t>
      </w:r>
    </w:p>
    <w:p w14:paraId="174BA778" w14:textId="246E0E0C"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14.3 Does your country integrate biodiversity and its multiple values into policies, regulations, plans and strategies across all sectors in order to ensure their mainstreaming?</w:t>
      </w:r>
    </w:p>
    <w:p w14:paraId="420848E4" w14:textId="1A98DE96"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14.4 Does your country have policies, regulations, plans or strategies in place to progressively align all relevant public and private activities with the goals and targets of the Framework?</w:t>
      </w:r>
    </w:p>
    <w:p w14:paraId="52E129BE" w14:textId="77777777"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14.5 Are policies, regulations, strategies or plans in place to progressively align fiscal and financial flows with the goals and targets of the Framework?</w:t>
      </w:r>
    </w:p>
    <w:p w14:paraId="0475BC67" w14:textId="611E4056" w:rsidR="00C9506C" w:rsidRPr="00ED7E61"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There are four possible answers to each of these questions</w:t>
      </w:r>
      <w:r w:rsidR="00533D8E" w:rsidRPr="00ED7E61">
        <w:rPr>
          <w:rStyle w:val="FootnoteReference"/>
          <w:rFonts w:asciiTheme="majorBidi" w:hAnsiTheme="majorBidi" w:cstheme="majorBidi"/>
          <w:lang w:val="en-US"/>
        </w:rPr>
        <w:footnoteReference w:id="60"/>
      </w:r>
      <w:r w:rsidRPr="00ED7E61">
        <w:rPr>
          <w:rFonts w:asciiTheme="majorBidi" w:hAnsiTheme="majorBidi" w:cstheme="majorBidi"/>
          <w:lang w:val="en-US"/>
        </w:rPr>
        <w:t>:</w:t>
      </w:r>
    </w:p>
    <w:p w14:paraId="5381C3E9" w14:textId="6E733A05"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No</w:t>
      </w:r>
    </w:p>
    <w:p w14:paraId="70C90EEB" w14:textId="048C35ED"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Under development</w:t>
      </w:r>
    </w:p>
    <w:p w14:paraId="11A421EE" w14:textId="38E5F282"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Partially</w:t>
      </w:r>
    </w:p>
    <w:p w14:paraId="60B66593" w14:textId="689540F0"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Fully</w:t>
      </w:r>
    </w:p>
    <w:p w14:paraId="1A43DFCA" w14:textId="77777777" w:rsidR="00C9506C" w:rsidRPr="00ED7E61" w:rsidRDefault="00C9506C" w:rsidP="00B10F0C">
      <w:pPr>
        <w:pStyle w:val="CBDNormalNumber"/>
        <w:keepNext/>
        <w:numPr>
          <w:ilvl w:val="0"/>
          <w:numId w:val="87"/>
        </w:numPr>
        <w:shd w:val="clear" w:color="auto" w:fill="FFFFFF"/>
        <w:ind w:left="567" w:firstLine="0"/>
        <w:rPr>
          <w:rFonts w:asciiTheme="majorBidi" w:hAnsiTheme="majorBidi" w:cstheme="majorBidi"/>
          <w:color w:val="000000" w:themeColor="text1"/>
          <w:lang w:val="en-US"/>
        </w:rPr>
      </w:pPr>
      <w:r w:rsidRPr="00ED7E61">
        <w:rPr>
          <w:rFonts w:asciiTheme="majorBidi" w:hAnsiTheme="majorBidi" w:cstheme="majorBidi"/>
          <w:lang w:val="en-US"/>
        </w:rPr>
        <w:t>A “</w:t>
      </w:r>
      <w:r w:rsidRPr="00FB1598">
        <w:rPr>
          <w:rFonts w:asciiTheme="majorBidi" w:hAnsiTheme="majorBidi" w:cstheme="majorBidi"/>
          <w:i/>
          <w:iCs/>
          <w:lang w:val="en-US"/>
        </w:rPr>
        <w:t>No</w:t>
      </w:r>
      <w:r w:rsidRPr="00ED7E61">
        <w:rPr>
          <w:rFonts w:asciiTheme="majorBidi" w:hAnsiTheme="majorBidi" w:cstheme="majorBidi"/>
          <w:lang w:val="en-US"/>
        </w:rPr>
        <w:t>” answer implies that:</w:t>
      </w:r>
    </w:p>
    <w:p w14:paraId="38ECFF15" w14:textId="0737CDA6"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biodiversity and its multiple values have not been integrated into any policies, regulations, planning, development processes and poverty eradication strategies at any levels of government</w:t>
      </w:r>
      <w:r w:rsidRPr="00ED7E61" w:rsidDel="00194956">
        <w:rPr>
          <w:rStyle w:val="normaltextrun"/>
          <w:rFonts w:eastAsiaTheme="majorEastAsia"/>
        </w:rPr>
        <w:t xml:space="preserve"> </w:t>
      </w:r>
      <w:r w:rsidRPr="00ED7E61">
        <w:rPr>
          <w:rStyle w:val="normaltextrun"/>
          <w:rFonts w:eastAsiaTheme="majorEastAsia"/>
        </w:rPr>
        <w:t>(14.1)</w:t>
      </w:r>
    </w:p>
    <w:p w14:paraId="77029308" w14:textId="4D22010B"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environmental economic accounting is not being done (14.2)</w:t>
      </w:r>
    </w:p>
    <w:p w14:paraId="38CF81E8" w14:textId="2C8EEB5F"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biodiversity and its multiple values have not been integrated into any policies, regulations, plans and strategies across any sectors in order to ensure their mainstreaming</w:t>
      </w:r>
      <w:r w:rsidRPr="00ED7E61" w:rsidDel="00194956">
        <w:rPr>
          <w:rStyle w:val="normaltextrun"/>
          <w:rFonts w:eastAsiaTheme="majorEastAsia"/>
        </w:rPr>
        <w:t xml:space="preserve"> </w:t>
      </w:r>
      <w:r w:rsidRPr="00ED7E61">
        <w:rPr>
          <w:rStyle w:val="normaltextrun"/>
          <w:rFonts w:eastAsiaTheme="majorEastAsia"/>
        </w:rPr>
        <w:t>(14.3)</w:t>
      </w:r>
    </w:p>
    <w:p w14:paraId="19A79E2D" w14:textId="5830BB44"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there are no policies, regulations, plans or strategies in place to progressively align all relevant private and public activities with the goals and targets of the Framework (14.4)</w:t>
      </w:r>
    </w:p>
    <w:p w14:paraId="4E6BECA7" w14:textId="77777777"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there are no policies, regulations, plans or strategies in place to progressively align fiscal nor financial flows with the goals and targets of the Framework (14.5)</w:t>
      </w:r>
    </w:p>
    <w:p w14:paraId="1D62A760" w14:textId="1F338E4B" w:rsidR="00C9506C" w:rsidRPr="00ED7E61"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In all, no progress has been made to draft nor propose policies to further the integration of the multiple values of biodiversity and business-as-usual continues to be the approach at all levels of government and across all sectors.</w:t>
      </w:r>
    </w:p>
    <w:p w14:paraId="7AAD6316" w14:textId="26B6E339" w:rsidR="00C9506C" w:rsidRPr="00ED7E61"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An “</w:t>
      </w:r>
      <w:r w:rsidRPr="00FB1598">
        <w:rPr>
          <w:rFonts w:asciiTheme="majorBidi" w:hAnsiTheme="majorBidi" w:cstheme="majorBidi"/>
          <w:i/>
          <w:iCs/>
          <w:lang w:val="en-US"/>
        </w:rPr>
        <w:t>Under development</w:t>
      </w:r>
      <w:r w:rsidRPr="00ED7E61">
        <w:rPr>
          <w:rFonts w:asciiTheme="majorBidi" w:hAnsiTheme="majorBidi" w:cstheme="majorBidi"/>
          <w:lang w:val="en-US"/>
        </w:rPr>
        <w:t>” answer implies a concerted effort at the national level to:</w:t>
      </w:r>
    </w:p>
    <w:p w14:paraId="68BF47B0" w14:textId="02D91840"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begin the process of integrating biodiversity and its multiple values have policies, regulations, planning, development processes and poverty eradication strategies at all levels of government</w:t>
      </w:r>
      <w:r w:rsidRPr="00ED7E61" w:rsidDel="00194956">
        <w:rPr>
          <w:rStyle w:val="normaltextrun"/>
          <w:rFonts w:eastAsiaTheme="majorEastAsia"/>
        </w:rPr>
        <w:t xml:space="preserve"> </w:t>
      </w:r>
      <w:r w:rsidRPr="00ED7E61">
        <w:rPr>
          <w:rStyle w:val="normaltextrun"/>
          <w:rFonts w:eastAsiaTheme="majorEastAsia"/>
        </w:rPr>
        <w:t>(14.1) for example through the drafting of and proposal of bills.</w:t>
      </w:r>
    </w:p>
    <w:p w14:paraId="0D2E1F28" w14:textId="0D41EF21"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 implementation of environmental economic accounting is in process, resources are being allocated (e.g. hiring of statisticians) to begin the first set of environmental economic accounts; non-monetary, monetary or both (14.2).</w:t>
      </w:r>
    </w:p>
    <w:p w14:paraId="3CC7D1A2" w14:textId="407E2639"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begin the process of integrating biodiversity and its multiple values into policies, regulations, plans or strategies across all sectors in order to ensure their mainstreaming</w:t>
      </w:r>
      <w:r w:rsidRPr="00ED7E61" w:rsidDel="00194956">
        <w:rPr>
          <w:rStyle w:val="normaltextrun"/>
          <w:rFonts w:eastAsiaTheme="majorEastAsia"/>
        </w:rPr>
        <w:t xml:space="preserve"> </w:t>
      </w:r>
      <w:r w:rsidRPr="00ED7E61">
        <w:rPr>
          <w:rStyle w:val="normaltextrun"/>
          <w:rFonts w:eastAsiaTheme="majorEastAsia"/>
        </w:rPr>
        <w:t>(14.3). Progress is being made towards designing and putting forward official national policy.</w:t>
      </w:r>
    </w:p>
    <w:p w14:paraId="58C212DC" w14:textId="247FE102"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put in place policies, regulations, plans or strategies to progressively align all relevant private and public activities with the goals and targets of the Framework, these are being drafted and proposed (14.4).</w:t>
      </w:r>
    </w:p>
    <w:p w14:paraId="285A680D" w14:textId="77777777"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put in place policies, regulations, plans or strategies to progressively align fiscal or financial flows with the goals and targets of the Framework, theses are being drafted and proposed (14.5).</w:t>
      </w:r>
    </w:p>
    <w:p w14:paraId="2F56844E" w14:textId="77777777" w:rsidR="00C9506C" w:rsidRPr="00ED7E61"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In all cases, clear national efforts can be seen (e.g. draft bills, new regulation, ...) to progress towards the target but these are not yet in place and producing results.</w:t>
      </w:r>
    </w:p>
    <w:p w14:paraId="1A3DBFAA" w14:textId="1B4B22C1" w:rsidR="00C9506C" w:rsidRPr="00ED7E61" w:rsidRDefault="00C9506C" w:rsidP="00B10F0C">
      <w:pPr>
        <w:pStyle w:val="CBDNormalNumber"/>
        <w:numPr>
          <w:ilvl w:val="0"/>
          <w:numId w:val="87"/>
        </w:numPr>
        <w:shd w:val="clear" w:color="auto" w:fill="FFFFFF"/>
        <w:ind w:left="567" w:firstLine="0"/>
        <w:rPr>
          <w:rFonts w:asciiTheme="majorBidi" w:hAnsiTheme="majorBidi" w:cstheme="majorBidi"/>
          <w:color w:val="000000" w:themeColor="text1"/>
          <w:lang w:val="en-US"/>
        </w:rPr>
      </w:pPr>
      <w:r w:rsidRPr="00ED7E61">
        <w:rPr>
          <w:rFonts w:asciiTheme="majorBidi" w:hAnsiTheme="majorBidi" w:cstheme="majorBidi"/>
          <w:lang w:val="en-US"/>
        </w:rPr>
        <w:t>A “</w:t>
      </w:r>
      <w:r w:rsidRPr="00FB1598">
        <w:rPr>
          <w:rFonts w:asciiTheme="majorBidi" w:hAnsiTheme="majorBidi" w:cstheme="majorBidi"/>
          <w:i/>
          <w:iCs/>
          <w:lang w:val="en-US"/>
        </w:rPr>
        <w:t>Partially</w:t>
      </w:r>
      <w:r w:rsidRPr="00ED7E61">
        <w:rPr>
          <w:rFonts w:asciiTheme="majorBidi" w:hAnsiTheme="majorBidi" w:cstheme="majorBidi"/>
          <w:lang w:val="en-US"/>
        </w:rPr>
        <w:t>” answer implies that:</w:t>
      </w:r>
    </w:p>
    <w:p w14:paraId="4DEEA669" w14:textId="6E5240BA"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there exist national policies to integrate biodiversity and its multiple values into regulations, planning, development processes and poverty eradication strategies at all levels of government but not all four (14.1). Alternatively, all four are present but not at all levels of government.</w:t>
      </w:r>
    </w:p>
    <w:p w14:paraId="5772F930" w14:textId="77777777"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environmental economic accounting is being done but only for monetary or non-monetary accounts, not both, and may only be happening on an irregular ad hoc basis (14.2).</w:t>
      </w:r>
    </w:p>
    <w:p w14:paraId="70CE879E" w14:textId="648A16A1"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biodiversity and its multiple values are integrated into policies, regulations, plans or strategies across some sectors in order to ensure their mainstreaming</w:t>
      </w:r>
      <w:r w:rsidRPr="00ED7E61" w:rsidDel="00194956">
        <w:rPr>
          <w:rStyle w:val="normaltextrun"/>
          <w:rFonts w:eastAsiaTheme="majorEastAsia"/>
        </w:rPr>
        <w:t xml:space="preserve"> </w:t>
      </w:r>
      <w:r w:rsidRPr="00ED7E61">
        <w:rPr>
          <w:rStyle w:val="normaltextrun"/>
          <w:rFonts w:eastAsiaTheme="majorEastAsia"/>
        </w:rPr>
        <w:t>(14.3). That is, there remain sectors for which biodiversity mainstreaming is not supported by policy. Here, Parties may choose to optionally provide a list of sectors, in free text, for which policies are in place.</w:t>
      </w:r>
    </w:p>
    <w:p w14:paraId="2B9938E8" w14:textId="0E469689"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policies, regulations, plans or strategies are in place to progressively align some relevant private and public activities</w:t>
      </w:r>
      <w:r w:rsidRPr="00ED7E61" w:rsidDel="00C01EA5">
        <w:rPr>
          <w:rStyle w:val="normaltextrun"/>
          <w:rFonts w:eastAsiaTheme="majorEastAsia"/>
        </w:rPr>
        <w:t xml:space="preserve"> </w:t>
      </w:r>
      <w:r w:rsidRPr="00ED7E61">
        <w:rPr>
          <w:rStyle w:val="normaltextrun"/>
          <w:rFonts w:eastAsiaTheme="majorEastAsia"/>
        </w:rPr>
        <w:t>with some of the goals and targets of the Framework (14.4).</w:t>
      </w:r>
    </w:p>
    <w:p w14:paraId="3028E8DC" w14:textId="77777777"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policies, regulations, plans or strategies are in place to progressively align fiscal or financial flows</w:t>
      </w:r>
      <w:r w:rsidRPr="00ED7E61" w:rsidDel="00C01EA5">
        <w:rPr>
          <w:rStyle w:val="normaltextrun"/>
          <w:rFonts w:eastAsiaTheme="majorEastAsia"/>
        </w:rPr>
        <w:t xml:space="preserve"> </w:t>
      </w:r>
      <w:r w:rsidRPr="00ED7E61">
        <w:rPr>
          <w:rStyle w:val="normaltextrun"/>
          <w:rFonts w:eastAsiaTheme="majorEastAsia"/>
        </w:rPr>
        <w:t>with some of the goals and targets of the Framework (14.5).</w:t>
      </w:r>
    </w:p>
    <w:p w14:paraId="2C7A0BD3" w14:textId="77777777" w:rsidR="00C9506C" w:rsidRPr="00ED7E61" w:rsidRDefault="00C9506C" w:rsidP="00B10F0C">
      <w:pPr>
        <w:pStyle w:val="CBDNormalNumber"/>
        <w:numPr>
          <w:ilvl w:val="0"/>
          <w:numId w:val="87"/>
        </w:numPr>
        <w:shd w:val="clear" w:color="auto" w:fill="FFFFFF"/>
        <w:ind w:left="567" w:firstLine="0"/>
        <w:rPr>
          <w:rFonts w:asciiTheme="majorBidi" w:hAnsiTheme="majorBidi" w:cstheme="majorBidi"/>
          <w:color w:val="000000"/>
          <w:lang w:val="en-US"/>
        </w:rPr>
      </w:pPr>
      <w:r w:rsidRPr="00ED7E61">
        <w:rPr>
          <w:rFonts w:asciiTheme="majorBidi" w:hAnsiTheme="majorBidi" w:cstheme="majorBidi"/>
          <w:lang w:val="en-US"/>
        </w:rPr>
        <w:t>In</w:t>
      </w:r>
      <w:r w:rsidRPr="00ED7E61">
        <w:rPr>
          <w:rFonts w:asciiTheme="majorBidi" w:eastAsia="Garamond" w:hAnsiTheme="majorBidi" w:cstheme="majorBidi"/>
          <w:color w:val="000000" w:themeColor="text1"/>
          <w:lang w:val="en-US"/>
        </w:rPr>
        <w:t xml:space="preserve"> each case outlined above, some elements implied by the question have not been achieved.</w:t>
      </w:r>
    </w:p>
    <w:p w14:paraId="4F0BCE51" w14:textId="6857F989" w:rsidR="00C9506C" w:rsidRPr="00ED7E61" w:rsidRDefault="00C9506C" w:rsidP="00B10F0C">
      <w:pPr>
        <w:pStyle w:val="CBDNormalNumber"/>
        <w:numPr>
          <w:ilvl w:val="0"/>
          <w:numId w:val="8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A “</w:t>
      </w:r>
      <w:r w:rsidRPr="00FB1598">
        <w:rPr>
          <w:rFonts w:asciiTheme="majorBidi" w:hAnsiTheme="majorBidi" w:cstheme="majorBidi"/>
          <w:i/>
          <w:iCs/>
          <w:lang w:val="en-US"/>
        </w:rPr>
        <w:t>Fully</w:t>
      </w:r>
      <w:r w:rsidRPr="00ED7E61">
        <w:rPr>
          <w:rFonts w:asciiTheme="majorBidi" w:hAnsiTheme="majorBidi" w:cstheme="majorBidi"/>
          <w:lang w:val="en-US"/>
        </w:rPr>
        <w:t>” answer implies that all the conditions outlined in “</w:t>
      </w:r>
      <w:r w:rsidRPr="00FB1598">
        <w:rPr>
          <w:rFonts w:asciiTheme="majorBidi" w:hAnsiTheme="majorBidi" w:cstheme="majorBidi"/>
          <w:i/>
          <w:iCs/>
          <w:lang w:val="en-US"/>
        </w:rPr>
        <w:t>Partially</w:t>
      </w:r>
      <w:r w:rsidRPr="00ED7E61">
        <w:rPr>
          <w:rFonts w:asciiTheme="majorBidi" w:hAnsiTheme="majorBidi" w:cstheme="majorBidi"/>
          <w:lang w:val="en-US"/>
        </w:rPr>
        <w:t>” have been met. Namely that:</w:t>
      </w:r>
    </w:p>
    <w:p w14:paraId="12F6CEB2" w14:textId="120CDC28"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national policies are in place to integrate biodiversity and its multiple values</w:t>
      </w:r>
      <w:r w:rsidRPr="00ED7E61" w:rsidDel="00C01EA5">
        <w:rPr>
          <w:rStyle w:val="normaltextrun"/>
          <w:rFonts w:eastAsiaTheme="majorEastAsia"/>
        </w:rPr>
        <w:t xml:space="preserve"> </w:t>
      </w:r>
      <w:r w:rsidRPr="00ED7E61">
        <w:rPr>
          <w:rStyle w:val="normaltextrun"/>
          <w:rFonts w:eastAsiaTheme="majorEastAsia"/>
        </w:rPr>
        <w:t xml:space="preserve"> into </w:t>
      </w:r>
      <w:bookmarkStart w:id="63" w:name="_Int_sck7KICH"/>
      <w:r w:rsidRPr="00ED7E61">
        <w:rPr>
          <w:rStyle w:val="normaltextrun"/>
          <w:rFonts w:eastAsiaTheme="majorEastAsia"/>
        </w:rPr>
        <w:t>all of</w:t>
      </w:r>
      <w:bookmarkEnd w:id="63"/>
      <w:r w:rsidRPr="00ED7E61">
        <w:rPr>
          <w:rStyle w:val="normaltextrun"/>
          <w:rFonts w:eastAsiaTheme="majorEastAsia"/>
        </w:rPr>
        <w:t xml:space="preserve"> the following: regulations, planning, development processes and poverty eradication strategies (14.1).</w:t>
      </w:r>
    </w:p>
    <w:p w14:paraId="21645144" w14:textId="1266A6C7"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environmental economic accounting is being done regularly for both monetary and non-monetary accounts (14.2).</w:t>
      </w:r>
    </w:p>
    <w:p w14:paraId="4103D3B4" w14:textId="2847C993"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biodiversity and its multiple values are integrated into policies, regulations, plans or strategies across all sectors in order to ensure their mainstreaming</w:t>
      </w:r>
      <w:r w:rsidRPr="00ED7E61" w:rsidDel="00194956">
        <w:rPr>
          <w:rStyle w:val="normaltextrun"/>
          <w:rFonts w:eastAsiaTheme="majorEastAsia"/>
        </w:rPr>
        <w:t xml:space="preserve"> </w:t>
      </w:r>
      <w:r w:rsidRPr="00ED7E61">
        <w:rPr>
          <w:rStyle w:val="normaltextrun"/>
          <w:rFonts w:eastAsiaTheme="majorEastAsia"/>
        </w:rPr>
        <w:t>(14.3).</w:t>
      </w:r>
    </w:p>
    <w:p w14:paraId="2FF72077" w14:textId="4ED6183E"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policies, regulations, plans or strategies are in place to progressively align all relevant private and public activities</w:t>
      </w:r>
      <w:r w:rsidRPr="00ED7E61" w:rsidDel="00C01EA5">
        <w:rPr>
          <w:rStyle w:val="normaltextrun"/>
          <w:rFonts w:eastAsiaTheme="majorEastAsia"/>
        </w:rPr>
        <w:t xml:space="preserve"> </w:t>
      </w:r>
      <w:r w:rsidRPr="00ED7E61">
        <w:rPr>
          <w:rStyle w:val="normaltextrun"/>
          <w:rFonts w:eastAsiaTheme="majorEastAsia"/>
        </w:rPr>
        <w:t>with all of the goals and targets of the Framework (14.4).</w:t>
      </w:r>
    </w:p>
    <w:p w14:paraId="36A549AD" w14:textId="77777777" w:rsidR="00C9506C" w:rsidRPr="00ED7E61" w:rsidRDefault="00C9506C" w:rsidP="00B10F0C">
      <w:pPr>
        <w:pStyle w:val="CBDNormalNumber"/>
        <w:numPr>
          <w:ilvl w:val="1"/>
          <w:numId w:val="87"/>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policies, regulations, plans or strategies are in place to progressively align fiscal and financial flows</w:t>
      </w:r>
      <w:r w:rsidRPr="00ED7E61" w:rsidDel="00C01EA5">
        <w:rPr>
          <w:rStyle w:val="normaltextrun"/>
          <w:rFonts w:eastAsiaTheme="majorEastAsia"/>
        </w:rPr>
        <w:t xml:space="preserve"> </w:t>
      </w:r>
      <w:r w:rsidRPr="00ED7E61">
        <w:rPr>
          <w:rStyle w:val="normaltextrun"/>
          <w:rFonts w:eastAsiaTheme="majorEastAsia"/>
        </w:rPr>
        <w:t>with all of the goals and targets of the Framework (14.5).</w:t>
      </w:r>
    </w:p>
    <w:p w14:paraId="7E084085" w14:textId="77777777" w:rsidR="00C9506C" w:rsidRPr="00ED7E61" w:rsidRDefault="00C9506C" w:rsidP="005B0D1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p>
    <w:p w14:paraId="02C0D04E" w14:textId="77777777" w:rsidR="00D311B8" w:rsidRPr="00ED7E61" w:rsidRDefault="00D311B8" w:rsidP="005B0D1E">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lang w:val="en-US"/>
        </w:rPr>
      </w:pPr>
    </w:p>
    <w:p w14:paraId="44FDC09E"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5B675204" w14:textId="7BAA9635" w:rsidR="00756F0F" w:rsidRPr="00ED7E61" w:rsidRDefault="00756F0F" w:rsidP="003B0E8A">
      <w:pPr>
        <w:pStyle w:val="Heading3"/>
        <w:rPr>
          <w:rStyle w:val="Heading3Char"/>
          <w:b/>
        </w:rPr>
      </w:pPr>
      <w:bookmarkStart w:id="64" w:name="_Toc178285874"/>
      <w:r w:rsidRPr="00ED7E61">
        <w:rPr>
          <w:rStyle w:val="normaltextrun"/>
        </w:rPr>
        <w:t>GBF indicator metadata</w:t>
      </w:r>
      <w:r w:rsidR="003B0E8A" w:rsidRPr="00ED7E61">
        <w:rPr>
          <w:rStyle w:val="normaltextrun"/>
        </w:rPr>
        <w:t>:</w:t>
      </w:r>
      <w:r w:rsidR="000E296B" w:rsidRPr="00ED7E61">
        <w:rPr>
          <w:rStyle w:val="normaltextrun"/>
        </w:rPr>
        <w:t xml:space="preserve"> 15.1 Number of companies disclosing their biodiversity-related risks, dependencies, and impacts</w:t>
      </w:r>
      <w:bookmarkEnd w:id="64"/>
      <w:r w:rsidR="000E296B" w:rsidRPr="00ED7E61">
        <w:rPr>
          <w:rStyle w:val="normaltextrun"/>
        </w:rPr>
        <w:t xml:space="preserve">  </w:t>
      </w:r>
      <w:r w:rsidRPr="00ED7E61">
        <w:rPr>
          <w:rStyle w:val="normaltextrun"/>
        </w:rPr>
        <w:t xml:space="preserve"> </w:t>
      </w:r>
    </w:p>
    <w:p w14:paraId="25C25306"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2AF7D26A" w14:textId="77777777" w:rsidR="00756F0F" w:rsidRPr="00ED7E61" w:rsidRDefault="00756F0F" w:rsidP="00395866">
      <w:pPr>
        <w:pStyle w:val="paragraph"/>
        <w:pBdr>
          <w:bottom w:val="single" w:sz="4" w:space="1" w:color="000000"/>
        </w:pBdr>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b/>
          <w:bCs/>
          <w:sz w:val="22"/>
          <w:szCs w:val="22"/>
        </w:rPr>
        <w:t> </w:t>
      </w:r>
    </w:p>
    <w:p w14:paraId="0050000F"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sz w:val="22"/>
          <w:szCs w:val="22"/>
          <w:lang w:val="en-AU"/>
        </w:rPr>
        <w:t>15.1 Number of companies disclosing their biodiversity-related risks, dependencies, and impacts </w:t>
      </w:r>
      <w:r w:rsidRPr="00ED7E61">
        <w:rPr>
          <w:rStyle w:val="eop"/>
          <w:rFonts w:asciiTheme="majorBidi" w:eastAsiaTheme="majorEastAsia" w:hAnsiTheme="majorBidi" w:cstheme="majorBidi"/>
          <w:b/>
          <w:bCs/>
          <w:sz w:val="22"/>
          <w:szCs w:val="22"/>
        </w:rPr>
        <w:t> </w:t>
      </w:r>
    </w:p>
    <w:p w14:paraId="181EE0DF" w14:textId="77777777" w:rsidR="00756F0F" w:rsidRPr="00ED7E61" w:rsidRDefault="00756F0F" w:rsidP="004E0302">
      <w:pPr>
        <w:pStyle w:val="paragraph"/>
        <w:pBdr>
          <w:bottom w:val="single" w:sz="4" w:space="1" w:color="000000"/>
        </w:pBdr>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b/>
          <w:bCs/>
          <w:sz w:val="22"/>
          <w:szCs w:val="22"/>
        </w:rPr>
        <w:t> </w:t>
      </w:r>
    </w:p>
    <w:p w14:paraId="73A57EF0" w14:textId="5D83F28A" w:rsidR="00756F0F" w:rsidRPr="00ED7E61" w:rsidRDefault="006B30FE" w:rsidP="00395866">
      <w:pPr>
        <w:pStyle w:val="paragraph"/>
        <w:spacing w:before="0" w:beforeAutospacing="0" w:after="0" w:afterAutospacing="0"/>
        <w:jc w:val="both"/>
        <w:textAlignment w:val="baseline"/>
        <w:rPr>
          <w:rFonts w:asciiTheme="majorBidi" w:hAnsiTheme="majorBidi" w:cstheme="majorBidi"/>
          <w:b/>
          <w:bCs/>
          <w:sz w:val="22"/>
          <w:szCs w:val="22"/>
        </w:rPr>
      </w:pPr>
      <w:r>
        <w:rPr>
          <w:rStyle w:val="normaltextrun"/>
          <w:rFonts w:asciiTheme="majorBidi" w:eastAsiaTheme="majorEastAsia" w:hAnsiTheme="majorBidi" w:cstheme="majorBidi"/>
          <w:sz w:val="22"/>
          <w:szCs w:val="22"/>
          <w:lang w:val="en-AU"/>
        </w:rPr>
        <w:t>September</w:t>
      </w:r>
      <w:r w:rsidRPr="00ED7E61">
        <w:rPr>
          <w:rStyle w:val="normaltextrun"/>
          <w:rFonts w:asciiTheme="majorBidi" w:eastAsiaTheme="majorEastAsia" w:hAnsiTheme="majorBidi" w:cstheme="majorBidi"/>
          <w:sz w:val="22"/>
          <w:szCs w:val="22"/>
          <w:lang w:val="en-AU"/>
        </w:rPr>
        <w:t xml:space="preserve"> </w:t>
      </w:r>
      <w:r w:rsidR="00756F0F" w:rsidRPr="00ED7E61">
        <w:rPr>
          <w:rStyle w:val="normaltextrun"/>
          <w:rFonts w:asciiTheme="majorBidi" w:eastAsiaTheme="majorEastAsia" w:hAnsiTheme="majorBidi" w:cstheme="majorBidi"/>
          <w:sz w:val="22"/>
          <w:szCs w:val="22"/>
          <w:lang w:val="en-AU"/>
        </w:rPr>
        <w:t>2024</w:t>
      </w:r>
      <w:r w:rsidR="00756F0F" w:rsidRPr="00ED7E61">
        <w:rPr>
          <w:rStyle w:val="eop"/>
          <w:rFonts w:asciiTheme="majorBidi" w:eastAsiaTheme="majorEastAsia" w:hAnsiTheme="majorBidi" w:cstheme="majorBidi"/>
          <w:b/>
          <w:bCs/>
          <w:sz w:val="22"/>
          <w:szCs w:val="22"/>
        </w:rPr>
        <w:t> </w:t>
      </w:r>
    </w:p>
    <w:p w14:paraId="2F03A0AD" w14:textId="77777777" w:rsidR="00756F0F" w:rsidRPr="00ED7E61" w:rsidRDefault="00756F0F" w:rsidP="004E0302">
      <w:pPr>
        <w:pStyle w:val="paragraph"/>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b/>
          <w:bCs/>
          <w:sz w:val="22"/>
          <w:szCs w:val="22"/>
        </w:rPr>
        <w:t> </w:t>
      </w:r>
    </w:p>
    <w:p w14:paraId="3937D0A9" w14:textId="77777777" w:rsidR="00756F0F" w:rsidRPr="00ED7E61" w:rsidRDefault="00756F0F" w:rsidP="00395866">
      <w:pPr>
        <w:pStyle w:val="paragraph"/>
        <w:pBdr>
          <w:bottom w:val="single" w:sz="4" w:space="1" w:color="000000"/>
        </w:pBdr>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3a. Goal </w:t>
      </w:r>
      <w:r w:rsidRPr="00ED7E61">
        <w:rPr>
          <w:rStyle w:val="eop"/>
          <w:rFonts w:asciiTheme="majorBidi" w:eastAsiaTheme="majorEastAsia" w:hAnsiTheme="majorBidi" w:cstheme="majorBidi"/>
          <w:b/>
          <w:bCs/>
          <w:sz w:val="22"/>
          <w:szCs w:val="22"/>
        </w:rPr>
        <w:t> </w:t>
      </w:r>
    </w:p>
    <w:p w14:paraId="2D4CA5A2"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rPr>
        <w:t>N/A</w:t>
      </w:r>
      <w:r w:rsidRPr="00ED7E61">
        <w:rPr>
          <w:rStyle w:val="eop"/>
          <w:rFonts w:asciiTheme="majorBidi" w:eastAsiaTheme="majorEastAsia" w:hAnsiTheme="majorBidi" w:cstheme="majorBidi"/>
          <w:sz w:val="22"/>
          <w:szCs w:val="22"/>
        </w:rPr>
        <w:t> </w:t>
      </w:r>
    </w:p>
    <w:p w14:paraId="707B0134" w14:textId="77777777" w:rsidR="00756F0F" w:rsidRPr="00ED7E61" w:rsidRDefault="00756F0F" w:rsidP="004E0302">
      <w:pPr>
        <w:pStyle w:val="paragraph"/>
        <w:pBdr>
          <w:bottom w:val="single" w:sz="4" w:space="1" w:color="000000"/>
        </w:pBdr>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3b. Target</w:t>
      </w:r>
      <w:r w:rsidRPr="00ED7E61">
        <w:rPr>
          <w:rStyle w:val="eop"/>
          <w:rFonts w:asciiTheme="majorBidi" w:eastAsiaTheme="majorEastAsia" w:hAnsiTheme="majorBidi" w:cstheme="majorBidi"/>
          <w:b/>
          <w:bCs/>
          <w:sz w:val="22"/>
          <w:szCs w:val="22"/>
        </w:rPr>
        <w:t> </w:t>
      </w:r>
    </w:p>
    <w:p w14:paraId="39EA216D" w14:textId="7FEE4563"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Headline indicator for Target 15</w:t>
      </w:r>
      <w:r w:rsidR="00533D8E" w:rsidRPr="00ED7E61">
        <w:rPr>
          <w:rStyle w:val="normaltextrun"/>
          <w:rFonts w:asciiTheme="majorBidi" w:eastAsiaTheme="majorEastAsia" w:hAnsiTheme="majorBidi" w:cstheme="majorBidi"/>
          <w:sz w:val="22"/>
          <w:szCs w:val="22"/>
        </w:rPr>
        <w:t>:</w:t>
      </w:r>
      <w:r w:rsidRPr="00ED7E61">
        <w:rPr>
          <w:rStyle w:val="normaltextrun"/>
          <w:rFonts w:asciiTheme="majorBidi" w:eastAsiaTheme="majorEastAsia" w:hAnsiTheme="majorBidi" w:cstheme="majorBidi"/>
          <w:sz w:val="22"/>
          <w:szCs w:val="22"/>
        </w:rPr>
        <w:t xml:space="preserve"> Take legal, administrative or policy measures to encourage and enable business, and in particular to ensure that large and transnational companies and financial institutions:</w:t>
      </w:r>
      <w:r w:rsidRPr="00ED7E61">
        <w:rPr>
          <w:rStyle w:val="eop"/>
          <w:rFonts w:asciiTheme="majorBidi" w:eastAsiaTheme="majorEastAsia" w:hAnsiTheme="majorBidi" w:cstheme="majorBidi"/>
          <w:sz w:val="22"/>
          <w:szCs w:val="22"/>
        </w:rPr>
        <w:t> </w:t>
      </w:r>
    </w:p>
    <w:p w14:paraId="66111E0C" w14:textId="77777777" w:rsidR="00756F0F" w:rsidRPr="00ED7E61" w:rsidRDefault="00756F0F" w:rsidP="001C6EE2">
      <w:pPr>
        <w:pStyle w:val="paragraph"/>
        <w:numPr>
          <w:ilvl w:val="0"/>
          <w:numId w:val="4"/>
        </w:numPr>
        <w:spacing w:before="0" w:beforeAutospacing="0" w:after="0" w:afterAutospacing="0"/>
        <w:ind w:left="1080" w:firstLine="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Regularly monitor, assess, and transparently disclose their risks, dependencies and impacts on biodiversity, including with requirements for all large as well as transnational companies and financial institutions along their operations, supply and value chains and portfolios;</w:t>
      </w:r>
      <w:r w:rsidRPr="00ED7E61">
        <w:rPr>
          <w:rStyle w:val="eop"/>
          <w:rFonts w:asciiTheme="majorBidi" w:eastAsiaTheme="majorEastAsia" w:hAnsiTheme="majorBidi" w:cstheme="majorBidi"/>
          <w:sz w:val="22"/>
          <w:szCs w:val="22"/>
        </w:rPr>
        <w:t> </w:t>
      </w:r>
    </w:p>
    <w:p w14:paraId="39BAAF31" w14:textId="77777777" w:rsidR="00756F0F" w:rsidRPr="00ED7E61" w:rsidRDefault="00756F0F" w:rsidP="001C6EE2">
      <w:pPr>
        <w:pStyle w:val="paragraph"/>
        <w:numPr>
          <w:ilvl w:val="0"/>
          <w:numId w:val="5"/>
        </w:numPr>
        <w:spacing w:before="0" w:beforeAutospacing="0" w:after="0" w:afterAutospacing="0"/>
        <w:ind w:left="1080" w:firstLine="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Provide information needed to consumers to promote sustainable consumption patterns;</w:t>
      </w:r>
      <w:r w:rsidRPr="00ED7E61">
        <w:rPr>
          <w:rStyle w:val="eop"/>
          <w:rFonts w:asciiTheme="majorBidi" w:eastAsiaTheme="majorEastAsia" w:hAnsiTheme="majorBidi" w:cstheme="majorBidi"/>
          <w:sz w:val="22"/>
          <w:szCs w:val="22"/>
        </w:rPr>
        <w:t> </w:t>
      </w:r>
    </w:p>
    <w:p w14:paraId="005211EB" w14:textId="77777777" w:rsidR="008C4EAC" w:rsidRPr="00ED7E61" w:rsidRDefault="00756F0F" w:rsidP="001C6EE2">
      <w:pPr>
        <w:pStyle w:val="paragraph"/>
        <w:numPr>
          <w:ilvl w:val="0"/>
          <w:numId w:val="6"/>
        </w:numPr>
        <w:spacing w:before="0" w:beforeAutospacing="0" w:after="0" w:afterAutospacing="0"/>
        <w:ind w:left="1080" w:firstLine="0"/>
        <w:jc w:val="both"/>
        <w:textAlignment w:val="baseline"/>
        <w:rPr>
          <w:rStyle w:val="normaltextrun"/>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Report on compliance with access and benefit-sharing regulations and measures, as applicable; </w:t>
      </w:r>
    </w:p>
    <w:p w14:paraId="49DFB5CE" w14:textId="1735A6F0" w:rsidR="00756F0F" w:rsidRPr="00ED7E61" w:rsidRDefault="00756F0F" w:rsidP="005B0D1E">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in order to progressively reduce negative impacts on biodiversity, increase positive impacts, reduce biodiversity-related risks to business and financial institutions, and promote actions to ensure sustainable patterns of production.</w:t>
      </w:r>
      <w:r w:rsidRPr="00ED7E61">
        <w:rPr>
          <w:rStyle w:val="eop"/>
          <w:rFonts w:asciiTheme="majorBidi" w:eastAsiaTheme="majorEastAsia" w:hAnsiTheme="majorBidi" w:cstheme="majorBidi"/>
          <w:sz w:val="22"/>
          <w:szCs w:val="22"/>
        </w:rPr>
        <w:t> </w:t>
      </w:r>
    </w:p>
    <w:p w14:paraId="264E72DC" w14:textId="77777777" w:rsidR="00756F0F" w:rsidRPr="00ED7E61" w:rsidRDefault="00756F0F" w:rsidP="004E0302">
      <w:pPr>
        <w:pStyle w:val="paragraph"/>
        <w:pBdr>
          <w:bottom w:val="single" w:sz="4" w:space="1" w:color="000000"/>
        </w:pBdr>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4. Rationale </w:t>
      </w:r>
      <w:r w:rsidRPr="00ED7E61">
        <w:rPr>
          <w:rStyle w:val="eop"/>
          <w:rFonts w:asciiTheme="majorBidi" w:eastAsiaTheme="majorEastAsia" w:hAnsiTheme="majorBidi" w:cstheme="majorBidi"/>
          <w:b/>
          <w:bCs/>
          <w:sz w:val="22"/>
          <w:szCs w:val="22"/>
        </w:rPr>
        <w:t> </w:t>
      </w:r>
    </w:p>
    <w:p w14:paraId="4D1E8B6E" w14:textId="29FC872E" w:rsidR="00533D8E" w:rsidRPr="00ED7E61" w:rsidRDefault="00756F0F" w:rsidP="00B10F0C">
      <w:pPr>
        <w:pStyle w:val="CBDNormalNumber"/>
        <w:numPr>
          <w:ilvl w:val="0"/>
          <w:numId w:val="88"/>
        </w:numPr>
        <w:shd w:val="clear" w:color="auto" w:fill="FFFFFF"/>
        <w:tabs>
          <w:tab w:val="clear" w:pos="1701"/>
        </w:tabs>
        <w:ind w:left="567" w:firstLine="0"/>
        <w:rPr>
          <w:rFonts w:asciiTheme="majorBidi" w:hAnsiTheme="majorBidi" w:cstheme="majorBidi"/>
        </w:rPr>
      </w:pPr>
      <w:r w:rsidRPr="00ED7E61">
        <w:rPr>
          <w:lang w:val="en-US"/>
        </w:rPr>
        <w:t>Target</w:t>
      </w:r>
      <w:r w:rsidRPr="00ED7E61">
        <w:rPr>
          <w:rStyle w:val="normaltextrun"/>
          <w:rFonts w:asciiTheme="majorBidi" w:eastAsiaTheme="majorEastAsia" w:hAnsiTheme="majorBidi" w:cstheme="majorBidi"/>
        </w:rPr>
        <w:t xml:space="preserve"> 15 seeks to foster more sustainable patterns of production and financing. It aims to progressively reduce the risks related to biodiversity loss faced by business and finance as well as their negative impacts on biodiversity, and to increase their positive contributions to nature. By reporting on risks, dependencies, and impacts, companies and financial institutions contribute to a broader understanding of how their operations, supply and value chains, and portfolios interact with biodiversity. While there are several (private sector) reporting initiatives, there is currently no globally comprehensive information on this issue. This indicator - on disclosing biodiversity-related risks, dependencies, and impacts of businesses and finance - would address that important information gap. It encourages large and transnational companies and financial institutions to assess and recognize their role in biodiversity conservation. This involves assessing the impacts of their activities (or the operations they finance) on biodiversity and analysing the risks posed by biodiversity loss to their operations and supply chains. Subsequently, companies are prompted to take steps to address these identified impacts and risks. </w:t>
      </w:r>
      <w:r w:rsidRPr="00ED7E61">
        <w:rPr>
          <w:rStyle w:val="eop"/>
          <w:rFonts w:asciiTheme="majorBidi" w:eastAsiaTheme="majorEastAsia" w:hAnsiTheme="majorBidi" w:cstheme="majorBidi"/>
        </w:rPr>
        <w:t> </w:t>
      </w:r>
    </w:p>
    <w:p w14:paraId="4F522AA8" w14:textId="77777777"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Additionally, through comprehending the interconnections between biodiversity, businesses, and finance, governments can better formulate targeted regulations that address the most pressing challenges and promote sustainable practices. This broader understanding enables governments to identify the areas where regulatory intervention and support are most vital, allowing for the strategic allocation of resources to both mitigate adverse impacts and encourage positive contributions.</w:t>
      </w:r>
      <w:r w:rsidRPr="00ED7E61">
        <w:rPr>
          <w:rStyle w:val="eop"/>
          <w:rFonts w:asciiTheme="majorBidi" w:eastAsiaTheme="majorEastAsia" w:hAnsiTheme="majorBidi" w:cstheme="majorBidi"/>
        </w:rPr>
        <w:t> </w:t>
      </w:r>
    </w:p>
    <w:p w14:paraId="1E3B4188"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 Definitions, concepts and classifications</w:t>
      </w:r>
      <w:r w:rsidRPr="00ED7E61">
        <w:rPr>
          <w:rStyle w:val="eop"/>
          <w:rFonts w:asciiTheme="majorBidi" w:eastAsiaTheme="majorEastAsia" w:hAnsiTheme="majorBidi" w:cstheme="majorBidi"/>
          <w:b/>
          <w:bCs/>
          <w:sz w:val="22"/>
          <w:szCs w:val="22"/>
        </w:rPr>
        <w:t> </w:t>
      </w:r>
    </w:p>
    <w:p w14:paraId="624DB15B" w14:textId="77777777" w:rsidR="00756F0F" w:rsidRPr="00ED7E61" w:rsidRDefault="00756F0F" w:rsidP="004E0302">
      <w:pPr>
        <w:pStyle w:val="paragraph"/>
        <w:pBdr>
          <w:bottom w:val="single" w:sz="4" w:space="1" w:color="000000"/>
        </w:pBdr>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5a. Definition: </w:t>
      </w:r>
      <w:r w:rsidRPr="00ED7E61">
        <w:rPr>
          <w:rStyle w:val="eop"/>
          <w:rFonts w:asciiTheme="majorBidi" w:eastAsiaTheme="majorEastAsia" w:hAnsiTheme="majorBidi" w:cstheme="majorBidi"/>
          <w:b/>
          <w:bCs/>
          <w:sz w:val="22"/>
          <w:szCs w:val="22"/>
        </w:rPr>
        <w:t> </w:t>
      </w:r>
    </w:p>
    <w:p w14:paraId="5999DDAD" w14:textId="77777777" w:rsidR="00756F0F" w:rsidRPr="00ED7E61" w:rsidRDefault="00756F0F" w:rsidP="004E0302">
      <w:pPr>
        <w:pStyle w:val="paragraph"/>
        <w:spacing w:before="12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Indicator definition: </w:t>
      </w:r>
      <w:r w:rsidRPr="00ED7E61">
        <w:rPr>
          <w:rStyle w:val="eop"/>
          <w:rFonts w:asciiTheme="majorBidi" w:eastAsiaTheme="majorEastAsia" w:hAnsiTheme="majorBidi" w:cstheme="majorBidi"/>
          <w:sz w:val="22"/>
          <w:szCs w:val="22"/>
        </w:rPr>
        <w:t> </w:t>
      </w:r>
    </w:p>
    <w:p w14:paraId="7EDA2C15" w14:textId="77777777"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This</w:t>
      </w:r>
      <w:r w:rsidRPr="00ED7E61">
        <w:rPr>
          <w:rStyle w:val="normaltextrun"/>
          <w:rFonts w:asciiTheme="majorBidi" w:eastAsiaTheme="majorEastAsia" w:hAnsiTheme="majorBidi" w:cstheme="majorBidi"/>
          <w:lang w:val="en-AU"/>
        </w:rPr>
        <w:t xml:space="preserve"> indicator requests countries to measure the number of </w:t>
      </w:r>
      <w:r w:rsidRPr="00ED7E61">
        <w:rPr>
          <w:rStyle w:val="normaltextrun"/>
          <w:rFonts w:asciiTheme="majorBidi" w:eastAsiaTheme="majorEastAsia" w:hAnsiTheme="majorBidi" w:cstheme="majorBidi"/>
        </w:rPr>
        <w:t xml:space="preserve">large and transnational companies and financial institutions that </w:t>
      </w:r>
      <w:r w:rsidRPr="00ED7E61">
        <w:rPr>
          <w:rStyle w:val="normaltextrun"/>
          <w:rFonts w:asciiTheme="majorBidi" w:eastAsiaTheme="majorEastAsia" w:hAnsiTheme="majorBidi" w:cstheme="majorBidi"/>
          <w:lang w:val="en-AU"/>
        </w:rPr>
        <w:t>disclose information about their interactions with biodiversity in terms of risks, dependencies, and impacts. Companies and financial institutions reporting on these aspects typically disclose information about how their operations, their supply and value chains, or the operations they finance, affect biodiversity, the dependencies they have on biodiversity, and the risks posed by biodiversity loss to their operations and supply chains. </w:t>
      </w:r>
      <w:r w:rsidRPr="00ED7E61">
        <w:rPr>
          <w:rStyle w:val="eop"/>
          <w:rFonts w:asciiTheme="majorBidi" w:eastAsiaTheme="majorEastAsia" w:hAnsiTheme="majorBidi" w:cstheme="majorBidi"/>
        </w:rPr>
        <w:t> </w:t>
      </w:r>
    </w:p>
    <w:p w14:paraId="12DA139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color w:val="000000"/>
          <w:sz w:val="22"/>
          <w:szCs w:val="22"/>
          <w:lang w:val="en-AU"/>
        </w:rPr>
        <w:t>Other key concepts and definitions:</w:t>
      </w:r>
      <w:r w:rsidRPr="00ED7E61">
        <w:rPr>
          <w:rStyle w:val="eop"/>
          <w:rFonts w:asciiTheme="majorBidi" w:eastAsiaTheme="majorEastAsia" w:hAnsiTheme="majorBidi" w:cstheme="majorBidi"/>
          <w:color w:val="000000"/>
          <w:sz w:val="22"/>
          <w:szCs w:val="22"/>
        </w:rPr>
        <w:t> </w:t>
      </w:r>
    </w:p>
    <w:p w14:paraId="3E745FD3" w14:textId="7E3F65BB" w:rsidR="00533D8E"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Companies</w:t>
      </w:r>
      <w:r w:rsidRPr="00ED7E61">
        <w:rPr>
          <w:rStyle w:val="normaltextrun"/>
          <w:rFonts w:asciiTheme="majorBidi" w:eastAsiaTheme="majorEastAsia" w:hAnsiTheme="majorBidi" w:cstheme="majorBidi"/>
          <w:b/>
          <w:bCs/>
          <w:lang w:val="en-AU"/>
        </w:rPr>
        <w:t>,</w:t>
      </w:r>
      <w:r w:rsidRPr="00ED7E61">
        <w:rPr>
          <w:rStyle w:val="normaltextrun"/>
          <w:rFonts w:asciiTheme="majorBidi" w:eastAsiaTheme="majorEastAsia" w:hAnsiTheme="majorBidi" w:cstheme="majorBidi"/>
          <w:lang w:val="en-AU"/>
        </w:rPr>
        <w:t xml:space="preserve"> under this indicator are understood as enterprises and financial institutions that are nationally recognised as being </w:t>
      </w:r>
      <w:r w:rsidR="00D32683">
        <w:rPr>
          <w:rStyle w:val="normaltextrun"/>
          <w:rFonts w:asciiTheme="majorBidi" w:eastAsiaTheme="majorEastAsia" w:hAnsiTheme="majorBidi" w:cstheme="majorBidi"/>
          <w:lang w:val="en-AU"/>
        </w:rPr>
        <w:t>“</w:t>
      </w:r>
      <w:r w:rsidRPr="00FB1598">
        <w:rPr>
          <w:rStyle w:val="normaltextrun"/>
          <w:rFonts w:asciiTheme="majorBidi" w:eastAsiaTheme="majorEastAsia" w:hAnsiTheme="majorBidi" w:cstheme="majorBidi"/>
          <w:i/>
          <w:iCs/>
          <w:lang w:val="en-AU"/>
        </w:rPr>
        <w:t>large</w:t>
      </w:r>
      <w:r w:rsidR="00D32683">
        <w:rPr>
          <w:rStyle w:val="normaltextrun"/>
          <w:rFonts w:asciiTheme="majorBidi" w:eastAsiaTheme="majorEastAsia" w:hAnsiTheme="majorBidi" w:cstheme="majorBidi"/>
          <w:lang w:val="en-AU"/>
        </w:rPr>
        <w:t>”</w:t>
      </w:r>
      <w:r w:rsidRPr="00ED7E61">
        <w:rPr>
          <w:rStyle w:val="normaltextrun"/>
          <w:rFonts w:asciiTheme="majorBidi" w:eastAsiaTheme="majorEastAsia" w:hAnsiTheme="majorBidi" w:cstheme="majorBidi"/>
          <w:lang w:val="en-AU"/>
        </w:rPr>
        <w:t>.  Alternatively, parties may choose to rely on the World Bank’s definition for SMEs and consequently of large companies. The World Bank defines SMEs as those enterprises with a maximum of 300 employees, $15 million in annual revenue, and $15 million in assets. </w:t>
      </w:r>
      <w:r w:rsidRPr="00ED7E61">
        <w:rPr>
          <w:rStyle w:val="eop"/>
          <w:rFonts w:asciiTheme="majorBidi" w:eastAsiaTheme="majorEastAsia" w:hAnsiTheme="majorBidi" w:cstheme="majorBidi"/>
        </w:rPr>
        <w:t> </w:t>
      </w:r>
    </w:p>
    <w:p w14:paraId="6C9ADFCA" w14:textId="612EA347" w:rsidR="00533D8E"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While companies often deliver consolidated reports at a group level, it's important to recognize that many of their impacts manifest locally, and some subsidiaries or franchises produce their own sustainability reports. For the purpose of this indicator, both the group and subsidiary/franchise levels can be counted as distinct entities. Therefore, when using the term "</w:t>
      </w:r>
      <w:r w:rsidRPr="00FB1598">
        <w:rPr>
          <w:rStyle w:val="normaltextrun"/>
          <w:rFonts w:asciiTheme="majorBidi" w:eastAsiaTheme="majorEastAsia" w:hAnsiTheme="majorBidi" w:cstheme="majorBidi"/>
          <w:i/>
          <w:iCs/>
          <w:lang w:val="en-AU"/>
        </w:rPr>
        <w:t>company</w:t>
      </w:r>
      <w:r w:rsidRPr="00ED7E61">
        <w:rPr>
          <w:rStyle w:val="normaltextrun"/>
          <w:rFonts w:asciiTheme="majorBidi" w:eastAsiaTheme="majorEastAsia" w:hAnsiTheme="majorBidi" w:cstheme="majorBidi"/>
          <w:lang w:val="en-AU"/>
        </w:rPr>
        <w:t>" it can refer to either the parent company or a franchise/subsidiary, depending on how they disclose information on biodiversity-related risks, dependencies and impacts.</w:t>
      </w:r>
      <w:r w:rsidRPr="00ED7E61">
        <w:rPr>
          <w:rStyle w:val="eop"/>
          <w:rFonts w:asciiTheme="majorBidi" w:eastAsiaTheme="majorEastAsia" w:hAnsiTheme="majorBidi" w:cstheme="majorBidi"/>
        </w:rPr>
        <w:t> </w:t>
      </w:r>
    </w:p>
    <w:p w14:paraId="368B6AE5" w14:textId="6DB17D3B" w:rsidR="00533D8E" w:rsidRPr="00ED7E61" w:rsidRDefault="00756F0F" w:rsidP="00B10F0C">
      <w:pPr>
        <w:pStyle w:val="CBDNormalNumber"/>
        <w:numPr>
          <w:ilvl w:val="0"/>
          <w:numId w:val="88"/>
        </w:numPr>
        <w:shd w:val="clear" w:color="auto" w:fill="FFFFFF"/>
        <w:ind w:left="567" w:firstLine="0"/>
      </w:pPr>
      <w:r w:rsidRPr="00ED7E61">
        <w:rPr>
          <w:rStyle w:val="normaltextrun"/>
          <w:rFonts w:asciiTheme="majorBidi" w:eastAsiaTheme="majorEastAsia" w:hAnsiTheme="majorBidi" w:cstheme="majorBidi"/>
          <w:lang w:val="en-AU"/>
        </w:rPr>
        <w:t>Disclosing</w:t>
      </w:r>
      <w:r w:rsidRPr="00ED7E61">
        <w:rPr>
          <w:rStyle w:val="normaltextrun"/>
          <w:rFonts w:asciiTheme="majorBidi" w:eastAsiaTheme="majorEastAsia" w:hAnsiTheme="majorBidi" w:cstheme="majorBidi"/>
          <w:i/>
          <w:iCs/>
          <w:lang w:val="en-AU"/>
        </w:rPr>
        <w:t xml:space="preserve">, </w:t>
      </w:r>
      <w:r w:rsidRPr="00ED7E61">
        <w:rPr>
          <w:rStyle w:val="normaltextrun"/>
          <w:rFonts w:asciiTheme="majorBidi" w:eastAsiaTheme="majorEastAsia" w:hAnsiTheme="majorBidi" w:cstheme="majorBidi"/>
          <w:lang w:val="en-AU"/>
        </w:rPr>
        <w:t>is understood for this indicator as the act of making information available to the general public and stakeholders, in a clear and transparent manner. In this context, it means making information publicly available about a company’s impacts and dependencies on biodiversity, and its risks from biodiversity loss.</w:t>
      </w:r>
      <w:r w:rsidRPr="00ED7E61">
        <w:rPr>
          <w:rStyle w:val="eop"/>
          <w:rFonts w:asciiTheme="majorBidi" w:eastAsiaTheme="majorEastAsia" w:hAnsiTheme="majorBidi" w:cstheme="majorBidi"/>
        </w:rPr>
        <w:t> </w:t>
      </w:r>
    </w:p>
    <w:p w14:paraId="60A6E27D" w14:textId="77777777"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Biodiversity-related</w:t>
      </w:r>
      <w:r w:rsidRPr="00ED7E61">
        <w:rPr>
          <w:rStyle w:val="normaltextrun"/>
          <w:rFonts w:asciiTheme="majorBidi" w:eastAsiaTheme="majorEastAsia" w:hAnsiTheme="majorBidi" w:cstheme="majorBidi"/>
          <w:b/>
          <w:bCs/>
          <w:i/>
          <w:iCs/>
          <w:lang w:val="en-AU"/>
        </w:rPr>
        <w:t xml:space="preserve"> </w:t>
      </w:r>
      <w:r w:rsidRPr="00ED7E61">
        <w:rPr>
          <w:rStyle w:val="normaltextrun"/>
          <w:rFonts w:asciiTheme="majorBidi" w:eastAsiaTheme="majorEastAsia" w:hAnsiTheme="majorBidi" w:cstheme="majorBidi"/>
          <w:i/>
          <w:iCs/>
          <w:lang w:val="en-AU"/>
        </w:rPr>
        <w:t>risks</w:t>
      </w:r>
      <w:r w:rsidRPr="00ED7E61">
        <w:rPr>
          <w:rStyle w:val="normaltextrun"/>
          <w:rFonts w:asciiTheme="majorBidi" w:eastAsiaTheme="majorEastAsia" w:hAnsiTheme="majorBidi" w:cstheme="majorBidi"/>
          <w:lang w:val="en-AU"/>
        </w:rPr>
        <w:t xml:space="preserve"> to businesses are categorised as:</w:t>
      </w:r>
      <w:r w:rsidRPr="00ED7E61">
        <w:rPr>
          <w:rStyle w:val="eop"/>
          <w:rFonts w:asciiTheme="majorBidi" w:eastAsiaTheme="majorEastAsia" w:hAnsiTheme="majorBidi" w:cstheme="majorBidi"/>
        </w:rPr>
        <w:t> </w:t>
      </w:r>
    </w:p>
    <w:p w14:paraId="7D4BCB6B" w14:textId="553ACDCF"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Ecological risks, i.e. risks related to biodiversity-related ecological impacts and dependencies, linked to biodiversity loss or ecosystems degradation.</w:t>
      </w:r>
      <w:r w:rsidRPr="00ED7E61">
        <w:rPr>
          <w:rStyle w:val="normaltextrun"/>
        </w:rPr>
        <w:t> </w:t>
      </w:r>
    </w:p>
    <w:p w14:paraId="5FC7CB4B"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Liability risks, where parties who have suffered biodiversity-related loss or damage seek compensation for those they hold responsible.</w:t>
      </w:r>
      <w:r w:rsidRPr="00ED7E61">
        <w:rPr>
          <w:rStyle w:val="normaltextrun"/>
        </w:rPr>
        <w:t> </w:t>
      </w:r>
    </w:p>
    <w:p w14:paraId="0ECEED2B"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Risks related to achieve transformative change for biodiversity, including regulatory risks, market risks and financial risks. </w:t>
      </w:r>
      <w:r w:rsidRPr="00ED7E61">
        <w:rPr>
          <w:rStyle w:val="normaltextrun"/>
        </w:rPr>
        <w:t> </w:t>
      </w:r>
    </w:p>
    <w:p w14:paraId="7F6A4878" w14:textId="4884E61A" w:rsidR="00756F0F" w:rsidRPr="00ED7E61" w:rsidRDefault="00756F0F" w:rsidP="005B0D1E">
      <w:pPr>
        <w:pStyle w:val="paragraph"/>
        <w:spacing w:before="0" w:beforeAutospacing="0" w:after="0" w:afterAutospacing="0"/>
        <w:ind w:firstLine="1276"/>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AU"/>
        </w:rPr>
        <w:t>(OECD, Biodiversity: Finance and the Economic and Business Case for Action, 2019)</w:t>
      </w:r>
      <w:r w:rsidRPr="00ED7E61">
        <w:rPr>
          <w:rStyle w:val="eop"/>
          <w:rFonts w:asciiTheme="majorBidi" w:eastAsiaTheme="majorEastAsia" w:hAnsiTheme="majorBidi" w:cstheme="majorBidi"/>
          <w:sz w:val="22"/>
          <w:szCs w:val="22"/>
        </w:rPr>
        <w:t> </w:t>
      </w:r>
    </w:p>
    <w:p w14:paraId="46970E4F" w14:textId="4E83996E"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 xml:space="preserve">Dependencies are aspects of environmental assets and ecosystem services that a person or an organisation relies on to function. A company’s business model, for example, may depend on the ecosystem services of water flow, water quality regulation and the regulation of hazards like fires and floods; provision of suitable habitat for pollinators, who in turn provide a service directly to economies; and carbon sequestration. (Sources: </w:t>
      </w:r>
      <w:hyperlink r:id="rId532" w:tgtFrame="_blank" w:history="1">
        <w:r w:rsidRPr="00ED7E61">
          <w:rPr>
            <w:rStyle w:val="normaltextrun"/>
            <w:rFonts w:asciiTheme="majorBidi" w:eastAsiaTheme="majorEastAsia" w:hAnsiTheme="majorBidi" w:cstheme="majorBidi"/>
            <w:color w:val="467886"/>
            <w:u w:val="single"/>
            <w:lang w:val="en-AU"/>
          </w:rPr>
          <w:t>TNFD Glossary of Key Terms</w:t>
        </w:r>
      </w:hyperlink>
      <w:r w:rsidRPr="00ED7E61">
        <w:rPr>
          <w:rStyle w:val="normaltextrun"/>
          <w:rFonts w:asciiTheme="majorBidi" w:eastAsiaTheme="majorEastAsia" w:hAnsiTheme="majorBidi" w:cstheme="majorBidi"/>
          <w:lang w:val="en-AU"/>
        </w:rPr>
        <w:t xml:space="preserve">, version September 2023, and adapted from Science Based Targets Network (2023) </w:t>
      </w:r>
      <w:hyperlink r:id="rId533" w:tgtFrame="_blank" w:history="1">
        <w:r w:rsidRPr="00ED7E61">
          <w:rPr>
            <w:rStyle w:val="normaltextrun"/>
            <w:rFonts w:asciiTheme="majorBidi" w:eastAsiaTheme="majorEastAsia" w:hAnsiTheme="majorBidi" w:cstheme="majorBidi"/>
            <w:color w:val="467886"/>
            <w:u w:val="single"/>
            <w:lang w:val="en-AU"/>
          </w:rPr>
          <w:t>SBTN Glossary of Terms</w:t>
        </w:r>
      </w:hyperlink>
      <w:r w:rsidRPr="00ED7E61">
        <w:rPr>
          <w:rStyle w:val="normaltextrun"/>
          <w:rFonts w:asciiTheme="majorBidi" w:eastAsiaTheme="majorEastAsia" w:hAnsiTheme="majorBidi" w:cstheme="majorBidi"/>
          <w:lang w:val="en-AU"/>
        </w:rPr>
        <w:t xml:space="preserve"> )</w:t>
      </w:r>
    </w:p>
    <w:p w14:paraId="2C0CCE8F" w14:textId="77777777"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Impacts</w:t>
      </w:r>
      <w:r w:rsidRPr="00ED7E61">
        <w:rPr>
          <w:rStyle w:val="normaltextrun"/>
          <w:rFonts w:asciiTheme="majorBidi" w:eastAsiaTheme="majorEastAsia" w:hAnsiTheme="majorBidi" w:cstheme="majorBidi"/>
          <w:b/>
          <w:bCs/>
          <w:lang w:val="en-AU"/>
        </w:rPr>
        <w:t xml:space="preserve"> </w:t>
      </w:r>
      <w:r w:rsidRPr="00ED7E61">
        <w:rPr>
          <w:rStyle w:val="normaltextrun"/>
          <w:rFonts w:asciiTheme="majorBidi" w:eastAsiaTheme="majorEastAsia" w:hAnsiTheme="majorBidi" w:cstheme="majorBidi"/>
          <w:lang w:val="en-AU"/>
        </w:rPr>
        <w:t>refer to a change in the state of nature (quality or quantity), which may result in changes to the capacity of nature to provide social and economic functions. Impacts can be positive or negative. They can be the result of an organisation’s or another party’s actions.</w:t>
      </w:r>
      <w:r w:rsidRPr="00ED7E61">
        <w:rPr>
          <w:rStyle w:val="eop"/>
          <w:rFonts w:asciiTheme="majorBidi" w:eastAsiaTheme="majorEastAsia" w:hAnsiTheme="majorBidi" w:cstheme="majorBidi"/>
        </w:rPr>
        <w:t> </w:t>
      </w:r>
    </w:p>
    <w:p w14:paraId="025CFFF9" w14:textId="77777777" w:rsidR="00756F0F" w:rsidRPr="00ED7E61" w:rsidRDefault="00756F0F" w:rsidP="00B10F0C">
      <w:pPr>
        <w:pStyle w:val="CBDNormalNumber"/>
        <w:numPr>
          <w:ilvl w:val="0"/>
          <w:numId w:val="88"/>
        </w:numPr>
        <w:shd w:val="clear" w:color="auto" w:fill="FFFFFF"/>
        <w:ind w:left="567" w:firstLine="0"/>
        <w:rPr>
          <w:rStyle w:val="normaltextrun"/>
          <w:rFonts w:eastAsiaTheme="majorEastAsia"/>
          <w:lang w:val="en-AU"/>
        </w:rPr>
      </w:pPr>
      <w:r w:rsidRPr="00ED7E61">
        <w:rPr>
          <w:rStyle w:val="normaltextrun"/>
          <w:rFonts w:asciiTheme="majorBidi" w:eastAsiaTheme="majorEastAsia" w:hAnsiTheme="majorBidi" w:cstheme="majorBidi"/>
          <w:lang w:val="en-AU"/>
        </w:rPr>
        <w:t>Impacts may be:</w:t>
      </w:r>
      <w:r w:rsidRPr="00ED7E61">
        <w:rPr>
          <w:rStyle w:val="normaltextrun"/>
          <w:lang w:val="en-AU"/>
        </w:rPr>
        <w:t> </w:t>
      </w:r>
    </w:p>
    <w:p w14:paraId="44D49387" w14:textId="77777777" w:rsidR="00756F0F" w:rsidRPr="00ED7E61" w:rsidRDefault="00756F0F" w:rsidP="00B10F0C">
      <w:pPr>
        <w:pStyle w:val="CBDNormalNumber"/>
        <w:numPr>
          <w:ilvl w:val="1"/>
          <w:numId w:val="8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Direct – a change in the state of nature caused by a business activity with a direct causal link;</w:t>
      </w:r>
      <w:r w:rsidRPr="00ED7E61">
        <w:rPr>
          <w:rStyle w:val="normaltextrun"/>
        </w:rPr>
        <w:t> </w:t>
      </w:r>
    </w:p>
    <w:p w14:paraId="2A2C71FF" w14:textId="77777777" w:rsidR="00756F0F" w:rsidRPr="00ED7E61" w:rsidRDefault="00756F0F" w:rsidP="00B10F0C">
      <w:pPr>
        <w:pStyle w:val="CBDNormalNumber"/>
        <w:numPr>
          <w:ilvl w:val="1"/>
          <w:numId w:val="8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Indirect – a change in the state of nature caused by a business activity with an indirect causal link (e.g. indirectly caused by climate change generated by greenhouse gas emissions); and/or</w:t>
      </w:r>
      <w:r w:rsidRPr="00ED7E61">
        <w:rPr>
          <w:rStyle w:val="normaltextrun"/>
        </w:rPr>
        <w:t> </w:t>
      </w:r>
    </w:p>
    <w:p w14:paraId="061E06DA" w14:textId="77777777" w:rsidR="00756F0F" w:rsidRPr="00ED7E61" w:rsidRDefault="00756F0F" w:rsidP="00B10F0C">
      <w:pPr>
        <w:pStyle w:val="CBDNormalNumber"/>
        <w:numPr>
          <w:ilvl w:val="1"/>
          <w:numId w:val="8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Cumulative – a change in the state of nature (direct or indirect) that occurs due to the interaction of activities of different actors operating in a landscape or freshwater/marine area.</w:t>
      </w:r>
      <w:r w:rsidRPr="00ED7E61">
        <w:rPr>
          <w:rStyle w:val="normaltextrun"/>
        </w:rPr>
        <w:t> </w:t>
      </w:r>
    </w:p>
    <w:p w14:paraId="48F98A0C" w14:textId="77777777" w:rsidR="00756F0F" w:rsidRPr="00ED7E61" w:rsidRDefault="00756F0F" w:rsidP="005B0D1E">
      <w:pPr>
        <w:pStyle w:val="paragraph"/>
        <w:spacing w:before="0" w:beforeAutospacing="0" w:after="0" w:afterAutospacing="0"/>
        <w:ind w:left="1134"/>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AU"/>
        </w:rPr>
        <w:t xml:space="preserve">(Sources: </w:t>
      </w:r>
      <w:hyperlink r:id="rId534" w:tgtFrame="_blank" w:history="1">
        <w:r w:rsidRPr="00ED7E61">
          <w:rPr>
            <w:rStyle w:val="normaltextrun"/>
            <w:rFonts w:asciiTheme="majorBidi" w:eastAsiaTheme="majorEastAsia" w:hAnsiTheme="majorBidi" w:cstheme="majorBidi"/>
            <w:color w:val="467886"/>
            <w:sz w:val="22"/>
            <w:szCs w:val="22"/>
            <w:u w:val="single"/>
            <w:lang w:val="en-AU"/>
          </w:rPr>
          <w:t>TNFD Guidance on the identification and assessment of nature related issues: The LEAP approach</w:t>
        </w:r>
      </w:hyperlink>
      <w:r w:rsidRPr="00ED7E61">
        <w:rPr>
          <w:rStyle w:val="normaltextrun"/>
          <w:rFonts w:asciiTheme="majorBidi" w:eastAsiaTheme="majorEastAsia" w:hAnsiTheme="majorBidi" w:cstheme="majorBidi"/>
          <w:sz w:val="22"/>
          <w:szCs w:val="22"/>
          <w:lang w:val="en-AU"/>
        </w:rPr>
        <w:t xml:space="preserve">, version October 2023; Science Based Targets Network (2023) </w:t>
      </w:r>
      <w:hyperlink r:id="rId535" w:tgtFrame="_blank" w:history="1">
        <w:r w:rsidRPr="00ED7E61">
          <w:rPr>
            <w:rStyle w:val="normaltextrun"/>
            <w:rFonts w:asciiTheme="majorBidi" w:eastAsiaTheme="majorEastAsia" w:hAnsiTheme="majorBidi" w:cstheme="majorBidi"/>
            <w:color w:val="467886"/>
            <w:sz w:val="22"/>
            <w:szCs w:val="22"/>
            <w:u w:val="single"/>
            <w:lang w:val="en-AU"/>
          </w:rPr>
          <w:t>SBTN Glossary of Terms</w:t>
        </w:r>
      </w:hyperlink>
      <w:r w:rsidRPr="00ED7E61">
        <w:rPr>
          <w:rStyle w:val="normaltextrun"/>
          <w:rFonts w:asciiTheme="majorBidi" w:eastAsiaTheme="majorEastAsia" w:hAnsiTheme="majorBidi" w:cstheme="majorBidi"/>
          <w:sz w:val="22"/>
          <w:szCs w:val="22"/>
          <w:lang w:val="en-AU"/>
        </w:rPr>
        <w:t xml:space="preserve">; Capitals Coalition (2016) </w:t>
      </w:r>
      <w:hyperlink r:id="rId536" w:tgtFrame="_blank" w:history="1">
        <w:r w:rsidRPr="00ED7E61">
          <w:rPr>
            <w:rStyle w:val="normaltextrun"/>
            <w:rFonts w:asciiTheme="majorBidi" w:eastAsiaTheme="majorEastAsia" w:hAnsiTheme="majorBidi" w:cstheme="majorBidi"/>
            <w:color w:val="467886"/>
            <w:sz w:val="22"/>
            <w:szCs w:val="22"/>
            <w:u w:val="single"/>
            <w:lang w:val="en-AU"/>
          </w:rPr>
          <w:t>The Natural Capital Protocol</w:t>
        </w:r>
      </w:hyperlink>
      <w:r w:rsidRPr="00ED7E61">
        <w:rPr>
          <w:rStyle w:val="normaltextrun"/>
          <w:rFonts w:asciiTheme="majorBidi" w:eastAsiaTheme="majorEastAsia" w:hAnsiTheme="majorBidi" w:cstheme="majorBidi"/>
          <w:sz w:val="22"/>
          <w:szCs w:val="22"/>
          <w:lang w:val="en-AU"/>
        </w:rPr>
        <w:t xml:space="preserve">; Climate Disclosure Standards Board (2021) </w:t>
      </w:r>
      <w:hyperlink r:id="rId537" w:tgtFrame="_blank" w:history="1">
        <w:r w:rsidRPr="00ED7E61">
          <w:rPr>
            <w:rStyle w:val="normaltextrun"/>
            <w:rFonts w:asciiTheme="majorBidi" w:eastAsiaTheme="majorEastAsia" w:hAnsiTheme="majorBidi" w:cstheme="majorBidi"/>
            <w:color w:val="467886"/>
            <w:sz w:val="22"/>
            <w:szCs w:val="22"/>
            <w:u w:val="single"/>
            <w:lang w:val="en-AU"/>
          </w:rPr>
          <w:t>Application guidance for biodiversity-related disclosures</w:t>
        </w:r>
      </w:hyperlink>
      <w:r w:rsidRPr="00ED7E61">
        <w:rPr>
          <w:rStyle w:val="normaltextrun"/>
          <w:rFonts w:asciiTheme="majorBidi" w:eastAsiaTheme="majorEastAsia" w:hAnsiTheme="majorBidi" w:cstheme="majorBidi"/>
          <w:sz w:val="22"/>
          <w:szCs w:val="22"/>
          <w:lang w:val="en-AU"/>
        </w:rPr>
        <w:t>.)</w:t>
      </w:r>
      <w:r w:rsidRPr="00ED7E61">
        <w:rPr>
          <w:rStyle w:val="eop"/>
          <w:rFonts w:asciiTheme="majorBidi" w:eastAsiaTheme="majorEastAsia" w:hAnsiTheme="majorBidi" w:cstheme="majorBidi"/>
          <w:sz w:val="22"/>
          <w:szCs w:val="22"/>
        </w:rPr>
        <w:t> </w:t>
      </w:r>
    </w:p>
    <w:p w14:paraId="2831D8AF" w14:textId="77777777" w:rsidR="00756F0F" w:rsidRPr="00ED7E61" w:rsidRDefault="00756F0F" w:rsidP="00395866">
      <w:pPr>
        <w:pStyle w:val="paragraph"/>
        <w:pBdr>
          <w:bottom w:val="single" w:sz="4" w:space="1" w:color="000000"/>
        </w:pBdr>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5b. Method of computation</w:t>
      </w:r>
      <w:r w:rsidRPr="00ED7E61">
        <w:rPr>
          <w:rStyle w:val="eop"/>
          <w:rFonts w:asciiTheme="majorBidi" w:eastAsiaTheme="majorEastAsia" w:hAnsiTheme="majorBidi" w:cstheme="majorBidi"/>
          <w:b/>
          <w:bCs/>
          <w:sz w:val="22"/>
          <w:szCs w:val="22"/>
        </w:rPr>
        <w:t> </w:t>
      </w:r>
    </w:p>
    <w:p w14:paraId="1B5281C0" w14:textId="77777777"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In order to be counted under the indicator, companies and financial institutions need to publicly disclose their biodiversity-related risks, impacts and dependencies on a regular basis, and in line with relevant standards, regulations and/or best practices. For example, through disclosure of risks, impacts and dependencies on biodiversity, in line with:</w:t>
      </w:r>
      <w:r w:rsidRPr="00ED7E61">
        <w:rPr>
          <w:rStyle w:val="eop"/>
          <w:rFonts w:asciiTheme="majorBidi" w:eastAsiaTheme="majorEastAsia" w:hAnsiTheme="majorBidi" w:cstheme="majorBidi"/>
        </w:rPr>
        <w:t> </w:t>
      </w:r>
    </w:p>
    <w:p w14:paraId="474863DD" w14:textId="4BF65112" w:rsidR="00756F0F" w:rsidRPr="00ED7E61" w:rsidRDefault="00756F0F" w:rsidP="00B10F0C">
      <w:pPr>
        <w:pStyle w:val="CBDNormalNumber"/>
        <w:numPr>
          <w:ilvl w:val="1"/>
          <w:numId w:val="8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 xml:space="preserve">International Standards, e.g. as evolving from the International Sustainability Standards Board </w:t>
      </w:r>
      <w:r w:rsidR="000B668D" w:rsidRPr="00ED7E61">
        <w:rPr>
          <w:rStyle w:val="normaltextrun"/>
          <w:rFonts w:eastAsiaTheme="majorEastAsia"/>
        </w:rPr>
        <w:t>(IFRS, ISSB S1 (global), S2 (climate) and forthcoming S3 on nature)</w:t>
      </w:r>
      <w:r w:rsidR="000B668D" w:rsidRPr="00ED7E61" w:rsidDel="000B668D">
        <w:rPr>
          <w:rStyle w:val="normaltextrun"/>
          <w:rFonts w:eastAsiaTheme="majorEastAsia"/>
        </w:rPr>
        <w:t xml:space="preserve"> </w:t>
      </w:r>
      <w:r w:rsidRPr="00ED7E61">
        <w:rPr>
          <w:rStyle w:val="normaltextrun"/>
        </w:rPr>
        <w:t> </w:t>
      </w:r>
    </w:p>
    <w:p w14:paraId="3F2BE935" w14:textId="4390F555" w:rsidR="00756F0F" w:rsidRPr="00ED7E61" w:rsidRDefault="00756F0F" w:rsidP="00B10F0C">
      <w:pPr>
        <w:pStyle w:val="CBDNormalNumber"/>
        <w:numPr>
          <w:ilvl w:val="1"/>
          <w:numId w:val="8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Regional regulation, e.g. European Union Corporate Sustainability Reporting Directive (CSRD)</w:t>
      </w:r>
      <w:r w:rsidRPr="00ED7E61">
        <w:rPr>
          <w:rStyle w:val="normaltextrun"/>
        </w:rPr>
        <w:t> </w:t>
      </w:r>
    </w:p>
    <w:p w14:paraId="129E5A84" w14:textId="2B2096E5" w:rsidR="00756F0F" w:rsidRPr="00ED7E61" w:rsidRDefault="00756F0F" w:rsidP="00B10F0C">
      <w:pPr>
        <w:pStyle w:val="CBDNormalNumber"/>
        <w:numPr>
          <w:ilvl w:val="1"/>
          <w:numId w:val="8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National regulation, e.g. France Energy and Climate Law (LEC), India’s Business Responsibility and Sustainability Report (BRSR)</w:t>
      </w:r>
      <w:r w:rsidRPr="00ED7E61">
        <w:rPr>
          <w:rStyle w:val="normaltextrun"/>
        </w:rPr>
        <w:t> </w:t>
      </w:r>
    </w:p>
    <w:p w14:paraId="60033FA3" w14:textId="1C49A0F1" w:rsidR="00756F0F" w:rsidRPr="00ED7E61" w:rsidRDefault="00756F0F" w:rsidP="00B10F0C">
      <w:pPr>
        <w:pStyle w:val="CBDNormalNumber"/>
        <w:numPr>
          <w:ilvl w:val="1"/>
          <w:numId w:val="8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Voluntary standards, e.g. Global Reporting Initiative (GRI)</w:t>
      </w:r>
      <w:r w:rsidRPr="00ED7E61">
        <w:rPr>
          <w:rStyle w:val="normaltextrun"/>
        </w:rPr>
        <w:t> </w:t>
      </w:r>
    </w:p>
    <w:p w14:paraId="77AD2734" w14:textId="77777777" w:rsidR="00756F0F" w:rsidRPr="00ED7E61" w:rsidRDefault="00756F0F" w:rsidP="00B10F0C">
      <w:pPr>
        <w:pStyle w:val="CBDNormalNumber"/>
        <w:numPr>
          <w:ilvl w:val="1"/>
          <w:numId w:val="88"/>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Voluntary disclosure frameworks / guidance, e.g. Taskforce for Nature-related Financial Disclosure (TNFD), Science-Based Targets for Nature (SBTN), Biodiversity Disclosure Protocol (South Africa)</w:t>
      </w:r>
      <w:r w:rsidRPr="00ED7E61">
        <w:rPr>
          <w:rStyle w:val="normaltextrun"/>
        </w:rPr>
        <w:t> </w:t>
      </w:r>
    </w:p>
    <w:p w14:paraId="48C5F1AC" w14:textId="77777777"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The computation of the indicator involves a straightforward counting process. Any entity that adheres to the "</w:t>
      </w:r>
      <w:r w:rsidRPr="00FB1598">
        <w:rPr>
          <w:rStyle w:val="normaltextrun"/>
          <w:rFonts w:asciiTheme="majorBidi" w:eastAsiaTheme="majorEastAsia" w:hAnsiTheme="majorBidi" w:cstheme="majorBidi"/>
          <w:i/>
          <w:iCs/>
          <w:lang w:val="en-AU"/>
        </w:rPr>
        <w:t>company</w:t>
      </w:r>
      <w:r w:rsidRPr="00ED7E61">
        <w:rPr>
          <w:rStyle w:val="normaltextrun"/>
          <w:rFonts w:asciiTheme="majorBidi" w:eastAsiaTheme="majorEastAsia" w:hAnsiTheme="majorBidi" w:cstheme="majorBidi"/>
          <w:lang w:val="en-AU"/>
        </w:rPr>
        <w:t>" definition (see 5a) and that discloses its biodiversity-related risks, impacts and dependencies, per description above, is counted as a disclosing company within the context of this indicator. </w:t>
      </w:r>
      <w:r w:rsidRPr="00ED7E61">
        <w:rPr>
          <w:rStyle w:val="eop"/>
          <w:rFonts w:asciiTheme="majorBidi" w:eastAsiaTheme="majorEastAsia" w:hAnsiTheme="majorBidi" w:cstheme="majorBidi"/>
        </w:rPr>
        <w:t> </w:t>
      </w:r>
    </w:p>
    <w:p w14:paraId="6CD53005" w14:textId="77777777" w:rsidR="00756F0F" w:rsidRPr="00ED7E61" w:rsidRDefault="00756F0F" w:rsidP="00395866">
      <w:pPr>
        <w:pStyle w:val="paragraph"/>
        <w:pBdr>
          <w:bottom w:val="single" w:sz="4" w:space="1" w:color="000000"/>
        </w:pBdr>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5c. Data collection method </w:t>
      </w:r>
      <w:r w:rsidRPr="00ED7E61">
        <w:rPr>
          <w:rStyle w:val="eop"/>
          <w:rFonts w:asciiTheme="majorBidi" w:eastAsiaTheme="majorEastAsia" w:hAnsiTheme="majorBidi" w:cstheme="majorBidi"/>
          <w:b/>
          <w:bCs/>
          <w:sz w:val="22"/>
          <w:szCs w:val="22"/>
        </w:rPr>
        <w:t> </w:t>
      </w:r>
    </w:p>
    <w:p w14:paraId="1D7F4E42" w14:textId="35AB10E1"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Governments have various channels through which they can gather information about which and how many companies and financial institutions disclose information about their biodiversity risks, dependencies, and impacts. It's important for governments to use a combination of approaches to ensure a comprehensive overview of biodiversity disclosures within their country. Collaborative efforts with businesses, industry stakeholders, and civil society can contribute to a more robust and effective monitoring system:</w:t>
      </w:r>
      <w:r w:rsidRPr="00ED7E61">
        <w:rPr>
          <w:rStyle w:val="eop"/>
          <w:rFonts w:asciiTheme="majorBidi" w:eastAsiaTheme="majorEastAsia" w:hAnsiTheme="majorBidi" w:cstheme="majorBidi"/>
        </w:rPr>
        <w:t> </w:t>
      </w:r>
    </w:p>
    <w:p w14:paraId="7F1A92BF" w14:textId="46AA3749" w:rsidR="009D6E5D" w:rsidRPr="00ED7E61" w:rsidRDefault="00756F0F" w:rsidP="00B10F0C">
      <w:pPr>
        <w:pStyle w:val="CBDNormalNumber"/>
        <w:numPr>
          <w:ilvl w:val="1"/>
          <w:numId w:val="88"/>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eastAsiaTheme="majorEastAsia"/>
        </w:rPr>
        <w:t>Public</w:t>
      </w:r>
      <w:r w:rsidRPr="00ED7E61">
        <w:rPr>
          <w:rStyle w:val="normaltextrun"/>
          <w:rFonts w:asciiTheme="majorBidi" w:eastAsiaTheme="majorEastAsia" w:hAnsiTheme="majorBidi" w:cstheme="majorBidi"/>
          <w:u w:val="single"/>
          <w:lang w:val="en-AU"/>
        </w:rPr>
        <w:t xml:space="preserve"> </w:t>
      </w:r>
      <w:r w:rsidRPr="00ED7E61">
        <w:rPr>
          <w:rStyle w:val="normaltextrun"/>
          <w:rFonts w:asciiTheme="majorBidi" w:eastAsiaTheme="majorEastAsia" w:hAnsiTheme="majorBidi" w:cstheme="majorBidi"/>
          <w:lang w:val="en-AU"/>
        </w:rPr>
        <w:t>institutions: Governments could engage with (inter)national standard setters, regulators, national ministries, or other public institutions to explore collaboration around collating information on the number of businesses disclosing relevant data. </w:t>
      </w:r>
      <w:r w:rsidRPr="00ED7E61">
        <w:rPr>
          <w:rStyle w:val="eop"/>
          <w:rFonts w:asciiTheme="majorBidi" w:eastAsiaTheme="majorEastAsia" w:hAnsiTheme="majorBidi" w:cstheme="majorBidi"/>
        </w:rPr>
        <w:t> </w:t>
      </w:r>
      <w:r w:rsidRPr="00ED7E61">
        <w:rPr>
          <w:rStyle w:val="normaltextrun"/>
          <w:rFonts w:asciiTheme="majorBidi" w:eastAsiaTheme="majorEastAsia" w:hAnsiTheme="majorBidi" w:cstheme="majorBidi"/>
          <w:lang w:val="en-AU"/>
        </w:rPr>
        <w:t>For example, in France, companies send their reports to the Autorité des Marchés Financiers – AMF, to be in compliance with the energy-climate law (article 29) requiring asset management companies and financial companies (for their asset management activities) to disclose their nature-related risks, impacts and dependencies. These reports are then sent to ADEME (a public environmental institution), which makes a comparative analysis. </w:t>
      </w:r>
      <w:r w:rsidRPr="00ED7E61">
        <w:rPr>
          <w:rStyle w:val="eop"/>
          <w:rFonts w:asciiTheme="majorBidi" w:eastAsiaTheme="majorEastAsia" w:hAnsiTheme="majorBidi" w:cstheme="majorBidi"/>
        </w:rPr>
        <w:t> </w:t>
      </w:r>
    </w:p>
    <w:p w14:paraId="7B284E45" w14:textId="4FAFF78B" w:rsidR="009D6E5D" w:rsidRPr="00ED7E61" w:rsidRDefault="00756F0F" w:rsidP="00B10F0C">
      <w:pPr>
        <w:pStyle w:val="CBDNormalNumber"/>
        <w:numPr>
          <w:ilvl w:val="1"/>
          <w:numId w:val="88"/>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lang w:val="en-AU"/>
        </w:rPr>
        <w:t>International reporting platforms</w:t>
      </w:r>
      <w:r w:rsidRPr="00ED7E61">
        <w:rPr>
          <w:rStyle w:val="normaltextrun"/>
          <w:rFonts w:asciiTheme="majorBidi" w:eastAsiaTheme="majorEastAsia" w:hAnsiTheme="majorBidi" w:cstheme="majorBidi"/>
          <w:u w:val="single"/>
          <w:lang w:val="en-AU"/>
        </w:rPr>
        <w:t>:</w:t>
      </w:r>
      <w:r w:rsidRPr="00ED7E61">
        <w:rPr>
          <w:rStyle w:val="normaltextrun"/>
          <w:rFonts w:asciiTheme="majorBidi" w:eastAsiaTheme="majorEastAsia" w:hAnsiTheme="majorBidi" w:cstheme="majorBidi"/>
          <w:lang w:val="en-AU"/>
        </w:rPr>
        <w:t xml:space="preserve"> </w:t>
      </w:r>
      <w:r w:rsidR="008F4606" w:rsidRPr="00ED7E61">
        <w:rPr>
          <w:rStyle w:val="normaltextrun"/>
          <w:rFonts w:asciiTheme="majorBidi" w:eastAsiaTheme="majorEastAsia" w:hAnsiTheme="majorBidi" w:cstheme="majorBidi"/>
          <w:lang w:val="en-AU"/>
        </w:rPr>
        <w:t xml:space="preserve">Companies may report on biodiversity disclosures through international reporting and monitoring platforms such as CDP. </w:t>
      </w:r>
      <w:r w:rsidR="00070A85">
        <w:rPr>
          <w:rStyle w:val="normaltextrun"/>
          <w:rFonts w:asciiTheme="majorBidi" w:eastAsiaTheme="majorEastAsia" w:hAnsiTheme="majorBidi" w:cstheme="majorBidi"/>
          <w:lang w:val="en-AU"/>
        </w:rPr>
        <w:t>I</w:t>
      </w:r>
      <w:r w:rsidR="008F4606" w:rsidRPr="00ED7E61">
        <w:rPr>
          <w:rStyle w:val="normaltextrun"/>
          <w:rFonts w:asciiTheme="majorBidi" w:eastAsiaTheme="majorEastAsia" w:hAnsiTheme="majorBidi" w:cstheme="majorBidi"/>
          <w:lang w:val="en-AU"/>
        </w:rPr>
        <w:t xml:space="preserve">nitiatives such as the World Benchmarking Alliance are </w:t>
      </w:r>
      <w:r w:rsidR="00070A85">
        <w:rPr>
          <w:rStyle w:val="normaltextrun"/>
          <w:rFonts w:asciiTheme="majorBidi" w:eastAsiaTheme="majorEastAsia" w:hAnsiTheme="majorBidi" w:cstheme="majorBidi"/>
          <w:lang w:val="en-AU"/>
        </w:rPr>
        <w:t xml:space="preserve">also </w:t>
      </w:r>
      <w:r w:rsidR="008F4606" w:rsidRPr="00ED7E61">
        <w:rPr>
          <w:rStyle w:val="normaltextrun"/>
          <w:rFonts w:asciiTheme="majorBidi" w:eastAsiaTheme="majorEastAsia" w:hAnsiTheme="majorBidi" w:cstheme="majorBidi"/>
          <w:lang w:val="en-AU"/>
        </w:rPr>
        <w:t>instrumental in monitoring organizations and make information publicly available. GRI holds a registry of GRI Standards reports. Governments can explore data-sharing arrangements with such platforms to help assess which companies are disclosing biodiversity-related information – as well as the quality of said disclosure. </w:t>
      </w:r>
      <w:r w:rsidR="008F4606" w:rsidRPr="00ED7E61">
        <w:rPr>
          <w:rStyle w:val="eop"/>
          <w:rFonts w:asciiTheme="majorBidi" w:eastAsiaTheme="majorEastAsia" w:hAnsiTheme="majorBidi" w:cstheme="majorBidi"/>
        </w:rPr>
        <w:t> </w:t>
      </w:r>
    </w:p>
    <w:p w14:paraId="08DD5A74" w14:textId="2CB87FF7" w:rsidR="009D6E5D" w:rsidRPr="00ED7E61" w:rsidRDefault="00756F0F" w:rsidP="00B10F0C">
      <w:pPr>
        <w:pStyle w:val="CBDNormalNumber"/>
        <w:numPr>
          <w:ilvl w:val="1"/>
          <w:numId w:val="88"/>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lang w:val="en-AU"/>
        </w:rPr>
        <w:t>Framework developers: Organizations providing frameworks and guidance to companies and financial institutions on assessing and disclosing nature related risks, dependencies and impacts (e.g. TNFD and SBTN) may track which companies apply their guidance. For example, starting in 2025, the TNFD plans to publish information about which organizations are TNFD adopters.</w:t>
      </w:r>
      <w:r w:rsidRPr="00ED7E61">
        <w:rPr>
          <w:rStyle w:val="eop"/>
          <w:rFonts w:asciiTheme="majorBidi" w:eastAsiaTheme="majorEastAsia" w:hAnsiTheme="majorBidi" w:cstheme="majorBidi"/>
        </w:rPr>
        <w:t> </w:t>
      </w:r>
    </w:p>
    <w:p w14:paraId="44E40C15" w14:textId="7AECE140" w:rsidR="009D6E5D" w:rsidRPr="00ED7E61" w:rsidRDefault="00756F0F" w:rsidP="00B10F0C">
      <w:pPr>
        <w:pStyle w:val="CBDNormalNumber"/>
        <w:numPr>
          <w:ilvl w:val="1"/>
          <w:numId w:val="88"/>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lang w:val="en-AU"/>
        </w:rPr>
        <w:t>Chambers of Commerce: While specifics can vary by country and local regulations, the Chambers of Commerce often play a key role in the collection and dissemination of certain business documents, including annual reports. The annual reports serve as the main disclosure tool for companies reporting on risks, dependencies, impacts and on biodiversity. </w:t>
      </w:r>
      <w:r w:rsidRPr="00ED7E61">
        <w:rPr>
          <w:rStyle w:val="eop"/>
          <w:rFonts w:asciiTheme="majorBidi" w:eastAsiaTheme="majorEastAsia" w:hAnsiTheme="majorBidi" w:cstheme="majorBidi"/>
        </w:rPr>
        <w:t> </w:t>
      </w:r>
    </w:p>
    <w:p w14:paraId="4CA8C4D2" w14:textId="3D11F2DC" w:rsidR="009D6E5D" w:rsidRPr="00ED7E61" w:rsidRDefault="00756F0F" w:rsidP="00B10F0C">
      <w:pPr>
        <w:pStyle w:val="CBDNormalNumber"/>
        <w:numPr>
          <w:ilvl w:val="1"/>
          <w:numId w:val="88"/>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lang w:val="en-AU"/>
        </w:rPr>
        <w:t xml:space="preserve">Industry associations: Industry associations </w:t>
      </w:r>
      <w:r w:rsidR="008F4606" w:rsidRPr="00ED7E61">
        <w:rPr>
          <w:rStyle w:val="normaltextrun"/>
          <w:rFonts w:asciiTheme="majorBidi" w:eastAsiaTheme="majorEastAsia" w:hAnsiTheme="majorBidi" w:cstheme="majorBidi"/>
          <w:lang w:val="en-AU"/>
        </w:rPr>
        <w:t xml:space="preserve">such as World Business Council for Sustainable Development (WCSD), the World Economic Forum (WEF), Business for Nature (B4N), </w:t>
      </w:r>
      <w:r w:rsidRPr="00ED7E61">
        <w:rPr>
          <w:rStyle w:val="normaltextrun"/>
          <w:rFonts w:asciiTheme="majorBidi" w:eastAsiaTheme="majorEastAsia" w:hAnsiTheme="majorBidi" w:cstheme="majorBidi"/>
          <w:lang w:val="en-AU"/>
        </w:rPr>
        <w:t>may promote biodiversity disclosures. Governments can work together with these associations to promote sustainable practices and gain insight into the number of companies disclosing relevant information.</w:t>
      </w:r>
      <w:r w:rsidRPr="00ED7E61">
        <w:rPr>
          <w:rStyle w:val="eop"/>
          <w:rFonts w:asciiTheme="majorBidi" w:eastAsiaTheme="majorEastAsia" w:hAnsiTheme="majorBidi" w:cstheme="majorBidi"/>
        </w:rPr>
        <w:t> </w:t>
      </w:r>
    </w:p>
    <w:p w14:paraId="722243D6" w14:textId="0CD528EE" w:rsidR="009D6E5D" w:rsidRPr="00ED7E61" w:rsidRDefault="00756F0F" w:rsidP="00B10F0C">
      <w:pPr>
        <w:pStyle w:val="CBDNormalNumber"/>
        <w:numPr>
          <w:ilvl w:val="1"/>
          <w:numId w:val="88"/>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lang w:val="en-AU"/>
        </w:rPr>
        <w:t>NGOs, IGOs and research organizations: Collaborating with non-governmental organizations (NGOs), and intergovernmental organizations (IGOs) and research institutions can provide governments with valuable insights. These organizations often conduct assessments and gather data on corporate sustainability practices, including biodiversity disclosures. For example, the Global Biodiversity Information Facility (GBIF) facilitates publication and use of private-sector data on biodiversity. This includes the data that companies collect during monitoring and impact assessment activities. Biodiversity data-sharing requirements or recommendations are increasingly becoming part of business and financial standards and best practices, including through the Equator Principles relating to large private financial institutions.</w:t>
      </w:r>
      <w:r w:rsidRPr="00ED7E61">
        <w:rPr>
          <w:rStyle w:val="eop"/>
          <w:rFonts w:asciiTheme="majorBidi" w:eastAsiaTheme="majorEastAsia" w:hAnsiTheme="majorBidi" w:cstheme="majorBidi"/>
        </w:rPr>
        <w:t> </w:t>
      </w:r>
    </w:p>
    <w:p w14:paraId="37F65089" w14:textId="4E08E490" w:rsidR="009D6E5D" w:rsidRPr="00ED7E61" w:rsidRDefault="00756F0F" w:rsidP="00B10F0C">
      <w:pPr>
        <w:pStyle w:val="CBDNormalNumber"/>
        <w:numPr>
          <w:ilvl w:val="1"/>
          <w:numId w:val="88"/>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lang w:val="en-AU"/>
        </w:rPr>
        <w:t>Surveys and Recognition Programs: Directly engage with companies through surveys or recognition programs may help gather specific information on biodiversity disclosures. </w:t>
      </w:r>
      <w:r w:rsidRPr="00ED7E61">
        <w:rPr>
          <w:rStyle w:val="eop"/>
          <w:rFonts w:asciiTheme="majorBidi" w:eastAsiaTheme="majorEastAsia" w:hAnsiTheme="majorBidi" w:cstheme="majorBidi"/>
        </w:rPr>
        <w:t> </w:t>
      </w:r>
    </w:p>
    <w:p w14:paraId="440FEC77" w14:textId="053AAC97" w:rsidR="009D6E5D" w:rsidRPr="00ED7E61" w:rsidRDefault="00756F0F" w:rsidP="00B10F0C">
      <w:pPr>
        <w:pStyle w:val="CBDNormalNumber"/>
        <w:numPr>
          <w:ilvl w:val="1"/>
          <w:numId w:val="88"/>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lang w:val="en-AU"/>
        </w:rPr>
        <w:t>Corporate filings: Review corporate filings, including annual reports and other regulatory submissions, where companies may provide details about their biodiversity-related practices.</w:t>
      </w:r>
      <w:r w:rsidRPr="00ED7E61">
        <w:rPr>
          <w:rStyle w:val="eop"/>
          <w:rFonts w:asciiTheme="majorBidi" w:eastAsiaTheme="majorEastAsia" w:hAnsiTheme="majorBidi" w:cstheme="majorBidi"/>
        </w:rPr>
        <w:t> </w:t>
      </w:r>
    </w:p>
    <w:p w14:paraId="542968E6" w14:textId="69318008" w:rsidR="009D6E5D" w:rsidRPr="00ED7E61" w:rsidRDefault="00756F0F" w:rsidP="00B10F0C">
      <w:pPr>
        <w:pStyle w:val="CBDNormalNumber"/>
        <w:numPr>
          <w:ilvl w:val="1"/>
          <w:numId w:val="88"/>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lang w:val="en-AU"/>
        </w:rPr>
        <w:t>Artificial Intelligence tools / Online data searches: Many companies voluntarily publish sustainability reports or disclose information on their websites. With the help of Artificial Intelligence Tools or web-based searches, governments can review these publicly available documents to identify companies that provide information on biodiversity-related risks, dependencies, and impacts. </w:t>
      </w:r>
      <w:r w:rsidRPr="00ED7E61">
        <w:rPr>
          <w:rStyle w:val="eop"/>
          <w:rFonts w:asciiTheme="majorBidi" w:eastAsiaTheme="majorEastAsia" w:hAnsiTheme="majorBidi" w:cstheme="majorBidi"/>
        </w:rPr>
        <w:t> </w:t>
      </w:r>
    </w:p>
    <w:p w14:paraId="7E739199" w14:textId="77777777" w:rsidR="00756F0F" w:rsidRPr="00ED7E61" w:rsidRDefault="00756F0F" w:rsidP="00B10F0C">
      <w:pPr>
        <w:pStyle w:val="CBDNormalNumber"/>
        <w:numPr>
          <w:ilvl w:val="1"/>
          <w:numId w:val="88"/>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lang w:val="en-AU"/>
        </w:rPr>
        <w:t>UNCTAD / UNEP / UN Global Compact: United Nations Conference on Trade and Development (UNCTAD) and United Nations Environment Programme (UNEP) are the Custodian Agencies for the SDG indicator 12.6.1: Number of companies publishing sustainability reports. Some SDG 12.6.1 indicator data is published on UNEP’s World Environment Situation Room (WESR) website, as well as through UN SDG Indicator Database. Moreover, the United Nations (UN) Global Compact encourages businesses and organizations worldwide to adopt sustainable and socially responsible policies and to report on their implementation. </w:t>
      </w:r>
      <w:r w:rsidRPr="00ED7E61">
        <w:rPr>
          <w:rStyle w:val="eop"/>
          <w:rFonts w:asciiTheme="majorBidi" w:eastAsiaTheme="majorEastAsia" w:hAnsiTheme="majorBidi" w:cstheme="majorBidi"/>
        </w:rPr>
        <w:t> </w:t>
      </w:r>
    </w:p>
    <w:p w14:paraId="15A8C8C6" w14:textId="77777777" w:rsidR="00756F0F" w:rsidRPr="00ED7E61" w:rsidRDefault="00756F0F" w:rsidP="00395866">
      <w:pPr>
        <w:pStyle w:val="paragraph"/>
        <w:pBdr>
          <w:bottom w:val="single" w:sz="4" w:space="1" w:color="000000"/>
        </w:pBdr>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5d. Data sources</w:t>
      </w:r>
      <w:r w:rsidRPr="00ED7E61">
        <w:rPr>
          <w:rStyle w:val="eop"/>
          <w:rFonts w:asciiTheme="majorBidi" w:eastAsiaTheme="majorEastAsia" w:hAnsiTheme="majorBidi" w:cstheme="majorBidi"/>
          <w:b/>
          <w:bCs/>
          <w:sz w:val="22"/>
          <w:szCs w:val="22"/>
        </w:rPr>
        <w:t> </w:t>
      </w:r>
    </w:p>
    <w:p w14:paraId="072B08D5" w14:textId="77777777" w:rsidR="00756F0F" w:rsidRPr="00ED7E61" w:rsidRDefault="00756F0F" w:rsidP="004E0302">
      <w:pPr>
        <w:pStyle w:val="CBDNormalNumber"/>
        <w:numPr>
          <w:ilvl w:val="0"/>
          <w:numId w:val="0"/>
        </w:numPr>
        <w:shd w:val="clear" w:color="auto" w:fill="FFFFFF"/>
        <w:ind w:left="567"/>
        <w:rPr>
          <w:rStyle w:val="normaltextrun"/>
          <w:rFonts w:eastAsiaTheme="majorEastAsia"/>
          <w:lang w:val="en-AU"/>
        </w:rPr>
      </w:pPr>
      <w:r w:rsidRPr="00ED7E61">
        <w:rPr>
          <w:rStyle w:val="normaltextrun"/>
          <w:rFonts w:asciiTheme="majorBidi" w:eastAsiaTheme="majorEastAsia" w:hAnsiTheme="majorBidi" w:cstheme="majorBidi"/>
          <w:lang w:val="en-AU"/>
        </w:rPr>
        <w:t>See section 5c. </w:t>
      </w:r>
      <w:r w:rsidRPr="00ED7E61">
        <w:rPr>
          <w:rStyle w:val="normaltextrun"/>
          <w:lang w:val="en-AU"/>
        </w:rPr>
        <w:t> </w:t>
      </w:r>
    </w:p>
    <w:p w14:paraId="18FE9000" w14:textId="77777777" w:rsidR="00756F0F" w:rsidRPr="00ED7E61" w:rsidRDefault="00756F0F" w:rsidP="00395866">
      <w:pPr>
        <w:pStyle w:val="paragraph"/>
        <w:pBdr>
          <w:bottom w:val="single" w:sz="4" w:space="1" w:color="000000"/>
        </w:pBdr>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5e. Data providers</w:t>
      </w:r>
      <w:r w:rsidRPr="00ED7E61">
        <w:rPr>
          <w:rStyle w:val="eop"/>
          <w:rFonts w:asciiTheme="majorBidi" w:eastAsiaTheme="majorEastAsia" w:hAnsiTheme="majorBidi" w:cstheme="majorBidi"/>
          <w:b/>
          <w:bCs/>
          <w:sz w:val="22"/>
          <w:szCs w:val="22"/>
        </w:rPr>
        <w:t> </w:t>
      </w:r>
    </w:p>
    <w:p w14:paraId="78E70173" w14:textId="77777777" w:rsidR="00756F0F" w:rsidRPr="00ED7E61" w:rsidRDefault="00756F0F" w:rsidP="00B10F0C">
      <w:pPr>
        <w:pStyle w:val="CBDNormalNumber"/>
        <w:numPr>
          <w:ilvl w:val="0"/>
          <w:numId w:val="88"/>
        </w:numPr>
        <w:shd w:val="clear" w:color="auto" w:fill="FFFFFF"/>
        <w:ind w:left="567" w:firstLine="0"/>
        <w:rPr>
          <w:rStyle w:val="normaltextrun"/>
          <w:rFonts w:eastAsiaTheme="majorEastAsia"/>
          <w:lang w:val="en-AU"/>
        </w:rPr>
      </w:pPr>
      <w:r w:rsidRPr="00ED7E61">
        <w:rPr>
          <w:rStyle w:val="normaltextrun"/>
          <w:rFonts w:asciiTheme="majorBidi" w:eastAsiaTheme="majorEastAsia" w:hAnsiTheme="majorBidi" w:cstheme="majorBidi"/>
          <w:lang w:val="en-AU"/>
        </w:rPr>
        <w:t>In most countries there are no specific entities tasked with gathering and assessing all relevant information regarding the disclosure of companies' biodiversity-related risks, dependencies and impacts. </w:t>
      </w:r>
      <w:r w:rsidRPr="00ED7E61">
        <w:rPr>
          <w:rStyle w:val="normaltextrun"/>
          <w:lang w:val="en-AU"/>
        </w:rPr>
        <w:t> </w:t>
      </w:r>
    </w:p>
    <w:p w14:paraId="512F947C" w14:textId="77777777" w:rsidR="00756F0F" w:rsidRPr="00ED7E61" w:rsidRDefault="00756F0F" w:rsidP="00395866">
      <w:pPr>
        <w:pStyle w:val="paragraph"/>
        <w:pBdr>
          <w:bottom w:val="single" w:sz="4" w:space="1" w:color="000000"/>
        </w:pBdr>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5f. Data compilers </w:t>
      </w:r>
      <w:r w:rsidRPr="00ED7E61">
        <w:rPr>
          <w:rStyle w:val="eop"/>
          <w:rFonts w:asciiTheme="majorBidi" w:eastAsiaTheme="majorEastAsia" w:hAnsiTheme="majorBidi" w:cstheme="majorBidi"/>
          <w:b/>
          <w:bCs/>
          <w:sz w:val="22"/>
          <w:szCs w:val="22"/>
        </w:rPr>
        <w:t> </w:t>
      </w:r>
    </w:p>
    <w:p w14:paraId="29602EB1"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AU"/>
        </w:rPr>
        <w:t>Not identified, see above. </w:t>
      </w:r>
      <w:r w:rsidRPr="00ED7E61">
        <w:rPr>
          <w:rStyle w:val="eop"/>
          <w:rFonts w:asciiTheme="majorBidi" w:eastAsiaTheme="majorEastAsia" w:hAnsiTheme="majorBidi" w:cstheme="majorBidi"/>
          <w:sz w:val="22"/>
          <w:szCs w:val="22"/>
        </w:rPr>
        <w:t> </w:t>
      </w:r>
    </w:p>
    <w:p w14:paraId="69EC0760" w14:textId="77777777" w:rsidR="00756F0F" w:rsidRPr="00ED7E61" w:rsidRDefault="00756F0F" w:rsidP="004E0302">
      <w:pPr>
        <w:pStyle w:val="paragraph"/>
        <w:pBdr>
          <w:bottom w:val="single" w:sz="4" w:space="1" w:color="000000"/>
        </w:pBdr>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5g. Gaps in data coverage</w:t>
      </w:r>
      <w:r w:rsidRPr="00ED7E61">
        <w:rPr>
          <w:rStyle w:val="eop"/>
          <w:rFonts w:asciiTheme="majorBidi" w:eastAsiaTheme="majorEastAsia" w:hAnsiTheme="majorBidi" w:cstheme="majorBidi"/>
          <w:b/>
          <w:bCs/>
          <w:sz w:val="22"/>
          <w:szCs w:val="22"/>
        </w:rPr>
        <w:t> </w:t>
      </w:r>
    </w:p>
    <w:p w14:paraId="1EE3EE3B" w14:textId="77777777"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Significant data gaps are expected, as most countries lack specific entities tasked with systematically gathering and assessing companies’ disclosures on biodiversity-related risks, dependencies and impacts, risks.</w:t>
      </w:r>
      <w:r w:rsidRPr="00ED7E61">
        <w:rPr>
          <w:rStyle w:val="eop"/>
          <w:rFonts w:asciiTheme="majorBidi" w:eastAsiaTheme="majorEastAsia" w:hAnsiTheme="majorBidi" w:cstheme="majorBidi"/>
        </w:rPr>
        <w:t> </w:t>
      </w:r>
    </w:p>
    <w:p w14:paraId="293706AE"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 Scale </w:t>
      </w:r>
      <w:r w:rsidRPr="00ED7E61">
        <w:rPr>
          <w:rStyle w:val="eop"/>
          <w:rFonts w:asciiTheme="majorBidi" w:eastAsiaTheme="majorEastAsia" w:hAnsiTheme="majorBidi" w:cstheme="majorBidi"/>
          <w:b/>
          <w:bCs/>
          <w:sz w:val="22"/>
          <w:szCs w:val="22"/>
        </w:rPr>
        <w:t> </w:t>
      </w:r>
    </w:p>
    <w:p w14:paraId="3F08125C" w14:textId="77777777" w:rsidR="00756F0F" w:rsidRPr="00ED7E61" w:rsidRDefault="00756F0F" w:rsidP="004E0302">
      <w:pPr>
        <w:pStyle w:val="paragraph"/>
        <w:pBdr>
          <w:bottom w:val="single" w:sz="4" w:space="1" w:color="000000"/>
        </w:pBdr>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6a. Scale of use </w:t>
      </w:r>
      <w:r w:rsidRPr="00ED7E61">
        <w:rPr>
          <w:rStyle w:val="eop"/>
          <w:rFonts w:asciiTheme="majorBidi" w:eastAsiaTheme="majorEastAsia" w:hAnsiTheme="majorBidi" w:cstheme="majorBidi"/>
          <w:b/>
          <w:bCs/>
          <w:sz w:val="22"/>
          <w:szCs w:val="22"/>
        </w:rPr>
        <w:t> </w:t>
      </w:r>
    </w:p>
    <w:p w14:paraId="33B52266" w14:textId="77777777"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Scale</w:t>
      </w:r>
      <w:r w:rsidRPr="00ED7E61">
        <w:rPr>
          <w:rStyle w:val="normaltextrun"/>
          <w:rFonts w:asciiTheme="majorBidi" w:eastAsiaTheme="majorEastAsia" w:hAnsiTheme="majorBidi" w:cstheme="majorBidi"/>
        </w:rPr>
        <w:t xml:space="preserve"> of application (please check all relevant boxes):</w:t>
      </w:r>
      <w:r w:rsidRPr="00ED7E61">
        <w:rPr>
          <w:rStyle w:val="normaltextrun"/>
          <w:rFonts w:asciiTheme="majorBidi" w:eastAsiaTheme="majorEastAsia" w:hAnsiTheme="majorBidi" w:cstheme="majorBidi"/>
          <w:i/>
          <w:iCs/>
        </w:rPr>
        <w:t> </w:t>
      </w:r>
      <w:r w:rsidRPr="00ED7E61">
        <w:rPr>
          <w:rStyle w:val="eop"/>
          <w:rFonts w:asciiTheme="majorBidi" w:eastAsiaTheme="majorEastAsia" w:hAnsiTheme="majorBidi" w:cstheme="majorBidi"/>
        </w:rPr>
        <w:t> </w:t>
      </w:r>
    </w:p>
    <w:p w14:paraId="46F567C4" w14:textId="77777777" w:rsidR="00756F0F" w:rsidRPr="00ED7E61" w:rsidRDefault="00756F0F" w:rsidP="004E0302">
      <w:pPr>
        <w:pStyle w:val="paragraph"/>
        <w:spacing w:before="0" w:beforeAutospacing="0" w:after="0" w:afterAutospacing="0"/>
        <w:ind w:left="567"/>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 xml:space="preserve">Global: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normaltextrun"/>
          <w:rFonts w:asciiTheme="majorBidi" w:eastAsiaTheme="majorEastAsia" w:hAnsiTheme="majorBidi" w:cstheme="majorBidi"/>
          <w:sz w:val="22"/>
          <w:szCs w:val="22"/>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 xml:space="preserve">Regional: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rPr>
        <w:t>National</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4F9A9355" w14:textId="77777777" w:rsidR="00756F0F" w:rsidRPr="00ED7E61" w:rsidRDefault="00756F0F" w:rsidP="004E0302">
      <w:pPr>
        <w:pStyle w:val="paragraph"/>
        <w:spacing w:before="0" w:beforeAutospacing="0" w:after="0" w:afterAutospacing="0"/>
        <w:ind w:left="567"/>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rPr>
        <w:t>Scale of data disaggregation/aggregation: </w:t>
      </w:r>
      <w:r w:rsidRPr="00ED7E61">
        <w:rPr>
          <w:rStyle w:val="eop"/>
          <w:rFonts w:asciiTheme="majorBidi" w:eastAsiaTheme="majorEastAsia" w:hAnsiTheme="majorBidi" w:cstheme="majorBidi"/>
          <w:sz w:val="22"/>
          <w:szCs w:val="22"/>
        </w:rPr>
        <w:t> </w:t>
      </w:r>
    </w:p>
    <w:p w14:paraId="78130881"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 xml:space="preserve">Global/ regional scale indicator can be disaggregated to national level: </w:t>
      </w:r>
      <w:r w:rsidRPr="00ED7E61">
        <w:rPr>
          <w:rStyle w:val="normaltextrun"/>
          <w:rFonts w:eastAsiaTheme="majorEastAsia"/>
          <w:lang w:val="en-AU"/>
        </w:rPr>
        <w:t>​</w:t>
      </w:r>
      <w:r w:rsidRPr="00ED7E61">
        <w:rPr>
          <w:rStyle w:val="normaltextrun"/>
          <w:rFonts w:ascii="Segoe UI Symbol" w:eastAsiaTheme="majorEastAsia" w:hAnsi="Segoe UI Symbol" w:cs="Segoe UI Symbol"/>
          <w:lang w:val="en-AU"/>
        </w:rPr>
        <w:t>☒</w:t>
      </w:r>
      <w:r w:rsidRPr="00ED7E61">
        <w:rPr>
          <w:rStyle w:val="normaltextrun"/>
          <w:rFonts w:eastAsiaTheme="majorEastAsia"/>
          <w:lang w:val="en-AU"/>
        </w:rPr>
        <w:t>​</w:t>
      </w:r>
      <w:r w:rsidRPr="00ED7E61">
        <w:rPr>
          <w:rStyle w:val="normaltextrun"/>
          <w:lang w:val="en-AU"/>
        </w:rPr>
        <w:t> </w:t>
      </w:r>
    </w:p>
    <w:p w14:paraId="0D3A3AE5"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 xml:space="preserve">National data is collated to form global indicator: </w:t>
      </w:r>
      <w:r w:rsidRPr="00ED7E61">
        <w:rPr>
          <w:rStyle w:val="normaltextrun"/>
          <w:rFonts w:eastAsiaTheme="majorEastAsia"/>
          <w:lang w:val="en-AU"/>
        </w:rPr>
        <w:t>​</w:t>
      </w:r>
      <w:r w:rsidRPr="00ED7E61">
        <w:rPr>
          <w:rStyle w:val="normaltextrun"/>
          <w:rFonts w:ascii="Segoe UI Symbol" w:eastAsiaTheme="majorEastAsia" w:hAnsi="Segoe UI Symbol" w:cs="Segoe UI Symbol"/>
          <w:lang w:val="en-AU"/>
        </w:rPr>
        <w:t>☒</w:t>
      </w:r>
      <w:r w:rsidRPr="00ED7E61">
        <w:rPr>
          <w:rStyle w:val="normaltextrun"/>
          <w:rFonts w:eastAsiaTheme="majorEastAsia"/>
          <w:lang w:val="en-AU"/>
        </w:rPr>
        <w:t>​</w:t>
      </w:r>
      <w:r w:rsidRPr="00ED7E61">
        <w:rPr>
          <w:rStyle w:val="normaltextrun"/>
          <w:lang w:val="en-AU"/>
        </w:rPr>
        <w:t> </w:t>
      </w:r>
    </w:p>
    <w:p w14:paraId="0DF22AC0"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 Other MEAs, processes and organisations</w:t>
      </w:r>
      <w:r w:rsidRPr="00ED7E61">
        <w:rPr>
          <w:rStyle w:val="eop"/>
          <w:rFonts w:asciiTheme="majorBidi" w:eastAsiaTheme="majorEastAsia" w:hAnsiTheme="majorBidi" w:cstheme="majorBidi"/>
          <w:b/>
          <w:bCs/>
          <w:sz w:val="22"/>
          <w:szCs w:val="22"/>
        </w:rPr>
        <w:t> </w:t>
      </w:r>
    </w:p>
    <w:p w14:paraId="1E5ECD23" w14:textId="77777777" w:rsidR="00756F0F" w:rsidRPr="00ED7E61" w:rsidRDefault="00756F0F" w:rsidP="004E0302">
      <w:pPr>
        <w:pStyle w:val="paragraph"/>
        <w:pBdr>
          <w:bottom w:val="single" w:sz="4" w:space="1" w:color="000000"/>
        </w:pBdr>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b/>
          <w:bCs/>
          <w:sz w:val="22"/>
          <w:szCs w:val="22"/>
        </w:rPr>
        <w:t> </w:t>
      </w:r>
    </w:p>
    <w:p w14:paraId="35F072D6"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AU"/>
        </w:rPr>
        <w:t>N/A</w:t>
      </w:r>
      <w:r w:rsidRPr="00ED7E61">
        <w:rPr>
          <w:rStyle w:val="eop"/>
          <w:rFonts w:asciiTheme="majorBidi" w:eastAsiaTheme="majorEastAsia" w:hAnsiTheme="majorBidi" w:cstheme="majorBidi"/>
          <w:sz w:val="22"/>
          <w:szCs w:val="22"/>
        </w:rPr>
        <w:t> </w:t>
      </w:r>
    </w:p>
    <w:p w14:paraId="64723B48" w14:textId="77777777" w:rsidR="00756F0F" w:rsidRPr="00ED7E61" w:rsidRDefault="00756F0F" w:rsidP="004E0302">
      <w:pPr>
        <w:pStyle w:val="paragraph"/>
        <w:pBdr>
          <w:bottom w:val="single" w:sz="4" w:space="1" w:color="000000"/>
        </w:pBdr>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7b. Biodiversity Indicator Partnership</w:t>
      </w:r>
      <w:r w:rsidRPr="00ED7E61">
        <w:rPr>
          <w:rStyle w:val="eop"/>
          <w:rFonts w:asciiTheme="majorBidi" w:eastAsiaTheme="majorEastAsia" w:hAnsiTheme="majorBidi" w:cstheme="majorBidi"/>
          <w:b/>
          <w:bCs/>
          <w:sz w:val="22"/>
          <w:szCs w:val="22"/>
        </w:rPr>
        <w:t> </w:t>
      </w:r>
    </w:p>
    <w:p w14:paraId="0D591433"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color w:val="0F4761"/>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normaltextrun"/>
          <w:rFonts w:asciiTheme="majorBidi" w:eastAsiaTheme="majorEastAsia" w:hAnsiTheme="majorBidi" w:cstheme="majorBidi"/>
          <w:sz w:val="22"/>
          <w:szCs w:val="22"/>
        </w:rPr>
        <w:t xml:space="preserve">No: </w:t>
      </w:r>
      <w:r w:rsidRPr="00ED7E61">
        <w:rPr>
          <w:rStyle w:val="contentcontrolboundarysink"/>
          <w:rFonts w:asciiTheme="majorBidi" w:hAnsiTheme="majorBidi" w:cstheme="majorBidi"/>
          <w:sz w:val="22"/>
          <w:szCs w:val="22"/>
        </w:rPr>
        <w:t>​</w:t>
      </w:r>
      <w:r w:rsidRPr="00ED7E61">
        <w:rPr>
          <w:rStyle w:val="normaltextrun"/>
          <w:rFonts w:ascii="Segoe UI Symbol" w:eastAsiaTheme="majorEastAsia" w:hAnsi="Segoe UI Symbol" w:cs="Segoe UI Symbol"/>
          <w:sz w:val="22"/>
          <w:szCs w:val="22"/>
        </w:rPr>
        <w:t>☒</w:t>
      </w:r>
      <w:r w:rsidRPr="00ED7E61">
        <w:rPr>
          <w:rStyle w:val="contentcontrolboundarysink"/>
          <w:rFonts w:asciiTheme="majorBidi" w:hAnsiTheme="majorBidi" w:cstheme="majorBidi"/>
          <w:sz w:val="22"/>
          <w:szCs w:val="22"/>
        </w:rPr>
        <w:t>​</w:t>
      </w:r>
      <w:r w:rsidRPr="00ED7E61">
        <w:rPr>
          <w:rStyle w:val="eop"/>
          <w:rFonts w:asciiTheme="majorBidi" w:eastAsiaTheme="majorEastAsia" w:hAnsiTheme="majorBidi" w:cstheme="majorBidi"/>
          <w:sz w:val="22"/>
          <w:szCs w:val="22"/>
        </w:rPr>
        <w:t> </w:t>
      </w:r>
    </w:p>
    <w:p w14:paraId="2D68903E" w14:textId="276C80C0" w:rsidR="00756F0F" w:rsidRPr="00ED7E61" w:rsidRDefault="00756F0F" w:rsidP="004E0302">
      <w:pPr>
        <w:pStyle w:val="paragraph"/>
        <w:pBdr>
          <w:bottom w:val="single" w:sz="4" w:space="1" w:color="000000"/>
        </w:pBdr>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 xml:space="preserve">8. </w:t>
      </w:r>
      <w:r w:rsidR="00B308A2" w:rsidRPr="00ED7E61">
        <w:rPr>
          <w:rStyle w:val="normaltextrun"/>
          <w:rFonts w:asciiTheme="majorBidi" w:eastAsiaTheme="majorEastAsia" w:hAnsiTheme="majorBidi" w:cstheme="majorBidi"/>
          <w:b/>
          <w:bCs/>
          <w:sz w:val="22"/>
          <w:szCs w:val="22"/>
          <w:lang w:val="en-GB"/>
        </w:rPr>
        <w:t xml:space="preserve">Possible </w:t>
      </w:r>
      <w:r w:rsidRPr="00ED7E61">
        <w:rPr>
          <w:rStyle w:val="normaltextrun"/>
          <w:rFonts w:asciiTheme="majorBidi" w:eastAsiaTheme="majorEastAsia" w:hAnsiTheme="majorBidi" w:cstheme="majorBidi"/>
          <w:b/>
          <w:bCs/>
          <w:sz w:val="22"/>
          <w:szCs w:val="22"/>
          <w:lang w:val="en-GB"/>
        </w:rPr>
        <w:t>Disaggregation</w:t>
      </w:r>
      <w:r w:rsidR="00B308A2" w:rsidRPr="00ED7E61">
        <w:rPr>
          <w:rStyle w:val="normaltextrun"/>
          <w:rFonts w:asciiTheme="majorBidi" w:eastAsiaTheme="majorEastAsia" w:hAnsiTheme="majorBidi" w:cstheme="majorBidi"/>
          <w:b/>
          <w:bCs/>
          <w:sz w:val="22"/>
          <w:szCs w:val="22"/>
          <w:lang w:val="en-GB"/>
        </w:rPr>
        <w:t>s</w:t>
      </w:r>
      <w:r w:rsidRPr="00ED7E61">
        <w:rPr>
          <w:rStyle w:val="eop"/>
          <w:rFonts w:asciiTheme="majorBidi" w:eastAsiaTheme="majorEastAsia" w:hAnsiTheme="majorBidi" w:cstheme="majorBidi"/>
          <w:b/>
          <w:bCs/>
          <w:sz w:val="22"/>
          <w:szCs w:val="22"/>
        </w:rPr>
        <w:t> </w:t>
      </w:r>
    </w:p>
    <w:p w14:paraId="1F725857" w14:textId="77777777"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Recommended disaggregation include: By sector. Aligned with the sector classification proposed by UNCTAD and UNEP for SDG indicator 12.6.1, using the International Standard Industrial Classification of All Economic Activities (ISIC) (first level classification):</w:t>
      </w:r>
      <w:r w:rsidRPr="00ED7E61">
        <w:rPr>
          <w:rStyle w:val="eop"/>
          <w:rFonts w:asciiTheme="majorBidi" w:eastAsiaTheme="majorEastAsia" w:hAnsiTheme="majorBidi" w:cstheme="majorBidi"/>
        </w:rPr>
        <w:t> </w:t>
      </w:r>
    </w:p>
    <w:p w14:paraId="00B3D5D4"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Agriculture, forestry and fishing</w:t>
      </w:r>
      <w:r w:rsidRPr="00ED7E61">
        <w:rPr>
          <w:rStyle w:val="normaltextrun"/>
          <w:lang w:val="en-AU"/>
        </w:rPr>
        <w:t> </w:t>
      </w:r>
    </w:p>
    <w:p w14:paraId="0E1EDFCA"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Mining and quarrying</w:t>
      </w:r>
      <w:r w:rsidRPr="00ED7E61">
        <w:rPr>
          <w:rStyle w:val="normaltextrun"/>
          <w:lang w:val="en-AU"/>
        </w:rPr>
        <w:t> </w:t>
      </w:r>
    </w:p>
    <w:p w14:paraId="517BFD95"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Manufacturing</w:t>
      </w:r>
      <w:r w:rsidRPr="00ED7E61">
        <w:rPr>
          <w:rStyle w:val="normaltextrun"/>
          <w:lang w:val="en-AU"/>
        </w:rPr>
        <w:t> </w:t>
      </w:r>
    </w:p>
    <w:p w14:paraId="1CBC2120"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Electricity, gas, steam and air conditioning supply</w:t>
      </w:r>
      <w:r w:rsidRPr="00ED7E61">
        <w:rPr>
          <w:rStyle w:val="normaltextrun"/>
          <w:lang w:val="en-AU"/>
        </w:rPr>
        <w:t> </w:t>
      </w:r>
    </w:p>
    <w:p w14:paraId="784F7847"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Water supply; sewerage, waste management and remediation activities</w:t>
      </w:r>
      <w:r w:rsidRPr="00ED7E61">
        <w:rPr>
          <w:rStyle w:val="normaltextrun"/>
          <w:lang w:val="en-AU"/>
        </w:rPr>
        <w:t> </w:t>
      </w:r>
    </w:p>
    <w:p w14:paraId="1BC629B7"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Construction</w:t>
      </w:r>
      <w:r w:rsidRPr="00ED7E61">
        <w:rPr>
          <w:rStyle w:val="normaltextrun"/>
          <w:lang w:val="en-AU"/>
        </w:rPr>
        <w:t> </w:t>
      </w:r>
    </w:p>
    <w:p w14:paraId="1C3B16F1"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Wholesale and retail trade; repair of motor vehicles and motorcycles</w:t>
      </w:r>
      <w:r w:rsidRPr="00ED7E61">
        <w:rPr>
          <w:rStyle w:val="normaltextrun"/>
          <w:lang w:val="en-AU"/>
        </w:rPr>
        <w:t> </w:t>
      </w:r>
    </w:p>
    <w:p w14:paraId="21EBDDA4"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Transportation and storage</w:t>
      </w:r>
      <w:r w:rsidRPr="00ED7E61">
        <w:rPr>
          <w:rStyle w:val="normaltextrun"/>
          <w:lang w:val="en-AU"/>
        </w:rPr>
        <w:t> </w:t>
      </w:r>
    </w:p>
    <w:p w14:paraId="70A297FE"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Accommodation and food service activities</w:t>
      </w:r>
      <w:r w:rsidRPr="00ED7E61">
        <w:rPr>
          <w:rStyle w:val="normaltextrun"/>
          <w:lang w:val="en-AU"/>
        </w:rPr>
        <w:t> </w:t>
      </w:r>
    </w:p>
    <w:p w14:paraId="28ADED0D"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Information and communication</w:t>
      </w:r>
      <w:r w:rsidRPr="00ED7E61">
        <w:rPr>
          <w:rStyle w:val="normaltextrun"/>
          <w:lang w:val="en-AU"/>
        </w:rPr>
        <w:t> </w:t>
      </w:r>
    </w:p>
    <w:p w14:paraId="336BD647"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Financial and insurance activities</w:t>
      </w:r>
      <w:r w:rsidRPr="00ED7E61">
        <w:rPr>
          <w:rStyle w:val="normaltextrun"/>
          <w:lang w:val="en-AU"/>
        </w:rPr>
        <w:t> </w:t>
      </w:r>
    </w:p>
    <w:p w14:paraId="4B08315E"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Real estate activities</w:t>
      </w:r>
      <w:r w:rsidRPr="00ED7E61">
        <w:rPr>
          <w:rStyle w:val="normaltextrun"/>
          <w:lang w:val="en-AU"/>
        </w:rPr>
        <w:t> </w:t>
      </w:r>
    </w:p>
    <w:p w14:paraId="145AB93E"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Professional, scientific and technical activities</w:t>
      </w:r>
      <w:r w:rsidRPr="00ED7E61">
        <w:rPr>
          <w:rStyle w:val="normaltextrun"/>
          <w:lang w:val="en-AU"/>
        </w:rPr>
        <w:t> </w:t>
      </w:r>
    </w:p>
    <w:p w14:paraId="77814E0C"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Administrative and support service activities</w:t>
      </w:r>
      <w:r w:rsidRPr="00ED7E61">
        <w:rPr>
          <w:rStyle w:val="normaltextrun"/>
          <w:lang w:val="en-AU"/>
        </w:rPr>
        <w:t> </w:t>
      </w:r>
    </w:p>
    <w:p w14:paraId="369C09FC"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Public administration and defense; compulsory social security</w:t>
      </w:r>
      <w:r w:rsidRPr="00ED7E61">
        <w:rPr>
          <w:rStyle w:val="normaltextrun"/>
          <w:lang w:val="en-AU"/>
        </w:rPr>
        <w:t> </w:t>
      </w:r>
    </w:p>
    <w:p w14:paraId="1B37EA7B"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Education</w:t>
      </w:r>
      <w:r w:rsidRPr="00ED7E61">
        <w:rPr>
          <w:rStyle w:val="normaltextrun"/>
          <w:lang w:val="en-AU"/>
        </w:rPr>
        <w:t> </w:t>
      </w:r>
    </w:p>
    <w:p w14:paraId="4B2B33AB"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Human health and social work activities</w:t>
      </w:r>
      <w:r w:rsidRPr="00ED7E61">
        <w:rPr>
          <w:rStyle w:val="normaltextrun"/>
          <w:lang w:val="en-AU"/>
        </w:rPr>
        <w:t> </w:t>
      </w:r>
    </w:p>
    <w:p w14:paraId="536A0FCC"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Arts, entertainment, and recreation</w:t>
      </w:r>
      <w:r w:rsidRPr="00ED7E61">
        <w:rPr>
          <w:rStyle w:val="normaltextrun"/>
          <w:lang w:val="en-AU"/>
        </w:rPr>
        <w:t> </w:t>
      </w:r>
    </w:p>
    <w:p w14:paraId="26ECD56F"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Other service activities</w:t>
      </w:r>
      <w:r w:rsidRPr="00ED7E61">
        <w:rPr>
          <w:rStyle w:val="normaltextrun"/>
          <w:lang w:val="en-AU"/>
        </w:rPr>
        <w:t> </w:t>
      </w:r>
    </w:p>
    <w:p w14:paraId="66C4D25F"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Activities of households as employers; undifferentiated goods- and services-producing activities of households for own use</w:t>
      </w:r>
      <w:r w:rsidRPr="00ED7E61">
        <w:rPr>
          <w:rStyle w:val="normaltextrun"/>
          <w:lang w:val="en-AU"/>
        </w:rPr>
        <w:t> </w:t>
      </w:r>
    </w:p>
    <w:p w14:paraId="27C7788E" w14:textId="77777777" w:rsidR="00756F0F" w:rsidRPr="00ED7E61" w:rsidRDefault="00756F0F" w:rsidP="00B10F0C">
      <w:pPr>
        <w:pStyle w:val="CBDNormalNumber"/>
        <w:numPr>
          <w:ilvl w:val="1"/>
          <w:numId w:val="88"/>
        </w:numPr>
        <w:tabs>
          <w:tab w:val="clear" w:pos="567"/>
          <w:tab w:val="clear" w:pos="1134"/>
          <w:tab w:val="clear" w:pos="1701"/>
          <w:tab w:val="clear" w:pos="2268"/>
          <w:tab w:val="left" w:pos="1985"/>
        </w:tabs>
        <w:ind w:left="1276" w:firstLine="56"/>
        <w:rPr>
          <w:rStyle w:val="normaltextrun"/>
          <w:rFonts w:eastAsiaTheme="majorEastAsia"/>
          <w:lang w:val="en-AU"/>
        </w:rPr>
      </w:pPr>
      <w:r w:rsidRPr="00ED7E61">
        <w:rPr>
          <w:rStyle w:val="normaltextrun"/>
          <w:rFonts w:asciiTheme="majorBidi" w:eastAsiaTheme="majorEastAsia" w:hAnsiTheme="majorBidi" w:cstheme="majorBidi"/>
          <w:lang w:val="en-AU"/>
        </w:rPr>
        <w:t>Activities of extraterritorial organizations and bodies</w:t>
      </w:r>
      <w:r w:rsidRPr="00ED7E61">
        <w:rPr>
          <w:rStyle w:val="normaltextrun"/>
          <w:lang w:val="en-AU"/>
        </w:rPr>
        <w:t> </w:t>
      </w:r>
    </w:p>
    <w:p w14:paraId="2A68A499" w14:textId="77777777" w:rsidR="00756F0F" w:rsidRPr="00ED7E61" w:rsidRDefault="00756F0F" w:rsidP="00395866">
      <w:pPr>
        <w:pStyle w:val="paragraph"/>
        <w:pBdr>
          <w:bottom w:val="single" w:sz="4" w:space="1" w:color="000000"/>
        </w:pBdr>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b/>
          <w:bCs/>
          <w:sz w:val="22"/>
          <w:szCs w:val="22"/>
        </w:rPr>
        <w:t> </w:t>
      </w:r>
    </w:p>
    <w:p w14:paraId="0B7F403A" w14:textId="77777777" w:rsidR="00756F0F" w:rsidRPr="00ED7E61" w:rsidRDefault="00756F0F" w:rsidP="004E0302">
      <w:pPr>
        <w:pStyle w:val="paragraph"/>
        <w:spacing w:before="0" w:beforeAutospacing="0" w:after="0" w:afterAutospacing="0"/>
        <w:ind w:left="567"/>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2BCF9EDA" w14:textId="77777777" w:rsidR="00756F0F" w:rsidRPr="00ED7E61" w:rsidRDefault="00756F0F" w:rsidP="004E0302">
      <w:pPr>
        <w:pStyle w:val="paragraph"/>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b/>
          <w:bCs/>
          <w:sz w:val="22"/>
          <w:szCs w:val="22"/>
        </w:rPr>
        <w:t> </w:t>
      </w:r>
    </w:p>
    <w:p w14:paraId="570DEA5C" w14:textId="32C40695" w:rsidR="00756F0F" w:rsidRPr="00ED7E61" w:rsidRDefault="00756F0F" w:rsidP="004E0302">
      <w:pPr>
        <w:pStyle w:val="paragraph"/>
        <w:pBdr>
          <w:bottom w:val="single" w:sz="4" w:space="1" w:color="000000"/>
        </w:pBdr>
        <w:spacing w:before="12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10a. Organi</w:t>
      </w:r>
      <w:r w:rsidR="004E0302">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b/>
          <w:bCs/>
          <w:sz w:val="22"/>
          <w:szCs w:val="22"/>
        </w:rPr>
        <w:t> </w:t>
      </w:r>
    </w:p>
    <w:p w14:paraId="4BE4AB1B" w14:textId="77777777" w:rsidR="00756F0F"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Not</w:t>
      </w:r>
      <w:r w:rsidRPr="00ED7E61">
        <w:rPr>
          <w:rStyle w:val="normaltextrun"/>
          <w:rFonts w:asciiTheme="majorBidi" w:eastAsiaTheme="majorEastAsia" w:hAnsiTheme="majorBidi" w:cstheme="majorBidi"/>
        </w:rPr>
        <w:t xml:space="preserve"> identified</w:t>
      </w:r>
      <w:r w:rsidRPr="00ED7E61">
        <w:rPr>
          <w:rStyle w:val="eop"/>
          <w:rFonts w:asciiTheme="majorBidi" w:eastAsiaTheme="majorEastAsia" w:hAnsiTheme="majorBidi" w:cstheme="majorBidi"/>
        </w:rPr>
        <w:t> </w:t>
      </w:r>
    </w:p>
    <w:p w14:paraId="1E8502ED" w14:textId="77777777" w:rsidR="00756F0F" w:rsidRPr="00ED7E61" w:rsidRDefault="00756F0F" w:rsidP="00395866">
      <w:pPr>
        <w:pStyle w:val="paragraph"/>
        <w:pBdr>
          <w:bottom w:val="single" w:sz="4" w:space="1" w:color="000000"/>
        </w:pBdr>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b/>
          <w:bCs/>
          <w:sz w:val="22"/>
          <w:szCs w:val="22"/>
        </w:rPr>
        <w:t> </w:t>
      </w:r>
    </w:p>
    <w:p w14:paraId="498D00DF" w14:textId="672D6D61" w:rsidR="00B35350" w:rsidRPr="00ED7E61" w:rsidRDefault="00756F0F" w:rsidP="00B10F0C">
      <w:pPr>
        <w:pStyle w:val="CBDNormalNumber"/>
        <w:numPr>
          <w:ilvl w:val="0"/>
          <w:numId w:val="88"/>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lang w:val="en-AU"/>
        </w:rPr>
        <w:t>In</w:t>
      </w:r>
      <w:r w:rsidRPr="00ED7E61">
        <w:rPr>
          <w:rStyle w:val="normaltextrun"/>
          <w:rFonts w:asciiTheme="majorBidi" w:eastAsiaTheme="majorEastAsia" w:hAnsiTheme="majorBidi" w:cstheme="majorBidi"/>
        </w:rPr>
        <w:t xml:space="preserve"> most countries there are no specific entities tasked with gathering and assessing all relevant information regarding the disclosure of companies' biodiversity-related risks, dependencies and impacts. </w:t>
      </w:r>
      <w:r w:rsidRPr="00ED7E61">
        <w:rPr>
          <w:rStyle w:val="eop"/>
          <w:rFonts w:asciiTheme="majorBidi" w:eastAsiaTheme="majorEastAsia" w:hAnsiTheme="majorBidi" w:cstheme="majorBidi"/>
        </w:rPr>
        <w:t> </w:t>
      </w:r>
    </w:p>
    <w:p w14:paraId="2E5B82A7" w14:textId="3EAAFFF8" w:rsidR="00B35350" w:rsidRPr="00ED7E61" w:rsidRDefault="00756F0F" w:rsidP="004E0302">
      <w:pPr>
        <w:pStyle w:val="CBDNormalNumber"/>
        <w:numPr>
          <w:ilvl w:val="0"/>
          <w:numId w:val="0"/>
        </w:numPr>
        <w:shd w:val="clear" w:color="auto" w:fill="FFFFFF"/>
        <w:ind w:left="567"/>
        <w:rPr>
          <w:rFonts w:asciiTheme="majorBidi" w:hAnsiTheme="majorBidi" w:cstheme="majorBidi"/>
          <w:lang w:val="fr-FR"/>
        </w:rPr>
      </w:pPr>
      <w:r w:rsidRPr="00ED7E61">
        <w:rPr>
          <w:rStyle w:val="normaltextrun"/>
          <w:rFonts w:asciiTheme="majorBidi" w:eastAsiaTheme="majorEastAsia" w:hAnsiTheme="majorBidi" w:cstheme="majorBidi"/>
          <w:lang w:val="fr-FR"/>
        </w:rPr>
        <w:t>Odile Conchou (</w:t>
      </w:r>
      <w:hyperlink r:id="rId538" w:tgtFrame="_blank" w:history="1">
        <w:r w:rsidRPr="00ED7E61">
          <w:rPr>
            <w:rStyle w:val="normaltextrun"/>
            <w:rFonts w:asciiTheme="majorBidi" w:eastAsiaTheme="majorEastAsia" w:hAnsiTheme="majorBidi" w:cstheme="majorBidi"/>
            <w:color w:val="467886"/>
            <w:u w:val="single"/>
            <w:lang w:val="fr-FR"/>
          </w:rPr>
          <w:t>odile.conchou@wanadoo.fr</w:t>
        </w:r>
      </w:hyperlink>
      <w:r w:rsidRPr="00ED7E61">
        <w:rPr>
          <w:rStyle w:val="normaltextrun"/>
          <w:rFonts w:asciiTheme="majorBidi" w:eastAsiaTheme="majorEastAsia" w:hAnsiTheme="majorBidi" w:cstheme="majorBidi"/>
          <w:lang w:val="fr-FR"/>
        </w:rPr>
        <w:t>)</w:t>
      </w:r>
      <w:r w:rsidRPr="00ED7E61">
        <w:rPr>
          <w:rStyle w:val="eop"/>
          <w:rFonts w:asciiTheme="majorBidi" w:eastAsiaTheme="majorEastAsia" w:hAnsiTheme="majorBidi" w:cstheme="majorBidi"/>
          <w:lang w:val="fr-FR"/>
        </w:rPr>
        <w:t> </w:t>
      </w:r>
    </w:p>
    <w:p w14:paraId="72A192F1" w14:textId="7E0BA558" w:rsidR="00B35350" w:rsidRPr="00ED7E61" w:rsidRDefault="00756F0F" w:rsidP="004E0302">
      <w:pPr>
        <w:pStyle w:val="CBDNormalNumber"/>
        <w:numPr>
          <w:ilvl w:val="0"/>
          <w:numId w:val="0"/>
        </w:numPr>
        <w:shd w:val="clear" w:color="auto" w:fill="FFFFFF"/>
        <w:ind w:left="567"/>
        <w:rPr>
          <w:rFonts w:asciiTheme="majorBidi" w:hAnsiTheme="majorBidi" w:cstheme="majorBidi"/>
          <w:lang w:val="es-ES"/>
        </w:rPr>
      </w:pPr>
      <w:r w:rsidRPr="00ED7E61">
        <w:rPr>
          <w:rStyle w:val="normaltextrun"/>
          <w:rFonts w:asciiTheme="majorBidi" w:eastAsiaTheme="majorEastAsia" w:hAnsiTheme="majorBidi" w:cstheme="majorBidi"/>
          <w:lang w:val="it-IT"/>
        </w:rPr>
        <w:t xml:space="preserve">Macha Kemperman </w:t>
      </w:r>
      <w:r w:rsidRPr="00ED7E61">
        <w:rPr>
          <w:rStyle w:val="normaltextrun"/>
          <w:rFonts w:asciiTheme="majorBidi" w:eastAsiaTheme="majorEastAsia" w:hAnsiTheme="majorBidi" w:cstheme="majorBidi"/>
          <w:lang w:val="es-CO"/>
        </w:rPr>
        <w:t>(</w:t>
      </w:r>
      <w:hyperlink r:id="rId539" w:tgtFrame="_blank" w:history="1">
        <w:r w:rsidRPr="00ED7E61">
          <w:rPr>
            <w:rStyle w:val="normaltextrun"/>
            <w:rFonts w:asciiTheme="majorBidi" w:eastAsiaTheme="majorEastAsia" w:hAnsiTheme="majorBidi" w:cstheme="majorBidi"/>
            <w:color w:val="467886"/>
            <w:u w:val="single"/>
            <w:lang w:val="it-IT"/>
          </w:rPr>
          <w:t>mkemperman@worldbank.org</w:t>
        </w:r>
      </w:hyperlink>
      <w:r w:rsidRPr="00ED7E61">
        <w:rPr>
          <w:rStyle w:val="normaltextrun"/>
          <w:rFonts w:asciiTheme="majorBidi" w:eastAsiaTheme="majorEastAsia" w:hAnsiTheme="majorBidi" w:cstheme="majorBidi"/>
          <w:lang w:val="es-CO"/>
        </w:rPr>
        <w:t>)</w:t>
      </w:r>
      <w:r w:rsidRPr="00ED7E61">
        <w:rPr>
          <w:rStyle w:val="eop"/>
          <w:rFonts w:asciiTheme="majorBidi" w:eastAsiaTheme="majorEastAsia" w:hAnsiTheme="majorBidi" w:cstheme="majorBidi"/>
          <w:lang w:val="es-ES"/>
        </w:rPr>
        <w:t> </w:t>
      </w:r>
    </w:p>
    <w:p w14:paraId="13CB8E19" w14:textId="10C84A64" w:rsidR="00B35350" w:rsidRPr="00ED7E61" w:rsidRDefault="00756F0F" w:rsidP="004E0302">
      <w:pPr>
        <w:pStyle w:val="CBDNormalNumber"/>
        <w:numPr>
          <w:ilvl w:val="0"/>
          <w:numId w:val="0"/>
        </w:numPr>
        <w:shd w:val="clear" w:color="auto" w:fill="FFFFFF"/>
        <w:ind w:left="567"/>
        <w:rPr>
          <w:rFonts w:asciiTheme="majorBidi" w:hAnsiTheme="majorBidi" w:cstheme="majorBidi"/>
          <w:lang w:val="es-ES"/>
        </w:rPr>
      </w:pPr>
      <w:r w:rsidRPr="00ED7E61">
        <w:rPr>
          <w:rStyle w:val="normaltextrun"/>
          <w:rFonts w:asciiTheme="majorBidi" w:eastAsiaTheme="majorEastAsia" w:hAnsiTheme="majorBidi" w:cstheme="majorBidi"/>
          <w:lang w:val="it-IT"/>
        </w:rPr>
        <w:t xml:space="preserve">Geraldo Fernandes </w:t>
      </w:r>
      <w:r w:rsidRPr="00ED7E61">
        <w:rPr>
          <w:rStyle w:val="normaltextrun"/>
          <w:rFonts w:asciiTheme="majorBidi" w:eastAsiaTheme="majorEastAsia" w:hAnsiTheme="majorBidi" w:cstheme="majorBidi"/>
          <w:lang w:val="es-CO"/>
        </w:rPr>
        <w:t>(</w:t>
      </w:r>
      <w:hyperlink r:id="rId540" w:tgtFrame="_blank" w:history="1">
        <w:r w:rsidRPr="00ED7E61">
          <w:rPr>
            <w:rStyle w:val="normaltextrun"/>
            <w:rFonts w:asciiTheme="majorBidi" w:eastAsiaTheme="majorEastAsia" w:hAnsiTheme="majorBidi" w:cstheme="majorBidi"/>
            <w:color w:val="467886"/>
            <w:u w:val="single"/>
            <w:lang w:val="it-IT"/>
          </w:rPr>
          <w:t>gwf@biodiv.com.br</w:t>
        </w:r>
      </w:hyperlink>
      <w:r w:rsidRPr="00ED7E61">
        <w:rPr>
          <w:rStyle w:val="normaltextrun"/>
          <w:rFonts w:asciiTheme="majorBidi" w:eastAsiaTheme="majorEastAsia" w:hAnsiTheme="majorBidi" w:cstheme="majorBidi"/>
          <w:lang w:val="es-CO"/>
        </w:rPr>
        <w:t>)</w:t>
      </w:r>
      <w:r w:rsidRPr="00ED7E61">
        <w:rPr>
          <w:rStyle w:val="eop"/>
          <w:rFonts w:asciiTheme="majorBidi" w:eastAsiaTheme="majorEastAsia" w:hAnsiTheme="majorBidi" w:cstheme="majorBidi"/>
          <w:lang w:val="es-ES"/>
        </w:rPr>
        <w:t> </w:t>
      </w:r>
    </w:p>
    <w:p w14:paraId="781BFB9D" w14:textId="77777777" w:rsidR="00756F0F" w:rsidRPr="00ED7E61" w:rsidRDefault="00756F0F" w:rsidP="004E0302">
      <w:pPr>
        <w:pStyle w:val="CBDNormalNumber"/>
        <w:numPr>
          <w:ilvl w:val="0"/>
          <w:numId w:val="0"/>
        </w:numPr>
        <w:shd w:val="clear" w:color="auto" w:fill="FFFFFF"/>
        <w:ind w:left="567"/>
        <w:rPr>
          <w:rFonts w:asciiTheme="majorBidi" w:hAnsiTheme="majorBidi" w:cstheme="majorBidi"/>
          <w:lang w:val="fi-FI"/>
        </w:rPr>
      </w:pPr>
      <w:r w:rsidRPr="00ED7E61">
        <w:rPr>
          <w:rStyle w:val="normaltextrun"/>
          <w:rFonts w:asciiTheme="majorBidi" w:eastAsiaTheme="majorEastAsia" w:hAnsiTheme="majorBidi" w:cstheme="majorBidi"/>
          <w:lang w:val="fi-FI"/>
        </w:rPr>
        <w:t>Ntakadzeni Tshidada (</w:t>
      </w:r>
      <w:hyperlink r:id="rId541" w:tgtFrame="_blank" w:history="1">
        <w:r w:rsidRPr="00ED7E61">
          <w:rPr>
            <w:rStyle w:val="normaltextrun"/>
            <w:rFonts w:asciiTheme="majorBidi" w:eastAsiaTheme="majorEastAsia" w:hAnsiTheme="majorBidi" w:cstheme="majorBidi"/>
            <w:color w:val="467886"/>
            <w:u w:val="single"/>
            <w:lang w:val="fi-FI"/>
          </w:rPr>
          <w:t>n.tshidada@sanbi.org.za</w:t>
        </w:r>
      </w:hyperlink>
      <w:r w:rsidRPr="00ED7E61">
        <w:rPr>
          <w:rStyle w:val="normaltextrun"/>
          <w:rFonts w:asciiTheme="majorBidi" w:eastAsiaTheme="majorEastAsia" w:hAnsiTheme="majorBidi" w:cstheme="majorBidi"/>
          <w:lang w:val="fi-FI"/>
        </w:rPr>
        <w:t>)</w:t>
      </w:r>
      <w:r w:rsidRPr="00ED7E61">
        <w:rPr>
          <w:rStyle w:val="eop"/>
          <w:rFonts w:asciiTheme="majorBidi" w:eastAsiaTheme="majorEastAsia" w:hAnsiTheme="majorBidi" w:cstheme="majorBidi"/>
          <w:lang w:val="fi-FI"/>
        </w:rPr>
        <w:t> </w:t>
      </w:r>
    </w:p>
    <w:p w14:paraId="6490B962" w14:textId="77777777" w:rsidR="00756F0F" w:rsidRPr="00ED7E61" w:rsidRDefault="00756F0F" w:rsidP="00395866">
      <w:pPr>
        <w:pStyle w:val="paragraph"/>
        <w:pBdr>
          <w:bottom w:val="single" w:sz="4" w:space="1" w:color="000000"/>
        </w:pBdr>
        <w:spacing w:before="0" w:beforeAutospacing="0" w:after="0" w:afterAutospacing="0"/>
        <w:jc w:val="both"/>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11. References</w:t>
      </w:r>
      <w:r w:rsidRPr="00ED7E61">
        <w:rPr>
          <w:rStyle w:val="eop"/>
          <w:rFonts w:asciiTheme="majorBidi" w:eastAsiaTheme="majorEastAsia" w:hAnsiTheme="majorBidi" w:cstheme="majorBidi"/>
          <w:b/>
          <w:bCs/>
          <w:sz w:val="22"/>
          <w:szCs w:val="22"/>
        </w:rPr>
        <w:t> </w:t>
      </w:r>
    </w:p>
    <w:p w14:paraId="1F24CE7A" w14:textId="77777777" w:rsidR="00756F0F" w:rsidRPr="00ED7E61" w:rsidRDefault="00756F0F" w:rsidP="00395866">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AU"/>
        </w:rPr>
        <w:t>Websites: </w:t>
      </w:r>
      <w:r w:rsidRPr="00ED7E61">
        <w:rPr>
          <w:rStyle w:val="eop"/>
          <w:rFonts w:asciiTheme="majorBidi" w:eastAsiaTheme="majorEastAsia" w:hAnsiTheme="majorBidi" w:cstheme="majorBidi"/>
          <w:sz w:val="22"/>
          <w:szCs w:val="22"/>
        </w:rPr>
        <w:t> </w:t>
      </w:r>
    </w:p>
    <w:p w14:paraId="71D266DB" w14:textId="67BB676D" w:rsidR="00B35350"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42" w:tgtFrame="_blank" w:history="1">
        <w:r w:rsidRPr="00ED7E61">
          <w:rPr>
            <w:rStyle w:val="normaltextrun"/>
            <w:rFonts w:asciiTheme="majorBidi" w:eastAsiaTheme="majorEastAsia" w:hAnsiTheme="majorBidi" w:cstheme="majorBidi"/>
            <w:color w:val="467886"/>
            <w:u w:val="single"/>
            <w:shd w:val="clear" w:color="auto" w:fill="E1E3E6"/>
            <w:lang w:val="en-AU"/>
          </w:rPr>
          <w:t>The Taskforce on Nature-related Financial Disclosures</w:t>
        </w:r>
      </w:hyperlink>
      <w:r w:rsidRPr="00ED7E61">
        <w:rPr>
          <w:rStyle w:val="eop"/>
          <w:rFonts w:asciiTheme="majorBidi" w:eastAsiaTheme="majorEastAsia" w:hAnsiTheme="majorBidi" w:cstheme="majorBidi"/>
          <w:color w:val="467886"/>
        </w:rPr>
        <w:t> </w:t>
      </w:r>
    </w:p>
    <w:p w14:paraId="6F135976" w14:textId="56F27D96" w:rsidR="00B35350"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43" w:tgtFrame="_blank" w:history="1">
        <w:r w:rsidRPr="00ED7E61">
          <w:rPr>
            <w:rStyle w:val="normaltextrun"/>
            <w:rFonts w:asciiTheme="majorBidi" w:eastAsiaTheme="majorEastAsia" w:hAnsiTheme="majorBidi" w:cstheme="majorBidi"/>
            <w:color w:val="467886"/>
            <w:u w:val="single"/>
            <w:shd w:val="clear" w:color="auto" w:fill="E1E3E6"/>
            <w:lang w:val="en-AU"/>
          </w:rPr>
          <w:t>The Science Based Target Network</w:t>
        </w:r>
      </w:hyperlink>
      <w:r w:rsidRPr="00ED7E61">
        <w:rPr>
          <w:rStyle w:val="eop"/>
          <w:rFonts w:asciiTheme="majorBidi" w:eastAsiaTheme="majorEastAsia" w:hAnsiTheme="majorBidi" w:cstheme="majorBidi"/>
          <w:color w:val="467886"/>
        </w:rPr>
        <w:t> </w:t>
      </w:r>
    </w:p>
    <w:p w14:paraId="511BED5B" w14:textId="4458162D" w:rsidR="00B35350"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44" w:tgtFrame="_blank" w:history="1">
        <w:r w:rsidRPr="00ED7E61">
          <w:rPr>
            <w:rStyle w:val="normaltextrun"/>
            <w:rFonts w:asciiTheme="majorBidi" w:eastAsiaTheme="majorEastAsia" w:hAnsiTheme="majorBidi" w:cstheme="majorBidi"/>
            <w:color w:val="467886"/>
            <w:u w:val="single"/>
            <w:shd w:val="clear" w:color="auto" w:fill="E1E3E6"/>
            <w:lang w:val="en-AU"/>
          </w:rPr>
          <w:t>GRI</w:t>
        </w:r>
      </w:hyperlink>
      <w:r w:rsidRPr="00ED7E61">
        <w:rPr>
          <w:rStyle w:val="eop"/>
          <w:rFonts w:asciiTheme="majorBidi" w:eastAsiaTheme="majorEastAsia" w:hAnsiTheme="majorBidi" w:cstheme="majorBidi"/>
          <w:color w:val="467886"/>
        </w:rPr>
        <w:t> </w:t>
      </w:r>
    </w:p>
    <w:p w14:paraId="703C47DC" w14:textId="13D173E2" w:rsidR="00B35350"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45" w:tgtFrame="_blank" w:history="1">
        <w:r w:rsidRPr="00ED7E61">
          <w:rPr>
            <w:rStyle w:val="normaltextrun"/>
            <w:rFonts w:asciiTheme="majorBidi" w:eastAsiaTheme="majorEastAsia" w:hAnsiTheme="majorBidi" w:cstheme="majorBidi"/>
            <w:color w:val="467886"/>
            <w:u w:val="single"/>
            <w:lang w:val="en-AU"/>
          </w:rPr>
          <w:t>UNEP-WESR</w:t>
        </w:r>
      </w:hyperlink>
      <w:r w:rsidRPr="00ED7E61">
        <w:rPr>
          <w:rStyle w:val="eop"/>
          <w:rFonts w:asciiTheme="majorBidi" w:eastAsiaTheme="majorEastAsia" w:hAnsiTheme="majorBidi" w:cstheme="majorBidi"/>
          <w:color w:val="467886"/>
        </w:rPr>
        <w:t> </w:t>
      </w:r>
    </w:p>
    <w:p w14:paraId="79012771" w14:textId="1B7F2417" w:rsidR="00B35350"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46" w:tgtFrame="_blank" w:history="1">
        <w:r w:rsidRPr="00ED7E61">
          <w:rPr>
            <w:rStyle w:val="normaltextrun"/>
            <w:rFonts w:asciiTheme="majorBidi" w:eastAsiaTheme="majorEastAsia" w:hAnsiTheme="majorBidi" w:cstheme="majorBidi"/>
            <w:color w:val="467886"/>
            <w:u w:val="single"/>
            <w:lang w:val="en-AU"/>
          </w:rPr>
          <w:t>UNCTAD</w:t>
        </w:r>
      </w:hyperlink>
      <w:r w:rsidRPr="00ED7E61">
        <w:rPr>
          <w:rStyle w:val="eop"/>
          <w:rFonts w:asciiTheme="majorBidi" w:eastAsiaTheme="majorEastAsia" w:hAnsiTheme="majorBidi" w:cstheme="majorBidi"/>
          <w:color w:val="467886"/>
        </w:rPr>
        <w:t> </w:t>
      </w:r>
    </w:p>
    <w:p w14:paraId="57235410" w14:textId="75548C27" w:rsidR="00B35350"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47" w:tgtFrame="_blank" w:history="1">
        <w:r w:rsidRPr="00ED7E61">
          <w:rPr>
            <w:rStyle w:val="normaltextrun"/>
            <w:rFonts w:asciiTheme="majorBidi" w:eastAsiaTheme="majorEastAsia" w:hAnsiTheme="majorBidi" w:cstheme="majorBidi"/>
            <w:color w:val="467886"/>
            <w:u w:val="single"/>
            <w:lang w:val="en-AU"/>
          </w:rPr>
          <w:t>UN SDG indicator database; see 12.6.1 report</w:t>
        </w:r>
      </w:hyperlink>
      <w:r w:rsidRPr="00ED7E61">
        <w:rPr>
          <w:rStyle w:val="eop"/>
          <w:rFonts w:asciiTheme="majorBidi" w:eastAsiaTheme="majorEastAsia" w:hAnsiTheme="majorBidi" w:cstheme="majorBidi"/>
          <w:color w:val="467886"/>
        </w:rPr>
        <w:t> </w:t>
      </w:r>
    </w:p>
    <w:p w14:paraId="7435717F" w14:textId="4101474D" w:rsidR="00B35350"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48" w:tgtFrame="_blank" w:history="1">
        <w:r w:rsidRPr="00ED7E61">
          <w:rPr>
            <w:rStyle w:val="normaltextrun"/>
            <w:rFonts w:asciiTheme="majorBidi" w:eastAsiaTheme="majorEastAsia" w:hAnsiTheme="majorBidi" w:cstheme="majorBidi"/>
            <w:color w:val="467886"/>
            <w:u w:val="single"/>
            <w:lang w:val="en-AU"/>
          </w:rPr>
          <w:t>CDP</w:t>
        </w:r>
      </w:hyperlink>
      <w:r w:rsidRPr="00ED7E61">
        <w:rPr>
          <w:rStyle w:val="eop"/>
          <w:rFonts w:asciiTheme="majorBidi" w:eastAsiaTheme="majorEastAsia" w:hAnsiTheme="majorBidi" w:cstheme="majorBidi"/>
        </w:rPr>
        <w:t> </w:t>
      </w:r>
    </w:p>
    <w:p w14:paraId="4FFB41E2" w14:textId="1C4F7EBA" w:rsidR="00B35350"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49" w:tgtFrame="_blank" w:history="1">
        <w:r w:rsidRPr="00ED7E61">
          <w:rPr>
            <w:rStyle w:val="normaltextrun"/>
            <w:rFonts w:asciiTheme="majorBidi" w:eastAsiaTheme="majorEastAsia" w:hAnsiTheme="majorBidi" w:cstheme="majorBidi"/>
            <w:color w:val="467886"/>
            <w:u w:val="single"/>
            <w:shd w:val="clear" w:color="auto" w:fill="E1E3E6"/>
            <w:lang w:val="en-AU"/>
          </w:rPr>
          <w:t>World Benchmarking Alliance</w:t>
        </w:r>
      </w:hyperlink>
      <w:r w:rsidRPr="00ED7E61">
        <w:rPr>
          <w:rStyle w:val="eop"/>
          <w:rFonts w:asciiTheme="majorBidi" w:eastAsiaTheme="majorEastAsia" w:hAnsiTheme="majorBidi" w:cstheme="majorBidi"/>
          <w:color w:val="467886"/>
        </w:rPr>
        <w:t> </w:t>
      </w:r>
    </w:p>
    <w:p w14:paraId="6FEC4A1E" w14:textId="208790EA" w:rsidR="00B35350"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50" w:tgtFrame="_blank" w:history="1">
        <w:r w:rsidRPr="00ED7E61">
          <w:rPr>
            <w:rStyle w:val="normaltextrun"/>
            <w:rFonts w:asciiTheme="majorBidi" w:eastAsiaTheme="majorEastAsia" w:hAnsiTheme="majorBidi" w:cstheme="majorBidi"/>
            <w:color w:val="467886"/>
            <w:u w:val="single"/>
            <w:shd w:val="clear" w:color="auto" w:fill="E1E3E6"/>
            <w:lang w:val="en-AU"/>
          </w:rPr>
          <w:t>UN Global Compact</w:t>
        </w:r>
      </w:hyperlink>
      <w:r w:rsidRPr="00ED7E61">
        <w:rPr>
          <w:rStyle w:val="eop"/>
          <w:rFonts w:asciiTheme="majorBidi" w:eastAsiaTheme="majorEastAsia" w:hAnsiTheme="majorBidi" w:cstheme="majorBidi"/>
          <w:color w:val="467886"/>
        </w:rPr>
        <w:t> </w:t>
      </w:r>
    </w:p>
    <w:p w14:paraId="0034E494" w14:textId="2D487D40" w:rsidR="00B35350"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51" w:tgtFrame="_blank" w:history="1">
        <w:r w:rsidRPr="00ED7E61">
          <w:rPr>
            <w:rStyle w:val="normaltextrun"/>
            <w:rFonts w:asciiTheme="majorBidi" w:eastAsiaTheme="majorEastAsia" w:hAnsiTheme="majorBidi" w:cstheme="majorBidi"/>
            <w:color w:val="467886"/>
            <w:u w:val="single"/>
            <w:lang w:val="en-AU"/>
          </w:rPr>
          <w:t>GBIF</w:t>
        </w:r>
      </w:hyperlink>
      <w:r w:rsidRPr="00ED7E61">
        <w:rPr>
          <w:rStyle w:val="eop"/>
          <w:rFonts w:asciiTheme="majorBidi" w:eastAsiaTheme="majorEastAsia" w:hAnsiTheme="majorBidi" w:cstheme="majorBidi"/>
          <w:color w:val="467886"/>
        </w:rPr>
        <w:t> </w:t>
      </w:r>
    </w:p>
    <w:p w14:paraId="0667C6FD" w14:textId="77777777" w:rsidR="00756F0F" w:rsidRPr="00ED7E61" w:rsidRDefault="00756F0F" w:rsidP="00A30F49">
      <w:pPr>
        <w:pStyle w:val="CBDNormalNumber"/>
        <w:numPr>
          <w:ilvl w:val="0"/>
          <w:numId w:val="0"/>
        </w:numPr>
        <w:shd w:val="clear" w:color="auto" w:fill="FFFFFF"/>
        <w:ind w:left="567"/>
        <w:rPr>
          <w:rFonts w:asciiTheme="majorBidi" w:hAnsiTheme="majorBidi" w:cstheme="majorBidi"/>
        </w:rPr>
      </w:pPr>
      <w:hyperlink r:id="rId552" w:tgtFrame="_blank" w:history="1">
        <w:r w:rsidRPr="00ED7E61">
          <w:rPr>
            <w:rStyle w:val="normaltextrun"/>
            <w:rFonts w:asciiTheme="majorBidi" w:eastAsiaTheme="majorEastAsia" w:hAnsiTheme="majorBidi" w:cstheme="majorBidi"/>
            <w:color w:val="467886"/>
            <w:u w:val="single"/>
            <w:lang w:val="en-AU"/>
          </w:rPr>
          <w:t>World Business Council for Sustainable Development (WCSD)</w:t>
        </w:r>
      </w:hyperlink>
      <w:r w:rsidRPr="00ED7E61">
        <w:rPr>
          <w:rStyle w:val="eop"/>
          <w:rFonts w:asciiTheme="majorBidi" w:eastAsiaTheme="majorEastAsia" w:hAnsiTheme="majorBidi" w:cstheme="majorBidi"/>
        </w:rPr>
        <w:t> </w:t>
      </w:r>
    </w:p>
    <w:p w14:paraId="5649847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rPr>
        <w:t>12. Graphs and diagrams</w:t>
      </w:r>
      <w:r w:rsidRPr="00ED7E61">
        <w:rPr>
          <w:rStyle w:val="eop"/>
          <w:rFonts w:asciiTheme="majorBidi" w:eastAsiaTheme="majorEastAsia" w:hAnsiTheme="majorBidi" w:cstheme="majorBidi"/>
          <w:sz w:val="22"/>
          <w:szCs w:val="22"/>
        </w:rPr>
        <w:t> </w:t>
      </w:r>
    </w:p>
    <w:p w14:paraId="2E0A06AA" w14:textId="6C6D0D8D" w:rsidR="00756F0F" w:rsidRPr="00ED7E61" w:rsidRDefault="00756F0F" w:rsidP="005B0D1E">
      <w:pPr>
        <w:pStyle w:val="paragraph"/>
        <w:spacing w:before="0" w:beforeAutospacing="0" w:after="0" w:afterAutospacing="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lang w:val="en-AU"/>
        </w:rPr>
        <w:t>N/A</w:t>
      </w:r>
      <w:r w:rsidRPr="00ED7E61">
        <w:rPr>
          <w:rStyle w:val="eop"/>
          <w:rFonts w:asciiTheme="majorBidi" w:eastAsiaTheme="majorEastAsia" w:hAnsiTheme="majorBidi" w:cstheme="majorBidi"/>
          <w:sz w:val="22"/>
          <w:szCs w:val="22"/>
        </w:rPr>
        <w:t> </w:t>
      </w:r>
    </w:p>
    <w:p w14:paraId="7CAD561E"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6619D977" w14:textId="77777777" w:rsidR="00C9506C" w:rsidRPr="00ED7E61" w:rsidRDefault="00C9506C" w:rsidP="00C9506C">
      <w:pPr>
        <w:pStyle w:val="Heading3"/>
      </w:pPr>
      <w:bookmarkStart w:id="65" w:name="_Toc178285875"/>
      <w:r w:rsidRPr="00ED7E61">
        <w:rPr>
          <w:rStyle w:val="normaltextrun"/>
        </w:rPr>
        <w:t xml:space="preserve">GBF indicator metadata: </w:t>
      </w:r>
      <w:r w:rsidRPr="00ED7E61">
        <w:rPr>
          <w:rStyle w:val="eop"/>
        </w:rPr>
        <w:t>15.b Target 15 binary indicator</w:t>
      </w:r>
      <w:bookmarkEnd w:id="65"/>
      <w:r w:rsidRPr="00ED7E61">
        <w:rPr>
          <w:rStyle w:val="eop"/>
        </w:rPr>
        <w:t xml:space="preserve"> </w:t>
      </w:r>
    </w:p>
    <w:p w14:paraId="08B88C17" w14:textId="77777777" w:rsidR="00C9506C" w:rsidRPr="00ED7E61" w:rsidRDefault="00C9506C" w:rsidP="00C9506C">
      <w:pPr>
        <w:pStyle w:val="paragraph"/>
        <w:spacing w:before="0" w:beforeAutospacing="0" w:after="0" w:afterAutospacing="0"/>
        <w:jc w:val="center"/>
        <w:textAlignment w:val="baseline"/>
        <w:rPr>
          <w:rStyle w:val="normaltextrun"/>
          <w:rFonts w:asciiTheme="majorBidi" w:eastAsiaTheme="majorEastAsia" w:hAnsiTheme="majorBidi" w:cstheme="majorBidi"/>
          <w:b/>
          <w:bCs/>
          <w:sz w:val="22"/>
          <w:szCs w:val="22"/>
        </w:rPr>
      </w:pPr>
    </w:p>
    <w:p w14:paraId="2AE30A60"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b/>
          <w:bCs/>
          <w:sz w:val="22"/>
          <w:szCs w:val="22"/>
        </w:rPr>
        <w:t>Full Indicator Name</w:t>
      </w:r>
    </w:p>
    <w:p w14:paraId="3CB165A6" w14:textId="5589B30E"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color w:val="000000" w:themeColor="text1"/>
          <w:kern w:val="22"/>
          <w:sz w:val="22"/>
          <w:szCs w:val="22"/>
        </w:rPr>
        <w:t xml:space="preserve">Number of countries with legal, administrative or policy measures </w:t>
      </w:r>
      <w:r w:rsidRPr="00ED7E61">
        <w:rPr>
          <w:rFonts w:asciiTheme="majorBidi" w:hAnsiTheme="majorBidi" w:cstheme="majorBidi"/>
          <w:color w:val="000000" w:themeColor="text1"/>
          <w:sz w:val="22"/>
          <w:szCs w:val="22"/>
        </w:rPr>
        <w:t>aimed at encouraging and enabling business and financial institutions, and in particular large and transnational companies and financial institutions, to progressively reduce their negative impacts on biodiversity, increase their positive impacts, reduce their biodiversity-related risks and promote actions to ensure sustainable patterns of production.</w:t>
      </w:r>
    </w:p>
    <w:p w14:paraId="7C9563DF" w14:textId="77777777" w:rsidR="00C9506C" w:rsidRPr="00ED7E61" w:rsidRDefault="00C9506C" w:rsidP="00C9506C">
      <w:pPr>
        <w:jc w:val="both"/>
        <w:rPr>
          <w:rFonts w:asciiTheme="majorBidi" w:hAnsiTheme="majorBidi" w:cstheme="majorBidi"/>
          <w:sz w:val="22"/>
          <w:szCs w:val="22"/>
          <w:lang w:val="en-US"/>
        </w:rPr>
      </w:pPr>
    </w:p>
    <w:p w14:paraId="0A2568A9" w14:textId="749EAA60"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582CDE9B"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4C64B786" w14:textId="77777777" w:rsidR="00C9506C" w:rsidRPr="00ED7E61" w:rsidRDefault="00C9506C" w:rsidP="00C9506C">
      <w:pPr>
        <w:jc w:val="both"/>
        <w:rPr>
          <w:rFonts w:asciiTheme="majorBidi" w:hAnsiTheme="majorBidi" w:cstheme="majorBidi"/>
          <w:color w:val="242424"/>
          <w:sz w:val="22"/>
          <w:szCs w:val="22"/>
        </w:rPr>
      </w:pPr>
      <w:r w:rsidRPr="00ED7E61">
        <w:rPr>
          <w:rFonts w:asciiTheme="majorBidi" w:hAnsiTheme="majorBidi" w:cstheme="majorBidi"/>
          <w:color w:val="242424"/>
          <w:sz w:val="22"/>
          <w:szCs w:val="22"/>
        </w:rPr>
        <w:t>N/A</w:t>
      </w:r>
    </w:p>
    <w:p w14:paraId="4EE17A01" w14:textId="77777777" w:rsidR="00C9506C" w:rsidRPr="00ED7E61" w:rsidRDefault="00C9506C" w:rsidP="00C9506C">
      <w:pPr>
        <w:jc w:val="both"/>
        <w:rPr>
          <w:rFonts w:asciiTheme="majorBidi" w:hAnsiTheme="majorBidi" w:cstheme="majorBidi"/>
          <w:sz w:val="22"/>
          <w:szCs w:val="22"/>
        </w:rPr>
      </w:pPr>
    </w:p>
    <w:p w14:paraId="3B12488A"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Target</w:t>
      </w:r>
    </w:p>
    <w:p w14:paraId="4775973F"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sz w:val="22"/>
          <w:szCs w:val="22"/>
        </w:rPr>
        <w:t>Binary indicator for Target 15. Take legal, administrative or policy measures to encourage and enable business, and in particular to ensure that large and transnational companies and financial institutions:</w:t>
      </w:r>
    </w:p>
    <w:p w14:paraId="05381FCF" w14:textId="77777777" w:rsidR="00C9506C" w:rsidRPr="00ED7E61" w:rsidRDefault="00C9506C" w:rsidP="00C9506C">
      <w:pPr>
        <w:ind w:firstLine="720"/>
        <w:jc w:val="both"/>
        <w:rPr>
          <w:rFonts w:asciiTheme="majorBidi" w:hAnsiTheme="majorBidi" w:cstheme="majorBidi"/>
          <w:sz w:val="22"/>
          <w:szCs w:val="22"/>
        </w:rPr>
      </w:pPr>
      <w:r w:rsidRPr="00ED7E61">
        <w:rPr>
          <w:rFonts w:asciiTheme="majorBidi" w:hAnsiTheme="majorBidi" w:cstheme="majorBidi"/>
          <w:sz w:val="22"/>
          <w:szCs w:val="22"/>
        </w:rPr>
        <w:t>(a) Regularly monitor, assess, and transparently disclose their risks, dependencies and impacts on biodiversity, including with requirements for all large as well as transnational companies and financial institutions along their operations, supply and value chains, and portfolios;</w:t>
      </w:r>
    </w:p>
    <w:p w14:paraId="55290C75" w14:textId="77777777" w:rsidR="00C9506C" w:rsidRPr="00ED7E61" w:rsidRDefault="00C9506C" w:rsidP="00C9506C">
      <w:pPr>
        <w:ind w:firstLine="720"/>
        <w:jc w:val="both"/>
        <w:rPr>
          <w:rFonts w:asciiTheme="majorBidi" w:hAnsiTheme="majorBidi" w:cstheme="majorBidi"/>
          <w:sz w:val="22"/>
          <w:szCs w:val="22"/>
        </w:rPr>
      </w:pPr>
      <w:r w:rsidRPr="00ED7E61">
        <w:rPr>
          <w:rFonts w:asciiTheme="majorBidi" w:hAnsiTheme="majorBidi" w:cstheme="majorBidi"/>
          <w:sz w:val="22"/>
          <w:szCs w:val="22"/>
        </w:rPr>
        <w:t>(b) Provide information needed to consumers to promote sustainable consumption patterns;</w:t>
      </w:r>
    </w:p>
    <w:p w14:paraId="22CFD08D" w14:textId="77777777" w:rsidR="00C9506C" w:rsidRPr="00ED7E61" w:rsidRDefault="00C9506C" w:rsidP="00C9506C">
      <w:pPr>
        <w:ind w:firstLine="720"/>
        <w:jc w:val="both"/>
        <w:rPr>
          <w:rFonts w:asciiTheme="majorBidi" w:hAnsiTheme="majorBidi" w:cstheme="majorBidi"/>
          <w:sz w:val="22"/>
          <w:szCs w:val="22"/>
        </w:rPr>
      </w:pPr>
      <w:r w:rsidRPr="00ED7E61">
        <w:rPr>
          <w:rFonts w:asciiTheme="majorBidi" w:hAnsiTheme="majorBidi" w:cstheme="majorBidi"/>
          <w:sz w:val="22"/>
          <w:szCs w:val="22"/>
        </w:rPr>
        <w:t>(c) Report on compliance with access and benefit-sharing regulations and measures, as applicable;</w:t>
      </w:r>
    </w:p>
    <w:p w14:paraId="19808838"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sz w:val="22"/>
          <w:szCs w:val="22"/>
        </w:rPr>
        <w:t>in order to progressively reduce negative impacts on biodiversity, increase positive impacts, reduce biodiversity- related risks to business and financial institutions, and promote actions to ensure sustainable patterns of production.</w:t>
      </w:r>
    </w:p>
    <w:p w14:paraId="72F67B65" w14:textId="77777777" w:rsidR="00C9506C" w:rsidRPr="00ED7E61" w:rsidRDefault="00C9506C" w:rsidP="00C9506C">
      <w:pPr>
        <w:jc w:val="both"/>
        <w:rPr>
          <w:rFonts w:asciiTheme="majorBidi" w:hAnsiTheme="majorBidi" w:cstheme="majorBidi"/>
          <w:sz w:val="22"/>
          <w:szCs w:val="22"/>
        </w:rPr>
      </w:pPr>
    </w:p>
    <w:p w14:paraId="74E8D497"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05FFC4F0" w14:textId="249A5BB2" w:rsidR="00EC7650" w:rsidRPr="00ED7E61" w:rsidRDefault="00C9506C" w:rsidP="00B10F0C">
      <w:pPr>
        <w:pStyle w:val="CBDNormalNumber"/>
        <w:numPr>
          <w:ilvl w:val="0"/>
          <w:numId w:val="89"/>
        </w:numPr>
        <w:shd w:val="clear" w:color="auto" w:fill="FFFFFF"/>
        <w:tabs>
          <w:tab w:val="clear" w:pos="1701"/>
        </w:tabs>
        <w:ind w:left="567" w:firstLine="0"/>
        <w:rPr>
          <w:rFonts w:asciiTheme="majorBidi" w:hAnsiTheme="majorBidi" w:cstheme="majorBidi"/>
        </w:rPr>
      </w:pPr>
      <w:r w:rsidRPr="00ED7E61">
        <w:rPr>
          <w:rFonts w:asciiTheme="majorBidi" w:hAnsiTheme="majorBidi" w:cstheme="majorBidi"/>
        </w:rPr>
        <w:t>All businesses are tied in some way to biodiversity through their risks, dependencies and impacts. However, these risks, dependencies and impacts are not always acknowledged or accounted for. By assessing and monitoring their impacts on biodiversity, businesses can better understand their relationship with biodiversity and assess the impacts of their activities on it and the risks posed by biodiversity loss to their operations and supply chains. Once these relationships, impacts and risks have been assessed and disclosed, it becomes easier to take concrete steps to address them. Governments have a particularly important role to play in this respect as they can put in place the legal, administrative or policy measures that can facilitate these assessments to take place in a consistent and equitable manner.</w:t>
      </w:r>
    </w:p>
    <w:p w14:paraId="462BD108" w14:textId="1D3698B3" w:rsidR="00C9506C" w:rsidRPr="00A30F49" w:rsidRDefault="00C9506C" w:rsidP="00B10F0C">
      <w:pPr>
        <w:pStyle w:val="CBDNormalNumber"/>
        <w:numPr>
          <w:ilvl w:val="0"/>
          <w:numId w:val="89"/>
        </w:numPr>
        <w:shd w:val="clear" w:color="auto" w:fill="FFFFFF"/>
        <w:ind w:left="567" w:firstLine="0"/>
      </w:pPr>
      <w:r w:rsidRPr="00ED7E61">
        <w:t>Large and transnational companies and financial institutions have a disproportionately great impact on biodiversity.  These types of companies and institutions, owing to their size and areas of operation, supply and value chains and portfolios often have large net impacts on biodiversity. As such improvements in their monitoring, assessment and disclosure processes have significant potential to generate positive outcomes for biodiversity, particularly as issues associated with supply chains and portfolios are often overlooked in sustainability reports. They also have the resources to track their biodiversity related risks and impacts for reporting and action. This indicator aims to track the progress made by governments to encourage and enable businesses, especially large and transnational companies and financial institutions, to reduce their negative impact and increase their positive impacts on biodiversity. Specifically, this indicator reports on the number of countries that have implemented legal, administrative or policy measures to ensure large and transnational companies and financial institutions make progress towards elements (a), (b) and (c) of target 15.</w:t>
      </w:r>
    </w:p>
    <w:p w14:paraId="19FF0237" w14:textId="667401CB"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CE7236">
        <w:rPr>
          <w:rFonts w:asciiTheme="majorBidi" w:hAnsiTheme="majorBidi" w:cstheme="majorBidi"/>
          <w:b/>
          <w:bCs/>
          <w:sz w:val="22"/>
          <w:szCs w:val="22"/>
        </w:rPr>
        <w:t>a</w:t>
      </w:r>
      <w:r w:rsidRPr="00ED7E61">
        <w:rPr>
          <w:rFonts w:asciiTheme="majorBidi" w:hAnsiTheme="majorBidi" w:cstheme="majorBidi"/>
          <w:b/>
          <w:bCs/>
          <w:sz w:val="22"/>
          <w:szCs w:val="22"/>
        </w:rPr>
        <w:t>nd Classifications</w:t>
      </w:r>
    </w:p>
    <w:p w14:paraId="6704B771" w14:textId="77777777" w:rsidR="00C9506C" w:rsidRPr="00ED7E61" w:rsidRDefault="00C9506C" w:rsidP="00A30F49">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7C5EAF69" w14:textId="039443CD" w:rsidR="008734AE" w:rsidRPr="00ED7E61" w:rsidRDefault="00C9506C" w:rsidP="00B10F0C">
      <w:pPr>
        <w:pStyle w:val="CBDNormalNumber"/>
        <w:numPr>
          <w:ilvl w:val="0"/>
          <w:numId w:val="89"/>
        </w:numPr>
        <w:shd w:val="clear" w:color="auto" w:fill="FFFFFF"/>
        <w:ind w:left="567" w:firstLine="0"/>
        <w:rPr>
          <w:rFonts w:asciiTheme="majorBidi" w:hAnsiTheme="majorBidi" w:cstheme="majorBidi"/>
          <w:color w:val="000000" w:themeColor="text1"/>
          <w:spacing w:val="6"/>
          <w:shd w:val="clear" w:color="auto" w:fill="E9EEED"/>
        </w:rPr>
      </w:pPr>
      <w:r w:rsidRPr="00ED7E61">
        <w:rPr>
          <w:rFonts w:asciiTheme="majorBidi" w:hAnsiTheme="majorBidi" w:cstheme="majorBidi"/>
        </w:rPr>
        <w:t>Large and transnational companies and financial institutions</w:t>
      </w:r>
      <w:r w:rsidRPr="00ED7E61">
        <w:rPr>
          <w:rFonts w:asciiTheme="majorBidi" w:hAnsiTheme="majorBidi" w:cstheme="majorBidi"/>
          <w:color w:val="000000" w:themeColor="text1"/>
        </w:rPr>
        <w:t xml:space="preserve">: </w:t>
      </w:r>
      <w:r w:rsidRPr="00ED7E61">
        <w:rPr>
          <w:rFonts w:asciiTheme="majorBidi" w:hAnsiTheme="majorBidi" w:cstheme="majorBidi"/>
        </w:rPr>
        <w:t>A large private or public firm which owns and controls productive assets and/or holds investments in two or more countries. The most commonly used criteria for company size are employment and annual revenue. The World Bank generally considers companies with over 300 employees and $15 million in annual revenue to be “</w:t>
      </w:r>
      <w:r w:rsidRPr="00FB1598">
        <w:rPr>
          <w:rFonts w:asciiTheme="majorBidi" w:hAnsiTheme="majorBidi" w:cstheme="majorBidi"/>
          <w:i/>
          <w:iCs/>
        </w:rPr>
        <w:t>large</w:t>
      </w:r>
      <w:r w:rsidRPr="00ED7E61">
        <w:rPr>
          <w:rFonts w:asciiTheme="majorBidi" w:hAnsiTheme="majorBidi" w:cstheme="majorBidi"/>
        </w:rPr>
        <w:t>”. However, some countries or jurisdictions use different thresholds to define “</w:t>
      </w:r>
      <w:r w:rsidRPr="00FB1598">
        <w:rPr>
          <w:rFonts w:asciiTheme="majorBidi" w:hAnsiTheme="majorBidi" w:cstheme="majorBidi"/>
          <w:i/>
          <w:iCs/>
        </w:rPr>
        <w:t>large</w:t>
      </w:r>
      <w:r w:rsidRPr="00ED7E61">
        <w:rPr>
          <w:rFonts w:asciiTheme="majorBidi" w:hAnsiTheme="majorBidi" w:cstheme="majorBidi"/>
        </w:rPr>
        <w:t>”. Parties may choose to rely on the World Bank criteria or nationally recognised criteria of their own.</w:t>
      </w:r>
    </w:p>
    <w:p w14:paraId="4C61BB3E" w14:textId="77777777" w:rsidR="00C9506C" w:rsidRPr="00ED7E61" w:rsidRDefault="00C9506C" w:rsidP="00B10F0C">
      <w:pPr>
        <w:pStyle w:val="CBDNormalNumber"/>
        <w:numPr>
          <w:ilvl w:val="0"/>
          <w:numId w:val="89"/>
        </w:numPr>
        <w:shd w:val="clear" w:color="auto" w:fill="FFFFFF"/>
        <w:ind w:left="567" w:firstLine="0"/>
        <w:rPr>
          <w:rFonts w:asciiTheme="majorBidi" w:hAnsiTheme="majorBidi" w:cstheme="majorBidi"/>
        </w:rPr>
      </w:pPr>
      <w:r w:rsidRPr="00ED7E61">
        <w:rPr>
          <w:rFonts w:asciiTheme="majorBidi" w:hAnsiTheme="majorBidi" w:cstheme="majorBidi"/>
          <w:color w:val="000000" w:themeColor="text1"/>
        </w:rPr>
        <w:t xml:space="preserve">Measures: </w:t>
      </w:r>
      <w:r w:rsidRPr="00ED7E61">
        <w:rPr>
          <w:rFonts w:asciiTheme="majorBidi" w:hAnsiTheme="majorBidi" w:cstheme="majorBidi"/>
          <w:lang w:val="en-US"/>
        </w:rPr>
        <w:t>The Framework calls for legal, administrative or policy measures to be implemented to support the achievement of its goals and targets. In the context of target 15</w:t>
      </w:r>
      <w:r w:rsidRPr="00ED7E61">
        <w:rPr>
          <w:rFonts w:asciiTheme="majorBidi" w:hAnsiTheme="majorBidi" w:cstheme="majorBidi"/>
        </w:rPr>
        <w:t>, such measures could, for example, include:</w:t>
      </w:r>
    </w:p>
    <w:p w14:paraId="5C591D54" w14:textId="715F331C" w:rsidR="00C9506C" w:rsidRPr="00ED7E61" w:rsidRDefault="00C9506C" w:rsidP="00B10F0C">
      <w:pPr>
        <w:pStyle w:val="CBDNormalNumber"/>
        <w:numPr>
          <w:ilvl w:val="1"/>
          <w:numId w:val="89"/>
        </w:numPr>
        <w:tabs>
          <w:tab w:val="clear" w:pos="567"/>
          <w:tab w:val="clear" w:pos="1134"/>
          <w:tab w:val="clear" w:pos="2268"/>
          <w:tab w:val="left" w:pos="1985"/>
        </w:tabs>
        <w:ind w:left="567" w:firstLine="567"/>
        <w:rPr>
          <w:rStyle w:val="normaltextrun"/>
          <w:rFonts w:eastAsiaTheme="majorEastAsia"/>
          <w:lang w:val="en-AU"/>
        </w:rPr>
      </w:pPr>
      <w:r w:rsidRPr="00ED7E61">
        <w:rPr>
          <w:rStyle w:val="normaltextrun"/>
          <w:rFonts w:eastAsiaTheme="majorEastAsia"/>
          <w:lang w:val="en-AU"/>
        </w:rPr>
        <w:t>Adopt legislation at national level requiring disclosure of biodiversity-related risks, impacts and dependencies for large and transnational companies and financial institutions</w:t>
      </w:r>
      <w:r w:rsidR="00A30F49">
        <w:rPr>
          <w:rStyle w:val="normaltextrun"/>
          <w:rFonts w:eastAsiaTheme="majorEastAsia"/>
          <w:lang w:val="en-AU"/>
        </w:rPr>
        <w:t>;</w:t>
      </w:r>
    </w:p>
    <w:p w14:paraId="61C6F741" w14:textId="6C38A07F" w:rsidR="00C9506C" w:rsidRPr="00ED7E61" w:rsidRDefault="00C9506C" w:rsidP="00B10F0C">
      <w:pPr>
        <w:pStyle w:val="CBDNormalNumber"/>
        <w:numPr>
          <w:ilvl w:val="1"/>
          <w:numId w:val="89"/>
        </w:numPr>
        <w:tabs>
          <w:tab w:val="clear" w:pos="567"/>
          <w:tab w:val="clear" w:pos="1134"/>
          <w:tab w:val="clear" w:pos="2268"/>
          <w:tab w:val="left" w:pos="1985"/>
        </w:tabs>
        <w:ind w:left="567" w:firstLine="567"/>
        <w:rPr>
          <w:rStyle w:val="normaltextrun"/>
          <w:rFonts w:eastAsiaTheme="majorEastAsia"/>
          <w:lang w:val="en-AU"/>
        </w:rPr>
      </w:pPr>
      <w:r w:rsidRPr="00ED7E61">
        <w:rPr>
          <w:rStyle w:val="normaltextrun"/>
          <w:rFonts w:eastAsiaTheme="majorEastAsia"/>
          <w:lang w:val="en-AU"/>
        </w:rPr>
        <w:t>Mandate financial regulators to require disclosure of nature-related risks, impacts and dependencies from financial market participants</w:t>
      </w:r>
      <w:r w:rsidR="00A30F49">
        <w:rPr>
          <w:rStyle w:val="normaltextrun"/>
          <w:rFonts w:eastAsiaTheme="majorEastAsia"/>
          <w:lang w:val="en-AU"/>
        </w:rPr>
        <w:t>;</w:t>
      </w:r>
    </w:p>
    <w:p w14:paraId="29086D5A" w14:textId="36F2D9E0" w:rsidR="00C9506C" w:rsidRPr="00ED7E61" w:rsidRDefault="00C9506C" w:rsidP="00B10F0C">
      <w:pPr>
        <w:pStyle w:val="CBDNormalNumber"/>
        <w:numPr>
          <w:ilvl w:val="1"/>
          <w:numId w:val="89"/>
        </w:numPr>
        <w:tabs>
          <w:tab w:val="clear" w:pos="567"/>
          <w:tab w:val="clear" w:pos="1134"/>
          <w:tab w:val="clear" w:pos="2268"/>
          <w:tab w:val="left" w:pos="1985"/>
        </w:tabs>
        <w:ind w:left="567" w:firstLine="567"/>
        <w:rPr>
          <w:rStyle w:val="normaltextrun"/>
          <w:rFonts w:eastAsiaTheme="majorEastAsia"/>
          <w:lang w:val="en-AU"/>
        </w:rPr>
      </w:pPr>
      <w:r w:rsidRPr="00ED7E61">
        <w:rPr>
          <w:rStyle w:val="normaltextrun"/>
          <w:rFonts w:eastAsiaTheme="majorEastAsia"/>
          <w:lang w:val="en-AU"/>
        </w:rPr>
        <w:t>Create an enabling environment to encourage companies and financial institutions to disclose, through capacity</w:t>
      </w:r>
      <w:r w:rsidR="00A30F49">
        <w:rPr>
          <w:rStyle w:val="normaltextrun"/>
          <w:rFonts w:eastAsiaTheme="majorEastAsia"/>
          <w:lang w:val="en-AU"/>
        </w:rPr>
        <w:t>-</w:t>
      </w:r>
      <w:r w:rsidRPr="00ED7E61">
        <w:rPr>
          <w:rStyle w:val="normaltextrun"/>
          <w:rFonts w:eastAsiaTheme="majorEastAsia"/>
          <w:lang w:val="en-AU"/>
        </w:rPr>
        <w:t>building, guidance, best practice, information on existing frameworks (such as TNFD and others)</w:t>
      </w:r>
      <w:r w:rsidR="00A30F49">
        <w:rPr>
          <w:rStyle w:val="normaltextrun"/>
          <w:rFonts w:eastAsiaTheme="majorEastAsia"/>
          <w:lang w:val="en-AU"/>
        </w:rPr>
        <w:t>;</w:t>
      </w:r>
    </w:p>
    <w:p w14:paraId="4357EF62" w14:textId="5A8B857E" w:rsidR="00C9506C" w:rsidRPr="00ED7E61" w:rsidRDefault="00C9506C" w:rsidP="00B10F0C">
      <w:pPr>
        <w:pStyle w:val="CBDNormalNumber"/>
        <w:numPr>
          <w:ilvl w:val="1"/>
          <w:numId w:val="89"/>
        </w:numPr>
        <w:tabs>
          <w:tab w:val="clear" w:pos="567"/>
          <w:tab w:val="clear" w:pos="1134"/>
          <w:tab w:val="clear" w:pos="2268"/>
          <w:tab w:val="left" w:pos="1985"/>
        </w:tabs>
        <w:ind w:left="567" w:firstLine="567"/>
        <w:rPr>
          <w:rStyle w:val="normaltextrun"/>
          <w:rFonts w:eastAsiaTheme="majorEastAsia"/>
          <w:lang w:val="en-AU"/>
        </w:rPr>
      </w:pPr>
      <w:r w:rsidRPr="00ED7E61">
        <w:rPr>
          <w:rStyle w:val="normaltextrun"/>
          <w:rFonts w:eastAsiaTheme="majorEastAsia"/>
          <w:lang w:val="en-AU"/>
        </w:rPr>
        <w:t>Develop financial incentives to encourage companies and financial institutions to disclose biodiversity-related risks, impacts and dependencies</w:t>
      </w:r>
      <w:r w:rsidR="00A30F49">
        <w:rPr>
          <w:rStyle w:val="normaltextrun"/>
          <w:rFonts w:eastAsiaTheme="majorEastAsia"/>
          <w:lang w:val="en-AU"/>
        </w:rPr>
        <w:t>;</w:t>
      </w:r>
    </w:p>
    <w:p w14:paraId="1F876CB4" w14:textId="3A907584" w:rsidR="00C9506C" w:rsidRPr="00ED7E61" w:rsidRDefault="00C9506C" w:rsidP="00B10F0C">
      <w:pPr>
        <w:pStyle w:val="CBDNormalNumber"/>
        <w:numPr>
          <w:ilvl w:val="1"/>
          <w:numId w:val="89"/>
        </w:numPr>
        <w:tabs>
          <w:tab w:val="clear" w:pos="567"/>
          <w:tab w:val="clear" w:pos="1134"/>
          <w:tab w:val="clear" w:pos="2268"/>
          <w:tab w:val="left" w:pos="1985"/>
        </w:tabs>
        <w:ind w:left="567" w:firstLine="567"/>
        <w:rPr>
          <w:rStyle w:val="normaltextrun"/>
          <w:rFonts w:eastAsiaTheme="majorEastAsia"/>
          <w:lang w:val="en-AU"/>
        </w:rPr>
      </w:pPr>
      <w:r w:rsidRPr="00ED7E61">
        <w:rPr>
          <w:rStyle w:val="normaltextrun"/>
          <w:rFonts w:eastAsiaTheme="majorEastAsia"/>
          <w:lang w:val="en-AU"/>
        </w:rPr>
        <w:t>Biodiversity-related certification of products for businesses</w:t>
      </w:r>
      <w:r w:rsidR="00A30F49">
        <w:rPr>
          <w:rStyle w:val="normaltextrun"/>
          <w:rFonts w:eastAsiaTheme="majorEastAsia"/>
          <w:lang w:val="en-AU"/>
        </w:rPr>
        <w:t>;</w:t>
      </w:r>
    </w:p>
    <w:p w14:paraId="2961F0A9" w14:textId="77777777" w:rsidR="00C9506C" w:rsidRPr="00ED7E61" w:rsidRDefault="00C9506C" w:rsidP="00B10F0C">
      <w:pPr>
        <w:pStyle w:val="CBDNormalNumber"/>
        <w:numPr>
          <w:ilvl w:val="1"/>
          <w:numId w:val="89"/>
        </w:numPr>
        <w:tabs>
          <w:tab w:val="clear" w:pos="567"/>
          <w:tab w:val="clear" w:pos="1134"/>
          <w:tab w:val="clear" w:pos="2268"/>
          <w:tab w:val="left" w:pos="1985"/>
        </w:tabs>
        <w:ind w:left="567" w:firstLine="567"/>
        <w:rPr>
          <w:rStyle w:val="normaltextrun"/>
          <w:rFonts w:eastAsiaTheme="majorEastAsia"/>
          <w:lang w:val="en-AU"/>
        </w:rPr>
      </w:pPr>
      <w:r w:rsidRPr="00ED7E61">
        <w:rPr>
          <w:rStyle w:val="normaltextrun"/>
          <w:rFonts w:eastAsiaTheme="majorEastAsia"/>
          <w:lang w:val="en-AU"/>
        </w:rPr>
        <w:t xml:space="preserve">Allocate resources towards implementing/enforcing the relevant (above-mentioned) policies or legislative measures   </w:t>
      </w:r>
    </w:p>
    <w:p w14:paraId="2D5A50DF" w14:textId="77777777" w:rsidR="00C9506C" w:rsidRPr="00ED7E61" w:rsidRDefault="00C9506C" w:rsidP="00B10F0C">
      <w:pPr>
        <w:pStyle w:val="CBDNormalNumber"/>
        <w:numPr>
          <w:ilvl w:val="0"/>
          <w:numId w:val="89"/>
        </w:numPr>
        <w:shd w:val="clear" w:color="auto" w:fill="FFFFFF"/>
        <w:ind w:left="567" w:firstLine="0"/>
        <w:rPr>
          <w:rFonts w:asciiTheme="majorBidi" w:hAnsiTheme="majorBidi" w:cstheme="majorBidi"/>
        </w:rPr>
      </w:pPr>
      <w:r w:rsidRPr="00ED7E61">
        <w:rPr>
          <w:rFonts w:asciiTheme="majorBidi" w:hAnsiTheme="majorBidi" w:cstheme="majorBidi"/>
        </w:rPr>
        <w:t>Such measures may be supported by policy frameworks adopted by countries aiming at reducing the impact on biodiversity. Finally, these laws and policies should be supported with personnel resources in administration whose mandate it is to include biodiversity concerns.</w:t>
      </w:r>
    </w:p>
    <w:p w14:paraId="7CDD4DCE" w14:textId="77777777" w:rsidR="00C9506C" w:rsidRPr="00ED7E61" w:rsidRDefault="00C9506C" w:rsidP="00B10F0C">
      <w:pPr>
        <w:pStyle w:val="CBDNormalNumber"/>
        <w:numPr>
          <w:ilvl w:val="0"/>
          <w:numId w:val="89"/>
        </w:numPr>
        <w:shd w:val="clear" w:color="auto" w:fill="FFFFFF"/>
        <w:ind w:left="567" w:firstLine="0"/>
        <w:rPr>
          <w:rFonts w:asciiTheme="majorBidi" w:hAnsiTheme="majorBidi" w:cstheme="majorBidi"/>
          <w:lang w:val="en-AU"/>
        </w:rPr>
      </w:pPr>
      <w:r w:rsidRPr="00ED7E61">
        <w:rPr>
          <w:rFonts w:asciiTheme="majorBidi" w:hAnsiTheme="majorBidi" w:cstheme="majorBidi"/>
        </w:rPr>
        <w:t>Biodiversity</w:t>
      </w:r>
      <w:r w:rsidRPr="00ED7E61">
        <w:rPr>
          <w:rFonts w:asciiTheme="majorBidi" w:hAnsiTheme="majorBidi" w:cstheme="majorBidi"/>
          <w:color w:val="000000" w:themeColor="text1"/>
        </w:rPr>
        <w:t>-related risks to business and financial institutions</w:t>
      </w:r>
      <w:r w:rsidRPr="00ED7E61">
        <w:rPr>
          <w:rFonts w:asciiTheme="majorBidi" w:hAnsiTheme="majorBidi" w:cstheme="majorBidi"/>
          <w:b/>
          <w:bCs/>
          <w:color w:val="000000" w:themeColor="text1"/>
        </w:rPr>
        <w:t>:</w:t>
      </w:r>
      <w:r w:rsidRPr="00ED7E61">
        <w:rPr>
          <w:rFonts w:asciiTheme="majorBidi" w:hAnsiTheme="majorBidi" w:cstheme="majorBidi"/>
          <w:color w:val="000000" w:themeColor="text1"/>
        </w:rPr>
        <w:t xml:space="preserve"> </w:t>
      </w:r>
      <w:r w:rsidRPr="00ED7E61">
        <w:rPr>
          <w:rFonts w:asciiTheme="majorBidi" w:hAnsiTheme="majorBidi" w:cstheme="majorBidi"/>
        </w:rPr>
        <w:t xml:space="preserve">The TNFD defines nature-related risks as potential threats (effects of uncertainty) posed to an organization that arise from its and wider society’s dependencies and impacts on nature. </w:t>
      </w:r>
      <w:r w:rsidRPr="00ED7E61">
        <w:rPr>
          <w:rFonts w:asciiTheme="majorBidi" w:hAnsiTheme="majorBidi" w:cstheme="majorBidi"/>
          <w:lang w:val="en-AU"/>
        </w:rPr>
        <w:t>Biodiversity-related risks to businesses are categorised as:</w:t>
      </w:r>
    </w:p>
    <w:p w14:paraId="03A3F070" w14:textId="05FB1785" w:rsidR="008734AE" w:rsidRPr="00ED7E61" w:rsidRDefault="00C9506C" w:rsidP="00B10F0C">
      <w:pPr>
        <w:pStyle w:val="CBDNormalNumber"/>
        <w:numPr>
          <w:ilvl w:val="1"/>
          <w:numId w:val="89"/>
        </w:numPr>
        <w:tabs>
          <w:tab w:val="clear" w:pos="567"/>
          <w:tab w:val="clear" w:pos="1134"/>
          <w:tab w:val="clear" w:pos="2268"/>
          <w:tab w:val="left" w:pos="1985"/>
        </w:tabs>
        <w:ind w:left="567" w:firstLine="567"/>
        <w:rPr>
          <w:rFonts w:asciiTheme="majorBidi" w:hAnsiTheme="majorBidi" w:cstheme="majorBidi"/>
          <w:lang w:val="en-AU"/>
        </w:rPr>
      </w:pPr>
      <w:r w:rsidRPr="00ED7E61">
        <w:rPr>
          <w:rStyle w:val="normaltextrun"/>
          <w:rFonts w:eastAsiaTheme="majorEastAsia"/>
        </w:rPr>
        <w:t>Ecological</w:t>
      </w:r>
      <w:r w:rsidRPr="00ED7E61">
        <w:rPr>
          <w:rFonts w:asciiTheme="majorBidi" w:hAnsiTheme="majorBidi" w:cstheme="majorBidi"/>
          <w:lang w:val="en-AU"/>
        </w:rPr>
        <w:t xml:space="preserve"> risks, i.e. risks related to biodiversity-related ecological impacts and dependencies, linked to biodiversity loss or ecosystems degradation. </w:t>
      </w:r>
    </w:p>
    <w:p w14:paraId="0C8CA596" w14:textId="7C10E3BC" w:rsidR="008734AE" w:rsidRPr="00ED7E61" w:rsidRDefault="00C9506C" w:rsidP="00B10F0C">
      <w:pPr>
        <w:pStyle w:val="CBDNormalNumber"/>
        <w:numPr>
          <w:ilvl w:val="1"/>
          <w:numId w:val="89"/>
        </w:numPr>
        <w:tabs>
          <w:tab w:val="clear" w:pos="567"/>
          <w:tab w:val="clear" w:pos="1134"/>
          <w:tab w:val="clear" w:pos="2268"/>
          <w:tab w:val="left" w:pos="1985"/>
        </w:tabs>
        <w:ind w:left="567" w:firstLine="567"/>
        <w:rPr>
          <w:rFonts w:asciiTheme="majorBidi" w:hAnsiTheme="majorBidi" w:cstheme="majorBidi"/>
          <w:lang w:val="en-AU"/>
        </w:rPr>
      </w:pPr>
      <w:r w:rsidRPr="00ED7E61">
        <w:rPr>
          <w:rFonts w:asciiTheme="majorBidi" w:hAnsiTheme="majorBidi" w:cstheme="majorBidi"/>
          <w:lang w:val="en-AU"/>
        </w:rPr>
        <w:t>Liability risks, where parties who have suffered biodiversity-related loss or damage seek compensation for those they hold responsible.</w:t>
      </w:r>
    </w:p>
    <w:p w14:paraId="2272C0CD" w14:textId="77777777" w:rsidR="00C9506C" w:rsidRPr="00ED7E61" w:rsidRDefault="00C9506C" w:rsidP="00B10F0C">
      <w:pPr>
        <w:pStyle w:val="CBDNormalNumber"/>
        <w:numPr>
          <w:ilvl w:val="1"/>
          <w:numId w:val="89"/>
        </w:numPr>
        <w:tabs>
          <w:tab w:val="clear" w:pos="567"/>
          <w:tab w:val="clear" w:pos="1134"/>
          <w:tab w:val="clear" w:pos="2268"/>
          <w:tab w:val="left" w:pos="1985"/>
        </w:tabs>
        <w:ind w:left="567" w:firstLine="567"/>
        <w:rPr>
          <w:rFonts w:asciiTheme="majorBidi" w:hAnsiTheme="majorBidi" w:cstheme="majorBidi"/>
          <w:lang w:val="en-AU"/>
        </w:rPr>
      </w:pPr>
      <w:r w:rsidRPr="00ED7E61">
        <w:rPr>
          <w:rFonts w:asciiTheme="majorBidi" w:hAnsiTheme="majorBidi" w:cstheme="majorBidi"/>
          <w:lang w:val="en-AU"/>
        </w:rPr>
        <w:t>Risks related to achieve transformative change for biodiversity, including regulatory risks, market risks and financial risks.</w:t>
      </w:r>
    </w:p>
    <w:p w14:paraId="275B35FE" w14:textId="77777777" w:rsidR="00C9506C" w:rsidRPr="00ED7E61" w:rsidRDefault="00C9506C" w:rsidP="00B10F0C">
      <w:pPr>
        <w:pStyle w:val="CBDNormalNumber"/>
        <w:numPr>
          <w:ilvl w:val="0"/>
          <w:numId w:val="89"/>
        </w:numPr>
        <w:shd w:val="clear" w:color="auto" w:fill="FFFFFF"/>
        <w:ind w:left="567" w:firstLine="0"/>
        <w:rPr>
          <w:rFonts w:asciiTheme="majorBidi" w:hAnsiTheme="majorBidi" w:cstheme="majorBidi"/>
        </w:rPr>
      </w:pPr>
      <w:r w:rsidRPr="00ED7E61">
        <w:rPr>
          <w:rFonts w:asciiTheme="majorBidi" w:hAnsiTheme="majorBidi" w:cstheme="majorBidi"/>
        </w:rPr>
        <w:t>Sustainable consumption and production: The use of services and related products, which respond to basic needs and bring a better quality of life while minimising the use of natural resources and toxic materials as well as the emissions of waste and pollutants over the life cycle of the service or product so as not to jeopardise the needs of future generations.</w:t>
      </w:r>
    </w:p>
    <w:p w14:paraId="7133099E" w14:textId="77777777" w:rsidR="00C9506C" w:rsidRPr="00ED7E61" w:rsidRDefault="00C9506C" w:rsidP="00B10F0C">
      <w:pPr>
        <w:pStyle w:val="CBDNormalNumber"/>
        <w:numPr>
          <w:ilvl w:val="0"/>
          <w:numId w:val="89"/>
        </w:numPr>
        <w:shd w:val="clear" w:color="auto" w:fill="FFFFFF"/>
        <w:ind w:left="567" w:firstLine="0"/>
        <w:rPr>
          <w:rFonts w:asciiTheme="majorBidi" w:hAnsiTheme="majorBidi" w:cstheme="majorBidi"/>
        </w:rPr>
      </w:pPr>
      <w:r w:rsidRPr="00ED7E61">
        <w:rPr>
          <w:rFonts w:asciiTheme="majorBidi" w:hAnsiTheme="majorBidi" w:cstheme="majorBidi"/>
        </w:rPr>
        <w:t>Operations: All activities carried out by business, including large and transnational companies and financial institutions, to continue functioning and generating revenue.</w:t>
      </w:r>
    </w:p>
    <w:p w14:paraId="4E04E304" w14:textId="77777777" w:rsidR="00C9506C" w:rsidRPr="00ED7E61" w:rsidRDefault="00C9506C" w:rsidP="00B10F0C">
      <w:pPr>
        <w:pStyle w:val="CBDNormalNumber"/>
        <w:numPr>
          <w:ilvl w:val="0"/>
          <w:numId w:val="89"/>
        </w:numPr>
        <w:shd w:val="clear" w:color="auto" w:fill="FFFFFF"/>
        <w:ind w:left="567" w:firstLine="0"/>
        <w:rPr>
          <w:rFonts w:asciiTheme="majorBidi" w:hAnsiTheme="majorBidi" w:cstheme="majorBidi"/>
        </w:rPr>
      </w:pPr>
      <w:r w:rsidRPr="00ED7E61">
        <w:rPr>
          <w:rFonts w:asciiTheme="majorBidi" w:hAnsiTheme="majorBidi" w:cstheme="majorBidi"/>
        </w:rPr>
        <w:t>Dependencies and impacts: Dependencies on biodiversity are environmental assets and ecosystem services that a person or an organization relies on to function, including water flow and quality regulation; regulation of hazards like fires and floods; pollination; carbon sequestration. Impacts on biodiversity refer to a change in the state of nature (quality or quantity), which may result in changes to the capacity of nature to provide social and economic functions. Impacts can be positive or negative, including pollution of air, water, soil; fragmentation or disruption of ecosystems and habitats for species; alteration of ecosystem regimes. (Science-based Targets for Nature (2020))</w:t>
      </w:r>
    </w:p>
    <w:p w14:paraId="2C85EA98" w14:textId="77777777" w:rsidR="00C9506C" w:rsidRPr="00ED7E61" w:rsidRDefault="00C9506C" w:rsidP="00C9506C">
      <w:pPr>
        <w:jc w:val="both"/>
        <w:rPr>
          <w:rFonts w:asciiTheme="majorBidi" w:hAnsiTheme="majorBidi" w:cstheme="majorBidi"/>
          <w:sz w:val="22"/>
          <w:szCs w:val="22"/>
        </w:rPr>
      </w:pPr>
    </w:p>
    <w:p w14:paraId="28859067"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27018853" w14:textId="2EFD8F92" w:rsidR="00C9506C" w:rsidRPr="00ED7E61" w:rsidRDefault="00C9506C" w:rsidP="00B10F0C">
      <w:pPr>
        <w:pStyle w:val="CBDNormalNumber"/>
        <w:numPr>
          <w:ilvl w:val="0"/>
          <w:numId w:val="89"/>
        </w:numPr>
        <w:shd w:val="clear" w:color="auto" w:fill="FFFFFF"/>
        <w:ind w:left="567" w:firstLine="0"/>
        <w:rPr>
          <w:rFonts w:asciiTheme="majorBidi" w:hAnsiTheme="majorBidi" w:cstheme="majorBidi"/>
        </w:rPr>
      </w:pPr>
      <w:r w:rsidRPr="00ED7E61">
        <w:rPr>
          <w:rFonts w:asciiTheme="majorBidi" w:hAnsiTheme="majorBidi" w:cstheme="majorBidi"/>
        </w:rPr>
        <w:t>This indicator is a binary indicator and must be compiled from the answers to five questions:</w:t>
      </w:r>
    </w:p>
    <w:p w14:paraId="58F7FC10" w14:textId="4F8B7EA0"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15.1 Has your country put in place legal, administrative or policy measures to ensure that large and transnational companies and financial institutions, monitor, assess and transparently disclose their risks, dependencies and impacts on biodiversity, along their operations, supply and value chains and portfolios? </w:t>
      </w:r>
    </w:p>
    <w:p w14:paraId="2AB2EA56" w14:textId="1B084F77"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15.2 Has your country put in place measures to ensure that large and transnational companies and financial institutions provide relevant information to consumers to promote sustainable consumption patterns?</w:t>
      </w:r>
    </w:p>
    <w:p w14:paraId="766EB46C" w14:textId="3199513C"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15.3 Has your country put in place measures to ensure that that large and transnational companies and financial institutions report on compliance with access and benefit-sharing regulations?</w:t>
      </w:r>
    </w:p>
    <w:p w14:paraId="4BB51620" w14:textId="2EAA9DFB"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15.4 Has your country put in place measures to ensure that large and transnational companies and financial institutions progressively reduce their negative impacts on biodiversity and increase their positive impacts?</w:t>
      </w:r>
    </w:p>
    <w:p w14:paraId="7D1EB12C" w14:textId="627B5F6D"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15.5 Does your country monitor whether negative impacts from business on biodiversity have progressively decreased?</w:t>
      </w:r>
    </w:p>
    <w:p w14:paraId="4EB07260" w14:textId="74BFBE95" w:rsidR="00C9506C" w:rsidRPr="00ED7E61" w:rsidRDefault="00C9506C" w:rsidP="00B10F0C">
      <w:pPr>
        <w:pStyle w:val="CBDNormalNumber"/>
        <w:numPr>
          <w:ilvl w:val="0"/>
          <w:numId w:val="89"/>
        </w:numPr>
        <w:shd w:val="clear" w:color="auto" w:fill="FFFFFF"/>
        <w:ind w:left="567" w:firstLine="0"/>
        <w:rPr>
          <w:rFonts w:asciiTheme="majorBidi" w:hAnsiTheme="majorBidi" w:cstheme="majorBidi"/>
        </w:rPr>
      </w:pPr>
      <w:r w:rsidRPr="00ED7E61">
        <w:rPr>
          <w:rFonts w:asciiTheme="majorBidi" w:hAnsiTheme="majorBidi" w:cstheme="majorBidi"/>
        </w:rPr>
        <w:t>There are four possible answers to each of these questions</w:t>
      </w:r>
      <w:r w:rsidR="003F30DB" w:rsidRPr="00ED7E61">
        <w:rPr>
          <w:rStyle w:val="FootnoteReference"/>
          <w:rFonts w:asciiTheme="majorBidi" w:hAnsiTheme="majorBidi" w:cstheme="majorBidi"/>
        </w:rPr>
        <w:footnoteReference w:id="61"/>
      </w:r>
      <w:r w:rsidRPr="00ED7E61">
        <w:rPr>
          <w:rFonts w:asciiTheme="majorBidi" w:hAnsiTheme="majorBidi" w:cstheme="majorBidi"/>
        </w:rPr>
        <w:t>:</w:t>
      </w:r>
    </w:p>
    <w:p w14:paraId="622099E6" w14:textId="77777777"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No</w:t>
      </w:r>
    </w:p>
    <w:p w14:paraId="17BD0245" w14:textId="70E12383"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Under development</w:t>
      </w:r>
    </w:p>
    <w:p w14:paraId="490CD241" w14:textId="081C4816"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Partially</w:t>
      </w:r>
    </w:p>
    <w:p w14:paraId="0BEAE281" w14:textId="40063242"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Fully</w:t>
      </w:r>
    </w:p>
    <w:p w14:paraId="42124888" w14:textId="49827935" w:rsidR="00D43430" w:rsidRPr="00ED7E61" w:rsidRDefault="00C9506C" w:rsidP="00B10F0C">
      <w:pPr>
        <w:pStyle w:val="CBDNormalNumber"/>
        <w:numPr>
          <w:ilvl w:val="0"/>
          <w:numId w:val="89"/>
        </w:numPr>
        <w:shd w:val="clear" w:color="auto" w:fill="FFFFFF"/>
        <w:ind w:left="567" w:firstLine="0"/>
        <w:rPr>
          <w:rFonts w:asciiTheme="majorBidi" w:hAnsiTheme="majorBidi" w:cstheme="majorBidi"/>
        </w:rPr>
      </w:pPr>
      <w:r w:rsidRPr="00ED7E61">
        <w:rPr>
          <w:rFonts w:asciiTheme="majorBidi" w:hAnsiTheme="majorBidi" w:cstheme="majorBidi"/>
        </w:rPr>
        <w:t>A “</w:t>
      </w:r>
      <w:r w:rsidRPr="00FB1598">
        <w:rPr>
          <w:rFonts w:asciiTheme="majorBidi" w:hAnsiTheme="majorBidi" w:cstheme="majorBidi"/>
          <w:i/>
          <w:iCs/>
        </w:rPr>
        <w:t>No</w:t>
      </w:r>
      <w:r w:rsidRPr="00ED7E61">
        <w:rPr>
          <w:rFonts w:asciiTheme="majorBidi" w:hAnsiTheme="majorBidi" w:cstheme="majorBidi"/>
        </w:rPr>
        <w:t>” answer implies that Parties have not put in place any measures to ensure monitoring, assessment and disclosure (15.1), to promote information sharing (15.2), to ensure compliance with access and benefit-sharing (ABS) regulations (15.3) nor to reduce negative impacts and increase positive impacts on biodiversity (15.4) of large and transnational companies and financial institutions. Therefore, no legislative, administrative nor policy measures exist in the country for the specific requirements of each question in turn and none are being discussed nor designed. Additionally, no monitoring of business impacts on biodiversity is taking place (15.5).</w:t>
      </w:r>
    </w:p>
    <w:p w14:paraId="6FAFB430" w14:textId="5F2DF586" w:rsidR="00D43430" w:rsidRPr="00ED7E61" w:rsidRDefault="00C9506C" w:rsidP="00B10F0C">
      <w:pPr>
        <w:pStyle w:val="CBDNormalNumber"/>
        <w:numPr>
          <w:ilvl w:val="0"/>
          <w:numId w:val="89"/>
        </w:numPr>
        <w:shd w:val="clear" w:color="auto" w:fill="FFFFFF"/>
        <w:ind w:left="567" w:firstLine="0"/>
      </w:pPr>
      <w:r w:rsidRPr="00ED7E61">
        <w:t>An “</w:t>
      </w:r>
      <w:r w:rsidRPr="00FB1598">
        <w:rPr>
          <w:i/>
          <w:iCs/>
        </w:rPr>
        <w:t>Under development</w:t>
      </w:r>
      <w:r w:rsidRPr="00ED7E61">
        <w:t>” answer implies a concerted effort at the national level to design and implement legislative, administrative or policy measures for monitoring, assessment and disclosure (15.1), information sharing (15.2), ABS compliance (15.3) or business impact on biodiversity (15.4) of large and transnational companies and financial institutions. For each of these items in turn, national governments must be in the design stage of such measures (e.g. a law is being drafted) but none of them have passed yet nor are they required for large transnational companies and financial institutions to follow. The development of these measures must involve governmental bodies with the authority to implement the proposed measures. Additionally, monitoring of business impacts on biodiversity is in development (15.5), monitoring programs and reporting systems may be in the design phase or be completed and accepted but not resourced, and therefore have not begun.</w:t>
      </w:r>
    </w:p>
    <w:p w14:paraId="7957E5BB" w14:textId="71E0E6D7" w:rsidR="00C9506C" w:rsidRPr="00ED7E61" w:rsidRDefault="00C9506C" w:rsidP="00B10F0C">
      <w:pPr>
        <w:pStyle w:val="CBDNormalNumber"/>
        <w:numPr>
          <w:ilvl w:val="0"/>
          <w:numId w:val="89"/>
        </w:numPr>
        <w:shd w:val="clear" w:color="auto" w:fill="FFFFFF"/>
        <w:ind w:left="567" w:firstLine="0"/>
        <w:rPr>
          <w:color w:val="000000" w:themeColor="text1"/>
        </w:rPr>
      </w:pPr>
      <w:r w:rsidRPr="00ED7E61">
        <w:t>A “</w:t>
      </w:r>
      <w:r w:rsidRPr="00FB1598">
        <w:rPr>
          <w:i/>
          <w:iCs/>
        </w:rPr>
        <w:t>Partially</w:t>
      </w:r>
      <w:r w:rsidRPr="00ED7E61">
        <w:t>” answer implies that only some of the elements in the question have been fulfilled. For 15.1 it means that:</w:t>
      </w:r>
    </w:p>
    <w:p w14:paraId="3C152BA7" w14:textId="77777777"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at least one of legislative, administrative or policy measures are in place </w:t>
      </w:r>
    </w:p>
    <w:p w14:paraId="1338874D" w14:textId="77777777"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large and transnational companies and/or financial institutions </w:t>
      </w:r>
    </w:p>
    <w:p w14:paraId="7AAB6272" w14:textId="77777777"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at least monitor, assess or disclose </w:t>
      </w:r>
    </w:p>
    <w:p w14:paraId="1BECA893" w14:textId="77777777"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either their risks, dependencies or impacts on biodiversity </w:t>
      </w:r>
    </w:p>
    <w:p w14:paraId="610BDE4D" w14:textId="77777777" w:rsidR="00C9506C" w:rsidRPr="00ED7E61" w:rsidRDefault="00C9506C" w:rsidP="00B10F0C">
      <w:pPr>
        <w:pStyle w:val="CBDNormalNumber"/>
        <w:numPr>
          <w:ilvl w:val="1"/>
          <w:numId w:val="89"/>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along their operations, supply or value chains, or portfolios. </w:t>
      </w:r>
    </w:p>
    <w:p w14:paraId="1F5C1414" w14:textId="5C04ADBB" w:rsidR="00C9506C" w:rsidRPr="00ED7E61" w:rsidRDefault="00C9506C" w:rsidP="00B10F0C">
      <w:pPr>
        <w:pStyle w:val="CBDNormalNumber"/>
        <w:numPr>
          <w:ilvl w:val="0"/>
          <w:numId w:val="89"/>
        </w:numPr>
        <w:shd w:val="clear" w:color="auto" w:fill="FFFFFF"/>
        <w:ind w:left="567" w:firstLine="0"/>
        <w:rPr>
          <w:rFonts w:asciiTheme="majorBidi" w:hAnsiTheme="majorBidi" w:cstheme="majorBidi"/>
          <w:color w:val="000000"/>
          <w:lang w:val="en-US"/>
        </w:rPr>
      </w:pPr>
      <w:r w:rsidRPr="00ED7E61">
        <w:t>If</w:t>
      </w:r>
      <w:r w:rsidRPr="00ED7E61">
        <w:rPr>
          <w:rFonts w:asciiTheme="majorBidi" w:hAnsiTheme="majorBidi" w:cstheme="majorBidi"/>
          <w:color w:val="000000"/>
          <w:lang w:val="en-US"/>
        </w:rPr>
        <w:t xml:space="preserve"> any one of the measures for either type of institution </w:t>
      </w:r>
      <w:bookmarkStart w:id="66" w:name="_Int_dpQ1i6RZ"/>
      <w:r w:rsidRPr="00ED7E61">
        <w:rPr>
          <w:rFonts w:asciiTheme="majorBidi" w:hAnsiTheme="majorBidi" w:cstheme="majorBidi"/>
          <w:color w:val="000000"/>
          <w:lang w:val="en-US"/>
        </w:rPr>
        <w:t>on</w:t>
      </w:r>
      <w:bookmarkEnd w:id="66"/>
      <w:r w:rsidRPr="00ED7E61">
        <w:rPr>
          <w:rFonts w:asciiTheme="majorBidi" w:hAnsiTheme="majorBidi" w:cstheme="majorBidi"/>
          <w:color w:val="000000"/>
          <w:lang w:val="en-US"/>
        </w:rPr>
        <w:t xml:space="preserve"> any kind of activity is in place, then partial achievement has been reached. For 15.2 and 15.3 the measures put in place (for information sharing (15.2) or ABS compliance (15.3)) must apply to either companies or financial institutions but not both. For 15.4 measures on either reducing negative impact or increasing positive impacts must be in place and apply to either companies or financial institutions. In all cases (15.1, 15.2, 15.3 and 15.4), r</w:t>
      </w:r>
      <w:r w:rsidRPr="00ED7E61">
        <w:rPr>
          <w:rFonts w:asciiTheme="majorBidi" w:hAnsiTheme="majorBidi" w:cstheme="majorBidi"/>
          <w:color w:val="000000" w:themeColor="text1"/>
          <w:lang w:val="en-US"/>
        </w:rPr>
        <w:t>esources, financial and human, must also be mobilized to ensure that the measures taken by governments are implemented. Additionally, monitoring of business impacts on biodiversity (15.5) is taking place but not for all aspects of biodiversity (e.g. only genetic or species diversity).</w:t>
      </w:r>
    </w:p>
    <w:p w14:paraId="4E357C35" w14:textId="7D060442" w:rsidR="00C9506C" w:rsidRPr="00ED7E61" w:rsidRDefault="00C9506C" w:rsidP="00B10F0C">
      <w:pPr>
        <w:pStyle w:val="CBDNormalNumber"/>
        <w:numPr>
          <w:ilvl w:val="0"/>
          <w:numId w:val="89"/>
        </w:numPr>
        <w:shd w:val="clear" w:color="auto" w:fill="FFFFFF"/>
        <w:ind w:left="567" w:firstLine="0"/>
        <w:rPr>
          <w:rFonts w:asciiTheme="majorBidi" w:hAnsiTheme="majorBidi" w:cstheme="majorBidi"/>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Fully</w:t>
      </w:r>
      <w:r w:rsidRPr="00ED7E61">
        <w:rPr>
          <w:rFonts w:asciiTheme="majorBidi" w:hAnsiTheme="majorBidi" w:cstheme="majorBidi"/>
          <w:color w:val="000000"/>
          <w:lang w:val="en-US"/>
        </w:rPr>
        <w:t>” answer implies that all the conditions outlined in “</w:t>
      </w:r>
      <w:r w:rsidRPr="00FB1598">
        <w:rPr>
          <w:rFonts w:asciiTheme="majorBidi" w:hAnsiTheme="majorBidi" w:cstheme="majorBidi"/>
          <w:i/>
          <w:iCs/>
          <w:color w:val="000000"/>
          <w:lang w:val="en-US"/>
        </w:rPr>
        <w:t>Partially</w:t>
      </w:r>
      <w:r w:rsidRPr="00ED7E61">
        <w:rPr>
          <w:rFonts w:asciiTheme="majorBidi" w:hAnsiTheme="majorBidi" w:cstheme="majorBidi"/>
          <w:color w:val="000000"/>
          <w:lang w:val="en-US"/>
        </w:rPr>
        <w:t>” have been met. Namely, for 15.1, that all legislative</w:t>
      </w:r>
      <w:r w:rsidRPr="00ED7E61">
        <w:rPr>
          <w:rFonts w:asciiTheme="majorBidi" w:hAnsiTheme="majorBidi" w:cstheme="majorBidi"/>
          <w:color w:val="000000" w:themeColor="text1"/>
          <w:lang w:val="en-US"/>
        </w:rPr>
        <w:t xml:space="preserve">, administrative or policy measures are in place. These apply to both large and transnational companies and financial institutions. To ensure they </w:t>
      </w:r>
      <w:r w:rsidRPr="00ED7E61">
        <w:rPr>
          <w:rFonts w:asciiTheme="majorBidi" w:hAnsiTheme="majorBidi" w:cstheme="majorBidi"/>
        </w:rPr>
        <w:t>monitor, assess and transparently disclose risks, dependencies and impacts on biodiversity along all their operations, supply and value chains, and portfolios. If any one element is missing, then only partial achievement has been reached. For measures related to information sharing (15.2), ABS compliance (15.3) and business impacts, both positive and negative (15.4), these must apply to both companies and financial institutions to count as “</w:t>
      </w:r>
      <w:r w:rsidRPr="00FB1598">
        <w:rPr>
          <w:rFonts w:asciiTheme="majorBidi" w:hAnsiTheme="majorBidi" w:cstheme="majorBidi"/>
          <w:i/>
          <w:iCs/>
        </w:rPr>
        <w:t>Fully</w:t>
      </w:r>
      <w:r w:rsidRPr="00ED7E61">
        <w:rPr>
          <w:rFonts w:asciiTheme="majorBidi" w:hAnsiTheme="majorBidi" w:cstheme="majorBidi"/>
        </w:rPr>
        <w:t>”. All measures put in place by governments need to be resourced and enforced to count as “</w:t>
      </w:r>
      <w:r w:rsidRPr="00FB1598">
        <w:rPr>
          <w:rFonts w:asciiTheme="majorBidi" w:hAnsiTheme="majorBidi" w:cstheme="majorBidi"/>
          <w:i/>
          <w:iCs/>
        </w:rPr>
        <w:t>Fully</w:t>
      </w:r>
      <w:r w:rsidRPr="00ED7E61">
        <w:rPr>
          <w:rFonts w:asciiTheme="majorBidi" w:hAnsiTheme="majorBidi" w:cstheme="majorBidi"/>
        </w:rPr>
        <w:t>”. Additionally, monitoring of business impacts on all aspects of biodiversity is in place, ongoing and resourced (15.5).</w:t>
      </w:r>
    </w:p>
    <w:p w14:paraId="74EAD870" w14:textId="77777777"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Bidi" w:hAnsiTheme="majorBidi" w:cstheme="majorBidi"/>
          <w:color w:val="000000" w:themeColor="text1"/>
          <w:sz w:val="22"/>
          <w:szCs w:val="22"/>
          <w:lang w:val="en-US"/>
        </w:rPr>
      </w:pPr>
    </w:p>
    <w:p w14:paraId="2C43F666" w14:textId="77777777" w:rsidR="00D311B8" w:rsidRPr="00ED7E61" w:rsidRDefault="00D311B8" w:rsidP="005B0D1E">
      <w:pPr>
        <w:pStyle w:val="paragraph"/>
        <w:spacing w:before="0" w:beforeAutospacing="0" w:after="0" w:afterAutospacing="0"/>
        <w:textAlignment w:val="baseline"/>
        <w:rPr>
          <w:rStyle w:val="normaltextrun"/>
          <w:rFonts w:asciiTheme="majorBidi" w:eastAsiaTheme="majorEastAsia" w:hAnsiTheme="majorBidi" w:cstheme="majorBidi"/>
          <w:b/>
          <w:bCs/>
          <w:sz w:val="22"/>
          <w:szCs w:val="22"/>
          <w:lang w:val="en-US"/>
        </w:rPr>
      </w:pPr>
    </w:p>
    <w:p w14:paraId="05626B4E"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43C2A0CD" w14:textId="77777777" w:rsidR="00C9506C" w:rsidRPr="00ED7E61" w:rsidRDefault="00C9506C" w:rsidP="00C9506C">
      <w:pPr>
        <w:pStyle w:val="Heading3"/>
      </w:pPr>
      <w:bookmarkStart w:id="67" w:name="_Toc178285876"/>
      <w:r w:rsidRPr="00ED7E61">
        <w:rPr>
          <w:rStyle w:val="normaltextrun"/>
        </w:rPr>
        <w:t xml:space="preserve">GBF indicator metadata: </w:t>
      </w:r>
      <w:r w:rsidRPr="00ED7E61">
        <w:rPr>
          <w:rStyle w:val="eop"/>
        </w:rPr>
        <w:t>16.b Target 16 binary indicator</w:t>
      </w:r>
      <w:bookmarkEnd w:id="67"/>
      <w:r w:rsidRPr="00ED7E61">
        <w:rPr>
          <w:rStyle w:val="eop"/>
        </w:rPr>
        <w:t xml:space="preserve"> </w:t>
      </w:r>
    </w:p>
    <w:p w14:paraId="1C9FB16A" w14:textId="77777777" w:rsidR="00C9506C" w:rsidRPr="00ED7E61" w:rsidRDefault="00C9506C" w:rsidP="00C9506C">
      <w:pPr>
        <w:rPr>
          <w:rStyle w:val="normaltextrun"/>
          <w:rFonts w:asciiTheme="majorBidi" w:eastAsiaTheme="majorEastAsia" w:hAnsiTheme="majorBidi" w:cstheme="majorBidi"/>
          <w:b/>
          <w:bCs/>
          <w:sz w:val="22"/>
          <w:szCs w:val="22"/>
        </w:rPr>
      </w:pPr>
    </w:p>
    <w:p w14:paraId="3565FA4A"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38F674BB" w14:textId="22C72EA6"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color w:val="000000" w:themeColor="text1"/>
          <w:sz w:val="22"/>
          <w:szCs w:val="22"/>
        </w:rPr>
        <w:t>Number of countries developing, adopting or implementing policy instruments aimed at encouraging and enabling people to make sustainable consumption choices.</w:t>
      </w:r>
    </w:p>
    <w:p w14:paraId="61E8F995" w14:textId="0CC1F980" w:rsidR="00C9506C" w:rsidRPr="00ED7E61" w:rsidRDefault="00C9506C" w:rsidP="00757C3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41BBA631" w14:textId="77777777" w:rsidR="00C9506C" w:rsidRPr="00ED7E61" w:rsidRDefault="00C9506C" w:rsidP="00757C3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6E5462E3" w14:textId="3C4B0249"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color w:val="242424"/>
          <w:sz w:val="22"/>
          <w:szCs w:val="22"/>
        </w:rPr>
        <w:t>N/A</w:t>
      </w:r>
    </w:p>
    <w:p w14:paraId="3662A32A" w14:textId="77777777" w:rsidR="00C9506C" w:rsidRPr="00ED7E61" w:rsidRDefault="00C9506C" w:rsidP="00757C3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Target</w:t>
      </w:r>
    </w:p>
    <w:p w14:paraId="69801172" w14:textId="6F27DCF0"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sz w:val="22"/>
          <w:szCs w:val="22"/>
        </w:rPr>
        <w:t>Binary indicator for Target 16. Ensure that people are encouraged and enabled to make sustainable consumption choices, including by establishing supportive policy, legislative or regulatory frameworks, improving education and access to relevant and accurate information and alternatives, and by 2030, reduce the global footprint of consumption in an equitable manner, including through halving global food waste, significantly reducing overconsumption and substantially reducing waste generation, in order for all people to live well in harmony with Mother Earth.</w:t>
      </w:r>
    </w:p>
    <w:p w14:paraId="712A22FF" w14:textId="77777777" w:rsidR="00C9506C" w:rsidRPr="00ED7E61" w:rsidRDefault="00C9506C" w:rsidP="00757C3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7D152252" w14:textId="2AEF46F1" w:rsidR="003F30DB" w:rsidRPr="00ED7E61" w:rsidRDefault="00C9506C" w:rsidP="00B10F0C">
      <w:pPr>
        <w:pStyle w:val="CBDNormalNumber"/>
        <w:numPr>
          <w:ilvl w:val="0"/>
          <w:numId w:val="90"/>
        </w:numPr>
        <w:shd w:val="clear" w:color="auto" w:fill="FFFFFF"/>
        <w:tabs>
          <w:tab w:val="clear" w:pos="1701"/>
        </w:tabs>
        <w:ind w:left="567" w:firstLine="0"/>
        <w:rPr>
          <w:rFonts w:asciiTheme="majorBidi" w:hAnsiTheme="majorBidi" w:cstheme="majorBidi"/>
        </w:rPr>
      </w:pPr>
      <w:r w:rsidRPr="00ED7E61">
        <w:rPr>
          <w:rFonts w:asciiTheme="majorBidi" w:hAnsiTheme="majorBidi" w:cstheme="majorBidi"/>
          <w:color w:val="000000"/>
          <w:lang w:val="en-US"/>
        </w:rPr>
        <w:t>Unsustainable</w:t>
      </w:r>
      <w:r w:rsidRPr="00ED7E61">
        <w:rPr>
          <w:rFonts w:asciiTheme="majorBidi" w:hAnsiTheme="majorBidi" w:cstheme="majorBidi"/>
        </w:rPr>
        <w:t xml:space="preserve"> consumption is an underlying driver of biodiversity loss. Halting and ultimately reversing biodiversity loss will require a shift towards more sustainable consumption patterns. This means consuming resources and producing waste at a level within planetary boundaries. Governments have a central role to play in making information available and accessible to consumers who, in turn, can make better and more informed consumption choices. </w:t>
      </w:r>
    </w:p>
    <w:p w14:paraId="1EECD050" w14:textId="6DA6DB18" w:rsidR="00C9506C" w:rsidRPr="00757C3F" w:rsidRDefault="00C9506C" w:rsidP="00B10F0C">
      <w:pPr>
        <w:pStyle w:val="CBDNormalNumber"/>
        <w:numPr>
          <w:ilvl w:val="0"/>
          <w:numId w:val="90"/>
        </w:numPr>
        <w:shd w:val="clear" w:color="auto" w:fill="FFFFFF"/>
        <w:ind w:left="567" w:firstLine="0"/>
      </w:pPr>
      <w:r w:rsidRPr="00ED7E61">
        <w:t>This target calls for measures to be put in place to encourage people to make more sustainable consumption choices so that overconsumption and waste generation are significantly reduced. As such, this indicator tracks the development and adoption of policies aimed at informing on the importance of and enabling people to make sustainable consumption choices.</w:t>
      </w:r>
    </w:p>
    <w:p w14:paraId="7E004CD3"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Definitions Concepts And Classifications</w:t>
      </w:r>
    </w:p>
    <w:p w14:paraId="6C902A98" w14:textId="77777777" w:rsidR="00C9506C" w:rsidRPr="00ED7E61" w:rsidRDefault="00C9506C" w:rsidP="00757C3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71BEF171" w14:textId="77777777" w:rsidR="00C9506C" w:rsidRPr="00ED7E61" w:rsidRDefault="00C9506C" w:rsidP="00B10F0C">
      <w:pPr>
        <w:pStyle w:val="CBDNormalNumber"/>
        <w:numPr>
          <w:ilvl w:val="0"/>
          <w:numId w:val="90"/>
        </w:numPr>
        <w:shd w:val="clear" w:color="auto" w:fill="FFFFFF"/>
        <w:ind w:left="567" w:firstLine="0"/>
        <w:rPr>
          <w:rFonts w:asciiTheme="majorBidi" w:hAnsiTheme="majorBidi" w:cstheme="majorBidi"/>
        </w:rPr>
      </w:pPr>
      <w:r w:rsidRPr="00ED7E61">
        <w:rPr>
          <w:rFonts w:asciiTheme="majorBidi" w:hAnsiTheme="majorBidi" w:cstheme="majorBidi"/>
          <w:color w:val="000000"/>
          <w:lang w:val="en-US"/>
        </w:rPr>
        <w:t>Food</w:t>
      </w:r>
      <w:r w:rsidRPr="00ED7E61">
        <w:rPr>
          <w:rFonts w:asciiTheme="majorBidi" w:hAnsiTheme="majorBidi" w:cstheme="majorBidi"/>
          <w:i/>
          <w:iCs/>
        </w:rPr>
        <w:t xml:space="preserve"> waste</w:t>
      </w:r>
      <w:r w:rsidRPr="00ED7E61">
        <w:rPr>
          <w:rFonts w:asciiTheme="majorBidi" w:hAnsiTheme="majorBidi" w:cstheme="majorBidi"/>
        </w:rPr>
        <w:t>: Is food and associated inedible parts removed from the human food supply chain in the following sectors: retail and other distribution of food; food service (restaurants, schools, hospitals, other canteens, etc.); and households. “</w:t>
      </w:r>
      <w:r w:rsidRPr="00FB1598">
        <w:rPr>
          <w:rFonts w:asciiTheme="majorBidi" w:hAnsiTheme="majorBidi" w:cstheme="majorBidi"/>
          <w:i/>
          <w:iCs/>
        </w:rPr>
        <w:t>Removed from the human food supply chain</w:t>
      </w:r>
      <w:r w:rsidRPr="00ED7E61">
        <w:rPr>
          <w:rFonts w:asciiTheme="majorBidi" w:hAnsiTheme="majorBidi" w:cstheme="majorBidi"/>
        </w:rPr>
        <w:t xml:space="preserve">” means one of the following end destinations: landfill, controlled combustion, sewer, litter/discards/ refuse, co/anaerobic digestion, compost/aerobic digestion or land application. </w:t>
      </w:r>
    </w:p>
    <w:p w14:paraId="45416F5E" w14:textId="77777777" w:rsidR="00C9506C" w:rsidRPr="00ED7E61" w:rsidRDefault="00C9506C" w:rsidP="00B10F0C">
      <w:pPr>
        <w:pStyle w:val="CBDNormalNumber"/>
        <w:numPr>
          <w:ilvl w:val="0"/>
          <w:numId w:val="90"/>
        </w:numPr>
        <w:shd w:val="clear" w:color="auto" w:fill="FFFFFF"/>
        <w:ind w:left="567" w:firstLine="0"/>
        <w:rPr>
          <w:rFonts w:asciiTheme="majorBidi" w:hAnsiTheme="majorBidi" w:cstheme="majorBidi"/>
        </w:rPr>
      </w:pPr>
      <w:r w:rsidRPr="00ED7E61">
        <w:rPr>
          <w:rFonts w:asciiTheme="majorBidi" w:hAnsiTheme="majorBidi" w:cstheme="majorBidi"/>
          <w:color w:val="000000"/>
          <w:lang w:val="en-US"/>
        </w:rPr>
        <w:t>Overconsumption</w:t>
      </w:r>
      <w:r w:rsidRPr="00ED7E61">
        <w:rPr>
          <w:rFonts w:asciiTheme="majorBidi" w:hAnsiTheme="majorBidi" w:cstheme="majorBidi"/>
        </w:rPr>
        <w:t>: The action or fact of consuming something to excess. Especially in the context of excessive use of natural resources.</w:t>
      </w:r>
    </w:p>
    <w:p w14:paraId="7A5A319A" w14:textId="77777777" w:rsidR="00C9506C" w:rsidRPr="00ED7E61" w:rsidRDefault="00C9506C" w:rsidP="00B10F0C">
      <w:pPr>
        <w:pStyle w:val="CBDNormalNumber"/>
        <w:numPr>
          <w:ilvl w:val="0"/>
          <w:numId w:val="90"/>
        </w:numPr>
        <w:shd w:val="clear" w:color="auto" w:fill="FFFFFF"/>
        <w:ind w:left="567" w:firstLine="0"/>
        <w:rPr>
          <w:rFonts w:asciiTheme="majorBidi" w:hAnsiTheme="majorBidi" w:cstheme="majorBidi"/>
        </w:rPr>
      </w:pPr>
      <w:r w:rsidRPr="00ED7E61">
        <w:rPr>
          <w:rFonts w:asciiTheme="majorBidi" w:hAnsiTheme="majorBidi" w:cstheme="majorBidi"/>
          <w:color w:val="000000"/>
          <w:lang w:val="en-US"/>
        </w:rPr>
        <w:t>Waste</w:t>
      </w:r>
      <w:r w:rsidRPr="00ED7E61">
        <w:rPr>
          <w:rFonts w:asciiTheme="majorBidi" w:hAnsiTheme="majorBidi" w:cstheme="majorBidi"/>
        </w:rPr>
        <w:t>: Materials that are not prime products (that is, products produced for the market) for which the generator has no further use in terms of his/her own purposes of production, transformation or consumption, and of which he/she wants to dispose. Wastes may be generated during the extraction of raw materials, the processing of raw materials into intermediate and final products, the consumption of final products, and other human activities.</w:t>
      </w:r>
    </w:p>
    <w:p w14:paraId="712DD395" w14:textId="77777777" w:rsidR="00C9506C" w:rsidRPr="00ED7E61" w:rsidRDefault="00C9506C" w:rsidP="00B10F0C">
      <w:pPr>
        <w:pStyle w:val="CBDNormalNumber"/>
        <w:numPr>
          <w:ilvl w:val="0"/>
          <w:numId w:val="90"/>
        </w:numPr>
        <w:shd w:val="clear" w:color="auto" w:fill="FFFFFF"/>
        <w:ind w:left="567" w:firstLine="0"/>
        <w:rPr>
          <w:rFonts w:asciiTheme="majorBidi" w:hAnsiTheme="majorBidi" w:cstheme="majorBidi"/>
        </w:rPr>
      </w:pPr>
      <w:r w:rsidRPr="00ED7E61">
        <w:rPr>
          <w:rFonts w:asciiTheme="majorBidi" w:hAnsiTheme="majorBidi" w:cstheme="majorBidi"/>
        </w:rPr>
        <w:t>Waste</w:t>
      </w:r>
      <w:r w:rsidRPr="00ED7E61">
        <w:rPr>
          <w:rFonts w:asciiTheme="majorBidi" w:hAnsiTheme="majorBidi" w:cstheme="majorBidi"/>
          <w:i/>
          <w:iCs/>
        </w:rPr>
        <w:t xml:space="preserve"> </w:t>
      </w:r>
      <w:r w:rsidRPr="00ED7E61">
        <w:rPr>
          <w:rFonts w:asciiTheme="majorBidi" w:hAnsiTheme="majorBidi" w:cstheme="majorBidi"/>
        </w:rPr>
        <w:t>generation: The process of generating waste, whether through production or consumption.</w:t>
      </w:r>
    </w:p>
    <w:p w14:paraId="061AF80A" w14:textId="77777777" w:rsidR="00C9506C" w:rsidRPr="00ED7E61" w:rsidRDefault="00C9506C" w:rsidP="00B10F0C">
      <w:pPr>
        <w:pStyle w:val="CBDNormalNumber"/>
        <w:numPr>
          <w:ilvl w:val="0"/>
          <w:numId w:val="90"/>
        </w:numPr>
        <w:shd w:val="clear" w:color="auto" w:fill="FFFFFF"/>
        <w:ind w:left="567" w:firstLine="0"/>
        <w:rPr>
          <w:rFonts w:asciiTheme="majorBidi" w:hAnsiTheme="majorBidi" w:cstheme="majorBidi"/>
        </w:rPr>
      </w:pPr>
      <w:r w:rsidRPr="00ED7E61">
        <w:rPr>
          <w:rFonts w:asciiTheme="majorBidi" w:hAnsiTheme="majorBidi" w:cstheme="majorBidi"/>
          <w:color w:val="000000"/>
          <w:lang w:val="en-US"/>
        </w:rPr>
        <w:t>Sustainable</w:t>
      </w:r>
      <w:r w:rsidRPr="00ED7E61">
        <w:rPr>
          <w:rFonts w:asciiTheme="majorBidi" w:hAnsiTheme="majorBidi" w:cstheme="majorBidi"/>
          <w:i/>
          <w:iCs/>
        </w:rPr>
        <w:t xml:space="preserve"> </w:t>
      </w:r>
      <w:r w:rsidRPr="00ED7E61">
        <w:rPr>
          <w:rFonts w:asciiTheme="majorBidi" w:hAnsiTheme="majorBidi" w:cstheme="majorBidi"/>
        </w:rPr>
        <w:t>consumption: The use of services and related products, which respond to basic needs and bring a better quality of life while minimizing the use of natural resources as well as the emissions of waste and pollutants over the life cycle of the service or product so as not to jeopardize the needs of future generations.</w:t>
      </w:r>
    </w:p>
    <w:p w14:paraId="53AA4351" w14:textId="77777777" w:rsidR="00C9506C" w:rsidRPr="00ED7E61" w:rsidRDefault="00C9506C" w:rsidP="00C9506C">
      <w:pPr>
        <w:jc w:val="both"/>
        <w:rPr>
          <w:rFonts w:asciiTheme="majorBidi" w:hAnsiTheme="majorBidi" w:cstheme="majorBidi"/>
          <w:sz w:val="22"/>
          <w:szCs w:val="22"/>
        </w:rPr>
      </w:pPr>
    </w:p>
    <w:p w14:paraId="45E5504B"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6441FE0F" w14:textId="77777777" w:rsidR="00C9506C" w:rsidRPr="00ED7E61" w:rsidRDefault="00C9506C" w:rsidP="00B10F0C">
      <w:pPr>
        <w:pStyle w:val="CBDNormalNumber"/>
        <w:numPr>
          <w:ilvl w:val="0"/>
          <w:numId w:val="90"/>
        </w:numPr>
        <w:shd w:val="clear" w:color="auto" w:fill="FFFFFF"/>
        <w:ind w:left="567" w:firstLine="0"/>
        <w:rPr>
          <w:rFonts w:asciiTheme="majorBidi" w:hAnsiTheme="majorBidi" w:cstheme="majorBidi"/>
        </w:rPr>
      </w:pPr>
      <w:r w:rsidRPr="00ED7E61">
        <w:rPr>
          <w:rFonts w:asciiTheme="majorBidi" w:hAnsiTheme="majorBidi" w:cstheme="majorBidi"/>
        </w:rPr>
        <w:t>This indicator is a binary indicator and must be compiled from the answers to three questions:</w:t>
      </w:r>
    </w:p>
    <w:p w14:paraId="20A8DFA9" w14:textId="77777777"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16.1 Has your country established mechanisms, policy, or legislative or regulatory frameworks aimed at supporting sustainable consumption?</w:t>
      </w:r>
    </w:p>
    <w:p w14:paraId="5682460F" w14:textId="078AD704"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16.2 Has your country adopted mechanisms to improve awareness or education with regard to the impacts of consumption on biodiversity and access to relevant and accurate information or alternatives supporting sustainable consumption?</w:t>
      </w:r>
    </w:p>
    <w:p w14:paraId="5EC68FE7" w14:textId="3E360531"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16.3 Has your country adopted or implemented policy instruments aimed at encouraging and enabling people to reduce the impacts of consumption, including through reducing food waste, overconsumption, and waste generation, on biodiversity?</w:t>
      </w:r>
    </w:p>
    <w:p w14:paraId="3D6DF967" w14:textId="71DBA82C" w:rsidR="00C9506C" w:rsidRPr="00ED7E61" w:rsidRDefault="00C9506C" w:rsidP="00B10F0C">
      <w:pPr>
        <w:pStyle w:val="CBDNormalNumber"/>
        <w:numPr>
          <w:ilvl w:val="0"/>
          <w:numId w:val="90"/>
        </w:numPr>
        <w:shd w:val="clear" w:color="auto" w:fill="FFFFFF"/>
        <w:ind w:left="567" w:firstLine="0"/>
        <w:rPr>
          <w:rFonts w:asciiTheme="majorBidi" w:hAnsiTheme="majorBidi" w:cstheme="majorBidi"/>
        </w:rPr>
      </w:pPr>
      <w:r w:rsidRPr="00ED7E61">
        <w:rPr>
          <w:rFonts w:asciiTheme="majorBidi" w:hAnsiTheme="majorBidi" w:cstheme="majorBidi"/>
        </w:rPr>
        <w:t>There are four possible answers to each of these questions</w:t>
      </w:r>
      <w:r w:rsidR="001424A6" w:rsidRPr="00ED7E61">
        <w:rPr>
          <w:rStyle w:val="FootnoteReference"/>
          <w:rFonts w:asciiTheme="majorBidi" w:hAnsiTheme="majorBidi" w:cstheme="majorBidi"/>
        </w:rPr>
        <w:footnoteReference w:id="62"/>
      </w:r>
      <w:r w:rsidRPr="00ED7E61">
        <w:rPr>
          <w:rFonts w:asciiTheme="majorBidi" w:hAnsiTheme="majorBidi" w:cstheme="majorBidi"/>
        </w:rPr>
        <w:t>:</w:t>
      </w:r>
    </w:p>
    <w:p w14:paraId="59585E8C" w14:textId="36FC0BF1"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No</w:t>
      </w:r>
    </w:p>
    <w:p w14:paraId="0557ACAC" w14:textId="30ED409B"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Under development</w:t>
      </w:r>
    </w:p>
    <w:p w14:paraId="6E63CAFE" w14:textId="22C8C5C3"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Partially</w:t>
      </w:r>
    </w:p>
    <w:p w14:paraId="056F6AC3" w14:textId="0B57A03C"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Fully</w:t>
      </w:r>
    </w:p>
    <w:p w14:paraId="1AD6DD15" w14:textId="25963F79" w:rsidR="003F30DB" w:rsidRPr="00ED7E61" w:rsidRDefault="00C9506C" w:rsidP="00B10F0C">
      <w:pPr>
        <w:pStyle w:val="CBDNormalNumber"/>
        <w:numPr>
          <w:ilvl w:val="0"/>
          <w:numId w:val="90"/>
        </w:numPr>
        <w:shd w:val="clear" w:color="auto" w:fill="FFFFFF"/>
        <w:ind w:left="567" w:firstLine="0"/>
        <w:rPr>
          <w:rFonts w:asciiTheme="majorBidi" w:hAnsiTheme="majorBidi" w:cstheme="majorBidi"/>
          <w:color w:val="000000" w:themeColor="text1"/>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No</w:t>
      </w:r>
      <w:r w:rsidRPr="00ED7E61">
        <w:rPr>
          <w:rFonts w:asciiTheme="majorBidi" w:hAnsiTheme="majorBidi" w:cstheme="majorBidi"/>
          <w:color w:val="000000"/>
          <w:lang w:val="en-US"/>
        </w:rPr>
        <w:t>” answer implies that there are no established mechanisms, policy, legislative or regulatory frameworks aimed at supporting sustainable consumption (16.1), that no mechanisms are in place to improve awareness or education on the impacts of consumption on biodiversity nor improve access to information or alternatives in support of sustainable consumption (16.2) and no policy instruments aimed at reducing the impacts on consumption, especially with regards to waste, are in place (16.3). In all cases, there are no national efforts to promote sustainable consumption and reduce the impacts of overconsumption on biodiversity. Initiatives may exist to tackle these issues at a grassroots level, but these are not backed by government and legislation is missing.</w:t>
      </w:r>
    </w:p>
    <w:p w14:paraId="38E9334B" w14:textId="1E5C8A5C" w:rsidR="00C9506C" w:rsidRPr="00ED7E61" w:rsidRDefault="00C9506C" w:rsidP="00B10F0C">
      <w:pPr>
        <w:pStyle w:val="CBDNormalNumber"/>
        <w:numPr>
          <w:ilvl w:val="0"/>
          <w:numId w:val="90"/>
        </w:numPr>
        <w:shd w:val="clear" w:color="auto" w:fill="FFFFFF"/>
        <w:ind w:left="567" w:firstLine="0"/>
      </w:pPr>
      <w:r w:rsidRPr="00ED7E61">
        <w:rPr>
          <w:color w:val="000000"/>
        </w:rPr>
        <w:t>An “</w:t>
      </w:r>
      <w:r w:rsidRPr="00FB1598">
        <w:rPr>
          <w:i/>
          <w:iCs/>
          <w:color w:val="000000"/>
        </w:rPr>
        <w:t>Under development</w:t>
      </w:r>
      <w:r w:rsidRPr="00ED7E61">
        <w:rPr>
          <w:color w:val="000000"/>
        </w:rPr>
        <w:t xml:space="preserve">” answer implies a concerted effort at the national level to: </w:t>
      </w:r>
    </w:p>
    <w:p w14:paraId="65619C96" w14:textId="77777777"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establish mechanisms, policy, or legislative or regulatory frameworks aimed at supporting sustainable consumption (16.1)</w:t>
      </w:r>
    </w:p>
    <w:p w14:paraId="6CC10640" w14:textId="77777777"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adopt mechanisms to improve awareness of the impacts of consumption and promote alternatives (16.2)</w:t>
      </w:r>
    </w:p>
    <w:p w14:paraId="4419A456" w14:textId="77777777"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 xml:space="preserve">adopt policy aimed at reducing the impacts on consumption, especially with regards to waste, are in place (16.3). </w:t>
      </w:r>
    </w:p>
    <w:p w14:paraId="26C23E0D" w14:textId="77777777" w:rsidR="00C9506C" w:rsidRPr="00ED7E61" w:rsidRDefault="00C9506C" w:rsidP="00B10F0C">
      <w:pPr>
        <w:pStyle w:val="CBDNormalNumber"/>
        <w:numPr>
          <w:ilvl w:val="0"/>
          <w:numId w:val="90"/>
        </w:numPr>
        <w:shd w:val="clear" w:color="auto" w:fill="FFFFFF"/>
        <w:ind w:left="567" w:firstLine="0"/>
        <w:rPr>
          <w:rFonts w:asciiTheme="majorBidi" w:hAnsiTheme="majorBidi" w:cstheme="majorBidi"/>
          <w:color w:val="000000"/>
          <w:lang w:val="en-US"/>
        </w:rPr>
      </w:pPr>
      <w:r w:rsidRPr="00ED7E61">
        <w:rPr>
          <w:color w:val="000000"/>
        </w:rPr>
        <w:t>In</w:t>
      </w:r>
      <w:r w:rsidRPr="00ED7E61">
        <w:rPr>
          <w:rFonts w:asciiTheme="majorBidi" w:hAnsiTheme="majorBidi" w:cstheme="majorBidi"/>
          <w:color w:val="000000" w:themeColor="text1"/>
          <w:lang w:val="en-US"/>
        </w:rPr>
        <w:t xml:space="preserve"> each of these cases, national strategies, legislation and novel regulations may be in the draft stages and awaiting ratification. </w:t>
      </w:r>
      <w:bookmarkStart w:id="68" w:name="_Int_iIrVhWfo"/>
      <w:r w:rsidRPr="00ED7E61">
        <w:rPr>
          <w:rFonts w:asciiTheme="majorBidi" w:hAnsiTheme="majorBidi" w:cstheme="majorBidi"/>
          <w:color w:val="000000" w:themeColor="text1"/>
          <w:lang w:val="en-US"/>
        </w:rPr>
        <w:t>Resources may also be in the process of being mobilized to support these mechanisms.</w:t>
      </w:r>
      <w:bookmarkEnd w:id="68"/>
      <w:r w:rsidRPr="00ED7E61">
        <w:rPr>
          <w:rFonts w:asciiTheme="majorBidi" w:hAnsiTheme="majorBidi" w:cstheme="majorBidi"/>
          <w:color w:val="000000" w:themeColor="text1"/>
          <w:lang w:val="en-US"/>
        </w:rPr>
        <w:t xml:space="preserve"> Importantly, these processes must be ongoing at the national level and backed by governmental bodies with implementation authority, ongoing engagement with or support of stakeholders promoting sustainable consumption is insufficient.</w:t>
      </w:r>
    </w:p>
    <w:p w14:paraId="3810A722" w14:textId="74DDFCD6" w:rsidR="00C9506C" w:rsidRPr="00ED7E61" w:rsidRDefault="00C9506C" w:rsidP="00B10F0C">
      <w:pPr>
        <w:pStyle w:val="CBDNormalNumber"/>
        <w:numPr>
          <w:ilvl w:val="0"/>
          <w:numId w:val="90"/>
        </w:numPr>
        <w:shd w:val="clear" w:color="auto" w:fill="FFFFFF"/>
        <w:ind w:left="567" w:firstLine="0"/>
        <w:rPr>
          <w:rFonts w:asciiTheme="majorBidi" w:hAnsiTheme="majorBidi" w:cstheme="majorBidi"/>
          <w:color w:val="000000" w:themeColor="text1"/>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Partially</w:t>
      </w:r>
      <w:r w:rsidRPr="00ED7E61">
        <w:rPr>
          <w:rFonts w:asciiTheme="majorBidi" w:hAnsiTheme="majorBidi" w:cstheme="majorBidi"/>
          <w:color w:val="000000"/>
          <w:lang w:val="en-US"/>
        </w:rPr>
        <w:t>” answer implies that some actions are being taken to promote sustainable consumption, but not all. That is:</w:t>
      </w:r>
    </w:p>
    <w:p w14:paraId="71E8A581" w14:textId="77777777"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mechanisms, policy, legislative or regulatory frameworks aimed at supporting sustainable consumption have been established but not all (16.1)</w:t>
      </w:r>
    </w:p>
    <w:p w14:paraId="0522441F" w14:textId="77777777"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mechanisms to improve awareness or education about the impacts of consumption on biodiversity are in place but not both, and these include mechanisms to improve access to relevant and accurate information and/or alternatives supporting sustainable consumption (16.2)</w:t>
      </w:r>
    </w:p>
    <w:p w14:paraId="0E9C0F4A" w14:textId="77777777" w:rsidR="00C9506C" w:rsidRPr="00ED7E61" w:rsidRDefault="00C9506C" w:rsidP="00B10F0C">
      <w:pPr>
        <w:pStyle w:val="CBDNormalNumber"/>
        <w:numPr>
          <w:ilvl w:val="1"/>
          <w:numId w:val="90"/>
        </w:numPr>
        <w:tabs>
          <w:tab w:val="clear" w:pos="567"/>
          <w:tab w:val="clear" w:pos="1134"/>
          <w:tab w:val="clear" w:pos="1701"/>
          <w:tab w:val="clear" w:pos="2268"/>
          <w:tab w:val="left" w:pos="1985"/>
        </w:tabs>
        <w:ind w:left="1276" w:firstLine="56"/>
        <w:rPr>
          <w:rStyle w:val="normaltextrun"/>
          <w:rFonts w:eastAsiaTheme="majorEastAsia"/>
        </w:rPr>
      </w:pPr>
      <w:r w:rsidRPr="00ED7E61">
        <w:rPr>
          <w:rStyle w:val="normaltextrun"/>
          <w:rFonts w:eastAsiaTheme="majorEastAsia"/>
        </w:rPr>
        <w:t>policy instruments aimed at encouraging and enabling people to reduce the impacts of consumption are in place, but these do not include reducing food waste, overconsumption, nor waste generation (16.3)</w:t>
      </w:r>
    </w:p>
    <w:p w14:paraId="479FC6A4" w14:textId="0C4509E3" w:rsidR="001424A6" w:rsidRPr="00ED7E61" w:rsidRDefault="00C9506C" w:rsidP="00B10F0C">
      <w:pPr>
        <w:pStyle w:val="CBDNormalNumber"/>
        <w:numPr>
          <w:ilvl w:val="0"/>
          <w:numId w:val="90"/>
        </w:numPr>
        <w:shd w:val="clear" w:color="auto" w:fill="FFFFFF"/>
        <w:ind w:left="567" w:firstLine="0"/>
        <w:rPr>
          <w:rFonts w:asciiTheme="majorBidi" w:hAnsiTheme="majorBidi" w:cstheme="majorBidi"/>
          <w:color w:val="000000"/>
          <w:lang w:val="en-US"/>
        </w:rPr>
      </w:pPr>
      <w:r w:rsidRPr="00ED7E61">
        <w:rPr>
          <w:color w:val="000000"/>
        </w:rPr>
        <w:t>All</w:t>
      </w:r>
      <w:r w:rsidRPr="00ED7E61">
        <w:rPr>
          <w:rFonts w:asciiTheme="majorBidi" w:hAnsiTheme="majorBidi" w:cstheme="majorBidi"/>
          <w:color w:val="000000"/>
          <w:lang w:val="en-US"/>
        </w:rPr>
        <w:t xml:space="preserve"> these cases imply governmental support (e.g. through legislation or financing) for the mechanisms in place. If any one of the cases outlined above applies, only partial achievement has been reached.</w:t>
      </w:r>
    </w:p>
    <w:p w14:paraId="5516CA2F" w14:textId="799890AC" w:rsidR="00C9506C" w:rsidRPr="00ED7E61" w:rsidRDefault="00C9506C" w:rsidP="00B10F0C">
      <w:pPr>
        <w:pStyle w:val="CBDNormalNumber"/>
        <w:numPr>
          <w:ilvl w:val="0"/>
          <w:numId w:val="90"/>
        </w:numPr>
        <w:shd w:val="clear" w:color="auto" w:fill="FFFFFF"/>
        <w:ind w:left="567" w:firstLine="0"/>
      </w:pPr>
      <w:r w:rsidRPr="00ED7E61">
        <w:rPr>
          <w:color w:val="000000"/>
        </w:rPr>
        <w:t>A “</w:t>
      </w:r>
      <w:r w:rsidRPr="00FB1598">
        <w:rPr>
          <w:i/>
          <w:iCs/>
          <w:color w:val="000000"/>
        </w:rPr>
        <w:t>Fully</w:t>
      </w:r>
      <w:r w:rsidRPr="00ED7E61">
        <w:rPr>
          <w:color w:val="000000"/>
        </w:rPr>
        <w:t>” answer implies that all the conditions outlined in “</w:t>
      </w:r>
      <w:r w:rsidRPr="00FB1598">
        <w:rPr>
          <w:i/>
          <w:iCs/>
          <w:color w:val="000000"/>
        </w:rPr>
        <w:t>Partially</w:t>
      </w:r>
      <w:r w:rsidRPr="00ED7E61">
        <w:rPr>
          <w:color w:val="000000"/>
        </w:rPr>
        <w:t>” have been met. Namely that</w:t>
      </w:r>
      <w:r w:rsidRPr="00ED7E61">
        <w:t xml:space="preserve"> mechanisms, policy, legislative and regulatory frameworks aimed at supporting sustainable consumption have all been established (16.1), mechanisms to improve awareness or education about the impacts of consumption on biodiversity are in place and they include mechanisms to improve access to relevant and accurate information and alternatives supporting sustainable consumption (16.2) and policy instruments aimed at encouraging and enabling people to reduce the impacts of consumption are in place, including through reducing food waste, overconsumption, and waste generation (16.3). Note that all these mechanisms must be established at the national level and be appropriately resourced (financial and human).</w:t>
      </w:r>
    </w:p>
    <w:p w14:paraId="66575A8B" w14:textId="77777777"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hAnsiTheme="majorBidi" w:cstheme="majorBidi"/>
          <w:sz w:val="22"/>
          <w:szCs w:val="22"/>
          <w:lang w:val="en-US"/>
        </w:rPr>
      </w:pPr>
    </w:p>
    <w:p w14:paraId="260EBFAD" w14:textId="2AF60B35"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69938F31" w14:textId="72586F3B" w:rsidR="009753DA" w:rsidRPr="00757C3F" w:rsidRDefault="009753DA" w:rsidP="00757C3F">
      <w:pPr>
        <w:pStyle w:val="Heading3"/>
        <w:rPr>
          <w:rStyle w:val="normaltextrun"/>
        </w:rPr>
      </w:pPr>
      <w:bookmarkStart w:id="69" w:name="_Toc178285877"/>
      <w:r w:rsidRPr="00ED7E61">
        <w:rPr>
          <w:rStyle w:val="normaltextrun"/>
        </w:rPr>
        <w:t xml:space="preserve">GBF indicator metadata: </w:t>
      </w:r>
      <w:r w:rsidRPr="00ED7E61">
        <w:rPr>
          <w:rStyle w:val="eop"/>
        </w:rPr>
        <w:t>17.b Target 17 binary indicator</w:t>
      </w:r>
      <w:bookmarkEnd w:id="69"/>
      <w:r w:rsidRPr="00ED7E61">
        <w:rPr>
          <w:rStyle w:val="eop"/>
        </w:rPr>
        <w:t xml:space="preserve"> </w:t>
      </w:r>
    </w:p>
    <w:p w14:paraId="5CE94C20" w14:textId="77777777" w:rsidR="009753DA" w:rsidRPr="00ED7E61" w:rsidRDefault="009753DA" w:rsidP="00757C3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7D1A5518" w14:textId="77777777" w:rsidR="009753DA" w:rsidRPr="00ED7E61" w:rsidRDefault="009753DA" w:rsidP="009753DA">
      <w:pPr>
        <w:rPr>
          <w:rFonts w:asciiTheme="majorBidi" w:hAnsiTheme="majorBidi" w:cstheme="majorBidi"/>
          <w:sz w:val="22"/>
          <w:szCs w:val="22"/>
        </w:rPr>
      </w:pPr>
      <w:r w:rsidRPr="00ED7E61">
        <w:rPr>
          <w:rFonts w:asciiTheme="majorBidi" w:hAnsiTheme="majorBidi" w:cstheme="majorBidi"/>
          <w:color w:val="000000" w:themeColor="text1"/>
          <w:kern w:val="22"/>
          <w:sz w:val="22"/>
          <w:szCs w:val="22"/>
        </w:rPr>
        <w:t xml:space="preserve">Number of countries that have taken action to implement </w:t>
      </w:r>
      <w:r w:rsidRPr="00ED7E61">
        <w:rPr>
          <w:rFonts w:asciiTheme="majorBidi" w:hAnsiTheme="majorBidi" w:cstheme="majorBidi"/>
          <w:color w:val="000000" w:themeColor="text1"/>
          <w:sz w:val="22"/>
          <w:szCs w:val="22"/>
        </w:rPr>
        <w:t>biosafety measures as set out in Article 8(g) of the Convention and measures for the handling of biotechnology and the distribution of its benefits as set out in Article 19.</w:t>
      </w:r>
    </w:p>
    <w:p w14:paraId="763F6204" w14:textId="77777777" w:rsidR="009753DA" w:rsidRPr="00ED7E61" w:rsidRDefault="009753DA" w:rsidP="009753DA">
      <w:pPr>
        <w:jc w:val="both"/>
        <w:rPr>
          <w:rFonts w:asciiTheme="majorBidi" w:hAnsiTheme="majorBidi" w:cstheme="majorBidi"/>
          <w:sz w:val="22"/>
          <w:szCs w:val="22"/>
        </w:rPr>
      </w:pPr>
    </w:p>
    <w:p w14:paraId="34049020" w14:textId="2ED45FF5" w:rsidR="009753DA" w:rsidRPr="00ED7E61" w:rsidRDefault="009753DA" w:rsidP="009753DA">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2E19EC79" w14:textId="77777777" w:rsidR="009753DA" w:rsidRPr="00ED7E61" w:rsidRDefault="009753DA" w:rsidP="00757C3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78367F6D" w14:textId="6D352517" w:rsidR="009753DA" w:rsidRPr="00ED7E61" w:rsidRDefault="009753DA" w:rsidP="009753DA">
      <w:pPr>
        <w:jc w:val="both"/>
        <w:rPr>
          <w:rFonts w:asciiTheme="majorBidi" w:hAnsiTheme="majorBidi" w:cstheme="majorBidi"/>
          <w:sz w:val="22"/>
          <w:szCs w:val="22"/>
        </w:rPr>
      </w:pPr>
      <w:r w:rsidRPr="00ED7E61">
        <w:rPr>
          <w:rFonts w:asciiTheme="majorBidi" w:hAnsiTheme="majorBidi" w:cstheme="majorBidi"/>
          <w:color w:val="242424"/>
          <w:sz w:val="22"/>
          <w:szCs w:val="22"/>
        </w:rPr>
        <w:t>N/A</w:t>
      </w:r>
    </w:p>
    <w:p w14:paraId="5DC36697" w14:textId="77777777" w:rsidR="009753DA" w:rsidRPr="00ED7E61" w:rsidRDefault="009753DA" w:rsidP="00757C3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Target</w:t>
      </w:r>
    </w:p>
    <w:p w14:paraId="399A3B67" w14:textId="0655683C" w:rsidR="009753DA" w:rsidRPr="00ED7E61" w:rsidRDefault="009753DA" w:rsidP="009753DA">
      <w:pPr>
        <w:jc w:val="both"/>
        <w:rPr>
          <w:rFonts w:asciiTheme="majorBidi" w:hAnsiTheme="majorBidi" w:cstheme="majorBidi"/>
          <w:sz w:val="22"/>
          <w:szCs w:val="22"/>
        </w:rPr>
      </w:pPr>
      <w:r w:rsidRPr="00ED7E61">
        <w:rPr>
          <w:rFonts w:asciiTheme="majorBidi" w:hAnsiTheme="majorBidi" w:cstheme="majorBidi"/>
          <w:sz w:val="22"/>
          <w:szCs w:val="22"/>
        </w:rPr>
        <w:t>Binary indicator for Target 17. Establish, strengthen capacity for, and implement in all countries, biosafety measures as set out in Article 8(g) of the Convention on Biological Diversity and measures for the handling of biotechnology and distribution of its benefits as set out in Article 19 of the Convention.</w:t>
      </w:r>
    </w:p>
    <w:p w14:paraId="6CE59E54" w14:textId="77777777" w:rsidR="009753DA" w:rsidRPr="00ED7E61" w:rsidRDefault="009753DA" w:rsidP="00757C3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3FF7FA65" w14:textId="3020B413" w:rsidR="009753DA" w:rsidRPr="00ED7E61" w:rsidRDefault="009753DA" w:rsidP="00B10F0C">
      <w:pPr>
        <w:pStyle w:val="CBDNormalNumber"/>
        <w:numPr>
          <w:ilvl w:val="0"/>
          <w:numId w:val="91"/>
        </w:numPr>
        <w:shd w:val="clear" w:color="auto" w:fill="FFFFFF"/>
        <w:tabs>
          <w:tab w:val="clear" w:pos="1701"/>
        </w:tabs>
        <w:ind w:left="567" w:firstLine="0"/>
        <w:rPr>
          <w:color w:val="000000"/>
        </w:rPr>
      </w:pPr>
      <w:r w:rsidRPr="00ED7E61">
        <w:rPr>
          <w:color w:val="000000"/>
        </w:rPr>
        <w:t>Living modified organisms resulting from biotechnologies provide opportunities, but its use and release requires regulation, management and control of potential associated risks. Participation in biotechnological research and development by Parties, especially developing country Parties, providing the genetic resources for such research would help empower them to address their own needs. In addition, priority access on a fair and equitable basis by Parties, in particular developing country Parties, to the results and benefits of biotechnologies based on genetic resources provided by these Parties would enable countries to benefit from technological advances based on genetic resources, providing a powerful incentive for conservation. As such, this indicator tracks progress towards the implementation of articles 19 and 8 of the Convention.</w:t>
      </w:r>
    </w:p>
    <w:p w14:paraId="274DD487" w14:textId="77777777" w:rsidR="009753DA" w:rsidRPr="00ED7E61" w:rsidRDefault="009753DA" w:rsidP="009753DA">
      <w:pPr>
        <w:jc w:val="both"/>
        <w:rPr>
          <w:rFonts w:asciiTheme="majorBidi" w:hAnsiTheme="majorBidi" w:cstheme="majorBidi"/>
          <w:b/>
          <w:bCs/>
          <w:sz w:val="22"/>
          <w:szCs w:val="22"/>
        </w:rPr>
      </w:pPr>
      <w:r w:rsidRPr="00ED7E61">
        <w:rPr>
          <w:rFonts w:asciiTheme="majorBidi" w:hAnsiTheme="majorBidi" w:cstheme="majorBidi"/>
          <w:b/>
          <w:bCs/>
          <w:sz w:val="22"/>
          <w:szCs w:val="22"/>
        </w:rPr>
        <w:t>Definitions Concepts And Classifications</w:t>
      </w:r>
    </w:p>
    <w:p w14:paraId="6FDEFEBB" w14:textId="77777777" w:rsidR="009753DA" w:rsidRPr="00ED7E61" w:rsidRDefault="009753DA" w:rsidP="00757C3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58DF34E8"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 xml:space="preserve">Biosafety: This concept refers to the need to protect human health and the environment from the possible adverse effects of the products of modern biotechnology. </w:t>
      </w:r>
    </w:p>
    <w:p w14:paraId="05FD948E"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Biotechnology: Under the Convention, “</w:t>
      </w:r>
      <w:r w:rsidRPr="00FB1598">
        <w:rPr>
          <w:i/>
          <w:iCs/>
          <w:color w:val="000000"/>
        </w:rPr>
        <w:t>biotechnology</w:t>
      </w:r>
      <w:r w:rsidRPr="00ED7E61">
        <w:rPr>
          <w:color w:val="000000"/>
        </w:rPr>
        <w:t>” means any technological application that uses biological systems, living organisms or derivatives thereof, to make or modify products or processes for specific use (Convention, Article 2).</w:t>
      </w:r>
    </w:p>
    <w:p w14:paraId="6C38D11E" w14:textId="7AA45930"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 xml:space="preserve">Living modified organisms: The Cartagena Protocol on Biosafety defines </w:t>
      </w:r>
      <w:r w:rsidR="00D20B01">
        <w:rPr>
          <w:color w:val="000000"/>
        </w:rPr>
        <w:t>“</w:t>
      </w:r>
      <w:r w:rsidRPr="00FB1598">
        <w:rPr>
          <w:i/>
          <w:iCs/>
          <w:color w:val="000000"/>
        </w:rPr>
        <w:t>living modified organism</w:t>
      </w:r>
      <w:r w:rsidR="00D20B01">
        <w:rPr>
          <w:color w:val="000000"/>
        </w:rPr>
        <w:t>”</w:t>
      </w:r>
      <w:r w:rsidRPr="00ED7E61">
        <w:rPr>
          <w:color w:val="000000"/>
        </w:rPr>
        <w:t xml:space="preserve"> as any living organism that possesses a novel combination of genetic material obtained through the use of modern biotechnology.</w:t>
      </w:r>
    </w:p>
    <w:p w14:paraId="5ABB5B51"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Modern biotechnology: Under the Cartagena Protocol, “</w:t>
      </w:r>
      <w:r w:rsidRPr="00FB1598">
        <w:rPr>
          <w:i/>
          <w:iCs/>
          <w:color w:val="000000"/>
        </w:rPr>
        <w:t>modern biotechnology</w:t>
      </w:r>
      <w:r w:rsidRPr="00ED7E61">
        <w:rPr>
          <w:color w:val="000000"/>
        </w:rPr>
        <w:t>” means the application of in vitro nucleic acid techniques, including recombinant deoxyribonucleic acid (DNA) and direct injection of nucleic acid into cells or organelles, or fusion of cells beyond the taxonomic family, that overcome natural physiological reproductive or recombination barriers and that are not techniques used in traditional breeding and selection. (Cartagena Protocol, Article 3(i)).</w:t>
      </w:r>
    </w:p>
    <w:p w14:paraId="60AB1029"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Genetic resources: Means genetic material of actual or potential value.</w:t>
      </w:r>
    </w:p>
    <w:p w14:paraId="0DECC8F8" w14:textId="77777777" w:rsidR="009753DA" w:rsidRPr="00ED7E61" w:rsidRDefault="009753DA" w:rsidP="00B10F0C">
      <w:pPr>
        <w:pStyle w:val="CBDNormalNumber"/>
        <w:numPr>
          <w:ilvl w:val="0"/>
          <w:numId w:val="91"/>
        </w:numPr>
        <w:shd w:val="clear" w:color="auto" w:fill="FFFFFF"/>
        <w:ind w:left="567" w:firstLine="0"/>
        <w:rPr>
          <w:rFonts w:asciiTheme="majorBidi" w:hAnsiTheme="majorBidi" w:cstheme="majorBidi"/>
          <w:b/>
          <w:bCs/>
        </w:rPr>
      </w:pPr>
      <w:r w:rsidRPr="00ED7E61">
        <w:rPr>
          <w:color w:val="000000"/>
        </w:rPr>
        <w:t>Risk assessment: The objective of risk assessment is to identify and evaluate the potential adverse effects of living modified organisms on the conservation and sustainable use of biological diversity in the likely potential receiving environment, taking also into account risks to human health.</w:t>
      </w:r>
      <w:r w:rsidRPr="00ED7E61">
        <w:rPr>
          <w:color w:val="000000"/>
          <w:lang w:val="en-CA"/>
        </w:rPr>
        <w:t xml:space="preserve"> </w:t>
      </w:r>
    </w:p>
    <w:p w14:paraId="1D97D7A7" w14:textId="1CC6B3CF" w:rsidR="009753DA" w:rsidRPr="00ED7E61" w:rsidRDefault="009753DA" w:rsidP="00ED7E61">
      <w:pPr>
        <w:pStyle w:val="CBDNormalNumber"/>
        <w:shd w:val="clear" w:color="auto" w:fill="FFFFFF"/>
        <w:rPr>
          <w:rFonts w:asciiTheme="majorBidi" w:hAnsiTheme="majorBidi" w:cstheme="majorBidi"/>
          <w:b/>
          <w:bCs/>
        </w:rPr>
      </w:pPr>
      <w:r w:rsidRPr="00ED7E61">
        <w:rPr>
          <w:rFonts w:asciiTheme="majorBidi" w:hAnsiTheme="majorBidi" w:cstheme="majorBidi"/>
          <w:b/>
          <w:bCs/>
        </w:rPr>
        <w:t>Method of Computation</w:t>
      </w:r>
    </w:p>
    <w:p w14:paraId="6538E494"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This indicator is a binary indicator and must be compiled from the answers to six questions:</w:t>
      </w:r>
    </w:p>
    <w:p w14:paraId="52A5E379" w14:textId="77777777" w:rsidR="009753DA" w:rsidRPr="00ED7E61" w:rsidRDefault="009753DA" w:rsidP="00B10F0C">
      <w:pPr>
        <w:pStyle w:val="CBDNormalNumber"/>
        <w:numPr>
          <w:ilvl w:val="1"/>
          <w:numId w:val="14"/>
        </w:numPr>
        <w:tabs>
          <w:tab w:val="clear" w:pos="567"/>
          <w:tab w:val="clear" w:pos="1134"/>
          <w:tab w:val="clear" w:pos="2268"/>
          <w:tab w:val="left" w:pos="1985"/>
        </w:tabs>
        <w:ind w:left="567" w:firstLine="567"/>
        <w:rPr>
          <w:rStyle w:val="normaltextrun"/>
          <w:rFonts w:eastAsiaTheme="majorEastAsia"/>
        </w:rPr>
      </w:pPr>
      <w:r w:rsidRPr="00ED7E61">
        <w:rPr>
          <w:rFonts w:asciiTheme="majorBidi" w:hAnsiTheme="majorBidi" w:cstheme="majorBidi"/>
        </w:rPr>
        <w:t xml:space="preserve">17.1 </w:t>
      </w:r>
      <w:bookmarkStart w:id="70" w:name="_Hlk177995996"/>
      <w:r w:rsidRPr="00ED7E61">
        <w:rPr>
          <w:rStyle w:val="normaltextrun"/>
          <w:rFonts w:eastAsiaTheme="majorEastAsia"/>
        </w:rPr>
        <w:t xml:space="preserve">Has your country established biosafety-related policy, legal, </w:t>
      </w:r>
      <w:bookmarkEnd w:id="70"/>
      <w:r w:rsidRPr="00ED7E61">
        <w:rPr>
          <w:rStyle w:val="normaltextrun"/>
          <w:rFonts w:eastAsiaTheme="majorEastAsia"/>
        </w:rPr>
        <w:t>administrative and other measures as set out in Article 8(g) of the Convention?</w:t>
      </w:r>
      <w:r w:rsidRPr="00ED7E61" w:rsidDel="008307B2">
        <w:rPr>
          <w:rStyle w:val="normaltextrun"/>
          <w:rFonts w:eastAsiaTheme="majorEastAsia"/>
        </w:rPr>
        <w:t xml:space="preserve"> </w:t>
      </w:r>
    </w:p>
    <w:p w14:paraId="41146D67" w14:textId="77777777" w:rsidR="009753DA" w:rsidRPr="00ED7E61" w:rsidRDefault="009753DA" w:rsidP="00B10F0C">
      <w:pPr>
        <w:pStyle w:val="CBDNormalNumber"/>
        <w:numPr>
          <w:ilvl w:val="1"/>
          <w:numId w:val="14"/>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17.2 Does your country implement biosafety measures as set out in Article 8(g) of the Convention?</w:t>
      </w:r>
      <w:r w:rsidRPr="00ED7E61" w:rsidDel="008307B2">
        <w:rPr>
          <w:rStyle w:val="normaltextrun"/>
          <w:rFonts w:eastAsiaTheme="majorEastAsia"/>
        </w:rPr>
        <w:t xml:space="preserve"> </w:t>
      </w:r>
    </w:p>
    <w:p w14:paraId="47B5D718" w14:textId="77777777" w:rsidR="009753DA" w:rsidRPr="00ED7E61" w:rsidRDefault="009753DA" w:rsidP="00B10F0C">
      <w:pPr>
        <w:pStyle w:val="CBDNormalNumber"/>
        <w:numPr>
          <w:ilvl w:val="1"/>
          <w:numId w:val="14"/>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17.3 Has your country taken legislative, administrative or policy measures, as appropriate, to provide for the effective participation in biotechnological research activities by those Parties, especially developing countries, that provide the genetic resources for such research as set out in paragraph 1 of Article 19 of the Convention?</w:t>
      </w:r>
    </w:p>
    <w:p w14:paraId="260982EB" w14:textId="77777777" w:rsidR="009753DA" w:rsidRPr="00ED7E61" w:rsidRDefault="009753DA" w:rsidP="00B10F0C">
      <w:pPr>
        <w:pStyle w:val="CBDNormalNumber"/>
        <w:numPr>
          <w:ilvl w:val="1"/>
          <w:numId w:val="14"/>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17.4 Has your country taken practicable measures to promote and advance priority access on a fair and equitable basis by Parties, especially developing countries, to the results and benefits arising from biotechnologies based on genetic resources provided by those Parties, as set out in paragraph 2 of Article 19 of the Convention?</w:t>
      </w:r>
      <w:r w:rsidRPr="00ED7E61" w:rsidDel="008307B2">
        <w:rPr>
          <w:rStyle w:val="normaltextrun"/>
          <w:rFonts w:eastAsiaTheme="majorEastAsia"/>
        </w:rPr>
        <w:t xml:space="preserve"> </w:t>
      </w:r>
    </w:p>
    <w:p w14:paraId="55F04AFC" w14:textId="77777777" w:rsidR="009753DA" w:rsidRPr="00ED7E61" w:rsidRDefault="009753DA" w:rsidP="00B10F0C">
      <w:pPr>
        <w:pStyle w:val="CBDNormalNumber"/>
        <w:numPr>
          <w:ilvl w:val="1"/>
          <w:numId w:val="14"/>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17.5 Does your country carry out scientifically sound risk assessments on the use and release of living modified organisms?</w:t>
      </w:r>
      <w:r w:rsidRPr="00ED7E61" w:rsidDel="008307B2">
        <w:rPr>
          <w:rStyle w:val="normaltextrun"/>
          <w:rFonts w:eastAsiaTheme="majorEastAsia"/>
        </w:rPr>
        <w:t xml:space="preserve"> </w:t>
      </w:r>
    </w:p>
    <w:p w14:paraId="7E7988AC" w14:textId="77777777" w:rsidR="009753DA" w:rsidRPr="00ED7E61" w:rsidRDefault="009753DA" w:rsidP="00B10F0C">
      <w:pPr>
        <w:pStyle w:val="CBDNormalNumber"/>
        <w:numPr>
          <w:ilvl w:val="1"/>
          <w:numId w:val="14"/>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17.6 Does your country provide access to biosafety-related information for the safe transfer, handling and use of living modified organisms?</w:t>
      </w:r>
    </w:p>
    <w:p w14:paraId="177D3A9A"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There are four possible answers to each of these questions</w:t>
      </w:r>
      <w:r w:rsidRPr="00ED7E61">
        <w:rPr>
          <w:vertAlign w:val="superscript"/>
        </w:rPr>
        <w:footnoteReference w:id="63"/>
      </w:r>
      <w:r w:rsidRPr="00ED7E61">
        <w:rPr>
          <w:color w:val="000000"/>
        </w:rPr>
        <w:t>:</w:t>
      </w:r>
    </w:p>
    <w:p w14:paraId="3A3DF332" w14:textId="77777777" w:rsidR="009753DA" w:rsidRPr="00ED7E61" w:rsidRDefault="009753DA" w:rsidP="00B10F0C">
      <w:pPr>
        <w:pStyle w:val="CBDNormalNumber"/>
        <w:numPr>
          <w:ilvl w:val="0"/>
          <w:numId w:val="15"/>
        </w:numPr>
        <w:tabs>
          <w:tab w:val="clear" w:pos="567"/>
          <w:tab w:val="clear" w:pos="1134"/>
          <w:tab w:val="clear" w:pos="1701"/>
          <w:tab w:val="clear" w:pos="2268"/>
          <w:tab w:val="left" w:pos="1985"/>
        </w:tabs>
        <w:ind w:hanging="1028"/>
        <w:rPr>
          <w:rStyle w:val="normaltextrun"/>
          <w:rFonts w:eastAsiaTheme="majorEastAsia"/>
        </w:rPr>
      </w:pPr>
      <w:r w:rsidRPr="00ED7E61">
        <w:rPr>
          <w:rStyle w:val="normaltextrun"/>
          <w:rFonts w:eastAsiaTheme="majorEastAsia"/>
        </w:rPr>
        <w:t>No</w:t>
      </w:r>
    </w:p>
    <w:p w14:paraId="75A7A96A" w14:textId="77777777" w:rsidR="009753DA" w:rsidRPr="00ED7E61" w:rsidRDefault="009753DA" w:rsidP="00B10F0C">
      <w:pPr>
        <w:pStyle w:val="CBDNormalNumber"/>
        <w:numPr>
          <w:ilvl w:val="0"/>
          <w:numId w:val="15"/>
        </w:numPr>
        <w:tabs>
          <w:tab w:val="clear" w:pos="567"/>
          <w:tab w:val="clear" w:pos="1134"/>
          <w:tab w:val="clear" w:pos="1701"/>
          <w:tab w:val="clear" w:pos="2268"/>
          <w:tab w:val="left" w:pos="1985"/>
        </w:tabs>
        <w:ind w:hanging="1028"/>
        <w:rPr>
          <w:rStyle w:val="normaltextrun"/>
          <w:rFonts w:eastAsiaTheme="majorEastAsia"/>
        </w:rPr>
      </w:pPr>
      <w:r w:rsidRPr="00ED7E61">
        <w:rPr>
          <w:rStyle w:val="normaltextrun"/>
          <w:rFonts w:eastAsiaTheme="majorEastAsia"/>
        </w:rPr>
        <w:t>Under development</w:t>
      </w:r>
    </w:p>
    <w:p w14:paraId="3C1B490F" w14:textId="77777777" w:rsidR="009753DA" w:rsidRPr="00ED7E61" w:rsidRDefault="009753DA" w:rsidP="00B10F0C">
      <w:pPr>
        <w:pStyle w:val="CBDNormalNumber"/>
        <w:numPr>
          <w:ilvl w:val="0"/>
          <w:numId w:val="15"/>
        </w:numPr>
        <w:tabs>
          <w:tab w:val="clear" w:pos="567"/>
          <w:tab w:val="clear" w:pos="1134"/>
          <w:tab w:val="clear" w:pos="1701"/>
          <w:tab w:val="clear" w:pos="2268"/>
          <w:tab w:val="left" w:pos="1985"/>
        </w:tabs>
        <w:ind w:hanging="1028"/>
        <w:rPr>
          <w:rStyle w:val="normaltextrun"/>
          <w:rFonts w:eastAsiaTheme="majorEastAsia"/>
        </w:rPr>
      </w:pPr>
      <w:r w:rsidRPr="00ED7E61">
        <w:rPr>
          <w:rStyle w:val="normaltextrun"/>
          <w:rFonts w:eastAsiaTheme="majorEastAsia"/>
        </w:rPr>
        <w:t>Partially</w:t>
      </w:r>
    </w:p>
    <w:p w14:paraId="7DCEA088" w14:textId="77777777" w:rsidR="009753DA" w:rsidRPr="00ED7E61" w:rsidRDefault="009753DA" w:rsidP="00B10F0C">
      <w:pPr>
        <w:pStyle w:val="CBDNormalNumber"/>
        <w:numPr>
          <w:ilvl w:val="0"/>
          <w:numId w:val="15"/>
        </w:numPr>
        <w:tabs>
          <w:tab w:val="clear" w:pos="567"/>
          <w:tab w:val="clear" w:pos="1134"/>
          <w:tab w:val="clear" w:pos="1701"/>
          <w:tab w:val="clear" w:pos="2268"/>
          <w:tab w:val="left" w:pos="1985"/>
        </w:tabs>
        <w:ind w:hanging="1028"/>
        <w:rPr>
          <w:rStyle w:val="normaltextrun"/>
          <w:rFonts w:eastAsiaTheme="majorEastAsia"/>
        </w:rPr>
      </w:pPr>
      <w:r w:rsidRPr="00ED7E61">
        <w:rPr>
          <w:rStyle w:val="normaltextrun"/>
          <w:rFonts w:eastAsiaTheme="majorEastAsia"/>
        </w:rPr>
        <w:t>Fully</w:t>
      </w:r>
    </w:p>
    <w:p w14:paraId="7AF18AAC"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A “</w:t>
      </w:r>
      <w:r w:rsidRPr="00FB1598">
        <w:rPr>
          <w:i/>
          <w:iCs/>
          <w:color w:val="000000"/>
        </w:rPr>
        <w:t>No</w:t>
      </w:r>
      <w:r w:rsidRPr="00ED7E61">
        <w:rPr>
          <w:color w:val="000000"/>
        </w:rPr>
        <w:t>” answer implies that:</w:t>
      </w:r>
    </w:p>
    <w:p w14:paraId="1F61DFB3" w14:textId="77777777" w:rsidR="009753DA" w:rsidRPr="00ED7E61" w:rsidRDefault="009753DA" w:rsidP="00B10F0C">
      <w:pPr>
        <w:pStyle w:val="CBDNormalNumber"/>
        <w:numPr>
          <w:ilvl w:val="0"/>
          <w:numId w:val="1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no biosafety-related legal, policy nor administrative measures in line with Article 8(g) have been established (17.1)</w:t>
      </w:r>
    </w:p>
    <w:p w14:paraId="08CF8935" w14:textId="77777777" w:rsidR="009753DA" w:rsidRPr="00ED7E61" w:rsidRDefault="009753DA" w:rsidP="00B10F0C">
      <w:pPr>
        <w:pStyle w:val="CBDNormalNumber"/>
        <w:numPr>
          <w:ilvl w:val="0"/>
          <w:numId w:val="1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no biosafety measures in line with Article 8(g) are being implemented (17.2)</w:t>
      </w:r>
    </w:p>
    <w:p w14:paraId="1CCF6C0E" w14:textId="77777777" w:rsidR="009753DA" w:rsidRPr="00ED7E61" w:rsidRDefault="009753DA" w:rsidP="00B10F0C">
      <w:pPr>
        <w:pStyle w:val="CBDNormalNumber"/>
        <w:numPr>
          <w:ilvl w:val="0"/>
          <w:numId w:val="1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no measures have been put in place for the effective participation in biotechnology research activities by Parties that provide genetic resources as set out in Article 19 (17.3)</w:t>
      </w:r>
    </w:p>
    <w:p w14:paraId="5C711898" w14:textId="77777777" w:rsidR="009753DA" w:rsidRPr="00ED7E61" w:rsidRDefault="009753DA" w:rsidP="00B10F0C">
      <w:pPr>
        <w:pStyle w:val="CBDNormalNumber"/>
        <w:numPr>
          <w:ilvl w:val="0"/>
          <w:numId w:val="1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no measures have been taken to promote and advance priority access on a fair and equitable basis to the results and benefits arising from biotechnologies based on genetic resources provided by Parties as set out in Article 19 (17.4)</w:t>
      </w:r>
    </w:p>
    <w:p w14:paraId="79C9724E" w14:textId="77777777" w:rsidR="009753DA" w:rsidRPr="00ED7E61" w:rsidRDefault="009753DA" w:rsidP="00B10F0C">
      <w:pPr>
        <w:pStyle w:val="CBDNormalNumber"/>
        <w:numPr>
          <w:ilvl w:val="0"/>
          <w:numId w:val="1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no risk assessments on the use and release of living modified organisms have been carried out (17.5)</w:t>
      </w:r>
    </w:p>
    <w:p w14:paraId="40331A8A" w14:textId="77777777" w:rsidR="009753DA" w:rsidRPr="00ED7E61" w:rsidRDefault="009753DA" w:rsidP="00B10F0C">
      <w:pPr>
        <w:pStyle w:val="CBDNormalNumber"/>
        <w:numPr>
          <w:ilvl w:val="0"/>
          <w:numId w:val="16"/>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no information on the safe use of living modified organisms is being provided to other Parties (17.6)</w:t>
      </w:r>
    </w:p>
    <w:p w14:paraId="038DF1E2"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In all, no progress has been made to draft nor propose policies to implement measures relative to articles 8(g) and 19 of the convention and the safe use and management of living modified organisms.</w:t>
      </w:r>
    </w:p>
    <w:p w14:paraId="77852518"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An “</w:t>
      </w:r>
      <w:r w:rsidRPr="00FB1598">
        <w:rPr>
          <w:i/>
          <w:iCs/>
          <w:color w:val="000000"/>
        </w:rPr>
        <w:t>Under development</w:t>
      </w:r>
      <w:r w:rsidRPr="00ED7E61">
        <w:rPr>
          <w:color w:val="000000"/>
        </w:rPr>
        <w:t>” answer implies a concerted effort at the national level to implement measures such that:</w:t>
      </w:r>
    </w:p>
    <w:p w14:paraId="49ECFA30" w14:textId="77777777" w:rsidR="009753DA" w:rsidRPr="00ED7E61" w:rsidRDefault="009753DA" w:rsidP="00B10F0C">
      <w:pPr>
        <w:pStyle w:val="CBDNormalNumber"/>
        <w:numPr>
          <w:ilvl w:val="0"/>
          <w:numId w:val="17"/>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biosafety-related legal, policy or administrative measures in line with Article 8(g) have been proposed and/or drafted but not yet ratified (17.1)</w:t>
      </w:r>
    </w:p>
    <w:p w14:paraId="2346CFA4" w14:textId="77777777" w:rsidR="009753DA" w:rsidRPr="00ED7E61" w:rsidRDefault="009753DA" w:rsidP="00B10F0C">
      <w:pPr>
        <w:pStyle w:val="CBDNormalNumber"/>
        <w:numPr>
          <w:ilvl w:val="0"/>
          <w:numId w:val="17"/>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biosafety measures in line with Article 8(g) have been proposed but not yet implemented (17.2)</w:t>
      </w:r>
    </w:p>
    <w:p w14:paraId="6E989600" w14:textId="77777777" w:rsidR="009753DA" w:rsidRPr="00ED7E61" w:rsidRDefault="009753DA" w:rsidP="00B10F0C">
      <w:pPr>
        <w:pStyle w:val="CBDNormalNumber"/>
        <w:numPr>
          <w:ilvl w:val="0"/>
          <w:numId w:val="17"/>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legislative, administrative or policy measures for the effective participation in biotechnology research activities by Parties that provide genetic resources, as set out in Article 19, have been drafted and/or proposed (17.3)</w:t>
      </w:r>
    </w:p>
    <w:p w14:paraId="6EBF6C84" w14:textId="77777777" w:rsidR="009753DA" w:rsidRPr="00ED7E61" w:rsidRDefault="009753DA" w:rsidP="00B10F0C">
      <w:pPr>
        <w:pStyle w:val="CBDNormalNumber"/>
        <w:numPr>
          <w:ilvl w:val="0"/>
          <w:numId w:val="17"/>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measures to promote and advance priority access on a fair and equitable basis to the results and benefits arising from biotechnologies based on genetic resources provided by Parties, as set out in Article 19 , have been drafted and/or proposed (17.4)</w:t>
      </w:r>
    </w:p>
    <w:p w14:paraId="40B30129" w14:textId="77777777" w:rsidR="009753DA" w:rsidRPr="00ED7E61" w:rsidRDefault="009753DA" w:rsidP="00B10F0C">
      <w:pPr>
        <w:pStyle w:val="CBDNormalNumber"/>
        <w:numPr>
          <w:ilvl w:val="0"/>
          <w:numId w:val="17"/>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risk assessments on the use and release of living modified organisms are planned and/or designed but not yet carried out (17.4)</w:t>
      </w:r>
    </w:p>
    <w:p w14:paraId="2E404974" w14:textId="77777777" w:rsidR="009753DA" w:rsidRPr="00ED7E61" w:rsidRDefault="009753DA" w:rsidP="00B10F0C">
      <w:pPr>
        <w:pStyle w:val="CBDNormalNumber"/>
        <w:numPr>
          <w:ilvl w:val="0"/>
          <w:numId w:val="17"/>
        </w:numPr>
        <w:tabs>
          <w:tab w:val="clear" w:pos="567"/>
          <w:tab w:val="clear" w:pos="1134"/>
          <w:tab w:val="clear" w:pos="2268"/>
          <w:tab w:val="left" w:pos="1985"/>
        </w:tabs>
        <w:ind w:left="567" w:firstLine="567"/>
        <w:rPr>
          <w:rStyle w:val="normaltextrun"/>
          <w:rFonts w:eastAsiaTheme="majorEastAsia"/>
        </w:rPr>
      </w:pPr>
      <w:r w:rsidRPr="00ED7E61">
        <w:rPr>
          <w:rStyle w:val="normaltextrun"/>
          <w:rFonts w:eastAsiaTheme="majorEastAsia"/>
        </w:rPr>
        <w:t>compiling of information on the safe use of living modified organisms for other Parties has been commissioned and/or drafted but is not yet complete (17.6)</w:t>
      </w:r>
    </w:p>
    <w:p w14:paraId="734EAC85"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In all cases, clear national efforts can be seen (e.g. draft bills, new regulation, ...) to progress towards the target but these are not yet in place nor producing results.</w:t>
      </w:r>
    </w:p>
    <w:p w14:paraId="2C3D722A"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A “</w:t>
      </w:r>
      <w:r w:rsidRPr="00FB1598">
        <w:rPr>
          <w:i/>
          <w:iCs/>
          <w:color w:val="000000"/>
        </w:rPr>
        <w:t>Partially</w:t>
      </w:r>
      <w:r w:rsidRPr="00ED7E61">
        <w:rPr>
          <w:color w:val="000000"/>
        </w:rPr>
        <w:t>” answer implies that:</w:t>
      </w:r>
    </w:p>
    <w:p w14:paraId="4C5174DF" w14:textId="77777777" w:rsidR="009753DA" w:rsidRPr="00ED7E61" w:rsidRDefault="009753DA" w:rsidP="00B10F0C">
      <w:pPr>
        <w:pStyle w:val="CBDNormalNumber"/>
        <w:numPr>
          <w:ilvl w:val="0"/>
          <w:numId w:val="18"/>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there exist biosafety-related legal, policy or administrative measures in line with Article 8(g) but have been partially established (17.1)</w:t>
      </w:r>
    </w:p>
    <w:p w14:paraId="6BFD7104" w14:textId="77777777" w:rsidR="009753DA" w:rsidRPr="00ED7E61" w:rsidRDefault="009753DA" w:rsidP="00B10F0C">
      <w:pPr>
        <w:pStyle w:val="CBDNormalNumber"/>
        <w:numPr>
          <w:ilvl w:val="0"/>
          <w:numId w:val="18"/>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biosafety measures in line with Article 8(g) have been partially implemented (17.2)</w:t>
      </w:r>
    </w:p>
    <w:p w14:paraId="74E596C5" w14:textId="77777777" w:rsidR="009753DA" w:rsidRPr="00ED7E61" w:rsidRDefault="009753DA" w:rsidP="00B10F0C">
      <w:pPr>
        <w:pStyle w:val="CBDNormalNumber"/>
        <w:numPr>
          <w:ilvl w:val="0"/>
          <w:numId w:val="18"/>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legislative, administrative or policy measures for the effective participation in biotechnology research activities by Parties that provide genetic resources, as set out in Article 19, have been partially implemented (17.3)</w:t>
      </w:r>
    </w:p>
    <w:p w14:paraId="26D5E832" w14:textId="77777777" w:rsidR="009753DA" w:rsidRPr="00ED7E61" w:rsidRDefault="009753DA" w:rsidP="00B10F0C">
      <w:pPr>
        <w:pStyle w:val="CBDNormalNumber"/>
        <w:numPr>
          <w:ilvl w:val="0"/>
          <w:numId w:val="18"/>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measures to ensure the sharing of benefits from genetic resources of other Parties, as set out in article 19, have been partially implemented (17.4)</w:t>
      </w:r>
    </w:p>
    <w:p w14:paraId="77399DE7" w14:textId="77777777" w:rsidR="009753DA" w:rsidRPr="00ED7E61" w:rsidRDefault="009753DA" w:rsidP="00B10F0C">
      <w:pPr>
        <w:pStyle w:val="CBDNormalNumber"/>
        <w:numPr>
          <w:ilvl w:val="0"/>
          <w:numId w:val="18"/>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risk assessments on the use and release of living modified organisms have been carried out in some cases (17.5)</w:t>
      </w:r>
    </w:p>
    <w:p w14:paraId="786B9BA7" w14:textId="77777777" w:rsidR="009753DA" w:rsidRPr="00ED7E61" w:rsidRDefault="009753DA" w:rsidP="00B10F0C">
      <w:pPr>
        <w:pStyle w:val="CBDNormalNumber"/>
        <w:numPr>
          <w:ilvl w:val="0"/>
          <w:numId w:val="18"/>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information on the safe use of living modified organisms for other Parties is available to some extent (17.6)</w:t>
      </w:r>
    </w:p>
    <w:p w14:paraId="533F55DF"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In each case outlined above, the coverage of the measures in place is incomplete.</w:t>
      </w:r>
    </w:p>
    <w:p w14:paraId="3FCE1DC2" w14:textId="77777777" w:rsidR="009753DA" w:rsidRPr="00ED7E61" w:rsidRDefault="009753DA" w:rsidP="00B10F0C">
      <w:pPr>
        <w:pStyle w:val="CBDNormalNumber"/>
        <w:numPr>
          <w:ilvl w:val="0"/>
          <w:numId w:val="91"/>
        </w:numPr>
        <w:shd w:val="clear" w:color="auto" w:fill="FFFFFF"/>
        <w:ind w:left="567" w:firstLine="0"/>
        <w:rPr>
          <w:color w:val="000000"/>
        </w:rPr>
      </w:pPr>
      <w:r w:rsidRPr="00ED7E61">
        <w:rPr>
          <w:color w:val="000000"/>
        </w:rPr>
        <w:t>A “</w:t>
      </w:r>
      <w:r w:rsidRPr="00FB1598">
        <w:rPr>
          <w:i/>
          <w:iCs/>
          <w:color w:val="000000"/>
        </w:rPr>
        <w:t>Fully</w:t>
      </w:r>
      <w:r w:rsidRPr="00ED7E61">
        <w:rPr>
          <w:color w:val="000000"/>
        </w:rPr>
        <w:t>” answer implies that all the conditions outlined in “</w:t>
      </w:r>
      <w:r w:rsidRPr="00FB1598">
        <w:rPr>
          <w:i/>
          <w:iCs/>
          <w:color w:val="000000"/>
        </w:rPr>
        <w:t>Partially</w:t>
      </w:r>
      <w:r w:rsidRPr="00ED7E61">
        <w:rPr>
          <w:color w:val="000000"/>
        </w:rPr>
        <w:t>” have been met. Namely that:</w:t>
      </w:r>
    </w:p>
    <w:p w14:paraId="61587BD5" w14:textId="77777777" w:rsidR="009753DA" w:rsidRPr="00ED7E61" w:rsidRDefault="009753DA" w:rsidP="00B10F0C">
      <w:pPr>
        <w:pStyle w:val="CBDNormalNumber"/>
        <w:numPr>
          <w:ilvl w:val="0"/>
          <w:numId w:val="19"/>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biosafety-related legal, policy or administrative measures in line with Article 8(g) are in place (17.1)</w:t>
      </w:r>
    </w:p>
    <w:p w14:paraId="1A938AD9" w14:textId="77777777" w:rsidR="009753DA" w:rsidRPr="00ED7E61" w:rsidRDefault="009753DA" w:rsidP="00B10F0C">
      <w:pPr>
        <w:pStyle w:val="CBDNormalNumber"/>
        <w:numPr>
          <w:ilvl w:val="0"/>
          <w:numId w:val="19"/>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biosafety measures in line with Article 8(g) have been implemented (17.2)</w:t>
      </w:r>
    </w:p>
    <w:p w14:paraId="294272F6" w14:textId="77777777" w:rsidR="009753DA" w:rsidRPr="00ED7E61" w:rsidRDefault="009753DA" w:rsidP="00B10F0C">
      <w:pPr>
        <w:pStyle w:val="CBDNormalNumber"/>
        <w:numPr>
          <w:ilvl w:val="0"/>
          <w:numId w:val="19"/>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legislative, administrative and policy measures for the effective participation in biotechnology research activities by Parties that provide genetic resources, as set out in Article 19, have been implemented (17.3)</w:t>
      </w:r>
    </w:p>
    <w:p w14:paraId="75410FD2" w14:textId="77777777" w:rsidR="009753DA" w:rsidRPr="00ED7E61" w:rsidRDefault="009753DA" w:rsidP="00B10F0C">
      <w:pPr>
        <w:pStyle w:val="CBDNormalNumber"/>
        <w:numPr>
          <w:ilvl w:val="0"/>
          <w:numId w:val="19"/>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measures to ensure the sharing of benefits from genetic resources of other Parties, as set out in article 19, have been (17.4)</w:t>
      </w:r>
    </w:p>
    <w:p w14:paraId="5C08DDEE" w14:textId="77777777" w:rsidR="009753DA" w:rsidRPr="00ED7E61" w:rsidRDefault="009753DA" w:rsidP="00B10F0C">
      <w:pPr>
        <w:pStyle w:val="CBDNormalNumber"/>
        <w:numPr>
          <w:ilvl w:val="0"/>
          <w:numId w:val="19"/>
        </w:numPr>
        <w:tabs>
          <w:tab w:val="clear" w:pos="567"/>
          <w:tab w:val="clear" w:pos="1134"/>
          <w:tab w:val="clear" w:pos="2268"/>
        </w:tabs>
        <w:ind w:left="567" w:firstLine="567"/>
        <w:rPr>
          <w:rStyle w:val="normaltextrun"/>
          <w:rFonts w:eastAsiaTheme="majorEastAsia"/>
        </w:rPr>
      </w:pPr>
      <w:r w:rsidRPr="00ED7E61">
        <w:rPr>
          <w:rStyle w:val="normaltextrun"/>
          <w:rFonts w:eastAsiaTheme="majorEastAsia"/>
        </w:rPr>
        <w:t>risk assessments on the use and release of living modified organisms have been carried out in all cases (17.5)</w:t>
      </w:r>
    </w:p>
    <w:p w14:paraId="26ABBB97" w14:textId="1BA6C542" w:rsidR="00D311B8" w:rsidRPr="00757C3F" w:rsidRDefault="009753DA" w:rsidP="00B10F0C">
      <w:pPr>
        <w:pStyle w:val="CBDNormalNumber"/>
        <w:numPr>
          <w:ilvl w:val="0"/>
          <w:numId w:val="19"/>
        </w:numPr>
        <w:tabs>
          <w:tab w:val="clear" w:pos="567"/>
          <w:tab w:val="clear" w:pos="1134"/>
          <w:tab w:val="clear" w:pos="1701"/>
          <w:tab w:val="clear" w:pos="2268"/>
          <w:tab w:val="left" w:pos="1680"/>
        </w:tabs>
        <w:ind w:left="567" w:firstLine="567"/>
        <w:rPr>
          <w:rFonts w:eastAsiaTheme="majorEastAsia"/>
        </w:rPr>
      </w:pPr>
      <w:r w:rsidRPr="00ED7E61">
        <w:rPr>
          <w:rStyle w:val="normaltextrun"/>
          <w:rFonts w:eastAsiaTheme="majorEastAsia"/>
        </w:rPr>
        <w:t>information on the safe use of living modified organisms for other Parties is available for all living modified organisms (17.6)</w:t>
      </w:r>
    </w:p>
    <w:p w14:paraId="56F1FB08" w14:textId="18C2E355"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51AE79E1" w14:textId="250EDA4D" w:rsidR="00756F0F" w:rsidRPr="00ED7E61" w:rsidRDefault="00756F0F" w:rsidP="003B0E8A">
      <w:pPr>
        <w:pStyle w:val="Heading3"/>
      </w:pPr>
      <w:bookmarkStart w:id="71" w:name="_Toc178285878"/>
      <w:r w:rsidRPr="00ED7E61">
        <w:rPr>
          <w:rStyle w:val="normaltextrun"/>
        </w:rPr>
        <w:t>GBF indicator metadata</w:t>
      </w:r>
      <w:r w:rsidR="003B0E8A" w:rsidRPr="00ED7E61">
        <w:rPr>
          <w:rStyle w:val="normaltextrun"/>
        </w:rPr>
        <w:t>:</w:t>
      </w:r>
      <w:r w:rsidR="004F77DE" w:rsidRPr="00ED7E61">
        <w:rPr>
          <w:rStyle w:val="normaltextrun"/>
        </w:rPr>
        <w:t xml:space="preserve"> 18.1 Positive incentives in place to promote biodiversity conservation and sustainable use</w:t>
      </w:r>
      <w:bookmarkEnd w:id="71"/>
      <w:r w:rsidR="004F77DE" w:rsidRPr="00ED7E61">
        <w:rPr>
          <w:rStyle w:val="normaltextrun"/>
        </w:rPr>
        <w:t xml:space="preserve">  </w:t>
      </w:r>
      <w:r w:rsidRPr="00ED7E61">
        <w:rPr>
          <w:rStyle w:val="normaltextrun"/>
        </w:rPr>
        <w:t> </w:t>
      </w:r>
      <w:r w:rsidRPr="00ED7E61">
        <w:rPr>
          <w:rStyle w:val="eop"/>
        </w:rPr>
        <w:t> </w:t>
      </w:r>
    </w:p>
    <w:p w14:paraId="2D868993"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1D58A84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b/>
          <w:bCs/>
          <w:sz w:val="22"/>
          <w:szCs w:val="22"/>
        </w:rPr>
        <w:t> </w:t>
      </w:r>
    </w:p>
    <w:p w14:paraId="6D3C06B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18.1 Positive incentives in place to promote biodiversity conservation and sustainable use</w:t>
      </w:r>
      <w:r w:rsidRPr="00ED7E61">
        <w:rPr>
          <w:rStyle w:val="normaltextrun"/>
          <w:rFonts w:asciiTheme="majorBidi" w:eastAsiaTheme="majorEastAsia" w:hAnsiTheme="majorBidi" w:cstheme="majorBidi"/>
          <w:sz w:val="22"/>
          <w:szCs w:val="22"/>
          <w:lang w:val="en-GB"/>
        </w:rPr>
        <w:t> </w:t>
      </w:r>
      <w:r w:rsidRPr="00ED7E61">
        <w:rPr>
          <w:rStyle w:val="eop"/>
          <w:rFonts w:asciiTheme="majorBidi" w:eastAsiaTheme="majorEastAsia" w:hAnsiTheme="majorBidi" w:cstheme="majorBidi"/>
          <w:sz w:val="22"/>
          <w:szCs w:val="22"/>
        </w:rPr>
        <w:t> </w:t>
      </w:r>
    </w:p>
    <w:p w14:paraId="32DA049A" w14:textId="0DFE9122" w:rsidR="00756F0F" w:rsidRPr="00ED7E61" w:rsidRDefault="00756F0F" w:rsidP="00B10F0C">
      <w:pPr>
        <w:pStyle w:val="CBDNormalNumber"/>
        <w:numPr>
          <w:ilvl w:val="0"/>
          <w:numId w:val="92"/>
        </w:numPr>
        <w:shd w:val="clear" w:color="auto" w:fill="FFFFFF"/>
        <w:tabs>
          <w:tab w:val="clear" w:pos="1701"/>
        </w:tabs>
        <w:ind w:left="567" w:hanging="24"/>
        <w:rPr>
          <w:rFonts w:asciiTheme="majorBidi" w:hAnsiTheme="majorBidi" w:cstheme="majorBidi"/>
        </w:rPr>
      </w:pPr>
      <w:r w:rsidRPr="00FB1598">
        <w:rPr>
          <w:color w:val="000000"/>
        </w:rPr>
        <w:t>The</w:t>
      </w:r>
      <w:r w:rsidRPr="00ED7E61">
        <w:rPr>
          <w:rStyle w:val="normaltextrun"/>
          <w:rFonts w:asciiTheme="majorBidi" w:eastAsiaTheme="majorEastAsia" w:hAnsiTheme="majorBidi" w:cstheme="majorBidi"/>
          <w:color w:val="000000"/>
        </w:rPr>
        <w:t xml:space="preserve"> total number of positive incentives in place is the sum of the number of instruments listed below (that are active, i.e. in force):</w:t>
      </w:r>
      <w:r w:rsidRPr="00ED7E61">
        <w:rPr>
          <w:rStyle w:val="eop"/>
          <w:rFonts w:asciiTheme="majorBidi" w:eastAsiaTheme="majorEastAsia" w:hAnsiTheme="majorBidi" w:cstheme="majorBidi"/>
          <w:color w:val="000000"/>
        </w:rPr>
        <w:t> </w:t>
      </w:r>
    </w:p>
    <w:p w14:paraId="70EF6048" w14:textId="77777777" w:rsidR="00756F0F" w:rsidRPr="00ED7E61" w:rsidRDefault="00756F0F" w:rsidP="00B10F0C">
      <w:pPr>
        <w:pStyle w:val="CBDNormalNumber"/>
        <w:numPr>
          <w:ilvl w:val="0"/>
          <w:numId w:val="20"/>
        </w:numPr>
        <w:tabs>
          <w:tab w:val="clear" w:pos="567"/>
          <w:tab w:val="clear" w:pos="1134"/>
          <w:tab w:val="clear" w:pos="1701"/>
          <w:tab w:val="clear" w:pos="2268"/>
          <w:tab w:val="left" w:pos="1985"/>
        </w:tabs>
        <w:ind w:left="1843" w:hanging="567"/>
        <w:rPr>
          <w:rStyle w:val="normaltextrun"/>
          <w:rFonts w:eastAsiaTheme="majorEastAsia"/>
        </w:rPr>
      </w:pPr>
      <w:r w:rsidRPr="00ED7E61">
        <w:rPr>
          <w:rStyle w:val="normaltextrun"/>
          <w:rFonts w:eastAsiaTheme="majorEastAsia"/>
        </w:rPr>
        <w:t>Biodiversity-relevant taxes, fees and charges (number active)</w:t>
      </w:r>
      <w:r w:rsidRPr="00ED7E61">
        <w:rPr>
          <w:rStyle w:val="normaltextrun"/>
        </w:rPr>
        <w:t> </w:t>
      </w:r>
    </w:p>
    <w:p w14:paraId="2A4DB048" w14:textId="7A128137" w:rsidR="00756F0F" w:rsidRPr="00ED7E61" w:rsidRDefault="00454683" w:rsidP="00B10F0C">
      <w:pPr>
        <w:pStyle w:val="CBDNormalNumber"/>
        <w:numPr>
          <w:ilvl w:val="0"/>
          <w:numId w:val="20"/>
        </w:numPr>
        <w:tabs>
          <w:tab w:val="clear" w:pos="567"/>
          <w:tab w:val="clear" w:pos="1134"/>
          <w:tab w:val="clear" w:pos="1701"/>
          <w:tab w:val="clear" w:pos="2268"/>
          <w:tab w:val="left" w:pos="1985"/>
        </w:tabs>
        <w:ind w:left="1843" w:hanging="567"/>
        <w:rPr>
          <w:rStyle w:val="normaltextrun"/>
          <w:rFonts w:eastAsiaTheme="majorEastAsia"/>
        </w:rPr>
      </w:pPr>
      <w:r w:rsidRPr="00ED7E61">
        <w:rPr>
          <w:rStyle w:val="normaltextrun"/>
          <w:rFonts w:eastAsiaTheme="majorEastAsia"/>
        </w:rPr>
        <w:t>Biodiversity-relevant environmentally beneficial subsidies</w:t>
      </w:r>
      <w:r w:rsidR="00E202FA" w:rsidRPr="00ED7E61">
        <w:rPr>
          <w:rStyle w:val="FootnoteReference"/>
          <w:rFonts w:eastAsiaTheme="majorEastAsia"/>
        </w:rPr>
        <w:footnoteReference w:id="64"/>
      </w:r>
      <w:r w:rsidR="004A6C25">
        <w:rPr>
          <w:rStyle w:val="normaltextrun"/>
          <w:rFonts w:eastAsiaTheme="majorEastAsia"/>
        </w:rPr>
        <w:t xml:space="preserve"> </w:t>
      </w:r>
      <w:r w:rsidR="00756F0F" w:rsidRPr="00ED7E61">
        <w:rPr>
          <w:rStyle w:val="normaltextrun"/>
          <w:rFonts w:eastAsiaTheme="majorEastAsia"/>
        </w:rPr>
        <w:t>(number active)</w:t>
      </w:r>
      <w:r w:rsidR="00756F0F" w:rsidRPr="00ED7E61">
        <w:rPr>
          <w:rStyle w:val="normaltextrun"/>
        </w:rPr>
        <w:t> </w:t>
      </w:r>
    </w:p>
    <w:p w14:paraId="01707308" w14:textId="77777777" w:rsidR="00756F0F" w:rsidRPr="00ED7E61" w:rsidRDefault="00756F0F" w:rsidP="00B10F0C">
      <w:pPr>
        <w:pStyle w:val="CBDNormalNumber"/>
        <w:numPr>
          <w:ilvl w:val="0"/>
          <w:numId w:val="20"/>
        </w:numPr>
        <w:tabs>
          <w:tab w:val="clear" w:pos="567"/>
          <w:tab w:val="clear" w:pos="1134"/>
          <w:tab w:val="clear" w:pos="1701"/>
          <w:tab w:val="clear" w:pos="2268"/>
          <w:tab w:val="left" w:pos="1985"/>
        </w:tabs>
        <w:ind w:left="1843" w:hanging="567"/>
        <w:rPr>
          <w:rStyle w:val="normaltextrun"/>
          <w:rFonts w:eastAsiaTheme="majorEastAsia"/>
          <w:sz w:val="24"/>
          <w:szCs w:val="24"/>
          <w:lang w:val="en-CA"/>
        </w:rPr>
      </w:pPr>
      <w:r w:rsidRPr="00ED7E61">
        <w:rPr>
          <w:rStyle w:val="normaltextrun"/>
          <w:rFonts w:eastAsiaTheme="majorEastAsia"/>
        </w:rPr>
        <w:t>Biodiversity-relevant tradable permits (number active)</w:t>
      </w:r>
      <w:r w:rsidRPr="00ED7E61">
        <w:rPr>
          <w:rStyle w:val="normaltextrun"/>
        </w:rPr>
        <w:t> </w:t>
      </w:r>
    </w:p>
    <w:p w14:paraId="51F9A836" w14:textId="77777777" w:rsidR="00756F0F" w:rsidRPr="00ED7E61" w:rsidRDefault="00756F0F" w:rsidP="00B10F0C">
      <w:pPr>
        <w:pStyle w:val="CBDNormalNumber"/>
        <w:numPr>
          <w:ilvl w:val="0"/>
          <w:numId w:val="20"/>
        </w:numPr>
        <w:tabs>
          <w:tab w:val="clear" w:pos="567"/>
          <w:tab w:val="clear" w:pos="1134"/>
          <w:tab w:val="clear" w:pos="1701"/>
          <w:tab w:val="clear" w:pos="2268"/>
          <w:tab w:val="left" w:pos="1985"/>
        </w:tabs>
        <w:ind w:left="1843" w:hanging="567"/>
        <w:rPr>
          <w:rStyle w:val="normaltextrun"/>
          <w:rFonts w:eastAsiaTheme="majorEastAsia"/>
        </w:rPr>
      </w:pPr>
      <w:r w:rsidRPr="00ED7E61">
        <w:rPr>
          <w:rStyle w:val="normaltextrun"/>
          <w:rFonts w:eastAsiaTheme="majorEastAsia"/>
        </w:rPr>
        <w:t>Payments for ecosystem services (number active)</w:t>
      </w:r>
      <w:r w:rsidRPr="00ED7E61">
        <w:rPr>
          <w:rStyle w:val="normaltextrun"/>
        </w:rPr>
        <w:t> </w:t>
      </w:r>
    </w:p>
    <w:p w14:paraId="71B70332" w14:textId="77777777" w:rsidR="00756F0F" w:rsidRPr="00ED7E61" w:rsidRDefault="00756F0F" w:rsidP="00B10F0C">
      <w:pPr>
        <w:pStyle w:val="CBDNormalNumber"/>
        <w:numPr>
          <w:ilvl w:val="0"/>
          <w:numId w:val="20"/>
        </w:numPr>
        <w:tabs>
          <w:tab w:val="clear" w:pos="567"/>
          <w:tab w:val="clear" w:pos="1134"/>
          <w:tab w:val="clear" w:pos="1701"/>
          <w:tab w:val="clear" w:pos="2268"/>
          <w:tab w:val="left" w:pos="1985"/>
        </w:tabs>
        <w:ind w:left="1843" w:hanging="567"/>
        <w:rPr>
          <w:rStyle w:val="normaltextrun"/>
          <w:rFonts w:eastAsiaTheme="majorEastAsia"/>
        </w:rPr>
      </w:pPr>
      <w:r w:rsidRPr="00ED7E61">
        <w:rPr>
          <w:rStyle w:val="normaltextrun"/>
          <w:rFonts w:eastAsiaTheme="majorEastAsia"/>
        </w:rPr>
        <w:t>Biodiversity offsets (number active)</w:t>
      </w:r>
      <w:r w:rsidRPr="00ED7E61">
        <w:rPr>
          <w:rStyle w:val="normaltextrun"/>
        </w:rPr>
        <w:t> </w:t>
      </w:r>
    </w:p>
    <w:p w14:paraId="150289D5" w14:textId="1122A94F" w:rsidR="00756F0F" w:rsidRPr="00ED7E61" w:rsidRDefault="00756F0F" w:rsidP="00B10F0C">
      <w:pPr>
        <w:pStyle w:val="CBDNormalNumber"/>
        <w:numPr>
          <w:ilvl w:val="0"/>
          <w:numId w:val="92"/>
        </w:numPr>
        <w:shd w:val="clear" w:color="auto" w:fill="FFFFFF"/>
        <w:ind w:left="567" w:firstLine="0"/>
      </w:pPr>
      <w:r w:rsidRPr="00FB1598">
        <w:rPr>
          <w:color w:val="000000"/>
        </w:rPr>
        <w:t>Countries</w:t>
      </w:r>
      <w:r w:rsidRPr="00ED7E61">
        <w:t xml:space="preserve"> reporting to PINE could extract data directly from the PINE and those not providing data to PINE could complete this based on simple guidance (see next section).</w:t>
      </w:r>
      <w:r w:rsidR="003F212A" w:rsidRPr="00ED7E61">
        <w:t xml:space="preserve"> </w:t>
      </w:r>
      <w:r w:rsidRPr="00ED7E61">
        <w:t>Countries would report on number of active instruments per year from 2020-30. </w:t>
      </w:r>
    </w:p>
    <w:p w14:paraId="1D6E5CD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b/>
          <w:bCs/>
          <w:sz w:val="22"/>
          <w:szCs w:val="22"/>
        </w:rPr>
        <w:t> </w:t>
      </w:r>
    </w:p>
    <w:p w14:paraId="2DEB6663" w14:textId="32F42034" w:rsidR="00756F0F" w:rsidRPr="00ED7E61" w:rsidRDefault="006B30FE" w:rsidP="006B65E4">
      <w:pPr>
        <w:pStyle w:val="paragraph"/>
        <w:spacing w:before="0" w:beforeAutospacing="0" w:after="0" w:afterAutospacing="0"/>
        <w:ind w:left="567"/>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lang w:val="en-GB"/>
        </w:rPr>
        <w:t>September</w:t>
      </w:r>
      <w:r w:rsidRPr="00ED7E61">
        <w:rPr>
          <w:rStyle w:val="normaltextrun"/>
          <w:rFonts w:asciiTheme="majorBidi" w:eastAsiaTheme="majorEastAsia" w:hAnsiTheme="majorBidi" w:cstheme="majorBidi"/>
          <w:sz w:val="22"/>
          <w:szCs w:val="22"/>
          <w:lang w:val="en-GB"/>
        </w:rPr>
        <w:t xml:space="preserve"> </w:t>
      </w:r>
      <w:r w:rsidR="00756F0F" w:rsidRPr="00ED7E61">
        <w:rPr>
          <w:rStyle w:val="normaltextrun"/>
          <w:rFonts w:asciiTheme="majorBidi" w:eastAsiaTheme="majorEastAsia" w:hAnsiTheme="majorBidi" w:cstheme="majorBidi"/>
          <w:sz w:val="22"/>
          <w:szCs w:val="22"/>
          <w:lang w:val="en-GB"/>
        </w:rPr>
        <w:t>2024</w:t>
      </w:r>
      <w:r w:rsidR="00756F0F" w:rsidRPr="00ED7E61">
        <w:rPr>
          <w:rStyle w:val="eop"/>
          <w:rFonts w:asciiTheme="majorBidi" w:eastAsiaTheme="majorEastAsia" w:hAnsiTheme="majorBidi" w:cstheme="majorBidi"/>
          <w:sz w:val="22"/>
          <w:szCs w:val="22"/>
        </w:rPr>
        <w:t> </w:t>
      </w:r>
    </w:p>
    <w:p w14:paraId="3AC3C11A" w14:textId="77777777" w:rsidR="00756F0F" w:rsidRPr="00ED7E61" w:rsidRDefault="00756F0F" w:rsidP="00757C3F">
      <w:pPr>
        <w:pStyle w:val="paragraph"/>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b/>
          <w:bCs/>
          <w:sz w:val="22"/>
          <w:szCs w:val="22"/>
        </w:rPr>
        <w:t> </w:t>
      </w:r>
    </w:p>
    <w:p w14:paraId="02D3D3D2" w14:textId="77777777" w:rsidR="00756F0F" w:rsidRPr="00ED7E61" w:rsidRDefault="00756F0F" w:rsidP="00757C3F">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3a. Goal </w:t>
      </w:r>
      <w:r w:rsidRPr="00ED7E61">
        <w:rPr>
          <w:rStyle w:val="eop"/>
          <w:rFonts w:asciiTheme="majorBidi" w:eastAsiaTheme="majorEastAsia" w:hAnsiTheme="majorBidi" w:cstheme="majorBidi"/>
          <w:b/>
          <w:bCs/>
          <w:sz w:val="22"/>
          <w:szCs w:val="22"/>
        </w:rPr>
        <w:t> </w:t>
      </w:r>
    </w:p>
    <w:p w14:paraId="1371DCCF" w14:textId="77777777" w:rsidR="00756F0F" w:rsidRPr="00ED7E61" w:rsidRDefault="00756F0F" w:rsidP="00395866">
      <w:pPr>
        <w:pStyle w:val="paragraph"/>
        <w:spacing w:before="0" w:beforeAutospacing="0" w:after="0" w:afterAutospacing="0"/>
        <w:ind w:right="-3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1230A98D" w14:textId="77777777" w:rsidR="00756F0F" w:rsidRPr="00ED7E61" w:rsidRDefault="00756F0F" w:rsidP="00757C3F">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3b. Target</w:t>
      </w:r>
      <w:r w:rsidRPr="00ED7E61">
        <w:rPr>
          <w:rStyle w:val="eop"/>
          <w:rFonts w:asciiTheme="majorBidi" w:eastAsiaTheme="majorEastAsia" w:hAnsiTheme="majorBidi" w:cstheme="majorBidi"/>
          <w:b/>
          <w:bCs/>
          <w:sz w:val="22"/>
          <w:szCs w:val="22"/>
        </w:rPr>
        <w:t> </w:t>
      </w:r>
    </w:p>
    <w:p w14:paraId="6FE5411D" w14:textId="77777777" w:rsidR="00756F0F" w:rsidRPr="00ED7E61" w:rsidRDefault="00756F0F" w:rsidP="00395866">
      <w:pPr>
        <w:pStyle w:val="paragraph"/>
        <w:spacing w:before="0" w:beforeAutospacing="0" w:after="0" w:afterAutospacing="0"/>
        <w:ind w:right="-3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Headline indicator for </w:t>
      </w:r>
      <w:r w:rsidRPr="00ED7E61">
        <w:rPr>
          <w:rStyle w:val="normaltextrun"/>
          <w:rFonts w:asciiTheme="majorBidi" w:eastAsiaTheme="majorEastAsia" w:hAnsiTheme="majorBidi" w:cstheme="majorBidi"/>
          <w:b/>
          <w:bCs/>
          <w:color w:val="000000"/>
          <w:sz w:val="22"/>
          <w:szCs w:val="22"/>
          <w:lang w:val="en-GB"/>
        </w:rPr>
        <w:t>Target 18</w:t>
      </w:r>
      <w:r w:rsidRPr="00ED7E61">
        <w:rPr>
          <w:rStyle w:val="normaltextrun"/>
          <w:rFonts w:asciiTheme="majorBidi" w:eastAsiaTheme="majorEastAsia" w:hAnsiTheme="majorBidi" w:cstheme="majorBidi"/>
          <w:color w:val="000000"/>
          <w:sz w:val="22"/>
          <w:szCs w:val="22"/>
          <w:lang w:val="en-GB"/>
        </w:rPr>
        <w:t>: Identify by 2025, and eliminate, phase out or reform incentives, including subsidies, harmful for biodiversity, in a proportionate, just, fair, effective and equitable way, while substantially and progressively reducing them by at least $500 billion per year by 2030, starting with the most harmful incentives, and scale up positive incentives for the conservation and sustainable use of biodiversity.</w:t>
      </w:r>
      <w:r w:rsidRPr="00ED7E61">
        <w:rPr>
          <w:rStyle w:val="eop"/>
          <w:rFonts w:asciiTheme="majorBidi" w:eastAsiaTheme="majorEastAsia" w:hAnsiTheme="majorBidi" w:cstheme="majorBidi"/>
          <w:color w:val="000000"/>
          <w:sz w:val="22"/>
          <w:szCs w:val="22"/>
        </w:rPr>
        <w:t> </w:t>
      </w:r>
    </w:p>
    <w:p w14:paraId="48FFECE5" w14:textId="77777777" w:rsidR="00756F0F" w:rsidRPr="00ED7E61" w:rsidRDefault="00756F0F" w:rsidP="00757C3F">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4. Rationale</w:t>
      </w:r>
      <w:r w:rsidRPr="00ED7E61">
        <w:rPr>
          <w:rStyle w:val="eop"/>
          <w:rFonts w:asciiTheme="majorBidi" w:eastAsiaTheme="majorEastAsia" w:hAnsiTheme="majorBidi" w:cstheme="majorBidi"/>
          <w:b/>
          <w:bCs/>
          <w:sz w:val="22"/>
          <w:szCs w:val="22"/>
        </w:rPr>
        <w:t> </w:t>
      </w:r>
    </w:p>
    <w:p w14:paraId="2B221209" w14:textId="5F714CE2" w:rsidR="009724AD" w:rsidRPr="009724AD" w:rsidRDefault="00756F0F" w:rsidP="00B10F0C">
      <w:pPr>
        <w:pStyle w:val="CBDNormalNumber"/>
        <w:numPr>
          <w:ilvl w:val="0"/>
          <w:numId w:val="93"/>
        </w:numPr>
        <w:shd w:val="clear" w:color="auto" w:fill="FFFFFF"/>
        <w:tabs>
          <w:tab w:val="clear" w:pos="1701"/>
        </w:tabs>
        <w:ind w:left="567" w:hanging="24"/>
        <w:rPr>
          <w:rFonts w:asciiTheme="majorBidi" w:eastAsiaTheme="majorEastAsia" w:hAnsiTheme="majorBidi" w:cstheme="majorBidi"/>
          <w:color w:val="000000"/>
        </w:rPr>
      </w:pPr>
      <w:r w:rsidRPr="00FB1598">
        <w:rPr>
          <w:color w:val="000000"/>
        </w:rPr>
        <w:t>Positive</w:t>
      </w:r>
      <w:r w:rsidRPr="00ED7E61">
        <w:rPr>
          <w:rStyle w:val="normaltextrun"/>
          <w:rFonts w:asciiTheme="majorBidi" w:eastAsiaTheme="majorEastAsia" w:hAnsiTheme="majorBidi" w:cstheme="majorBidi"/>
          <w:color w:val="000000"/>
        </w:rPr>
        <w:t xml:space="preserve"> incentives for biodiversity conservation and sustainable use (also referred to as economic </w:t>
      </w:r>
      <w:r w:rsidRPr="00ED7E61">
        <w:rPr>
          <w:rStyle w:val="normaltextrun"/>
          <w:rFonts w:asciiTheme="majorBidi" w:eastAsiaTheme="majorEastAsia" w:hAnsiTheme="majorBidi" w:cstheme="majorBidi"/>
        </w:rPr>
        <w:t>instruments</w:t>
      </w:r>
      <w:r w:rsidRPr="00ED7E61">
        <w:rPr>
          <w:rStyle w:val="normaltextrun"/>
          <w:rFonts w:asciiTheme="majorBidi" w:eastAsiaTheme="majorEastAsia" w:hAnsiTheme="majorBidi" w:cstheme="majorBidi"/>
          <w:color w:val="000000"/>
        </w:rPr>
        <w:t xml:space="preserve"> or incentive-based mechanisms) are policy instruments that provide signals to consumers and producers to behave in a more sustainable manner. In economic terms, they serve to internalise externalities associated with the use of biodiversity. Positive incentives include biodiversity-relevant taxes, fees and charges (e.g. pesticide tax, protected area fees, water abstraction charges), </w:t>
      </w:r>
      <w:r w:rsidR="00454683" w:rsidRPr="00ED7E61">
        <w:rPr>
          <w:rStyle w:val="normaltextrun"/>
          <w:rFonts w:asciiTheme="majorBidi" w:eastAsiaTheme="majorEastAsia" w:hAnsiTheme="majorBidi" w:cstheme="majorBidi"/>
          <w:color w:val="000000"/>
        </w:rPr>
        <w:t>biodiversity-relevant environmentally beneficial subsidies</w:t>
      </w:r>
      <w:r w:rsidRPr="00ED7E61">
        <w:rPr>
          <w:rStyle w:val="normaltextrun"/>
          <w:rFonts w:asciiTheme="majorBidi" w:eastAsiaTheme="majorEastAsia" w:hAnsiTheme="majorBidi" w:cstheme="majorBidi"/>
          <w:color w:val="000000"/>
        </w:rPr>
        <w:t>, tradable permit schemes (e.g. fisheries individual transferable quotas), biodiversity offsets and payments for ecosystem services.  These positive incentives are key to mainstreaming biodiversity across sectors (e.g. agriculture, forestry, fisheries) and serve to reflect the true value of biodiversity in economic decision-making. They provide continuous incentives to both consumers and producers to behave in a more environmentally sustainable way. Additionally, positive incentives also help to mobilise private sector finance for biodiversity. Several of these positive incentives also generate revenue for governments (e.g. biodiversity-relevant taxes, fees and charges, and tradable permits if auctioned). If this revenue is then earmarked for biodiversity, they also serve to mobilise public sector finance for biodiversity.</w:t>
      </w:r>
      <w:r w:rsidRPr="00ED7E61">
        <w:rPr>
          <w:rStyle w:val="eop"/>
          <w:rFonts w:asciiTheme="majorBidi" w:eastAsiaTheme="majorEastAsia" w:hAnsiTheme="majorBidi" w:cstheme="majorBidi"/>
          <w:color w:val="000000"/>
        </w:rPr>
        <w:t> </w:t>
      </w:r>
      <w:r w:rsidR="009724AD" w:rsidRPr="009724AD">
        <w:rPr>
          <w:rFonts w:asciiTheme="majorBidi" w:eastAsiaTheme="majorEastAsia" w:hAnsiTheme="majorBidi" w:cstheme="majorBidi"/>
          <w:color w:val="000000"/>
        </w:rPr>
        <w:t>The application of this indicator needs to take into account that the Kunming-Montreal Global Biodiversity Framework is</w:t>
      </w:r>
      <w:r w:rsidR="009724AD" w:rsidRPr="009724AD">
        <w:rPr>
          <w:rFonts w:asciiTheme="majorBidi" w:eastAsiaTheme="majorEastAsia" w:hAnsiTheme="majorBidi" w:cstheme="majorBidi"/>
          <w:color w:val="000000"/>
          <w:lang w:val="en-CA"/>
        </w:rPr>
        <w:t xml:space="preserve"> to be understood, acted upon, implemented, reported and evaluated, consistent with the considerations set out in Section C of the Framework which includes, among other things, that the Framework needs to be implemented in accordance with relevant international obligations and that  nothing in the Framework should be interpreted as agreement to modify the rights and obligations of a Party under the Convention or any other international agreement.</w:t>
      </w:r>
    </w:p>
    <w:p w14:paraId="53CA180A"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 Definitions, concepts and classifications</w:t>
      </w:r>
      <w:r w:rsidRPr="00ED7E61">
        <w:rPr>
          <w:rStyle w:val="eop"/>
          <w:rFonts w:asciiTheme="majorBidi" w:eastAsiaTheme="majorEastAsia" w:hAnsiTheme="majorBidi" w:cstheme="majorBidi"/>
          <w:b/>
          <w:bCs/>
          <w:sz w:val="22"/>
          <w:szCs w:val="22"/>
        </w:rPr>
        <w:t> </w:t>
      </w:r>
    </w:p>
    <w:p w14:paraId="0B092242" w14:textId="77777777" w:rsidR="00756F0F" w:rsidRPr="00ED7E61" w:rsidRDefault="00756F0F" w:rsidP="006B65E4">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5a. Definition: </w:t>
      </w:r>
      <w:r w:rsidRPr="00ED7E61">
        <w:rPr>
          <w:rStyle w:val="eop"/>
          <w:rFonts w:asciiTheme="majorBidi" w:eastAsiaTheme="majorEastAsia" w:hAnsiTheme="majorBidi" w:cstheme="majorBidi"/>
          <w:b/>
          <w:bCs/>
          <w:sz w:val="22"/>
          <w:szCs w:val="22"/>
        </w:rPr>
        <w:t> </w:t>
      </w:r>
    </w:p>
    <w:p w14:paraId="787403A8" w14:textId="5665AFFF"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w:t>
      </w:r>
      <w:r w:rsidRPr="00FB1598">
        <w:rPr>
          <w:color w:val="000000"/>
        </w:rPr>
        <w:t>Positive</w:t>
      </w:r>
      <w:r w:rsidRPr="00ED7E61">
        <w:rPr>
          <w:rStyle w:val="normaltextrun"/>
          <w:rFonts w:asciiTheme="majorBidi" w:eastAsiaTheme="majorEastAsia" w:hAnsiTheme="majorBidi" w:cstheme="majorBidi"/>
        </w:rPr>
        <w:t xml:space="preserve"> incentives (also referred to as incentive-based or economic instruments) are the set of fiscal and other economic incentives to incorporate biodiversity-related costs and benefits into production and consumption. They are the policy instruments that use price signals to discourage activities harmful to biodiversity (e.g. a tax on pollution) or encourage activities that benefit biodiversity (e.g. payments for ecosystem services). In contrast to more traditional command-and-control approaches (e.g. restrictions on access or use, standards, etc</w:t>
      </w:r>
      <w:r w:rsidR="00194105">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economic instruments can, in theory, meet a given environmental objective at a lower total economic cost. </w:t>
      </w:r>
      <w:r w:rsidRPr="00ED7E61">
        <w:rPr>
          <w:rStyle w:val="eop"/>
          <w:rFonts w:asciiTheme="majorBidi" w:eastAsiaTheme="majorEastAsia" w:hAnsiTheme="majorBidi" w:cstheme="majorBidi"/>
        </w:rPr>
        <w:t> </w:t>
      </w:r>
    </w:p>
    <w:p w14:paraId="2B303358" w14:textId="700E9C13" w:rsidR="00D5129D" w:rsidRPr="00ED7E61" w:rsidRDefault="00756F0F" w:rsidP="00B10F0C">
      <w:pPr>
        <w:pStyle w:val="CBDNormalNumber"/>
        <w:numPr>
          <w:ilvl w:val="0"/>
          <w:numId w:val="93"/>
        </w:numPr>
        <w:shd w:val="clear" w:color="auto" w:fill="FFFFFF"/>
        <w:ind w:left="567" w:firstLine="0"/>
        <w:rPr>
          <w:rStyle w:val="normaltextrun"/>
          <w:rFonts w:asciiTheme="majorBidi" w:hAnsiTheme="majorBidi" w:cstheme="majorBidi"/>
        </w:rPr>
      </w:pPr>
      <w:r w:rsidRPr="00FB1598">
        <w:rPr>
          <w:color w:val="000000"/>
        </w:rPr>
        <w:t>Biodiversity</w:t>
      </w:r>
      <w:r w:rsidRPr="00ED7E61">
        <w:rPr>
          <w:rStyle w:val="normaltextrun"/>
          <w:rFonts w:asciiTheme="majorBidi" w:eastAsiaTheme="majorEastAsia" w:hAnsiTheme="majorBidi" w:cstheme="majorBidi"/>
        </w:rPr>
        <w:t xml:space="preserve">-relevant taxes, fees and charges: payment to the government levied on tax bases with a proven, specific negative impact on the biodiversity. They include taxes on pollution and natural resource/land use. Non-exhaustive list of examples:  </w:t>
      </w:r>
    </w:p>
    <w:p w14:paraId="2D6A215D" w14:textId="7B866C61" w:rsidR="00D5129D" w:rsidRPr="00FB1598" w:rsidRDefault="00756F0F" w:rsidP="00B10F0C">
      <w:pPr>
        <w:pStyle w:val="CBDNormalNumber"/>
        <w:numPr>
          <w:ilvl w:val="0"/>
          <w:numId w:val="21"/>
        </w:numPr>
        <w:tabs>
          <w:tab w:val="clear" w:pos="567"/>
          <w:tab w:val="clear" w:pos="1134"/>
          <w:tab w:val="clear" w:pos="1701"/>
          <w:tab w:val="clear" w:pos="2268"/>
          <w:tab w:val="left" w:pos="1985"/>
        </w:tabs>
        <w:ind w:left="1276" w:firstLine="0"/>
        <w:rPr>
          <w:rStyle w:val="normaltextrun"/>
          <w:rFonts w:asciiTheme="majorBidi" w:eastAsiaTheme="majorEastAsia" w:hAnsiTheme="majorBidi" w:cstheme="majorBidi"/>
        </w:rPr>
      </w:pPr>
      <w:r w:rsidRPr="00ED7E61">
        <w:rPr>
          <w:rStyle w:val="normaltextrun"/>
          <w:rFonts w:eastAsiaTheme="majorEastAsia"/>
        </w:rPr>
        <w:t>F</w:t>
      </w:r>
      <w:r w:rsidRPr="00FB1598">
        <w:rPr>
          <w:rStyle w:val="normaltextrun"/>
          <w:rFonts w:asciiTheme="majorBidi" w:eastAsiaTheme="majorEastAsia" w:hAnsiTheme="majorBidi" w:cstheme="majorBidi"/>
        </w:rPr>
        <w:t>ertilisers</w:t>
      </w:r>
      <w:r w:rsidRPr="00ED7E61">
        <w:rPr>
          <w:rStyle w:val="normaltextrun"/>
          <w:rFonts w:asciiTheme="majorBidi" w:eastAsiaTheme="majorEastAsia" w:hAnsiTheme="majorBidi" w:cstheme="majorBidi"/>
        </w:rPr>
        <w:t xml:space="preserve"> and pesticides taxes </w:t>
      </w:r>
    </w:p>
    <w:p w14:paraId="3293A552" w14:textId="6EF8B029" w:rsidR="00D5129D" w:rsidRPr="00FB1598" w:rsidRDefault="00756F0F" w:rsidP="00B10F0C">
      <w:pPr>
        <w:pStyle w:val="CBDNormalNumber"/>
        <w:numPr>
          <w:ilvl w:val="0"/>
          <w:numId w:val="21"/>
        </w:numPr>
        <w:tabs>
          <w:tab w:val="clear" w:pos="567"/>
          <w:tab w:val="clear" w:pos="1134"/>
          <w:tab w:val="clear" w:pos="1701"/>
          <w:tab w:val="clear" w:pos="2268"/>
          <w:tab w:val="left" w:pos="1985"/>
        </w:tabs>
        <w:ind w:left="1276" w:firstLine="0"/>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 xml:space="preserve">Water pollution taxes and water abstraction charges </w:t>
      </w:r>
    </w:p>
    <w:p w14:paraId="29CB435A" w14:textId="161DAB6C" w:rsidR="00DC0258" w:rsidRPr="00ED7E61" w:rsidRDefault="00756F0F" w:rsidP="00B10F0C">
      <w:pPr>
        <w:pStyle w:val="CBDNormalNumber"/>
        <w:numPr>
          <w:ilvl w:val="0"/>
          <w:numId w:val="21"/>
        </w:numPr>
        <w:tabs>
          <w:tab w:val="clear" w:pos="567"/>
          <w:tab w:val="clear" w:pos="1134"/>
          <w:tab w:val="clear" w:pos="1701"/>
          <w:tab w:val="clear" w:pos="2268"/>
          <w:tab w:val="left" w:pos="1985"/>
        </w:tabs>
        <w:ind w:left="1276" w:firstLine="0"/>
        <w:rPr>
          <w:rStyle w:val="normaltextrun"/>
          <w:rFonts w:asciiTheme="majorBidi" w:hAnsiTheme="majorBidi" w:cstheme="majorBidi"/>
        </w:rPr>
      </w:pPr>
      <w:r w:rsidRPr="00ED7E61">
        <w:rPr>
          <w:rStyle w:val="normaltextrun"/>
          <w:rFonts w:asciiTheme="majorBidi" w:eastAsiaTheme="majorEastAsia" w:hAnsiTheme="majorBidi" w:cstheme="majorBidi"/>
        </w:rPr>
        <w:t xml:space="preserve">Fishing and hunting licence fees </w:t>
      </w:r>
    </w:p>
    <w:p w14:paraId="5216BE05" w14:textId="0B46034A" w:rsidR="00DC0258" w:rsidRPr="00ED7E61" w:rsidRDefault="00756F0F" w:rsidP="00B10F0C">
      <w:pPr>
        <w:pStyle w:val="CBDNormalNumber"/>
        <w:numPr>
          <w:ilvl w:val="0"/>
          <w:numId w:val="21"/>
        </w:numPr>
        <w:tabs>
          <w:tab w:val="clear" w:pos="567"/>
          <w:tab w:val="clear" w:pos="1134"/>
          <w:tab w:val="clear" w:pos="1701"/>
          <w:tab w:val="clear" w:pos="2268"/>
          <w:tab w:val="left" w:pos="1985"/>
        </w:tabs>
        <w:ind w:left="1276" w:firstLine="0"/>
        <w:rPr>
          <w:rStyle w:val="normaltextrun"/>
          <w:rFonts w:asciiTheme="majorBidi" w:hAnsiTheme="majorBidi" w:cstheme="majorBidi"/>
        </w:rPr>
      </w:pPr>
      <w:r w:rsidRPr="00ED7E61">
        <w:rPr>
          <w:rStyle w:val="normaltextrun"/>
          <w:rFonts w:asciiTheme="majorBidi" w:eastAsiaTheme="majorEastAsia" w:hAnsiTheme="majorBidi" w:cstheme="majorBidi"/>
        </w:rPr>
        <w:t xml:space="preserve">Protected area entrance fees </w:t>
      </w:r>
    </w:p>
    <w:p w14:paraId="15BD4164" w14:textId="290CAEFC" w:rsidR="00756F0F" w:rsidRPr="00ED7E61" w:rsidRDefault="00756F0F" w:rsidP="00B10F0C">
      <w:pPr>
        <w:pStyle w:val="CBDNormalNumber"/>
        <w:numPr>
          <w:ilvl w:val="0"/>
          <w:numId w:val="21"/>
        </w:numPr>
        <w:tabs>
          <w:tab w:val="clear" w:pos="567"/>
          <w:tab w:val="clear" w:pos="1134"/>
          <w:tab w:val="clear" w:pos="1701"/>
          <w:tab w:val="clear" w:pos="2268"/>
          <w:tab w:val="left" w:pos="1985"/>
        </w:tabs>
        <w:ind w:left="1134" w:firstLine="142"/>
        <w:rPr>
          <w:rFonts w:asciiTheme="majorBidi" w:hAnsiTheme="majorBidi" w:cstheme="majorBidi"/>
        </w:rPr>
      </w:pPr>
      <w:r w:rsidRPr="00ED7E61">
        <w:rPr>
          <w:rStyle w:val="normaltextrun"/>
          <w:rFonts w:asciiTheme="majorBidi" w:eastAsiaTheme="majorEastAsia" w:hAnsiTheme="majorBidi" w:cstheme="majorBidi"/>
        </w:rPr>
        <w:t>Taxes and fees/charges for timber harvest.</w:t>
      </w:r>
      <w:r w:rsidRPr="00ED7E61">
        <w:rPr>
          <w:rStyle w:val="eop"/>
          <w:rFonts w:asciiTheme="majorBidi" w:eastAsiaTheme="majorEastAsia" w:hAnsiTheme="majorBidi" w:cstheme="majorBidi"/>
        </w:rPr>
        <w:t> </w:t>
      </w:r>
    </w:p>
    <w:p w14:paraId="36094EE3" w14:textId="0A7EAAB9" w:rsidR="00CA6E9E" w:rsidRPr="00ED7E61" w:rsidRDefault="00454683" w:rsidP="00B10F0C">
      <w:pPr>
        <w:pStyle w:val="CBDNormalNumber"/>
        <w:numPr>
          <w:ilvl w:val="0"/>
          <w:numId w:val="93"/>
        </w:numPr>
        <w:shd w:val="clear" w:color="auto" w:fill="FFFFFF"/>
        <w:ind w:left="567" w:firstLine="0"/>
      </w:pPr>
      <w:r w:rsidRPr="00FB1598">
        <w:rPr>
          <w:color w:val="000000"/>
        </w:rPr>
        <w:t>Biodiversity</w:t>
      </w:r>
      <w:r w:rsidRPr="00ED7E61">
        <w:t>-relevant environmentally beneficial subsidies</w:t>
      </w:r>
      <w:r w:rsidR="00756F0F" w:rsidRPr="00ED7E61">
        <w:t xml:space="preserve">: </w:t>
      </w:r>
      <w:r w:rsidR="009724AD">
        <w:t>S</w:t>
      </w:r>
      <w:r w:rsidR="00756F0F" w:rsidRPr="00ED7E61">
        <w:t>ubsid</w:t>
      </w:r>
      <w:r w:rsidR="009724AD">
        <w:t>ies</w:t>
      </w:r>
      <w:r w:rsidR="00756F0F" w:rsidRPr="00ED7E61">
        <w:t xml:space="preserve"> that reduce directly or indirectly the use of something that has a proven, specific negative impact on biodiversity</w:t>
      </w:r>
      <w:r w:rsidR="009724AD">
        <w:t>, including</w:t>
      </w:r>
      <w:r w:rsidR="00756F0F" w:rsidRPr="00ED7E61">
        <w:t xml:space="preserve"> direct payments from government and preferential tax treatments (e.g. VAT exemptions).  Non-exhaustive list of examples: </w:t>
      </w:r>
    </w:p>
    <w:p w14:paraId="416D95C2" w14:textId="66F2A8C2" w:rsidR="00CA6E9E" w:rsidRPr="00ED7E61" w:rsidRDefault="00756F0F" w:rsidP="00B10F0C">
      <w:pPr>
        <w:pStyle w:val="CBDNormalNumber"/>
        <w:numPr>
          <w:ilvl w:val="0"/>
          <w:numId w:val="22"/>
        </w:numPr>
        <w:tabs>
          <w:tab w:val="clear" w:pos="567"/>
          <w:tab w:val="clear" w:pos="1134"/>
          <w:tab w:val="clear" w:pos="1701"/>
          <w:tab w:val="clear" w:pos="2268"/>
          <w:tab w:val="left" w:pos="1985"/>
        </w:tabs>
        <w:ind w:left="1276" w:firstLine="0"/>
        <w:rPr>
          <w:rStyle w:val="normaltextrun"/>
          <w:rFonts w:eastAsiaTheme="majorEastAsia"/>
        </w:rPr>
      </w:pPr>
      <w:r w:rsidRPr="00ED7E61">
        <w:rPr>
          <w:rStyle w:val="normaltextrun"/>
          <w:rFonts w:eastAsiaTheme="majorEastAsia"/>
        </w:rPr>
        <w:t>Payments from government to private land-users/owners to restore land</w:t>
      </w:r>
    </w:p>
    <w:p w14:paraId="1960BEC3" w14:textId="06410EB2" w:rsidR="00CA6E9E" w:rsidRPr="00ED7E61" w:rsidRDefault="00756F0F" w:rsidP="00B10F0C">
      <w:pPr>
        <w:pStyle w:val="CBDNormalNumber"/>
        <w:numPr>
          <w:ilvl w:val="0"/>
          <w:numId w:val="22"/>
        </w:numPr>
        <w:tabs>
          <w:tab w:val="clear" w:pos="567"/>
          <w:tab w:val="clear" w:pos="1134"/>
          <w:tab w:val="clear" w:pos="1701"/>
          <w:tab w:val="clear" w:pos="2268"/>
          <w:tab w:val="left" w:pos="1985"/>
        </w:tabs>
        <w:ind w:left="1276" w:firstLine="0"/>
        <w:rPr>
          <w:rStyle w:val="normaltextrun"/>
          <w:rFonts w:eastAsiaTheme="majorEastAsia"/>
        </w:rPr>
      </w:pPr>
      <w:r w:rsidRPr="00ED7E61">
        <w:rPr>
          <w:rStyle w:val="normaltextrun"/>
          <w:rFonts w:eastAsiaTheme="majorEastAsia"/>
        </w:rPr>
        <w:t>Preferential land tax for forests under protection or restoration</w:t>
      </w:r>
    </w:p>
    <w:p w14:paraId="18824876" w14:textId="08DD6B94" w:rsidR="00756F0F" w:rsidRPr="00ED7E61" w:rsidRDefault="00756F0F" w:rsidP="00B10F0C">
      <w:pPr>
        <w:pStyle w:val="CBDNormalNumber"/>
        <w:numPr>
          <w:ilvl w:val="0"/>
          <w:numId w:val="22"/>
        </w:numPr>
        <w:tabs>
          <w:tab w:val="clear" w:pos="567"/>
          <w:tab w:val="clear" w:pos="1134"/>
          <w:tab w:val="clear" w:pos="1701"/>
          <w:tab w:val="clear" w:pos="2268"/>
          <w:tab w:val="left" w:pos="1985"/>
        </w:tabs>
        <w:ind w:left="1276" w:firstLine="0"/>
        <w:rPr>
          <w:rStyle w:val="normaltextrun"/>
          <w:rFonts w:eastAsiaTheme="majorEastAsia"/>
        </w:rPr>
      </w:pPr>
      <w:r w:rsidRPr="00ED7E61">
        <w:rPr>
          <w:rStyle w:val="normaltextrun"/>
          <w:rFonts w:eastAsiaTheme="majorEastAsia"/>
        </w:rPr>
        <w:t>Agri-environmental  payments promoting habitat protection and restoration.</w:t>
      </w:r>
      <w:r w:rsidRPr="00FB1598">
        <w:rPr>
          <w:rStyle w:val="normaltextrun"/>
          <w:rFonts w:eastAsiaTheme="majorEastAsia"/>
        </w:rPr>
        <w:t> </w:t>
      </w:r>
    </w:p>
    <w:p w14:paraId="75A77EC1" w14:textId="77777777" w:rsidR="00CA6E9E" w:rsidRPr="00ED7E61" w:rsidRDefault="00756F0F" w:rsidP="00B10F0C">
      <w:pPr>
        <w:pStyle w:val="CBDNormalNumber"/>
        <w:numPr>
          <w:ilvl w:val="0"/>
          <w:numId w:val="93"/>
        </w:numPr>
        <w:shd w:val="clear" w:color="auto" w:fill="FFFFFF"/>
        <w:ind w:left="567" w:firstLine="0"/>
        <w:rPr>
          <w:rStyle w:val="normaltextrun"/>
          <w:rFonts w:eastAsiaTheme="majorEastAsia"/>
        </w:rPr>
      </w:pPr>
      <w:r w:rsidRPr="00FB1598">
        <w:rPr>
          <w:color w:val="000000"/>
        </w:rPr>
        <w:t>Biodiversity</w:t>
      </w:r>
      <w:r w:rsidRPr="00ED7E61">
        <w:rPr>
          <w:rStyle w:val="normaltextrun"/>
          <w:rFonts w:asciiTheme="majorBidi" w:eastAsiaTheme="majorEastAsia" w:hAnsiTheme="majorBidi" w:cstheme="majorBidi"/>
        </w:rPr>
        <w:t xml:space="preserve">-relevant tradable permit schemes: market-based instruments that provide allowance or permission to engage in an activity under an aggregate cap. These permits can be traded. Non-exhaustive list of examples: </w:t>
      </w:r>
    </w:p>
    <w:p w14:paraId="1CC9E1FA" w14:textId="3174C6FC" w:rsidR="00077FE2" w:rsidRPr="00ED7E61" w:rsidRDefault="00756F0F" w:rsidP="00B10F0C">
      <w:pPr>
        <w:pStyle w:val="CBDNormalNumber"/>
        <w:numPr>
          <w:ilvl w:val="0"/>
          <w:numId w:val="23"/>
        </w:numPr>
        <w:tabs>
          <w:tab w:val="clear" w:pos="567"/>
          <w:tab w:val="clear" w:pos="1134"/>
          <w:tab w:val="clear" w:pos="1701"/>
          <w:tab w:val="clear" w:pos="2268"/>
          <w:tab w:val="left" w:pos="1985"/>
        </w:tabs>
        <w:ind w:left="-1418" w:firstLine="2694"/>
        <w:rPr>
          <w:rStyle w:val="normaltextrun"/>
          <w:rFonts w:eastAsiaTheme="majorEastAsia"/>
        </w:rPr>
      </w:pPr>
      <w:bookmarkStart w:id="72" w:name="_Hlk178003789"/>
      <w:r w:rsidRPr="00ED7E61">
        <w:rPr>
          <w:rStyle w:val="normaltextrun"/>
          <w:rFonts w:eastAsiaTheme="majorEastAsia"/>
        </w:rPr>
        <w:t>Individual</w:t>
      </w:r>
      <w:r w:rsidRPr="00ED7E61">
        <w:rPr>
          <w:rStyle w:val="normaltextrun"/>
          <w:rFonts w:asciiTheme="majorBidi" w:eastAsiaTheme="majorEastAsia" w:hAnsiTheme="majorBidi" w:cstheme="majorBidi"/>
        </w:rPr>
        <w:t xml:space="preserve"> </w:t>
      </w:r>
      <w:r w:rsidRPr="00FB1598">
        <w:rPr>
          <w:rStyle w:val="normaltextrun"/>
          <w:rFonts w:eastAsiaTheme="majorEastAsia"/>
        </w:rPr>
        <w:t xml:space="preserve">transferable quotas (ITQs) for fisheries </w:t>
      </w:r>
    </w:p>
    <w:p w14:paraId="4E0199ED" w14:textId="6802908E" w:rsidR="00077FE2" w:rsidRPr="00ED7E61" w:rsidRDefault="00756F0F" w:rsidP="00B10F0C">
      <w:pPr>
        <w:pStyle w:val="CBDNormalNumber"/>
        <w:numPr>
          <w:ilvl w:val="0"/>
          <w:numId w:val="23"/>
        </w:numPr>
        <w:tabs>
          <w:tab w:val="clear" w:pos="567"/>
          <w:tab w:val="clear" w:pos="1134"/>
          <w:tab w:val="clear" w:pos="1701"/>
          <w:tab w:val="clear" w:pos="2268"/>
          <w:tab w:val="left" w:pos="1985"/>
        </w:tabs>
        <w:ind w:left="1276" w:firstLine="0"/>
        <w:rPr>
          <w:rStyle w:val="normaltextrun"/>
          <w:rFonts w:eastAsiaTheme="majorEastAsia"/>
        </w:rPr>
      </w:pPr>
      <w:r w:rsidRPr="00FB1598">
        <w:rPr>
          <w:rStyle w:val="normaltextrun"/>
          <w:rFonts w:eastAsiaTheme="majorEastAsia"/>
        </w:rPr>
        <w:t>Tradable water rights </w:t>
      </w:r>
    </w:p>
    <w:p w14:paraId="0C678E38" w14:textId="45707DB7" w:rsidR="00077FE2" w:rsidRPr="00ED7E61" w:rsidRDefault="00756F0F" w:rsidP="00B10F0C">
      <w:pPr>
        <w:pStyle w:val="CBDNormalNumber"/>
        <w:numPr>
          <w:ilvl w:val="0"/>
          <w:numId w:val="23"/>
        </w:numPr>
        <w:tabs>
          <w:tab w:val="clear" w:pos="567"/>
          <w:tab w:val="clear" w:pos="1134"/>
          <w:tab w:val="clear" w:pos="1701"/>
          <w:tab w:val="clear" w:pos="2268"/>
          <w:tab w:val="left" w:pos="1985"/>
        </w:tabs>
        <w:ind w:left="1276" w:firstLine="0"/>
        <w:rPr>
          <w:rStyle w:val="normaltextrun"/>
          <w:rFonts w:eastAsiaTheme="majorEastAsia"/>
        </w:rPr>
      </w:pPr>
      <w:r w:rsidRPr="00FB1598">
        <w:rPr>
          <w:rStyle w:val="normaltextrun"/>
          <w:rFonts w:eastAsiaTheme="majorEastAsia"/>
        </w:rPr>
        <w:t xml:space="preserve">Salinity trading schemes  </w:t>
      </w:r>
    </w:p>
    <w:p w14:paraId="59229402" w14:textId="07939F10" w:rsidR="00756F0F" w:rsidRPr="00ED7E61" w:rsidRDefault="00756F0F" w:rsidP="00B10F0C">
      <w:pPr>
        <w:pStyle w:val="CBDNormalNumber"/>
        <w:numPr>
          <w:ilvl w:val="0"/>
          <w:numId w:val="23"/>
        </w:numPr>
        <w:tabs>
          <w:tab w:val="clear" w:pos="567"/>
          <w:tab w:val="clear" w:pos="1134"/>
          <w:tab w:val="clear" w:pos="1701"/>
          <w:tab w:val="clear" w:pos="2268"/>
          <w:tab w:val="left" w:pos="1985"/>
        </w:tabs>
        <w:ind w:left="1276" w:firstLine="0"/>
        <w:rPr>
          <w:rStyle w:val="normaltextrun"/>
          <w:rFonts w:eastAsiaTheme="majorEastAsia"/>
        </w:rPr>
      </w:pPr>
      <w:r w:rsidRPr="00FB1598">
        <w:rPr>
          <w:rStyle w:val="normaltextrun"/>
          <w:rFonts w:eastAsiaTheme="majorEastAsia"/>
        </w:rPr>
        <w:t>Tradable development rights. </w:t>
      </w:r>
    </w:p>
    <w:p w14:paraId="0C70261A" w14:textId="77777777" w:rsidR="00CA6E9E" w:rsidRPr="00ED7E61" w:rsidRDefault="00756F0F" w:rsidP="00B10F0C">
      <w:pPr>
        <w:pStyle w:val="CBDNormalNumber"/>
        <w:numPr>
          <w:ilvl w:val="0"/>
          <w:numId w:val="93"/>
        </w:numPr>
        <w:shd w:val="clear" w:color="auto" w:fill="FFFFFF"/>
        <w:ind w:left="567" w:firstLine="0"/>
        <w:rPr>
          <w:rStyle w:val="normaltextrun"/>
          <w:rFonts w:eastAsiaTheme="majorEastAsia"/>
        </w:rPr>
      </w:pPr>
      <w:r w:rsidRPr="00FB1598">
        <w:rPr>
          <w:color w:val="000000"/>
        </w:rPr>
        <w:t>Biodiversity</w:t>
      </w:r>
      <w:r w:rsidRPr="00ED7E61">
        <w:rPr>
          <w:rStyle w:val="normaltextrun"/>
          <w:rFonts w:asciiTheme="majorBidi" w:eastAsiaTheme="majorEastAsia" w:hAnsiTheme="majorBidi" w:cstheme="majorBidi"/>
        </w:rPr>
        <w:t xml:space="preserve"> offsets: Biodiversity offsets are “</w:t>
      </w:r>
      <w:r w:rsidRPr="00FB1598">
        <w:rPr>
          <w:rStyle w:val="normaltextrun"/>
          <w:rFonts w:asciiTheme="majorBidi" w:eastAsiaTheme="majorEastAsia" w:hAnsiTheme="majorBidi" w:cstheme="majorBidi"/>
          <w:i/>
          <w:iCs/>
        </w:rPr>
        <w:t>measurable conservation outcomes resulting from actions designed to compensate for significant residual adverse biodiversity impacts arising from project development after appropriate prevention and mitigation measures have been taken</w:t>
      </w:r>
      <w:r w:rsidRPr="00ED7E61">
        <w:rPr>
          <w:rStyle w:val="normaltextrun"/>
          <w:rFonts w:asciiTheme="majorBidi" w:eastAsiaTheme="majorEastAsia" w:hAnsiTheme="majorBidi" w:cstheme="majorBidi"/>
        </w:rPr>
        <w:t xml:space="preserve">.” (BBOP 2018). They are usually established with an overall objective of a No Net Loss (NNL) or Net Gain (NG).  Biodiversity offsets can be classified into three main types: </w:t>
      </w:r>
    </w:p>
    <w:bookmarkEnd w:id="72"/>
    <w:p w14:paraId="4D84EB87" w14:textId="55712A6F" w:rsidR="00077FE2" w:rsidRPr="00ED7E61" w:rsidRDefault="00756F0F" w:rsidP="00B10F0C">
      <w:pPr>
        <w:pStyle w:val="CBDNormalNumber"/>
        <w:numPr>
          <w:ilvl w:val="0"/>
          <w:numId w:val="24"/>
        </w:numPr>
        <w:tabs>
          <w:tab w:val="clear" w:pos="567"/>
          <w:tab w:val="clear" w:pos="1134"/>
          <w:tab w:val="clear" w:pos="1701"/>
          <w:tab w:val="clear" w:pos="2268"/>
          <w:tab w:val="left" w:pos="1985"/>
        </w:tabs>
        <w:ind w:firstLine="3292"/>
        <w:rPr>
          <w:rStyle w:val="normaltextrun"/>
          <w:rFonts w:eastAsiaTheme="majorEastAsia"/>
        </w:rPr>
      </w:pPr>
      <w:r w:rsidRPr="00FB1598">
        <w:rPr>
          <w:rStyle w:val="normaltextrun"/>
          <w:rFonts w:eastAsiaTheme="majorEastAsia"/>
        </w:rPr>
        <w:t xml:space="preserve">One-off biodiversity offsets; </w:t>
      </w:r>
    </w:p>
    <w:p w14:paraId="2E970565" w14:textId="7175BF0F" w:rsidR="00077FE2" w:rsidRPr="00ED7E61" w:rsidRDefault="00756F0F" w:rsidP="00B10F0C">
      <w:pPr>
        <w:pStyle w:val="CBDNormalNumber"/>
        <w:numPr>
          <w:ilvl w:val="0"/>
          <w:numId w:val="24"/>
        </w:numPr>
        <w:tabs>
          <w:tab w:val="clear" w:pos="567"/>
          <w:tab w:val="clear" w:pos="1134"/>
          <w:tab w:val="clear" w:pos="1701"/>
          <w:tab w:val="clear" w:pos="2268"/>
          <w:tab w:val="left" w:pos="1985"/>
        </w:tabs>
        <w:ind w:left="-1418" w:firstLine="2694"/>
        <w:rPr>
          <w:rStyle w:val="normaltextrun"/>
          <w:rFonts w:eastAsiaTheme="majorEastAsia"/>
        </w:rPr>
      </w:pPr>
      <w:r w:rsidRPr="00FB1598">
        <w:rPr>
          <w:rStyle w:val="normaltextrun"/>
          <w:rFonts w:eastAsiaTheme="majorEastAsia"/>
        </w:rPr>
        <w:t xml:space="preserve">Payments in-lieu; and </w:t>
      </w:r>
    </w:p>
    <w:p w14:paraId="1E94F2F6" w14:textId="4D2FA161" w:rsidR="00756F0F" w:rsidRPr="00ED7E61" w:rsidRDefault="00756F0F" w:rsidP="00B10F0C">
      <w:pPr>
        <w:pStyle w:val="CBDNormalNumber"/>
        <w:numPr>
          <w:ilvl w:val="0"/>
          <w:numId w:val="24"/>
        </w:numPr>
        <w:tabs>
          <w:tab w:val="clear" w:pos="567"/>
          <w:tab w:val="clear" w:pos="1134"/>
          <w:tab w:val="clear" w:pos="1701"/>
          <w:tab w:val="clear" w:pos="2268"/>
          <w:tab w:val="left" w:pos="1985"/>
        </w:tabs>
        <w:ind w:left="-1418" w:firstLine="2694"/>
        <w:rPr>
          <w:rStyle w:val="normaltextrun"/>
          <w:rFonts w:eastAsiaTheme="majorEastAsia"/>
        </w:rPr>
      </w:pPr>
      <w:r w:rsidRPr="00FB1598">
        <w:rPr>
          <w:rStyle w:val="normaltextrun"/>
          <w:rFonts w:eastAsiaTheme="majorEastAsia"/>
        </w:rPr>
        <w:t>Biobanking schemes. </w:t>
      </w:r>
    </w:p>
    <w:p w14:paraId="53397FDD" w14:textId="77777777" w:rsidR="00756F0F" w:rsidRPr="00ED7E61" w:rsidRDefault="00756F0F" w:rsidP="00B10F0C">
      <w:pPr>
        <w:pStyle w:val="CBDNormalNumber"/>
        <w:numPr>
          <w:ilvl w:val="0"/>
          <w:numId w:val="93"/>
        </w:numPr>
        <w:shd w:val="clear" w:color="auto" w:fill="FFFFFF"/>
        <w:ind w:left="567" w:firstLine="0"/>
        <w:rPr>
          <w:rStyle w:val="normaltextrun"/>
          <w:rFonts w:eastAsiaTheme="majorEastAsia"/>
        </w:rPr>
      </w:pPr>
      <w:r w:rsidRPr="00FB1598">
        <w:rPr>
          <w:color w:val="000000"/>
        </w:rPr>
        <w:t>Payments</w:t>
      </w:r>
      <w:r w:rsidRPr="00ED7E61">
        <w:rPr>
          <w:rStyle w:val="normaltextrun"/>
          <w:rFonts w:asciiTheme="majorBidi" w:eastAsiaTheme="majorEastAsia" w:hAnsiTheme="majorBidi" w:cstheme="majorBidi"/>
        </w:rPr>
        <w:t xml:space="preserve"> for ecosystem services: A payment for ecosystem services (PES) is a voluntary transaction between ecosystem service users and service providers that are conditional on agreed rules of natural resource management for generating offsite services (Wunder, 2015). Ecosystem service providers and users may be individuals, companies or aggregations of actors. In some cases, a government may act on behalf of users.</w:t>
      </w:r>
      <w:r w:rsidRPr="00ED7E61">
        <w:rPr>
          <w:rStyle w:val="normaltextrun"/>
        </w:rPr>
        <w:t> </w:t>
      </w:r>
    </w:p>
    <w:p w14:paraId="5FEB1979" w14:textId="77777777" w:rsidR="00756F0F" w:rsidRPr="00ED7E61" w:rsidRDefault="00756F0F" w:rsidP="00B10F0C">
      <w:pPr>
        <w:pStyle w:val="CBDNormalNumber"/>
        <w:numPr>
          <w:ilvl w:val="0"/>
          <w:numId w:val="93"/>
        </w:numPr>
        <w:shd w:val="clear" w:color="auto" w:fill="FFFFFF"/>
        <w:ind w:left="567" w:firstLine="0"/>
        <w:rPr>
          <w:rStyle w:val="normaltextrun"/>
          <w:rFonts w:eastAsiaTheme="majorEastAsia"/>
        </w:rPr>
      </w:pPr>
      <w:r w:rsidRPr="00FB1598">
        <w:rPr>
          <w:color w:val="000000"/>
        </w:rPr>
        <w:t>Unit</w:t>
      </w:r>
      <w:r w:rsidRPr="00ED7E61">
        <w:rPr>
          <w:rStyle w:val="normaltextrun"/>
          <w:rFonts w:asciiTheme="majorBidi" w:eastAsiaTheme="majorEastAsia" w:hAnsiTheme="majorBidi" w:cstheme="majorBidi"/>
        </w:rPr>
        <w:t xml:space="preserve"> of measurement: Number of positive incentives (by type).</w:t>
      </w:r>
      <w:r w:rsidRPr="00ED7E61">
        <w:rPr>
          <w:rStyle w:val="normaltextrun"/>
        </w:rPr>
        <w:t> </w:t>
      </w:r>
    </w:p>
    <w:p w14:paraId="593D2F2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5b. Method of computation</w:t>
      </w:r>
      <w:r w:rsidRPr="00ED7E61">
        <w:rPr>
          <w:rStyle w:val="eop"/>
          <w:rFonts w:asciiTheme="majorBidi" w:eastAsiaTheme="majorEastAsia" w:hAnsiTheme="majorBidi" w:cstheme="majorBidi"/>
          <w:sz w:val="22"/>
          <w:szCs w:val="22"/>
        </w:rPr>
        <w:t> </w:t>
      </w:r>
    </w:p>
    <w:p w14:paraId="1B465F68" w14:textId="4D712EEF"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FB1598">
        <w:rPr>
          <w:color w:val="000000"/>
        </w:rPr>
        <w:t>OECD</w:t>
      </w:r>
      <w:r w:rsidRPr="00ED7E61">
        <w:rPr>
          <w:rStyle w:val="normaltextrun"/>
          <w:rFonts w:asciiTheme="majorBidi" w:eastAsiaTheme="majorEastAsia" w:hAnsiTheme="majorBidi" w:cstheme="majorBidi"/>
          <w:color w:val="000000"/>
        </w:rPr>
        <w:t xml:space="preserve"> collects national level data on positive incentives for the conservation and sustainable use of biodiversity</w:t>
      </w:r>
      <w:r w:rsidRPr="00ED7E61">
        <w:rPr>
          <w:rStyle w:val="normaltextrun"/>
          <w:rFonts w:asciiTheme="majorBidi" w:eastAsiaTheme="majorEastAsia" w:hAnsiTheme="majorBidi" w:cstheme="majorBidi"/>
          <w:color w:val="5E5E5E"/>
        </w:rPr>
        <w:t xml:space="preserve">. </w:t>
      </w:r>
      <w:r w:rsidRPr="00ED7E61">
        <w:rPr>
          <w:rStyle w:val="normaltextrun"/>
          <w:rFonts w:asciiTheme="majorBidi" w:eastAsiaTheme="majorEastAsia" w:hAnsiTheme="majorBidi" w:cstheme="majorBidi"/>
          <w:color w:val="000000"/>
        </w:rPr>
        <w:t>These incentives are also referred to as economic instruments or incentive-based instruments</w:t>
      </w:r>
      <w:r w:rsidRPr="00ED7E61">
        <w:rPr>
          <w:rStyle w:val="normaltextrun"/>
          <w:rFonts w:asciiTheme="majorBidi" w:eastAsiaTheme="majorEastAsia" w:hAnsiTheme="majorBidi" w:cstheme="majorBidi"/>
          <w:color w:val="5E5E5E"/>
        </w:rPr>
        <w:t>.</w:t>
      </w:r>
      <w:r w:rsidRPr="00ED7E61">
        <w:rPr>
          <w:rStyle w:val="normaltextrun"/>
          <w:rFonts w:asciiTheme="majorBidi" w:eastAsiaTheme="majorEastAsia" w:hAnsiTheme="majorBidi" w:cstheme="majorBidi"/>
          <w:color w:val="000000"/>
        </w:rPr>
        <w:t xml:space="preserve"> The data are collected through the OECD database on Policy Instruments for the Environment (PINE). The data meet the headline indicator criteria (i.e. they can be aggregated globally from national level data and can be disaggregated down from totals, as the data are reported in a consistent and comparable way across countries). The positive incentives covered </w:t>
      </w:r>
      <w:r w:rsidRPr="00ED7E61">
        <w:rPr>
          <w:rStyle w:val="normaltextrun"/>
          <w:rFonts w:asciiTheme="majorBidi" w:eastAsiaTheme="majorEastAsia" w:hAnsiTheme="majorBidi" w:cstheme="majorBidi"/>
          <w:color w:val="484848"/>
        </w:rPr>
        <w:t>are:</w:t>
      </w:r>
      <w:r w:rsidRPr="00ED7E61">
        <w:rPr>
          <w:rStyle w:val="eop"/>
          <w:rFonts w:asciiTheme="majorBidi" w:eastAsiaTheme="majorEastAsia" w:hAnsiTheme="majorBidi" w:cstheme="majorBidi"/>
          <w:color w:val="484848"/>
        </w:rPr>
        <w:t> </w:t>
      </w:r>
    </w:p>
    <w:p w14:paraId="75C6DEC3" w14:textId="77777777" w:rsidR="00756F0F" w:rsidRPr="00ED7E61" w:rsidRDefault="00756F0F" w:rsidP="00B10F0C">
      <w:pPr>
        <w:pStyle w:val="CBDNormalNumber"/>
        <w:numPr>
          <w:ilvl w:val="0"/>
          <w:numId w:val="25"/>
        </w:numPr>
        <w:tabs>
          <w:tab w:val="clear" w:pos="567"/>
          <w:tab w:val="clear" w:pos="1134"/>
          <w:tab w:val="clear" w:pos="1701"/>
          <w:tab w:val="clear" w:pos="2268"/>
          <w:tab w:val="left" w:pos="1985"/>
        </w:tabs>
        <w:spacing w:after="0"/>
        <w:ind w:left="1134" w:firstLine="0"/>
        <w:rPr>
          <w:rStyle w:val="normaltextrun"/>
          <w:rFonts w:eastAsiaTheme="majorEastAsia"/>
        </w:rPr>
      </w:pPr>
      <w:r w:rsidRPr="00ED7E61">
        <w:rPr>
          <w:rStyle w:val="normaltextrun"/>
          <w:rFonts w:asciiTheme="majorBidi" w:eastAsiaTheme="majorEastAsia" w:hAnsiTheme="majorBidi" w:cstheme="majorBidi"/>
        </w:rPr>
        <w:t>biodiversity-relevant taxes, fees and charges </w:t>
      </w:r>
      <w:r w:rsidRPr="00ED7E61">
        <w:rPr>
          <w:rStyle w:val="normaltextrun"/>
        </w:rPr>
        <w:t> </w:t>
      </w:r>
    </w:p>
    <w:p w14:paraId="695CD1B4" w14:textId="77777777" w:rsidR="00756F0F" w:rsidRPr="00ED7E61" w:rsidRDefault="00756F0F" w:rsidP="00B10F0C">
      <w:pPr>
        <w:pStyle w:val="CBDNormalNumber"/>
        <w:numPr>
          <w:ilvl w:val="0"/>
          <w:numId w:val="25"/>
        </w:numPr>
        <w:tabs>
          <w:tab w:val="clear" w:pos="567"/>
          <w:tab w:val="clear" w:pos="1134"/>
          <w:tab w:val="clear" w:pos="1701"/>
          <w:tab w:val="clear" w:pos="2268"/>
          <w:tab w:val="left" w:pos="1985"/>
        </w:tabs>
        <w:spacing w:after="0"/>
        <w:ind w:left="1134" w:firstLine="0"/>
        <w:rPr>
          <w:rStyle w:val="normaltextrun"/>
          <w:rFonts w:eastAsiaTheme="majorEastAsia"/>
        </w:rPr>
      </w:pPr>
      <w:r w:rsidRPr="00ED7E61">
        <w:rPr>
          <w:rStyle w:val="normaltextrun"/>
          <w:rFonts w:asciiTheme="majorBidi" w:eastAsiaTheme="majorEastAsia" w:hAnsiTheme="majorBidi" w:cstheme="majorBidi"/>
        </w:rPr>
        <w:t>biodiversity-relevant positive subsidies</w:t>
      </w:r>
      <w:r w:rsidRPr="00ED7E61">
        <w:rPr>
          <w:rStyle w:val="normaltextrun"/>
        </w:rPr>
        <w:t> </w:t>
      </w:r>
    </w:p>
    <w:p w14:paraId="28E5D1C4" w14:textId="77777777" w:rsidR="00756F0F" w:rsidRPr="00ED7E61" w:rsidRDefault="00756F0F" w:rsidP="00B10F0C">
      <w:pPr>
        <w:pStyle w:val="CBDNormalNumber"/>
        <w:numPr>
          <w:ilvl w:val="0"/>
          <w:numId w:val="25"/>
        </w:numPr>
        <w:tabs>
          <w:tab w:val="clear" w:pos="567"/>
          <w:tab w:val="clear" w:pos="1134"/>
          <w:tab w:val="clear" w:pos="1701"/>
          <w:tab w:val="clear" w:pos="2268"/>
          <w:tab w:val="left" w:pos="1985"/>
        </w:tabs>
        <w:spacing w:after="0"/>
        <w:ind w:left="1985" w:hanging="851"/>
        <w:rPr>
          <w:rStyle w:val="normaltextrun"/>
          <w:rFonts w:eastAsiaTheme="majorEastAsia"/>
        </w:rPr>
      </w:pPr>
      <w:r w:rsidRPr="00ED7E61">
        <w:rPr>
          <w:rStyle w:val="normaltextrun"/>
          <w:rFonts w:asciiTheme="majorBidi" w:eastAsiaTheme="majorEastAsia" w:hAnsiTheme="majorBidi" w:cstheme="majorBidi"/>
        </w:rPr>
        <w:t>biodiversity-relevant tradable permits</w:t>
      </w:r>
      <w:r w:rsidRPr="00ED7E61">
        <w:rPr>
          <w:rStyle w:val="normaltextrun"/>
        </w:rPr>
        <w:t> </w:t>
      </w:r>
    </w:p>
    <w:p w14:paraId="13AD0AD9" w14:textId="77777777" w:rsidR="00756F0F" w:rsidRPr="00ED7E61" w:rsidRDefault="00756F0F" w:rsidP="00B10F0C">
      <w:pPr>
        <w:pStyle w:val="CBDNormalNumber"/>
        <w:numPr>
          <w:ilvl w:val="0"/>
          <w:numId w:val="25"/>
        </w:numPr>
        <w:tabs>
          <w:tab w:val="clear" w:pos="567"/>
          <w:tab w:val="clear" w:pos="1134"/>
          <w:tab w:val="clear" w:pos="1701"/>
          <w:tab w:val="clear" w:pos="2268"/>
          <w:tab w:val="left" w:pos="1985"/>
        </w:tabs>
        <w:spacing w:after="0"/>
        <w:ind w:left="1985" w:hanging="851"/>
        <w:rPr>
          <w:rStyle w:val="normaltextrun"/>
          <w:rFonts w:eastAsiaTheme="majorEastAsia"/>
        </w:rPr>
      </w:pPr>
      <w:r w:rsidRPr="00ED7E61">
        <w:rPr>
          <w:rStyle w:val="normaltextrun"/>
          <w:rFonts w:asciiTheme="majorBidi" w:eastAsiaTheme="majorEastAsia" w:hAnsiTheme="majorBidi" w:cstheme="majorBidi"/>
        </w:rPr>
        <w:t>payments for ecosystem services</w:t>
      </w:r>
      <w:r w:rsidRPr="00ED7E61">
        <w:rPr>
          <w:rStyle w:val="normaltextrun"/>
        </w:rPr>
        <w:t> </w:t>
      </w:r>
    </w:p>
    <w:p w14:paraId="7085D49C" w14:textId="77777777" w:rsidR="00756F0F" w:rsidRPr="00ED7E61" w:rsidRDefault="00756F0F" w:rsidP="00B10F0C">
      <w:pPr>
        <w:pStyle w:val="CBDNormalNumber"/>
        <w:numPr>
          <w:ilvl w:val="0"/>
          <w:numId w:val="25"/>
        </w:numPr>
        <w:tabs>
          <w:tab w:val="clear" w:pos="567"/>
          <w:tab w:val="clear" w:pos="1134"/>
          <w:tab w:val="clear" w:pos="1701"/>
          <w:tab w:val="clear" w:pos="2268"/>
          <w:tab w:val="left" w:pos="1985"/>
        </w:tabs>
        <w:spacing w:after="0"/>
        <w:ind w:left="1985" w:hanging="851"/>
        <w:rPr>
          <w:rStyle w:val="normaltextrun"/>
          <w:rFonts w:eastAsiaTheme="majorEastAsia"/>
        </w:rPr>
      </w:pPr>
      <w:r w:rsidRPr="00ED7E61">
        <w:rPr>
          <w:rStyle w:val="normaltextrun"/>
          <w:rFonts w:asciiTheme="majorBidi" w:eastAsiaTheme="majorEastAsia" w:hAnsiTheme="majorBidi" w:cstheme="majorBidi"/>
        </w:rPr>
        <w:t>biodiversity offsets </w:t>
      </w:r>
      <w:r w:rsidRPr="00ED7E61">
        <w:rPr>
          <w:rStyle w:val="normaltextrun"/>
        </w:rPr>
        <w:t> </w:t>
      </w:r>
    </w:p>
    <w:p w14:paraId="593A6433" w14:textId="77777777" w:rsidR="00756F0F" w:rsidRPr="00ED7E61" w:rsidRDefault="00756F0F" w:rsidP="00B10F0C">
      <w:pPr>
        <w:pStyle w:val="CBDNormalNumber"/>
        <w:numPr>
          <w:ilvl w:val="0"/>
          <w:numId w:val="93"/>
        </w:numPr>
        <w:shd w:val="clear" w:color="auto" w:fill="FFFFFF"/>
        <w:spacing w:after="0"/>
        <w:ind w:left="567" w:firstLine="0"/>
        <w:rPr>
          <w:rFonts w:asciiTheme="majorBidi" w:hAnsiTheme="majorBidi" w:cstheme="majorBidi"/>
        </w:rPr>
      </w:pPr>
      <w:r w:rsidRPr="00ED7E61">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color w:val="000000"/>
        </w:rPr>
        <w:t xml:space="preserve"> data on positive incentives collected via the OECD PINE database covers: </w:t>
      </w:r>
      <w:r w:rsidRPr="00ED7E61">
        <w:rPr>
          <w:rStyle w:val="eop"/>
          <w:rFonts w:asciiTheme="majorBidi" w:eastAsiaTheme="majorEastAsia" w:hAnsiTheme="majorBidi" w:cstheme="majorBidi"/>
          <w:color w:val="000000"/>
        </w:rPr>
        <w:t> </w:t>
      </w:r>
    </w:p>
    <w:p w14:paraId="3022D85D" w14:textId="77777777" w:rsidR="00756F0F" w:rsidRPr="00ED7E61" w:rsidRDefault="00756F0F" w:rsidP="00B10F0C">
      <w:pPr>
        <w:pStyle w:val="CBDNormalNumber"/>
        <w:numPr>
          <w:ilvl w:val="0"/>
          <w:numId w:val="26"/>
        </w:numPr>
        <w:tabs>
          <w:tab w:val="clear" w:pos="567"/>
          <w:tab w:val="clear" w:pos="1134"/>
          <w:tab w:val="clear" w:pos="1701"/>
          <w:tab w:val="clear" w:pos="2268"/>
          <w:tab w:val="left" w:pos="1985"/>
        </w:tabs>
        <w:spacing w:after="0"/>
        <w:ind w:firstLine="4878"/>
        <w:rPr>
          <w:rStyle w:val="normaltextrun"/>
          <w:rFonts w:eastAsiaTheme="majorEastAsia"/>
        </w:rPr>
      </w:pPr>
      <w:r w:rsidRPr="00ED7E61">
        <w:rPr>
          <w:rStyle w:val="normaltextrun"/>
          <w:rFonts w:asciiTheme="majorBidi" w:eastAsiaTheme="majorEastAsia" w:hAnsiTheme="majorBidi" w:cstheme="majorBidi"/>
        </w:rPr>
        <w:t>when the policy instrument was introduced; </w:t>
      </w:r>
      <w:r w:rsidRPr="00ED7E61">
        <w:rPr>
          <w:rStyle w:val="normaltextrun"/>
        </w:rPr>
        <w:t> </w:t>
      </w:r>
    </w:p>
    <w:p w14:paraId="43D32779" w14:textId="77777777" w:rsidR="00756F0F" w:rsidRPr="00ED7E61" w:rsidRDefault="00756F0F" w:rsidP="00B10F0C">
      <w:pPr>
        <w:pStyle w:val="CBDNormalNumber"/>
        <w:numPr>
          <w:ilvl w:val="0"/>
          <w:numId w:val="26"/>
        </w:numPr>
        <w:tabs>
          <w:tab w:val="clear" w:pos="567"/>
          <w:tab w:val="clear" w:pos="1134"/>
          <w:tab w:val="clear" w:pos="1701"/>
          <w:tab w:val="clear" w:pos="2268"/>
          <w:tab w:val="left" w:pos="1985"/>
        </w:tabs>
        <w:spacing w:after="0"/>
        <w:ind w:firstLine="4878"/>
        <w:rPr>
          <w:rStyle w:val="normaltextrun"/>
          <w:rFonts w:eastAsiaTheme="majorEastAsia"/>
        </w:rPr>
      </w:pPr>
      <w:r w:rsidRPr="00ED7E61">
        <w:rPr>
          <w:rStyle w:val="normaltextrun"/>
          <w:rFonts w:asciiTheme="majorBidi" w:eastAsiaTheme="majorEastAsia" w:hAnsiTheme="majorBidi" w:cstheme="majorBidi"/>
        </w:rPr>
        <w:t>what it applies to; </w:t>
      </w:r>
      <w:r w:rsidRPr="00ED7E61">
        <w:rPr>
          <w:rStyle w:val="normaltextrun"/>
        </w:rPr>
        <w:t> </w:t>
      </w:r>
    </w:p>
    <w:p w14:paraId="169E35EF" w14:textId="77777777" w:rsidR="00756F0F" w:rsidRPr="00ED7E61" w:rsidRDefault="00756F0F" w:rsidP="00B10F0C">
      <w:pPr>
        <w:pStyle w:val="CBDNormalNumber"/>
        <w:numPr>
          <w:ilvl w:val="0"/>
          <w:numId w:val="26"/>
        </w:numPr>
        <w:tabs>
          <w:tab w:val="clear" w:pos="567"/>
          <w:tab w:val="clear" w:pos="1134"/>
          <w:tab w:val="clear" w:pos="1701"/>
          <w:tab w:val="clear" w:pos="2268"/>
          <w:tab w:val="left" w:pos="1985"/>
        </w:tabs>
        <w:spacing w:after="0"/>
        <w:ind w:firstLine="4878"/>
        <w:rPr>
          <w:rStyle w:val="normaltextrun"/>
          <w:rFonts w:eastAsiaTheme="majorEastAsia"/>
        </w:rPr>
      </w:pPr>
      <w:r w:rsidRPr="00ED7E61">
        <w:rPr>
          <w:rStyle w:val="normaltextrun"/>
          <w:rFonts w:asciiTheme="majorBidi" w:eastAsiaTheme="majorEastAsia" w:hAnsiTheme="majorBidi" w:cstheme="majorBidi"/>
        </w:rPr>
        <w:t>the geographical coverage (e.g. national, local); </w:t>
      </w:r>
      <w:r w:rsidRPr="00ED7E61">
        <w:rPr>
          <w:rStyle w:val="normaltextrun"/>
        </w:rPr>
        <w:t> </w:t>
      </w:r>
    </w:p>
    <w:p w14:paraId="4E87D7A8" w14:textId="77777777" w:rsidR="00756F0F" w:rsidRPr="00ED7E61" w:rsidRDefault="00756F0F" w:rsidP="00B10F0C">
      <w:pPr>
        <w:pStyle w:val="CBDNormalNumber"/>
        <w:numPr>
          <w:ilvl w:val="0"/>
          <w:numId w:val="26"/>
        </w:numPr>
        <w:tabs>
          <w:tab w:val="clear" w:pos="567"/>
          <w:tab w:val="clear" w:pos="1134"/>
          <w:tab w:val="clear" w:pos="1701"/>
          <w:tab w:val="clear" w:pos="2268"/>
          <w:tab w:val="left" w:pos="1985"/>
        </w:tabs>
        <w:spacing w:after="0"/>
        <w:ind w:firstLine="4878"/>
        <w:rPr>
          <w:rStyle w:val="normaltextrun"/>
          <w:rFonts w:eastAsiaTheme="majorEastAsia"/>
        </w:rPr>
      </w:pPr>
      <w:r w:rsidRPr="00ED7E61">
        <w:rPr>
          <w:rStyle w:val="normaltextrun"/>
          <w:rFonts w:asciiTheme="majorBidi" w:eastAsiaTheme="majorEastAsia" w:hAnsiTheme="majorBidi" w:cstheme="majorBidi"/>
        </w:rPr>
        <w:t>the environmental domain (e.g. biodiversity, climate change, air pollution); </w:t>
      </w:r>
      <w:r w:rsidRPr="00ED7E61">
        <w:rPr>
          <w:rStyle w:val="normaltextrun"/>
        </w:rPr>
        <w:t> </w:t>
      </w:r>
    </w:p>
    <w:p w14:paraId="4C692CF6" w14:textId="77777777" w:rsidR="00756F0F" w:rsidRPr="00ED7E61" w:rsidRDefault="00756F0F" w:rsidP="00B10F0C">
      <w:pPr>
        <w:pStyle w:val="CBDNormalNumber"/>
        <w:numPr>
          <w:ilvl w:val="0"/>
          <w:numId w:val="26"/>
        </w:numPr>
        <w:tabs>
          <w:tab w:val="clear" w:pos="567"/>
          <w:tab w:val="clear" w:pos="1134"/>
          <w:tab w:val="clear" w:pos="1701"/>
          <w:tab w:val="clear" w:pos="2268"/>
          <w:tab w:val="left" w:pos="1985"/>
        </w:tabs>
        <w:spacing w:after="0"/>
        <w:ind w:firstLine="4878"/>
        <w:rPr>
          <w:rStyle w:val="normaltextrun"/>
          <w:rFonts w:eastAsiaTheme="majorEastAsia"/>
        </w:rPr>
      </w:pPr>
      <w:r w:rsidRPr="00ED7E61">
        <w:rPr>
          <w:rStyle w:val="normaltextrun"/>
          <w:rFonts w:asciiTheme="majorBidi" w:eastAsiaTheme="majorEastAsia" w:hAnsiTheme="majorBidi" w:cstheme="majorBidi"/>
        </w:rPr>
        <w:t>the industries concerned; </w:t>
      </w:r>
      <w:r w:rsidRPr="00ED7E61">
        <w:rPr>
          <w:rStyle w:val="normaltextrun"/>
        </w:rPr>
        <w:t> </w:t>
      </w:r>
    </w:p>
    <w:p w14:paraId="79EEA68A" w14:textId="77777777" w:rsidR="00756F0F" w:rsidRPr="00ED7E61" w:rsidRDefault="00756F0F" w:rsidP="00B10F0C">
      <w:pPr>
        <w:pStyle w:val="CBDNormalNumber"/>
        <w:numPr>
          <w:ilvl w:val="0"/>
          <w:numId w:val="26"/>
        </w:numPr>
        <w:tabs>
          <w:tab w:val="clear" w:pos="567"/>
          <w:tab w:val="clear" w:pos="1134"/>
          <w:tab w:val="clear" w:pos="1701"/>
          <w:tab w:val="clear" w:pos="2268"/>
          <w:tab w:val="left" w:pos="1985"/>
        </w:tabs>
        <w:spacing w:after="0"/>
        <w:ind w:firstLine="4878"/>
        <w:rPr>
          <w:rStyle w:val="normaltextrun"/>
          <w:rFonts w:eastAsiaTheme="majorEastAsia"/>
        </w:rPr>
      </w:pPr>
      <w:r w:rsidRPr="00ED7E61">
        <w:rPr>
          <w:rStyle w:val="normaltextrun"/>
          <w:rFonts w:asciiTheme="majorBidi" w:eastAsiaTheme="majorEastAsia" w:hAnsiTheme="majorBidi" w:cstheme="majorBidi"/>
        </w:rPr>
        <w:t>the revenues, costs or rates; </w:t>
      </w:r>
      <w:r w:rsidRPr="00ED7E61">
        <w:rPr>
          <w:rStyle w:val="normaltextrun"/>
        </w:rPr>
        <w:t> </w:t>
      </w:r>
    </w:p>
    <w:p w14:paraId="5377FFC8" w14:textId="77777777" w:rsidR="00756F0F" w:rsidRPr="00ED7E61" w:rsidRDefault="00756F0F" w:rsidP="00B10F0C">
      <w:pPr>
        <w:pStyle w:val="CBDNormalNumber"/>
        <w:numPr>
          <w:ilvl w:val="0"/>
          <w:numId w:val="26"/>
        </w:numPr>
        <w:tabs>
          <w:tab w:val="clear" w:pos="567"/>
          <w:tab w:val="clear" w:pos="1134"/>
          <w:tab w:val="clear" w:pos="1701"/>
          <w:tab w:val="clear" w:pos="2268"/>
          <w:tab w:val="left" w:pos="1985"/>
        </w:tabs>
        <w:spacing w:after="0"/>
        <w:ind w:firstLine="4878"/>
        <w:rPr>
          <w:rStyle w:val="normaltextrun"/>
          <w:rFonts w:eastAsiaTheme="majorEastAsia"/>
        </w:rPr>
      </w:pPr>
      <w:r w:rsidRPr="00ED7E61">
        <w:rPr>
          <w:rStyle w:val="normaltextrun"/>
          <w:rFonts w:asciiTheme="majorBidi" w:eastAsiaTheme="majorEastAsia" w:hAnsiTheme="majorBidi" w:cstheme="majorBidi"/>
        </w:rPr>
        <w:t>whether the revenue is earmarked; and </w:t>
      </w:r>
      <w:r w:rsidRPr="00ED7E61">
        <w:rPr>
          <w:rStyle w:val="normaltextrun"/>
        </w:rPr>
        <w:t> </w:t>
      </w:r>
    </w:p>
    <w:p w14:paraId="3D9C7B0A" w14:textId="77777777" w:rsidR="00756F0F" w:rsidRPr="00ED7E61" w:rsidRDefault="00756F0F" w:rsidP="00B10F0C">
      <w:pPr>
        <w:pStyle w:val="CBDNormalNumber"/>
        <w:numPr>
          <w:ilvl w:val="0"/>
          <w:numId w:val="26"/>
        </w:numPr>
        <w:tabs>
          <w:tab w:val="clear" w:pos="567"/>
          <w:tab w:val="clear" w:pos="1134"/>
          <w:tab w:val="clear" w:pos="1701"/>
          <w:tab w:val="clear" w:pos="2268"/>
          <w:tab w:val="left" w:pos="1985"/>
        </w:tabs>
        <w:spacing w:after="0"/>
        <w:rPr>
          <w:rStyle w:val="normaltextrun"/>
          <w:rFonts w:eastAsiaTheme="majorEastAsia"/>
        </w:rPr>
      </w:pPr>
      <w:r w:rsidRPr="00ED7E61">
        <w:rPr>
          <w:rStyle w:val="normaltextrun"/>
          <w:rFonts w:asciiTheme="majorBidi" w:eastAsiaTheme="majorEastAsia" w:hAnsiTheme="majorBidi" w:cstheme="majorBidi"/>
        </w:rPr>
        <w:t>any exemptions. </w:t>
      </w:r>
      <w:r w:rsidRPr="00ED7E61">
        <w:rPr>
          <w:rStyle w:val="normaltextrun"/>
        </w:rPr>
        <w:t> </w:t>
      </w:r>
    </w:p>
    <w:p w14:paraId="16A4828D" w14:textId="174E6133" w:rsidR="00B737C5" w:rsidRPr="00ED7E61" w:rsidRDefault="00756F0F" w:rsidP="00B10F0C">
      <w:pPr>
        <w:pStyle w:val="CBDNormalNumber"/>
        <w:numPr>
          <w:ilvl w:val="0"/>
          <w:numId w:val="93"/>
        </w:numPr>
        <w:shd w:val="clear" w:color="auto" w:fill="FFFFFF"/>
        <w:spacing w:after="0"/>
        <w:ind w:left="567" w:firstLine="0"/>
        <w:rPr>
          <w:rFonts w:asciiTheme="majorBidi" w:hAnsiTheme="majorBidi" w:cstheme="majorBidi"/>
        </w:rPr>
      </w:pPr>
      <w:r w:rsidRPr="00ED7E61">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color w:val="000000"/>
        </w:rPr>
        <w:t xml:space="preserve"> OECD Secretariat manages the database and ensures consistency in the way data are classified (incl. compliance with definitions and internationally agreed classifications) and undertakes quality checks.</w:t>
      </w:r>
      <w:r w:rsidRPr="00ED7E61">
        <w:rPr>
          <w:rStyle w:val="eop"/>
          <w:rFonts w:asciiTheme="majorBidi" w:eastAsiaTheme="majorEastAsia" w:hAnsiTheme="majorBidi" w:cstheme="majorBidi"/>
          <w:color w:val="000000"/>
        </w:rPr>
        <w:t> </w:t>
      </w:r>
    </w:p>
    <w:p w14:paraId="208AAF2A" w14:textId="6778222C" w:rsidR="00B737C5" w:rsidRPr="00ED7E61" w:rsidRDefault="00756F0F" w:rsidP="00B10F0C">
      <w:pPr>
        <w:pStyle w:val="CBDNormalNumber"/>
        <w:numPr>
          <w:ilvl w:val="0"/>
          <w:numId w:val="93"/>
        </w:numPr>
        <w:shd w:val="clear" w:color="auto" w:fill="FFFFFF"/>
        <w:spacing w:after="0"/>
        <w:ind w:left="567" w:firstLine="0"/>
        <w:rPr>
          <w:rFonts w:asciiTheme="majorBidi" w:hAnsiTheme="majorBidi" w:cstheme="majorBidi"/>
        </w:rPr>
      </w:pPr>
      <w:r w:rsidRPr="00FB1598">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color w:val="000000"/>
        </w:rPr>
        <w:t xml:space="preserve"> questionnaire, data structure, and typology and definitions of instruments can be found on the </w:t>
      </w:r>
      <w:r w:rsidR="00D20B01">
        <w:rPr>
          <w:rStyle w:val="normaltextrun"/>
          <w:rFonts w:asciiTheme="majorBidi" w:eastAsiaTheme="majorEastAsia" w:hAnsiTheme="majorBidi" w:cstheme="majorBidi"/>
          <w:color w:val="000000"/>
        </w:rPr>
        <w:t>“</w:t>
      </w:r>
      <w:r w:rsidRPr="00FB1598">
        <w:rPr>
          <w:rStyle w:val="normaltextrun"/>
          <w:rFonts w:asciiTheme="majorBidi" w:eastAsiaTheme="majorEastAsia" w:hAnsiTheme="majorBidi" w:cstheme="majorBidi"/>
          <w:i/>
          <w:iCs/>
          <w:color w:val="000000"/>
        </w:rPr>
        <w:t>About</w:t>
      </w:r>
      <w:r w:rsidR="00D20B01">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section of the PINE database website available at: </w:t>
      </w:r>
      <w:hyperlink r:id="rId553" w:tgtFrame="_blank" w:history="1">
        <w:r w:rsidRPr="00ED7E61">
          <w:rPr>
            <w:rStyle w:val="normaltextrun"/>
            <w:rFonts w:asciiTheme="majorBidi" w:eastAsiaTheme="majorEastAsia" w:hAnsiTheme="majorBidi" w:cstheme="majorBidi"/>
            <w:color w:val="467886"/>
            <w:u w:val="single"/>
          </w:rPr>
          <w:t>http://oe.cd/pinedatabase</w:t>
        </w:r>
      </w:hyperlink>
      <w:r w:rsidR="004A6C25">
        <w:rPr>
          <w:rStyle w:val="normaltextrun"/>
          <w:rFonts w:asciiTheme="majorBidi" w:eastAsiaTheme="majorEastAsia" w:hAnsiTheme="majorBidi" w:cstheme="majorBidi"/>
          <w:color w:val="467886"/>
          <w:u w:val="single"/>
        </w:rPr>
        <w:t>.</w:t>
      </w:r>
      <w:r w:rsidRPr="00ED7E61">
        <w:rPr>
          <w:rStyle w:val="normaltextrun"/>
          <w:rFonts w:asciiTheme="majorBidi" w:eastAsiaTheme="majorEastAsia" w:hAnsiTheme="majorBidi" w:cstheme="majorBidi"/>
          <w:color w:val="000000"/>
        </w:rPr>
        <w:t> </w:t>
      </w:r>
      <w:r w:rsidRPr="00ED7E61">
        <w:rPr>
          <w:rStyle w:val="eop"/>
          <w:rFonts w:asciiTheme="majorBidi" w:eastAsiaTheme="majorEastAsia" w:hAnsiTheme="majorBidi" w:cstheme="majorBidi"/>
          <w:color w:val="000000"/>
        </w:rPr>
        <w:t> </w:t>
      </w:r>
    </w:p>
    <w:p w14:paraId="7F555887" w14:textId="2139EC06" w:rsidR="00B737C5" w:rsidRPr="00ED7E61" w:rsidRDefault="00756F0F" w:rsidP="00B10F0C">
      <w:pPr>
        <w:pStyle w:val="CBDNormalNumber"/>
        <w:numPr>
          <w:ilvl w:val="0"/>
          <w:numId w:val="93"/>
        </w:numPr>
        <w:shd w:val="clear" w:color="auto" w:fill="FFFFFF"/>
        <w:spacing w:after="0"/>
        <w:ind w:left="567" w:firstLine="0"/>
        <w:rPr>
          <w:rFonts w:asciiTheme="majorBidi" w:hAnsiTheme="majorBidi" w:cstheme="majorBidi"/>
        </w:rPr>
      </w:pPr>
      <w:r w:rsidRPr="00FB1598">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color w:val="000000"/>
        </w:rPr>
        <w:t xml:space="preserve"> data on monetary value of positive incentives (revenues or payments) is reported in millions of local currency per year in current prices. For biodiversity offsets this could include private transactions for example when purchasing offsets through biobanking, payments for one-off offsets and payments to government if payment in lieu scheme.</w:t>
      </w:r>
      <w:r w:rsidRPr="00ED7E61">
        <w:rPr>
          <w:rStyle w:val="eop"/>
          <w:rFonts w:asciiTheme="majorBidi" w:eastAsiaTheme="majorEastAsia" w:hAnsiTheme="majorBidi" w:cstheme="majorBidi"/>
          <w:color w:val="000000"/>
        </w:rPr>
        <w:t> </w:t>
      </w:r>
    </w:p>
    <w:p w14:paraId="72999DBF" w14:textId="064831AE" w:rsidR="00B737C5" w:rsidRPr="00ED7E61" w:rsidRDefault="00756F0F" w:rsidP="00B10F0C">
      <w:pPr>
        <w:pStyle w:val="CBDNormalNumber"/>
        <w:numPr>
          <w:ilvl w:val="0"/>
          <w:numId w:val="93"/>
        </w:numPr>
        <w:shd w:val="clear" w:color="auto" w:fill="FFFFFF"/>
        <w:spacing w:after="0"/>
        <w:ind w:left="567" w:firstLine="0"/>
        <w:rPr>
          <w:rFonts w:asciiTheme="majorBidi" w:hAnsiTheme="majorBidi" w:cstheme="majorBidi"/>
        </w:rPr>
      </w:pPr>
      <w:r w:rsidRPr="00FB1598">
        <w:rPr>
          <w:rStyle w:val="normaltextrun"/>
          <w:rFonts w:asciiTheme="majorBidi" w:eastAsiaTheme="majorEastAsia" w:hAnsiTheme="majorBidi" w:cstheme="majorBidi"/>
        </w:rPr>
        <w:t>Information</w:t>
      </w:r>
      <w:r w:rsidRPr="00ED7E61">
        <w:rPr>
          <w:rStyle w:val="normaltextrun"/>
          <w:rFonts w:asciiTheme="majorBidi" w:eastAsiaTheme="majorEastAsia" w:hAnsiTheme="majorBidi" w:cstheme="majorBidi"/>
          <w:color w:val="000000"/>
        </w:rPr>
        <w:t xml:space="preserve"> is available by country at the individual policy instrument level. Dashboards aggregated up to the global level are also presented in the data dissemination portal.  Data on biodiversity-related economic instruments (positive incentives) are presented and analysed in OECD reports on “</w:t>
      </w:r>
      <w:r w:rsidRPr="00FB1598">
        <w:rPr>
          <w:rStyle w:val="normaltextrun"/>
          <w:rFonts w:asciiTheme="majorBidi" w:eastAsiaTheme="majorEastAsia" w:hAnsiTheme="majorBidi" w:cstheme="majorBidi"/>
          <w:i/>
          <w:iCs/>
          <w:color w:val="000000"/>
        </w:rPr>
        <w:t>Tracking Economic Instruments and Finance for Biodiversity</w:t>
      </w:r>
      <w:r w:rsidRPr="00ED7E61">
        <w:rPr>
          <w:rStyle w:val="normaltextrun"/>
          <w:rFonts w:asciiTheme="majorBidi" w:eastAsiaTheme="majorEastAsia" w:hAnsiTheme="majorBidi" w:cstheme="majorBidi"/>
          <w:color w:val="000000"/>
        </w:rPr>
        <w:t>” which is updated on a regular basis. The latest release was in 2021, with the next update to take place in 2024. </w:t>
      </w:r>
      <w:r w:rsidRPr="00ED7E61">
        <w:rPr>
          <w:rStyle w:val="eop"/>
          <w:rFonts w:asciiTheme="majorBidi" w:eastAsiaTheme="majorEastAsia" w:hAnsiTheme="majorBidi" w:cstheme="majorBidi"/>
          <w:color w:val="000000"/>
        </w:rPr>
        <w:t> </w:t>
      </w:r>
    </w:p>
    <w:p w14:paraId="565F56A8" w14:textId="06C3E77A"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FB1598">
        <w:rPr>
          <w:rStyle w:val="normaltextrun"/>
          <w:rFonts w:asciiTheme="majorBidi" w:eastAsiaTheme="majorEastAsia" w:hAnsiTheme="majorBidi" w:cstheme="majorBidi"/>
        </w:rPr>
        <w:t>All</w:t>
      </w:r>
      <w:r w:rsidRPr="00ED7E61">
        <w:rPr>
          <w:rStyle w:val="normaltextrun"/>
          <w:rFonts w:asciiTheme="majorBidi" w:eastAsiaTheme="majorEastAsia" w:hAnsiTheme="majorBidi" w:cstheme="majorBidi"/>
          <w:color w:val="000000"/>
        </w:rPr>
        <w:t xml:space="preserve"> countries are welcome to contribute to the OECD PINE database. Currently more than 130 countries have contributed. Countries may either use the data in PINE to report to the CBD or provide data directly to the CBD from their national reporting systems. Countries are encouraged to establish national systems for collecting data on positive incentives for biodiversity.</w:t>
      </w:r>
      <w:r w:rsidRPr="00ED7E61">
        <w:rPr>
          <w:rStyle w:val="eop"/>
          <w:rFonts w:asciiTheme="majorBidi" w:eastAsiaTheme="majorEastAsia" w:hAnsiTheme="majorBidi" w:cstheme="majorBidi"/>
          <w:color w:val="000000"/>
        </w:rPr>
        <w:t> </w:t>
      </w:r>
    </w:p>
    <w:p w14:paraId="228C3D1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5c. Data collection method </w:t>
      </w:r>
      <w:r w:rsidRPr="00ED7E61">
        <w:rPr>
          <w:rStyle w:val="eop"/>
          <w:rFonts w:asciiTheme="majorBidi" w:eastAsiaTheme="majorEastAsia" w:hAnsiTheme="majorBidi" w:cstheme="majorBidi"/>
          <w:b/>
          <w:bCs/>
          <w:sz w:val="22"/>
          <w:szCs w:val="22"/>
        </w:rPr>
        <w:t> </w:t>
      </w:r>
    </w:p>
    <w:p w14:paraId="4E004F7B" w14:textId="63EA5877" w:rsidR="00B46714"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Data on positive incentives for biodiversity, reported via the OECD PINE database are collected via a network of 450+ registered country experts from government agencies (Ministries of Finance and Environment, statistical institutes) as well as research institutes and international organisations. Data are collected regularly for OECD members, accession countries and OECD key partners. A growing number of non-member countries also contribute data to PINE. The OECD also conducts targeted data collection initiatives to expand the coverage of countries and update the information. Currently the PINE database includes information from 134 countries (~70% of Parties to the CBD). </w:t>
      </w:r>
      <w:r w:rsidRPr="00ED7E61">
        <w:rPr>
          <w:rStyle w:val="eop"/>
          <w:rFonts w:asciiTheme="majorBidi" w:eastAsiaTheme="majorEastAsia" w:hAnsiTheme="majorBidi" w:cstheme="majorBidi"/>
          <w:color w:val="000000"/>
        </w:rPr>
        <w:t> </w:t>
      </w:r>
    </w:p>
    <w:p w14:paraId="75953E55" w14:textId="7777777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Registered experts are asked to update data at least once a year, typically in January or February, through an online password-protected interface. Country experts register to access the database. </w:t>
      </w:r>
      <w:r w:rsidRPr="00ED7E61">
        <w:rPr>
          <w:rStyle w:val="eop"/>
          <w:rFonts w:asciiTheme="majorBidi" w:eastAsiaTheme="majorEastAsia" w:hAnsiTheme="majorBidi" w:cstheme="majorBidi"/>
          <w:color w:val="000000"/>
        </w:rPr>
        <w:t> </w:t>
      </w:r>
    </w:p>
    <w:p w14:paraId="798536F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b/>
          <w:bCs/>
          <w:sz w:val="22"/>
          <w:szCs w:val="22"/>
        </w:rPr>
        <w:t> </w:t>
      </w:r>
    </w:p>
    <w:p w14:paraId="1B4E271A" w14:textId="3A50A74C" w:rsidR="00B46714" w:rsidRPr="00ED7E61" w:rsidRDefault="00756F0F" w:rsidP="00B10F0C">
      <w:pPr>
        <w:pStyle w:val="CBDNormalNumber"/>
        <w:numPr>
          <w:ilvl w:val="0"/>
          <w:numId w:val="93"/>
        </w:numPr>
        <w:shd w:val="clear" w:color="auto" w:fill="FFFFFF"/>
        <w:ind w:left="567" w:firstLine="0"/>
        <w:rPr>
          <w:rFonts w:asciiTheme="majorBidi" w:hAnsiTheme="majorBidi" w:cstheme="majorBidi"/>
          <w:color w:val="0F4761"/>
        </w:rPr>
      </w:pPr>
      <w:r w:rsidRPr="00ED7E61">
        <w:rPr>
          <w:rStyle w:val="normaltextrun"/>
          <w:rFonts w:asciiTheme="majorBidi" w:eastAsiaTheme="majorEastAsia" w:hAnsiTheme="majorBidi" w:cstheme="majorBidi"/>
          <w:color w:val="000000"/>
        </w:rPr>
        <w:t xml:space="preserve">The PINE data are publicly available on the OECD website. See  </w:t>
      </w:r>
      <w:hyperlink r:id="rId554" w:tgtFrame="_blank" w:history="1">
        <w:r w:rsidRPr="00ED7E61">
          <w:rPr>
            <w:rStyle w:val="normaltextrun"/>
            <w:rFonts w:asciiTheme="majorBidi" w:eastAsiaTheme="majorEastAsia" w:hAnsiTheme="majorBidi" w:cstheme="majorBidi"/>
            <w:color w:val="467886"/>
            <w:u w:val="single"/>
          </w:rPr>
          <w:t>http://oe.cd/pinedatabase</w:t>
        </w:r>
      </w:hyperlink>
      <w:r w:rsidRPr="00ED7E61">
        <w:rPr>
          <w:rStyle w:val="normaltextrun"/>
          <w:rFonts w:asciiTheme="majorBidi" w:eastAsiaTheme="majorEastAsia" w:hAnsiTheme="majorBidi" w:cstheme="majorBidi"/>
          <w:color w:val="000000"/>
        </w:rPr>
        <w:t> </w:t>
      </w:r>
      <w:r w:rsidRPr="00ED7E61">
        <w:rPr>
          <w:rStyle w:val="eop"/>
          <w:rFonts w:asciiTheme="majorBidi" w:eastAsiaTheme="majorEastAsia" w:hAnsiTheme="majorBidi" w:cstheme="majorBidi"/>
          <w:color w:val="000000"/>
        </w:rPr>
        <w:t> </w:t>
      </w:r>
    </w:p>
    <w:p w14:paraId="4F1B9705" w14:textId="7777777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The PINE data can be accessed:</w:t>
      </w:r>
      <w:r w:rsidRPr="00ED7E61">
        <w:rPr>
          <w:rStyle w:val="eop"/>
          <w:rFonts w:asciiTheme="majorBidi" w:eastAsiaTheme="majorEastAsia" w:hAnsiTheme="majorBidi" w:cstheme="majorBidi"/>
          <w:color w:val="000000"/>
        </w:rPr>
        <w:t> </w:t>
      </w:r>
    </w:p>
    <w:p w14:paraId="707D7BEC" w14:textId="77777777" w:rsidR="00756F0F" w:rsidRPr="00ED7E61" w:rsidRDefault="00756F0F" w:rsidP="00B10F0C">
      <w:pPr>
        <w:pStyle w:val="CBDNormalNumber"/>
        <w:numPr>
          <w:ilvl w:val="0"/>
          <w:numId w:val="27"/>
        </w:numPr>
        <w:tabs>
          <w:tab w:val="clear" w:pos="567"/>
          <w:tab w:val="clear" w:pos="1134"/>
          <w:tab w:val="clear" w:pos="1701"/>
          <w:tab w:val="clear" w:pos="2268"/>
          <w:tab w:val="left" w:pos="1985"/>
        </w:tabs>
        <w:ind w:firstLine="5884"/>
        <w:rPr>
          <w:rStyle w:val="normaltextrun"/>
          <w:rFonts w:eastAsiaTheme="majorEastAsia"/>
        </w:rPr>
      </w:pPr>
      <w:r w:rsidRPr="00ED7E61">
        <w:rPr>
          <w:rStyle w:val="normaltextrun"/>
          <w:rFonts w:asciiTheme="majorBidi" w:eastAsiaTheme="majorEastAsia" w:hAnsiTheme="majorBidi" w:cstheme="majorBidi"/>
        </w:rPr>
        <w:t>by type of economic instrument (tax, fee/charge, tradable permit, etc.)</w:t>
      </w:r>
      <w:r w:rsidRPr="00ED7E61">
        <w:rPr>
          <w:rStyle w:val="normaltextrun"/>
        </w:rPr>
        <w:t> </w:t>
      </w:r>
    </w:p>
    <w:p w14:paraId="1907F629" w14:textId="77777777" w:rsidR="00756F0F" w:rsidRPr="00ED7E61" w:rsidRDefault="00756F0F" w:rsidP="00B10F0C">
      <w:pPr>
        <w:pStyle w:val="CBDNormalNumber"/>
        <w:numPr>
          <w:ilvl w:val="0"/>
          <w:numId w:val="27"/>
        </w:numPr>
        <w:tabs>
          <w:tab w:val="clear" w:pos="567"/>
          <w:tab w:val="clear" w:pos="1134"/>
          <w:tab w:val="clear" w:pos="1701"/>
          <w:tab w:val="clear" w:pos="2268"/>
          <w:tab w:val="left" w:pos="1985"/>
        </w:tabs>
        <w:ind w:firstLine="5884"/>
        <w:rPr>
          <w:rStyle w:val="normaltextrun"/>
          <w:rFonts w:eastAsiaTheme="majorEastAsia"/>
        </w:rPr>
      </w:pPr>
      <w:r w:rsidRPr="00ED7E61">
        <w:rPr>
          <w:rStyle w:val="normaltextrun"/>
          <w:rFonts w:asciiTheme="majorBidi" w:eastAsiaTheme="majorEastAsia" w:hAnsiTheme="majorBidi" w:cstheme="majorBidi"/>
        </w:rPr>
        <w:t>by country: click on "</w:t>
      </w:r>
      <w:r w:rsidRPr="00FB1598">
        <w:rPr>
          <w:rStyle w:val="normaltextrun"/>
          <w:rFonts w:asciiTheme="majorBidi" w:eastAsiaTheme="majorEastAsia" w:hAnsiTheme="majorBidi" w:cstheme="majorBidi"/>
          <w:i/>
          <w:iCs/>
        </w:rPr>
        <w:t>All information</w:t>
      </w:r>
      <w:r w:rsidRPr="00ED7E61">
        <w:rPr>
          <w:rStyle w:val="normaltextrun"/>
          <w:rFonts w:asciiTheme="majorBidi" w:eastAsiaTheme="majorEastAsia" w:hAnsiTheme="majorBidi" w:cstheme="majorBidi"/>
        </w:rPr>
        <w:t>"</w:t>
      </w:r>
      <w:r w:rsidRPr="00ED7E61">
        <w:rPr>
          <w:rStyle w:val="normaltextrun"/>
        </w:rPr>
        <w:t> </w:t>
      </w:r>
    </w:p>
    <w:p w14:paraId="617B4C3F" w14:textId="77777777" w:rsidR="00756F0F" w:rsidRPr="00ED7E61" w:rsidRDefault="00756F0F" w:rsidP="00B10F0C">
      <w:pPr>
        <w:pStyle w:val="CBDNormalNumber"/>
        <w:numPr>
          <w:ilvl w:val="0"/>
          <w:numId w:val="27"/>
        </w:numPr>
        <w:tabs>
          <w:tab w:val="clear" w:pos="567"/>
          <w:tab w:val="clear" w:pos="1134"/>
          <w:tab w:val="clear" w:pos="1701"/>
          <w:tab w:val="clear" w:pos="2268"/>
          <w:tab w:val="left" w:pos="1985"/>
        </w:tabs>
        <w:ind w:firstLine="5884"/>
        <w:rPr>
          <w:rStyle w:val="normaltextrun"/>
          <w:rFonts w:eastAsiaTheme="majorEastAsia"/>
        </w:rPr>
      </w:pPr>
      <w:r w:rsidRPr="00ED7E61">
        <w:rPr>
          <w:rStyle w:val="normaltextrun"/>
          <w:rFonts w:asciiTheme="majorBidi" w:eastAsiaTheme="majorEastAsia" w:hAnsiTheme="majorBidi" w:cstheme="majorBidi"/>
        </w:rPr>
        <w:t>by industry: click on "</w:t>
      </w:r>
      <w:r w:rsidRPr="00FB1598">
        <w:rPr>
          <w:rStyle w:val="normaltextrun"/>
          <w:rFonts w:asciiTheme="majorBidi" w:eastAsiaTheme="majorEastAsia" w:hAnsiTheme="majorBidi" w:cstheme="majorBidi"/>
          <w:i/>
          <w:iCs/>
        </w:rPr>
        <w:t>ISIC/COICOP Codes</w:t>
      </w:r>
      <w:r w:rsidRPr="00ED7E61">
        <w:rPr>
          <w:rStyle w:val="normaltextrun"/>
          <w:rFonts w:asciiTheme="majorBidi" w:eastAsiaTheme="majorEastAsia" w:hAnsiTheme="majorBidi" w:cstheme="majorBidi"/>
        </w:rPr>
        <w:t>"</w:t>
      </w:r>
      <w:r w:rsidRPr="00ED7E61">
        <w:rPr>
          <w:rStyle w:val="normaltextrun"/>
        </w:rPr>
        <w:t> </w:t>
      </w:r>
    </w:p>
    <w:p w14:paraId="5229066B" w14:textId="4DFDF71B" w:rsidR="00756F0F" w:rsidRPr="00ED7E61" w:rsidRDefault="00756F0F" w:rsidP="00B10F0C">
      <w:pPr>
        <w:pStyle w:val="CBDNormalNumber"/>
        <w:numPr>
          <w:ilvl w:val="0"/>
          <w:numId w:val="27"/>
        </w:numPr>
        <w:tabs>
          <w:tab w:val="clear" w:pos="567"/>
          <w:tab w:val="clear" w:pos="1134"/>
          <w:tab w:val="clear" w:pos="1701"/>
          <w:tab w:val="clear" w:pos="2268"/>
          <w:tab w:val="left" w:pos="1985"/>
        </w:tabs>
        <w:ind w:firstLine="5884"/>
        <w:rPr>
          <w:rStyle w:val="normaltextrun"/>
          <w:rFonts w:eastAsiaTheme="majorEastAsia"/>
        </w:rPr>
      </w:pPr>
      <w:r w:rsidRPr="00ED7E61">
        <w:rPr>
          <w:rStyle w:val="normaltextrun"/>
          <w:rFonts w:asciiTheme="majorBidi" w:eastAsiaTheme="majorEastAsia" w:hAnsiTheme="majorBidi" w:cstheme="majorBidi"/>
        </w:rPr>
        <w:t>by environmental domain (e.g. biodiversity, climate change, air pollution, etc</w:t>
      </w:r>
      <w:r w:rsidR="00A9006D">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w:t>
      </w:r>
      <w:r w:rsidRPr="00ED7E61">
        <w:rPr>
          <w:rStyle w:val="normaltextrun"/>
        </w:rPr>
        <w:t> </w:t>
      </w:r>
    </w:p>
    <w:p w14:paraId="0AE8288A" w14:textId="77777777" w:rsidR="00756F0F" w:rsidRPr="00ED7E61" w:rsidRDefault="00756F0F" w:rsidP="00B10F0C">
      <w:pPr>
        <w:pStyle w:val="CBDNormalNumber"/>
        <w:numPr>
          <w:ilvl w:val="0"/>
          <w:numId w:val="93"/>
        </w:numPr>
        <w:shd w:val="clear" w:color="auto" w:fill="FFFFFF"/>
        <w:ind w:left="567" w:firstLine="0"/>
        <w:rPr>
          <w:rStyle w:val="normaltextrun"/>
          <w:rFonts w:eastAsiaTheme="majorEastAsia"/>
          <w:color w:val="000000"/>
        </w:rPr>
      </w:pPr>
      <w:r w:rsidRPr="00ED7E61">
        <w:rPr>
          <w:rStyle w:val="normaltextrun"/>
          <w:rFonts w:asciiTheme="majorBidi" w:eastAsiaTheme="majorEastAsia" w:hAnsiTheme="majorBidi" w:cstheme="majorBidi"/>
          <w:color w:val="000000"/>
        </w:rPr>
        <w:t>The data analysis for the indicators on biodiversity-relevant positive incentives is undertaken by extracting the relevant information in the PINE database for the biodiversity environmental domain.</w:t>
      </w:r>
      <w:r w:rsidRPr="00ED7E61">
        <w:rPr>
          <w:rStyle w:val="normaltextrun"/>
        </w:rPr>
        <w:t> </w:t>
      </w:r>
    </w:p>
    <w:p w14:paraId="0767FEAB" w14:textId="77777777" w:rsidR="00756F0F" w:rsidRPr="00ED7E61" w:rsidRDefault="00756F0F" w:rsidP="00B10F0C">
      <w:pPr>
        <w:pStyle w:val="CBDNormalNumber"/>
        <w:numPr>
          <w:ilvl w:val="0"/>
          <w:numId w:val="93"/>
        </w:numPr>
        <w:shd w:val="clear" w:color="auto" w:fill="FFFFFF"/>
        <w:ind w:left="567" w:firstLine="0"/>
        <w:rPr>
          <w:rStyle w:val="normaltextrun"/>
          <w:rFonts w:eastAsiaTheme="majorEastAsia"/>
          <w:color w:val="000000"/>
        </w:rPr>
      </w:pPr>
      <w:r w:rsidRPr="00ED7E61">
        <w:rPr>
          <w:rStyle w:val="normaltextrun"/>
          <w:rFonts w:asciiTheme="majorBidi" w:eastAsiaTheme="majorEastAsia" w:hAnsiTheme="majorBidi" w:cstheme="majorBidi"/>
          <w:color w:val="000000"/>
        </w:rPr>
        <w:t>The methodology has been approved by OECD delegates.</w:t>
      </w:r>
      <w:r w:rsidRPr="00ED7E61">
        <w:rPr>
          <w:rStyle w:val="normaltextrun"/>
        </w:rPr>
        <w:t> </w:t>
      </w:r>
    </w:p>
    <w:p w14:paraId="3BA1930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b/>
          <w:bCs/>
          <w:sz w:val="22"/>
          <w:szCs w:val="22"/>
        </w:rPr>
        <w:t> </w:t>
      </w:r>
    </w:p>
    <w:p w14:paraId="40915FA3" w14:textId="7777777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Data come mainly from government agencies (e.g. Ministries of Finance and Environment; statistical institutes) as well as research institutes and international organisations. See section 5c for further detail. </w:t>
      </w:r>
      <w:r w:rsidRPr="00ED7E61">
        <w:rPr>
          <w:rStyle w:val="eop"/>
          <w:rFonts w:asciiTheme="majorBidi" w:eastAsiaTheme="majorEastAsia" w:hAnsiTheme="majorBidi" w:cstheme="majorBidi"/>
          <w:color w:val="000000"/>
        </w:rPr>
        <w:t> </w:t>
      </w:r>
    </w:p>
    <w:p w14:paraId="240EB4A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b/>
          <w:bCs/>
          <w:sz w:val="22"/>
          <w:szCs w:val="22"/>
        </w:rPr>
        <w:t> </w:t>
      </w:r>
    </w:p>
    <w:p w14:paraId="633431BE" w14:textId="7777777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Data is available from 1980-present. Updated annually.</w:t>
      </w:r>
      <w:r w:rsidRPr="00ED7E61">
        <w:rPr>
          <w:rStyle w:val="eop"/>
          <w:rFonts w:asciiTheme="majorBidi" w:eastAsiaTheme="majorEastAsia" w:hAnsiTheme="majorBidi" w:cstheme="majorBidi"/>
          <w:color w:val="000000"/>
        </w:rPr>
        <w:t> </w:t>
      </w:r>
    </w:p>
    <w:p w14:paraId="64653B2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5g. Time series </w:t>
      </w:r>
      <w:r w:rsidRPr="00ED7E61">
        <w:rPr>
          <w:rStyle w:val="eop"/>
          <w:rFonts w:asciiTheme="majorBidi" w:eastAsiaTheme="majorEastAsia" w:hAnsiTheme="majorBidi" w:cstheme="majorBidi"/>
          <w:b/>
          <w:bCs/>
          <w:sz w:val="22"/>
          <w:szCs w:val="22"/>
        </w:rPr>
        <w:t> </w:t>
      </w:r>
    </w:p>
    <w:p w14:paraId="1A9A83E3" w14:textId="77777777" w:rsidR="00756F0F" w:rsidRPr="00ED7E61" w:rsidRDefault="00756F0F" w:rsidP="00B10F0C">
      <w:pPr>
        <w:pStyle w:val="CBDNormalNumber"/>
        <w:numPr>
          <w:ilvl w:val="0"/>
          <w:numId w:val="93"/>
        </w:numPr>
        <w:shd w:val="clear" w:color="auto" w:fill="FFFFFF"/>
        <w:ind w:left="567" w:firstLine="0"/>
        <w:rPr>
          <w:rStyle w:val="normaltextrun"/>
          <w:rFonts w:eastAsiaTheme="majorEastAsia"/>
          <w:color w:val="000000"/>
          <w:sz w:val="24"/>
          <w:szCs w:val="24"/>
          <w:lang w:val="en-CA"/>
        </w:rPr>
      </w:pPr>
      <w:r w:rsidRPr="00ED7E61">
        <w:rPr>
          <w:rStyle w:val="normaltextrun"/>
          <w:rFonts w:asciiTheme="majorBidi" w:eastAsiaTheme="majorEastAsia" w:hAnsiTheme="majorBidi" w:cstheme="majorBidi"/>
          <w:color w:val="000000"/>
        </w:rPr>
        <w:t>Data on positive incentives for biodiversity are available from 1980-present for 134 countries and are updated annually. OECD’s Tracking Economic Instruments and Finance reports (updated regularly, for example in 2019, 2020 and 2021) summarises and analyses the biodiversity-related instruments in the PINE database (next update forthcoming 2024). The annually updated data is publicly accessible on the OECD PINE website.</w:t>
      </w:r>
      <w:r w:rsidRPr="00ED7E61">
        <w:rPr>
          <w:rStyle w:val="normaltextrun"/>
        </w:rPr>
        <w:t> </w:t>
      </w:r>
    </w:p>
    <w:p w14:paraId="34C24A9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b/>
          <w:bCs/>
          <w:sz w:val="22"/>
          <w:szCs w:val="22"/>
        </w:rPr>
        <w:t> </w:t>
      </w:r>
    </w:p>
    <w:p w14:paraId="1CB48CBA" w14:textId="7777777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Data providers are a network of 450+ registered country experts from government agencies (Ministries of Finance and Environment, statistical institutes) as well as research institutes and international organisations. Data are collected systematically for OECD members as well as the active OECD accession countries. A growing number of non-member countries also provide information. Registered experts are asked to update data at least once a year, typically in January or February, through a password-protected interface. All countries are welcome to contribute data to the OECD PINE database. </w:t>
      </w:r>
      <w:r w:rsidRPr="00ED7E61">
        <w:rPr>
          <w:rStyle w:val="eop"/>
          <w:rFonts w:asciiTheme="majorBidi" w:eastAsiaTheme="majorEastAsia" w:hAnsiTheme="majorBidi" w:cstheme="majorBidi"/>
          <w:color w:val="000000"/>
        </w:rPr>
        <w:t> </w:t>
      </w:r>
    </w:p>
    <w:p w14:paraId="55877770" w14:textId="7777777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Countries can also provide data directly to CBD.</w:t>
      </w:r>
      <w:r w:rsidRPr="00ED7E61">
        <w:rPr>
          <w:rStyle w:val="eop"/>
          <w:rFonts w:asciiTheme="majorBidi" w:eastAsiaTheme="majorEastAsia" w:hAnsiTheme="majorBidi" w:cstheme="majorBidi"/>
          <w:color w:val="000000"/>
        </w:rPr>
        <w:t> </w:t>
      </w:r>
    </w:p>
    <w:p w14:paraId="48FDE28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5i. Data compilers </w:t>
      </w:r>
      <w:r w:rsidRPr="00ED7E61">
        <w:rPr>
          <w:rStyle w:val="eop"/>
          <w:rFonts w:asciiTheme="majorBidi" w:eastAsiaTheme="majorEastAsia" w:hAnsiTheme="majorBidi" w:cstheme="majorBidi"/>
          <w:b/>
          <w:bCs/>
          <w:sz w:val="22"/>
          <w:szCs w:val="22"/>
        </w:rPr>
        <w:t> </w:t>
      </w:r>
    </w:p>
    <w:p w14:paraId="4EE8ED0D" w14:textId="7777777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The OECD Secretariat is responsible for collecting and harmonising the data. Data validation is undertaken by the OECD Secretariat in collaboration with the reporting countries.</w:t>
      </w:r>
      <w:r w:rsidRPr="00ED7E61">
        <w:rPr>
          <w:rStyle w:val="eop"/>
          <w:rFonts w:asciiTheme="majorBidi" w:eastAsiaTheme="majorEastAsia" w:hAnsiTheme="majorBidi" w:cstheme="majorBidi"/>
          <w:color w:val="000000"/>
        </w:rPr>
        <w:t> </w:t>
      </w:r>
    </w:p>
    <w:p w14:paraId="58DADD8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b/>
          <w:bCs/>
          <w:sz w:val="22"/>
          <w:szCs w:val="22"/>
        </w:rPr>
        <w:t> </w:t>
      </w:r>
    </w:p>
    <w:p w14:paraId="5F7204D2" w14:textId="47C14400"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 xml:space="preserve">The OECD PINE database includes data from </w:t>
      </w:r>
      <w:r w:rsidR="00225324">
        <w:rPr>
          <w:rStyle w:val="normaltextrun"/>
          <w:rFonts w:asciiTheme="majorBidi" w:eastAsiaTheme="majorEastAsia" w:hAnsiTheme="majorBidi" w:cstheme="majorBidi"/>
          <w:color w:val="000000"/>
        </w:rPr>
        <w:t>more than</w:t>
      </w:r>
      <w:r w:rsidR="00CE7236">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color w:val="000000"/>
        </w:rPr>
        <w:t>1</w:t>
      </w:r>
      <w:r w:rsidR="00225324">
        <w:rPr>
          <w:rStyle w:val="normaltextrun"/>
          <w:rFonts w:asciiTheme="majorBidi" w:eastAsiaTheme="majorEastAsia" w:hAnsiTheme="majorBidi" w:cstheme="majorBidi"/>
          <w:color w:val="000000"/>
        </w:rPr>
        <w:t>0</w:t>
      </w:r>
      <w:r w:rsidRPr="00ED7E61">
        <w:rPr>
          <w:rStyle w:val="normaltextrun"/>
          <w:rFonts w:asciiTheme="majorBidi" w:eastAsiaTheme="majorEastAsia" w:hAnsiTheme="majorBidi" w:cstheme="majorBidi"/>
          <w:color w:val="000000"/>
        </w:rPr>
        <w:t xml:space="preserve">4 countries (and is expanding over time). The data collection method may result in some reporting bias, as OECD members and active accession countries are likely to report data more regularly. All figures should be interpreted in this context. Data updates for countries may be delayed due to staff changes in the national teams providing the information. As the instrument categories on </w:t>
      </w:r>
      <w:r w:rsidR="00D20B01">
        <w:rPr>
          <w:rStyle w:val="normaltextrun"/>
          <w:rFonts w:asciiTheme="majorBidi" w:eastAsiaTheme="majorEastAsia" w:hAnsiTheme="majorBidi" w:cstheme="majorBidi"/>
          <w:color w:val="000000"/>
        </w:rPr>
        <w:t>“</w:t>
      </w:r>
      <w:r w:rsidRPr="00FB1598">
        <w:rPr>
          <w:rStyle w:val="normaltextrun"/>
          <w:rFonts w:asciiTheme="majorBidi" w:eastAsiaTheme="majorEastAsia" w:hAnsiTheme="majorBidi" w:cstheme="majorBidi"/>
          <w:i/>
          <w:iCs/>
          <w:color w:val="000000"/>
        </w:rPr>
        <w:t>payments for ecosystem services</w:t>
      </w:r>
      <w:r w:rsidR="00D20B01">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and on </w:t>
      </w:r>
      <w:r w:rsidR="00D20B01">
        <w:rPr>
          <w:rStyle w:val="normaltextrun"/>
          <w:rFonts w:asciiTheme="majorBidi" w:eastAsiaTheme="majorEastAsia" w:hAnsiTheme="majorBidi" w:cstheme="majorBidi"/>
          <w:color w:val="000000"/>
        </w:rPr>
        <w:t>“</w:t>
      </w:r>
      <w:r w:rsidRPr="00FB1598">
        <w:rPr>
          <w:rStyle w:val="normaltextrun"/>
          <w:rFonts w:asciiTheme="majorBidi" w:eastAsiaTheme="majorEastAsia" w:hAnsiTheme="majorBidi" w:cstheme="majorBidi"/>
          <w:i/>
          <w:iCs/>
          <w:color w:val="000000"/>
        </w:rPr>
        <w:t>biodiversity offsets</w:t>
      </w:r>
      <w:r w:rsidR="00D20B01">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were introduced into the PINE database in 2023, the data for these two types of positive incentives is likely to be less comprehensive than for the other types of positive incentives. It is expected that reporting on these two new instruments will improve over time. All countries are welcome to contribute to the PINE database.</w:t>
      </w:r>
      <w:r w:rsidRPr="00ED7E61">
        <w:rPr>
          <w:rStyle w:val="eop"/>
          <w:rFonts w:asciiTheme="majorBidi" w:eastAsiaTheme="majorEastAsia" w:hAnsiTheme="majorBidi" w:cstheme="majorBidi"/>
          <w:color w:val="000000"/>
        </w:rPr>
        <w:t> </w:t>
      </w:r>
    </w:p>
    <w:p w14:paraId="342FD8A3"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5k. Treatment of missing values</w:t>
      </w:r>
      <w:r w:rsidRPr="00ED7E61">
        <w:rPr>
          <w:rStyle w:val="eop"/>
          <w:rFonts w:asciiTheme="majorBidi" w:eastAsiaTheme="majorEastAsia" w:hAnsiTheme="majorBidi" w:cstheme="majorBidi"/>
          <w:b/>
          <w:bCs/>
          <w:sz w:val="22"/>
          <w:szCs w:val="22"/>
        </w:rPr>
        <w:t> </w:t>
      </w:r>
    </w:p>
    <w:p w14:paraId="2A96B1B8" w14:textId="5C1558D8" w:rsidR="00756F0F" w:rsidRPr="00ED7E61" w:rsidRDefault="00756F0F" w:rsidP="00B10F0C">
      <w:pPr>
        <w:pStyle w:val="CBDNormalNumber"/>
        <w:numPr>
          <w:ilvl w:val="0"/>
          <w:numId w:val="93"/>
        </w:numPr>
        <w:shd w:val="clear" w:color="auto" w:fill="FFFFFF"/>
        <w:ind w:left="567" w:firstLine="0"/>
        <w:rPr>
          <w:rStyle w:val="normaltextrun"/>
          <w:rFonts w:eastAsiaTheme="majorEastAsia"/>
          <w:color w:val="000000"/>
          <w:sz w:val="24"/>
          <w:szCs w:val="24"/>
          <w:lang w:val="en-CA"/>
        </w:rPr>
      </w:pPr>
      <w:r w:rsidRPr="00ED7E61">
        <w:rPr>
          <w:rStyle w:val="normaltextrun"/>
          <w:rFonts w:asciiTheme="majorBidi" w:eastAsiaTheme="majorEastAsia" w:hAnsiTheme="majorBidi" w:cstheme="majorBidi"/>
          <w:color w:val="000000"/>
        </w:rPr>
        <w:t>If data on positive incentives are missing, they may be imputed from other international data platforms where appropriate (e.g. EUROSTATOECD Revenue Statistics).</w:t>
      </w:r>
      <w:r w:rsidRPr="00ED7E61">
        <w:rPr>
          <w:rStyle w:val="normaltextrun"/>
        </w:rPr>
        <w:t> </w:t>
      </w:r>
    </w:p>
    <w:p w14:paraId="722CA4C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 Scale </w:t>
      </w:r>
      <w:r w:rsidRPr="00ED7E61">
        <w:rPr>
          <w:rStyle w:val="eop"/>
          <w:rFonts w:asciiTheme="majorBidi" w:eastAsiaTheme="majorEastAsia" w:hAnsiTheme="majorBidi" w:cstheme="majorBidi"/>
          <w:b/>
          <w:bCs/>
          <w:sz w:val="22"/>
          <w:szCs w:val="22"/>
        </w:rPr>
        <w:t> </w:t>
      </w:r>
    </w:p>
    <w:p w14:paraId="35BA4454" w14:textId="77777777" w:rsidR="00756F0F" w:rsidRPr="00ED7E61" w:rsidRDefault="00756F0F" w:rsidP="00324878">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6a. Scale of use </w:t>
      </w:r>
      <w:r w:rsidRPr="00ED7E61">
        <w:rPr>
          <w:rStyle w:val="eop"/>
          <w:rFonts w:asciiTheme="majorBidi" w:eastAsiaTheme="majorEastAsia" w:hAnsiTheme="majorBidi" w:cstheme="majorBidi"/>
          <w:b/>
          <w:bCs/>
          <w:sz w:val="22"/>
          <w:szCs w:val="22"/>
        </w:rPr>
        <w:t> </w:t>
      </w:r>
    </w:p>
    <w:p w14:paraId="45DC22DB" w14:textId="77777777" w:rsidR="00756F0F" w:rsidRPr="00ED7E61" w:rsidRDefault="00756F0F" w:rsidP="00324878">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Scale of application (please check all relevant boxes):</w:t>
      </w:r>
      <w:r w:rsidRPr="00ED7E61">
        <w:rPr>
          <w:rStyle w:val="normaltextrun"/>
          <w:rFonts w:asciiTheme="majorBidi" w:eastAsiaTheme="majorEastAsia" w:hAnsiTheme="majorBidi" w:cstheme="majorBidi"/>
          <w:i/>
          <w:iCs/>
          <w:sz w:val="22"/>
          <w:szCs w:val="22"/>
          <w:lang w:val="en-GB"/>
        </w:rPr>
        <w:t> </w:t>
      </w:r>
      <w:r w:rsidRPr="00ED7E61">
        <w:rPr>
          <w:rStyle w:val="eop"/>
          <w:rFonts w:asciiTheme="majorBidi" w:eastAsiaTheme="majorEastAsia" w:hAnsiTheme="majorBidi" w:cstheme="majorBidi"/>
          <w:sz w:val="22"/>
          <w:szCs w:val="22"/>
        </w:rPr>
        <w:t> </w:t>
      </w:r>
    </w:p>
    <w:p w14:paraId="29320B52" w14:textId="77777777" w:rsidR="00756F0F" w:rsidRPr="00ED7E61" w:rsidRDefault="00756F0F" w:rsidP="00324878">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Global: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 xml:space="preserve">Regional: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National</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77FDC69C" w14:textId="767275D2"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eop"/>
          <w:rFonts w:asciiTheme="majorBidi" w:eastAsiaTheme="majorEastAsia" w:hAnsiTheme="majorBidi" w:cstheme="majorBidi"/>
        </w:rPr>
        <w:t> </w:t>
      </w:r>
      <w:r w:rsidRPr="00FB1598">
        <w:rPr>
          <w:rStyle w:val="normaltextrun"/>
          <w:rFonts w:asciiTheme="majorBidi" w:eastAsiaTheme="majorEastAsia" w:hAnsiTheme="majorBidi" w:cstheme="majorBidi"/>
          <w:color w:val="000000"/>
        </w:rPr>
        <w:t>Scale</w:t>
      </w:r>
      <w:r w:rsidRPr="00ED7E61">
        <w:rPr>
          <w:rStyle w:val="normaltextrun"/>
          <w:rFonts w:asciiTheme="majorBidi" w:eastAsiaTheme="majorEastAsia" w:hAnsiTheme="majorBidi" w:cstheme="majorBidi"/>
        </w:rPr>
        <w:t xml:space="preserve"> of data disaggregation/aggregation: </w:t>
      </w:r>
      <w:r w:rsidRPr="00ED7E61">
        <w:rPr>
          <w:rStyle w:val="eop"/>
          <w:rFonts w:asciiTheme="majorBidi" w:eastAsiaTheme="majorEastAsia" w:hAnsiTheme="majorBidi" w:cstheme="majorBidi"/>
        </w:rPr>
        <w:t> </w:t>
      </w:r>
    </w:p>
    <w:p w14:paraId="5DB9371F" w14:textId="77777777" w:rsidR="00756F0F" w:rsidRPr="00ED7E61" w:rsidRDefault="00756F0F" w:rsidP="00B10F0C">
      <w:pPr>
        <w:pStyle w:val="CBDNormalNumber"/>
        <w:numPr>
          <w:ilvl w:val="0"/>
          <w:numId w:val="28"/>
        </w:numPr>
        <w:tabs>
          <w:tab w:val="clear" w:pos="567"/>
          <w:tab w:val="clear" w:pos="1134"/>
          <w:tab w:val="clear" w:pos="1701"/>
          <w:tab w:val="clear" w:pos="2268"/>
          <w:tab w:val="left" w:pos="1985"/>
        </w:tabs>
        <w:ind w:left="2410" w:hanging="1134"/>
        <w:rPr>
          <w:rStyle w:val="normaltextrun"/>
          <w:rFonts w:eastAsiaTheme="majorEastAsia"/>
        </w:rPr>
      </w:pPr>
      <w:r w:rsidRPr="00ED7E61">
        <w:rPr>
          <w:rStyle w:val="normaltextrun"/>
          <w:rFonts w:asciiTheme="majorBidi" w:eastAsiaTheme="majorEastAsia" w:hAnsiTheme="majorBidi" w:cstheme="majorBidi"/>
        </w:rPr>
        <w:t xml:space="preserve">Global/ regional scale indicator can be disaggregated to national level: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25848232" w14:textId="77777777" w:rsidR="00756F0F" w:rsidRPr="00ED7E61" w:rsidRDefault="00756F0F" w:rsidP="00B10F0C">
      <w:pPr>
        <w:pStyle w:val="CBDNormalNumber"/>
        <w:numPr>
          <w:ilvl w:val="0"/>
          <w:numId w:val="28"/>
        </w:numPr>
        <w:tabs>
          <w:tab w:val="clear" w:pos="567"/>
          <w:tab w:val="clear" w:pos="1134"/>
          <w:tab w:val="clear" w:pos="1701"/>
          <w:tab w:val="clear" w:pos="2268"/>
          <w:tab w:val="left" w:pos="1985"/>
        </w:tabs>
        <w:ind w:left="2410" w:hanging="1134"/>
        <w:rPr>
          <w:rStyle w:val="normaltextrun"/>
          <w:rFonts w:eastAsiaTheme="majorEastAsia"/>
        </w:rPr>
      </w:pPr>
      <w:r w:rsidRPr="00ED7E61">
        <w:rPr>
          <w:rStyle w:val="normaltextrun"/>
          <w:rFonts w:asciiTheme="majorBidi" w:eastAsiaTheme="majorEastAsia" w:hAnsiTheme="majorBidi" w:cstheme="majorBidi"/>
        </w:rPr>
        <w:t xml:space="preserve">National data is collated to form global indicator: </w:t>
      </w:r>
      <w:r w:rsidRPr="00ED7E61">
        <w:rPr>
          <w:rStyle w:val="normaltextrun"/>
          <w:rFonts w:eastAsiaTheme="majorEastAsia"/>
        </w:rPr>
        <w:t>​</w:t>
      </w:r>
      <w:r w:rsidRPr="00ED7E61">
        <w:rPr>
          <w:rStyle w:val="normaltextrun"/>
          <w:rFonts w:ascii="Segoe UI Symbol" w:eastAsiaTheme="majorEastAsia" w:hAnsi="Segoe UI Symbol" w:cs="Segoe UI Symbol"/>
        </w:rPr>
        <w:t>☒</w:t>
      </w:r>
      <w:r w:rsidRPr="00ED7E61">
        <w:rPr>
          <w:rStyle w:val="normaltextrun"/>
          <w:rFonts w:eastAsiaTheme="majorEastAsia"/>
        </w:rPr>
        <w:t>​</w:t>
      </w:r>
      <w:r w:rsidRPr="00ED7E61">
        <w:rPr>
          <w:rStyle w:val="normaltextrun"/>
        </w:rPr>
        <w:t> </w:t>
      </w:r>
    </w:p>
    <w:p w14:paraId="67837B26" w14:textId="39FE435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b/>
          <w:bCs/>
        </w:rPr>
      </w:pPr>
      <w:r w:rsidRPr="00FB1598">
        <w:rPr>
          <w:rStyle w:val="eop"/>
        </w:rPr>
        <w:t>Data</w:t>
      </w:r>
      <w:r w:rsidRPr="00ED7E61">
        <w:rPr>
          <w:rStyle w:val="normaltextrun"/>
          <w:rFonts w:asciiTheme="majorBidi" w:eastAsiaTheme="majorEastAsia" w:hAnsiTheme="majorBidi" w:cstheme="majorBidi"/>
          <w:color w:val="000000"/>
        </w:rPr>
        <w:t xml:space="preserve"> on positive incentives are collected at national level. Countries can specify whether the policy instrument is applied nationally or sub-nationally. National data can therefore be collated to provide global indicators (e.g.</w:t>
      </w:r>
      <w:r w:rsidR="00D63349">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color w:val="000000"/>
        </w:rPr>
        <w:t>total number of countries with biodiversity-relevant taxes [over time]; total number of biodiversity-relevant taxes [over time], etc</w:t>
      </w:r>
      <w:r w:rsidR="00194105">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w:t>
      </w:r>
      <w:r w:rsidRPr="00ED7E61">
        <w:rPr>
          <w:rStyle w:val="eop"/>
          <w:rFonts w:asciiTheme="majorBidi" w:eastAsiaTheme="majorEastAsia" w:hAnsiTheme="majorBidi" w:cstheme="majorBidi"/>
          <w:b/>
          <w:bCs/>
          <w:color w:val="000000"/>
        </w:rPr>
        <w:t> </w:t>
      </w:r>
    </w:p>
    <w:p w14:paraId="3A18497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6b. National/regional indicator production </w:t>
      </w:r>
      <w:r w:rsidRPr="00ED7E61">
        <w:rPr>
          <w:rStyle w:val="eop"/>
          <w:rFonts w:asciiTheme="majorBidi" w:eastAsiaTheme="majorEastAsia" w:hAnsiTheme="majorBidi" w:cstheme="majorBidi"/>
          <w:b/>
          <w:bCs/>
          <w:sz w:val="22"/>
          <w:szCs w:val="22"/>
        </w:rPr>
        <w:t> </w:t>
      </w:r>
    </w:p>
    <w:p w14:paraId="50C7C402" w14:textId="7777777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FB1598">
        <w:rPr>
          <w:rStyle w:val="eop"/>
        </w:rPr>
        <w:t>All</w:t>
      </w:r>
      <w:r w:rsidRPr="00ED7E61">
        <w:rPr>
          <w:rStyle w:val="normaltextrun"/>
          <w:rFonts w:asciiTheme="majorBidi" w:eastAsiaTheme="majorEastAsia" w:hAnsiTheme="majorBidi" w:cstheme="majorBidi"/>
        </w:rPr>
        <w:t xml:space="preserve"> data are publicly available online on the OECD PINE website. The database is overseen by the OECD Working Party on Environmental Information (WPEI) under the OECD Environmental Policy Committee, and the Joint Meeting of Tax and Environment Experts (JMTEE). The biodiversity-relevant data can be viewed by searching for environmental domain: “</w:t>
      </w:r>
      <w:r w:rsidRPr="00FB1598">
        <w:rPr>
          <w:rStyle w:val="normaltextrun"/>
          <w:rFonts w:asciiTheme="majorBidi" w:eastAsiaTheme="majorEastAsia" w:hAnsiTheme="majorBidi" w:cstheme="majorBidi"/>
          <w:i/>
          <w:iCs/>
        </w:rPr>
        <w:t>biodiversity</w:t>
      </w:r>
      <w:r w:rsidRPr="00ED7E61">
        <w:rPr>
          <w:rStyle w:val="normaltextrun"/>
          <w:rFonts w:asciiTheme="majorBidi" w:eastAsiaTheme="majorEastAsia" w:hAnsiTheme="majorBidi" w:cstheme="majorBidi"/>
        </w:rPr>
        <w:t>”. The OECD Secretariat also regularly updates the analysis on “</w:t>
      </w:r>
      <w:r w:rsidRPr="00FB1598">
        <w:rPr>
          <w:rStyle w:val="normaltextrun"/>
          <w:rFonts w:asciiTheme="majorBidi" w:eastAsiaTheme="majorEastAsia" w:hAnsiTheme="majorBidi" w:cstheme="majorBidi"/>
          <w:i/>
          <w:iCs/>
        </w:rPr>
        <w:t>Tracking Economic Instruments and Finance for Biodiversity</w:t>
      </w:r>
      <w:r w:rsidRPr="00ED7E61">
        <w:rPr>
          <w:rStyle w:val="normaltextrun"/>
          <w:rFonts w:asciiTheme="majorBidi" w:eastAsiaTheme="majorEastAsia" w:hAnsiTheme="majorBidi" w:cstheme="majorBidi"/>
        </w:rPr>
        <w:t>” to facilitate user-friendliness and to highlight policy-relevant messages. </w:t>
      </w:r>
      <w:r w:rsidRPr="00ED7E61">
        <w:rPr>
          <w:rStyle w:val="eop"/>
          <w:rFonts w:asciiTheme="majorBidi" w:eastAsiaTheme="majorEastAsia" w:hAnsiTheme="majorBidi" w:cstheme="majorBidi"/>
        </w:rPr>
        <w:t> </w:t>
      </w:r>
    </w:p>
    <w:p w14:paraId="1AB74FC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6c. Sources of differences between global and national figures</w:t>
      </w:r>
      <w:r w:rsidRPr="00ED7E61">
        <w:rPr>
          <w:rStyle w:val="eop"/>
          <w:rFonts w:asciiTheme="majorBidi" w:eastAsiaTheme="majorEastAsia" w:hAnsiTheme="majorBidi" w:cstheme="majorBidi"/>
          <w:b/>
          <w:bCs/>
          <w:sz w:val="22"/>
          <w:szCs w:val="22"/>
        </w:rPr>
        <w:t> </w:t>
      </w:r>
    </w:p>
    <w:p w14:paraId="057C50F9" w14:textId="77777777" w:rsidR="00756F0F" w:rsidRPr="00ED7E61" w:rsidRDefault="00756F0F" w:rsidP="00B10F0C">
      <w:pPr>
        <w:pStyle w:val="CBDNormalNumber"/>
        <w:numPr>
          <w:ilvl w:val="0"/>
          <w:numId w:val="93"/>
        </w:numPr>
        <w:shd w:val="clear" w:color="auto" w:fill="FFFFFF"/>
        <w:ind w:left="567" w:firstLine="0"/>
        <w:rPr>
          <w:rStyle w:val="normaltextrun"/>
          <w:rFonts w:eastAsiaTheme="majorEastAsia"/>
          <w:color w:val="000000"/>
          <w:sz w:val="24"/>
          <w:szCs w:val="24"/>
          <w:lang w:val="en-CA"/>
        </w:rPr>
      </w:pPr>
      <w:r w:rsidRPr="00FB1598">
        <w:rPr>
          <w:rStyle w:val="eop"/>
        </w:rPr>
        <w:t>All</w:t>
      </w:r>
      <w:r w:rsidRPr="00ED7E61">
        <w:rPr>
          <w:rStyle w:val="normaltextrun"/>
          <w:rFonts w:asciiTheme="majorBidi" w:eastAsiaTheme="majorEastAsia" w:hAnsiTheme="majorBidi" w:cstheme="majorBidi"/>
          <w:color w:val="000000"/>
        </w:rPr>
        <w:t xml:space="preserve"> data in PINE are provided by governments and academics (if the latter then data is validated by national governments before it is placed on the publicly available OECD PINE website). Divergence between nationally produced data and international data may occur if there are discrepancies in the way instruments are categorised in national data sets and in PINE. Some countries provide more comprehensive information than others. </w:t>
      </w:r>
      <w:r w:rsidRPr="00ED7E61">
        <w:rPr>
          <w:rStyle w:val="normaltextrun"/>
          <w:color w:val="000000"/>
        </w:rPr>
        <w:t> </w:t>
      </w:r>
    </w:p>
    <w:p w14:paraId="0D3B2578"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6d. Regional and global estimates &amp; data collection for global monitoring</w:t>
      </w:r>
      <w:r w:rsidRPr="00ED7E61">
        <w:rPr>
          <w:rStyle w:val="eop"/>
          <w:rFonts w:asciiTheme="majorBidi" w:eastAsiaTheme="majorEastAsia" w:hAnsiTheme="majorBidi" w:cstheme="majorBidi"/>
          <w:b/>
          <w:bCs/>
          <w:sz w:val="22"/>
          <w:szCs w:val="22"/>
        </w:rPr>
        <w:t> </w:t>
      </w:r>
    </w:p>
    <w:p w14:paraId="31192B3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6d.1 Description of the methodology</w:t>
      </w:r>
      <w:r w:rsidRPr="00ED7E61">
        <w:rPr>
          <w:rStyle w:val="eop"/>
          <w:rFonts w:asciiTheme="majorBidi" w:eastAsiaTheme="majorEastAsia" w:hAnsiTheme="majorBidi" w:cstheme="majorBidi"/>
          <w:sz w:val="22"/>
          <w:szCs w:val="22"/>
        </w:rPr>
        <w:t> </w:t>
      </w:r>
    </w:p>
    <w:p w14:paraId="2D9C70F1" w14:textId="77777777" w:rsidR="00756F0F" w:rsidRPr="00ED7E61" w:rsidRDefault="00756F0F" w:rsidP="00B10F0C">
      <w:pPr>
        <w:pStyle w:val="CBDNormalNumber"/>
        <w:numPr>
          <w:ilvl w:val="0"/>
          <w:numId w:val="93"/>
        </w:numPr>
        <w:shd w:val="clear" w:color="auto" w:fill="FFFFFF"/>
        <w:ind w:left="567" w:firstLine="0"/>
        <w:rPr>
          <w:rStyle w:val="normaltextrun"/>
          <w:rFonts w:eastAsiaTheme="majorEastAsia"/>
          <w:color w:val="000000"/>
          <w:sz w:val="24"/>
          <w:szCs w:val="24"/>
          <w:lang w:val="en-CA"/>
        </w:rPr>
      </w:pPr>
      <w:r w:rsidRPr="00FB1598">
        <w:rPr>
          <w:rStyle w:val="eop"/>
        </w:rPr>
        <w:t>Data</w:t>
      </w:r>
      <w:r w:rsidRPr="00ED7E61">
        <w:rPr>
          <w:rStyle w:val="normaltextrun"/>
          <w:rFonts w:asciiTheme="majorBidi" w:eastAsiaTheme="majorEastAsia" w:hAnsiTheme="majorBidi" w:cstheme="majorBidi"/>
          <w:color w:val="000000"/>
        </w:rPr>
        <w:t xml:space="preserve"> is reported at country level</w:t>
      </w:r>
      <w:r w:rsidRPr="00ED7E61">
        <w:rPr>
          <w:rStyle w:val="normaltextrun"/>
          <w:color w:val="000000"/>
        </w:rPr>
        <w:t> </w:t>
      </w:r>
    </w:p>
    <w:p w14:paraId="65A5A6B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6d.2 Additional methodological details</w:t>
      </w:r>
      <w:r w:rsidRPr="00ED7E61">
        <w:rPr>
          <w:rStyle w:val="eop"/>
          <w:rFonts w:asciiTheme="majorBidi" w:eastAsiaTheme="majorEastAsia" w:hAnsiTheme="majorBidi" w:cstheme="majorBidi"/>
          <w:sz w:val="22"/>
          <w:szCs w:val="22"/>
        </w:rPr>
        <w:t> </w:t>
      </w:r>
    </w:p>
    <w:p w14:paraId="1EF99A2B" w14:textId="77777777" w:rsidR="00756F0F" w:rsidRPr="00ED7E61" w:rsidRDefault="00756F0F" w:rsidP="00A329C2">
      <w:pPr>
        <w:pStyle w:val="CBDNormalNumber"/>
        <w:numPr>
          <w:ilvl w:val="0"/>
          <w:numId w:val="0"/>
        </w:numPr>
        <w:shd w:val="clear" w:color="auto" w:fill="FFFFFF"/>
        <w:ind w:left="567"/>
        <w:rPr>
          <w:rStyle w:val="normaltextrun"/>
          <w:rFonts w:eastAsiaTheme="majorEastAsia"/>
          <w:color w:val="000000"/>
          <w:sz w:val="24"/>
          <w:szCs w:val="24"/>
          <w:lang w:val="en-CA"/>
        </w:rPr>
      </w:pPr>
      <w:r w:rsidRPr="00ED7E61">
        <w:rPr>
          <w:rStyle w:val="normaltextrun"/>
          <w:rFonts w:asciiTheme="majorBidi" w:eastAsiaTheme="majorEastAsia" w:hAnsiTheme="majorBidi" w:cstheme="majorBidi"/>
          <w:color w:val="000000"/>
        </w:rPr>
        <w:t>N/A</w:t>
      </w:r>
      <w:r w:rsidRPr="00ED7E61">
        <w:rPr>
          <w:rStyle w:val="normaltextrun"/>
          <w:color w:val="000000"/>
        </w:rPr>
        <w:t> </w:t>
      </w:r>
    </w:p>
    <w:p w14:paraId="689C155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6d.3 Description of the mechanism for collecting data from countries</w:t>
      </w:r>
      <w:r w:rsidRPr="00ED7E61">
        <w:rPr>
          <w:rStyle w:val="eop"/>
          <w:rFonts w:asciiTheme="majorBidi" w:eastAsiaTheme="majorEastAsia" w:hAnsiTheme="majorBidi" w:cstheme="majorBidi"/>
          <w:sz w:val="22"/>
          <w:szCs w:val="22"/>
        </w:rPr>
        <w:t> </w:t>
      </w:r>
    </w:p>
    <w:p w14:paraId="46ECCEBA" w14:textId="77777777" w:rsidR="00756F0F" w:rsidRPr="00ED7E61" w:rsidRDefault="00756F0F" w:rsidP="00B10F0C">
      <w:pPr>
        <w:pStyle w:val="CBDNormalNumber"/>
        <w:numPr>
          <w:ilvl w:val="0"/>
          <w:numId w:val="93"/>
        </w:numPr>
        <w:shd w:val="clear" w:color="auto" w:fill="FFFFFF"/>
        <w:ind w:left="567" w:firstLine="0"/>
        <w:rPr>
          <w:rStyle w:val="normaltextrun"/>
          <w:rFonts w:eastAsiaTheme="majorEastAsia"/>
          <w:color w:val="000000"/>
          <w:sz w:val="24"/>
          <w:szCs w:val="24"/>
          <w:lang w:val="en-CA"/>
        </w:rPr>
      </w:pPr>
      <w:r w:rsidRPr="00ED7E61">
        <w:rPr>
          <w:rStyle w:val="normaltextrun"/>
          <w:rFonts w:asciiTheme="majorBidi" w:eastAsiaTheme="majorEastAsia" w:hAnsiTheme="majorBidi" w:cstheme="majorBidi"/>
          <w:color w:val="000000"/>
        </w:rPr>
        <w:t>Data are reported via an annual questionnaire (at an instrument level) by national statistical agencies, ministries of finance, environment, etc. </w:t>
      </w:r>
      <w:r w:rsidRPr="00ED7E61">
        <w:rPr>
          <w:rStyle w:val="normaltextrun"/>
          <w:color w:val="000000"/>
        </w:rPr>
        <w:t> </w:t>
      </w:r>
    </w:p>
    <w:p w14:paraId="05C3A105"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 Other MEAs, processes and organisations</w:t>
      </w:r>
      <w:r w:rsidRPr="00ED7E61">
        <w:rPr>
          <w:rStyle w:val="eop"/>
          <w:rFonts w:asciiTheme="majorBidi" w:eastAsiaTheme="majorEastAsia" w:hAnsiTheme="majorBidi" w:cstheme="majorBidi"/>
          <w:b/>
          <w:bCs/>
          <w:sz w:val="22"/>
          <w:szCs w:val="22"/>
        </w:rPr>
        <w:t> </w:t>
      </w:r>
    </w:p>
    <w:p w14:paraId="3D05026D" w14:textId="77777777" w:rsidR="00756F0F" w:rsidRPr="00ED7E61" w:rsidRDefault="00756F0F" w:rsidP="00A329C2">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b/>
          <w:bCs/>
          <w:sz w:val="22"/>
          <w:szCs w:val="22"/>
        </w:rPr>
        <w:t> </w:t>
      </w:r>
    </w:p>
    <w:p w14:paraId="043ADFA0"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The data is used as an indicator for Sustainable Development Goal (SDG) 15.a.1 on biodiversity finance</w:t>
      </w:r>
      <w:r w:rsidRPr="00ED7E61">
        <w:rPr>
          <w:rStyle w:val="normaltextrun"/>
          <w:rFonts w:asciiTheme="majorBidi" w:eastAsiaTheme="majorEastAsia"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61A1B04D" w14:textId="77777777" w:rsidR="00756F0F" w:rsidRPr="00ED7E61" w:rsidRDefault="00756F0F" w:rsidP="00A329C2">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7b. Biodiversity Indicator Partnership</w:t>
      </w:r>
      <w:r w:rsidRPr="00ED7E61">
        <w:rPr>
          <w:rStyle w:val="eop"/>
          <w:rFonts w:asciiTheme="majorBidi" w:eastAsiaTheme="majorEastAsia" w:hAnsiTheme="majorBidi" w:cstheme="majorBidi"/>
          <w:b/>
          <w:bCs/>
          <w:sz w:val="22"/>
          <w:szCs w:val="22"/>
        </w:rPr>
        <w:t> </w:t>
      </w:r>
    </w:p>
    <w:p w14:paraId="12F55623"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No: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68F64039" w14:textId="08E9BB18" w:rsidR="00756F0F" w:rsidRPr="00ED7E61" w:rsidRDefault="00756F0F" w:rsidP="00A329C2">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 xml:space="preserve">8. </w:t>
      </w:r>
      <w:r w:rsidR="00B308A2" w:rsidRPr="00ED7E61">
        <w:rPr>
          <w:rStyle w:val="normaltextrun"/>
          <w:rFonts w:asciiTheme="majorBidi" w:eastAsiaTheme="majorEastAsia" w:hAnsiTheme="majorBidi" w:cstheme="majorBidi"/>
          <w:b/>
          <w:bCs/>
          <w:sz w:val="22"/>
          <w:szCs w:val="22"/>
          <w:lang w:val="en-GB"/>
        </w:rPr>
        <w:t xml:space="preserve">Possible </w:t>
      </w:r>
      <w:r w:rsidRPr="00ED7E61">
        <w:rPr>
          <w:rStyle w:val="normaltextrun"/>
          <w:rFonts w:asciiTheme="majorBidi" w:eastAsiaTheme="majorEastAsia" w:hAnsiTheme="majorBidi" w:cstheme="majorBidi"/>
          <w:b/>
          <w:bCs/>
          <w:sz w:val="22"/>
          <w:szCs w:val="22"/>
          <w:lang w:val="en-GB"/>
        </w:rPr>
        <w:t>Disaggregation</w:t>
      </w:r>
      <w:r w:rsidR="00B308A2" w:rsidRPr="00ED7E61">
        <w:rPr>
          <w:rStyle w:val="normaltextrun"/>
          <w:rFonts w:asciiTheme="majorBidi" w:eastAsiaTheme="majorEastAsia" w:hAnsiTheme="majorBidi" w:cstheme="majorBidi"/>
          <w:b/>
          <w:bCs/>
          <w:sz w:val="22"/>
          <w:szCs w:val="22"/>
          <w:lang w:val="en-GB"/>
        </w:rPr>
        <w:t>s</w:t>
      </w:r>
      <w:r w:rsidRPr="00ED7E61">
        <w:rPr>
          <w:rStyle w:val="eop"/>
          <w:rFonts w:asciiTheme="majorBidi" w:eastAsiaTheme="majorEastAsia" w:hAnsiTheme="majorBidi" w:cstheme="majorBidi"/>
          <w:b/>
          <w:bCs/>
          <w:sz w:val="22"/>
          <w:szCs w:val="22"/>
        </w:rPr>
        <w:t> </w:t>
      </w:r>
    </w:p>
    <w:p w14:paraId="4A0ABDCC" w14:textId="6B3F37EB"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The indicator on positive incentives for biodiversity can be disaggregated by type of instrument (biodiversity-relevant tax, fee or charge; biodiversity-positive subsidy; tradable permit; PES; biodiversity offset), by geographic location, by industry concerned</w:t>
      </w:r>
      <w:r w:rsidR="00A9006D">
        <w:rPr>
          <w:rStyle w:val="normaltextrun"/>
          <w:rFonts w:asciiTheme="majorBidi" w:eastAsiaTheme="majorEastAsia" w:hAnsiTheme="majorBidi" w:cstheme="majorBidi"/>
          <w:color w:val="000000"/>
        </w:rPr>
        <w:t>, e</w:t>
      </w:r>
      <w:r w:rsidRPr="00ED7E61">
        <w:rPr>
          <w:rStyle w:val="normaltextrun"/>
          <w:rFonts w:asciiTheme="majorBidi" w:eastAsiaTheme="majorEastAsia" w:hAnsiTheme="majorBidi" w:cstheme="majorBidi"/>
          <w:color w:val="000000"/>
        </w:rPr>
        <w:t>tc.</w:t>
      </w:r>
      <w:r w:rsidR="00A9006D">
        <w:rPr>
          <w:rStyle w:val="normaltextrun"/>
          <w:rFonts w:asciiTheme="majorBidi" w:eastAsiaTheme="majorEastAsia" w:hAnsiTheme="majorBidi" w:cstheme="majorBidi"/>
          <w:color w:val="000000"/>
        </w:rPr>
        <w:t>:</w:t>
      </w:r>
      <w:r w:rsidRPr="00ED7E61">
        <w:rPr>
          <w:rStyle w:val="normaltextrun"/>
          <w:rFonts w:asciiTheme="majorBidi" w:eastAsiaTheme="majorEastAsia" w:hAnsiTheme="majorBidi" w:cstheme="majorBidi"/>
          <w:color w:val="000000"/>
        </w:rPr>
        <w:t xml:space="preserve"> see below. </w:t>
      </w:r>
      <w:r w:rsidRPr="00ED7E61">
        <w:rPr>
          <w:rStyle w:val="eop"/>
          <w:rFonts w:asciiTheme="majorBidi" w:eastAsiaTheme="majorEastAsia" w:hAnsiTheme="majorBidi" w:cstheme="majorBidi"/>
          <w:color w:val="000000"/>
        </w:rPr>
        <w:t> </w:t>
      </w:r>
    </w:p>
    <w:p w14:paraId="192014F3" w14:textId="7777777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The OECD PINE database also collects information on: </w:t>
      </w:r>
      <w:r w:rsidRPr="00ED7E61">
        <w:rPr>
          <w:rStyle w:val="eop"/>
          <w:rFonts w:asciiTheme="majorBidi" w:eastAsiaTheme="majorEastAsia" w:hAnsiTheme="majorBidi" w:cstheme="majorBidi"/>
          <w:color w:val="000000"/>
        </w:rPr>
        <w:t> </w:t>
      </w:r>
    </w:p>
    <w:p w14:paraId="7ED07FF2" w14:textId="77777777" w:rsidR="00756F0F" w:rsidRPr="00ED7E61" w:rsidRDefault="00756F0F" w:rsidP="00B10F0C">
      <w:pPr>
        <w:pStyle w:val="CBDNormalNumber"/>
        <w:numPr>
          <w:ilvl w:val="0"/>
          <w:numId w:val="29"/>
        </w:numPr>
        <w:tabs>
          <w:tab w:val="clear" w:pos="567"/>
          <w:tab w:val="clear" w:pos="1134"/>
          <w:tab w:val="clear" w:pos="2268"/>
          <w:tab w:val="left" w:pos="1985"/>
        </w:tabs>
        <w:ind w:left="567" w:firstLine="567"/>
        <w:rPr>
          <w:rStyle w:val="normaltextrun"/>
          <w:rFonts w:eastAsiaTheme="majorEastAsia"/>
        </w:rPr>
      </w:pPr>
      <w:r w:rsidRPr="00ED7E61">
        <w:rPr>
          <w:rStyle w:val="normaltextrun"/>
          <w:rFonts w:asciiTheme="majorBidi" w:eastAsiaTheme="majorEastAsia" w:hAnsiTheme="majorBidi" w:cstheme="majorBidi"/>
        </w:rPr>
        <w:t>Whether the incentive is national or local in scope (for more detail, see above)</w:t>
      </w:r>
      <w:r w:rsidRPr="00ED7E61">
        <w:rPr>
          <w:rStyle w:val="normaltextrun"/>
        </w:rPr>
        <w:t> </w:t>
      </w:r>
    </w:p>
    <w:p w14:paraId="1FC966AB" w14:textId="51FC6439" w:rsidR="00756F0F" w:rsidRPr="00FB1598" w:rsidRDefault="00756F0F" w:rsidP="00B10F0C">
      <w:pPr>
        <w:pStyle w:val="CBDNormalNumber"/>
        <w:numPr>
          <w:ilvl w:val="0"/>
          <w:numId w:val="29"/>
        </w:numPr>
        <w:tabs>
          <w:tab w:val="clear" w:pos="567"/>
          <w:tab w:val="clear" w:pos="1134"/>
          <w:tab w:val="clear" w:pos="2268"/>
          <w:tab w:val="left" w:pos="1985"/>
        </w:tabs>
        <w:ind w:left="567" w:firstLine="567"/>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What sector the incentives relate to (via ISIC codes) e.g. agriculture, forestry, fisheries, recreation, etc</w:t>
      </w:r>
      <w:r w:rsidR="00A9006D">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rPr>
        <w:t> </w:t>
      </w:r>
    </w:p>
    <w:p w14:paraId="0C747C6D" w14:textId="77777777" w:rsidR="00756F0F" w:rsidRPr="00FB1598" w:rsidRDefault="00756F0F" w:rsidP="00B10F0C">
      <w:pPr>
        <w:pStyle w:val="CBDNormalNumber"/>
        <w:numPr>
          <w:ilvl w:val="0"/>
          <w:numId w:val="29"/>
        </w:numPr>
        <w:tabs>
          <w:tab w:val="clear" w:pos="567"/>
          <w:tab w:val="clear" w:pos="1134"/>
          <w:tab w:val="clear" w:pos="2268"/>
          <w:tab w:val="left" w:pos="1985"/>
        </w:tabs>
        <w:ind w:left="567" w:firstLine="567"/>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Revenue generated (e.g. from taxes, fees, charges, tradable permits and biodiversity offsets when payments in lieu) </w:t>
      </w:r>
      <w:r w:rsidRPr="00FB1598">
        <w:rPr>
          <w:rStyle w:val="normaltextrun"/>
          <w:rFonts w:asciiTheme="majorBidi" w:eastAsiaTheme="majorEastAsia" w:hAnsiTheme="majorBidi" w:cstheme="majorBidi"/>
        </w:rPr>
        <w:t> </w:t>
      </w:r>
    </w:p>
    <w:p w14:paraId="6BD60DF4" w14:textId="77777777" w:rsidR="00756F0F" w:rsidRPr="00FB1598" w:rsidRDefault="00756F0F" w:rsidP="00B10F0C">
      <w:pPr>
        <w:pStyle w:val="CBDNormalNumber"/>
        <w:numPr>
          <w:ilvl w:val="0"/>
          <w:numId w:val="29"/>
        </w:numPr>
        <w:tabs>
          <w:tab w:val="clear" w:pos="567"/>
          <w:tab w:val="clear" w:pos="1134"/>
          <w:tab w:val="clear" w:pos="2268"/>
          <w:tab w:val="left" w:pos="1985"/>
        </w:tabs>
        <w:ind w:left="567" w:firstLine="567"/>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Payments (e.g. from biodiversity-relevant positive subsidies, payments for ecosystem services, biodiversity offsets when one-off or biobanking)</w:t>
      </w:r>
      <w:r w:rsidRPr="00FB1598">
        <w:rPr>
          <w:rStyle w:val="normaltextrun"/>
          <w:rFonts w:asciiTheme="majorBidi" w:eastAsiaTheme="majorEastAsia" w:hAnsiTheme="majorBidi" w:cstheme="majorBidi"/>
        </w:rPr>
        <w:t> </w:t>
      </w:r>
    </w:p>
    <w:p w14:paraId="0DE237DD"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b/>
          <w:bCs/>
          <w:sz w:val="22"/>
          <w:szCs w:val="22"/>
        </w:rPr>
        <w:t> </w:t>
      </w:r>
    </w:p>
    <w:p w14:paraId="31EBDCE4" w14:textId="73511460" w:rsidR="00125292"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color w:val="000000"/>
        </w:rPr>
        <w:t>Aligning</w:t>
      </w:r>
      <w:r w:rsidRPr="00ED7E61">
        <w:rPr>
          <w:rStyle w:val="normaltextrun"/>
          <w:rFonts w:asciiTheme="majorBidi" w:eastAsiaTheme="majorEastAsia" w:hAnsiTheme="majorBidi" w:cstheme="majorBidi"/>
        </w:rPr>
        <w:t xml:space="preserve"> price signals through positive incentives is fundamental for resource mobilisation (target 19). Positive incentives such as PES, biodiversity offsets and subsidies also disburse finance for biodiversity, while biodiversity-relevant taxes can generate revenue which can (if desired) be earmarked for biodiversity.  In addition, Target 19.4 explicitly refers to certain types of positive incentives (i.e. payments for ecosystem services and biodiversity offsets). </w:t>
      </w:r>
      <w:r w:rsidRPr="00ED7E61">
        <w:rPr>
          <w:rStyle w:val="eop"/>
          <w:rFonts w:asciiTheme="majorBidi" w:eastAsiaTheme="majorEastAsia" w:hAnsiTheme="majorBidi" w:cstheme="majorBidi"/>
        </w:rPr>
        <w:t> </w:t>
      </w:r>
    </w:p>
    <w:p w14:paraId="21B9B334" w14:textId="08879732" w:rsidR="00125292"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FB1598">
        <w:rPr>
          <w:rStyle w:val="normaltextrun"/>
          <w:rFonts w:asciiTheme="majorBidi" w:eastAsiaTheme="majorEastAsia" w:hAnsiTheme="majorBidi" w:cstheme="majorBidi"/>
          <w:color w:val="000000"/>
        </w:rPr>
        <w:t>Target</w:t>
      </w:r>
      <w:r w:rsidRPr="00ED7E61">
        <w:rPr>
          <w:rStyle w:val="normaltextrun"/>
          <w:rFonts w:asciiTheme="majorBidi" w:eastAsiaTheme="majorEastAsia" w:hAnsiTheme="majorBidi" w:cstheme="majorBidi"/>
        </w:rPr>
        <w:t xml:space="preserve"> 19 Substantially and progressively increase the level of financial resources from all sources, </w:t>
      </w:r>
      <w:r w:rsidRPr="00FB1598">
        <w:rPr>
          <w:rStyle w:val="normaltextrun"/>
          <w:rFonts w:asciiTheme="majorBidi" w:eastAsiaTheme="majorEastAsia" w:hAnsiTheme="majorBidi" w:cstheme="majorBidi"/>
          <w:color w:val="000000"/>
        </w:rPr>
        <w:t>in</w:t>
      </w:r>
      <w:r w:rsidRPr="00ED7E61">
        <w:rPr>
          <w:rStyle w:val="normaltextrun"/>
          <w:rFonts w:asciiTheme="majorBidi" w:eastAsiaTheme="majorEastAsia" w:hAnsiTheme="majorBidi" w:cstheme="majorBidi"/>
        </w:rPr>
        <w:t xml:space="preserve"> an effective, timely and easily accessible manner, including domestic, international, public and private resources, in accordance with Article 20 of the Convention, to implement national biodiversity strategies and action plans, mobilizing at least $200 billion per year by 2030</w:t>
      </w:r>
      <w:r w:rsidR="008D16BE">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w:t>
      </w:r>
      <w:r w:rsidR="008D16BE">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08547F9C" w14:textId="6237EE44" w:rsidR="00125292"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19.2. Significantly increasing domestic resource mobilization, facilitated by the preparation and implementation of national biodiversity finance plans or similar instruments according to national needs, priorities and circumstances; </w:t>
      </w:r>
      <w:r w:rsidRPr="00ED7E61">
        <w:rPr>
          <w:rStyle w:val="eop"/>
          <w:rFonts w:asciiTheme="majorBidi" w:eastAsiaTheme="majorEastAsia" w:hAnsiTheme="majorBidi" w:cstheme="majorBidi"/>
        </w:rPr>
        <w:t> </w:t>
      </w:r>
    </w:p>
    <w:p w14:paraId="14FF4F66" w14:textId="26287F56" w:rsidR="00125292"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19.3. Leveraging private finance, promoting blended finance, implementing strategies for raising new and additional resources, and encouraging the private sector to invest in biodiversity, including through impact funds and other instruments; </w:t>
      </w:r>
      <w:r w:rsidRPr="00ED7E61">
        <w:rPr>
          <w:rStyle w:val="eop"/>
          <w:rFonts w:asciiTheme="majorBidi" w:eastAsiaTheme="majorEastAsia" w:hAnsiTheme="majorBidi" w:cstheme="majorBidi"/>
        </w:rPr>
        <w:t> </w:t>
      </w:r>
    </w:p>
    <w:p w14:paraId="2105BBFE" w14:textId="1CC788F3" w:rsidR="00125292"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19.4. Stimulating innovative schemes such as payment for ecosystem services, green bonds, biodiversity offsets and credits, and benefit</w:t>
      </w:r>
      <w:r w:rsidRPr="00ED7E61">
        <w:rPr>
          <w:rStyle w:val="normaltextrun"/>
          <w:rFonts w:asciiTheme="majorBidi" w:eastAsiaTheme="majorEastAsia" w:hAnsiTheme="majorBidi" w:cstheme="majorBidi"/>
        </w:rPr>
        <w:softHyphen/>
        <w:t xml:space="preserve"> sharing mechanisms, with environmental and social safeguards;</w:t>
      </w:r>
      <w:r w:rsidRPr="00ED7E61">
        <w:rPr>
          <w:rStyle w:val="eop"/>
          <w:rFonts w:asciiTheme="majorBidi" w:eastAsiaTheme="majorEastAsia" w:hAnsiTheme="majorBidi" w:cstheme="majorBidi"/>
        </w:rPr>
        <w:t> </w:t>
      </w:r>
    </w:p>
    <w:p w14:paraId="76EBDABC" w14:textId="1F70ADC7" w:rsidR="00125292"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Target 14: Fully integrate biodiversity values into policies, regulations [...] aligning all relevant public and private activities, fiscal and financial flows with the goals and targets of this framework</w:t>
      </w:r>
      <w:r w:rsidRPr="00ED7E61">
        <w:rPr>
          <w:rStyle w:val="eop"/>
          <w:rFonts w:asciiTheme="majorBidi" w:eastAsiaTheme="majorEastAsia" w:hAnsiTheme="majorBidi" w:cstheme="majorBidi"/>
        </w:rPr>
        <w:t> </w:t>
      </w:r>
    </w:p>
    <w:p w14:paraId="72AC86BB" w14:textId="77777777" w:rsidR="00756F0F" w:rsidRPr="00ED7E61" w:rsidRDefault="00756F0F" w:rsidP="00B10F0C">
      <w:pPr>
        <w:pStyle w:val="CBDNormalNumber"/>
        <w:numPr>
          <w:ilvl w:val="0"/>
          <w:numId w:val="93"/>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Goal D: The gap between available financial and other means of implementation, and those necessary to achieve the 2050 Vision, is closed</w:t>
      </w:r>
      <w:r w:rsidRPr="00ED7E61">
        <w:rPr>
          <w:rStyle w:val="eop"/>
          <w:rFonts w:asciiTheme="majorBidi" w:eastAsiaTheme="majorEastAsia" w:hAnsiTheme="majorBidi" w:cstheme="majorBidi"/>
        </w:rPr>
        <w:t> </w:t>
      </w:r>
    </w:p>
    <w:p w14:paraId="5FB9B2B6"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b/>
          <w:bCs/>
          <w:sz w:val="22"/>
          <w:szCs w:val="22"/>
        </w:rPr>
        <w:t> </w:t>
      </w:r>
    </w:p>
    <w:p w14:paraId="7209D6D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10a. Organisation </w:t>
      </w:r>
      <w:r w:rsidRPr="00ED7E61">
        <w:rPr>
          <w:rStyle w:val="eop"/>
          <w:rFonts w:asciiTheme="majorBidi" w:eastAsiaTheme="majorEastAsia" w:hAnsiTheme="majorBidi" w:cstheme="majorBidi"/>
          <w:b/>
          <w:bCs/>
          <w:sz w:val="22"/>
          <w:szCs w:val="22"/>
        </w:rPr>
        <w:t> </w:t>
      </w:r>
    </w:p>
    <w:p w14:paraId="7E83F76E" w14:textId="77777777" w:rsidR="00756F0F" w:rsidRPr="00ED7E61" w:rsidRDefault="00756F0F" w:rsidP="00474A03">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Organisation</w:t>
      </w:r>
      <w:r w:rsidRPr="00ED7E61">
        <w:rPr>
          <w:rStyle w:val="normaltextrun"/>
          <w:rFonts w:asciiTheme="majorBidi" w:eastAsiaTheme="majorEastAsia" w:hAnsiTheme="majorBidi" w:cstheme="majorBidi"/>
          <w:color w:val="000000"/>
        </w:rPr>
        <w:t xml:space="preserve"> for Economic Co-operation and Development (Environment Directorate)</w:t>
      </w:r>
      <w:r w:rsidRPr="00ED7E61">
        <w:rPr>
          <w:rStyle w:val="eop"/>
          <w:rFonts w:asciiTheme="majorBidi" w:eastAsiaTheme="majorEastAsia" w:hAnsiTheme="majorBidi" w:cstheme="majorBidi"/>
          <w:color w:val="000000"/>
        </w:rPr>
        <w:t> </w:t>
      </w:r>
    </w:p>
    <w:p w14:paraId="27B82495" w14:textId="77777777" w:rsidR="00756F0F" w:rsidRPr="009E462F"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lang w:val="en-US"/>
        </w:rPr>
      </w:pPr>
      <w:r w:rsidRPr="009E462F">
        <w:rPr>
          <w:rStyle w:val="normaltextrun"/>
          <w:rFonts w:asciiTheme="majorBidi" w:eastAsiaTheme="majorEastAsia" w:hAnsiTheme="majorBidi" w:cstheme="majorBidi"/>
          <w:b/>
          <w:bCs/>
          <w:sz w:val="22"/>
          <w:szCs w:val="22"/>
          <w:lang w:val="en-US"/>
        </w:rPr>
        <w:t>10b. Contact person(s)</w:t>
      </w:r>
      <w:r w:rsidRPr="009E462F">
        <w:rPr>
          <w:rStyle w:val="eop"/>
          <w:rFonts w:asciiTheme="majorBidi" w:eastAsiaTheme="majorEastAsia" w:hAnsiTheme="majorBidi" w:cstheme="majorBidi"/>
          <w:b/>
          <w:bCs/>
          <w:sz w:val="22"/>
          <w:szCs w:val="22"/>
          <w:lang w:val="en-US"/>
        </w:rPr>
        <w:t> </w:t>
      </w:r>
    </w:p>
    <w:p w14:paraId="1F51FE4E" w14:textId="76889E50" w:rsidR="00125292" w:rsidRPr="00FB1598" w:rsidRDefault="00756F0F" w:rsidP="00474A03">
      <w:pPr>
        <w:pStyle w:val="CBDNormalNumber"/>
        <w:numPr>
          <w:ilvl w:val="0"/>
          <w:numId w:val="0"/>
        </w:numPr>
        <w:shd w:val="clear" w:color="auto" w:fill="FFFFFF"/>
        <w:ind w:left="567"/>
        <w:rPr>
          <w:rStyle w:val="normaltextrun"/>
          <w:rFonts w:eastAsiaTheme="majorEastAsia"/>
        </w:rPr>
      </w:pPr>
      <w:hyperlink r:id="rId555" w:tgtFrame="_blank" w:history="1">
        <w:r w:rsidRPr="00FB1598">
          <w:rPr>
            <w:rStyle w:val="normaltextrun"/>
            <w:rFonts w:asciiTheme="majorBidi" w:eastAsiaTheme="majorEastAsia" w:hAnsiTheme="majorBidi" w:cstheme="majorBidi"/>
          </w:rPr>
          <w:t>PINEdatabase@oecd.org</w:t>
        </w:r>
      </w:hyperlink>
      <w:r w:rsidRPr="00FB1598">
        <w:rPr>
          <w:rStyle w:val="normaltextrun"/>
        </w:rPr>
        <w:t> </w:t>
      </w:r>
    </w:p>
    <w:p w14:paraId="24FE6D7F" w14:textId="416D8B07" w:rsidR="00125292" w:rsidRPr="00FB1598" w:rsidRDefault="00756F0F" w:rsidP="00474A03">
      <w:pPr>
        <w:pStyle w:val="CBDNormalNumber"/>
        <w:numPr>
          <w:ilvl w:val="0"/>
          <w:numId w:val="0"/>
        </w:numPr>
        <w:shd w:val="clear" w:color="auto" w:fill="FFFFFF"/>
        <w:ind w:left="567"/>
        <w:rPr>
          <w:rStyle w:val="normaltextrun"/>
          <w:rFonts w:eastAsiaTheme="majorEastAsia"/>
        </w:rPr>
      </w:pPr>
      <w:r w:rsidRPr="00FB1598">
        <w:rPr>
          <w:rStyle w:val="normaltextrun"/>
          <w:rFonts w:asciiTheme="majorBidi" w:eastAsiaTheme="majorEastAsia" w:hAnsiTheme="majorBidi" w:cstheme="majorBidi"/>
        </w:rPr>
        <w:t>Katia Karousakis (</w:t>
      </w:r>
      <w:hyperlink r:id="rId556" w:tgtFrame="_blank" w:history="1">
        <w:r w:rsidRPr="00FB1598">
          <w:rPr>
            <w:rStyle w:val="normaltextrun"/>
            <w:rFonts w:asciiTheme="majorBidi" w:eastAsiaTheme="majorEastAsia" w:hAnsiTheme="majorBidi" w:cstheme="majorBidi"/>
          </w:rPr>
          <w:t>katia KAROUSAKIS@oecd org</w:t>
        </w:r>
      </w:hyperlink>
      <w:r w:rsidRPr="00FB1598">
        <w:rPr>
          <w:rStyle w:val="normaltextrun"/>
          <w:rFonts w:asciiTheme="majorBidi" w:eastAsiaTheme="majorEastAsia" w:hAnsiTheme="majorBidi" w:cstheme="majorBidi"/>
        </w:rPr>
        <w:t>)  </w:t>
      </w:r>
      <w:r w:rsidRPr="00FB1598">
        <w:rPr>
          <w:rStyle w:val="normaltextrun"/>
        </w:rPr>
        <w:t> </w:t>
      </w:r>
    </w:p>
    <w:p w14:paraId="33D5D707" w14:textId="77777777" w:rsidR="00756F0F" w:rsidRPr="0090481A" w:rsidRDefault="00756F0F" w:rsidP="00474A03">
      <w:pPr>
        <w:pStyle w:val="CBDNormalNumber"/>
        <w:numPr>
          <w:ilvl w:val="0"/>
          <w:numId w:val="0"/>
        </w:numPr>
        <w:shd w:val="clear" w:color="auto" w:fill="FFFFFF"/>
        <w:ind w:left="567"/>
        <w:rPr>
          <w:rStyle w:val="normaltextrun"/>
          <w:rFonts w:eastAsiaTheme="majorEastAsia"/>
          <w:lang w:val="es-ES"/>
        </w:rPr>
      </w:pPr>
      <w:r w:rsidRPr="00FB1598">
        <w:rPr>
          <w:rStyle w:val="normaltextrun"/>
          <w:rFonts w:asciiTheme="majorBidi" w:eastAsiaTheme="majorEastAsia" w:hAnsiTheme="majorBidi" w:cstheme="majorBidi"/>
          <w:lang w:val="es-ES"/>
        </w:rPr>
        <w:t>Miguel Cardenas Rodriguez (</w:t>
      </w:r>
      <w:hyperlink r:id="rId557" w:tgtFrame="_blank" w:history="1">
        <w:r w:rsidRPr="00FB1598">
          <w:rPr>
            <w:rStyle w:val="normaltextrun"/>
            <w:rFonts w:asciiTheme="majorBidi" w:eastAsiaTheme="majorEastAsia" w:hAnsiTheme="majorBidi" w:cstheme="majorBidi"/>
            <w:lang w:val="es-ES"/>
          </w:rPr>
          <w:t>Miguel CARDENASRODRIGUEZ@oecd org</w:t>
        </w:r>
      </w:hyperlink>
      <w:r w:rsidRPr="00FB1598">
        <w:rPr>
          <w:rStyle w:val="normaltextrun"/>
          <w:rFonts w:asciiTheme="majorBidi" w:eastAsiaTheme="majorEastAsia" w:hAnsiTheme="majorBidi" w:cstheme="majorBidi"/>
          <w:lang w:val="es-ES"/>
        </w:rPr>
        <w:t>)</w:t>
      </w:r>
      <w:r w:rsidRPr="0090481A">
        <w:rPr>
          <w:rStyle w:val="normaltextrun"/>
          <w:lang w:val="es-ES"/>
        </w:rPr>
        <w:t> </w:t>
      </w:r>
    </w:p>
    <w:p w14:paraId="2DA6EAAE"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11. References</w:t>
      </w:r>
      <w:r w:rsidRPr="00ED7E61">
        <w:rPr>
          <w:rStyle w:val="eop"/>
          <w:rFonts w:asciiTheme="majorBidi" w:eastAsiaTheme="majorEastAsia" w:hAnsiTheme="majorBidi" w:cstheme="majorBidi"/>
          <w:b/>
          <w:bCs/>
          <w:sz w:val="22"/>
          <w:szCs w:val="22"/>
        </w:rPr>
        <w:t> </w:t>
      </w:r>
    </w:p>
    <w:p w14:paraId="4EC991AB" w14:textId="27FDA604" w:rsidR="00125292" w:rsidRPr="00ED7E61" w:rsidRDefault="00756F0F" w:rsidP="00474A03">
      <w:pPr>
        <w:pStyle w:val="CBDNormalNumber"/>
        <w:numPr>
          <w:ilvl w:val="0"/>
          <w:numId w:val="0"/>
        </w:numPr>
        <w:shd w:val="clear" w:color="auto" w:fill="FFFFFF"/>
        <w:ind w:left="567"/>
        <w:rPr>
          <w:rFonts w:asciiTheme="majorBidi" w:hAnsiTheme="majorBidi" w:cstheme="majorBidi"/>
        </w:rPr>
      </w:pPr>
      <w:r w:rsidRPr="00FB1598">
        <w:rPr>
          <w:rStyle w:val="normaltextrun"/>
          <w:rFonts w:asciiTheme="majorBidi" w:eastAsiaTheme="majorEastAsia" w:hAnsiTheme="majorBidi" w:cstheme="majorBidi"/>
        </w:rPr>
        <w:t>On</w:t>
      </w:r>
      <w:r w:rsidRPr="00ED7E61">
        <w:rPr>
          <w:rStyle w:val="normaltextrun"/>
          <w:rFonts w:asciiTheme="majorBidi" w:eastAsiaTheme="majorEastAsia" w:hAnsiTheme="majorBidi" w:cstheme="majorBidi"/>
          <w:color w:val="000000"/>
        </w:rPr>
        <w:t xml:space="preserve"> positive incentives (economic instruments) for biodiversity conservation and sustainable use: OECD 2021, </w:t>
      </w:r>
      <w:hyperlink r:id="rId558" w:tgtFrame="_blank" w:history="1">
        <w:r w:rsidRPr="00ED7E61">
          <w:rPr>
            <w:rStyle w:val="normaltextrun"/>
            <w:rFonts w:asciiTheme="majorBidi" w:eastAsiaTheme="majorEastAsia" w:hAnsiTheme="majorBidi" w:cstheme="majorBidi"/>
            <w:color w:val="467886"/>
            <w:u w:val="single"/>
          </w:rPr>
          <w:t>Tracking Economic</w:t>
        </w:r>
      </w:hyperlink>
      <w:r w:rsidRPr="00ED7E61">
        <w:rPr>
          <w:rStyle w:val="normaltextrun"/>
          <w:rFonts w:asciiTheme="majorBidi" w:eastAsiaTheme="majorEastAsia" w:hAnsiTheme="majorBidi" w:cstheme="majorBidi"/>
          <w:color w:val="1F74AE"/>
        </w:rPr>
        <w:t xml:space="preserve"> </w:t>
      </w:r>
      <w:hyperlink r:id="rId559" w:tgtFrame="_blank" w:history="1">
        <w:r w:rsidRPr="00ED7E61">
          <w:rPr>
            <w:rStyle w:val="normaltextrun"/>
            <w:rFonts w:asciiTheme="majorBidi" w:eastAsiaTheme="majorEastAsia" w:hAnsiTheme="majorBidi" w:cstheme="majorBidi"/>
            <w:color w:val="467886"/>
            <w:u w:val="single"/>
          </w:rPr>
          <w:t>Instruments and Finance for Biodiversity - 2021</w:t>
        </w:r>
      </w:hyperlink>
      <w:r w:rsidRPr="00ED7E61">
        <w:rPr>
          <w:rStyle w:val="normaltextrun"/>
          <w:rFonts w:asciiTheme="majorBidi" w:eastAsiaTheme="majorEastAsia" w:hAnsiTheme="majorBidi" w:cstheme="majorBidi"/>
          <w:color w:val="000000"/>
        </w:rPr>
        <w:t>.</w:t>
      </w:r>
      <w:r w:rsidRPr="00ED7E61">
        <w:rPr>
          <w:rStyle w:val="eop"/>
          <w:rFonts w:asciiTheme="majorBidi" w:eastAsiaTheme="majorEastAsia" w:hAnsiTheme="majorBidi" w:cstheme="majorBidi"/>
          <w:color w:val="000000"/>
        </w:rPr>
        <w:t> </w:t>
      </w:r>
    </w:p>
    <w:p w14:paraId="66C0A7F2" w14:textId="206A8192" w:rsidR="00756F0F" w:rsidRPr="00ED7E61" w:rsidRDefault="00756F0F" w:rsidP="00474A03">
      <w:pPr>
        <w:pStyle w:val="CBDNormalNumber"/>
        <w:numPr>
          <w:ilvl w:val="0"/>
          <w:numId w:val="0"/>
        </w:numPr>
        <w:shd w:val="clear" w:color="auto" w:fill="FFFFFF"/>
        <w:ind w:left="567"/>
        <w:rPr>
          <w:rFonts w:asciiTheme="majorBidi" w:hAnsiTheme="majorBidi" w:cstheme="majorBidi"/>
        </w:rPr>
      </w:pPr>
      <w:r w:rsidRPr="00FB1598">
        <w:rPr>
          <w:rStyle w:val="normaltextrun"/>
          <w:rFonts w:asciiTheme="majorBidi" w:eastAsiaTheme="majorEastAsia" w:hAnsiTheme="majorBidi" w:cstheme="majorBidi"/>
        </w:rPr>
        <w:t>OECD</w:t>
      </w:r>
      <w:r w:rsidRPr="00ED7E61">
        <w:rPr>
          <w:rStyle w:val="normaltextrun"/>
          <w:rFonts w:asciiTheme="majorBidi" w:eastAsiaTheme="majorEastAsia" w:hAnsiTheme="majorBidi" w:cstheme="majorBidi"/>
          <w:color w:val="000000"/>
        </w:rPr>
        <w:t xml:space="preserve"> 2023, Policy Instruments for the Environment (PINE) Database, http://oe.cd/pine , June 2023 version.</w:t>
      </w:r>
      <w:r w:rsidRPr="00ED7E61">
        <w:rPr>
          <w:rStyle w:val="eop"/>
          <w:rFonts w:asciiTheme="majorBidi" w:eastAsiaTheme="majorEastAsia" w:hAnsiTheme="majorBidi" w:cstheme="majorBidi"/>
          <w:color w:val="000000"/>
        </w:rPr>
        <w:t> </w:t>
      </w:r>
    </w:p>
    <w:p w14:paraId="07F7E53B"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12. Graphs and diagrams</w:t>
      </w:r>
      <w:r w:rsidRPr="00ED7E61">
        <w:rPr>
          <w:rStyle w:val="eop"/>
          <w:rFonts w:asciiTheme="majorBidi" w:eastAsiaTheme="majorEastAsia" w:hAnsiTheme="majorBidi" w:cstheme="majorBidi"/>
          <w:b/>
          <w:bCs/>
          <w:sz w:val="22"/>
          <w:szCs w:val="22"/>
        </w:rPr>
        <w:t> </w:t>
      </w:r>
    </w:p>
    <w:p w14:paraId="4C21B4A4"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441BD7DC"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7B34FC6B"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1A37688E" w14:textId="77777777" w:rsidR="00D311B8" w:rsidRPr="00ED7E61" w:rsidRDefault="00D311B8" w:rsidP="00395866">
      <w:pPr>
        <w:rPr>
          <w:rStyle w:val="normaltextrun"/>
          <w:rFonts w:asciiTheme="majorBidi" w:eastAsiaTheme="majorEastAsia" w:hAnsiTheme="majorBidi" w:cstheme="majorBidi"/>
          <w:b/>
          <w:bCs/>
          <w:sz w:val="22"/>
          <w:szCs w:val="22"/>
          <w:lang w:val="en-GB"/>
        </w:rPr>
      </w:pPr>
      <w:r w:rsidRPr="00ED7E61">
        <w:rPr>
          <w:rStyle w:val="normaltextrun"/>
          <w:rFonts w:asciiTheme="majorBidi" w:eastAsiaTheme="majorEastAsia" w:hAnsiTheme="majorBidi" w:cstheme="majorBidi"/>
          <w:b/>
          <w:bCs/>
          <w:sz w:val="22"/>
          <w:szCs w:val="22"/>
          <w:lang w:val="en-GB"/>
        </w:rPr>
        <w:br w:type="page"/>
      </w:r>
    </w:p>
    <w:p w14:paraId="3AC48B7C" w14:textId="56160BC0" w:rsidR="00756F0F" w:rsidRPr="00ED7E61" w:rsidRDefault="00756F0F" w:rsidP="003B0E8A">
      <w:pPr>
        <w:pStyle w:val="Heading3"/>
      </w:pPr>
      <w:bookmarkStart w:id="73" w:name="_Toc178285879"/>
      <w:bookmarkStart w:id="74" w:name="_Hlk178002831"/>
      <w:bookmarkStart w:id="75" w:name="_Hlk178002900"/>
      <w:r w:rsidRPr="00ED7E61">
        <w:rPr>
          <w:rStyle w:val="normaltextrun"/>
        </w:rPr>
        <w:t>GBF indicator metadata</w:t>
      </w:r>
      <w:r w:rsidR="004F77DE" w:rsidRPr="00ED7E61">
        <w:rPr>
          <w:rStyle w:val="normaltextrun"/>
        </w:rPr>
        <w:t xml:space="preserve"> 18.2 Value of subsidies and other incentives harmful to biodiversity</w:t>
      </w:r>
      <w:bookmarkEnd w:id="73"/>
      <w:r w:rsidRPr="00ED7E61">
        <w:rPr>
          <w:rStyle w:val="normaltextrun"/>
        </w:rPr>
        <w:t> </w:t>
      </w:r>
      <w:r w:rsidRPr="00ED7E61">
        <w:rPr>
          <w:rStyle w:val="eop"/>
        </w:rPr>
        <w:t> </w:t>
      </w:r>
    </w:p>
    <w:p w14:paraId="2127DC34" w14:textId="77777777"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eop"/>
          <w:rFonts w:asciiTheme="majorBidi" w:eastAsiaTheme="majorEastAsia" w:hAnsiTheme="majorBidi" w:cstheme="majorBidi"/>
          <w:sz w:val="22"/>
          <w:szCs w:val="22"/>
        </w:rPr>
        <w:t> </w:t>
      </w:r>
    </w:p>
    <w:p w14:paraId="11378DA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 Indicator name</w:t>
      </w:r>
      <w:r w:rsidRPr="00ED7E61">
        <w:rPr>
          <w:rStyle w:val="normaltextrun"/>
          <w:rFonts w:asciiTheme="majorBidi" w:eastAsiaTheme="majorEastAsia" w:hAnsiTheme="majorBidi" w:cstheme="majorBidi"/>
          <w:b/>
          <w:bCs/>
          <w:i/>
          <w:iCs/>
          <w:sz w:val="22"/>
          <w:szCs w:val="22"/>
          <w:lang w:val="en-GB"/>
        </w:rPr>
        <w:t> </w:t>
      </w:r>
      <w:r w:rsidRPr="00ED7E61">
        <w:rPr>
          <w:rStyle w:val="eop"/>
          <w:rFonts w:asciiTheme="majorBidi" w:eastAsiaTheme="majorEastAsia" w:hAnsiTheme="majorBidi" w:cstheme="majorBidi"/>
          <w:b/>
          <w:bCs/>
          <w:sz w:val="22"/>
          <w:szCs w:val="22"/>
        </w:rPr>
        <w:t> </w:t>
      </w:r>
    </w:p>
    <w:p w14:paraId="1B424CE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18.2 Value of subsidies and other incentives harmful to biodiversity.</w:t>
      </w:r>
      <w:r w:rsidRPr="00ED7E61">
        <w:rPr>
          <w:rStyle w:val="eop"/>
          <w:rFonts w:asciiTheme="majorBidi" w:eastAsiaTheme="majorEastAsia" w:hAnsiTheme="majorBidi" w:cstheme="majorBidi"/>
          <w:sz w:val="22"/>
          <w:szCs w:val="22"/>
        </w:rPr>
        <w:t> </w:t>
      </w:r>
    </w:p>
    <w:p w14:paraId="598D492E" w14:textId="48D6A977" w:rsidR="00756F0F" w:rsidRPr="00ED7E61" w:rsidRDefault="00454683" w:rsidP="00B10F0C">
      <w:pPr>
        <w:pStyle w:val="CBDNormalNumber"/>
        <w:numPr>
          <w:ilvl w:val="0"/>
          <w:numId w:val="94"/>
        </w:numPr>
        <w:shd w:val="clear" w:color="auto" w:fill="FFFFFF"/>
        <w:tabs>
          <w:tab w:val="clear" w:pos="1701"/>
        </w:tabs>
        <w:ind w:left="567" w:firstLine="0"/>
        <w:rPr>
          <w:rFonts w:asciiTheme="majorBidi" w:hAnsiTheme="majorBidi" w:cstheme="majorBidi"/>
        </w:rPr>
      </w:pPr>
      <w:r w:rsidRPr="00FB1598">
        <w:rPr>
          <w:rStyle w:val="normaltextrun"/>
          <w:rFonts w:asciiTheme="majorBidi" w:eastAsiaTheme="majorEastAsia" w:hAnsiTheme="majorBidi" w:cstheme="majorBidi"/>
        </w:rPr>
        <w:t>Possible</w:t>
      </w:r>
      <w:r w:rsidRPr="00ED7E61">
        <w:rPr>
          <w:rStyle w:val="normaltextrun"/>
          <w:rFonts w:asciiTheme="majorBidi" w:eastAsiaTheme="majorEastAsia" w:hAnsiTheme="majorBidi" w:cstheme="majorBidi"/>
          <w:color w:val="000000"/>
        </w:rPr>
        <w:t xml:space="preserve"> d</w:t>
      </w:r>
      <w:r w:rsidR="00756F0F" w:rsidRPr="00ED7E61">
        <w:rPr>
          <w:rStyle w:val="normaltextrun"/>
          <w:rFonts w:asciiTheme="majorBidi" w:eastAsiaTheme="majorEastAsia" w:hAnsiTheme="majorBidi" w:cstheme="majorBidi"/>
          <w:color w:val="000000"/>
        </w:rPr>
        <w:t>isaggregation</w:t>
      </w:r>
      <w:r w:rsidRPr="00ED7E61">
        <w:rPr>
          <w:rStyle w:val="normaltextrun"/>
          <w:rFonts w:asciiTheme="majorBidi" w:eastAsiaTheme="majorEastAsia" w:hAnsiTheme="majorBidi" w:cstheme="majorBidi"/>
          <w:color w:val="000000"/>
        </w:rPr>
        <w:t>s</w:t>
      </w:r>
      <w:r w:rsidR="00756F0F" w:rsidRPr="00ED7E61">
        <w:rPr>
          <w:rStyle w:val="normaltextrun"/>
          <w:rFonts w:asciiTheme="majorBidi" w:eastAsiaTheme="majorEastAsia" w:hAnsiTheme="majorBidi" w:cstheme="majorBidi"/>
        </w:rPr>
        <w:t xml:space="preserve"> of the headline indicator: </w:t>
      </w:r>
      <w:r w:rsidR="00756F0F" w:rsidRPr="00ED7E61">
        <w:rPr>
          <w:rStyle w:val="eop"/>
          <w:rFonts w:asciiTheme="majorBidi" w:eastAsiaTheme="majorEastAsia" w:hAnsiTheme="majorBidi" w:cstheme="majorBidi"/>
        </w:rPr>
        <w:t> </w:t>
      </w:r>
    </w:p>
    <w:p w14:paraId="1C3D4EF1" w14:textId="77777777" w:rsidR="00756F0F" w:rsidRPr="00FB1598" w:rsidRDefault="00756F0F" w:rsidP="00B10F0C">
      <w:pPr>
        <w:pStyle w:val="CBDNormalNumber"/>
        <w:numPr>
          <w:ilvl w:val="0"/>
          <w:numId w:val="30"/>
        </w:numPr>
        <w:tabs>
          <w:tab w:val="clear" w:pos="567"/>
          <w:tab w:val="clear" w:pos="1134"/>
          <w:tab w:val="clear" w:pos="2268"/>
          <w:tab w:val="left" w:pos="1985"/>
        </w:tabs>
        <w:ind w:left="567" w:firstLine="567"/>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Value of agricultural subsidies and other incentives potentially harmful to biodiversity/environment</w:t>
      </w:r>
      <w:r w:rsidRPr="00FB1598">
        <w:rPr>
          <w:rStyle w:val="normaltextrun"/>
          <w:rFonts w:asciiTheme="majorBidi" w:eastAsiaTheme="majorEastAsia" w:hAnsiTheme="majorBidi" w:cstheme="majorBidi"/>
        </w:rPr>
        <w:t> </w:t>
      </w:r>
    </w:p>
    <w:p w14:paraId="770A363C" w14:textId="77777777" w:rsidR="00756F0F" w:rsidRPr="00FB1598" w:rsidRDefault="00756F0F" w:rsidP="00B10F0C">
      <w:pPr>
        <w:pStyle w:val="CBDNormalNumber"/>
        <w:numPr>
          <w:ilvl w:val="0"/>
          <w:numId w:val="30"/>
        </w:numPr>
        <w:tabs>
          <w:tab w:val="clear" w:pos="567"/>
          <w:tab w:val="clear" w:pos="1134"/>
          <w:tab w:val="clear" w:pos="2268"/>
          <w:tab w:val="left" w:pos="1985"/>
        </w:tabs>
        <w:ind w:left="567" w:firstLine="567"/>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Value of subsidies to capture fisheries with a risk (moderate or high) of encouraging unsustainable fishing in the absence of effective fisheries management</w:t>
      </w:r>
      <w:r w:rsidRPr="00FB1598">
        <w:rPr>
          <w:rStyle w:val="normaltextrun"/>
          <w:rFonts w:asciiTheme="majorBidi" w:eastAsiaTheme="majorEastAsia" w:hAnsiTheme="majorBidi" w:cstheme="majorBidi"/>
        </w:rPr>
        <w:t> </w:t>
      </w:r>
    </w:p>
    <w:p w14:paraId="5DCF8EF6" w14:textId="77777777" w:rsidR="00756F0F" w:rsidRPr="00FB1598" w:rsidRDefault="00756F0F" w:rsidP="00B10F0C">
      <w:pPr>
        <w:pStyle w:val="CBDNormalNumber"/>
        <w:numPr>
          <w:ilvl w:val="0"/>
          <w:numId w:val="30"/>
        </w:numPr>
        <w:tabs>
          <w:tab w:val="clear" w:pos="567"/>
          <w:tab w:val="clear" w:pos="1134"/>
          <w:tab w:val="clear" w:pos="2268"/>
          <w:tab w:val="left" w:pos="1985"/>
        </w:tabs>
        <w:ind w:left="567" w:firstLine="567"/>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Value of fossil fuel subsidies (production and consumption)</w:t>
      </w:r>
      <w:r w:rsidRPr="00FB1598">
        <w:rPr>
          <w:rStyle w:val="normaltextrun"/>
          <w:rFonts w:asciiTheme="majorBidi" w:eastAsiaTheme="majorEastAsia" w:hAnsiTheme="majorBidi" w:cstheme="majorBidi"/>
        </w:rPr>
        <w:t> </w:t>
      </w:r>
    </w:p>
    <w:p w14:paraId="7EAC543F" w14:textId="77777777" w:rsidR="00756F0F" w:rsidRPr="00FB1598" w:rsidRDefault="00756F0F" w:rsidP="00B10F0C">
      <w:pPr>
        <w:pStyle w:val="CBDNormalNumber"/>
        <w:numPr>
          <w:ilvl w:val="0"/>
          <w:numId w:val="30"/>
        </w:numPr>
        <w:tabs>
          <w:tab w:val="clear" w:pos="567"/>
          <w:tab w:val="clear" w:pos="1134"/>
          <w:tab w:val="clear" w:pos="2268"/>
          <w:tab w:val="left" w:pos="1985"/>
        </w:tabs>
        <w:ind w:left="567" w:firstLine="567"/>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Value of subsidies and other incentives harmful to biodiversity in another sector (such as water, transportation and mining sectors)</w:t>
      </w:r>
      <w:r w:rsidRPr="00FB1598">
        <w:rPr>
          <w:rStyle w:val="normaltextrun"/>
          <w:rFonts w:asciiTheme="majorBidi" w:eastAsiaTheme="majorEastAsia" w:hAnsiTheme="majorBidi" w:cstheme="majorBidi"/>
        </w:rPr>
        <w:t> </w:t>
      </w:r>
    </w:p>
    <w:p w14:paraId="3428EFC5" w14:textId="77777777" w:rsidR="00756F0F" w:rsidRPr="00ED7E61" w:rsidRDefault="00756F0F" w:rsidP="00B10F0C">
      <w:pPr>
        <w:pStyle w:val="CBDNormalNumber"/>
        <w:numPr>
          <w:ilvl w:val="0"/>
          <w:numId w:val="94"/>
        </w:numPr>
        <w:shd w:val="clear" w:color="auto" w:fill="FFFFFF"/>
        <w:ind w:left="567" w:firstLine="0"/>
        <w:rPr>
          <w:rStyle w:val="normaltextrun"/>
          <w:rFonts w:eastAsiaTheme="majorEastAsia"/>
          <w:color w:val="000000"/>
        </w:rPr>
      </w:pPr>
      <w:r w:rsidRPr="00FB1598">
        <w:rPr>
          <w:rStyle w:val="normaltextrun"/>
          <w:rFonts w:asciiTheme="majorBidi" w:eastAsiaTheme="majorEastAsia" w:hAnsiTheme="majorBidi" w:cstheme="majorBidi"/>
        </w:rPr>
        <w:t>All</w:t>
      </w:r>
      <w:r w:rsidRPr="00ED7E61">
        <w:rPr>
          <w:rStyle w:val="normaltextrun"/>
          <w:rFonts w:asciiTheme="majorBidi" w:eastAsiaTheme="majorEastAsia" w:hAnsiTheme="majorBidi" w:cstheme="majorBidi"/>
          <w:color w:val="000000"/>
        </w:rPr>
        <w:t xml:space="preserve"> the values are to be reported in national currency in current values.</w:t>
      </w:r>
      <w:r w:rsidRPr="00ED7E61">
        <w:rPr>
          <w:rStyle w:val="normaltextrun"/>
          <w:color w:val="000000"/>
        </w:rPr>
        <w:t> </w:t>
      </w:r>
    </w:p>
    <w:p w14:paraId="21832E36" w14:textId="54C0176E" w:rsidR="00756F0F" w:rsidRPr="00ED7E61" w:rsidRDefault="00756F0F" w:rsidP="00B10F0C">
      <w:pPr>
        <w:pStyle w:val="CBDNormalNumber"/>
        <w:numPr>
          <w:ilvl w:val="0"/>
          <w:numId w:val="94"/>
        </w:numPr>
        <w:shd w:val="clear" w:color="auto" w:fill="FFFFFF"/>
        <w:ind w:left="567" w:firstLine="0"/>
        <w:rPr>
          <w:rStyle w:val="normaltextrun"/>
          <w:rFonts w:eastAsiaTheme="majorEastAsia"/>
          <w:color w:val="000000"/>
        </w:rPr>
      </w:pPr>
      <w:r w:rsidRPr="00FB1598">
        <w:rPr>
          <w:rStyle w:val="normaltextrun"/>
          <w:rFonts w:asciiTheme="majorBidi" w:eastAsiaTheme="majorEastAsia" w:hAnsiTheme="majorBidi" w:cstheme="majorBidi"/>
        </w:rPr>
        <w:t>Explanation</w:t>
      </w:r>
      <w:r w:rsidRPr="00ED7E61">
        <w:rPr>
          <w:rStyle w:val="normaltextrun"/>
          <w:rFonts w:asciiTheme="majorBidi" w:eastAsiaTheme="majorEastAsia" w:hAnsiTheme="majorBidi" w:cstheme="majorBidi"/>
          <w:color w:val="000000"/>
        </w:rPr>
        <w:t xml:space="preserve">: The disaggregated values are taken from the formerly proposed complementary indicators; the value of subsidies to capture fisheries is new, proposed by the </w:t>
      </w:r>
      <w:r w:rsidR="001010A0" w:rsidRPr="00FB1598">
        <w:rPr>
          <w:rStyle w:val="normaltextrun"/>
        </w:rPr>
        <w:t>technical expert group on financial reporting</w:t>
      </w:r>
      <w:r w:rsidRPr="00ED7E61">
        <w:rPr>
          <w:rStyle w:val="normaltextrun"/>
          <w:rFonts w:asciiTheme="majorBidi" w:eastAsiaTheme="majorEastAsia" w:hAnsiTheme="majorBidi" w:cstheme="majorBidi"/>
          <w:color w:val="000000"/>
        </w:rPr>
        <w:t>. In case of the disaggregation for the fishery sector and fossil fuels, datasets with data for some countries exist and can be used within the template. Further information below.</w:t>
      </w:r>
      <w:r w:rsidRPr="00ED7E61">
        <w:rPr>
          <w:rStyle w:val="normaltextrun"/>
          <w:color w:val="000000"/>
        </w:rPr>
        <w:t> </w:t>
      </w:r>
      <w:r w:rsidR="00750A65" w:rsidRPr="00ED7E61">
        <w:rPr>
          <w:rStyle w:val="normaltextrun"/>
          <w:color w:val="000000"/>
        </w:rPr>
        <w:t>Parties can report on incentives harmful for biodiversity across all relevant sectors,</w:t>
      </w:r>
      <w:r w:rsidR="00750A65" w:rsidRPr="00ED7E61">
        <w:t xml:space="preserve"> these disaggregations are provided for the information of Parties to take into account, as appropriate, and subject to their national circumstances and priorities.</w:t>
      </w:r>
    </w:p>
    <w:p w14:paraId="409098B2" w14:textId="77777777" w:rsidR="00756F0F" w:rsidRPr="00ED7E61" w:rsidRDefault="00756F0F" w:rsidP="00B10F0C">
      <w:pPr>
        <w:pStyle w:val="CBDNormalNumber"/>
        <w:numPr>
          <w:ilvl w:val="0"/>
          <w:numId w:val="94"/>
        </w:numPr>
        <w:shd w:val="clear" w:color="auto" w:fill="FFFFFF"/>
        <w:ind w:left="567" w:firstLine="0"/>
        <w:rPr>
          <w:rStyle w:val="normaltextrun"/>
          <w:rFonts w:eastAsiaTheme="majorEastAsia"/>
          <w:color w:val="000000"/>
        </w:rPr>
      </w:pPr>
      <w:r w:rsidRPr="00FB1598">
        <w:rPr>
          <w:rStyle w:val="normaltextrun"/>
          <w:rFonts w:asciiTheme="majorBidi" w:eastAsiaTheme="majorEastAsia" w:hAnsiTheme="majorBidi" w:cstheme="majorBidi"/>
        </w:rPr>
        <w:t>Justification</w:t>
      </w:r>
      <w:r w:rsidRPr="00ED7E61">
        <w:rPr>
          <w:rStyle w:val="normaltextrun"/>
          <w:rFonts w:asciiTheme="majorBidi" w:eastAsiaTheme="majorEastAsia" w:hAnsiTheme="majorBidi" w:cstheme="majorBidi"/>
          <w:color w:val="000000"/>
        </w:rPr>
        <w:t xml:space="preserve"> for revising the proposed headline indicator: The headline indicator as it is worded in Table 2 of CBD/COP/DEC/15/5 would only allow countries to report on (positive) reform, but if this were to be reversed in another year, this information would not be recorded. For example,  country X  might eliminate/reform 2 million worth of harmful incentives in year 1, but then introduce (other) harmful incentives worth 10 million in year 2 or 3. The original wording of the headline indicator only requires that countries report on the reform of harmful incentives in year 1, but does not require the country to report on the introduction of harmful incentives in year 2 or 3. Furthermore, a country with a high value of harmful subsidies/incentives that reforms even a small fraction of them will look to be performing better than a country that has few or no harmful subsidies/incentives and has therefore reformed few or none. </w:t>
      </w:r>
      <w:r w:rsidRPr="00ED7E61">
        <w:rPr>
          <w:rStyle w:val="normaltextrun"/>
          <w:color w:val="000000"/>
        </w:rPr>
        <w:t> </w:t>
      </w:r>
    </w:p>
    <w:p w14:paraId="138930F1" w14:textId="6C88B5E2" w:rsidR="00756F0F" w:rsidRPr="00526EB5" w:rsidRDefault="00601AE3" w:rsidP="00B10F0C">
      <w:pPr>
        <w:pStyle w:val="CBDNormalNumber"/>
        <w:numPr>
          <w:ilvl w:val="0"/>
          <w:numId w:val="94"/>
        </w:numPr>
        <w:shd w:val="clear" w:color="auto" w:fill="FFFFFF"/>
        <w:ind w:left="567" w:firstLine="0"/>
        <w:rPr>
          <w:rFonts w:eastAsiaTheme="majorEastAsia"/>
          <w:color w:val="000000"/>
        </w:rPr>
      </w:pPr>
      <w:r w:rsidRPr="001010A0">
        <w:rPr>
          <w:rStyle w:val="normaltextrun"/>
          <w:rFonts w:asciiTheme="majorBidi" w:eastAsiaTheme="majorEastAsia" w:hAnsiTheme="majorBidi" w:cstheme="majorBidi"/>
          <w:color w:val="000000"/>
        </w:rPr>
        <w:t>The</w:t>
      </w:r>
      <w:r>
        <w:rPr>
          <w:rStyle w:val="normaltextrun"/>
          <w:rFonts w:asciiTheme="majorBidi" w:eastAsiaTheme="majorEastAsia" w:hAnsiTheme="majorBidi" w:cstheme="majorBidi"/>
          <w:color w:val="000000"/>
        </w:rPr>
        <w:t xml:space="preserve"> </w:t>
      </w:r>
      <w:r w:rsidR="001010A0" w:rsidRPr="00FB1598">
        <w:rPr>
          <w:rStyle w:val="normaltextrun"/>
        </w:rPr>
        <w:t>technical expert group on financial reporting</w:t>
      </w:r>
      <w:r w:rsidR="001010A0" w:rsidRPr="00FB1598" w:rsidDel="001010A0">
        <w:rPr>
          <w:rStyle w:val="normaltextrun"/>
        </w:rPr>
        <w:t xml:space="preserve"> </w:t>
      </w:r>
      <w:r w:rsidR="00756F0F" w:rsidRPr="00ED7E61">
        <w:rPr>
          <w:rStyle w:val="normaltextrun"/>
          <w:rFonts w:asciiTheme="majorBidi" w:eastAsiaTheme="majorEastAsia" w:hAnsiTheme="majorBidi" w:cstheme="majorBidi"/>
          <w:color w:val="000000"/>
        </w:rPr>
        <w:t>note</w:t>
      </w:r>
      <w:r>
        <w:rPr>
          <w:rStyle w:val="normaltextrun"/>
          <w:rFonts w:asciiTheme="majorBidi" w:eastAsiaTheme="majorEastAsia" w:hAnsiTheme="majorBidi" w:cstheme="majorBidi"/>
          <w:color w:val="000000"/>
        </w:rPr>
        <w:t>s</w:t>
      </w:r>
      <w:r w:rsidR="00756F0F" w:rsidRPr="00ED7E61">
        <w:rPr>
          <w:rStyle w:val="normaltextrun"/>
          <w:rFonts w:asciiTheme="majorBidi" w:eastAsiaTheme="majorEastAsia" w:hAnsiTheme="majorBidi" w:cstheme="majorBidi"/>
          <w:color w:val="000000"/>
        </w:rPr>
        <w:t xml:space="preserve"> that there is no standardized, globally agreed methodology for assessing the value of subsidies and other incentives harmful to biodiversity that are eliminated, phased out or reformed, nor is there a single global dataset providing this information.  However, there are datasets and methodologies for assessing the value of (potentially) harmful subsidies and other incentives across particular sectors. Furthermore, changes in these values from one year to the next at national level may represent policy action (reform) but can also reflect other factors e.g. changes in commodity prices.  In aggregate, time series data on indicators relevant to evaluating “</w:t>
      </w:r>
      <w:r w:rsidR="00756F0F" w:rsidRPr="00FB1598">
        <w:rPr>
          <w:rStyle w:val="normaltextrun"/>
          <w:rFonts w:asciiTheme="majorBidi" w:eastAsiaTheme="majorEastAsia" w:hAnsiTheme="majorBidi" w:cstheme="majorBidi"/>
          <w:i/>
          <w:iCs/>
          <w:color w:val="000000"/>
        </w:rPr>
        <w:t>the value of subsidies and other incentives harmful to biodiversity</w:t>
      </w:r>
      <w:r w:rsidR="00756F0F" w:rsidRPr="00ED7E61">
        <w:rPr>
          <w:rStyle w:val="normaltextrun"/>
          <w:rFonts w:asciiTheme="majorBidi" w:eastAsiaTheme="majorEastAsia" w:hAnsiTheme="majorBidi" w:cstheme="majorBidi"/>
          <w:color w:val="000000"/>
        </w:rPr>
        <w:t>” allows for the monitoring of progress towards target 18.2. (i.e. by examining trends over time).</w:t>
      </w:r>
      <w:r w:rsidR="00756F0F" w:rsidRPr="00ED7E61">
        <w:rPr>
          <w:rStyle w:val="normaltextrun"/>
          <w:color w:val="000000"/>
        </w:rPr>
        <w:t> </w:t>
      </w:r>
      <w:bookmarkEnd w:id="74"/>
      <w:bookmarkEnd w:id="75"/>
    </w:p>
    <w:p w14:paraId="11275C8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2. Date of metadata update  </w:t>
      </w:r>
      <w:r w:rsidRPr="00ED7E61">
        <w:rPr>
          <w:rStyle w:val="eop"/>
          <w:rFonts w:asciiTheme="majorBidi" w:eastAsiaTheme="majorEastAsia" w:hAnsiTheme="majorBidi" w:cstheme="majorBidi"/>
          <w:b/>
          <w:bCs/>
          <w:sz w:val="22"/>
          <w:szCs w:val="22"/>
        </w:rPr>
        <w:t> </w:t>
      </w:r>
    </w:p>
    <w:p w14:paraId="2E156BC1" w14:textId="140BB9CC" w:rsidR="00756F0F" w:rsidRPr="00ED7E61" w:rsidRDefault="006B30FE" w:rsidP="00395866">
      <w:pPr>
        <w:pStyle w:val="paragraph"/>
        <w:spacing w:before="0" w:beforeAutospacing="0" w:after="0" w:afterAutospacing="0"/>
        <w:textAlignment w:val="baseline"/>
        <w:rPr>
          <w:rFonts w:asciiTheme="majorBidi" w:hAnsiTheme="majorBidi" w:cstheme="majorBidi"/>
          <w:sz w:val="22"/>
          <w:szCs w:val="22"/>
        </w:rPr>
      </w:pPr>
      <w:r>
        <w:rPr>
          <w:rStyle w:val="normaltextrun"/>
          <w:rFonts w:asciiTheme="majorBidi" w:eastAsiaTheme="majorEastAsia" w:hAnsiTheme="majorBidi" w:cstheme="majorBidi"/>
          <w:sz w:val="22"/>
          <w:szCs w:val="22"/>
          <w:lang w:val="en-GB"/>
        </w:rPr>
        <w:t>September</w:t>
      </w:r>
      <w:r w:rsidRPr="00ED7E61">
        <w:rPr>
          <w:rStyle w:val="normaltextrun"/>
          <w:rFonts w:asciiTheme="majorBidi" w:eastAsiaTheme="majorEastAsia" w:hAnsiTheme="majorBidi" w:cstheme="majorBidi"/>
          <w:sz w:val="22"/>
          <w:szCs w:val="22"/>
          <w:lang w:val="en-GB"/>
        </w:rPr>
        <w:t xml:space="preserve"> </w:t>
      </w:r>
      <w:r w:rsidR="00756F0F" w:rsidRPr="00ED7E61">
        <w:rPr>
          <w:rStyle w:val="normaltextrun"/>
          <w:rFonts w:asciiTheme="majorBidi" w:eastAsiaTheme="majorEastAsia" w:hAnsiTheme="majorBidi" w:cstheme="majorBidi"/>
          <w:sz w:val="22"/>
          <w:szCs w:val="22"/>
          <w:lang w:val="en-GB"/>
        </w:rPr>
        <w:t>2024</w:t>
      </w:r>
      <w:r w:rsidR="00756F0F" w:rsidRPr="00ED7E61">
        <w:rPr>
          <w:rStyle w:val="eop"/>
          <w:rFonts w:asciiTheme="majorBidi" w:eastAsiaTheme="majorEastAsia" w:hAnsiTheme="majorBidi" w:cstheme="majorBidi"/>
          <w:sz w:val="22"/>
          <w:szCs w:val="22"/>
        </w:rPr>
        <w:t> </w:t>
      </w:r>
    </w:p>
    <w:p w14:paraId="06D3943F" w14:textId="77777777" w:rsidR="00756F0F" w:rsidRPr="00ED7E61" w:rsidRDefault="00756F0F" w:rsidP="00526EB5">
      <w:pPr>
        <w:pStyle w:val="paragraph"/>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 Goals and Targets addressed</w:t>
      </w:r>
      <w:r w:rsidRPr="00ED7E61">
        <w:rPr>
          <w:rStyle w:val="eop"/>
          <w:rFonts w:asciiTheme="majorBidi" w:eastAsiaTheme="majorEastAsia" w:hAnsiTheme="majorBidi" w:cstheme="majorBidi"/>
          <w:b/>
          <w:bCs/>
          <w:sz w:val="22"/>
          <w:szCs w:val="22"/>
        </w:rPr>
        <w:t> </w:t>
      </w:r>
    </w:p>
    <w:p w14:paraId="7DEAF326" w14:textId="77777777" w:rsidR="00756F0F" w:rsidRPr="00ED7E61" w:rsidRDefault="00756F0F" w:rsidP="00526EB5">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3a. Goal </w:t>
      </w:r>
      <w:r w:rsidRPr="00ED7E61">
        <w:rPr>
          <w:rStyle w:val="eop"/>
          <w:rFonts w:asciiTheme="majorBidi" w:eastAsiaTheme="majorEastAsia" w:hAnsiTheme="majorBidi" w:cstheme="majorBidi"/>
          <w:b/>
          <w:bCs/>
          <w:sz w:val="22"/>
          <w:szCs w:val="22"/>
        </w:rPr>
        <w:t> </w:t>
      </w:r>
    </w:p>
    <w:p w14:paraId="397EF6D6" w14:textId="77777777" w:rsidR="00756F0F" w:rsidRPr="00ED7E61" w:rsidRDefault="00756F0F" w:rsidP="00526EB5">
      <w:pPr>
        <w:pStyle w:val="paragraph"/>
        <w:spacing w:before="0" w:beforeAutospacing="0" w:after="0" w:afterAutospacing="0"/>
        <w:ind w:left="567" w:right="-3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N/A</w:t>
      </w:r>
      <w:r w:rsidRPr="00ED7E61">
        <w:rPr>
          <w:rStyle w:val="eop"/>
          <w:rFonts w:asciiTheme="majorBidi" w:eastAsiaTheme="majorEastAsia" w:hAnsiTheme="majorBidi" w:cstheme="majorBidi"/>
          <w:sz w:val="22"/>
          <w:szCs w:val="22"/>
        </w:rPr>
        <w:t> </w:t>
      </w:r>
    </w:p>
    <w:p w14:paraId="56D0374C" w14:textId="77777777" w:rsidR="00756F0F" w:rsidRPr="00ED7E61" w:rsidRDefault="00756F0F" w:rsidP="00526EB5">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3b. Target</w:t>
      </w:r>
      <w:r w:rsidRPr="00ED7E61">
        <w:rPr>
          <w:rStyle w:val="eop"/>
          <w:rFonts w:asciiTheme="majorBidi" w:eastAsiaTheme="majorEastAsia" w:hAnsiTheme="majorBidi" w:cstheme="majorBidi"/>
          <w:b/>
          <w:bCs/>
          <w:sz w:val="22"/>
          <w:szCs w:val="22"/>
        </w:rPr>
        <w:t> </w:t>
      </w:r>
    </w:p>
    <w:p w14:paraId="0CE64A5C" w14:textId="77777777" w:rsidR="00756F0F" w:rsidRPr="00ED7E61" w:rsidRDefault="00756F0F" w:rsidP="00395866">
      <w:pPr>
        <w:pStyle w:val="paragraph"/>
        <w:spacing w:before="0" w:beforeAutospacing="0" w:after="0" w:afterAutospacing="0"/>
        <w:ind w:right="-30"/>
        <w:jc w:val="both"/>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Headline indicator for </w:t>
      </w:r>
      <w:r w:rsidRPr="00ED7E61">
        <w:rPr>
          <w:rStyle w:val="normaltextrun"/>
          <w:rFonts w:asciiTheme="majorBidi" w:eastAsiaTheme="majorEastAsia" w:hAnsiTheme="majorBidi" w:cstheme="majorBidi"/>
          <w:color w:val="000000"/>
          <w:sz w:val="22"/>
          <w:szCs w:val="22"/>
          <w:lang w:val="en-GB"/>
        </w:rPr>
        <w:t>Target 18: Identify by 2025, and eliminate, phase out or reform incentives, including subsidies, harmful for biodiversity, in a proportionate, just, fair, effective and equitable way, while substantially and progressively reducing them by at least $500 billion per year by 2030, starting with the most harmful incentives, and scale up positive incentives for the conservation and sustainable use of biodiversity.</w:t>
      </w:r>
      <w:r w:rsidRPr="00ED7E61">
        <w:rPr>
          <w:rStyle w:val="eop"/>
          <w:rFonts w:asciiTheme="majorBidi" w:eastAsiaTheme="majorEastAsia" w:hAnsiTheme="majorBidi" w:cstheme="majorBidi"/>
          <w:color w:val="000000"/>
          <w:sz w:val="22"/>
          <w:szCs w:val="22"/>
        </w:rPr>
        <w:t> </w:t>
      </w:r>
    </w:p>
    <w:p w14:paraId="79BF668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4. Rationale</w:t>
      </w:r>
      <w:r w:rsidRPr="00ED7E61">
        <w:rPr>
          <w:rStyle w:val="eop"/>
          <w:rFonts w:asciiTheme="majorBidi" w:eastAsiaTheme="majorEastAsia" w:hAnsiTheme="majorBidi" w:cstheme="majorBidi"/>
          <w:b/>
          <w:bCs/>
          <w:sz w:val="22"/>
          <w:szCs w:val="22"/>
        </w:rPr>
        <w:t> </w:t>
      </w:r>
    </w:p>
    <w:p w14:paraId="3ECDA209" w14:textId="7CDCF0BC"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b/>
          <w:bCs/>
        </w:rPr>
      </w:pPr>
      <w:r w:rsidRPr="00FB1598">
        <w:rPr>
          <w:rStyle w:val="normaltextrun"/>
          <w:rFonts w:asciiTheme="majorBidi" w:eastAsiaTheme="majorEastAsia" w:hAnsiTheme="majorBidi" w:cstheme="majorBidi"/>
        </w:rPr>
        <w:t>This</w:t>
      </w:r>
      <w:r w:rsidRPr="00ED7E61">
        <w:rPr>
          <w:rStyle w:val="normaltextrun"/>
          <w:rFonts w:asciiTheme="majorBidi" w:eastAsiaTheme="majorEastAsia" w:hAnsiTheme="majorBidi" w:cstheme="majorBidi"/>
        </w:rPr>
        <w:t xml:space="preserve"> indicator quantifies all the incentives including subsidies harmful to biodiversity provided by the Government. Regular reporting on the indicator will reveal the trend of</w:t>
      </w:r>
      <w:r w:rsidR="00B93D0C">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the value of incentives including subsidies harmful to biodiversity over time. A decreasing trend indicates that a government is eliminating, phasing out or reforming incentives harmful to biodiversity. On the other hand, an increasing trend suggests the value of subsidies and other incentives harmful to biodiversity is rising over time. </w:t>
      </w:r>
      <w:r w:rsidRPr="00ED7E61">
        <w:rPr>
          <w:rStyle w:val="eop"/>
          <w:rFonts w:asciiTheme="majorBidi" w:eastAsiaTheme="majorEastAsia" w:hAnsiTheme="majorBidi" w:cstheme="majorBidi"/>
          <w:b/>
          <w:bCs/>
        </w:rPr>
        <w:t> </w:t>
      </w:r>
    </w:p>
    <w:p w14:paraId="71CE0E4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 Definitions, concepts and classifications</w:t>
      </w:r>
      <w:r w:rsidRPr="00ED7E61">
        <w:rPr>
          <w:rStyle w:val="eop"/>
          <w:rFonts w:asciiTheme="majorBidi" w:eastAsiaTheme="majorEastAsia" w:hAnsiTheme="majorBidi" w:cstheme="majorBidi"/>
          <w:b/>
          <w:bCs/>
          <w:sz w:val="22"/>
          <w:szCs w:val="22"/>
        </w:rPr>
        <w:t> </w:t>
      </w:r>
    </w:p>
    <w:p w14:paraId="0907BAC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5a. Definition: </w:t>
      </w:r>
      <w:r w:rsidRPr="00ED7E61">
        <w:rPr>
          <w:rStyle w:val="eop"/>
          <w:rFonts w:asciiTheme="majorBidi" w:eastAsiaTheme="majorEastAsia" w:hAnsiTheme="majorBidi" w:cstheme="majorBidi"/>
          <w:b/>
          <w:bCs/>
          <w:sz w:val="22"/>
          <w:szCs w:val="22"/>
        </w:rPr>
        <w:t> </w:t>
      </w:r>
    </w:p>
    <w:p w14:paraId="08952243" w14:textId="524459C4" w:rsidR="00756F0F" w:rsidRPr="00ED7E61" w:rsidRDefault="00756F0F" w:rsidP="00B10F0C">
      <w:pPr>
        <w:pStyle w:val="CBDNormalNumber"/>
        <w:numPr>
          <w:ilvl w:val="0"/>
          <w:numId w:val="94"/>
        </w:numPr>
        <w:shd w:val="clear" w:color="auto" w:fill="FFFFFF"/>
        <w:ind w:left="567" w:firstLine="0"/>
        <w:rPr>
          <w:rStyle w:val="normaltextrun"/>
          <w:rFonts w:eastAsiaTheme="majorEastAsia"/>
          <w:color w:val="000000"/>
          <w:sz w:val="24"/>
          <w:szCs w:val="24"/>
          <w:lang w:val="en-CA"/>
        </w:rPr>
      </w:pPr>
      <w:r w:rsidRPr="00FB1598">
        <w:rPr>
          <w:rStyle w:val="normaltextrun"/>
          <w:rFonts w:asciiTheme="majorBidi" w:eastAsiaTheme="majorEastAsia" w:hAnsiTheme="majorBidi" w:cstheme="majorBidi"/>
        </w:rPr>
        <w:t>There</w:t>
      </w:r>
      <w:r w:rsidRPr="00ED7E61">
        <w:rPr>
          <w:rStyle w:val="normaltextrun"/>
          <w:rFonts w:asciiTheme="majorBidi" w:eastAsiaTheme="majorEastAsia" w:hAnsiTheme="majorBidi" w:cstheme="majorBidi"/>
          <w:color w:val="000000"/>
        </w:rPr>
        <w:t xml:space="preserve"> is no universally agreed definition of subsidies, as it depends on the context in which the term is discussed. </w:t>
      </w:r>
      <w:r w:rsidR="00750A65" w:rsidRPr="00ED7E61">
        <w:rPr>
          <w:rStyle w:val="normaltextrun"/>
          <w:rFonts w:asciiTheme="majorBidi" w:eastAsiaTheme="majorEastAsia" w:hAnsiTheme="majorBidi" w:cstheme="majorBidi"/>
          <w:color w:val="000000"/>
        </w:rPr>
        <w:t>H</w:t>
      </w:r>
      <w:r w:rsidRPr="00ED7E61">
        <w:rPr>
          <w:rStyle w:val="normaltextrun"/>
          <w:rFonts w:asciiTheme="majorBidi" w:eastAsiaTheme="majorEastAsia" w:hAnsiTheme="majorBidi" w:cstheme="majorBidi"/>
          <w:color w:val="000000"/>
        </w:rPr>
        <w:t xml:space="preserve">armful or perverse incentives to biodiversity </w:t>
      </w:r>
      <w:r w:rsidR="00750A65" w:rsidRPr="00ED7E61">
        <w:rPr>
          <w:rStyle w:val="normaltextrun"/>
          <w:rFonts w:asciiTheme="majorBidi" w:eastAsiaTheme="majorEastAsia" w:hAnsiTheme="majorBidi" w:cstheme="majorBidi"/>
          <w:color w:val="000000"/>
        </w:rPr>
        <w:t xml:space="preserve">are generally regarded as </w:t>
      </w:r>
      <w:r w:rsidRPr="00ED7E61">
        <w:rPr>
          <w:rStyle w:val="normaltextrun"/>
          <w:rFonts w:asciiTheme="majorBidi" w:eastAsiaTheme="majorEastAsia" w:hAnsiTheme="majorBidi" w:cstheme="majorBidi"/>
          <w:color w:val="000000"/>
        </w:rPr>
        <w:t xml:space="preserve">economic, legal and institutional incentives that emanate from policies or practices that induce unsustainable </w:t>
      </w:r>
      <w:r w:rsidR="00E8432C" w:rsidRPr="00ED7E61">
        <w:rPr>
          <w:rStyle w:val="normaltextrun"/>
          <w:rFonts w:asciiTheme="majorBidi" w:eastAsiaTheme="majorEastAsia" w:hAnsiTheme="majorBidi" w:cstheme="majorBidi"/>
          <w:color w:val="000000"/>
        </w:rPr>
        <w:t>behaviour</w:t>
      </w:r>
      <w:r w:rsidRPr="00ED7E61">
        <w:rPr>
          <w:rStyle w:val="normaltextrun"/>
          <w:rFonts w:asciiTheme="majorBidi" w:eastAsiaTheme="majorEastAsia" w:hAnsiTheme="majorBidi" w:cstheme="majorBidi"/>
          <w:color w:val="000000"/>
        </w:rPr>
        <w:t xml:space="preserve"> that destroys biodiversity, often as unanticipated side-effects of policies designed to attain other objectives. Subsidies are considered a subset of incentives.</w:t>
      </w:r>
      <w:r w:rsidRPr="00ED7E61">
        <w:rPr>
          <w:rStyle w:val="normaltextrun"/>
          <w:color w:val="000000"/>
        </w:rPr>
        <w:t> </w:t>
      </w:r>
    </w:p>
    <w:p w14:paraId="5C502022" w14:textId="77777777" w:rsidR="00756F0F" w:rsidRPr="00ED7E61" w:rsidRDefault="00756F0F" w:rsidP="00B10F0C">
      <w:pPr>
        <w:pStyle w:val="CBDNormalNumber"/>
        <w:numPr>
          <w:ilvl w:val="0"/>
          <w:numId w:val="94"/>
        </w:numPr>
        <w:shd w:val="clear" w:color="auto" w:fill="FFFFFF"/>
        <w:ind w:left="567" w:firstLine="0"/>
        <w:rPr>
          <w:rStyle w:val="normaltextrun"/>
          <w:rFonts w:eastAsiaTheme="majorEastAsia"/>
          <w:color w:val="000000"/>
        </w:rPr>
      </w:pPr>
      <w:r w:rsidRPr="00FB1598">
        <w:rPr>
          <w:rStyle w:val="normaltextrun"/>
          <w:rFonts w:asciiTheme="majorBidi" w:eastAsiaTheme="majorEastAsia" w:hAnsiTheme="majorBidi" w:cstheme="majorBidi"/>
        </w:rPr>
        <w:t>In</w:t>
      </w:r>
      <w:r w:rsidRPr="00ED7E61">
        <w:rPr>
          <w:rStyle w:val="normaltextrun"/>
          <w:rFonts w:asciiTheme="majorBidi" w:eastAsiaTheme="majorEastAsia" w:hAnsiTheme="majorBidi" w:cstheme="majorBidi"/>
          <w:color w:val="000000"/>
        </w:rPr>
        <w:t xml:space="preserve"> context of this indicator, the focus is on the monetary value of subsidies and other incentives harmful to biodiversity, including policy measures (e.g. market price support, where relevant).</w:t>
      </w:r>
      <w:r w:rsidRPr="00ED7E61">
        <w:rPr>
          <w:rStyle w:val="normaltextrun"/>
          <w:color w:val="000000"/>
        </w:rPr>
        <w:t> </w:t>
      </w:r>
    </w:p>
    <w:p w14:paraId="1CC376D6" w14:textId="3AED1F2D" w:rsidR="00756F0F" w:rsidRPr="00ED7E61" w:rsidRDefault="00756F0F" w:rsidP="00B10F0C">
      <w:pPr>
        <w:pStyle w:val="CBDNormalNumber"/>
        <w:numPr>
          <w:ilvl w:val="0"/>
          <w:numId w:val="94"/>
        </w:numPr>
        <w:shd w:val="clear" w:color="auto" w:fill="FFFFFF"/>
        <w:ind w:left="567" w:firstLine="0"/>
        <w:rPr>
          <w:rStyle w:val="normaltextrun"/>
          <w:rFonts w:eastAsiaTheme="majorEastAsia"/>
          <w:color w:val="000000"/>
        </w:rPr>
      </w:pPr>
      <w:r w:rsidRPr="00FB1598">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color w:val="000000"/>
        </w:rPr>
        <w:t xml:space="preserve"> WTO defines a subsidy as “</w:t>
      </w:r>
      <w:r w:rsidRPr="00FB1598">
        <w:rPr>
          <w:rStyle w:val="normaltextrun"/>
          <w:rFonts w:asciiTheme="majorBidi" w:eastAsiaTheme="majorEastAsia" w:hAnsiTheme="majorBidi" w:cstheme="majorBidi"/>
          <w:i/>
          <w:iCs/>
          <w:color w:val="000000"/>
        </w:rPr>
        <w:t>a financial contribution by a government, or agent of a government, that confers a benefit on its</w:t>
      </w:r>
      <w:r w:rsidRPr="00FB1598">
        <w:rPr>
          <w:rStyle w:val="normaltextrun"/>
          <w:i/>
          <w:iCs/>
          <w:color w:val="000000"/>
        </w:rPr>
        <w:t> </w:t>
      </w:r>
      <w:r w:rsidRPr="00FB1598">
        <w:rPr>
          <w:rStyle w:val="normaltextrun"/>
          <w:rFonts w:asciiTheme="majorBidi" w:eastAsiaTheme="majorEastAsia" w:hAnsiTheme="majorBidi" w:cstheme="majorBidi"/>
          <w:i/>
          <w:iCs/>
          <w:color w:val="000000"/>
        </w:rPr>
        <w:t>recipients</w:t>
      </w:r>
      <w:r w:rsidRPr="00ED7E61">
        <w:rPr>
          <w:rStyle w:val="normaltextrun"/>
          <w:rFonts w:asciiTheme="majorBidi" w:eastAsiaTheme="majorEastAsia" w:hAnsiTheme="majorBidi" w:cstheme="majorBidi"/>
          <w:color w:val="000000"/>
        </w:rPr>
        <w:t>” for the purposes of the Agreement on Subsidies and Countervailing Measures. </w:t>
      </w:r>
      <w:r w:rsidRPr="00ED7E61">
        <w:rPr>
          <w:rStyle w:val="normaltextrun"/>
          <w:color w:val="000000"/>
        </w:rPr>
        <w:t> </w:t>
      </w:r>
    </w:p>
    <w:p w14:paraId="530DE7A1" w14:textId="28C1454B" w:rsidR="009746FB" w:rsidRPr="00ED7E61" w:rsidRDefault="00756F0F" w:rsidP="00B10F0C">
      <w:pPr>
        <w:pStyle w:val="CBDNormalNumber"/>
        <w:numPr>
          <w:ilvl w:val="0"/>
          <w:numId w:val="94"/>
        </w:numPr>
        <w:shd w:val="clear" w:color="auto" w:fill="FFFFFF"/>
        <w:ind w:left="567" w:firstLine="0"/>
        <w:rPr>
          <w:rStyle w:val="normaltextrun"/>
          <w:rFonts w:eastAsiaTheme="majorEastAsia"/>
          <w:color w:val="000000"/>
        </w:rPr>
      </w:pPr>
      <w:r w:rsidRPr="00FB1598">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color w:val="000000"/>
        </w:rPr>
        <w:t xml:space="preserve"> OECD describes environmental harmful subsidies/support as “</w:t>
      </w:r>
      <w:r w:rsidRPr="00FB1598">
        <w:rPr>
          <w:rStyle w:val="normaltextrun"/>
          <w:rFonts w:asciiTheme="majorBidi" w:eastAsiaTheme="majorEastAsia" w:hAnsiTheme="majorBidi" w:cstheme="majorBidi"/>
          <w:i/>
          <w:iCs/>
          <w:color w:val="000000"/>
        </w:rPr>
        <w:t>all kinds of financial support and regulations that are put into place to enhance the competitiveness of certain products, processes or regions, and that, together with the prevailing taxation regime, (unintentionally) discriminate against sound environmental practices</w:t>
      </w:r>
      <w:r w:rsidRPr="00ED7E61">
        <w:rPr>
          <w:rStyle w:val="normaltextrun"/>
          <w:rFonts w:asciiTheme="majorBidi" w:eastAsiaTheme="majorEastAsia" w:hAnsiTheme="majorBidi" w:cstheme="majorBidi"/>
          <w:color w:val="000000"/>
        </w:rPr>
        <w:t>”.</w:t>
      </w:r>
      <w:r w:rsidRPr="00ED7E61">
        <w:rPr>
          <w:rStyle w:val="normaltextrun"/>
          <w:color w:val="000000"/>
        </w:rPr>
        <w:t> </w:t>
      </w:r>
    </w:p>
    <w:p w14:paraId="1183ACC1" w14:textId="4CADDDC5" w:rsidR="009746FB"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Similarly, in the SEEA, the Central Framework explicitly says, "</w:t>
      </w:r>
      <w:r w:rsidRPr="00FB1598">
        <w:rPr>
          <w:rStyle w:val="normaltextrun"/>
          <w:rFonts w:asciiTheme="majorBidi" w:eastAsiaTheme="majorEastAsia" w:hAnsiTheme="majorBidi" w:cstheme="majorBidi"/>
          <w:i/>
          <w:iCs/>
        </w:rPr>
        <w:t>A definition of PEDS [potentially environmentally damaging subsidies] is not included in the SEEA</w:t>
      </w:r>
      <w:r w:rsidRPr="00ED7E61">
        <w:rPr>
          <w:rStyle w:val="normaltextrun"/>
          <w:rFonts w:asciiTheme="majorBidi" w:eastAsiaTheme="majorEastAsia" w:hAnsiTheme="majorBidi" w:cstheme="majorBidi"/>
        </w:rPr>
        <w:t xml:space="preserve">".  Eurostat provides the following guidance and information in this context: </w:t>
      </w:r>
      <w:hyperlink r:id="rId560" w:tgtFrame="_blank" w:history="1">
        <w:r w:rsidRPr="00ED7E61">
          <w:rPr>
            <w:rStyle w:val="normaltextrun"/>
            <w:rFonts w:asciiTheme="majorBidi" w:eastAsiaTheme="majorEastAsia" w:hAnsiTheme="majorBidi" w:cstheme="majorBidi"/>
            <w:color w:val="467886"/>
            <w:u w:val="single"/>
          </w:rPr>
          <w:t>Guidance material for the Eurostat PEDS compilation</w:t>
        </w:r>
      </w:hyperlink>
      <w:r w:rsidRPr="00ED7E61">
        <w:rPr>
          <w:rStyle w:val="normaltextrun"/>
          <w:rFonts w:asciiTheme="majorBidi" w:eastAsiaTheme="majorEastAsia" w:hAnsiTheme="majorBidi" w:cstheme="majorBidi"/>
        </w:rPr>
        <w:t xml:space="preserve">, </w:t>
      </w:r>
      <w:hyperlink r:id="rId561" w:tgtFrame="_blank" w:history="1">
        <w:r w:rsidRPr="00ED7E61">
          <w:rPr>
            <w:rStyle w:val="normaltextrun"/>
            <w:rFonts w:asciiTheme="majorBidi" w:eastAsiaTheme="majorEastAsia" w:hAnsiTheme="majorBidi" w:cstheme="majorBidi"/>
            <w:color w:val="467886"/>
            <w:u w:val="single"/>
          </w:rPr>
          <w:t>Potentially environmentally damaging transfers</w:t>
        </w:r>
      </w:hyperlink>
      <w:r w:rsidRPr="00ED7E61">
        <w:rPr>
          <w:rStyle w:val="normaltextrun"/>
          <w:rFonts w:asciiTheme="majorBidi" w:eastAsiaTheme="majorEastAsia" w:hAnsiTheme="majorBidi" w:cstheme="majorBidi"/>
        </w:rPr>
        <w:t xml:space="preserve"> and  </w:t>
      </w:r>
      <w:hyperlink r:id="rId562" w:tgtFrame="_blank" w:history="1">
        <w:r w:rsidRPr="00ED7E61">
          <w:rPr>
            <w:rStyle w:val="normaltextrun"/>
            <w:rFonts w:asciiTheme="majorBidi" w:eastAsiaTheme="majorEastAsia" w:hAnsiTheme="majorBidi" w:cstheme="majorBidi"/>
            <w:color w:val="467886"/>
            <w:u w:val="single"/>
          </w:rPr>
          <w:t>Background document</w:t>
        </w:r>
      </w:hyperlink>
      <w:r w:rsidRPr="00ED7E61">
        <w:rPr>
          <w:rStyle w:val="normaltextrun"/>
          <w:rFonts w:asciiTheme="majorBidi" w:eastAsiaTheme="majorEastAsia" w:hAnsiTheme="majorBidi" w:cstheme="majorBidi"/>
        </w:rPr>
        <w:t xml:space="preserve">  (discussed in the working group on monetary environmental statistics and accounts in 2022). The </w:t>
      </w:r>
      <w:hyperlink r:id="rId563" w:tgtFrame="_blank" w:history="1">
        <w:r w:rsidRPr="00ED7E61">
          <w:rPr>
            <w:rStyle w:val="normaltextrun"/>
            <w:rFonts w:asciiTheme="majorBidi" w:eastAsiaTheme="majorEastAsia" w:hAnsiTheme="majorBidi" w:cstheme="majorBidi"/>
            <w:color w:val="467886"/>
            <w:u w:val="single"/>
          </w:rPr>
          <w:t>Eurostat Guidelines</w:t>
        </w:r>
      </w:hyperlink>
      <w:r w:rsidRPr="00ED7E61">
        <w:rPr>
          <w:rStyle w:val="normaltextrun"/>
          <w:rFonts w:asciiTheme="majorBidi" w:eastAsiaTheme="majorEastAsia" w:hAnsiTheme="majorBidi" w:cstheme="majorBidi"/>
        </w:rPr>
        <w:t xml:space="preserve"> on Environmental subsidies and similar transfers state: </w:t>
      </w:r>
      <w:r w:rsidRPr="00ED7E61">
        <w:rPr>
          <w:rStyle w:val="scxw55407066"/>
          <w:rFonts w:asciiTheme="majorBidi" w:eastAsiaTheme="majorEastAsia" w:hAnsiTheme="majorBidi" w:cstheme="majorBidi"/>
        </w:rPr>
        <w:t> </w:t>
      </w:r>
      <w:r w:rsidRPr="00ED7E61">
        <w:rPr>
          <w:rFonts w:asciiTheme="majorBidi" w:hAnsiTheme="majorBidi" w:cstheme="majorBidi"/>
        </w:rPr>
        <w:br/>
      </w:r>
      <w:r w:rsidRPr="00ED7E61">
        <w:rPr>
          <w:rStyle w:val="normaltextrun"/>
          <w:rFonts w:asciiTheme="majorBidi" w:eastAsiaTheme="majorEastAsia" w:hAnsiTheme="majorBidi" w:cstheme="majorBidi"/>
        </w:rPr>
        <w:t>“</w:t>
      </w:r>
      <w:r w:rsidRPr="00FB1598">
        <w:rPr>
          <w:rStyle w:val="normaltextrun"/>
          <w:rFonts w:asciiTheme="majorBidi" w:eastAsiaTheme="majorEastAsia" w:hAnsiTheme="majorBidi" w:cstheme="majorBidi"/>
          <w:i/>
          <w:iCs/>
        </w:rPr>
        <w:t>There is no established definition of potentially environmentally damaging subsidies but there are ideas of how such a definition could be elaborated. One idea is to look at reductions and exemptions related to environmental taxes (using the list of environmental tax bases), which includes tax abatements. Another possible idea is to create a list of potentially harmful activities. This approach is an example of an approach ‘based on beneficiary’ since each subsidy would have to be allocated to the receiving activities and those transfers that are allocated to potentially harmful activities are considered as PEDS. All environmental subsidies and similar transfers should be excluded from the scope</w:t>
      </w:r>
      <w:r w:rsidRPr="00ED7E61">
        <w:rPr>
          <w:rStyle w:val="normaltextrun"/>
          <w:rFonts w:asciiTheme="majorBidi" w:eastAsiaTheme="majorEastAsia" w:hAnsiTheme="majorBidi" w:cstheme="majorBidi"/>
        </w:rPr>
        <w:t>.”</w:t>
      </w:r>
      <w:r w:rsidRPr="00ED7E61">
        <w:rPr>
          <w:rStyle w:val="eop"/>
          <w:rFonts w:asciiTheme="majorBidi" w:eastAsiaTheme="majorEastAsia" w:hAnsiTheme="majorBidi" w:cstheme="majorBidi"/>
        </w:rPr>
        <w:t> </w:t>
      </w:r>
    </w:p>
    <w:p w14:paraId="4A64801C" w14:textId="23349AEF"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It is important for each country to identify subsidies and other incentives harmful to biodiversity within their national context when working on the identification of subsidies (see indicator 18.2.).</w:t>
      </w:r>
      <w:r w:rsidRPr="00ED7E61">
        <w:rPr>
          <w:rStyle w:val="eop"/>
          <w:rFonts w:asciiTheme="majorBidi" w:eastAsiaTheme="majorEastAsia" w:hAnsiTheme="majorBidi" w:cstheme="majorBidi"/>
        </w:rPr>
        <w:t> </w:t>
      </w:r>
    </w:p>
    <w:p w14:paraId="0C937CC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w:t>
      </w:r>
      <w:r w:rsidRPr="00ED7E61">
        <w:rPr>
          <w:rStyle w:val="normaltextrun"/>
          <w:rFonts w:asciiTheme="majorBidi" w:eastAsiaTheme="majorEastAsia" w:hAnsiTheme="majorBidi" w:cstheme="majorBidi"/>
          <w:b/>
          <w:bCs/>
          <w:sz w:val="22"/>
          <w:szCs w:val="22"/>
          <w:lang w:val="en-GB"/>
        </w:rPr>
        <w:t>Value of subsidies and other incentives harmful to biodiversity </w:t>
      </w:r>
      <w:r w:rsidRPr="00ED7E61">
        <w:rPr>
          <w:rStyle w:val="eop"/>
          <w:rFonts w:asciiTheme="majorBidi" w:eastAsiaTheme="majorEastAsia" w:hAnsiTheme="majorBidi" w:cstheme="majorBidi"/>
          <w:sz w:val="22"/>
          <w:szCs w:val="22"/>
        </w:rPr>
        <w:t> </w:t>
      </w:r>
    </w:p>
    <w:p w14:paraId="142B4FC8" w14:textId="635A399A" w:rsidR="009746FB"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Total value of incentives, including subsidies, that have been identified to be harmful to biodiversity. This value can be either provided as total sum by the countries, or they can choose to use the disaggregation options (agriculture, fisheries, fossil fuels, others), as relevant. For the latter, the country would be requested to specify which sectors the data relate to. </w:t>
      </w:r>
      <w:r w:rsidRPr="00ED7E61">
        <w:rPr>
          <w:rStyle w:val="eop"/>
          <w:rFonts w:asciiTheme="majorBidi" w:eastAsiaTheme="majorEastAsia" w:hAnsiTheme="majorBidi" w:cstheme="majorBidi"/>
        </w:rPr>
        <w:t> </w:t>
      </w:r>
    </w:p>
    <w:p w14:paraId="3772BA6D" w14:textId="77777777"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If the data are reported directly by Parties, they should be reported annually and in the national currency in current values.</w:t>
      </w:r>
      <w:r w:rsidRPr="00ED7E61">
        <w:rPr>
          <w:rStyle w:val="eop"/>
          <w:rFonts w:asciiTheme="majorBidi" w:eastAsiaTheme="majorEastAsia" w:hAnsiTheme="majorBidi" w:cstheme="majorBidi"/>
        </w:rPr>
        <w:t> </w:t>
      </w:r>
    </w:p>
    <w:p w14:paraId="4766B67F"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agricultural subsidies and other incentives potentially harmful to biodiversity</w:t>
      </w:r>
      <w:r w:rsidRPr="00ED7E61">
        <w:rPr>
          <w:rStyle w:val="eop"/>
          <w:rFonts w:asciiTheme="majorBidi" w:eastAsiaTheme="majorEastAsia" w:hAnsiTheme="majorBidi" w:cstheme="majorBidi"/>
          <w:sz w:val="22"/>
          <w:szCs w:val="22"/>
        </w:rPr>
        <w:t> </w:t>
      </w:r>
    </w:p>
    <w:p w14:paraId="4A740A3E" w14:textId="77777777"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OECD database on Producer Support Estimate (PSE) collects data on government support to agriculture. 54 countries provide data to this database (as of March 2024), covering about 75% of global agricultural value-added. In relation to the reporting on the “</w:t>
      </w:r>
      <w:r w:rsidRPr="00FB1598">
        <w:rPr>
          <w:rStyle w:val="normaltextrun"/>
          <w:rFonts w:asciiTheme="majorBidi" w:eastAsiaTheme="majorEastAsia" w:hAnsiTheme="majorBidi" w:cstheme="majorBidi"/>
          <w:i/>
          <w:iCs/>
        </w:rPr>
        <w:t>Value of agricultural subsidies and other incentives potentially harmful to biodiversity</w:t>
      </w:r>
      <w:r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b/>
          <w:bCs/>
        </w:rPr>
        <w:t xml:space="preserve"> </w:t>
      </w:r>
      <w:r w:rsidRPr="00ED7E61">
        <w:rPr>
          <w:rStyle w:val="normaltextrun"/>
          <w:rFonts w:asciiTheme="majorBidi" w:eastAsiaTheme="majorEastAsia" w:hAnsiTheme="majorBidi" w:cstheme="majorBidi"/>
        </w:rPr>
        <w:t>the OECD has found that agricultural support provided through</w:t>
      </w:r>
      <w:r w:rsidRPr="00ED7E61">
        <w:rPr>
          <w:rStyle w:val="normaltextrun"/>
          <w:rFonts w:asciiTheme="majorBidi" w:eastAsiaTheme="majorEastAsia" w:hAnsiTheme="majorBidi" w:cstheme="majorBidi"/>
          <w:b/>
          <w:bCs/>
        </w:rPr>
        <w:t xml:space="preserve"> </w:t>
      </w:r>
      <w:r w:rsidRPr="00ED7E61">
        <w:rPr>
          <w:rStyle w:val="normaltextrun"/>
          <w:rFonts w:asciiTheme="majorBidi" w:eastAsiaTheme="majorEastAsia" w:hAnsiTheme="majorBidi" w:cstheme="majorBidi"/>
        </w:rPr>
        <w:t>market price support, payments based on output, and the unconstrained use of variable inputs, are the potentially most harmful to environment, and thereby could affect biodiversity in particular countries (Henderson and Lankoski, 2019; DeBoe, 2020a,b). </w:t>
      </w:r>
      <w:r w:rsidRPr="00ED7E61">
        <w:rPr>
          <w:rStyle w:val="eop"/>
          <w:rFonts w:asciiTheme="majorBidi" w:eastAsiaTheme="majorEastAsia" w:hAnsiTheme="majorBidi" w:cstheme="majorBidi"/>
        </w:rPr>
        <w:t> </w:t>
      </w:r>
    </w:p>
    <w:p w14:paraId="60B9B9C6" w14:textId="77777777"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Sources: Henderson and Lankoski (2019) </w:t>
      </w:r>
      <w:hyperlink r:id="rId564" w:tgtFrame="_blank" w:history="1">
        <w:r w:rsidRPr="00ED7E61">
          <w:rPr>
            <w:rStyle w:val="normaltextrun"/>
            <w:rFonts w:asciiTheme="majorBidi" w:eastAsiaTheme="majorEastAsia" w:hAnsiTheme="majorBidi" w:cstheme="majorBidi"/>
            <w:color w:val="467886"/>
            <w:u w:val="single"/>
          </w:rPr>
          <w:t>http://dx.doi.org/10.1787/add0f27c-en</w:t>
        </w:r>
      </w:hyperlink>
      <w:r w:rsidRPr="00ED7E61">
        <w:rPr>
          <w:rStyle w:val="normaltextrun"/>
          <w:rFonts w:asciiTheme="majorBidi" w:eastAsiaTheme="majorEastAsia" w:hAnsiTheme="majorBidi" w:cstheme="majorBidi"/>
        </w:rPr>
        <w:t xml:space="preserve">; DeBoe (2020a) </w:t>
      </w:r>
      <w:hyperlink r:id="rId565" w:tgtFrame="_blank" w:history="1">
        <w:r w:rsidRPr="00ED7E61">
          <w:rPr>
            <w:rStyle w:val="normaltextrun"/>
            <w:rFonts w:asciiTheme="majorBidi" w:eastAsiaTheme="majorEastAsia" w:hAnsiTheme="majorBidi" w:cstheme="majorBidi"/>
            <w:color w:val="467886"/>
            <w:u w:val="single"/>
          </w:rPr>
          <w:t>https://doi.org/10.1787/6bc916e7-en</w:t>
        </w:r>
      </w:hyperlink>
      <w:r w:rsidRPr="00ED7E61">
        <w:rPr>
          <w:rStyle w:val="normaltextrun"/>
          <w:rFonts w:asciiTheme="majorBidi" w:eastAsiaTheme="majorEastAsia" w:hAnsiTheme="majorBidi" w:cstheme="majorBidi"/>
        </w:rPr>
        <w:t xml:space="preserve">.  DeBoe (2020b), </w:t>
      </w:r>
      <w:hyperlink r:id="rId566" w:tgtFrame="_blank" w:history="1">
        <w:r w:rsidRPr="00ED7E61">
          <w:rPr>
            <w:rStyle w:val="normaltextrun"/>
            <w:rFonts w:asciiTheme="majorBidi" w:eastAsiaTheme="majorEastAsia" w:hAnsiTheme="majorBidi" w:cstheme="majorBidi"/>
            <w:color w:val="467886"/>
            <w:u w:val="single"/>
          </w:rPr>
          <w:t>https://doi.org/10.1787/3d459f91-en</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5018C52F"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fossil fuel subsidies (production and consumption)</w:t>
      </w:r>
      <w:r w:rsidRPr="00ED7E61">
        <w:rPr>
          <w:rStyle w:val="superscript"/>
          <w:rFonts w:asciiTheme="majorBidi" w:hAnsiTheme="majorBidi" w:cstheme="majorBidi"/>
          <w:b/>
          <w:bCs/>
          <w:sz w:val="22"/>
          <w:szCs w:val="22"/>
          <w:vertAlign w:val="superscript"/>
          <w:lang w:val="en-GB"/>
        </w:rPr>
        <w:t>21</w:t>
      </w:r>
      <w:r w:rsidRPr="00ED7E61">
        <w:rPr>
          <w:rStyle w:val="eop"/>
          <w:rFonts w:asciiTheme="majorBidi" w:eastAsiaTheme="majorEastAsia" w:hAnsiTheme="majorBidi" w:cstheme="majorBidi"/>
          <w:sz w:val="22"/>
          <w:szCs w:val="22"/>
        </w:rPr>
        <w:t> </w:t>
      </w:r>
    </w:p>
    <w:p w14:paraId="7DAC0D7F" w14:textId="77777777" w:rsidR="002F7978" w:rsidRPr="00491162" w:rsidRDefault="00756F0F" w:rsidP="00B10F0C">
      <w:pPr>
        <w:pStyle w:val="CBDNormalNumber"/>
        <w:numPr>
          <w:ilvl w:val="0"/>
          <w:numId w:val="94"/>
        </w:numPr>
        <w:shd w:val="clear" w:color="auto" w:fill="FFFFFF"/>
        <w:ind w:left="567" w:firstLine="0"/>
        <w:rPr>
          <w:rStyle w:val="normaltextrun"/>
          <w:rFonts w:asciiTheme="majorBidi" w:hAnsiTheme="majorBidi" w:cstheme="majorBidi"/>
        </w:rPr>
      </w:pPr>
      <w:r w:rsidRPr="00ED7E61">
        <w:rPr>
          <w:rStyle w:val="normaltextrun"/>
          <w:rFonts w:asciiTheme="majorBidi" w:eastAsiaTheme="majorEastAsia" w:hAnsiTheme="majorBidi" w:cstheme="majorBidi"/>
        </w:rPr>
        <w:t xml:space="preserve">Relevant measures include: </w:t>
      </w:r>
    </w:p>
    <w:p w14:paraId="1110E5E8" w14:textId="77777777" w:rsidR="00491162" w:rsidRPr="00491162" w:rsidRDefault="00491162" w:rsidP="00526EB5">
      <w:pPr>
        <w:pStyle w:val="CBDNormalNumber"/>
        <w:numPr>
          <w:ilvl w:val="0"/>
          <w:numId w:val="0"/>
        </w:numPr>
        <w:shd w:val="clear" w:color="auto" w:fill="FFFFFF"/>
        <w:ind w:left="1134"/>
        <w:rPr>
          <w:rStyle w:val="normaltextrun"/>
          <w:rFonts w:asciiTheme="majorBidi" w:hAnsiTheme="majorBidi" w:cstheme="majorBidi"/>
        </w:rPr>
      </w:pPr>
      <w:r w:rsidRPr="00491162">
        <w:rPr>
          <w:rStyle w:val="normaltextrun"/>
          <w:rFonts w:asciiTheme="majorBidi" w:hAnsiTheme="majorBidi" w:cstheme="majorBidi"/>
        </w:rPr>
        <w:t>(a)</w:t>
      </w:r>
      <w:r w:rsidRPr="00491162">
        <w:rPr>
          <w:rStyle w:val="normaltextrun"/>
          <w:rFonts w:asciiTheme="majorBidi" w:hAnsiTheme="majorBidi" w:cstheme="majorBidi"/>
        </w:rPr>
        <w:tab/>
        <w:t xml:space="preserve">direct transfer of government funds; </w:t>
      </w:r>
    </w:p>
    <w:p w14:paraId="5050BC3D" w14:textId="77777777" w:rsidR="00491162" w:rsidRPr="00491162" w:rsidRDefault="00491162" w:rsidP="00526EB5">
      <w:pPr>
        <w:pStyle w:val="CBDNormalNumber"/>
        <w:numPr>
          <w:ilvl w:val="0"/>
          <w:numId w:val="0"/>
        </w:numPr>
        <w:shd w:val="clear" w:color="auto" w:fill="FFFFFF"/>
        <w:ind w:left="1134"/>
        <w:rPr>
          <w:rStyle w:val="normaltextrun"/>
          <w:rFonts w:asciiTheme="majorBidi" w:hAnsiTheme="majorBidi" w:cstheme="majorBidi"/>
        </w:rPr>
      </w:pPr>
      <w:r w:rsidRPr="00491162">
        <w:rPr>
          <w:rStyle w:val="normaltextrun"/>
          <w:rFonts w:asciiTheme="majorBidi" w:hAnsiTheme="majorBidi" w:cstheme="majorBidi"/>
        </w:rPr>
        <w:t>(a)</w:t>
      </w:r>
      <w:r w:rsidRPr="00491162">
        <w:rPr>
          <w:rStyle w:val="normaltextrun"/>
          <w:rFonts w:asciiTheme="majorBidi" w:hAnsiTheme="majorBidi" w:cstheme="majorBidi"/>
        </w:rPr>
        <w:tab/>
        <w:t xml:space="preserve">induced transfers (price support); and </w:t>
      </w:r>
    </w:p>
    <w:p w14:paraId="20539B5C" w14:textId="44524A86" w:rsidR="00491162" w:rsidRPr="00ED7E61" w:rsidRDefault="00491162" w:rsidP="00526EB5">
      <w:pPr>
        <w:pStyle w:val="CBDNormalNumber"/>
        <w:numPr>
          <w:ilvl w:val="0"/>
          <w:numId w:val="0"/>
        </w:numPr>
        <w:shd w:val="clear" w:color="auto" w:fill="FFFFFF"/>
        <w:ind w:left="1134"/>
        <w:rPr>
          <w:rStyle w:val="normaltextrun"/>
          <w:rFonts w:asciiTheme="majorBidi" w:hAnsiTheme="majorBidi" w:cstheme="majorBidi"/>
        </w:rPr>
      </w:pPr>
      <w:r w:rsidRPr="00491162">
        <w:rPr>
          <w:rStyle w:val="normaltextrun"/>
          <w:rFonts w:asciiTheme="majorBidi" w:hAnsiTheme="majorBidi" w:cstheme="majorBidi"/>
        </w:rPr>
        <w:t>(b)</w:t>
      </w:r>
      <w:r w:rsidRPr="00491162">
        <w:rPr>
          <w:rStyle w:val="normaltextrun"/>
          <w:rFonts w:asciiTheme="majorBidi" w:hAnsiTheme="majorBidi" w:cstheme="majorBidi"/>
        </w:rPr>
        <w:tab/>
        <w:t>tax expenditure, other revenue foregone, and under-pricing of goods and services.</w:t>
      </w:r>
    </w:p>
    <w:p w14:paraId="0D59215B" w14:textId="77777777" w:rsidR="00756F0F" w:rsidRPr="00491162"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Concepts: </w:t>
      </w:r>
      <w:r w:rsidRPr="00ED7E61">
        <w:rPr>
          <w:rStyle w:val="normaltextrun"/>
        </w:rPr>
        <w:t> </w:t>
      </w:r>
    </w:p>
    <w:p w14:paraId="76E7EA54" w14:textId="77777777" w:rsidR="00491162" w:rsidRPr="00ED7E61" w:rsidRDefault="00491162" w:rsidP="00B10F0C">
      <w:pPr>
        <w:pStyle w:val="CBDNormalNumber"/>
        <w:numPr>
          <w:ilvl w:val="1"/>
          <w:numId w:val="94"/>
        </w:numPr>
        <w:tabs>
          <w:tab w:val="clear" w:pos="567"/>
          <w:tab w:val="clear" w:pos="1134"/>
          <w:tab w:val="clear" w:pos="2268"/>
          <w:tab w:val="left" w:pos="1985"/>
        </w:tabs>
        <w:ind w:left="567" w:firstLine="567"/>
        <w:rPr>
          <w:rStyle w:val="normaltextrun"/>
          <w:rFonts w:eastAsiaTheme="majorEastAsia"/>
        </w:rPr>
      </w:pPr>
      <w:r w:rsidRPr="00ED7E61">
        <w:rPr>
          <w:rStyle w:val="normaltextrun"/>
          <w:rFonts w:asciiTheme="majorBidi" w:eastAsiaTheme="majorEastAsia" w:hAnsiTheme="majorBidi" w:cstheme="majorBidi"/>
        </w:rPr>
        <w:t>Use definition of fossil fuels from IEA Statistics Manual, “</w:t>
      </w:r>
      <w:r w:rsidRPr="00FB1598">
        <w:rPr>
          <w:rStyle w:val="normaltextrun"/>
          <w:rFonts w:asciiTheme="majorBidi" w:eastAsiaTheme="majorEastAsia" w:hAnsiTheme="majorBidi" w:cstheme="majorBidi"/>
          <w:i/>
          <w:iCs/>
        </w:rPr>
        <w:t>Fossil fuels are taken from natural resources which were formed from biomass in the geological past. By extension, the term fossil is also applied to any secondary fuel manufactured from a fossil fuel</w:t>
      </w:r>
      <w:r w:rsidRPr="00ED7E61">
        <w:rPr>
          <w:rStyle w:val="normaltextrun"/>
          <w:rFonts w:asciiTheme="majorBidi" w:eastAsiaTheme="majorEastAsia" w:hAnsiTheme="majorBidi" w:cstheme="majorBidi"/>
        </w:rPr>
        <w:t>.” </w:t>
      </w:r>
      <w:r w:rsidRPr="00ED7E61">
        <w:rPr>
          <w:rStyle w:val="normaltextrun"/>
        </w:rPr>
        <w:t> </w:t>
      </w:r>
    </w:p>
    <w:p w14:paraId="3A157DAB" w14:textId="77777777" w:rsidR="00491162" w:rsidRPr="00ED7E61" w:rsidRDefault="00491162" w:rsidP="00B10F0C">
      <w:pPr>
        <w:pStyle w:val="CBDNormalNumber"/>
        <w:numPr>
          <w:ilvl w:val="1"/>
          <w:numId w:val="94"/>
        </w:numPr>
        <w:tabs>
          <w:tab w:val="clear" w:pos="567"/>
          <w:tab w:val="clear" w:pos="1134"/>
          <w:tab w:val="clear" w:pos="2268"/>
          <w:tab w:val="left" w:pos="1985"/>
        </w:tabs>
        <w:ind w:left="567" w:firstLine="567"/>
        <w:rPr>
          <w:rStyle w:val="normaltextrun"/>
          <w:rFonts w:eastAsiaTheme="majorEastAsia"/>
        </w:rPr>
      </w:pPr>
      <w:r w:rsidRPr="00ED7E61">
        <w:rPr>
          <w:rStyle w:val="normaltextrun"/>
          <w:rFonts w:asciiTheme="majorBidi" w:eastAsiaTheme="majorEastAsia" w:hAnsiTheme="majorBidi" w:cstheme="majorBidi"/>
        </w:rPr>
        <w:t>Use the terms set out in CPC Rev. 2.1 for the statistical classification of the individual products. No other commonly accepted definition identified.</w:t>
      </w:r>
      <w:r w:rsidRPr="00ED7E61">
        <w:rPr>
          <w:rStyle w:val="normaltextrun"/>
        </w:rPr>
        <w:t> </w:t>
      </w:r>
    </w:p>
    <w:p w14:paraId="6582EB5A" w14:textId="77777777" w:rsidR="00491162" w:rsidRPr="00ED7E61" w:rsidRDefault="00491162" w:rsidP="00B10F0C">
      <w:pPr>
        <w:pStyle w:val="CBDNormalNumber"/>
        <w:numPr>
          <w:ilvl w:val="1"/>
          <w:numId w:val="94"/>
        </w:numPr>
        <w:tabs>
          <w:tab w:val="clear" w:pos="567"/>
          <w:tab w:val="clear" w:pos="1134"/>
          <w:tab w:val="clear" w:pos="2268"/>
          <w:tab w:val="left" w:pos="1985"/>
        </w:tabs>
        <w:ind w:left="567" w:firstLine="567"/>
        <w:rPr>
          <w:rStyle w:val="normaltextrun"/>
          <w:rFonts w:eastAsiaTheme="majorEastAsia"/>
        </w:rPr>
      </w:pPr>
      <w:r w:rsidRPr="00ED7E61">
        <w:rPr>
          <w:rStyle w:val="normaltextrun"/>
          <w:rFonts w:asciiTheme="majorBidi" w:eastAsiaTheme="majorEastAsia" w:hAnsiTheme="majorBidi" w:cstheme="majorBidi"/>
        </w:rPr>
        <w:t>Include electricity and heat generated from fossil fuels in the scope of fossil fuels.</w:t>
      </w:r>
      <w:r w:rsidRPr="00ED7E61">
        <w:rPr>
          <w:rStyle w:val="normaltextrun"/>
        </w:rPr>
        <w:t> </w:t>
      </w:r>
    </w:p>
    <w:p w14:paraId="6A8BBA8D" w14:textId="77777777" w:rsidR="00491162" w:rsidRPr="00ED7E61" w:rsidRDefault="00491162" w:rsidP="00B10F0C">
      <w:pPr>
        <w:pStyle w:val="CBDNormalNumber"/>
        <w:numPr>
          <w:ilvl w:val="1"/>
          <w:numId w:val="94"/>
        </w:numPr>
        <w:tabs>
          <w:tab w:val="clear" w:pos="567"/>
          <w:tab w:val="clear" w:pos="1134"/>
          <w:tab w:val="clear" w:pos="2268"/>
          <w:tab w:val="left" w:pos="1985"/>
        </w:tabs>
        <w:ind w:left="567" w:firstLine="567"/>
        <w:rPr>
          <w:rStyle w:val="normaltextrun"/>
          <w:rFonts w:eastAsiaTheme="majorEastAsia"/>
        </w:rPr>
      </w:pPr>
      <w:r w:rsidRPr="00ED7E61">
        <w:rPr>
          <w:rStyle w:val="normaltextrun"/>
          <w:rFonts w:asciiTheme="majorBidi" w:eastAsiaTheme="majorEastAsia" w:hAnsiTheme="majorBidi" w:cstheme="majorBidi"/>
        </w:rPr>
        <w:t>Include non-energy uses with monitoring optional for the measuring of this indicator.</w:t>
      </w:r>
      <w:r w:rsidRPr="00ED7E61">
        <w:rPr>
          <w:rStyle w:val="normaltextrun"/>
        </w:rPr>
        <w:t> </w:t>
      </w:r>
    </w:p>
    <w:p w14:paraId="0D80B1C8" w14:textId="77777777" w:rsidR="00491162" w:rsidRPr="00ED7E61" w:rsidRDefault="00491162" w:rsidP="00B10F0C">
      <w:pPr>
        <w:pStyle w:val="CBDNormalNumber"/>
        <w:numPr>
          <w:ilvl w:val="1"/>
          <w:numId w:val="94"/>
        </w:numPr>
        <w:tabs>
          <w:tab w:val="clear" w:pos="567"/>
          <w:tab w:val="clear" w:pos="1134"/>
          <w:tab w:val="clear" w:pos="2268"/>
          <w:tab w:val="left" w:pos="1985"/>
        </w:tabs>
        <w:ind w:left="567" w:firstLine="567"/>
        <w:rPr>
          <w:rFonts w:asciiTheme="majorBidi" w:hAnsiTheme="majorBidi" w:cstheme="majorBidi"/>
        </w:rPr>
      </w:pPr>
      <w:r w:rsidRPr="00ED7E61">
        <w:rPr>
          <w:rStyle w:val="normaltextrun"/>
          <w:rFonts w:asciiTheme="majorBidi" w:eastAsiaTheme="majorEastAsia" w:hAnsiTheme="majorBidi" w:cstheme="majorBidi"/>
        </w:rPr>
        <w:t>Additional details are provided in the methodological document entitled, UNEP (2019), Measuring Fossil Fuel Subsidies in the Context of the Sustainable Development Goals</w:t>
      </w:r>
      <w:r w:rsidRPr="00ED7E61">
        <w:rPr>
          <w:rStyle w:val="eop"/>
          <w:rFonts w:asciiTheme="majorBidi" w:eastAsiaTheme="majorEastAsia" w:hAnsiTheme="majorBidi" w:cstheme="majorBidi"/>
        </w:rPr>
        <w:t> </w:t>
      </w:r>
    </w:p>
    <w:p w14:paraId="2F1C384B" w14:textId="0F7A57B5" w:rsidR="00756F0F" w:rsidRPr="00ED7E61" w:rsidRDefault="00756F0F" w:rsidP="00B10F0C">
      <w:pPr>
        <w:pStyle w:val="CBDNormalNumber"/>
        <w:numPr>
          <w:ilvl w:val="0"/>
          <w:numId w:val="94"/>
        </w:numPr>
        <w:shd w:val="clear" w:color="auto" w:fill="FFFFFF"/>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Direct transfers are generally reported in government budgets, and well documented in sectoral and Finance Ministries, broken down by programme if not by fuel. Those that meet the System of National Accounts (SNA) definition of “</w:t>
      </w:r>
      <w:r w:rsidRPr="00FB1598">
        <w:rPr>
          <w:rStyle w:val="normaltextrun"/>
          <w:rFonts w:asciiTheme="majorBidi" w:eastAsiaTheme="majorEastAsia" w:hAnsiTheme="majorBidi" w:cstheme="majorBidi"/>
          <w:i/>
          <w:iCs/>
        </w:rPr>
        <w:t>subsidies</w:t>
      </w:r>
      <w:r w:rsidRPr="00ED7E61">
        <w:rPr>
          <w:rStyle w:val="normaltextrun"/>
          <w:rFonts w:asciiTheme="majorBidi" w:eastAsiaTheme="majorEastAsia" w:hAnsiTheme="majorBidi" w:cstheme="majorBidi"/>
        </w:rPr>
        <w:t xml:space="preserve">” – i.e. subsidies on products, and other subsidies on production – can also be found in a country’s System of National Accounts. Budget documents are publicly available for most countries. The degree to which information on individual programmes is itemized in those reports is highly variable, however. Support to corporations involved in energy production or transformation may sometimes be found in their annual reports, for example. In some cases, researchers may be able to obtain unpublished data from state-owned energy enterprises directly. Induced transfers are measured by calculating the price gap between the producer or consumer price and a reference price and multiplying that differential by the affected volume produced or consumed. Measuring the value of special features introduced into the tax code to favour certain industries or activities of those industries (such as investment in productive capital) can be a complex </w:t>
      </w:r>
      <w:r w:rsidR="00A70C42" w:rsidRPr="00ED7E61">
        <w:rPr>
          <w:rStyle w:val="normaltextrun"/>
          <w:rFonts w:asciiTheme="majorBidi" w:eastAsiaTheme="majorEastAsia" w:hAnsiTheme="majorBidi" w:cstheme="majorBidi"/>
        </w:rPr>
        <w:t>endeavour</w:t>
      </w:r>
      <w:r w:rsidRPr="00ED7E61">
        <w:rPr>
          <w:rStyle w:val="normaltextrun"/>
          <w:rFonts w:asciiTheme="majorBidi" w:eastAsiaTheme="majorEastAsia" w:hAnsiTheme="majorBidi" w:cstheme="majorBidi"/>
        </w:rPr>
        <w:t>. Some countries do this exercise already and report the annual value of those tax breaks in their periodic tax-expenditure reports. However, what is considered a tax expenditure varies from one country to another, in particular depending on the tax code structure. When countries do not produce tax-expenditure reports, the analysist must estimate the difference in the revenues that would be owed to the government under the baseline conditions (that he needs to determine) and with the special tax feature. </w:t>
      </w:r>
      <w:r w:rsidRPr="00ED7E61">
        <w:rPr>
          <w:rStyle w:val="normaltextrun"/>
        </w:rPr>
        <w:t> </w:t>
      </w:r>
    </w:p>
    <w:p w14:paraId="68A864D1"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subsidies to capture fisheries presenting a risk (moderate or high) of encouraging unsustainable fishing in the absence of effective fisheries management</w:t>
      </w:r>
      <w:r w:rsidRPr="00ED7E61">
        <w:rPr>
          <w:rStyle w:val="superscript"/>
          <w:rFonts w:asciiTheme="majorBidi" w:hAnsiTheme="majorBidi" w:cstheme="majorBidi"/>
          <w:b/>
          <w:bCs/>
          <w:sz w:val="22"/>
          <w:szCs w:val="22"/>
          <w:vertAlign w:val="superscript"/>
          <w:lang w:val="en-GB"/>
        </w:rPr>
        <w:t>22</w:t>
      </w:r>
      <w:r w:rsidRPr="00ED7E61">
        <w:rPr>
          <w:rStyle w:val="normaltextrun"/>
          <w:rFonts w:asciiTheme="majorBidi" w:eastAsiaTheme="majorEastAsia" w:hAnsiTheme="majorBidi" w:cstheme="majorBidi"/>
          <w:b/>
          <w:bCs/>
          <w:sz w:val="22"/>
          <w:szCs w:val="22"/>
          <w:lang w:val="en-GB"/>
        </w:rPr>
        <w:t> </w:t>
      </w:r>
      <w:r w:rsidRPr="00ED7E61">
        <w:rPr>
          <w:rStyle w:val="eop"/>
          <w:rFonts w:asciiTheme="majorBidi" w:eastAsiaTheme="majorEastAsia" w:hAnsiTheme="majorBidi" w:cstheme="majorBidi"/>
          <w:sz w:val="22"/>
          <w:szCs w:val="22"/>
        </w:rPr>
        <w:t> </w:t>
      </w:r>
    </w:p>
    <w:p w14:paraId="1F30A262" w14:textId="77777777" w:rsidR="00756F0F" w:rsidRPr="00ED7E61" w:rsidRDefault="00756F0F" w:rsidP="00B10F0C">
      <w:pPr>
        <w:pStyle w:val="CBDNormalNumber"/>
        <w:numPr>
          <w:ilvl w:val="0"/>
          <w:numId w:val="94"/>
        </w:numPr>
        <w:shd w:val="clear" w:color="auto" w:fill="FFFFFF"/>
        <w:ind w:left="567" w:firstLine="0"/>
        <w:rPr>
          <w:rStyle w:val="normaltextrun"/>
          <w:rFonts w:eastAsiaTheme="majorEastAsia"/>
          <w:sz w:val="24"/>
          <w:szCs w:val="24"/>
          <w:lang w:val="en-CA"/>
        </w:rPr>
      </w:pPr>
      <w:r w:rsidRPr="00ED7E61">
        <w:rPr>
          <w:rStyle w:val="normaltextrun"/>
          <w:rFonts w:asciiTheme="majorBidi" w:eastAsiaTheme="majorEastAsia" w:hAnsiTheme="majorBidi" w:cstheme="majorBidi"/>
        </w:rPr>
        <w:t>Fisheries subsidies or “</w:t>
      </w:r>
      <w:r w:rsidRPr="00FB1598">
        <w:rPr>
          <w:rStyle w:val="normaltextrun"/>
          <w:rFonts w:asciiTheme="majorBidi" w:eastAsiaTheme="majorEastAsia" w:hAnsiTheme="majorBidi" w:cstheme="majorBidi"/>
          <w:i/>
          <w:iCs/>
        </w:rPr>
        <w:t>support</w:t>
      </w:r>
      <w:r w:rsidRPr="00ED7E61">
        <w:rPr>
          <w:rStyle w:val="normaltextrun"/>
          <w:rFonts w:asciiTheme="majorBidi" w:eastAsiaTheme="majorEastAsia" w:hAnsiTheme="majorBidi" w:cstheme="majorBidi"/>
        </w:rPr>
        <w:t>” can “</w:t>
      </w:r>
      <w:r w:rsidRPr="00FB1598">
        <w:rPr>
          <w:rStyle w:val="normaltextrun"/>
          <w:rFonts w:asciiTheme="majorBidi" w:eastAsiaTheme="majorEastAsia" w:hAnsiTheme="majorBidi" w:cstheme="majorBidi"/>
          <w:i/>
          <w:iCs/>
        </w:rPr>
        <w:t>pose risks to the sustainability and productivity of fisheries when it encourages the build-up of excess fishing capacity; overfishing; and illegal, unreported and unregulated (IUU) fishing</w:t>
      </w:r>
      <w:r w:rsidRPr="00ED7E61">
        <w:rPr>
          <w:rStyle w:val="normaltextrun"/>
          <w:rFonts w:asciiTheme="majorBidi" w:eastAsiaTheme="majorEastAsia" w:hAnsiTheme="majorBidi" w:cstheme="majorBidi"/>
        </w:rPr>
        <w:t>” (OECD, 2022). The extent to which measures can encourage unsustainable fishing depends on the type of subsidy offered (and how directly it impacts fishing costs and benefits) as well how well the subsidized fisheries are managed, whether the target fish stocks are healthy and whether, the subsidies are targeted to well-managed fisheries harvesting healthy stocks (OECD, 2022). </w:t>
      </w:r>
      <w:r w:rsidRPr="00ED7E61">
        <w:rPr>
          <w:rStyle w:val="normaltextrun"/>
        </w:rPr>
        <w:t> </w:t>
      </w:r>
    </w:p>
    <w:p w14:paraId="27D25821" w14:textId="63837CB0" w:rsidR="00756F0F" w:rsidRPr="00491162"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However, according to OECD (2022),</w:t>
      </w:r>
      <w:r w:rsidR="00A70C42">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in the absence of effective fisheries management:</w:t>
      </w:r>
      <w:r w:rsidRPr="00ED7E61">
        <w:rPr>
          <w:rStyle w:val="normaltextrun"/>
        </w:rPr>
        <w:t> </w:t>
      </w:r>
    </w:p>
    <w:p w14:paraId="4742271B" w14:textId="77777777" w:rsidR="00491162" w:rsidRPr="00ED7E61" w:rsidRDefault="00491162" w:rsidP="00B10F0C">
      <w:pPr>
        <w:pStyle w:val="CBDNormalNumber"/>
        <w:numPr>
          <w:ilvl w:val="1"/>
          <w:numId w:val="94"/>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Support to the following tends to have a high risk of encouraging unsustainable fishing: </w:t>
      </w:r>
      <w:r w:rsidRPr="00ED7E61">
        <w:rPr>
          <w:rStyle w:val="eop"/>
          <w:rFonts w:asciiTheme="majorBidi" w:eastAsiaTheme="majorEastAsia" w:hAnsiTheme="majorBidi" w:cstheme="majorBidi"/>
        </w:rPr>
        <w:t> </w:t>
      </w:r>
    </w:p>
    <w:p w14:paraId="0C7F4ABD" w14:textId="7A62130C" w:rsidR="00DC0708" w:rsidRPr="00ED7E61" w:rsidRDefault="00756F0F" w:rsidP="00B10F0C">
      <w:pPr>
        <w:pStyle w:val="CBDNormalNumber"/>
        <w:numPr>
          <w:ilvl w:val="2"/>
          <w:numId w:val="14"/>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Variable inputs (including fuel)</w:t>
      </w:r>
      <w:r w:rsidRPr="00ED7E61">
        <w:rPr>
          <w:rStyle w:val="eop"/>
          <w:rFonts w:asciiTheme="majorBidi" w:eastAsiaTheme="majorEastAsia" w:hAnsiTheme="majorBidi" w:cstheme="majorBidi"/>
        </w:rPr>
        <w:t> </w:t>
      </w:r>
    </w:p>
    <w:p w14:paraId="3634B51E" w14:textId="77386B49" w:rsidR="00DC0708" w:rsidRPr="00ED7E61" w:rsidRDefault="00756F0F" w:rsidP="00B10F0C">
      <w:pPr>
        <w:pStyle w:val="CBDNormalNumber"/>
        <w:numPr>
          <w:ilvl w:val="2"/>
          <w:numId w:val="14"/>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Infrastructure (access)</w:t>
      </w:r>
      <w:r w:rsidRPr="00ED7E61">
        <w:rPr>
          <w:rStyle w:val="eop"/>
          <w:rFonts w:asciiTheme="majorBidi" w:eastAsiaTheme="majorEastAsia" w:hAnsiTheme="majorBidi" w:cstheme="majorBidi"/>
        </w:rPr>
        <w:t> </w:t>
      </w:r>
    </w:p>
    <w:p w14:paraId="07559B0E" w14:textId="35D39A07" w:rsidR="00DC0708" w:rsidRPr="00ED7E61" w:rsidRDefault="00756F0F" w:rsidP="00B10F0C">
      <w:pPr>
        <w:pStyle w:val="CBDNormalNumber"/>
        <w:numPr>
          <w:ilvl w:val="2"/>
          <w:numId w:val="14"/>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Vessels and gear (capacity enhancing)</w:t>
      </w:r>
      <w:r w:rsidRPr="00ED7E61">
        <w:rPr>
          <w:rStyle w:val="eop"/>
          <w:rFonts w:asciiTheme="majorBidi" w:eastAsiaTheme="majorEastAsia" w:hAnsiTheme="majorBidi" w:cstheme="majorBidi"/>
        </w:rPr>
        <w:t> </w:t>
      </w:r>
    </w:p>
    <w:p w14:paraId="79BFE0D2" w14:textId="1B2E36F0" w:rsidR="00DC0708" w:rsidRPr="00ED7E61" w:rsidRDefault="00756F0F" w:rsidP="00B10F0C">
      <w:pPr>
        <w:pStyle w:val="CBDNormalNumber"/>
        <w:numPr>
          <w:ilvl w:val="2"/>
          <w:numId w:val="14"/>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Access to foreign waters</w:t>
      </w:r>
      <w:r w:rsidRPr="00ED7E61">
        <w:rPr>
          <w:rStyle w:val="eop"/>
          <w:rFonts w:asciiTheme="majorBidi" w:eastAsiaTheme="majorEastAsia" w:hAnsiTheme="majorBidi" w:cstheme="majorBidi"/>
        </w:rPr>
        <w:t> </w:t>
      </w:r>
    </w:p>
    <w:p w14:paraId="1CA236F6" w14:textId="77777777" w:rsidR="00756F0F" w:rsidRPr="00ED7E61" w:rsidRDefault="00756F0F" w:rsidP="00B10F0C">
      <w:pPr>
        <w:pStyle w:val="CBDNormalNumber"/>
        <w:numPr>
          <w:ilvl w:val="2"/>
          <w:numId w:val="14"/>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Insurance</w:t>
      </w:r>
      <w:r w:rsidRPr="00ED7E61">
        <w:rPr>
          <w:rStyle w:val="eop"/>
          <w:rFonts w:asciiTheme="majorBidi" w:eastAsiaTheme="majorEastAsia" w:hAnsiTheme="majorBidi" w:cstheme="majorBidi"/>
        </w:rPr>
        <w:t> </w:t>
      </w:r>
    </w:p>
    <w:p w14:paraId="1623354A" w14:textId="77777777" w:rsidR="00756F0F" w:rsidRPr="00491162" w:rsidRDefault="00756F0F" w:rsidP="00B10F0C">
      <w:pPr>
        <w:pStyle w:val="CBDNormalNumber"/>
        <w:numPr>
          <w:ilvl w:val="1"/>
          <w:numId w:val="94"/>
        </w:numPr>
        <w:tabs>
          <w:tab w:val="clear" w:pos="567"/>
          <w:tab w:val="clear" w:pos="1134"/>
          <w:tab w:val="clear" w:pos="1701"/>
          <w:tab w:val="clear" w:pos="2268"/>
          <w:tab w:val="left" w:pos="1985"/>
        </w:tabs>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Support to the following tends to have a moderate risk of encouraging unsustainable fishing: </w:t>
      </w:r>
      <w:r w:rsidRPr="00491162">
        <w:rPr>
          <w:rStyle w:val="normaltextrun"/>
          <w:rFonts w:asciiTheme="majorBidi" w:eastAsiaTheme="majorEastAsia" w:hAnsiTheme="majorBidi" w:cstheme="majorBidi"/>
        </w:rPr>
        <w:t> </w:t>
      </w:r>
    </w:p>
    <w:p w14:paraId="1754DC4F" w14:textId="24BF6EF0" w:rsidR="00DC0708" w:rsidRPr="00ED7E61" w:rsidRDefault="00756F0F" w:rsidP="00B10F0C">
      <w:pPr>
        <w:pStyle w:val="CBDNormalNumber"/>
        <w:numPr>
          <w:ilvl w:val="2"/>
          <w:numId w:val="14"/>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Vessels and gear </w:t>
      </w:r>
      <w:r w:rsidRPr="00ED7E61">
        <w:rPr>
          <w:rStyle w:val="eop"/>
          <w:rFonts w:asciiTheme="majorBidi" w:eastAsiaTheme="majorEastAsia" w:hAnsiTheme="majorBidi" w:cstheme="majorBidi"/>
        </w:rPr>
        <w:t> </w:t>
      </w:r>
    </w:p>
    <w:p w14:paraId="695C3A6A" w14:textId="6E8DBFF9" w:rsidR="00DC0708" w:rsidRPr="00ED7E61" w:rsidRDefault="00756F0F" w:rsidP="00B10F0C">
      <w:pPr>
        <w:pStyle w:val="CBDNormalNumber"/>
        <w:numPr>
          <w:ilvl w:val="2"/>
          <w:numId w:val="14"/>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Infrastructure (capital)</w:t>
      </w:r>
      <w:r w:rsidRPr="00ED7E61">
        <w:rPr>
          <w:rStyle w:val="eop"/>
          <w:rFonts w:asciiTheme="majorBidi" w:eastAsiaTheme="majorEastAsia" w:hAnsiTheme="majorBidi" w:cstheme="majorBidi"/>
        </w:rPr>
        <w:t> </w:t>
      </w:r>
    </w:p>
    <w:p w14:paraId="1A972067" w14:textId="74A04867" w:rsidR="00DC0708" w:rsidRPr="00ED7E61" w:rsidRDefault="00756F0F" w:rsidP="00B10F0C">
      <w:pPr>
        <w:pStyle w:val="CBDNormalNumber"/>
        <w:numPr>
          <w:ilvl w:val="2"/>
          <w:numId w:val="14"/>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Capacity reduction</w:t>
      </w:r>
      <w:r w:rsidRPr="00ED7E61">
        <w:rPr>
          <w:rStyle w:val="eop"/>
          <w:rFonts w:asciiTheme="majorBidi" w:eastAsiaTheme="majorEastAsia" w:hAnsiTheme="majorBidi" w:cstheme="majorBidi"/>
        </w:rPr>
        <w:t> </w:t>
      </w:r>
    </w:p>
    <w:p w14:paraId="1BEECEC7" w14:textId="77777777" w:rsidR="00756F0F" w:rsidRPr="00ED7E61" w:rsidRDefault="00756F0F" w:rsidP="00B10F0C">
      <w:pPr>
        <w:pStyle w:val="CBDNormalNumber"/>
        <w:numPr>
          <w:ilvl w:val="2"/>
          <w:numId w:val="14"/>
        </w:numPr>
        <w:tabs>
          <w:tab w:val="clear" w:pos="567"/>
          <w:tab w:val="clear" w:pos="1134"/>
          <w:tab w:val="clear" w:pos="1701"/>
          <w:tab w:val="clear" w:pos="2268"/>
          <w:tab w:val="left" w:pos="1985"/>
        </w:tabs>
        <w:rPr>
          <w:rFonts w:asciiTheme="majorBidi" w:hAnsiTheme="majorBidi" w:cstheme="majorBidi"/>
        </w:rPr>
      </w:pPr>
      <w:r w:rsidRPr="00ED7E61">
        <w:rPr>
          <w:rStyle w:val="normaltextrun"/>
          <w:rFonts w:asciiTheme="majorBidi" w:eastAsiaTheme="majorEastAsia" w:hAnsiTheme="majorBidi" w:cstheme="majorBidi"/>
        </w:rPr>
        <w:t>Income </w:t>
      </w:r>
      <w:r w:rsidRPr="00ED7E61">
        <w:rPr>
          <w:rStyle w:val="eop"/>
          <w:rFonts w:asciiTheme="majorBidi" w:eastAsiaTheme="majorEastAsia" w:hAnsiTheme="majorBidi" w:cstheme="majorBidi"/>
        </w:rPr>
        <w:t> </w:t>
      </w:r>
    </w:p>
    <w:p w14:paraId="337F6CE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subsidies and other incentives harmful to biodiversity in other sectors</w:t>
      </w:r>
      <w:r w:rsidRPr="00ED7E61">
        <w:rPr>
          <w:rStyle w:val="eop"/>
          <w:rFonts w:asciiTheme="majorBidi" w:eastAsiaTheme="majorEastAsia" w:hAnsiTheme="majorBidi" w:cstheme="majorBidi"/>
          <w:sz w:val="22"/>
          <w:szCs w:val="22"/>
        </w:rPr>
        <w:t> </w:t>
      </w:r>
    </w:p>
    <w:p w14:paraId="418BC483" w14:textId="03F4342B"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When analysing incentives, including subsidies, harmful for biodiversity, countries might choose to consider other sectors than agriculture, fisheries or fossil fuels. Such sectors could be, but are not limited to, transport (e.g. road construction) or water (e.g. price subsidies). For examples of potentially harmful subsidies in other sectors, see Matthews, A. and K. Karousakis (2022), "</w:t>
      </w:r>
      <w:r w:rsidRPr="00FB1598">
        <w:rPr>
          <w:rStyle w:val="normaltextrun"/>
          <w:rFonts w:asciiTheme="majorBidi" w:eastAsiaTheme="majorEastAsia" w:hAnsiTheme="majorBidi" w:cstheme="majorBidi"/>
          <w:i/>
          <w:iCs/>
        </w:rPr>
        <w:t>Identifying and assessing subsidies and other incentives harmful to biodiversity: A comparative review of existing national-level assessments and insights for good practice</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29FEACE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5b. Method of computation</w:t>
      </w:r>
      <w:r w:rsidRPr="00ED7E61">
        <w:rPr>
          <w:rStyle w:val="eop"/>
          <w:rFonts w:asciiTheme="majorBidi" w:eastAsiaTheme="majorEastAsia" w:hAnsiTheme="majorBidi" w:cstheme="majorBidi"/>
          <w:sz w:val="22"/>
          <w:szCs w:val="22"/>
        </w:rPr>
        <w:t> </w:t>
      </w:r>
    </w:p>
    <w:p w14:paraId="2A3B250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subsidies and other incentives harmful to biodiversity </w:t>
      </w:r>
      <w:r w:rsidRPr="00ED7E61">
        <w:rPr>
          <w:rStyle w:val="eop"/>
          <w:rFonts w:asciiTheme="majorBidi" w:eastAsiaTheme="majorEastAsia" w:hAnsiTheme="majorBidi" w:cstheme="majorBidi"/>
          <w:sz w:val="22"/>
          <w:szCs w:val="22"/>
        </w:rPr>
        <w:t> </w:t>
      </w:r>
    </w:p>
    <w:p w14:paraId="3A086FF6" w14:textId="77777777"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Depending</w:t>
      </w:r>
      <w:r w:rsidRPr="00ED7E61">
        <w:rPr>
          <w:rStyle w:val="normaltextrun"/>
          <w:rFonts w:asciiTheme="majorBidi" w:eastAsiaTheme="majorEastAsia" w:hAnsiTheme="majorBidi" w:cstheme="majorBidi"/>
          <w:color w:val="000000"/>
        </w:rPr>
        <w:t xml:space="preserve"> on the reporting option selected by the country/institution (i.e. global data base or national data) data may be collected through information already reported to the OECD and others including the FAO and IDB, IMF and IEA (depending on the sectors).</w:t>
      </w:r>
      <w:r w:rsidRPr="00ED7E61">
        <w:rPr>
          <w:rStyle w:val="eop"/>
          <w:rFonts w:asciiTheme="majorBidi" w:eastAsiaTheme="majorEastAsia" w:hAnsiTheme="majorBidi" w:cstheme="majorBidi"/>
          <w:color w:val="000000"/>
        </w:rPr>
        <w:t> </w:t>
      </w:r>
    </w:p>
    <w:p w14:paraId="70BBF1DA"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agricultural subsidies and other incentives potentially harmful to biodiversity</w:t>
      </w:r>
      <w:r w:rsidRPr="00ED7E61">
        <w:rPr>
          <w:rStyle w:val="eop"/>
          <w:rFonts w:asciiTheme="majorBidi" w:eastAsiaTheme="majorEastAsia" w:hAnsiTheme="majorBidi" w:cstheme="majorBidi"/>
          <w:sz w:val="22"/>
          <w:szCs w:val="22"/>
        </w:rPr>
        <w:t> </w:t>
      </w:r>
    </w:p>
    <w:p w14:paraId="6C33D516" w14:textId="739EE086" w:rsidR="00DC0708"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The OECD database on Producer Support Estimate (PSE) collects data on government support to agriculture. 54 countries </w:t>
      </w:r>
      <w:r w:rsidR="00A70C42">
        <w:rPr>
          <w:rStyle w:val="normaltextrun"/>
          <w:rFonts w:asciiTheme="majorBidi" w:eastAsiaTheme="majorEastAsia" w:hAnsiTheme="majorBidi" w:cstheme="majorBidi"/>
        </w:rPr>
        <w:t xml:space="preserve">have </w:t>
      </w:r>
      <w:r w:rsidRPr="00ED7E61">
        <w:rPr>
          <w:rStyle w:val="normaltextrun"/>
          <w:rFonts w:asciiTheme="majorBidi" w:eastAsiaTheme="majorEastAsia" w:hAnsiTheme="majorBidi" w:cstheme="majorBidi"/>
        </w:rPr>
        <w:t>provide</w:t>
      </w:r>
      <w:r w:rsidR="00A70C42">
        <w:rPr>
          <w:rStyle w:val="normaltextrun"/>
          <w:rFonts w:asciiTheme="majorBidi" w:eastAsiaTheme="majorEastAsia" w:hAnsiTheme="majorBidi" w:cstheme="majorBidi"/>
        </w:rPr>
        <w:t>d</w:t>
      </w:r>
      <w:r w:rsidRPr="00ED7E61">
        <w:rPr>
          <w:rStyle w:val="normaltextrun"/>
          <w:rFonts w:asciiTheme="majorBidi" w:eastAsiaTheme="majorEastAsia" w:hAnsiTheme="majorBidi" w:cstheme="majorBidi"/>
        </w:rPr>
        <w:t xml:space="preserve"> data to this database (as of March 2024), covering about 75% of global agricultural value-added. Data is reported annually and classified based on support implementation criteria.</w:t>
      </w:r>
      <w:r w:rsidRPr="00ED7E61">
        <w:rPr>
          <w:rStyle w:val="eop"/>
          <w:rFonts w:asciiTheme="majorBidi" w:eastAsiaTheme="majorEastAsia" w:hAnsiTheme="majorBidi" w:cstheme="majorBidi"/>
        </w:rPr>
        <w:t> </w:t>
      </w:r>
    </w:p>
    <w:p w14:paraId="54284318" w14:textId="77777777"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In relation to the reporting on the “</w:t>
      </w:r>
      <w:r w:rsidRPr="00FB1598">
        <w:rPr>
          <w:rStyle w:val="normaltextrun"/>
          <w:rFonts w:asciiTheme="majorBidi" w:eastAsiaTheme="majorEastAsia" w:hAnsiTheme="majorBidi" w:cstheme="majorBidi"/>
          <w:i/>
          <w:iCs/>
        </w:rPr>
        <w:t>Value of agricultural subsidies and other incentives potentially harmful to biodiversity</w:t>
      </w:r>
      <w:r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b/>
          <w:bCs/>
        </w:rPr>
        <w:t xml:space="preserve"> </w:t>
      </w:r>
      <w:r w:rsidRPr="00ED7E61">
        <w:rPr>
          <w:rStyle w:val="normaltextrun"/>
          <w:rFonts w:asciiTheme="majorBidi" w:eastAsiaTheme="majorEastAsia" w:hAnsiTheme="majorBidi" w:cstheme="majorBidi"/>
        </w:rPr>
        <w:t>the OECD has found that agricultural support provided through</w:t>
      </w:r>
      <w:r w:rsidRPr="00ED7E61">
        <w:rPr>
          <w:rStyle w:val="normaltextrun"/>
          <w:rFonts w:asciiTheme="majorBidi" w:eastAsiaTheme="majorEastAsia" w:hAnsiTheme="majorBidi" w:cstheme="majorBidi"/>
          <w:b/>
          <w:bCs/>
        </w:rPr>
        <w:t xml:space="preserve"> </w:t>
      </w:r>
      <w:r w:rsidRPr="00ED7E61">
        <w:rPr>
          <w:rStyle w:val="normaltextrun"/>
          <w:rFonts w:asciiTheme="majorBidi" w:eastAsiaTheme="majorEastAsia" w:hAnsiTheme="majorBidi" w:cstheme="majorBidi"/>
        </w:rPr>
        <w:t>market price support, payments based on output, and the unconstrained use of variable inputs, are the potentially most harmful to environment, and thereby could affect biodiversity in particular countries (Henderson and Lankoski, 2019; DeBoe, 2020a,b). </w:t>
      </w:r>
      <w:r w:rsidRPr="00ED7E61">
        <w:rPr>
          <w:rStyle w:val="eop"/>
          <w:rFonts w:asciiTheme="majorBidi" w:eastAsiaTheme="majorEastAsia" w:hAnsiTheme="majorBidi" w:cstheme="majorBidi"/>
        </w:rPr>
        <w:t> </w:t>
      </w:r>
    </w:p>
    <w:p w14:paraId="27A2E4AF"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fossil fuel subsidies (production and consumption)</w:t>
      </w:r>
      <w:r w:rsidRPr="00ED7E61">
        <w:rPr>
          <w:rStyle w:val="eop"/>
          <w:rFonts w:asciiTheme="majorBidi" w:eastAsiaTheme="majorEastAsia" w:hAnsiTheme="majorBidi" w:cstheme="majorBidi"/>
          <w:sz w:val="22"/>
          <w:szCs w:val="22"/>
        </w:rPr>
        <w:t> </w:t>
      </w:r>
    </w:p>
    <w:p w14:paraId="2F2BD5CE" w14:textId="1105F1E4"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This indicator corresponds to the SDG indicator 12c but is presented as total monetary value rather than per unit of GDP.  Direct transfers are generally reported in government budgets, and well documented in sectoral and Finance Ministries, broken down by programme if not by fuel. Those that meet the SNA definition of “</w:t>
      </w:r>
      <w:r w:rsidRPr="00FB1598">
        <w:rPr>
          <w:rStyle w:val="normaltextrun"/>
          <w:rFonts w:asciiTheme="majorBidi" w:eastAsiaTheme="majorEastAsia" w:hAnsiTheme="majorBidi" w:cstheme="majorBidi"/>
          <w:i/>
          <w:iCs/>
        </w:rPr>
        <w:t>subsidies</w:t>
      </w:r>
      <w:r w:rsidRPr="00ED7E61">
        <w:rPr>
          <w:rStyle w:val="normaltextrun"/>
          <w:rFonts w:asciiTheme="majorBidi" w:eastAsiaTheme="majorEastAsia" w:hAnsiTheme="majorBidi" w:cstheme="majorBidi"/>
        </w:rPr>
        <w:t>” – i.e. subsidies on products, and other subsidies on production – can also be found in a country’s System of National Accounts. Budget documents are publicly available for most countries. The degree to which information on individual programmes is itemized in those reports is highly variable, however. Support to corporations involved in energy production or transformation may sometimes be found in their annual reports, for example. In some cases, researchers may be able to obtain unpublished data from state-owned energy enterprises directly. Induced transfer are measured by calculating the price-gap between the producer or consumer price and a reference price, and multiplying that differential by the affected volume produced or consumed. Measuring the value of special features introduced into the tax code to favour certain industries or activities of those industries (such as investment in productive capital) can be a complex endeavour. Some countries do this exercise already and report the annual value of those tax features in their periodic tax-expenditure reports. However, what is considered a tax expenditure varies from one country to another</w:t>
      </w:r>
      <w:r w:rsidR="00A70C4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xml:space="preserve"> in particular depending on the tax code structure. When countries do not produce tax-expenditure reports, the analysist must construct a model and estimate the difference in the revenues that would be owed to the government under the baseline conditions and with the special tax feature. For further details on the method of computation as explained in the metadata sheet of SDG </w:t>
      </w:r>
      <w:r w:rsidR="00A70C42">
        <w:rPr>
          <w:rStyle w:val="normaltextrun"/>
          <w:rFonts w:asciiTheme="majorBidi" w:eastAsiaTheme="majorEastAsia" w:hAnsiTheme="majorBidi" w:cstheme="majorBidi"/>
        </w:rPr>
        <w:t>indicator 1</w:t>
      </w:r>
      <w:r w:rsidRPr="00ED7E61">
        <w:rPr>
          <w:rStyle w:val="normaltextrun"/>
          <w:rFonts w:asciiTheme="majorBidi" w:eastAsiaTheme="majorEastAsia" w:hAnsiTheme="majorBidi" w:cstheme="majorBidi"/>
        </w:rPr>
        <w:t>2c. Please refer to the sources below (11. References)</w:t>
      </w:r>
      <w:r w:rsidR="00A70C42">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3FB61D92"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subsidies to capture fisheries with a risk (moderate or high) of encouraging unsustainable fishing in the absence of effective fisheries management</w:t>
      </w:r>
      <w:r w:rsidRPr="00ED7E61">
        <w:rPr>
          <w:rStyle w:val="eop"/>
          <w:rFonts w:asciiTheme="majorBidi" w:eastAsiaTheme="majorEastAsia" w:hAnsiTheme="majorBidi" w:cstheme="majorBidi"/>
          <w:sz w:val="22"/>
          <w:szCs w:val="22"/>
        </w:rPr>
        <w:t> </w:t>
      </w:r>
    </w:p>
    <w:p w14:paraId="3C23F105" w14:textId="5ECD89D2" w:rsidR="00756F0F" w:rsidRPr="00526EB5"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Every two years the OECD publishes the </w:t>
      </w:r>
      <w:hyperlink r:id="rId567" w:tgtFrame="_blank" w:history="1">
        <w:r w:rsidRPr="00ED7E61">
          <w:rPr>
            <w:rStyle w:val="normaltextrun"/>
            <w:rFonts w:asciiTheme="majorBidi" w:eastAsiaTheme="majorEastAsia" w:hAnsiTheme="majorBidi" w:cstheme="majorBidi"/>
            <w:color w:val="467886"/>
            <w:u w:val="single"/>
          </w:rPr>
          <w:t>OECD Review of Fisheries</w:t>
        </w:r>
      </w:hyperlink>
      <w:r w:rsidRPr="00ED7E61">
        <w:rPr>
          <w:rStyle w:val="normaltextrun"/>
          <w:rFonts w:asciiTheme="majorBidi" w:eastAsiaTheme="majorEastAsia" w:hAnsiTheme="majorBidi" w:cstheme="majorBidi"/>
        </w:rPr>
        <w:t xml:space="preserve">. These reports present information on fish stock health and productivity, fisheries management and support for fisheries in OECD countries and other major fishing nations. The estimates of fisheries support are collated in the OECD Fisheries Support Estimates (FSE) database. In 2022, the OECD FSE data covered 30 OECD countries and 10 other large fishing nations, which, together, accounted for 90% of world landings (by volume) over 2018-20. The FSE database records information on direct support to individuals and companies in the fishing sector, such as fuel and vessel subsidies or income support, as well as public financing of fisheries services and infrastructure, such as monitoring, control and surveillance (MCS), port construction and operation, or payments for access to foreign waters. The OECD classifies support to fisheries into four categories reflecting on the risk of encouraging unsustainable fishing posed by each policy type in the absence of effective management The four categories –high risk, moderate risk, uncertain risk and no risk – were defined and agreed by the OECD Fisheries Committee using over two decades of economic and policy research conducted by the OECD and others. The classification and the justification for the breakdown are discussed in the </w:t>
      </w:r>
      <w:hyperlink r:id="rId568" w:tgtFrame="_blank" w:history="1">
        <w:r w:rsidRPr="00ED7E61">
          <w:rPr>
            <w:rStyle w:val="normaltextrun"/>
            <w:rFonts w:asciiTheme="majorBidi" w:eastAsiaTheme="majorEastAsia" w:hAnsiTheme="majorBidi" w:cstheme="majorBidi"/>
            <w:color w:val="0000FF"/>
            <w:u w:val="single"/>
          </w:rPr>
          <w:t>OECD Review of Fisheries 2022</w:t>
        </w:r>
      </w:hyperlink>
      <w:r w:rsidRPr="00ED7E61">
        <w:rPr>
          <w:rStyle w:val="normaltextrun"/>
          <w:rFonts w:asciiTheme="majorBidi" w:eastAsiaTheme="majorEastAsia" w:hAnsiTheme="majorBidi" w:cstheme="majorBidi"/>
        </w:rPr>
        <w:t xml:space="preserve">. Details on how support to fisheries data are collected by the OECD, with data reporting directly from governments, and how the data is processed and published can be found in the </w:t>
      </w:r>
      <w:hyperlink r:id="rId569" w:tgtFrame="_blank" w:history="1">
        <w:r w:rsidRPr="00ED7E61">
          <w:rPr>
            <w:rStyle w:val="normaltextrun"/>
            <w:rFonts w:asciiTheme="majorBidi" w:eastAsiaTheme="majorEastAsia" w:hAnsiTheme="majorBidi" w:cstheme="majorBidi"/>
            <w:color w:val="467886"/>
            <w:u w:val="single"/>
          </w:rPr>
          <w:t>OECD Fisheries Support Estimate (FSE) Manual</w:t>
        </w:r>
      </w:hyperlink>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49E22E8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5c. Data collection method </w:t>
      </w:r>
      <w:r w:rsidRPr="00ED7E61">
        <w:rPr>
          <w:rStyle w:val="eop"/>
          <w:rFonts w:asciiTheme="majorBidi" w:eastAsiaTheme="majorEastAsia" w:hAnsiTheme="majorBidi" w:cstheme="majorBidi"/>
          <w:b/>
          <w:bCs/>
          <w:sz w:val="22"/>
          <w:szCs w:val="22"/>
        </w:rPr>
        <w:t> </w:t>
      </w:r>
    </w:p>
    <w:p w14:paraId="051F9F2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subsidies and other incentives harmful to biodiversity </w:t>
      </w:r>
      <w:r w:rsidRPr="00ED7E61">
        <w:rPr>
          <w:rStyle w:val="eop"/>
          <w:rFonts w:asciiTheme="majorBidi" w:eastAsiaTheme="majorEastAsia" w:hAnsiTheme="majorBidi" w:cstheme="majorBidi"/>
          <w:sz w:val="22"/>
          <w:szCs w:val="22"/>
        </w:rPr>
        <w:t> </w:t>
      </w:r>
    </w:p>
    <w:p w14:paraId="29285D4D" w14:textId="77777777"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Depending</w:t>
      </w:r>
      <w:r w:rsidRPr="00ED7E61">
        <w:rPr>
          <w:rStyle w:val="normaltextrun"/>
          <w:rFonts w:asciiTheme="majorBidi" w:eastAsiaTheme="majorEastAsia" w:hAnsiTheme="majorBidi" w:cstheme="majorBidi"/>
          <w:color w:val="000000"/>
        </w:rPr>
        <w:t xml:space="preserve"> on the reporting option selected by the country/institution (i.e. global data base or national data) data may be collected through information already reported to the OECD and others including FAO, IDB, the IMF and IEA (depending on the sector).</w:t>
      </w:r>
      <w:r w:rsidRPr="00ED7E61">
        <w:rPr>
          <w:rStyle w:val="eop"/>
          <w:rFonts w:asciiTheme="majorBidi" w:eastAsiaTheme="majorEastAsia" w:hAnsiTheme="majorBidi" w:cstheme="majorBidi"/>
          <w:color w:val="000000"/>
        </w:rPr>
        <w:t> </w:t>
      </w:r>
    </w:p>
    <w:p w14:paraId="0C90222D"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agricultural subsidies and other incentives potentially harmful to biodiversity</w:t>
      </w:r>
      <w:r w:rsidRPr="00ED7E61">
        <w:rPr>
          <w:rStyle w:val="eop"/>
          <w:rFonts w:asciiTheme="majorBidi" w:eastAsiaTheme="majorEastAsia" w:hAnsiTheme="majorBidi" w:cstheme="majorBidi"/>
          <w:sz w:val="22"/>
          <w:szCs w:val="22"/>
        </w:rPr>
        <w:t> </w:t>
      </w:r>
    </w:p>
    <w:p w14:paraId="48DEB0C5" w14:textId="1A4B95C1" w:rsidR="00DC0708"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OECD PSE database collects data on government support to agriculture on an annual basis from national governments within the OECD, as well as from other complementary sources for non-OECD countries covered in the dataset. The data is verified and checked by the OECD Secretariat (Trade and Agriculture Directorate) before it is made publicly available online. </w:t>
      </w:r>
      <w:r w:rsidRPr="00ED7E61">
        <w:rPr>
          <w:rStyle w:val="eop"/>
          <w:rFonts w:asciiTheme="majorBidi" w:eastAsiaTheme="majorEastAsia" w:hAnsiTheme="majorBidi" w:cstheme="majorBidi"/>
        </w:rPr>
        <w:t> </w:t>
      </w:r>
    </w:p>
    <w:p w14:paraId="2435B265" w14:textId="6F0215AB" w:rsidR="00DC0708"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In relation to the reporting on the “</w:t>
      </w:r>
      <w:r w:rsidRPr="00FB1598">
        <w:rPr>
          <w:rStyle w:val="normaltextrun"/>
          <w:rFonts w:asciiTheme="majorBidi" w:eastAsiaTheme="majorEastAsia" w:hAnsiTheme="majorBidi" w:cstheme="majorBidi"/>
          <w:i/>
          <w:iCs/>
        </w:rPr>
        <w:t>Value of agricultural subsidies and other incentives potentially harmful to biodiversity</w:t>
      </w:r>
      <w:r w:rsidRPr="00ED7E61">
        <w:rPr>
          <w:rStyle w:val="normaltextrun"/>
          <w:rFonts w:asciiTheme="majorBidi" w:eastAsiaTheme="majorEastAsia" w:hAnsiTheme="majorBidi" w:cstheme="majorBidi"/>
        </w:rPr>
        <w:t>”,</w:t>
      </w:r>
      <w:r w:rsidRPr="00ED7E61">
        <w:rPr>
          <w:rStyle w:val="normaltextrun"/>
          <w:rFonts w:asciiTheme="majorBidi" w:eastAsiaTheme="majorEastAsia" w:hAnsiTheme="majorBidi" w:cstheme="majorBidi"/>
          <w:b/>
          <w:bCs/>
        </w:rPr>
        <w:t xml:space="preserve"> </w:t>
      </w:r>
      <w:r w:rsidRPr="00ED7E61">
        <w:rPr>
          <w:rStyle w:val="normaltextrun"/>
          <w:rFonts w:asciiTheme="majorBidi" w:eastAsiaTheme="majorEastAsia" w:hAnsiTheme="majorBidi" w:cstheme="majorBidi"/>
        </w:rPr>
        <w:t>the OECD has found that agricultural support provided through</w:t>
      </w:r>
      <w:r w:rsidRPr="00ED7E61">
        <w:rPr>
          <w:rStyle w:val="normaltextrun"/>
          <w:rFonts w:asciiTheme="majorBidi" w:eastAsiaTheme="majorEastAsia" w:hAnsiTheme="majorBidi" w:cstheme="majorBidi"/>
          <w:b/>
          <w:bCs/>
        </w:rPr>
        <w:t xml:space="preserve"> </w:t>
      </w:r>
      <w:r w:rsidRPr="00ED7E61">
        <w:rPr>
          <w:rStyle w:val="normaltextrun"/>
          <w:rFonts w:asciiTheme="majorBidi" w:eastAsiaTheme="majorEastAsia" w:hAnsiTheme="majorBidi" w:cstheme="majorBidi"/>
        </w:rPr>
        <w:t>market price support, payments based on output, and the unconstrained use of variable inputs, are the potentially most harmful to environment, and thereby could affect biodiversity in particular countries (Henderson and Lankoski, 2019; DeBoe, 2020a,b). </w:t>
      </w:r>
      <w:r w:rsidRPr="00ED7E61">
        <w:rPr>
          <w:rStyle w:val="eop"/>
          <w:rFonts w:asciiTheme="majorBidi" w:eastAsiaTheme="majorEastAsia" w:hAnsiTheme="majorBidi" w:cstheme="majorBidi"/>
        </w:rPr>
        <w:t> </w:t>
      </w:r>
    </w:p>
    <w:p w14:paraId="174C92D1" w14:textId="751B4D09" w:rsidR="00DC0708"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Sources: Henderson and Lankoski (2019) </w:t>
      </w:r>
      <w:hyperlink r:id="rId570" w:tgtFrame="_blank" w:history="1">
        <w:r w:rsidRPr="00ED7E61">
          <w:rPr>
            <w:rStyle w:val="normaltextrun"/>
            <w:rFonts w:asciiTheme="majorBidi" w:eastAsiaTheme="majorEastAsia" w:hAnsiTheme="majorBidi" w:cstheme="majorBidi"/>
            <w:color w:val="467886"/>
            <w:u w:val="single"/>
          </w:rPr>
          <w:t>http://dx.doi.org/10.1787/add0f27c-en</w:t>
        </w:r>
      </w:hyperlink>
      <w:r w:rsidRPr="00ED7E61">
        <w:rPr>
          <w:rStyle w:val="normaltextrun"/>
          <w:rFonts w:asciiTheme="majorBidi" w:eastAsiaTheme="majorEastAsia" w:hAnsiTheme="majorBidi" w:cstheme="majorBidi"/>
        </w:rPr>
        <w:t xml:space="preserve">; DeBoe (2020a) </w:t>
      </w:r>
      <w:hyperlink r:id="rId571" w:tgtFrame="_blank" w:history="1">
        <w:r w:rsidRPr="00ED7E61">
          <w:rPr>
            <w:rStyle w:val="normaltextrun"/>
            <w:rFonts w:asciiTheme="majorBidi" w:eastAsiaTheme="majorEastAsia" w:hAnsiTheme="majorBidi" w:cstheme="majorBidi"/>
            <w:color w:val="467886"/>
            <w:u w:val="single"/>
          </w:rPr>
          <w:t>https://doi.org/10.1787/6bc916e7-en</w:t>
        </w:r>
      </w:hyperlink>
      <w:r w:rsidRPr="00ED7E61">
        <w:rPr>
          <w:rStyle w:val="normaltextrun"/>
          <w:rFonts w:asciiTheme="majorBidi" w:eastAsiaTheme="majorEastAsia" w:hAnsiTheme="majorBidi" w:cstheme="majorBidi"/>
        </w:rPr>
        <w:t xml:space="preserve">.  DeBoe (2020b), </w:t>
      </w:r>
      <w:hyperlink r:id="rId572" w:tgtFrame="_blank" w:history="1">
        <w:r w:rsidRPr="00ED7E61">
          <w:rPr>
            <w:rStyle w:val="normaltextrun"/>
            <w:rFonts w:asciiTheme="majorBidi" w:eastAsiaTheme="majorEastAsia" w:hAnsiTheme="majorBidi" w:cstheme="majorBidi"/>
            <w:color w:val="467886"/>
            <w:u w:val="single"/>
          </w:rPr>
          <w:t>https://doi.org/10.1787/3d459f91-en</w:t>
        </w:r>
      </w:hyperlink>
      <w:r w:rsidRPr="00ED7E61">
        <w:rPr>
          <w:rStyle w:val="eop"/>
          <w:rFonts w:asciiTheme="majorBidi" w:eastAsiaTheme="majorEastAsia" w:hAnsiTheme="majorBidi" w:cstheme="majorBidi"/>
        </w:rPr>
        <w:t> </w:t>
      </w:r>
    </w:p>
    <w:p w14:paraId="38D91E43" w14:textId="77777777"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 xml:space="preserve">For further information see also </w:t>
      </w:r>
      <w:r w:rsidRPr="00ED7E61">
        <w:rPr>
          <w:rStyle w:val="normaltextrun"/>
          <w:rFonts w:asciiTheme="majorBidi" w:eastAsiaTheme="majorEastAsia" w:hAnsiTheme="majorBidi" w:cstheme="majorBidi"/>
          <w:color w:val="000000"/>
        </w:rPr>
        <w:t>OECD (2023), </w:t>
      </w:r>
      <w:r w:rsidRPr="00ED7E61">
        <w:rPr>
          <w:rStyle w:val="normaltextrun"/>
          <w:rFonts w:asciiTheme="majorBidi" w:eastAsiaTheme="majorEastAsia" w:hAnsiTheme="majorBidi" w:cstheme="majorBidi"/>
          <w:i/>
          <w:iCs/>
          <w:color w:val="000000"/>
        </w:rPr>
        <w:t>Agricultural Policy Monitoring and Evaluation 2023: Adapting Agriculture to Climate Change</w:t>
      </w:r>
      <w:r w:rsidRPr="00ED7E61">
        <w:rPr>
          <w:rStyle w:val="normaltextrun"/>
          <w:rFonts w:asciiTheme="majorBidi" w:eastAsiaTheme="majorEastAsia" w:hAnsiTheme="majorBidi" w:cstheme="majorBidi"/>
          <w:color w:val="000000"/>
        </w:rPr>
        <w:t>, OECD Publishing, Paris, </w:t>
      </w:r>
      <w:hyperlink r:id="rId573" w:tgtFrame="_blank" w:history="1">
        <w:r w:rsidRPr="00ED7E61">
          <w:rPr>
            <w:rStyle w:val="normaltextrun"/>
            <w:rFonts w:asciiTheme="majorBidi" w:eastAsiaTheme="majorEastAsia" w:hAnsiTheme="majorBidi" w:cstheme="majorBidi"/>
            <w:color w:val="0000FF"/>
            <w:u w:val="single"/>
          </w:rPr>
          <w:t>https://doi.org/10.1787/b14de474-en</w:t>
        </w:r>
      </w:hyperlink>
      <w:r w:rsidRPr="00ED7E61">
        <w:rPr>
          <w:rStyle w:val="normaltextrun"/>
          <w:rFonts w:asciiTheme="majorBidi" w:eastAsiaTheme="majorEastAsia" w:hAnsiTheme="majorBidi" w:cstheme="majorBidi"/>
          <w:color w:val="000000"/>
        </w:rPr>
        <w:t>.</w:t>
      </w:r>
      <w:r w:rsidRPr="00ED7E61">
        <w:rPr>
          <w:rStyle w:val="eop"/>
          <w:rFonts w:asciiTheme="majorBidi" w:eastAsiaTheme="majorEastAsia" w:hAnsiTheme="majorBidi" w:cstheme="majorBidi"/>
          <w:color w:val="000000"/>
        </w:rPr>
        <w:t> </w:t>
      </w:r>
    </w:p>
    <w:p w14:paraId="7C6AD497"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fossil fuel subsidies (production and consumption)</w:t>
      </w:r>
      <w:r w:rsidRPr="00ED7E61">
        <w:rPr>
          <w:rStyle w:val="eop"/>
          <w:rFonts w:asciiTheme="majorBidi" w:eastAsiaTheme="majorEastAsia" w:hAnsiTheme="majorBidi" w:cstheme="majorBidi"/>
          <w:sz w:val="22"/>
          <w:szCs w:val="22"/>
        </w:rPr>
        <w:t> </w:t>
      </w:r>
    </w:p>
    <w:p w14:paraId="296AA668" w14:textId="245F3156"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See https://unstats.un.org/sdgs/metadata/files/Metadata-12-0c-01.pdf and Fossil Fuel Subsidy Tracker (fossilfuelsubsidytracker.org))</w:t>
      </w:r>
      <w:r w:rsidR="00DC0708" w:rsidRPr="00ED7E61">
        <w:rPr>
          <w:rStyle w:val="normaltextrun"/>
          <w:rFonts w:asciiTheme="majorBidi" w:eastAsiaTheme="majorEastAsia" w:hAnsiTheme="majorBidi" w:cstheme="majorBidi"/>
        </w:rPr>
        <w:t xml:space="preserve"> </w:t>
      </w:r>
      <w:r w:rsidRPr="00ED7E61">
        <w:rPr>
          <w:rStyle w:val="normaltextrun"/>
          <w:rFonts w:asciiTheme="majorBidi" w:eastAsiaTheme="majorEastAsia" w:hAnsiTheme="majorBidi" w:cstheme="majorBidi"/>
        </w:rPr>
        <w:t>Data are already collected to report against SDG 12.c.   </w:t>
      </w:r>
      <w:r w:rsidRPr="00ED7E61">
        <w:rPr>
          <w:rStyle w:val="eop"/>
          <w:rFonts w:asciiTheme="majorBidi" w:eastAsiaTheme="majorEastAsia" w:hAnsiTheme="majorBidi" w:cstheme="majorBidi"/>
        </w:rPr>
        <w:t> </w:t>
      </w:r>
    </w:p>
    <w:p w14:paraId="7B7EBFD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subsidies to capture fisheries with a risk (moderate or high) of encouraging unsustainable fishing</w:t>
      </w:r>
      <w:r w:rsidRPr="00ED7E61">
        <w:rPr>
          <w:rStyle w:val="eop"/>
          <w:rFonts w:asciiTheme="majorBidi" w:eastAsiaTheme="majorEastAsia" w:hAnsiTheme="majorBidi" w:cstheme="majorBidi"/>
          <w:sz w:val="22"/>
          <w:szCs w:val="22"/>
        </w:rPr>
        <w:t> </w:t>
      </w:r>
    </w:p>
    <w:p w14:paraId="3B13BF98" w14:textId="0E8A9474" w:rsidR="000C0CC3"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OECD already collects data from countries and categorises the support by its risk of encouraging unsustainable fishing.</w:t>
      </w:r>
      <w:r w:rsidRPr="00ED7E61">
        <w:rPr>
          <w:rStyle w:val="eop"/>
          <w:rFonts w:asciiTheme="majorBidi" w:eastAsiaTheme="majorEastAsia" w:hAnsiTheme="majorBidi" w:cstheme="majorBidi"/>
        </w:rPr>
        <w:t> </w:t>
      </w:r>
    </w:p>
    <w:p w14:paraId="5F373A6F" w14:textId="77777777"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ED7E61">
        <w:rPr>
          <w:rStyle w:val="normaltextrun"/>
          <w:rFonts w:asciiTheme="majorBidi" w:eastAsiaTheme="majorEastAsia" w:hAnsiTheme="majorBidi" w:cstheme="majorBidi"/>
        </w:rPr>
        <w:t>The data are based on information submitted by national authorities, complemented by publicly available information when there is no direct co-operation between national authorities and the OECD Committee for Fisheries.</w:t>
      </w:r>
      <w:r w:rsidRPr="00ED7E61">
        <w:rPr>
          <w:rStyle w:val="eop"/>
          <w:rFonts w:asciiTheme="majorBidi" w:eastAsiaTheme="majorEastAsia" w:hAnsiTheme="majorBidi" w:cstheme="majorBidi"/>
        </w:rPr>
        <w:t> </w:t>
      </w:r>
    </w:p>
    <w:p w14:paraId="64C98DC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5d. Accessibility of methodology</w:t>
      </w:r>
      <w:r w:rsidRPr="00ED7E61">
        <w:rPr>
          <w:rStyle w:val="eop"/>
          <w:rFonts w:asciiTheme="majorBidi" w:eastAsiaTheme="majorEastAsia" w:hAnsiTheme="majorBidi" w:cstheme="majorBidi"/>
          <w:b/>
          <w:bCs/>
          <w:sz w:val="22"/>
          <w:szCs w:val="22"/>
        </w:rPr>
        <w:t> </w:t>
      </w:r>
    </w:p>
    <w:p w14:paraId="23515394" w14:textId="5CF547F4"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color w:val="0F4761"/>
        </w:rPr>
      </w:pPr>
      <w:r w:rsidRPr="00ED7E61">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color w:val="000000"/>
        </w:rPr>
        <w:t xml:space="preserve"> three databases are available publicly</w:t>
      </w:r>
    </w:p>
    <w:p w14:paraId="02001C67"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5e. Data sources</w:t>
      </w:r>
      <w:r w:rsidRPr="00ED7E61">
        <w:rPr>
          <w:rStyle w:val="eop"/>
          <w:rFonts w:asciiTheme="majorBidi" w:eastAsiaTheme="majorEastAsia" w:hAnsiTheme="majorBidi" w:cstheme="majorBidi"/>
          <w:b/>
          <w:bCs/>
          <w:sz w:val="22"/>
          <w:szCs w:val="22"/>
        </w:rPr>
        <w:t> </w:t>
      </w:r>
    </w:p>
    <w:p w14:paraId="594E4168" w14:textId="77777777" w:rsidR="00756F0F" w:rsidRPr="002C377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agricultural subsidies and other incentives potentially harmful to biodiversity</w:t>
      </w:r>
      <w:r w:rsidRPr="00ED7E61">
        <w:rPr>
          <w:rStyle w:val="normaltextrun"/>
        </w:rPr>
        <w:t> </w:t>
      </w:r>
    </w:p>
    <w:p w14:paraId="4A77CAB4" w14:textId="1E45A0D6" w:rsidR="002C3771" w:rsidRPr="0011433C" w:rsidRDefault="002C3771" w:rsidP="0011433C">
      <w:pPr>
        <w:pStyle w:val="CBDNormalNumber"/>
        <w:numPr>
          <w:ilvl w:val="0"/>
          <w:numId w:val="0"/>
        </w:numPr>
        <w:tabs>
          <w:tab w:val="clear" w:pos="567"/>
          <w:tab w:val="clear" w:pos="1134"/>
          <w:tab w:val="clear" w:pos="1701"/>
          <w:tab w:val="clear" w:pos="2268"/>
          <w:tab w:val="left" w:pos="1985"/>
        </w:tabs>
        <w:ind w:left="567" w:firstLine="567"/>
        <w:rPr>
          <w:rStyle w:val="normaltextrun"/>
          <w:rFonts w:asciiTheme="majorBidi" w:hAnsiTheme="majorBidi" w:cstheme="majorBidi"/>
        </w:rPr>
      </w:pPr>
      <w:r w:rsidRPr="00ED7E61">
        <w:rPr>
          <w:rStyle w:val="normaltextrun"/>
          <w:rFonts w:asciiTheme="majorBidi" w:eastAsiaTheme="majorEastAsia" w:hAnsiTheme="majorBidi" w:cstheme="majorBidi"/>
          <w:color w:val="467886"/>
          <w:u w:val="single"/>
        </w:rPr>
        <w:t>Agricultural support http://stats.oecd.org/Index.aspx?QueryId=114544</w:t>
      </w:r>
      <w:r w:rsidRPr="00ED7E61">
        <w:rPr>
          <w:rStyle w:val="eop"/>
          <w:rFonts w:asciiTheme="majorBidi" w:eastAsiaTheme="majorEastAsia" w:hAnsiTheme="majorBidi" w:cstheme="majorBidi"/>
          <w:color w:val="467886"/>
        </w:rPr>
        <w:t> </w:t>
      </w:r>
    </w:p>
    <w:p w14:paraId="10E8325D" w14:textId="77777777" w:rsidR="00756F0F" w:rsidRDefault="00756F0F" w:rsidP="00B10F0C">
      <w:pPr>
        <w:pStyle w:val="CBDNormalNumber"/>
        <w:numPr>
          <w:ilvl w:val="0"/>
          <w:numId w:val="94"/>
        </w:numPr>
        <w:shd w:val="clear" w:color="auto" w:fill="FFFFFF"/>
        <w:ind w:left="567" w:firstLine="0"/>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Value of fossil fuel subsidies (production and consumption)</w:t>
      </w:r>
      <w:r w:rsidRPr="002C3771">
        <w:rPr>
          <w:rStyle w:val="normaltextrun"/>
          <w:rFonts w:asciiTheme="majorBidi" w:eastAsiaTheme="majorEastAsia" w:hAnsiTheme="majorBidi" w:cstheme="majorBidi"/>
        </w:rPr>
        <w:t> </w:t>
      </w:r>
    </w:p>
    <w:p w14:paraId="2C28D726" w14:textId="77777777" w:rsidR="002C3771" w:rsidRPr="00ED7E61" w:rsidRDefault="002C3771" w:rsidP="0011433C">
      <w:pPr>
        <w:pStyle w:val="CBDNormalNumber"/>
        <w:numPr>
          <w:ilvl w:val="0"/>
          <w:numId w:val="0"/>
        </w:numPr>
        <w:tabs>
          <w:tab w:val="clear" w:pos="567"/>
          <w:tab w:val="clear" w:pos="1134"/>
          <w:tab w:val="clear" w:pos="1701"/>
          <w:tab w:val="clear" w:pos="2268"/>
          <w:tab w:val="left" w:pos="1985"/>
        </w:tabs>
        <w:ind w:left="567" w:firstLine="567"/>
        <w:rPr>
          <w:rFonts w:asciiTheme="majorBidi" w:hAnsiTheme="majorBidi" w:cstheme="majorBidi"/>
        </w:rPr>
      </w:pPr>
      <w:hyperlink r:id="rId574" w:tgtFrame="_blank" w:history="1">
        <w:r w:rsidRPr="00ED7E61">
          <w:rPr>
            <w:rStyle w:val="normaltextrun"/>
            <w:rFonts w:asciiTheme="majorBidi" w:eastAsiaTheme="majorEastAsia" w:hAnsiTheme="majorBidi" w:cstheme="majorBidi"/>
            <w:color w:val="467886"/>
            <w:u w:val="single"/>
          </w:rPr>
          <w:t>https://wedocs.unep.org/bitstream/handle/20.500.11822/28111/FossilFuel.pdf?sequence=1&amp;isAllowed=y</w:t>
        </w:r>
      </w:hyperlink>
      <w:r w:rsidRPr="00ED7E61">
        <w:rPr>
          <w:rStyle w:val="normaltextrun"/>
          <w:rFonts w:asciiTheme="majorBidi" w:eastAsiaTheme="majorEastAsia" w:hAnsiTheme="majorBidi" w:cstheme="majorBidi"/>
          <w:color w:val="000000"/>
        </w:rPr>
        <w:t> </w:t>
      </w:r>
      <w:r w:rsidRPr="00ED7E61">
        <w:rPr>
          <w:rStyle w:val="eop"/>
          <w:rFonts w:asciiTheme="majorBidi" w:eastAsiaTheme="majorEastAsia" w:hAnsiTheme="majorBidi" w:cstheme="majorBidi"/>
          <w:color w:val="000000"/>
        </w:rPr>
        <w:t> </w:t>
      </w:r>
    </w:p>
    <w:p w14:paraId="677A68AB" w14:textId="77777777" w:rsidR="00756F0F" w:rsidRDefault="00756F0F" w:rsidP="00B10F0C">
      <w:pPr>
        <w:pStyle w:val="CBDNormalNumber"/>
        <w:numPr>
          <w:ilvl w:val="0"/>
          <w:numId w:val="94"/>
        </w:numPr>
        <w:shd w:val="clear" w:color="auto" w:fill="FFFFFF"/>
        <w:ind w:left="567" w:firstLine="0"/>
        <w:rPr>
          <w:rStyle w:val="normaltextrun"/>
          <w:rFonts w:asciiTheme="majorBidi" w:eastAsiaTheme="majorEastAsia" w:hAnsiTheme="majorBidi" w:cstheme="majorBidi"/>
        </w:rPr>
      </w:pPr>
      <w:r w:rsidRPr="00ED7E61">
        <w:rPr>
          <w:rStyle w:val="normaltextrun"/>
          <w:rFonts w:asciiTheme="majorBidi" w:eastAsiaTheme="majorEastAsia" w:hAnsiTheme="majorBidi" w:cstheme="majorBidi"/>
        </w:rPr>
        <w:t>Value of subsidies to capture fisheries with a risk (moderate or high) of encouraging unsustainable fishing</w:t>
      </w:r>
      <w:r w:rsidRPr="002C3771">
        <w:rPr>
          <w:rStyle w:val="normaltextrun"/>
          <w:rFonts w:asciiTheme="majorBidi" w:eastAsiaTheme="majorEastAsia" w:hAnsiTheme="majorBidi" w:cstheme="majorBidi"/>
        </w:rPr>
        <w:t> </w:t>
      </w:r>
    </w:p>
    <w:p w14:paraId="073F0314"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134"/>
        <w:rPr>
          <w:rFonts w:asciiTheme="majorBidi" w:hAnsiTheme="majorBidi" w:cstheme="majorBidi"/>
        </w:rPr>
      </w:pPr>
      <w:r w:rsidRPr="00ED7E61">
        <w:rPr>
          <w:rStyle w:val="normaltextrun"/>
          <w:rFonts w:asciiTheme="majorBidi" w:eastAsiaTheme="majorEastAsia" w:hAnsiTheme="majorBidi" w:cstheme="majorBidi"/>
          <w:lang w:val="en-US"/>
        </w:rPr>
        <w:t xml:space="preserve">Data will be available on the </w:t>
      </w:r>
      <w:hyperlink r:id="rId575" w:tgtFrame="_blank" w:history="1">
        <w:r w:rsidRPr="00ED7E61">
          <w:rPr>
            <w:rStyle w:val="normaltextrun"/>
            <w:rFonts w:asciiTheme="majorBidi" w:eastAsiaTheme="majorEastAsia" w:hAnsiTheme="majorBidi" w:cstheme="majorBidi"/>
            <w:color w:val="0000FF"/>
            <w:lang w:val="en-US"/>
          </w:rPr>
          <w:t>OECD Data Explorer</w:t>
        </w:r>
      </w:hyperlink>
      <w:r w:rsidRPr="00ED7E61">
        <w:rPr>
          <w:rStyle w:val="normaltextrun"/>
          <w:rFonts w:asciiTheme="majorBidi" w:eastAsiaTheme="majorEastAsia" w:hAnsiTheme="majorBidi" w:cstheme="majorBidi"/>
          <w:lang w:val="en-US"/>
        </w:rPr>
        <w:t xml:space="preserve"> as of end March 2024. Data can be obtained from the OECD in the meantime (</w:t>
      </w:r>
      <w:hyperlink r:id="rId576" w:tgtFrame="_blank" w:history="1">
        <w:r w:rsidRPr="00ED7E61">
          <w:rPr>
            <w:rStyle w:val="normaltextrun"/>
            <w:rFonts w:asciiTheme="majorBidi" w:eastAsiaTheme="majorEastAsia" w:hAnsiTheme="majorBidi" w:cstheme="majorBidi"/>
            <w:color w:val="0000FF"/>
            <w:lang w:val="en-US"/>
          </w:rPr>
          <w:t>fish.contact@oecd.org</w:t>
        </w:r>
      </w:hyperlink>
      <w:r w:rsidRPr="00ED7E61">
        <w:rPr>
          <w:rStyle w:val="normaltextrun"/>
          <w:rFonts w:asciiTheme="majorBidi" w:eastAsiaTheme="majorEastAsia" w:hAnsiTheme="majorBidi" w:cstheme="majorBidi"/>
          <w:lang w:val="en-US"/>
        </w:rPr>
        <w:t>) </w:t>
      </w:r>
      <w:r w:rsidRPr="00ED7E61">
        <w:rPr>
          <w:rStyle w:val="eop"/>
          <w:rFonts w:asciiTheme="majorBidi" w:eastAsiaTheme="majorEastAsia" w:hAnsiTheme="majorBidi" w:cstheme="majorBidi"/>
        </w:rPr>
        <w:t> </w:t>
      </w:r>
    </w:p>
    <w:p w14:paraId="65D6F71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5f. Availability and release calendar</w:t>
      </w:r>
      <w:r w:rsidRPr="00ED7E61">
        <w:rPr>
          <w:rStyle w:val="eop"/>
          <w:rFonts w:asciiTheme="majorBidi" w:eastAsiaTheme="majorEastAsia" w:hAnsiTheme="majorBidi" w:cstheme="majorBidi"/>
          <w:b/>
          <w:bCs/>
          <w:sz w:val="22"/>
          <w:szCs w:val="22"/>
        </w:rPr>
        <w:t> </w:t>
      </w:r>
    </w:p>
    <w:p w14:paraId="02D1F750" w14:textId="77777777" w:rsidR="00756F0F" w:rsidRPr="00ED7E6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agricultural subsidies and other incentives potentially harmful to biodiversity</w:t>
      </w:r>
      <w:r w:rsidRPr="00ED7E61">
        <w:rPr>
          <w:rStyle w:val="normaltextrun"/>
        </w:rPr>
        <w:t> </w:t>
      </w:r>
    </w:p>
    <w:p w14:paraId="193DCA2C"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134"/>
        <w:rPr>
          <w:rFonts w:asciiTheme="majorBidi" w:hAnsiTheme="majorBidi" w:cstheme="majorBidi"/>
        </w:rPr>
      </w:pPr>
      <w:r w:rsidRPr="00ED7E61">
        <w:rPr>
          <w:rStyle w:val="normaltextrun"/>
          <w:rFonts w:asciiTheme="majorBidi" w:eastAsiaTheme="majorEastAsia" w:hAnsiTheme="majorBidi" w:cstheme="majorBidi"/>
          <w:lang w:val="en-US"/>
        </w:rPr>
        <w:t>The</w:t>
      </w:r>
      <w:r w:rsidRPr="00ED7E61">
        <w:rPr>
          <w:rStyle w:val="normaltextrun"/>
          <w:rFonts w:asciiTheme="majorBidi" w:eastAsiaTheme="majorEastAsia" w:hAnsiTheme="majorBidi" w:cstheme="majorBidi"/>
        </w:rPr>
        <w:t xml:space="preserve"> data on government support to agriculture is collected and published annually</w:t>
      </w:r>
      <w:r w:rsidRPr="00ED7E61">
        <w:rPr>
          <w:rStyle w:val="eop"/>
          <w:rFonts w:asciiTheme="majorBidi" w:eastAsiaTheme="majorEastAsia" w:hAnsiTheme="majorBidi" w:cstheme="majorBidi"/>
        </w:rPr>
        <w:t> </w:t>
      </w:r>
    </w:p>
    <w:p w14:paraId="220A6C51" w14:textId="6AB07988" w:rsidR="00756F0F" w:rsidRPr="002C377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fossil fuel subsidies (production and consumption)</w:t>
      </w:r>
      <w:r w:rsidRPr="00ED7E61">
        <w:rPr>
          <w:rStyle w:val="normaltextrun"/>
        </w:rPr>
        <w:t> </w:t>
      </w:r>
    </w:p>
    <w:p w14:paraId="4F2FA635"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134"/>
        <w:rPr>
          <w:rFonts w:asciiTheme="majorBidi" w:hAnsiTheme="majorBidi" w:cstheme="majorBidi"/>
        </w:rPr>
      </w:pPr>
      <w:r w:rsidRPr="00ED7E61">
        <w:rPr>
          <w:rStyle w:val="normaltextrun"/>
          <w:rFonts w:asciiTheme="majorBidi" w:eastAsiaTheme="majorEastAsia" w:hAnsiTheme="majorBidi" w:cstheme="majorBidi"/>
          <w:lang w:val="en-US"/>
        </w:rPr>
        <w:t>The</w:t>
      </w:r>
      <w:r w:rsidRPr="00ED7E61">
        <w:rPr>
          <w:rStyle w:val="normaltextrun"/>
          <w:rFonts w:asciiTheme="majorBidi" w:eastAsiaTheme="majorEastAsia" w:hAnsiTheme="majorBidi" w:cstheme="majorBidi"/>
        </w:rPr>
        <w:t xml:space="preserve"> data is collected and published annually - see the Fossil Fuel Subsidy Tracker and the SDG 12 c metadata sheet for further information</w:t>
      </w:r>
      <w:r w:rsidRPr="00ED7E61">
        <w:rPr>
          <w:rStyle w:val="eop"/>
          <w:rFonts w:asciiTheme="majorBidi" w:eastAsiaTheme="majorEastAsia" w:hAnsiTheme="majorBidi" w:cstheme="majorBidi"/>
        </w:rPr>
        <w:t> </w:t>
      </w:r>
    </w:p>
    <w:p w14:paraId="24316A97" w14:textId="77777777" w:rsidR="00756F0F" w:rsidRPr="002C377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subsidies to capture fisheries with a risk (moderate or high) of encouraging unsustainable fishing</w:t>
      </w:r>
      <w:r w:rsidRPr="00ED7E61">
        <w:rPr>
          <w:rStyle w:val="normaltextrun"/>
        </w:rPr>
        <w:t> </w:t>
      </w:r>
    </w:p>
    <w:p w14:paraId="73BA0BCE"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134"/>
        <w:rPr>
          <w:rFonts w:asciiTheme="majorBidi" w:hAnsiTheme="majorBidi" w:cstheme="majorBidi"/>
        </w:rPr>
      </w:pPr>
      <w:r w:rsidRPr="00ED7E61">
        <w:rPr>
          <w:rStyle w:val="normaltextrun"/>
          <w:rFonts w:asciiTheme="majorBidi" w:eastAsiaTheme="majorEastAsia" w:hAnsiTheme="majorBidi" w:cstheme="majorBidi"/>
          <w:lang w:val="en-US"/>
        </w:rPr>
        <w:t>The</w:t>
      </w:r>
      <w:r w:rsidRPr="00ED7E61">
        <w:rPr>
          <w:rStyle w:val="normaltextrun"/>
          <w:rFonts w:asciiTheme="majorBidi" w:eastAsiaTheme="majorEastAsia" w:hAnsiTheme="majorBidi" w:cstheme="majorBidi"/>
        </w:rPr>
        <w:t xml:space="preserve"> data is collected and published bi-annually.</w:t>
      </w:r>
      <w:r w:rsidRPr="00ED7E61">
        <w:rPr>
          <w:rStyle w:val="eop"/>
          <w:rFonts w:asciiTheme="majorBidi" w:eastAsiaTheme="majorEastAsia" w:hAnsiTheme="majorBidi" w:cstheme="majorBidi"/>
        </w:rPr>
        <w:t> </w:t>
      </w:r>
    </w:p>
    <w:p w14:paraId="347D69A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5g. Time series </w:t>
      </w:r>
      <w:r w:rsidRPr="00ED7E61">
        <w:rPr>
          <w:rStyle w:val="eop"/>
          <w:rFonts w:asciiTheme="majorBidi" w:eastAsiaTheme="majorEastAsia" w:hAnsiTheme="majorBidi" w:cstheme="majorBidi"/>
          <w:b/>
          <w:bCs/>
          <w:sz w:val="22"/>
          <w:szCs w:val="22"/>
        </w:rPr>
        <w:t> </w:t>
      </w:r>
    </w:p>
    <w:p w14:paraId="4A4A4517"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subsidies and other incentives harmful to biodiversity</w:t>
      </w:r>
      <w:r w:rsidRPr="00ED7E61">
        <w:rPr>
          <w:rStyle w:val="eop"/>
          <w:rFonts w:asciiTheme="majorBidi" w:eastAsiaTheme="majorEastAsia" w:hAnsiTheme="majorBidi" w:cstheme="majorBidi"/>
          <w:sz w:val="22"/>
          <w:szCs w:val="22"/>
        </w:rPr>
        <w:t> </w:t>
      </w:r>
    </w:p>
    <w:p w14:paraId="1E496A02" w14:textId="77777777" w:rsidR="00756F0F" w:rsidRPr="002C377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Data</w:t>
      </w:r>
      <w:r w:rsidRPr="002C3771">
        <w:rPr>
          <w:rStyle w:val="normaltextrun"/>
          <w:rFonts w:asciiTheme="majorBidi" w:eastAsiaTheme="majorEastAsia" w:hAnsiTheme="majorBidi" w:cstheme="majorBidi"/>
        </w:rPr>
        <w:t xml:space="preserve"> should be provided annually</w:t>
      </w:r>
      <w:r w:rsidRPr="002C3771">
        <w:rPr>
          <w:rStyle w:val="normaltextrun"/>
        </w:rPr>
        <w:t> </w:t>
      </w:r>
    </w:p>
    <w:p w14:paraId="0174A2BA"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5h. Data providers</w:t>
      </w:r>
      <w:r w:rsidRPr="00ED7E61">
        <w:rPr>
          <w:rStyle w:val="eop"/>
          <w:rFonts w:asciiTheme="majorBidi" w:eastAsiaTheme="majorEastAsia" w:hAnsiTheme="majorBidi" w:cstheme="majorBidi"/>
          <w:b/>
          <w:bCs/>
          <w:sz w:val="22"/>
          <w:szCs w:val="22"/>
        </w:rPr>
        <w:t> </w:t>
      </w:r>
    </w:p>
    <w:p w14:paraId="72935E6F" w14:textId="77777777" w:rsidR="00756F0F" w:rsidRPr="002C377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subsidies and other incentives harmful to biodiversity</w:t>
      </w:r>
      <w:r w:rsidRPr="002C3771">
        <w:rPr>
          <w:rStyle w:val="normaltextrun"/>
          <w:rFonts w:asciiTheme="majorBidi" w:eastAsiaTheme="majorEastAsia" w:hAnsiTheme="majorBidi" w:cstheme="majorBidi"/>
        </w:rPr>
        <w:t> </w:t>
      </w:r>
    </w:p>
    <w:p w14:paraId="0D79ABAC"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134"/>
        <w:rPr>
          <w:rFonts w:asciiTheme="majorBidi" w:hAnsiTheme="majorBidi" w:cstheme="majorBidi"/>
        </w:rPr>
      </w:pPr>
      <w:r w:rsidRPr="00ED7E61">
        <w:rPr>
          <w:rStyle w:val="normaltextrun"/>
          <w:rFonts w:asciiTheme="majorBidi" w:eastAsiaTheme="majorEastAsia" w:hAnsiTheme="majorBidi" w:cstheme="majorBidi"/>
          <w:lang w:val="en-US"/>
        </w:rPr>
        <w:t>The</w:t>
      </w:r>
      <w:r w:rsidRPr="00ED7E61">
        <w:rPr>
          <w:rStyle w:val="normaltextrun"/>
          <w:rFonts w:asciiTheme="majorBidi" w:eastAsiaTheme="majorEastAsia" w:hAnsiTheme="majorBidi" w:cstheme="majorBidi"/>
        </w:rPr>
        <w:t xml:space="preserve"> data would be provided at the disaggregated level</w:t>
      </w:r>
      <w:r w:rsidRPr="00ED7E61">
        <w:rPr>
          <w:rStyle w:val="eop"/>
          <w:rFonts w:asciiTheme="majorBidi" w:eastAsiaTheme="majorEastAsia" w:hAnsiTheme="majorBidi" w:cstheme="majorBidi"/>
        </w:rPr>
        <w:t> </w:t>
      </w:r>
    </w:p>
    <w:p w14:paraId="3B686A3B" w14:textId="3FA08C94" w:rsidR="00756F0F" w:rsidRPr="00ED7E6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agricultural subsidies and other incentives potentially harmful to biodiversity</w:t>
      </w:r>
      <w:r w:rsidRPr="00ED7E61">
        <w:rPr>
          <w:rStyle w:val="normaltextrun"/>
        </w:rPr>
        <w:t> </w:t>
      </w:r>
    </w:p>
    <w:p w14:paraId="12068001"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134"/>
        <w:rPr>
          <w:rStyle w:val="normaltextrun"/>
          <w:rFonts w:eastAsiaTheme="majorEastAsia"/>
          <w:lang w:val="en-US"/>
        </w:rPr>
      </w:pPr>
      <w:r w:rsidRPr="00ED7E61">
        <w:rPr>
          <w:rStyle w:val="normaltextrun"/>
          <w:rFonts w:asciiTheme="majorBidi" w:eastAsiaTheme="majorEastAsia" w:hAnsiTheme="majorBidi" w:cstheme="majorBidi"/>
          <w:lang w:val="en-US"/>
        </w:rPr>
        <w:t>OECD via national reporting from OECD governments and other complementary sources for non-OECD countries covered by the dataset.</w:t>
      </w:r>
      <w:r w:rsidRPr="00ED7E61">
        <w:rPr>
          <w:rStyle w:val="normaltextrun"/>
          <w:lang w:val="en-US"/>
        </w:rPr>
        <w:t> </w:t>
      </w:r>
    </w:p>
    <w:p w14:paraId="7B2E3997" w14:textId="23EB9F8F" w:rsidR="00756F0F" w:rsidRPr="00ED7E6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fossil fuel subsidies (production and consumption)</w:t>
      </w:r>
      <w:r w:rsidRPr="00ED7E61">
        <w:rPr>
          <w:rStyle w:val="normaltextrun"/>
        </w:rPr>
        <w:t> </w:t>
      </w:r>
    </w:p>
    <w:p w14:paraId="4946EC81" w14:textId="77777777" w:rsidR="002C3771" w:rsidRDefault="002C3771" w:rsidP="00B10F0C">
      <w:pPr>
        <w:pStyle w:val="CBDNormalNumber"/>
        <w:numPr>
          <w:ilvl w:val="1"/>
          <w:numId w:val="94"/>
        </w:numPr>
        <w:tabs>
          <w:tab w:val="clear" w:pos="567"/>
          <w:tab w:val="clear" w:pos="1134"/>
          <w:tab w:val="clear" w:pos="1701"/>
          <w:tab w:val="clear" w:pos="2268"/>
          <w:tab w:val="left" w:pos="1985"/>
        </w:tabs>
        <w:ind w:left="1276"/>
        <w:rPr>
          <w:rStyle w:val="normaltextrun"/>
          <w:rFonts w:eastAsiaTheme="majorEastAsia"/>
          <w:lang w:val="en-US"/>
        </w:rPr>
      </w:pPr>
      <w:r w:rsidRPr="00ED7E61">
        <w:rPr>
          <w:rStyle w:val="normaltextrun"/>
          <w:rFonts w:asciiTheme="majorBidi" w:eastAsiaTheme="majorEastAsia" w:hAnsiTheme="majorBidi" w:cstheme="majorBidi"/>
          <w:lang w:val="en-US"/>
        </w:rPr>
        <w:t>National Focal Points from National Statistical Systems.  </w:t>
      </w:r>
      <w:r w:rsidRPr="00ED7E61">
        <w:rPr>
          <w:rStyle w:val="normaltextrun"/>
          <w:lang w:val="en-US"/>
        </w:rPr>
        <w:t> </w:t>
      </w:r>
    </w:p>
    <w:p w14:paraId="1EA276A5" w14:textId="55A580B1" w:rsidR="00756F0F" w:rsidRPr="002C3771" w:rsidRDefault="00756F0F" w:rsidP="00B10F0C">
      <w:pPr>
        <w:pStyle w:val="CBDNormalNumber"/>
        <w:numPr>
          <w:ilvl w:val="1"/>
          <w:numId w:val="94"/>
        </w:numPr>
        <w:tabs>
          <w:tab w:val="clear" w:pos="567"/>
          <w:tab w:val="clear" w:pos="1134"/>
          <w:tab w:val="clear" w:pos="1701"/>
          <w:tab w:val="clear" w:pos="2268"/>
          <w:tab w:val="left" w:pos="1985"/>
        </w:tabs>
        <w:ind w:left="1276"/>
        <w:rPr>
          <w:rStyle w:val="normaltextrun"/>
          <w:rFonts w:eastAsiaTheme="majorEastAsia"/>
          <w:lang w:val="en-US"/>
        </w:rPr>
      </w:pPr>
      <w:r w:rsidRPr="002C3771">
        <w:rPr>
          <w:rStyle w:val="normaltextrun"/>
          <w:rFonts w:asciiTheme="majorBidi" w:eastAsiaTheme="majorEastAsia" w:hAnsiTheme="majorBidi" w:cstheme="majorBidi"/>
          <w:lang w:val="en-US"/>
        </w:rPr>
        <w:t>International Estimate Providers – OECD, IEA and IMF</w:t>
      </w:r>
      <w:r w:rsidRPr="002C3771">
        <w:rPr>
          <w:rStyle w:val="normaltextrun"/>
          <w:lang w:val="en-US"/>
        </w:rPr>
        <w:t> </w:t>
      </w:r>
    </w:p>
    <w:p w14:paraId="59AE5DA0" w14:textId="77777777" w:rsidR="00756F0F" w:rsidRPr="002C377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subsidies to capture fisheries with a risk (moderate or high) of encouraging unsustainable fishing</w:t>
      </w:r>
      <w:r w:rsidRPr="00ED7E61">
        <w:rPr>
          <w:rStyle w:val="normaltextrun"/>
        </w:rPr>
        <w:t> </w:t>
      </w:r>
    </w:p>
    <w:p w14:paraId="7DF1B347"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134"/>
        <w:rPr>
          <w:rStyle w:val="normaltextrun"/>
          <w:rFonts w:eastAsiaTheme="majorEastAsia"/>
          <w:lang w:val="en-US"/>
        </w:rPr>
      </w:pPr>
      <w:r w:rsidRPr="00ED7E61">
        <w:rPr>
          <w:rStyle w:val="normaltextrun"/>
          <w:rFonts w:asciiTheme="majorBidi" w:eastAsiaTheme="majorEastAsia" w:hAnsiTheme="majorBidi" w:cstheme="majorBidi"/>
          <w:lang w:val="en-US"/>
        </w:rPr>
        <w:t>OECD via national reporting from OECD governments and partner economies participating in the work of the OECD Fisheries Committee and other complementary official sources for non-OECD countries covered in the dataset.</w:t>
      </w:r>
      <w:r w:rsidRPr="00ED7E61">
        <w:rPr>
          <w:rStyle w:val="normaltextrun"/>
          <w:lang w:val="en-US"/>
        </w:rPr>
        <w:t> </w:t>
      </w:r>
    </w:p>
    <w:p w14:paraId="76074650"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5i. Data compilers </w:t>
      </w:r>
      <w:r w:rsidRPr="00ED7E61">
        <w:rPr>
          <w:rStyle w:val="eop"/>
          <w:rFonts w:asciiTheme="majorBidi" w:eastAsiaTheme="majorEastAsia" w:hAnsiTheme="majorBidi" w:cstheme="majorBidi"/>
          <w:b/>
          <w:bCs/>
          <w:sz w:val="22"/>
          <w:szCs w:val="22"/>
        </w:rPr>
        <w:t> </w:t>
      </w:r>
    </w:p>
    <w:p w14:paraId="10216DF7" w14:textId="77777777" w:rsidR="00756F0F" w:rsidRPr="00ED7E6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subsidies and other incentives harmful to biodiversity</w:t>
      </w:r>
      <w:r w:rsidRPr="00ED7E61">
        <w:rPr>
          <w:rStyle w:val="normaltextrun"/>
        </w:rPr>
        <w:t> </w:t>
      </w:r>
    </w:p>
    <w:p w14:paraId="1CFB86BE" w14:textId="77777777" w:rsidR="002C3771" w:rsidRPr="00ED7E61" w:rsidRDefault="002C3771" w:rsidP="00CE5D0F">
      <w:pPr>
        <w:pStyle w:val="CBDNormalNumber"/>
        <w:numPr>
          <w:ilvl w:val="0"/>
          <w:numId w:val="0"/>
        </w:numPr>
        <w:tabs>
          <w:tab w:val="clear" w:pos="567"/>
          <w:tab w:val="clear" w:pos="1134"/>
          <w:tab w:val="clear" w:pos="2268"/>
          <w:tab w:val="left" w:pos="1985"/>
        </w:tabs>
        <w:ind w:left="1134"/>
        <w:rPr>
          <w:rFonts w:asciiTheme="majorBidi" w:hAnsiTheme="majorBidi" w:cstheme="majorBidi"/>
        </w:rPr>
      </w:pPr>
      <w:r w:rsidRPr="00ED7E61">
        <w:rPr>
          <w:rStyle w:val="normaltextrun"/>
          <w:rFonts w:asciiTheme="majorBidi" w:eastAsiaTheme="majorEastAsia" w:hAnsiTheme="majorBidi" w:cstheme="majorBidi"/>
          <w:lang w:val="en-US"/>
        </w:rPr>
        <w:t>None</w:t>
      </w:r>
      <w:r w:rsidRPr="00ED7E61">
        <w:rPr>
          <w:rStyle w:val="normaltextrun"/>
          <w:rFonts w:asciiTheme="majorBidi" w:eastAsiaTheme="majorEastAsia" w:hAnsiTheme="majorBidi" w:cstheme="majorBidi"/>
        </w:rPr>
        <w:t>. Countries would need to report nationally</w:t>
      </w:r>
      <w:r w:rsidRPr="00ED7E61">
        <w:rPr>
          <w:rStyle w:val="normaltextrun"/>
          <w:rFonts w:asciiTheme="majorBidi" w:eastAsiaTheme="majorEastAsia" w:hAnsiTheme="majorBidi" w:cstheme="majorBidi"/>
          <w:i/>
          <w:iCs/>
        </w:rPr>
        <w:t> </w:t>
      </w:r>
      <w:r w:rsidRPr="00ED7E61">
        <w:rPr>
          <w:rStyle w:val="eop"/>
          <w:rFonts w:asciiTheme="majorBidi" w:eastAsiaTheme="majorEastAsia" w:hAnsiTheme="majorBidi" w:cstheme="majorBidi"/>
        </w:rPr>
        <w:t> </w:t>
      </w:r>
    </w:p>
    <w:p w14:paraId="09E8BD34" w14:textId="73BFEF7C" w:rsidR="00756F0F" w:rsidRPr="00ED7E6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agricultural subsidies and other incentives potentially harmful to biodiversity</w:t>
      </w:r>
      <w:r w:rsidRPr="00ED7E61">
        <w:rPr>
          <w:rStyle w:val="normaltextrun"/>
        </w:rPr>
        <w:t> </w:t>
      </w:r>
    </w:p>
    <w:p w14:paraId="6E7A0964" w14:textId="04B83291" w:rsidR="002C3771" w:rsidRPr="008365DA" w:rsidRDefault="002C3771" w:rsidP="00CE5D0F">
      <w:pPr>
        <w:pStyle w:val="CBDNormalNumber"/>
        <w:numPr>
          <w:ilvl w:val="0"/>
          <w:numId w:val="0"/>
        </w:numPr>
        <w:tabs>
          <w:tab w:val="clear" w:pos="567"/>
          <w:tab w:val="clear" w:pos="1134"/>
          <w:tab w:val="clear" w:pos="2268"/>
          <w:tab w:val="left" w:pos="1985"/>
        </w:tabs>
        <w:ind w:left="1134"/>
        <w:rPr>
          <w:rStyle w:val="normaltextrun"/>
          <w:rFonts w:eastAsiaTheme="majorEastAsia"/>
        </w:rPr>
      </w:pPr>
      <w:r w:rsidRPr="00ED7E61">
        <w:rPr>
          <w:rStyle w:val="normaltextrun"/>
          <w:rFonts w:asciiTheme="majorBidi" w:eastAsiaTheme="majorEastAsia" w:hAnsiTheme="majorBidi" w:cstheme="majorBidi"/>
          <w:lang w:val="en-US"/>
        </w:rPr>
        <w:t>OECD</w:t>
      </w:r>
      <w:r w:rsidRPr="00ED7E61">
        <w:rPr>
          <w:rStyle w:val="normaltextrun"/>
          <w:rFonts w:asciiTheme="majorBidi" w:eastAsiaTheme="majorEastAsia" w:hAnsiTheme="majorBidi" w:cstheme="majorBidi"/>
        </w:rPr>
        <w:t> </w:t>
      </w:r>
      <w:r w:rsidRPr="00ED7E61">
        <w:rPr>
          <w:rStyle w:val="normaltextrun"/>
        </w:rPr>
        <w:t> </w:t>
      </w:r>
    </w:p>
    <w:p w14:paraId="1A359672" w14:textId="05AD9000" w:rsidR="00756F0F" w:rsidRPr="00ED7E6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fossil fuel subsidies (production and consumption)</w:t>
      </w:r>
      <w:r w:rsidRPr="00ED7E61">
        <w:rPr>
          <w:rStyle w:val="normaltextrun"/>
        </w:rPr>
        <w:t> </w:t>
      </w:r>
    </w:p>
    <w:p w14:paraId="6122903A"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560"/>
        <w:rPr>
          <w:rStyle w:val="normaltextrun"/>
          <w:rFonts w:eastAsiaTheme="majorEastAsia"/>
          <w:lang w:val="en-US"/>
        </w:rPr>
      </w:pPr>
      <w:r w:rsidRPr="00ED7E61">
        <w:rPr>
          <w:rStyle w:val="normaltextrun"/>
          <w:rFonts w:asciiTheme="majorBidi" w:eastAsiaTheme="majorEastAsia" w:hAnsiTheme="majorBidi" w:cstheme="majorBidi"/>
          <w:lang w:val="en-US"/>
        </w:rPr>
        <w:t>UN Stats/UNEP</w:t>
      </w:r>
      <w:r w:rsidRPr="00ED7E61">
        <w:rPr>
          <w:rStyle w:val="normaltextrun"/>
          <w:lang w:val="en-US"/>
        </w:rPr>
        <w:t> </w:t>
      </w:r>
    </w:p>
    <w:p w14:paraId="0603F896"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560"/>
        <w:rPr>
          <w:rFonts w:asciiTheme="majorBidi" w:hAnsiTheme="majorBidi" w:cstheme="majorBidi"/>
        </w:rPr>
      </w:pPr>
      <w:r w:rsidRPr="00ED7E61">
        <w:rPr>
          <w:rStyle w:val="normaltextrun"/>
          <w:rFonts w:asciiTheme="majorBidi" w:eastAsiaTheme="majorEastAsia" w:hAnsiTheme="majorBidi" w:cstheme="majorBidi"/>
          <w:lang w:val="en-US"/>
        </w:rPr>
        <w:t>OECD/IISD’s</w:t>
      </w:r>
      <w:r w:rsidRPr="00ED7E61">
        <w:rPr>
          <w:rStyle w:val="normaltextrun"/>
          <w:rFonts w:asciiTheme="majorBidi" w:eastAsiaTheme="majorEastAsia" w:hAnsiTheme="majorBidi" w:cstheme="majorBidi"/>
        </w:rPr>
        <w:t xml:space="preserve"> Fossil Fuel Subsidy Tracker </w:t>
      </w:r>
      <w:hyperlink r:id="rId577" w:tgtFrame="_blank" w:history="1">
        <w:r w:rsidRPr="00ED7E61">
          <w:rPr>
            <w:rStyle w:val="normaltextrun"/>
            <w:rFonts w:asciiTheme="majorBidi" w:eastAsiaTheme="majorEastAsia" w:hAnsiTheme="majorBidi" w:cstheme="majorBidi"/>
            <w:color w:val="0000FF"/>
            <w:u w:val="single"/>
          </w:rPr>
          <w:t>Home - Fossil Fuel Subsidies (fossilfuelsubsidytracker.org)</w:t>
        </w:r>
      </w:hyperlink>
      <w:r w:rsidRPr="00ED7E61">
        <w:rPr>
          <w:rStyle w:val="eop"/>
          <w:rFonts w:asciiTheme="majorBidi" w:eastAsiaTheme="majorEastAsia" w:hAnsiTheme="majorBidi" w:cstheme="majorBidi"/>
        </w:rPr>
        <w:t> </w:t>
      </w:r>
    </w:p>
    <w:p w14:paraId="1952B61C" w14:textId="750BD5D4" w:rsidR="00756F0F" w:rsidRPr="002C377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subsidies to capture fisheries with a risk (moderate or high) of encouraging unsustainable fishing</w:t>
      </w:r>
      <w:r w:rsidRPr="00ED7E61">
        <w:rPr>
          <w:rStyle w:val="normaltextrun"/>
        </w:rPr>
        <w:t> </w:t>
      </w:r>
    </w:p>
    <w:p w14:paraId="16FB1388" w14:textId="77777777" w:rsidR="002C3771" w:rsidRPr="00ED7E61" w:rsidRDefault="002C3771" w:rsidP="00CE5D0F">
      <w:pPr>
        <w:pStyle w:val="CBDNormalNumber"/>
        <w:numPr>
          <w:ilvl w:val="0"/>
          <w:numId w:val="0"/>
        </w:numPr>
        <w:tabs>
          <w:tab w:val="clear" w:pos="567"/>
          <w:tab w:val="clear" w:pos="1134"/>
          <w:tab w:val="clear" w:pos="1701"/>
          <w:tab w:val="clear" w:pos="2268"/>
          <w:tab w:val="left" w:pos="1985"/>
        </w:tabs>
        <w:ind w:left="1560"/>
        <w:rPr>
          <w:rFonts w:asciiTheme="majorBidi" w:hAnsiTheme="majorBidi" w:cstheme="majorBidi"/>
        </w:rPr>
      </w:pPr>
      <w:r w:rsidRPr="00ED7E61">
        <w:rPr>
          <w:rStyle w:val="normaltextrun"/>
          <w:rFonts w:asciiTheme="majorBidi" w:eastAsiaTheme="majorEastAsia" w:hAnsiTheme="majorBidi" w:cstheme="majorBidi"/>
          <w:lang w:val="en-US"/>
        </w:rPr>
        <w:t>OECD</w:t>
      </w:r>
      <w:r w:rsidRPr="00ED7E61">
        <w:rPr>
          <w:rStyle w:val="normaltextrun"/>
          <w:rFonts w:asciiTheme="majorBidi" w:eastAsiaTheme="majorEastAsia" w:hAnsiTheme="majorBidi" w:cstheme="majorBidi"/>
        </w:rPr>
        <w:t> </w:t>
      </w:r>
      <w:r w:rsidRPr="00ED7E61">
        <w:rPr>
          <w:rStyle w:val="eop"/>
          <w:rFonts w:asciiTheme="majorBidi" w:eastAsiaTheme="majorEastAsia" w:hAnsiTheme="majorBidi" w:cstheme="majorBidi"/>
        </w:rPr>
        <w:t> </w:t>
      </w:r>
    </w:p>
    <w:p w14:paraId="327E1BF9"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5j. Gaps in data coverage</w:t>
      </w:r>
      <w:r w:rsidRPr="00ED7E61">
        <w:rPr>
          <w:rStyle w:val="eop"/>
          <w:rFonts w:asciiTheme="majorBidi" w:eastAsiaTheme="majorEastAsia" w:hAnsiTheme="majorBidi" w:cstheme="majorBidi"/>
          <w:b/>
          <w:bCs/>
          <w:sz w:val="22"/>
          <w:szCs w:val="22"/>
        </w:rPr>
        <w:t> </w:t>
      </w:r>
    </w:p>
    <w:p w14:paraId="2B03EA2A" w14:textId="77777777" w:rsidR="00756F0F" w:rsidRPr="00ED7E6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agricultural subsidies and other incentives potentially harmful to biodiversity</w:t>
      </w:r>
      <w:r w:rsidRPr="00ED7E61">
        <w:rPr>
          <w:rStyle w:val="normaltextrun"/>
        </w:rPr>
        <w:t> </w:t>
      </w:r>
    </w:p>
    <w:p w14:paraId="44772226" w14:textId="77777777" w:rsidR="002C3771" w:rsidRPr="00ED7E61" w:rsidRDefault="002C3771" w:rsidP="00CE5D0F">
      <w:pPr>
        <w:pStyle w:val="CBDNormalNumber"/>
        <w:numPr>
          <w:ilvl w:val="0"/>
          <w:numId w:val="0"/>
        </w:numPr>
        <w:tabs>
          <w:tab w:val="clear" w:pos="567"/>
          <w:tab w:val="clear" w:pos="1134"/>
          <w:tab w:val="clear" w:pos="1701"/>
          <w:tab w:val="clear" w:pos="2268"/>
          <w:tab w:val="left" w:pos="1985"/>
        </w:tabs>
        <w:ind w:left="1418"/>
        <w:rPr>
          <w:rStyle w:val="normaltextrun"/>
          <w:rFonts w:eastAsiaTheme="majorEastAsia"/>
          <w:lang w:val="en-US"/>
        </w:rPr>
      </w:pPr>
      <w:r w:rsidRPr="00ED7E61">
        <w:rPr>
          <w:rStyle w:val="normaltextrun"/>
          <w:rFonts w:asciiTheme="majorBidi" w:eastAsiaTheme="majorEastAsia" w:hAnsiTheme="majorBidi" w:cstheme="majorBidi"/>
          <w:lang w:val="en-US"/>
        </w:rPr>
        <w:t>The OECD collects data on government support to agriculture.  As of March 2024, 54 countries across six continents provide data accounting for three quarters of global agricultural value-added  </w:t>
      </w:r>
      <w:r w:rsidRPr="00ED7E61">
        <w:rPr>
          <w:rStyle w:val="normaltextrun"/>
          <w:lang w:val="en-US"/>
        </w:rPr>
        <w:t> </w:t>
      </w:r>
    </w:p>
    <w:p w14:paraId="0324D7A3" w14:textId="7C7FCC9A" w:rsidR="00756F0F" w:rsidRPr="00ED7E6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fossil fuel subsidies (production and consumption)</w:t>
      </w:r>
      <w:r w:rsidRPr="00ED7E61">
        <w:rPr>
          <w:rStyle w:val="normaltextrun"/>
        </w:rPr>
        <w:t> </w:t>
      </w:r>
    </w:p>
    <w:p w14:paraId="2BCE1D6C" w14:textId="7F2EC691" w:rsidR="002C3771" w:rsidRPr="00ED7E61" w:rsidRDefault="002C3771" w:rsidP="00CE5D0F">
      <w:pPr>
        <w:pStyle w:val="CBDNormalNumber"/>
        <w:numPr>
          <w:ilvl w:val="0"/>
          <w:numId w:val="0"/>
        </w:numPr>
        <w:tabs>
          <w:tab w:val="clear" w:pos="567"/>
          <w:tab w:val="clear" w:pos="1134"/>
          <w:tab w:val="clear" w:pos="1701"/>
          <w:tab w:val="clear" w:pos="2268"/>
          <w:tab w:val="left" w:pos="1985"/>
        </w:tabs>
        <w:ind w:left="1560"/>
        <w:rPr>
          <w:rStyle w:val="normaltextrun"/>
          <w:rFonts w:eastAsiaTheme="majorEastAsia"/>
          <w:lang w:val="en-US"/>
        </w:rPr>
      </w:pPr>
      <w:r w:rsidRPr="00ED7E61">
        <w:rPr>
          <w:rStyle w:val="normaltextrun"/>
          <w:rFonts w:asciiTheme="majorBidi" w:eastAsiaTheme="majorEastAsia" w:hAnsiTheme="majorBidi" w:cstheme="majorBidi"/>
          <w:lang w:val="en-US"/>
        </w:rPr>
        <w:t>The data for the SD</w:t>
      </w:r>
      <w:r>
        <w:rPr>
          <w:rStyle w:val="normaltextrun"/>
          <w:rFonts w:asciiTheme="majorBidi" w:eastAsiaTheme="majorEastAsia" w:hAnsiTheme="majorBidi" w:cstheme="majorBidi"/>
          <w:lang w:val="en-US"/>
        </w:rPr>
        <w:t xml:space="preserve">G indicator </w:t>
      </w:r>
      <w:r w:rsidRPr="00ED7E61">
        <w:rPr>
          <w:rStyle w:val="normaltextrun"/>
          <w:rFonts w:asciiTheme="majorBidi" w:eastAsiaTheme="majorEastAsia" w:hAnsiTheme="majorBidi" w:cstheme="majorBidi"/>
          <w:lang w:val="en-US"/>
        </w:rPr>
        <w:t>12c is available for all or most countries. For most non-OECD countries, these data refer to induced transfers only, estimated by the IEA and the IMF.  </w:t>
      </w:r>
      <w:r w:rsidRPr="00ED7E61">
        <w:rPr>
          <w:rStyle w:val="normaltextrun"/>
          <w:lang w:val="en-US"/>
        </w:rPr>
        <w:t> </w:t>
      </w:r>
    </w:p>
    <w:p w14:paraId="0C767937" w14:textId="42E20C05" w:rsidR="00756F0F" w:rsidRPr="002C377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Value of subsidies to capture fisheries with a risk (moderate or high) of encouraging unsustainable fishing</w:t>
      </w:r>
      <w:r w:rsidRPr="00ED7E61">
        <w:rPr>
          <w:rStyle w:val="normaltextrun"/>
        </w:rPr>
        <w:t> </w:t>
      </w:r>
    </w:p>
    <w:p w14:paraId="227DE9B8" w14:textId="77777777" w:rsidR="002C3771" w:rsidRPr="00ED7E61" w:rsidRDefault="002C3771" w:rsidP="00CE5D0F">
      <w:pPr>
        <w:pStyle w:val="CBDNormalNumber"/>
        <w:numPr>
          <w:ilvl w:val="0"/>
          <w:numId w:val="0"/>
        </w:numPr>
        <w:tabs>
          <w:tab w:val="clear" w:pos="567"/>
          <w:tab w:val="clear" w:pos="1134"/>
          <w:tab w:val="clear" w:pos="1701"/>
          <w:tab w:val="clear" w:pos="2268"/>
          <w:tab w:val="left" w:pos="1985"/>
        </w:tabs>
        <w:ind w:left="1418"/>
        <w:rPr>
          <w:rStyle w:val="normaltextrun"/>
          <w:rFonts w:eastAsiaTheme="majorEastAsia"/>
          <w:lang w:val="en-US"/>
        </w:rPr>
      </w:pPr>
      <w:r w:rsidRPr="00ED7E61">
        <w:rPr>
          <w:rStyle w:val="normaltextrun"/>
          <w:rFonts w:asciiTheme="majorBidi" w:eastAsiaTheme="majorEastAsia" w:hAnsiTheme="majorBidi" w:cstheme="majorBidi"/>
          <w:lang w:val="en-US"/>
        </w:rPr>
        <w:t>Data covers 30 OECD countries and 10 other major fishing nations, which, together, accounted for 90% of world landings by volume over 2018-2020 </w:t>
      </w:r>
      <w:r w:rsidRPr="00ED7E61">
        <w:rPr>
          <w:rStyle w:val="normaltextrun"/>
          <w:lang w:val="en-US"/>
        </w:rPr>
        <w:t> </w:t>
      </w:r>
    </w:p>
    <w:p w14:paraId="1352F9C4"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5k. Treatment of missing values</w:t>
      </w:r>
      <w:r w:rsidRPr="00ED7E61">
        <w:rPr>
          <w:rStyle w:val="eop"/>
          <w:rFonts w:asciiTheme="majorBidi" w:eastAsiaTheme="majorEastAsia" w:hAnsiTheme="majorBidi" w:cstheme="majorBidi"/>
          <w:b/>
          <w:bCs/>
          <w:sz w:val="22"/>
          <w:szCs w:val="22"/>
        </w:rPr>
        <w:t> </w:t>
      </w:r>
    </w:p>
    <w:p w14:paraId="71449E9B"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000000"/>
          <w:sz w:val="22"/>
          <w:szCs w:val="22"/>
          <w:lang w:val="en-GB"/>
        </w:rPr>
        <w:t>N/A</w:t>
      </w:r>
      <w:r w:rsidRPr="00ED7E61">
        <w:rPr>
          <w:rStyle w:val="eop"/>
          <w:rFonts w:asciiTheme="majorBidi" w:eastAsiaTheme="majorEastAsia" w:hAnsiTheme="majorBidi" w:cstheme="majorBidi"/>
          <w:color w:val="000000"/>
          <w:sz w:val="22"/>
          <w:szCs w:val="22"/>
        </w:rPr>
        <w:t> </w:t>
      </w:r>
    </w:p>
    <w:p w14:paraId="7085884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 Scale </w:t>
      </w:r>
      <w:r w:rsidRPr="00ED7E61">
        <w:rPr>
          <w:rStyle w:val="eop"/>
          <w:rFonts w:asciiTheme="majorBidi" w:eastAsiaTheme="majorEastAsia" w:hAnsiTheme="majorBidi" w:cstheme="majorBidi"/>
          <w:b/>
          <w:bCs/>
          <w:sz w:val="22"/>
          <w:szCs w:val="22"/>
        </w:rPr>
        <w:t> </w:t>
      </w:r>
    </w:p>
    <w:p w14:paraId="4DCB1D09" w14:textId="77777777" w:rsidR="00756F0F" w:rsidRPr="00ED7E61" w:rsidRDefault="00756F0F" w:rsidP="00CE5D0F">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6a. Scale of use </w:t>
      </w:r>
      <w:r w:rsidRPr="00ED7E61">
        <w:rPr>
          <w:rStyle w:val="eop"/>
          <w:rFonts w:asciiTheme="majorBidi" w:eastAsiaTheme="majorEastAsia" w:hAnsiTheme="majorBidi" w:cstheme="majorBidi"/>
          <w:b/>
          <w:bCs/>
          <w:sz w:val="22"/>
          <w:szCs w:val="22"/>
        </w:rPr>
        <w:t> </w:t>
      </w:r>
    </w:p>
    <w:p w14:paraId="0425B020" w14:textId="77777777" w:rsidR="00756F0F" w:rsidRPr="00ED7E61" w:rsidRDefault="00756F0F" w:rsidP="00CE5D0F">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Scale of application (please check all relevant boxes):</w:t>
      </w:r>
      <w:r w:rsidRPr="00ED7E61">
        <w:rPr>
          <w:rStyle w:val="normaltextrun"/>
          <w:rFonts w:asciiTheme="majorBidi" w:eastAsiaTheme="majorEastAsia" w:hAnsiTheme="majorBidi" w:cstheme="majorBidi"/>
          <w:i/>
          <w:iCs/>
          <w:sz w:val="22"/>
          <w:szCs w:val="22"/>
          <w:lang w:val="en-GB"/>
        </w:rPr>
        <w:t> </w:t>
      </w:r>
      <w:r w:rsidRPr="00ED7E61">
        <w:rPr>
          <w:rStyle w:val="eop"/>
          <w:rFonts w:asciiTheme="majorBidi" w:eastAsiaTheme="majorEastAsia" w:hAnsiTheme="majorBidi" w:cstheme="majorBidi"/>
          <w:sz w:val="22"/>
          <w:szCs w:val="22"/>
        </w:rPr>
        <w:t> </w:t>
      </w:r>
    </w:p>
    <w:p w14:paraId="34E26489" w14:textId="77777777" w:rsidR="00756F0F" w:rsidRPr="00ED7E61" w:rsidRDefault="00756F0F" w:rsidP="00CE5D0F">
      <w:pPr>
        <w:pStyle w:val="paragraph"/>
        <w:spacing w:before="0" w:beforeAutospacing="0" w:after="0" w:afterAutospacing="0"/>
        <w:ind w:left="567"/>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Global: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 xml:space="preserve">Regional: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tabchar"/>
          <w:rFonts w:asciiTheme="majorBidi" w:hAnsiTheme="majorBidi" w:cstheme="majorBidi"/>
          <w:sz w:val="22"/>
          <w:szCs w:val="22"/>
        </w:rPr>
        <w:tab/>
      </w:r>
      <w:r w:rsidRPr="00ED7E61">
        <w:rPr>
          <w:rStyle w:val="normaltextrun"/>
          <w:rFonts w:asciiTheme="majorBidi" w:eastAsiaTheme="majorEastAsia" w:hAnsiTheme="majorBidi" w:cstheme="majorBidi"/>
          <w:sz w:val="22"/>
          <w:szCs w:val="22"/>
          <w:lang w:val="en-GB"/>
        </w:rPr>
        <w:t>National</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6C37BC5A" w14:textId="77777777" w:rsidR="00756F0F" w:rsidRPr="002C377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Scale of data disaggregation/aggregation: </w:t>
      </w:r>
      <w:r w:rsidRPr="00ED7E61">
        <w:rPr>
          <w:rStyle w:val="normaltextrun"/>
        </w:rPr>
        <w:t> </w:t>
      </w:r>
    </w:p>
    <w:p w14:paraId="377441E4"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134" w:hanging="567"/>
        <w:rPr>
          <w:rStyle w:val="normaltextrun"/>
          <w:rFonts w:eastAsiaTheme="majorEastAsia"/>
          <w:lang w:val="en-US"/>
        </w:rPr>
      </w:pPr>
      <w:r w:rsidRPr="00ED7E61">
        <w:rPr>
          <w:rStyle w:val="normaltextrun"/>
          <w:rFonts w:asciiTheme="majorBidi" w:eastAsiaTheme="majorEastAsia" w:hAnsiTheme="majorBidi" w:cstheme="majorBidi"/>
          <w:lang w:val="en-US"/>
        </w:rPr>
        <w:t xml:space="preserve">Global/ regional scale indicator can be disaggregated to national level: </w:t>
      </w:r>
      <w:r w:rsidRPr="00ED7E61">
        <w:rPr>
          <w:rStyle w:val="normaltextrun"/>
          <w:rFonts w:eastAsiaTheme="majorEastAsia"/>
          <w:lang w:val="en-US"/>
        </w:rPr>
        <w:t>​</w:t>
      </w:r>
      <w:r w:rsidRPr="00ED7E61">
        <w:rPr>
          <w:rStyle w:val="normaltextrun"/>
          <w:rFonts w:ascii="Segoe UI Symbol" w:eastAsiaTheme="majorEastAsia" w:hAnsi="Segoe UI Symbol" w:cs="Segoe UI Symbol"/>
          <w:lang w:val="en-US"/>
        </w:rPr>
        <w:t>☐</w:t>
      </w:r>
      <w:r w:rsidRPr="00ED7E61">
        <w:rPr>
          <w:rStyle w:val="normaltextrun"/>
          <w:rFonts w:eastAsiaTheme="majorEastAsia"/>
          <w:lang w:val="en-US"/>
        </w:rPr>
        <w:t>​</w:t>
      </w:r>
      <w:r w:rsidRPr="00ED7E61">
        <w:rPr>
          <w:rStyle w:val="normaltextrun"/>
          <w:lang w:val="en-US"/>
        </w:rPr>
        <w:t> </w:t>
      </w:r>
    </w:p>
    <w:p w14:paraId="0210905D" w14:textId="77777777" w:rsidR="002C3771" w:rsidRPr="00ED7E61" w:rsidRDefault="002C3771" w:rsidP="00B10F0C">
      <w:pPr>
        <w:pStyle w:val="CBDNormalNumber"/>
        <w:numPr>
          <w:ilvl w:val="1"/>
          <w:numId w:val="94"/>
        </w:numPr>
        <w:tabs>
          <w:tab w:val="clear" w:pos="567"/>
          <w:tab w:val="clear" w:pos="1134"/>
          <w:tab w:val="clear" w:pos="1701"/>
          <w:tab w:val="clear" w:pos="2268"/>
          <w:tab w:val="left" w:pos="1985"/>
        </w:tabs>
        <w:ind w:left="1134" w:hanging="567"/>
        <w:rPr>
          <w:rStyle w:val="normaltextrun"/>
          <w:rFonts w:eastAsiaTheme="majorEastAsia"/>
          <w:lang w:val="en-US"/>
        </w:rPr>
      </w:pPr>
      <w:r w:rsidRPr="00ED7E61">
        <w:rPr>
          <w:rStyle w:val="normaltextrun"/>
          <w:rFonts w:asciiTheme="majorBidi" w:eastAsiaTheme="majorEastAsia" w:hAnsiTheme="majorBidi" w:cstheme="majorBidi"/>
          <w:lang w:val="en-US"/>
        </w:rPr>
        <w:t xml:space="preserve">National data is collated to form global indicator: </w:t>
      </w:r>
      <w:r w:rsidRPr="00ED7E61">
        <w:rPr>
          <w:rStyle w:val="normaltextrun"/>
          <w:rFonts w:eastAsiaTheme="majorEastAsia"/>
          <w:lang w:val="en-US"/>
        </w:rPr>
        <w:t>​</w:t>
      </w:r>
      <w:r w:rsidRPr="00ED7E61">
        <w:rPr>
          <w:rStyle w:val="normaltextrun"/>
          <w:rFonts w:ascii="Segoe UI Symbol" w:eastAsiaTheme="majorEastAsia" w:hAnsi="Segoe UI Symbol" w:cs="Segoe UI Symbol"/>
          <w:lang w:val="en-US"/>
        </w:rPr>
        <w:t>☐</w:t>
      </w:r>
      <w:r w:rsidRPr="00ED7E61">
        <w:rPr>
          <w:rStyle w:val="normaltextrun"/>
          <w:rFonts w:eastAsiaTheme="majorEastAsia"/>
          <w:lang w:val="en-US"/>
        </w:rPr>
        <w:t>​</w:t>
      </w:r>
      <w:r w:rsidRPr="00ED7E61">
        <w:rPr>
          <w:rStyle w:val="normaltextrun"/>
          <w:lang w:val="en-US"/>
        </w:rPr>
        <w:t> </w:t>
      </w:r>
    </w:p>
    <w:p w14:paraId="30C7B279" w14:textId="77777777" w:rsidR="002C3771" w:rsidRPr="00ED7E61" w:rsidRDefault="002C3771" w:rsidP="002C3771">
      <w:pPr>
        <w:pStyle w:val="CBDNormalNumber"/>
        <w:shd w:val="clear" w:color="auto" w:fill="FFFFFF"/>
        <w:rPr>
          <w:rStyle w:val="normaltextrun"/>
          <w:rFonts w:eastAsiaTheme="majorEastAsia"/>
        </w:rPr>
      </w:pPr>
    </w:p>
    <w:p w14:paraId="218DD9E6"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6b. National/regional indicator production </w:t>
      </w:r>
      <w:r w:rsidRPr="00ED7E61">
        <w:rPr>
          <w:rStyle w:val="eop"/>
          <w:rFonts w:asciiTheme="majorBidi" w:eastAsiaTheme="majorEastAsia" w:hAnsiTheme="majorBidi" w:cstheme="majorBidi"/>
          <w:b/>
          <w:bCs/>
          <w:sz w:val="22"/>
          <w:szCs w:val="22"/>
        </w:rPr>
        <w:t> </w:t>
      </w:r>
    </w:p>
    <w:p w14:paraId="59ED0E44" w14:textId="77777777" w:rsidR="00756F0F" w:rsidRPr="00ED7E61" w:rsidRDefault="00756F0F" w:rsidP="00CE5D0F">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N/A</w:t>
      </w:r>
      <w:r w:rsidRPr="00ED7E61">
        <w:rPr>
          <w:rStyle w:val="normaltextrun"/>
        </w:rPr>
        <w:t> </w:t>
      </w:r>
    </w:p>
    <w:p w14:paraId="76492C01"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6c. Sources of differences between global and national figures</w:t>
      </w:r>
      <w:r w:rsidRPr="00ED7E61">
        <w:rPr>
          <w:rStyle w:val="eop"/>
          <w:rFonts w:asciiTheme="majorBidi" w:eastAsiaTheme="majorEastAsia" w:hAnsiTheme="majorBidi" w:cstheme="majorBidi"/>
          <w:b/>
          <w:bCs/>
          <w:sz w:val="22"/>
          <w:szCs w:val="22"/>
        </w:rPr>
        <w:t> </w:t>
      </w:r>
    </w:p>
    <w:p w14:paraId="702A1261" w14:textId="77777777" w:rsidR="00756F0F" w:rsidRPr="00ED7E61" w:rsidRDefault="00756F0F" w:rsidP="00CE5D0F">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N/A</w:t>
      </w:r>
      <w:r w:rsidRPr="00ED7E61">
        <w:rPr>
          <w:rStyle w:val="normaltextrun"/>
        </w:rPr>
        <w:t> </w:t>
      </w:r>
    </w:p>
    <w:p w14:paraId="1910025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6d. Regional and global estimates &amp; data collection for global monitoring</w:t>
      </w:r>
      <w:r w:rsidRPr="00ED7E61">
        <w:rPr>
          <w:rStyle w:val="eop"/>
          <w:rFonts w:asciiTheme="majorBidi" w:eastAsiaTheme="majorEastAsia" w:hAnsiTheme="majorBidi" w:cstheme="majorBidi"/>
          <w:b/>
          <w:bCs/>
          <w:sz w:val="22"/>
          <w:szCs w:val="22"/>
        </w:rPr>
        <w:t> </w:t>
      </w:r>
    </w:p>
    <w:p w14:paraId="16374549"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6d.1 Description of the methodology</w:t>
      </w:r>
      <w:r w:rsidRPr="00ED7E61">
        <w:rPr>
          <w:rStyle w:val="eop"/>
          <w:rFonts w:asciiTheme="majorBidi" w:eastAsiaTheme="majorEastAsia" w:hAnsiTheme="majorBidi" w:cstheme="majorBidi"/>
          <w:sz w:val="22"/>
          <w:szCs w:val="22"/>
        </w:rPr>
        <w:t> </w:t>
      </w:r>
    </w:p>
    <w:p w14:paraId="6169CE65" w14:textId="77777777" w:rsidR="00756F0F" w:rsidRPr="00ED7E61" w:rsidRDefault="00756F0F" w:rsidP="00CE5D0F">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N/A</w:t>
      </w:r>
      <w:r w:rsidRPr="00ED7E61">
        <w:rPr>
          <w:rStyle w:val="normaltextrun"/>
        </w:rPr>
        <w:t> </w:t>
      </w:r>
    </w:p>
    <w:p w14:paraId="331FE07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6d.2 Additional methodological details</w:t>
      </w:r>
      <w:r w:rsidRPr="00ED7E61">
        <w:rPr>
          <w:rStyle w:val="eop"/>
          <w:rFonts w:asciiTheme="majorBidi" w:eastAsiaTheme="majorEastAsia" w:hAnsiTheme="majorBidi" w:cstheme="majorBidi"/>
          <w:sz w:val="22"/>
          <w:szCs w:val="22"/>
        </w:rPr>
        <w:t> </w:t>
      </w:r>
    </w:p>
    <w:p w14:paraId="68F32505" w14:textId="77777777" w:rsidR="00756F0F" w:rsidRPr="00ED7E61" w:rsidRDefault="00756F0F" w:rsidP="00CE5D0F">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N/A</w:t>
      </w:r>
      <w:r w:rsidRPr="00ED7E61">
        <w:rPr>
          <w:rStyle w:val="normaltextrun"/>
        </w:rPr>
        <w:t> </w:t>
      </w:r>
    </w:p>
    <w:p w14:paraId="52E0315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sz w:val="22"/>
          <w:szCs w:val="22"/>
          <w:lang w:val="en-GB"/>
        </w:rPr>
        <w:t>6d.3 Description of the mechanism for collecting data from countries</w:t>
      </w:r>
      <w:r w:rsidRPr="00ED7E61">
        <w:rPr>
          <w:rStyle w:val="eop"/>
          <w:rFonts w:asciiTheme="majorBidi" w:eastAsiaTheme="majorEastAsia" w:hAnsiTheme="majorBidi" w:cstheme="majorBidi"/>
          <w:sz w:val="22"/>
          <w:szCs w:val="22"/>
        </w:rPr>
        <w:t> </w:t>
      </w:r>
    </w:p>
    <w:p w14:paraId="7DD0DDF8" w14:textId="77777777" w:rsidR="00756F0F" w:rsidRPr="00ED7E61" w:rsidRDefault="00756F0F" w:rsidP="00CE5D0F">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N/A</w:t>
      </w:r>
      <w:r w:rsidRPr="00ED7E61">
        <w:rPr>
          <w:rStyle w:val="normaltextrun"/>
        </w:rPr>
        <w:t> </w:t>
      </w:r>
    </w:p>
    <w:p w14:paraId="50E0625D"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 Other MEAs, processes and organisations</w:t>
      </w:r>
      <w:r w:rsidRPr="00ED7E61">
        <w:rPr>
          <w:rStyle w:val="eop"/>
          <w:rFonts w:asciiTheme="majorBidi" w:eastAsiaTheme="majorEastAsia" w:hAnsiTheme="majorBidi" w:cstheme="majorBidi"/>
          <w:b/>
          <w:bCs/>
          <w:sz w:val="22"/>
          <w:szCs w:val="22"/>
        </w:rPr>
        <w:t> </w:t>
      </w:r>
    </w:p>
    <w:p w14:paraId="4B2A5995" w14:textId="77777777" w:rsidR="00756F0F" w:rsidRPr="00ED7E61" w:rsidRDefault="00756F0F" w:rsidP="00CE5D0F">
      <w:pPr>
        <w:pStyle w:val="paragraph"/>
        <w:pBdr>
          <w:bottom w:val="single" w:sz="4" w:space="1" w:color="000000"/>
        </w:pBdr>
        <w:spacing w:before="0" w:beforeAutospacing="0" w:after="12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7a. Other MEA and processes</w:t>
      </w:r>
      <w:r w:rsidRPr="00ED7E61">
        <w:rPr>
          <w:rStyle w:val="eop"/>
          <w:rFonts w:asciiTheme="majorBidi" w:eastAsiaTheme="majorEastAsia" w:hAnsiTheme="majorBidi" w:cstheme="majorBidi"/>
          <w:b/>
          <w:bCs/>
          <w:sz w:val="22"/>
          <w:szCs w:val="22"/>
        </w:rPr>
        <w:t> </w:t>
      </w:r>
    </w:p>
    <w:p w14:paraId="32BB9421"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color w:val="000000"/>
          <w:sz w:val="22"/>
          <w:szCs w:val="22"/>
          <w:lang w:val="en-GB"/>
        </w:rPr>
        <w:t>Sustainable Development Goal (SDG) 12.C for the fossil fuel data</w:t>
      </w:r>
      <w:r w:rsidRPr="00ED7E61">
        <w:rPr>
          <w:rStyle w:val="eop"/>
          <w:rFonts w:asciiTheme="majorBidi" w:eastAsiaTheme="majorEastAsia" w:hAnsiTheme="majorBidi" w:cstheme="majorBidi"/>
          <w:color w:val="000000"/>
          <w:sz w:val="22"/>
          <w:szCs w:val="22"/>
        </w:rPr>
        <w:t> </w:t>
      </w:r>
    </w:p>
    <w:p w14:paraId="612E7826" w14:textId="77777777" w:rsidR="00756F0F" w:rsidRPr="00ED7E61" w:rsidRDefault="00756F0F" w:rsidP="00CE5D0F">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7b. Biodiversity Indicator Partnership</w:t>
      </w:r>
      <w:r w:rsidRPr="00ED7E61">
        <w:rPr>
          <w:rStyle w:val="eop"/>
          <w:rFonts w:asciiTheme="majorBidi" w:eastAsiaTheme="majorEastAsia" w:hAnsiTheme="majorBidi" w:cstheme="majorBidi"/>
          <w:b/>
          <w:bCs/>
          <w:sz w:val="22"/>
          <w:szCs w:val="22"/>
        </w:rPr>
        <w:t> </w:t>
      </w:r>
    </w:p>
    <w:p w14:paraId="4EC4328E"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sz w:val="22"/>
          <w:szCs w:val="22"/>
          <w:lang w:val="en-GB"/>
        </w:rPr>
        <w:t xml:space="preserve">Yes: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normaltextrun"/>
          <w:rFonts w:asciiTheme="majorBidi" w:eastAsiaTheme="majorEastAsia" w:hAnsiTheme="majorBidi" w:cstheme="majorBidi"/>
          <w:sz w:val="22"/>
          <w:szCs w:val="22"/>
          <w:lang w:val="en-GB"/>
        </w:rPr>
        <w:t xml:space="preserve"> No: </w:t>
      </w:r>
      <w:r w:rsidRPr="00ED7E61">
        <w:rPr>
          <w:rStyle w:val="contentcontrolboundarysink"/>
          <w:rFonts w:asciiTheme="majorBidi" w:hAnsiTheme="majorBidi" w:cstheme="majorBidi"/>
          <w:sz w:val="22"/>
          <w:szCs w:val="22"/>
          <w:lang w:val="en-GB"/>
        </w:rPr>
        <w:t>​</w:t>
      </w:r>
      <w:r w:rsidRPr="00ED7E61">
        <w:rPr>
          <w:rStyle w:val="normaltextrun"/>
          <w:rFonts w:ascii="Segoe UI Symbol" w:eastAsiaTheme="majorEastAsia" w:hAnsi="Segoe UI Symbol" w:cs="Segoe UI Symbol"/>
          <w:sz w:val="22"/>
          <w:szCs w:val="22"/>
          <w:lang w:val="en-GB"/>
        </w:rPr>
        <w:t>☒</w:t>
      </w:r>
      <w:r w:rsidRPr="00ED7E61">
        <w:rPr>
          <w:rStyle w:val="contentcontrolboundarysink"/>
          <w:rFonts w:asciiTheme="majorBidi" w:hAnsiTheme="majorBidi" w:cstheme="majorBidi"/>
          <w:sz w:val="22"/>
          <w:szCs w:val="22"/>
          <w:lang w:val="en-GB"/>
        </w:rPr>
        <w:t>​</w:t>
      </w:r>
      <w:r w:rsidRPr="00ED7E61">
        <w:rPr>
          <w:rStyle w:val="eop"/>
          <w:rFonts w:asciiTheme="majorBidi" w:eastAsiaTheme="majorEastAsia" w:hAnsiTheme="majorBidi" w:cstheme="majorBidi"/>
          <w:sz w:val="22"/>
          <w:szCs w:val="22"/>
        </w:rPr>
        <w:t> </w:t>
      </w:r>
    </w:p>
    <w:p w14:paraId="57D448E0" w14:textId="0E278C96" w:rsidR="00756F0F" w:rsidRPr="00ED7E61" w:rsidRDefault="00756F0F" w:rsidP="00CE5D0F">
      <w:pPr>
        <w:pStyle w:val="paragraph"/>
        <w:pBdr>
          <w:bottom w:val="single" w:sz="4" w:space="1" w:color="000000"/>
        </w:pBdr>
        <w:spacing w:before="12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 xml:space="preserve">8. </w:t>
      </w:r>
      <w:r w:rsidR="007D3CD8" w:rsidRPr="00ED7E61">
        <w:rPr>
          <w:rStyle w:val="normaltextrun"/>
          <w:rFonts w:asciiTheme="majorBidi" w:eastAsiaTheme="majorEastAsia" w:hAnsiTheme="majorBidi" w:cstheme="majorBidi"/>
          <w:b/>
          <w:bCs/>
          <w:sz w:val="22"/>
          <w:szCs w:val="22"/>
          <w:lang w:val="en-GB"/>
        </w:rPr>
        <w:t xml:space="preserve">Possible </w:t>
      </w:r>
      <w:r w:rsidRPr="00ED7E61">
        <w:rPr>
          <w:rStyle w:val="normaltextrun"/>
          <w:rFonts w:asciiTheme="majorBidi" w:eastAsiaTheme="majorEastAsia" w:hAnsiTheme="majorBidi" w:cstheme="majorBidi"/>
          <w:b/>
          <w:bCs/>
          <w:sz w:val="22"/>
          <w:szCs w:val="22"/>
          <w:lang w:val="en-GB"/>
        </w:rPr>
        <w:t>Disaggregation</w:t>
      </w:r>
      <w:r w:rsidR="007D3CD8" w:rsidRPr="00ED7E61">
        <w:rPr>
          <w:rStyle w:val="normaltextrun"/>
          <w:rFonts w:asciiTheme="majorBidi" w:eastAsiaTheme="majorEastAsia" w:hAnsiTheme="majorBidi" w:cstheme="majorBidi"/>
          <w:b/>
          <w:bCs/>
          <w:sz w:val="22"/>
          <w:szCs w:val="22"/>
          <w:lang w:val="en-GB"/>
        </w:rPr>
        <w:t>s</w:t>
      </w:r>
      <w:r w:rsidRPr="00ED7E61">
        <w:rPr>
          <w:rStyle w:val="eop"/>
          <w:rFonts w:asciiTheme="majorBidi" w:eastAsiaTheme="majorEastAsia" w:hAnsiTheme="majorBidi" w:cstheme="majorBidi"/>
          <w:b/>
          <w:bCs/>
          <w:sz w:val="22"/>
          <w:szCs w:val="22"/>
        </w:rPr>
        <w:t> </w:t>
      </w:r>
    </w:p>
    <w:p w14:paraId="05FCAAAC"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i/>
          <w:iCs/>
          <w:color w:val="000000"/>
          <w:sz w:val="22"/>
          <w:szCs w:val="22"/>
          <w:lang w:val="en-GB"/>
        </w:rPr>
        <w:t>N/A</w:t>
      </w:r>
      <w:r w:rsidRPr="00ED7E61">
        <w:rPr>
          <w:rStyle w:val="eop"/>
          <w:rFonts w:asciiTheme="majorBidi" w:eastAsiaTheme="majorEastAsia" w:hAnsiTheme="majorBidi" w:cstheme="majorBidi"/>
          <w:color w:val="000000"/>
          <w:sz w:val="22"/>
          <w:szCs w:val="22"/>
        </w:rPr>
        <w:t> </w:t>
      </w:r>
    </w:p>
    <w:p w14:paraId="492C2E2C"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9. Related goals, targets and indicators</w:t>
      </w:r>
      <w:r w:rsidRPr="00ED7E61">
        <w:rPr>
          <w:rStyle w:val="eop"/>
          <w:rFonts w:asciiTheme="majorBidi" w:eastAsiaTheme="majorEastAsia" w:hAnsiTheme="majorBidi" w:cstheme="majorBidi"/>
          <w:b/>
          <w:bCs/>
          <w:sz w:val="22"/>
          <w:szCs w:val="22"/>
        </w:rPr>
        <w:t> </w:t>
      </w:r>
    </w:p>
    <w:p w14:paraId="3EF435D6" w14:textId="77777777" w:rsidR="00756F0F" w:rsidRPr="00ED7E6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Goal D: Adequate means of implementation, including financial resources, capacity-building, technical and scientific cooperation, and access to and transfer of technology to fully implement the Kunming-Montreal Global Biodiversity Framework are secured and equitably accessible to all Parties, especially developing country Parties, in particular the least developed countries and small island developing States, as well as countries with economies in transition, progressively closing the biodiversity finance gap of $700 billion per year, and aligning financial flows with the Kunming-Montreal Global Biodiversity Framework and the 2050 Vision for biodiversity.</w:t>
      </w:r>
      <w:r w:rsidRPr="00ED7E61">
        <w:rPr>
          <w:rStyle w:val="normaltextrun"/>
        </w:rPr>
        <w:t> </w:t>
      </w:r>
    </w:p>
    <w:p w14:paraId="39C22324" w14:textId="77777777" w:rsidR="00756F0F" w:rsidRPr="00ED7E61" w:rsidRDefault="00756F0F" w:rsidP="00B10F0C">
      <w:pPr>
        <w:pStyle w:val="CBDNormalNumber"/>
        <w:numPr>
          <w:ilvl w:val="0"/>
          <w:numId w:val="94"/>
        </w:numPr>
        <w:shd w:val="clear" w:color="auto" w:fill="FFFFFF"/>
        <w:ind w:left="567" w:firstLine="0"/>
        <w:rPr>
          <w:rStyle w:val="normaltextrun"/>
          <w:rFonts w:eastAsiaTheme="majorEastAsia"/>
        </w:rPr>
      </w:pPr>
      <w:r w:rsidRPr="00ED7E61">
        <w:rPr>
          <w:rStyle w:val="normaltextrun"/>
          <w:rFonts w:asciiTheme="majorBidi" w:eastAsiaTheme="majorEastAsia" w:hAnsiTheme="majorBidi" w:cstheme="majorBidi"/>
        </w:rPr>
        <w:t>Target 14: Ensure the full integration of biodiversity and its multiple values into policies, regulations, planning and development processes, poverty eradication strategies, strategic environmental assessments, environmental impact assessments and, as appropriate, national accounting, within and across all levels of government and across all sectors, in particular those with significant impacts on biodiversity, progressively aligning all relevant public and private activities, and fiscal and financial flows with the goals and targets of this framework.</w:t>
      </w:r>
      <w:r w:rsidRPr="00ED7E61">
        <w:rPr>
          <w:rStyle w:val="normaltextrun"/>
        </w:rPr>
        <w:t> </w:t>
      </w:r>
    </w:p>
    <w:p w14:paraId="67CAF218" w14:textId="77777777" w:rsidR="00756F0F" w:rsidRPr="00ED7E61" w:rsidRDefault="00756F0F" w:rsidP="00395866">
      <w:pPr>
        <w:pStyle w:val="paragraph"/>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 Data reporter</w:t>
      </w:r>
      <w:r w:rsidRPr="00ED7E61">
        <w:rPr>
          <w:rStyle w:val="eop"/>
          <w:rFonts w:asciiTheme="majorBidi" w:eastAsiaTheme="majorEastAsia" w:hAnsiTheme="majorBidi" w:cstheme="majorBidi"/>
          <w:b/>
          <w:bCs/>
          <w:sz w:val="22"/>
          <w:szCs w:val="22"/>
        </w:rPr>
        <w:t> </w:t>
      </w:r>
    </w:p>
    <w:p w14:paraId="6FB670A3" w14:textId="05E7BA02"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10a. Organi</w:t>
      </w:r>
      <w:r w:rsidR="00CE5D0F">
        <w:rPr>
          <w:rStyle w:val="normaltextrun"/>
          <w:rFonts w:asciiTheme="majorBidi" w:eastAsiaTheme="majorEastAsia" w:hAnsiTheme="majorBidi" w:cstheme="majorBidi"/>
          <w:b/>
          <w:bCs/>
          <w:sz w:val="22"/>
          <w:szCs w:val="22"/>
          <w:lang w:val="en-GB"/>
        </w:rPr>
        <w:t>z</w:t>
      </w:r>
      <w:r w:rsidRPr="00ED7E61">
        <w:rPr>
          <w:rStyle w:val="normaltextrun"/>
          <w:rFonts w:asciiTheme="majorBidi" w:eastAsiaTheme="majorEastAsia" w:hAnsiTheme="majorBidi" w:cstheme="majorBidi"/>
          <w:b/>
          <w:bCs/>
          <w:sz w:val="22"/>
          <w:szCs w:val="22"/>
          <w:lang w:val="en-GB"/>
        </w:rPr>
        <w:t>ation </w:t>
      </w:r>
      <w:r w:rsidRPr="00ED7E61">
        <w:rPr>
          <w:rStyle w:val="eop"/>
          <w:rFonts w:asciiTheme="majorBidi" w:eastAsiaTheme="majorEastAsia" w:hAnsiTheme="majorBidi" w:cstheme="majorBidi"/>
          <w:b/>
          <w:bCs/>
          <w:sz w:val="22"/>
          <w:szCs w:val="22"/>
        </w:rPr>
        <w:t> </w:t>
      </w:r>
    </w:p>
    <w:p w14:paraId="450C08F6" w14:textId="77777777" w:rsidR="00756F0F" w:rsidRPr="00ED7E61" w:rsidRDefault="00756F0F" w:rsidP="00CE5D0F">
      <w:pPr>
        <w:pStyle w:val="CBDNormalNumber"/>
        <w:numPr>
          <w:ilvl w:val="0"/>
          <w:numId w:val="0"/>
        </w:numPr>
        <w:shd w:val="clear" w:color="auto" w:fill="FFFFFF"/>
        <w:ind w:left="567"/>
        <w:rPr>
          <w:rStyle w:val="normaltextrun"/>
          <w:rFonts w:eastAsiaTheme="majorEastAsia"/>
        </w:rPr>
      </w:pPr>
      <w:r w:rsidRPr="00ED7E61">
        <w:rPr>
          <w:rStyle w:val="normaltextrun"/>
          <w:rFonts w:asciiTheme="majorBidi" w:eastAsiaTheme="majorEastAsia" w:hAnsiTheme="majorBidi" w:cstheme="majorBidi"/>
        </w:rPr>
        <w:t>Depends on the data set. See above for further detail.</w:t>
      </w:r>
      <w:r w:rsidRPr="00ED7E61">
        <w:rPr>
          <w:rStyle w:val="normaltextrun"/>
        </w:rPr>
        <w:t> </w:t>
      </w:r>
    </w:p>
    <w:p w14:paraId="79C0A6FF"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10b. Contact person(s)</w:t>
      </w:r>
      <w:r w:rsidRPr="00ED7E61">
        <w:rPr>
          <w:rStyle w:val="eop"/>
          <w:rFonts w:asciiTheme="majorBidi" w:eastAsiaTheme="majorEastAsia" w:hAnsiTheme="majorBidi" w:cstheme="majorBidi"/>
          <w:b/>
          <w:bCs/>
          <w:sz w:val="22"/>
          <w:szCs w:val="22"/>
        </w:rPr>
        <w:t> </w:t>
      </w:r>
    </w:p>
    <w:p w14:paraId="6ED37879"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agricultural subsidies and other incentives potentially harmful to biodiversity</w:t>
      </w:r>
      <w:r w:rsidRPr="00ED7E61">
        <w:rPr>
          <w:rStyle w:val="eop"/>
          <w:rFonts w:asciiTheme="majorBidi" w:eastAsiaTheme="majorEastAsia" w:hAnsiTheme="majorBidi" w:cstheme="majorBidi"/>
          <w:sz w:val="22"/>
          <w:szCs w:val="22"/>
        </w:rPr>
        <w:t> </w:t>
      </w:r>
    </w:p>
    <w:p w14:paraId="55087DB9" w14:textId="66A46E4B" w:rsidR="00A05CB5" w:rsidRPr="00ED7E61" w:rsidRDefault="00756F0F" w:rsidP="00CE5D0F">
      <w:pPr>
        <w:pStyle w:val="CBDNormalNumber"/>
        <w:numPr>
          <w:ilvl w:val="0"/>
          <w:numId w:val="0"/>
        </w:numPr>
        <w:shd w:val="clear" w:color="auto" w:fill="FFFFFF"/>
        <w:ind w:left="567"/>
        <w:rPr>
          <w:rFonts w:asciiTheme="majorBidi" w:hAnsiTheme="majorBidi" w:cstheme="majorBidi"/>
          <w:lang w:val="fr-FR"/>
        </w:rPr>
      </w:pPr>
      <w:r w:rsidRPr="00FB1598">
        <w:rPr>
          <w:rStyle w:val="normaltextrun"/>
          <w:rFonts w:asciiTheme="majorBidi" w:eastAsiaTheme="majorEastAsia" w:hAnsiTheme="majorBidi" w:cstheme="majorBidi"/>
          <w:lang w:val="fr-FR"/>
        </w:rPr>
        <w:t>Martin</w:t>
      </w:r>
      <w:r w:rsidRPr="00ED7E61">
        <w:rPr>
          <w:rStyle w:val="normaltextrun"/>
          <w:rFonts w:asciiTheme="majorBidi" w:eastAsiaTheme="majorEastAsia" w:hAnsiTheme="majorBidi" w:cstheme="majorBidi"/>
          <w:lang w:val="fr-FR"/>
        </w:rPr>
        <w:t xml:space="preserve"> von Lampe, </w:t>
      </w:r>
      <w:hyperlink r:id="rId578" w:tgtFrame="_blank" w:history="1">
        <w:r w:rsidRPr="00ED7E61">
          <w:rPr>
            <w:rStyle w:val="normaltextrun"/>
            <w:rFonts w:asciiTheme="majorBidi" w:eastAsiaTheme="majorEastAsia" w:hAnsiTheme="majorBidi" w:cstheme="majorBidi"/>
            <w:color w:val="467886"/>
            <w:u w:val="single"/>
            <w:lang w:val="fr-FR"/>
          </w:rPr>
          <w:t>martin.vonlampe@oecd.org</w:t>
        </w:r>
      </w:hyperlink>
      <w:r w:rsidRPr="00ED7E61">
        <w:rPr>
          <w:rStyle w:val="normaltextrun"/>
          <w:rFonts w:asciiTheme="majorBidi" w:eastAsiaTheme="majorEastAsia" w:hAnsiTheme="majorBidi" w:cstheme="majorBidi"/>
          <w:lang w:val="fr-FR"/>
        </w:rPr>
        <w:t> </w:t>
      </w:r>
      <w:r w:rsidRPr="00ED7E61">
        <w:rPr>
          <w:rStyle w:val="eop"/>
          <w:rFonts w:asciiTheme="majorBidi" w:eastAsiaTheme="majorEastAsia" w:hAnsiTheme="majorBidi" w:cstheme="majorBidi"/>
          <w:lang w:val="fr-FR"/>
        </w:rPr>
        <w:t> </w:t>
      </w:r>
    </w:p>
    <w:p w14:paraId="3F07148A" w14:textId="77777777" w:rsidR="00756F0F" w:rsidRPr="00ED7E61" w:rsidRDefault="00756F0F" w:rsidP="00CE5D0F">
      <w:pPr>
        <w:pStyle w:val="CBDNormalNumber"/>
        <w:numPr>
          <w:ilvl w:val="0"/>
          <w:numId w:val="0"/>
        </w:numPr>
        <w:shd w:val="clear" w:color="auto" w:fill="FFFFFF"/>
        <w:ind w:left="567"/>
        <w:rPr>
          <w:rFonts w:asciiTheme="majorBidi" w:hAnsiTheme="majorBidi" w:cstheme="majorBidi"/>
          <w:lang w:val="fi-FI"/>
        </w:rPr>
      </w:pPr>
      <w:r w:rsidRPr="002C3771">
        <w:rPr>
          <w:rStyle w:val="normaltextrun"/>
          <w:rFonts w:asciiTheme="majorBidi" w:eastAsiaTheme="majorEastAsia" w:hAnsiTheme="majorBidi" w:cstheme="majorBidi"/>
        </w:rPr>
        <w:t>Hugo</w:t>
      </w:r>
      <w:r w:rsidRPr="00ED7E61">
        <w:rPr>
          <w:rStyle w:val="normaltextrun"/>
          <w:rFonts w:asciiTheme="majorBidi" w:eastAsiaTheme="majorEastAsia" w:hAnsiTheme="majorBidi" w:cstheme="majorBidi"/>
          <w:lang w:val="fi-FI"/>
        </w:rPr>
        <w:t xml:space="preserve"> Valin </w:t>
      </w:r>
      <w:hyperlink r:id="rId579" w:tgtFrame="_blank" w:history="1">
        <w:r w:rsidRPr="00ED7E61">
          <w:rPr>
            <w:rStyle w:val="normaltextrun"/>
            <w:rFonts w:asciiTheme="majorBidi" w:eastAsiaTheme="majorEastAsia" w:hAnsiTheme="majorBidi" w:cstheme="majorBidi"/>
            <w:color w:val="467886"/>
            <w:u w:val="single"/>
            <w:lang w:val="fi-FI"/>
          </w:rPr>
          <w:t>hugo.valin@oecd.org</w:t>
        </w:r>
      </w:hyperlink>
      <w:r w:rsidRPr="00ED7E61">
        <w:rPr>
          <w:rStyle w:val="normaltextrun"/>
          <w:rFonts w:asciiTheme="majorBidi" w:eastAsiaTheme="majorEastAsia" w:hAnsiTheme="majorBidi" w:cstheme="majorBidi"/>
          <w:lang w:val="fi-FI"/>
        </w:rPr>
        <w:t> </w:t>
      </w:r>
      <w:r w:rsidRPr="00ED7E61">
        <w:rPr>
          <w:rStyle w:val="eop"/>
          <w:rFonts w:asciiTheme="majorBidi" w:eastAsiaTheme="majorEastAsia" w:hAnsiTheme="majorBidi" w:cstheme="majorBidi"/>
          <w:lang w:val="fi-FI"/>
        </w:rPr>
        <w:t> </w:t>
      </w:r>
    </w:p>
    <w:p w14:paraId="0DABCE00" w14:textId="77777777" w:rsidR="00756F0F" w:rsidRPr="00ED7E61" w:rsidRDefault="00756F0F" w:rsidP="00CE5D0F">
      <w:pPr>
        <w:pStyle w:val="CBDNormalNumber"/>
        <w:numPr>
          <w:ilvl w:val="0"/>
          <w:numId w:val="0"/>
        </w:numPr>
        <w:shd w:val="clear" w:color="auto" w:fill="FFFFFF"/>
        <w:ind w:left="567"/>
        <w:rPr>
          <w:rFonts w:asciiTheme="majorBidi" w:hAnsiTheme="majorBidi" w:cstheme="majorBidi"/>
          <w:lang w:val="fi-FI"/>
        </w:rPr>
      </w:pPr>
      <w:r w:rsidRPr="002C3771">
        <w:rPr>
          <w:rStyle w:val="normaltextrun"/>
          <w:rFonts w:asciiTheme="majorBidi" w:eastAsiaTheme="majorEastAsia" w:hAnsiTheme="majorBidi" w:cstheme="majorBidi"/>
        </w:rPr>
        <w:t>Katia</w:t>
      </w:r>
      <w:r w:rsidRPr="00ED7E61">
        <w:rPr>
          <w:rStyle w:val="normaltextrun"/>
          <w:rFonts w:asciiTheme="majorBidi" w:eastAsiaTheme="majorEastAsia" w:hAnsiTheme="majorBidi" w:cstheme="majorBidi"/>
          <w:lang w:val="fi-FI"/>
        </w:rPr>
        <w:t xml:space="preserve"> </w:t>
      </w:r>
      <w:r w:rsidRPr="00ED7E61">
        <w:rPr>
          <w:rStyle w:val="normaltextrun"/>
          <w:rFonts w:asciiTheme="majorBidi" w:eastAsiaTheme="majorEastAsia" w:hAnsiTheme="majorBidi" w:cstheme="majorBidi"/>
        </w:rPr>
        <w:t>Karousakis</w:t>
      </w:r>
      <w:r w:rsidRPr="00ED7E61">
        <w:rPr>
          <w:rStyle w:val="normaltextrun"/>
          <w:rFonts w:asciiTheme="majorBidi" w:eastAsiaTheme="majorEastAsia" w:hAnsiTheme="majorBidi" w:cstheme="majorBidi"/>
          <w:lang w:val="fi-FI"/>
        </w:rPr>
        <w:t xml:space="preserve">, </w:t>
      </w:r>
      <w:hyperlink r:id="rId580" w:tgtFrame="_blank" w:history="1">
        <w:r w:rsidRPr="00ED7E61">
          <w:rPr>
            <w:rStyle w:val="normaltextrun"/>
            <w:rFonts w:asciiTheme="majorBidi" w:eastAsiaTheme="majorEastAsia" w:hAnsiTheme="majorBidi" w:cstheme="majorBidi"/>
            <w:color w:val="467886"/>
            <w:u w:val="single"/>
            <w:lang w:val="fi-FI"/>
          </w:rPr>
          <w:t>katia.karousakis@oecd.org</w:t>
        </w:r>
      </w:hyperlink>
      <w:r w:rsidRPr="00ED7E61">
        <w:rPr>
          <w:rStyle w:val="normaltextrun"/>
          <w:rFonts w:asciiTheme="majorBidi" w:eastAsiaTheme="majorEastAsia" w:hAnsiTheme="majorBidi" w:cstheme="majorBidi"/>
          <w:lang w:val="fi-FI"/>
        </w:rPr>
        <w:t>.</w:t>
      </w:r>
      <w:r w:rsidRPr="00ED7E61">
        <w:rPr>
          <w:rStyle w:val="eop"/>
          <w:rFonts w:asciiTheme="majorBidi" w:eastAsiaTheme="majorEastAsia" w:hAnsiTheme="majorBidi" w:cstheme="majorBidi"/>
          <w:lang w:val="fi-FI"/>
        </w:rPr>
        <w:t> </w:t>
      </w:r>
    </w:p>
    <w:p w14:paraId="130A7DA4"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fossil fuel subsidies (production and consumption)</w:t>
      </w:r>
      <w:r w:rsidRPr="00ED7E61">
        <w:rPr>
          <w:rStyle w:val="eop"/>
          <w:rFonts w:asciiTheme="majorBidi" w:eastAsiaTheme="majorEastAsia" w:hAnsiTheme="majorBidi" w:cstheme="majorBidi"/>
          <w:sz w:val="22"/>
          <w:szCs w:val="22"/>
        </w:rPr>
        <w:t> </w:t>
      </w:r>
    </w:p>
    <w:p w14:paraId="74037538" w14:textId="2709D36C" w:rsidR="00A05CB5" w:rsidRPr="00ED7E61" w:rsidRDefault="00756F0F" w:rsidP="00CE5D0F">
      <w:pPr>
        <w:pStyle w:val="CBDNormalNumber"/>
        <w:numPr>
          <w:ilvl w:val="0"/>
          <w:numId w:val="0"/>
        </w:numPr>
        <w:shd w:val="clear" w:color="auto" w:fill="FFFFFF"/>
        <w:ind w:left="567"/>
        <w:rPr>
          <w:rFonts w:asciiTheme="majorBidi" w:hAnsiTheme="majorBidi" w:cstheme="majorBidi"/>
        </w:rPr>
      </w:pPr>
      <w:r w:rsidRPr="002C3771">
        <w:rPr>
          <w:rStyle w:val="normaltextrun"/>
          <w:rFonts w:asciiTheme="majorBidi" w:eastAsiaTheme="majorEastAsia" w:hAnsiTheme="majorBidi" w:cstheme="majorBidi"/>
        </w:rPr>
        <w:t>https</w:t>
      </w:r>
      <w:r w:rsidRPr="00ED7E61">
        <w:rPr>
          <w:rStyle w:val="normaltextrun"/>
          <w:rFonts w:asciiTheme="majorBidi" w:eastAsiaTheme="majorEastAsia" w:hAnsiTheme="majorBidi" w:cstheme="majorBidi"/>
        </w:rPr>
        <w:t>://unstats.un.org/sdgs/metadata/files/Metadata-12-0c-01.pdf and Home - Fossil Fuel Subsidies (fossilfuelsubsidytracker.org))  </w:t>
      </w:r>
      <w:r w:rsidRPr="00ED7E61">
        <w:rPr>
          <w:rStyle w:val="eop"/>
          <w:rFonts w:asciiTheme="majorBidi" w:eastAsiaTheme="majorEastAsia" w:hAnsiTheme="majorBidi" w:cstheme="majorBidi"/>
        </w:rPr>
        <w:t> </w:t>
      </w:r>
    </w:p>
    <w:p w14:paraId="7FD01261" w14:textId="05DD9AC8" w:rsidR="00A05CB5" w:rsidRPr="00ED7E61" w:rsidRDefault="00CE5D0F" w:rsidP="00CE5D0F">
      <w:pPr>
        <w:pStyle w:val="CBDNormalNumber"/>
        <w:numPr>
          <w:ilvl w:val="0"/>
          <w:numId w:val="0"/>
        </w:numPr>
        <w:shd w:val="clear" w:color="auto" w:fill="FFFFFF"/>
        <w:ind w:left="567"/>
        <w:rPr>
          <w:rFonts w:asciiTheme="majorBidi" w:hAnsiTheme="majorBidi" w:cstheme="majorBidi"/>
        </w:rPr>
      </w:pPr>
      <w:hyperlink r:id="rId581" w:history="1">
        <w:r w:rsidRPr="004C58D6">
          <w:rPr>
            <w:rStyle w:val="Hyperlink"/>
            <w:rFonts w:asciiTheme="majorBidi" w:eastAsiaTheme="majorEastAsia" w:hAnsiTheme="majorBidi" w:cstheme="majorBidi"/>
          </w:rPr>
          <w:t>joy</w:t>
        </w:r>
        <w:r w:rsidRPr="004C58D6">
          <w:rPr>
            <w:rStyle w:val="Hyperlink"/>
          </w:rPr>
          <w:t>.kim@un.org</w:t>
        </w:r>
      </w:hyperlink>
      <w:r w:rsidR="00756F0F" w:rsidRPr="00ED7E61">
        <w:rPr>
          <w:rStyle w:val="eop"/>
          <w:rFonts w:asciiTheme="majorBidi" w:eastAsiaTheme="majorEastAsia" w:hAnsiTheme="majorBidi" w:cstheme="majorBidi"/>
        </w:rPr>
        <w:t> </w:t>
      </w:r>
    </w:p>
    <w:p w14:paraId="6F3DBAF1" w14:textId="1E5D3F0B" w:rsidR="00756F0F" w:rsidRPr="00ED7E61" w:rsidRDefault="00CE5D0F" w:rsidP="00CE5D0F">
      <w:pPr>
        <w:pStyle w:val="CBDNormalNumber"/>
        <w:numPr>
          <w:ilvl w:val="0"/>
          <w:numId w:val="0"/>
        </w:numPr>
        <w:shd w:val="clear" w:color="auto" w:fill="FFFFFF"/>
        <w:ind w:left="567"/>
        <w:rPr>
          <w:rFonts w:asciiTheme="majorBidi" w:hAnsiTheme="majorBidi" w:cstheme="majorBidi"/>
        </w:rPr>
      </w:pPr>
      <w:hyperlink r:id="rId582" w:history="1">
        <w:r w:rsidRPr="004C58D6">
          <w:rPr>
            <w:rStyle w:val="Hyperlink"/>
            <w:rFonts w:asciiTheme="majorBidi" w:eastAsiaTheme="majorEastAsia" w:hAnsiTheme="majorBidi" w:cstheme="majorBidi"/>
          </w:rPr>
          <w:t>unep</w:t>
        </w:r>
        <w:r w:rsidRPr="004C58D6">
          <w:rPr>
            <w:rStyle w:val="Hyperlink"/>
          </w:rPr>
          <w:t>-science-sdgs@un.org</w:t>
        </w:r>
      </w:hyperlink>
      <w:r w:rsidR="00756F0F" w:rsidRPr="00ED7E61">
        <w:rPr>
          <w:rStyle w:val="normaltextrun"/>
          <w:rFonts w:asciiTheme="majorBidi" w:eastAsiaTheme="majorEastAsia" w:hAnsiTheme="majorBidi" w:cstheme="majorBidi"/>
        </w:rPr>
        <w:t> </w:t>
      </w:r>
      <w:r w:rsidR="00756F0F" w:rsidRPr="00ED7E61">
        <w:rPr>
          <w:rStyle w:val="eop"/>
          <w:rFonts w:asciiTheme="majorBidi" w:eastAsiaTheme="majorEastAsia" w:hAnsiTheme="majorBidi" w:cstheme="majorBidi"/>
        </w:rPr>
        <w:t> </w:t>
      </w:r>
    </w:p>
    <w:p w14:paraId="2E39B526" w14:textId="77777777" w:rsidR="00756F0F" w:rsidRPr="00ED7E61" w:rsidRDefault="00756F0F" w:rsidP="00395866">
      <w:pPr>
        <w:pStyle w:val="paragraph"/>
        <w:spacing w:before="0" w:beforeAutospacing="0" w:after="0" w:afterAutospacing="0"/>
        <w:ind w:right="-30"/>
        <w:textAlignment w:val="baseline"/>
        <w:rPr>
          <w:rFonts w:asciiTheme="majorBidi" w:hAnsiTheme="majorBidi" w:cstheme="majorBidi"/>
          <w:sz w:val="22"/>
          <w:szCs w:val="22"/>
        </w:rPr>
      </w:pPr>
      <w:r w:rsidRPr="00ED7E61">
        <w:rPr>
          <w:rStyle w:val="normaltextrun"/>
          <w:rFonts w:asciiTheme="majorBidi" w:eastAsiaTheme="majorEastAsia" w:hAnsiTheme="majorBidi" w:cstheme="majorBidi"/>
          <w:b/>
          <w:bCs/>
          <w:sz w:val="22"/>
          <w:szCs w:val="22"/>
          <w:lang w:val="en-GB"/>
        </w:rPr>
        <w:t>Value of subsidies to capture fisheries with a risk (moderate or high) of encouraging unsustainable fishing </w:t>
      </w:r>
      <w:r w:rsidRPr="00ED7E61">
        <w:rPr>
          <w:rStyle w:val="eop"/>
          <w:rFonts w:asciiTheme="majorBidi" w:eastAsiaTheme="majorEastAsia" w:hAnsiTheme="majorBidi" w:cstheme="majorBidi"/>
          <w:sz w:val="22"/>
          <w:szCs w:val="22"/>
        </w:rPr>
        <w:t> </w:t>
      </w:r>
    </w:p>
    <w:p w14:paraId="76E7478C" w14:textId="408499D1" w:rsidR="00756F0F" w:rsidRPr="00ED7E61" w:rsidRDefault="00756F0F" w:rsidP="00B10F0C">
      <w:pPr>
        <w:pStyle w:val="CBDNormalNumber"/>
        <w:numPr>
          <w:ilvl w:val="0"/>
          <w:numId w:val="94"/>
        </w:numPr>
        <w:shd w:val="clear" w:color="auto" w:fill="FFFFFF"/>
        <w:ind w:left="567" w:firstLine="0"/>
        <w:rPr>
          <w:rFonts w:asciiTheme="majorBidi" w:hAnsiTheme="majorBidi" w:cstheme="majorBidi"/>
        </w:rPr>
      </w:pPr>
      <w:r w:rsidRPr="002C3771">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rPr>
        <w:t xml:space="preserve"> FSE data is produced by the OECD Fisheries and Aquaculture Unit in the OECD Trade and Agriculture Directorate (TAD), which can be reached at: </w:t>
      </w:r>
      <w:hyperlink r:id="rId583" w:tgtFrame="_blank" w:history="1">
        <w:r w:rsidRPr="00ED7E61">
          <w:rPr>
            <w:rStyle w:val="normaltextrun"/>
            <w:rFonts w:asciiTheme="majorBidi" w:eastAsiaTheme="majorEastAsia" w:hAnsiTheme="majorBidi" w:cstheme="majorBidi"/>
            <w:color w:val="467886"/>
            <w:u w:val="single"/>
            <w:shd w:val="clear" w:color="auto" w:fill="E1E3E6"/>
          </w:rPr>
          <w:t>fish.contact@oecd.org</w:t>
        </w:r>
      </w:hyperlink>
      <w:r w:rsidRPr="00ED7E61">
        <w:rPr>
          <w:rStyle w:val="normaltextrun"/>
          <w:rFonts w:asciiTheme="majorBidi" w:eastAsiaTheme="majorEastAsia" w:hAnsiTheme="majorBidi" w:cstheme="majorBidi"/>
        </w:rPr>
        <w:t xml:space="preserve">. </w:t>
      </w:r>
      <w:r w:rsidR="00225324" w:rsidRPr="00225324">
        <w:rPr>
          <w:rFonts w:asciiTheme="majorBidi" w:eastAsiaTheme="majorEastAsia" w:hAnsiTheme="majorBidi" w:cstheme="majorBidi"/>
          <w:lang w:val="en-CA"/>
        </w:rPr>
        <w:t>cc: OECD CBD Focal Point</w:t>
      </w:r>
      <w:r w:rsidRPr="00ED7E61">
        <w:rPr>
          <w:rStyle w:val="normaltextrun"/>
          <w:rFonts w:asciiTheme="majorBidi" w:eastAsiaTheme="majorEastAsia" w:hAnsiTheme="majorBidi" w:cstheme="majorBidi"/>
        </w:rPr>
        <w:t xml:space="preserve"> Katia Karousakis: </w:t>
      </w:r>
      <w:hyperlink r:id="rId584" w:tgtFrame="_blank" w:history="1">
        <w:r w:rsidRPr="00ED7E61">
          <w:rPr>
            <w:rStyle w:val="normaltextrun"/>
            <w:rFonts w:asciiTheme="majorBidi" w:eastAsiaTheme="majorEastAsia" w:hAnsiTheme="majorBidi" w:cstheme="majorBidi"/>
            <w:color w:val="467886"/>
            <w:u w:val="single"/>
          </w:rPr>
          <w:t>katia.karousakis@oecd.org</w:t>
        </w:r>
      </w:hyperlink>
      <w:r w:rsidRPr="00ED7E61">
        <w:rPr>
          <w:rStyle w:val="eop"/>
          <w:rFonts w:asciiTheme="majorBidi" w:eastAsiaTheme="majorEastAsia" w:hAnsiTheme="majorBidi" w:cstheme="majorBidi"/>
          <w:color w:val="467886"/>
        </w:rPr>
        <w:t> </w:t>
      </w:r>
    </w:p>
    <w:p w14:paraId="21B0B069" w14:textId="6765B302" w:rsidR="00756F0F" w:rsidRPr="00ED7E61" w:rsidRDefault="00A70C42"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Pr>
          <w:rStyle w:val="normaltextrun"/>
          <w:rFonts w:asciiTheme="majorBidi" w:eastAsiaTheme="majorEastAsia" w:hAnsiTheme="majorBidi" w:cstheme="majorBidi"/>
          <w:b/>
          <w:bCs/>
          <w:sz w:val="22"/>
          <w:szCs w:val="22"/>
          <w:lang w:val="en-GB"/>
        </w:rPr>
        <w:t xml:space="preserve">11. </w:t>
      </w:r>
      <w:r w:rsidR="00756F0F" w:rsidRPr="00ED7E61">
        <w:rPr>
          <w:rStyle w:val="normaltextrun"/>
          <w:rFonts w:asciiTheme="majorBidi" w:eastAsiaTheme="majorEastAsia" w:hAnsiTheme="majorBidi" w:cstheme="majorBidi"/>
          <w:b/>
          <w:bCs/>
          <w:sz w:val="22"/>
          <w:szCs w:val="22"/>
          <w:lang w:val="en-GB"/>
        </w:rPr>
        <w:t>References</w:t>
      </w:r>
      <w:r w:rsidR="00756F0F" w:rsidRPr="00ED7E61">
        <w:rPr>
          <w:rStyle w:val="eop"/>
          <w:rFonts w:asciiTheme="majorBidi" w:eastAsiaTheme="majorEastAsia" w:hAnsiTheme="majorBidi" w:cstheme="majorBidi"/>
          <w:b/>
          <w:bCs/>
          <w:sz w:val="22"/>
          <w:szCs w:val="22"/>
        </w:rPr>
        <w:t> </w:t>
      </w:r>
    </w:p>
    <w:p w14:paraId="7212A284" w14:textId="1CAA5964" w:rsidR="00DA2BD3" w:rsidRPr="00ED7E61" w:rsidRDefault="00756F0F" w:rsidP="00CE5D0F">
      <w:pPr>
        <w:pStyle w:val="CBDNormalNumber"/>
        <w:numPr>
          <w:ilvl w:val="0"/>
          <w:numId w:val="0"/>
        </w:numPr>
        <w:shd w:val="clear" w:color="auto" w:fill="FFFFFF"/>
        <w:ind w:left="567"/>
        <w:rPr>
          <w:rFonts w:asciiTheme="majorBidi" w:hAnsiTheme="majorBidi" w:cstheme="majorBidi"/>
        </w:rPr>
      </w:pPr>
      <w:r w:rsidRPr="002C3771">
        <w:rPr>
          <w:rStyle w:val="normaltextrun"/>
          <w:rFonts w:asciiTheme="majorBidi" w:eastAsiaTheme="majorEastAsia" w:hAnsiTheme="majorBidi" w:cstheme="majorBidi"/>
        </w:rPr>
        <w:t>O</w:t>
      </w:r>
      <w:r w:rsidRPr="002C3771">
        <w:rPr>
          <w:rStyle w:val="normaltextrun"/>
          <w:rFonts w:asciiTheme="majorBidi" w:eastAsiaTheme="majorEastAsia" w:hAnsiTheme="majorBidi" w:cstheme="majorBidi"/>
          <w:color w:val="000000"/>
        </w:rPr>
        <w:t>ECD</w:t>
      </w:r>
      <w:r w:rsidRPr="00ED7E61">
        <w:rPr>
          <w:rStyle w:val="normaltextrun"/>
          <w:rFonts w:asciiTheme="majorBidi" w:eastAsiaTheme="majorEastAsia" w:hAnsiTheme="majorBidi" w:cstheme="majorBidi"/>
          <w:color w:val="000000"/>
        </w:rPr>
        <w:t xml:space="preserve"> (2022), OECD Review of Fisheries 2022, OECD Publishing, Paris. </w:t>
      </w:r>
      <w:hyperlink r:id="rId585" w:tgtFrame="_blank" w:history="1">
        <w:r w:rsidRPr="00ED7E61">
          <w:rPr>
            <w:rStyle w:val="normaltextrun"/>
            <w:rFonts w:asciiTheme="majorBidi" w:eastAsiaTheme="majorEastAsia" w:hAnsiTheme="majorBidi" w:cstheme="majorBidi"/>
            <w:color w:val="0068B6"/>
            <w:u w:val="single"/>
            <w:shd w:val="clear" w:color="auto" w:fill="FFFFFF"/>
          </w:rPr>
          <w:t>https://doi.org/10.1787/9c3ad238-en</w:t>
        </w:r>
      </w:hyperlink>
      <w:r w:rsidRPr="00ED7E61">
        <w:rPr>
          <w:rStyle w:val="eop"/>
          <w:rFonts w:asciiTheme="majorBidi" w:eastAsiaTheme="majorEastAsia" w:hAnsiTheme="majorBidi" w:cstheme="majorBidi"/>
          <w:color w:val="0068B6"/>
        </w:rPr>
        <w:t> </w:t>
      </w:r>
    </w:p>
    <w:p w14:paraId="2F74DB14" w14:textId="33882761" w:rsidR="00DA2BD3" w:rsidRPr="00ED7E61" w:rsidRDefault="00756F0F" w:rsidP="00CE5D0F">
      <w:pPr>
        <w:pStyle w:val="CBDNormalNumber"/>
        <w:numPr>
          <w:ilvl w:val="0"/>
          <w:numId w:val="0"/>
        </w:numPr>
        <w:shd w:val="clear" w:color="auto" w:fill="FFFFFF"/>
        <w:ind w:left="567"/>
        <w:rPr>
          <w:rFonts w:asciiTheme="majorBidi" w:hAnsiTheme="majorBidi" w:cstheme="majorBidi"/>
        </w:rPr>
      </w:pPr>
      <w:r w:rsidRPr="002C3771">
        <w:rPr>
          <w:rStyle w:val="normaltextrun"/>
          <w:rFonts w:asciiTheme="majorBidi" w:eastAsiaTheme="majorEastAsia" w:hAnsiTheme="majorBidi" w:cstheme="majorBidi"/>
        </w:rPr>
        <w:t>European</w:t>
      </w:r>
      <w:r w:rsidRPr="00ED7E61">
        <w:rPr>
          <w:rStyle w:val="normaltextrun"/>
          <w:rFonts w:asciiTheme="majorBidi" w:eastAsiaTheme="majorEastAsia" w:hAnsiTheme="majorBidi" w:cstheme="majorBidi"/>
          <w:color w:val="000000"/>
        </w:rPr>
        <w:t xml:space="preserve"> Commission, Toolbox on </w:t>
      </w:r>
      <w:hyperlink r:id="rId586" w:tgtFrame="_blank" w:history="1">
        <w:r w:rsidRPr="00ED7E61">
          <w:rPr>
            <w:rStyle w:val="normaltextrun"/>
            <w:rFonts w:asciiTheme="majorBidi" w:eastAsiaTheme="majorEastAsia" w:hAnsiTheme="majorBidi" w:cstheme="majorBidi"/>
            <w:color w:val="000000"/>
          </w:rPr>
          <w:t>Phasing out Environmentally Harmful Subsidies (europa.eu)</w:t>
        </w:r>
      </w:hyperlink>
      <w:r w:rsidRPr="00ED7E61">
        <w:rPr>
          <w:rStyle w:val="normaltextrun"/>
          <w:rFonts w:asciiTheme="majorBidi" w:eastAsiaTheme="majorEastAsia" w:hAnsiTheme="majorBidi" w:cstheme="majorBidi"/>
          <w:color w:val="000000"/>
        </w:rPr>
        <w:t xml:space="preserve"> </w:t>
      </w:r>
      <w:hyperlink r:id="rId587" w:tgtFrame="_blank" w:history="1">
        <w:r w:rsidRPr="00ED7E61">
          <w:rPr>
            <w:rStyle w:val="normaltextrun"/>
            <w:rFonts w:asciiTheme="majorBidi" w:eastAsiaTheme="majorEastAsia" w:hAnsiTheme="majorBidi" w:cstheme="majorBidi"/>
            <w:color w:val="467886"/>
            <w:u w:val="single"/>
          </w:rPr>
          <w:t>https://ec.europa.eu/eurostat/documents/3859598/6923655/KS-GQ-15-005-EN-N.pdf/e3be619b-bb19-4486-ab23-132a83f6ff24</w:t>
        </w:r>
      </w:hyperlink>
      <w:r w:rsidRPr="00ED7E61">
        <w:rPr>
          <w:rStyle w:val="eop"/>
          <w:rFonts w:asciiTheme="majorBidi" w:eastAsiaTheme="majorEastAsia" w:hAnsiTheme="majorBidi" w:cstheme="majorBidi"/>
          <w:color w:val="467886"/>
        </w:rPr>
        <w:t> </w:t>
      </w:r>
    </w:p>
    <w:p w14:paraId="5C64A3AC" w14:textId="027F2347" w:rsidR="00DA2BD3" w:rsidRPr="00ED7E61" w:rsidRDefault="00756F0F" w:rsidP="00CE5D0F">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The state of Food Security and Nutrition in the World 2022. Repurposing food and agricultural policies to make healthy diets more affordable</w:t>
      </w:r>
      <w:r w:rsidRPr="00ED7E61">
        <w:rPr>
          <w:rStyle w:val="normaltextrun"/>
          <w:rFonts w:asciiTheme="majorBidi" w:eastAsiaTheme="majorEastAsia" w:hAnsiTheme="majorBidi" w:cstheme="majorBidi"/>
          <w:color w:val="000000"/>
        </w:rPr>
        <w:t xml:space="preserve"> </w:t>
      </w:r>
      <w:hyperlink r:id="rId588" w:tgtFrame="_blank" w:history="1">
        <w:r w:rsidRPr="00ED7E61">
          <w:rPr>
            <w:rStyle w:val="normaltextrun"/>
            <w:rFonts w:asciiTheme="majorBidi" w:eastAsiaTheme="majorEastAsia" w:hAnsiTheme="majorBidi" w:cstheme="majorBidi"/>
            <w:color w:val="467886"/>
            <w:u w:val="single"/>
          </w:rPr>
          <w:t>https://www.fao.org/3/cc0639en/cc0639en.pdf SDG 12c</w:t>
        </w:r>
      </w:hyperlink>
      <w:r w:rsidRPr="00ED7E61">
        <w:rPr>
          <w:rStyle w:val="eop"/>
          <w:rFonts w:asciiTheme="majorBidi" w:eastAsiaTheme="majorEastAsia" w:hAnsiTheme="majorBidi" w:cstheme="majorBidi"/>
          <w:color w:val="467886"/>
        </w:rPr>
        <w:t> </w:t>
      </w:r>
    </w:p>
    <w:p w14:paraId="4795C16A" w14:textId="0CBE9386" w:rsidR="00DA2BD3" w:rsidRPr="00ED7E61" w:rsidRDefault="00756F0F" w:rsidP="00CE5D0F">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SDG12c https://unstats.un.org/sdgs/metadata/files/Metadata-12-0c-01.pdf  </w:t>
      </w:r>
      <w:r w:rsidRPr="00ED7E61">
        <w:rPr>
          <w:rStyle w:val="eop"/>
          <w:rFonts w:asciiTheme="majorBidi" w:eastAsiaTheme="majorEastAsia" w:hAnsiTheme="majorBidi" w:cstheme="majorBidi"/>
        </w:rPr>
        <w:t> </w:t>
      </w:r>
    </w:p>
    <w:p w14:paraId="2B5136BB" w14:textId="0FEAADD4" w:rsidR="00DA2BD3" w:rsidRPr="00ED7E61" w:rsidRDefault="00756F0F" w:rsidP="00CE5D0F">
      <w:pPr>
        <w:pStyle w:val="CBDNormalNumber"/>
        <w:numPr>
          <w:ilvl w:val="0"/>
          <w:numId w:val="0"/>
        </w:numPr>
        <w:shd w:val="clear" w:color="auto" w:fill="FFFFFF"/>
        <w:ind w:left="567"/>
        <w:rPr>
          <w:rFonts w:asciiTheme="majorBidi" w:hAnsiTheme="majorBidi" w:cstheme="majorBidi"/>
        </w:rPr>
      </w:pPr>
      <w:r w:rsidRPr="002C3771">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color w:val="000000"/>
        </w:rPr>
        <w:t xml:space="preserve"> OECD Fisheries Support Estimate (FSE) Manual</w:t>
      </w:r>
      <w:r w:rsidRPr="00ED7E61">
        <w:rPr>
          <w:rStyle w:val="eop"/>
          <w:rFonts w:asciiTheme="majorBidi" w:eastAsiaTheme="majorEastAsia" w:hAnsiTheme="majorBidi" w:cstheme="majorBidi"/>
          <w:color w:val="000000"/>
        </w:rPr>
        <w:t> </w:t>
      </w:r>
    </w:p>
    <w:p w14:paraId="78739EF6" w14:textId="402AF668" w:rsidR="00DA2BD3" w:rsidRPr="00ED7E61" w:rsidRDefault="00756F0F" w:rsidP="00CE5D0F">
      <w:pPr>
        <w:pStyle w:val="CBDNormalNumber"/>
        <w:numPr>
          <w:ilvl w:val="0"/>
          <w:numId w:val="0"/>
        </w:numPr>
        <w:shd w:val="clear" w:color="auto" w:fill="FFFFFF"/>
        <w:ind w:left="567"/>
        <w:rPr>
          <w:rFonts w:asciiTheme="majorBidi" w:hAnsiTheme="majorBidi" w:cstheme="majorBidi"/>
        </w:rPr>
      </w:pPr>
      <w:r w:rsidRPr="002C3771">
        <w:rPr>
          <w:rStyle w:val="normaltextrun"/>
          <w:rFonts w:asciiTheme="majorBidi" w:eastAsiaTheme="majorEastAsia" w:hAnsiTheme="majorBidi" w:cstheme="majorBidi"/>
        </w:rPr>
        <w:t>OECD</w:t>
      </w:r>
      <w:r w:rsidRPr="00ED7E61">
        <w:rPr>
          <w:rStyle w:val="normaltextrun"/>
          <w:rFonts w:asciiTheme="majorBidi" w:eastAsiaTheme="majorEastAsia" w:hAnsiTheme="majorBidi" w:cstheme="majorBidi"/>
          <w:color w:val="000000"/>
        </w:rPr>
        <w:t xml:space="preserve"> (2023), </w:t>
      </w:r>
      <w:r w:rsidRPr="00ED7E61">
        <w:rPr>
          <w:rStyle w:val="normaltextrun"/>
          <w:rFonts w:asciiTheme="majorBidi" w:eastAsiaTheme="majorEastAsia" w:hAnsiTheme="majorBidi" w:cstheme="majorBidi"/>
          <w:i/>
          <w:iCs/>
          <w:color w:val="000000"/>
        </w:rPr>
        <w:t>Agricultural Policy Monitoring and Evaluation 2023: Adapting Agriculture to Climate Change</w:t>
      </w:r>
      <w:r w:rsidRPr="00ED7E61">
        <w:rPr>
          <w:rStyle w:val="normaltextrun"/>
          <w:rFonts w:asciiTheme="majorBidi" w:eastAsiaTheme="majorEastAsia" w:hAnsiTheme="majorBidi" w:cstheme="majorBidi"/>
          <w:color w:val="000000"/>
        </w:rPr>
        <w:t>, OECD Publishing, Paris, </w:t>
      </w:r>
      <w:hyperlink r:id="rId589" w:tgtFrame="_blank" w:history="1">
        <w:r w:rsidRPr="00ED7E61">
          <w:rPr>
            <w:rStyle w:val="normaltextrun"/>
            <w:rFonts w:asciiTheme="majorBidi" w:eastAsiaTheme="majorEastAsia" w:hAnsiTheme="majorBidi" w:cstheme="majorBidi"/>
            <w:color w:val="0000FF"/>
            <w:u w:val="single"/>
          </w:rPr>
          <w:t>https://doi.org/10.1787/b14de474-en</w:t>
        </w:r>
      </w:hyperlink>
      <w:r w:rsidRPr="00ED7E61">
        <w:rPr>
          <w:rStyle w:val="normaltextrun"/>
          <w:rFonts w:asciiTheme="majorBidi" w:eastAsiaTheme="majorEastAsia" w:hAnsiTheme="majorBidi" w:cstheme="majorBidi"/>
          <w:color w:val="000000"/>
        </w:rPr>
        <w:t>.</w:t>
      </w:r>
      <w:r w:rsidRPr="00ED7E61">
        <w:rPr>
          <w:rStyle w:val="eop"/>
          <w:rFonts w:asciiTheme="majorBidi" w:eastAsiaTheme="majorEastAsia" w:hAnsiTheme="majorBidi" w:cstheme="majorBidi"/>
          <w:color w:val="000000"/>
        </w:rPr>
        <w:t> </w:t>
      </w:r>
    </w:p>
    <w:p w14:paraId="45B07FBC" w14:textId="24D2DAB8" w:rsidR="00DA2BD3" w:rsidRPr="00ED7E61" w:rsidRDefault="00756F0F" w:rsidP="00CE5D0F">
      <w:pPr>
        <w:pStyle w:val="CBDNormalNumber"/>
        <w:numPr>
          <w:ilvl w:val="0"/>
          <w:numId w:val="0"/>
        </w:numPr>
        <w:shd w:val="clear" w:color="auto" w:fill="FFFFFF"/>
        <w:ind w:left="567"/>
        <w:rPr>
          <w:rFonts w:asciiTheme="majorBidi" w:hAnsiTheme="majorBidi" w:cstheme="majorBidi"/>
        </w:rPr>
      </w:pPr>
      <w:r w:rsidRPr="002C3771">
        <w:rPr>
          <w:rStyle w:val="normaltextrun"/>
          <w:rFonts w:asciiTheme="majorBidi" w:eastAsiaTheme="majorEastAsia" w:hAnsiTheme="majorBidi" w:cstheme="majorBidi"/>
        </w:rPr>
        <w:t>The</w:t>
      </w:r>
      <w:r w:rsidRPr="00ED7E61">
        <w:rPr>
          <w:rStyle w:val="normaltextrun"/>
          <w:rFonts w:asciiTheme="majorBidi" w:eastAsiaTheme="majorEastAsia" w:hAnsiTheme="majorBidi" w:cstheme="majorBidi"/>
          <w:color w:val="000000"/>
        </w:rPr>
        <w:t xml:space="preserve"> Nature of Subsidies: A step-by-step guide to repurpose subsidies harmful to biodiversity and improve their impacts on people and nature (2024) </w:t>
      </w:r>
      <w:hyperlink r:id="rId590" w:tgtFrame="_blank" w:history="1">
        <w:r w:rsidRPr="00ED7E61">
          <w:rPr>
            <w:rStyle w:val="normaltextrun"/>
            <w:rFonts w:asciiTheme="majorBidi" w:eastAsiaTheme="majorEastAsia" w:hAnsiTheme="majorBidi" w:cstheme="majorBidi"/>
            <w:color w:val="467886"/>
            <w:u w:val="single"/>
          </w:rPr>
          <w:t>The Nature of Subsidies: A step-by-step guide to repurpose subsidies harmful to biodiversity and improve their impacts on people and nature | BIOFIN</w:t>
        </w:r>
      </w:hyperlink>
      <w:r w:rsidRPr="00ED7E61">
        <w:rPr>
          <w:rStyle w:val="eop"/>
          <w:rFonts w:asciiTheme="majorBidi" w:eastAsiaTheme="majorEastAsia" w:hAnsiTheme="majorBidi" w:cstheme="majorBidi"/>
          <w:color w:val="467886"/>
        </w:rPr>
        <w:t> </w:t>
      </w:r>
    </w:p>
    <w:p w14:paraId="70C0A119" w14:textId="295CCF38" w:rsidR="00751000" w:rsidRPr="00ED7E61" w:rsidRDefault="00756F0F" w:rsidP="00CE5D0F">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Matthews, A. and K. Karousakis</w:t>
      </w:r>
      <w:r w:rsidRPr="00ED7E61">
        <w:rPr>
          <w:rStyle w:val="normaltextrun"/>
          <w:rFonts w:asciiTheme="majorBidi" w:eastAsiaTheme="majorEastAsia" w:hAnsiTheme="majorBidi" w:cstheme="majorBidi"/>
          <w:color w:val="000000"/>
        </w:rPr>
        <w:t xml:space="preserve"> (2022), "</w:t>
      </w:r>
      <w:r w:rsidRPr="00FB1598">
        <w:rPr>
          <w:rStyle w:val="normaltextrun"/>
          <w:rFonts w:asciiTheme="majorBidi" w:eastAsiaTheme="majorEastAsia" w:hAnsiTheme="majorBidi" w:cstheme="majorBidi"/>
          <w:i/>
          <w:iCs/>
          <w:color w:val="000000"/>
        </w:rPr>
        <w:t>Identifying and assessing subsidies and other incentives harmful to biodiversity: A comparative review of existing national-level assessments and insights for good practice</w:t>
      </w:r>
      <w:r w:rsidRPr="00ED7E61">
        <w:rPr>
          <w:rStyle w:val="normaltextrun"/>
          <w:rFonts w:asciiTheme="majorBidi" w:eastAsiaTheme="majorEastAsia" w:hAnsiTheme="majorBidi" w:cstheme="majorBidi"/>
          <w:color w:val="000000"/>
        </w:rPr>
        <w:t xml:space="preserve">", </w:t>
      </w:r>
      <w:r w:rsidRPr="00ED7E61">
        <w:rPr>
          <w:rStyle w:val="normaltextrun"/>
          <w:rFonts w:asciiTheme="majorBidi" w:eastAsiaTheme="majorEastAsia" w:hAnsiTheme="majorBidi" w:cstheme="majorBidi"/>
          <w:i/>
          <w:iCs/>
          <w:color w:val="000000"/>
        </w:rPr>
        <w:t>OECD Environment Working Papers</w:t>
      </w:r>
      <w:r w:rsidRPr="00ED7E61">
        <w:rPr>
          <w:rStyle w:val="normaltextrun"/>
          <w:rFonts w:asciiTheme="majorBidi" w:eastAsiaTheme="majorEastAsia" w:hAnsiTheme="majorBidi" w:cstheme="majorBidi"/>
          <w:color w:val="000000"/>
        </w:rPr>
        <w:t xml:space="preserve">, No. 206, OECD Publishing, Paris, </w:t>
      </w:r>
      <w:hyperlink r:id="rId591" w:tgtFrame="_blank" w:history="1">
        <w:r w:rsidRPr="00ED7E61">
          <w:rPr>
            <w:rStyle w:val="normaltextrun"/>
            <w:rFonts w:asciiTheme="majorBidi" w:eastAsiaTheme="majorEastAsia" w:hAnsiTheme="majorBidi" w:cstheme="majorBidi"/>
            <w:color w:val="467886"/>
            <w:u w:val="single"/>
          </w:rPr>
          <w:t>https://doi.org/10.1787/3e9118d3-en</w:t>
        </w:r>
      </w:hyperlink>
      <w:r w:rsidRPr="00ED7E61">
        <w:rPr>
          <w:rStyle w:val="eop"/>
          <w:rFonts w:asciiTheme="majorBidi" w:eastAsiaTheme="majorEastAsia" w:hAnsiTheme="majorBidi" w:cstheme="majorBidi"/>
          <w:color w:val="467886"/>
        </w:rPr>
        <w:t> </w:t>
      </w:r>
    </w:p>
    <w:p w14:paraId="7FB50385" w14:textId="08A5B07C" w:rsidR="00751000" w:rsidRPr="00ED7E61" w:rsidRDefault="00756F0F" w:rsidP="00CE5D0F">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 xml:space="preserve">UNEP (2019),Measuring Fossil Fuel Subsidies in the Context of the Sustainable Development Goals, UN Environment, Nairobi, Kenya </w:t>
      </w:r>
      <w:hyperlink r:id="rId592" w:tgtFrame="_blank" w:history="1">
        <w:r w:rsidRPr="00ED7E61">
          <w:rPr>
            <w:rStyle w:val="normaltextrun"/>
            <w:rFonts w:asciiTheme="majorBidi" w:eastAsiaTheme="majorEastAsia" w:hAnsiTheme="majorBidi" w:cstheme="majorBidi"/>
            <w:color w:val="0000FF"/>
          </w:rPr>
          <w:t>FossilFuel.pdf (unep.org)</w:t>
        </w:r>
      </w:hyperlink>
      <w:r w:rsidRPr="00ED7E61">
        <w:rPr>
          <w:rStyle w:val="eop"/>
          <w:rFonts w:asciiTheme="majorBidi" w:eastAsiaTheme="majorEastAsia" w:hAnsiTheme="majorBidi" w:cstheme="majorBidi"/>
        </w:rPr>
        <w:t> </w:t>
      </w:r>
    </w:p>
    <w:p w14:paraId="0A65D594" w14:textId="77777777" w:rsidR="00756F0F" w:rsidRPr="00ED7E61" w:rsidRDefault="00756F0F" w:rsidP="00CE5D0F">
      <w:pPr>
        <w:pStyle w:val="CBDNormalNumber"/>
        <w:numPr>
          <w:ilvl w:val="0"/>
          <w:numId w:val="0"/>
        </w:numPr>
        <w:shd w:val="clear" w:color="auto" w:fill="FFFFFF"/>
        <w:ind w:left="567"/>
        <w:rPr>
          <w:rFonts w:asciiTheme="majorBidi" w:hAnsiTheme="majorBidi" w:cstheme="majorBidi"/>
        </w:rPr>
      </w:pPr>
      <w:r w:rsidRPr="00ED7E61">
        <w:rPr>
          <w:rStyle w:val="normaltextrun"/>
          <w:rFonts w:asciiTheme="majorBidi" w:eastAsiaTheme="majorEastAsia" w:hAnsiTheme="majorBidi" w:cstheme="majorBidi"/>
        </w:rPr>
        <w:t xml:space="preserve">OECD and IISD, Fossil Fuel Subsidy Tracker, </w:t>
      </w:r>
      <w:hyperlink r:id="rId593" w:tgtFrame="_blank" w:history="1">
        <w:r w:rsidRPr="00ED7E61">
          <w:rPr>
            <w:rStyle w:val="normaltextrun"/>
            <w:rFonts w:asciiTheme="majorBidi" w:eastAsiaTheme="majorEastAsia" w:hAnsiTheme="majorBidi" w:cstheme="majorBidi"/>
            <w:color w:val="0000FF"/>
          </w:rPr>
          <w:t>Home - Fossil Fuel Subsidies (fossilfuelsubsidytracker.org)</w:t>
        </w:r>
      </w:hyperlink>
      <w:r w:rsidRPr="00ED7E61">
        <w:rPr>
          <w:rStyle w:val="eop"/>
          <w:rFonts w:asciiTheme="majorBidi" w:eastAsiaTheme="majorEastAsia" w:hAnsiTheme="majorBidi" w:cstheme="majorBidi"/>
        </w:rPr>
        <w:t> </w:t>
      </w:r>
    </w:p>
    <w:p w14:paraId="7FBF4922" w14:textId="77777777" w:rsidR="00756F0F" w:rsidRPr="00ED7E61" w:rsidRDefault="00756F0F" w:rsidP="00395866">
      <w:pPr>
        <w:pStyle w:val="paragraph"/>
        <w:pBdr>
          <w:bottom w:val="single" w:sz="4" w:space="1" w:color="000000"/>
        </w:pBdr>
        <w:spacing w:before="0" w:beforeAutospacing="0" w:after="0" w:afterAutospacing="0"/>
        <w:textAlignment w:val="baseline"/>
        <w:rPr>
          <w:rFonts w:asciiTheme="majorBidi" w:hAnsiTheme="majorBidi" w:cstheme="majorBidi"/>
          <w:b/>
          <w:bCs/>
          <w:sz w:val="22"/>
          <w:szCs w:val="22"/>
        </w:rPr>
      </w:pPr>
      <w:r w:rsidRPr="00ED7E61">
        <w:rPr>
          <w:rStyle w:val="normaltextrun"/>
          <w:rFonts w:asciiTheme="majorBidi" w:eastAsiaTheme="majorEastAsia" w:hAnsiTheme="majorBidi" w:cstheme="majorBidi"/>
          <w:b/>
          <w:bCs/>
          <w:sz w:val="22"/>
          <w:szCs w:val="22"/>
          <w:lang w:val="en-GB"/>
        </w:rPr>
        <w:t>12. Graphs and diagrams</w:t>
      </w:r>
      <w:r w:rsidRPr="00ED7E61">
        <w:rPr>
          <w:rStyle w:val="eop"/>
          <w:rFonts w:asciiTheme="majorBidi" w:eastAsiaTheme="majorEastAsia" w:hAnsiTheme="majorBidi" w:cstheme="majorBidi"/>
          <w:b/>
          <w:bCs/>
          <w:sz w:val="22"/>
          <w:szCs w:val="22"/>
        </w:rPr>
        <w:t> </w:t>
      </w:r>
    </w:p>
    <w:p w14:paraId="68658A4C" w14:textId="577041BD" w:rsidR="00756F0F" w:rsidRPr="00ED7E61" w:rsidRDefault="00756F0F" w:rsidP="00395866">
      <w:pPr>
        <w:pStyle w:val="paragraph"/>
        <w:spacing w:before="0" w:beforeAutospacing="0" w:after="0" w:afterAutospacing="0"/>
        <w:jc w:val="center"/>
        <w:textAlignment w:val="baseline"/>
        <w:rPr>
          <w:rFonts w:asciiTheme="majorBidi" w:hAnsiTheme="majorBidi" w:cstheme="majorBidi"/>
          <w:sz w:val="22"/>
          <w:szCs w:val="22"/>
        </w:rPr>
      </w:pPr>
      <w:r w:rsidRPr="00ED7E61">
        <w:rPr>
          <w:rStyle w:val="wacimagecontainer"/>
          <w:rFonts w:asciiTheme="majorBidi" w:eastAsiaTheme="majorEastAsia" w:hAnsiTheme="majorBidi" w:cstheme="majorBidi"/>
          <w:noProof/>
          <w:sz w:val="22"/>
          <w:szCs w:val="22"/>
          <w:lang w:val="fr-FR" w:eastAsia="fr-FR"/>
        </w:rPr>
        <w:drawing>
          <wp:inline distT="0" distB="0" distL="0" distR="0" wp14:anchorId="57F90DA0" wp14:editId="28D26CBC">
            <wp:extent cx="5943600" cy="3343275"/>
            <wp:effectExtent l="0" t="0" r="0" b="0"/>
            <wp:docPr id="1968780607" name="Picture 1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aph of different colored lines&#10;&#10;Description automatically generated with medium confidence"/>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A7763A6" w14:textId="0B75C86D" w:rsidR="00756F0F" w:rsidRPr="00ED7E61" w:rsidRDefault="00756F0F" w:rsidP="00B3383B">
      <w:pPr>
        <w:pStyle w:val="paragraph"/>
        <w:spacing w:before="0" w:beforeAutospacing="0" w:after="0" w:afterAutospacing="0"/>
        <w:ind w:left="567"/>
        <w:textAlignment w:val="baseline"/>
        <w:rPr>
          <w:rFonts w:asciiTheme="majorBidi" w:hAnsiTheme="majorBidi" w:cstheme="majorBidi"/>
          <w:sz w:val="22"/>
          <w:szCs w:val="22"/>
        </w:rPr>
      </w:pPr>
      <w:r w:rsidRPr="00B3383B">
        <w:rPr>
          <w:rStyle w:val="normaltextrun"/>
          <w:rFonts w:asciiTheme="majorBidi" w:eastAsiaTheme="majorEastAsia" w:hAnsiTheme="majorBidi" w:cstheme="majorBidi"/>
          <w:sz w:val="22"/>
          <w:szCs w:val="22"/>
          <w:lang w:val="en-GB"/>
        </w:rPr>
        <w:t xml:space="preserve">Figure </w:t>
      </w:r>
      <w:r w:rsidR="004E6707" w:rsidRPr="00B3383B">
        <w:rPr>
          <w:rStyle w:val="normaltextrun"/>
          <w:rFonts w:asciiTheme="majorBidi" w:eastAsiaTheme="majorEastAsia" w:hAnsiTheme="majorBidi" w:cstheme="majorBidi"/>
          <w:sz w:val="22"/>
          <w:szCs w:val="22"/>
          <w:lang w:val="en-GB"/>
        </w:rPr>
        <w:t>I</w:t>
      </w:r>
      <w:r w:rsidRPr="00ED7E61">
        <w:rPr>
          <w:rStyle w:val="normaltextrun"/>
          <w:rFonts w:asciiTheme="majorBidi" w:eastAsiaTheme="majorEastAsia" w:hAnsiTheme="majorBidi" w:cstheme="majorBidi"/>
          <w:i/>
          <w:iCs/>
          <w:sz w:val="22"/>
          <w:szCs w:val="22"/>
          <w:lang w:val="en-GB"/>
        </w:rPr>
        <w:t xml:space="preserve"> </w:t>
      </w:r>
      <w:r w:rsidR="004E6707">
        <w:rPr>
          <w:rStyle w:val="normaltextrun"/>
          <w:rFonts w:asciiTheme="majorBidi" w:eastAsiaTheme="majorEastAsia" w:hAnsiTheme="majorBidi" w:cstheme="majorBidi"/>
          <w:i/>
          <w:iCs/>
          <w:sz w:val="22"/>
          <w:szCs w:val="22"/>
          <w:lang w:val="en-GB"/>
        </w:rPr>
        <w:br/>
      </w:r>
      <w:r w:rsidRPr="00B3383B">
        <w:rPr>
          <w:rStyle w:val="normaltextrun"/>
          <w:rFonts w:asciiTheme="majorBidi" w:eastAsiaTheme="majorEastAsia" w:hAnsiTheme="majorBidi" w:cstheme="majorBidi"/>
          <w:b/>
          <w:bCs/>
          <w:sz w:val="22"/>
          <w:szCs w:val="22"/>
          <w:lang w:val="en-GB"/>
        </w:rPr>
        <w:t>Value of subsidies to capture fisheries with a risk (moderate or high) of encouraging unsustainable fishing in the absence of effective fisheries management</w:t>
      </w:r>
      <w:r w:rsidRPr="00ED7E61">
        <w:rPr>
          <w:rStyle w:val="eop"/>
          <w:rFonts w:asciiTheme="majorBidi" w:eastAsiaTheme="majorEastAsia" w:hAnsiTheme="majorBidi" w:cstheme="majorBidi"/>
          <w:sz w:val="22"/>
          <w:szCs w:val="22"/>
        </w:rPr>
        <w:t> </w:t>
      </w:r>
    </w:p>
    <w:p w14:paraId="71368934" w14:textId="4096C4DB" w:rsidR="00D311B8" w:rsidRPr="00ED7E61" w:rsidRDefault="00D311B8" w:rsidP="00395866">
      <w:pPr>
        <w:pStyle w:val="paragraph"/>
        <w:spacing w:before="0" w:beforeAutospacing="0" w:after="0" w:afterAutospacing="0"/>
        <w:textAlignment w:val="baseline"/>
        <w:rPr>
          <w:rStyle w:val="eop"/>
          <w:rFonts w:asciiTheme="majorBidi" w:eastAsiaTheme="majorEastAsia" w:hAnsiTheme="majorBidi" w:cstheme="majorBidi"/>
          <w:sz w:val="22"/>
          <w:szCs w:val="22"/>
        </w:rPr>
      </w:pPr>
    </w:p>
    <w:p w14:paraId="06639088" w14:textId="77777777" w:rsidR="00CE5D0F" w:rsidRDefault="00CE5D0F" w:rsidP="00670D5E">
      <w:pPr>
        <w:pStyle w:val="Heading3"/>
        <w:rPr>
          <w:rStyle w:val="normaltextrun"/>
        </w:rPr>
        <w:sectPr w:rsidR="00CE5D0F" w:rsidSect="00B3383B">
          <w:pgSz w:w="12240" w:h="15840"/>
          <w:pgMar w:top="1134" w:right="1440" w:bottom="1134" w:left="1440" w:header="709" w:footer="709" w:gutter="0"/>
          <w:cols w:space="708"/>
          <w:docGrid w:linePitch="360"/>
        </w:sectPr>
      </w:pPr>
      <w:bookmarkStart w:id="76" w:name="_Toc178285880"/>
    </w:p>
    <w:p w14:paraId="3FB16137" w14:textId="7D2C5472" w:rsidR="00670D5E" w:rsidRPr="00ED7E61" w:rsidRDefault="00670D5E" w:rsidP="00670D5E">
      <w:pPr>
        <w:pStyle w:val="Heading3"/>
      </w:pPr>
      <w:r w:rsidRPr="00ED7E61">
        <w:rPr>
          <w:rStyle w:val="normaltextrun"/>
        </w:rPr>
        <w:t xml:space="preserve">GBF indicator metadata: </w:t>
      </w:r>
      <w:r>
        <w:rPr>
          <w:rStyle w:val="normaltextrun"/>
        </w:rPr>
        <w:t>Target 19</w:t>
      </w:r>
      <w:bookmarkEnd w:id="76"/>
      <w:r>
        <w:rPr>
          <w:rStyle w:val="normaltextrun"/>
        </w:rPr>
        <w:t xml:space="preserve"> </w:t>
      </w:r>
    </w:p>
    <w:p w14:paraId="7347B717" w14:textId="1FF8A012" w:rsidR="007A7DB0" w:rsidRPr="00670D5E" w:rsidRDefault="00670D5E" w:rsidP="00CE5D0F">
      <w:pPr>
        <w:pStyle w:val="CBDNormalNumber"/>
        <w:numPr>
          <w:ilvl w:val="0"/>
          <w:numId w:val="0"/>
        </w:numPr>
        <w:shd w:val="clear" w:color="auto" w:fill="FFFFFF"/>
        <w:ind w:left="567"/>
        <w:rPr>
          <w:rStyle w:val="normaltextrun"/>
          <w:rFonts w:asciiTheme="majorBidi" w:eastAsiaTheme="majorEastAsia" w:hAnsiTheme="majorBidi" w:cstheme="majorBidi"/>
          <w:b/>
          <w:sz w:val="28"/>
          <w:szCs w:val="28"/>
        </w:rPr>
      </w:pPr>
      <w:r w:rsidRPr="00FB1598">
        <w:rPr>
          <w:rStyle w:val="normaltextrun"/>
          <w:rFonts w:asciiTheme="majorBidi" w:eastAsiaTheme="majorEastAsia" w:hAnsiTheme="majorBidi" w:cstheme="majorBidi"/>
        </w:rPr>
        <w:t xml:space="preserve">Note that the headline indicators for target 19 of the Kunming-Montreal Global Biodiversity Framework are headline indicators </w:t>
      </w:r>
      <w:r w:rsidRPr="00FB1598">
        <w:rPr>
          <w:rStyle w:val="normaltextrun"/>
        </w:rPr>
        <w:t>D.1 (International public funding, including official development assistance for conservation and sustainable use of biodiversity and ecosystems) D.2 (Domestic public funding on conservation and sustainable use of biodiversity and ecosystems) and D.3 (Private funding (domestic and international) on conservation and sustainable use of biodiversity and ecosystems).</w:t>
      </w:r>
      <w:r w:rsidRPr="00670D5E">
        <w:rPr>
          <w:rFonts w:asciiTheme="majorBidi" w:eastAsiaTheme="majorEastAsia" w:hAnsiTheme="majorBidi" w:cstheme="majorBidi"/>
          <w:color w:val="467886"/>
          <w:u w:val="single"/>
          <w:lang w:val="en-CA"/>
        </w:rPr>
        <w:t xml:space="preserve"> </w:t>
      </w:r>
      <w:r w:rsidR="007A7DB0" w:rsidRPr="00ED7E61">
        <w:rPr>
          <w:rStyle w:val="normaltextrun"/>
        </w:rPr>
        <w:br w:type="page"/>
      </w:r>
    </w:p>
    <w:p w14:paraId="39E5B619" w14:textId="1D44CBB6" w:rsidR="00174F32" w:rsidRPr="00ED7E61" w:rsidRDefault="00174F32" w:rsidP="00174F32">
      <w:pPr>
        <w:pStyle w:val="Heading3"/>
      </w:pPr>
      <w:bookmarkStart w:id="77" w:name="_Toc178285881"/>
      <w:r w:rsidRPr="00ED7E61">
        <w:rPr>
          <w:rStyle w:val="normaltextrun"/>
        </w:rPr>
        <w:t xml:space="preserve">GBF indicator metadata: </w:t>
      </w:r>
      <w:r w:rsidRPr="00ED7E61">
        <w:rPr>
          <w:rStyle w:val="eop"/>
        </w:rPr>
        <w:t>20.b Target 20 binary indicator</w:t>
      </w:r>
      <w:bookmarkEnd w:id="77"/>
      <w:r w:rsidRPr="00ED7E61">
        <w:rPr>
          <w:rStyle w:val="eop"/>
        </w:rPr>
        <w:t xml:space="preserve"> </w:t>
      </w:r>
    </w:p>
    <w:p w14:paraId="3C87B2A7" w14:textId="77777777" w:rsidR="00174F32" w:rsidRPr="00ED7E61" w:rsidRDefault="00174F32" w:rsidP="00174F32">
      <w:pPr>
        <w:pStyle w:val="paragraph"/>
        <w:spacing w:before="0" w:beforeAutospacing="0" w:after="0" w:afterAutospacing="0"/>
        <w:textAlignment w:val="baseline"/>
        <w:rPr>
          <w:rFonts w:asciiTheme="majorBidi" w:hAnsiTheme="majorBidi" w:cstheme="majorBidi"/>
          <w:sz w:val="22"/>
          <w:szCs w:val="22"/>
        </w:rPr>
      </w:pPr>
    </w:p>
    <w:p w14:paraId="3CDD74C7" w14:textId="77777777" w:rsidR="00174F32" w:rsidRPr="00ED7E61" w:rsidRDefault="00174F32" w:rsidP="00174F32">
      <w:pPr>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244252A7" w14:textId="2C98DA0C" w:rsidR="00174F32" w:rsidRPr="00CE5D0F" w:rsidRDefault="00174F32" w:rsidP="00174F32">
      <w:pPr>
        <w:jc w:val="both"/>
        <w:rPr>
          <w:rFonts w:asciiTheme="majorBidi" w:hAnsiTheme="majorBidi" w:cstheme="majorBidi"/>
          <w:sz w:val="22"/>
          <w:szCs w:val="22"/>
        </w:rPr>
      </w:pPr>
      <w:r w:rsidRPr="00ED7E61">
        <w:rPr>
          <w:rFonts w:asciiTheme="majorBidi" w:hAnsiTheme="majorBidi" w:cstheme="majorBidi"/>
          <w:color w:val="000000" w:themeColor="text1"/>
          <w:sz w:val="22"/>
          <w:szCs w:val="22"/>
        </w:rPr>
        <w:t>Number of countries that have taken significant action to strengthen capacity-building and development and access to and transfer of technology, and to promote the development of and access to innovation and technical and scientific cooperation.</w:t>
      </w:r>
    </w:p>
    <w:p w14:paraId="32F8B7D3" w14:textId="4FF89BAF" w:rsidR="00174F32" w:rsidRPr="00ED7E61" w:rsidRDefault="00174F32" w:rsidP="00CE5D0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0AB0DC7E" w14:textId="77777777" w:rsidR="00174F32" w:rsidRPr="00ED7E61" w:rsidRDefault="00174F32" w:rsidP="00CE5D0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4118C45F" w14:textId="5400BCD5" w:rsidR="00174F32" w:rsidRPr="00CE5D0F" w:rsidRDefault="00174F32" w:rsidP="00174F32">
      <w:pPr>
        <w:jc w:val="both"/>
        <w:rPr>
          <w:rFonts w:asciiTheme="majorBidi" w:hAnsiTheme="majorBidi" w:cstheme="majorBidi"/>
          <w:color w:val="242424"/>
          <w:sz w:val="22"/>
          <w:szCs w:val="22"/>
        </w:rPr>
      </w:pPr>
      <w:r w:rsidRPr="00ED7E61">
        <w:rPr>
          <w:rFonts w:asciiTheme="majorBidi" w:hAnsiTheme="majorBidi" w:cstheme="majorBidi"/>
          <w:color w:val="242424"/>
          <w:sz w:val="22"/>
          <w:szCs w:val="22"/>
        </w:rPr>
        <w:t>N/A</w:t>
      </w:r>
    </w:p>
    <w:p w14:paraId="18A08449" w14:textId="1111607B" w:rsidR="00174F32" w:rsidRPr="00ED7E61" w:rsidRDefault="00174F32" w:rsidP="00CE5D0F">
      <w:pPr>
        <w:spacing w:before="120"/>
        <w:jc w:val="both"/>
        <w:rPr>
          <w:rFonts w:asciiTheme="majorBidi" w:hAnsiTheme="majorBidi" w:cstheme="majorBidi"/>
          <w:sz w:val="22"/>
          <w:szCs w:val="22"/>
        </w:rPr>
      </w:pPr>
      <w:r w:rsidRPr="00ED7E61">
        <w:rPr>
          <w:rFonts w:asciiTheme="majorBidi" w:hAnsiTheme="majorBidi" w:cstheme="majorBidi"/>
          <w:b/>
          <w:bCs/>
          <w:sz w:val="22"/>
          <w:szCs w:val="22"/>
        </w:rPr>
        <w:t>Target</w:t>
      </w:r>
    </w:p>
    <w:p w14:paraId="60FFAC60" w14:textId="77777777" w:rsidR="00174F32" w:rsidRPr="00ED7E61" w:rsidRDefault="00174F32" w:rsidP="00174F32">
      <w:pPr>
        <w:jc w:val="both"/>
        <w:rPr>
          <w:rFonts w:asciiTheme="majorBidi" w:hAnsiTheme="majorBidi" w:cstheme="majorBidi"/>
          <w:sz w:val="22"/>
          <w:szCs w:val="22"/>
        </w:rPr>
      </w:pPr>
      <w:r w:rsidRPr="00ED7E61">
        <w:rPr>
          <w:rFonts w:asciiTheme="majorBidi" w:hAnsiTheme="majorBidi" w:cstheme="majorBidi"/>
          <w:sz w:val="22"/>
          <w:szCs w:val="22"/>
        </w:rPr>
        <w:t>Binary indicator for Target 20. Strengthen capacity-building and development, access to and transfer of technology, and promote development of and access to innovation and technical and scientific cooperation, including through South-South, North-South and triangular cooperation, to meet the needs for effective implementation, particularly in developing countries, fostering joint technology development and joint scientific research programmes for the conservation and sustainable use of biodiversity and strengthening scientific research and monitoring capacities, commensurate with the ambition of the goals and targets of the Framework.</w:t>
      </w:r>
    </w:p>
    <w:p w14:paraId="4B84C022" w14:textId="77777777" w:rsidR="00174F32" w:rsidRPr="00ED7E61" w:rsidRDefault="00174F32" w:rsidP="00174F32">
      <w:pPr>
        <w:jc w:val="both"/>
        <w:rPr>
          <w:rFonts w:asciiTheme="majorBidi" w:hAnsiTheme="majorBidi" w:cstheme="majorBidi"/>
          <w:sz w:val="22"/>
          <w:szCs w:val="22"/>
          <w:lang w:val="en-US"/>
        </w:rPr>
      </w:pPr>
    </w:p>
    <w:p w14:paraId="3ECBA959" w14:textId="77777777" w:rsidR="00174F32" w:rsidRPr="00ED7E61" w:rsidRDefault="00174F32" w:rsidP="00174F32">
      <w:pPr>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589406A1" w14:textId="711E3FF0" w:rsidR="00174F32" w:rsidRPr="00ED7E61" w:rsidRDefault="00174F32" w:rsidP="00B10F0C">
      <w:pPr>
        <w:pStyle w:val="CBDNormalNumber"/>
        <w:numPr>
          <w:ilvl w:val="0"/>
          <w:numId w:val="95"/>
        </w:numPr>
        <w:shd w:val="clear" w:color="auto" w:fill="FFFFFF"/>
        <w:tabs>
          <w:tab w:val="clear" w:pos="1701"/>
        </w:tabs>
        <w:ind w:left="567" w:firstLine="0"/>
        <w:rPr>
          <w:rFonts w:asciiTheme="majorBidi" w:hAnsiTheme="majorBidi" w:cstheme="majorBidi"/>
        </w:rPr>
      </w:pPr>
      <w:r w:rsidRPr="002C3771">
        <w:rPr>
          <w:rStyle w:val="normaltextrun"/>
          <w:rFonts w:eastAsiaTheme="majorEastAsia"/>
        </w:rPr>
        <w:t>To</w:t>
      </w:r>
      <w:r w:rsidRPr="00ED7E61">
        <w:rPr>
          <w:rFonts w:asciiTheme="majorBidi" w:hAnsiTheme="majorBidi" w:cstheme="majorBidi"/>
        </w:rPr>
        <w:t xml:space="preserve"> achieve the goals and targets of the Kunming-Montreal Global Biodiversity Framework, Parties and other actors need to have commensurate expertise (including both technical and functional capacities), knowledge, tools, technologies and institutional capacity to effectively prioritize, plan, mobilize resources, and implement and monitor relevant strategies, programmes and activities at the national level. Capacity development, technical and scientific cooperation, technology transfer and innovation are crucial for enhancing the abilities, resilience and effectiveness of individuals, institutions and systems at various levels for improved biodiversity-related decision-making, action and outcomes.</w:t>
      </w:r>
    </w:p>
    <w:p w14:paraId="41CF3A29" w14:textId="77777777"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bCs/>
        </w:rPr>
      </w:pPr>
      <w:r w:rsidRPr="002C3771">
        <w:rPr>
          <w:rStyle w:val="normaltextrun"/>
          <w:rFonts w:eastAsiaTheme="majorEastAsia"/>
        </w:rPr>
        <w:t>The</w:t>
      </w:r>
      <w:r w:rsidRPr="00ED7E61">
        <w:rPr>
          <w:rFonts w:asciiTheme="majorBidi" w:hAnsiTheme="majorBidi" w:cstheme="majorBidi"/>
          <w:bCs/>
        </w:rPr>
        <w:t xml:space="preserve"> ultimate aim of this target is to ensure that Parties and other relevant actors have the necessary enabling conditions, capacity, know-how, technologies and other tools for implementation, commensurate with the ambition of the goals and targets of the Framework. Therefore, the indicator tracks progress along the assessment of needs, both in terms of capacity and technology, the development of action plans for capacity-building and technology, and the cooperation between Parties. All three elements, assessing needs, developing an action plan and collaboration are essential to deliver on the Framework.</w:t>
      </w:r>
    </w:p>
    <w:p w14:paraId="34E93580" w14:textId="65534A66" w:rsidR="00174F32" w:rsidRPr="00ED7E61" w:rsidRDefault="00174F32" w:rsidP="00174F32">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BF5363" w:rsidRPr="00ED7E61">
        <w:rPr>
          <w:rFonts w:asciiTheme="majorBidi" w:hAnsiTheme="majorBidi" w:cstheme="majorBidi"/>
          <w:b/>
          <w:bCs/>
          <w:sz w:val="22"/>
          <w:szCs w:val="22"/>
        </w:rPr>
        <w:t>and</w:t>
      </w:r>
      <w:r w:rsidRPr="00ED7E61">
        <w:rPr>
          <w:rFonts w:asciiTheme="majorBidi" w:hAnsiTheme="majorBidi" w:cstheme="majorBidi"/>
          <w:b/>
          <w:bCs/>
          <w:sz w:val="22"/>
          <w:szCs w:val="22"/>
        </w:rPr>
        <w:t xml:space="preserve"> Classifications</w:t>
      </w:r>
    </w:p>
    <w:p w14:paraId="71B64118" w14:textId="77777777" w:rsidR="00174F32" w:rsidRPr="00ED7E61" w:rsidRDefault="00174F32" w:rsidP="00CE5D0F">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13F32C13" w14:textId="2EA5A995"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rPr>
      </w:pPr>
      <w:r w:rsidRPr="002C3771">
        <w:rPr>
          <w:rStyle w:val="normaltextrun"/>
          <w:rFonts w:eastAsiaTheme="majorEastAsia"/>
        </w:rPr>
        <w:t>Capacity</w:t>
      </w:r>
      <w:r w:rsidRPr="00ED7E61">
        <w:rPr>
          <w:rFonts w:asciiTheme="majorBidi" w:hAnsiTheme="majorBidi" w:cstheme="majorBidi"/>
          <w:color w:val="000000" w:themeColor="text1"/>
        </w:rPr>
        <w:t xml:space="preserve">: </w:t>
      </w:r>
      <w:r w:rsidRPr="00ED7E61">
        <w:rPr>
          <w:rFonts w:asciiTheme="majorBidi" w:hAnsiTheme="majorBidi" w:cstheme="majorBidi"/>
        </w:rPr>
        <w:t>The ability of people, organizations and societies as a whole to achieve the biodiversity-related goals and action targets.</w:t>
      </w:r>
    </w:p>
    <w:p w14:paraId="437168BB" w14:textId="6E124AD4"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color w:val="000000" w:themeColor="text1"/>
        </w:rPr>
      </w:pPr>
      <w:r w:rsidRPr="002C3771">
        <w:rPr>
          <w:rStyle w:val="normaltextrun"/>
          <w:rFonts w:eastAsiaTheme="majorEastAsia"/>
        </w:rPr>
        <w:t>Capacity</w:t>
      </w:r>
      <w:r w:rsidRPr="00ED7E61">
        <w:rPr>
          <w:rFonts w:asciiTheme="majorBidi" w:hAnsiTheme="majorBidi" w:cstheme="majorBidi"/>
          <w:color w:val="000000" w:themeColor="text1"/>
        </w:rPr>
        <w:t xml:space="preserve">-building and development: </w:t>
      </w:r>
      <w:r w:rsidRPr="00ED7E61">
        <w:rPr>
          <w:rFonts w:asciiTheme="majorBidi" w:hAnsiTheme="majorBidi" w:cstheme="majorBidi"/>
        </w:rPr>
        <w:t>The process whereby people, organizations and society as a whole unleash, strengthen, create, adapt and maintain capacity over time to achieve positive biodiversity results. Capacity‑building and development is considered at three levels: the enabling environment, organizational and individual levels.</w:t>
      </w:r>
    </w:p>
    <w:p w14:paraId="4EED743E" w14:textId="044DB10B"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color w:val="000000" w:themeColor="text1"/>
        </w:rPr>
      </w:pPr>
      <w:r w:rsidRPr="002C3771">
        <w:rPr>
          <w:rStyle w:val="normaltextrun"/>
          <w:rFonts w:eastAsiaTheme="majorEastAsia"/>
        </w:rPr>
        <w:t>Technical</w:t>
      </w:r>
      <w:r w:rsidRPr="00ED7E61">
        <w:rPr>
          <w:rFonts w:asciiTheme="majorBidi" w:hAnsiTheme="majorBidi" w:cstheme="majorBidi"/>
          <w:color w:val="000000" w:themeColor="text1"/>
        </w:rPr>
        <w:t xml:space="preserve"> and scientific cooperation: </w:t>
      </w:r>
      <w:r w:rsidRPr="00ED7E61">
        <w:rPr>
          <w:rFonts w:asciiTheme="majorBidi" w:hAnsiTheme="majorBidi" w:cstheme="majorBidi"/>
        </w:rPr>
        <w:t>Technical and scientific cooperation refers to a process whereby institutions in two or more countries pursue their individual or collective biodiversity-related goals through cooperative actions. This may include the creation and/or exchange of scientific knowledge, data, expertise, resources, technologies, and technical know-how. It may also include human resource development, institution building, joint training of personnel, exchange of experts, joint research programmes, joint ventures for the development and diffusion of technologies (including indigenous and traditional technologies), and transfer of technology and know-how.</w:t>
      </w:r>
    </w:p>
    <w:p w14:paraId="0C980039" w14:textId="69168FDA"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color w:val="000000" w:themeColor="text1"/>
        </w:rPr>
      </w:pPr>
      <w:r w:rsidRPr="002C3771">
        <w:rPr>
          <w:rStyle w:val="normaltextrun"/>
          <w:rFonts w:eastAsiaTheme="majorEastAsia"/>
        </w:rPr>
        <w:t>National</w:t>
      </w:r>
      <w:r w:rsidRPr="00ED7E61">
        <w:rPr>
          <w:rFonts w:asciiTheme="majorBidi" w:hAnsiTheme="majorBidi" w:cstheme="majorBidi"/>
          <w:color w:val="000000" w:themeColor="text1"/>
        </w:rPr>
        <w:t xml:space="preserve"> capacity self-assessment</w:t>
      </w:r>
      <w:r w:rsidRPr="00ED7E61">
        <w:rPr>
          <w:rFonts w:asciiTheme="majorBidi" w:hAnsiTheme="majorBidi" w:cstheme="majorBidi"/>
          <w:b/>
          <w:bCs/>
          <w:color w:val="000000" w:themeColor="text1"/>
        </w:rPr>
        <w:t>:</w:t>
      </w:r>
      <w:r w:rsidRPr="00ED7E61">
        <w:rPr>
          <w:rFonts w:asciiTheme="majorBidi" w:hAnsiTheme="majorBidi" w:cstheme="majorBidi"/>
          <w:color w:val="000000" w:themeColor="text1"/>
        </w:rPr>
        <w:t xml:space="preserve"> An official process outlined by the United Nations and the GEF secretariat to assess the existing capacity of a nation to deliver on and implement the convention. The primary goal of an NCSA is to determine national priorities for capacity development to better address global environmental issues. The NCSA will analyse the country’s capacity strengths, constraints and needs, and recommend capacity development actions to address them. The focus is on a country’s capacity requirements to implement the three “</w:t>
      </w:r>
      <w:r w:rsidRPr="00FB1598">
        <w:rPr>
          <w:rFonts w:asciiTheme="majorBidi" w:hAnsiTheme="majorBidi" w:cstheme="majorBidi"/>
          <w:i/>
          <w:iCs/>
          <w:color w:val="000000" w:themeColor="text1"/>
        </w:rPr>
        <w:t>Rio Conventions</w:t>
      </w:r>
      <w:r w:rsidRPr="00ED7E61">
        <w:rPr>
          <w:rFonts w:asciiTheme="majorBidi" w:hAnsiTheme="majorBidi" w:cstheme="majorBidi"/>
          <w:color w:val="000000" w:themeColor="text1"/>
        </w:rPr>
        <w:t>” – biodiversity (CBD), land degradation (CCD), and climate change (UNFCC) – and other relevant Multilateral Environmental Agreements (MEAs). In addition, the NCSA process aims to identify cross-cutting capacity issues and foster synergies among the MEAs.</w:t>
      </w:r>
    </w:p>
    <w:p w14:paraId="62BD2E06" w14:textId="327F68BF" w:rsidR="008D427D" w:rsidRPr="00ED7E61" w:rsidRDefault="00174F32" w:rsidP="00B10F0C">
      <w:pPr>
        <w:pStyle w:val="CBDNormalNumber"/>
        <w:numPr>
          <w:ilvl w:val="0"/>
          <w:numId w:val="95"/>
        </w:numPr>
        <w:shd w:val="clear" w:color="auto" w:fill="FFFFFF"/>
        <w:ind w:left="567" w:firstLine="0"/>
        <w:rPr>
          <w:rFonts w:asciiTheme="majorBidi" w:hAnsiTheme="majorBidi" w:cstheme="majorBidi"/>
          <w:color w:val="000000" w:themeColor="text1"/>
        </w:rPr>
      </w:pPr>
      <w:r w:rsidRPr="002C3771">
        <w:rPr>
          <w:rStyle w:val="normaltextrun"/>
          <w:rFonts w:eastAsiaTheme="majorEastAsia"/>
        </w:rPr>
        <w:t>National</w:t>
      </w:r>
      <w:r w:rsidRPr="00ED7E61">
        <w:rPr>
          <w:rFonts w:asciiTheme="majorBidi" w:hAnsiTheme="majorBidi" w:cstheme="majorBidi"/>
          <w:color w:val="000000" w:themeColor="text1"/>
        </w:rPr>
        <w:t xml:space="preserve"> capacity development action plan: National capacity development action plans are part of the formal process for Parties to support the implementation of their NBSAPs. Examples of these action plans can be found </w:t>
      </w:r>
      <w:hyperlink r:id="rId595">
        <w:r w:rsidRPr="00ED7E61">
          <w:rPr>
            <w:rStyle w:val="Hyperlink"/>
            <w:rFonts w:asciiTheme="majorBidi" w:eastAsiaTheme="majorEastAsia" w:hAnsiTheme="majorBidi" w:cstheme="majorBidi"/>
          </w:rPr>
          <w:t>here</w:t>
        </w:r>
      </w:hyperlink>
      <w:r w:rsidRPr="00ED7E61">
        <w:rPr>
          <w:rFonts w:asciiTheme="majorBidi" w:hAnsiTheme="majorBidi" w:cstheme="majorBidi"/>
          <w:color w:val="000000" w:themeColor="text1"/>
        </w:rPr>
        <w:t>.</w:t>
      </w:r>
    </w:p>
    <w:p w14:paraId="298CCED6" w14:textId="77777777" w:rsidR="008D427D" w:rsidRPr="00ED7E61" w:rsidRDefault="008D427D" w:rsidP="00B10F0C">
      <w:pPr>
        <w:pStyle w:val="CBDNormalNumber"/>
        <w:numPr>
          <w:ilvl w:val="0"/>
          <w:numId w:val="95"/>
        </w:numPr>
        <w:shd w:val="clear" w:color="auto" w:fill="FFFFFF"/>
        <w:ind w:left="567" w:firstLine="0"/>
        <w:rPr>
          <w:rFonts w:asciiTheme="majorBidi" w:hAnsiTheme="majorBidi" w:cstheme="majorBidi"/>
        </w:rPr>
      </w:pPr>
      <w:r w:rsidRPr="002C3771">
        <w:rPr>
          <w:rStyle w:val="normaltextrun"/>
          <w:rFonts w:eastAsiaTheme="majorEastAsia"/>
        </w:rPr>
        <w:t>South</w:t>
      </w:r>
      <w:r w:rsidRPr="00ED7E61">
        <w:rPr>
          <w:rFonts w:asciiTheme="majorBidi" w:hAnsiTheme="majorBidi" w:cstheme="majorBidi"/>
        </w:rPr>
        <w:t>-South cooperation: The exchange of </w:t>
      </w:r>
      <w:hyperlink r:id="rId596" w:tgtFrame="_blank" w:history="1">
        <w:r w:rsidRPr="00ED7E61">
          <w:rPr>
            <w:rFonts w:asciiTheme="majorBidi" w:hAnsiTheme="majorBidi" w:cstheme="majorBidi"/>
          </w:rPr>
          <w:t>best practices</w:t>
        </w:r>
      </w:hyperlink>
      <w:r w:rsidRPr="00ED7E61">
        <w:rPr>
          <w:rFonts w:asciiTheme="majorBidi" w:hAnsiTheme="majorBidi" w:cstheme="majorBidi"/>
        </w:rPr>
        <w:t>, resources, technology, and knowledge  between developing countries.</w:t>
      </w:r>
    </w:p>
    <w:p w14:paraId="19E7B884" w14:textId="77777777" w:rsidR="008D427D" w:rsidRPr="00ED7E61" w:rsidRDefault="008D427D" w:rsidP="00B10F0C">
      <w:pPr>
        <w:pStyle w:val="CBDNormalNumber"/>
        <w:numPr>
          <w:ilvl w:val="0"/>
          <w:numId w:val="95"/>
        </w:numPr>
        <w:shd w:val="clear" w:color="auto" w:fill="FFFFFF"/>
        <w:ind w:left="567" w:firstLine="0"/>
        <w:rPr>
          <w:rFonts w:asciiTheme="majorBidi" w:hAnsiTheme="majorBidi" w:cstheme="majorBidi"/>
        </w:rPr>
      </w:pPr>
      <w:r w:rsidRPr="002C3771">
        <w:rPr>
          <w:rStyle w:val="normaltextrun"/>
          <w:rFonts w:eastAsiaTheme="majorEastAsia"/>
        </w:rPr>
        <w:t>North</w:t>
      </w:r>
      <w:r w:rsidRPr="00ED7E61">
        <w:rPr>
          <w:rFonts w:asciiTheme="majorBidi" w:hAnsiTheme="majorBidi" w:cstheme="majorBidi"/>
        </w:rPr>
        <w:t>-South cooperation:  The exchange of </w:t>
      </w:r>
      <w:hyperlink r:id="rId597" w:tgtFrame="_blank" w:history="1">
        <w:r w:rsidRPr="00ED7E61">
          <w:rPr>
            <w:rFonts w:asciiTheme="majorBidi" w:hAnsiTheme="majorBidi" w:cstheme="majorBidi"/>
          </w:rPr>
          <w:t>best practices</w:t>
        </w:r>
      </w:hyperlink>
      <w:r w:rsidRPr="00ED7E61">
        <w:rPr>
          <w:rFonts w:asciiTheme="majorBidi" w:hAnsiTheme="majorBidi" w:cstheme="majorBidi"/>
        </w:rPr>
        <w:t>, resources, technology, and knowledge  between developing countries and developed countries.</w:t>
      </w:r>
    </w:p>
    <w:p w14:paraId="28E83F92" w14:textId="74CBBF57"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rPr>
      </w:pPr>
      <w:r w:rsidRPr="002C3771">
        <w:rPr>
          <w:rStyle w:val="normaltextrun"/>
          <w:rFonts w:eastAsiaTheme="majorEastAsia"/>
        </w:rPr>
        <w:t>Triangular</w:t>
      </w:r>
      <w:r w:rsidRPr="00ED7E61">
        <w:rPr>
          <w:rFonts w:asciiTheme="majorBidi" w:hAnsiTheme="majorBidi" w:cstheme="majorBidi"/>
        </w:rPr>
        <w:t xml:space="preserve"> cooperation: Southern-driven partnerships between two or more developing countries, supported by a developed country(ies) or multilateral organization(s), to implement development cooperation programmes and projects.</w:t>
      </w:r>
    </w:p>
    <w:p w14:paraId="70DB8E24" w14:textId="77777777"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rPr>
      </w:pPr>
      <w:r w:rsidRPr="002C3771">
        <w:rPr>
          <w:rStyle w:val="normaltextrun"/>
          <w:rFonts w:eastAsiaTheme="majorEastAsia"/>
        </w:rPr>
        <w:t>Indigenous</w:t>
      </w:r>
      <w:r w:rsidRPr="00ED7E61">
        <w:rPr>
          <w:rFonts w:asciiTheme="majorBidi" w:hAnsiTheme="majorBidi" w:cstheme="majorBidi"/>
        </w:rPr>
        <w:t xml:space="preserve"> technology: Refers to the technological knowledge, skills, and resources transmitted or handed down from the past indigenous people to the present ones to meet their needs and wants by means of investigating, designing, developing, and evaluating products, processes, and systems with an intention of solving the practical problems. Indigenous technology is used by the native inhabitants of a country or region, and it constitutes an important part of its cultural heritage (Gumbo, 2014; </w:t>
      </w:r>
      <w:hyperlink r:id="rId598">
        <w:r w:rsidRPr="00ED7E61">
          <w:rPr>
            <w:rStyle w:val="Hyperlink"/>
            <w:rFonts w:asciiTheme="majorBidi" w:eastAsiaTheme="majorEastAsia" w:hAnsiTheme="majorBidi" w:cstheme="majorBidi"/>
          </w:rPr>
          <w:t>access here</w:t>
        </w:r>
      </w:hyperlink>
      <w:r w:rsidRPr="00ED7E61">
        <w:rPr>
          <w:rFonts w:asciiTheme="majorBidi" w:hAnsiTheme="majorBidi" w:cstheme="majorBidi"/>
        </w:rPr>
        <w:t>).</w:t>
      </w:r>
    </w:p>
    <w:p w14:paraId="31E8ED92" w14:textId="77777777" w:rsidR="00174F32" w:rsidRPr="00ED7E61" w:rsidRDefault="00174F32" w:rsidP="00174F32">
      <w:pPr>
        <w:jc w:val="both"/>
        <w:rPr>
          <w:rFonts w:asciiTheme="majorBidi" w:hAnsiTheme="majorBidi" w:cstheme="majorBidi"/>
          <w:sz w:val="22"/>
          <w:szCs w:val="22"/>
        </w:rPr>
      </w:pPr>
    </w:p>
    <w:p w14:paraId="4FEEC27E" w14:textId="77777777" w:rsidR="00174F32" w:rsidRPr="00ED7E61" w:rsidRDefault="00174F32" w:rsidP="00174F32">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74D50EE6" w14:textId="77777777" w:rsidR="00174F32" w:rsidRDefault="00174F32" w:rsidP="00B10F0C">
      <w:pPr>
        <w:pStyle w:val="CBDNormalNumber"/>
        <w:numPr>
          <w:ilvl w:val="0"/>
          <w:numId w:val="95"/>
        </w:numPr>
        <w:shd w:val="clear" w:color="auto" w:fill="FFFFFF"/>
        <w:ind w:left="567" w:firstLine="0"/>
        <w:rPr>
          <w:rFonts w:asciiTheme="majorBidi" w:hAnsiTheme="majorBidi" w:cstheme="majorBidi"/>
        </w:rPr>
      </w:pPr>
      <w:r w:rsidRPr="002C3771">
        <w:rPr>
          <w:rStyle w:val="normaltextrun"/>
          <w:rFonts w:eastAsiaTheme="majorEastAsia"/>
        </w:rPr>
        <w:t>This</w:t>
      </w:r>
      <w:r w:rsidRPr="00ED7E61">
        <w:rPr>
          <w:rFonts w:asciiTheme="majorBidi" w:hAnsiTheme="majorBidi" w:cstheme="majorBidi"/>
        </w:rPr>
        <w:t xml:space="preserve"> indicator is a binary indicator and must be compiled from the answers to five questions:</w:t>
      </w:r>
    </w:p>
    <w:p w14:paraId="3C067965" w14:textId="77777777" w:rsidR="002C3771" w:rsidRPr="00ED7E61" w:rsidRDefault="002C3771" w:rsidP="00B10F0C">
      <w:pPr>
        <w:pStyle w:val="CBDNormalNumber"/>
        <w:numPr>
          <w:ilvl w:val="1"/>
          <w:numId w:val="95"/>
        </w:numPr>
        <w:tabs>
          <w:tab w:val="clear" w:pos="567"/>
          <w:tab w:val="clear" w:pos="1134"/>
          <w:tab w:val="clear" w:pos="2268"/>
          <w:tab w:val="left" w:pos="1985"/>
        </w:tabs>
        <w:ind w:left="567" w:firstLine="567"/>
        <w:rPr>
          <w:rFonts w:asciiTheme="majorBidi" w:eastAsiaTheme="majorEastAsia" w:hAnsiTheme="majorBidi" w:cstheme="majorBidi"/>
          <w:bCs/>
        </w:rPr>
      </w:pPr>
      <w:r w:rsidRPr="00ED7E61">
        <w:rPr>
          <w:rFonts w:asciiTheme="majorBidi" w:eastAsiaTheme="majorEastAsia" w:hAnsiTheme="majorBidi" w:cstheme="majorBidi"/>
          <w:bCs/>
        </w:rPr>
        <w:t>[20.1 Does your country have [national capacity-building and development action plan(s) or other] plans, policies or instruments for addressing capacity-building and development needs for biodiversity?]</w:t>
      </w:r>
    </w:p>
    <w:p w14:paraId="5F6BE4B7" w14:textId="77777777" w:rsidR="002C3771" w:rsidRPr="00ED7E61" w:rsidRDefault="002C3771" w:rsidP="00B10F0C">
      <w:pPr>
        <w:pStyle w:val="CBDNormalNumber"/>
        <w:numPr>
          <w:ilvl w:val="1"/>
          <w:numId w:val="95"/>
        </w:numPr>
        <w:tabs>
          <w:tab w:val="clear" w:pos="567"/>
          <w:tab w:val="clear" w:pos="1134"/>
          <w:tab w:val="clear" w:pos="2268"/>
          <w:tab w:val="left" w:pos="1985"/>
        </w:tabs>
        <w:ind w:left="567" w:firstLine="567"/>
        <w:rPr>
          <w:rFonts w:asciiTheme="majorBidi" w:eastAsiaTheme="majorEastAsia" w:hAnsiTheme="majorBidi" w:cstheme="majorBidi"/>
          <w:bCs/>
        </w:rPr>
      </w:pPr>
      <w:r w:rsidRPr="00ED7E61">
        <w:rPr>
          <w:rFonts w:asciiTheme="majorBidi" w:eastAsiaTheme="majorEastAsia" w:hAnsiTheme="majorBidi" w:cstheme="majorBidi"/>
          <w:bCs/>
        </w:rPr>
        <w:t>20.2 Does your country have measures to ensure the full and effective participation of indigenous peoples and local communities, women and girls, children and youth and people with disabilities in capacity-building and development for the conservation and sustainable use of biodiversity? (Select all that apply)</w:t>
      </w:r>
    </w:p>
    <w:p w14:paraId="49323631" w14:textId="77777777" w:rsidR="002C3771" w:rsidRPr="00ED7E61" w:rsidRDefault="002C3771" w:rsidP="00B10F0C">
      <w:pPr>
        <w:pStyle w:val="CBDNormalNumber"/>
        <w:numPr>
          <w:ilvl w:val="1"/>
          <w:numId w:val="95"/>
        </w:numPr>
        <w:tabs>
          <w:tab w:val="clear" w:pos="567"/>
          <w:tab w:val="clear" w:pos="1134"/>
          <w:tab w:val="clear" w:pos="2268"/>
          <w:tab w:val="left" w:pos="1985"/>
        </w:tabs>
        <w:ind w:left="567" w:firstLine="567"/>
        <w:rPr>
          <w:rFonts w:asciiTheme="majorBidi" w:eastAsiaTheme="majorEastAsia" w:hAnsiTheme="majorBidi" w:cstheme="majorBidi"/>
          <w:bCs/>
        </w:rPr>
      </w:pPr>
      <w:r w:rsidRPr="00ED7E61">
        <w:rPr>
          <w:rFonts w:asciiTheme="majorBidi" w:eastAsiaTheme="majorEastAsia" w:hAnsiTheme="majorBidi" w:cstheme="majorBidi"/>
          <w:bCs/>
        </w:rPr>
        <w:t>20.3 Has your country undertaken a national capacity self-assessment or other processes for assessing the capacity needs for the conservation and sustainable use of biodiversity?</w:t>
      </w:r>
    </w:p>
    <w:p w14:paraId="2655DD5B" w14:textId="77777777" w:rsidR="002C3771" w:rsidRPr="00ED7E61" w:rsidRDefault="002C3771" w:rsidP="00B10F0C">
      <w:pPr>
        <w:pStyle w:val="CBDNormalNumber"/>
        <w:numPr>
          <w:ilvl w:val="1"/>
          <w:numId w:val="95"/>
        </w:numPr>
        <w:tabs>
          <w:tab w:val="clear" w:pos="567"/>
          <w:tab w:val="clear" w:pos="1134"/>
          <w:tab w:val="clear" w:pos="2268"/>
          <w:tab w:val="left" w:pos="1985"/>
        </w:tabs>
        <w:ind w:left="567" w:firstLine="567"/>
        <w:rPr>
          <w:rFonts w:asciiTheme="majorBidi" w:eastAsiaTheme="majorEastAsia" w:hAnsiTheme="majorBidi" w:cstheme="majorBidi"/>
          <w:bCs/>
        </w:rPr>
      </w:pPr>
      <w:r w:rsidRPr="00ED7E61">
        <w:rPr>
          <w:rFonts w:asciiTheme="majorBidi" w:eastAsiaTheme="majorEastAsia" w:hAnsiTheme="majorBidi" w:cstheme="majorBidi"/>
          <w:bCs/>
        </w:rPr>
        <w:t>20. Has your country undertaken a national assessment of the capacity-building and development needs of indigenous peoples and local communities, women and girls, children and youth</w:t>
      </w:r>
      <w:r>
        <w:rPr>
          <w:rFonts w:asciiTheme="majorBidi" w:eastAsiaTheme="majorEastAsia" w:hAnsiTheme="majorBidi" w:cstheme="majorBidi"/>
          <w:bCs/>
        </w:rPr>
        <w:t>,</w:t>
      </w:r>
      <w:r w:rsidRPr="00ED7E61">
        <w:rPr>
          <w:rFonts w:asciiTheme="majorBidi" w:eastAsiaTheme="majorEastAsia" w:hAnsiTheme="majorBidi" w:cstheme="majorBidi"/>
          <w:bCs/>
        </w:rPr>
        <w:t xml:space="preserve"> and people with disabilities for the conservation and sustainable use of biodiversity? (Select all that apply)</w:t>
      </w:r>
    </w:p>
    <w:p w14:paraId="4719A095" w14:textId="77777777" w:rsidR="002C3771" w:rsidRPr="00ED7E61" w:rsidRDefault="002C3771" w:rsidP="00B10F0C">
      <w:pPr>
        <w:pStyle w:val="CBDNormalNumber"/>
        <w:numPr>
          <w:ilvl w:val="1"/>
          <w:numId w:val="95"/>
        </w:numPr>
        <w:tabs>
          <w:tab w:val="clear" w:pos="567"/>
          <w:tab w:val="clear" w:pos="1134"/>
          <w:tab w:val="clear" w:pos="2268"/>
          <w:tab w:val="left" w:pos="1985"/>
        </w:tabs>
        <w:ind w:left="567" w:firstLine="567"/>
        <w:rPr>
          <w:rFonts w:asciiTheme="majorBidi" w:eastAsiaTheme="majorEastAsia" w:hAnsiTheme="majorBidi" w:cstheme="majorBidi"/>
          <w:bCs/>
        </w:rPr>
      </w:pPr>
      <w:r w:rsidRPr="00ED7E61">
        <w:rPr>
          <w:rFonts w:asciiTheme="majorBidi" w:eastAsiaTheme="majorEastAsia" w:hAnsiTheme="majorBidi" w:cstheme="majorBidi"/>
          <w:bCs/>
        </w:rPr>
        <w:t>20.5 Has your country established partnerships to foster joint technology development and joint scientific research programmes for the conservation and sustainable use of biodiversity and strengthening scientific research and monitoring capabilities, including through South-South, North-South and triangular cooperation?</w:t>
      </w:r>
    </w:p>
    <w:p w14:paraId="080F58BC" w14:textId="2787554F" w:rsidR="00174F32" w:rsidRDefault="00174F32" w:rsidP="00B10F0C">
      <w:pPr>
        <w:pStyle w:val="CBDNormalNumber"/>
        <w:numPr>
          <w:ilvl w:val="0"/>
          <w:numId w:val="95"/>
        </w:numPr>
        <w:shd w:val="clear" w:color="auto" w:fill="FFFFFF"/>
        <w:ind w:left="567" w:firstLine="0"/>
        <w:rPr>
          <w:rFonts w:asciiTheme="majorBidi" w:hAnsiTheme="majorBidi" w:cstheme="majorBidi"/>
        </w:rPr>
      </w:pPr>
      <w:r w:rsidRPr="002C3771">
        <w:rPr>
          <w:rStyle w:val="normaltextrun"/>
          <w:rFonts w:eastAsiaTheme="majorEastAsia"/>
        </w:rPr>
        <w:t>There</w:t>
      </w:r>
      <w:r w:rsidRPr="00ED7E61">
        <w:rPr>
          <w:rFonts w:asciiTheme="majorBidi" w:hAnsiTheme="majorBidi" w:cstheme="majorBidi"/>
        </w:rPr>
        <w:t xml:space="preserve"> are four possible answers to questions 20.1, 20.3 and 20.5:</w:t>
      </w:r>
    </w:p>
    <w:p w14:paraId="27EF73BB" w14:textId="77777777" w:rsidR="002C3771" w:rsidRPr="00ED7E61" w:rsidRDefault="002C3771" w:rsidP="00B10F0C">
      <w:pPr>
        <w:pStyle w:val="CBDNormalNumber"/>
        <w:numPr>
          <w:ilvl w:val="1"/>
          <w:numId w:val="95"/>
        </w:numPr>
        <w:tabs>
          <w:tab w:val="clear" w:pos="567"/>
          <w:tab w:val="clear" w:pos="1134"/>
          <w:tab w:val="clear" w:pos="1701"/>
          <w:tab w:val="clear" w:pos="2268"/>
          <w:tab w:val="left" w:pos="1985"/>
        </w:tabs>
        <w:ind w:left="1560"/>
        <w:rPr>
          <w:rFonts w:asciiTheme="majorBidi" w:eastAsiaTheme="majorEastAsia" w:hAnsiTheme="majorBidi" w:cstheme="majorBidi"/>
          <w:bCs/>
        </w:rPr>
      </w:pPr>
      <w:r w:rsidRPr="00ED7E61">
        <w:rPr>
          <w:rFonts w:asciiTheme="majorBidi" w:eastAsiaTheme="majorEastAsia" w:hAnsiTheme="majorBidi" w:cstheme="majorBidi"/>
          <w:bCs/>
        </w:rPr>
        <w:t>No</w:t>
      </w:r>
    </w:p>
    <w:p w14:paraId="2837A01B" w14:textId="77777777" w:rsidR="002C3771" w:rsidRPr="00ED7E61" w:rsidRDefault="002C3771" w:rsidP="00B10F0C">
      <w:pPr>
        <w:pStyle w:val="CBDNormalNumber"/>
        <w:numPr>
          <w:ilvl w:val="1"/>
          <w:numId w:val="95"/>
        </w:numPr>
        <w:tabs>
          <w:tab w:val="clear" w:pos="567"/>
          <w:tab w:val="clear" w:pos="1134"/>
          <w:tab w:val="clear" w:pos="1701"/>
          <w:tab w:val="clear" w:pos="2268"/>
          <w:tab w:val="left" w:pos="1985"/>
        </w:tabs>
        <w:ind w:left="1560"/>
        <w:rPr>
          <w:rFonts w:asciiTheme="majorBidi" w:eastAsiaTheme="majorEastAsia" w:hAnsiTheme="majorBidi" w:cstheme="majorBidi"/>
          <w:bCs/>
        </w:rPr>
      </w:pPr>
      <w:r w:rsidRPr="00ED7E61">
        <w:rPr>
          <w:rFonts w:asciiTheme="majorBidi" w:eastAsiaTheme="majorEastAsia" w:hAnsiTheme="majorBidi" w:cstheme="majorBidi"/>
          <w:bCs/>
        </w:rPr>
        <w:t>Under development</w:t>
      </w:r>
    </w:p>
    <w:p w14:paraId="7905F71C" w14:textId="77777777" w:rsidR="002C3771" w:rsidRPr="00ED7E61" w:rsidRDefault="002C3771" w:rsidP="00B10F0C">
      <w:pPr>
        <w:pStyle w:val="CBDNormalNumber"/>
        <w:numPr>
          <w:ilvl w:val="1"/>
          <w:numId w:val="95"/>
        </w:numPr>
        <w:tabs>
          <w:tab w:val="clear" w:pos="567"/>
          <w:tab w:val="clear" w:pos="1134"/>
          <w:tab w:val="clear" w:pos="1701"/>
          <w:tab w:val="clear" w:pos="2268"/>
          <w:tab w:val="left" w:pos="1985"/>
        </w:tabs>
        <w:ind w:left="1560"/>
        <w:rPr>
          <w:rFonts w:asciiTheme="majorBidi" w:eastAsiaTheme="majorEastAsia" w:hAnsiTheme="majorBidi" w:cstheme="majorBidi"/>
          <w:bCs/>
        </w:rPr>
      </w:pPr>
      <w:r w:rsidRPr="00ED7E61">
        <w:rPr>
          <w:rFonts w:asciiTheme="majorBidi" w:eastAsiaTheme="majorEastAsia" w:hAnsiTheme="majorBidi" w:cstheme="majorBidi"/>
          <w:bCs/>
        </w:rPr>
        <w:t>Partially</w:t>
      </w:r>
    </w:p>
    <w:p w14:paraId="74E5DC10" w14:textId="77777777" w:rsidR="002C3771" w:rsidRPr="00ED7E61" w:rsidRDefault="002C3771" w:rsidP="00B10F0C">
      <w:pPr>
        <w:pStyle w:val="CBDNormalNumber"/>
        <w:numPr>
          <w:ilvl w:val="1"/>
          <w:numId w:val="95"/>
        </w:numPr>
        <w:tabs>
          <w:tab w:val="clear" w:pos="567"/>
          <w:tab w:val="clear" w:pos="1134"/>
          <w:tab w:val="clear" w:pos="1701"/>
          <w:tab w:val="clear" w:pos="2268"/>
          <w:tab w:val="left" w:pos="1985"/>
        </w:tabs>
        <w:ind w:left="1560"/>
        <w:rPr>
          <w:rFonts w:asciiTheme="majorBidi" w:eastAsiaTheme="majorEastAsia" w:hAnsiTheme="majorBidi" w:cstheme="majorBidi"/>
          <w:bCs/>
        </w:rPr>
      </w:pPr>
      <w:r w:rsidRPr="00ED7E61">
        <w:rPr>
          <w:rFonts w:asciiTheme="majorBidi" w:eastAsiaTheme="majorEastAsia" w:hAnsiTheme="majorBidi" w:cstheme="majorBidi"/>
          <w:bCs/>
        </w:rPr>
        <w:t>Fully</w:t>
      </w:r>
    </w:p>
    <w:p w14:paraId="74649319" w14:textId="77777777" w:rsidR="00174F32" w:rsidRDefault="00174F32" w:rsidP="00B10F0C">
      <w:pPr>
        <w:pStyle w:val="CBDNormalNumber"/>
        <w:numPr>
          <w:ilvl w:val="0"/>
          <w:numId w:val="95"/>
        </w:numPr>
        <w:shd w:val="clear" w:color="auto" w:fill="FFFFFF"/>
        <w:ind w:left="567" w:firstLine="0"/>
        <w:rPr>
          <w:rFonts w:asciiTheme="majorBidi" w:hAnsiTheme="majorBidi" w:cstheme="majorBidi"/>
        </w:rPr>
      </w:pPr>
      <w:r w:rsidRPr="00ED7E61">
        <w:rPr>
          <w:rFonts w:asciiTheme="majorBidi" w:hAnsiTheme="majorBidi" w:cstheme="majorBidi"/>
        </w:rPr>
        <w:t>A “</w:t>
      </w:r>
      <w:r w:rsidRPr="00FB1598">
        <w:rPr>
          <w:rFonts w:asciiTheme="majorBidi" w:hAnsiTheme="majorBidi" w:cstheme="majorBidi"/>
          <w:i/>
          <w:iCs/>
        </w:rPr>
        <w:t>No</w:t>
      </w:r>
      <w:r w:rsidRPr="00ED7E61">
        <w:rPr>
          <w:rFonts w:asciiTheme="majorBidi" w:hAnsiTheme="majorBidi" w:cstheme="majorBidi"/>
        </w:rPr>
        <w:t>” answer implies that:</w:t>
      </w:r>
    </w:p>
    <w:p w14:paraId="34CF91BA" w14:textId="77777777" w:rsidR="002C3771" w:rsidRPr="00ED7E61" w:rsidRDefault="002C3771" w:rsidP="00B10F0C">
      <w:pPr>
        <w:pStyle w:val="CBDNormalNumber"/>
        <w:numPr>
          <w:ilvl w:val="1"/>
          <w:numId w:val="95"/>
        </w:numPr>
        <w:tabs>
          <w:tab w:val="clear" w:pos="567"/>
          <w:tab w:val="clear" w:pos="1134"/>
          <w:tab w:val="clear" w:pos="1701"/>
          <w:tab w:val="clear" w:pos="2268"/>
          <w:tab w:val="left" w:pos="1985"/>
        </w:tabs>
        <w:ind w:left="1560"/>
        <w:rPr>
          <w:rFonts w:asciiTheme="majorBidi" w:eastAsiaTheme="majorEastAsia" w:hAnsiTheme="majorBidi" w:cstheme="majorBidi"/>
          <w:bCs/>
        </w:rPr>
      </w:pPr>
      <w:r w:rsidRPr="00ED7E61">
        <w:rPr>
          <w:rFonts w:asciiTheme="majorBidi" w:eastAsiaTheme="majorEastAsia" w:hAnsiTheme="majorBidi" w:cstheme="majorBidi"/>
          <w:bCs/>
        </w:rPr>
        <w:t>there are no plans, policies or instruments for addressing capacity-building and development needs for biodiversity (20.1)</w:t>
      </w:r>
    </w:p>
    <w:p w14:paraId="1A16510F" w14:textId="77777777" w:rsidR="002C3771" w:rsidRPr="00ED7E61" w:rsidRDefault="002C3771" w:rsidP="00B10F0C">
      <w:pPr>
        <w:pStyle w:val="CBDNormalNumber"/>
        <w:numPr>
          <w:ilvl w:val="1"/>
          <w:numId w:val="95"/>
        </w:numPr>
        <w:tabs>
          <w:tab w:val="clear" w:pos="567"/>
          <w:tab w:val="clear" w:pos="1134"/>
          <w:tab w:val="clear" w:pos="1701"/>
          <w:tab w:val="clear" w:pos="2268"/>
          <w:tab w:val="left" w:pos="1985"/>
        </w:tabs>
        <w:ind w:left="1560"/>
        <w:rPr>
          <w:rFonts w:asciiTheme="majorBidi" w:eastAsiaTheme="majorEastAsia" w:hAnsiTheme="majorBidi" w:cstheme="majorBidi"/>
          <w:bCs/>
        </w:rPr>
      </w:pPr>
      <w:r w:rsidRPr="00ED7E61">
        <w:rPr>
          <w:rFonts w:asciiTheme="majorBidi" w:eastAsiaTheme="majorEastAsia" w:hAnsiTheme="majorBidi" w:cstheme="majorBidi"/>
          <w:bCs/>
        </w:rPr>
        <w:t>no national capacity self-assessment or other process for assessing capacity needs for the conservation and sustainable use of biodiversity has been conducted (20.3)</w:t>
      </w:r>
    </w:p>
    <w:p w14:paraId="653060AC" w14:textId="77777777" w:rsidR="002C3771" w:rsidRPr="00ED7E61" w:rsidRDefault="002C3771" w:rsidP="00B10F0C">
      <w:pPr>
        <w:pStyle w:val="CBDNormalNumber"/>
        <w:numPr>
          <w:ilvl w:val="1"/>
          <w:numId w:val="95"/>
        </w:numPr>
        <w:tabs>
          <w:tab w:val="clear" w:pos="567"/>
          <w:tab w:val="clear" w:pos="1134"/>
          <w:tab w:val="clear" w:pos="1701"/>
          <w:tab w:val="clear" w:pos="2268"/>
          <w:tab w:val="left" w:pos="1985"/>
        </w:tabs>
        <w:ind w:left="1560"/>
        <w:rPr>
          <w:rFonts w:asciiTheme="majorBidi" w:eastAsiaTheme="majorEastAsia" w:hAnsiTheme="majorBidi" w:cstheme="majorBidi"/>
          <w:bCs/>
        </w:rPr>
      </w:pPr>
      <w:r w:rsidRPr="00ED7E61">
        <w:rPr>
          <w:rFonts w:asciiTheme="majorBidi" w:eastAsiaTheme="majorEastAsia" w:hAnsiTheme="majorBidi" w:cstheme="majorBidi"/>
          <w:bCs/>
        </w:rPr>
        <w:t>no partnerships to foster joint technology development and joint scientific research programmes for the conservation and sustainable use of biodiversity and strengthening scientific research and monitoring capabilities have been established with another Party (20.5)</w:t>
      </w:r>
    </w:p>
    <w:p w14:paraId="38B7C8DE" w14:textId="52AAFC26"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rPr>
      </w:pPr>
      <w:r w:rsidRPr="00ED7E61">
        <w:rPr>
          <w:rFonts w:asciiTheme="majorBidi" w:hAnsiTheme="majorBidi" w:cstheme="majorBidi"/>
        </w:rPr>
        <w:t>In all, no progress has been made towards any of the statements in each question and there are no national level efforts to make any.</w:t>
      </w:r>
    </w:p>
    <w:p w14:paraId="41C16129" w14:textId="668F1154" w:rsidR="00174F32" w:rsidRDefault="00174F32" w:rsidP="00B10F0C">
      <w:pPr>
        <w:pStyle w:val="CBDNormalNumber"/>
        <w:numPr>
          <w:ilvl w:val="0"/>
          <w:numId w:val="95"/>
        </w:numPr>
        <w:shd w:val="clear" w:color="auto" w:fill="FFFFFF"/>
        <w:ind w:left="567" w:firstLine="0"/>
      </w:pPr>
      <w:r w:rsidRPr="002C3771">
        <w:rPr>
          <w:rFonts w:asciiTheme="majorBidi" w:hAnsiTheme="majorBidi" w:cstheme="majorBidi"/>
        </w:rPr>
        <w:t>An</w:t>
      </w:r>
      <w:r w:rsidRPr="00ED7E61">
        <w:t xml:space="preserve"> “</w:t>
      </w:r>
      <w:r w:rsidRPr="00FB1598">
        <w:rPr>
          <w:i/>
          <w:iCs/>
        </w:rPr>
        <w:t>Under development</w:t>
      </w:r>
      <w:r w:rsidRPr="00ED7E61">
        <w:t>” answer implies a concerted effort at the national level to make progress towards each question. That is:</w:t>
      </w:r>
    </w:p>
    <w:p w14:paraId="07C666E1"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plans, policies or instruments for addressing capacity-building and development needs for biodiversity (20.1) are in development, these may be at the stage of draft or formal bill introduced but not yet ratified.</w:t>
      </w:r>
    </w:p>
    <w:p w14:paraId="616586D9"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 xml:space="preserve">a plan is in place to carry out a national capacity self-assessment or other process for assessing capacity needs for the conservation and sustainable use of biodiversity (20.3), a strategy to carry it out exists and resources are being mobilized but the assessment has not yet begun. </w:t>
      </w:r>
    </w:p>
    <w:p w14:paraId="0EF32D1E"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 xml:space="preserve">partnerships to foster joint technology development or joint scientific research programmes for the conservation and sustainable use of biodiversity or strengthening scientific research and monitoring capabilities (20.5) are in process, cooperation between Parties is being discussed, including through either South-South, North-South or triangular cooperation. </w:t>
      </w:r>
    </w:p>
    <w:p w14:paraId="58608A54" w14:textId="77777777"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color w:val="000000" w:themeColor="text1"/>
          <w:lang w:val="en-US"/>
        </w:rPr>
      </w:pPr>
      <w:r w:rsidRPr="00ED7E61">
        <w:rPr>
          <w:rFonts w:asciiTheme="majorBidi" w:hAnsiTheme="majorBidi" w:cstheme="majorBidi"/>
        </w:rPr>
        <w:t>To</w:t>
      </w:r>
      <w:r w:rsidRPr="00ED7E61">
        <w:rPr>
          <w:rFonts w:asciiTheme="majorBidi" w:hAnsiTheme="majorBidi" w:cstheme="majorBidi"/>
          <w:color w:val="000000" w:themeColor="text1"/>
          <w:lang w:val="en-US"/>
        </w:rPr>
        <w:t xml:space="preserve"> select this response, a nation must be planning to deliver on each of these elements and be designing the methodology to do so. Intent is not sufficient, official commitments and methodological proposals must be present.</w:t>
      </w:r>
    </w:p>
    <w:p w14:paraId="587B8C2E" w14:textId="6B0F2C7B" w:rsidR="00174F32" w:rsidRDefault="00174F32" w:rsidP="00B10F0C">
      <w:pPr>
        <w:pStyle w:val="CBDNormalNumber"/>
        <w:numPr>
          <w:ilvl w:val="0"/>
          <w:numId w:val="95"/>
        </w:numPr>
        <w:shd w:val="clear" w:color="auto" w:fill="FFFFFF"/>
        <w:ind w:left="567" w:firstLine="0"/>
        <w:rPr>
          <w:rFonts w:asciiTheme="majorBidi" w:hAnsiTheme="majorBidi" w:cstheme="majorBidi"/>
        </w:rPr>
      </w:pPr>
      <w:r w:rsidRPr="00ED7E61">
        <w:rPr>
          <w:rFonts w:asciiTheme="majorBidi" w:hAnsiTheme="majorBidi" w:cstheme="majorBidi"/>
        </w:rPr>
        <w:t>A “</w:t>
      </w:r>
      <w:r w:rsidRPr="00FB1598">
        <w:rPr>
          <w:rFonts w:asciiTheme="majorBidi" w:hAnsiTheme="majorBidi" w:cstheme="majorBidi"/>
          <w:i/>
          <w:iCs/>
        </w:rPr>
        <w:t>Partially</w:t>
      </w:r>
      <w:r w:rsidRPr="00ED7E61">
        <w:rPr>
          <w:rFonts w:asciiTheme="majorBidi" w:hAnsiTheme="majorBidi" w:cstheme="majorBidi"/>
        </w:rPr>
        <w:t xml:space="preserve">” answer implies for each question that a start has been made. Namely: </w:t>
      </w:r>
    </w:p>
    <w:p w14:paraId="0C1CF3CC"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 xml:space="preserve">plans, policies or instruments for addressing capacity-building or development needs for biodiversity (20.1) are in place but do not address both. For example, a national bill on capacity building has been ratified but it does not address development needs. </w:t>
      </w:r>
    </w:p>
    <w:p w14:paraId="4DC1938E"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 xml:space="preserve">a national capacity self-assessment or other process for assessing the capacity needs for the conservation and sustainable use of biodiversity (20.3) has started, it is resourced and ongoing but not yet complete. </w:t>
      </w:r>
    </w:p>
    <w:p w14:paraId="16467C24"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partnerships to foster joint technology development or joint scientific research programmes for the conservation and sustainable use of biodiversity or strengthening scientific research and monitoring capabilities (20.5) have begun, namely official collaboration has started, including through at least one of South-South, North-South or triangular cooperation. This cooperation does not need to cover all of the aspects specified in the question; one is sufficient (e.g. technology development) to select this answer.</w:t>
      </w:r>
    </w:p>
    <w:p w14:paraId="754818FA" w14:textId="77777777"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rPr>
      </w:pPr>
      <w:r w:rsidRPr="00ED7E61">
        <w:rPr>
          <w:rFonts w:asciiTheme="majorBidi" w:hAnsiTheme="majorBidi" w:cstheme="majorBidi"/>
        </w:rPr>
        <w:t>Clear unambiguous progress must be seen to select this answer. The planning stages are understood to be over and work towards each question has started.</w:t>
      </w:r>
    </w:p>
    <w:p w14:paraId="31FB03F2" w14:textId="0D26C132" w:rsidR="00174F32" w:rsidRDefault="00174F32" w:rsidP="00B10F0C">
      <w:pPr>
        <w:pStyle w:val="CBDNormalNumber"/>
        <w:numPr>
          <w:ilvl w:val="0"/>
          <w:numId w:val="95"/>
        </w:numPr>
        <w:shd w:val="clear" w:color="auto" w:fill="FFFFFF"/>
        <w:ind w:left="567" w:firstLine="0"/>
        <w:rPr>
          <w:rFonts w:asciiTheme="majorBidi" w:hAnsiTheme="majorBidi" w:cstheme="majorBidi"/>
        </w:rPr>
      </w:pPr>
      <w:r w:rsidRPr="00ED7E61">
        <w:rPr>
          <w:rFonts w:asciiTheme="majorBidi" w:hAnsiTheme="majorBidi" w:cstheme="majorBidi"/>
        </w:rPr>
        <w:t>A “</w:t>
      </w:r>
      <w:r w:rsidRPr="00FB1598">
        <w:rPr>
          <w:rFonts w:asciiTheme="majorBidi" w:hAnsiTheme="majorBidi" w:cstheme="majorBidi"/>
          <w:i/>
          <w:iCs/>
        </w:rPr>
        <w:t>Fully</w:t>
      </w:r>
      <w:r w:rsidRPr="00ED7E61">
        <w:rPr>
          <w:rFonts w:asciiTheme="majorBidi" w:hAnsiTheme="majorBidi" w:cstheme="majorBidi"/>
        </w:rPr>
        <w:t>” answer implies that completion of the efforts underlined under “</w:t>
      </w:r>
      <w:r w:rsidRPr="00FB1598">
        <w:rPr>
          <w:rFonts w:asciiTheme="majorBidi" w:hAnsiTheme="majorBidi" w:cstheme="majorBidi"/>
          <w:i/>
          <w:iCs/>
        </w:rPr>
        <w:t>Partially</w:t>
      </w:r>
      <w:r w:rsidRPr="00ED7E61">
        <w:rPr>
          <w:rFonts w:asciiTheme="majorBidi" w:hAnsiTheme="majorBidi" w:cstheme="majorBidi"/>
        </w:rPr>
        <w:t>”. Namely:</w:t>
      </w:r>
    </w:p>
    <w:p w14:paraId="44F27513"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 xml:space="preserve">national level plans, policies or instruments for addressing capacity-building and development needs for biodiversity (20.1) are in place and address both. </w:t>
      </w:r>
    </w:p>
    <w:p w14:paraId="24823970"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 xml:space="preserve">a national capacity self-assessment or other process for assessing the capacity needs for the conservation and sustainable use of biodiversity (20.3) is complete. </w:t>
      </w:r>
    </w:p>
    <w:p w14:paraId="32E247DE"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partnerships to foster joint technology development and joint scientific research programmes for the conservation and sustainable use of biodiversity and strengthening scientific research and monitoring capabilities (20.5) have been established and official collaboration is ongoing, including through South-South, North-South or triangular cooperation. This cooperation covers all the aspects specified in the question.</w:t>
      </w:r>
    </w:p>
    <w:p w14:paraId="524DD9E0" w14:textId="04AEB020"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rPr>
      </w:pPr>
      <w:r w:rsidRPr="00ED7E61">
        <w:rPr>
          <w:rFonts w:asciiTheme="majorBidi" w:hAnsiTheme="majorBidi" w:cstheme="majorBidi"/>
        </w:rPr>
        <w:t>In each of these cases, results have been produced and are observable and shareable.</w:t>
      </w:r>
    </w:p>
    <w:p w14:paraId="5FC91CE6" w14:textId="31362896" w:rsidR="00174F32" w:rsidRDefault="00174F32" w:rsidP="00B10F0C">
      <w:pPr>
        <w:pStyle w:val="CBDNormalNumber"/>
        <w:numPr>
          <w:ilvl w:val="0"/>
          <w:numId w:val="95"/>
        </w:numPr>
        <w:shd w:val="clear" w:color="auto" w:fill="FFFFFF"/>
        <w:ind w:left="567" w:firstLine="0"/>
        <w:rPr>
          <w:rFonts w:asciiTheme="majorBidi" w:hAnsiTheme="majorBidi" w:cstheme="majorBidi"/>
        </w:rPr>
      </w:pPr>
      <w:r w:rsidRPr="00ED7E61">
        <w:rPr>
          <w:rFonts w:asciiTheme="majorBidi" w:hAnsiTheme="majorBidi" w:cstheme="majorBidi"/>
        </w:rPr>
        <w:t>There are five possible answers to question 20.2 and 20.4</w:t>
      </w:r>
      <w:r w:rsidRPr="00ED7E61">
        <w:rPr>
          <w:rStyle w:val="FootnoteReference"/>
          <w:rFonts w:asciiTheme="majorBidi" w:hAnsiTheme="majorBidi" w:cstheme="majorBidi"/>
        </w:rPr>
        <w:footnoteReference w:id="65"/>
      </w:r>
      <w:r w:rsidRPr="00ED7E61">
        <w:rPr>
          <w:rFonts w:asciiTheme="majorBidi" w:hAnsiTheme="majorBidi" w:cstheme="majorBidi"/>
        </w:rPr>
        <w:t>:</w:t>
      </w:r>
    </w:p>
    <w:p w14:paraId="1FB6E1AD"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Women and girls</w:t>
      </w:r>
    </w:p>
    <w:p w14:paraId="45FC7B5F"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Children and youth</w:t>
      </w:r>
    </w:p>
    <w:p w14:paraId="0215B6F8"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People with disabilities</w:t>
      </w:r>
    </w:p>
    <w:p w14:paraId="1618F833"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Indigenous peoples and local communities</w:t>
      </w:r>
    </w:p>
    <w:p w14:paraId="56F68788" w14:textId="77777777" w:rsidR="002E7C8B" w:rsidRPr="00ED7E61" w:rsidRDefault="002E7C8B" w:rsidP="00B10F0C">
      <w:pPr>
        <w:pStyle w:val="CBDNormalNumber"/>
        <w:numPr>
          <w:ilvl w:val="1"/>
          <w:numId w:val="95"/>
        </w:numPr>
        <w:tabs>
          <w:tab w:val="clear" w:pos="567"/>
          <w:tab w:val="clear" w:pos="1134"/>
          <w:tab w:val="clear" w:pos="1701"/>
          <w:tab w:val="clear" w:pos="2268"/>
          <w:tab w:val="left" w:pos="1985"/>
        </w:tabs>
        <w:ind w:left="1701"/>
        <w:rPr>
          <w:rFonts w:asciiTheme="majorBidi" w:eastAsiaTheme="majorEastAsia" w:hAnsiTheme="majorBidi" w:cstheme="majorBidi"/>
          <w:bCs/>
        </w:rPr>
      </w:pPr>
      <w:r w:rsidRPr="00ED7E61">
        <w:rPr>
          <w:rFonts w:asciiTheme="majorBidi" w:eastAsiaTheme="majorEastAsia" w:hAnsiTheme="majorBidi" w:cstheme="majorBidi"/>
          <w:bCs/>
        </w:rPr>
        <w:t>Others</w:t>
      </w:r>
    </w:p>
    <w:p w14:paraId="68507770" w14:textId="1B2AE3FD" w:rsidR="00174F32" w:rsidRPr="00ED7E61" w:rsidRDefault="00174F32" w:rsidP="00B10F0C">
      <w:pPr>
        <w:pStyle w:val="CBDNormalNumber"/>
        <w:numPr>
          <w:ilvl w:val="0"/>
          <w:numId w:val="95"/>
        </w:numPr>
        <w:shd w:val="clear" w:color="auto" w:fill="FFFFFF"/>
        <w:ind w:left="567" w:firstLine="0"/>
        <w:rPr>
          <w:rFonts w:asciiTheme="majorBidi" w:hAnsiTheme="majorBidi" w:cstheme="majorBidi"/>
        </w:rPr>
      </w:pPr>
      <w:r w:rsidRPr="00ED7E61">
        <w:rPr>
          <w:rFonts w:asciiTheme="majorBidi" w:hAnsiTheme="majorBidi" w:cstheme="majorBidi"/>
        </w:rPr>
        <w:t>Each of the answers here is to be chosen using a “</w:t>
      </w:r>
      <w:r w:rsidRPr="00FB1598">
        <w:rPr>
          <w:rFonts w:asciiTheme="majorBidi" w:hAnsiTheme="majorBidi" w:cstheme="majorBidi"/>
          <w:i/>
          <w:iCs/>
        </w:rPr>
        <w:t>select all that apply</w:t>
      </w:r>
      <w:r w:rsidRPr="00ED7E61">
        <w:rPr>
          <w:rFonts w:asciiTheme="majorBidi" w:hAnsiTheme="majorBidi" w:cstheme="majorBidi"/>
        </w:rPr>
        <w:t>” approach. Namely, if a country has measures to ensure the full and effective participation of specified groups in capacity-building and development for the conservation and sustainable use of biodiversity (20.2) or has undertaken a national assessment of the capacity-building and development needs of those groups (20.4) then select the groups to which these apply. In other words, select each option for which the answer to 20.2 and 20.4 is “</w:t>
      </w:r>
      <w:r w:rsidRPr="00FB1598">
        <w:rPr>
          <w:rFonts w:asciiTheme="majorBidi" w:hAnsiTheme="majorBidi" w:cstheme="majorBidi"/>
          <w:i/>
          <w:iCs/>
        </w:rPr>
        <w:t>Yes</w:t>
      </w:r>
      <w:r w:rsidRPr="00ED7E61">
        <w:rPr>
          <w:rFonts w:asciiTheme="majorBidi" w:hAnsiTheme="majorBidi" w:cstheme="majorBidi"/>
        </w:rPr>
        <w:t>”. If “</w:t>
      </w:r>
      <w:r w:rsidRPr="00FB1598">
        <w:rPr>
          <w:rFonts w:asciiTheme="majorBidi" w:hAnsiTheme="majorBidi" w:cstheme="majorBidi"/>
          <w:i/>
          <w:iCs/>
        </w:rPr>
        <w:t>Others</w:t>
      </w:r>
      <w:r w:rsidRPr="00ED7E61">
        <w:rPr>
          <w:rFonts w:asciiTheme="majorBidi" w:hAnsiTheme="majorBidi" w:cstheme="majorBidi"/>
        </w:rPr>
        <w:t>” is selected, specify to which group this refers to in the free text section. If no answers are selected, then an overall “</w:t>
      </w:r>
      <w:r w:rsidRPr="00FB1598">
        <w:rPr>
          <w:rFonts w:asciiTheme="majorBidi" w:hAnsiTheme="majorBidi" w:cstheme="majorBidi"/>
          <w:i/>
          <w:iCs/>
        </w:rPr>
        <w:t>No</w:t>
      </w:r>
      <w:r w:rsidRPr="00ED7E61">
        <w:rPr>
          <w:rFonts w:asciiTheme="majorBidi" w:hAnsiTheme="majorBidi" w:cstheme="majorBidi"/>
        </w:rPr>
        <w:t>” is understood. Note that for 20.2 a country needs to have measures at the national level already in place, written in law and implemented, if this is not the case, even if these measures are being drafted, then do not select any answer for which measures are missing. Similarly, for 20.4 national assessment of capacity-building and development needs must be complete and results reported, if the assessment is in process, in draft phase or not conducted at the national level, do not select any answer for which this is the case.</w:t>
      </w:r>
    </w:p>
    <w:p w14:paraId="380688B6" w14:textId="77777777" w:rsidR="00174F32" w:rsidRPr="00ED7E61" w:rsidRDefault="00174F32" w:rsidP="00174F32">
      <w:pPr>
        <w:jc w:val="both"/>
        <w:rPr>
          <w:rFonts w:asciiTheme="majorBidi" w:hAnsiTheme="majorBidi" w:cstheme="majorBidi"/>
          <w:sz w:val="22"/>
          <w:szCs w:val="22"/>
        </w:rPr>
      </w:pPr>
    </w:p>
    <w:p w14:paraId="6BEEA7D7" w14:textId="53222764" w:rsidR="00174F32" w:rsidRPr="00ED7E61" w:rsidRDefault="00174F32" w:rsidP="00174F32">
      <w:pPr>
        <w:rPr>
          <w:rFonts w:asciiTheme="majorBidi" w:hAnsiTheme="majorBidi" w:cstheme="majorBidi"/>
          <w:sz w:val="22"/>
          <w:szCs w:val="22"/>
        </w:rPr>
      </w:pPr>
    </w:p>
    <w:p w14:paraId="10F3F324" w14:textId="77777777" w:rsidR="00D311B8" w:rsidRPr="00ED7E61" w:rsidRDefault="00D311B8" w:rsidP="00395866">
      <w:pPr>
        <w:rPr>
          <w:rStyle w:val="eop"/>
          <w:rFonts w:asciiTheme="majorBidi" w:eastAsiaTheme="majorEastAsia" w:hAnsiTheme="majorBidi" w:cstheme="majorBidi"/>
          <w:sz w:val="22"/>
          <w:szCs w:val="22"/>
        </w:rPr>
      </w:pPr>
      <w:r w:rsidRPr="00ED7E61">
        <w:rPr>
          <w:rStyle w:val="eop"/>
          <w:rFonts w:asciiTheme="majorBidi" w:eastAsiaTheme="majorEastAsia" w:hAnsiTheme="majorBidi" w:cstheme="majorBidi"/>
          <w:sz w:val="22"/>
          <w:szCs w:val="22"/>
        </w:rPr>
        <w:br w:type="page"/>
      </w:r>
    </w:p>
    <w:p w14:paraId="7B18E8FC" w14:textId="77777777" w:rsidR="00C55C59" w:rsidRPr="00ED7E61" w:rsidRDefault="00C55C59" w:rsidP="005B0D1E">
      <w:pPr>
        <w:pStyle w:val="Heading3"/>
        <w:rPr>
          <w:rStyle w:val="normaltextrun"/>
        </w:rPr>
      </w:pPr>
      <w:bookmarkStart w:id="78" w:name="_Toc178285882"/>
      <w:r w:rsidRPr="00ED7E61">
        <w:rPr>
          <w:rStyle w:val="normaltextrun"/>
        </w:rPr>
        <w:t>GBF indicator metadata: 21.1 Indicator on biodiversity information for monitoring the global biodiversity framework</w:t>
      </w:r>
      <w:bookmarkEnd w:id="78"/>
      <w:r w:rsidRPr="00ED7E61">
        <w:rPr>
          <w:rStyle w:val="normaltextrun"/>
        </w:rPr>
        <w:t xml:space="preserve"> </w:t>
      </w:r>
    </w:p>
    <w:p w14:paraId="05AF0E00" w14:textId="77777777" w:rsidR="00C55C59" w:rsidRPr="00ED7E61" w:rsidRDefault="00C55C59" w:rsidP="00C55C59">
      <w:pPr>
        <w:rPr>
          <w:rFonts w:asciiTheme="majorBidi" w:eastAsiaTheme="majorEastAsia" w:hAnsiTheme="majorBidi" w:cstheme="majorBidi"/>
          <w:bCs/>
          <w:sz w:val="22"/>
          <w:szCs w:val="22"/>
          <w:lang w:val="en-GB"/>
        </w:rPr>
      </w:pPr>
    </w:p>
    <w:p w14:paraId="27B8D29E" w14:textId="14DCB13E" w:rsidR="00C55C59" w:rsidRPr="00FB1598" w:rsidRDefault="004A4CBB" w:rsidP="005B0D1E">
      <w:pPr>
        <w:pStyle w:val="paragraph"/>
        <w:pBdr>
          <w:bottom w:val="single" w:sz="4" w:space="1" w:color="000000"/>
        </w:pBdr>
        <w:spacing w:before="0" w:beforeAutospacing="0" w:after="0" w:afterAutospacing="0"/>
        <w:textAlignment w:val="baseline"/>
        <w:rPr>
          <w:rStyle w:val="normaltextrun"/>
          <w:rFonts w:eastAsiaTheme="majorEastAsia"/>
          <w:b/>
        </w:rPr>
      </w:pPr>
      <w:r w:rsidRPr="00D47C15">
        <w:rPr>
          <w:rStyle w:val="normaltextrun"/>
          <w:rFonts w:eastAsiaTheme="majorEastAsia"/>
          <w:b/>
        </w:rPr>
        <w:t xml:space="preserve">1. </w:t>
      </w:r>
      <w:r w:rsidR="00C55C59" w:rsidRPr="00FB1598">
        <w:rPr>
          <w:rStyle w:val="normaltextrun"/>
          <w:rFonts w:eastAsiaTheme="majorEastAsia"/>
          <w:b/>
        </w:rPr>
        <w:t>Indicator name</w:t>
      </w:r>
    </w:p>
    <w:p w14:paraId="7874CF36" w14:textId="77777777" w:rsidR="00C55C59" w:rsidRPr="00ED7E61" w:rsidRDefault="00C55C59" w:rsidP="00C55C59">
      <w:pPr>
        <w:rPr>
          <w:rFonts w:asciiTheme="majorBidi" w:eastAsiaTheme="majorEastAsia" w:hAnsiTheme="majorBidi" w:cstheme="majorBidi"/>
          <w:bCs/>
          <w:sz w:val="22"/>
          <w:szCs w:val="22"/>
          <w:lang w:val="en-GB"/>
        </w:rPr>
      </w:pPr>
      <w:r w:rsidRPr="00ED7E61">
        <w:rPr>
          <w:rFonts w:asciiTheme="majorBidi" w:eastAsiaTheme="majorEastAsia" w:hAnsiTheme="majorBidi" w:cstheme="majorBidi"/>
          <w:bCs/>
          <w:sz w:val="22"/>
          <w:szCs w:val="22"/>
          <w:lang w:val="en-GB"/>
        </w:rPr>
        <w:t xml:space="preserve">21.1 Indicator on biodiversity information for monitoring the global biodiversity framework </w:t>
      </w:r>
    </w:p>
    <w:p w14:paraId="343E4653" w14:textId="77777777" w:rsidR="00C55C59" w:rsidRPr="00ED7E61" w:rsidRDefault="00C55C59" w:rsidP="00C55C59">
      <w:pPr>
        <w:rPr>
          <w:rFonts w:asciiTheme="majorBidi" w:eastAsiaTheme="majorEastAsia" w:hAnsiTheme="majorBidi" w:cstheme="majorBidi"/>
          <w:bCs/>
          <w:sz w:val="22"/>
          <w:szCs w:val="22"/>
          <w:lang w:val="en-GB"/>
        </w:rPr>
      </w:pPr>
    </w:p>
    <w:p w14:paraId="541CB3CB" w14:textId="633DC846" w:rsidR="00C55C59" w:rsidRPr="00FB1598" w:rsidRDefault="004A4CBB" w:rsidP="005B0D1E">
      <w:pPr>
        <w:pStyle w:val="paragraph"/>
        <w:pBdr>
          <w:bottom w:val="single" w:sz="4" w:space="1" w:color="000000"/>
        </w:pBdr>
        <w:spacing w:before="0" w:beforeAutospacing="0" w:after="0" w:afterAutospacing="0"/>
        <w:textAlignment w:val="baseline"/>
        <w:rPr>
          <w:rStyle w:val="normaltextrun"/>
          <w:rFonts w:eastAsiaTheme="majorEastAsia"/>
          <w:b/>
        </w:rPr>
      </w:pPr>
      <w:r w:rsidRPr="00ED7E61">
        <w:rPr>
          <w:rStyle w:val="normaltextrun"/>
          <w:rFonts w:eastAsiaTheme="majorEastAsia"/>
          <w:b/>
        </w:rPr>
        <w:t>2</w:t>
      </w:r>
      <w:r w:rsidRPr="00D47C15">
        <w:rPr>
          <w:rStyle w:val="normaltextrun"/>
          <w:rFonts w:eastAsiaTheme="majorEastAsia"/>
          <w:b/>
        </w:rPr>
        <w:t xml:space="preserve">. </w:t>
      </w:r>
      <w:r w:rsidR="00C55C59" w:rsidRPr="00FB1598">
        <w:rPr>
          <w:rStyle w:val="normaltextrun"/>
          <w:rFonts w:eastAsiaTheme="majorEastAsia"/>
          <w:b/>
        </w:rPr>
        <w:t>Date of metadata update</w:t>
      </w:r>
    </w:p>
    <w:p w14:paraId="6C2A642F" w14:textId="0DB0CCB5" w:rsidR="00C55C59" w:rsidRPr="00ED7E61" w:rsidRDefault="006B30FE" w:rsidP="00C55C59">
      <w:pPr>
        <w:rPr>
          <w:rFonts w:asciiTheme="majorBidi" w:eastAsiaTheme="majorEastAsia" w:hAnsiTheme="majorBidi" w:cstheme="majorBidi"/>
          <w:bCs/>
          <w:sz w:val="22"/>
          <w:szCs w:val="22"/>
          <w:lang w:val="en-GB"/>
        </w:rPr>
      </w:pPr>
      <w:r>
        <w:rPr>
          <w:rFonts w:asciiTheme="majorBidi" w:eastAsiaTheme="majorEastAsia" w:hAnsiTheme="majorBidi" w:cstheme="majorBidi"/>
          <w:bCs/>
          <w:sz w:val="22"/>
          <w:szCs w:val="22"/>
          <w:lang w:val="en-GB"/>
        </w:rPr>
        <w:t>September</w:t>
      </w:r>
      <w:r w:rsidRPr="00ED7E61">
        <w:rPr>
          <w:rFonts w:asciiTheme="majorBidi" w:eastAsiaTheme="majorEastAsia" w:hAnsiTheme="majorBidi" w:cstheme="majorBidi"/>
          <w:bCs/>
          <w:sz w:val="22"/>
          <w:szCs w:val="22"/>
          <w:lang w:val="en-GB"/>
        </w:rPr>
        <w:t xml:space="preserve"> </w:t>
      </w:r>
      <w:r w:rsidR="00C55C59" w:rsidRPr="00ED7E61">
        <w:rPr>
          <w:rFonts w:asciiTheme="majorBidi" w:eastAsiaTheme="majorEastAsia" w:hAnsiTheme="majorBidi" w:cstheme="majorBidi"/>
          <w:bCs/>
          <w:sz w:val="22"/>
          <w:szCs w:val="22"/>
          <w:lang w:val="en-GB"/>
        </w:rPr>
        <w:t>2024</w:t>
      </w:r>
    </w:p>
    <w:p w14:paraId="31525F6D" w14:textId="77777777" w:rsidR="00C55C59" w:rsidRPr="00ED7E61" w:rsidRDefault="00C55C59" w:rsidP="00C55C59">
      <w:pPr>
        <w:rPr>
          <w:rFonts w:asciiTheme="majorBidi" w:eastAsiaTheme="majorEastAsia" w:hAnsiTheme="majorBidi" w:cstheme="majorBidi"/>
          <w:bCs/>
          <w:sz w:val="22"/>
          <w:szCs w:val="22"/>
          <w:lang w:val="en-GB"/>
        </w:rPr>
      </w:pPr>
    </w:p>
    <w:p w14:paraId="4023B848" w14:textId="4E74EFDF" w:rsidR="00C55C59" w:rsidRPr="00FB1598" w:rsidRDefault="004A4CBB" w:rsidP="005B0D1E">
      <w:pPr>
        <w:pStyle w:val="paragraph"/>
        <w:pBdr>
          <w:bottom w:val="single" w:sz="4" w:space="1" w:color="000000"/>
        </w:pBdr>
        <w:spacing w:before="0" w:beforeAutospacing="0" w:after="0" w:afterAutospacing="0"/>
        <w:textAlignment w:val="baseline"/>
        <w:rPr>
          <w:rStyle w:val="normaltextrun"/>
          <w:rFonts w:eastAsiaTheme="majorEastAsia"/>
          <w:b/>
        </w:rPr>
      </w:pPr>
      <w:r w:rsidRPr="00D47C15">
        <w:rPr>
          <w:rStyle w:val="normaltextrun"/>
          <w:rFonts w:eastAsiaTheme="majorEastAsia"/>
          <w:b/>
        </w:rPr>
        <w:t xml:space="preserve">3. </w:t>
      </w:r>
      <w:r w:rsidR="00C55C59" w:rsidRPr="00FB1598">
        <w:rPr>
          <w:rStyle w:val="normaltextrun"/>
          <w:rFonts w:eastAsiaTheme="majorEastAsia"/>
          <w:b/>
        </w:rPr>
        <w:t>Goals and Targets addressed</w:t>
      </w:r>
    </w:p>
    <w:p w14:paraId="779C9A48" w14:textId="0F93C11B" w:rsidR="00C55C59" w:rsidRPr="00ED7E61" w:rsidRDefault="00C55C59" w:rsidP="00C55C59">
      <w:pPr>
        <w:rPr>
          <w:rFonts w:asciiTheme="majorBidi" w:eastAsiaTheme="majorEastAsia" w:hAnsiTheme="majorBidi" w:cstheme="majorBidi"/>
          <w:bCs/>
          <w:sz w:val="22"/>
          <w:szCs w:val="22"/>
          <w:lang w:val="en-GB"/>
        </w:rPr>
      </w:pPr>
      <w:r w:rsidRPr="00ED7E61">
        <w:rPr>
          <w:rFonts w:asciiTheme="majorBidi" w:eastAsiaTheme="majorEastAsia" w:hAnsiTheme="majorBidi" w:cstheme="majorBidi"/>
          <w:bCs/>
          <w:sz w:val="22"/>
          <w:szCs w:val="22"/>
          <w:lang w:val="en-GB"/>
        </w:rPr>
        <w:t xml:space="preserve">Target 21. Ensure that the best available data, information and knowledge are accessible to decision-makers, practitioners and the public to guide effective and equitable governance, integrated and participatory management of biodiversity, and to strengthen communication, awareness-raising, education, monitoring, research and knowledge management and, also in this context, traditional knowledge, innovations, practices and technologies of Indigenous peoples and local communities should only be accessed with their free, prior and informed consent, in accordance with national legislation. </w:t>
      </w:r>
    </w:p>
    <w:p w14:paraId="4DD7A79A" w14:textId="4303CFE5" w:rsidR="00C55C59" w:rsidRPr="00FB1598" w:rsidRDefault="004A4CBB" w:rsidP="00CE5D0F">
      <w:pPr>
        <w:pStyle w:val="paragraph"/>
        <w:pBdr>
          <w:bottom w:val="single" w:sz="4" w:space="1" w:color="000000"/>
        </w:pBdr>
        <w:spacing w:before="120" w:beforeAutospacing="0" w:after="0" w:afterAutospacing="0"/>
        <w:textAlignment w:val="baseline"/>
        <w:rPr>
          <w:rFonts w:asciiTheme="majorBidi" w:eastAsiaTheme="majorEastAsia" w:hAnsiTheme="majorBidi" w:cstheme="majorBidi"/>
          <w:b/>
          <w:sz w:val="22"/>
          <w:szCs w:val="22"/>
          <w:lang w:val="en-GB"/>
        </w:rPr>
      </w:pPr>
      <w:r w:rsidRPr="00D47C15">
        <w:rPr>
          <w:rStyle w:val="normaltextrun"/>
          <w:rFonts w:eastAsiaTheme="majorEastAsia"/>
          <w:b/>
        </w:rPr>
        <w:t xml:space="preserve">4. </w:t>
      </w:r>
      <w:r w:rsidR="00C55C59" w:rsidRPr="00FB1598">
        <w:rPr>
          <w:rStyle w:val="normaltextrun"/>
          <w:rFonts w:eastAsiaTheme="majorEastAsia"/>
          <w:b/>
        </w:rPr>
        <w:t>Rationale</w:t>
      </w:r>
    </w:p>
    <w:p w14:paraId="41F94111" w14:textId="00C08416" w:rsidR="00406635" w:rsidRPr="00ED7E61" w:rsidRDefault="00C55C59" w:rsidP="00B10F0C">
      <w:pPr>
        <w:pStyle w:val="CBDNormalNumber"/>
        <w:numPr>
          <w:ilvl w:val="0"/>
          <w:numId w:val="96"/>
        </w:numPr>
        <w:shd w:val="clear" w:color="auto" w:fill="FFFFFF"/>
        <w:tabs>
          <w:tab w:val="clear" w:pos="1701"/>
        </w:tabs>
        <w:ind w:left="567" w:firstLine="0"/>
        <w:rPr>
          <w:rFonts w:asciiTheme="majorBidi" w:eastAsiaTheme="majorEastAsia" w:hAnsiTheme="majorBidi" w:cstheme="majorBidi"/>
          <w:bCs/>
        </w:rPr>
      </w:pPr>
      <w:r w:rsidRPr="002E7C8B">
        <w:rPr>
          <w:rFonts w:asciiTheme="majorBidi" w:hAnsiTheme="majorBidi" w:cstheme="majorBidi"/>
        </w:rPr>
        <w:t>Biodiversity</w:t>
      </w:r>
      <w:r w:rsidRPr="00ED7E61">
        <w:rPr>
          <w:rFonts w:asciiTheme="majorBidi" w:eastAsiaTheme="majorEastAsia" w:hAnsiTheme="majorBidi" w:cstheme="majorBidi"/>
          <w:bCs/>
        </w:rPr>
        <w:t xml:space="preserve"> information is required to identify threats to biodiversity, to determine priority actions for conservation and sustainable use and to determine if such actions are effective. Biodiversity information, including traditional knowledge, will underpin assessments of progress towards all of the proposed goals and targets of the post-2020 global biodiversity framework.</w:t>
      </w:r>
    </w:p>
    <w:p w14:paraId="5C8599DF" w14:textId="18A964ED" w:rsidR="00406635" w:rsidRPr="00ED7E61" w:rsidRDefault="00C55C59" w:rsidP="00B10F0C">
      <w:pPr>
        <w:pStyle w:val="CBDNormalNumber"/>
        <w:numPr>
          <w:ilvl w:val="0"/>
          <w:numId w:val="96"/>
        </w:numPr>
        <w:shd w:val="clear" w:color="auto" w:fill="FFFFFF"/>
        <w:ind w:left="567" w:firstLine="0"/>
      </w:pPr>
      <w:r w:rsidRPr="002E7C8B">
        <w:rPr>
          <w:rFonts w:asciiTheme="majorBidi" w:hAnsiTheme="majorBidi" w:cstheme="majorBidi"/>
        </w:rPr>
        <w:t>Despite</w:t>
      </w:r>
      <w:r w:rsidRPr="00ED7E61">
        <w:t xml:space="preserve"> the importance of traditional knowledge to biodiversity, there is limited information on how such information is being taken into account in decision making. In particular, the need for a measure of “</w:t>
      </w:r>
      <w:r w:rsidRPr="00FB1598">
        <w:rPr>
          <w:i/>
          <w:iCs/>
        </w:rPr>
        <w:t>the trends in which traditional knowledge and practices are respected through their full integration, safeguards and the full and effective participation of indigenous and local communities in the national implementation of the Strategic Plan</w:t>
      </w:r>
      <w:r w:rsidRPr="00ED7E61">
        <w:t xml:space="preserve">” was identified in COP decision XIII/28 but remains to be operationalised. </w:t>
      </w:r>
    </w:p>
    <w:p w14:paraId="07248F25" w14:textId="6EE29066" w:rsidR="00406635" w:rsidRPr="00ED7E61" w:rsidRDefault="00C55C59" w:rsidP="00B10F0C">
      <w:pPr>
        <w:pStyle w:val="CBDNormalNumber"/>
        <w:numPr>
          <w:ilvl w:val="0"/>
          <w:numId w:val="96"/>
        </w:numPr>
        <w:shd w:val="clear" w:color="auto" w:fill="FFFFFF"/>
        <w:ind w:left="567" w:firstLine="0"/>
      </w:pPr>
      <w:r w:rsidRPr="002E7C8B">
        <w:rPr>
          <w:rFonts w:asciiTheme="majorBidi" w:hAnsiTheme="majorBidi" w:cstheme="majorBidi"/>
        </w:rPr>
        <w:t>This</w:t>
      </w:r>
      <w:r w:rsidRPr="00ED7E61">
        <w:t xml:space="preserve"> indicator is necessary for countries to be able to assess their overall ability to access biodiversity data, information and knowledge required to guide action and report progress under the monitoring framework. The indicator should evaluate the availability of biodiversity information and knowledge for all dimensions of biodiversity required to monitor progress across all targets of the GBF.</w:t>
      </w:r>
    </w:p>
    <w:p w14:paraId="43424DDF" w14:textId="77777777" w:rsidR="00C55C59" w:rsidRDefault="00C55C59" w:rsidP="00B10F0C">
      <w:pPr>
        <w:pStyle w:val="CBDNormalNumber"/>
        <w:numPr>
          <w:ilvl w:val="0"/>
          <w:numId w:val="96"/>
        </w:numPr>
        <w:shd w:val="clear" w:color="auto" w:fill="FFFFFF"/>
        <w:ind w:left="567" w:firstLine="0"/>
      </w:pPr>
      <w:r w:rsidRPr="002E7C8B">
        <w:rPr>
          <w:rFonts w:asciiTheme="majorBidi" w:hAnsiTheme="majorBidi" w:cstheme="majorBidi"/>
        </w:rPr>
        <w:t>It</w:t>
      </w:r>
      <w:r w:rsidRPr="00ED7E61">
        <w:t xml:space="preserve"> is recognized that:</w:t>
      </w:r>
    </w:p>
    <w:p w14:paraId="77853814" w14:textId="77777777" w:rsidR="002E7C8B" w:rsidRPr="00ED7E61" w:rsidRDefault="002E7C8B" w:rsidP="00B10F0C">
      <w:pPr>
        <w:pStyle w:val="CBDNormalNumber"/>
        <w:numPr>
          <w:ilvl w:val="1"/>
          <w:numId w:val="96"/>
        </w:numPr>
        <w:tabs>
          <w:tab w:val="clear" w:pos="567"/>
          <w:tab w:val="clear" w:pos="1134"/>
          <w:tab w:val="clear" w:pos="2268"/>
          <w:tab w:val="left" w:pos="1985"/>
        </w:tabs>
        <w:ind w:left="567" w:firstLine="567"/>
        <w:rPr>
          <w:rStyle w:val="normaltextrun"/>
          <w:lang w:val="en-US"/>
        </w:rPr>
      </w:pPr>
      <w:r w:rsidRPr="00ED7E61">
        <w:rPr>
          <w:rStyle w:val="normaltextrun"/>
          <w:lang w:val="en-US"/>
        </w:rPr>
        <w:t>A single composite indicator may give an overall summary of status or progress, but appropriate disaggregation will be needed to assess which aspects of biodiversity information are lacking or needed to increase country scores.</w:t>
      </w:r>
    </w:p>
    <w:p w14:paraId="4CC54F86" w14:textId="77777777" w:rsidR="002E7C8B" w:rsidRPr="00ED7E61" w:rsidRDefault="002E7C8B" w:rsidP="00B10F0C">
      <w:pPr>
        <w:pStyle w:val="CBDNormalNumber"/>
        <w:numPr>
          <w:ilvl w:val="1"/>
          <w:numId w:val="96"/>
        </w:numPr>
        <w:tabs>
          <w:tab w:val="clear" w:pos="567"/>
          <w:tab w:val="clear" w:pos="1134"/>
          <w:tab w:val="clear" w:pos="2268"/>
          <w:tab w:val="left" w:pos="1985"/>
        </w:tabs>
        <w:ind w:left="567" w:firstLine="567"/>
        <w:rPr>
          <w:rStyle w:val="normaltextrun"/>
          <w:lang w:val="en-US"/>
        </w:rPr>
      </w:pPr>
      <w:r w:rsidRPr="00ED7E61">
        <w:rPr>
          <w:rStyle w:val="normaltextrun"/>
          <w:lang w:val="en-US"/>
        </w:rPr>
        <w:t xml:space="preserve">Because biodiversity information is cross cutting with other goals and targets of the KM GBF, information used for other indicators will be relevant. </w:t>
      </w:r>
    </w:p>
    <w:p w14:paraId="4888B60D" w14:textId="77777777" w:rsidR="002E7C8B" w:rsidRPr="00ED7E61" w:rsidRDefault="002E7C8B" w:rsidP="00B10F0C">
      <w:pPr>
        <w:pStyle w:val="CBDNormalNumber"/>
        <w:numPr>
          <w:ilvl w:val="1"/>
          <w:numId w:val="96"/>
        </w:numPr>
        <w:tabs>
          <w:tab w:val="clear" w:pos="567"/>
          <w:tab w:val="clear" w:pos="1134"/>
          <w:tab w:val="clear" w:pos="2268"/>
          <w:tab w:val="left" w:pos="1985"/>
        </w:tabs>
        <w:ind w:left="567" w:firstLine="567"/>
        <w:rPr>
          <w:rStyle w:val="normaltextrun"/>
          <w:lang w:val="en-US"/>
        </w:rPr>
      </w:pPr>
      <w:r w:rsidRPr="00ED7E61">
        <w:rPr>
          <w:rStyle w:val="normaltextrun"/>
          <w:lang w:val="en-US"/>
        </w:rPr>
        <w:t>Metrics capturing information related to traditional knowledge are at the heart of the indicator and should be included.</w:t>
      </w:r>
    </w:p>
    <w:p w14:paraId="3FBCD98E" w14:textId="77777777" w:rsidR="002E7C8B" w:rsidRPr="00ED7E61" w:rsidRDefault="002E7C8B" w:rsidP="00B10F0C">
      <w:pPr>
        <w:pStyle w:val="CBDNormalNumber"/>
        <w:numPr>
          <w:ilvl w:val="1"/>
          <w:numId w:val="96"/>
        </w:numPr>
        <w:tabs>
          <w:tab w:val="clear" w:pos="567"/>
          <w:tab w:val="clear" w:pos="1134"/>
          <w:tab w:val="clear" w:pos="2268"/>
          <w:tab w:val="left" w:pos="1985"/>
        </w:tabs>
        <w:ind w:left="567" w:firstLine="567"/>
        <w:rPr>
          <w:rStyle w:val="normaltextrun"/>
          <w:lang w:val="en-US"/>
        </w:rPr>
      </w:pPr>
      <w:r w:rsidRPr="00ED7E61">
        <w:rPr>
          <w:rStyle w:val="normaltextrun"/>
          <w:lang w:val="en-US"/>
        </w:rPr>
        <w:t>Information in national reports, including how well countries are able to report on all indicators and targets, may support this indicator.</w:t>
      </w:r>
    </w:p>
    <w:p w14:paraId="6C0DAC5D"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2E7C8B">
        <w:rPr>
          <w:rFonts w:asciiTheme="majorBidi" w:hAnsiTheme="majorBidi" w:cstheme="majorBidi"/>
        </w:rPr>
        <w:t>There</w:t>
      </w:r>
      <w:r w:rsidRPr="00ED7E61">
        <w:rPr>
          <w:rFonts w:asciiTheme="majorBidi" w:eastAsiaTheme="majorEastAsia" w:hAnsiTheme="majorBidi" w:cstheme="majorBidi"/>
          <w:bCs/>
        </w:rPr>
        <w:t xml:space="preserve"> remains a need to establish quantitative national targets to indicate progress towards improving the coverage and completeness of biodiversity data used and produced by countries to monitor progress to the targets and goals of the GBF. This indicator should present information in a way that fosters action to fill gaps and improve strength of the conclusions that can be drawn from the data (Leung and Gonzalez 2024).</w:t>
      </w:r>
    </w:p>
    <w:p w14:paraId="759B3058" w14:textId="4F830432" w:rsidR="00C55C59" w:rsidRPr="00CE5D0F" w:rsidRDefault="004A4CBB" w:rsidP="00CE5D0F">
      <w:pPr>
        <w:pStyle w:val="paragraph"/>
        <w:pBdr>
          <w:bottom w:val="single" w:sz="4" w:space="1" w:color="000000"/>
        </w:pBdr>
        <w:spacing w:before="120" w:beforeAutospacing="0" w:after="0" w:afterAutospacing="0"/>
        <w:textAlignment w:val="baseline"/>
        <w:rPr>
          <w:rFonts w:eastAsiaTheme="majorEastAsia"/>
          <w:b/>
        </w:rPr>
      </w:pPr>
      <w:r w:rsidRPr="00D47C15">
        <w:rPr>
          <w:rStyle w:val="normaltextrun"/>
          <w:rFonts w:eastAsiaTheme="majorEastAsia"/>
          <w:b/>
        </w:rPr>
        <w:t xml:space="preserve">5. </w:t>
      </w:r>
      <w:r w:rsidR="00C55C59" w:rsidRPr="00FB1598">
        <w:rPr>
          <w:rStyle w:val="normaltextrun"/>
          <w:rFonts w:eastAsiaTheme="majorEastAsia"/>
          <w:b/>
        </w:rPr>
        <w:t>Definitions, concepts and classifications</w:t>
      </w:r>
    </w:p>
    <w:p w14:paraId="5D9A84E5" w14:textId="77777777" w:rsidR="00C55C59" w:rsidRPr="00ED7E61" w:rsidRDefault="00C55C59" w:rsidP="00CE5D0F">
      <w:pPr>
        <w:spacing w:before="120"/>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5a. Definition</w:t>
      </w:r>
    </w:p>
    <w:p w14:paraId="0E45D1E8" w14:textId="77777777" w:rsidR="00406635" w:rsidRPr="00ED7E61" w:rsidRDefault="00406635"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D804BA">
        <w:rPr>
          <w:rFonts w:asciiTheme="majorBidi" w:hAnsiTheme="majorBidi" w:cstheme="majorBidi"/>
        </w:rPr>
        <w:t>The</w:t>
      </w:r>
      <w:r w:rsidRPr="00ED7E61">
        <w:rPr>
          <w:rFonts w:asciiTheme="majorBidi" w:eastAsiaTheme="majorEastAsia" w:hAnsiTheme="majorBidi" w:cstheme="majorBidi"/>
          <w:bCs/>
        </w:rPr>
        <w:t xml:space="preserve"> number (or percentage) of headline indicators identified in a national monitoring framework where national biodiversity datasets, traditional knowledge, and monitoring schemes are available for use. Over time this would capture country-level trends in the access and use of data for governance, management and communication of biodiversity outcomes.</w:t>
      </w:r>
    </w:p>
    <w:p w14:paraId="215C2957" w14:textId="1E6E7331" w:rsidR="00406635" w:rsidRDefault="00406635"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D804BA">
        <w:rPr>
          <w:rFonts w:asciiTheme="majorBidi" w:hAnsiTheme="majorBidi" w:cstheme="majorBidi"/>
        </w:rPr>
        <w:t>Three</w:t>
      </w:r>
      <w:r w:rsidRPr="00ED7E61">
        <w:rPr>
          <w:rFonts w:asciiTheme="majorBidi" w:eastAsiaTheme="majorEastAsia" w:hAnsiTheme="majorBidi" w:cstheme="majorBidi"/>
          <w:bCs/>
        </w:rPr>
        <w:t xml:space="preserve"> specific elements are recommended for reporting under this indicator: </w:t>
      </w:r>
    </w:p>
    <w:p w14:paraId="4A219ED3" w14:textId="77777777" w:rsidR="00D804BA" w:rsidRPr="00ED7E61" w:rsidRDefault="00D804BA" w:rsidP="00B10F0C">
      <w:pPr>
        <w:pStyle w:val="CBDNormalNumber"/>
        <w:numPr>
          <w:ilvl w:val="1"/>
          <w:numId w:val="96"/>
        </w:numPr>
        <w:tabs>
          <w:tab w:val="clear" w:pos="567"/>
          <w:tab w:val="clear" w:pos="1134"/>
          <w:tab w:val="clear" w:pos="2268"/>
          <w:tab w:val="left" w:pos="1985"/>
        </w:tabs>
        <w:ind w:left="567" w:firstLine="531"/>
        <w:rPr>
          <w:rStyle w:val="normaltextrun"/>
          <w:lang w:val="en-US"/>
        </w:rPr>
      </w:pPr>
      <w:r w:rsidRPr="00ED7E61">
        <w:rPr>
          <w:rStyle w:val="normaltextrun"/>
          <w:lang w:val="en-US"/>
        </w:rPr>
        <w:t>Metrics on the availability, amount, coverage and quality of information used to report on each biodiversity indicator within the national monitoring framework.</w:t>
      </w:r>
    </w:p>
    <w:p w14:paraId="06D6E670" w14:textId="52A9E2B7" w:rsidR="00D804BA" w:rsidRPr="00ED7E61" w:rsidRDefault="00D804BA" w:rsidP="00B10F0C">
      <w:pPr>
        <w:pStyle w:val="CBDNormalNumber"/>
        <w:numPr>
          <w:ilvl w:val="1"/>
          <w:numId w:val="96"/>
        </w:numPr>
        <w:tabs>
          <w:tab w:val="clear" w:pos="567"/>
          <w:tab w:val="clear" w:pos="1134"/>
          <w:tab w:val="clear" w:pos="2268"/>
          <w:tab w:val="left" w:pos="1985"/>
        </w:tabs>
        <w:ind w:left="567" w:firstLine="531"/>
        <w:rPr>
          <w:rStyle w:val="normaltextrun"/>
          <w:lang w:val="en-US"/>
        </w:rPr>
      </w:pPr>
      <w:r w:rsidRPr="00ED7E61">
        <w:rPr>
          <w:rStyle w:val="normaltextrun"/>
          <w:lang w:val="en-US"/>
        </w:rPr>
        <w:t>An evaluation of how many targets take traditional knowledge into account in the assessment of trends or decisions required for each target.</w:t>
      </w:r>
    </w:p>
    <w:p w14:paraId="7D530BBC" w14:textId="5A6B71B4" w:rsidR="00D804BA" w:rsidRPr="00ED7E61" w:rsidRDefault="00D804BA" w:rsidP="00B10F0C">
      <w:pPr>
        <w:pStyle w:val="CBDNormalNumber"/>
        <w:numPr>
          <w:ilvl w:val="1"/>
          <w:numId w:val="96"/>
        </w:numPr>
        <w:tabs>
          <w:tab w:val="clear" w:pos="567"/>
          <w:tab w:val="clear" w:pos="1134"/>
          <w:tab w:val="clear" w:pos="2268"/>
          <w:tab w:val="left" w:pos="1985"/>
        </w:tabs>
        <w:ind w:left="567" w:firstLine="531"/>
        <w:rPr>
          <w:rStyle w:val="normaltextrun"/>
          <w:lang w:val="en-US"/>
        </w:rPr>
      </w:pPr>
      <w:r w:rsidRPr="00ED7E61">
        <w:rPr>
          <w:rStyle w:val="normaltextrun"/>
          <w:lang w:val="en-US"/>
        </w:rPr>
        <w:t>An enumeration of the number and coverage of biodiversity monitoring schemes currently active and providing data and knowledge on the basis of FAIR and CARE principles, needed to report trends in a headline indicator.</w:t>
      </w:r>
    </w:p>
    <w:p w14:paraId="1C75B2C8" w14:textId="73E642F1" w:rsidR="00C55C59" w:rsidRPr="00ED7E61" w:rsidRDefault="00406635"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D804BA">
        <w:rPr>
          <w:rFonts w:asciiTheme="majorBidi" w:hAnsiTheme="majorBidi" w:cstheme="majorBidi"/>
        </w:rPr>
        <w:t>Definitions</w:t>
      </w:r>
      <w:r w:rsidRPr="00ED7E61">
        <w:rPr>
          <w:rFonts w:asciiTheme="majorBidi" w:eastAsiaTheme="majorEastAsia" w:hAnsiTheme="majorBidi" w:cstheme="majorBidi"/>
          <w:bCs/>
        </w:rPr>
        <w:t xml:space="preserve"> for data sources and indicators to do this are given below.</w:t>
      </w:r>
    </w:p>
    <w:p w14:paraId="6A586903"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5b. Method of computation</w:t>
      </w:r>
    </w:p>
    <w:p w14:paraId="2E9927DB" w14:textId="77777777" w:rsidR="00C87DD9" w:rsidRPr="00ED7E61" w:rsidRDefault="00C87DD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 xml:space="preserve">A country reporting this indicator would provide the number (or percentage) of headline indicators in a national monitoring framework where national biodiversity datasets, traditional knowledge, and monitoring schemes are available for use. </w:t>
      </w:r>
    </w:p>
    <w:p w14:paraId="13D8EBA7" w14:textId="77777777" w:rsidR="00C87DD9" w:rsidRPr="00ED7E61" w:rsidRDefault="00C87DD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Development of a national methodology for this indicator must consider that while most countries have national datasets and monitoring schemes for some species and ecosystems, these sources rarely cover all the biodiversity information needed for this headline indicator. Some countries may need to refer to international data sources and monitoring programs. Access and use of international databases can often be disaggregated to country level.</w:t>
      </w:r>
    </w:p>
    <w:p w14:paraId="13824C26" w14:textId="77777777" w:rsidR="00C87DD9" w:rsidRPr="00ED7E61" w:rsidRDefault="00C87DD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In the case of a global network such as GBIF, such disaggregations will in fact include a combination of species occurrence data from national sources, with data shared from institutions in other countries - emphasising the benefits of global cooperation in bringing together data from all sources.</w:t>
      </w:r>
    </w:p>
    <w:p w14:paraId="10B79047" w14:textId="77777777" w:rsidR="00C87DD9" w:rsidRPr="00ED7E61" w:rsidRDefault="00C87DD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An assessment of the availability of information sources captures one element of this indicator. Measures of data coverage and quality are also needed to assess growth in the availability of information of sufficient quality to guide decisions. We describe the indicators that can be used to assess these facets of information quality and source in the next section.</w:t>
      </w:r>
    </w:p>
    <w:p w14:paraId="23401342" w14:textId="66F5DD75" w:rsidR="00C87DD9" w:rsidRPr="00ED7E61" w:rsidRDefault="00C87DD9" w:rsidP="005B0D1E">
      <w:pPr>
        <w:pStyle w:val="CBDNormalNumber"/>
        <w:shd w:val="clear" w:color="auto" w:fill="FFFFFF"/>
        <w:rPr>
          <w:rFonts w:asciiTheme="majorBidi" w:eastAsiaTheme="majorEastAsia" w:hAnsiTheme="majorBidi" w:cstheme="majorBidi"/>
          <w:bCs/>
        </w:rPr>
      </w:pPr>
      <w:r w:rsidRPr="00ED7E61">
        <w:rPr>
          <w:rFonts w:asciiTheme="majorBidi" w:eastAsiaTheme="majorEastAsia" w:hAnsiTheme="majorBidi" w:cstheme="majorBidi"/>
          <w:bCs/>
        </w:rPr>
        <w:t xml:space="preserve">Indicators for data quality, data coverage and </w:t>
      </w:r>
      <w:r w:rsidR="00022576" w:rsidRPr="00ED7E61">
        <w:rPr>
          <w:rFonts w:asciiTheme="majorBidi" w:eastAsiaTheme="majorEastAsia" w:hAnsiTheme="majorBidi" w:cstheme="majorBidi"/>
          <w:bCs/>
        </w:rPr>
        <w:t>knowledge</w:t>
      </w:r>
      <w:r w:rsidRPr="00ED7E61">
        <w:rPr>
          <w:rFonts w:asciiTheme="majorBidi" w:eastAsiaTheme="majorEastAsia" w:hAnsiTheme="majorBidi" w:cstheme="majorBidi"/>
          <w:bCs/>
        </w:rPr>
        <w:t xml:space="preserve"> gaps</w:t>
      </w:r>
    </w:p>
    <w:p w14:paraId="4185A355" w14:textId="2046DEE7" w:rsidR="00C55C59" w:rsidRPr="00ED7E61" w:rsidRDefault="00C87DD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The following table summarizes the types of biodiversity information that can be used to assess the gaps, coverage, and quality of information needed to calculate this headline indicator. General examples are given for types of data or information sources, and these will differ from country to country. Countries may maintain a database of sources of biodiversity information and knowledge to report for headline indicator 21.1.</w:t>
      </w:r>
    </w:p>
    <w:p w14:paraId="3ED7B8D0" w14:textId="4BC73C07" w:rsidR="00C55C59" w:rsidRPr="00ED7E61" w:rsidRDefault="00C55C59" w:rsidP="00C55C59">
      <w:pPr>
        <w:rPr>
          <w:rFonts w:asciiTheme="majorBidi" w:eastAsiaTheme="majorEastAsia" w:hAnsiTheme="majorBidi" w:cstheme="majorBidi"/>
          <w:bCs/>
          <w:sz w:val="22"/>
          <w:szCs w:val="22"/>
          <w:lang w:val="en-GB"/>
        </w:rPr>
      </w:pPr>
      <w:r w:rsidRPr="00ED7E61">
        <w:rPr>
          <w:rFonts w:asciiTheme="majorBidi" w:eastAsiaTheme="majorEastAsia" w:hAnsiTheme="majorBidi" w:cstheme="majorBidi"/>
          <w:bCs/>
          <w:sz w:val="22"/>
          <w:szCs w:val="22"/>
          <w:lang w:val="en-GB"/>
        </w:rPr>
        <w:t>Table</w:t>
      </w:r>
      <w:r w:rsidR="00D804BA">
        <w:rPr>
          <w:rFonts w:asciiTheme="majorBidi" w:eastAsiaTheme="majorEastAsia" w:hAnsiTheme="majorBidi" w:cstheme="majorBidi"/>
          <w:bCs/>
          <w:sz w:val="22"/>
          <w:szCs w:val="22"/>
          <w:lang w:val="en-GB"/>
        </w:rPr>
        <w:t xml:space="preserve"> 1</w:t>
      </w:r>
      <w:r w:rsidRPr="00ED7E61">
        <w:rPr>
          <w:rFonts w:asciiTheme="majorBidi" w:eastAsiaTheme="majorEastAsia" w:hAnsiTheme="majorBidi" w:cstheme="majorBidi"/>
          <w:bCs/>
          <w:sz w:val="22"/>
          <w:szCs w:val="22"/>
          <w:lang w:val="en-GB"/>
        </w:rPr>
        <w:t xml:space="preserve"> </w:t>
      </w:r>
      <w:r w:rsidR="00CE5D0F">
        <w:rPr>
          <w:rFonts w:asciiTheme="majorBidi" w:eastAsiaTheme="majorEastAsia" w:hAnsiTheme="majorBidi" w:cstheme="majorBidi"/>
          <w:bCs/>
          <w:sz w:val="22"/>
          <w:szCs w:val="22"/>
          <w:lang w:val="en-GB"/>
        </w:rPr>
        <w:br/>
      </w:r>
      <w:r w:rsidRPr="0021697A">
        <w:rPr>
          <w:rFonts w:asciiTheme="majorBidi" w:eastAsiaTheme="majorEastAsia" w:hAnsiTheme="majorBidi" w:cstheme="majorBidi"/>
          <w:b/>
          <w:iCs/>
          <w:sz w:val="22"/>
          <w:szCs w:val="22"/>
          <w:lang w:val="en-GB"/>
        </w:rPr>
        <w:t>The four types of biodiversity information and sources to be evaluated for each dimension of biodiversity need for indicator 21.1.</w:t>
      </w:r>
      <w:r w:rsidRPr="00ED7E61">
        <w:rPr>
          <w:rFonts w:asciiTheme="majorBidi" w:eastAsiaTheme="majorEastAsia" w:hAnsiTheme="majorBidi" w:cstheme="majorBidi"/>
          <w:bCs/>
          <w:i/>
          <w:sz w:val="22"/>
          <w:szCs w:val="22"/>
          <w:lang w:val="en-GB"/>
        </w:rPr>
        <w:t xml:space="preserve"> </w:t>
      </w:r>
      <w:r w:rsidR="0021697A">
        <w:rPr>
          <w:rFonts w:asciiTheme="majorBidi" w:eastAsiaTheme="majorEastAsia" w:hAnsiTheme="majorBidi" w:cstheme="majorBidi"/>
          <w:bCs/>
          <w:i/>
          <w:sz w:val="22"/>
          <w:szCs w:val="22"/>
          <w:lang w:val="en-GB"/>
        </w:rPr>
        <w:br/>
      </w:r>
      <w:r w:rsidRPr="00ED7E61">
        <w:rPr>
          <w:rFonts w:asciiTheme="majorBidi" w:eastAsiaTheme="majorEastAsia" w:hAnsiTheme="majorBidi" w:cstheme="majorBidi"/>
          <w:bCs/>
          <w:i/>
          <w:sz w:val="22"/>
          <w:szCs w:val="22"/>
          <w:lang w:val="en-GB"/>
        </w:rPr>
        <w:t>We include a non-exhaustive list of examples for the rows of this table. This compilation of data and knowledge sources would also serve to assess the information available to calculate many other indicators. Each element would include traditional knowledge, national and international information sources.</w:t>
      </w:r>
    </w:p>
    <w:tbl>
      <w:tblPr>
        <w:tblpPr w:leftFromText="180" w:rightFromText="180" w:vertAnchor="page" w:horzAnchor="margin" w:tblpXSpec="center" w:tblpY="2970"/>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1545"/>
        <w:gridCol w:w="2595"/>
        <w:gridCol w:w="1500"/>
        <w:gridCol w:w="1635"/>
      </w:tblGrid>
      <w:tr w:rsidR="00C55C59" w:rsidRPr="0021697A" w14:paraId="20ABE98F" w14:textId="77777777" w:rsidTr="00D804B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6A6A6"/>
          </w:tcPr>
          <w:p w14:paraId="74D9E198" w14:textId="77777777" w:rsidR="00C55C59" w:rsidRPr="0021697A" w:rsidRDefault="00C55C59" w:rsidP="00D804BA">
            <w:pPr>
              <w:rPr>
                <w:rFonts w:asciiTheme="majorBidi" w:eastAsiaTheme="majorEastAsia" w:hAnsiTheme="majorBidi" w:cstheme="majorBidi"/>
                <w:bCs/>
                <w:sz w:val="20"/>
                <w:szCs w:val="20"/>
                <w:lang w:val="en-GB"/>
              </w:rPr>
            </w:pPr>
          </w:p>
          <w:p w14:paraId="65B082D8" w14:textId="59E20EC5"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      Information </w:t>
            </w:r>
          </w:p>
          <w:p w14:paraId="3F9897C6"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       type </w:t>
            </w:r>
          </w:p>
          <w:p w14:paraId="5C0351B5" w14:textId="77777777" w:rsidR="00C55C59" w:rsidRPr="0021697A" w:rsidRDefault="00C55C59" w:rsidP="00D804BA">
            <w:pPr>
              <w:rPr>
                <w:rFonts w:asciiTheme="majorBidi" w:eastAsiaTheme="majorEastAsia" w:hAnsiTheme="majorBidi" w:cstheme="majorBidi"/>
                <w:bCs/>
                <w:sz w:val="20"/>
                <w:szCs w:val="20"/>
                <w:lang w:val="en-GB"/>
              </w:rPr>
            </w:pPr>
          </w:p>
          <w:p w14:paraId="0662713D" w14:textId="77777777" w:rsidR="00C55C59" w:rsidRPr="0021697A" w:rsidRDefault="00C55C59" w:rsidP="00D804BA">
            <w:pPr>
              <w:rPr>
                <w:rFonts w:asciiTheme="majorBidi" w:eastAsiaTheme="majorEastAsia" w:hAnsiTheme="majorBidi" w:cstheme="majorBidi"/>
                <w:bCs/>
                <w:sz w:val="20"/>
                <w:szCs w:val="20"/>
                <w:lang w:val="en-GB"/>
              </w:rPr>
            </w:pPr>
          </w:p>
          <w:p w14:paraId="099ED488" w14:textId="77777777" w:rsidR="00C55C59" w:rsidRPr="0021697A" w:rsidRDefault="00C55C59" w:rsidP="00D804BA">
            <w:pPr>
              <w:rPr>
                <w:rFonts w:asciiTheme="majorBidi" w:eastAsiaTheme="majorEastAsia" w:hAnsiTheme="majorBidi" w:cstheme="majorBidi"/>
                <w:bCs/>
                <w:sz w:val="20"/>
                <w:szCs w:val="20"/>
                <w:lang w:val="en-GB"/>
              </w:rPr>
            </w:pPr>
          </w:p>
          <w:p w14:paraId="2D4C0EB1"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Biodiversity dimensions</w:t>
            </w:r>
          </w:p>
        </w:tc>
        <w:tc>
          <w:tcPr>
            <w:tcW w:w="1545" w:type="dxa"/>
            <w:tcBorders>
              <w:top w:val="single" w:sz="4" w:space="0" w:color="000000"/>
              <w:left w:val="single" w:sz="4" w:space="0" w:color="000000"/>
              <w:bottom w:val="single" w:sz="4" w:space="0" w:color="000000"/>
              <w:right w:val="single" w:sz="4" w:space="0" w:color="000000"/>
            </w:tcBorders>
            <w:shd w:val="clear" w:color="auto" w:fill="E8E8E8"/>
          </w:tcPr>
          <w:p w14:paraId="59DC795C" w14:textId="77777777" w:rsidR="00C55C59" w:rsidRPr="0021697A" w:rsidRDefault="00C55C59" w:rsidP="00D804BA">
            <w:pPr>
              <w:rPr>
                <w:rFonts w:asciiTheme="majorBidi" w:eastAsiaTheme="majorEastAsia" w:hAnsiTheme="majorBidi" w:cstheme="majorBidi"/>
                <w:bCs/>
                <w:sz w:val="20"/>
                <w:szCs w:val="20"/>
                <w:lang w:val="en-GB"/>
              </w:rPr>
            </w:pPr>
          </w:p>
          <w:p w14:paraId="7A28AF30"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Monitoring schemes</w:t>
            </w:r>
          </w:p>
          <w:p w14:paraId="05D5AC71" w14:textId="77777777" w:rsidR="00C55C59" w:rsidRPr="0021697A" w:rsidRDefault="00C55C59" w:rsidP="00D804BA">
            <w:pPr>
              <w:rPr>
                <w:rFonts w:asciiTheme="majorBidi" w:eastAsiaTheme="majorEastAsia" w:hAnsiTheme="majorBidi" w:cstheme="majorBidi"/>
                <w:bCs/>
                <w:sz w:val="20"/>
                <w:szCs w:val="20"/>
                <w:lang w:val="en-GB"/>
              </w:rPr>
            </w:pPr>
          </w:p>
          <w:p w14:paraId="71452305"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(community-based, national &amp; international) </w:t>
            </w:r>
          </w:p>
        </w:tc>
        <w:tc>
          <w:tcPr>
            <w:tcW w:w="2595" w:type="dxa"/>
            <w:tcBorders>
              <w:top w:val="single" w:sz="4" w:space="0" w:color="000000"/>
              <w:left w:val="single" w:sz="4" w:space="0" w:color="000000"/>
              <w:bottom w:val="single" w:sz="4" w:space="0" w:color="000000"/>
              <w:right w:val="single" w:sz="4" w:space="0" w:color="000000"/>
            </w:tcBorders>
            <w:shd w:val="clear" w:color="auto" w:fill="E8E8E8"/>
          </w:tcPr>
          <w:p w14:paraId="045D6AF6" w14:textId="77777777" w:rsidR="00C55C59" w:rsidRPr="0021697A" w:rsidRDefault="00C55C59" w:rsidP="00D804BA">
            <w:pPr>
              <w:rPr>
                <w:rFonts w:asciiTheme="majorBidi" w:eastAsiaTheme="majorEastAsia" w:hAnsiTheme="majorBidi" w:cstheme="majorBidi"/>
                <w:bCs/>
                <w:sz w:val="20"/>
                <w:szCs w:val="20"/>
                <w:lang w:val="en-GB"/>
              </w:rPr>
            </w:pPr>
          </w:p>
          <w:p w14:paraId="0EDD0177"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Primary/raw data</w:t>
            </w:r>
          </w:p>
          <w:p w14:paraId="4F8DD825" w14:textId="77777777" w:rsidR="00C55C59" w:rsidRPr="0021697A" w:rsidRDefault="00C55C59" w:rsidP="00D804BA">
            <w:pPr>
              <w:rPr>
                <w:rFonts w:asciiTheme="majorBidi" w:eastAsiaTheme="majorEastAsia" w:hAnsiTheme="majorBidi" w:cstheme="majorBidi"/>
                <w:bCs/>
                <w:sz w:val="20"/>
                <w:szCs w:val="20"/>
                <w:lang w:val="en-GB"/>
              </w:rPr>
            </w:pPr>
          </w:p>
          <w:p w14:paraId="0FA9D9D6"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(number/completeness of relevant observations)</w:t>
            </w:r>
          </w:p>
        </w:tc>
        <w:tc>
          <w:tcPr>
            <w:tcW w:w="1500" w:type="dxa"/>
            <w:tcBorders>
              <w:top w:val="single" w:sz="4" w:space="0" w:color="000000"/>
              <w:left w:val="single" w:sz="4" w:space="0" w:color="000000"/>
              <w:bottom w:val="single" w:sz="4" w:space="0" w:color="000000"/>
              <w:right w:val="single" w:sz="4" w:space="0" w:color="000000"/>
            </w:tcBorders>
            <w:shd w:val="clear" w:color="auto" w:fill="E8E8E8"/>
          </w:tcPr>
          <w:p w14:paraId="0216AAC8" w14:textId="77777777" w:rsidR="00C55C59" w:rsidRPr="0021697A" w:rsidRDefault="00C55C59" w:rsidP="00D804BA">
            <w:pPr>
              <w:rPr>
                <w:rFonts w:asciiTheme="majorBidi" w:eastAsiaTheme="majorEastAsia" w:hAnsiTheme="majorBidi" w:cstheme="majorBidi"/>
                <w:bCs/>
                <w:sz w:val="20"/>
                <w:szCs w:val="20"/>
                <w:lang w:val="en-GB"/>
              </w:rPr>
            </w:pPr>
          </w:p>
          <w:p w14:paraId="3AA26B6F"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Model-based</w:t>
            </w:r>
          </w:p>
          <w:p w14:paraId="040064AF"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information </w:t>
            </w:r>
          </w:p>
          <w:p w14:paraId="1E235283" w14:textId="77777777" w:rsidR="00C55C59" w:rsidRPr="0021697A" w:rsidRDefault="00C55C59" w:rsidP="00D804BA">
            <w:pPr>
              <w:rPr>
                <w:rFonts w:asciiTheme="majorBidi" w:eastAsiaTheme="majorEastAsia" w:hAnsiTheme="majorBidi" w:cstheme="majorBidi"/>
                <w:bCs/>
                <w:sz w:val="20"/>
                <w:szCs w:val="20"/>
                <w:lang w:val="en-GB"/>
              </w:rPr>
            </w:pPr>
          </w:p>
          <w:p w14:paraId="4C212343"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(Assessing quality and coverage) </w:t>
            </w:r>
          </w:p>
        </w:tc>
        <w:tc>
          <w:tcPr>
            <w:tcW w:w="1635" w:type="dxa"/>
            <w:tcBorders>
              <w:top w:val="single" w:sz="4" w:space="0" w:color="000000"/>
              <w:left w:val="single" w:sz="4" w:space="0" w:color="000000"/>
              <w:bottom w:val="single" w:sz="4" w:space="0" w:color="000000"/>
              <w:right w:val="single" w:sz="4" w:space="0" w:color="000000"/>
            </w:tcBorders>
            <w:shd w:val="clear" w:color="auto" w:fill="E8E8E8"/>
          </w:tcPr>
          <w:p w14:paraId="2E52999B" w14:textId="77777777" w:rsidR="00C55C59" w:rsidRPr="0021697A" w:rsidRDefault="00C55C59" w:rsidP="00D804BA">
            <w:pPr>
              <w:rPr>
                <w:rFonts w:asciiTheme="majorBidi" w:eastAsiaTheme="majorEastAsia" w:hAnsiTheme="majorBidi" w:cstheme="majorBidi"/>
                <w:bCs/>
                <w:sz w:val="20"/>
                <w:szCs w:val="20"/>
                <w:lang w:val="en-GB"/>
              </w:rPr>
            </w:pPr>
          </w:p>
          <w:p w14:paraId="31DBA81A"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Information product relevant to indicator</w:t>
            </w:r>
          </w:p>
          <w:p w14:paraId="52CCAA49" w14:textId="77777777" w:rsidR="00C55C59" w:rsidRPr="0021697A" w:rsidRDefault="00C55C59" w:rsidP="00D804BA">
            <w:pPr>
              <w:rPr>
                <w:rFonts w:asciiTheme="majorBidi" w:eastAsiaTheme="majorEastAsia" w:hAnsiTheme="majorBidi" w:cstheme="majorBidi"/>
                <w:bCs/>
                <w:sz w:val="20"/>
                <w:szCs w:val="20"/>
                <w:lang w:val="en-GB"/>
              </w:rPr>
            </w:pPr>
          </w:p>
          <w:p w14:paraId="6FC2D680" w14:textId="5F6CC4BC"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(e.g. data on trends </w:t>
            </w:r>
            <w:sdt>
              <w:sdtPr>
                <w:rPr>
                  <w:rFonts w:asciiTheme="majorBidi" w:eastAsiaTheme="majorEastAsia" w:hAnsiTheme="majorBidi" w:cstheme="majorBidi"/>
                  <w:bCs/>
                  <w:sz w:val="20"/>
                  <w:szCs w:val="20"/>
                  <w:lang w:val="en-GB"/>
                </w:rPr>
                <w:tag w:val="goog_rdk_240"/>
                <w:id w:val="-1164396542"/>
              </w:sdtPr>
              <w:sdtContent>
                <w:r w:rsidRPr="0021697A">
                  <w:rPr>
                    <w:rFonts w:asciiTheme="majorBidi" w:eastAsiaTheme="majorEastAsia" w:hAnsiTheme="majorBidi" w:cstheme="majorBidi"/>
                    <w:bCs/>
                    <w:sz w:val="20"/>
                    <w:szCs w:val="20"/>
                    <w:lang w:val="en-GB"/>
                  </w:rPr>
                  <w:t xml:space="preserve">and coverage </w:t>
                </w:r>
              </w:sdtContent>
            </w:sdt>
            <w:r w:rsidRPr="0021697A">
              <w:rPr>
                <w:rFonts w:asciiTheme="majorBidi" w:eastAsiaTheme="majorEastAsia" w:hAnsiTheme="majorBidi" w:cstheme="majorBidi"/>
                <w:bCs/>
                <w:sz w:val="20"/>
                <w:szCs w:val="20"/>
                <w:lang w:val="en-GB"/>
              </w:rPr>
              <w:t>per country)</w:t>
            </w:r>
          </w:p>
        </w:tc>
      </w:tr>
      <w:tr w:rsidR="00C55C59" w:rsidRPr="0021697A" w14:paraId="105C20A3" w14:textId="77777777" w:rsidTr="00D804B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E8E8E8"/>
          </w:tcPr>
          <w:p w14:paraId="7E2BCC91" w14:textId="77777777" w:rsidR="00C55C59" w:rsidRPr="0021697A" w:rsidRDefault="00C55C59" w:rsidP="00D804BA">
            <w:pPr>
              <w:rPr>
                <w:rFonts w:asciiTheme="majorBidi" w:eastAsiaTheme="majorEastAsia" w:hAnsiTheme="majorBidi" w:cstheme="majorBidi"/>
                <w:bCs/>
                <w:sz w:val="20"/>
                <w:szCs w:val="20"/>
                <w:lang w:val="en-GB"/>
              </w:rPr>
            </w:pPr>
          </w:p>
          <w:p w14:paraId="7153CAA9"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Genetic diversity</w:t>
            </w:r>
          </w:p>
        </w:tc>
        <w:tc>
          <w:tcPr>
            <w:tcW w:w="1545" w:type="dxa"/>
            <w:tcBorders>
              <w:top w:val="single" w:sz="4" w:space="0" w:color="000000"/>
              <w:left w:val="single" w:sz="4" w:space="0" w:color="000000"/>
              <w:bottom w:val="single" w:sz="4" w:space="0" w:color="000000"/>
              <w:right w:val="single" w:sz="4" w:space="0" w:color="000000"/>
            </w:tcBorders>
          </w:tcPr>
          <w:p w14:paraId="3692BC7E" w14:textId="77777777" w:rsidR="00C55C59" w:rsidRPr="0021697A" w:rsidRDefault="00C55C59" w:rsidP="00D804BA">
            <w:pPr>
              <w:rPr>
                <w:rFonts w:asciiTheme="majorBidi" w:eastAsiaTheme="majorEastAsia" w:hAnsiTheme="majorBidi" w:cstheme="majorBidi"/>
                <w:bCs/>
                <w:sz w:val="20"/>
                <w:szCs w:val="20"/>
                <w:lang w:val="en-GB"/>
              </w:rPr>
            </w:pPr>
          </w:p>
          <w:p w14:paraId="7BB88C21" w14:textId="4B015C8F"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Number of species covered by systematic population monitoring schemes</w:t>
            </w:r>
          </w:p>
        </w:tc>
        <w:tc>
          <w:tcPr>
            <w:tcW w:w="2595" w:type="dxa"/>
            <w:tcBorders>
              <w:top w:val="single" w:sz="4" w:space="0" w:color="000000"/>
              <w:left w:val="single" w:sz="4" w:space="0" w:color="000000"/>
              <w:bottom w:val="single" w:sz="4" w:space="0" w:color="000000"/>
              <w:right w:val="single" w:sz="4" w:space="0" w:color="000000"/>
            </w:tcBorders>
          </w:tcPr>
          <w:p w14:paraId="71E4D5C1" w14:textId="77777777" w:rsidR="00C55C59" w:rsidRPr="0021697A" w:rsidRDefault="00C55C59" w:rsidP="00D804BA">
            <w:pPr>
              <w:rPr>
                <w:rFonts w:asciiTheme="majorBidi" w:eastAsiaTheme="majorEastAsia" w:hAnsiTheme="majorBidi" w:cstheme="majorBidi"/>
                <w:bCs/>
                <w:sz w:val="20"/>
                <w:szCs w:val="20"/>
                <w:lang w:val="en-GB"/>
              </w:rPr>
            </w:pPr>
          </w:p>
          <w:p w14:paraId="7C0B6560" w14:textId="71DABF9A"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w:t>
            </w:r>
            <w:r w:rsidR="00CE7236" w:rsidRPr="0021697A">
              <w:rPr>
                <w:rFonts w:asciiTheme="majorBidi" w:eastAsiaTheme="majorEastAsia" w:hAnsiTheme="majorBidi" w:cstheme="majorBidi"/>
                <w:bCs/>
                <w:sz w:val="20"/>
                <w:szCs w:val="20"/>
                <w:lang w:val="en-GB"/>
              </w:rPr>
              <w:t>.</w:t>
            </w:r>
            <w:r w:rsidRPr="0021697A">
              <w:rPr>
                <w:rFonts w:asciiTheme="majorBidi" w:eastAsiaTheme="majorEastAsia" w:hAnsiTheme="majorBidi" w:cstheme="majorBidi"/>
                <w:bCs/>
                <w:sz w:val="20"/>
                <w:szCs w:val="20"/>
                <w:lang w:val="en-GB"/>
              </w:rPr>
              <w:t xml:space="preserve"> Time series of censused abundances from</w:t>
            </w:r>
            <w:sdt>
              <w:sdtPr>
                <w:rPr>
                  <w:rFonts w:asciiTheme="majorBidi" w:eastAsiaTheme="majorEastAsia" w:hAnsiTheme="majorBidi" w:cstheme="majorBidi"/>
                  <w:bCs/>
                  <w:sz w:val="20"/>
                  <w:szCs w:val="20"/>
                  <w:lang w:val="en-GB"/>
                </w:rPr>
                <w:tag w:val="goog_rdk_241"/>
                <w:id w:val="-2002423814"/>
              </w:sdtPr>
              <w:sdtContent>
                <w:r w:rsidRPr="0021697A">
                  <w:rPr>
                    <w:rFonts w:asciiTheme="majorBidi" w:eastAsiaTheme="majorEastAsia" w:hAnsiTheme="majorBidi" w:cstheme="majorBidi"/>
                    <w:bCs/>
                    <w:sz w:val="20"/>
                    <w:szCs w:val="20"/>
                    <w:lang w:val="en-GB"/>
                  </w:rPr>
                  <w:t xml:space="preserve"> </w:t>
                </w:r>
              </w:sdtContent>
            </w:sdt>
            <w:r w:rsidRPr="0021697A">
              <w:rPr>
                <w:rFonts w:asciiTheme="majorBidi" w:eastAsiaTheme="majorEastAsia" w:hAnsiTheme="majorBidi" w:cstheme="majorBidi"/>
                <w:bCs/>
                <w:sz w:val="20"/>
                <w:szCs w:val="20"/>
                <w:lang w:val="en-GB"/>
              </w:rPr>
              <w:t xml:space="preserve">populations monitored for effective population size </w:t>
            </w:r>
            <w:sdt>
              <w:sdtPr>
                <w:rPr>
                  <w:rFonts w:asciiTheme="majorBidi" w:eastAsiaTheme="majorEastAsia" w:hAnsiTheme="majorBidi" w:cstheme="majorBidi"/>
                  <w:bCs/>
                  <w:sz w:val="20"/>
                  <w:szCs w:val="20"/>
                  <w:lang w:val="en-GB"/>
                </w:rPr>
                <w:tag w:val="goog_rdk_242"/>
                <w:id w:val="486371882"/>
              </w:sdtPr>
              <w:sdtContent>
                <w:r w:rsidRPr="0021697A">
                  <w:rPr>
                    <w:rFonts w:asciiTheme="majorBidi" w:eastAsiaTheme="majorEastAsia" w:hAnsiTheme="majorBidi" w:cstheme="majorBidi"/>
                    <w:bCs/>
                    <w:sz w:val="20"/>
                    <w:szCs w:val="20"/>
                    <w:lang w:val="en-GB"/>
                  </w:rPr>
                  <w:t>with genetic markers (e.g. individuals genotyped by non</w:t>
                </w:r>
                <w:r w:rsidR="00022576" w:rsidRPr="0021697A">
                  <w:rPr>
                    <w:rFonts w:asciiTheme="majorBidi" w:eastAsiaTheme="majorEastAsia" w:hAnsiTheme="majorBidi" w:cstheme="majorBidi"/>
                    <w:bCs/>
                    <w:sz w:val="20"/>
                    <w:szCs w:val="20"/>
                    <w:lang w:val="en-GB"/>
                  </w:rPr>
                  <w:t>-</w:t>
                </w:r>
                <w:r w:rsidRPr="0021697A">
                  <w:rPr>
                    <w:rFonts w:asciiTheme="majorBidi" w:eastAsiaTheme="majorEastAsia" w:hAnsiTheme="majorBidi" w:cstheme="majorBidi"/>
                    <w:bCs/>
                    <w:sz w:val="20"/>
                    <w:szCs w:val="20"/>
                    <w:lang w:val="en-GB"/>
                  </w:rPr>
                  <w:t xml:space="preserve">invasive sampling). </w:t>
                </w:r>
              </w:sdtContent>
            </w:sdt>
          </w:p>
        </w:tc>
        <w:tc>
          <w:tcPr>
            <w:tcW w:w="1500" w:type="dxa"/>
            <w:tcBorders>
              <w:top w:val="single" w:sz="4" w:space="0" w:color="000000"/>
              <w:left w:val="single" w:sz="4" w:space="0" w:color="000000"/>
              <w:bottom w:val="single" w:sz="4" w:space="0" w:color="000000"/>
              <w:right w:val="single" w:sz="4" w:space="0" w:color="000000"/>
            </w:tcBorders>
          </w:tcPr>
          <w:p w14:paraId="5C3D0EFB" w14:textId="77777777" w:rsidR="00C55C59" w:rsidRPr="0021697A" w:rsidRDefault="00C55C59" w:rsidP="00D804BA">
            <w:pPr>
              <w:rPr>
                <w:rFonts w:asciiTheme="majorBidi" w:eastAsiaTheme="majorEastAsia" w:hAnsiTheme="majorBidi" w:cstheme="majorBidi"/>
                <w:bCs/>
                <w:sz w:val="20"/>
                <w:szCs w:val="20"/>
                <w:lang w:val="en-GB"/>
              </w:rPr>
            </w:pPr>
          </w:p>
          <w:p w14:paraId="6DD6D3E1" w14:textId="22C66B0D"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Estimated effective population sizes (Ne) from genetic and demographic data across monitored populations</w:t>
            </w:r>
          </w:p>
        </w:tc>
        <w:tc>
          <w:tcPr>
            <w:tcW w:w="1635" w:type="dxa"/>
            <w:tcBorders>
              <w:top w:val="single" w:sz="4" w:space="0" w:color="000000"/>
              <w:left w:val="single" w:sz="4" w:space="0" w:color="000000"/>
              <w:bottom w:val="single" w:sz="4" w:space="0" w:color="000000"/>
              <w:right w:val="single" w:sz="4" w:space="0" w:color="000000"/>
            </w:tcBorders>
          </w:tcPr>
          <w:p w14:paraId="658B5C17" w14:textId="77777777" w:rsidR="00C55C59" w:rsidRPr="0021697A" w:rsidRDefault="00C55C59" w:rsidP="00D804BA">
            <w:pPr>
              <w:rPr>
                <w:rFonts w:asciiTheme="majorBidi" w:eastAsiaTheme="majorEastAsia" w:hAnsiTheme="majorBidi" w:cstheme="majorBidi"/>
                <w:bCs/>
                <w:sz w:val="20"/>
                <w:szCs w:val="20"/>
                <w:lang w:val="en-GB"/>
              </w:rPr>
            </w:pPr>
          </w:p>
          <w:p w14:paraId="31A7E07E" w14:textId="04F9F72B"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Number of populations with an effective population size (Ne) above 500 individuals</w:t>
            </w:r>
            <w:sdt>
              <w:sdtPr>
                <w:rPr>
                  <w:rFonts w:asciiTheme="majorBidi" w:eastAsiaTheme="majorEastAsia" w:hAnsiTheme="majorBidi" w:cstheme="majorBidi"/>
                  <w:bCs/>
                  <w:sz w:val="20"/>
                  <w:szCs w:val="20"/>
                  <w:lang w:val="en-GB"/>
                </w:rPr>
                <w:tag w:val="goog_rdk_243"/>
                <w:id w:val="218794038"/>
              </w:sdtPr>
              <w:sdtContent>
                <w:r w:rsidRPr="0021697A">
                  <w:rPr>
                    <w:rFonts w:asciiTheme="majorBidi" w:eastAsiaTheme="majorEastAsia" w:hAnsiTheme="majorBidi" w:cstheme="majorBidi"/>
                    <w:bCs/>
                    <w:sz w:val="20"/>
                    <w:szCs w:val="20"/>
                    <w:lang w:val="en-GB"/>
                  </w:rPr>
                  <w:t>, with coverage reported across taxa.</w:t>
                </w:r>
              </w:sdtContent>
            </w:sdt>
          </w:p>
        </w:tc>
      </w:tr>
      <w:tr w:rsidR="00C55C59" w:rsidRPr="0021697A" w14:paraId="6348F0B7" w14:textId="77777777" w:rsidTr="00D804B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E8E8E8"/>
            <w:hideMark/>
          </w:tcPr>
          <w:p w14:paraId="395CBF0B"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Population abundances</w:t>
            </w:r>
          </w:p>
        </w:tc>
        <w:tc>
          <w:tcPr>
            <w:tcW w:w="1545" w:type="dxa"/>
            <w:tcBorders>
              <w:top w:val="single" w:sz="4" w:space="0" w:color="000000"/>
              <w:left w:val="single" w:sz="4" w:space="0" w:color="000000"/>
              <w:bottom w:val="single" w:sz="4" w:space="0" w:color="000000"/>
              <w:right w:val="single" w:sz="4" w:space="0" w:color="000000"/>
            </w:tcBorders>
          </w:tcPr>
          <w:p w14:paraId="18EC6B41" w14:textId="3D4919A3"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Number of species and taxonomic groups covered by systematic population monitoring schemes</w:t>
            </w:r>
          </w:p>
        </w:tc>
        <w:tc>
          <w:tcPr>
            <w:tcW w:w="2595" w:type="dxa"/>
            <w:tcBorders>
              <w:top w:val="single" w:sz="4" w:space="0" w:color="000000"/>
              <w:left w:val="single" w:sz="4" w:space="0" w:color="000000"/>
              <w:bottom w:val="single" w:sz="4" w:space="0" w:color="000000"/>
              <w:right w:val="single" w:sz="4" w:space="0" w:color="000000"/>
            </w:tcBorders>
          </w:tcPr>
          <w:p w14:paraId="40DB6299"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e.g. Time series of abundances available from national </w:t>
            </w:r>
            <w:sdt>
              <w:sdtPr>
                <w:rPr>
                  <w:rFonts w:asciiTheme="majorBidi" w:eastAsiaTheme="majorEastAsia" w:hAnsiTheme="majorBidi" w:cstheme="majorBidi"/>
                  <w:bCs/>
                  <w:sz w:val="20"/>
                  <w:szCs w:val="20"/>
                  <w:lang w:val="en-GB"/>
                </w:rPr>
                <w:tag w:val="goog_rdk_244"/>
                <w:id w:val="-621140460"/>
              </w:sdtPr>
              <w:sdtContent>
                <w:r w:rsidRPr="0021697A">
                  <w:rPr>
                    <w:rFonts w:asciiTheme="majorBidi" w:eastAsiaTheme="majorEastAsia" w:hAnsiTheme="majorBidi" w:cstheme="majorBidi"/>
                    <w:bCs/>
                    <w:sz w:val="20"/>
                    <w:szCs w:val="20"/>
                    <w:lang w:val="en-GB"/>
                  </w:rPr>
                  <w:t xml:space="preserve">monitoring </w:t>
                </w:r>
              </w:sdtContent>
            </w:sdt>
            <w:r w:rsidRPr="0021697A">
              <w:rPr>
                <w:rFonts w:asciiTheme="majorBidi" w:eastAsiaTheme="majorEastAsia" w:hAnsiTheme="majorBidi" w:cstheme="majorBidi"/>
                <w:bCs/>
                <w:sz w:val="20"/>
                <w:szCs w:val="20"/>
                <w:lang w:val="en-GB"/>
              </w:rPr>
              <w:t>or international datasets</w:t>
            </w:r>
            <w:sdt>
              <w:sdtPr>
                <w:rPr>
                  <w:rFonts w:asciiTheme="majorBidi" w:eastAsiaTheme="majorEastAsia" w:hAnsiTheme="majorBidi" w:cstheme="majorBidi"/>
                  <w:bCs/>
                  <w:sz w:val="20"/>
                  <w:szCs w:val="20"/>
                  <w:lang w:val="en-GB"/>
                </w:rPr>
                <w:tag w:val="goog_rdk_245"/>
                <w:id w:val="392085018"/>
              </w:sdtPr>
              <w:sdtContent>
                <w:r w:rsidRPr="0021697A">
                  <w:rPr>
                    <w:rFonts w:asciiTheme="majorBidi" w:eastAsiaTheme="majorEastAsia" w:hAnsiTheme="majorBidi" w:cstheme="majorBidi"/>
                    <w:bCs/>
                    <w:sz w:val="20"/>
                    <w:szCs w:val="20"/>
                    <w:lang w:val="en-GB"/>
                  </w:rPr>
                  <w:t xml:space="preserve"> </w:t>
                </w:r>
              </w:sdtContent>
            </w:sdt>
            <w:r w:rsidRPr="0021697A">
              <w:rPr>
                <w:rFonts w:asciiTheme="majorBidi" w:eastAsiaTheme="majorEastAsia" w:hAnsiTheme="majorBidi" w:cstheme="majorBidi"/>
                <w:bCs/>
                <w:sz w:val="20"/>
                <w:szCs w:val="20"/>
                <w:lang w:val="en-GB"/>
              </w:rPr>
              <w:t xml:space="preserve"> (e.g. Living Planet Database).</w:t>
            </w:r>
          </w:p>
          <w:p w14:paraId="3B625416" w14:textId="77777777" w:rsidR="00C55C59" w:rsidRPr="0021697A" w:rsidRDefault="00C55C59" w:rsidP="00D804BA">
            <w:pPr>
              <w:rPr>
                <w:rFonts w:asciiTheme="majorBidi" w:eastAsiaTheme="majorEastAsia" w:hAnsiTheme="majorBidi" w:cstheme="majorBidi"/>
                <w:bCs/>
                <w:sz w:val="20"/>
                <w:szCs w:val="20"/>
                <w:lang w:val="en-GB"/>
              </w:rPr>
            </w:pPr>
          </w:p>
        </w:tc>
        <w:tc>
          <w:tcPr>
            <w:tcW w:w="1500" w:type="dxa"/>
            <w:tcBorders>
              <w:top w:val="single" w:sz="4" w:space="0" w:color="000000"/>
              <w:left w:val="single" w:sz="4" w:space="0" w:color="000000"/>
              <w:bottom w:val="single" w:sz="4" w:space="0" w:color="000000"/>
              <w:right w:val="single" w:sz="4" w:space="0" w:color="000000"/>
            </w:tcBorders>
          </w:tcPr>
          <w:p w14:paraId="464094ED" w14:textId="730AD56E"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e.g. </w:t>
            </w:r>
            <w:r w:rsidR="00CE7236" w:rsidRPr="0021697A">
              <w:rPr>
                <w:rFonts w:asciiTheme="majorBidi" w:eastAsiaTheme="majorEastAsia" w:hAnsiTheme="majorBidi" w:cstheme="majorBidi"/>
                <w:bCs/>
                <w:sz w:val="20"/>
                <w:szCs w:val="20"/>
                <w:lang w:val="en-GB"/>
              </w:rPr>
              <w:t>modelled</w:t>
            </w:r>
            <w:r w:rsidRPr="0021697A">
              <w:rPr>
                <w:rFonts w:asciiTheme="majorBidi" w:eastAsiaTheme="majorEastAsia" w:hAnsiTheme="majorBidi" w:cstheme="majorBidi"/>
                <w:bCs/>
                <w:sz w:val="20"/>
                <w:szCs w:val="20"/>
                <w:lang w:val="en-GB"/>
              </w:rPr>
              <w:t xml:space="preserve"> trends </w:t>
            </w:r>
            <w:sdt>
              <w:sdtPr>
                <w:rPr>
                  <w:rFonts w:asciiTheme="majorBidi" w:eastAsiaTheme="majorEastAsia" w:hAnsiTheme="majorBidi" w:cstheme="majorBidi"/>
                  <w:bCs/>
                  <w:sz w:val="20"/>
                  <w:szCs w:val="20"/>
                  <w:lang w:val="en-GB"/>
                </w:rPr>
                <w:tag w:val="goog_rdk_246"/>
                <w:id w:val="1271742677"/>
              </w:sdtPr>
              <w:sdtContent>
                <w:r w:rsidRPr="0021697A">
                  <w:rPr>
                    <w:rFonts w:asciiTheme="majorBidi" w:eastAsiaTheme="majorEastAsia" w:hAnsiTheme="majorBidi" w:cstheme="majorBidi"/>
                    <w:bCs/>
                    <w:sz w:val="20"/>
                    <w:szCs w:val="20"/>
                    <w:lang w:val="en-GB"/>
                  </w:rPr>
                  <w:t xml:space="preserve">in demographic rates </w:t>
                </w:r>
              </w:sdtContent>
            </w:sdt>
            <w:sdt>
              <w:sdtPr>
                <w:rPr>
                  <w:rFonts w:asciiTheme="majorBidi" w:eastAsiaTheme="majorEastAsia" w:hAnsiTheme="majorBidi" w:cstheme="majorBidi"/>
                  <w:bCs/>
                  <w:sz w:val="20"/>
                  <w:szCs w:val="20"/>
                  <w:lang w:val="en-GB"/>
                </w:rPr>
                <w:tag w:val="goog_rdk_247"/>
                <w:id w:val="2129593912"/>
                <w:showingPlcHdr/>
              </w:sdtPr>
              <w:sdtContent>
                <w:r w:rsidR="00ED7E61" w:rsidRPr="0021697A">
                  <w:rPr>
                    <w:rFonts w:asciiTheme="majorBidi" w:eastAsiaTheme="majorEastAsia" w:hAnsiTheme="majorBidi" w:cstheme="majorBidi"/>
                    <w:bCs/>
                    <w:sz w:val="20"/>
                    <w:szCs w:val="20"/>
                    <w:lang w:val="en-GB"/>
                  </w:rPr>
                  <w:t xml:space="preserve">     </w:t>
                </w:r>
              </w:sdtContent>
            </w:sdt>
            <w:r w:rsidRPr="0021697A">
              <w:rPr>
                <w:rFonts w:asciiTheme="majorBidi" w:eastAsiaTheme="majorEastAsia" w:hAnsiTheme="majorBidi" w:cstheme="majorBidi"/>
                <w:bCs/>
                <w:sz w:val="20"/>
                <w:szCs w:val="20"/>
                <w:lang w:val="en-GB"/>
              </w:rPr>
              <w:t>estimated for monitored taxa.</w:t>
            </w:r>
          </w:p>
          <w:p w14:paraId="369E2622" w14:textId="77777777" w:rsidR="00C55C59" w:rsidRPr="0021697A" w:rsidRDefault="00C55C59" w:rsidP="00D804BA">
            <w:pPr>
              <w:rPr>
                <w:rFonts w:asciiTheme="majorBidi" w:eastAsiaTheme="majorEastAsia" w:hAnsiTheme="majorBidi" w:cstheme="majorBidi"/>
                <w:bCs/>
                <w:sz w:val="20"/>
                <w:szCs w:val="20"/>
                <w:lang w:val="en-GB"/>
              </w:rPr>
            </w:pPr>
          </w:p>
        </w:tc>
        <w:tc>
          <w:tcPr>
            <w:tcW w:w="1635" w:type="dxa"/>
            <w:tcBorders>
              <w:top w:val="single" w:sz="4" w:space="0" w:color="000000"/>
              <w:left w:val="single" w:sz="4" w:space="0" w:color="000000"/>
              <w:bottom w:val="single" w:sz="4" w:space="0" w:color="000000"/>
              <w:right w:val="single" w:sz="4" w:space="0" w:color="000000"/>
            </w:tcBorders>
          </w:tcPr>
          <w:p w14:paraId="18828C31" w14:textId="54165E3A"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Number of taxonomic groups covered by abundance trend metric (e.g. Living Planet Index, Wild Bird Index etc</w:t>
            </w:r>
            <w:r w:rsidR="00194105" w:rsidRPr="0021697A">
              <w:rPr>
                <w:rFonts w:asciiTheme="majorBidi" w:eastAsiaTheme="majorEastAsia" w:hAnsiTheme="majorBidi" w:cstheme="majorBidi"/>
                <w:bCs/>
                <w:sz w:val="20"/>
                <w:szCs w:val="20"/>
                <w:lang w:val="en-GB"/>
              </w:rPr>
              <w:t>.</w:t>
            </w:r>
            <w:r w:rsidRPr="0021697A">
              <w:rPr>
                <w:rFonts w:asciiTheme="majorBidi" w:eastAsiaTheme="majorEastAsia" w:hAnsiTheme="majorBidi" w:cstheme="majorBidi"/>
                <w:bCs/>
                <w:sz w:val="20"/>
                <w:szCs w:val="20"/>
                <w:lang w:val="en-GB"/>
              </w:rPr>
              <w:t>)</w:t>
            </w:r>
          </w:p>
        </w:tc>
      </w:tr>
      <w:tr w:rsidR="00C55C59" w:rsidRPr="0021697A" w14:paraId="77135841" w14:textId="77777777" w:rsidTr="00D804BA">
        <w:trPr>
          <w:trHeight w:val="80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E8E8E8"/>
          </w:tcPr>
          <w:p w14:paraId="0047902D" w14:textId="77777777" w:rsidR="00C55C59" w:rsidRPr="0021697A" w:rsidRDefault="00C55C59" w:rsidP="00D804BA">
            <w:pPr>
              <w:rPr>
                <w:rFonts w:asciiTheme="majorBidi" w:eastAsiaTheme="majorEastAsia" w:hAnsiTheme="majorBidi" w:cstheme="majorBidi"/>
                <w:bCs/>
                <w:sz w:val="20"/>
                <w:szCs w:val="20"/>
                <w:lang w:val="en-GB"/>
              </w:rPr>
            </w:pPr>
          </w:p>
          <w:p w14:paraId="5472ACD8"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Species </w:t>
            </w:r>
          </w:p>
          <w:p w14:paraId="4E5DB189"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(occurrences)</w:t>
            </w:r>
          </w:p>
        </w:tc>
        <w:tc>
          <w:tcPr>
            <w:tcW w:w="1545" w:type="dxa"/>
            <w:tcBorders>
              <w:top w:val="single" w:sz="4" w:space="0" w:color="000000"/>
              <w:left w:val="single" w:sz="4" w:space="0" w:color="000000"/>
              <w:bottom w:val="single" w:sz="4" w:space="0" w:color="000000"/>
              <w:right w:val="single" w:sz="4" w:space="0" w:color="000000"/>
            </w:tcBorders>
          </w:tcPr>
          <w:p w14:paraId="7B70BF8A"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e.g. Number of species and taxonomic groups covered by distribution atlases </w:t>
            </w:r>
          </w:p>
          <w:p w14:paraId="2F710B1E" w14:textId="77777777" w:rsidR="00C55C59" w:rsidRPr="0021697A" w:rsidRDefault="00C55C59" w:rsidP="00D804BA">
            <w:pPr>
              <w:rPr>
                <w:rFonts w:asciiTheme="majorBidi" w:eastAsiaTheme="majorEastAsia" w:hAnsiTheme="majorBidi" w:cstheme="majorBidi"/>
                <w:bCs/>
                <w:sz w:val="20"/>
                <w:szCs w:val="20"/>
                <w:lang w:val="en-GB"/>
              </w:rPr>
            </w:pPr>
          </w:p>
        </w:tc>
        <w:tc>
          <w:tcPr>
            <w:tcW w:w="2595" w:type="dxa"/>
            <w:tcBorders>
              <w:top w:val="single" w:sz="4" w:space="0" w:color="000000"/>
              <w:left w:val="single" w:sz="4" w:space="0" w:color="000000"/>
              <w:bottom w:val="single" w:sz="4" w:space="0" w:color="000000"/>
              <w:right w:val="single" w:sz="4" w:space="0" w:color="000000"/>
            </w:tcBorders>
            <w:hideMark/>
          </w:tcPr>
          <w:p w14:paraId="1EC44CA7"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Number of occurrence records in GBIF</w:t>
            </w:r>
            <w:sdt>
              <w:sdtPr>
                <w:rPr>
                  <w:rFonts w:asciiTheme="majorBidi" w:eastAsiaTheme="majorEastAsia" w:hAnsiTheme="majorBidi" w:cstheme="majorBidi"/>
                  <w:bCs/>
                  <w:sz w:val="20"/>
                  <w:szCs w:val="20"/>
                  <w:lang w:val="en-GB"/>
                </w:rPr>
                <w:tag w:val="goog_rdk_248"/>
                <w:id w:val="-971517404"/>
              </w:sdtPr>
              <w:sdtContent>
                <w:r w:rsidRPr="0021697A">
                  <w:rPr>
                    <w:rFonts w:asciiTheme="majorBidi" w:eastAsiaTheme="majorEastAsia" w:hAnsiTheme="majorBidi" w:cstheme="majorBidi"/>
                    <w:bCs/>
                    <w:sz w:val="20"/>
                    <w:szCs w:val="20"/>
                    <w:lang w:val="en-GB"/>
                  </w:rPr>
                  <w:t xml:space="preserve"> or OBIS</w:t>
                </w:r>
              </w:sdtContent>
            </w:sdt>
          </w:p>
        </w:tc>
        <w:tc>
          <w:tcPr>
            <w:tcW w:w="1500" w:type="dxa"/>
            <w:tcBorders>
              <w:top w:val="single" w:sz="4" w:space="0" w:color="000000"/>
              <w:left w:val="single" w:sz="4" w:space="0" w:color="000000"/>
              <w:bottom w:val="single" w:sz="4" w:space="0" w:color="000000"/>
              <w:right w:val="single" w:sz="4" w:space="0" w:color="000000"/>
            </w:tcBorders>
          </w:tcPr>
          <w:p w14:paraId="5911C173" w14:textId="540261B6"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e.g. </w:t>
            </w:r>
            <w:r w:rsidR="00022576" w:rsidRPr="0021697A">
              <w:rPr>
                <w:rFonts w:asciiTheme="majorBidi" w:eastAsiaTheme="majorEastAsia" w:hAnsiTheme="majorBidi" w:cstheme="majorBidi"/>
                <w:bCs/>
                <w:sz w:val="20"/>
                <w:szCs w:val="20"/>
                <w:lang w:val="en-GB"/>
              </w:rPr>
              <w:t>modelled</w:t>
            </w:r>
            <w:r w:rsidRPr="0021697A">
              <w:rPr>
                <w:rFonts w:asciiTheme="majorBidi" w:eastAsiaTheme="majorEastAsia" w:hAnsiTheme="majorBidi" w:cstheme="majorBidi"/>
                <w:bCs/>
                <w:sz w:val="20"/>
                <w:szCs w:val="20"/>
                <w:lang w:val="en-GB"/>
              </w:rPr>
              <w:t xml:space="preserve"> trends in species distributions across taxa (e.g. species distribution models).</w:t>
            </w:r>
          </w:p>
        </w:tc>
        <w:tc>
          <w:tcPr>
            <w:tcW w:w="1635" w:type="dxa"/>
            <w:tcBorders>
              <w:top w:val="single" w:sz="4" w:space="0" w:color="000000"/>
              <w:left w:val="single" w:sz="4" w:space="0" w:color="000000"/>
              <w:bottom w:val="single" w:sz="4" w:space="0" w:color="000000"/>
              <w:right w:val="single" w:sz="4" w:space="0" w:color="000000"/>
            </w:tcBorders>
            <w:hideMark/>
          </w:tcPr>
          <w:p w14:paraId="19373C5C" w14:textId="6CB5D14D"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e.g. Number of species and taxonomic groups covered by </w:t>
            </w:r>
            <w:sdt>
              <w:sdtPr>
                <w:rPr>
                  <w:rFonts w:asciiTheme="majorBidi" w:eastAsiaTheme="majorEastAsia" w:hAnsiTheme="majorBidi" w:cstheme="majorBidi"/>
                  <w:bCs/>
                  <w:sz w:val="20"/>
                  <w:szCs w:val="20"/>
                  <w:lang w:val="en-GB"/>
                </w:rPr>
                <w:tag w:val="goog_rdk_249"/>
                <w:id w:val="174079400"/>
              </w:sdtPr>
              <w:sdtContent>
                <w:r w:rsidRPr="0021697A">
                  <w:rPr>
                    <w:rFonts w:asciiTheme="majorBidi" w:eastAsiaTheme="majorEastAsia" w:hAnsiTheme="majorBidi" w:cstheme="majorBidi"/>
                    <w:bCs/>
                    <w:sz w:val="20"/>
                    <w:szCs w:val="20"/>
                    <w:lang w:val="en-GB"/>
                  </w:rPr>
                  <w:t xml:space="preserve">a </w:t>
                </w:r>
              </w:sdtContent>
            </w:sdt>
            <w:r w:rsidRPr="0021697A">
              <w:rPr>
                <w:rFonts w:asciiTheme="majorBidi" w:eastAsiaTheme="majorEastAsia" w:hAnsiTheme="majorBidi" w:cstheme="majorBidi"/>
                <w:bCs/>
                <w:sz w:val="20"/>
                <w:szCs w:val="20"/>
                <w:lang w:val="en-GB"/>
              </w:rPr>
              <w:t>national</w:t>
            </w:r>
            <w:sdt>
              <w:sdtPr>
                <w:rPr>
                  <w:rFonts w:asciiTheme="majorBidi" w:eastAsiaTheme="majorEastAsia" w:hAnsiTheme="majorBidi" w:cstheme="majorBidi"/>
                  <w:bCs/>
                  <w:sz w:val="20"/>
                  <w:szCs w:val="20"/>
                  <w:lang w:val="en-GB"/>
                </w:rPr>
                <w:tag w:val="goog_rdk_250"/>
                <w:id w:val="-1668631333"/>
              </w:sdtPr>
              <w:sdtContent>
                <w:r w:rsidRPr="0021697A">
                  <w:rPr>
                    <w:rFonts w:asciiTheme="majorBidi" w:eastAsiaTheme="majorEastAsia" w:hAnsiTheme="majorBidi" w:cstheme="majorBidi"/>
                    <w:bCs/>
                    <w:sz w:val="20"/>
                    <w:szCs w:val="20"/>
                    <w:lang w:val="en-GB"/>
                  </w:rPr>
                  <w:t xml:space="preserve"> </w:t>
                </w:r>
              </w:sdtContent>
            </w:sdt>
            <w:sdt>
              <w:sdtPr>
                <w:rPr>
                  <w:rFonts w:asciiTheme="majorBidi" w:eastAsiaTheme="majorEastAsia" w:hAnsiTheme="majorBidi" w:cstheme="majorBidi"/>
                  <w:bCs/>
                  <w:sz w:val="20"/>
                  <w:szCs w:val="20"/>
                  <w:lang w:val="en-GB"/>
                </w:rPr>
                <w:tag w:val="goog_rdk_251"/>
                <w:id w:val="-1750109561"/>
                <w:showingPlcHdr/>
              </w:sdtPr>
              <w:sdtContent>
                <w:r w:rsidR="00ED7E61" w:rsidRPr="0021697A">
                  <w:rPr>
                    <w:rFonts w:asciiTheme="majorBidi" w:eastAsiaTheme="majorEastAsia" w:hAnsiTheme="majorBidi" w:cstheme="majorBidi"/>
                    <w:bCs/>
                    <w:sz w:val="20"/>
                    <w:szCs w:val="20"/>
                    <w:lang w:val="en-GB"/>
                  </w:rPr>
                  <w:t xml:space="preserve">     </w:t>
                </w:r>
              </w:sdtContent>
            </w:sdt>
            <w:sdt>
              <w:sdtPr>
                <w:rPr>
                  <w:rFonts w:asciiTheme="majorBidi" w:eastAsiaTheme="majorEastAsia" w:hAnsiTheme="majorBidi" w:cstheme="majorBidi"/>
                  <w:bCs/>
                  <w:sz w:val="20"/>
                  <w:szCs w:val="20"/>
                  <w:lang w:val="en-GB"/>
                </w:rPr>
                <w:tag w:val="goog_rdk_252"/>
                <w:id w:val="-157919496"/>
              </w:sdtPr>
              <w:sdtContent>
                <w:r w:rsidRPr="0021697A">
                  <w:rPr>
                    <w:rFonts w:asciiTheme="majorBidi" w:eastAsiaTheme="majorEastAsia" w:hAnsiTheme="majorBidi" w:cstheme="majorBidi"/>
                    <w:bCs/>
                    <w:sz w:val="20"/>
                    <w:szCs w:val="20"/>
                    <w:lang w:val="en-GB"/>
                  </w:rPr>
                  <w:t xml:space="preserve"> </w:t>
                </w:r>
              </w:sdtContent>
            </w:sdt>
            <w:r w:rsidRPr="0021697A">
              <w:rPr>
                <w:rFonts w:asciiTheme="majorBidi" w:eastAsiaTheme="majorEastAsia" w:hAnsiTheme="majorBidi" w:cstheme="majorBidi"/>
                <w:bCs/>
                <w:sz w:val="20"/>
                <w:szCs w:val="20"/>
                <w:lang w:val="en-GB"/>
              </w:rPr>
              <w:t>Red Lists of species</w:t>
            </w:r>
          </w:p>
        </w:tc>
      </w:tr>
      <w:tr w:rsidR="00C55C59" w:rsidRPr="0021697A" w14:paraId="461C71C8" w14:textId="77777777" w:rsidTr="00D804B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E8E8E8"/>
            <w:hideMark/>
          </w:tcPr>
          <w:p w14:paraId="3C2DB6B7"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Ecosystem extent</w:t>
            </w:r>
          </w:p>
        </w:tc>
        <w:tc>
          <w:tcPr>
            <w:tcW w:w="1545" w:type="dxa"/>
            <w:tcBorders>
              <w:top w:val="single" w:sz="4" w:space="0" w:color="000000"/>
              <w:left w:val="single" w:sz="4" w:space="0" w:color="000000"/>
              <w:bottom w:val="single" w:sz="4" w:space="0" w:color="000000"/>
              <w:right w:val="single" w:sz="4" w:space="0" w:color="000000"/>
            </w:tcBorders>
          </w:tcPr>
          <w:p w14:paraId="40C7631F"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extent of ecosystem types monitored</w:t>
            </w:r>
            <w:sdt>
              <w:sdtPr>
                <w:rPr>
                  <w:rFonts w:asciiTheme="majorBidi" w:eastAsiaTheme="majorEastAsia" w:hAnsiTheme="majorBidi" w:cstheme="majorBidi"/>
                  <w:bCs/>
                  <w:sz w:val="20"/>
                  <w:szCs w:val="20"/>
                  <w:lang w:val="en-GB"/>
                </w:rPr>
                <w:tag w:val="goog_rdk_253"/>
                <w:id w:val="-1520999478"/>
              </w:sdtPr>
              <w:sdtContent>
                <w:r w:rsidRPr="0021697A">
                  <w:rPr>
                    <w:rFonts w:asciiTheme="majorBidi" w:eastAsiaTheme="majorEastAsia" w:hAnsiTheme="majorBidi" w:cstheme="majorBidi"/>
                    <w:bCs/>
                    <w:sz w:val="20"/>
                    <w:szCs w:val="20"/>
                    <w:lang w:val="en-GB"/>
                  </w:rPr>
                  <w:t xml:space="preserve"> for extent</w:t>
                </w:r>
              </w:sdtContent>
            </w:sdt>
          </w:p>
          <w:p w14:paraId="3C327188" w14:textId="77777777" w:rsidR="00C55C59" w:rsidRPr="0021697A" w:rsidRDefault="00C55C59" w:rsidP="00D804BA">
            <w:pPr>
              <w:rPr>
                <w:rFonts w:asciiTheme="majorBidi" w:eastAsiaTheme="majorEastAsia" w:hAnsiTheme="majorBidi" w:cstheme="majorBidi"/>
                <w:bCs/>
                <w:sz w:val="20"/>
                <w:szCs w:val="20"/>
                <w:lang w:val="en-GB"/>
              </w:rPr>
            </w:pPr>
          </w:p>
        </w:tc>
        <w:tc>
          <w:tcPr>
            <w:tcW w:w="2595" w:type="dxa"/>
            <w:tcBorders>
              <w:top w:val="single" w:sz="4" w:space="0" w:color="000000"/>
              <w:left w:val="single" w:sz="4" w:space="0" w:color="000000"/>
              <w:bottom w:val="single" w:sz="4" w:space="0" w:color="000000"/>
              <w:right w:val="single" w:sz="4" w:space="0" w:color="000000"/>
            </w:tcBorders>
            <w:hideMark/>
          </w:tcPr>
          <w:p w14:paraId="763A3D01"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Earth observation, satellite and remote sensing imagery for ecosystem mapping.</w:t>
            </w:r>
          </w:p>
        </w:tc>
        <w:tc>
          <w:tcPr>
            <w:tcW w:w="1500" w:type="dxa"/>
            <w:tcBorders>
              <w:top w:val="single" w:sz="4" w:space="0" w:color="000000"/>
              <w:left w:val="single" w:sz="4" w:space="0" w:color="000000"/>
              <w:bottom w:val="single" w:sz="4" w:space="0" w:color="000000"/>
              <w:right w:val="single" w:sz="4" w:space="0" w:color="000000"/>
            </w:tcBorders>
          </w:tcPr>
          <w:p w14:paraId="35ACBDBD" w14:textId="74E190AD"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model based assessments of change in ecosystem extent accounting for data gaps</w:t>
            </w:r>
          </w:p>
        </w:tc>
        <w:tc>
          <w:tcPr>
            <w:tcW w:w="1635" w:type="dxa"/>
            <w:vMerge w:val="restart"/>
            <w:tcBorders>
              <w:top w:val="single" w:sz="4" w:space="0" w:color="000000"/>
              <w:left w:val="single" w:sz="4" w:space="0" w:color="000000"/>
              <w:bottom w:val="single" w:sz="4" w:space="0" w:color="000000"/>
              <w:right w:val="single" w:sz="4" w:space="0" w:color="000000"/>
            </w:tcBorders>
            <w:hideMark/>
          </w:tcPr>
          <w:p w14:paraId="3EF7DE6B"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Number of ecosystems with Red List of Ecosystems assessments</w:t>
            </w:r>
          </w:p>
        </w:tc>
      </w:tr>
      <w:tr w:rsidR="00C55C59" w:rsidRPr="0021697A" w14:paraId="0B91A0C1" w14:textId="77777777" w:rsidTr="00D804B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E8E8E8"/>
          </w:tcPr>
          <w:p w14:paraId="4C45E75D"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Ecosystem condition</w:t>
            </w:r>
          </w:p>
          <w:p w14:paraId="30C9AF3B" w14:textId="77777777" w:rsidR="00C55C59" w:rsidRPr="0021697A" w:rsidRDefault="00C55C59" w:rsidP="00D804BA">
            <w:pPr>
              <w:rPr>
                <w:rFonts w:asciiTheme="majorBidi" w:eastAsiaTheme="majorEastAsia" w:hAnsiTheme="majorBidi" w:cstheme="majorBidi"/>
                <w:bCs/>
                <w:sz w:val="20"/>
                <w:szCs w:val="20"/>
                <w:lang w:val="en-GB"/>
              </w:rPr>
            </w:pPr>
          </w:p>
        </w:tc>
        <w:tc>
          <w:tcPr>
            <w:tcW w:w="1545" w:type="dxa"/>
            <w:tcBorders>
              <w:top w:val="single" w:sz="4" w:space="0" w:color="000000"/>
              <w:left w:val="single" w:sz="4" w:space="0" w:color="000000"/>
              <w:bottom w:val="single" w:sz="4" w:space="0" w:color="000000"/>
              <w:right w:val="single" w:sz="4" w:space="0" w:color="000000"/>
            </w:tcBorders>
            <w:hideMark/>
          </w:tcPr>
          <w:p w14:paraId="4454391C"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 xml:space="preserve">e.g. monitoring of composition, structure and functioning by remote sensing </w:t>
            </w:r>
          </w:p>
        </w:tc>
        <w:tc>
          <w:tcPr>
            <w:tcW w:w="2595" w:type="dxa"/>
            <w:tcBorders>
              <w:top w:val="single" w:sz="4" w:space="0" w:color="000000"/>
              <w:left w:val="single" w:sz="4" w:space="0" w:color="000000"/>
              <w:bottom w:val="single" w:sz="4" w:space="0" w:color="000000"/>
              <w:right w:val="single" w:sz="4" w:space="0" w:color="000000"/>
            </w:tcBorders>
            <w:hideMark/>
          </w:tcPr>
          <w:p w14:paraId="6E1FB65E"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in situ and local knowledge of ecosystem structure and functioning</w:t>
            </w:r>
            <w:sdt>
              <w:sdtPr>
                <w:rPr>
                  <w:rFonts w:asciiTheme="majorBidi" w:eastAsiaTheme="majorEastAsia" w:hAnsiTheme="majorBidi" w:cstheme="majorBidi"/>
                  <w:bCs/>
                  <w:sz w:val="20"/>
                  <w:szCs w:val="20"/>
                  <w:lang w:val="en-GB"/>
                </w:rPr>
                <w:tag w:val="goog_rdk_254"/>
                <w:id w:val="907655571"/>
              </w:sdtPr>
              <w:sdtContent>
                <w:r w:rsidRPr="0021697A">
                  <w:rPr>
                    <w:rFonts w:asciiTheme="majorBidi" w:eastAsiaTheme="majorEastAsia" w:hAnsiTheme="majorBidi" w:cstheme="majorBidi"/>
                    <w:bCs/>
                    <w:sz w:val="20"/>
                    <w:szCs w:val="20"/>
                    <w:lang w:val="en-GB"/>
                  </w:rPr>
                  <w:t>, such as vegetation canopy structure, net primary productivity, carbon storage</w:t>
                </w:r>
              </w:sdtContent>
            </w:sdt>
          </w:p>
        </w:tc>
        <w:tc>
          <w:tcPr>
            <w:tcW w:w="1500" w:type="dxa"/>
            <w:tcBorders>
              <w:top w:val="single" w:sz="4" w:space="0" w:color="000000"/>
              <w:left w:val="single" w:sz="4" w:space="0" w:color="000000"/>
              <w:bottom w:val="single" w:sz="4" w:space="0" w:color="000000"/>
              <w:right w:val="single" w:sz="4" w:space="0" w:color="000000"/>
            </w:tcBorders>
          </w:tcPr>
          <w:p w14:paraId="237092C2" w14:textId="62F69FA5"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The national ecosystem condition accounts following the UN SEEA EA methodology.</w:t>
            </w:r>
          </w:p>
        </w:tc>
        <w:tc>
          <w:tcPr>
            <w:tcW w:w="1635" w:type="dxa"/>
            <w:vMerge/>
            <w:tcBorders>
              <w:top w:val="single" w:sz="4" w:space="0" w:color="000000"/>
              <w:left w:val="single" w:sz="4" w:space="0" w:color="000000"/>
              <w:bottom w:val="single" w:sz="4" w:space="0" w:color="000000"/>
              <w:right w:val="single" w:sz="4" w:space="0" w:color="000000"/>
            </w:tcBorders>
            <w:vAlign w:val="center"/>
            <w:hideMark/>
          </w:tcPr>
          <w:p w14:paraId="30BADBDE" w14:textId="77777777" w:rsidR="00C55C59" w:rsidRPr="0021697A" w:rsidRDefault="00C55C59" w:rsidP="00D804BA">
            <w:pPr>
              <w:rPr>
                <w:rFonts w:asciiTheme="majorBidi" w:eastAsiaTheme="majorEastAsia" w:hAnsiTheme="majorBidi" w:cstheme="majorBidi"/>
                <w:bCs/>
                <w:sz w:val="20"/>
                <w:szCs w:val="20"/>
                <w:lang w:val="en-GB"/>
              </w:rPr>
            </w:pPr>
          </w:p>
        </w:tc>
      </w:tr>
      <w:tr w:rsidR="00C55C59" w:rsidRPr="0021697A" w14:paraId="3327DDF9" w14:textId="77777777" w:rsidTr="00D804BA">
        <w:trPr>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E8E8E8"/>
            <w:hideMark/>
          </w:tcPr>
          <w:p w14:paraId="6CD0BC11"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Ecosystem services/NCPs</w:t>
            </w:r>
          </w:p>
        </w:tc>
        <w:tc>
          <w:tcPr>
            <w:tcW w:w="1545" w:type="dxa"/>
            <w:tcBorders>
              <w:top w:val="single" w:sz="4" w:space="0" w:color="000000"/>
              <w:left w:val="single" w:sz="4" w:space="0" w:color="000000"/>
              <w:bottom w:val="single" w:sz="4" w:space="0" w:color="000000"/>
              <w:right w:val="single" w:sz="4" w:space="0" w:color="000000"/>
            </w:tcBorders>
            <w:hideMark/>
          </w:tcPr>
          <w:p w14:paraId="1ECBBB9C"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Monitoring of ecosystem service variables</w:t>
            </w:r>
          </w:p>
        </w:tc>
        <w:tc>
          <w:tcPr>
            <w:tcW w:w="2595" w:type="dxa"/>
            <w:tcBorders>
              <w:top w:val="single" w:sz="4" w:space="0" w:color="000000"/>
              <w:left w:val="single" w:sz="4" w:space="0" w:color="000000"/>
              <w:bottom w:val="single" w:sz="4" w:space="0" w:color="000000"/>
              <w:right w:val="single" w:sz="4" w:space="0" w:color="000000"/>
            </w:tcBorders>
            <w:hideMark/>
          </w:tcPr>
          <w:p w14:paraId="08E904A6"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Time series of supply and use of ecosystem services gathered for national accounts.</w:t>
            </w:r>
          </w:p>
        </w:tc>
        <w:tc>
          <w:tcPr>
            <w:tcW w:w="1500" w:type="dxa"/>
            <w:tcBorders>
              <w:top w:val="single" w:sz="4" w:space="0" w:color="000000"/>
              <w:left w:val="single" w:sz="4" w:space="0" w:color="000000"/>
              <w:bottom w:val="single" w:sz="4" w:space="0" w:color="000000"/>
              <w:right w:val="single" w:sz="4" w:space="0" w:color="000000"/>
            </w:tcBorders>
          </w:tcPr>
          <w:p w14:paraId="10F55987" w14:textId="71B1E38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The national flow and use ecosystem service accounts following the UN SEEA EA methodology.</w:t>
            </w:r>
          </w:p>
        </w:tc>
        <w:tc>
          <w:tcPr>
            <w:tcW w:w="1635" w:type="dxa"/>
            <w:tcBorders>
              <w:top w:val="single" w:sz="4" w:space="0" w:color="000000"/>
              <w:left w:val="single" w:sz="4" w:space="0" w:color="000000"/>
              <w:bottom w:val="single" w:sz="4" w:space="0" w:color="000000"/>
              <w:right w:val="single" w:sz="4" w:space="0" w:color="000000"/>
            </w:tcBorders>
            <w:hideMark/>
          </w:tcPr>
          <w:p w14:paraId="2F783F79" w14:textId="77777777" w:rsidR="00C55C59" w:rsidRPr="0021697A" w:rsidRDefault="00C55C59" w:rsidP="00D804BA">
            <w:pPr>
              <w:rPr>
                <w:rFonts w:asciiTheme="majorBidi" w:eastAsiaTheme="majorEastAsia" w:hAnsiTheme="majorBidi" w:cstheme="majorBidi"/>
                <w:bCs/>
                <w:sz w:val="20"/>
                <w:szCs w:val="20"/>
                <w:lang w:val="en-GB"/>
              </w:rPr>
            </w:pPr>
            <w:r w:rsidRPr="0021697A">
              <w:rPr>
                <w:rFonts w:asciiTheme="majorBidi" w:eastAsiaTheme="majorEastAsia" w:hAnsiTheme="majorBidi" w:cstheme="majorBidi"/>
                <w:bCs/>
                <w:sz w:val="20"/>
                <w:szCs w:val="20"/>
                <w:lang w:val="en-GB"/>
              </w:rPr>
              <w:t>e.g. The national stock and change in stock ecosystem asset accounts following the UN SEEA EA methodology .</w:t>
            </w:r>
          </w:p>
        </w:tc>
      </w:tr>
    </w:tbl>
    <w:p w14:paraId="09E0835C"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Multiple indicators are available to assess the quality, coverage and gaps in information available to a country when reporting under this indicator.</w:t>
      </w:r>
    </w:p>
    <w:p w14:paraId="1F2627E5" w14:textId="77777777" w:rsidR="00C55C59" w:rsidRPr="00ED7E61" w:rsidRDefault="00C55C59" w:rsidP="00C55C59">
      <w:pPr>
        <w:rPr>
          <w:rFonts w:asciiTheme="majorBidi" w:eastAsiaTheme="majorEastAsia" w:hAnsiTheme="majorBidi" w:cstheme="majorBidi"/>
          <w:bCs/>
          <w:sz w:val="22"/>
          <w:szCs w:val="22"/>
          <w:lang w:val="en-GB"/>
        </w:rPr>
      </w:pPr>
      <w:r w:rsidRPr="00ED7E61">
        <w:rPr>
          <w:rFonts w:asciiTheme="majorBidi" w:eastAsiaTheme="majorEastAsia" w:hAnsiTheme="majorBidi" w:cstheme="majorBidi"/>
          <w:bCs/>
          <w:sz w:val="22"/>
          <w:szCs w:val="22"/>
          <w:lang w:val="en-GB"/>
        </w:rPr>
        <w:t>Survey gap analysis</w:t>
      </w:r>
    </w:p>
    <w:p w14:paraId="15D54879" w14:textId="59194E4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 xml:space="preserve">Survey gap analysis is a tool designed to solve the problem of filling data gaps with additional surveys and monitoring. </w:t>
      </w:r>
      <w:r w:rsidR="00D804BA" w:rsidRPr="00D804BA">
        <w:rPr>
          <w:rFonts w:asciiTheme="majorBidi" w:eastAsiaTheme="majorEastAsia" w:hAnsiTheme="majorBidi" w:cstheme="majorBidi"/>
          <w:bCs/>
        </w:rPr>
        <w:t xml:space="preserve">Based on the generalised dissimilarity modelling (GDM) approach, it </w:t>
      </w:r>
      <w:r w:rsidR="00D804BA">
        <w:rPr>
          <w:rFonts w:asciiTheme="majorBidi" w:eastAsiaTheme="majorEastAsia" w:hAnsiTheme="majorBidi" w:cstheme="majorBidi"/>
          <w:bCs/>
        </w:rPr>
        <w:t>u</w:t>
      </w:r>
      <w:r w:rsidR="00D804BA" w:rsidRPr="00D804BA">
        <w:rPr>
          <w:rFonts w:asciiTheme="majorBidi" w:eastAsiaTheme="majorEastAsia" w:hAnsiTheme="majorBidi" w:cstheme="majorBidi"/>
          <w:bCs/>
        </w:rPr>
        <w:t xml:space="preserve">ses continuous environmental data to help maximize financial resources for gathering new information on biodiversity status and trends. </w:t>
      </w:r>
      <w:r w:rsidRPr="00ED7E61">
        <w:rPr>
          <w:rFonts w:asciiTheme="majorBidi" w:eastAsiaTheme="majorEastAsia" w:hAnsiTheme="majorBidi" w:cstheme="majorBidi"/>
          <w:bCs/>
        </w:rPr>
        <w:t>The methodology is provided by Funk et al. (2005)</w:t>
      </w:r>
      <w:sdt>
        <w:sdtPr>
          <w:rPr>
            <w:rFonts w:asciiTheme="majorBidi" w:eastAsiaTheme="majorEastAsia" w:hAnsiTheme="majorBidi" w:cstheme="majorBidi"/>
            <w:bCs/>
          </w:rPr>
          <w:tag w:val="goog_rdk_257"/>
          <w:id w:val="1490832661"/>
        </w:sdtPr>
        <w:sdtContent>
          <w:r w:rsidRPr="00ED7E61">
            <w:rPr>
              <w:rFonts w:asciiTheme="majorBidi" w:eastAsiaTheme="majorEastAsia" w:hAnsiTheme="majorBidi" w:cstheme="majorBidi"/>
              <w:bCs/>
            </w:rPr>
            <w:t xml:space="preserve"> and Ferrier et al. (2007), with a practical application available via the </w:t>
          </w:r>
          <w:r w:rsidR="00D20B01">
            <w:rPr>
              <w:rFonts w:asciiTheme="majorBidi" w:eastAsiaTheme="majorEastAsia" w:hAnsiTheme="majorBidi" w:cstheme="majorBidi"/>
              <w:bCs/>
            </w:rPr>
            <w:t>“</w:t>
          </w:r>
          <w:r w:rsidRPr="00FB1598">
            <w:rPr>
              <w:rFonts w:asciiTheme="majorBidi" w:eastAsiaTheme="majorEastAsia" w:hAnsiTheme="majorBidi" w:cstheme="majorBidi"/>
              <w:bCs/>
              <w:i/>
              <w:iCs/>
            </w:rPr>
            <w:t>Where Next?</w:t>
          </w:r>
          <w:r w:rsidR="00D20B01" w:rsidRPr="00FB1598">
            <w:rPr>
              <w:rFonts w:asciiTheme="majorBidi" w:eastAsiaTheme="majorEastAsia" w:hAnsiTheme="majorBidi" w:cstheme="majorBidi"/>
              <w:bCs/>
              <w:i/>
              <w:iCs/>
            </w:rPr>
            <w:t>”</w:t>
          </w:r>
          <w:r w:rsidRPr="00ED7E61">
            <w:rPr>
              <w:rFonts w:asciiTheme="majorBidi" w:eastAsiaTheme="majorEastAsia" w:hAnsiTheme="majorBidi" w:cstheme="majorBidi"/>
              <w:bCs/>
            </w:rPr>
            <w:t xml:space="preserve"> tool </w:t>
          </w:r>
          <w:hyperlink r:id="rId599" w:history="1">
            <w:r w:rsidRPr="00ED7E61">
              <w:rPr>
                <w:rStyle w:val="Hyperlink"/>
                <w:rFonts w:asciiTheme="majorBidi" w:eastAsiaTheme="majorEastAsia" w:hAnsiTheme="majorBidi" w:cstheme="majorBidi"/>
                <w:bCs/>
              </w:rPr>
              <w:t>https://rpubs.com/jivelasquezt/516782</w:t>
            </w:r>
          </w:hyperlink>
          <w:r w:rsidRPr="00ED7E61">
            <w:rPr>
              <w:rFonts w:asciiTheme="majorBidi" w:eastAsiaTheme="majorEastAsia" w:hAnsiTheme="majorBidi" w:cstheme="majorBidi"/>
              <w:bCs/>
            </w:rPr>
            <w:t xml:space="preserve"> </w:t>
          </w:r>
        </w:sdtContent>
      </w:sdt>
      <w:r w:rsidRPr="00ED7E61">
        <w:rPr>
          <w:rFonts w:asciiTheme="majorBidi" w:eastAsiaTheme="majorEastAsia" w:hAnsiTheme="majorBidi" w:cstheme="majorBidi"/>
          <w:bCs/>
        </w:rPr>
        <w:t xml:space="preserve">. </w:t>
      </w:r>
    </w:p>
    <w:p w14:paraId="5B0822F2" w14:textId="77777777" w:rsidR="00C55C59" w:rsidRPr="00ED7E61" w:rsidRDefault="00C55C59" w:rsidP="00C55C59">
      <w:pPr>
        <w:rPr>
          <w:rFonts w:asciiTheme="majorBidi" w:eastAsiaTheme="majorEastAsia" w:hAnsiTheme="majorBidi" w:cstheme="majorBidi"/>
          <w:bCs/>
          <w:sz w:val="22"/>
          <w:szCs w:val="22"/>
          <w:lang w:val="en-GB"/>
        </w:rPr>
      </w:pPr>
      <w:r w:rsidRPr="00ED7E61">
        <w:rPr>
          <w:rFonts w:asciiTheme="majorBidi" w:eastAsiaTheme="majorEastAsia" w:hAnsiTheme="majorBidi" w:cstheme="majorBidi"/>
          <w:bCs/>
          <w:sz w:val="22"/>
          <w:szCs w:val="22"/>
          <w:lang w:val="en-GB"/>
        </w:rPr>
        <w:t>Sampling effectiveness index</w:t>
      </w:r>
    </w:p>
    <w:p w14:paraId="6231750E" w14:textId="41F81FAD"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This indicator on sampling effectiveness (SSEI) relates the realized geographic distribution of records held by a country to the distribution of data needed to adequately calculate an indicator (Oliver et al. 2021). The methodology for this indicator has been published and is available in documentation reported by Oliver et al. (2021)</w:t>
      </w:r>
      <w:sdt>
        <w:sdtPr>
          <w:rPr>
            <w:rFonts w:asciiTheme="majorBidi" w:eastAsiaTheme="majorEastAsia" w:hAnsiTheme="majorBidi" w:cstheme="majorBidi"/>
            <w:bCs/>
          </w:rPr>
          <w:tag w:val="goog_rdk_258"/>
          <w:id w:val="2146468436"/>
        </w:sdtPr>
        <w:sdtContent>
          <w:r w:rsidRPr="00ED7E61">
            <w:rPr>
              <w:rFonts w:asciiTheme="majorBidi" w:eastAsiaTheme="majorEastAsia" w:hAnsiTheme="majorBidi" w:cstheme="majorBidi"/>
              <w:bCs/>
            </w:rPr>
            <w:t xml:space="preserve"> and made available on a per country basis by the Map of Life.</w:t>
          </w:r>
        </w:sdtContent>
      </w:sdt>
    </w:p>
    <w:p w14:paraId="102D2C59" w14:textId="77777777" w:rsidR="00C55C59" w:rsidRPr="00ED7E61" w:rsidRDefault="00C55C59" w:rsidP="00C55C59">
      <w:pPr>
        <w:rPr>
          <w:rFonts w:asciiTheme="majorBidi" w:eastAsiaTheme="majorEastAsia" w:hAnsiTheme="majorBidi" w:cstheme="majorBidi"/>
          <w:bCs/>
          <w:sz w:val="22"/>
          <w:szCs w:val="22"/>
          <w:lang w:val="en-GB"/>
        </w:rPr>
      </w:pPr>
      <w:r w:rsidRPr="00ED7E61">
        <w:rPr>
          <w:rFonts w:asciiTheme="majorBidi" w:eastAsiaTheme="majorEastAsia" w:hAnsiTheme="majorBidi" w:cstheme="majorBidi"/>
          <w:bCs/>
          <w:sz w:val="22"/>
          <w:szCs w:val="22"/>
          <w:lang w:val="en-GB"/>
        </w:rPr>
        <w:t xml:space="preserve">Species Information Index </w:t>
      </w:r>
    </w:p>
    <w:p w14:paraId="300B1312"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This indicator captures how well existing data on localities of species occurrences covers the expected geographic range of a species. At the species level, the SII can be calculated across the entirety of the species’ expected range, ignoring national boundaries, or separately within each nation where it is expected to occur. The methodology is provided by Oliver et al. (2021)</w:t>
      </w:r>
      <w:sdt>
        <w:sdtPr>
          <w:rPr>
            <w:rFonts w:asciiTheme="majorBidi" w:eastAsiaTheme="majorEastAsia" w:hAnsiTheme="majorBidi" w:cstheme="majorBidi"/>
            <w:bCs/>
          </w:rPr>
          <w:tag w:val="goog_rdk_259"/>
          <w:id w:val="909125014"/>
        </w:sdtPr>
        <w:sdtContent>
          <w:r w:rsidRPr="00ED7E61">
            <w:rPr>
              <w:rFonts w:asciiTheme="majorBidi" w:eastAsiaTheme="majorEastAsia" w:hAnsiTheme="majorBidi" w:cstheme="majorBidi"/>
              <w:bCs/>
            </w:rPr>
            <w:t xml:space="preserve"> and made available on a per country basis by the Map of Life</w:t>
          </w:r>
        </w:sdtContent>
      </w:sdt>
      <w:r w:rsidRPr="00ED7E61">
        <w:rPr>
          <w:rFonts w:asciiTheme="majorBidi" w:eastAsiaTheme="majorEastAsia" w:hAnsiTheme="majorBidi" w:cstheme="majorBidi"/>
          <w:bCs/>
        </w:rPr>
        <w:t xml:space="preserve">. </w:t>
      </w:r>
    </w:p>
    <w:p w14:paraId="50E6260C" w14:textId="6741F7B2" w:rsidR="00C55C59" w:rsidRPr="00ED7E61" w:rsidRDefault="00C55C59" w:rsidP="00082C42">
      <w:pPr>
        <w:rPr>
          <w:rFonts w:asciiTheme="majorBidi" w:eastAsiaTheme="majorEastAsia" w:hAnsiTheme="majorBidi" w:cstheme="majorBidi"/>
          <w:bCs/>
          <w:sz w:val="22"/>
          <w:szCs w:val="22"/>
          <w:lang w:val="en-GB"/>
        </w:rPr>
      </w:pPr>
      <w:r w:rsidRPr="00ED7E61">
        <w:rPr>
          <w:rFonts w:asciiTheme="majorBidi" w:eastAsiaTheme="majorEastAsia" w:hAnsiTheme="majorBidi" w:cstheme="majorBidi"/>
          <w:bCs/>
          <w:sz w:val="22"/>
          <w:szCs w:val="22"/>
          <w:lang w:val="en-GB"/>
        </w:rPr>
        <w:t xml:space="preserve"> Ecosystem coverage </w:t>
      </w:r>
    </w:p>
    <w:p w14:paraId="284E8489" w14:textId="77777777" w:rsidR="00C55C59"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A measure capturing the quality of available ecosystem characterisations. This may comprise two aspects:</w:t>
      </w:r>
    </w:p>
    <w:p w14:paraId="7C3F2A93" w14:textId="77777777" w:rsidR="00D804BA" w:rsidRPr="00ED7E61" w:rsidRDefault="00D804BA"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ED7E61">
        <w:rPr>
          <w:rStyle w:val="normaltextrun"/>
          <w:lang w:val="en-US"/>
        </w:rPr>
        <w:t>Countries</w:t>
      </w:r>
      <w:r w:rsidRPr="00ED7E61">
        <w:rPr>
          <w:rFonts w:asciiTheme="majorBidi" w:eastAsiaTheme="majorEastAsia" w:hAnsiTheme="majorBidi" w:cstheme="majorBidi"/>
          <w:bCs/>
        </w:rPr>
        <w:t xml:space="preserve"> may report whether they have national (or sub-national) ecosystem maps that can support reporting on headline indicators A1 (Red List of ecosystems) and A2 (extent of natural ecosystems). </w:t>
      </w:r>
    </w:p>
    <w:p w14:paraId="1E514AF5" w14:textId="77777777" w:rsidR="00D804BA" w:rsidRPr="00ED7E61" w:rsidRDefault="00D804BA"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ED7E61">
        <w:rPr>
          <w:rFonts w:asciiTheme="majorBidi" w:eastAsiaTheme="majorEastAsia" w:hAnsiTheme="majorBidi" w:cstheme="majorBidi"/>
          <w:bCs/>
        </w:rPr>
        <w:t>An attribute evaluation (for example, that can then be translated to a 0 - 100 scale) based on the spatial, temporal, and thematic resolution and accuracy of global ecosystem maps available in the country, based on maps of ecosystem functional groups in the Global Ecosystem Typology (</w:t>
      </w:r>
      <w:hyperlink r:id="rId600" w:history="1">
        <w:r w:rsidRPr="00ED7E61">
          <w:rPr>
            <w:rStyle w:val="Hyperlink"/>
            <w:rFonts w:asciiTheme="majorBidi" w:eastAsiaTheme="majorEastAsia" w:hAnsiTheme="majorBidi" w:cstheme="majorBidi"/>
            <w:bCs/>
          </w:rPr>
          <w:t>https://global-ecosystems.org/</w:t>
        </w:r>
      </w:hyperlink>
      <w:r w:rsidRPr="00ED7E61">
        <w:rPr>
          <w:rFonts w:asciiTheme="majorBidi" w:eastAsiaTheme="majorEastAsia" w:hAnsiTheme="majorBidi" w:cstheme="majorBidi"/>
          <w:bCs/>
        </w:rPr>
        <w:t>).</w:t>
      </w:r>
    </w:p>
    <w:p w14:paraId="60120435"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 xml:space="preserve">Coverage of monitoring schemes and networks: </w:t>
      </w:r>
    </w:p>
    <w:p w14:paraId="2F8CC189" w14:textId="77777777" w:rsidR="00D804B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D804BA">
        <w:rPr>
          <w:rStyle w:val="normaltextrun"/>
          <w:lang w:val="en-US"/>
        </w:rPr>
        <w:t>Monitoring</w:t>
      </w:r>
      <w:r w:rsidRPr="00ED7E61">
        <w:rPr>
          <w:rFonts w:asciiTheme="majorBidi" w:eastAsiaTheme="majorEastAsia" w:hAnsiTheme="majorBidi" w:cstheme="majorBidi"/>
          <w:bCs/>
        </w:rPr>
        <w:t xml:space="preserve"> programs provide systematic and repeated biodiversity information needed to reliably assess trends in different dimensions of biodiversity.</w:t>
      </w:r>
    </w:p>
    <w:p w14:paraId="1EEF37E6" w14:textId="77777777" w:rsidR="00D804B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ED7E61">
        <w:t>A count of the monitoring projects (e.g. by Biodiversity Observation Networks, and similar monitoring schemes) gathering relevant biodiversity data, including the scope and coverage of this information (e.g. taxonomic, geographic) in each country.</w:t>
      </w:r>
    </w:p>
    <w:p w14:paraId="3FE2149E" w14:textId="6BAD35E1" w:rsidR="00C55C59" w:rsidRPr="00D804BA" w:rsidRDefault="00C55C59" w:rsidP="00B10F0C">
      <w:pPr>
        <w:pStyle w:val="CBDNormalNumber"/>
        <w:numPr>
          <w:ilvl w:val="1"/>
          <w:numId w:val="96"/>
        </w:numPr>
        <w:tabs>
          <w:tab w:val="clear" w:pos="567"/>
          <w:tab w:val="clear" w:pos="1134"/>
          <w:tab w:val="clear" w:pos="2268"/>
          <w:tab w:val="left" w:pos="1985"/>
        </w:tabs>
        <w:ind w:left="567" w:firstLine="531"/>
        <w:rPr>
          <w:rStyle w:val="Hyperlink"/>
          <w:rFonts w:asciiTheme="majorBidi" w:eastAsiaTheme="majorEastAsia" w:hAnsiTheme="majorBidi" w:cstheme="majorBidi"/>
          <w:bCs/>
          <w:color w:val="auto"/>
          <w:u w:val="none"/>
        </w:rPr>
      </w:pPr>
      <w:r w:rsidRPr="00ED7E61">
        <w:t xml:space="preserve">Note: An open global meta-database of biodiversity monitoring schemes is needed to support the calculation of the change in the capacity of countries to monitor biodiversity and generate required information. For example, a dataset for population monitoring schemes (see Moussy et al. (2022)) is available on the IUCN SSC Species Monitoring Specialist Group </w:t>
      </w:r>
      <w:hyperlink r:id="rId601" w:history="1">
        <w:r w:rsidRPr="00D804BA">
          <w:rPr>
            <w:rStyle w:val="Hyperlink"/>
            <w:rFonts w:asciiTheme="majorBidi" w:eastAsiaTheme="majorEastAsia" w:hAnsiTheme="majorBidi" w:cstheme="majorBidi"/>
            <w:bCs/>
          </w:rPr>
          <w:t>https://www.speciesmonitoring.org/schemes.html</w:t>
        </w:r>
      </w:hyperlink>
    </w:p>
    <w:p w14:paraId="167B7017" w14:textId="0D1DC596" w:rsidR="00D804BA" w:rsidRPr="00D804BA" w:rsidRDefault="00D804BA" w:rsidP="00B10F0C">
      <w:pPr>
        <w:pStyle w:val="CBDNormalNumber"/>
        <w:numPr>
          <w:ilvl w:val="1"/>
          <w:numId w:val="96"/>
        </w:numPr>
        <w:tabs>
          <w:tab w:val="clear" w:pos="567"/>
          <w:tab w:val="clear" w:pos="1134"/>
          <w:tab w:val="clear" w:pos="2268"/>
          <w:tab w:val="left" w:pos="1985"/>
        </w:tabs>
        <w:ind w:left="567" w:firstLine="531"/>
        <w:rPr>
          <w:rStyle w:val="Hyperlink"/>
          <w:rFonts w:asciiTheme="majorBidi" w:eastAsiaTheme="majorEastAsia" w:hAnsiTheme="majorBidi" w:cstheme="majorBidi"/>
          <w:bCs/>
          <w:color w:val="auto"/>
          <w:u w:val="none"/>
        </w:rPr>
      </w:pPr>
      <w:r w:rsidRPr="00D804BA">
        <w:rPr>
          <w:rStyle w:val="Hyperlink"/>
          <w:rFonts w:asciiTheme="majorBidi" w:eastAsiaTheme="majorEastAsia" w:hAnsiTheme="majorBidi" w:cstheme="majorBidi"/>
          <w:bCs/>
          <w:color w:val="auto"/>
          <w:u w:val="none"/>
        </w:rPr>
        <w:t xml:space="preserve">The GOOS BioEco Metadata Portal an open global meta-database of marine biodiversity monitoring schemes (https://bioeco.goosocean.org/).  </w:t>
      </w:r>
    </w:p>
    <w:p w14:paraId="7C18161C" w14:textId="7D93D855"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Indigenous knowledge:</w:t>
      </w:r>
    </w:p>
    <w:p w14:paraId="060C9EFD" w14:textId="77777777" w:rsidR="00D804B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ED7E61">
        <w:rPr>
          <w:rFonts w:asciiTheme="majorBidi" w:eastAsiaTheme="majorEastAsia" w:hAnsiTheme="majorBidi" w:cstheme="majorBidi"/>
          <w:bCs/>
        </w:rPr>
        <w:t>This refers to the use of traditional knowledge in national monitoring frameworks and used in the equitable governance and management of biodiversity.</w:t>
      </w:r>
    </w:p>
    <w:p w14:paraId="322BF02D" w14:textId="77777777" w:rsidR="00D804B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D804BA">
        <w:rPr>
          <w:rFonts w:asciiTheme="majorBidi" w:eastAsiaTheme="majorEastAsia" w:hAnsiTheme="majorBidi" w:cstheme="majorBidi"/>
          <w:bCs/>
        </w:rPr>
        <w:t>The Indigenous Navigator (</w:t>
      </w:r>
      <w:hyperlink r:id="rId602" w:history="1">
        <w:r w:rsidRPr="00D804BA">
          <w:rPr>
            <w:rStyle w:val="Hyperlink"/>
            <w:rFonts w:asciiTheme="majorBidi" w:eastAsiaTheme="majorEastAsia" w:hAnsiTheme="majorBidi" w:cstheme="majorBidi"/>
            <w:bCs/>
          </w:rPr>
          <w:t>https://indigenousnavigator.org/</w:t>
        </w:r>
      </w:hyperlink>
      <w:r w:rsidRPr="00D804BA">
        <w:rPr>
          <w:rFonts w:asciiTheme="majorBidi" w:eastAsiaTheme="majorEastAsia" w:hAnsiTheme="majorBidi" w:cstheme="majorBidi"/>
          <w:bCs/>
        </w:rPr>
        <w:t xml:space="preserve">) is a framework and set of tools for and by Indigenous Peoples to systematically monitor the level of recognition and implementation of their rights. By using the Indigenous Navigator, Indigenous organisations and communities, duty bearers, NGOs and journalists can access free tools and resources based on community-generated data. The Indigenous Navigator will be a valuable source of information that can be used to calculate a component related to </w:t>
      </w:r>
      <w:sdt>
        <w:sdtPr>
          <w:rPr>
            <w:rFonts w:asciiTheme="majorBidi" w:eastAsiaTheme="majorEastAsia" w:hAnsiTheme="majorBidi" w:cstheme="majorBidi"/>
            <w:bCs/>
          </w:rPr>
          <w:tag w:val="goog_rdk_263"/>
          <w:id w:val="334116494"/>
        </w:sdtPr>
        <w:sdtContent>
          <w:r w:rsidRPr="00D804BA">
            <w:rPr>
              <w:rFonts w:asciiTheme="majorBidi" w:eastAsiaTheme="majorEastAsia" w:hAnsiTheme="majorBidi" w:cstheme="majorBidi"/>
              <w:bCs/>
            </w:rPr>
            <w:t xml:space="preserve">which targets are using traditional knowledge to support decision making. </w:t>
          </w:r>
        </w:sdtContent>
      </w:sdt>
      <w:sdt>
        <w:sdtPr>
          <w:rPr>
            <w:rFonts w:asciiTheme="majorBidi" w:eastAsiaTheme="majorEastAsia" w:hAnsiTheme="majorBidi" w:cstheme="majorBidi"/>
            <w:bCs/>
          </w:rPr>
          <w:tag w:val="goog_rdk_264"/>
          <w:id w:val="659513864"/>
          <w:showingPlcHdr/>
        </w:sdtPr>
        <w:sdtContent>
          <w:r w:rsidR="00ED7E61" w:rsidRPr="00D804BA">
            <w:rPr>
              <w:rFonts w:asciiTheme="majorBidi" w:eastAsiaTheme="majorEastAsia" w:hAnsiTheme="majorBidi" w:cstheme="majorBidi"/>
              <w:bCs/>
            </w:rPr>
            <w:t xml:space="preserve">     </w:t>
          </w:r>
        </w:sdtContent>
      </w:sdt>
    </w:p>
    <w:p w14:paraId="54F762A8" w14:textId="7E3BBA3F" w:rsidR="00C55C59" w:rsidRPr="00D804B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D804BA">
        <w:rPr>
          <w:rFonts w:asciiTheme="majorBidi" w:eastAsiaTheme="majorEastAsia" w:hAnsiTheme="majorBidi" w:cstheme="majorBidi"/>
          <w:bCs/>
        </w:rPr>
        <w:t>Another source of information is the number of community-based monitoring and information systems (CBMIS) active in a given country (</w:t>
      </w:r>
      <w:hyperlink r:id="rId603" w:history="1">
        <w:r w:rsidR="009B48FC">
          <w:rPr>
            <w:rStyle w:val="Hyperlink"/>
            <w:rFonts w:asciiTheme="majorBidi" w:eastAsiaTheme="majorEastAsia" w:hAnsiTheme="majorBidi" w:cstheme="majorBidi"/>
            <w:bCs/>
          </w:rPr>
          <w:t>Ferrari et al. 2015</w:t>
        </w:r>
      </w:hyperlink>
      <w:r w:rsidRPr="00D804BA">
        <w:rPr>
          <w:rFonts w:asciiTheme="majorBidi" w:eastAsiaTheme="majorEastAsia" w:hAnsiTheme="majorBidi" w:cstheme="majorBidi"/>
          <w:bCs/>
        </w:rPr>
        <w:t>).</w:t>
      </w:r>
    </w:p>
    <w:p w14:paraId="15DFAC85"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Relevant information from complementary indicators:</w:t>
      </w:r>
    </w:p>
    <w:p w14:paraId="74ABC977" w14:textId="77777777" w:rsidR="00C9492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ED7E61">
        <w:rPr>
          <w:rFonts w:asciiTheme="majorBidi" w:eastAsiaTheme="majorEastAsia" w:hAnsiTheme="majorBidi" w:cstheme="majorBidi"/>
          <w:bCs/>
        </w:rPr>
        <w:t>Additional indicators are relevant and available to support reporting for indicator 21.1</w:t>
      </w:r>
    </w:p>
    <w:p w14:paraId="030091FC" w14:textId="77777777" w:rsidR="00C9492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C9492A">
        <w:rPr>
          <w:rStyle w:val="normaltextrun"/>
          <w:lang w:val="en-US"/>
        </w:rPr>
        <w:t>Growth</w:t>
      </w:r>
      <w:r w:rsidRPr="00C9492A">
        <w:rPr>
          <w:rFonts w:asciiTheme="majorBidi" w:eastAsiaTheme="majorEastAsia" w:hAnsiTheme="majorBidi" w:cstheme="majorBidi"/>
          <w:bCs/>
        </w:rPr>
        <w:t xml:space="preserve"> in number of records and species in the Living Planet Database. </w:t>
      </w:r>
    </w:p>
    <w:p w14:paraId="3081D0F1" w14:textId="77777777" w:rsidR="00C9492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C9492A">
        <w:rPr>
          <w:rFonts w:asciiTheme="majorBidi" w:eastAsiaTheme="majorEastAsia" w:hAnsiTheme="majorBidi" w:cstheme="majorBidi"/>
          <w:bCs/>
        </w:rPr>
        <w:t xml:space="preserve">Growth in species occurrence records accessible through the Global Biodiversity Information Facility. </w:t>
      </w:r>
    </w:p>
    <w:p w14:paraId="76D99BFF" w14:textId="0066D572" w:rsidR="00C9492A" w:rsidRDefault="00C6727C"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C9492A">
        <w:rPr>
          <w:rFonts w:asciiTheme="majorBidi" w:eastAsiaTheme="majorEastAsia" w:hAnsiTheme="majorBidi" w:cstheme="majorBidi"/>
          <w:bCs/>
        </w:rPr>
        <w:t>Growth in occurrence records accessible through the Ocean Biodiversity Information System (OBIS)</w:t>
      </w:r>
      <w:r w:rsidR="00C9492A">
        <w:rPr>
          <w:rFonts w:asciiTheme="majorBidi" w:eastAsiaTheme="majorEastAsia" w:hAnsiTheme="majorBidi" w:cstheme="majorBidi"/>
          <w:bCs/>
        </w:rPr>
        <w:t>.</w:t>
      </w:r>
    </w:p>
    <w:p w14:paraId="2C2E7EE6" w14:textId="77777777" w:rsidR="00C9492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ED7E61">
        <w:t xml:space="preserve">Proportion of known species assessed through the IUCN Red List of Threatened Species. </w:t>
      </w:r>
    </w:p>
    <w:p w14:paraId="78BB8458" w14:textId="77777777" w:rsidR="00C9492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C9492A">
        <w:rPr>
          <w:rFonts w:asciiTheme="majorBidi" w:eastAsiaTheme="majorEastAsia" w:hAnsiTheme="majorBidi" w:cstheme="majorBidi"/>
          <w:bCs/>
        </w:rPr>
        <w:t xml:space="preserve">Number of assessments on the IUCN Red List of Threatened Species. </w:t>
      </w:r>
    </w:p>
    <w:p w14:paraId="5034C08D" w14:textId="77777777" w:rsidR="00C9492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C9492A">
        <w:rPr>
          <w:rFonts w:asciiTheme="majorBidi" w:eastAsiaTheme="majorEastAsia" w:hAnsiTheme="majorBidi" w:cstheme="majorBidi"/>
          <w:bCs/>
        </w:rPr>
        <w:t>Number of assessments on the IUCN Red List of Ecosystems (</w:t>
      </w:r>
      <w:hyperlink r:id="rId604" w:history="1">
        <w:r w:rsidRPr="00C9492A">
          <w:rPr>
            <w:rStyle w:val="Hyperlink"/>
            <w:rFonts w:asciiTheme="majorBidi" w:eastAsiaTheme="majorEastAsia" w:hAnsiTheme="majorBidi" w:cstheme="majorBidi"/>
            <w:bCs/>
          </w:rPr>
          <w:t>https://iucnrle.org/rle-in-progress</w:t>
        </w:r>
      </w:hyperlink>
      <w:r w:rsidRPr="00C9492A">
        <w:rPr>
          <w:rFonts w:asciiTheme="majorBidi" w:eastAsiaTheme="majorEastAsia" w:hAnsiTheme="majorBidi" w:cstheme="majorBidi"/>
          <w:bCs/>
        </w:rPr>
        <w:t>)</w:t>
      </w:r>
      <w:r w:rsidR="0047231C" w:rsidRPr="00C9492A">
        <w:rPr>
          <w:rFonts w:asciiTheme="majorBidi" w:eastAsiaTheme="majorEastAsia" w:hAnsiTheme="majorBidi" w:cstheme="majorBidi"/>
          <w:bCs/>
        </w:rPr>
        <w:t>.</w:t>
      </w:r>
      <w:r w:rsidRPr="00C9492A">
        <w:rPr>
          <w:rFonts w:asciiTheme="majorBidi" w:eastAsiaTheme="majorEastAsia" w:hAnsiTheme="majorBidi" w:cstheme="majorBidi"/>
          <w:bCs/>
        </w:rPr>
        <w:t xml:space="preserve"> </w:t>
      </w:r>
    </w:p>
    <w:p w14:paraId="5D982D93" w14:textId="77777777" w:rsidR="00C9492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C9492A">
        <w:rPr>
          <w:rFonts w:asciiTheme="majorBidi" w:eastAsiaTheme="majorEastAsia" w:hAnsiTheme="majorBidi" w:cstheme="majorBidi"/>
          <w:bCs/>
        </w:rPr>
        <w:t>World Association of Zoos and Aquariums (WAZA) bio-literacy survey (Biodiversity literacy in global zoo and aquarium visitors).</w:t>
      </w:r>
    </w:p>
    <w:p w14:paraId="02623717" w14:textId="77777777" w:rsidR="00C9492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C9492A">
        <w:rPr>
          <w:rFonts w:asciiTheme="majorBidi" w:eastAsiaTheme="majorEastAsia" w:hAnsiTheme="majorBidi" w:cstheme="majorBidi"/>
          <w:bCs/>
        </w:rPr>
        <w:t xml:space="preserve">Essential Biodiversity Variable data sets freely available for use on the  </w:t>
      </w:r>
      <w:hyperlink r:id="rId605" w:history="1">
        <w:r w:rsidRPr="00C9492A">
          <w:rPr>
            <w:rStyle w:val="Hyperlink"/>
            <w:rFonts w:asciiTheme="majorBidi" w:eastAsiaTheme="majorEastAsia" w:hAnsiTheme="majorBidi" w:cstheme="majorBidi"/>
            <w:bCs/>
          </w:rPr>
          <w:t xml:space="preserve">EBV data portal </w:t>
        </w:r>
      </w:hyperlink>
      <w:r w:rsidRPr="00C9492A">
        <w:rPr>
          <w:rFonts w:asciiTheme="majorBidi" w:eastAsiaTheme="majorEastAsia" w:hAnsiTheme="majorBidi" w:cstheme="majorBidi"/>
          <w:bCs/>
        </w:rPr>
        <w:t xml:space="preserve">(GEO BON). These are classified by EBV class and geographic extent.  </w:t>
      </w:r>
    </w:p>
    <w:p w14:paraId="72219CE2" w14:textId="2BB964F1" w:rsidR="00C55C59" w:rsidRPr="00C9492A" w:rsidRDefault="00C55C59" w:rsidP="00B10F0C">
      <w:pPr>
        <w:pStyle w:val="CBDNormalNumber"/>
        <w:numPr>
          <w:ilvl w:val="1"/>
          <w:numId w:val="96"/>
        </w:numPr>
        <w:tabs>
          <w:tab w:val="clear" w:pos="567"/>
          <w:tab w:val="clear" w:pos="1134"/>
          <w:tab w:val="clear" w:pos="2268"/>
          <w:tab w:val="left" w:pos="1985"/>
        </w:tabs>
        <w:ind w:left="567" w:firstLine="531"/>
        <w:rPr>
          <w:rFonts w:asciiTheme="majorBidi" w:eastAsiaTheme="majorEastAsia" w:hAnsiTheme="majorBidi" w:cstheme="majorBidi"/>
          <w:bCs/>
        </w:rPr>
      </w:pPr>
      <w:r w:rsidRPr="00C9492A">
        <w:rPr>
          <w:rFonts w:asciiTheme="majorBidi" w:eastAsiaTheme="majorEastAsia" w:hAnsiTheme="majorBidi" w:cstheme="majorBidi"/>
          <w:bCs/>
        </w:rPr>
        <w:t>Growth in biodiversity observing and monitoring systems and technologies deployed.</w:t>
      </w:r>
    </w:p>
    <w:p w14:paraId="3F9FEFB9"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5c. Data collection method</w:t>
      </w:r>
    </w:p>
    <w:p w14:paraId="75BC5FD3"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For the aspects of this indicator related to other indicators in the monitoring framework, this could be automatically calculated based on what is submitted through the national reporting processes.</w:t>
      </w:r>
    </w:p>
    <w:p w14:paraId="56B516C4" w14:textId="01AACEEE"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 xml:space="preserve">For the aspects of this indicator related to data which is captured in international databases (for example GBIF), the information on record counts is already currently available. This source of information can be used to assess the completeness and inclusiveness of monitoring processes, from data to collection to indicator production. </w:t>
      </w:r>
      <w:sdt>
        <w:sdtPr>
          <w:rPr>
            <w:rFonts w:asciiTheme="majorBidi" w:eastAsiaTheme="majorEastAsia" w:hAnsiTheme="majorBidi" w:cstheme="majorBidi"/>
            <w:bCs/>
          </w:rPr>
          <w:tag w:val="goog_rdk_266"/>
          <w:id w:val="-1736150659"/>
        </w:sdtPr>
        <w:sdtContent>
          <w:r w:rsidRPr="00ED7E61">
            <w:rPr>
              <w:rFonts w:asciiTheme="majorBidi" w:eastAsiaTheme="majorEastAsia" w:hAnsiTheme="majorBidi" w:cstheme="majorBidi"/>
              <w:bCs/>
            </w:rPr>
            <w:t>It also tracks the extent to which existing monitoring data is being shared into open data repositories using interoperable standards, enabling re-use and thus increasing availability of accessible data to support implementation of the GBF as required by Target 21.</w:t>
          </w:r>
        </w:sdtContent>
      </w:sdt>
    </w:p>
    <w:p w14:paraId="6CBD78E0"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5d. Accessibility of methodology</w:t>
      </w:r>
    </w:p>
    <w:p w14:paraId="3BD308E9"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The metadata and methodology for the elements of this indicator are fully public. The SSEI and SSI are available online.</w:t>
      </w:r>
    </w:p>
    <w:p w14:paraId="4DD4FD9E"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5e. Data sources</w:t>
      </w:r>
    </w:p>
    <w:p w14:paraId="7F127CF9"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The data sources are existing databases for biodiversity observation monitoring, community-based monitoring databases and biodiversity indicator databases.</w:t>
      </w:r>
    </w:p>
    <w:p w14:paraId="6171072E"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5f. Availability and release calendar</w:t>
      </w:r>
    </w:p>
    <w:p w14:paraId="482D5744"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This indicator would be included in the national reports and follow the release calendar for the 7</w:t>
      </w:r>
      <w:r w:rsidRPr="00ED7E61">
        <w:rPr>
          <w:rFonts w:asciiTheme="majorBidi" w:eastAsiaTheme="majorEastAsia" w:hAnsiTheme="majorBidi" w:cstheme="majorBidi"/>
          <w:bCs/>
          <w:vertAlign w:val="superscript"/>
        </w:rPr>
        <w:t>th</w:t>
      </w:r>
      <w:r w:rsidRPr="00ED7E61">
        <w:rPr>
          <w:rFonts w:asciiTheme="majorBidi" w:eastAsiaTheme="majorEastAsia" w:hAnsiTheme="majorBidi" w:cstheme="majorBidi"/>
          <w:bCs/>
        </w:rPr>
        <w:t xml:space="preserve"> and 8</w:t>
      </w:r>
      <w:r w:rsidRPr="00ED7E61">
        <w:rPr>
          <w:rFonts w:asciiTheme="majorBidi" w:eastAsiaTheme="majorEastAsia" w:hAnsiTheme="majorBidi" w:cstheme="majorBidi"/>
          <w:bCs/>
          <w:vertAlign w:val="superscript"/>
        </w:rPr>
        <w:t>th</w:t>
      </w:r>
      <w:r w:rsidRPr="00ED7E61">
        <w:rPr>
          <w:rFonts w:asciiTheme="majorBidi" w:eastAsiaTheme="majorEastAsia" w:hAnsiTheme="majorBidi" w:cstheme="majorBidi"/>
          <w:bCs/>
        </w:rPr>
        <w:t xml:space="preserve"> national reports.</w:t>
      </w:r>
    </w:p>
    <w:p w14:paraId="69AB8FDE"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5g. Time series</w:t>
      </w:r>
    </w:p>
    <w:p w14:paraId="75BB24E4"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Parties would be asked to report data from 2020 to the most recent year available. Additionally, it would be encouraged to go as far back as possible in time in order to see how monitoring systems are developing over time.</w:t>
      </w:r>
    </w:p>
    <w:p w14:paraId="701EB2C6"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5h. Data providers</w:t>
      </w:r>
    </w:p>
    <w:p w14:paraId="64BD3F6D"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National governments are the primary data provider. GEO BON, IIFB, GBIF, OBIS, IUCN and other organizations maintain information relevant to this indicator. However, this indicator would be reported through the national reporting process.</w:t>
      </w:r>
    </w:p>
    <w:p w14:paraId="1F1AF2B3"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5i. Data compilers</w:t>
      </w:r>
    </w:p>
    <w:p w14:paraId="67DD8CD3"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Countries, including subnational and local counterparts, are the data compilers.</w:t>
      </w:r>
    </w:p>
    <w:p w14:paraId="27F879D5"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5j. Gaps in data coverage</w:t>
      </w:r>
    </w:p>
    <w:p w14:paraId="0266A2C5"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This indicator is currently being developed. It is expected that it could be operationalized in the 7</w:t>
      </w:r>
      <w:r w:rsidRPr="00ED7E61">
        <w:rPr>
          <w:rFonts w:asciiTheme="majorBidi" w:eastAsiaTheme="majorEastAsia" w:hAnsiTheme="majorBidi" w:cstheme="majorBidi"/>
          <w:bCs/>
          <w:vertAlign w:val="superscript"/>
        </w:rPr>
        <w:t>th</w:t>
      </w:r>
      <w:r w:rsidRPr="00ED7E61">
        <w:rPr>
          <w:rFonts w:asciiTheme="majorBidi" w:eastAsiaTheme="majorEastAsia" w:hAnsiTheme="majorBidi" w:cstheme="majorBidi"/>
          <w:bCs/>
        </w:rPr>
        <w:t xml:space="preserve"> national report as the indicator will aim to capture gaps in monitoring systems. An overestimation of the gaps may occur, and this would reflect poor data flows between data collection on the ground and national governments.</w:t>
      </w:r>
    </w:p>
    <w:p w14:paraId="43A8A311"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5k. Treatment of missing values</w:t>
      </w:r>
    </w:p>
    <w:p w14:paraId="3784A63B"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Datasets may not be of adequate quality or coverage which represents important sources of uncertainty. This uncertainty can be assessed and addressed to guide the collection of better information. This indicator is assessing where there are missing values and thus this category does not apply.</w:t>
      </w:r>
    </w:p>
    <w:p w14:paraId="0AB0A992" w14:textId="3D76701C" w:rsidR="00C55C59" w:rsidRPr="00ED7E61" w:rsidRDefault="004A4CBB" w:rsidP="005B0D1E">
      <w:pPr>
        <w:pStyle w:val="paragraph"/>
        <w:pBdr>
          <w:bottom w:val="single" w:sz="4" w:space="1" w:color="000000"/>
        </w:pBdr>
        <w:spacing w:before="0" w:beforeAutospacing="0" w:after="0" w:afterAutospacing="0"/>
        <w:textAlignment w:val="baseline"/>
        <w:rPr>
          <w:rStyle w:val="normaltextrun"/>
          <w:rFonts w:eastAsiaTheme="majorEastAsia"/>
        </w:rPr>
      </w:pPr>
      <w:r w:rsidRPr="00ED7E61">
        <w:rPr>
          <w:rStyle w:val="normaltextrun"/>
          <w:rFonts w:eastAsiaTheme="majorEastAsia"/>
          <w:b/>
        </w:rPr>
        <w:t xml:space="preserve">6. </w:t>
      </w:r>
      <w:r w:rsidR="00C55C59" w:rsidRPr="006935BC">
        <w:rPr>
          <w:rStyle w:val="normaltextrun"/>
          <w:rFonts w:eastAsiaTheme="majorEastAsia"/>
          <w:b/>
          <w:bCs/>
        </w:rPr>
        <w:t>Scale</w:t>
      </w:r>
    </w:p>
    <w:p w14:paraId="3665F59F"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6a. Scale of use</w:t>
      </w:r>
    </w:p>
    <w:p w14:paraId="008C955B"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National, regional and global</w:t>
      </w:r>
    </w:p>
    <w:p w14:paraId="3D65F0A3"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6b. National/regional indicator production</w:t>
      </w:r>
    </w:p>
    <w:p w14:paraId="0ACD6BC8"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Data would primarily be compiled at the national level.</w:t>
      </w:r>
    </w:p>
    <w:p w14:paraId="471A8C42"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6c. Sources of differences between global and national figures</w:t>
      </w:r>
    </w:p>
    <w:p w14:paraId="60838D4D"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In some cases, data may flow to the global level without flowing to the national level or vice versa. This could create discrepancies between the global and national figures. Identifying and resolving discrepancies would help make progress toward Target 21.</w:t>
      </w:r>
    </w:p>
    <w:p w14:paraId="2DB78B3B" w14:textId="77777777" w:rsidR="00C55C59" w:rsidRPr="00ED7E61" w:rsidRDefault="00C55C59" w:rsidP="00496C5A">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6d. Regional and global estimates &amp; data collection for global monitoring</w:t>
      </w:r>
    </w:p>
    <w:p w14:paraId="756532D1"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As GEO BON, IIFB, GBIF, IUCN and other organizations maintain biodiversity information these organizations would be in a position to provide regional and global data on this indicator which Parties could choose to use, where relevant.</w:t>
      </w:r>
    </w:p>
    <w:p w14:paraId="3E7F321E" w14:textId="70446037" w:rsidR="00C55C59" w:rsidRPr="006935BC" w:rsidRDefault="0041332B" w:rsidP="005B0D1E">
      <w:pPr>
        <w:pStyle w:val="paragraph"/>
        <w:pBdr>
          <w:bottom w:val="single" w:sz="4" w:space="1" w:color="000000"/>
        </w:pBdr>
        <w:spacing w:before="0" w:beforeAutospacing="0" w:after="0" w:afterAutospacing="0"/>
        <w:textAlignment w:val="baseline"/>
        <w:rPr>
          <w:rStyle w:val="normaltextrun"/>
          <w:rFonts w:eastAsiaTheme="majorEastAsia"/>
          <w:sz w:val="22"/>
          <w:szCs w:val="22"/>
        </w:rPr>
      </w:pPr>
      <w:r w:rsidRPr="006935BC">
        <w:rPr>
          <w:rStyle w:val="normaltextrun"/>
          <w:rFonts w:eastAsiaTheme="majorEastAsia"/>
          <w:b/>
          <w:sz w:val="22"/>
          <w:szCs w:val="22"/>
        </w:rPr>
        <w:t xml:space="preserve">7. </w:t>
      </w:r>
      <w:r w:rsidR="00C55C59" w:rsidRPr="006935BC">
        <w:rPr>
          <w:rStyle w:val="normaltextrun"/>
          <w:rFonts w:eastAsiaTheme="majorEastAsia"/>
          <w:b/>
          <w:bCs/>
          <w:sz w:val="22"/>
          <w:szCs w:val="22"/>
        </w:rPr>
        <w:t>Other MEAs, processes and organi</w:t>
      </w:r>
      <w:r w:rsidR="006935BC" w:rsidRPr="006935BC">
        <w:rPr>
          <w:rStyle w:val="normaltextrun"/>
          <w:rFonts w:eastAsiaTheme="majorEastAsia"/>
          <w:b/>
          <w:bCs/>
          <w:sz w:val="22"/>
          <w:szCs w:val="22"/>
        </w:rPr>
        <w:t>z</w:t>
      </w:r>
      <w:r w:rsidR="00C55C59" w:rsidRPr="006935BC">
        <w:rPr>
          <w:rStyle w:val="normaltextrun"/>
          <w:rFonts w:eastAsiaTheme="majorEastAsia"/>
          <w:b/>
          <w:bCs/>
          <w:sz w:val="22"/>
          <w:szCs w:val="22"/>
        </w:rPr>
        <w:t>ations</w:t>
      </w:r>
    </w:p>
    <w:p w14:paraId="30B283DD"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7a. Other MEA and processes</w:t>
      </w:r>
    </w:p>
    <w:p w14:paraId="4B797C64" w14:textId="77777777" w:rsidR="00C55C59" w:rsidRPr="00ED7E61" w:rsidRDefault="00C55C59" w:rsidP="00B10F0C">
      <w:pPr>
        <w:pStyle w:val="CBDNormalNumber"/>
        <w:numPr>
          <w:ilvl w:val="0"/>
          <w:numId w:val="96"/>
        </w:numPr>
        <w:shd w:val="clear" w:color="auto" w:fill="FFFFFF"/>
        <w:ind w:left="567" w:firstLine="0"/>
        <w:rPr>
          <w:rFonts w:asciiTheme="majorBidi" w:eastAsiaTheme="majorEastAsia" w:hAnsiTheme="majorBidi" w:cstheme="majorBidi"/>
          <w:bCs/>
        </w:rPr>
      </w:pPr>
      <w:r w:rsidRPr="00ED7E61">
        <w:rPr>
          <w:rFonts w:asciiTheme="majorBidi" w:eastAsiaTheme="majorEastAsia" w:hAnsiTheme="majorBidi" w:cstheme="majorBidi"/>
          <w:bCs/>
        </w:rPr>
        <w:t xml:space="preserve">This indicator is relevant for all the biodiversity MEAs as it could inform where information is available and lacking. </w:t>
      </w:r>
    </w:p>
    <w:p w14:paraId="0F0D2456" w14:textId="77777777" w:rsidR="00C55C59" w:rsidRPr="00ED7E61" w:rsidRDefault="00C55C59" w:rsidP="00C55C59">
      <w:pPr>
        <w:rPr>
          <w:rFonts w:asciiTheme="majorBidi" w:eastAsiaTheme="majorEastAsia" w:hAnsiTheme="majorBidi" w:cstheme="majorBidi"/>
          <w:b/>
          <w:sz w:val="22"/>
          <w:szCs w:val="22"/>
          <w:lang w:val="en-GB"/>
        </w:rPr>
      </w:pPr>
      <w:r w:rsidRPr="00ED7E61">
        <w:rPr>
          <w:rFonts w:asciiTheme="majorBidi" w:eastAsiaTheme="majorEastAsia" w:hAnsiTheme="majorBidi" w:cstheme="majorBidi"/>
          <w:b/>
          <w:sz w:val="22"/>
          <w:szCs w:val="22"/>
          <w:lang w:val="en-GB"/>
        </w:rPr>
        <w:t>7b. Biodiversity Indicator Partnership</w:t>
      </w:r>
    </w:p>
    <w:p w14:paraId="0637B48A" w14:textId="77777777" w:rsidR="00C55C59" w:rsidRPr="006935BC" w:rsidRDefault="00C55C59" w:rsidP="006935BC">
      <w:pPr>
        <w:pStyle w:val="CBDNormalNumber"/>
        <w:numPr>
          <w:ilvl w:val="0"/>
          <w:numId w:val="0"/>
        </w:numPr>
        <w:shd w:val="clear" w:color="auto" w:fill="FFFFFF"/>
        <w:ind w:left="567"/>
        <w:rPr>
          <w:rFonts w:asciiTheme="majorBidi" w:eastAsiaTheme="majorEastAsia" w:hAnsiTheme="majorBidi" w:cstheme="majorBidi"/>
          <w:bCs/>
        </w:rPr>
      </w:pPr>
      <w:r w:rsidRPr="006935BC">
        <w:rPr>
          <w:rFonts w:asciiTheme="majorBidi" w:eastAsiaTheme="majorEastAsia" w:hAnsiTheme="majorBidi" w:cstheme="majorBidi"/>
          <w:bCs/>
        </w:rPr>
        <w:t>No</w:t>
      </w:r>
    </w:p>
    <w:p w14:paraId="2215B593" w14:textId="19334366" w:rsidR="00C55C59" w:rsidRPr="006935BC" w:rsidRDefault="00C55C59" w:rsidP="005B0D1E">
      <w:pPr>
        <w:pStyle w:val="paragraph"/>
        <w:pBdr>
          <w:bottom w:val="single" w:sz="4" w:space="1" w:color="000000"/>
        </w:pBdr>
        <w:spacing w:before="0" w:beforeAutospacing="0" w:after="0" w:afterAutospacing="0"/>
        <w:textAlignment w:val="baseline"/>
        <w:rPr>
          <w:rStyle w:val="normaltextrun"/>
          <w:rFonts w:eastAsiaTheme="majorEastAsia"/>
          <w:b/>
          <w:bCs/>
          <w:sz w:val="22"/>
          <w:szCs w:val="22"/>
        </w:rPr>
      </w:pPr>
      <w:r w:rsidRPr="006935BC">
        <w:rPr>
          <w:rStyle w:val="normaltextrun"/>
          <w:rFonts w:eastAsiaTheme="majorEastAsia"/>
          <w:b/>
          <w:bCs/>
          <w:sz w:val="22"/>
          <w:szCs w:val="22"/>
        </w:rPr>
        <w:t>Disaggregation</w:t>
      </w:r>
    </w:p>
    <w:p w14:paraId="35E39F05" w14:textId="77777777" w:rsidR="00C55C59" w:rsidRPr="006935BC" w:rsidRDefault="00C55C59" w:rsidP="00C55C59">
      <w:pPr>
        <w:rPr>
          <w:rFonts w:asciiTheme="majorBidi" w:eastAsiaTheme="majorEastAsia" w:hAnsiTheme="majorBidi" w:cstheme="majorBidi"/>
          <w:bCs/>
          <w:sz w:val="22"/>
          <w:szCs w:val="22"/>
          <w:lang w:val="en-GB"/>
        </w:rPr>
      </w:pPr>
    </w:p>
    <w:p w14:paraId="78585BC1" w14:textId="3D10A597" w:rsidR="00C55C59" w:rsidRPr="006935BC" w:rsidRDefault="00C55C59" w:rsidP="005B0D1E">
      <w:pPr>
        <w:pStyle w:val="paragraph"/>
        <w:pBdr>
          <w:bottom w:val="single" w:sz="4" w:space="1" w:color="000000"/>
        </w:pBdr>
        <w:spacing w:before="0" w:beforeAutospacing="0" w:after="0" w:afterAutospacing="0"/>
        <w:textAlignment w:val="baseline"/>
        <w:rPr>
          <w:rFonts w:asciiTheme="majorBidi" w:eastAsiaTheme="majorEastAsia" w:hAnsiTheme="majorBidi" w:cstheme="majorBidi"/>
          <w:b/>
          <w:bCs/>
          <w:sz w:val="22"/>
          <w:szCs w:val="22"/>
          <w:lang w:val="en-GB"/>
        </w:rPr>
      </w:pPr>
      <w:r w:rsidRPr="006935BC">
        <w:rPr>
          <w:rStyle w:val="normaltextrun"/>
          <w:rFonts w:eastAsiaTheme="majorEastAsia"/>
          <w:b/>
          <w:bCs/>
          <w:sz w:val="22"/>
          <w:szCs w:val="22"/>
        </w:rPr>
        <w:t>Related goals, targets and indicators</w:t>
      </w:r>
    </w:p>
    <w:p w14:paraId="70C4EC41" w14:textId="77777777" w:rsidR="00C55C59" w:rsidRPr="006935BC" w:rsidRDefault="00C55C59" w:rsidP="00C55C59">
      <w:pPr>
        <w:rPr>
          <w:rFonts w:asciiTheme="majorBidi" w:eastAsiaTheme="majorEastAsia" w:hAnsiTheme="majorBidi" w:cstheme="majorBidi"/>
          <w:bCs/>
          <w:sz w:val="22"/>
          <w:szCs w:val="22"/>
          <w:lang w:val="en-GB"/>
        </w:rPr>
      </w:pPr>
    </w:p>
    <w:p w14:paraId="4DA85E3E" w14:textId="0042B2A7" w:rsidR="00C55C59" w:rsidRPr="006935BC" w:rsidRDefault="006B73D2" w:rsidP="005B0D1E">
      <w:pPr>
        <w:pStyle w:val="paragraph"/>
        <w:pBdr>
          <w:bottom w:val="single" w:sz="4" w:space="1" w:color="000000"/>
        </w:pBdr>
        <w:spacing w:before="0" w:beforeAutospacing="0" w:after="0" w:afterAutospacing="0"/>
        <w:textAlignment w:val="baseline"/>
        <w:rPr>
          <w:rFonts w:asciiTheme="majorBidi" w:eastAsiaTheme="majorEastAsia" w:hAnsiTheme="majorBidi" w:cstheme="majorBidi"/>
          <w:b/>
          <w:sz w:val="22"/>
          <w:szCs w:val="22"/>
          <w:lang w:val="en-GB"/>
        </w:rPr>
      </w:pPr>
      <w:r w:rsidRPr="006935BC">
        <w:rPr>
          <w:rStyle w:val="normaltextrun"/>
          <w:rFonts w:eastAsiaTheme="majorEastAsia"/>
          <w:b/>
          <w:sz w:val="22"/>
          <w:szCs w:val="22"/>
        </w:rPr>
        <w:t xml:space="preserve">10. </w:t>
      </w:r>
      <w:r w:rsidR="00C55C59" w:rsidRPr="006935BC">
        <w:rPr>
          <w:rStyle w:val="normaltextrun"/>
          <w:rFonts w:eastAsiaTheme="majorEastAsia"/>
          <w:b/>
          <w:bCs/>
          <w:sz w:val="22"/>
          <w:szCs w:val="22"/>
        </w:rPr>
        <w:t>Data reporter</w:t>
      </w:r>
    </w:p>
    <w:p w14:paraId="4F344844" w14:textId="1071892A" w:rsidR="00C55C59" w:rsidRPr="006935BC" w:rsidRDefault="00C55C59" w:rsidP="00C55C59">
      <w:pPr>
        <w:rPr>
          <w:rFonts w:asciiTheme="majorBidi" w:eastAsiaTheme="majorEastAsia" w:hAnsiTheme="majorBidi" w:cstheme="majorBidi"/>
          <w:b/>
          <w:sz w:val="22"/>
          <w:szCs w:val="22"/>
          <w:lang w:val="en-GB"/>
        </w:rPr>
      </w:pPr>
      <w:r w:rsidRPr="006935BC">
        <w:rPr>
          <w:rFonts w:asciiTheme="majorBidi" w:eastAsiaTheme="majorEastAsia" w:hAnsiTheme="majorBidi" w:cstheme="majorBidi"/>
          <w:b/>
          <w:sz w:val="22"/>
          <w:szCs w:val="22"/>
          <w:lang w:val="en-GB"/>
        </w:rPr>
        <w:t>10a. Organi</w:t>
      </w:r>
      <w:r w:rsidR="006935BC">
        <w:rPr>
          <w:rFonts w:asciiTheme="majorBidi" w:eastAsiaTheme="majorEastAsia" w:hAnsiTheme="majorBidi" w:cstheme="majorBidi"/>
          <w:b/>
          <w:sz w:val="22"/>
          <w:szCs w:val="22"/>
          <w:lang w:val="en-GB"/>
        </w:rPr>
        <w:t>z</w:t>
      </w:r>
      <w:r w:rsidRPr="006935BC">
        <w:rPr>
          <w:rFonts w:asciiTheme="majorBidi" w:eastAsiaTheme="majorEastAsia" w:hAnsiTheme="majorBidi" w:cstheme="majorBidi"/>
          <w:b/>
          <w:sz w:val="22"/>
          <w:szCs w:val="22"/>
          <w:lang w:val="en-GB"/>
        </w:rPr>
        <w:t>ation</w:t>
      </w:r>
    </w:p>
    <w:p w14:paraId="6EBF52AB" w14:textId="5BDE6B1D" w:rsidR="00496C5A" w:rsidRPr="006935BC" w:rsidRDefault="00C55C59" w:rsidP="006935BC">
      <w:pPr>
        <w:pStyle w:val="CBDNormalNumber"/>
        <w:numPr>
          <w:ilvl w:val="0"/>
          <w:numId w:val="0"/>
        </w:numPr>
        <w:shd w:val="clear" w:color="auto" w:fill="FFFFFF"/>
        <w:ind w:left="567"/>
        <w:rPr>
          <w:rFonts w:asciiTheme="majorBidi" w:eastAsiaTheme="majorEastAsia" w:hAnsiTheme="majorBidi" w:cstheme="majorBidi"/>
          <w:bCs/>
        </w:rPr>
      </w:pPr>
      <w:r w:rsidRPr="006935BC">
        <w:rPr>
          <w:rFonts w:asciiTheme="majorBidi" w:eastAsiaTheme="majorEastAsia" w:hAnsiTheme="majorBidi" w:cstheme="majorBidi"/>
          <w:bCs/>
        </w:rPr>
        <w:t xml:space="preserve">Guidelines for indicator development are being prepared by GEO BON, with other partner organizations and groups (GBIF, OBIS, IUCN, IIFB, Birdlife and research centres and universities). </w:t>
      </w:r>
    </w:p>
    <w:p w14:paraId="642F2776" w14:textId="77777777" w:rsidR="00D32769" w:rsidRPr="006935BC" w:rsidRDefault="00C55C59" w:rsidP="006935BC">
      <w:pPr>
        <w:pStyle w:val="CBDNormalNumber"/>
        <w:numPr>
          <w:ilvl w:val="0"/>
          <w:numId w:val="0"/>
        </w:numPr>
        <w:shd w:val="clear" w:color="auto" w:fill="FFFFFF"/>
        <w:ind w:left="567"/>
        <w:rPr>
          <w:rFonts w:asciiTheme="majorBidi" w:eastAsiaTheme="majorEastAsia" w:hAnsiTheme="majorBidi" w:cstheme="majorBidi"/>
          <w:bCs/>
        </w:rPr>
      </w:pPr>
      <w:r w:rsidRPr="006935BC">
        <w:rPr>
          <w:rFonts w:asciiTheme="majorBidi" w:eastAsiaTheme="majorEastAsia" w:hAnsiTheme="majorBidi" w:cstheme="majorBidi"/>
          <w:bCs/>
        </w:rPr>
        <w:t>Secretariat of the Convention on Biological Diversity (SCBD)</w:t>
      </w:r>
    </w:p>
    <w:p w14:paraId="5D7903F4" w14:textId="7EC0126B" w:rsidR="00C55C59" w:rsidRPr="006935BC" w:rsidRDefault="00C55C59" w:rsidP="006935BC">
      <w:pPr>
        <w:pStyle w:val="CBDNormalNumber"/>
        <w:numPr>
          <w:ilvl w:val="0"/>
          <w:numId w:val="0"/>
        </w:numPr>
        <w:shd w:val="clear" w:color="auto" w:fill="FFFFFF"/>
        <w:ind w:left="567"/>
        <w:rPr>
          <w:rFonts w:asciiTheme="majorBidi" w:eastAsiaTheme="majorEastAsia" w:hAnsiTheme="majorBidi" w:cstheme="majorBidi"/>
          <w:bCs/>
        </w:rPr>
      </w:pPr>
      <w:r w:rsidRPr="006935BC">
        <w:rPr>
          <w:rFonts w:asciiTheme="majorBidi" w:eastAsiaTheme="majorEastAsia" w:hAnsiTheme="majorBidi" w:cstheme="majorBidi"/>
          <w:bCs/>
        </w:rPr>
        <w:t>Group on Earth Observations Biodiversity Observation Network (GEO BON)</w:t>
      </w:r>
    </w:p>
    <w:p w14:paraId="4C78E14B" w14:textId="77777777" w:rsidR="00C55C59" w:rsidRPr="006935BC" w:rsidRDefault="00C55C59" w:rsidP="00C55C59">
      <w:pPr>
        <w:rPr>
          <w:rFonts w:asciiTheme="majorBidi" w:eastAsiaTheme="majorEastAsia" w:hAnsiTheme="majorBidi" w:cstheme="majorBidi"/>
          <w:b/>
          <w:sz w:val="22"/>
          <w:szCs w:val="22"/>
          <w:lang w:val="en-GB"/>
        </w:rPr>
      </w:pPr>
      <w:r w:rsidRPr="006935BC">
        <w:rPr>
          <w:rFonts w:asciiTheme="majorBidi" w:eastAsiaTheme="majorEastAsia" w:hAnsiTheme="majorBidi" w:cstheme="majorBidi"/>
          <w:b/>
          <w:sz w:val="22"/>
          <w:szCs w:val="22"/>
          <w:lang w:val="en-GB"/>
        </w:rPr>
        <w:t>10b. Contact person(s)</w:t>
      </w:r>
    </w:p>
    <w:p w14:paraId="5467C7B9" w14:textId="77777777" w:rsidR="00C55C59" w:rsidRPr="00ED7E61" w:rsidRDefault="00C55C59" w:rsidP="006935BC">
      <w:pPr>
        <w:pStyle w:val="CBDNormalNumber"/>
        <w:numPr>
          <w:ilvl w:val="0"/>
          <w:numId w:val="0"/>
        </w:numPr>
        <w:shd w:val="clear" w:color="auto" w:fill="FFFFFF"/>
        <w:ind w:left="567"/>
        <w:rPr>
          <w:rFonts w:asciiTheme="majorBidi" w:eastAsiaTheme="majorEastAsia" w:hAnsiTheme="majorBidi" w:cstheme="majorBidi"/>
          <w:bCs/>
        </w:rPr>
      </w:pPr>
      <w:r w:rsidRPr="006935BC">
        <w:rPr>
          <w:rFonts w:asciiTheme="majorBidi" w:eastAsiaTheme="majorEastAsia" w:hAnsiTheme="majorBidi" w:cstheme="majorBidi"/>
          <w:bCs/>
        </w:rPr>
        <w:t>Andrew Gonzalez (</w:t>
      </w:r>
      <w:hyperlink r:id="rId606" w:history="1">
        <w:r w:rsidRPr="006935BC">
          <w:rPr>
            <w:rStyle w:val="Hyperlink"/>
            <w:rFonts w:asciiTheme="majorBidi" w:eastAsiaTheme="majorEastAsia" w:hAnsiTheme="majorBidi" w:cstheme="majorBidi"/>
            <w:bCs/>
          </w:rPr>
          <w:t>andrew.gonzalez@mcgill.ca</w:t>
        </w:r>
      </w:hyperlink>
      <w:r w:rsidRPr="006935BC">
        <w:rPr>
          <w:rFonts w:asciiTheme="majorBidi" w:eastAsiaTheme="majorEastAsia" w:hAnsiTheme="majorBidi" w:cstheme="majorBidi"/>
          <w:bCs/>
        </w:rPr>
        <w:t>), GEO BON; Jillian Campbell (</w:t>
      </w:r>
      <w:hyperlink r:id="rId607" w:history="1">
        <w:r w:rsidRPr="006935BC">
          <w:rPr>
            <w:rStyle w:val="Hyperlink"/>
            <w:rFonts w:asciiTheme="majorBidi" w:eastAsiaTheme="majorEastAsia" w:hAnsiTheme="majorBidi" w:cstheme="majorBidi"/>
            <w:bCs/>
          </w:rPr>
          <w:t>campbell7@un.org</w:t>
        </w:r>
      </w:hyperlink>
      <w:r w:rsidRPr="006935BC">
        <w:rPr>
          <w:rFonts w:asciiTheme="majorBidi" w:eastAsiaTheme="majorEastAsia" w:hAnsiTheme="majorBidi" w:cstheme="majorBidi"/>
          <w:bCs/>
        </w:rPr>
        <w:t>, SCBD</w:t>
      </w:r>
      <w:r w:rsidRPr="00ED7E61">
        <w:rPr>
          <w:rFonts w:asciiTheme="majorBidi" w:eastAsiaTheme="majorEastAsia" w:hAnsiTheme="majorBidi" w:cstheme="majorBidi"/>
          <w:bCs/>
        </w:rPr>
        <w:t>)</w:t>
      </w:r>
    </w:p>
    <w:p w14:paraId="2C65D701" w14:textId="77777777" w:rsidR="00C55C59" w:rsidRPr="009E462F" w:rsidRDefault="00C55C59" w:rsidP="005B0D1E">
      <w:pPr>
        <w:pStyle w:val="paragraph"/>
        <w:pBdr>
          <w:bottom w:val="single" w:sz="4" w:space="1" w:color="000000"/>
        </w:pBdr>
        <w:spacing w:before="0" w:beforeAutospacing="0" w:after="0" w:afterAutospacing="0"/>
        <w:textAlignment w:val="baseline"/>
        <w:rPr>
          <w:rFonts w:asciiTheme="majorBidi" w:eastAsiaTheme="majorEastAsia" w:hAnsiTheme="majorBidi" w:cstheme="majorBidi"/>
          <w:b/>
          <w:bCs/>
          <w:sz w:val="22"/>
          <w:szCs w:val="22"/>
          <w:lang w:val="fr-FR"/>
        </w:rPr>
      </w:pPr>
      <w:r w:rsidRPr="009E462F">
        <w:rPr>
          <w:rStyle w:val="normaltextrun"/>
          <w:rFonts w:eastAsiaTheme="majorEastAsia"/>
          <w:b/>
          <w:bCs/>
          <w:lang w:val="fr-FR"/>
        </w:rPr>
        <w:t>References</w:t>
      </w:r>
    </w:p>
    <w:p w14:paraId="462A10A2" w14:textId="77777777" w:rsidR="00BF7BC3" w:rsidRPr="00ED7E61" w:rsidRDefault="00BF7BC3" w:rsidP="006935BC">
      <w:pPr>
        <w:pStyle w:val="CBDNormalNumber"/>
        <w:numPr>
          <w:ilvl w:val="0"/>
          <w:numId w:val="0"/>
        </w:numPr>
        <w:shd w:val="clear" w:color="auto" w:fill="FFFFFF"/>
        <w:ind w:left="567"/>
        <w:rPr>
          <w:rFonts w:asciiTheme="majorBidi" w:hAnsiTheme="majorBidi" w:cstheme="majorBidi"/>
          <w:bCs/>
        </w:rPr>
      </w:pPr>
      <w:r w:rsidRPr="00FB1598">
        <w:rPr>
          <w:rFonts w:asciiTheme="majorBidi" w:eastAsiaTheme="majorEastAsia" w:hAnsiTheme="majorBidi" w:cstheme="majorBidi"/>
          <w:bCs/>
          <w:lang w:val="fr-FR"/>
        </w:rPr>
        <w:t>Ferrari</w:t>
      </w:r>
      <w:r w:rsidRPr="00ED7E61">
        <w:rPr>
          <w:rFonts w:asciiTheme="majorBidi" w:hAnsiTheme="majorBidi" w:cstheme="majorBidi"/>
          <w:bCs/>
          <w:lang w:val="fr-FR"/>
        </w:rPr>
        <w:t xml:space="preserve">, M. F. F. et al. </w:t>
      </w:r>
      <w:r w:rsidRPr="00ED7E61">
        <w:rPr>
          <w:rFonts w:asciiTheme="majorBidi" w:hAnsiTheme="majorBidi" w:cstheme="majorBidi"/>
          <w:bCs/>
        </w:rPr>
        <w:t>(2015) Community-based monitoring and information systems (CBMIS) in the context of the Convention on Biological Diversity (CBD). Biodiversity 16: 57-67.</w:t>
      </w:r>
    </w:p>
    <w:p w14:paraId="48EB984B" w14:textId="77777777" w:rsidR="00BF7BC3" w:rsidRPr="00ED7E61" w:rsidRDefault="00BF7BC3" w:rsidP="006935BC">
      <w:pPr>
        <w:pStyle w:val="CBDNormalNumber"/>
        <w:numPr>
          <w:ilvl w:val="0"/>
          <w:numId w:val="0"/>
        </w:numPr>
        <w:shd w:val="clear" w:color="auto" w:fill="FFFFFF"/>
        <w:ind w:left="567"/>
        <w:rPr>
          <w:rFonts w:asciiTheme="majorBidi" w:hAnsiTheme="majorBidi" w:cstheme="majorBidi"/>
          <w:bCs/>
        </w:rPr>
      </w:pPr>
      <w:r w:rsidRPr="00C9492A">
        <w:rPr>
          <w:rFonts w:asciiTheme="majorBidi" w:eastAsiaTheme="majorEastAsia" w:hAnsiTheme="majorBidi" w:cstheme="majorBidi"/>
          <w:bCs/>
        </w:rPr>
        <w:t>Ferrier</w:t>
      </w:r>
      <w:r w:rsidRPr="00ED7E61">
        <w:rPr>
          <w:rFonts w:asciiTheme="majorBidi" w:hAnsiTheme="majorBidi" w:cstheme="majorBidi"/>
          <w:bCs/>
        </w:rPr>
        <w:t xml:space="preserve">, S. et al. (2007) Using generalized dissimilarity modelling to analyse and predict patterns of beta diversity in regional biodiversity assessment. Diversity and Distributions, 13: 252-264. https://doi.org/10.1111/j.1472-4642.2007.00341.x  </w:t>
      </w:r>
    </w:p>
    <w:p w14:paraId="214C4363" w14:textId="77777777" w:rsidR="00BF7BC3" w:rsidRPr="00ED7E61" w:rsidRDefault="00BF7BC3" w:rsidP="006935BC">
      <w:pPr>
        <w:pStyle w:val="CBDNormalNumber"/>
        <w:numPr>
          <w:ilvl w:val="0"/>
          <w:numId w:val="0"/>
        </w:numPr>
        <w:shd w:val="clear" w:color="auto" w:fill="FFFFFF"/>
        <w:ind w:left="567"/>
        <w:rPr>
          <w:rFonts w:asciiTheme="majorBidi" w:hAnsiTheme="majorBidi" w:cstheme="majorBidi"/>
          <w:bCs/>
        </w:rPr>
      </w:pPr>
      <w:r w:rsidRPr="009E462F">
        <w:rPr>
          <w:rFonts w:asciiTheme="majorBidi" w:eastAsiaTheme="majorEastAsia" w:hAnsiTheme="majorBidi" w:cstheme="majorBidi"/>
          <w:bCs/>
          <w:lang w:val="en-US"/>
        </w:rPr>
        <w:t>Funk</w:t>
      </w:r>
      <w:r w:rsidRPr="009E462F">
        <w:rPr>
          <w:rFonts w:asciiTheme="majorBidi" w:hAnsiTheme="majorBidi" w:cstheme="majorBidi"/>
          <w:bCs/>
          <w:lang w:val="en-US"/>
        </w:rPr>
        <w:t xml:space="preserve">, V. A. et al. </w:t>
      </w:r>
      <w:r w:rsidRPr="00ED7E61">
        <w:rPr>
          <w:rFonts w:asciiTheme="majorBidi" w:hAnsiTheme="majorBidi" w:cstheme="majorBidi"/>
          <w:bCs/>
        </w:rPr>
        <w:t>(2005) Survey-gap analysis in expeditionary research: where do we go from here? Biological Journal for the Linnean Society 85: 549-567.</w:t>
      </w:r>
    </w:p>
    <w:p w14:paraId="27AD8FC7" w14:textId="77777777" w:rsidR="00BF7BC3" w:rsidRPr="00ED7E61" w:rsidRDefault="00BF7BC3" w:rsidP="006935BC">
      <w:pPr>
        <w:pStyle w:val="CBDNormalNumber"/>
        <w:numPr>
          <w:ilvl w:val="0"/>
          <w:numId w:val="0"/>
        </w:numPr>
        <w:shd w:val="clear" w:color="auto" w:fill="FFFFFF"/>
        <w:ind w:left="567"/>
        <w:rPr>
          <w:rFonts w:asciiTheme="majorBidi" w:hAnsiTheme="majorBidi" w:cstheme="majorBidi"/>
          <w:bCs/>
        </w:rPr>
      </w:pPr>
      <w:r w:rsidRPr="00C9492A">
        <w:rPr>
          <w:rFonts w:asciiTheme="majorBidi" w:eastAsiaTheme="majorEastAsia" w:hAnsiTheme="majorBidi" w:cstheme="majorBidi"/>
          <w:bCs/>
        </w:rPr>
        <w:t>Leung</w:t>
      </w:r>
      <w:r w:rsidRPr="00ED7E61">
        <w:rPr>
          <w:rFonts w:asciiTheme="majorBidi" w:hAnsiTheme="majorBidi" w:cstheme="majorBidi"/>
          <w:bCs/>
        </w:rPr>
        <w:t>, B. and Gonzalez, A (2024) Global monitoring for biodiversity: Uncertainty, risk, and power analyses to support trend change detection. Science Advances 10: eadj1448</w:t>
      </w:r>
    </w:p>
    <w:p w14:paraId="6A253C0F" w14:textId="77777777" w:rsidR="00BF7BC3" w:rsidRPr="00ED7E61" w:rsidRDefault="00BF7BC3" w:rsidP="006935BC">
      <w:pPr>
        <w:pStyle w:val="CBDNormalNumber"/>
        <w:numPr>
          <w:ilvl w:val="0"/>
          <w:numId w:val="0"/>
        </w:numPr>
        <w:shd w:val="clear" w:color="auto" w:fill="FFFFFF"/>
        <w:ind w:left="567"/>
        <w:rPr>
          <w:rFonts w:asciiTheme="majorBidi" w:hAnsiTheme="majorBidi" w:cstheme="majorBidi"/>
          <w:bCs/>
        </w:rPr>
      </w:pPr>
      <w:r w:rsidRPr="00ED7E61">
        <w:rPr>
          <w:rFonts w:asciiTheme="majorBidi" w:hAnsiTheme="majorBidi" w:cstheme="majorBidi"/>
          <w:bCs/>
        </w:rPr>
        <w:t xml:space="preserve">Moussy et al. (2022) A quantitative global review of species population monitoring. Conservation </w:t>
      </w:r>
      <w:r w:rsidRPr="00C9492A">
        <w:rPr>
          <w:rFonts w:asciiTheme="majorBidi" w:eastAsiaTheme="majorEastAsia" w:hAnsiTheme="majorBidi" w:cstheme="majorBidi"/>
          <w:bCs/>
        </w:rPr>
        <w:t>Biology</w:t>
      </w:r>
      <w:r w:rsidRPr="00ED7E61">
        <w:rPr>
          <w:rFonts w:asciiTheme="majorBidi" w:hAnsiTheme="majorBidi" w:cstheme="majorBidi"/>
          <w:bCs/>
        </w:rPr>
        <w:t xml:space="preserve"> 36: e13721</w:t>
      </w:r>
    </w:p>
    <w:p w14:paraId="41BF2BBC" w14:textId="113645EC" w:rsidR="00BE5207" w:rsidRPr="00ED7E61" w:rsidRDefault="00BF7BC3" w:rsidP="006935BC">
      <w:pPr>
        <w:pStyle w:val="CBDNormalNumber"/>
        <w:numPr>
          <w:ilvl w:val="0"/>
          <w:numId w:val="0"/>
        </w:numPr>
        <w:shd w:val="clear" w:color="auto" w:fill="FFFFFF"/>
        <w:ind w:left="567"/>
        <w:rPr>
          <w:rFonts w:asciiTheme="majorBidi" w:hAnsiTheme="majorBidi" w:cstheme="majorBidi"/>
          <w:bCs/>
        </w:rPr>
      </w:pPr>
      <w:r w:rsidRPr="00FB1598">
        <w:rPr>
          <w:rFonts w:asciiTheme="majorBidi" w:eastAsiaTheme="majorEastAsia" w:hAnsiTheme="majorBidi" w:cstheme="majorBidi"/>
          <w:bCs/>
          <w:lang w:val="fr-FR"/>
        </w:rPr>
        <w:t>Oliver</w:t>
      </w:r>
      <w:r w:rsidRPr="00ED7E61">
        <w:rPr>
          <w:rFonts w:asciiTheme="majorBidi" w:hAnsiTheme="majorBidi" w:cstheme="majorBidi"/>
          <w:bCs/>
          <w:lang w:val="fr-FR"/>
        </w:rPr>
        <w:t xml:space="preserve">, R. Y. et al. </w:t>
      </w:r>
      <w:r w:rsidRPr="00ED7E61">
        <w:rPr>
          <w:rFonts w:asciiTheme="majorBidi" w:hAnsiTheme="majorBidi" w:cstheme="majorBidi"/>
          <w:bCs/>
        </w:rPr>
        <w:t>(2021). Global and national trends, gaps, and opportunities in documenting and monitoring species distributions [Data set]. PLOS Biology. https://doi.org/10.48600/MOL-3Y3Z-DW77</w:t>
      </w:r>
    </w:p>
    <w:p w14:paraId="27E65540" w14:textId="77777777" w:rsidR="00C9506C" w:rsidRPr="00ED7E61" w:rsidRDefault="00C9506C">
      <w:pPr>
        <w:rPr>
          <w:rStyle w:val="normaltextrun"/>
          <w:rFonts w:asciiTheme="majorBidi" w:eastAsiaTheme="majorEastAsia" w:hAnsiTheme="majorBidi" w:cstheme="majorBidi"/>
          <w:bCs/>
          <w:sz w:val="22"/>
          <w:szCs w:val="22"/>
        </w:rPr>
      </w:pPr>
      <w:r w:rsidRPr="00ED7E61">
        <w:rPr>
          <w:rStyle w:val="normaltextrun"/>
          <w:rFonts w:asciiTheme="majorBidi" w:hAnsiTheme="majorBidi" w:cstheme="majorBidi"/>
          <w:bCs/>
          <w:sz w:val="22"/>
          <w:szCs w:val="22"/>
        </w:rPr>
        <w:br w:type="page"/>
      </w:r>
    </w:p>
    <w:p w14:paraId="3137468C" w14:textId="46AA5DA2" w:rsidR="00C9506C" w:rsidRPr="006935BC" w:rsidRDefault="00C9506C" w:rsidP="006935BC">
      <w:pPr>
        <w:pStyle w:val="Heading3"/>
      </w:pPr>
      <w:bookmarkStart w:id="79" w:name="_Toc178285883"/>
      <w:r w:rsidRPr="00ED7E61">
        <w:rPr>
          <w:rStyle w:val="normaltextrun"/>
        </w:rPr>
        <w:t xml:space="preserve">GBF indicator metadata: </w:t>
      </w:r>
      <w:r w:rsidRPr="00ED7E61">
        <w:rPr>
          <w:rStyle w:val="eop"/>
        </w:rPr>
        <w:t>22.b Target 22 binary indicator</w:t>
      </w:r>
      <w:bookmarkEnd w:id="79"/>
      <w:r w:rsidRPr="00ED7E61">
        <w:rPr>
          <w:rStyle w:val="eop"/>
        </w:rPr>
        <w:t xml:space="preserve"> </w:t>
      </w:r>
    </w:p>
    <w:p w14:paraId="309A42D9" w14:textId="77777777" w:rsidR="00C9506C" w:rsidRPr="00ED7E61" w:rsidRDefault="00C9506C" w:rsidP="006935BC">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014AE634" w14:textId="55E2D795" w:rsidR="00C9506C" w:rsidRPr="006935BC" w:rsidRDefault="00C9506C" w:rsidP="00C9506C">
      <w:pPr>
        <w:jc w:val="both"/>
        <w:rPr>
          <w:rFonts w:asciiTheme="majorBidi" w:hAnsiTheme="majorBidi" w:cstheme="majorBidi"/>
          <w:sz w:val="22"/>
          <w:szCs w:val="22"/>
        </w:rPr>
      </w:pPr>
      <w:r w:rsidRPr="00ED7E61">
        <w:rPr>
          <w:rFonts w:asciiTheme="majorBidi" w:hAnsiTheme="majorBidi" w:cstheme="majorBidi"/>
          <w:color w:val="000000" w:themeColor="text1"/>
          <w:sz w:val="22"/>
          <w:szCs w:val="22"/>
        </w:rPr>
        <w:t xml:space="preserve">Number of countries </w:t>
      </w:r>
      <w:r w:rsidR="00CE7236" w:rsidRPr="00ED7E61">
        <w:rPr>
          <w:rFonts w:asciiTheme="majorBidi" w:hAnsiTheme="majorBidi" w:cstheme="majorBidi"/>
          <w:color w:val="000000" w:themeColor="text1"/>
          <w:sz w:val="22"/>
          <w:szCs w:val="22"/>
        </w:rPr>
        <w:t>taking</w:t>
      </w:r>
      <w:r w:rsidRPr="00ED7E61">
        <w:rPr>
          <w:rFonts w:asciiTheme="majorBidi" w:hAnsiTheme="majorBidi" w:cstheme="majorBidi"/>
          <w:color w:val="000000" w:themeColor="text1"/>
          <w:sz w:val="22"/>
          <w:szCs w:val="22"/>
        </w:rPr>
        <w:t xml:space="preserve"> action towards </w:t>
      </w:r>
      <w:r w:rsidRPr="00ED7E61">
        <w:rPr>
          <w:rFonts w:asciiTheme="majorBidi" w:hAnsiTheme="majorBidi" w:cstheme="majorBidi"/>
          <w:sz w:val="22"/>
          <w:szCs w:val="22"/>
        </w:rPr>
        <w:t>the full, equitable, inclusive, effective and gender</w:t>
      </w:r>
      <w:r w:rsidRPr="00ED7E61">
        <w:rPr>
          <w:rFonts w:asciiTheme="majorBidi" w:hAnsiTheme="majorBidi" w:cstheme="majorBidi"/>
          <w:sz w:val="22"/>
          <w:szCs w:val="22"/>
        </w:rPr>
        <w:noBreakHyphen/>
        <w:t>responsive representation and participation,</w:t>
      </w:r>
      <w:r w:rsidRPr="00ED7E61">
        <w:rPr>
          <w:rFonts w:asciiTheme="majorBidi" w:hAnsiTheme="majorBidi"/>
          <w:sz w:val="22"/>
          <w:szCs w:val="22"/>
        </w:rPr>
        <w:t xml:space="preserve"> in decision</w:t>
      </w:r>
      <w:r w:rsidRPr="00ED7E61">
        <w:rPr>
          <w:rFonts w:asciiTheme="majorBidi" w:hAnsiTheme="majorBidi" w:cstheme="majorBidi"/>
          <w:sz w:val="22"/>
          <w:szCs w:val="22"/>
        </w:rPr>
        <w:t>-</w:t>
      </w:r>
      <w:r w:rsidRPr="00ED7E61">
        <w:rPr>
          <w:rFonts w:asciiTheme="majorBidi" w:hAnsiTheme="majorBidi"/>
          <w:sz w:val="22"/>
          <w:szCs w:val="22"/>
        </w:rPr>
        <w:t>making</w:t>
      </w:r>
      <w:r w:rsidRPr="00ED7E61">
        <w:rPr>
          <w:rFonts w:asciiTheme="majorBidi" w:hAnsiTheme="majorBidi" w:cstheme="majorBidi"/>
          <w:sz w:val="22"/>
          <w:szCs w:val="22"/>
        </w:rPr>
        <w:t>,</w:t>
      </w:r>
      <w:r w:rsidRPr="00ED7E61">
        <w:rPr>
          <w:rFonts w:asciiTheme="majorBidi" w:hAnsiTheme="majorBidi"/>
          <w:sz w:val="22"/>
          <w:szCs w:val="22"/>
        </w:rPr>
        <w:t xml:space="preserve"> and access to justice and information related to biodiversity</w:t>
      </w:r>
      <w:r w:rsidRPr="00ED7E61">
        <w:rPr>
          <w:rFonts w:asciiTheme="majorBidi" w:hAnsiTheme="majorBidi" w:cstheme="majorBidi"/>
          <w:sz w:val="22"/>
          <w:szCs w:val="22"/>
        </w:rPr>
        <w:t xml:space="preserve"> by</w:t>
      </w:r>
      <w:r w:rsidRPr="00ED7E61">
        <w:rPr>
          <w:rFonts w:asciiTheme="majorBidi" w:hAnsiTheme="majorBidi"/>
          <w:sz w:val="22"/>
          <w:szCs w:val="22"/>
        </w:rPr>
        <w:t xml:space="preserve"> indigenous peoples and local communities, respecting</w:t>
      </w:r>
      <w:r w:rsidRPr="00ED7E61">
        <w:rPr>
          <w:rFonts w:asciiTheme="majorBidi" w:hAnsiTheme="majorBidi" w:cstheme="majorBidi"/>
          <w:color w:val="000000" w:themeColor="text1"/>
          <w:sz w:val="22"/>
          <w:szCs w:val="22"/>
        </w:rPr>
        <w:t xml:space="preserve"> their cultures and their rights over lands, territories, resources, and traditional knowledge, as well as by women and girls, children and youth and persons with disabilities, and the full protection of environmental human rights defenders.</w:t>
      </w:r>
      <w:r w:rsidRPr="00ED7E61">
        <w:rPr>
          <w:rFonts w:asciiTheme="majorBidi" w:hAnsiTheme="majorBidi" w:cstheme="majorBidi"/>
          <w:sz w:val="22"/>
          <w:szCs w:val="22"/>
        </w:rPr>
        <w:t xml:space="preserve"> </w:t>
      </w:r>
    </w:p>
    <w:p w14:paraId="316E0181" w14:textId="5531679C" w:rsidR="00C9506C" w:rsidRPr="00ED7E61" w:rsidRDefault="00C9506C" w:rsidP="006935BC">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Goals</w:t>
      </w:r>
      <w:r w:rsidR="0047231C">
        <w:rPr>
          <w:rFonts w:asciiTheme="majorBidi" w:hAnsiTheme="majorBidi" w:cstheme="majorBidi"/>
          <w:b/>
          <w:bCs/>
          <w:sz w:val="22"/>
          <w:szCs w:val="22"/>
        </w:rPr>
        <w:t xml:space="preserve"> a</w:t>
      </w:r>
      <w:r w:rsidRPr="00ED7E61">
        <w:rPr>
          <w:rFonts w:asciiTheme="majorBidi" w:hAnsiTheme="majorBidi" w:cstheme="majorBidi"/>
          <w:b/>
          <w:bCs/>
          <w:sz w:val="22"/>
          <w:szCs w:val="22"/>
        </w:rPr>
        <w:t>nd Targets Addressed</w:t>
      </w:r>
    </w:p>
    <w:p w14:paraId="643C7692" w14:textId="77777777" w:rsidR="00C9506C" w:rsidRPr="00ED7E61" w:rsidRDefault="00C9506C" w:rsidP="00C9506C">
      <w:pPr>
        <w:jc w:val="both"/>
        <w:rPr>
          <w:rFonts w:asciiTheme="majorBidi" w:hAnsiTheme="majorBidi" w:cstheme="majorBidi"/>
          <w:b/>
          <w:bCs/>
          <w:sz w:val="22"/>
          <w:szCs w:val="22"/>
        </w:rPr>
      </w:pPr>
    </w:p>
    <w:p w14:paraId="7E9DBA08"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03F6B826" w14:textId="77777777" w:rsidR="00C9506C" w:rsidRPr="00ED7E61" w:rsidRDefault="00C9506C" w:rsidP="00C9506C">
      <w:pPr>
        <w:jc w:val="both"/>
        <w:rPr>
          <w:rFonts w:asciiTheme="majorBidi" w:hAnsiTheme="majorBidi" w:cstheme="majorBidi"/>
          <w:color w:val="242424"/>
          <w:sz w:val="22"/>
          <w:szCs w:val="22"/>
        </w:rPr>
      </w:pPr>
      <w:r w:rsidRPr="00ED7E61">
        <w:rPr>
          <w:rFonts w:asciiTheme="majorBidi" w:hAnsiTheme="majorBidi" w:cstheme="majorBidi"/>
          <w:color w:val="242424"/>
          <w:sz w:val="22"/>
          <w:szCs w:val="22"/>
        </w:rPr>
        <w:t>N/A</w:t>
      </w:r>
    </w:p>
    <w:p w14:paraId="2B034B5E" w14:textId="77777777" w:rsidR="00C9506C" w:rsidRPr="00ED7E61" w:rsidRDefault="00C9506C" w:rsidP="00C9506C">
      <w:pPr>
        <w:jc w:val="both"/>
        <w:rPr>
          <w:rFonts w:asciiTheme="majorBidi" w:hAnsiTheme="majorBidi" w:cstheme="majorBidi"/>
          <w:sz w:val="22"/>
          <w:szCs w:val="22"/>
        </w:rPr>
      </w:pPr>
    </w:p>
    <w:p w14:paraId="386F2C84"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b/>
          <w:bCs/>
          <w:sz w:val="22"/>
          <w:szCs w:val="22"/>
        </w:rPr>
        <w:t>Target</w:t>
      </w:r>
    </w:p>
    <w:p w14:paraId="03809421" w14:textId="16D27B5F"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sz w:val="22"/>
          <w:szCs w:val="22"/>
        </w:rPr>
        <w:t>Binary indicator for Target 22. Ensure the full, equitable, inclusive, effective and gender-responsive representation and participation in decision-making, and access to justice and information related to biodiversity by indigenous peoples and local communities, respecting their cultures and their rights over lands, territories, resources, and traditional knowledge, as well as by women and girls, children and youth, and persons with disabilities and ensure the full protection of environmental human rights defenders.</w:t>
      </w:r>
    </w:p>
    <w:p w14:paraId="76BF77D9" w14:textId="77777777" w:rsidR="00C9506C" w:rsidRPr="00ED7E61" w:rsidRDefault="00C9506C" w:rsidP="006935BC">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01ED850F" w14:textId="61AF0A49" w:rsidR="00AC3A5E" w:rsidRPr="00ED7E61" w:rsidRDefault="00C9506C" w:rsidP="00B10F0C">
      <w:pPr>
        <w:pStyle w:val="CBDNormalNumber"/>
        <w:numPr>
          <w:ilvl w:val="0"/>
          <w:numId w:val="97"/>
        </w:numPr>
        <w:shd w:val="clear" w:color="auto" w:fill="FFFFFF"/>
        <w:tabs>
          <w:tab w:val="clear" w:pos="1701"/>
        </w:tabs>
        <w:ind w:left="567" w:hanging="24"/>
        <w:rPr>
          <w:rFonts w:asciiTheme="majorBidi" w:hAnsiTheme="majorBidi" w:cstheme="majorBidi"/>
        </w:rPr>
      </w:pPr>
      <w:r w:rsidRPr="00C9492A">
        <w:rPr>
          <w:rFonts w:asciiTheme="majorBidi" w:eastAsiaTheme="majorEastAsia" w:hAnsiTheme="majorBidi" w:cstheme="majorBidi"/>
          <w:bCs/>
        </w:rPr>
        <w:t>Indigenous</w:t>
      </w:r>
      <w:r w:rsidRPr="00ED7E61">
        <w:rPr>
          <w:rFonts w:asciiTheme="majorBidi" w:hAnsiTheme="majorBidi" w:cstheme="majorBidi"/>
        </w:rPr>
        <w:t xml:space="preserve"> peoples and local communities  have a cultural and holistic understanding of nature based on their traditional knowledge, practices and innovation. This information and understanding of biodiversity in turn play a crucial role in the conservation and sustainable use of biodiversity. The insights of indigenous peoples and local communities on local ecosystems play a fundamental role in developing conservation initiatives that integrate cultural values and traditional governance systems, including sustainable use such as resource management techniques, traditional hunting and fishing, and elective harvesting. Further, their lands encompass diverse ecosystems, ranging from forests and wetlands to mountains and coastal areas with high concentrations of biodiversity and often promote sustainable land use, including agroforestry, rotational farming and community-based conservation management systems. Involving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 xml:space="preserve">ommunities </w:t>
      </w:r>
      <w:r w:rsidRPr="00ED7E61">
        <w:rPr>
          <w:rFonts w:asciiTheme="majorBidi" w:hAnsiTheme="majorBidi" w:cstheme="majorBidi"/>
        </w:rPr>
        <w:t xml:space="preserve">in biodiversity conservation and sustainable use, and the recognition of their perspectives and expertise can contribute to the development of context-specific and effective conservation and sustainable use strategies. This participation of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 xml:space="preserve">ommunities </w:t>
      </w:r>
      <w:r w:rsidRPr="00ED7E61">
        <w:rPr>
          <w:rFonts w:asciiTheme="majorBidi" w:hAnsiTheme="majorBidi" w:cstheme="majorBidi"/>
        </w:rPr>
        <w:t>must further be done in a way that respects their cultures and their rights over lands, territories, resources, and traditional knowledge, promoting access to justice and information in the process. Only through full, equitable, inclusive, effective and gender-responsive representation and participation can the goals of target 22 and the Framework be fully achieved.</w:t>
      </w:r>
    </w:p>
    <w:p w14:paraId="4762D78F" w14:textId="58989257" w:rsidR="00AC3A5E" w:rsidRPr="00ED7E61" w:rsidRDefault="00C9506C" w:rsidP="00B10F0C">
      <w:pPr>
        <w:pStyle w:val="CBDNormalNumber"/>
        <w:numPr>
          <w:ilvl w:val="0"/>
          <w:numId w:val="97"/>
        </w:numPr>
        <w:shd w:val="clear" w:color="auto" w:fill="FFFFFF"/>
        <w:ind w:left="567" w:firstLine="0"/>
      </w:pPr>
      <w:r w:rsidRPr="00C9492A">
        <w:rPr>
          <w:rFonts w:asciiTheme="majorBidi" w:eastAsiaTheme="majorEastAsia" w:hAnsiTheme="majorBidi" w:cstheme="majorBidi"/>
          <w:bCs/>
        </w:rPr>
        <w:t>The</w:t>
      </w:r>
      <w:r w:rsidRPr="00ED7E61">
        <w:t xml:space="preserve"> target also recognizes the importance of meaningful participation</w:t>
      </w:r>
      <w:r w:rsidRPr="00ED7E61">
        <w:rPr>
          <w:rFonts w:eastAsia="Garamond"/>
        </w:rPr>
        <w:t xml:space="preserve"> in decision-making, access to justice, and access to information</w:t>
      </w:r>
      <w:r w:rsidRPr="00ED7E61">
        <w:t xml:space="preserve"> of women and girls, as well as the inclusion of children, youth and persons with disabilities. </w:t>
      </w:r>
      <w:r w:rsidRPr="00ED7E61">
        <w:rPr>
          <w:rFonts w:eastAsia="Garamond"/>
        </w:rPr>
        <w:t xml:space="preserve">This indicator can provide a picture of the processes and means that countries have put in place to promote these rights, toward empowering these groups to actively contribute to biodiversity conservation and sustainable use and promoting social equity for groups in vulnerable situations. It also highlights the need to protect environmental human rights defenders as they are at the forefront of protecting biodiversity by monitoring and exposing environmental violations, promoting sustainable practices and advocating for a human rights-based approach to conservation efforts. Many environmental defenders face threats to their lives and safety in the face of doing this work. As such, this indicator tracks the progress of national efforts towards the protection of these groups. </w:t>
      </w:r>
    </w:p>
    <w:p w14:paraId="45D9D143" w14:textId="77777777" w:rsidR="00C9506C" w:rsidRPr="00ED7E61" w:rsidRDefault="00C9506C" w:rsidP="00B10F0C">
      <w:pPr>
        <w:pStyle w:val="CBDNormalNumber"/>
        <w:numPr>
          <w:ilvl w:val="0"/>
          <w:numId w:val="97"/>
        </w:numPr>
        <w:shd w:val="clear" w:color="auto" w:fill="FFFFFF"/>
        <w:ind w:left="567" w:firstLine="0"/>
      </w:pPr>
      <w:r w:rsidRPr="00C9492A">
        <w:rPr>
          <w:rFonts w:asciiTheme="majorBidi" w:eastAsiaTheme="majorEastAsia" w:hAnsiTheme="majorBidi" w:cstheme="majorBidi"/>
          <w:bCs/>
        </w:rPr>
        <w:t>The</w:t>
      </w:r>
      <w:r w:rsidRPr="00ED7E61">
        <w:t xml:space="preserve"> elements reflected in this binary indicator are cross-cutting in nature and relate to several aspects in Section C of the Kunming-Montreal Global Biodiversity Framework, including the contributions and rights of indigenous peoples and local communities, whole-of-society approach, intergenerational equity, gender, and a human rights-based approach.</w:t>
      </w:r>
    </w:p>
    <w:p w14:paraId="09260E6C" w14:textId="40F5C4EB"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CE7236">
        <w:rPr>
          <w:rFonts w:asciiTheme="majorBidi" w:hAnsiTheme="majorBidi" w:cstheme="majorBidi"/>
          <w:b/>
          <w:bCs/>
          <w:sz w:val="22"/>
          <w:szCs w:val="22"/>
        </w:rPr>
        <w:t>a</w:t>
      </w:r>
      <w:r w:rsidRPr="00ED7E61">
        <w:rPr>
          <w:rFonts w:asciiTheme="majorBidi" w:hAnsiTheme="majorBidi" w:cstheme="majorBidi"/>
          <w:b/>
          <w:bCs/>
          <w:sz w:val="22"/>
          <w:szCs w:val="22"/>
        </w:rPr>
        <w:t>nd Classifications</w:t>
      </w:r>
    </w:p>
    <w:p w14:paraId="14040C7F" w14:textId="77777777" w:rsidR="00C9506C" w:rsidRPr="00ED7E61" w:rsidRDefault="00C9506C" w:rsidP="006935BC">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1D47DE6B" w14:textId="46946A3A" w:rsidR="002F5C29" w:rsidRPr="00ED7E61" w:rsidRDefault="00C9506C" w:rsidP="00B10F0C">
      <w:pPr>
        <w:pStyle w:val="CBDNormalNumber"/>
        <w:numPr>
          <w:ilvl w:val="0"/>
          <w:numId w:val="97"/>
        </w:numPr>
        <w:shd w:val="clear" w:color="auto" w:fill="FFFFFF"/>
        <w:ind w:left="567" w:firstLine="0"/>
        <w:rPr>
          <w:rFonts w:asciiTheme="majorBidi" w:eastAsia="Garamond" w:hAnsiTheme="majorBidi" w:cstheme="majorBidi"/>
        </w:rPr>
      </w:pPr>
      <w:r w:rsidRPr="00C9492A">
        <w:rPr>
          <w:rFonts w:asciiTheme="majorBidi" w:eastAsiaTheme="majorEastAsia" w:hAnsiTheme="majorBidi" w:cstheme="majorBidi"/>
          <w:bCs/>
        </w:rPr>
        <w:t>Full</w:t>
      </w:r>
      <w:r w:rsidRPr="00ED7E61">
        <w:rPr>
          <w:rFonts w:asciiTheme="majorBidi" w:hAnsiTheme="majorBidi" w:cstheme="majorBidi"/>
          <w:i/>
          <w:iCs/>
        </w:rPr>
        <w:t xml:space="preserve"> </w:t>
      </w:r>
      <w:r w:rsidRPr="00ED7E61">
        <w:rPr>
          <w:rFonts w:asciiTheme="majorBidi" w:hAnsiTheme="majorBidi" w:cstheme="majorBidi"/>
        </w:rPr>
        <w:t>protection</w:t>
      </w:r>
      <w:r w:rsidRPr="00ED7E61">
        <w:rPr>
          <w:rFonts w:asciiTheme="majorBidi" w:hAnsiTheme="majorBidi" w:cstheme="majorBidi"/>
          <w:color w:val="000000" w:themeColor="text1"/>
        </w:rPr>
        <w:t>: M</w:t>
      </w:r>
      <w:r w:rsidRPr="00ED7E61">
        <w:rPr>
          <w:rFonts w:asciiTheme="majorBidi" w:eastAsia="Garamond" w:hAnsiTheme="majorBidi" w:cstheme="majorBidi"/>
        </w:rPr>
        <w:t>easures that can be taken to safeguard individuals or groups who work to protect the environment, advocate for environmental justice, and defend the rights of indigenous peoples and local communities. Key aspects of protecting environmental human rights defenders could include but are not limited to: preventing violence and intimidation by providing legal protection, effective remedies and secure exercise of their rights free from reprisals and retaliation and raising awareness about the important role of environmental human rights defenders.</w:t>
      </w:r>
    </w:p>
    <w:p w14:paraId="2D261096" w14:textId="0971FF51" w:rsidR="002F5C29" w:rsidRPr="00ED7E61" w:rsidRDefault="00C9506C" w:rsidP="00B10F0C">
      <w:pPr>
        <w:pStyle w:val="CBDNormalNumber"/>
        <w:numPr>
          <w:ilvl w:val="0"/>
          <w:numId w:val="97"/>
        </w:numPr>
        <w:shd w:val="clear" w:color="auto" w:fill="FFFFFF"/>
        <w:ind w:left="567" w:firstLine="0"/>
        <w:rPr>
          <w:rFonts w:asciiTheme="majorBidi" w:hAnsiTheme="majorBidi" w:cstheme="majorBidi"/>
        </w:rPr>
      </w:pPr>
      <w:r w:rsidRPr="00ED7E61">
        <w:rPr>
          <w:rFonts w:asciiTheme="majorBidi" w:eastAsia="Garamond" w:hAnsiTheme="majorBidi" w:cstheme="majorBidi"/>
        </w:rPr>
        <w:t>Human rights defenders</w:t>
      </w:r>
      <w:r w:rsidRPr="00ED7E61">
        <w:rPr>
          <w:rFonts w:asciiTheme="majorBidi" w:eastAsia="Garamond" w:hAnsiTheme="majorBidi" w:cstheme="majorBidi"/>
          <w:i/>
          <w:iCs/>
        </w:rPr>
        <w:t xml:space="preserve">: </w:t>
      </w:r>
      <w:r w:rsidRPr="00ED7E61">
        <w:rPr>
          <w:rFonts w:asciiTheme="majorBidi" w:eastAsia="Garamond" w:hAnsiTheme="majorBidi" w:cstheme="majorBidi"/>
        </w:rPr>
        <w:t xml:space="preserve">everyone exercising their right, individually and in association with </w:t>
      </w:r>
      <w:r w:rsidRPr="00C9492A">
        <w:rPr>
          <w:rFonts w:asciiTheme="majorBidi" w:eastAsiaTheme="majorEastAsia" w:hAnsiTheme="majorBidi" w:cstheme="majorBidi"/>
          <w:bCs/>
        </w:rPr>
        <w:t>others</w:t>
      </w:r>
      <w:r w:rsidRPr="00ED7E61">
        <w:rPr>
          <w:rFonts w:asciiTheme="majorBidi" w:eastAsia="Garamond" w:hAnsiTheme="majorBidi" w:cstheme="majorBidi"/>
        </w:rPr>
        <w:t>, to promote and to strive for the protection and realization of human rights and fundamental freedoms at national and international levels, including trade unionists and some journalists. (UN Declaration on Human Rights Defenders, A/Res/53/144)</w:t>
      </w:r>
    </w:p>
    <w:p w14:paraId="6DA28E43" w14:textId="17F56C1F" w:rsidR="002F5C29" w:rsidRPr="00ED7E61"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C9492A">
        <w:rPr>
          <w:rFonts w:asciiTheme="majorBidi" w:eastAsia="Garamond" w:hAnsiTheme="majorBidi" w:cstheme="majorBidi"/>
        </w:rPr>
        <w:t>Environmental</w:t>
      </w:r>
      <w:r w:rsidRPr="00ED7E61">
        <w:rPr>
          <w:rFonts w:asciiTheme="majorBidi" w:eastAsia="Garamond" w:hAnsiTheme="majorBidi" w:cstheme="majorBidi"/>
          <w:color w:val="000000" w:themeColor="text1"/>
        </w:rPr>
        <w:t xml:space="preserve"> human rights defenders</w:t>
      </w:r>
      <w:r w:rsidRPr="00ED7E61">
        <w:rPr>
          <w:rFonts w:asciiTheme="majorBidi" w:eastAsia="Garamond" w:hAnsiTheme="majorBidi" w:cstheme="majorBidi"/>
          <w:b/>
          <w:bCs/>
          <w:color w:val="000000" w:themeColor="text1"/>
        </w:rPr>
        <w:t>:</w:t>
      </w:r>
      <w:r w:rsidRPr="00ED7E61">
        <w:rPr>
          <w:rFonts w:asciiTheme="majorBidi" w:eastAsia="Garamond" w:hAnsiTheme="majorBidi" w:cstheme="majorBidi"/>
          <w:color w:val="000000" w:themeColor="text1"/>
        </w:rPr>
        <w:t xml:space="preserve"> </w:t>
      </w:r>
      <w:r w:rsidRPr="00ED7E61">
        <w:rPr>
          <w:rFonts w:asciiTheme="majorBidi" w:hAnsiTheme="majorBidi" w:cstheme="majorBidi"/>
          <w:lang w:val="en-US"/>
        </w:rPr>
        <w:t>Individuals and groups who, in their personal or professional capacity and in a peaceful manner, strive to protect and promote human rights relating to the environment, including water, air, land, flora and fauna (UNEP</w:t>
      </w:r>
      <w:r w:rsidR="002F5C29" w:rsidRPr="00ED7E61">
        <w:rPr>
          <w:rFonts w:asciiTheme="majorBidi" w:hAnsiTheme="majorBidi" w:cstheme="majorBidi"/>
          <w:lang w:val="en-US"/>
        </w:rPr>
        <w:t>)</w:t>
      </w:r>
    </w:p>
    <w:p w14:paraId="326ED40D" w14:textId="14DE7461" w:rsidR="002F5C29" w:rsidRPr="00ED7E61" w:rsidRDefault="00C9506C" w:rsidP="00B10F0C">
      <w:pPr>
        <w:pStyle w:val="CBDNormalNumber"/>
        <w:numPr>
          <w:ilvl w:val="0"/>
          <w:numId w:val="97"/>
        </w:numPr>
        <w:shd w:val="clear" w:color="auto" w:fill="FFFFFF"/>
        <w:ind w:left="567" w:firstLine="0"/>
        <w:rPr>
          <w:rFonts w:asciiTheme="majorBidi" w:hAnsiTheme="majorBidi" w:cstheme="majorBidi"/>
        </w:rPr>
      </w:pPr>
      <w:r w:rsidRPr="00C9492A">
        <w:rPr>
          <w:rFonts w:asciiTheme="majorBidi" w:eastAsia="Garamond" w:hAnsiTheme="majorBidi" w:cstheme="majorBidi"/>
        </w:rPr>
        <w:t>Children</w:t>
      </w:r>
      <w:r w:rsidRPr="00ED7E61">
        <w:rPr>
          <w:rFonts w:asciiTheme="majorBidi" w:hAnsiTheme="majorBidi" w:cstheme="majorBidi"/>
        </w:rPr>
        <w:t>: A child is recognized as a person under 18, unless national laws recognize the age of majority earlier.</w:t>
      </w:r>
    </w:p>
    <w:p w14:paraId="0C044E21" w14:textId="5E664D43" w:rsidR="002F5C29" w:rsidRPr="00ED7E61" w:rsidRDefault="00C9506C" w:rsidP="00B10F0C">
      <w:pPr>
        <w:pStyle w:val="CBDNormalNumber"/>
        <w:numPr>
          <w:ilvl w:val="0"/>
          <w:numId w:val="97"/>
        </w:numPr>
        <w:shd w:val="clear" w:color="auto" w:fill="FFFFFF"/>
        <w:ind w:left="567" w:firstLine="0"/>
        <w:rPr>
          <w:rFonts w:asciiTheme="majorBidi" w:hAnsiTheme="majorBidi" w:cstheme="majorBidi"/>
        </w:rPr>
      </w:pPr>
      <w:r w:rsidRPr="00C9492A">
        <w:rPr>
          <w:rFonts w:asciiTheme="majorBidi" w:eastAsia="Garamond" w:hAnsiTheme="majorBidi" w:cstheme="majorBidi"/>
        </w:rPr>
        <w:t>Youth</w:t>
      </w:r>
      <w:r w:rsidRPr="00ED7E61">
        <w:rPr>
          <w:rFonts w:asciiTheme="majorBidi" w:hAnsiTheme="majorBidi" w:cstheme="majorBidi"/>
        </w:rPr>
        <w:t xml:space="preserve">: There is no universally agreed international definition of the youth age group. For statistical purposes, however, the United Nations—without prejudice to any other definitions made by Member States—defines </w:t>
      </w:r>
      <w:r w:rsidR="00D20B01">
        <w:rPr>
          <w:rFonts w:asciiTheme="majorBidi" w:hAnsiTheme="majorBidi" w:cstheme="majorBidi"/>
        </w:rPr>
        <w:t>“</w:t>
      </w:r>
      <w:r w:rsidRPr="00FB1598">
        <w:rPr>
          <w:rFonts w:asciiTheme="majorBidi" w:hAnsiTheme="majorBidi" w:cstheme="majorBidi"/>
          <w:i/>
          <w:iCs/>
        </w:rPr>
        <w:t>youth</w:t>
      </w:r>
      <w:r w:rsidR="00D20B01">
        <w:rPr>
          <w:rFonts w:asciiTheme="majorBidi" w:hAnsiTheme="majorBidi" w:cstheme="majorBidi"/>
        </w:rPr>
        <w:t>”</w:t>
      </w:r>
      <w:r w:rsidRPr="00ED7E61">
        <w:rPr>
          <w:rFonts w:asciiTheme="majorBidi" w:hAnsiTheme="majorBidi" w:cstheme="majorBidi"/>
        </w:rPr>
        <w:t xml:space="preserve"> as those persons between the ages of 15 and 24 years. This definition, which arose in the context of preparations for the </w:t>
      </w:r>
      <w:hyperlink r:id="rId608">
        <w:r w:rsidRPr="00ED7E61">
          <w:rPr>
            <w:rStyle w:val="Hyperlink"/>
            <w:rFonts w:asciiTheme="majorBidi" w:eastAsiaTheme="majorEastAsia" w:hAnsiTheme="majorBidi" w:cstheme="majorBidi"/>
          </w:rPr>
          <w:t>International Youth Year</w:t>
        </w:r>
      </w:hyperlink>
      <w:r w:rsidRPr="00ED7E61">
        <w:rPr>
          <w:rFonts w:asciiTheme="majorBidi" w:hAnsiTheme="majorBidi" w:cstheme="majorBidi"/>
        </w:rPr>
        <w:t xml:space="preserve"> (1985) (see </w:t>
      </w:r>
      <w:hyperlink r:id="rId609">
        <w:r w:rsidRPr="00ED7E61">
          <w:rPr>
            <w:rStyle w:val="Hyperlink"/>
            <w:rFonts w:asciiTheme="majorBidi" w:eastAsiaTheme="majorEastAsia" w:hAnsiTheme="majorBidi" w:cstheme="majorBidi"/>
          </w:rPr>
          <w:t>A/36/215</w:t>
        </w:r>
      </w:hyperlink>
      <w:r w:rsidRPr="00ED7E61">
        <w:rPr>
          <w:rFonts w:asciiTheme="majorBidi" w:hAnsiTheme="majorBidi" w:cstheme="majorBidi"/>
        </w:rPr>
        <w:t xml:space="preserve">), was endorsed by the General Assembly in its resolution </w:t>
      </w:r>
      <w:hyperlink r:id="rId610">
        <w:r w:rsidRPr="00ED7E61">
          <w:rPr>
            <w:rStyle w:val="Hyperlink"/>
            <w:rFonts w:asciiTheme="majorBidi" w:eastAsiaTheme="majorEastAsia" w:hAnsiTheme="majorBidi" w:cstheme="majorBidi"/>
          </w:rPr>
          <w:t>36/28</w:t>
        </w:r>
      </w:hyperlink>
      <w:r w:rsidRPr="00ED7E61">
        <w:rPr>
          <w:rFonts w:asciiTheme="majorBidi" w:hAnsiTheme="majorBidi" w:cstheme="majorBidi"/>
        </w:rPr>
        <w:t xml:space="preserve"> of 1981. All UN statistics on youth are based on this definition, as is reflected in the annual yearbooks of statistics published by the </w:t>
      </w:r>
      <w:hyperlink r:id="rId611">
        <w:r w:rsidRPr="00ED7E61">
          <w:rPr>
            <w:rStyle w:val="Hyperlink"/>
            <w:rFonts w:asciiTheme="majorBidi" w:eastAsiaTheme="majorEastAsia" w:hAnsiTheme="majorBidi" w:cstheme="majorBidi"/>
          </w:rPr>
          <w:t>UN system</w:t>
        </w:r>
      </w:hyperlink>
      <w:r w:rsidRPr="00ED7E61">
        <w:rPr>
          <w:rFonts w:asciiTheme="majorBidi" w:hAnsiTheme="majorBidi" w:cstheme="majorBidi"/>
        </w:rPr>
        <w:t xml:space="preserve"> on demography, education, employment and health.</w:t>
      </w:r>
    </w:p>
    <w:p w14:paraId="6C917329" w14:textId="4A20E17D" w:rsidR="002F5C29" w:rsidRPr="00ED7E61" w:rsidRDefault="00C9506C" w:rsidP="00B10F0C">
      <w:pPr>
        <w:pStyle w:val="CBDNormalNumber"/>
        <w:numPr>
          <w:ilvl w:val="0"/>
          <w:numId w:val="97"/>
        </w:numPr>
        <w:shd w:val="clear" w:color="auto" w:fill="FFFFFF"/>
        <w:ind w:left="567" w:firstLine="0"/>
        <w:rPr>
          <w:rFonts w:asciiTheme="majorBidi" w:hAnsiTheme="majorBidi" w:cstheme="majorBidi"/>
        </w:rPr>
      </w:pPr>
      <w:r w:rsidRPr="00C9492A">
        <w:rPr>
          <w:rFonts w:asciiTheme="majorBidi" w:eastAsia="Garamond" w:hAnsiTheme="majorBidi" w:cstheme="majorBidi"/>
        </w:rPr>
        <w:t>Persons</w:t>
      </w:r>
      <w:r w:rsidRPr="00ED7E61">
        <w:rPr>
          <w:rFonts w:asciiTheme="majorBidi" w:hAnsiTheme="majorBidi" w:cstheme="majorBidi"/>
        </w:rPr>
        <w:t xml:space="preserve"> with disabilities: Persons with disabilities include those who have long-term physical, mental, intellectual or sensory impairments which in interaction with various barriers may hinder their full and effective participation in society on an equal basis with others.</w:t>
      </w:r>
    </w:p>
    <w:p w14:paraId="2DAC0E91" w14:textId="4419B324" w:rsidR="00752C1F" w:rsidRPr="00ED7E61"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C9492A">
        <w:rPr>
          <w:rFonts w:asciiTheme="majorBidi" w:eastAsia="Garamond" w:hAnsiTheme="majorBidi" w:cstheme="majorBidi"/>
        </w:rPr>
        <w:t>Gender</w:t>
      </w:r>
      <w:r w:rsidRPr="00ED7E61">
        <w:rPr>
          <w:rFonts w:asciiTheme="majorBidi" w:hAnsiTheme="majorBidi" w:cstheme="majorBidi"/>
        </w:rPr>
        <w:t xml:space="preserve">-responsive: </w:t>
      </w:r>
      <w:r w:rsidRPr="00ED7E61">
        <w:rPr>
          <w:rFonts w:asciiTheme="majorBidi" w:hAnsiTheme="majorBidi" w:cstheme="majorBidi"/>
          <w:lang w:val="en-US"/>
        </w:rPr>
        <w:t xml:space="preserve">A gender responsive approach is one that moves beyond </w:t>
      </w:r>
      <w:r w:rsidR="00D20B01">
        <w:rPr>
          <w:rFonts w:asciiTheme="majorBidi" w:hAnsiTheme="majorBidi" w:cstheme="majorBidi"/>
          <w:lang w:val="en-US"/>
        </w:rPr>
        <w:t>“</w:t>
      </w:r>
      <w:r w:rsidRPr="00FB1598">
        <w:rPr>
          <w:rFonts w:asciiTheme="majorBidi" w:hAnsiTheme="majorBidi" w:cstheme="majorBidi"/>
          <w:i/>
          <w:iCs/>
          <w:lang w:val="en-US"/>
        </w:rPr>
        <w:t>do no harm</w:t>
      </w:r>
      <w:r w:rsidR="00D20B01">
        <w:rPr>
          <w:rFonts w:asciiTheme="majorBidi" w:hAnsiTheme="majorBidi" w:cstheme="majorBidi"/>
          <w:lang w:val="en-US"/>
        </w:rPr>
        <w:t>”</w:t>
      </w:r>
      <w:r w:rsidRPr="00ED7E61">
        <w:rPr>
          <w:rFonts w:asciiTheme="majorBidi" w:hAnsiTheme="majorBidi" w:cstheme="majorBidi"/>
          <w:lang w:val="en-US"/>
        </w:rPr>
        <w:t xml:space="preserve"> to </w:t>
      </w:r>
      <w:r w:rsidR="00D20B01">
        <w:rPr>
          <w:rFonts w:asciiTheme="majorBidi" w:hAnsiTheme="majorBidi" w:cstheme="majorBidi"/>
          <w:lang w:val="en-US"/>
        </w:rPr>
        <w:t>“</w:t>
      </w:r>
      <w:r w:rsidRPr="00FB1598">
        <w:rPr>
          <w:rFonts w:asciiTheme="majorBidi" w:hAnsiTheme="majorBidi" w:cstheme="majorBidi"/>
          <w:i/>
          <w:iCs/>
          <w:lang w:val="en-US"/>
        </w:rPr>
        <w:t>do better</w:t>
      </w:r>
      <w:r w:rsidR="00D20B01">
        <w:rPr>
          <w:rFonts w:asciiTheme="majorBidi" w:hAnsiTheme="majorBidi" w:cstheme="majorBidi"/>
          <w:lang w:val="en-US"/>
        </w:rPr>
        <w:t>”</w:t>
      </w:r>
      <w:r w:rsidRPr="00ED7E61">
        <w:rPr>
          <w:rFonts w:asciiTheme="majorBidi" w:hAnsiTheme="majorBidi" w:cstheme="majorBidi"/>
          <w:lang w:val="en-US"/>
        </w:rPr>
        <w:t>, towards changing gender norms, roles and access to resources. Gender responsiveness refers to processes and outcomes that reflect an understanding of and take into account gender dynamics, roles, and inequalities in a given society, and which encourage equal participation and fair distribution of benefits. Gender responsive approaches are based on gender analysis to understand the norms and expectations for women and girls and men and boys in relevant contexts, to inform the design of appropriate interventions. (CBD, SBI3)</w:t>
      </w:r>
    </w:p>
    <w:p w14:paraId="58453080" w14:textId="50B574EA" w:rsidR="00224200" w:rsidRPr="00ED7E61"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C9492A">
        <w:rPr>
          <w:rFonts w:asciiTheme="majorBidi" w:eastAsia="Garamond" w:hAnsiTheme="majorBidi" w:cstheme="majorBidi"/>
        </w:rPr>
        <w:t>Indigenous</w:t>
      </w:r>
      <w:r w:rsidRPr="00ED7E61">
        <w:rPr>
          <w:rFonts w:asciiTheme="majorBidi" w:hAnsiTheme="majorBidi" w:cstheme="majorBidi"/>
          <w:lang w:val="en-US"/>
        </w:rPr>
        <w:t xml:space="preserve"> peoples and local communities: The Convention on Biological Diversity does not define the terms indigenous and local communities or </w:t>
      </w:r>
      <w:r w:rsidR="00CC2E72">
        <w:rPr>
          <w:rFonts w:asciiTheme="majorBidi" w:hAnsiTheme="majorBidi" w:cstheme="majorBidi"/>
          <w:lang w:val="en-US"/>
        </w:rPr>
        <w:t>i</w:t>
      </w:r>
      <w:r w:rsidRPr="00ED7E61">
        <w:rPr>
          <w:rFonts w:asciiTheme="majorBidi" w:hAnsiTheme="majorBidi" w:cstheme="majorBidi"/>
          <w:lang w:val="en-US"/>
        </w:rPr>
        <w:t xml:space="preserve">ndigenous </w:t>
      </w:r>
      <w:r w:rsidR="00CC2E72">
        <w:rPr>
          <w:rFonts w:asciiTheme="majorBidi" w:hAnsiTheme="majorBidi" w:cstheme="majorBidi"/>
          <w:lang w:val="en-US"/>
        </w:rPr>
        <w:t>p</w:t>
      </w:r>
      <w:r w:rsidRPr="00ED7E61">
        <w:rPr>
          <w:rFonts w:asciiTheme="majorBidi" w:hAnsiTheme="majorBidi" w:cstheme="majorBidi"/>
          <w:lang w:val="en-US"/>
        </w:rPr>
        <w:t xml:space="preserve">eoples and </w:t>
      </w:r>
      <w:r w:rsidR="00CC2E72">
        <w:rPr>
          <w:rFonts w:asciiTheme="majorBidi" w:hAnsiTheme="majorBidi" w:cstheme="majorBidi"/>
          <w:lang w:val="en-US"/>
        </w:rPr>
        <w:t>l</w:t>
      </w:r>
      <w:r w:rsidRPr="00ED7E61">
        <w:rPr>
          <w:rFonts w:asciiTheme="majorBidi" w:hAnsiTheme="majorBidi" w:cstheme="majorBidi"/>
          <w:lang w:val="en-US"/>
        </w:rPr>
        <w:t xml:space="preserve">ocal </w:t>
      </w:r>
      <w:r w:rsidR="00CC2E72">
        <w:rPr>
          <w:rFonts w:asciiTheme="majorBidi" w:hAnsiTheme="majorBidi" w:cstheme="majorBidi"/>
          <w:lang w:val="en-US"/>
        </w:rPr>
        <w:t>c</w:t>
      </w:r>
      <w:r w:rsidRPr="00ED7E61">
        <w:rPr>
          <w:rFonts w:asciiTheme="majorBidi" w:hAnsiTheme="majorBidi" w:cstheme="majorBidi"/>
          <w:lang w:val="en-US"/>
        </w:rPr>
        <w:t>ommunities. The United Nations Declaration on the Rights of Indigenous Peoples does not adopt or recommend a universal definition for Indigenous Peoples (Decision CBD/COP/DEC/14/13). Indigenous people</w:t>
      </w:r>
      <w:r w:rsidR="008D660D">
        <w:rPr>
          <w:rFonts w:asciiTheme="majorBidi" w:hAnsiTheme="majorBidi" w:cstheme="majorBidi"/>
          <w:lang w:val="en-US"/>
        </w:rPr>
        <w:t>s</w:t>
      </w:r>
      <w:r w:rsidRPr="00ED7E61">
        <w:rPr>
          <w:rFonts w:asciiTheme="majorBidi" w:hAnsiTheme="majorBidi" w:cstheme="majorBidi"/>
          <w:lang w:val="en-US"/>
        </w:rPr>
        <w:t xml:space="preserve"> are also known as first peoples, aboriginal peoples, native peoples, or autochthonous peoples, are ethnic groups who are descended from and identify with the original inhabitants of a given region, in contrast to groups that have settled, occupied or colonized the area more recently. The distinctive groups, usually maintaining traditions or other aspects of an early culture that is associated with a given region, are protected in international or national legislation as having a set of specific rights based on their linguistic and historical ties to a particular territory, prior to later settlement, development, and or occupation of a region. Local community is a self-identified human group that relates to a life environment in collective ways that participate to define a shared territory and culture. The members of a local community have frequent chances of direct (possibly face-to-face) encounters and possess some common history, traditions, institutions, language, values and life plans. A local community can be long-standing (</w:t>
      </w:r>
      <w:r w:rsidR="00D20B01">
        <w:rPr>
          <w:rFonts w:asciiTheme="majorBidi" w:hAnsiTheme="majorBidi" w:cstheme="majorBidi"/>
          <w:lang w:val="en-US"/>
        </w:rPr>
        <w:t>“</w:t>
      </w:r>
      <w:r w:rsidRPr="00FB1598">
        <w:rPr>
          <w:rFonts w:asciiTheme="majorBidi" w:hAnsiTheme="majorBidi" w:cstheme="majorBidi"/>
          <w:i/>
          <w:iCs/>
          <w:lang w:val="en-US"/>
        </w:rPr>
        <w:t>traditional</w:t>
      </w:r>
      <w:r w:rsidR="00D20B01">
        <w:rPr>
          <w:rFonts w:asciiTheme="majorBidi" w:hAnsiTheme="majorBidi" w:cstheme="majorBidi"/>
          <w:lang w:val="en-US"/>
        </w:rPr>
        <w:t>”</w:t>
      </w:r>
      <w:r w:rsidRPr="00ED7E61">
        <w:rPr>
          <w:rFonts w:asciiTheme="majorBidi" w:hAnsiTheme="majorBidi" w:cstheme="majorBidi"/>
          <w:lang w:val="en-US"/>
        </w:rPr>
        <w:t>) or relatively new, include a single or multiple ethnic identities and be permanently settled or mobile. A local community should have a form of political identity that enables it to exercise its rights and responsibilities with respect to its territory and neighbors.</w:t>
      </w:r>
    </w:p>
    <w:p w14:paraId="7EB2D3AC" w14:textId="12CEF95B" w:rsidR="00224200" w:rsidRPr="00ED7E61"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C9492A">
        <w:rPr>
          <w:rFonts w:asciiTheme="majorBidi" w:eastAsia="Garamond" w:hAnsiTheme="majorBidi" w:cstheme="majorBidi"/>
        </w:rPr>
        <w:t>Access</w:t>
      </w:r>
      <w:r w:rsidRPr="00ED7E61">
        <w:rPr>
          <w:rFonts w:asciiTheme="majorBidi" w:hAnsiTheme="majorBidi" w:cstheme="majorBidi"/>
          <w:lang w:val="en-US"/>
        </w:rPr>
        <w:t xml:space="preserve"> to justice: The ability of people to seek and obtain a just resolution of legal problems through a wide range of legal and justice services. These services include legal information, counsel and representation, formal (e.g. courts) and alternative dispute resolution, and enforcement mechanisms. Emphasis should also be placed on legal empowerment, which enables people’s meaningful participation in the justice system and builds their capability to understand and use the law for themselves. The rule of law requires impartial and non-discriminatory justice. Without equal access, a large portion of the population can be left behind and their vulnerabilities exposed.</w:t>
      </w:r>
    </w:p>
    <w:p w14:paraId="3F5EA936" w14:textId="77777777" w:rsidR="00C9506C" w:rsidRPr="00ED7E61"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C9492A">
        <w:rPr>
          <w:rFonts w:asciiTheme="majorBidi" w:eastAsia="Garamond" w:hAnsiTheme="majorBidi" w:cstheme="majorBidi"/>
        </w:rPr>
        <w:t>Access</w:t>
      </w:r>
      <w:r w:rsidRPr="00ED7E61">
        <w:rPr>
          <w:rFonts w:asciiTheme="majorBidi" w:hAnsiTheme="majorBidi" w:cstheme="majorBidi"/>
          <w:lang w:val="en-US"/>
        </w:rPr>
        <w:t xml:space="preserve"> to information: Access to Information has two principle components: the obligation for states to have a legal framework that is also implemented in practice, that: entitles public to request access to information (documents and other information recorded in any format) and to respond to such requests in a timely fashion and obliges authorities to ensure that information of public interest is put into the public domain proactively, without the need for requests.</w:t>
      </w:r>
    </w:p>
    <w:p w14:paraId="2D8E6152" w14:textId="77777777" w:rsidR="00C9506C" w:rsidRPr="00ED7E61" w:rsidRDefault="00C9506C" w:rsidP="00C9506C">
      <w:pPr>
        <w:jc w:val="both"/>
        <w:rPr>
          <w:rFonts w:asciiTheme="majorBidi" w:hAnsiTheme="majorBidi" w:cstheme="majorBidi"/>
          <w:sz w:val="22"/>
          <w:szCs w:val="22"/>
        </w:rPr>
      </w:pPr>
    </w:p>
    <w:p w14:paraId="4A38656C"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0A28C14A" w14:textId="4ABAB010" w:rsidR="00C9506C" w:rsidRDefault="00C9506C" w:rsidP="00B10F0C">
      <w:pPr>
        <w:pStyle w:val="CBDNormalNumber"/>
        <w:numPr>
          <w:ilvl w:val="0"/>
          <w:numId w:val="97"/>
        </w:numPr>
        <w:shd w:val="clear" w:color="auto" w:fill="FFFFFF"/>
        <w:ind w:left="567" w:firstLine="0"/>
        <w:rPr>
          <w:rFonts w:asciiTheme="majorBidi" w:hAnsiTheme="majorBidi" w:cstheme="majorBidi"/>
        </w:rPr>
      </w:pPr>
      <w:r w:rsidRPr="00C9492A">
        <w:rPr>
          <w:rFonts w:asciiTheme="majorBidi" w:eastAsia="Garamond" w:hAnsiTheme="majorBidi" w:cstheme="majorBidi"/>
        </w:rPr>
        <w:t>This</w:t>
      </w:r>
      <w:r w:rsidRPr="00ED7E61">
        <w:rPr>
          <w:rFonts w:asciiTheme="majorBidi" w:hAnsiTheme="majorBidi" w:cstheme="majorBidi"/>
        </w:rPr>
        <w:t xml:space="preserve"> indicator is a binary indicator and must be compiled from the answers to three questions and eight sub questions:</w:t>
      </w:r>
    </w:p>
    <w:p w14:paraId="3C1D0D05" w14:textId="411EC51F" w:rsidR="00C9492A"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22.1 Does your country have policy, legislative and administrative frameworks at the national and subnational levels that:</w:t>
      </w:r>
    </w:p>
    <w:p w14:paraId="22689E0F" w14:textId="77777777" w:rsidR="00C9492A" w:rsidRPr="00ED7E61" w:rsidRDefault="00C9492A" w:rsidP="00B10F0C">
      <w:pPr>
        <w:pStyle w:val="CBDNormalNumber"/>
        <w:numPr>
          <w:ilvl w:val="2"/>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Ensure the full, equitable, inclusive, effective and gender-responsive representation and participation in biodiversity decision-making related to biodiversity of the following?</w:t>
      </w:r>
    </w:p>
    <w:p w14:paraId="22845B8D" w14:textId="77777777" w:rsidR="00C9492A" w:rsidRPr="00ED7E61" w:rsidRDefault="00C9492A" w:rsidP="00B10F0C">
      <w:pPr>
        <w:pStyle w:val="CBDNormalNumber"/>
        <w:numPr>
          <w:ilvl w:val="2"/>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Respect the following rights of indigenous peoples and local communities (select all that apply)?</w:t>
      </w:r>
    </w:p>
    <w:p w14:paraId="4AB8E93E" w14:textId="77777777" w:rsidR="00C9492A" w:rsidRPr="00ED7E61" w:rsidRDefault="00C9492A" w:rsidP="00B10F0C">
      <w:pPr>
        <w:pStyle w:val="CBDNormalNumber"/>
        <w:numPr>
          <w:ilvl w:val="2"/>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Ensure the full protection of environmental human rights defenders?</w:t>
      </w:r>
    </w:p>
    <w:p w14:paraId="32D8D221" w14:textId="77777777" w:rsidR="00C9492A" w:rsidRPr="00ED7E61" w:rsidRDefault="00C9492A" w:rsidP="00B10F0C">
      <w:pPr>
        <w:pStyle w:val="CBDNormalNumber"/>
        <w:numPr>
          <w:ilvl w:val="2"/>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Ensure public access to information related to biodiversity for the following (select all that apply)?</w:t>
      </w:r>
    </w:p>
    <w:p w14:paraId="79BFC78B" w14:textId="240D2083" w:rsidR="00C9492A" w:rsidRPr="00C9492A" w:rsidRDefault="00C9492A" w:rsidP="00B10F0C">
      <w:pPr>
        <w:pStyle w:val="CBDNormalNumber"/>
        <w:numPr>
          <w:ilvl w:val="2"/>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Provide access to justice for one or more of the following categories (select all that apply)?</w:t>
      </w:r>
    </w:p>
    <w:p w14:paraId="3B7F1B5B" w14:textId="77777777" w:rsidR="00C9492A" w:rsidRDefault="00C9506C"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22.2 Does your country have operational frameworks and mechanisms related to the policy, legislative and administrative frameworks listed under question 22.1?</w:t>
      </w:r>
    </w:p>
    <w:p w14:paraId="48582B8C" w14:textId="31022CD8" w:rsidR="001D0E81" w:rsidRPr="00C9492A" w:rsidRDefault="00C9506C"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C9492A">
        <w:rPr>
          <w:rFonts w:asciiTheme="majorBidi" w:hAnsiTheme="majorBidi" w:cstheme="majorBidi"/>
        </w:rPr>
        <w:t>22.3 Does your country monitor:</w:t>
      </w:r>
    </w:p>
    <w:p w14:paraId="04C8A053" w14:textId="030327B6" w:rsidR="00C9506C"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C9492A">
        <w:rPr>
          <w:rFonts w:asciiTheme="majorBidi" w:eastAsia="Garamond" w:hAnsiTheme="majorBidi" w:cstheme="majorBidi"/>
        </w:rPr>
        <w:t>There</w:t>
      </w:r>
      <w:r w:rsidRPr="00ED7E61">
        <w:rPr>
          <w:rFonts w:asciiTheme="majorBidi" w:hAnsiTheme="majorBidi" w:cstheme="majorBidi"/>
          <w:lang w:val="en-US"/>
        </w:rPr>
        <w:t xml:space="preserve"> are five possible answers to questions 22.1a, 22.1d, 22.1e and 22.3a:</w:t>
      </w:r>
    </w:p>
    <w:p w14:paraId="1DD698D0"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Indigenous peoples and local communities</w:t>
      </w:r>
    </w:p>
    <w:p w14:paraId="4CB13229"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Women and girls</w:t>
      </w:r>
    </w:p>
    <w:p w14:paraId="44DE3D7D"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Children and youth</w:t>
      </w:r>
    </w:p>
    <w:p w14:paraId="1CE9C226"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Persons with disabilities</w:t>
      </w:r>
    </w:p>
    <w:p w14:paraId="4EC9E832"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Others</w:t>
      </w:r>
    </w:p>
    <w:p w14:paraId="4C66833D" w14:textId="49C361BE" w:rsidR="00C9506C" w:rsidRPr="00ED7E61"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C9492A">
        <w:rPr>
          <w:rFonts w:asciiTheme="majorBidi" w:eastAsia="Garamond" w:hAnsiTheme="majorBidi" w:cstheme="majorBidi"/>
        </w:rPr>
        <w:t>Each</w:t>
      </w:r>
      <w:r w:rsidRPr="00ED7E61">
        <w:rPr>
          <w:rFonts w:asciiTheme="majorBidi" w:hAnsiTheme="majorBidi" w:cstheme="majorBidi"/>
          <w:lang w:val="en-US"/>
        </w:rPr>
        <w:t xml:space="preserve"> of the answers here is to be chosen using a “</w:t>
      </w:r>
      <w:r w:rsidRPr="00FB1598">
        <w:rPr>
          <w:rFonts w:asciiTheme="majorBidi" w:hAnsiTheme="majorBidi" w:cstheme="majorBidi"/>
          <w:i/>
          <w:iCs/>
          <w:lang w:val="en-US"/>
        </w:rPr>
        <w:t>select all that apply</w:t>
      </w:r>
      <w:r w:rsidRPr="00ED7E61">
        <w:rPr>
          <w:rFonts w:asciiTheme="majorBidi" w:hAnsiTheme="majorBidi" w:cstheme="majorBidi"/>
          <w:lang w:val="en-US"/>
        </w:rPr>
        <w:t>” approach. Namely, if a country has policy, legislative and administrative frameworks at the national and subnational levels to ensure the representation and participation in biodiversity decision-making (22.1a), ensure access to information (22.1d) or provide access to justice (22.1e) or if a country monitors the representation and participation in biodiversity decision-making (22.3a) then select the groups to which these apply. In other words, select each option for which the answer to 22.1a, 22.1d, 22.1e and 22.5a is “</w:t>
      </w:r>
      <w:r w:rsidRPr="00FB1598">
        <w:rPr>
          <w:rFonts w:asciiTheme="majorBidi" w:hAnsiTheme="majorBidi" w:cstheme="majorBidi"/>
          <w:i/>
          <w:iCs/>
          <w:lang w:val="en-US"/>
        </w:rPr>
        <w:t>Yes</w:t>
      </w:r>
      <w:r w:rsidRPr="00ED7E61">
        <w:rPr>
          <w:rFonts w:asciiTheme="majorBidi" w:hAnsiTheme="majorBidi" w:cstheme="majorBidi"/>
          <w:lang w:val="en-US"/>
        </w:rPr>
        <w:t>”. If “</w:t>
      </w:r>
      <w:r w:rsidRPr="00FB1598">
        <w:rPr>
          <w:rFonts w:asciiTheme="majorBidi" w:hAnsiTheme="majorBidi" w:cstheme="majorBidi"/>
          <w:i/>
          <w:iCs/>
          <w:lang w:val="en-US"/>
        </w:rPr>
        <w:t>Others</w:t>
      </w:r>
      <w:r w:rsidRPr="00ED7E61">
        <w:rPr>
          <w:rFonts w:asciiTheme="majorBidi" w:hAnsiTheme="majorBidi" w:cstheme="majorBidi"/>
          <w:lang w:val="en-US"/>
        </w:rPr>
        <w:t>” is selected, specify to which group this refers to in the free text section. If no answers are selected, then an overall “</w:t>
      </w:r>
      <w:r w:rsidRPr="00FB1598">
        <w:rPr>
          <w:rFonts w:asciiTheme="majorBidi" w:hAnsiTheme="majorBidi" w:cstheme="majorBidi"/>
          <w:i/>
          <w:iCs/>
          <w:lang w:val="en-US"/>
        </w:rPr>
        <w:t>No</w:t>
      </w:r>
      <w:r w:rsidRPr="00ED7E61">
        <w:rPr>
          <w:rFonts w:asciiTheme="majorBidi" w:hAnsiTheme="majorBidi" w:cstheme="majorBidi"/>
          <w:lang w:val="en-US"/>
        </w:rPr>
        <w:t>” is understood. Note that for 22.1 a country needs to have policy, legislative and administrative frameworks at the national and subnational levels already in existence, written in law and implemented, if this is not the case, even if these frameworks are being drafted, then do not select any answers in the sub questions. Additionally, if the frameworks in place are only at the subnational or national level but not both, then do not select any of the answers for which one of them is missing.</w:t>
      </w:r>
    </w:p>
    <w:p w14:paraId="1EB849C0" w14:textId="6A32CD3E" w:rsidR="00C9506C"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C9492A">
        <w:rPr>
          <w:rFonts w:asciiTheme="majorBidi" w:eastAsia="Garamond" w:hAnsiTheme="majorBidi" w:cstheme="majorBidi"/>
        </w:rPr>
        <w:t>There</w:t>
      </w:r>
      <w:r w:rsidRPr="00ED7E61">
        <w:rPr>
          <w:rFonts w:asciiTheme="majorBidi" w:hAnsiTheme="majorBidi" w:cstheme="majorBidi"/>
          <w:lang w:val="en-US"/>
        </w:rPr>
        <w:t xml:space="preserve"> are five possible answers to questions 22.1b and 22.3b:</w:t>
      </w:r>
    </w:p>
    <w:p w14:paraId="22801120"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Culture and practices</w:t>
      </w:r>
    </w:p>
    <w:p w14:paraId="261DC295"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Rights over lands and territories</w:t>
      </w:r>
    </w:p>
    <w:p w14:paraId="5EBE8C51"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Rights over natural resources</w:t>
      </w:r>
    </w:p>
    <w:p w14:paraId="4F19F67C"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Rights over traditional knowledge</w:t>
      </w:r>
    </w:p>
    <w:p w14:paraId="3211E4F0"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Not applicable</w:t>
      </w:r>
    </w:p>
    <w:p w14:paraId="710F6979" w14:textId="58490755" w:rsidR="00C9506C" w:rsidRPr="00ED7E61"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Each of the answers here is to be chosen using a “</w:t>
      </w:r>
      <w:r w:rsidRPr="00FB1598">
        <w:rPr>
          <w:rFonts w:asciiTheme="majorBidi" w:hAnsiTheme="majorBidi" w:cstheme="majorBidi"/>
          <w:i/>
          <w:iCs/>
          <w:lang w:val="en-US"/>
        </w:rPr>
        <w:t>select all that apply</w:t>
      </w:r>
      <w:r w:rsidRPr="00ED7E61">
        <w:rPr>
          <w:rFonts w:asciiTheme="majorBidi" w:hAnsiTheme="majorBidi" w:cstheme="majorBidi"/>
          <w:lang w:val="en-US"/>
        </w:rPr>
        <w:t xml:space="preserve">” approach. Namely, if a country has policy, legislative and administrative frameworks at the national and subnational levels that respect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ommunities</w:t>
      </w:r>
      <w:r w:rsidR="00616510">
        <w:rPr>
          <w:rStyle w:val="normaltextrun"/>
          <w:rFonts w:asciiTheme="majorBidi" w:eastAsiaTheme="majorEastAsia" w:hAnsiTheme="majorBidi" w:cstheme="majorBidi"/>
          <w:color w:val="000000"/>
          <w:lang w:val="en-AU"/>
        </w:rPr>
        <w:t>’</w:t>
      </w:r>
      <w:r w:rsidR="00B929B4" w:rsidRPr="00ED7E61">
        <w:rPr>
          <w:rStyle w:val="normaltextrun"/>
          <w:rFonts w:asciiTheme="majorBidi" w:eastAsiaTheme="majorEastAsia" w:hAnsiTheme="majorBidi" w:cstheme="majorBidi"/>
          <w:color w:val="000000"/>
          <w:lang w:val="en-AU"/>
        </w:rPr>
        <w:t xml:space="preserve"> </w:t>
      </w:r>
      <w:r w:rsidRPr="00ED7E61">
        <w:rPr>
          <w:rFonts w:asciiTheme="majorBidi" w:hAnsiTheme="majorBidi" w:cstheme="majorBidi"/>
          <w:lang w:val="en-US"/>
        </w:rPr>
        <w:t xml:space="preserve">rights in ensuring the representation and participation in biodiversity decision-making (22.1b) or monitors the culture and rights of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 xml:space="preserve">ommunities </w:t>
      </w:r>
      <w:r w:rsidRPr="00ED7E61">
        <w:rPr>
          <w:rFonts w:asciiTheme="majorBidi" w:hAnsiTheme="majorBidi" w:cstheme="majorBidi"/>
          <w:lang w:val="en-US"/>
        </w:rPr>
        <w:t>(22.3b) then select the options to which these apply. In other words, select each option for which the answer to 22.1b and 22.3b is “</w:t>
      </w:r>
      <w:r w:rsidRPr="00FB1598">
        <w:rPr>
          <w:rFonts w:asciiTheme="majorBidi" w:hAnsiTheme="majorBidi" w:cstheme="majorBidi"/>
          <w:i/>
          <w:iCs/>
          <w:lang w:val="en-US"/>
        </w:rPr>
        <w:t>Yes</w:t>
      </w:r>
      <w:r w:rsidRPr="00ED7E61">
        <w:rPr>
          <w:rFonts w:asciiTheme="majorBidi" w:hAnsiTheme="majorBidi" w:cstheme="majorBidi"/>
          <w:lang w:val="en-US"/>
        </w:rPr>
        <w:t xml:space="preserve">”. Parties with no recognized </w:t>
      </w:r>
      <w:r w:rsidR="00B929B4">
        <w:rPr>
          <w:rStyle w:val="normaltextrun"/>
          <w:rFonts w:asciiTheme="majorBidi" w:eastAsiaTheme="majorEastAsia" w:hAnsiTheme="majorBidi" w:cstheme="majorBidi"/>
          <w:color w:val="000000"/>
          <w:lang w:val="en-AU"/>
        </w:rPr>
        <w:t>i</w:t>
      </w:r>
      <w:r w:rsidR="00B929B4" w:rsidRPr="00ED7E61">
        <w:rPr>
          <w:rStyle w:val="normaltextrun"/>
          <w:rFonts w:asciiTheme="majorBidi" w:eastAsiaTheme="majorEastAsia" w:hAnsiTheme="majorBidi" w:cstheme="majorBidi"/>
          <w:color w:val="000000"/>
          <w:lang w:val="en-AU"/>
        </w:rPr>
        <w:t xml:space="preserve">ndigenous </w:t>
      </w:r>
      <w:r w:rsidR="00B929B4">
        <w:rPr>
          <w:rStyle w:val="normaltextrun"/>
          <w:rFonts w:asciiTheme="majorBidi" w:eastAsiaTheme="majorEastAsia" w:hAnsiTheme="majorBidi" w:cstheme="majorBidi"/>
          <w:color w:val="000000"/>
          <w:lang w:val="en-AU"/>
        </w:rPr>
        <w:t>p</w:t>
      </w:r>
      <w:r w:rsidR="00B929B4" w:rsidRPr="00ED7E61">
        <w:rPr>
          <w:rStyle w:val="normaltextrun"/>
          <w:rFonts w:asciiTheme="majorBidi" w:eastAsiaTheme="majorEastAsia" w:hAnsiTheme="majorBidi" w:cstheme="majorBidi"/>
          <w:color w:val="000000"/>
          <w:lang w:val="en-AU"/>
        </w:rPr>
        <w:t xml:space="preserve">eoples and </w:t>
      </w:r>
      <w:r w:rsidR="00B929B4">
        <w:rPr>
          <w:rStyle w:val="normaltextrun"/>
          <w:rFonts w:asciiTheme="majorBidi" w:eastAsiaTheme="majorEastAsia" w:hAnsiTheme="majorBidi" w:cstheme="majorBidi"/>
          <w:color w:val="000000"/>
          <w:lang w:val="en-AU"/>
        </w:rPr>
        <w:t>l</w:t>
      </w:r>
      <w:r w:rsidR="00B929B4" w:rsidRPr="00ED7E61">
        <w:rPr>
          <w:rStyle w:val="normaltextrun"/>
          <w:rFonts w:asciiTheme="majorBidi" w:eastAsiaTheme="majorEastAsia" w:hAnsiTheme="majorBidi" w:cstheme="majorBidi"/>
          <w:color w:val="000000"/>
          <w:lang w:val="en-AU"/>
        </w:rPr>
        <w:t xml:space="preserve">ocal </w:t>
      </w:r>
      <w:r w:rsidR="00B929B4">
        <w:rPr>
          <w:rStyle w:val="normaltextrun"/>
          <w:rFonts w:asciiTheme="majorBidi" w:eastAsiaTheme="majorEastAsia" w:hAnsiTheme="majorBidi" w:cstheme="majorBidi"/>
          <w:color w:val="000000"/>
          <w:lang w:val="en-AU"/>
        </w:rPr>
        <w:t>c</w:t>
      </w:r>
      <w:r w:rsidR="00B929B4" w:rsidRPr="00ED7E61">
        <w:rPr>
          <w:rStyle w:val="normaltextrun"/>
          <w:rFonts w:asciiTheme="majorBidi" w:eastAsiaTheme="majorEastAsia" w:hAnsiTheme="majorBidi" w:cstheme="majorBidi"/>
          <w:color w:val="000000"/>
          <w:lang w:val="en-AU"/>
        </w:rPr>
        <w:t xml:space="preserve">ommunities </w:t>
      </w:r>
      <w:r w:rsidRPr="00ED7E61">
        <w:rPr>
          <w:rFonts w:asciiTheme="majorBidi" w:hAnsiTheme="majorBidi" w:cstheme="majorBidi"/>
          <w:lang w:val="en-US"/>
        </w:rPr>
        <w:t>groups may select the “</w:t>
      </w:r>
      <w:r w:rsidRPr="00FB1598">
        <w:rPr>
          <w:rFonts w:asciiTheme="majorBidi" w:hAnsiTheme="majorBidi" w:cstheme="majorBidi"/>
          <w:i/>
          <w:iCs/>
          <w:lang w:val="en-US"/>
        </w:rPr>
        <w:t>Not applicable</w:t>
      </w:r>
      <w:r w:rsidRPr="00ED7E61">
        <w:rPr>
          <w:rFonts w:asciiTheme="majorBidi" w:hAnsiTheme="majorBidi" w:cstheme="majorBidi"/>
          <w:lang w:val="en-US"/>
        </w:rPr>
        <w:t>” answer but are asked to provide a justification for the choice in the free text. If no answers are selected, then an overall “</w:t>
      </w:r>
      <w:r w:rsidRPr="00FB1598">
        <w:rPr>
          <w:rFonts w:asciiTheme="majorBidi" w:hAnsiTheme="majorBidi" w:cstheme="majorBidi"/>
          <w:i/>
          <w:iCs/>
          <w:lang w:val="en-US"/>
        </w:rPr>
        <w:t>No</w:t>
      </w:r>
      <w:r w:rsidRPr="00ED7E61">
        <w:rPr>
          <w:rFonts w:asciiTheme="majorBidi" w:hAnsiTheme="majorBidi" w:cstheme="majorBidi"/>
          <w:lang w:val="en-US"/>
        </w:rPr>
        <w:t>” is understood.</w:t>
      </w:r>
    </w:p>
    <w:p w14:paraId="0DF36557" w14:textId="79BCD5E6" w:rsidR="00C9506C"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There are two possible answers to questions 22.1c and 22.3c:</w:t>
      </w:r>
    </w:p>
    <w:p w14:paraId="245F308C"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No</w:t>
      </w:r>
    </w:p>
    <w:p w14:paraId="72D621A1"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Yes</w:t>
      </w:r>
    </w:p>
    <w:p w14:paraId="0FA0F75C" w14:textId="77777777" w:rsidR="00C9506C" w:rsidRPr="00ED7E61"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A “</w:t>
      </w:r>
      <w:r w:rsidRPr="00FB1598">
        <w:rPr>
          <w:rFonts w:asciiTheme="majorBidi" w:hAnsiTheme="majorBidi" w:cstheme="majorBidi"/>
          <w:i/>
          <w:iCs/>
          <w:lang w:val="en-US"/>
        </w:rPr>
        <w:t>No</w:t>
      </w:r>
      <w:r w:rsidRPr="00ED7E61">
        <w:rPr>
          <w:rFonts w:asciiTheme="majorBidi" w:hAnsiTheme="majorBidi" w:cstheme="majorBidi"/>
          <w:lang w:val="en-US"/>
        </w:rPr>
        <w:t>” answer implies:</w:t>
      </w:r>
    </w:p>
    <w:p w14:paraId="1D4CEE3B"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 xml:space="preserve">that there </w:t>
      </w:r>
      <w:bookmarkStart w:id="80" w:name="_Int_5G3YNg38"/>
      <w:r w:rsidRPr="00ED7E61">
        <w:rPr>
          <w:rFonts w:asciiTheme="majorBidi" w:hAnsiTheme="majorBidi" w:cstheme="majorBidi"/>
        </w:rPr>
        <w:t>are</w:t>
      </w:r>
      <w:bookmarkEnd w:id="80"/>
      <w:r w:rsidRPr="00ED7E61">
        <w:rPr>
          <w:rFonts w:asciiTheme="majorBidi" w:hAnsiTheme="majorBidi" w:cstheme="majorBidi"/>
        </w:rPr>
        <w:t xml:space="preserve"> no policy, legislative and administrative frameworks in place to protect environmental human rights defenders (22.1c). No legal and policy protection exists, arrests and lawsuits against environmental human rights defenders are still taking place. Killing and other attacks may have been observed in the last year.</w:t>
      </w:r>
    </w:p>
    <w:p w14:paraId="2B5C136B"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there is no ongoing effort to monitor the protection of environmental human rights defenders (22.3c). There is no information available on the legal and security threats faced by environmental human rights defenders nor on the efforts being made to protect them.</w:t>
      </w:r>
    </w:p>
    <w:p w14:paraId="25511132" w14:textId="77777777" w:rsidR="00C9506C" w:rsidRPr="00ED7E61" w:rsidRDefault="00C9506C" w:rsidP="00B10F0C">
      <w:pPr>
        <w:pStyle w:val="CBDNormalNumber"/>
        <w:numPr>
          <w:ilvl w:val="0"/>
          <w:numId w:val="97"/>
        </w:numPr>
        <w:shd w:val="clear" w:color="auto" w:fill="FFFFFF"/>
        <w:ind w:left="567" w:firstLine="0"/>
        <w:rPr>
          <w:rFonts w:asciiTheme="majorBidi" w:eastAsia="Garamond" w:hAnsiTheme="majorBidi" w:cstheme="majorBidi"/>
          <w:color w:val="000000" w:themeColor="text1"/>
          <w:lang w:val="en-US"/>
        </w:rPr>
      </w:pPr>
      <w:r w:rsidRPr="00ED7E61">
        <w:rPr>
          <w:rFonts w:asciiTheme="majorBidi" w:hAnsiTheme="majorBidi" w:cstheme="majorBidi"/>
          <w:lang w:val="en-US"/>
        </w:rPr>
        <w:t>A “</w:t>
      </w:r>
      <w:r w:rsidRPr="00FB1598">
        <w:rPr>
          <w:rFonts w:asciiTheme="majorBidi" w:hAnsiTheme="majorBidi" w:cstheme="majorBidi"/>
          <w:i/>
          <w:iCs/>
          <w:lang w:val="en-US"/>
        </w:rPr>
        <w:t>Yes</w:t>
      </w:r>
      <w:r w:rsidRPr="00ED7E61">
        <w:rPr>
          <w:rFonts w:asciiTheme="majorBidi" w:hAnsiTheme="majorBidi" w:cstheme="majorBidi"/>
          <w:lang w:val="en-US"/>
        </w:rPr>
        <w:t>” answer implies:</w:t>
      </w:r>
    </w:p>
    <w:p w14:paraId="763EB1F0" w14:textId="77777777" w:rsidR="00C9492A" w:rsidRPr="00ED7E61" w:rsidRDefault="00C9492A" w:rsidP="00B10F0C">
      <w:pPr>
        <w:pStyle w:val="CBDNormalNumber"/>
        <w:numPr>
          <w:ilvl w:val="0"/>
          <w:numId w:val="31"/>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that there are policy, legislative and administrative frameworks in place to protect environmental human rights defenders (22.1c). Such legal and policy protection is reducing arrests and lawsuits against environmental human rights defenders and investigating and punishing any killing and attacks that may still be observed.</w:t>
      </w:r>
    </w:p>
    <w:p w14:paraId="5E3D3900" w14:textId="77777777" w:rsidR="00C9492A" w:rsidRPr="00ED7E61" w:rsidRDefault="00C9492A" w:rsidP="00B10F0C">
      <w:pPr>
        <w:pStyle w:val="CBDNormalNumber"/>
        <w:numPr>
          <w:ilvl w:val="0"/>
          <w:numId w:val="31"/>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there is ongoing monitoring of the protection of environmental human rights defenders (22.3c). Information is available on the effect that legal and security protections are having in reducing the threats faced by environmental human rights defenders.</w:t>
      </w:r>
    </w:p>
    <w:p w14:paraId="48B10E06" w14:textId="01D52A9B" w:rsidR="00C9506C"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There are four possible answers to question 22.2</w:t>
      </w:r>
      <w:r w:rsidR="00E97DC8" w:rsidRPr="00ED7E61">
        <w:rPr>
          <w:rStyle w:val="FootnoteReference"/>
          <w:rFonts w:asciiTheme="majorBidi" w:hAnsiTheme="majorBidi" w:cstheme="majorBidi"/>
          <w:lang w:val="en-US"/>
        </w:rPr>
        <w:footnoteReference w:id="66"/>
      </w:r>
      <w:r w:rsidRPr="00ED7E61">
        <w:rPr>
          <w:rFonts w:asciiTheme="majorBidi" w:hAnsiTheme="majorBidi" w:cstheme="majorBidi"/>
          <w:lang w:val="en-US"/>
        </w:rPr>
        <w:t>:</w:t>
      </w:r>
    </w:p>
    <w:p w14:paraId="6C180A63" w14:textId="77777777"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sidRPr="00ED7E61">
        <w:rPr>
          <w:rFonts w:asciiTheme="majorBidi" w:hAnsiTheme="majorBidi" w:cstheme="majorBidi"/>
        </w:rPr>
        <w:t>No</w:t>
      </w:r>
    </w:p>
    <w:p w14:paraId="71535DCA" w14:textId="04AB271E"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Pr>
          <w:rFonts w:asciiTheme="majorBidi" w:hAnsiTheme="majorBidi" w:cstheme="majorBidi"/>
        </w:rPr>
        <w:t>U</w:t>
      </w:r>
      <w:r w:rsidRPr="00ED7E61">
        <w:rPr>
          <w:rFonts w:asciiTheme="majorBidi" w:hAnsiTheme="majorBidi" w:cstheme="majorBidi"/>
        </w:rPr>
        <w:t>nder development</w:t>
      </w:r>
    </w:p>
    <w:p w14:paraId="264208E4" w14:textId="35085835"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Pr>
          <w:rFonts w:asciiTheme="majorBidi" w:hAnsiTheme="majorBidi" w:cstheme="majorBidi"/>
        </w:rPr>
        <w:t>P</w:t>
      </w:r>
      <w:r w:rsidRPr="00ED7E61">
        <w:rPr>
          <w:rFonts w:asciiTheme="majorBidi" w:hAnsiTheme="majorBidi" w:cstheme="majorBidi"/>
        </w:rPr>
        <w:t>artially</w:t>
      </w:r>
    </w:p>
    <w:p w14:paraId="4E5BEC11" w14:textId="1C2CA679" w:rsidR="00C9492A" w:rsidRPr="00ED7E61" w:rsidRDefault="00C9492A" w:rsidP="00B10F0C">
      <w:pPr>
        <w:pStyle w:val="CBDNormalNumber"/>
        <w:numPr>
          <w:ilvl w:val="1"/>
          <w:numId w:val="97"/>
        </w:numPr>
        <w:tabs>
          <w:tab w:val="clear" w:pos="567"/>
          <w:tab w:val="clear" w:pos="1134"/>
          <w:tab w:val="clear" w:pos="1701"/>
          <w:tab w:val="clear" w:pos="2268"/>
          <w:tab w:val="left" w:pos="1985"/>
        </w:tabs>
        <w:rPr>
          <w:rFonts w:asciiTheme="majorBidi" w:hAnsiTheme="majorBidi" w:cstheme="majorBidi"/>
        </w:rPr>
      </w:pPr>
      <w:r>
        <w:rPr>
          <w:rFonts w:asciiTheme="majorBidi" w:hAnsiTheme="majorBidi" w:cstheme="majorBidi"/>
        </w:rPr>
        <w:t>F</w:t>
      </w:r>
      <w:r w:rsidRPr="00ED7E61">
        <w:rPr>
          <w:rFonts w:asciiTheme="majorBidi" w:hAnsiTheme="majorBidi" w:cstheme="majorBidi"/>
        </w:rPr>
        <w:t>ully</w:t>
      </w:r>
    </w:p>
    <w:p w14:paraId="37CCEF83" w14:textId="501C69C4" w:rsidR="00E97DC8" w:rsidRPr="00ED7E61" w:rsidRDefault="00C9506C" w:rsidP="00B10F0C">
      <w:pPr>
        <w:pStyle w:val="CBDNormalNumber"/>
        <w:numPr>
          <w:ilvl w:val="0"/>
          <w:numId w:val="97"/>
        </w:numPr>
        <w:shd w:val="clear" w:color="auto" w:fill="FFFFFF"/>
        <w:ind w:left="567" w:firstLine="0"/>
        <w:rPr>
          <w:rFonts w:asciiTheme="majorBidi" w:hAnsiTheme="majorBidi" w:cstheme="majorBidi"/>
          <w:lang w:val="en-US"/>
        </w:rPr>
      </w:pPr>
      <w:r w:rsidRPr="00ED7E61">
        <w:rPr>
          <w:rFonts w:asciiTheme="majorBidi" w:hAnsiTheme="majorBidi" w:cstheme="majorBidi"/>
          <w:lang w:val="en-US"/>
        </w:rPr>
        <w:t>A “</w:t>
      </w:r>
      <w:r w:rsidRPr="00FB1598">
        <w:rPr>
          <w:rFonts w:asciiTheme="majorBidi" w:hAnsiTheme="majorBidi" w:cstheme="majorBidi"/>
          <w:i/>
          <w:iCs/>
          <w:lang w:val="en-US"/>
        </w:rPr>
        <w:t>No</w:t>
      </w:r>
      <w:r w:rsidRPr="00ED7E61">
        <w:rPr>
          <w:rFonts w:asciiTheme="majorBidi" w:hAnsiTheme="majorBidi" w:cstheme="majorBidi"/>
          <w:lang w:val="en-US"/>
        </w:rPr>
        <w:t>” answer implies that there are no operational frameworks and mechanisms to support the implementation of the policy, legislative and administrative frameworks in 22.1 for any of the groups or rights mentioned in the sub questions.</w:t>
      </w:r>
    </w:p>
    <w:p w14:paraId="0D06B503" w14:textId="51DE6AF8" w:rsidR="00E97DC8" w:rsidRPr="00ED7E61" w:rsidRDefault="00C9506C" w:rsidP="00B10F0C">
      <w:pPr>
        <w:pStyle w:val="CBDNormalNumber"/>
        <w:numPr>
          <w:ilvl w:val="0"/>
          <w:numId w:val="97"/>
        </w:numPr>
        <w:shd w:val="clear" w:color="auto" w:fill="FFFFFF"/>
        <w:ind w:left="567" w:firstLine="0"/>
        <w:rPr>
          <w:rFonts w:asciiTheme="majorBidi" w:hAnsiTheme="majorBidi" w:cstheme="majorBidi"/>
          <w:color w:val="000000"/>
          <w:lang w:val="en-US"/>
        </w:rPr>
      </w:pPr>
      <w:r w:rsidRPr="00C9492A">
        <w:rPr>
          <w:rFonts w:asciiTheme="majorBidi" w:hAnsiTheme="majorBidi" w:cstheme="majorBidi"/>
          <w:lang w:val="en-US"/>
        </w:rPr>
        <w:t>An</w:t>
      </w:r>
      <w:r w:rsidRPr="00ED7E61">
        <w:rPr>
          <w:color w:val="000000"/>
        </w:rPr>
        <w:t xml:space="preserve"> “</w:t>
      </w:r>
      <w:r w:rsidRPr="00FB1598">
        <w:rPr>
          <w:i/>
          <w:iCs/>
          <w:color w:val="000000"/>
        </w:rPr>
        <w:t>Under development</w:t>
      </w:r>
      <w:r w:rsidRPr="00ED7E61">
        <w:rPr>
          <w:color w:val="000000"/>
        </w:rPr>
        <w:t xml:space="preserve">” answer implies a concerted effort at the national level to create operational frameworks and mechanisms </w:t>
      </w:r>
      <w:r w:rsidRPr="00ED7E61">
        <w:t>to support the implementation of the policy, legislative and administrative frameworks in 22.1 but these are still in the drafting or proposal stage.</w:t>
      </w:r>
      <w:r w:rsidR="00E97DC8" w:rsidRPr="00ED7E61">
        <w:rPr>
          <w:rFonts w:asciiTheme="majorBidi" w:hAnsiTheme="majorBidi" w:cstheme="majorBidi"/>
          <w:color w:val="000000"/>
          <w:lang w:val="en-US"/>
        </w:rPr>
        <w:t xml:space="preserve"> </w:t>
      </w:r>
    </w:p>
    <w:p w14:paraId="1C57F094" w14:textId="77FB32CA" w:rsidR="00E97DC8" w:rsidRPr="00ED7E61" w:rsidRDefault="00C9506C" w:rsidP="00B10F0C">
      <w:pPr>
        <w:pStyle w:val="CBDNormalNumber"/>
        <w:numPr>
          <w:ilvl w:val="0"/>
          <w:numId w:val="97"/>
        </w:numPr>
        <w:shd w:val="clear" w:color="auto" w:fill="FFFFFF"/>
        <w:ind w:left="567" w:firstLine="0"/>
        <w:rPr>
          <w:rFonts w:asciiTheme="majorBidi" w:hAnsiTheme="majorBidi" w:cstheme="majorBidi"/>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Partially</w:t>
      </w:r>
      <w:r w:rsidRPr="00ED7E61">
        <w:rPr>
          <w:rFonts w:asciiTheme="majorBidi" w:hAnsiTheme="majorBidi" w:cstheme="majorBidi"/>
          <w:color w:val="000000"/>
          <w:lang w:val="en-US"/>
        </w:rPr>
        <w:t>” answer implies that</w:t>
      </w:r>
      <w:r w:rsidRPr="00ED7E61">
        <w:rPr>
          <w:rFonts w:asciiTheme="majorBidi" w:hAnsiTheme="majorBidi" w:cstheme="majorBidi"/>
          <w:color w:val="000000" w:themeColor="text1"/>
          <w:lang w:val="en-US"/>
        </w:rPr>
        <w:t xml:space="preserve"> operational frameworks and mechanisms to support the implementation of the </w:t>
      </w:r>
      <w:r w:rsidRPr="00ED7E61">
        <w:rPr>
          <w:rFonts w:asciiTheme="majorBidi" w:hAnsiTheme="majorBidi" w:cstheme="majorBidi"/>
        </w:rPr>
        <w:t>policy, legislative and administrative frameworks in 22.1 exist and have been implemented but they do not cover all the groups (</w:t>
      </w:r>
      <w:r w:rsidR="00616510">
        <w:rPr>
          <w:rStyle w:val="normaltextrun"/>
          <w:rFonts w:asciiTheme="majorBidi" w:eastAsiaTheme="majorEastAsia" w:hAnsiTheme="majorBidi" w:cstheme="majorBidi"/>
          <w:color w:val="000000"/>
          <w:lang w:val="en-AU"/>
        </w:rPr>
        <w:t>i</w:t>
      </w:r>
      <w:r w:rsidR="00616510" w:rsidRPr="00ED7E61">
        <w:rPr>
          <w:rStyle w:val="normaltextrun"/>
          <w:rFonts w:asciiTheme="majorBidi" w:eastAsiaTheme="majorEastAsia" w:hAnsiTheme="majorBidi" w:cstheme="majorBidi"/>
          <w:color w:val="000000"/>
          <w:lang w:val="en-AU"/>
        </w:rPr>
        <w:t xml:space="preserve">ndigenous </w:t>
      </w:r>
      <w:r w:rsidR="00616510">
        <w:rPr>
          <w:rStyle w:val="normaltextrun"/>
          <w:rFonts w:asciiTheme="majorBidi" w:eastAsiaTheme="majorEastAsia" w:hAnsiTheme="majorBidi" w:cstheme="majorBidi"/>
          <w:color w:val="000000"/>
          <w:lang w:val="en-AU"/>
        </w:rPr>
        <w:t>p</w:t>
      </w:r>
      <w:r w:rsidR="00616510" w:rsidRPr="00ED7E61">
        <w:rPr>
          <w:rStyle w:val="normaltextrun"/>
          <w:rFonts w:asciiTheme="majorBidi" w:eastAsiaTheme="majorEastAsia" w:hAnsiTheme="majorBidi" w:cstheme="majorBidi"/>
          <w:color w:val="000000"/>
          <w:lang w:val="en-AU"/>
        </w:rPr>
        <w:t xml:space="preserve">eoples and </w:t>
      </w:r>
      <w:r w:rsidR="00616510">
        <w:rPr>
          <w:rStyle w:val="normaltextrun"/>
          <w:rFonts w:asciiTheme="majorBidi" w:eastAsiaTheme="majorEastAsia" w:hAnsiTheme="majorBidi" w:cstheme="majorBidi"/>
          <w:color w:val="000000"/>
          <w:lang w:val="en-AU"/>
        </w:rPr>
        <w:t>l</w:t>
      </w:r>
      <w:r w:rsidR="00616510" w:rsidRPr="00ED7E61">
        <w:rPr>
          <w:rStyle w:val="normaltextrun"/>
          <w:rFonts w:asciiTheme="majorBidi" w:eastAsiaTheme="majorEastAsia" w:hAnsiTheme="majorBidi" w:cstheme="majorBidi"/>
          <w:color w:val="000000"/>
          <w:lang w:val="en-AU"/>
        </w:rPr>
        <w:t xml:space="preserve">ocal </w:t>
      </w:r>
      <w:r w:rsidR="00616510">
        <w:rPr>
          <w:rStyle w:val="normaltextrun"/>
          <w:rFonts w:asciiTheme="majorBidi" w:eastAsiaTheme="majorEastAsia" w:hAnsiTheme="majorBidi" w:cstheme="majorBidi"/>
          <w:color w:val="000000"/>
          <w:lang w:val="en-AU"/>
        </w:rPr>
        <w:t>c</w:t>
      </w:r>
      <w:r w:rsidR="00616510" w:rsidRPr="00ED7E61">
        <w:rPr>
          <w:rStyle w:val="normaltextrun"/>
          <w:rFonts w:asciiTheme="majorBidi" w:eastAsiaTheme="majorEastAsia" w:hAnsiTheme="majorBidi" w:cstheme="majorBidi"/>
          <w:color w:val="000000"/>
          <w:lang w:val="en-AU"/>
        </w:rPr>
        <w:t>ommunities</w:t>
      </w:r>
      <w:r w:rsidRPr="00ED7E61">
        <w:rPr>
          <w:rFonts w:asciiTheme="majorBidi" w:hAnsiTheme="majorBidi" w:cstheme="majorBidi"/>
        </w:rPr>
        <w:t>, women and girls, children and youth, persons with disabilities, environmental human rights defenders) nor all of their culture, practices and rights (over lands and territories, over resources, over traditional knowledge). If only some groups and their culture, practices and rights benefit from these operational frameworks but not others, select this answer.</w:t>
      </w:r>
    </w:p>
    <w:p w14:paraId="5EAAD5EB" w14:textId="7AD8707B" w:rsidR="00C9506C" w:rsidRPr="00ED7E61" w:rsidRDefault="00C9506C" w:rsidP="00B10F0C">
      <w:pPr>
        <w:pStyle w:val="CBDNormalNumber"/>
        <w:numPr>
          <w:ilvl w:val="0"/>
          <w:numId w:val="97"/>
        </w:numPr>
        <w:shd w:val="clear" w:color="auto" w:fill="FFFFFF"/>
        <w:ind w:left="567" w:firstLine="0"/>
      </w:pPr>
      <w:r w:rsidRPr="00ED7E61">
        <w:rPr>
          <w:color w:val="000000"/>
        </w:rPr>
        <w:t>A “</w:t>
      </w:r>
      <w:r w:rsidRPr="00FB1598">
        <w:rPr>
          <w:i/>
          <w:iCs/>
          <w:color w:val="000000"/>
        </w:rPr>
        <w:t>Fully</w:t>
      </w:r>
      <w:r w:rsidRPr="00ED7E61">
        <w:rPr>
          <w:color w:val="000000"/>
        </w:rPr>
        <w:t>” answer implies that all the conditions outlined in “</w:t>
      </w:r>
      <w:r w:rsidRPr="00FB1598">
        <w:rPr>
          <w:i/>
          <w:iCs/>
          <w:color w:val="000000"/>
        </w:rPr>
        <w:t>Partially</w:t>
      </w:r>
      <w:r w:rsidRPr="00ED7E61">
        <w:rPr>
          <w:color w:val="000000"/>
        </w:rPr>
        <w:t xml:space="preserve">” have been met. Namely that </w:t>
      </w:r>
      <w:r w:rsidRPr="00ED7E61">
        <w:t>operational frameworks and mechanisms to support the implementation of the policy, legislative and administrative frameworks in 22.1 exist and have been implemented for all groups (</w:t>
      </w:r>
      <w:r w:rsidR="00616510">
        <w:rPr>
          <w:rStyle w:val="normaltextrun"/>
          <w:rFonts w:asciiTheme="majorBidi" w:eastAsiaTheme="majorEastAsia" w:hAnsiTheme="majorBidi" w:cstheme="majorBidi"/>
          <w:color w:val="000000"/>
          <w:lang w:val="en-AU"/>
        </w:rPr>
        <w:t>i</w:t>
      </w:r>
      <w:r w:rsidR="00616510" w:rsidRPr="00ED7E61">
        <w:rPr>
          <w:rStyle w:val="normaltextrun"/>
          <w:rFonts w:asciiTheme="majorBidi" w:eastAsiaTheme="majorEastAsia" w:hAnsiTheme="majorBidi" w:cstheme="majorBidi"/>
          <w:color w:val="000000"/>
          <w:lang w:val="en-AU"/>
        </w:rPr>
        <w:t xml:space="preserve">ndigenous </w:t>
      </w:r>
      <w:r w:rsidR="00616510">
        <w:rPr>
          <w:rStyle w:val="normaltextrun"/>
          <w:rFonts w:asciiTheme="majorBidi" w:eastAsiaTheme="majorEastAsia" w:hAnsiTheme="majorBidi" w:cstheme="majorBidi"/>
          <w:color w:val="000000"/>
          <w:lang w:val="en-AU"/>
        </w:rPr>
        <w:t>p</w:t>
      </w:r>
      <w:r w:rsidR="00616510" w:rsidRPr="00ED7E61">
        <w:rPr>
          <w:rStyle w:val="normaltextrun"/>
          <w:rFonts w:asciiTheme="majorBidi" w:eastAsiaTheme="majorEastAsia" w:hAnsiTheme="majorBidi" w:cstheme="majorBidi"/>
          <w:color w:val="000000"/>
          <w:lang w:val="en-AU"/>
        </w:rPr>
        <w:t xml:space="preserve">eoples and </w:t>
      </w:r>
      <w:r w:rsidR="00616510">
        <w:rPr>
          <w:rStyle w:val="normaltextrun"/>
          <w:rFonts w:asciiTheme="majorBidi" w:eastAsiaTheme="majorEastAsia" w:hAnsiTheme="majorBidi" w:cstheme="majorBidi"/>
          <w:color w:val="000000"/>
          <w:lang w:val="en-AU"/>
        </w:rPr>
        <w:t>l</w:t>
      </w:r>
      <w:r w:rsidR="00616510" w:rsidRPr="00ED7E61">
        <w:rPr>
          <w:rStyle w:val="normaltextrun"/>
          <w:rFonts w:asciiTheme="majorBidi" w:eastAsiaTheme="majorEastAsia" w:hAnsiTheme="majorBidi" w:cstheme="majorBidi"/>
          <w:color w:val="000000"/>
          <w:lang w:val="en-AU"/>
        </w:rPr>
        <w:t xml:space="preserve">ocal </w:t>
      </w:r>
      <w:r w:rsidR="00616510">
        <w:rPr>
          <w:rStyle w:val="normaltextrun"/>
          <w:rFonts w:asciiTheme="majorBidi" w:eastAsiaTheme="majorEastAsia" w:hAnsiTheme="majorBidi" w:cstheme="majorBidi"/>
          <w:color w:val="000000"/>
          <w:lang w:val="en-AU"/>
        </w:rPr>
        <w:t>c</w:t>
      </w:r>
      <w:r w:rsidR="00616510" w:rsidRPr="00ED7E61">
        <w:rPr>
          <w:rStyle w:val="normaltextrun"/>
          <w:rFonts w:asciiTheme="majorBidi" w:eastAsiaTheme="majorEastAsia" w:hAnsiTheme="majorBidi" w:cstheme="majorBidi"/>
          <w:color w:val="000000"/>
          <w:lang w:val="en-AU"/>
        </w:rPr>
        <w:t>ommunities</w:t>
      </w:r>
      <w:r w:rsidRPr="00ED7E61">
        <w:t>, women and girls, children and youth, persons with disabilities, environmental human rights defenders) and all their culture, practices and rights (over lands and territories, over resources, over traditional knowledge). If any one group or culture, practice and right does not benefit from these operational frameworks, then select “</w:t>
      </w:r>
      <w:r w:rsidRPr="00FB1598">
        <w:rPr>
          <w:i/>
          <w:iCs/>
        </w:rPr>
        <w:t>Partially</w:t>
      </w:r>
      <w:r w:rsidRPr="00ED7E61">
        <w:t>”.</w:t>
      </w:r>
    </w:p>
    <w:p w14:paraId="5ADD6E9D" w14:textId="77777777" w:rsidR="00C9506C" w:rsidRPr="00ED7E61" w:rsidRDefault="00C9506C" w:rsidP="00C950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Bidi" w:hAnsiTheme="majorBidi" w:cstheme="majorBidi"/>
          <w:sz w:val="22"/>
          <w:szCs w:val="22"/>
        </w:rPr>
      </w:pPr>
    </w:p>
    <w:p w14:paraId="74413C71" w14:textId="77777777" w:rsidR="00D311B8" w:rsidRPr="00ED7E61" w:rsidRDefault="00D311B8" w:rsidP="003958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Bidi" w:hAnsiTheme="majorBidi" w:cstheme="majorBidi"/>
          <w:sz w:val="22"/>
          <w:szCs w:val="22"/>
        </w:rPr>
      </w:pPr>
    </w:p>
    <w:p w14:paraId="6408E4BD" w14:textId="221CEC9A" w:rsidR="00D311B8" w:rsidRPr="00ED7E61" w:rsidRDefault="00D311B8" w:rsidP="00395866">
      <w:pPr>
        <w:rPr>
          <w:rFonts w:asciiTheme="majorBidi" w:hAnsiTheme="majorBidi" w:cstheme="majorBidi"/>
          <w:sz w:val="22"/>
          <w:szCs w:val="22"/>
        </w:rPr>
      </w:pPr>
      <w:r w:rsidRPr="00ED7E61">
        <w:rPr>
          <w:rFonts w:asciiTheme="majorBidi" w:hAnsiTheme="majorBidi" w:cstheme="majorBidi"/>
          <w:sz w:val="22"/>
          <w:szCs w:val="22"/>
        </w:rPr>
        <w:br w:type="page"/>
      </w:r>
    </w:p>
    <w:p w14:paraId="6758C9E3" w14:textId="77777777" w:rsidR="00C9506C" w:rsidRPr="00ED7E61" w:rsidRDefault="00C9506C" w:rsidP="00C9506C">
      <w:pPr>
        <w:pStyle w:val="Heading3"/>
      </w:pPr>
      <w:bookmarkStart w:id="81" w:name="_Toc178285884"/>
      <w:r w:rsidRPr="00ED7E61">
        <w:rPr>
          <w:rStyle w:val="normaltextrun"/>
        </w:rPr>
        <w:t xml:space="preserve">GBF indicator metadata: </w:t>
      </w:r>
      <w:r w:rsidRPr="00ED7E61">
        <w:rPr>
          <w:rStyle w:val="eop"/>
        </w:rPr>
        <w:t>23.b Target 23 binary indicator</w:t>
      </w:r>
      <w:bookmarkEnd w:id="81"/>
      <w:r w:rsidRPr="00ED7E61">
        <w:rPr>
          <w:rStyle w:val="eop"/>
        </w:rPr>
        <w:t xml:space="preserve"> </w:t>
      </w:r>
    </w:p>
    <w:p w14:paraId="544605C5" w14:textId="77777777" w:rsidR="00C9506C" w:rsidRPr="00ED7E61" w:rsidRDefault="00C9506C" w:rsidP="00C9506C">
      <w:pPr>
        <w:jc w:val="both"/>
        <w:rPr>
          <w:rFonts w:asciiTheme="majorBidi" w:hAnsiTheme="majorBidi" w:cstheme="majorBidi"/>
          <w:b/>
          <w:bCs/>
          <w:sz w:val="22"/>
          <w:szCs w:val="22"/>
        </w:rPr>
      </w:pPr>
    </w:p>
    <w:p w14:paraId="5D3CE0D2"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Full Indicator Name</w:t>
      </w:r>
    </w:p>
    <w:p w14:paraId="559A411D" w14:textId="761E3C71" w:rsidR="00C9506C" w:rsidRPr="006935BC" w:rsidRDefault="00C9506C" w:rsidP="00C9506C">
      <w:pPr>
        <w:jc w:val="both"/>
        <w:rPr>
          <w:rFonts w:asciiTheme="majorBidi" w:hAnsiTheme="majorBidi" w:cstheme="majorBidi"/>
          <w:sz w:val="22"/>
          <w:szCs w:val="22"/>
        </w:rPr>
      </w:pPr>
      <w:r w:rsidRPr="00ED7E61">
        <w:rPr>
          <w:rFonts w:asciiTheme="majorBidi" w:hAnsiTheme="majorBidi" w:cstheme="majorBidi"/>
          <w:color w:val="000000" w:themeColor="text1"/>
          <w:sz w:val="22"/>
          <w:szCs w:val="22"/>
        </w:rPr>
        <w:t xml:space="preserve">Number of countries with legal, administrative or policy frameworks, inter alia, the Gender Plan of Action (2023–2030), to ensure that all women and girls have equal opportunity and capacity to contribute to the three objectives of the Convention, including by ensuring womens equal rights and access to land and natural resources. </w:t>
      </w:r>
    </w:p>
    <w:p w14:paraId="1824E1EA" w14:textId="7F71B597" w:rsidR="00C9506C" w:rsidRPr="00ED7E61" w:rsidRDefault="00C9506C" w:rsidP="006935BC">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 xml:space="preserve">Goals </w:t>
      </w:r>
      <w:r w:rsidR="00D47C15">
        <w:rPr>
          <w:rFonts w:asciiTheme="majorBidi" w:hAnsiTheme="majorBidi" w:cstheme="majorBidi"/>
          <w:b/>
          <w:bCs/>
          <w:sz w:val="22"/>
          <w:szCs w:val="22"/>
        </w:rPr>
        <w:t>a</w:t>
      </w:r>
      <w:r w:rsidRPr="00ED7E61">
        <w:rPr>
          <w:rFonts w:asciiTheme="majorBidi" w:hAnsiTheme="majorBidi" w:cstheme="majorBidi"/>
          <w:b/>
          <w:bCs/>
          <w:sz w:val="22"/>
          <w:szCs w:val="22"/>
        </w:rPr>
        <w:t>nd Targets Addressed</w:t>
      </w:r>
    </w:p>
    <w:p w14:paraId="59FB9D6E" w14:textId="77777777" w:rsidR="00C9506C" w:rsidRPr="00ED7E61" w:rsidRDefault="00C9506C" w:rsidP="006935BC">
      <w:pPr>
        <w:spacing w:before="120"/>
        <w:jc w:val="both"/>
        <w:rPr>
          <w:rFonts w:asciiTheme="majorBidi" w:hAnsiTheme="majorBidi" w:cstheme="majorBidi"/>
          <w:b/>
          <w:bCs/>
          <w:sz w:val="22"/>
          <w:szCs w:val="22"/>
        </w:rPr>
      </w:pPr>
      <w:r w:rsidRPr="00ED7E61">
        <w:rPr>
          <w:rFonts w:asciiTheme="majorBidi" w:hAnsiTheme="majorBidi" w:cstheme="majorBidi"/>
          <w:b/>
          <w:bCs/>
          <w:sz w:val="22"/>
          <w:szCs w:val="22"/>
        </w:rPr>
        <w:t>Goal</w:t>
      </w:r>
    </w:p>
    <w:p w14:paraId="24D3737B" w14:textId="77777777" w:rsidR="00C9506C" w:rsidRPr="00ED7E61" w:rsidRDefault="00C9506C" w:rsidP="00C9506C">
      <w:pPr>
        <w:jc w:val="both"/>
        <w:rPr>
          <w:rFonts w:asciiTheme="majorBidi" w:hAnsiTheme="majorBidi" w:cstheme="majorBidi"/>
          <w:color w:val="242424"/>
          <w:sz w:val="22"/>
          <w:szCs w:val="22"/>
        </w:rPr>
      </w:pPr>
      <w:r w:rsidRPr="00ED7E61">
        <w:rPr>
          <w:rFonts w:asciiTheme="majorBidi" w:hAnsiTheme="majorBidi" w:cstheme="majorBidi"/>
          <w:color w:val="242424"/>
          <w:sz w:val="22"/>
          <w:szCs w:val="22"/>
        </w:rPr>
        <w:t>N/A</w:t>
      </w:r>
    </w:p>
    <w:p w14:paraId="5F020C73" w14:textId="77777777" w:rsidR="00C9506C" w:rsidRPr="00ED7E61" w:rsidRDefault="00C9506C" w:rsidP="00C9506C">
      <w:pPr>
        <w:jc w:val="both"/>
        <w:rPr>
          <w:rFonts w:asciiTheme="majorBidi" w:hAnsiTheme="majorBidi" w:cstheme="majorBidi"/>
          <w:sz w:val="22"/>
          <w:szCs w:val="22"/>
        </w:rPr>
      </w:pPr>
    </w:p>
    <w:p w14:paraId="6CA47EA7"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b/>
          <w:bCs/>
          <w:sz w:val="22"/>
          <w:szCs w:val="22"/>
        </w:rPr>
        <w:t>Target</w:t>
      </w:r>
    </w:p>
    <w:p w14:paraId="7D9BB590" w14:textId="77777777" w:rsidR="00C9506C" w:rsidRPr="00ED7E61" w:rsidRDefault="00C9506C" w:rsidP="00C9506C">
      <w:pPr>
        <w:jc w:val="both"/>
        <w:rPr>
          <w:rFonts w:asciiTheme="majorBidi" w:hAnsiTheme="majorBidi" w:cstheme="majorBidi"/>
          <w:sz w:val="22"/>
          <w:szCs w:val="22"/>
        </w:rPr>
      </w:pPr>
      <w:r w:rsidRPr="00ED7E61">
        <w:rPr>
          <w:rFonts w:asciiTheme="majorBidi" w:hAnsiTheme="majorBidi" w:cstheme="majorBidi"/>
          <w:sz w:val="22"/>
          <w:szCs w:val="22"/>
        </w:rPr>
        <w:t>Binary indicator for Target 23. Ensure gender equality in the implementation of the Framework through a gender-responsive approach, where all women and girls have equal opportunity and capacity to contribute to the three objectives of the Convention, including by recognizing their equal rights and access to land and natural resources and their full, equitable, meaningful and informed participation and leadership at all levels of action, engagement, policy and decision-making related to biodiversity.</w:t>
      </w:r>
    </w:p>
    <w:p w14:paraId="599160E7" w14:textId="77777777" w:rsidR="00C9506C" w:rsidRPr="00ED7E61" w:rsidRDefault="00C9506C" w:rsidP="00C9506C">
      <w:pPr>
        <w:jc w:val="both"/>
        <w:rPr>
          <w:rFonts w:asciiTheme="majorBidi" w:hAnsiTheme="majorBidi" w:cstheme="majorBidi"/>
          <w:sz w:val="22"/>
          <w:szCs w:val="22"/>
          <w:lang w:val="en-US"/>
        </w:rPr>
      </w:pPr>
    </w:p>
    <w:p w14:paraId="393F670B"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Rationale</w:t>
      </w:r>
    </w:p>
    <w:p w14:paraId="337AB790" w14:textId="3C005A6B" w:rsidR="00697889" w:rsidRPr="00ED7E61" w:rsidRDefault="00C9506C" w:rsidP="00B10F0C">
      <w:pPr>
        <w:pStyle w:val="CBDNormalNumber"/>
        <w:numPr>
          <w:ilvl w:val="0"/>
          <w:numId w:val="98"/>
        </w:numPr>
        <w:shd w:val="clear" w:color="auto" w:fill="FFFFFF"/>
        <w:tabs>
          <w:tab w:val="clear" w:pos="1701"/>
        </w:tabs>
        <w:ind w:left="567" w:hanging="24"/>
        <w:rPr>
          <w:rFonts w:asciiTheme="majorBidi" w:hAnsiTheme="majorBidi" w:cstheme="majorBidi"/>
        </w:rPr>
      </w:pPr>
      <w:r w:rsidRPr="00ED7E61">
        <w:rPr>
          <w:color w:val="000000"/>
        </w:rPr>
        <w:t>Gender</w:t>
      </w:r>
      <w:r w:rsidRPr="00ED7E61">
        <w:rPr>
          <w:rFonts w:asciiTheme="majorBidi" w:hAnsiTheme="majorBidi" w:cstheme="majorBidi"/>
        </w:rPr>
        <w:t xml:space="preserve"> roles in many countries influence the conservation and sustainable use of biodiversity by impacting the ability of women to participate in decision-making and by affecting their access to and control of land, biological resources and other productive assets. Considering gender dimensions in biodiversity-related decision-making can lead to positive outcomes for biodiversity and gender equality. Women often play a vital role in managing natural resources and promoting sustainable agriculture, forestry and fisheries. When women have access to resources, land, education, healthcare and economic opportunities on par with men, they are better able to participate in decision-making processes and advocate for environmental protection.</w:t>
      </w:r>
    </w:p>
    <w:p w14:paraId="7ACBFC97" w14:textId="6117F878" w:rsidR="00C9506C" w:rsidRPr="006935BC" w:rsidRDefault="00C9506C" w:rsidP="00B10F0C">
      <w:pPr>
        <w:pStyle w:val="CBDNormalNumber"/>
        <w:numPr>
          <w:ilvl w:val="0"/>
          <w:numId w:val="98"/>
        </w:numPr>
        <w:shd w:val="clear" w:color="auto" w:fill="FFFFFF"/>
        <w:ind w:left="567" w:firstLine="0"/>
        <w:rPr>
          <w:color w:val="000000"/>
        </w:rPr>
      </w:pPr>
      <w:r w:rsidRPr="00C9492A">
        <w:rPr>
          <w:color w:val="000000"/>
        </w:rPr>
        <w:t>The focus of this target is on ensuring gender equality in the implementation of the Framework through a gender-responsive approach. Gender responsive is the process of ensuring that programmes, policies and institutions take into account the different needs and experiences of people based on their gender identity. It aims to create a society that is responsive to the diverse needs and realities of people, including those who may face discrimination or disadvantage because of their gender. As such, the indicator tracks progress along the development of legal, administrative or policy frameworks that are gender inclusive as well as the deployment of financial resources to support gender equality with a focus on rights and access to land and natural resources.</w:t>
      </w:r>
    </w:p>
    <w:p w14:paraId="7EA63991" w14:textId="188D57CB"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 xml:space="preserve">Definitions Concepts </w:t>
      </w:r>
      <w:r w:rsidR="00CE7236">
        <w:rPr>
          <w:rFonts w:asciiTheme="majorBidi" w:hAnsiTheme="majorBidi" w:cstheme="majorBidi"/>
          <w:b/>
          <w:bCs/>
          <w:sz w:val="22"/>
          <w:szCs w:val="22"/>
        </w:rPr>
        <w:t>a</w:t>
      </w:r>
      <w:r w:rsidRPr="00ED7E61">
        <w:rPr>
          <w:rFonts w:asciiTheme="majorBidi" w:hAnsiTheme="majorBidi" w:cstheme="majorBidi"/>
          <w:b/>
          <w:bCs/>
          <w:sz w:val="22"/>
          <w:szCs w:val="22"/>
        </w:rPr>
        <w:t>nd Classifications</w:t>
      </w:r>
    </w:p>
    <w:p w14:paraId="4EB7D435" w14:textId="77777777" w:rsidR="00C9506C" w:rsidRPr="00ED7E61"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Definition</w:t>
      </w:r>
    </w:p>
    <w:p w14:paraId="308472AA" w14:textId="5785BCC7" w:rsidR="00697889" w:rsidRPr="00ED7E61" w:rsidRDefault="00C9506C" w:rsidP="00B10F0C">
      <w:pPr>
        <w:pStyle w:val="CBDNormalNumber"/>
        <w:numPr>
          <w:ilvl w:val="0"/>
          <w:numId w:val="98"/>
        </w:numPr>
        <w:shd w:val="clear" w:color="auto" w:fill="FFFFFF"/>
        <w:ind w:left="567" w:firstLine="0"/>
        <w:rPr>
          <w:rFonts w:asciiTheme="majorBidi" w:hAnsiTheme="majorBidi" w:cstheme="majorBidi"/>
        </w:rPr>
      </w:pPr>
      <w:r w:rsidRPr="00C9492A">
        <w:rPr>
          <w:color w:val="000000"/>
        </w:rPr>
        <w:t>Equal</w:t>
      </w:r>
      <w:r w:rsidRPr="00ED7E61">
        <w:rPr>
          <w:color w:val="000000"/>
        </w:rPr>
        <w:t xml:space="preserve"> opportunity and capacity [to contribute]: Can</w:t>
      </w:r>
      <w:r w:rsidRPr="00ED7E61">
        <w:rPr>
          <w:rFonts w:asciiTheme="majorBidi" w:hAnsiTheme="majorBidi" w:cstheme="majorBidi"/>
        </w:rPr>
        <w:t xml:space="preserve"> effectively and fully participate in the achievement of the Convention’s goals without any discrimination, exclusion or restriction made on the basis of sex, respecting the rules set out in the </w:t>
      </w:r>
      <w:hyperlink r:id="rId612">
        <w:r w:rsidRPr="00ED7E61">
          <w:rPr>
            <w:rStyle w:val="Hyperlink"/>
            <w:rFonts w:asciiTheme="majorBidi" w:eastAsiaTheme="majorEastAsia" w:hAnsiTheme="majorBidi" w:cstheme="majorBidi"/>
          </w:rPr>
          <w:t>Convention on the Elimination of All Forms of Discrimination Against Women</w:t>
        </w:r>
      </w:hyperlink>
      <w:r w:rsidRPr="00ED7E61">
        <w:rPr>
          <w:rFonts w:asciiTheme="majorBidi" w:hAnsiTheme="majorBidi" w:cstheme="majorBidi"/>
        </w:rPr>
        <w:t xml:space="preserve">. </w:t>
      </w:r>
    </w:p>
    <w:p w14:paraId="40665041" w14:textId="7CBCF379" w:rsidR="00697889" w:rsidRPr="00ED7E61" w:rsidRDefault="00C9506C" w:rsidP="00B10F0C">
      <w:pPr>
        <w:pStyle w:val="CBDNormalNumber"/>
        <w:numPr>
          <w:ilvl w:val="0"/>
          <w:numId w:val="98"/>
        </w:numPr>
        <w:shd w:val="clear" w:color="auto" w:fill="FFFFFF"/>
        <w:ind w:left="567" w:firstLine="0"/>
        <w:rPr>
          <w:rFonts w:asciiTheme="majorBidi" w:hAnsiTheme="majorBidi" w:cstheme="majorBidi"/>
        </w:rPr>
      </w:pPr>
      <w:r w:rsidRPr="00C9492A">
        <w:rPr>
          <w:color w:val="000000"/>
        </w:rPr>
        <w:t>Equal</w:t>
      </w:r>
      <w:r w:rsidRPr="00ED7E61">
        <w:rPr>
          <w:rFonts w:asciiTheme="majorBidi" w:hAnsiTheme="majorBidi" w:cstheme="majorBidi"/>
          <w:color w:val="000000" w:themeColor="text1"/>
        </w:rPr>
        <w:t xml:space="preserve"> rights: </w:t>
      </w:r>
      <w:r w:rsidRPr="00ED7E61">
        <w:rPr>
          <w:rFonts w:asciiTheme="majorBidi" w:hAnsiTheme="majorBidi" w:cstheme="majorBidi"/>
        </w:rPr>
        <w:t>All human beings are born free and equal in dignity and rights. They are endowed with reason and conscience and should act towards one another in a spirit of brotherhood. Everyone is entitled to all the rights and freedoms set forth in this Declaration</w:t>
      </w:r>
      <w:r w:rsidR="001010A0">
        <w:rPr>
          <w:rStyle w:val="FootnoteReference"/>
          <w:rFonts w:asciiTheme="majorBidi" w:hAnsiTheme="majorBidi" w:cstheme="majorBidi"/>
        </w:rPr>
        <w:footnoteReference w:id="67"/>
      </w:r>
      <w:r w:rsidRPr="00ED7E61">
        <w:rPr>
          <w:rFonts w:asciiTheme="majorBidi" w:hAnsiTheme="majorBidi" w:cstheme="majorBidi"/>
        </w:rPr>
        <w:t>,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 As per article 2 of the United Nations Declaration on Human Rights.</w:t>
      </w:r>
    </w:p>
    <w:p w14:paraId="053992CA" w14:textId="683E1EE6" w:rsidR="00697889" w:rsidRPr="00ED7E61" w:rsidRDefault="00C9506C" w:rsidP="00B10F0C">
      <w:pPr>
        <w:pStyle w:val="CBDNormalNumber"/>
        <w:numPr>
          <w:ilvl w:val="0"/>
          <w:numId w:val="98"/>
        </w:numPr>
        <w:shd w:val="clear" w:color="auto" w:fill="FFFFFF"/>
        <w:ind w:left="567" w:firstLine="0"/>
        <w:rPr>
          <w:rFonts w:asciiTheme="majorBidi" w:hAnsiTheme="majorBidi" w:cstheme="majorBidi"/>
        </w:rPr>
      </w:pPr>
      <w:r w:rsidRPr="00C9492A">
        <w:rPr>
          <w:color w:val="000000"/>
        </w:rPr>
        <w:t>Sex</w:t>
      </w:r>
      <w:r w:rsidRPr="00ED7E61">
        <w:rPr>
          <w:rFonts w:asciiTheme="majorBidi" w:hAnsiTheme="majorBidi" w:cstheme="majorBidi"/>
        </w:rPr>
        <w:t>-disaggregated data collection and analyses: Collection and analysis of data which is cross classified by sex, and which presents information separately for men and women, boys and girls. Sex-disaggregated data is necessary for effective gender analysis, as it is more difficult to identify real and potential inequalities in its absence.</w:t>
      </w:r>
    </w:p>
    <w:p w14:paraId="780C4D7B" w14:textId="2233B801" w:rsidR="00697889" w:rsidRPr="00ED7E61" w:rsidRDefault="00C9506C" w:rsidP="00B10F0C">
      <w:pPr>
        <w:pStyle w:val="CBDNormalNumber"/>
        <w:numPr>
          <w:ilvl w:val="0"/>
          <w:numId w:val="98"/>
        </w:numPr>
        <w:shd w:val="clear" w:color="auto" w:fill="FFFFFF"/>
        <w:ind w:left="567" w:firstLine="0"/>
        <w:rPr>
          <w:rFonts w:asciiTheme="majorBidi" w:hAnsiTheme="majorBidi" w:cstheme="majorBidi"/>
        </w:rPr>
      </w:pPr>
      <w:r w:rsidRPr="00C9492A">
        <w:rPr>
          <w:color w:val="000000"/>
        </w:rPr>
        <w:t>Gender</w:t>
      </w:r>
      <w:r w:rsidRPr="00ED7E61">
        <w:rPr>
          <w:rFonts w:asciiTheme="majorBidi" w:hAnsiTheme="majorBidi" w:cstheme="majorBidi"/>
        </w:rPr>
        <w:t xml:space="preserve"> Plan of Action: An officially negotiated and agreed upon document of the Kunming-Montreal Global Biodiversity framework who’s purpose is to support and promote the gender responsive implementation of the post-2020 global biodiversity framework. The plan will also support a gender responsive approach to applying the implementation mechanisms associated with the framework.</w:t>
      </w:r>
    </w:p>
    <w:p w14:paraId="153CC417" w14:textId="3D68FFB6" w:rsidR="00697889" w:rsidRPr="00ED7E61" w:rsidRDefault="00C9506C" w:rsidP="00B10F0C">
      <w:pPr>
        <w:pStyle w:val="CBDNormalNumber"/>
        <w:numPr>
          <w:ilvl w:val="0"/>
          <w:numId w:val="98"/>
        </w:numPr>
        <w:shd w:val="clear" w:color="auto" w:fill="FFFFFF"/>
        <w:ind w:left="567" w:firstLine="0"/>
        <w:rPr>
          <w:rFonts w:asciiTheme="majorBidi" w:hAnsiTheme="majorBidi" w:cstheme="majorBidi"/>
        </w:rPr>
      </w:pPr>
      <w:r w:rsidRPr="00ED7E61">
        <w:rPr>
          <w:rFonts w:asciiTheme="majorBidi" w:hAnsiTheme="majorBidi" w:cstheme="majorBidi"/>
        </w:rPr>
        <w:t>The three objectives of the convention: The</w:t>
      </w:r>
      <w:hyperlink r:id="rId613">
        <w:r w:rsidRPr="00ED7E61">
          <w:rPr>
            <w:rStyle w:val="Hyperlink"/>
            <w:rFonts w:asciiTheme="majorBidi" w:eastAsiaTheme="majorEastAsia" w:hAnsiTheme="majorBidi" w:cstheme="majorBidi"/>
          </w:rPr>
          <w:t xml:space="preserve"> Convention on Biological Diversity (CBD)</w:t>
        </w:r>
      </w:hyperlink>
      <w:r w:rsidRPr="00ED7E61">
        <w:rPr>
          <w:rFonts w:asciiTheme="majorBidi" w:hAnsiTheme="majorBidi" w:cstheme="majorBidi"/>
        </w:rPr>
        <w:t xml:space="preserve"> has three main objectives: the conservation of biological diversity; the sustainable use of the components of biological diversity; and the fair and equitable sharing of the benefits arising out of the utilization of genetic resources.</w:t>
      </w:r>
    </w:p>
    <w:p w14:paraId="3DEEA4CE" w14:textId="0EC994D5" w:rsidR="00697889" w:rsidRPr="00ED7E61" w:rsidRDefault="00C9506C" w:rsidP="00B10F0C">
      <w:pPr>
        <w:pStyle w:val="CBDNormalNumber"/>
        <w:numPr>
          <w:ilvl w:val="0"/>
          <w:numId w:val="98"/>
        </w:numPr>
        <w:shd w:val="clear" w:color="auto" w:fill="FFFFFF"/>
        <w:ind w:left="567" w:firstLine="0"/>
        <w:rPr>
          <w:rFonts w:asciiTheme="majorBidi" w:hAnsiTheme="majorBidi" w:cstheme="majorBidi"/>
        </w:rPr>
      </w:pPr>
      <w:r w:rsidRPr="00ED7E61">
        <w:rPr>
          <w:rFonts w:asciiTheme="majorBidi" w:hAnsiTheme="majorBidi" w:cstheme="majorBidi"/>
        </w:rPr>
        <w:t>Gender equality: The concept that women and men, girls and boys have equal conditions, treatment and opportunities for realizing their full potential, human rights and dignity, and for contributing to (and benefitting from) economic, social, cultural and political development. Gender equality is, therefore, the equal valuing by society of the similarities and the differences of men and women, and the roles they play. It is based on women and men being full partners in the home, community and society. Equality does not mean that women and men will become the same but that womens</w:t>
      </w:r>
      <w:r w:rsidR="008E26B4">
        <w:rPr>
          <w:rFonts w:asciiTheme="majorBidi" w:hAnsiTheme="majorBidi" w:cstheme="majorBidi"/>
        </w:rPr>
        <w:t>’</w:t>
      </w:r>
      <w:r w:rsidRPr="00ED7E61">
        <w:rPr>
          <w:rFonts w:asciiTheme="majorBidi" w:hAnsiTheme="majorBidi" w:cstheme="majorBidi"/>
        </w:rPr>
        <w:t xml:space="preserve"> and mens</w:t>
      </w:r>
      <w:r w:rsidR="008E26B4">
        <w:rPr>
          <w:rFonts w:asciiTheme="majorBidi" w:hAnsiTheme="majorBidi" w:cstheme="majorBidi"/>
        </w:rPr>
        <w:t>’</w:t>
      </w:r>
      <w:r w:rsidRPr="00ED7E61">
        <w:rPr>
          <w:rFonts w:asciiTheme="majorBidi" w:hAnsiTheme="majorBidi" w:cstheme="majorBidi"/>
        </w:rPr>
        <w:t xml:space="preserve"> rights, responsibilities and opportunities will not depend on whether they are born male or female. Gender equality implies that the interests, needs and priorities of both women and men and girls and boys are taken into consideration, recognizing the diversity of different groups and that all human beings are free to develop their personal abilities and make choices without the limitations set by stereotypes and prejudices about gender roles. Gender equality is a matter of human rights and is considered a precondition for, and indicator of, sustainable people-centred development.</w:t>
      </w:r>
    </w:p>
    <w:p w14:paraId="5D5E8005" w14:textId="626582DF" w:rsidR="00697889" w:rsidRPr="00ED7E61" w:rsidRDefault="00C9506C" w:rsidP="00B10F0C">
      <w:pPr>
        <w:pStyle w:val="CBDNormalNumber"/>
        <w:numPr>
          <w:ilvl w:val="0"/>
          <w:numId w:val="98"/>
        </w:numPr>
        <w:shd w:val="clear" w:color="auto" w:fill="FFFFFF"/>
        <w:ind w:left="567" w:firstLine="0"/>
        <w:rPr>
          <w:rFonts w:asciiTheme="majorBidi" w:hAnsiTheme="majorBidi" w:cstheme="majorBidi"/>
        </w:rPr>
      </w:pPr>
      <w:r w:rsidRPr="00ED7E61">
        <w:rPr>
          <w:rFonts w:asciiTheme="majorBidi" w:hAnsiTheme="majorBidi" w:cstheme="majorBidi"/>
        </w:rPr>
        <w:t>Decision-making: The process of making decisions can happen at the individual level or amongst groups and entails the prioritisation of certain values. This prioritization greatly influences which issues are found worthy of consideration, do and do not become part of the agenda, as well as determine which decision-makers are considered socially legitimate to participate in the process.</w:t>
      </w:r>
    </w:p>
    <w:p w14:paraId="31290F2C" w14:textId="016DB462" w:rsidR="00697889" w:rsidRPr="00ED7E61" w:rsidRDefault="00C9506C" w:rsidP="00B10F0C">
      <w:pPr>
        <w:pStyle w:val="CBDNormalNumber"/>
        <w:numPr>
          <w:ilvl w:val="0"/>
          <w:numId w:val="98"/>
        </w:numPr>
        <w:shd w:val="clear" w:color="auto" w:fill="FFFFFF"/>
        <w:ind w:left="567" w:firstLine="0"/>
        <w:rPr>
          <w:rFonts w:asciiTheme="majorBidi" w:hAnsiTheme="majorBidi" w:cstheme="majorBidi"/>
          <w:b/>
          <w:bCs/>
          <w:color w:val="000000" w:themeColor="text1"/>
        </w:rPr>
      </w:pPr>
      <w:r w:rsidRPr="00C9492A">
        <w:rPr>
          <w:rFonts w:asciiTheme="majorBidi" w:hAnsiTheme="majorBidi" w:cstheme="majorBidi"/>
        </w:rPr>
        <w:t>Explicitly</w:t>
      </w:r>
      <w:r w:rsidRPr="00ED7E61">
        <w:rPr>
          <w:rFonts w:asciiTheme="majorBidi" w:hAnsiTheme="majorBidi" w:cstheme="majorBidi"/>
          <w:color w:val="000000" w:themeColor="text1"/>
        </w:rPr>
        <w:t xml:space="preserve"> recognise and protect: </w:t>
      </w:r>
      <w:r w:rsidRPr="00ED7E61">
        <w:rPr>
          <w:rFonts w:asciiTheme="majorBidi" w:hAnsiTheme="majorBidi" w:cstheme="majorBidi"/>
        </w:rPr>
        <w:t xml:space="preserve">Women and girls rights to, access to and control of land and natural or biodiversity resources need to be acknowledged and guaranteed in legislation and policy, in accordance with the Gender Plan of Action. To advance this recognition, it is important that sex-disaggregated data be </w:t>
      </w:r>
      <w:r w:rsidR="00CE7236" w:rsidRPr="00ED7E61">
        <w:rPr>
          <w:rFonts w:asciiTheme="majorBidi" w:hAnsiTheme="majorBidi" w:cstheme="majorBidi"/>
        </w:rPr>
        <w:t>collected,</w:t>
      </w:r>
      <w:r w:rsidRPr="00ED7E61">
        <w:rPr>
          <w:rFonts w:asciiTheme="majorBidi" w:hAnsiTheme="majorBidi" w:cstheme="majorBidi"/>
        </w:rPr>
        <w:t xml:space="preserve"> and that gender-related roles and needs be taken into account, as opposed to a gender-blind approach.</w:t>
      </w:r>
    </w:p>
    <w:p w14:paraId="3D3AFC1B" w14:textId="771ABDCD" w:rsidR="00C9506C" w:rsidRPr="00ED7E61" w:rsidRDefault="00C9506C" w:rsidP="00B10F0C">
      <w:pPr>
        <w:pStyle w:val="CBDNormalNumber"/>
        <w:numPr>
          <w:ilvl w:val="0"/>
          <w:numId w:val="98"/>
        </w:numPr>
        <w:shd w:val="clear" w:color="auto" w:fill="FFFFFF"/>
        <w:ind w:left="567" w:firstLine="0"/>
        <w:rPr>
          <w:rFonts w:asciiTheme="majorBidi" w:hAnsiTheme="majorBidi" w:cstheme="majorBidi"/>
        </w:rPr>
      </w:pPr>
      <w:r w:rsidRPr="00ED7E61">
        <w:rPr>
          <w:rFonts w:asciiTheme="majorBidi" w:hAnsiTheme="majorBidi" w:cstheme="majorBidi"/>
        </w:rPr>
        <w:t>Participation and leadership at all levels of action: Women are often not provided with the same opportunities to participate in decision-making as men or to serve in leadership roles. Analysis has shown that opportunities for effective action on biodiversity are missed due to insufficient involvement of women in these ways. Womens</w:t>
      </w:r>
      <w:r w:rsidR="008E26B4">
        <w:rPr>
          <w:rFonts w:asciiTheme="majorBidi" w:hAnsiTheme="majorBidi" w:cstheme="majorBidi"/>
        </w:rPr>
        <w:t>’</w:t>
      </w:r>
      <w:r w:rsidRPr="00ED7E61">
        <w:rPr>
          <w:rFonts w:asciiTheme="majorBidi" w:hAnsiTheme="majorBidi" w:cstheme="majorBidi"/>
        </w:rPr>
        <w:t xml:space="preserve"> participation and representation in decision-making processes related to biodiversity conservation and sustainable use must be promoted. This includes ensuring that women are represented in policy-making bodies, community meetings and other decision-making forums.</w:t>
      </w:r>
    </w:p>
    <w:p w14:paraId="3D43D63D" w14:textId="7FD3C5AE" w:rsidR="00C9506C" w:rsidRPr="006935BC" w:rsidRDefault="00C9506C" w:rsidP="00C9506C">
      <w:pPr>
        <w:jc w:val="both"/>
        <w:rPr>
          <w:rFonts w:asciiTheme="majorBidi" w:hAnsiTheme="majorBidi" w:cstheme="majorBidi"/>
          <w:b/>
          <w:bCs/>
          <w:sz w:val="22"/>
          <w:szCs w:val="22"/>
        </w:rPr>
      </w:pPr>
      <w:r w:rsidRPr="00ED7E61">
        <w:rPr>
          <w:rFonts w:asciiTheme="majorBidi" w:hAnsiTheme="majorBidi" w:cstheme="majorBidi"/>
          <w:b/>
          <w:bCs/>
          <w:sz w:val="22"/>
          <w:szCs w:val="22"/>
        </w:rPr>
        <w:t>Method of Computation</w:t>
      </w:r>
    </w:p>
    <w:p w14:paraId="6E7EAD89" w14:textId="0738A3E5" w:rsidR="00C9506C" w:rsidRDefault="00C9506C" w:rsidP="00B10F0C">
      <w:pPr>
        <w:pStyle w:val="CBDNormalNumber"/>
        <w:numPr>
          <w:ilvl w:val="0"/>
          <w:numId w:val="98"/>
        </w:numPr>
        <w:shd w:val="clear" w:color="auto" w:fill="FFFFFF"/>
        <w:ind w:left="567" w:firstLine="0"/>
        <w:rPr>
          <w:rFonts w:asciiTheme="majorBidi" w:hAnsiTheme="majorBidi" w:cstheme="majorBidi"/>
        </w:rPr>
      </w:pPr>
      <w:r w:rsidRPr="00ED7E61">
        <w:rPr>
          <w:rFonts w:asciiTheme="majorBidi" w:hAnsiTheme="majorBidi" w:cstheme="majorBidi"/>
        </w:rPr>
        <w:t>This indicator is a binary indicator and must be compiled from the answers to four questions:</w:t>
      </w:r>
    </w:p>
    <w:p w14:paraId="01C280DD" w14:textId="77777777" w:rsidR="00C9492A" w:rsidRPr="00ED7E61" w:rsidRDefault="00C9492A" w:rsidP="00B10F0C">
      <w:pPr>
        <w:pStyle w:val="CBDNormalNumber"/>
        <w:numPr>
          <w:ilvl w:val="1"/>
          <w:numId w:val="98"/>
        </w:numPr>
        <w:tabs>
          <w:tab w:val="clear" w:pos="567"/>
          <w:tab w:val="clear" w:pos="1134"/>
          <w:tab w:val="clear" w:pos="2268"/>
          <w:tab w:val="left" w:pos="1985"/>
        </w:tabs>
        <w:ind w:left="567" w:firstLine="531"/>
        <w:rPr>
          <w:rFonts w:asciiTheme="majorBidi" w:hAnsiTheme="majorBidi" w:cstheme="majorBidi"/>
        </w:rPr>
      </w:pPr>
      <w:r w:rsidRPr="00ED7E61">
        <w:rPr>
          <w:rFonts w:asciiTheme="majorBidi" w:hAnsiTheme="majorBidi" w:cstheme="majorBidi"/>
        </w:rPr>
        <w:t>23.1 Does your country have mechanisms for facilitating the full, equitable, meaningful and informed participation and leadership of all women and girls at all levels of action, engagement, policy and decision-making related to biodiversity?</w:t>
      </w:r>
    </w:p>
    <w:p w14:paraId="1DD642DA" w14:textId="57F05D41" w:rsidR="00C9492A" w:rsidRPr="00ED7E61" w:rsidRDefault="00C9492A" w:rsidP="00B10F0C">
      <w:pPr>
        <w:pStyle w:val="CBDNormalNumber"/>
        <w:numPr>
          <w:ilvl w:val="1"/>
          <w:numId w:val="98"/>
        </w:numPr>
        <w:tabs>
          <w:tab w:val="clear" w:pos="567"/>
          <w:tab w:val="clear" w:pos="1134"/>
          <w:tab w:val="clear" w:pos="2268"/>
          <w:tab w:val="left" w:pos="1985"/>
        </w:tabs>
        <w:ind w:left="567" w:firstLine="531"/>
        <w:rPr>
          <w:rFonts w:asciiTheme="majorBidi" w:hAnsiTheme="majorBidi" w:cstheme="majorBidi"/>
        </w:rPr>
      </w:pPr>
      <w:r w:rsidRPr="00ED7E61">
        <w:rPr>
          <w:rFonts w:asciiTheme="majorBidi" w:hAnsiTheme="majorBidi" w:cstheme="majorBidi"/>
        </w:rPr>
        <w:t>23.2 Has your country adopted legislation or policy measures that explicitly recognize and protect all women and girls rights and access to land and natural or biodiversity resources?</w:t>
      </w:r>
    </w:p>
    <w:p w14:paraId="3FCF7140" w14:textId="77777777" w:rsidR="00C9492A" w:rsidRPr="00ED7E61" w:rsidRDefault="00C9492A" w:rsidP="00B10F0C">
      <w:pPr>
        <w:pStyle w:val="CBDNormalNumber"/>
        <w:numPr>
          <w:ilvl w:val="1"/>
          <w:numId w:val="98"/>
        </w:numPr>
        <w:tabs>
          <w:tab w:val="clear" w:pos="567"/>
          <w:tab w:val="clear" w:pos="1134"/>
          <w:tab w:val="clear" w:pos="2268"/>
          <w:tab w:val="left" w:pos="1985"/>
        </w:tabs>
        <w:ind w:left="567" w:firstLine="531"/>
        <w:rPr>
          <w:rFonts w:asciiTheme="majorBidi" w:hAnsiTheme="majorBidi" w:cstheme="majorBidi"/>
        </w:rPr>
      </w:pPr>
      <w:r w:rsidRPr="00ED7E61">
        <w:rPr>
          <w:rFonts w:asciiTheme="majorBidi" w:hAnsiTheme="majorBidi" w:cstheme="majorBidi"/>
        </w:rPr>
        <w:t>23.3 Does your country explicitly apply a gender-responsive approach and recognize the contributions and roles of women and girls in its implementation of the Framework through its national reports of national biodiversity strategy action plan?</w:t>
      </w:r>
    </w:p>
    <w:p w14:paraId="14387CBE" w14:textId="77777777" w:rsidR="00C9492A" w:rsidRPr="00ED7E61" w:rsidRDefault="00C9492A" w:rsidP="00B10F0C">
      <w:pPr>
        <w:pStyle w:val="CBDNormalNumber"/>
        <w:numPr>
          <w:ilvl w:val="1"/>
          <w:numId w:val="98"/>
        </w:numPr>
        <w:tabs>
          <w:tab w:val="clear" w:pos="567"/>
          <w:tab w:val="clear" w:pos="1134"/>
          <w:tab w:val="clear" w:pos="2268"/>
          <w:tab w:val="left" w:pos="1985"/>
        </w:tabs>
        <w:ind w:left="567" w:firstLine="531"/>
        <w:rPr>
          <w:rFonts w:asciiTheme="majorBidi" w:hAnsiTheme="majorBidi" w:cstheme="majorBidi"/>
        </w:rPr>
      </w:pPr>
      <w:r w:rsidRPr="00ED7E61">
        <w:rPr>
          <w:rFonts w:asciiTheme="majorBidi" w:hAnsiTheme="majorBidi" w:cstheme="majorBidi"/>
        </w:rPr>
        <w:t>23.4 Does your country conduct sex-disaggregated data collection and analyses to assess the differential impacts of biodiversity policies and programmes?</w:t>
      </w:r>
    </w:p>
    <w:p w14:paraId="1C1540DC" w14:textId="78A81D96" w:rsidR="00C9506C" w:rsidRPr="00C9492A" w:rsidRDefault="00C9506C" w:rsidP="00B10F0C">
      <w:pPr>
        <w:pStyle w:val="CBDNormalNumber"/>
        <w:numPr>
          <w:ilvl w:val="0"/>
          <w:numId w:val="98"/>
        </w:numPr>
        <w:shd w:val="clear" w:color="auto" w:fill="FFFFFF"/>
        <w:ind w:left="567" w:firstLine="0"/>
        <w:rPr>
          <w:color w:val="000000"/>
          <w:lang w:val="en-US"/>
        </w:rPr>
      </w:pPr>
      <w:r w:rsidRPr="00C9492A">
        <w:rPr>
          <w:rFonts w:asciiTheme="majorBidi" w:hAnsiTheme="majorBidi" w:cstheme="majorBidi"/>
        </w:rPr>
        <w:t>There</w:t>
      </w:r>
      <w:r w:rsidRPr="00ED7E61">
        <w:rPr>
          <w:rFonts w:asciiTheme="majorBidi" w:hAnsiTheme="majorBidi" w:cstheme="majorBidi"/>
          <w:color w:val="000000"/>
          <w:lang w:val="en-US"/>
        </w:rPr>
        <w:t xml:space="preserve"> are four possible answers to each of these questions</w:t>
      </w:r>
      <w:r w:rsidR="005F316C" w:rsidRPr="00ED7E61">
        <w:rPr>
          <w:rStyle w:val="FootnoteReference"/>
          <w:rFonts w:asciiTheme="majorBidi" w:hAnsiTheme="majorBidi" w:cstheme="majorBidi"/>
          <w:color w:val="000000"/>
          <w:lang w:val="en-US"/>
        </w:rPr>
        <w:footnoteReference w:id="68"/>
      </w:r>
      <w:r w:rsidRPr="00ED7E61">
        <w:rPr>
          <w:rFonts w:asciiTheme="majorBidi" w:hAnsiTheme="majorBidi" w:cstheme="majorBidi"/>
          <w:color w:val="000000"/>
          <w:lang w:val="en-US"/>
        </w:rPr>
        <w:t>:</w:t>
      </w:r>
    </w:p>
    <w:p w14:paraId="67DE125B"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hanging="567"/>
        <w:rPr>
          <w:rFonts w:asciiTheme="majorBidi" w:hAnsiTheme="majorBidi" w:cstheme="majorBidi"/>
        </w:rPr>
      </w:pPr>
      <w:r w:rsidRPr="00ED7E61">
        <w:rPr>
          <w:rFonts w:asciiTheme="majorBidi" w:hAnsiTheme="majorBidi" w:cstheme="majorBidi"/>
        </w:rPr>
        <w:t>No</w:t>
      </w:r>
    </w:p>
    <w:p w14:paraId="4D732372"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hanging="567"/>
        <w:rPr>
          <w:rFonts w:asciiTheme="majorBidi" w:hAnsiTheme="majorBidi" w:cstheme="majorBidi"/>
        </w:rPr>
      </w:pPr>
      <w:r w:rsidRPr="00ED7E61">
        <w:rPr>
          <w:rFonts w:asciiTheme="majorBidi" w:hAnsiTheme="majorBidi" w:cstheme="majorBidi"/>
        </w:rPr>
        <w:t>Under development</w:t>
      </w:r>
    </w:p>
    <w:p w14:paraId="5523A5F4"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hanging="567"/>
        <w:rPr>
          <w:rFonts w:asciiTheme="majorBidi" w:hAnsiTheme="majorBidi" w:cstheme="majorBidi"/>
        </w:rPr>
      </w:pPr>
      <w:r w:rsidRPr="00ED7E61">
        <w:rPr>
          <w:rFonts w:asciiTheme="majorBidi" w:hAnsiTheme="majorBidi" w:cstheme="majorBidi"/>
        </w:rPr>
        <w:t>Partially</w:t>
      </w:r>
    </w:p>
    <w:p w14:paraId="53A25DCD"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hanging="567"/>
        <w:rPr>
          <w:rFonts w:asciiTheme="majorBidi" w:hAnsiTheme="majorBidi" w:cstheme="majorBidi"/>
        </w:rPr>
      </w:pPr>
      <w:r w:rsidRPr="00ED7E61">
        <w:rPr>
          <w:rFonts w:asciiTheme="majorBidi" w:hAnsiTheme="majorBidi" w:cstheme="majorBidi"/>
        </w:rPr>
        <w:t>Fully</w:t>
      </w:r>
    </w:p>
    <w:p w14:paraId="034EFBF5" w14:textId="77777777" w:rsidR="00C9506C" w:rsidRDefault="00C9506C" w:rsidP="00B10F0C">
      <w:pPr>
        <w:pStyle w:val="CBDNormalNumber"/>
        <w:numPr>
          <w:ilvl w:val="0"/>
          <w:numId w:val="98"/>
        </w:numPr>
        <w:shd w:val="clear" w:color="auto" w:fill="FFFFFF"/>
        <w:ind w:left="567" w:firstLine="0"/>
        <w:rPr>
          <w:rFonts w:asciiTheme="majorBidi" w:hAnsiTheme="majorBidi" w:cstheme="majorBidi"/>
        </w:rPr>
      </w:pPr>
      <w:r w:rsidRPr="00C9492A">
        <w:rPr>
          <w:rFonts w:asciiTheme="majorBidi" w:hAnsiTheme="majorBidi" w:cstheme="majorBidi"/>
        </w:rPr>
        <w:t>A “</w:t>
      </w:r>
      <w:r w:rsidRPr="00FB1598">
        <w:rPr>
          <w:rFonts w:asciiTheme="majorBidi" w:hAnsiTheme="majorBidi" w:cstheme="majorBidi"/>
        </w:rPr>
        <w:t>No</w:t>
      </w:r>
      <w:r w:rsidRPr="00C9492A">
        <w:rPr>
          <w:rFonts w:asciiTheme="majorBidi" w:hAnsiTheme="majorBidi" w:cstheme="majorBidi"/>
        </w:rPr>
        <w:t>” answer implies that:</w:t>
      </w:r>
    </w:p>
    <w:p w14:paraId="0EE64441"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there are no mechanisms in place to facilitate the participation and leadership of women and girls at any level of action, engagement, policy and decision-making related to biodiversity (23.1)</w:t>
      </w:r>
    </w:p>
    <w:p w14:paraId="32D522EB"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there is no recognition of women and girls’ rights related to land and natural or biodiversity resources in legislation or policy (23.2)</w:t>
      </w:r>
    </w:p>
    <w:p w14:paraId="35A958C7"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 xml:space="preserve">there is no recognition of gender nor the contributions and roles of women and girls in the implementation of the Framework (23.3) </w:t>
      </w:r>
    </w:p>
    <w:p w14:paraId="3CBFA81B"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no sex-disaggregated data has been collected (23.4)</w:t>
      </w:r>
    </w:p>
    <w:p w14:paraId="6E0EB249" w14:textId="043C3B56" w:rsidR="00C9506C" w:rsidRDefault="00C9506C" w:rsidP="00B10F0C">
      <w:pPr>
        <w:pStyle w:val="CBDNormalNumber"/>
        <w:numPr>
          <w:ilvl w:val="0"/>
          <w:numId w:val="98"/>
        </w:numPr>
        <w:shd w:val="clear" w:color="auto" w:fill="FFFFFF"/>
        <w:ind w:left="567" w:firstLine="0"/>
        <w:rPr>
          <w:rFonts w:asciiTheme="majorBidi" w:hAnsiTheme="majorBidi" w:cstheme="majorBidi"/>
        </w:rPr>
      </w:pPr>
      <w:r w:rsidRPr="00ED7E61">
        <w:rPr>
          <w:rFonts w:asciiTheme="majorBidi" w:hAnsiTheme="majorBidi" w:cstheme="majorBidi"/>
        </w:rPr>
        <w:t>An “</w:t>
      </w:r>
      <w:r w:rsidRPr="00FB1598">
        <w:rPr>
          <w:rFonts w:asciiTheme="majorBidi" w:hAnsiTheme="majorBidi" w:cstheme="majorBidi"/>
          <w:i/>
          <w:iCs/>
        </w:rPr>
        <w:t>Under development</w:t>
      </w:r>
      <w:r w:rsidRPr="00ED7E61">
        <w:rPr>
          <w:rFonts w:asciiTheme="majorBidi" w:hAnsiTheme="majorBidi" w:cstheme="majorBidi"/>
        </w:rPr>
        <w:t>” answer implies a concerted effort at the national level to:</w:t>
      </w:r>
    </w:p>
    <w:p w14:paraId="5D9C2E2F"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begin the process of facilitating the inclusion of women and girls (23.1) and recognize their rights (23.2) through the proposal of official legislation or measures. For example, there may be a drafted bill, proposed text or consultation but these have not yet been ratified nor implemented.</w:t>
      </w:r>
    </w:p>
    <w:p w14:paraId="4BA4B5D0"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recognise gender in the application of the Framework or in national reports or the national biodiversity strategy and action plan (NBSAP – 23.3). That is, gender is explicitly mentioned in proposed initiatives for the implementation of the Framework (e.g. the establishment of a new protected area) or the NBSAP has been revised to include gender considerations but not yet adopted.</w:t>
      </w:r>
    </w:p>
    <w:p w14:paraId="78D9B4F3" w14:textId="0B5F1DF8" w:rsidR="00C9492A" w:rsidRPr="006935BC"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collect sex-disaggregated data but none is available yet, e.g. surveys have been revised to include gender considerations but not been distributed yet (23.4)</w:t>
      </w:r>
    </w:p>
    <w:p w14:paraId="76337D4E" w14:textId="5B0D60A6" w:rsidR="00C9506C" w:rsidRPr="00ED7E61" w:rsidRDefault="00C9506C" w:rsidP="00B10F0C">
      <w:pPr>
        <w:pStyle w:val="CBDNormalNumber"/>
        <w:numPr>
          <w:ilvl w:val="0"/>
          <w:numId w:val="98"/>
        </w:numPr>
        <w:shd w:val="clear" w:color="auto" w:fill="FFFFFF"/>
        <w:ind w:left="567" w:firstLine="0"/>
        <w:rPr>
          <w:rFonts w:asciiTheme="majorBidi" w:hAnsiTheme="majorBidi" w:cstheme="majorBidi"/>
        </w:rPr>
      </w:pPr>
      <w:r w:rsidRPr="00ED7E61">
        <w:rPr>
          <w:rFonts w:asciiTheme="majorBidi" w:hAnsiTheme="majorBidi" w:cstheme="majorBidi"/>
        </w:rPr>
        <w:t>In all cases, clear efforts can be seen (e.g. draft bills, revised reporting, ...) to progress towards the target but these are not yet in place and producing results.</w:t>
      </w:r>
    </w:p>
    <w:p w14:paraId="306006C8" w14:textId="5B8C2C38" w:rsidR="00C9506C" w:rsidRPr="00C9492A" w:rsidRDefault="00C9506C" w:rsidP="00B10F0C">
      <w:pPr>
        <w:pStyle w:val="CBDNormalNumber"/>
        <w:numPr>
          <w:ilvl w:val="0"/>
          <w:numId w:val="98"/>
        </w:numPr>
        <w:shd w:val="clear" w:color="auto" w:fill="FFFFFF"/>
        <w:ind w:left="567" w:firstLine="0"/>
        <w:rPr>
          <w:rFonts w:asciiTheme="majorBidi" w:hAnsiTheme="majorBidi" w:cstheme="majorBidi"/>
          <w:color w:val="000000" w:themeColor="text1"/>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Partially</w:t>
      </w:r>
      <w:r w:rsidRPr="00ED7E61">
        <w:rPr>
          <w:rFonts w:asciiTheme="majorBidi" w:hAnsiTheme="majorBidi" w:cstheme="majorBidi"/>
          <w:color w:val="000000"/>
          <w:lang w:val="en-US"/>
        </w:rPr>
        <w:t>” answer implies that:</w:t>
      </w:r>
    </w:p>
    <w:p w14:paraId="37FA8FD9"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mechanisms are in place (e.g. bills ratified, resources allocated) to facilitate the full, equitable, meaningful and informed participation or leadership of women and girls at different levels of action, engagement, policy or decision-making (23.1). That is, either participation or leadership may still be missing and not all women and girls are represented at all levels of action, engagement, policy or decision-making.</w:t>
      </w:r>
    </w:p>
    <w:p w14:paraId="226D50C6" w14:textId="3B366326"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legislation or policy measures that explicitly recognize and protect women and girls rights or access to land or natural or biodiversity resources (23.2). That is, either legislation or policy may still be missing or failing to protect both rights and access to either land or natural or biodiversity resources.</w:t>
      </w:r>
    </w:p>
    <w:p w14:paraId="56C086B5"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gender is recognized in the application of the Framework or in national reports or NBSAP (23.3) but the resources, both human and/or financial, are lacking to implement the new gender-responsive approach.</w:t>
      </w:r>
    </w:p>
    <w:p w14:paraId="32FCB23C"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surveys designed to collect sex-disaggregated data have been produced and are being used and distributed (23.4). Select this answer even if no data is available yet from the release of these surveys.</w:t>
      </w:r>
    </w:p>
    <w:p w14:paraId="402CBB25" w14:textId="77777777" w:rsidR="00C9506C" w:rsidRPr="00ED7E61" w:rsidRDefault="00C9506C" w:rsidP="00B10F0C">
      <w:pPr>
        <w:pStyle w:val="CBDNormalNumber"/>
        <w:numPr>
          <w:ilvl w:val="0"/>
          <w:numId w:val="98"/>
        </w:numPr>
        <w:shd w:val="clear" w:color="auto" w:fill="FFFFFF"/>
        <w:ind w:left="567" w:firstLine="0"/>
        <w:rPr>
          <w:rFonts w:asciiTheme="majorBidi" w:hAnsiTheme="majorBidi" w:cstheme="majorBidi"/>
          <w:color w:val="000000"/>
          <w:lang w:val="en-US"/>
        </w:rPr>
      </w:pPr>
      <w:r w:rsidRPr="00ED7E61">
        <w:rPr>
          <w:rFonts w:asciiTheme="majorBidi" w:hAnsiTheme="majorBidi" w:cstheme="majorBidi"/>
          <w:color w:val="000000"/>
          <w:lang w:val="en-US"/>
        </w:rPr>
        <w:t>In each of the cases outlined above some elements of the question have not been achieved or the resources for them to be effectively implemented are lacking.</w:t>
      </w:r>
    </w:p>
    <w:p w14:paraId="180C55B0" w14:textId="0EF42478" w:rsidR="00C9506C" w:rsidRPr="00ED7E61" w:rsidRDefault="00C9506C" w:rsidP="00B10F0C">
      <w:pPr>
        <w:pStyle w:val="CBDNormalNumber"/>
        <w:numPr>
          <w:ilvl w:val="0"/>
          <w:numId w:val="98"/>
        </w:numPr>
        <w:shd w:val="clear" w:color="auto" w:fill="FFFFFF"/>
        <w:ind w:left="567" w:firstLine="0"/>
        <w:rPr>
          <w:rFonts w:asciiTheme="majorBidi" w:hAnsiTheme="majorBidi" w:cstheme="majorBidi"/>
          <w:color w:val="000000"/>
          <w:lang w:val="en-US"/>
        </w:rPr>
      </w:pPr>
      <w:r w:rsidRPr="00ED7E61">
        <w:rPr>
          <w:rFonts w:asciiTheme="majorBidi" w:hAnsiTheme="majorBidi" w:cstheme="majorBidi"/>
          <w:color w:val="000000"/>
          <w:lang w:val="en-US"/>
        </w:rPr>
        <w:t>A “</w:t>
      </w:r>
      <w:r w:rsidRPr="00FB1598">
        <w:rPr>
          <w:rFonts w:asciiTheme="majorBidi" w:hAnsiTheme="majorBidi" w:cstheme="majorBidi"/>
          <w:i/>
          <w:iCs/>
          <w:color w:val="000000"/>
          <w:lang w:val="en-US"/>
        </w:rPr>
        <w:t>Fully</w:t>
      </w:r>
      <w:r w:rsidRPr="00ED7E61">
        <w:rPr>
          <w:rFonts w:asciiTheme="majorBidi" w:hAnsiTheme="majorBidi" w:cstheme="majorBidi"/>
          <w:color w:val="000000"/>
          <w:lang w:val="en-US"/>
        </w:rPr>
        <w:t>” answer implies that all the conditions outlined in “</w:t>
      </w:r>
      <w:r w:rsidRPr="00FB1598">
        <w:rPr>
          <w:rFonts w:asciiTheme="majorBidi" w:hAnsiTheme="majorBidi" w:cstheme="majorBidi"/>
          <w:i/>
          <w:iCs/>
          <w:color w:val="000000"/>
          <w:lang w:val="en-US"/>
        </w:rPr>
        <w:t>Partially</w:t>
      </w:r>
      <w:r w:rsidRPr="00ED7E61">
        <w:rPr>
          <w:rFonts w:asciiTheme="majorBidi" w:hAnsiTheme="majorBidi" w:cstheme="majorBidi"/>
          <w:color w:val="000000"/>
          <w:lang w:val="en-US"/>
        </w:rPr>
        <w:t>” have been met. Namely that:</w:t>
      </w:r>
    </w:p>
    <w:p w14:paraId="4B82AFD3"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 xml:space="preserve">mechanisms are in place (e.g. bills ratified, resources allocated) to facilitate the full, equitable, meaningful and informed participation and leadership of women and girls at all levels of action, engagement, policy or decision-making (23.1). </w:t>
      </w:r>
    </w:p>
    <w:p w14:paraId="6FA00BB7" w14:textId="30868F28"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legislation and policy measures that explicitly recognize and protect women and girls rights and access to land or natural or biodiversity resources are fully in place and covering all aspects of 23.2.</w:t>
      </w:r>
    </w:p>
    <w:p w14:paraId="69EE520E" w14:textId="77777777" w:rsidR="00C9492A" w:rsidRPr="00ED7E61"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gender is recognized in the application of the Framework and in national reports and NBSAP (23.3) and these have been implemented in such a way that can be objectively verified (e.g. the impact on women and girls was studied in the proposal of a new protected area).</w:t>
      </w:r>
    </w:p>
    <w:p w14:paraId="5C49D9E4" w14:textId="15334269" w:rsidR="00756F0F" w:rsidRPr="006935BC" w:rsidRDefault="00C9492A" w:rsidP="00B10F0C">
      <w:pPr>
        <w:pStyle w:val="CBDNormalNumber"/>
        <w:numPr>
          <w:ilvl w:val="1"/>
          <w:numId w:val="98"/>
        </w:numPr>
        <w:tabs>
          <w:tab w:val="clear" w:pos="567"/>
          <w:tab w:val="clear" w:pos="1134"/>
          <w:tab w:val="clear" w:pos="1701"/>
          <w:tab w:val="clear" w:pos="2268"/>
          <w:tab w:val="left" w:pos="1985"/>
        </w:tabs>
        <w:ind w:left="1701"/>
        <w:rPr>
          <w:rFonts w:asciiTheme="majorBidi" w:hAnsiTheme="majorBidi" w:cstheme="majorBidi"/>
        </w:rPr>
      </w:pPr>
      <w:r w:rsidRPr="00ED7E61">
        <w:rPr>
          <w:rFonts w:asciiTheme="majorBidi" w:hAnsiTheme="majorBidi" w:cstheme="majorBidi"/>
        </w:rPr>
        <w:t>sex-disaggregated data are being collected and analyzed (23.4)</w:t>
      </w:r>
    </w:p>
    <w:p w14:paraId="75CEEEAC" w14:textId="77777777" w:rsidR="00454E8D" w:rsidRPr="00ED7E61" w:rsidRDefault="00454E8D" w:rsidP="00395866">
      <w:pPr>
        <w:rPr>
          <w:rFonts w:asciiTheme="majorBidi" w:hAnsiTheme="majorBidi" w:cstheme="majorBidi"/>
          <w:sz w:val="22"/>
          <w:szCs w:val="22"/>
        </w:rPr>
      </w:pPr>
      <w:r w:rsidRPr="00ED7E61">
        <w:rPr>
          <w:rFonts w:asciiTheme="majorBidi" w:hAnsiTheme="majorBidi" w:cstheme="majorBidi"/>
          <w:sz w:val="22"/>
          <w:szCs w:val="22"/>
        </w:rPr>
        <w:br w:type="page"/>
      </w:r>
    </w:p>
    <w:p w14:paraId="693E8D47" w14:textId="46557DEF" w:rsidR="00764225" w:rsidRPr="006935BC" w:rsidRDefault="00FA3866" w:rsidP="006935BC">
      <w:pPr>
        <w:pStyle w:val="Heading2"/>
        <w:rPr>
          <w:b/>
          <w:bCs/>
        </w:rPr>
      </w:pPr>
      <w:bookmarkStart w:id="82" w:name="_Toc178285885"/>
      <w:r w:rsidRPr="00ED7E61">
        <w:rPr>
          <w:b/>
          <w:bCs/>
        </w:rPr>
        <w:t xml:space="preserve">Annex </w:t>
      </w:r>
      <w:r w:rsidR="006935BC">
        <w:rPr>
          <w:b/>
          <w:bCs/>
        </w:rPr>
        <w:br/>
      </w:r>
      <w:r w:rsidR="00454E8D" w:rsidRPr="00ED7E61">
        <w:rPr>
          <w:b/>
          <w:bCs/>
        </w:rPr>
        <w:t>Glossary of key terms in the monitoring framework</w:t>
      </w:r>
      <w:bookmarkEnd w:id="82"/>
    </w:p>
    <w:p w14:paraId="76BE24FD" w14:textId="7723A534" w:rsidR="00764225" w:rsidRPr="00ED7E61" w:rsidRDefault="00764225" w:rsidP="006935BC">
      <w:pPr>
        <w:pStyle w:val="CBDNormalNumber"/>
        <w:numPr>
          <w:ilvl w:val="0"/>
          <w:numId w:val="0"/>
        </w:numPr>
        <w:shd w:val="clear" w:color="auto" w:fill="FFFFFF"/>
        <w:ind w:left="567"/>
        <w:rPr>
          <w:rStyle w:val="eop"/>
          <w:rFonts w:asciiTheme="majorBidi" w:hAnsiTheme="majorBidi" w:cstheme="majorBidi"/>
          <w:color w:val="000000"/>
          <w:shd w:val="clear" w:color="auto" w:fill="FFFFFF"/>
        </w:rPr>
      </w:pPr>
      <w:r w:rsidRPr="00C9492A">
        <w:rPr>
          <w:rFonts w:asciiTheme="majorBidi" w:hAnsiTheme="majorBidi" w:cstheme="majorBidi"/>
          <w:color w:val="000000"/>
          <w:lang w:val="en-US"/>
        </w:rPr>
        <w:t>The</w:t>
      </w:r>
      <w:r w:rsidRPr="00ED7E61">
        <w:rPr>
          <w:rStyle w:val="normaltextrun"/>
          <w:rFonts w:asciiTheme="majorBidi" w:eastAsiaTheme="majorEastAsia" w:hAnsiTheme="majorBidi" w:cstheme="majorBidi"/>
          <w:color w:val="000000"/>
          <w:shd w:val="clear" w:color="auto" w:fill="FFFFFF"/>
        </w:rPr>
        <w:t xml:space="preserve"> following glossary is </w:t>
      </w:r>
      <w:r w:rsidR="009C4E6D">
        <w:rPr>
          <w:rStyle w:val="normaltextrun"/>
          <w:rFonts w:asciiTheme="majorBidi" w:eastAsiaTheme="majorEastAsia" w:hAnsiTheme="majorBidi" w:cstheme="majorBidi"/>
          <w:color w:val="000000"/>
          <w:shd w:val="clear" w:color="auto" w:fill="FFFFFF"/>
        </w:rPr>
        <w:t xml:space="preserve">provided </w:t>
      </w:r>
      <w:r w:rsidR="00163D20" w:rsidRPr="00ED7E61">
        <w:rPr>
          <w:rStyle w:val="normaltextrun"/>
          <w:rFonts w:asciiTheme="majorBidi" w:eastAsiaTheme="majorEastAsia" w:hAnsiTheme="majorBidi" w:cstheme="majorBidi"/>
          <w:color w:val="000000"/>
          <w:shd w:val="clear" w:color="auto" w:fill="FFFFFF"/>
        </w:rPr>
        <w:t xml:space="preserve">as a reference only. The definitions included do not represent </w:t>
      </w:r>
      <w:r w:rsidRPr="00ED7E61">
        <w:rPr>
          <w:rStyle w:val="normaltextrun"/>
          <w:rFonts w:asciiTheme="majorBidi" w:eastAsiaTheme="majorEastAsia" w:hAnsiTheme="majorBidi" w:cstheme="majorBidi"/>
          <w:color w:val="000000"/>
          <w:shd w:val="clear" w:color="auto" w:fill="FFFFFF"/>
        </w:rPr>
        <w:t xml:space="preserve">negotiated </w:t>
      </w:r>
      <w:r w:rsidR="00163D20" w:rsidRPr="00ED7E61">
        <w:rPr>
          <w:rStyle w:val="normaltextrun"/>
          <w:rFonts w:asciiTheme="majorBidi" w:eastAsiaTheme="majorEastAsia" w:hAnsiTheme="majorBidi" w:cstheme="majorBidi"/>
          <w:color w:val="000000"/>
          <w:shd w:val="clear" w:color="auto" w:fill="FFFFFF"/>
        </w:rPr>
        <w:t>or agreed definitions, but they represent definitions that are used in the headline and binary indicators of the monitoring framework for the Kunming-Montreal Global Biodiversity Framework</w:t>
      </w:r>
      <w:r w:rsidRPr="00ED7E61">
        <w:rPr>
          <w:rStyle w:val="normaltextrun"/>
          <w:rFonts w:asciiTheme="majorBidi" w:eastAsiaTheme="majorEastAsia" w:hAnsiTheme="majorBidi" w:cstheme="majorBidi"/>
          <w:color w:val="000000"/>
          <w:shd w:val="clear" w:color="auto" w:fill="FFFFFF"/>
        </w:rPr>
        <w:t xml:space="preserve">. The definitions are provided to help guide for Parties </w:t>
      </w:r>
      <w:r w:rsidR="00163D20" w:rsidRPr="00ED7E61">
        <w:rPr>
          <w:rStyle w:val="normaltextrun"/>
          <w:rFonts w:asciiTheme="majorBidi" w:eastAsiaTheme="majorEastAsia" w:hAnsiTheme="majorBidi" w:cstheme="majorBidi"/>
          <w:color w:val="000000"/>
          <w:shd w:val="clear" w:color="auto" w:fill="FFFFFF"/>
        </w:rPr>
        <w:t>in applying the monitoring issues, to use as relevant or applicable.</w:t>
      </w:r>
    </w:p>
    <w:p w14:paraId="0BE44202" w14:textId="77777777" w:rsidR="00764225" w:rsidRPr="00ED7E61" w:rsidRDefault="00764225" w:rsidP="00395866">
      <w:pPr>
        <w:jc w:val="both"/>
        <w:rPr>
          <w:rStyle w:val="eop"/>
          <w:rFonts w:asciiTheme="majorBidi" w:hAnsiTheme="majorBidi" w:cstheme="majorBidi"/>
          <w:color w:val="000000"/>
          <w:sz w:val="22"/>
          <w:szCs w:val="22"/>
          <w:shd w:val="clear" w:color="auto" w:fill="FFFFF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7155"/>
      </w:tblGrid>
      <w:tr w:rsidR="00764225" w:rsidRPr="00ED7E61" w14:paraId="4316852D" w14:textId="77777777" w:rsidTr="00764225">
        <w:trPr>
          <w:trHeight w:val="435"/>
        </w:trPr>
        <w:tc>
          <w:tcPr>
            <w:tcW w:w="2055" w:type="dxa"/>
            <w:tcBorders>
              <w:top w:val="single" w:sz="6" w:space="0" w:color="auto"/>
              <w:left w:val="nil"/>
              <w:bottom w:val="single" w:sz="6" w:space="0" w:color="auto"/>
              <w:right w:val="nil"/>
            </w:tcBorders>
            <w:shd w:val="clear" w:color="auto" w:fill="auto"/>
            <w:hideMark/>
          </w:tcPr>
          <w:p w14:paraId="444B1C9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Term </w:t>
            </w:r>
          </w:p>
        </w:tc>
        <w:tc>
          <w:tcPr>
            <w:tcW w:w="7155" w:type="dxa"/>
            <w:tcBorders>
              <w:top w:val="single" w:sz="6" w:space="0" w:color="auto"/>
              <w:left w:val="nil"/>
              <w:bottom w:val="single" w:sz="6" w:space="0" w:color="auto"/>
              <w:right w:val="nil"/>
            </w:tcBorders>
            <w:shd w:val="clear" w:color="auto" w:fill="auto"/>
            <w:hideMark/>
          </w:tcPr>
          <w:p w14:paraId="10951A1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Definition </w:t>
            </w:r>
          </w:p>
        </w:tc>
      </w:tr>
      <w:tr w:rsidR="00764225" w:rsidRPr="00ED7E61" w14:paraId="37919846" w14:textId="77777777" w:rsidTr="00764225">
        <w:trPr>
          <w:trHeight w:val="795"/>
        </w:trPr>
        <w:tc>
          <w:tcPr>
            <w:tcW w:w="2055" w:type="dxa"/>
            <w:tcBorders>
              <w:top w:val="single" w:sz="6" w:space="0" w:color="auto"/>
              <w:left w:val="nil"/>
              <w:bottom w:val="nil"/>
              <w:right w:val="nil"/>
            </w:tcBorders>
            <w:shd w:val="clear" w:color="auto" w:fill="auto"/>
            <w:hideMark/>
          </w:tcPr>
          <w:p w14:paraId="51FFD84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Above-ground biomass </w:t>
            </w:r>
          </w:p>
        </w:tc>
        <w:tc>
          <w:tcPr>
            <w:tcW w:w="7155" w:type="dxa"/>
            <w:tcBorders>
              <w:top w:val="single" w:sz="6" w:space="0" w:color="auto"/>
              <w:left w:val="nil"/>
              <w:bottom w:val="nil"/>
              <w:right w:val="nil"/>
            </w:tcBorders>
            <w:shd w:val="clear" w:color="auto" w:fill="auto"/>
            <w:hideMark/>
          </w:tcPr>
          <w:p w14:paraId="5F18055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All living biomass above the soil including stem, stump, branches, bark, seeds, and foliage. (FAO, 2004-2021) </w:t>
            </w:r>
          </w:p>
        </w:tc>
      </w:tr>
      <w:tr w:rsidR="00764225" w:rsidRPr="00ED7E61" w14:paraId="7ADF0595" w14:textId="77777777" w:rsidTr="00764225">
        <w:trPr>
          <w:trHeight w:val="1020"/>
        </w:trPr>
        <w:tc>
          <w:tcPr>
            <w:tcW w:w="2055" w:type="dxa"/>
            <w:tcBorders>
              <w:top w:val="nil"/>
              <w:left w:val="nil"/>
              <w:bottom w:val="nil"/>
              <w:right w:val="nil"/>
            </w:tcBorders>
            <w:shd w:val="clear" w:color="auto" w:fill="auto"/>
            <w:hideMark/>
          </w:tcPr>
          <w:p w14:paraId="678B7BB6" w14:textId="6FCF7286"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Access and benefit sharing regulations </w:t>
            </w:r>
            <w:r w:rsidR="00AB03EE"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and measures </w:t>
            </w:r>
          </w:p>
        </w:tc>
        <w:tc>
          <w:tcPr>
            <w:tcW w:w="7155" w:type="dxa"/>
            <w:tcBorders>
              <w:top w:val="nil"/>
              <w:left w:val="nil"/>
              <w:bottom w:val="nil"/>
              <w:right w:val="nil"/>
            </w:tcBorders>
            <w:shd w:val="clear" w:color="auto" w:fill="auto"/>
            <w:hideMark/>
          </w:tcPr>
          <w:p w14:paraId="6D15DD7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Measures and regulations pertaining to the access and benefit-sharing of genetic resources set out in Article 1 of the Convention on Biological Diversity. </w:t>
            </w:r>
          </w:p>
        </w:tc>
      </w:tr>
      <w:tr w:rsidR="00764225" w:rsidRPr="00ED7E61" w14:paraId="4C6CED2C" w14:textId="77777777" w:rsidTr="00764225">
        <w:trPr>
          <w:trHeight w:val="1770"/>
        </w:trPr>
        <w:tc>
          <w:tcPr>
            <w:tcW w:w="2055" w:type="dxa"/>
            <w:tcBorders>
              <w:top w:val="nil"/>
              <w:left w:val="nil"/>
              <w:bottom w:val="nil"/>
              <w:right w:val="nil"/>
            </w:tcBorders>
            <w:shd w:val="clear" w:color="auto" w:fill="auto"/>
            <w:hideMark/>
          </w:tcPr>
          <w:p w14:paraId="58E62B0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Access to information </w:t>
            </w:r>
          </w:p>
        </w:tc>
        <w:tc>
          <w:tcPr>
            <w:tcW w:w="7155" w:type="dxa"/>
            <w:tcBorders>
              <w:top w:val="nil"/>
              <w:left w:val="nil"/>
              <w:bottom w:val="nil"/>
              <w:right w:val="nil"/>
            </w:tcBorders>
            <w:shd w:val="clear" w:color="auto" w:fill="auto"/>
            <w:hideMark/>
          </w:tcPr>
          <w:p w14:paraId="110D75C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Access to Information has two principle components: the obligation for states to have a legal framework that is also implemented in practice, that: entitles public to request access to information (documents and other information recorded in any format) and to respond to such requests in a timely fashion and obliges authorities to ensure that information of public interest is put into the public domain proactively, without the need for requests. (</w:t>
            </w:r>
            <w:hyperlink r:id="rId614" w:tgtFrame="_blank" w:history="1">
              <w:r w:rsidRPr="00ED7E61">
                <w:rPr>
                  <w:rStyle w:val="Hyperlink"/>
                  <w:rFonts w:asciiTheme="majorBidi" w:eastAsiaTheme="majorEastAsia" w:hAnsiTheme="majorBidi" w:cstheme="majorBidi"/>
                  <w:sz w:val="22"/>
                  <w:szCs w:val="22"/>
                </w:rPr>
                <w:t>UN Stats</w:t>
              </w:r>
            </w:hyperlink>
            <w:r w:rsidRPr="00ED7E61">
              <w:rPr>
                <w:rFonts w:asciiTheme="majorBidi" w:eastAsiaTheme="majorEastAsia" w:hAnsiTheme="majorBidi" w:cstheme="majorBidi"/>
                <w:sz w:val="22"/>
                <w:szCs w:val="22"/>
              </w:rPr>
              <w:t>) </w:t>
            </w:r>
          </w:p>
        </w:tc>
      </w:tr>
      <w:tr w:rsidR="00764225" w:rsidRPr="00ED7E61" w14:paraId="2799A4F5" w14:textId="77777777" w:rsidTr="00764225">
        <w:trPr>
          <w:trHeight w:val="2625"/>
        </w:trPr>
        <w:tc>
          <w:tcPr>
            <w:tcW w:w="2055" w:type="dxa"/>
            <w:tcBorders>
              <w:top w:val="nil"/>
              <w:left w:val="nil"/>
              <w:bottom w:val="nil"/>
              <w:right w:val="nil"/>
            </w:tcBorders>
            <w:shd w:val="clear" w:color="auto" w:fill="auto"/>
            <w:hideMark/>
          </w:tcPr>
          <w:p w14:paraId="09D3979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Access to justice </w:t>
            </w:r>
          </w:p>
        </w:tc>
        <w:tc>
          <w:tcPr>
            <w:tcW w:w="7155" w:type="dxa"/>
            <w:tcBorders>
              <w:top w:val="nil"/>
              <w:left w:val="nil"/>
              <w:bottom w:val="nil"/>
              <w:right w:val="nil"/>
            </w:tcBorders>
            <w:shd w:val="clear" w:color="auto" w:fill="auto"/>
            <w:hideMark/>
          </w:tcPr>
          <w:p w14:paraId="156A3C5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ability of people to seek and obtain a just resolution of legal problems through a wide range of legal and justice services. These services include legal information, counsel and representation, formal (e.g. courts) and alternative dispute resolution, and enforcement mechanisms. Emphasis should also be placed on legal empowerment, which enables people’s meaningful participation in the justice system and builds their capability to understand and use the law for themselves. The rule of law requires impartial and non-discriminatory justice. Without equal access, a large portion of the population can be left behind and their vulnerabilities exposed. (</w:t>
            </w:r>
            <w:hyperlink r:id="rId615" w:tgtFrame="_blank" w:history="1">
              <w:r w:rsidRPr="00ED7E61">
                <w:rPr>
                  <w:rStyle w:val="Hyperlink"/>
                  <w:rFonts w:asciiTheme="majorBidi" w:eastAsiaTheme="majorEastAsia" w:hAnsiTheme="majorBidi" w:cstheme="majorBidi"/>
                  <w:sz w:val="22"/>
                  <w:szCs w:val="22"/>
                </w:rPr>
                <w:t>OECD</w:t>
              </w:r>
            </w:hyperlink>
            <w:r w:rsidRPr="00ED7E61">
              <w:rPr>
                <w:rFonts w:asciiTheme="majorBidi" w:eastAsiaTheme="majorEastAsia" w:hAnsiTheme="majorBidi" w:cstheme="majorBidi"/>
                <w:sz w:val="22"/>
                <w:szCs w:val="22"/>
              </w:rPr>
              <w:t>, 2021) </w:t>
            </w:r>
          </w:p>
        </w:tc>
      </w:tr>
      <w:tr w:rsidR="00764225" w:rsidRPr="00ED7E61" w14:paraId="5278DC70" w14:textId="77777777" w:rsidTr="00764225">
        <w:trPr>
          <w:trHeight w:val="570"/>
        </w:trPr>
        <w:tc>
          <w:tcPr>
            <w:tcW w:w="2055" w:type="dxa"/>
            <w:tcBorders>
              <w:top w:val="nil"/>
              <w:left w:val="nil"/>
              <w:bottom w:val="nil"/>
              <w:right w:val="nil"/>
            </w:tcBorders>
            <w:shd w:val="clear" w:color="auto" w:fill="auto"/>
            <w:hideMark/>
          </w:tcPr>
          <w:p w14:paraId="4C5A0C3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Action plan </w:t>
            </w:r>
          </w:p>
        </w:tc>
        <w:tc>
          <w:tcPr>
            <w:tcW w:w="7155" w:type="dxa"/>
            <w:tcBorders>
              <w:top w:val="nil"/>
              <w:left w:val="nil"/>
              <w:bottom w:val="nil"/>
              <w:right w:val="nil"/>
            </w:tcBorders>
            <w:shd w:val="clear" w:color="auto" w:fill="auto"/>
            <w:hideMark/>
          </w:tcPr>
          <w:p w14:paraId="35928EB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An official strategy or course of action to deliver on the goals of the Framework. </w:t>
            </w:r>
          </w:p>
        </w:tc>
      </w:tr>
      <w:tr w:rsidR="00764225" w:rsidRPr="00ED7E61" w14:paraId="1742B4C2" w14:textId="77777777" w:rsidTr="00764225">
        <w:trPr>
          <w:trHeight w:val="990"/>
        </w:trPr>
        <w:tc>
          <w:tcPr>
            <w:tcW w:w="2055" w:type="dxa"/>
            <w:tcBorders>
              <w:top w:val="nil"/>
              <w:left w:val="nil"/>
              <w:bottom w:val="nil"/>
              <w:right w:val="nil"/>
            </w:tcBorders>
            <w:shd w:val="clear" w:color="auto" w:fill="auto"/>
            <w:hideMark/>
          </w:tcPr>
          <w:p w14:paraId="01ADA11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Adaptation to climate change </w:t>
            </w:r>
          </w:p>
        </w:tc>
        <w:tc>
          <w:tcPr>
            <w:tcW w:w="7155" w:type="dxa"/>
            <w:tcBorders>
              <w:top w:val="nil"/>
              <w:left w:val="nil"/>
              <w:bottom w:val="nil"/>
              <w:right w:val="nil"/>
            </w:tcBorders>
            <w:shd w:val="clear" w:color="auto" w:fill="auto"/>
            <w:hideMark/>
          </w:tcPr>
          <w:p w14:paraId="7D0A82A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Adjustment in natural or human systems in response to actual or expected climatic stimuli or their effects, which moderates harm or exploits beneficial opportunities. (</w:t>
            </w:r>
            <w:hyperlink r:id="rId616"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2018) </w:t>
            </w:r>
          </w:p>
        </w:tc>
      </w:tr>
      <w:tr w:rsidR="00764225" w:rsidRPr="00ED7E61" w14:paraId="67F7D95D" w14:textId="77777777" w:rsidTr="00764225">
        <w:trPr>
          <w:trHeight w:val="1125"/>
        </w:trPr>
        <w:tc>
          <w:tcPr>
            <w:tcW w:w="2055" w:type="dxa"/>
            <w:tcBorders>
              <w:top w:val="nil"/>
              <w:left w:val="nil"/>
              <w:bottom w:val="nil"/>
              <w:right w:val="nil"/>
            </w:tcBorders>
            <w:shd w:val="clear" w:color="auto" w:fill="auto"/>
            <w:hideMark/>
          </w:tcPr>
          <w:p w14:paraId="751D458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Agricultural land </w:t>
            </w:r>
          </w:p>
        </w:tc>
        <w:tc>
          <w:tcPr>
            <w:tcW w:w="7155" w:type="dxa"/>
            <w:tcBorders>
              <w:top w:val="nil"/>
              <w:left w:val="nil"/>
              <w:bottom w:val="nil"/>
              <w:right w:val="nil"/>
            </w:tcBorders>
            <w:shd w:val="clear" w:color="auto" w:fill="auto"/>
            <w:hideMark/>
          </w:tcPr>
          <w:p w14:paraId="7F0117B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Land used primarily to grow crops and raise livestock. Forestry, fisheries and aquaculture activities may be included to the extent that they are secondary activities conducted on the agricultural area of the farm holdings, for example rice fish farming and similar systems. (FAO, 2004-2021) </w:t>
            </w:r>
          </w:p>
        </w:tc>
      </w:tr>
      <w:tr w:rsidR="00764225" w:rsidRPr="00ED7E61" w14:paraId="33E233C3" w14:textId="77777777" w:rsidTr="00764225">
        <w:trPr>
          <w:trHeight w:val="1470"/>
        </w:trPr>
        <w:tc>
          <w:tcPr>
            <w:tcW w:w="2055" w:type="dxa"/>
            <w:tcBorders>
              <w:top w:val="nil"/>
              <w:left w:val="nil"/>
              <w:bottom w:val="nil"/>
              <w:right w:val="nil"/>
            </w:tcBorders>
            <w:shd w:val="clear" w:color="auto" w:fill="auto"/>
            <w:hideMark/>
          </w:tcPr>
          <w:p w14:paraId="2A5AB7C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Air filtration services </w:t>
            </w:r>
          </w:p>
        </w:tc>
        <w:tc>
          <w:tcPr>
            <w:tcW w:w="7155" w:type="dxa"/>
            <w:tcBorders>
              <w:top w:val="nil"/>
              <w:left w:val="nil"/>
              <w:bottom w:val="nil"/>
              <w:right w:val="nil"/>
            </w:tcBorders>
            <w:shd w:val="clear" w:color="auto" w:fill="auto"/>
            <w:hideMark/>
          </w:tcPr>
          <w:p w14:paraId="754A065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Air filtration services are the ecosystem contributions to the filtering of air-borne pollutants through the deposition, uptake, fixing and storage of pollutants by ecosystem components, particularly plants, that mitigates the harmful effects of the pollutants. This is most commonly a final ecosystem service. (</w:t>
            </w:r>
            <w:hyperlink r:id="rId617"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04FC8997" w14:textId="77777777" w:rsidTr="00764225">
        <w:trPr>
          <w:trHeight w:val="765"/>
        </w:trPr>
        <w:tc>
          <w:tcPr>
            <w:tcW w:w="2055" w:type="dxa"/>
            <w:tcBorders>
              <w:top w:val="nil"/>
              <w:left w:val="nil"/>
              <w:bottom w:val="nil"/>
              <w:right w:val="nil"/>
            </w:tcBorders>
            <w:shd w:val="clear" w:color="auto" w:fill="auto"/>
            <w:hideMark/>
          </w:tcPr>
          <w:p w14:paraId="07E898E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Alien invasive species </w:t>
            </w:r>
          </w:p>
        </w:tc>
        <w:tc>
          <w:tcPr>
            <w:tcW w:w="7155" w:type="dxa"/>
            <w:tcBorders>
              <w:top w:val="nil"/>
              <w:left w:val="nil"/>
              <w:bottom w:val="nil"/>
              <w:right w:val="nil"/>
            </w:tcBorders>
            <w:shd w:val="clear" w:color="auto" w:fill="auto"/>
            <w:hideMark/>
          </w:tcPr>
          <w:p w14:paraId="013FBB2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An alien species whose introduction and/or spread threaten biological diversity. (Convention, Article 8(h)) </w:t>
            </w:r>
          </w:p>
        </w:tc>
      </w:tr>
      <w:tr w:rsidR="00764225" w:rsidRPr="00ED7E61" w14:paraId="508C7435" w14:textId="77777777" w:rsidTr="00764225">
        <w:trPr>
          <w:trHeight w:val="946"/>
        </w:trPr>
        <w:tc>
          <w:tcPr>
            <w:tcW w:w="2055" w:type="dxa"/>
            <w:tcBorders>
              <w:top w:val="nil"/>
              <w:left w:val="nil"/>
              <w:bottom w:val="nil"/>
              <w:right w:val="nil"/>
            </w:tcBorders>
            <w:shd w:val="clear" w:color="auto" w:fill="auto"/>
            <w:hideMark/>
          </w:tcPr>
          <w:p w14:paraId="673709F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Alien species </w:t>
            </w:r>
          </w:p>
        </w:tc>
        <w:tc>
          <w:tcPr>
            <w:tcW w:w="7155" w:type="dxa"/>
            <w:tcBorders>
              <w:top w:val="nil"/>
              <w:left w:val="nil"/>
              <w:bottom w:val="nil"/>
              <w:right w:val="nil"/>
            </w:tcBorders>
            <w:shd w:val="clear" w:color="auto" w:fill="auto"/>
            <w:hideMark/>
          </w:tcPr>
          <w:p w14:paraId="4586698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species, subspecies or lower taxon, introduced outside its natural past or present distribution; includes any part, gametes, seeds, eggs, or propagules of such species that might survive and subsequently reproduce. (Convention, Article 8(h)) </w:t>
            </w:r>
          </w:p>
        </w:tc>
      </w:tr>
      <w:tr w:rsidR="00764225" w:rsidRPr="00ED7E61" w14:paraId="06EA2FA0" w14:textId="77777777" w:rsidTr="00764225">
        <w:trPr>
          <w:trHeight w:val="975"/>
        </w:trPr>
        <w:tc>
          <w:tcPr>
            <w:tcW w:w="2055" w:type="dxa"/>
            <w:tcBorders>
              <w:top w:val="nil"/>
              <w:left w:val="nil"/>
              <w:bottom w:val="nil"/>
              <w:right w:val="nil"/>
            </w:tcBorders>
            <w:shd w:val="clear" w:color="auto" w:fill="auto"/>
            <w:hideMark/>
          </w:tcPr>
          <w:p w14:paraId="3752E64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All areas </w:t>
            </w:r>
          </w:p>
        </w:tc>
        <w:tc>
          <w:tcPr>
            <w:tcW w:w="7155" w:type="dxa"/>
            <w:tcBorders>
              <w:top w:val="nil"/>
              <w:left w:val="nil"/>
              <w:bottom w:val="nil"/>
              <w:right w:val="nil"/>
            </w:tcBorders>
            <w:shd w:val="clear" w:color="auto" w:fill="auto"/>
            <w:hideMark/>
          </w:tcPr>
          <w:p w14:paraId="02580CA8" w14:textId="5FEF052A"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For the purpose of the Convention, the term </w:t>
            </w:r>
            <w:r w:rsidR="00D20B01">
              <w:rPr>
                <w:rFonts w:asciiTheme="majorBidi" w:eastAsiaTheme="majorEastAsia" w:hAnsiTheme="majorBidi" w:cstheme="majorBidi"/>
                <w:sz w:val="22"/>
                <w:szCs w:val="22"/>
              </w:rPr>
              <w:t>“</w:t>
            </w:r>
            <w:r w:rsidRPr="00FB1598">
              <w:rPr>
                <w:rFonts w:asciiTheme="majorBidi" w:eastAsiaTheme="majorEastAsia" w:hAnsiTheme="majorBidi" w:cstheme="majorBidi"/>
                <w:i/>
                <w:iCs/>
                <w:sz w:val="22"/>
                <w:szCs w:val="22"/>
              </w:rPr>
              <w:t>all areas</w:t>
            </w:r>
            <w:r w:rsidR="00D20B01">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xml:space="preserve"> generally refers to the entire territory of each country and thus include all terrestrial, marine and freshwater ecosystems </w:t>
            </w:r>
          </w:p>
        </w:tc>
      </w:tr>
      <w:tr w:rsidR="00764225" w:rsidRPr="00ED7E61" w14:paraId="3B58338D" w14:textId="77777777" w:rsidTr="00764225">
        <w:trPr>
          <w:trHeight w:val="2535"/>
        </w:trPr>
        <w:tc>
          <w:tcPr>
            <w:tcW w:w="2055" w:type="dxa"/>
            <w:tcBorders>
              <w:top w:val="nil"/>
              <w:left w:val="nil"/>
              <w:bottom w:val="nil"/>
              <w:right w:val="nil"/>
            </w:tcBorders>
            <w:shd w:val="clear" w:color="auto" w:fill="auto"/>
            <w:hideMark/>
          </w:tcPr>
          <w:p w14:paraId="6131AF2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Areas of particular importance for biodiversity </w:t>
            </w:r>
          </w:p>
        </w:tc>
        <w:tc>
          <w:tcPr>
            <w:tcW w:w="7155" w:type="dxa"/>
            <w:tcBorders>
              <w:top w:val="nil"/>
              <w:left w:val="nil"/>
              <w:bottom w:val="nil"/>
              <w:right w:val="nil"/>
            </w:tcBorders>
            <w:shd w:val="clear" w:color="auto" w:fill="auto"/>
            <w:hideMark/>
          </w:tcPr>
          <w:p w14:paraId="4A18FABE" w14:textId="6FA602AF"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Sites that contain significant populations/extents of threatened or geographically restricted species or ecosystems, or that have significant ecological integrity or irreplaceability, significance for the maintenance of biological processes, or provide significant ecological connectivity to maintain populations of species. Key Biodiversity Areas are nationally identified sites using standardised criteria encompassing each of these elements and encompassing existing systems for identifying areas of particular importance for biodiversity, such as Important Bird and Biodiversity Areas and Alliance for Zero extinction sites. (</w:t>
            </w:r>
            <w:hyperlink r:id="rId618" w:tgtFrame="_blank" w:history="1">
              <w:r w:rsidRPr="00ED7E61">
                <w:rPr>
                  <w:rStyle w:val="Hyperlink"/>
                  <w:rFonts w:asciiTheme="majorBidi" w:eastAsiaTheme="majorEastAsia" w:hAnsiTheme="majorBidi" w:cstheme="majorBidi"/>
                  <w:sz w:val="22"/>
                  <w:szCs w:val="22"/>
                </w:rPr>
                <w:t>Plumptre</w:t>
              </w:r>
            </w:hyperlink>
            <w:r w:rsidRPr="00ED7E61">
              <w:rPr>
                <w:rFonts w:asciiTheme="majorBidi" w:eastAsiaTheme="majorEastAsia" w:hAnsiTheme="majorBidi" w:cstheme="majorBidi"/>
                <w:sz w:val="22"/>
                <w:szCs w:val="22"/>
              </w:rPr>
              <w:t xml:space="preserve"> et al. 2024) </w:t>
            </w:r>
          </w:p>
        </w:tc>
      </w:tr>
      <w:tr w:rsidR="00764225" w:rsidRPr="00ED7E61" w14:paraId="204703A9" w14:textId="77777777" w:rsidTr="00764225">
        <w:trPr>
          <w:trHeight w:val="705"/>
        </w:trPr>
        <w:tc>
          <w:tcPr>
            <w:tcW w:w="2055" w:type="dxa"/>
            <w:tcBorders>
              <w:top w:val="nil"/>
              <w:left w:val="nil"/>
              <w:bottom w:val="nil"/>
              <w:right w:val="nil"/>
            </w:tcBorders>
            <w:shd w:val="clear" w:color="auto" w:fill="auto"/>
            <w:hideMark/>
          </w:tcPr>
          <w:p w14:paraId="41BE6A9C"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Benefit </w:t>
            </w:r>
          </w:p>
        </w:tc>
        <w:tc>
          <w:tcPr>
            <w:tcW w:w="7155" w:type="dxa"/>
            <w:tcBorders>
              <w:top w:val="nil"/>
              <w:left w:val="nil"/>
              <w:bottom w:val="nil"/>
              <w:right w:val="nil"/>
            </w:tcBorders>
            <w:shd w:val="clear" w:color="auto" w:fill="auto"/>
            <w:hideMark/>
          </w:tcPr>
          <w:p w14:paraId="410CB9F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Advantage that contributes to wellbeing from the fulfilment of needs and wants. (</w:t>
            </w:r>
            <w:hyperlink r:id="rId619"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2019)  </w:t>
            </w:r>
          </w:p>
        </w:tc>
      </w:tr>
      <w:tr w:rsidR="00764225" w:rsidRPr="00ED7E61" w14:paraId="1416501B" w14:textId="77777777" w:rsidTr="00764225">
        <w:trPr>
          <w:trHeight w:val="1728"/>
        </w:trPr>
        <w:tc>
          <w:tcPr>
            <w:tcW w:w="2055" w:type="dxa"/>
            <w:tcBorders>
              <w:top w:val="nil"/>
              <w:left w:val="nil"/>
              <w:bottom w:val="nil"/>
              <w:right w:val="nil"/>
            </w:tcBorders>
            <w:shd w:val="clear" w:color="auto" w:fill="auto"/>
            <w:hideMark/>
          </w:tcPr>
          <w:p w14:paraId="5F64367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Benefits arising from the utilization of genetic resources or traditional knowledge associated with genetic resources </w:t>
            </w:r>
          </w:p>
        </w:tc>
        <w:tc>
          <w:tcPr>
            <w:tcW w:w="7155" w:type="dxa"/>
            <w:tcBorders>
              <w:top w:val="nil"/>
              <w:left w:val="nil"/>
              <w:bottom w:val="nil"/>
              <w:right w:val="nil"/>
            </w:tcBorders>
            <w:shd w:val="clear" w:color="auto" w:fill="auto"/>
            <w:hideMark/>
          </w:tcPr>
          <w:p w14:paraId="22899B4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Benefits may include monetary and non-monetary benefits, including but not limited to those listed in the Annex of the Nagoya Protocol. (Annex of the Nagoya Protocol) </w:t>
            </w:r>
          </w:p>
        </w:tc>
      </w:tr>
      <w:tr w:rsidR="00764225" w:rsidRPr="00ED7E61" w14:paraId="629319C4" w14:textId="77777777" w:rsidTr="00764225">
        <w:trPr>
          <w:trHeight w:val="420"/>
        </w:trPr>
        <w:tc>
          <w:tcPr>
            <w:tcW w:w="2055" w:type="dxa"/>
            <w:tcBorders>
              <w:top w:val="nil"/>
              <w:left w:val="nil"/>
              <w:bottom w:val="nil"/>
              <w:right w:val="nil"/>
            </w:tcBorders>
            <w:shd w:val="clear" w:color="auto" w:fill="auto"/>
            <w:hideMark/>
          </w:tcPr>
          <w:p w14:paraId="370BCB7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Biodiversity </w:t>
            </w:r>
          </w:p>
        </w:tc>
        <w:tc>
          <w:tcPr>
            <w:tcW w:w="7155" w:type="dxa"/>
            <w:tcBorders>
              <w:top w:val="nil"/>
              <w:left w:val="nil"/>
              <w:bottom w:val="nil"/>
              <w:right w:val="nil"/>
            </w:tcBorders>
            <w:shd w:val="clear" w:color="auto" w:fill="auto"/>
            <w:hideMark/>
          </w:tcPr>
          <w:p w14:paraId="5A895BC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Refer to the definition of "</w:t>
            </w:r>
            <w:r w:rsidRPr="00FB1598">
              <w:rPr>
                <w:rFonts w:asciiTheme="majorBidi" w:eastAsiaTheme="majorEastAsia" w:hAnsiTheme="majorBidi" w:cstheme="majorBidi"/>
                <w:i/>
                <w:iCs/>
                <w:sz w:val="22"/>
                <w:szCs w:val="22"/>
              </w:rPr>
              <w:t>Biological diversity</w:t>
            </w:r>
            <w:r w:rsidRPr="00ED7E61">
              <w:rPr>
                <w:rFonts w:asciiTheme="majorBidi" w:eastAsiaTheme="majorEastAsia" w:hAnsiTheme="majorBidi" w:cstheme="majorBidi"/>
                <w:sz w:val="22"/>
                <w:szCs w:val="22"/>
              </w:rPr>
              <w:t>". </w:t>
            </w:r>
          </w:p>
        </w:tc>
      </w:tr>
      <w:tr w:rsidR="00764225" w:rsidRPr="00ED7E61" w14:paraId="7FC3235B" w14:textId="77777777" w:rsidTr="00764225">
        <w:trPr>
          <w:trHeight w:val="2836"/>
        </w:trPr>
        <w:tc>
          <w:tcPr>
            <w:tcW w:w="2055" w:type="dxa"/>
            <w:tcBorders>
              <w:top w:val="nil"/>
              <w:left w:val="nil"/>
              <w:bottom w:val="nil"/>
              <w:right w:val="nil"/>
            </w:tcBorders>
            <w:shd w:val="clear" w:color="auto" w:fill="auto"/>
            <w:hideMark/>
          </w:tcPr>
          <w:p w14:paraId="405055AF" w14:textId="7F475D33"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Biodiversity-based activities, products </w:t>
            </w:r>
            <w:r w:rsidR="00AB03EE"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and services </w:t>
            </w:r>
          </w:p>
        </w:tc>
        <w:tc>
          <w:tcPr>
            <w:tcW w:w="7155" w:type="dxa"/>
            <w:tcBorders>
              <w:top w:val="nil"/>
              <w:left w:val="nil"/>
              <w:bottom w:val="nil"/>
              <w:right w:val="nil"/>
            </w:tcBorders>
            <w:shd w:val="clear" w:color="auto" w:fill="auto"/>
            <w:hideMark/>
          </w:tcPr>
          <w:p w14:paraId="64F4007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These are the commercial and non-commercial action and products that result from the collection, production or transformation of biological resources. They are found in industries as varied as food and beverage, cosmetics, pharmaceuticals, paper, textiles, energy, and handicrafts. Services based on biodiversity are those that derive value from genetic resources, species and ecosystems, such as nature-based tourism, pollination, and water treatment. The sustainable production, use and trade of biodiversity-derived products and services provide developing countries with valuable opportunities for biodiversity conservation, poverty reduction, economic diversification, value addition, improved livelihoods, and the empowerment of vulnerable groups, including women and ethnic minorities.  </w:t>
            </w:r>
          </w:p>
        </w:tc>
      </w:tr>
      <w:tr w:rsidR="00764225" w:rsidRPr="00ED7E61" w14:paraId="1042B177" w14:textId="77777777" w:rsidTr="00764225">
        <w:trPr>
          <w:trHeight w:val="765"/>
        </w:trPr>
        <w:tc>
          <w:tcPr>
            <w:tcW w:w="2055" w:type="dxa"/>
            <w:tcBorders>
              <w:top w:val="nil"/>
              <w:left w:val="nil"/>
              <w:bottom w:val="nil"/>
              <w:right w:val="nil"/>
            </w:tcBorders>
            <w:shd w:val="clear" w:color="auto" w:fill="auto"/>
            <w:hideMark/>
          </w:tcPr>
          <w:p w14:paraId="7C304E7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Biodiversity-inclusive </w:t>
            </w:r>
          </w:p>
        </w:tc>
        <w:tc>
          <w:tcPr>
            <w:tcW w:w="7155" w:type="dxa"/>
            <w:tcBorders>
              <w:top w:val="nil"/>
              <w:left w:val="nil"/>
              <w:bottom w:val="nil"/>
              <w:right w:val="nil"/>
            </w:tcBorders>
            <w:shd w:val="clear" w:color="auto" w:fill="auto"/>
            <w:hideMark/>
          </w:tcPr>
          <w:p w14:paraId="6440427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Inclusive of biodiversity conservation and sustainable use considerations. </w:t>
            </w:r>
          </w:p>
        </w:tc>
      </w:tr>
      <w:tr w:rsidR="00764225" w:rsidRPr="00ED7E61" w14:paraId="5EC9AFA9" w14:textId="77777777" w:rsidTr="00764225">
        <w:trPr>
          <w:trHeight w:val="2552"/>
        </w:trPr>
        <w:tc>
          <w:tcPr>
            <w:tcW w:w="2055" w:type="dxa"/>
            <w:tcBorders>
              <w:top w:val="nil"/>
              <w:left w:val="nil"/>
              <w:bottom w:val="nil"/>
              <w:right w:val="nil"/>
            </w:tcBorders>
            <w:shd w:val="clear" w:color="auto" w:fill="auto"/>
            <w:hideMark/>
          </w:tcPr>
          <w:p w14:paraId="699EDAB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Biodiversity-inclusive urban planning </w:t>
            </w:r>
          </w:p>
        </w:tc>
        <w:tc>
          <w:tcPr>
            <w:tcW w:w="7155" w:type="dxa"/>
            <w:tcBorders>
              <w:top w:val="nil"/>
              <w:left w:val="nil"/>
              <w:bottom w:val="nil"/>
              <w:right w:val="nil"/>
            </w:tcBorders>
            <w:shd w:val="clear" w:color="auto" w:fill="auto"/>
            <w:hideMark/>
          </w:tcPr>
          <w:p w14:paraId="0E39E9C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Urban planning is the process that is applied as a way to organize the dynamics of human actions in cities, with the purpose of stipulating guidelines that order spatial occupation through typological patterns of use, mobility, distribution of equipment, services, and natural areas in the territory, in order to provide uniformity in the distribution of the onus and advantages generated by the development of the infrastructures. The planning, furthermore, aims to announce in advance what can be done in the face of solving problems that may hinder the dynamics of functioning that involve cities. The Framework specifically calls for such processes to be biodiversity inclusive. (</w:t>
            </w:r>
            <w:hyperlink r:id="rId620" w:tgtFrame="_blank" w:history="1">
              <w:r w:rsidRPr="00ED7E61">
                <w:rPr>
                  <w:rStyle w:val="Hyperlink"/>
                  <w:rFonts w:asciiTheme="majorBidi" w:eastAsiaTheme="majorEastAsia" w:hAnsiTheme="majorBidi" w:cstheme="majorBidi"/>
                  <w:sz w:val="22"/>
                  <w:szCs w:val="22"/>
                </w:rPr>
                <w:t>Eckert &amp; Padilha</w:t>
              </w:r>
            </w:hyperlink>
            <w:r w:rsidRPr="00ED7E61">
              <w:rPr>
                <w:rFonts w:asciiTheme="majorBidi" w:eastAsiaTheme="majorEastAsia" w:hAnsiTheme="majorBidi" w:cstheme="majorBidi"/>
                <w:sz w:val="22"/>
                <w:szCs w:val="22"/>
              </w:rPr>
              <w:t>, 2021) </w:t>
            </w:r>
          </w:p>
        </w:tc>
      </w:tr>
      <w:tr w:rsidR="00764225" w:rsidRPr="00ED7E61" w14:paraId="73223C73" w14:textId="77777777" w:rsidTr="00764225">
        <w:trPr>
          <w:trHeight w:val="1708"/>
        </w:trPr>
        <w:tc>
          <w:tcPr>
            <w:tcW w:w="2055" w:type="dxa"/>
            <w:tcBorders>
              <w:top w:val="nil"/>
              <w:left w:val="nil"/>
              <w:bottom w:val="nil"/>
              <w:right w:val="nil"/>
            </w:tcBorders>
            <w:shd w:val="clear" w:color="auto" w:fill="auto"/>
            <w:hideMark/>
          </w:tcPr>
          <w:p w14:paraId="7A64CDB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Biodiversity offsets </w:t>
            </w:r>
          </w:p>
        </w:tc>
        <w:tc>
          <w:tcPr>
            <w:tcW w:w="7155" w:type="dxa"/>
            <w:tcBorders>
              <w:top w:val="nil"/>
              <w:left w:val="nil"/>
              <w:bottom w:val="nil"/>
              <w:right w:val="nil"/>
            </w:tcBorders>
            <w:shd w:val="clear" w:color="auto" w:fill="auto"/>
            <w:hideMark/>
          </w:tcPr>
          <w:p w14:paraId="0834F83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Biodiversity offsets are “</w:t>
            </w:r>
            <w:r w:rsidRPr="00FB1598">
              <w:rPr>
                <w:rFonts w:asciiTheme="majorBidi" w:eastAsiaTheme="majorEastAsia" w:hAnsiTheme="majorBidi" w:cstheme="majorBidi"/>
                <w:i/>
                <w:iCs/>
                <w:sz w:val="22"/>
                <w:szCs w:val="22"/>
              </w:rPr>
              <w:t>measurable conservation outcomes resulting from actions designed to compensate for significant residual adverse biodiversity impacts arising from project development after appropriate prevention and mitigation measures have been taken</w:t>
            </w:r>
            <w:r w:rsidRPr="00ED7E61">
              <w:rPr>
                <w:rFonts w:asciiTheme="majorBidi" w:eastAsiaTheme="majorEastAsia" w:hAnsiTheme="majorBidi" w:cstheme="majorBidi"/>
                <w:sz w:val="22"/>
                <w:szCs w:val="22"/>
              </w:rPr>
              <w:t>.” (BBOP, 2018). They are usually under a no net loss or a net gain objective.  There are three main types of biodiversity offsets: 1. One-off biodiversity offsets; 2. payments in-lieu and 3. biobanking. </w:t>
            </w:r>
          </w:p>
        </w:tc>
      </w:tr>
      <w:tr w:rsidR="00764225" w:rsidRPr="00ED7E61" w14:paraId="7D1B67DB" w14:textId="77777777" w:rsidTr="00764225">
        <w:trPr>
          <w:trHeight w:val="1974"/>
        </w:trPr>
        <w:tc>
          <w:tcPr>
            <w:tcW w:w="2055" w:type="dxa"/>
            <w:tcBorders>
              <w:top w:val="nil"/>
              <w:left w:val="nil"/>
              <w:bottom w:val="nil"/>
              <w:right w:val="nil"/>
            </w:tcBorders>
            <w:shd w:val="clear" w:color="auto" w:fill="auto"/>
            <w:hideMark/>
          </w:tcPr>
          <w:p w14:paraId="03760104"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Biodiversity-related risks to business and financial institutions </w:t>
            </w:r>
          </w:p>
        </w:tc>
        <w:tc>
          <w:tcPr>
            <w:tcW w:w="7155" w:type="dxa"/>
            <w:tcBorders>
              <w:top w:val="nil"/>
              <w:left w:val="nil"/>
              <w:bottom w:val="nil"/>
              <w:right w:val="nil"/>
            </w:tcBorders>
            <w:shd w:val="clear" w:color="auto" w:fill="auto"/>
            <w:hideMark/>
          </w:tcPr>
          <w:p w14:paraId="6111A60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Biodiversity-related risks to businesses and financial institutions are categorised as: Ecological risks, i.e. risks related to biodiversity-related ecological impacts and dependencies, linked to biodiversity loss or ecosystems degradation. Liability risks, where parties who have suffered biodiversity-related loss or damage seek compensation for those they hold responsible. Risks related to achieving transformative change for biodiversity, including regulatory risks, market risks and financial risks. (</w:t>
            </w:r>
            <w:hyperlink r:id="rId621" w:anchor=":~:text=Businesses%20and%20financial%20organisations%20(including,resource%20dependency%2C%20scarcity%20and%20quality." w:tgtFrame="_blank" w:history="1">
              <w:r w:rsidRPr="00ED7E61">
                <w:rPr>
                  <w:rStyle w:val="Hyperlink"/>
                  <w:rFonts w:asciiTheme="majorBidi" w:eastAsiaTheme="majorEastAsia" w:hAnsiTheme="majorBidi" w:cstheme="majorBidi"/>
                  <w:sz w:val="22"/>
                  <w:szCs w:val="22"/>
                </w:rPr>
                <w:t>OECD</w:t>
              </w:r>
            </w:hyperlink>
            <w:r w:rsidRPr="00ED7E61">
              <w:rPr>
                <w:rFonts w:asciiTheme="majorBidi" w:eastAsiaTheme="majorEastAsia" w:hAnsiTheme="majorBidi" w:cstheme="majorBidi"/>
                <w:sz w:val="22"/>
                <w:szCs w:val="22"/>
              </w:rPr>
              <w:t>) </w:t>
            </w:r>
          </w:p>
        </w:tc>
      </w:tr>
      <w:tr w:rsidR="00764225" w:rsidRPr="00ED7E61" w14:paraId="2735ECB0" w14:textId="77777777" w:rsidTr="00764225">
        <w:trPr>
          <w:trHeight w:val="2025"/>
        </w:trPr>
        <w:tc>
          <w:tcPr>
            <w:tcW w:w="2055" w:type="dxa"/>
            <w:tcBorders>
              <w:top w:val="nil"/>
              <w:left w:val="nil"/>
              <w:bottom w:val="nil"/>
              <w:right w:val="nil"/>
            </w:tcBorders>
            <w:shd w:val="clear" w:color="auto" w:fill="auto"/>
            <w:hideMark/>
          </w:tcPr>
          <w:p w14:paraId="1F6C2C6E" w14:textId="00059E0D" w:rsidR="00764225" w:rsidRPr="00ED7E61" w:rsidRDefault="00454683" w:rsidP="00395866">
            <w:pPr>
              <w:rPr>
                <w:rFonts w:asciiTheme="majorBidi" w:hAnsiTheme="majorBidi" w:cstheme="majorBidi"/>
                <w:sz w:val="22"/>
                <w:szCs w:val="22"/>
              </w:rPr>
            </w:pPr>
            <w:bookmarkStart w:id="83" w:name="_Hlk178002726"/>
            <w:r w:rsidRPr="00ED7E61">
              <w:rPr>
                <w:rFonts w:asciiTheme="majorBidi" w:eastAsiaTheme="majorEastAsia" w:hAnsiTheme="majorBidi" w:cstheme="majorBidi"/>
                <w:sz w:val="22"/>
                <w:szCs w:val="22"/>
              </w:rPr>
              <w:t>Biodiversity-relevant environmentally beneficial subsidies and payments</w:t>
            </w:r>
          </w:p>
        </w:tc>
        <w:tc>
          <w:tcPr>
            <w:tcW w:w="7155" w:type="dxa"/>
            <w:tcBorders>
              <w:top w:val="nil"/>
              <w:left w:val="nil"/>
              <w:bottom w:val="nil"/>
              <w:right w:val="nil"/>
            </w:tcBorders>
            <w:shd w:val="clear" w:color="auto" w:fill="auto"/>
            <w:hideMark/>
          </w:tcPr>
          <w:p w14:paraId="13F132C8" w14:textId="5963F3E5" w:rsidR="00764225" w:rsidRPr="00ED7E61" w:rsidRDefault="009724AD" w:rsidP="009724AD">
            <w:pPr>
              <w:jc w:val="both"/>
              <w:rPr>
                <w:rFonts w:asciiTheme="majorBidi" w:hAnsiTheme="majorBidi" w:cstheme="majorBidi"/>
                <w:sz w:val="22"/>
                <w:szCs w:val="22"/>
              </w:rPr>
            </w:pPr>
            <w:r>
              <w:rPr>
                <w:rFonts w:asciiTheme="majorBidi" w:eastAsiaTheme="majorEastAsia" w:hAnsiTheme="majorBidi" w:cstheme="majorBidi"/>
                <w:sz w:val="22"/>
                <w:szCs w:val="22"/>
              </w:rPr>
              <w:t>S</w:t>
            </w:r>
            <w:r w:rsidR="00764225" w:rsidRPr="00ED7E61">
              <w:rPr>
                <w:rFonts w:asciiTheme="majorBidi" w:eastAsiaTheme="majorEastAsia" w:hAnsiTheme="majorBidi" w:cstheme="majorBidi"/>
                <w:sz w:val="22"/>
                <w:szCs w:val="22"/>
              </w:rPr>
              <w:t>ubsid</w:t>
            </w:r>
            <w:r>
              <w:rPr>
                <w:rFonts w:asciiTheme="majorBidi" w:eastAsiaTheme="majorEastAsia" w:hAnsiTheme="majorBidi" w:cstheme="majorBidi"/>
                <w:sz w:val="22"/>
                <w:szCs w:val="22"/>
              </w:rPr>
              <w:t xml:space="preserve">ies or payments </w:t>
            </w:r>
            <w:r w:rsidR="00764225" w:rsidRPr="00ED7E61">
              <w:rPr>
                <w:rFonts w:asciiTheme="majorBidi" w:eastAsiaTheme="majorEastAsia" w:hAnsiTheme="majorBidi" w:cstheme="majorBidi"/>
                <w:sz w:val="22"/>
                <w:szCs w:val="22"/>
              </w:rPr>
              <w:t xml:space="preserve"> that reduces directly or indirectly the use of something that has a proven, specific, negative impact on biodiversity</w:t>
            </w:r>
            <w:r>
              <w:rPr>
                <w:rFonts w:asciiTheme="majorBidi" w:eastAsiaTheme="majorEastAsia" w:hAnsiTheme="majorBidi" w:cstheme="majorBidi"/>
                <w:sz w:val="22"/>
                <w:szCs w:val="22"/>
              </w:rPr>
              <w:t xml:space="preserve">, including </w:t>
            </w:r>
            <w:r w:rsidR="00764225" w:rsidRPr="00ED7E61">
              <w:rPr>
                <w:rFonts w:asciiTheme="majorBidi" w:eastAsiaTheme="majorEastAsia" w:hAnsiTheme="majorBidi" w:cstheme="majorBidi"/>
                <w:sz w:val="22"/>
                <w:szCs w:val="22"/>
              </w:rPr>
              <w:t xml:space="preserve">direct payments from government and preferential tax treatments (e.g. VAT exemptions). </w:t>
            </w:r>
            <w:r w:rsidRPr="009724AD">
              <w:rPr>
                <w:rFonts w:asciiTheme="majorBidi" w:eastAsiaTheme="majorEastAsia" w:hAnsiTheme="majorBidi" w:cstheme="majorBidi"/>
                <w:sz w:val="22"/>
                <w:szCs w:val="22"/>
              </w:rPr>
              <w:t xml:space="preserve">It is one of the five types of policy instruments collected in the OECD PINE database. </w:t>
            </w:r>
            <w:r w:rsidR="00764225" w:rsidRPr="00ED7E61">
              <w:rPr>
                <w:rFonts w:asciiTheme="majorBidi" w:eastAsiaTheme="majorEastAsia" w:hAnsiTheme="majorBidi" w:cstheme="majorBidi"/>
                <w:sz w:val="22"/>
                <w:szCs w:val="22"/>
              </w:rPr>
              <w:t>Non-exhaustive list of examples: Payments from government to private land-users/owners to restore land; Preferential land tax for forests under protection or restoration; Agri-environmental payments promoting habitat protection and restoration. </w:t>
            </w:r>
          </w:p>
        </w:tc>
      </w:tr>
      <w:bookmarkEnd w:id="83"/>
      <w:tr w:rsidR="00764225" w:rsidRPr="00ED7E61" w14:paraId="2045474D" w14:textId="77777777" w:rsidTr="00764225">
        <w:trPr>
          <w:trHeight w:val="1785"/>
        </w:trPr>
        <w:tc>
          <w:tcPr>
            <w:tcW w:w="2055" w:type="dxa"/>
            <w:tcBorders>
              <w:top w:val="nil"/>
              <w:left w:val="nil"/>
              <w:bottom w:val="nil"/>
              <w:right w:val="nil"/>
            </w:tcBorders>
            <w:shd w:val="clear" w:color="auto" w:fill="auto"/>
            <w:hideMark/>
          </w:tcPr>
          <w:p w14:paraId="5AC5E11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Biodiversity-relevant taxes, fees and charges </w:t>
            </w:r>
          </w:p>
        </w:tc>
        <w:tc>
          <w:tcPr>
            <w:tcW w:w="7155" w:type="dxa"/>
            <w:tcBorders>
              <w:top w:val="nil"/>
              <w:left w:val="nil"/>
              <w:bottom w:val="nil"/>
              <w:right w:val="nil"/>
            </w:tcBorders>
            <w:shd w:val="clear" w:color="auto" w:fill="auto"/>
            <w:hideMark/>
          </w:tcPr>
          <w:p w14:paraId="745948A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Payment to the government levied on tax bases with a proven, specific, negative impact on the biodiversity.  They include taxes on pollution and natural resource/land use. Non-exhaustive list of examples:  Fertilisers and pesticides taxes; Water pollution taxes and water abstraction charges; Fishing and hunting licence fees; Protected area entrance fees; Taxes and fees/charges for timber harvest </w:t>
            </w:r>
          </w:p>
        </w:tc>
      </w:tr>
      <w:tr w:rsidR="00764225" w:rsidRPr="00ED7E61" w14:paraId="3B66E9F3" w14:textId="77777777" w:rsidTr="00764225">
        <w:trPr>
          <w:trHeight w:val="1350"/>
        </w:trPr>
        <w:tc>
          <w:tcPr>
            <w:tcW w:w="2055" w:type="dxa"/>
            <w:tcBorders>
              <w:top w:val="nil"/>
              <w:left w:val="nil"/>
              <w:bottom w:val="nil"/>
              <w:right w:val="nil"/>
            </w:tcBorders>
            <w:shd w:val="clear" w:color="auto" w:fill="auto"/>
            <w:hideMark/>
          </w:tcPr>
          <w:p w14:paraId="1CCD089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Biodiversity-relevant tradable permit schemes </w:t>
            </w:r>
          </w:p>
        </w:tc>
        <w:tc>
          <w:tcPr>
            <w:tcW w:w="7155" w:type="dxa"/>
            <w:tcBorders>
              <w:top w:val="nil"/>
              <w:left w:val="nil"/>
              <w:bottom w:val="nil"/>
              <w:right w:val="nil"/>
            </w:tcBorders>
            <w:shd w:val="clear" w:color="auto" w:fill="auto"/>
            <w:hideMark/>
          </w:tcPr>
          <w:p w14:paraId="00CFB53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Market-based instruments that provide allowance or permission to engage in an activity under a cap. These permits can be traded. Non-exhaustive list of examples: Individual transferable quotas (ITQs) for fisheries; Tradable water rights; Salinity trading schemes; Tradable development rights. </w:t>
            </w:r>
          </w:p>
        </w:tc>
      </w:tr>
      <w:tr w:rsidR="00764225" w:rsidRPr="00ED7E61" w14:paraId="1D0F8DA6" w14:textId="77777777" w:rsidTr="00764225">
        <w:trPr>
          <w:trHeight w:val="1185"/>
        </w:trPr>
        <w:tc>
          <w:tcPr>
            <w:tcW w:w="2055" w:type="dxa"/>
            <w:tcBorders>
              <w:top w:val="nil"/>
              <w:left w:val="nil"/>
              <w:bottom w:val="nil"/>
              <w:right w:val="nil"/>
            </w:tcBorders>
            <w:shd w:val="clear" w:color="auto" w:fill="auto"/>
            <w:hideMark/>
          </w:tcPr>
          <w:p w14:paraId="7629DE4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Biological diversity </w:t>
            </w:r>
          </w:p>
        </w:tc>
        <w:tc>
          <w:tcPr>
            <w:tcW w:w="7155" w:type="dxa"/>
            <w:tcBorders>
              <w:top w:val="nil"/>
              <w:left w:val="nil"/>
              <w:bottom w:val="nil"/>
              <w:right w:val="nil"/>
            </w:tcBorders>
            <w:shd w:val="clear" w:color="auto" w:fill="auto"/>
            <w:hideMark/>
          </w:tcPr>
          <w:p w14:paraId="3F4033C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variability among living organisms from all sources including, inter alia, terrestrial, marine and other aquatic ecosystems and the ecological complexes of which they are part; this includes diversity within species, between species and of ecosystems. (Convention, Article 2) </w:t>
            </w:r>
          </w:p>
        </w:tc>
      </w:tr>
      <w:tr w:rsidR="00764225" w:rsidRPr="00ED7E61" w14:paraId="148C4049" w14:textId="77777777" w:rsidTr="00764225">
        <w:trPr>
          <w:trHeight w:val="1005"/>
        </w:trPr>
        <w:tc>
          <w:tcPr>
            <w:tcW w:w="2055" w:type="dxa"/>
            <w:tcBorders>
              <w:top w:val="nil"/>
              <w:left w:val="nil"/>
              <w:bottom w:val="nil"/>
              <w:right w:val="nil"/>
            </w:tcBorders>
            <w:shd w:val="clear" w:color="auto" w:fill="auto"/>
            <w:hideMark/>
          </w:tcPr>
          <w:p w14:paraId="78B9D4C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Biological resources </w:t>
            </w:r>
          </w:p>
        </w:tc>
        <w:tc>
          <w:tcPr>
            <w:tcW w:w="7155" w:type="dxa"/>
            <w:tcBorders>
              <w:top w:val="nil"/>
              <w:left w:val="nil"/>
              <w:bottom w:val="nil"/>
              <w:right w:val="nil"/>
            </w:tcBorders>
            <w:shd w:val="clear" w:color="auto" w:fill="auto"/>
            <w:hideMark/>
          </w:tcPr>
          <w:p w14:paraId="0C25787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Includes genetic resources, organisms or parts thereof, populations, or any other biotic component of ecosystems with actual or potential use or value for humanity. (Convention, Article 2) </w:t>
            </w:r>
          </w:p>
        </w:tc>
      </w:tr>
      <w:tr w:rsidR="00764225" w:rsidRPr="00ED7E61" w14:paraId="51BBB15A" w14:textId="77777777" w:rsidTr="00764225">
        <w:trPr>
          <w:trHeight w:val="1260"/>
        </w:trPr>
        <w:tc>
          <w:tcPr>
            <w:tcW w:w="2055" w:type="dxa"/>
            <w:tcBorders>
              <w:top w:val="nil"/>
              <w:left w:val="nil"/>
              <w:bottom w:val="nil"/>
              <w:right w:val="nil"/>
            </w:tcBorders>
            <w:shd w:val="clear" w:color="auto" w:fill="auto"/>
            <w:hideMark/>
          </w:tcPr>
          <w:p w14:paraId="638AE11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Biological stock </w:t>
            </w:r>
          </w:p>
        </w:tc>
        <w:tc>
          <w:tcPr>
            <w:tcW w:w="7155" w:type="dxa"/>
            <w:tcBorders>
              <w:top w:val="nil"/>
              <w:left w:val="nil"/>
              <w:bottom w:val="nil"/>
              <w:right w:val="nil"/>
            </w:tcBorders>
            <w:shd w:val="clear" w:color="auto" w:fill="auto"/>
            <w:hideMark/>
          </w:tcPr>
          <w:p w14:paraId="61E9645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subpopulation of a species inhabiting a particular geographic area, having similar biological characteristics (e.g. growth, reproduction, mortality) and negligible genetic mixing with other adjacent subpopulations of the same species. (FAO, 2004-2021) </w:t>
            </w:r>
          </w:p>
        </w:tc>
      </w:tr>
      <w:tr w:rsidR="00764225" w:rsidRPr="00ED7E61" w14:paraId="331E1ABB" w14:textId="77777777" w:rsidTr="00764225">
        <w:trPr>
          <w:trHeight w:val="1545"/>
        </w:trPr>
        <w:tc>
          <w:tcPr>
            <w:tcW w:w="2055" w:type="dxa"/>
            <w:tcBorders>
              <w:top w:val="nil"/>
              <w:left w:val="nil"/>
              <w:bottom w:val="nil"/>
              <w:right w:val="nil"/>
            </w:tcBorders>
            <w:shd w:val="clear" w:color="auto" w:fill="auto"/>
            <w:hideMark/>
          </w:tcPr>
          <w:p w14:paraId="288FAFA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Biomass corresponding to Maximum Sustainable Yield (BMSY) </w:t>
            </w:r>
          </w:p>
        </w:tc>
        <w:tc>
          <w:tcPr>
            <w:tcW w:w="7155" w:type="dxa"/>
            <w:tcBorders>
              <w:top w:val="nil"/>
              <w:left w:val="nil"/>
              <w:bottom w:val="nil"/>
              <w:right w:val="nil"/>
            </w:tcBorders>
            <w:shd w:val="clear" w:color="auto" w:fill="auto"/>
            <w:hideMark/>
          </w:tcPr>
          <w:p w14:paraId="2B533B7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Biomass corresponding to Maximum Sustainable Yield from a production model or from an age- based analysis using a stock recruitment model. Often used as a biological reference point in fisheries management, it is the calculated long-term average biomass value expected if fishing at the maximum rate of fishing mortality. (FAO, 2004-2021) </w:t>
            </w:r>
          </w:p>
        </w:tc>
      </w:tr>
      <w:tr w:rsidR="00764225" w:rsidRPr="00ED7E61" w14:paraId="27434DAF" w14:textId="77777777" w:rsidTr="00764225">
        <w:trPr>
          <w:trHeight w:val="1005"/>
        </w:trPr>
        <w:tc>
          <w:tcPr>
            <w:tcW w:w="2055" w:type="dxa"/>
            <w:tcBorders>
              <w:top w:val="nil"/>
              <w:left w:val="nil"/>
              <w:bottom w:val="nil"/>
              <w:right w:val="nil"/>
            </w:tcBorders>
            <w:shd w:val="clear" w:color="auto" w:fill="auto"/>
            <w:hideMark/>
          </w:tcPr>
          <w:p w14:paraId="24F4362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Biosafety </w:t>
            </w:r>
          </w:p>
        </w:tc>
        <w:tc>
          <w:tcPr>
            <w:tcW w:w="7155" w:type="dxa"/>
            <w:tcBorders>
              <w:top w:val="nil"/>
              <w:left w:val="nil"/>
              <w:bottom w:val="nil"/>
              <w:right w:val="nil"/>
            </w:tcBorders>
            <w:shd w:val="clear" w:color="auto" w:fill="auto"/>
            <w:hideMark/>
          </w:tcPr>
          <w:p w14:paraId="47CD3A5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This concept refers to the need to protect human health and the environment from the possible adverse effects of the products of modern biotechnology. (</w:t>
            </w:r>
            <w:hyperlink r:id="rId622" w:tgtFrame="_blank" w:history="1">
              <w:r w:rsidRPr="00ED7E61">
                <w:rPr>
                  <w:rStyle w:val="Hyperlink"/>
                  <w:rFonts w:asciiTheme="majorBidi" w:eastAsiaTheme="majorEastAsia" w:hAnsiTheme="majorBidi" w:cstheme="majorBidi"/>
                  <w:sz w:val="22"/>
                  <w:szCs w:val="22"/>
                </w:rPr>
                <w:t>Cartagena Protocol</w:t>
              </w:r>
            </w:hyperlink>
            <w:r w:rsidRPr="00ED7E61">
              <w:rPr>
                <w:rFonts w:asciiTheme="majorBidi" w:eastAsiaTheme="majorEastAsia" w:hAnsiTheme="majorBidi" w:cstheme="majorBidi"/>
                <w:sz w:val="22"/>
                <w:szCs w:val="22"/>
              </w:rPr>
              <w:t>, 2000) </w:t>
            </w:r>
          </w:p>
        </w:tc>
      </w:tr>
      <w:tr w:rsidR="00764225" w:rsidRPr="00ED7E61" w14:paraId="7EC6A0D4" w14:textId="77777777" w:rsidTr="00764225">
        <w:trPr>
          <w:trHeight w:val="690"/>
        </w:trPr>
        <w:tc>
          <w:tcPr>
            <w:tcW w:w="2055" w:type="dxa"/>
            <w:tcBorders>
              <w:top w:val="nil"/>
              <w:left w:val="nil"/>
              <w:bottom w:val="nil"/>
              <w:right w:val="nil"/>
            </w:tcBorders>
            <w:shd w:val="clear" w:color="auto" w:fill="auto"/>
            <w:hideMark/>
          </w:tcPr>
          <w:p w14:paraId="5C07E9A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Biotechnical research activities </w:t>
            </w:r>
          </w:p>
        </w:tc>
        <w:tc>
          <w:tcPr>
            <w:tcW w:w="7155" w:type="dxa"/>
            <w:tcBorders>
              <w:top w:val="nil"/>
              <w:left w:val="nil"/>
              <w:bottom w:val="nil"/>
              <w:right w:val="nil"/>
            </w:tcBorders>
            <w:shd w:val="clear" w:color="auto" w:fill="auto"/>
            <w:hideMark/>
          </w:tcPr>
          <w:p w14:paraId="369B4C3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study of scientific knowledge related to biotechnology (see biotechnology). </w:t>
            </w:r>
          </w:p>
        </w:tc>
      </w:tr>
      <w:tr w:rsidR="00764225" w:rsidRPr="00ED7E61" w14:paraId="1AA0068D" w14:textId="77777777" w:rsidTr="00764225">
        <w:trPr>
          <w:trHeight w:val="1020"/>
        </w:trPr>
        <w:tc>
          <w:tcPr>
            <w:tcW w:w="2055" w:type="dxa"/>
            <w:tcBorders>
              <w:top w:val="nil"/>
              <w:left w:val="nil"/>
              <w:bottom w:val="nil"/>
              <w:right w:val="nil"/>
            </w:tcBorders>
            <w:shd w:val="clear" w:color="auto" w:fill="auto"/>
            <w:hideMark/>
          </w:tcPr>
          <w:p w14:paraId="2514EB9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Biotechnology </w:t>
            </w:r>
          </w:p>
        </w:tc>
        <w:tc>
          <w:tcPr>
            <w:tcW w:w="7155" w:type="dxa"/>
            <w:tcBorders>
              <w:top w:val="nil"/>
              <w:left w:val="nil"/>
              <w:bottom w:val="nil"/>
              <w:right w:val="nil"/>
            </w:tcBorders>
            <w:shd w:val="clear" w:color="auto" w:fill="auto"/>
            <w:hideMark/>
          </w:tcPr>
          <w:p w14:paraId="2E9EBC0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Under the Convention, “</w:t>
            </w:r>
            <w:r w:rsidRPr="00FB1598">
              <w:rPr>
                <w:rFonts w:asciiTheme="majorBidi" w:eastAsiaTheme="majorEastAsia" w:hAnsiTheme="majorBidi" w:cstheme="majorBidi"/>
                <w:i/>
                <w:iCs/>
                <w:sz w:val="22"/>
                <w:szCs w:val="22"/>
              </w:rPr>
              <w:t>biotechnology</w:t>
            </w:r>
            <w:r w:rsidRPr="00ED7E61">
              <w:rPr>
                <w:rFonts w:asciiTheme="majorBidi" w:eastAsiaTheme="majorEastAsia" w:hAnsiTheme="majorBidi" w:cstheme="majorBidi"/>
                <w:sz w:val="22"/>
                <w:szCs w:val="22"/>
              </w:rPr>
              <w:t>” means any technological application that uses biological systems, living organisms or derivatives thereof, to make or modify products or processes for specific use (Convention, Article 2). </w:t>
            </w:r>
          </w:p>
        </w:tc>
      </w:tr>
      <w:tr w:rsidR="00764225" w:rsidRPr="00ED7E61" w14:paraId="180D80E6" w14:textId="77777777" w:rsidTr="00764225">
        <w:trPr>
          <w:trHeight w:val="1020"/>
        </w:trPr>
        <w:tc>
          <w:tcPr>
            <w:tcW w:w="2055" w:type="dxa"/>
            <w:tcBorders>
              <w:top w:val="nil"/>
              <w:left w:val="nil"/>
              <w:bottom w:val="nil"/>
              <w:right w:val="nil"/>
            </w:tcBorders>
            <w:shd w:val="clear" w:color="auto" w:fill="auto"/>
            <w:hideMark/>
          </w:tcPr>
          <w:p w14:paraId="082816E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Built-up area of cities </w:t>
            </w:r>
          </w:p>
        </w:tc>
        <w:tc>
          <w:tcPr>
            <w:tcW w:w="7155" w:type="dxa"/>
            <w:tcBorders>
              <w:top w:val="nil"/>
              <w:left w:val="nil"/>
              <w:bottom w:val="nil"/>
              <w:right w:val="nil"/>
            </w:tcBorders>
            <w:shd w:val="clear" w:color="auto" w:fill="auto"/>
            <w:hideMark/>
          </w:tcPr>
          <w:p w14:paraId="05047BC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Conventionally, built up areas of cities are areas occupied by buildings and other artificial surfaces. (</w:t>
            </w:r>
            <w:hyperlink r:id="rId623" w:tgtFrame="_blank" w:history="1">
              <w:r w:rsidRPr="00ED7E61">
                <w:rPr>
                  <w:rStyle w:val="Hyperlink"/>
                  <w:rFonts w:asciiTheme="majorBidi" w:eastAsiaTheme="majorEastAsia" w:hAnsiTheme="majorBidi" w:cstheme="majorBidi"/>
                  <w:sz w:val="22"/>
                  <w:szCs w:val="22"/>
                </w:rPr>
                <w:t>UN Stats</w:t>
              </w:r>
            </w:hyperlink>
            <w:r w:rsidRPr="00ED7E61">
              <w:rPr>
                <w:rFonts w:asciiTheme="majorBidi" w:eastAsiaTheme="majorEastAsia" w:hAnsiTheme="majorBidi" w:cstheme="majorBidi"/>
                <w:sz w:val="22"/>
                <w:szCs w:val="22"/>
              </w:rPr>
              <w:t>) </w:t>
            </w:r>
          </w:p>
        </w:tc>
      </w:tr>
      <w:tr w:rsidR="00764225" w:rsidRPr="00ED7E61" w14:paraId="70E67975" w14:textId="77777777" w:rsidTr="00764225">
        <w:trPr>
          <w:trHeight w:val="2220"/>
        </w:trPr>
        <w:tc>
          <w:tcPr>
            <w:tcW w:w="2055" w:type="dxa"/>
            <w:tcBorders>
              <w:top w:val="nil"/>
              <w:left w:val="nil"/>
              <w:bottom w:val="nil"/>
              <w:right w:val="nil"/>
            </w:tcBorders>
            <w:shd w:val="clear" w:color="auto" w:fill="auto"/>
            <w:hideMark/>
          </w:tcPr>
          <w:p w14:paraId="5916B7D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Capacity-building </w:t>
            </w:r>
          </w:p>
        </w:tc>
        <w:tc>
          <w:tcPr>
            <w:tcW w:w="7155" w:type="dxa"/>
            <w:tcBorders>
              <w:top w:val="nil"/>
              <w:left w:val="nil"/>
              <w:bottom w:val="nil"/>
              <w:right w:val="nil"/>
            </w:tcBorders>
            <w:shd w:val="clear" w:color="auto" w:fill="auto"/>
            <w:hideMark/>
          </w:tcPr>
          <w:p w14:paraId="5797AD76" w14:textId="463C6AD6"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 this strategic framework, capacity is described as “</w:t>
            </w:r>
            <w:r w:rsidRPr="00FB1598">
              <w:rPr>
                <w:rFonts w:asciiTheme="majorBidi" w:eastAsiaTheme="majorEastAsia" w:hAnsiTheme="majorBidi" w:cstheme="majorBidi"/>
                <w:i/>
                <w:iCs/>
                <w:sz w:val="22"/>
                <w:szCs w:val="22"/>
              </w:rPr>
              <w:t>the ability of people, organizations and societies as a whole to achieve the biodiversity-related goals and action targets</w:t>
            </w:r>
            <w:r w:rsidRPr="00ED7E61">
              <w:rPr>
                <w:rFonts w:asciiTheme="majorBidi" w:eastAsiaTheme="majorEastAsia" w:hAnsiTheme="majorBidi" w:cstheme="majorBidi"/>
                <w:sz w:val="22"/>
                <w:szCs w:val="22"/>
              </w:rPr>
              <w:t>”, and capacity</w:t>
            </w:r>
            <w:r w:rsidR="009241FD">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building and development is understood as “</w:t>
            </w:r>
            <w:r w:rsidRPr="00FB1598">
              <w:rPr>
                <w:rFonts w:asciiTheme="majorBidi" w:eastAsiaTheme="majorEastAsia" w:hAnsiTheme="majorBidi" w:cstheme="majorBidi"/>
                <w:i/>
                <w:iCs/>
                <w:sz w:val="22"/>
                <w:szCs w:val="22"/>
              </w:rPr>
              <w:t>the process whereby people, organizations and society as a whole unleash, strengthen, create, adapt and maintain capacity over time to achieve positive biodiversity results</w:t>
            </w:r>
            <w:r w:rsidRPr="00ED7E61">
              <w:rPr>
                <w:rFonts w:asciiTheme="majorBidi" w:eastAsiaTheme="majorEastAsia" w:hAnsiTheme="majorBidi" w:cstheme="majorBidi"/>
                <w:sz w:val="22"/>
                <w:szCs w:val="22"/>
              </w:rPr>
              <w:t>.” Capacity</w:t>
            </w:r>
            <w:r w:rsidR="009241FD">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xml:space="preserve">building and development is considered at three levels: the enabling environment, organizational and individual levels. (Adapted from </w:t>
            </w:r>
            <w:hyperlink r:id="rId624" w:tgtFrame="_blank" w:history="1">
              <w:r w:rsidRPr="00ED7E61">
                <w:rPr>
                  <w:rStyle w:val="Hyperlink"/>
                  <w:rFonts w:asciiTheme="majorBidi" w:eastAsiaTheme="majorEastAsia" w:hAnsiTheme="majorBidi" w:cstheme="majorBidi"/>
                  <w:sz w:val="22"/>
                  <w:szCs w:val="22"/>
                </w:rPr>
                <w:t>UNDP</w:t>
              </w:r>
            </w:hyperlink>
            <w:r w:rsidRPr="00ED7E61">
              <w:rPr>
                <w:rFonts w:asciiTheme="majorBidi" w:eastAsiaTheme="majorEastAsia" w:hAnsiTheme="majorBidi" w:cstheme="majorBidi"/>
                <w:sz w:val="22"/>
                <w:szCs w:val="22"/>
              </w:rPr>
              <w:t>, 2017) </w:t>
            </w:r>
          </w:p>
        </w:tc>
      </w:tr>
      <w:tr w:rsidR="00764225" w:rsidRPr="00ED7E61" w14:paraId="20B3BC49" w14:textId="77777777" w:rsidTr="00764225">
        <w:trPr>
          <w:trHeight w:val="1485"/>
        </w:trPr>
        <w:tc>
          <w:tcPr>
            <w:tcW w:w="2055" w:type="dxa"/>
            <w:tcBorders>
              <w:top w:val="nil"/>
              <w:left w:val="nil"/>
              <w:bottom w:val="nil"/>
              <w:right w:val="nil"/>
            </w:tcBorders>
            <w:shd w:val="clear" w:color="auto" w:fill="auto"/>
            <w:hideMark/>
          </w:tcPr>
          <w:p w14:paraId="54CE656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Capacity development </w:t>
            </w:r>
          </w:p>
        </w:tc>
        <w:tc>
          <w:tcPr>
            <w:tcW w:w="7155" w:type="dxa"/>
            <w:tcBorders>
              <w:top w:val="nil"/>
              <w:left w:val="nil"/>
              <w:bottom w:val="nil"/>
              <w:right w:val="nil"/>
            </w:tcBorders>
            <w:shd w:val="clear" w:color="auto" w:fill="auto"/>
            <w:hideMark/>
          </w:tcPr>
          <w:p w14:paraId="0D160468" w14:textId="53D5A45A"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process whereby people, organizations and society as a whole unleash, strengthen, create, adapt and maintain capacity over time to achieve positive biodiversity results. Capacity</w:t>
            </w:r>
            <w:r w:rsidR="009241FD">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building and development is considered at three levels: the enabling environment, organizational and individual levels. (</w:t>
            </w:r>
            <w:hyperlink r:id="rId625" w:tgtFrame="_blank" w:history="1">
              <w:r w:rsidRPr="00ED7E61">
                <w:rPr>
                  <w:rStyle w:val="Hyperlink"/>
                  <w:rFonts w:asciiTheme="majorBidi" w:eastAsiaTheme="majorEastAsia" w:hAnsiTheme="majorBidi" w:cstheme="majorBidi"/>
                  <w:sz w:val="22"/>
                  <w:szCs w:val="22"/>
                </w:rPr>
                <w:t>UNDP</w:t>
              </w:r>
            </w:hyperlink>
            <w:r w:rsidRPr="00ED7E61">
              <w:rPr>
                <w:rFonts w:asciiTheme="majorBidi" w:eastAsiaTheme="majorEastAsia" w:hAnsiTheme="majorBidi" w:cstheme="majorBidi"/>
                <w:sz w:val="22"/>
                <w:szCs w:val="22"/>
              </w:rPr>
              <w:t>, 2017) </w:t>
            </w:r>
          </w:p>
        </w:tc>
      </w:tr>
      <w:tr w:rsidR="00764225" w:rsidRPr="00ED7E61" w14:paraId="50116B41" w14:textId="77777777" w:rsidTr="00764225">
        <w:trPr>
          <w:trHeight w:val="940"/>
        </w:trPr>
        <w:tc>
          <w:tcPr>
            <w:tcW w:w="2055" w:type="dxa"/>
            <w:tcBorders>
              <w:top w:val="nil"/>
              <w:left w:val="nil"/>
              <w:bottom w:val="nil"/>
              <w:right w:val="nil"/>
            </w:tcBorders>
            <w:shd w:val="clear" w:color="auto" w:fill="auto"/>
            <w:hideMark/>
          </w:tcPr>
          <w:p w14:paraId="2A4B005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Capacity-building measures </w:t>
            </w:r>
          </w:p>
        </w:tc>
        <w:tc>
          <w:tcPr>
            <w:tcW w:w="7155" w:type="dxa"/>
            <w:tcBorders>
              <w:top w:val="nil"/>
              <w:left w:val="nil"/>
              <w:bottom w:val="nil"/>
              <w:right w:val="nil"/>
            </w:tcBorders>
            <w:shd w:val="clear" w:color="auto" w:fill="auto"/>
            <w:hideMark/>
          </w:tcPr>
          <w:p w14:paraId="1A587F1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For the purpose of the Framework, capacity building measures refer to administrative, policy and legislative instruments that are used for capacity-building and development. </w:t>
            </w:r>
          </w:p>
        </w:tc>
      </w:tr>
      <w:tr w:rsidR="00764225" w:rsidRPr="00ED7E61" w14:paraId="126261B0" w14:textId="77777777" w:rsidTr="00764225">
        <w:trPr>
          <w:trHeight w:val="765"/>
        </w:trPr>
        <w:tc>
          <w:tcPr>
            <w:tcW w:w="2055" w:type="dxa"/>
            <w:tcBorders>
              <w:top w:val="nil"/>
              <w:left w:val="nil"/>
              <w:bottom w:val="nil"/>
              <w:right w:val="nil"/>
            </w:tcBorders>
            <w:shd w:val="clear" w:color="auto" w:fill="auto"/>
            <w:hideMark/>
          </w:tcPr>
          <w:p w14:paraId="474C6FC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Census population size </w:t>
            </w:r>
          </w:p>
        </w:tc>
        <w:tc>
          <w:tcPr>
            <w:tcW w:w="7155" w:type="dxa"/>
            <w:tcBorders>
              <w:top w:val="nil"/>
              <w:left w:val="nil"/>
              <w:bottom w:val="nil"/>
              <w:right w:val="nil"/>
            </w:tcBorders>
            <w:shd w:val="clear" w:color="auto" w:fill="auto"/>
            <w:hideMark/>
          </w:tcPr>
          <w:p w14:paraId="5A693D5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Is the number of adult individuals present in a discrete area. </w:t>
            </w:r>
          </w:p>
        </w:tc>
      </w:tr>
      <w:tr w:rsidR="00764225" w:rsidRPr="00ED7E61" w14:paraId="516D8BB9" w14:textId="77777777" w:rsidTr="00764225">
        <w:trPr>
          <w:trHeight w:val="709"/>
        </w:trPr>
        <w:tc>
          <w:tcPr>
            <w:tcW w:w="2055" w:type="dxa"/>
            <w:tcBorders>
              <w:top w:val="nil"/>
              <w:left w:val="nil"/>
              <w:bottom w:val="nil"/>
              <w:right w:val="nil"/>
            </w:tcBorders>
            <w:shd w:val="clear" w:color="auto" w:fill="auto"/>
            <w:hideMark/>
          </w:tcPr>
          <w:p w14:paraId="634A49D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Children </w:t>
            </w:r>
          </w:p>
        </w:tc>
        <w:tc>
          <w:tcPr>
            <w:tcW w:w="7155" w:type="dxa"/>
            <w:tcBorders>
              <w:top w:val="nil"/>
              <w:left w:val="nil"/>
              <w:bottom w:val="nil"/>
              <w:right w:val="nil"/>
            </w:tcBorders>
            <w:shd w:val="clear" w:color="auto" w:fill="auto"/>
            <w:hideMark/>
          </w:tcPr>
          <w:p w14:paraId="33FECF9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child is recognized as a person under 18, unless national laws recognize the age of majority earlier. (</w:t>
            </w:r>
            <w:hyperlink r:id="rId626" w:tgtFrame="_blank" w:history="1">
              <w:r w:rsidRPr="00ED7E61">
                <w:rPr>
                  <w:rStyle w:val="Hyperlink"/>
                  <w:rFonts w:asciiTheme="majorBidi" w:eastAsiaTheme="majorEastAsia" w:hAnsiTheme="majorBidi" w:cstheme="majorBidi"/>
                  <w:sz w:val="22"/>
                  <w:szCs w:val="22"/>
                </w:rPr>
                <w:t>UNICEF</w:t>
              </w:r>
            </w:hyperlink>
            <w:r w:rsidRPr="00ED7E61">
              <w:rPr>
                <w:rFonts w:asciiTheme="majorBidi" w:eastAsiaTheme="majorEastAsia" w:hAnsiTheme="majorBidi" w:cstheme="majorBidi"/>
                <w:sz w:val="22"/>
                <w:szCs w:val="22"/>
              </w:rPr>
              <w:t>) </w:t>
            </w:r>
          </w:p>
        </w:tc>
      </w:tr>
      <w:tr w:rsidR="00764225" w:rsidRPr="00ED7E61" w14:paraId="0B1B3F73" w14:textId="77777777" w:rsidTr="00764225">
        <w:trPr>
          <w:trHeight w:val="5850"/>
        </w:trPr>
        <w:tc>
          <w:tcPr>
            <w:tcW w:w="2055" w:type="dxa"/>
            <w:tcBorders>
              <w:top w:val="nil"/>
              <w:left w:val="nil"/>
              <w:bottom w:val="nil"/>
              <w:right w:val="nil"/>
            </w:tcBorders>
            <w:shd w:val="clear" w:color="auto" w:fill="auto"/>
            <w:hideMark/>
          </w:tcPr>
          <w:p w14:paraId="72960BD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City </w:t>
            </w:r>
          </w:p>
        </w:tc>
        <w:tc>
          <w:tcPr>
            <w:tcW w:w="7155" w:type="dxa"/>
            <w:tcBorders>
              <w:top w:val="nil"/>
              <w:left w:val="nil"/>
              <w:bottom w:val="nil"/>
              <w:right w:val="nil"/>
            </w:tcBorders>
            <w:shd w:val="clear" w:color="auto" w:fill="auto"/>
            <w:hideMark/>
          </w:tcPr>
          <w:p w14:paraId="015092C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range of accepted definitions of the “</w:t>
            </w:r>
            <w:r w:rsidRPr="00FB1598">
              <w:rPr>
                <w:rFonts w:asciiTheme="majorBidi" w:eastAsiaTheme="majorEastAsia" w:hAnsiTheme="majorBidi" w:cstheme="majorBidi"/>
                <w:i/>
                <w:iCs/>
                <w:sz w:val="22"/>
                <w:szCs w:val="22"/>
              </w:rPr>
              <w:t>city</w:t>
            </w:r>
            <w:r w:rsidRPr="00ED7E61">
              <w:rPr>
                <w:rFonts w:asciiTheme="majorBidi" w:eastAsiaTheme="majorEastAsia" w:hAnsiTheme="majorBidi" w:cstheme="majorBidi"/>
                <w:sz w:val="22"/>
                <w:szCs w:val="22"/>
              </w:rPr>
              <w:t>” exist, from those based on population data and extent of the built-up area to those that are based solely on administrative boundaries. These definitions vary within and between nations, complicating the task of international reporting for the SDGs. Definitions of cities, metropolitan areas and urban agglomerations also vary depending on legal, administrative, political, economic or cultural criteria in the respective countries and regions. Since 2016 UN-Habitat and partners organized global consultations and discussions to narrow down the set of meaningful definitions that would be helpful for the global monitoring and reporting process. Following consultations with 86 member states, the United Nations Statistical Commission, in its 51st Session (March 2020) endorsed the Degree of Urbanisation (DEGURBA) as a workable method to delineate cities, urban and rural areas for international statistical comparisons. [1] This definition combines population size and population density thresholds to classify the entire territory of a country along the urban-rural continuum, and captures the full extent of a city, including the dense neighbourhoods beyond the boundary of the central municipality. DEGURBA is applied in a two-step process: First, 1 km2 grid cells are classified based on population density, contiguity and population size. Subsequently, local units are classified as urban or rural based on the type of grid cells in which majority of their population resides. For the computation of SDG indicator 11.7.1, countries are encouraged to adopt the degree of urbanisation to define the analysis area (city or urban area). </w:t>
            </w:r>
          </w:p>
        </w:tc>
      </w:tr>
      <w:tr w:rsidR="00764225" w:rsidRPr="00ED7E61" w14:paraId="0391553C" w14:textId="77777777" w:rsidTr="00764225">
        <w:trPr>
          <w:trHeight w:val="1695"/>
        </w:trPr>
        <w:tc>
          <w:tcPr>
            <w:tcW w:w="2055" w:type="dxa"/>
            <w:tcBorders>
              <w:top w:val="nil"/>
              <w:left w:val="nil"/>
              <w:bottom w:val="nil"/>
              <w:right w:val="nil"/>
            </w:tcBorders>
            <w:shd w:val="clear" w:color="auto" w:fill="auto"/>
            <w:hideMark/>
          </w:tcPr>
          <w:p w14:paraId="2F5DD4E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Climate action </w:t>
            </w:r>
          </w:p>
        </w:tc>
        <w:tc>
          <w:tcPr>
            <w:tcW w:w="7155" w:type="dxa"/>
            <w:tcBorders>
              <w:top w:val="nil"/>
              <w:left w:val="nil"/>
              <w:bottom w:val="nil"/>
              <w:right w:val="nil"/>
            </w:tcBorders>
            <w:shd w:val="clear" w:color="auto" w:fill="auto"/>
            <w:hideMark/>
          </w:tcPr>
          <w:p w14:paraId="3DBC804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Climate action refers to efforts taken to combat climate change and its impacts. These efforts include, but are not limited to, reducing greenhouse gas emissions to the atmosphere, reducing concentrations of greenhouse gasses in the atmosphere or ocean (reversing the associated effects of greenhouse gases (e.g. by enhancing ocean alkalinity), and/or taking action to build resilience or promote adaptation. (</w:t>
            </w:r>
            <w:hyperlink r:id="rId627" w:tgtFrame="_blank" w:history="1">
              <w:r w:rsidRPr="00ED7E61">
                <w:rPr>
                  <w:rStyle w:val="Hyperlink"/>
                  <w:rFonts w:asciiTheme="majorBidi" w:eastAsiaTheme="majorEastAsia" w:hAnsiTheme="majorBidi" w:cstheme="majorBidi"/>
                  <w:sz w:val="22"/>
                  <w:szCs w:val="22"/>
                </w:rPr>
                <w:t>EU</w:t>
              </w:r>
            </w:hyperlink>
            <w:r w:rsidRPr="00ED7E61">
              <w:rPr>
                <w:rFonts w:asciiTheme="majorBidi" w:eastAsiaTheme="majorEastAsia" w:hAnsiTheme="majorBidi" w:cstheme="majorBidi"/>
                <w:sz w:val="22"/>
                <w:szCs w:val="22"/>
              </w:rPr>
              <w:t>) </w:t>
            </w:r>
          </w:p>
        </w:tc>
      </w:tr>
      <w:tr w:rsidR="00764225" w:rsidRPr="00ED7E61" w14:paraId="2F166B2D" w14:textId="77777777" w:rsidTr="00764225">
        <w:trPr>
          <w:trHeight w:val="1500"/>
        </w:trPr>
        <w:tc>
          <w:tcPr>
            <w:tcW w:w="2055" w:type="dxa"/>
            <w:tcBorders>
              <w:top w:val="nil"/>
              <w:left w:val="nil"/>
              <w:bottom w:val="nil"/>
              <w:right w:val="nil"/>
            </w:tcBorders>
            <w:shd w:val="clear" w:color="auto" w:fill="auto"/>
            <w:hideMark/>
          </w:tcPr>
          <w:p w14:paraId="797F942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Climate change </w:t>
            </w:r>
          </w:p>
        </w:tc>
        <w:tc>
          <w:tcPr>
            <w:tcW w:w="7155" w:type="dxa"/>
            <w:tcBorders>
              <w:top w:val="nil"/>
              <w:left w:val="nil"/>
              <w:bottom w:val="nil"/>
              <w:right w:val="nil"/>
            </w:tcBorders>
            <w:shd w:val="clear" w:color="auto" w:fill="auto"/>
            <w:hideMark/>
          </w:tcPr>
          <w:p w14:paraId="2E6335DF" w14:textId="5FDC3861"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The United Nations Framework Convention on Climate Change (UNFCCC), in its Article 1, defines climate change as: </w:t>
            </w:r>
            <w:r w:rsidR="00D20B01">
              <w:rPr>
                <w:rFonts w:asciiTheme="majorBidi" w:eastAsiaTheme="majorEastAsia" w:hAnsiTheme="majorBidi" w:cstheme="majorBidi"/>
                <w:sz w:val="22"/>
                <w:szCs w:val="22"/>
              </w:rPr>
              <w:t>“</w:t>
            </w:r>
            <w:r w:rsidRPr="00FB1598">
              <w:rPr>
                <w:rFonts w:asciiTheme="majorBidi" w:eastAsiaTheme="majorEastAsia" w:hAnsiTheme="majorBidi" w:cstheme="majorBidi"/>
                <w:i/>
                <w:iCs/>
                <w:sz w:val="22"/>
                <w:szCs w:val="22"/>
              </w:rPr>
              <w:t>a change of climate which is attributed directly or indirectly to human activity that alters the composition of the global atmosphere and which is in addition to natural climate variability observed over comparable time periods</w:t>
            </w:r>
            <w:r w:rsidR="00D20B01">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w:t>
            </w:r>
          </w:p>
        </w:tc>
      </w:tr>
      <w:tr w:rsidR="00764225" w:rsidRPr="00ED7E61" w14:paraId="4EBEA0AC" w14:textId="77777777" w:rsidTr="00764225">
        <w:trPr>
          <w:trHeight w:val="1695"/>
        </w:trPr>
        <w:tc>
          <w:tcPr>
            <w:tcW w:w="2055" w:type="dxa"/>
            <w:tcBorders>
              <w:top w:val="nil"/>
              <w:left w:val="nil"/>
              <w:bottom w:val="nil"/>
              <w:right w:val="nil"/>
            </w:tcBorders>
            <w:shd w:val="clear" w:color="auto" w:fill="auto"/>
            <w:hideMark/>
          </w:tcPr>
          <w:p w14:paraId="0A1A7BE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Coastal and marine </w:t>
            </w:r>
          </w:p>
        </w:tc>
        <w:tc>
          <w:tcPr>
            <w:tcW w:w="7155" w:type="dxa"/>
            <w:tcBorders>
              <w:top w:val="nil"/>
              <w:left w:val="nil"/>
              <w:bottom w:val="nil"/>
              <w:right w:val="nil"/>
            </w:tcBorders>
            <w:shd w:val="clear" w:color="auto" w:fill="auto"/>
            <w:hideMark/>
          </w:tcPr>
          <w:p w14:paraId="351055F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All connected saline ocean waters characterised by waves, tides and currents, this includes IUCN Global Ecosystem Typologies (GET): Marine shelfs (M1); pelagic ocean waters (M2); deep sea floors (M3); semi-confined transitional waters biome (FM1); shoreline systems biome (MT1); supralittoral coastal systems biome (MT2); brackish tidal systems biome (MFT1); anthropogenic marine systems (M4); anthropogenic shorelines (MT3). (Adapted from </w:t>
            </w:r>
            <w:hyperlink r:id="rId628" w:tgtFrame="_blank" w:history="1">
              <w:r w:rsidRPr="00ED7E61">
                <w:rPr>
                  <w:rStyle w:val="Hyperlink"/>
                  <w:rFonts w:asciiTheme="majorBidi" w:eastAsiaTheme="majorEastAsia" w:hAnsiTheme="majorBidi" w:cstheme="majorBidi"/>
                  <w:sz w:val="22"/>
                  <w:szCs w:val="22"/>
                </w:rPr>
                <w:t>TNFD</w:t>
              </w:r>
            </w:hyperlink>
            <w:r w:rsidRPr="00ED7E61">
              <w:rPr>
                <w:rFonts w:asciiTheme="majorBidi" w:eastAsiaTheme="majorEastAsia" w:hAnsiTheme="majorBidi" w:cstheme="majorBidi"/>
                <w:sz w:val="22"/>
                <w:szCs w:val="22"/>
              </w:rPr>
              <w:t>, 2023) </w:t>
            </w:r>
          </w:p>
        </w:tc>
      </w:tr>
      <w:tr w:rsidR="00764225" w:rsidRPr="00ED7E61" w14:paraId="2B2E038D" w14:textId="77777777" w:rsidTr="00764225">
        <w:trPr>
          <w:trHeight w:val="1470"/>
        </w:trPr>
        <w:tc>
          <w:tcPr>
            <w:tcW w:w="2055" w:type="dxa"/>
            <w:tcBorders>
              <w:top w:val="nil"/>
              <w:left w:val="nil"/>
              <w:bottom w:val="nil"/>
              <w:right w:val="nil"/>
            </w:tcBorders>
            <w:shd w:val="clear" w:color="auto" w:fill="auto"/>
            <w:hideMark/>
          </w:tcPr>
          <w:p w14:paraId="0226CC5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Community-based monitoring and information systems </w:t>
            </w:r>
          </w:p>
        </w:tc>
        <w:tc>
          <w:tcPr>
            <w:tcW w:w="7155" w:type="dxa"/>
            <w:tcBorders>
              <w:top w:val="nil"/>
              <w:left w:val="nil"/>
              <w:bottom w:val="nil"/>
              <w:right w:val="nil"/>
            </w:tcBorders>
            <w:shd w:val="clear" w:color="auto" w:fill="auto"/>
            <w:hideMark/>
          </w:tcPr>
          <w:p w14:paraId="2578ED2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Community-based monitoring and information systems (CBMIS) refer to initiatives by indigenous peoples and local community organisations to monitor their community’s well-being and the state of their territories and natural resources, applying a mix of traditional knowledge and innovative tools and approaches. (</w:t>
            </w:r>
            <w:hyperlink r:id="rId629" w:tgtFrame="_blank" w:history="1">
              <w:r w:rsidRPr="00ED7E61">
                <w:rPr>
                  <w:rStyle w:val="Hyperlink"/>
                  <w:rFonts w:asciiTheme="majorBidi" w:eastAsiaTheme="majorEastAsia" w:hAnsiTheme="majorBidi" w:cstheme="majorBidi"/>
                  <w:sz w:val="22"/>
                  <w:szCs w:val="22"/>
                </w:rPr>
                <w:t>FPP</w:t>
              </w:r>
            </w:hyperlink>
            <w:r w:rsidRPr="00ED7E61">
              <w:rPr>
                <w:rFonts w:asciiTheme="majorBidi" w:eastAsiaTheme="majorEastAsia" w:hAnsiTheme="majorBidi" w:cstheme="majorBidi"/>
                <w:sz w:val="22"/>
                <w:szCs w:val="22"/>
              </w:rPr>
              <w:t>, 2015) </w:t>
            </w:r>
          </w:p>
        </w:tc>
      </w:tr>
      <w:tr w:rsidR="00764225" w:rsidRPr="00ED7E61" w14:paraId="1A3DC350" w14:textId="77777777" w:rsidTr="00764225">
        <w:trPr>
          <w:trHeight w:val="990"/>
        </w:trPr>
        <w:tc>
          <w:tcPr>
            <w:tcW w:w="2055" w:type="dxa"/>
            <w:tcBorders>
              <w:top w:val="nil"/>
              <w:left w:val="nil"/>
              <w:bottom w:val="nil"/>
              <w:right w:val="nil"/>
            </w:tcBorders>
            <w:shd w:val="clear" w:color="auto" w:fill="auto"/>
            <w:hideMark/>
          </w:tcPr>
          <w:p w14:paraId="1F4B0CA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Complementary indicator </w:t>
            </w:r>
          </w:p>
        </w:tc>
        <w:tc>
          <w:tcPr>
            <w:tcW w:w="7155" w:type="dxa"/>
            <w:tcBorders>
              <w:top w:val="nil"/>
              <w:left w:val="nil"/>
              <w:bottom w:val="nil"/>
              <w:right w:val="nil"/>
            </w:tcBorders>
            <w:shd w:val="clear" w:color="auto" w:fill="auto"/>
            <w:hideMark/>
          </w:tcPr>
          <w:p w14:paraId="1D31CAC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list of optional indicators for thematic or in-depth analysis of each goal and target which may be applicable at global, regional, national, and subnational levels (CBD/COP/DEC/15/5). </w:t>
            </w:r>
          </w:p>
        </w:tc>
      </w:tr>
      <w:tr w:rsidR="00764225" w:rsidRPr="00ED7E61" w14:paraId="713C9C8D" w14:textId="77777777" w:rsidTr="00764225">
        <w:trPr>
          <w:trHeight w:val="2552"/>
        </w:trPr>
        <w:tc>
          <w:tcPr>
            <w:tcW w:w="2055" w:type="dxa"/>
            <w:tcBorders>
              <w:top w:val="nil"/>
              <w:left w:val="nil"/>
              <w:bottom w:val="nil"/>
              <w:right w:val="nil"/>
            </w:tcBorders>
            <w:shd w:val="clear" w:color="auto" w:fill="auto"/>
            <w:hideMark/>
          </w:tcPr>
          <w:p w14:paraId="4E7A875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Compliance </w:t>
            </w:r>
          </w:p>
        </w:tc>
        <w:tc>
          <w:tcPr>
            <w:tcW w:w="7155" w:type="dxa"/>
            <w:tcBorders>
              <w:top w:val="nil"/>
              <w:left w:val="nil"/>
              <w:bottom w:val="nil"/>
              <w:right w:val="nil"/>
            </w:tcBorders>
            <w:shd w:val="clear" w:color="auto" w:fill="auto"/>
            <w:hideMark/>
          </w:tcPr>
          <w:p w14:paraId="4DA5EB31" w14:textId="4EB6CCB8"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fulfilment by the contracting parties of their obligations under a multilateral environmental agreement and any amendments to the multilateral environmental agreement (Source: Guidelines on Compliance with and Enforcement of MEAs, 2002). The systems adopted under MEAs to promote compliance (e.g. UNFCCC compliance refers to a country</w:t>
            </w:r>
            <w:r w:rsidR="009241FD">
              <w:rPr>
                <w:rFonts w:asciiTheme="majorBidi" w:eastAsiaTheme="majorEastAsia" w:hAnsiTheme="majorBidi" w:cstheme="majorBidi"/>
                <w:sz w:val="22"/>
                <w:szCs w:val="22"/>
              </w:rPr>
              <w:t xml:space="preserve"> </w:t>
            </w:r>
            <w:r w:rsidRPr="00ED7E61">
              <w:rPr>
                <w:rFonts w:asciiTheme="majorBidi" w:eastAsiaTheme="majorEastAsia" w:hAnsiTheme="majorBidi" w:cstheme="majorBidi"/>
                <w:sz w:val="22"/>
                <w:szCs w:val="22"/>
              </w:rPr>
              <w:t>/</w:t>
            </w:r>
            <w:r w:rsidR="009241FD">
              <w:rPr>
                <w:rFonts w:asciiTheme="majorBidi" w:eastAsiaTheme="majorEastAsia" w:hAnsiTheme="majorBidi" w:cstheme="majorBidi"/>
                <w:sz w:val="22"/>
                <w:szCs w:val="22"/>
              </w:rPr>
              <w:t xml:space="preserve"> </w:t>
            </w:r>
            <w:r w:rsidRPr="00ED7E61">
              <w:rPr>
                <w:rFonts w:asciiTheme="majorBidi" w:eastAsiaTheme="majorEastAsia" w:hAnsiTheme="majorBidi" w:cstheme="majorBidi"/>
                <w:sz w:val="22"/>
                <w:szCs w:val="22"/>
              </w:rPr>
              <w:t>company</w:t>
            </w:r>
            <w:r w:rsidR="009241FD">
              <w:rPr>
                <w:rFonts w:asciiTheme="majorBidi" w:eastAsiaTheme="majorEastAsia" w:hAnsiTheme="majorBidi" w:cstheme="majorBidi"/>
                <w:sz w:val="22"/>
                <w:szCs w:val="22"/>
              </w:rPr>
              <w:t xml:space="preserve"> </w:t>
            </w:r>
            <w:r w:rsidRPr="00ED7E61">
              <w:rPr>
                <w:rFonts w:asciiTheme="majorBidi" w:eastAsiaTheme="majorEastAsia" w:hAnsiTheme="majorBidi" w:cstheme="majorBidi"/>
                <w:sz w:val="22"/>
                <w:szCs w:val="22"/>
              </w:rPr>
              <w:t xml:space="preserve">/ individual fulfilment of </w:t>
            </w:r>
            <w:r w:rsidR="00A4751A">
              <w:rPr>
                <w:rFonts w:asciiTheme="majorBidi" w:eastAsiaTheme="majorEastAsia" w:hAnsiTheme="majorBidi" w:cstheme="majorBidi"/>
                <w:sz w:val="22"/>
                <w:szCs w:val="22"/>
              </w:rPr>
              <w:t>their</w:t>
            </w:r>
            <w:r w:rsidRPr="00ED7E61">
              <w:rPr>
                <w:rFonts w:asciiTheme="majorBidi" w:eastAsiaTheme="majorEastAsia" w:hAnsiTheme="majorBidi" w:cstheme="majorBidi"/>
                <w:sz w:val="22"/>
                <w:szCs w:val="22"/>
              </w:rPr>
              <w:t xml:space="preserve"> emissions and reporting commitments). The components of compliance mechanisms can be analysed into four categories: a) performance information; b) multilateral institutional procedures; c) non-compliance response measures; and d) dispute settlement procedures. (</w:t>
            </w:r>
            <w:hyperlink r:id="rId630" w:anchor=":~:text='Compliance'%20means%20the%20fulfilment%20by,and%20Enforcement%20of%20MEAs%2C%202002)" w:tgtFrame="_blank" w:history="1">
              <w:r w:rsidRPr="00ED7E61">
                <w:rPr>
                  <w:rStyle w:val="Hyperlink"/>
                  <w:rFonts w:asciiTheme="majorBidi" w:eastAsiaTheme="majorEastAsia" w:hAnsiTheme="majorBidi" w:cstheme="majorBidi"/>
                  <w:sz w:val="22"/>
                  <w:szCs w:val="22"/>
                </w:rPr>
                <w:t>UNEP</w:t>
              </w:r>
            </w:hyperlink>
            <w:r w:rsidRPr="00ED7E61">
              <w:rPr>
                <w:rFonts w:asciiTheme="majorBidi" w:eastAsiaTheme="majorEastAsia" w:hAnsiTheme="majorBidi" w:cstheme="majorBidi"/>
                <w:sz w:val="22"/>
                <w:szCs w:val="22"/>
              </w:rPr>
              <w:t>, 2002) </w:t>
            </w:r>
          </w:p>
        </w:tc>
      </w:tr>
      <w:tr w:rsidR="00764225" w:rsidRPr="00ED7E61" w14:paraId="50F0DEEA" w14:textId="77777777" w:rsidTr="00764225">
        <w:trPr>
          <w:trHeight w:val="1245"/>
        </w:trPr>
        <w:tc>
          <w:tcPr>
            <w:tcW w:w="2055" w:type="dxa"/>
            <w:tcBorders>
              <w:top w:val="nil"/>
              <w:left w:val="nil"/>
              <w:bottom w:val="nil"/>
              <w:right w:val="nil"/>
            </w:tcBorders>
            <w:shd w:val="clear" w:color="auto" w:fill="auto"/>
            <w:hideMark/>
          </w:tcPr>
          <w:p w14:paraId="3D4EC0B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Component indicator </w:t>
            </w:r>
          </w:p>
        </w:tc>
        <w:tc>
          <w:tcPr>
            <w:tcW w:w="7155" w:type="dxa"/>
            <w:tcBorders>
              <w:top w:val="nil"/>
              <w:left w:val="nil"/>
              <w:bottom w:val="nil"/>
              <w:right w:val="nil"/>
            </w:tcBorders>
            <w:shd w:val="clear" w:color="auto" w:fill="auto"/>
            <w:hideMark/>
          </w:tcPr>
          <w:p w14:paraId="1142F65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list of optional indicators that, together with the headline indicators, cover components of the goals and targets of the Kunming-Montreal Global Biodiversity Framework which may apply at the global, regional, national and subnational levels (CBD/COP/DEC/15/5). </w:t>
            </w:r>
          </w:p>
        </w:tc>
      </w:tr>
      <w:tr w:rsidR="00764225" w:rsidRPr="00ED7E61" w14:paraId="3DFA9830" w14:textId="77777777" w:rsidTr="00764225">
        <w:trPr>
          <w:trHeight w:val="748"/>
        </w:trPr>
        <w:tc>
          <w:tcPr>
            <w:tcW w:w="2055" w:type="dxa"/>
            <w:tcBorders>
              <w:top w:val="nil"/>
              <w:left w:val="nil"/>
              <w:bottom w:val="nil"/>
              <w:right w:val="nil"/>
            </w:tcBorders>
            <w:shd w:val="clear" w:color="auto" w:fill="auto"/>
            <w:hideMark/>
          </w:tcPr>
          <w:p w14:paraId="43A48E2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Connection to nature </w:t>
            </w:r>
          </w:p>
        </w:tc>
        <w:tc>
          <w:tcPr>
            <w:tcW w:w="7155" w:type="dxa"/>
            <w:tcBorders>
              <w:top w:val="nil"/>
              <w:left w:val="nil"/>
              <w:bottom w:val="nil"/>
              <w:right w:val="nil"/>
            </w:tcBorders>
            <w:shd w:val="clear" w:color="auto" w:fill="auto"/>
            <w:hideMark/>
          </w:tcPr>
          <w:p w14:paraId="1AEE2B2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positive interaction, experience, way of relating and relationships between people and nature. It usually implies a sense of attachment to nature by people. </w:t>
            </w:r>
          </w:p>
        </w:tc>
      </w:tr>
      <w:tr w:rsidR="00764225" w:rsidRPr="00ED7E61" w14:paraId="35320145" w14:textId="77777777" w:rsidTr="00764225">
        <w:trPr>
          <w:trHeight w:val="450"/>
        </w:trPr>
        <w:tc>
          <w:tcPr>
            <w:tcW w:w="2055" w:type="dxa"/>
            <w:tcBorders>
              <w:top w:val="nil"/>
              <w:left w:val="nil"/>
              <w:bottom w:val="nil"/>
              <w:right w:val="nil"/>
            </w:tcBorders>
            <w:shd w:val="clear" w:color="auto" w:fill="auto"/>
            <w:hideMark/>
          </w:tcPr>
          <w:p w14:paraId="51AD508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Connectivity </w:t>
            </w:r>
          </w:p>
        </w:tc>
        <w:tc>
          <w:tcPr>
            <w:tcW w:w="7155" w:type="dxa"/>
            <w:tcBorders>
              <w:top w:val="nil"/>
              <w:left w:val="nil"/>
              <w:bottom w:val="nil"/>
              <w:right w:val="nil"/>
            </w:tcBorders>
            <w:shd w:val="clear" w:color="auto" w:fill="auto"/>
            <w:hideMark/>
          </w:tcPr>
          <w:p w14:paraId="00F79594" w14:textId="3C58DB19"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Refer to the definition of “</w:t>
            </w:r>
            <w:r w:rsidRPr="00FB1598">
              <w:rPr>
                <w:rFonts w:asciiTheme="majorBidi" w:eastAsiaTheme="majorEastAsia" w:hAnsiTheme="majorBidi" w:cstheme="majorBidi"/>
                <w:i/>
                <w:iCs/>
                <w:sz w:val="22"/>
                <w:szCs w:val="22"/>
              </w:rPr>
              <w:t>Ecological connectivity</w:t>
            </w:r>
            <w:r w:rsidRPr="00ED7E61">
              <w:rPr>
                <w:rFonts w:asciiTheme="majorBidi" w:eastAsiaTheme="majorEastAsia" w:hAnsiTheme="majorBidi" w:cstheme="majorBidi"/>
                <w:sz w:val="22"/>
                <w:szCs w:val="22"/>
              </w:rPr>
              <w:t>”. </w:t>
            </w:r>
          </w:p>
        </w:tc>
      </w:tr>
      <w:tr w:rsidR="00764225" w:rsidRPr="00ED7E61" w14:paraId="09DAE04A" w14:textId="77777777" w:rsidTr="00764225">
        <w:trPr>
          <w:trHeight w:val="1248"/>
        </w:trPr>
        <w:tc>
          <w:tcPr>
            <w:tcW w:w="2055" w:type="dxa"/>
            <w:tcBorders>
              <w:top w:val="nil"/>
              <w:left w:val="nil"/>
              <w:bottom w:val="nil"/>
              <w:right w:val="nil"/>
            </w:tcBorders>
            <w:shd w:val="clear" w:color="auto" w:fill="auto"/>
            <w:hideMark/>
          </w:tcPr>
          <w:p w14:paraId="5A6777E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Conservation </w:t>
            </w:r>
          </w:p>
        </w:tc>
        <w:tc>
          <w:tcPr>
            <w:tcW w:w="7155" w:type="dxa"/>
            <w:tcBorders>
              <w:top w:val="nil"/>
              <w:left w:val="nil"/>
              <w:bottom w:val="nil"/>
              <w:right w:val="nil"/>
            </w:tcBorders>
            <w:shd w:val="clear" w:color="auto" w:fill="auto"/>
            <w:hideMark/>
          </w:tcPr>
          <w:p w14:paraId="4E6EC07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management of human interactions with genes, species, and ecosystems so as to provide the maximum benefit to the present generation while maintaining their potential to meet the needs and aspirations of future generations; encompasses elements of saving, studying, and using biodiversity. (</w:t>
            </w:r>
            <w:hyperlink r:id="rId631"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2019) </w:t>
            </w:r>
          </w:p>
        </w:tc>
      </w:tr>
      <w:tr w:rsidR="00764225" w:rsidRPr="00ED7E61" w14:paraId="097AD956" w14:textId="77777777" w:rsidTr="00764225">
        <w:trPr>
          <w:trHeight w:val="1020"/>
        </w:trPr>
        <w:tc>
          <w:tcPr>
            <w:tcW w:w="2055" w:type="dxa"/>
            <w:tcBorders>
              <w:top w:val="nil"/>
              <w:left w:val="nil"/>
              <w:bottom w:val="nil"/>
              <w:right w:val="nil"/>
            </w:tcBorders>
            <w:shd w:val="clear" w:color="auto" w:fill="auto"/>
            <w:hideMark/>
          </w:tcPr>
          <w:p w14:paraId="2CDB33C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Consumers </w:t>
            </w:r>
          </w:p>
        </w:tc>
        <w:tc>
          <w:tcPr>
            <w:tcW w:w="7155" w:type="dxa"/>
            <w:tcBorders>
              <w:top w:val="nil"/>
              <w:left w:val="nil"/>
              <w:bottom w:val="nil"/>
              <w:right w:val="nil"/>
            </w:tcBorders>
            <w:shd w:val="clear" w:color="auto" w:fill="auto"/>
            <w:hideMark/>
          </w:tcPr>
          <w:p w14:paraId="705F0CC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Individuals who acquire, consume or use goods and services for personal use, either for themselves or for others, and not for resale, commercial or trade, business, craft or profession purposes. (</w:t>
            </w:r>
            <w:hyperlink r:id="rId632" w:tgtFrame="_blank" w:history="1">
              <w:r w:rsidRPr="00ED7E61">
                <w:rPr>
                  <w:rStyle w:val="Hyperlink"/>
                  <w:rFonts w:asciiTheme="majorBidi" w:eastAsiaTheme="majorEastAsia" w:hAnsiTheme="majorBidi" w:cstheme="majorBidi"/>
                  <w:sz w:val="22"/>
                  <w:szCs w:val="22"/>
                </w:rPr>
                <w:t>CSRD</w:t>
              </w:r>
            </w:hyperlink>
            <w:r w:rsidRPr="00ED7E61">
              <w:rPr>
                <w:rFonts w:asciiTheme="majorBidi" w:eastAsiaTheme="majorEastAsia" w:hAnsiTheme="majorBidi" w:cstheme="majorBidi"/>
                <w:sz w:val="22"/>
                <w:szCs w:val="22"/>
              </w:rPr>
              <w:t>, 2023) </w:t>
            </w:r>
          </w:p>
        </w:tc>
      </w:tr>
      <w:tr w:rsidR="00764225" w:rsidRPr="00ED7E61" w14:paraId="0E811448" w14:textId="77777777" w:rsidTr="00764225">
        <w:trPr>
          <w:trHeight w:val="954"/>
        </w:trPr>
        <w:tc>
          <w:tcPr>
            <w:tcW w:w="2055" w:type="dxa"/>
            <w:tcBorders>
              <w:top w:val="nil"/>
              <w:left w:val="nil"/>
              <w:bottom w:val="nil"/>
              <w:right w:val="nil"/>
            </w:tcBorders>
            <w:shd w:val="clear" w:color="auto" w:fill="auto"/>
            <w:hideMark/>
          </w:tcPr>
          <w:p w14:paraId="48F0690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Control of invasive alien species </w:t>
            </w:r>
          </w:p>
        </w:tc>
        <w:tc>
          <w:tcPr>
            <w:tcW w:w="7155" w:type="dxa"/>
            <w:tcBorders>
              <w:top w:val="nil"/>
              <w:left w:val="nil"/>
              <w:bottom w:val="nil"/>
              <w:right w:val="nil"/>
            </w:tcBorders>
            <w:shd w:val="clear" w:color="auto" w:fill="auto"/>
            <w:hideMark/>
          </w:tcPr>
          <w:p w14:paraId="49F9C82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Direct action(s) taken to reduce or suppress the distribution, abundance, spread and impacts of invasive alien species within a defined geographic area (FAO, 1995) </w:t>
            </w:r>
          </w:p>
        </w:tc>
      </w:tr>
      <w:tr w:rsidR="00764225" w:rsidRPr="00ED7E61" w14:paraId="33B965B8" w14:textId="77777777" w:rsidTr="00764225">
        <w:trPr>
          <w:trHeight w:val="3390"/>
        </w:trPr>
        <w:tc>
          <w:tcPr>
            <w:tcW w:w="2055" w:type="dxa"/>
            <w:tcBorders>
              <w:top w:val="nil"/>
              <w:left w:val="nil"/>
              <w:bottom w:val="nil"/>
              <w:right w:val="nil"/>
            </w:tcBorders>
            <w:shd w:val="clear" w:color="auto" w:fill="auto"/>
            <w:hideMark/>
          </w:tcPr>
          <w:p w14:paraId="08F3CEE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Culture and practices </w:t>
            </w:r>
          </w:p>
        </w:tc>
        <w:tc>
          <w:tcPr>
            <w:tcW w:w="7155" w:type="dxa"/>
            <w:tcBorders>
              <w:top w:val="nil"/>
              <w:left w:val="nil"/>
              <w:bottom w:val="nil"/>
              <w:right w:val="nil"/>
            </w:tcBorders>
            <w:shd w:val="clear" w:color="auto" w:fill="auto"/>
            <w:hideMark/>
          </w:tcPr>
          <w:p w14:paraId="0C54FEA3" w14:textId="4E213E24"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Culture has been defined as “</w:t>
            </w:r>
            <w:r w:rsidRPr="00FB1598">
              <w:rPr>
                <w:rFonts w:asciiTheme="majorBidi" w:eastAsiaTheme="majorEastAsia" w:hAnsiTheme="majorBidi" w:cstheme="majorBidi"/>
                <w:i/>
                <w:iCs/>
                <w:sz w:val="22"/>
                <w:szCs w:val="22"/>
              </w:rPr>
              <w:t>that complex whole which includes knowledge, belief, art, morals, law, custom, and any other capacities and habits acquired by man as a member of society</w:t>
            </w:r>
            <w:r w:rsidRPr="00ED7E61">
              <w:rPr>
                <w:rFonts w:asciiTheme="majorBidi" w:eastAsiaTheme="majorEastAsia" w:hAnsiTheme="majorBidi" w:cstheme="majorBidi"/>
                <w:sz w:val="22"/>
                <w:szCs w:val="22"/>
              </w:rPr>
              <w:t>”. In other words, culture is a patterned way of life shared by a group of people. Culture encompasses all that human beings have and do to produce, relate to each other and adapt to the physical environment. It includes agreed-upon principles of human existence (values, norms and sanctions) as well as techniques of survival (technology). Culture is also that aspect of our existence which makes us similar to some people, yet different from the majority of the people in the world</w:t>
            </w:r>
            <w:r w:rsidR="009241FD">
              <w:rPr>
                <w:rFonts w:asciiTheme="majorBidi" w:eastAsiaTheme="majorEastAsia" w:hAnsiTheme="majorBidi" w:cstheme="majorBidi"/>
                <w:sz w:val="22"/>
                <w:szCs w:val="22"/>
              </w:rPr>
              <w:t xml:space="preserve"> </w:t>
            </w:r>
            <w:r w:rsidRPr="00ED7E61">
              <w:rPr>
                <w:rFonts w:asciiTheme="majorBidi" w:eastAsiaTheme="majorEastAsia" w:hAnsiTheme="majorBidi" w:cstheme="majorBidi"/>
                <w:sz w:val="22"/>
                <w:szCs w:val="22"/>
              </w:rPr>
              <w:t>… it is the way of life common to a group of people, a collection of beliefs and attitudes, shared understandings and patterns of behaviour that allow those people to live together in relative harmony but set them apart from other peoples. (</w:t>
            </w:r>
            <w:hyperlink r:id="rId633" w:anchor=":~:text=Culture%20has%20been%20defined%20as,by%20a%20group%20of%20people." w:tgtFrame="_blank" w:history="1">
              <w:r w:rsidRPr="00ED7E61">
                <w:rPr>
                  <w:rStyle w:val="Hyperlink"/>
                  <w:rFonts w:asciiTheme="majorBidi" w:eastAsiaTheme="majorEastAsia" w:hAnsiTheme="majorBidi" w:cstheme="majorBidi"/>
                  <w:sz w:val="22"/>
                  <w:szCs w:val="22"/>
                </w:rPr>
                <w:t>Kipuri</w:t>
              </w:r>
            </w:hyperlink>
            <w:r w:rsidRPr="00ED7E61">
              <w:rPr>
                <w:rFonts w:asciiTheme="majorBidi" w:eastAsiaTheme="majorEastAsia" w:hAnsiTheme="majorBidi" w:cstheme="majorBidi"/>
                <w:sz w:val="22"/>
                <w:szCs w:val="22"/>
              </w:rPr>
              <w:t>, 2011) </w:t>
            </w:r>
          </w:p>
        </w:tc>
      </w:tr>
      <w:tr w:rsidR="00764225" w:rsidRPr="00ED7E61" w14:paraId="7609726B" w14:textId="77777777" w:rsidTr="00764225">
        <w:trPr>
          <w:trHeight w:val="1276"/>
        </w:trPr>
        <w:tc>
          <w:tcPr>
            <w:tcW w:w="2055" w:type="dxa"/>
            <w:tcBorders>
              <w:top w:val="nil"/>
              <w:left w:val="nil"/>
              <w:bottom w:val="nil"/>
              <w:right w:val="nil"/>
            </w:tcBorders>
            <w:shd w:val="clear" w:color="auto" w:fill="auto"/>
            <w:hideMark/>
          </w:tcPr>
          <w:p w14:paraId="6A8007A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Customary sustainable use by indigenous peoples and local communities </w:t>
            </w:r>
          </w:p>
        </w:tc>
        <w:tc>
          <w:tcPr>
            <w:tcW w:w="7155" w:type="dxa"/>
            <w:tcBorders>
              <w:top w:val="nil"/>
              <w:left w:val="nil"/>
              <w:bottom w:val="nil"/>
              <w:right w:val="nil"/>
            </w:tcBorders>
            <w:shd w:val="clear" w:color="auto" w:fill="auto"/>
            <w:hideMark/>
          </w:tcPr>
          <w:p w14:paraId="4CB27A4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uses of biological resources in accordance with traditional cultural practices that are compatible with conservation or sustainable use requirements. (Convention, Article 8(j)) </w:t>
            </w:r>
          </w:p>
        </w:tc>
      </w:tr>
      <w:tr w:rsidR="00764225" w:rsidRPr="00ED7E61" w14:paraId="024ADD45" w14:textId="77777777" w:rsidTr="00764225">
        <w:trPr>
          <w:trHeight w:val="1470"/>
        </w:trPr>
        <w:tc>
          <w:tcPr>
            <w:tcW w:w="2055" w:type="dxa"/>
            <w:tcBorders>
              <w:top w:val="nil"/>
              <w:left w:val="nil"/>
              <w:bottom w:val="nil"/>
              <w:right w:val="nil"/>
            </w:tcBorders>
            <w:shd w:val="clear" w:color="auto" w:fill="auto"/>
            <w:hideMark/>
          </w:tcPr>
          <w:p w14:paraId="63776C6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Decision-making </w:t>
            </w:r>
          </w:p>
        </w:tc>
        <w:tc>
          <w:tcPr>
            <w:tcW w:w="7155" w:type="dxa"/>
            <w:tcBorders>
              <w:top w:val="nil"/>
              <w:left w:val="nil"/>
              <w:bottom w:val="nil"/>
              <w:right w:val="nil"/>
            </w:tcBorders>
            <w:shd w:val="clear" w:color="auto" w:fill="auto"/>
            <w:hideMark/>
          </w:tcPr>
          <w:p w14:paraId="77869D3B"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process of making decisions can happen at the individual level or amongst groups and entails the prioritisation of certain values. This prioritization greatly influences which issues are found worthy of consideration, do and do not become part of the agenda, as well as determine which decision-makers are considered socially legitimate to participate in the process. (</w:t>
            </w:r>
            <w:hyperlink r:id="rId634"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2022) </w:t>
            </w:r>
          </w:p>
        </w:tc>
      </w:tr>
      <w:tr w:rsidR="00764225" w:rsidRPr="00ED7E61" w14:paraId="739EC86E" w14:textId="77777777" w:rsidTr="00764225">
        <w:trPr>
          <w:trHeight w:val="990"/>
        </w:trPr>
        <w:tc>
          <w:tcPr>
            <w:tcW w:w="2055" w:type="dxa"/>
            <w:tcBorders>
              <w:top w:val="nil"/>
              <w:left w:val="nil"/>
              <w:bottom w:val="nil"/>
              <w:right w:val="nil"/>
            </w:tcBorders>
            <w:shd w:val="clear" w:color="auto" w:fill="auto"/>
            <w:hideMark/>
          </w:tcPr>
          <w:p w14:paraId="0D1744DC"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Degraded ecosystem </w:t>
            </w:r>
          </w:p>
        </w:tc>
        <w:tc>
          <w:tcPr>
            <w:tcW w:w="7155" w:type="dxa"/>
            <w:tcBorders>
              <w:top w:val="nil"/>
              <w:left w:val="nil"/>
              <w:bottom w:val="nil"/>
              <w:right w:val="nil"/>
            </w:tcBorders>
            <w:shd w:val="clear" w:color="auto" w:fill="auto"/>
            <w:hideMark/>
          </w:tcPr>
          <w:p w14:paraId="50B9668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An ecosystem where, due to any process or activity, the viability of ecosystem functions and processes, and hence biodiversity, have been removed or lessened. (Dunster and Dunster, 1996) </w:t>
            </w:r>
          </w:p>
        </w:tc>
      </w:tr>
      <w:tr w:rsidR="00764225" w:rsidRPr="00ED7E61" w14:paraId="3D404369" w14:textId="77777777" w:rsidTr="00764225">
        <w:trPr>
          <w:trHeight w:val="1275"/>
        </w:trPr>
        <w:tc>
          <w:tcPr>
            <w:tcW w:w="2055" w:type="dxa"/>
            <w:tcBorders>
              <w:top w:val="nil"/>
              <w:left w:val="nil"/>
              <w:bottom w:val="nil"/>
              <w:right w:val="nil"/>
            </w:tcBorders>
            <w:shd w:val="clear" w:color="auto" w:fill="auto"/>
            <w:hideMark/>
          </w:tcPr>
          <w:p w14:paraId="2D7C29DC"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Degraded land </w:t>
            </w:r>
          </w:p>
        </w:tc>
        <w:tc>
          <w:tcPr>
            <w:tcW w:w="7155" w:type="dxa"/>
            <w:tcBorders>
              <w:top w:val="nil"/>
              <w:left w:val="nil"/>
              <w:bottom w:val="nil"/>
              <w:right w:val="nil"/>
            </w:tcBorders>
            <w:shd w:val="clear" w:color="auto" w:fill="auto"/>
            <w:hideMark/>
          </w:tcPr>
          <w:p w14:paraId="0F5EA72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reduction or loss of the biological or economic productivity and complexity of rain fed cropland, irrigated cropland, or range, pasture, forest and woodlands resulting from a combination of pressures, including land use and management practices. (UNCCD) </w:t>
            </w:r>
          </w:p>
        </w:tc>
      </w:tr>
      <w:tr w:rsidR="00764225" w:rsidRPr="00ED7E61" w14:paraId="6760FC25" w14:textId="77777777" w:rsidTr="00764225">
        <w:trPr>
          <w:trHeight w:val="2212"/>
        </w:trPr>
        <w:tc>
          <w:tcPr>
            <w:tcW w:w="2055" w:type="dxa"/>
            <w:tcBorders>
              <w:top w:val="nil"/>
              <w:left w:val="nil"/>
              <w:bottom w:val="nil"/>
              <w:right w:val="nil"/>
            </w:tcBorders>
            <w:shd w:val="clear" w:color="auto" w:fill="auto"/>
            <w:hideMark/>
          </w:tcPr>
          <w:p w14:paraId="6566F9B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Dependencies and impacts </w:t>
            </w:r>
          </w:p>
        </w:tc>
        <w:tc>
          <w:tcPr>
            <w:tcW w:w="7155" w:type="dxa"/>
            <w:tcBorders>
              <w:top w:val="nil"/>
              <w:left w:val="nil"/>
              <w:bottom w:val="nil"/>
              <w:right w:val="nil"/>
            </w:tcBorders>
            <w:shd w:val="clear" w:color="auto" w:fill="auto"/>
            <w:hideMark/>
          </w:tcPr>
          <w:p w14:paraId="3A86FB3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Dependencies on biodiversity are environmental assets and ecosystem services that a person or an organisation relies on to function, including water flow and quality regulation; regulation of hazards like fires and floods; pollination; carbon sequestration. Impacts on biodiversity refer to a change in the state of nature (quality or quantity), which may result in changes to the capacity of nature to provide social and economic functions. Impacts can be positive or negative, including pollution of air, water, soil; fragmentation or disruption of ecosystems and habitats for species; alteration of ecosystem regimes. (SBTN, 2020) </w:t>
            </w:r>
          </w:p>
        </w:tc>
      </w:tr>
      <w:tr w:rsidR="00764225" w:rsidRPr="00ED7E61" w14:paraId="76DED865" w14:textId="77777777" w:rsidTr="00764225">
        <w:trPr>
          <w:trHeight w:val="2460"/>
        </w:trPr>
        <w:tc>
          <w:tcPr>
            <w:tcW w:w="2055" w:type="dxa"/>
            <w:tcBorders>
              <w:top w:val="nil"/>
              <w:left w:val="nil"/>
              <w:bottom w:val="nil"/>
              <w:right w:val="nil"/>
            </w:tcBorders>
            <w:shd w:val="clear" w:color="auto" w:fill="auto"/>
            <w:hideMark/>
          </w:tcPr>
          <w:p w14:paraId="0EB5FEF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Development of and access to innovation </w:t>
            </w:r>
          </w:p>
        </w:tc>
        <w:tc>
          <w:tcPr>
            <w:tcW w:w="7155" w:type="dxa"/>
            <w:tcBorders>
              <w:top w:val="nil"/>
              <w:left w:val="nil"/>
              <w:bottom w:val="nil"/>
              <w:right w:val="nil"/>
            </w:tcBorders>
            <w:shd w:val="clear" w:color="auto" w:fill="auto"/>
            <w:hideMark/>
          </w:tcPr>
          <w:p w14:paraId="7704312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development of new, transformative and innovative solutions for biodiversity needs to be fostered and access to those solutions improved. Parties and actors in the innovation space should direct research and development investments into addressing biodiversity challenges. Harnessing emerging technologies, such as artificial intelligence, as well as the innovations and practices of indigenous peoples and local communities with their free, prior and informed consent may offer new opportunities to improve the conservation, sustainable use and valorization of biodiversity and the fair and equitable sharing of benefiting arising from the utilization of genetic resources.  </w:t>
            </w:r>
          </w:p>
        </w:tc>
      </w:tr>
      <w:tr w:rsidR="00764225" w:rsidRPr="00ED7E61" w14:paraId="2109E86A" w14:textId="77777777" w:rsidTr="00764225">
        <w:trPr>
          <w:trHeight w:val="1513"/>
        </w:trPr>
        <w:tc>
          <w:tcPr>
            <w:tcW w:w="2055" w:type="dxa"/>
            <w:tcBorders>
              <w:top w:val="nil"/>
              <w:left w:val="nil"/>
              <w:bottom w:val="nil"/>
              <w:right w:val="nil"/>
            </w:tcBorders>
            <w:shd w:val="clear" w:color="auto" w:fill="auto"/>
            <w:hideMark/>
          </w:tcPr>
          <w:p w14:paraId="5E20871C"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Disaster risk reduction </w:t>
            </w:r>
          </w:p>
        </w:tc>
        <w:tc>
          <w:tcPr>
            <w:tcW w:w="7155" w:type="dxa"/>
            <w:tcBorders>
              <w:top w:val="nil"/>
              <w:left w:val="nil"/>
              <w:bottom w:val="nil"/>
              <w:right w:val="nil"/>
            </w:tcBorders>
            <w:shd w:val="clear" w:color="auto" w:fill="auto"/>
            <w:hideMark/>
          </w:tcPr>
          <w:p w14:paraId="20EC371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concept and practice of reducing disaster risks through systematic efforts to analyze and manage the causal factors of disasters, including through reduced exposure to hazards, lessened vulnerability of people and property, evidence-based management of land and the environment, and improved preparedness for adverse events. (</w:t>
            </w:r>
            <w:hyperlink r:id="rId635"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2018) </w:t>
            </w:r>
          </w:p>
        </w:tc>
      </w:tr>
      <w:tr w:rsidR="00764225" w:rsidRPr="00ED7E61" w14:paraId="3D1D5F14" w14:textId="77777777" w:rsidTr="00764225">
        <w:trPr>
          <w:trHeight w:val="1275"/>
        </w:trPr>
        <w:tc>
          <w:tcPr>
            <w:tcW w:w="2055" w:type="dxa"/>
            <w:tcBorders>
              <w:top w:val="nil"/>
              <w:left w:val="nil"/>
              <w:bottom w:val="nil"/>
              <w:right w:val="nil"/>
            </w:tcBorders>
            <w:shd w:val="clear" w:color="auto" w:fill="auto"/>
            <w:hideMark/>
          </w:tcPr>
          <w:p w14:paraId="1425DE7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Disclosing </w:t>
            </w:r>
          </w:p>
        </w:tc>
        <w:tc>
          <w:tcPr>
            <w:tcW w:w="7155" w:type="dxa"/>
            <w:tcBorders>
              <w:top w:val="nil"/>
              <w:left w:val="nil"/>
              <w:bottom w:val="nil"/>
              <w:right w:val="nil"/>
            </w:tcBorders>
            <w:shd w:val="clear" w:color="auto" w:fill="auto"/>
            <w:hideMark/>
          </w:tcPr>
          <w:p w14:paraId="0BD31D7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act of making information available to the general public and stakeholders, in a clear and transparent manner. In this context, it means making information publicly available about a company’s impacts and dependencies on biodiversity, and its risks from biodiversity loss. </w:t>
            </w:r>
          </w:p>
        </w:tc>
      </w:tr>
      <w:tr w:rsidR="00764225" w:rsidRPr="00ED7E61" w14:paraId="631D18BD" w14:textId="77777777" w:rsidTr="00764225">
        <w:trPr>
          <w:trHeight w:val="1701"/>
        </w:trPr>
        <w:tc>
          <w:tcPr>
            <w:tcW w:w="2055" w:type="dxa"/>
            <w:tcBorders>
              <w:top w:val="nil"/>
              <w:left w:val="nil"/>
              <w:bottom w:val="nil"/>
              <w:right w:val="nil"/>
            </w:tcBorders>
            <w:shd w:val="clear" w:color="auto" w:fill="auto"/>
            <w:hideMark/>
          </w:tcPr>
          <w:p w14:paraId="2AD552B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Ecological connectivity </w:t>
            </w:r>
          </w:p>
        </w:tc>
        <w:tc>
          <w:tcPr>
            <w:tcW w:w="7155" w:type="dxa"/>
            <w:tcBorders>
              <w:top w:val="nil"/>
              <w:left w:val="nil"/>
              <w:bottom w:val="nil"/>
              <w:right w:val="nil"/>
            </w:tcBorders>
            <w:shd w:val="clear" w:color="auto" w:fill="auto"/>
            <w:hideMark/>
          </w:tcPr>
          <w:p w14:paraId="54D3F9A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Connectivity (i.e. ecological connectivity) is the unimpeded movement of species and the flow of natural processes that sustain life on Earth (CMS, 2020). It may thus also refer to continuous ecosystems often connected through ecological corridors. There are two types of connectivity: structural (in which the continuity between ecosystems is identified) and functional (in which the movement of species or processes is verified). </w:t>
            </w:r>
          </w:p>
        </w:tc>
      </w:tr>
      <w:tr w:rsidR="00764225" w:rsidRPr="00ED7E61" w14:paraId="4FF162D8" w14:textId="77777777" w:rsidTr="00764225">
        <w:trPr>
          <w:trHeight w:val="1273"/>
        </w:trPr>
        <w:tc>
          <w:tcPr>
            <w:tcW w:w="2055" w:type="dxa"/>
            <w:tcBorders>
              <w:top w:val="nil"/>
              <w:left w:val="nil"/>
              <w:bottom w:val="nil"/>
              <w:right w:val="nil"/>
            </w:tcBorders>
            <w:shd w:val="clear" w:color="auto" w:fill="auto"/>
            <w:hideMark/>
          </w:tcPr>
          <w:p w14:paraId="6E4AF6C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Ecological integrity </w:t>
            </w:r>
          </w:p>
        </w:tc>
        <w:tc>
          <w:tcPr>
            <w:tcW w:w="7155" w:type="dxa"/>
            <w:tcBorders>
              <w:top w:val="nil"/>
              <w:left w:val="nil"/>
              <w:bottom w:val="nil"/>
              <w:right w:val="nil"/>
            </w:tcBorders>
            <w:shd w:val="clear" w:color="auto" w:fill="auto"/>
            <w:hideMark/>
          </w:tcPr>
          <w:p w14:paraId="4CEA349E" w14:textId="1E6BD6F4"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degree to which the ecosystem’s composition, structure and function resemble those characteristic of its natural range of variation, which may be defined from historical or minimally disturbed reference states, replicated contemporary samples, ecosystem models and/or expert judgement. (</w:t>
            </w:r>
            <w:hyperlink r:id="rId636" w:tgtFrame="_blank" w:history="1">
              <w:r w:rsidRPr="00ED7E61">
                <w:rPr>
                  <w:rStyle w:val="Hyperlink"/>
                  <w:rFonts w:asciiTheme="majorBidi" w:eastAsiaTheme="majorEastAsia" w:hAnsiTheme="majorBidi" w:cstheme="majorBidi"/>
                  <w:sz w:val="22"/>
                  <w:szCs w:val="22"/>
                </w:rPr>
                <w:t>Nicholson</w:t>
              </w:r>
            </w:hyperlink>
            <w:r w:rsidRPr="00ED7E61">
              <w:rPr>
                <w:rFonts w:asciiTheme="majorBidi" w:eastAsiaTheme="majorEastAsia" w:hAnsiTheme="majorBidi" w:cstheme="majorBidi"/>
                <w:sz w:val="22"/>
                <w:szCs w:val="22"/>
              </w:rPr>
              <w:t xml:space="preserve"> et al. 2024) </w:t>
            </w:r>
          </w:p>
        </w:tc>
      </w:tr>
      <w:tr w:rsidR="00764225" w:rsidRPr="00ED7E61" w14:paraId="4F8FE528" w14:textId="77777777" w:rsidTr="00764225">
        <w:trPr>
          <w:trHeight w:val="1275"/>
        </w:trPr>
        <w:tc>
          <w:tcPr>
            <w:tcW w:w="2055" w:type="dxa"/>
            <w:tcBorders>
              <w:top w:val="nil"/>
              <w:left w:val="nil"/>
              <w:bottom w:val="nil"/>
              <w:right w:val="nil"/>
            </w:tcBorders>
            <w:shd w:val="clear" w:color="auto" w:fill="auto"/>
            <w:hideMark/>
          </w:tcPr>
          <w:p w14:paraId="7A69E35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Ecological restoration </w:t>
            </w:r>
          </w:p>
        </w:tc>
        <w:tc>
          <w:tcPr>
            <w:tcW w:w="7155" w:type="dxa"/>
            <w:tcBorders>
              <w:top w:val="nil"/>
              <w:left w:val="nil"/>
              <w:bottom w:val="nil"/>
              <w:right w:val="nil"/>
            </w:tcBorders>
            <w:shd w:val="clear" w:color="auto" w:fill="auto"/>
            <w:hideMark/>
          </w:tcPr>
          <w:p w14:paraId="4B42750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process of managing or assisting the recovery of a natural ecosystem that has been degraded, damaged or destroyed, as a means of improving or sustaining ecosystem resilience, ecological integrity and conserving biodiversity. (Adapted from CBD, 2016) See also ecosystem restoration. </w:t>
            </w:r>
          </w:p>
        </w:tc>
      </w:tr>
      <w:tr w:rsidR="00764225" w:rsidRPr="00ED7E61" w14:paraId="1E71501C" w14:textId="77777777" w:rsidTr="00764225">
        <w:trPr>
          <w:trHeight w:val="1704"/>
        </w:trPr>
        <w:tc>
          <w:tcPr>
            <w:tcW w:w="2055" w:type="dxa"/>
            <w:tcBorders>
              <w:top w:val="nil"/>
              <w:left w:val="nil"/>
              <w:bottom w:val="nil"/>
              <w:right w:val="nil"/>
            </w:tcBorders>
            <w:shd w:val="clear" w:color="auto" w:fill="auto"/>
            <w:hideMark/>
          </w:tcPr>
          <w:p w14:paraId="5E570D0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Ecosystem </w:t>
            </w:r>
          </w:p>
        </w:tc>
        <w:tc>
          <w:tcPr>
            <w:tcW w:w="7155" w:type="dxa"/>
            <w:tcBorders>
              <w:top w:val="nil"/>
              <w:left w:val="nil"/>
              <w:bottom w:val="nil"/>
              <w:right w:val="nil"/>
            </w:tcBorders>
            <w:shd w:val="clear" w:color="auto" w:fill="auto"/>
            <w:hideMark/>
          </w:tcPr>
          <w:p w14:paraId="4C9C2CD9" w14:textId="2A220FD4" w:rsidR="00764225" w:rsidRPr="00ED7E61" w:rsidRDefault="00764225" w:rsidP="00395866">
            <w:pPr>
              <w:jc w:val="both"/>
              <w:rPr>
                <w:rFonts w:asciiTheme="majorBidi" w:hAnsiTheme="majorBidi" w:cstheme="majorBidi"/>
                <w:sz w:val="22"/>
                <w:szCs w:val="22"/>
              </w:rPr>
            </w:pPr>
            <w:bookmarkStart w:id="84" w:name="_Hlk162966714"/>
            <w:r w:rsidRPr="00ED7E61">
              <w:rPr>
                <w:rFonts w:asciiTheme="majorBidi" w:eastAsiaTheme="majorEastAsia" w:hAnsiTheme="majorBidi" w:cstheme="majorBidi"/>
                <w:sz w:val="22"/>
                <w:szCs w:val="22"/>
              </w:rPr>
              <w:t>A dynamic complex of plant, animal and micro-organism communities and their non-living environment interacting as a functional unit (Convention on Biological Diversity, 1992). Specifically, ecosystems are made up of living components (biotic complexes and assemblages of species), the abiotic environment, the processes and interactions within and between the biotic and abiotic components, and the physical space in which these operate (Keith et al. 2013).  </w:t>
            </w:r>
            <w:bookmarkEnd w:id="84"/>
          </w:p>
        </w:tc>
      </w:tr>
      <w:tr w:rsidR="00764225" w:rsidRPr="00ED7E61" w14:paraId="77F6345E" w14:textId="77777777" w:rsidTr="00764225">
        <w:trPr>
          <w:trHeight w:val="1695"/>
        </w:trPr>
        <w:tc>
          <w:tcPr>
            <w:tcW w:w="2055" w:type="dxa"/>
            <w:tcBorders>
              <w:top w:val="nil"/>
              <w:left w:val="nil"/>
              <w:bottom w:val="nil"/>
              <w:right w:val="nil"/>
            </w:tcBorders>
            <w:shd w:val="clear" w:color="auto" w:fill="auto"/>
            <w:hideMark/>
          </w:tcPr>
          <w:p w14:paraId="7C1AFC6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Ecosystem collapse </w:t>
            </w:r>
          </w:p>
        </w:tc>
        <w:tc>
          <w:tcPr>
            <w:tcW w:w="7155" w:type="dxa"/>
            <w:tcBorders>
              <w:top w:val="nil"/>
              <w:left w:val="nil"/>
              <w:bottom w:val="nil"/>
              <w:right w:val="nil"/>
            </w:tcBorders>
            <w:shd w:val="clear" w:color="auto" w:fill="auto"/>
            <w:hideMark/>
          </w:tcPr>
          <w:p w14:paraId="32516757" w14:textId="52DC6CDE"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endpoint of ecosystem decline, when an ecosystem loses its defining features (i.e. species, assemblages, structure, and functions) and is replaced by a different, often depauperate, ecosystem type. Collapse can be irreversible, but some ecosystems may recover, over long timeframes or with restoration. The risk of ecosystem collapse is the likelihood that an ecosystem will collapse over a specified timeframe (Keith et al. 2013). </w:t>
            </w:r>
          </w:p>
        </w:tc>
      </w:tr>
      <w:tr w:rsidR="00764225" w:rsidRPr="00ED7E61" w14:paraId="1F848D02" w14:textId="77777777" w:rsidTr="00764225">
        <w:trPr>
          <w:trHeight w:val="1185"/>
        </w:trPr>
        <w:tc>
          <w:tcPr>
            <w:tcW w:w="2055" w:type="dxa"/>
            <w:tcBorders>
              <w:top w:val="nil"/>
              <w:left w:val="nil"/>
              <w:bottom w:val="nil"/>
              <w:right w:val="nil"/>
            </w:tcBorders>
            <w:shd w:val="clear" w:color="auto" w:fill="auto"/>
            <w:hideMark/>
          </w:tcPr>
          <w:p w14:paraId="3B43EA1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Ecosystem conversion </w:t>
            </w:r>
          </w:p>
        </w:tc>
        <w:tc>
          <w:tcPr>
            <w:tcW w:w="7155" w:type="dxa"/>
            <w:tcBorders>
              <w:top w:val="nil"/>
              <w:left w:val="nil"/>
              <w:bottom w:val="nil"/>
              <w:right w:val="nil"/>
            </w:tcBorders>
            <w:shd w:val="clear" w:color="auto" w:fill="auto"/>
            <w:hideMark/>
          </w:tcPr>
          <w:p w14:paraId="37785C9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Refer to situations in which, for a given location, there is a change in ecosystem type involving a distinct and persistent change in the ecological structure, composition and function which, in turn, is reflected in the supply of a different set of ecosystem services. (</w:t>
            </w:r>
            <w:hyperlink r:id="rId637"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58E3CA5D" w14:textId="77777777" w:rsidTr="00764225">
        <w:trPr>
          <w:trHeight w:val="990"/>
        </w:trPr>
        <w:tc>
          <w:tcPr>
            <w:tcW w:w="2055" w:type="dxa"/>
            <w:tcBorders>
              <w:top w:val="nil"/>
              <w:left w:val="nil"/>
              <w:bottom w:val="nil"/>
              <w:right w:val="nil"/>
            </w:tcBorders>
            <w:shd w:val="clear" w:color="auto" w:fill="auto"/>
            <w:hideMark/>
          </w:tcPr>
          <w:p w14:paraId="3B224724"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Ecosystem extent </w:t>
            </w:r>
          </w:p>
        </w:tc>
        <w:tc>
          <w:tcPr>
            <w:tcW w:w="7155" w:type="dxa"/>
            <w:tcBorders>
              <w:top w:val="nil"/>
              <w:left w:val="nil"/>
              <w:bottom w:val="nil"/>
              <w:right w:val="nil"/>
            </w:tcBorders>
            <w:shd w:val="clear" w:color="auto" w:fill="auto"/>
            <w:hideMark/>
          </w:tcPr>
          <w:p w14:paraId="2D0FF98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Is the size of an ecosystem asset, which are contiguous spaces of a specific ecosystem type characterized by a distinct set of biotic and abiotic components and their interactions. (</w:t>
            </w:r>
            <w:hyperlink r:id="rId638"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6DB1B6BE" w14:textId="77777777" w:rsidTr="00764225">
        <w:trPr>
          <w:trHeight w:val="1245"/>
        </w:trPr>
        <w:tc>
          <w:tcPr>
            <w:tcW w:w="2055" w:type="dxa"/>
            <w:tcBorders>
              <w:top w:val="nil"/>
              <w:left w:val="nil"/>
              <w:bottom w:val="nil"/>
              <w:right w:val="nil"/>
            </w:tcBorders>
            <w:shd w:val="clear" w:color="auto" w:fill="auto"/>
            <w:hideMark/>
          </w:tcPr>
          <w:p w14:paraId="35D73F5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Ecosystem function </w:t>
            </w:r>
          </w:p>
        </w:tc>
        <w:tc>
          <w:tcPr>
            <w:tcW w:w="7155" w:type="dxa"/>
            <w:tcBorders>
              <w:top w:val="nil"/>
              <w:left w:val="nil"/>
              <w:bottom w:val="nil"/>
              <w:right w:val="nil"/>
            </w:tcBorders>
            <w:shd w:val="clear" w:color="auto" w:fill="auto"/>
            <w:hideMark/>
          </w:tcPr>
          <w:p w14:paraId="1DA568C9" w14:textId="19851E90"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flow of energy and materials through the biotic and abiotic components of an ecosystem. It includes many processes such as biomass production, trophic transfer through plants and animals, nutrient cycling, water dynamics and heat transfer. (</w:t>
            </w:r>
            <w:hyperlink r:id="rId639"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w:t>
            </w:r>
          </w:p>
        </w:tc>
      </w:tr>
      <w:tr w:rsidR="00764225" w:rsidRPr="00ED7E61" w14:paraId="616A7464" w14:textId="77777777" w:rsidTr="00764225">
        <w:trPr>
          <w:trHeight w:val="2410"/>
        </w:trPr>
        <w:tc>
          <w:tcPr>
            <w:tcW w:w="2055" w:type="dxa"/>
            <w:tcBorders>
              <w:top w:val="nil"/>
              <w:left w:val="nil"/>
              <w:bottom w:val="nil"/>
              <w:right w:val="nil"/>
            </w:tcBorders>
            <w:shd w:val="clear" w:color="auto" w:fill="auto"/>
            <w:hideMark/>
          </w:tcPr>
          <w:p w14:paraId="55BC7B0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Ecosystem functional groups </w:t>
            </w:r>
          </w:p>
        </w:tc>
        <w:tc>
          <w:tcPr>
            <w:tcW w:w="7155" w:type="dxa"/>
            <w:tcBorders>
              <w:top w:val="nil"/>
              <w:left w:val="nil"/>
              <w:bottom w:val="nil"/>
              <w:right w:val="nil"/>
            </w:tcBorders>
            <w:shd w:val="clear" w:color="auto" w:fill="auto"/>
            <w:hideMark/>
          </w:tcPr>
          <w:p w14:paraId="3AC98E72" w14:textId="331B53D5"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Ecosystem functional groups comprise “</w:t>
            </w:r>
            <w:r w:rsidRPr="00FB1598">
              <w:rPr>
                <w:rFonts w:asciiTheme="majorBidi" w:eastAsiaTheme="majorEastAsia" w:hAnsiTheme="majorBidi" w:cstheme="majorBidi"/>
                <w:i/>
                <w:iCs/>
                <w:sz w:val="22"/>
                <w:szCs w:val="22"/>
              </w:rPr>
              <w:t>a group of related ecosystems within a biome that share common ecological drivers, which in turn promote similar biotic traits that characterise the group. Derived from the top-down by subdivision of biomes</w:t>
            </w:r>
            <w:r w:rsidRPr="00ED7E61">
              <w:rPr>
                <w:rFonts w:asciiTheme="majorBidi" w:eastAsiaTheme="majorEastAsia" w:hAnsiTheme="majorBidi" w:cstheme="majorBidi"/>
                <w:sz w:val="22"/>
                <w:szCs w:val="22"/>
              </w:rPr>
              <w:t xml:space="preserve">” (Keith et al. 2022, </w:t>
            </w:r>
            <w:hyperlink r:id="rId640" w:history="1">
              <w:r w:rsidR="00203BE4" w:rsidRPr="00F233CE">
                <w:rPr>
                  <w:rStyle w:val="Hyperlink"/>
                  <w:rFonts w:asciiTheme="majorBidi" w:eastAsiaTheme="majorEastAsia" w:hAnsiTheme="majorBidi" w:cstheme="majorBidi"/>
                  <w:sz w:val="22"/>
                  <w:szCs w:val="22"/>
                </w:rPr>
                <w:t>https://global-ecosystems.org/</w:t>
              </w:r>
            </w:hyperlink>
            <w:r w:rsidRPr="00ED7E61">
              <w:rPr>
                <w:rFonts w:asciiTheme="majorBidi" w:eastAsiaTheme="majorEastAsia" w:hAnsiTheme="majorBidi" w:cstheme="majorBidi"/>
                <w:sz w:val="22"/>
                <w:szCs w:val="22"/>
              </w:rPr>
              <w:t>).</w:t>
            </w:r>
            <w:r w:rsidR="00203BE4">
              <w:rPr>
                <w:rFonts w:asciiTheme="majorBidi" w:eastAsiaTheme="majorEastAsia" w:hAnsiTheme="majorBidi" w:cstheme="majorBidi"/>
                <w:sz w:val="22"/>
                <w:szCs w:val="22"/>
              </w:rPr>
              <w:t xml:space="preserve"> </w:t>
            </w:r>
            <w:r w:rsidRPr="00ED7E61">
              <w:rPr>
                <w:rFonts w:asciiTheme="majorBidi" w:eastAsiaTheme="majorEastAsia" w:hAnsiTheme="majorBidi" w:cstheme="majorBidi"/>
                <w:sz w:val="22"/>
                <w:szCs w:val="22"/>
              </w:rPr>
              <w:t>Examples include: M1.1 seagrass meadows; M1.2 kelp forests and M1.3 photic coral reefs in the marine realm; T1.1 tropical/subtropics lowland rainforests and T4.2 pyric tussock savannas in the terrestrial realm; F1.6 episodic arid rivers and F2.8 artesian springs and oasis in the freshwater realm; and MFT1.3 coastal saltmarshes and reedbeds in the transitional realm between freshwater, marine and terrestrial realms. </w:t>
            </w:r>
          </w:p>
        </w:tc>
      </w:tr>
      <w:tr w:rsidR="00764225" w:rsidRPr="00ED7E61" w14:paraId="6FDD203F" w14:textId="77777777" w:rsidTr="00764225">
        <w:trPr>
          <w:trHeight w:val="3252"/>
        </w:trPr>
        <w:tc>
          <w:tcPr>
            <w:tcW w:w="2055" w:type="dxa"/>
            <w:tcBorders>
              <w:top w:val="nil"/>
              <w:left w:val="nil"/>
              <w:bottom w:val="nil"/>
              <w:right w:val="nil"/>
            </w:tcBorders>
            <w:shd w:val="clear" w:color="auto" w:fill="auto"/>
            <w:hideMark/>
          </w:tcPr>
          <w:p w14:paraId="4C001D6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Ecosystem restoration </w:t>
            </w:r>
          </w:p>
        </w:tc>
        <w:tc>
          <w:tcPr>
            <w:tcW w:w="7155" w:type="dxa"/>
            <w:tcBorders>
              <w:top w:val="nil"/>
              <w:left w:val="nil"/>
              <w:bottom w:val="nil"/>
              <w:right w:val="nil"/>
            </w:tcBorders>
            <w:shd w:val="clear" w:color="auto" w:fill="auto"/>
            <w:hideMark/>
          </w:tcPr>
          <w:p w14:paraId="3B74188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Any intentional activity that initiates or accelerates the recovery of an ecosystem from a degraded state. Active restoration includes a range of human interventions aimed at influencing and accelerating natural successional processes to recover biodiversity ecosystem service provision. Passive restoration includes reliance primarily on natural process of ecological succession to restore degraded ecosystems but may include measures to protect a site from processes that currently prevent natural recovery (e.g. protection of degraded forests from overgrazing by livestock or unintentional human-induced fire). Ecosystem restoration includes: 1) ecological restoration of natural ecosystems; and 2) rehabilitation of converted and degraded areas (e.g. degraded agricultural lands) to improve social-ecological resilience through the provision of ecosystem services.  </w:t>
            </w:r>
          </w:p>
        </w:tc>
      </w:tr>
      <w:tr w:rsidR="00764225" w:rsidRPr="00ED7E61" w14:paraId="150CB896" w14:textId="77777777" w:rsidTr="00764225">
        <w:trPr>
          <w:trHeight w:val="2745"/>
        </w:trPr>
        <w:tc>
          <w:tcPr>
            <w:tcW w:w="2055" w:type="dxa"/>
            <w:tcBorders>
              <w:top w:val="nil"/>
              <w:left w:val="nil"/>
              <w:bottom w:val="nil"/>
              <w:right w:val="nil"/>
            </w:tcBorders>
            <w:shd w:val="clear" w:color="auto" w:fill="auto"/>
            <w:hideMark/>
          </w:tcPr>
          <w:p w14:paraId="112AF5B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Ecosystem service </w:t>
            </w:r>
          </w:p>
        </w:tc>
        <w:tc>
          <w:tcPr>
            <w:tcW w:w="7155" w:type="dxa"/>
            <w:tcBorders>
              <w:top w:val="nil"/>
              <w:left w:val="nil"/>
              <w:bottom w:val="nil"/>
              <w:right w:val="nil"/>
            </w:tcBorders>
            <w:shd w:val="clear" w:color="auto" w:fill="auto"/>
            <w:hideMark/>
          </w:tcPr>
          <w:p w14:paraId="646ABED4" w14:textId="69F6036A" w:rsidR="00764225" w:rsidRPr="00ED7E61" w:rsidRDefault="00764225" w:rsidP="00395866">
            <w:pPr>
              <w:jc w:val="both"/>
              <w:rPr>
                <w:rFonts w:asciiTheme="majorBidi" w:eastAsiaTheme="majorEastAsia" w:hAnsiTheme="majorBidi" w:cstheme="majorBidi"/>
                <w:sz w:val="22"/>
                <w:szCs w:val="22"/>
              </w:rPr>
            </w:pPr>
            <w:r w:rsidRPr="00ED7E61">
              <w:rPr>
                <w:rFonts w:asciiTheme="majorBidi" w:eastAsiaTheme="majorEastAsia" w:hAnsiTheme="majorBidi" w:cstheme="majorBidi"/>
                <w:sz w:val="22"/>
                <w:szCs w:val="22"/>
              </w:rPr>
              <w:t>A service that is provided by an ecosystem as an intrinsic property of its functionality (e.g. pollination, nutrient cycling, nitrogen fixation, fruit and seed dispersal) contributing to the benefits (and occasionally disbenefits) that people obtain from ecosystems. These include provisioning services such as food and water; regulating services such as flood and disease control; and cultural services such as recreation and sense of place. This includes the whole pathway from ecological processes through to final ecosystem services, goods and anthropocentric values to people. In the original definition of the Millennium Ecosystem Assessment the concept of ecosystem goods and services is synonymous with ecosystem services. (</w:t>
            </w:r>
            <w:hyperlink r:id="rId641"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2016) </w:t>
            </w:r>
          </w:p>
          <w:p w14:paraId="0617DCE4" w14:textId="77777777" w:rsidR="00585E26" w:rsidRPr="00ED7E61" w:rsidRDefault="00585E26" w:rsidP="00395866">
            <w:pPr>
              <w:jc w:val="both"/>
              <w:rPr>
                <w:rFonts w:asciiTheme="majorBidi" w:eastAsiaTheme="majorEastAsia" w:hAnsiTheme="majorBidi" w:cstheme="majorBidi"/>
                <w:sz w:val="22"/>
                <w:szCs w:val="22"/>
              </w:rPr>
            </w:pPr>
          </w:p>
          <w:p w14:paraId="38224062" w14:textId="77777777" w:rsidR="00585E26" w:rsidRPr="00ED7E61" w:rsidRDefault="00585E26" w:rsidP="00395866">
            <w:pPr>
              <w:jc w:val="both"/>
              <w:rPr>
                <w:rFonts w:asciiTheme="majorBidi" w:hAnsiTheme="majorBidi" w:cstheme="majorBidi"/>
                <w:sz w:val="22"/>
                <w:szCs w:val="22"/>
              </w:rPr>
            </w:pPr>
          </w:p>
        </w:tc>
      </w:tr>
      <w:tr w:rsidR="00764225" w:rsidRPr="00ED7E61" w14:paraId="2ADDF530" w14:textId="77777777" w:rsidTr="00764225">
        <w:trPr>
          <w:trHeight w:val="1020"/>
        </w:trPr>
        <w:tc>
          <w:tcPr>
            <w:tcW w:w="2055" w:type="dxa"/>
            <w:tcBorders>
              <w:top w:val="nil"/>
              <w:left w:val="nil"/>
              <w:bottom w:val="nil"/>
              <w:right w:val="nil"/>
            </w:tcBorders>
            <w:shd w:val="clear" w:color="auto" w:fill="auto"/>
            <w:hideMark/>
          </w:tcPr>
          <w:p w14:paraId="241202D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Ecosystem type </w:t>
            </w:r>
          </w:p>
        </w:tc>
        <w:tc>
          <w:tcPr>
            <w:tcW w:w="7155" w:type="dxa"/>
            <w:tcBorders>
              <w:top w:val="nil"/>
              <w:left w:val="nil"/>
              <w:bottom w:val="nil"/>
              <w:right w:val="nil"/>
            </w:tcBorders>
            <w:shd w:val="clear" w:color="auto" w:fill="auto"/>
            <w:hideMark/>
          </w:tcPr>
          <w:p w14:paraId="62031232" w14:textId="3A6BDE95"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Reflects a distinct set of abiotic and biotic components and their interactions. Ecosystem types can be described, classified, and identified using the IUCN Global Ecosystem Typology (Keith et al. 2022).  </w:t>
            </w:r>
          </w:p>
        </w:tc>
      </w:tr>
      <w:tr w:rsidR="00764225" w:rsidRPr="00ED7E61" w14:paraId="2436A188" w14:textId="77777777" w:rsidTr="00764225">
        <w:trPr>
          <w:trHeight w:val="3225"/>
        </w:trPr>
        <w:tc>
          <w:tcPr>
            <w:tcW w:w="2055" w:type="dxa"/>
            <w:tcBorders>
              <w:top w:val="nil"/>
              <w:left w:val="nil"/>
              <w:bottom w:val="nil"/>
              <w:right w:val="nil"/>
            </w:tcBorders>
            <w:shd w:val="clear" w:color="auto" w:fill="auto"/>
            <w:hideMark/>
          </w:tcPr>
          <w:p w14:paraId="2013F0E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Ecosystem-based approaches </w:t>
            </w:r>
          </w:p>
        </w:tc>
        <w:tc>
          <w:tcPr>
            <w:tcW w:w="7155" w:type="dxa"/>
            <w:tcBorders>
              <w:top w:val="nil"/>
              <w:left w:val="nil"/>
              <w:bottom w:val="nil"/>
              <w:right w:val="nil"/>
            </w:tcBorders>
            <w:shd w:val="clear" w:color="auto" w:fill="auto"/>
            <w:hideMark/>
          </w:tcPr>
          <w:p w14:paraId="380EA0AB"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Refer to the use of biodiversity and ecosystem services as part of an overall strategy to help address the adverse effects of climate change. Ecosystem-based mitigation refers to the use of ecosystems for their carbon storage and sequestration service to aid climate change mitigation. Ecosystem-based adaptation aims to maintain and increase the resilience and reduce the vulnerability of ecosystems and people in the face of the adverse effects of climate change. Such approaches can include sustainable management, conservation and restoration of ecosystems, as part of an overall adaptation strategy that takes into account the multiple social, economic and cultural co-benefits for local communities. Ecosystem-based disaster risk reduction is the sustainable management, conservation and restoration of ecosystems to reduce disaster risk, with the aim of achieving sustainable and resilient development. </w:t>
            </w:r>
          </w:p>
        </w:tc>
      </w:tr>
      <w:tr w:rsidR="00764225" w:rsidRPr="00ED7E61" w14:paraId="6E6411E2" w14:textId="77777777" w:rsidTr="00764225">
        <w:trPr>
          <w:trHeight w:val="1290"/>
        </w:trPr>
        <w:tc>
          <w:tcPr>
            <w:tcW w:w="2055" w:type="dxa"/>
            <w:tcBorders>
              <w:top w:val="nil"/>
              <w:left w:val="nil"/>
              <w:bottom w:val="nil"/>
              <w:right w:val="nil"/>
            </w:tcBorders>
            <w:shd w:val="clear" w:color="auto" w:fill="auto"/>
            <w:hideMark/>
          </w:tcPr>
          <w:p w14:paraId="5EDF96F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Effective management processes </w:t>
            </w:r>
          </w:p>
        </w:tc>
        <w:tc>
          <w:tcPr>
            <w:tcW w:w="7155" w:type="dxa"/>
            <w:tcBorders>
              <w:top w:val="nil"/>
              <w:left w:val="nil"/>
              <w:bottom w:val="nil"/>
              <w:right w:val="nil"/>
            </w:tcBorders>
            <w:shd w:val="clear" w:color="auto" w:fill="auto"/>
            <w:hideMark/>
          </w:tcPr>
          <w:p w14:paraId="42AFD3FB"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Effective management process may be utilised instead of or as a complement to spatial planning to address land use and sea use change. This may include such things as environmental assessment, environmental impact assessment and strategic environmental impact assessment. </w:t>
            </w:r>
          </w:p>
        </w:tc>
      </w:tr>
      <w:tr w:rsidR="00764225" w:rsidRPr="00ED7E61" w14:paraId="263DC0DF" w14:textId="77777777" w:rsidTr="00764225">
        <w:trPr>
          <w:trHeight w:val="1975"/>
        </w:trPr>
        <w:tc>
          <w:tcPr>
            <w:tcW w:w="2055" w:type="dxa"/>
            <w:tcBorders>
              <w:top w:val="nil"/>
              <w:left w:val="nil"/>
              <w:bottom w:val="nil"/>
              <w:right w:val="nil"/>
            </w:tcBorders>
            <w:shd w:val="clear" w:color="auto" w:fill="auto"/>
            <w:hideMark/>
          </w:tcPr>
          <w:p w14:paraId="100EF2C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Effective population size </w:t>
            </w:r>
          </w:p>
        </w:tc>
        <w:tc>
          <w:tcPr>
            <w:tcW w:w="7155" w:type="dxa"/>
            <w:tcBorders>
              <w:top w:val="nil"/>
              <w:left w:val="nil"/>
              <w:bottom w:val="nil"/>
              <w:right w:val="nil"/>
            </w:tcBorders>
            <w:shd w:val="clear" w:color="auto" w:fill="auto"/>
            <w:hideMark/>
          </w:tcPr>
          <w:p w14:paraId="28858B4D" w14:textId="4329835D" w:rsidR="00764225" w:rsidRPr="00ED7E61" w:rsidRDefault="00000000" w:rsidP="00395866">
            <w:pPr>
              <w:jc w:val="both"/>
              <w:rPr>
                <w:rFonts w:asciiTheme="majorBidi" w:hAnsiTheme="majorBidi" w:cstheme="majorBidi"/>
                <w:sz w:val="22"/>
                <w:szCs w:val="22"/>
              </w:rPr>
            </w:pPr>
            <w:sdt>
              <w:sdtPr>
                <w:tag w:val="goog_rdk_279"/>
                <w:id w:val="-859586334"/>
              </w:sdtPr>
              <w:sdtContent>
                <w:r w:rsidR="00672DBA" w:rsidRPr="00ED7E61">
                  <w:rPr>
                    <w:sz w:val="22"/>
                    <w:szCs w:val="22"/>
                  </w:rPr>
                  <w:t xml:space="preserve">This metric quantifies the rate of genetic change, or genetic loss (erosion). The effective size of a population is related to the number of adult/breeding individuals in a population that contribute offspring to the next generation, the relative evenness of their offspring production, sex ratio, and other factors linked to the ecological features of populations. Any population with Ne below 500 is likely to be losing genetic diversity. </w:t>
                </w:r>
              </w:sdtContent>
            </w:sdt>
          </w:p>
        </w:tc>
      </w:tr>
      <w:tr w:rsidR="00764225" w:rsidRPr="00ED7E61" w14:paraId="49FB3DCF" w14:textId="77777777" w:rsidTr="00764225">
        <w:trPr>
          <w:trHeight w:val="1974"/>
        </w:trPr>
        <w:tc>
          <w:tcPr>
            <w:tcW w:w="2055" w:type="dxa"/>
            <w:tcBorders>
              <w:top w:val="nil"/>
              <w:left w:val="nil"/>
              <w:bottom w:val="nil"/>
              <w:right w:val="nil"/>
            </w:tcBorders>
            <w:shd w:val="clear" w:color="auto" w:fill="auto"/>
            <w:hideMark/>
          </w:tcPr>
          <w:p w14:paraId="2A1CF1D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Effective restoration </w:t>
            </w:r>
          </w:p>
        </w:tc>
        <w:tc>
          <w:tcPr>
            <w:tcW w:w="7155" w:type="dxa"/>
            <w:tcBorders>
              <w:top w:val="nil"/>
              <w:left w:val="nil"/>
              <w:bottom w:val="nil"/>
              <w:right w:val="nil"/>
            </w:tcBorders>
            <w:shd w:val="clear" w:color="auto" w:fill="auto"/>
            <w:hideMark/>
          </w:tcPr>
          <w:p w14:paraId="3375D1B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Effective Restoration is standards-based restoration underpinned by agreed principles that results in net gain for biodiversity, ecosystem integrity, and human well-being. It integrates spatial planning, addresses both process and outcomes, achieves multiple benefits, and is assessed against clear goals and objectives using measurable indicators. Different types of restoration will achieve different levels of outcomes: to enhance biodiversity and ecosystem functions and services, ecological integrity and connectivity. </w:t>
            </w:r>
          </w:p>
        </w:tc>
      </w:tr>
      <w:tr w:rsidR="00764225" w:rsidRPr="00ED7E61" w14:paraId="7A7F2896" w14:textId="77777777" w:rsidTr="00764225">
        <w:trPr>
          <w:trHeight w:val="1185"/>
        </w:trPr>
        <w:tc>
          <w:tcPr>
            <w:tcW w:w="2055" w:type="dxa"/>
            <w:tcBorders>
              <w:top w:val="nil"/>
              <w:left w:val="nil"/>
              <w:bottom w:val="nil"/>
              <w:right w:val="nil"/>
            </w:tcBorders>
            <w:shd w:val="clear" w:color="auto" w:fill="auto"/>
            <w:hideMark/>
          </w:tcPr>
          <w:p w14:paraId="467F105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Empowerment </w:t>
            </w:r>
          </w:p>
        </w:tc>
        <w:tc>
          <w:tcPr>
            <w:tcW w:w="7155" w:type="dxa"/>
            <w:tcBorders>
              <w:top w:val="nil"/>
              <w:left w:val="nil"/>
              <w:bottom w:val="nil"/>
              <w:right w:val="nil"/>
            </w:tcBorders>
            <w:shd w:val="clear" w:color="auto" w:fill="auto"/>
            <w:hideMark/>
          </w:tcPr>
          <w:p w14:paraId="13A34AF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process by which people gain control over the factors and decisions that shape their lives. It is the process by which they increase their assets and attributes and build capacities to gain access, partners, networks and/or a voice, in order to gain control. (</w:t>
            </w:r>
            <w:hyperlink r:id="rId642"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2019) </w:t>
            </w:r>
          </w:p>
        </w:tc>
      </w:tr>
      <w:tr w:rsidR="00764225" w:rsidRPr="00ED7E61" w14:paraId="5003A0D3" w14:textId="77777777" w:rsidTr="00764225">
        <w:trPr>
          <w:trHeight w:val="1367"/>
        </w:trPr>
        <w:tc>
          <w:tcPr>
            <w:tcW w:w="2055" w:type="dxa"/>
            <w:tcBorders>
              <w:top w:val="nil"/>
              <w:left w:val="nil"/>
              <w:bottom w:val="nil"/>
              <w:right w:val="nil"/>
            </w:tcBorders>
            <w:shd w:val="clear" w:color="auto" w:fill="auto"/>
            <w:hideMark/>
          </w:tcPr>
          <w:p w14:paraId="7B44FA4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Enhancement [of biodiversity and nature’s contribution to people] </w:t>
            </w:r>
          </w:p>
        </w:tc>
        <w:tc>
          <w:tcPr>
            <w:tcW w:w="7155" w:type="dxa"/>
            <w:tcBorders>
              <w:top w:val="nil"/>
              <w:left w:val="nil"/>
              <w:bottom w:val="nil"/>
              <w:right w:val="nil"/>
            </w:tcBorders>
            <w:shd w:val="clear" w:color="auto" w:fill="auto"/>
            <w:hideMark/>
          </w:tcPr>
          <w:p w14:paraId="204346E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To improve the quality and quantity of biodiversity and nature’s contribution to people. </w:t>
            </w:r>
          </w:p>
        </w:tc>
      </w:tr>
      <w:tr w:rsidR="00764225" w:rsidRPr="00ED7E61" w14:paraId="0E660DD9" w14:textId="77777777" w:rsidTr="00764225">
        <w:trPr>
          <w:trHeight w:val="2250"/>
        </w:trPr>
        <w:tc>
          <w:tcPr>
            <w:tcW w:w="2055" w:type="dxa"/>
            <w:tcBorders>
              <w:top w:val="nil"/>
              <w:left w:val="nil"/>
              <w:bottom w:val="nil"/>
              <w:right w:val="nil"/>
            </w:tcBorders>
            <w:shd w:val="clear" w:color="auto" w:fill="auto"/>
            <w:hideMark/>
          </w:tcPr>
          <w:p w14:paraId="363D8C2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Environmental economic accounting </w:t>
            </w:r>
          </w:p>
        </w:tc>
        <w:tc>
          <w:tcPr>
            <w:tcW w:w="7155" w:type="dxa"/>
            <w:tcBorders>
              <w:top w:val="nil"/>
              <w:left w:val="nil"/>
              <w:bottom w:val="nil"/>
              <w:right w:val="nil"/>
            </w:tcBorders>
            <w:shd w:val="clear" w:color="auto" w:fill="auto"/>
            <w:hideMark/>
          </w:tcPr>
          <w:p w14:paraId="7235A0C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Environmental-economic accounts are integrated statistics that illuminate the relationship between the environment and the economy, both the impacts of the economy on the environment and the contribution of the environment to the economy. Environmental-economic accounts can provide information about the extraction of natural resources, their use within the economy, natural resource stock levels, the changes in those stocks during a specific period and economic activity related to the environment. Environmental-economic accounts present this information in physical and monetary terms, as appropriate. (</w:t>
            </w:r>
            <w:hyperlink r:id="rId643"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4A198A3D" w14:textId="77777777" w:rsidTr="00764225">
        <w:trPr>
          <w:trHeight w:val="1005"/>
        </w:trPr>
        <w:tc>
          <w:tcPr>
            <w:tcW w:w="2055" w:type="dxa"/>
            <w:tcBorders>
              <w:top w:val="nil"/>
              <w:left w:val="nil"/>
              <w:bottom w:val="nil"/>
              <w:right w:val="nil"/>
            </w:tcBorders>
            <w:shd w:val="clear" w:color="auto" w:fill="auto"/>
            <w:hideMark/>
          </w:tcPr>
          <w:p w14:paraId="7C2DF49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Environmental human rights defenders </w:t>
            </w:r>
          </w:p>
        </w:tc>
        <w:tc>
          <w:tcPr>
            <w:tcW w:w="7155" w:type="dxa"/>
            <w:tcBorders>
              <w:top w:val="nil"/>
              <w:left w:val="nil"/>
              <w:bottom w:val="nil"/>
              <w:right w:val="nil"/>
            </w:tcBorders>
            <w:shd w:val="clear" w:color="auto" w:fill="auto"/>
            <w:hideMark/>
          </w:tcPr>
          <w:p w14:paraId="0A0DAFA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Individuals and groups who, in their personal or professional capacity and in a peaceful manner, strive to protect and promote human rights relating to the environment, including water, air, land, flora and fauna (UNEP) </w:t>
            </w:r>
          </w:p>
        </w:tc>
      </w:tr>
      <w:tr w:rsidR="00764225" w:rsidRPr="00ED7E61" w14:paraId="1BF87F6F" w14:textId="77777777" w:rsidTr="00764225">
        <w:trPr>
          <w:trHeight w:val="1260"/>
        </w:trPr>
        <w:tc>
          <w:tcPr>
            <w:tcW w:w="2055" w:type="dxa"/>
            <w:tcBorders>
              <w:top w:val="nil"/>
              <w:left w:val="nil"/>
              <w:bottom w:val="nil"/>
              <w:right w:val="nil"/>
            </w:tcBorders>
            <w:shd w:val="clear" w:color="auto" w:fill="auto"/>
            <w:hideMark/>
          </w:tcPr>
          <w:p w14:paraId="50D932C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Environmental impact assessment </w:t>
            </w:r>
          </w:p>
        </w:tc>
        <w:tc>
          <w:tcPr>
            <w:tcW w:w="7155" w:type="dxa"/>
            <w:tcBorders>
              <w:top w:val="nil"/>
              <w:left w:val="nil"/>
              <w:bottom w:val="nil"/>
              <w:right w:val="nil"/>
            </w:tcBorders>
            <w:shd w:val="clear" w:color="auto" w:fill="auto"/>
            <w:hideMark/>
          </w:tcPr>
          <w:p w14:paraId="377EF13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Environmental impact assessment is a process of evaluating the likely environmental impacts of a proposed project or development, taking into account interrelated socioeconomic, cultural and human-health impacts, both beneficial and adverse. (CBD/COP/DEC/6/7) </w:t>
            </w:r>
          </w:p>
        </w:tc>
      </w:tr>
      <w:tr w:rsidR="00764225" w:rsidRPr="00ED7E61" w14:paraId="66222E85" w14:textId="77777777" w:rsidTr="00764225">
        <w:trPr>
          <w:trHeight w:val="1170"/>
        </w:trPr>
        <w:tc>
          <w:tcPr>
            <w:tcW w:w="2055" w:type="dxa"/>
            <w:tcBorders>
              <w:top w:val="nil"/>
              <w:left w:val="nil"/>
              <w:bottom w:val="nil"/>
              <w:right w:val="nil"/>
            </w:tcBorders>
            <w:shd w:val="clear" w:color="auto" w:fill="auto"/>
            <w:hideMark/>
          </w:tcPr>
          <w:p w14:paraId="273D7E7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Environmentally harmful subsidies </w:t>
            </w:r>
          </w:p>
        </w:tc>
        <w:tc>
          <w:tcPr>
            <w:tcW w:w="7155" w:type="dxa"/>
            <w:tcBorders>
              <w:top w:val="nil"/>
              <w:left w:val="nil"/>
              <w:bottom w:val="nil"/>
              <w:right w:val="nil"/>
            </w:tcBorders>
            <w:shd w:val="clear" w:color="auto" w:fill="auto"/>
            <w:hideMark/>
          </w:tcPr>
          <w:p w14:paraId="7D2A985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All kinds of financial support and regulations that are put into place to enhance the competitiveness of certain products, processes or regions, and that, together with the prevailing taxation regime, (unintentionally) discriminate against sound environmental practices. (OECD) </w:t>
            </w:r>
          </w:p>
        </w:tc>
      </w:tr>
      <w:tr w:rsidR="00764225" w:rsidRPr="00ED7E61" w14:paraId="6AF39D91" w14:textId="77777777" w:rsidTr="00764225">
        <w:trPr>
          <w:trHeight w:val="1236"/>
        </w:trPr>
        <w:tc>
          <w:tcPr>
            <w:tcW w:w="2055" w:type="dxa"/>
            <w:tcBorders>
              <w:top w:val="nil"/>
              <w:left w:val="nil"/>
              <w:bottom w:val="nil"/>
              <w:right w:val="nil"/>
            </w:tcBorders>
            <w:shd w:val="clear" w:color="auto" w:fill="auto"/>
            <w:hideMark/>
          </w:tcPr>
          <w:p w14:paraId="485F8F1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Equal opportunity and capacity to contribute </w:t>
            </w:r>
          </w:p>
        </w:tc>
        <w:tc>
          <w:tcPr>
            <w:tcW w:w="7155" w:type="dxa"/>
            <w:tcBorders>
              <w:top w:val="nil"/>
              <w:left w:val="nil"/>
              <w:bottom w:val="nil"/>
              <w:right w:val="nil"/>
            </w:tcBorders>
            <w:shd w:val="clear" w:color="auto" w:fill="auto"/>
            <w:hideMark/>
          </w:tcPr>
          <w:p w14:paraId="150138F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Can effectively and fully participate in the achievement of the Convention’s goals without any discrimination, exclusion or restriction made on the basis of sex, respecting the rules set out in the Convention on the Elimination of All Forms of Discrimination Against Women. (Adapted from </w:t>
            </w:r>
            <w:hyperlink r:id="rId644" w:tgtFrame="_blank" w:history="1">
              <w:r w:rsidRPr="00ED7E61">
                <w:rPr>
                  <w:rStyle w:val="Hyperlink"/>
                  <w:rFonts w:asciiTheme="majorBidi" w:eastAsiaTheme="majorEastAsia" w:hAnsiTheme="majorBidi" w:cstheme="majorBidi"/>
                  <w:sz w:val="22"/>
                  <w:szCs w:val="22"/>
                </w:rPr>
                <w:t>UN ESA</w:t>
              </w:r>
            </w:hyperlink>
            <w:r w:rsidRPr="00ED7E61">
              <w:rPr>
                <w:rFonts w:asciiTheme="majorBidi" w:eastAsiaTheme="majorEastAsia" w:hAnsiTheme="majorBidi" w:cstheme="majorBidi"/>
                <w:sz w:val="22"/>
                <w:szCs w:val="22"/>
              </w:rPr>
              <w:t xml:space="preserve"> and </w:t>
            </w:r>
            <w:hyperlink r:id="rId645" w:tgtFrame="_blank" w:history="1">
              <w:r w:rsidRPr="00ED7E61">
                <w:rPr>
                  <w:rStyle w:val="Hyperlink"/>
                  <w:rFonts w:asciiTheme="majorBidi" w:eastAsiaTheme="majorEastAsia" w:hAnsiTheme="majorBidi" w:cstheme="majorBidi"/>
                  <w:sz w:val="22"/>
                  <w:szCs w:val="22"/>
                </w:rPr>
                <w:t>UN Women</w:t>
              </w:r>
            </w:hyperlink>
            <w:r w:rsidRPr="00ED7E61">
              <w:rPr>
                <w:rFonts w:asciiTheme="majorBidi" w:eastAsiaTheme="majorEastAsia" w:hAnsiTheme="majorBidi" w:cstheme="majorBidi"/>
                <w:sz w:val="22"/>
                <w:szCs w:val="22"/>
              </w:rPr>
              <w:t>) </w:t>
            </w:r>
          </w:p>
        </w:tc>
      </w:tr>
      <w:tr w:rsidR="00764225" w:rsidRPr="00ED7E61" w14:paraId="4FE5F0A2" w14:textId="77777777" w:rsidTr="00764225">
        <w:trPr>
          <w:trHeight w:val="1350"/>
        </w:trPr>
        <w:tc>
          <w:tcPr>
            <w:tcW w:w="2055" w:type="dxa"/>
            <w:tcBorders>
              <w:top w:val="nil"/>
              <w:left w:val="nil"/>
              <w:bottom w:val="nil"/>
              <w:right w:val="nil"/>
            </w:tcBorders>
            <w:shd w:val="clear" w:color="auto" w:fill="auto"/>
            <w:hideMark/>
          </w:tcPr>
          <w:p w14:paraId="1EF0C03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Equal opportunity, capacity and rights </w:t>
            </w:r>
          </w:p>
        </w:tc>
        <w:tc>
          <w:tcPr>
            <w:tcW w:w="7155" w:type="dxa"/>
            <w:tcBorders>
              <w:top w:val="nil"/>
              <w:left w:val="nil"/>
              <w:bottom w:val="nil"/>
              <w:right w:val="nil"/>
            </w:tcBorders>
            <w:shd w:val="clear" w:color="auto" w:fill="auto"/>
            <w:hideMark/>
          </w:tcPr>
          <w:p w14:paraId="150A86E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Equality refers to the idea that everyone, regardless of their gender, should have the same rights, opportunities and access to resources, including land and natural resources. Discrimination and biases that may prevent individuals from achieving their full potential due to their gender or other characteristics need to be eliminated. </w:t>
            </w:r>
          </w:p>
        </w:tc>
      </w:tr>
      <w:tr w:rsidR="00764225" w:rsidRPr="00ED7E61" w14:paraId="47B768A1" w14:textId="77777777" w:rsidTr="00764225">
        <w:trPr>
          <w:trHeight w:val="2460"/>
        </w:trPr>
        <w:tc>
          <w:tcPr>
            <w:tcW w:w="2055" w:type="dxa"/>
            <w:tcBorders>
              <w:top w:val="nil"/>
              <w:left w:val="nil"/>
              <w:bottom w:val="nil"/>
              <w:right w:val="nil"/>
            </w:tcBorders>
            <w:shd w:val="clear" w:color="auto" w:fill="auto"/>
            <w:hideMark/>
          </w:tcPr>
          <w:p w14:paraId="434D50D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Equal rights and access to land and natural resources [for women] </w:t>
            </w:r>
          </w:p>
        </w:tc>
        <w:tc>
          <w:tcPr>
            <w:tcW w:w="7155" w:type="dxa"/>
            <w:tcBorders>
              <w:top w:val="nil"/>
              <w:left w:val="nil"/>
              <w:bottom w:val="nil"/>
              <w:right w:val="nil"/>
            </w:tcBorders>
            <w:shd w:val="clear" w:color="auto" w:fill="auto"/>
            <w:hideMark/>
          </w:tcPr>
          <w:p w14:paraId="082327B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 the context of the Framework, this relates to rights of women in relation to land and natural resources. Women are often the primary stewards of biodiversity, and when women have secure land tenure, they are more likely to engage in sustainable land use practices that conserve biodiversity and protect ecosystems. Women who own and control land are also better able to provide for their families, secure their livelihoods and invest in their communities, leading to improved health and education outcomes. Achieving equal rights may require changes to laws and policies and cultural norms, including those related to rules around land registration and ownership, and practices. </w:t>
            </w:r>
          </w:p>
        </w:tc>
      </w:tr>
      <w:tr w:rsidR="00764225" w:rsidRPr="00ED7E61" w14:paraId="4D4C2AAE" w14:textId="77777777" w:rsidTr="00764225">
        <w:trPr>
          <w:trHeight w:val="1577"/>
        </w:trPr>
        <w:tc>
          <w:tcPr>
            <w:tcW w:w="2055" w:type="dxa"/>
            <w:tcBorders>
              <w:top w:val="nil"/>
              <w:left w:val="nil"/>
              <w:bottom w:val="nil"/>
              <w:right w:val="nil"/>
            </w:tcBorders>
            <w:shd w:val="clear" w:color="auto" w:fill="auto"/>
            <w:hideMark/>
          </w:tcPr>
          <w:p w14:paraId="6235B77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Eradicate </w:t>
            </w:r>
          </w:p>
        </w:tc>
        <w:tc>
          <w:tcPr>
            <w:tcW w:w="7155" w:type="dxa"/>
            <w:tcBorders>
              <w:top w:val="nil"/>
              <w:left w:val="nil"/>
              <w:bottom w:val="nil"/>
              <w:right w:val="nil"/>
            </w:tcBorders>
            <w:shd w:val="clear" w:color="auto" w:fill="auto"/>
            <w:hideMark/>
          </w:tcPr>
          <w:p w14:paraId="41CC14F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Eliminate/extirpate an invasive alien species from a defined geographic area even in the absence of all preventive measures obviating the necessity for further control measures (Dowdle, 1998). The time period after which an invasive alien species can be considered eradicated depends on the species and location. (</w:t>
            </w:r>
            <w:hyperlink r:id="rId646"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2023) </w:t>
            </w:r>
          </w:p>
        </w:tc>
      </w:tr>
      <w:tr w:rsidR="00764225" w:rsidRPr="00ED7E61" w14:paraId="2B02A77D" w14:textId="77777777" w:rsidTr="00764225">
        <w:trPr>
          <w:trHeight w:val="873"/>
        </w:trPr>
        <w:tc>
          <w:tcPr>
            <w:tcW w:w="2055" w:type="dxa"/>
            <w:tcBorders>
              <w:top w:val="nil"/>
              <w:left w:val="nil"/>
              <w:bottom w:val="nil"/>
              <w:right w:val="nil"/>
            </w:tcBorders>
            <w:shd w:val="clear" w:color="auto" w:fill="auto"/>
            <w:hideMark/>
          </w:tcPr>
          <w:p w14:paraId="7E0E39D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Establishment of invasive alien species </w:t>
            </w:r>
          </w:p>
        </w:tc>
        <w:tc>
          <w:tcPr>
            <w:tcW w:w="7155" w:type="dxa"/>
            <w:tcBorders>
              <w:top w:val="nil"/>
              <w:left w:val="nil"/>
              <w:bottom w:val="nil"/>
              <w:right w:val="nil"/>
            </w:tcBorders>
            <w:shd w:val="clear" w:color="auto" w:fill="auto"/>
            <w:hideMark/>
          </w:tcPr>
          <w:p w14:paraId="02CDC4C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Production of a viable, self-sustaining population. (</w:t>
            </w:r>
            <w:hyperlink r:id="rId647"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2023) </w:t>
            </w:r>
          </w:p>
        </w:tc>
      </w:tr>
      <w:tr w:rsidR="00764225" w:rsidRPr="00ED7E61" w14:paraId="0671CB46" w14:textId="77777777" w:rsidTr="00764225">
        <w:trPr>
          <w:trHeight w:val="1545"/>
        </w:trPr>
        <w:tc>
          <w:tcPr>
            <w:tcW w:w="2055" w:type="dxa"/>
            <w:tcBorders>
              <w:top w:val="nil"/>
              <w:left w:val="nil"/>
              <w:bottom w:val="nil"/>
              <w:right w:val="nil"/>
            </w:tcBorders>
            <w:shd w:val="clear" w:color="auto" w:fill="auto"/>
            <w:hideMark/>
          </w:tcPr>
          <w:p w14:paraId="1FE02BCC"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Eutrophication </w:t>
            </w:r>
          </w:p>
        </w:tc>
        <w:tc>
          <w:tcPr>
            <w:tcW w:w="7155" w:type="dxa"/>
            <w:tcBorders>
              <w:top w:val="nil"/>
              <w:left w:val="nil"/>
              <w:bottom w:val="nil"/>
              <w:right w:val="nil"/>
            </w:tcBorders>
            <w:shd w:val="clear" w:color="auto" w:fill="auto"/>
            <w:hideMark/>
          </w:tcPr>
          <w:p w14:paraId="75FD033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Nutrient enrichment of an ecosystem, generally resulting in increased primary production and reduced biodiversity. In lakes, eutrophication leads to seasonal algal blooms, reduced water clarity, and, often, periodic fish mortality as a consequence of oxygen depletion. The term is most closely associated with aquatic ecosystems but is sometimes applied more broadly. (</w:t>
            </w:r>
            <w:hyperlink r:id="rId648"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2019) </w:t>
            </w:r>
          </w:p>
        </w:tc>
      </w:tr>
      <w:tr w:rsidR="00764225" w:rsidRPr="00ED7E61" w14:paraId="26C1C6F8" w14:textId="77777777" w:rsidTr="00764225">
        <w:trPr>
          <w:trHeight w:val="1695"/>
        </w:trPr>
        <w:tc>
          <w:tcPr>
            <w:tcW w:w="2055" w:type="dxa"/>
            <w:tcBorders>
              <w:top w:val="nil"/>
              <w:left w:val="nil"/>
              <w:bottom w:val="nil"/>
              <w:right w:val="nil"/>
            </w:tcBorders>
            <w:shd w:val="clear" w:color="auto" w:fill="auto"/>
            <w:hideMark/>
          </w:tcPr>
          <w:p w14:paraId="568FF20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Ex situ conservation </w:t>
            </w:r>
          </w:p>
        </w:tc>
        <w:tc>
          <w:tcPr>
            <w:tcW w:w="7155" w:type="dxa"/>
            <w:tcBorders>
              <w:top w:val="nil"/>
              <w:left w:val="nil"/>
              <w:bottom w:val="nil"/>
              <w:right w:val="nil"/>
            </w:tcBorders>
            <w:shd w:val="clear" w:color="auto" w:fill="auto"/>
            <w:hideMark/>
          </w:tcPr>
          <w:p w14:paraId="6B43E554" w14:textId="39A60DB0"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Conservation actions implemented in captive breeding/propagation facilities (from which individuals can be reintroduced back into native ranges), i.e. in conditions under which individuals are spatially restricted with respect to their natural spatial patterns or those of their progeny, are removed from many of their natural ecological processes, and are managed on some level by humans. (McGowan et al. 2024) </w:t>
            </w:r>
          </w:p>
        </w:tc>
      </w:tr>
      <w:tr w:rsidR="00764225" w:rsidRPr="00ED7E61" w14:paraId="05F12A10" w14:textId="77777777" w:rsidTr="00764225">
        <w:trPr>
          <w:trHeight w:val="1560"/>
        </w:trPr>
        <w:tc>
          <w:tcPr>
            <w:tcW w:w="2055" w:type="dxa"/>
            <w:tcBorders>
              <w:top w:val="nil"/>
              <w:left w:val="nil"/>
              <w:bottom w:val="nil"/>
              <w:right w:val="nil"/>
            </w:tcBorders>
            <w:shd w:val="clear" w:color="auto" w:fill="auto"/>
            <w:hideMark/>
          </w:tcPr>
          <w:p w14:paraId="72FAF0E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Extinction </w:t>
            </w:r>
          </w:p>
        </w:tc>
        <w:tc>
          <w:tcPr>
            <w:tcW w:w="7155" w:type="dxa"/>
            <w:tcBorders>
              <w:top w:val="nil"/>
              <w:left w:val="nil"/>
              <w:bottom w:val="nil"/>
              <w:right w:val="nil"/>
            </w:tcBorders>
            <w:shd w:val="clear" w:color="auto" w:fill="auto"/>
            <w:hideMark/>
          </w:tcPr>
          <w:p w14:paraId="1FF7F14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species is extinct when there is no reasonable doubt that the last individual has died. Detecting extinction requires exhaustive surveys in known and/or expected habitat, at appropriate times (diurnal, seasonal, annual), over a time frame appropriate to the taxon’s life cycle and life form, throughout the species' historic range. (</w:t>
            </w:r>
            <w:hyperlink r:id="rId649" w:tgtFrame="_blank" w:history="1">
              <w:r w:rsidRPr="00ED7E61">
                <w:rPr>
                  <w:rStyle w:val="Hyperlink"/>
                  <w:rFonts w:asciiTheme="majorBidi" w:eastAsiaTheme="majorEastAsia" w:hAnsiTheme="majorBidi" w:cstheme="majorBidi"/>
                  <w:sz w:val="22"/>
                  <w:szCs w:val="22"/>
                </w:rPr>
                <w:t>IUCN</w:t>
              </w:r>
            </w:hyperlink>
            <w:r w:rsidRPr="00ED7E61">
              <w:rPr>
                <w:rFonts w:asciiTheme="majorBidi" w:eastAsiaTheme="majorEastAsia" w:hAnsiTheme="majorBidi" w:cstheme="majorBidi"/>
                <w:sz w:val="22"/>
                <w:szCs w:val="22"/>
              </w:rPr>
              <w:t>, 2012) </w:t>
            </w:r>
          </w:p>
        </w:tc>
      </w:tr>
      <w:tr w:rsidR="00764225" w:rsidRPr="00ED7E61" w14:paraId="4333CA94" w14:textId="77777777" w:rsidTr="00764225">
        <w:trPr>
          <w:trHeight w:val="2545"/>
        </w:trPr>
        <w:tc>
          <w:tcPr>
            <w:tcW w:w="2055" w:type="dxa"/>
            <w:tcBorders>
              <w:top w:val="nil"/>
              <w:left w:val="nil"/>
              <w:bottom w:val="nil"/>
              <w:right w:val="nil"/>
            </w:tcBorders>
            <w:shd w:val="clear" w:color="auto" w:fill="auto"/>
            <w:hideMark/>
          </w:tcPr>
          <w:p w14:paraId="0FE74A6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Extinction rate </w:t>
            </w:r>
          </w:p>
        </w:tc>
        <w:tc>
          <w:tcPr>
            <w:tcW w:w="7155" w:type="dxa"/>
            <w:tcBorders>
              <w:top w:val="nil"/>
              <w:left w:val="nil"/>
              <w:bottom w:val="nil"/>
              <w:right w:val="nil"/>
            </w:tcBorders>
            <w:shd w:val="clear" w:color="auto" w:fill="auto"/>
            <w:hideMark/>
          </w:tcPr>
          <w:p w14:paraId="371F34A7" w14:textId="3267FC72"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number of species going extinct expressed over a unit of time. The challenges of detecting extinctions mean that there are often time-lags before a species can be declared extinct, so extinction rates are most accurately estimated retrospectively. Moreover, absolute extinction rates are also difficult to estimate given considerable uncertainty over the total number of species on the planet. It is therefore useful to compare relative extinction rates, expressed as extinctions per million species per year (E/MSY). Mean fossil species’ lifetimes produce a background extinction rate of 0.1–1 E/MSY, while human activities have driven species extinct at a rate perhaps 1,000 times higher. (McGowan et al. 2024) </w:t>
            </w:r>
          </w:p>
        </w:tc>
      </w:tr>
      <w:tr w:rsidR="00764225" w:rsidRPr="00ED7E61" w14:paraId="32010291" w14:textId="77777777" w:rsidTr="00764225">
        <w:trPr>
          <w:trHeight w:val="3030"/>
        </w:trPr>
        <w:tc>
          <w:tcPr>
            <w:tcW w:w="2055" w:type="dxa"/>
            <w:tcBorders>
              <w:top w:val="nil"/>
              <w:left w:val="nil"/>
              <w:bottom w:val="nil"/>
              <w:right w:val="nil"/>
            </w:tcBorders>
            <w:shd w:val="clear" w:color="auto" w:fill="auto"/>
            <w:hideMark/>
          </w:tcPr>
          <w:p w14:paraId="34EF566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Extinction risk </w:t>
            </w:r>
          </w:p>
        </w:tc>
        <w:tc>
          <w:tcPr>
            <w:tcW w:w="7155" w:type="dxa"/>
            <w:tcBorders>
              <w:top w:val="nil"/>
              <w:left w:val="nil"/>
              <w:bottom w:val="nil"/>
              <w:right w:val="nil"/>
            </w:tcBorders>
            <w:shd w:val="clear" w:color="auto" w:fill="auto"/>
            <w:hideMark/>
          </w:tcPr>
          <w:p w14:paraId="5CD35216" w14:textId="5A4C5D48"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probability that a species may go extinct (q.v.). Extinction risk is extremely difficult to quantify for individual species, so the commonest approach to assessing risk is to use the categories and criteria of the IUCN Red List, which range from Least Concern to Critically Endangered and Extinct. Detecting trends in extinction risk cannot be achieved by simply comparing the proportion of species that are threatened (q.v.) or that are in different categories of risk over time, because most reclassifications result from improved knowledge. It is therefore necessary to distinguish those category changes resulting from genuine improvements or deterioration in status of species. The Red List Index (q.v.) is designed to summarise overall trends in extinction risk by doing exactly this. (McGowan et al. 2024) </w:t>
            </w:r>
          </w:p>
        </w:tc>
      </w:tr>
      <w:tr w:rsidR="00764225" w:rsidRPr="00ED7E61" w14:paraId="6CA5A586" w14:textId="77777777" w:rsidTr="00764225">
        <w:trPr>
          <w:trHeight w:val="990"/>
        </w:trPr>
        <w:tc>
          <w:tcPr>
            <w:tcW w:w="2055" w:type="dxa"/>
            <w:tcBorders>
              <w:top w:val="nil"/>
              <w:left w:val="nil"/>
              <w:bottom w:val="nil"/>
              <w:right w:val="nil"/>
            </w:tcBorders>
            <w:shd w:val="clear" w:color="auto" w:fill="auto"/>
            <w:hideMark/>
          </w:tcPr>
          <w:p w14:paraId="6BCC2FB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Financial resources </w:t>
            </w:r>
          </w:p>
        </w:tc>
        <w:tc>
          <w:tcPr>
            <w:tcW w:w="7155" w:type="dxa"/>
            <w:tcBorders>
              <w:top w:val="nil"/>
              <w:left w:val="nil"/>
              <w:bottom w:val="nil"/>
              <w:right w:val="nil"/>
            </w:tcBorders>
            <w:shd w:val="clear" w:color="auto" w:fill="auto"/>
            <w:hideMark/>
          </w:tcPr>
          <w:p w14:paraId="134F84C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Money and other financial vehicles available for the purposes of the Convention. These may be from private or public funds and take any form (e.g. investment, bond, loan, grant). </w:t>
            </w:r>
          </w:p>
        </w:tc>
      </w:tr>
      <w:tr w:rsidR="00764225" w:rsidRPr="00ED7E61" w14:paraId="5C063A9A" w14:textId="77777777" w:rsidTr="00764225">
        <w:trPr>
          <w:trHeight w:val="990"/>
        </w:trPr>
        <w:tc>
          <w:tcPr>
            <w:tcW w:w="2055" w:type="dxa"/>
            <w:tcBorders>
              <w:top w:val="nil"/>
              <w:left w:val="nil"/>
              <w:bottom w:val="nil"/>
              <w:right w:val="nil"/>
            </w:tcBorders>
            <w:shd w:val="clear" w:color="auto" w:fill="auto"/>
            <w:hideMark/>
          </w:tcPr>
          <w:p w14:paraId="29CC00B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Fiscal and financial flows </w:t>
            </w:r>
          </w:p>
        </w:tc>
        <w:tc>
          <w:tcPr>
            <w:tcW w:w="7155" w:type="dxa"/>
            <w:tcBorders>
              <w:top w:val="nil"/>
              <w:left w:val="nil"/>
              <w:bottom w:val="nil"/>
              <w:right w:val="nil"/>
            </w:tcBorders>
            <w:shd w:val="clear" w:color="auto" w:fill="auto"/>
            <w:hideMark/>
          </w:tcPr>
          <w:p w14:paraId="124429D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Financial flows consist of transactions and other flows and represent the movement of money in and out of accounts. Fiscal flows refer to transactions in and out of national treasury accounts. (Adapted from </w:t>
            </w:r>
            <w:hyperlink r:id="rId650" w:anchor=":~:text=Financial%20flows%20consist%20of%20transactions,the%20end%20of%20the%20year" w:tgtFrame="_blank" w:history="1">
              <w:r w:rsidRPr="00ED7E61">
                <w:rPr>
                  <w:rStyle w:val="Hyperlink"/>
                  <w:rFonts w:asciiTheme="majorBidi" w:eastAsiaTheme="majorEastAsia" w:hAnsiTheme="majorBidi" w:cstheme="majorBidi"/>
                  <w:sz w:val="22"/>
                  <w:szCs w:val="22"/>
                </w:rPr>
                <w:t>Eurostat</w:t>
              </w:r>
            </w:hyperlink>
            <w:r w:rsidRPr="00ED7E61">
              <w:rPr>
                <w:rFonts w:asciiTheme="majorBidi" w:eastAsiaTheme="majorEastAsia" w:hAnsiTheme="majorBidi" w:cstheme="majorBidi"/>
                <w:sz w:val="22"/>
                <w:szCs w:val="22"/>
              </w:rPr>
              <w:t xml:space="preserve"> and </w:t>
            </w:r>
            <w:hyperlink r:id="rId651" w:tgtFrame="_blank" w:history="1">
              <w:r w:rsidRPr="00ED7E61">
                <w:rPr>
                  <w:rStyle w:val="Hyperlink"/>
                  <w:rFonts w:asciiTheme="majorBidi" w:eastAsiaTheme="majorEastAsia" w:hAnsiTheme="majorBidi" w:cstheme="majorBidi"/>
                  <w:sz w:val="22"/>
                  <w:szCs w:val="22"/>
                </w:rPr>
                <w:t>FDR</w:t>
              </w:r>
            </w:hyperlink>
            <w:r w:rsidRPr="00ED7E61">
              <w:rPr>
                <w:rFonts w:asciiTheme="majorBidi" w:eastAsiaTheme="majorEastAsia" w:hAnsiTheme="majorBidi" w:cstheme="majorBidi"/>
                <w:sz w:val="22"/>
                <w:szCs w:val="22"/>
              </w:rPr>
              <w:t>) </w:t>
            </w:r>
          </w:p>
        </w:tc>
      </w:tr>
      <w:tr w:rsidR="00764225" w:rsidRPr="00ED7E61" w14:paraId="4EDD056D" w14:textId="77777777" w:rsidTr="00764225">
        <w:trPr>
          <w:trHeight w:val="2700"/>
        </w:trPr>
        <w:tc>
          <w:tcPr>
            <w:tcW w:w="2055" w:type="dxa"/>
            <w:tcBorders>
              <w:top w:val="nil"/>
              <w:left w:val="nil"/>
              <w:bottom w:val="nil"/>
              <w:right w:val="nil"/>
            </w:tcBorders>
            <w:shd w:val="clear" w:color="auto" w:fill="auto"/>
            <w:hideMark/>
          </w:tcPr>
          <w:p w14:paraId="76031EC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Flood control services </w:t>
            </w:r>
          </w:p>
        </w:tc>
        <w:tc>
          <w:tcPr>
            <w:tcW w:w="7155" w:type="dxa"/>
            <w:tcBorders>
              <w:top w:val="nil"/>
              <w:left w:val="nil"/>
              <w:bottom w:val="nil"/>
              <w:right w:val="nil"/>
            </w:tcBorders>
            <w:shd w:val="clear" w:color="auto" w:fill="auto"/>
            <w:hideMark/>
          </w:tcPr>
          <w:p w14:paraId="70C19E2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Consist of coastal protection services and river flood mitigation services. Coastal protection services are the ecosystem contributions of linear elements in the seascape, for instance coral reefs, sand banks, dunes or mangrove ecosystems along the shore, in protecting the shore and thus mitigating the impacts of tidal surges or storms on local communities. River flood mitigation services are the ecosystem contributions of riparian vegetation which provides structure and a physical barrier to high water levels and thus mitigates the impacts of floods on local communities. River flood mitigation services are synchronous with peak flow mitigation services in providing the benefit of flood protection. (</w:t>
            </w:r>
            <w:hyperlink r:id="rId652"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393EFB3F" w14:textId="77777777" w:rsidTr="00764225">
        <w:trPr>
          <w:trHeight w:val="1702"/>
        </w:trPr>
        <w:tc>
          <w:tcPr>
            <w:tcW w:w="2055" w:type="dxa"/>
            <w:tcBorders>
              <w:top w:val="nil"/>
              <w:left w:val="nil"/>
              <w:bottom w:val="nil"/>
              <w:right w:val="nil"/>
            </w:tcBorders>
            <w:shd w:val="clear" w:color="auto" w:fill="auto"/>
            <w:hideMark/>
          </w:tcPr>
          <w:p w14:paraId="1025F68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Food waste </w:t>
            </w:r>
          </w:p>
        </w:tc>
        <w:tc>
          <w:tcPr>
            <w:tcW w:w="7155" w:type="dxa"/>
            <w:tcBorders>
              <w:top w:val="nil"/>
              <w:left w:val="nil"/>
              <w:bottom w:val="nil"/>
              <w:right w:val="nil"/>
            </w:tcBorders>
            <w:shd w:val="clear" w:color="auto" w:fill="auto"/>
            <w:hideMark/>
          </w:tcPr>
          <w:p w14:paraId="1B702B6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Food and associated inedible parts removed from the human food supply chain in the following sectors: retail and other distribution of food; food service (restaurants, schools, hospitals, other canteens, etc.); and households. “</w:t>
            </w:r>
            <w:r w:rsidRPr="00FB1598">
              <w:rPr>
                <w:rFonts w:asciiTheme="majorBidi" w:eastAsiaTheme="majorEastAsia" w:hAnsiTheme="majorBidi" w:cstheme="majorBidi"/>
                <w:i/>
                <w:iCs/>
                <w:sz w:val="22"/>
                <w:szCs w:val="22"/>
              </w:rPr>
              <w:t>Removed from the human food supply chain</w:t>
            </w:r>
            <w:r w:rsidRPr="00ED7E61">
              <w:rPr>
                <w:rFonts w:asciiTheme="majorBidi" w:eastAsiaTheme="majorEastAsia" w:hAnsiTheme="majorBidi" w:cstheme="majorBidi"/>
                <w:sz w:val="22"/>
                <w:szCs w:val="22"/>
              </w:rPr>
              <w:t>” means one of the following end destinations: landfill; controlled combustion; sewer, litter/discards/refuse; co/anaerobic digestion; compost/aerobic digestion or land application. (</w:t>
            </w:r>
            <w:hyperlink r:id="rId653" w:tgtFrame="_blank" w:history="1">
              <w:r w:rsidRPr="00ED7E61">
                <w:rPr>
                  <w:rStyle w:val="Hyperlink"/>
                  <w:rFonts w:asciiTheme="majorBidi" w:eastAsiaTheme="majorEastAsia" w:hAnsiTheme="majorBidi" w:cstheme="majorBidi"/>
                  <w:sz w:val="22"/>
                  <w:szCs w:val="22"/>
                </w:rPr>
                <w:t>UN Stats</w:t>
              </w:r>
            </w:hyperlink>
            <w:r w:rsidRPr="00ED7E61">
              <w:rPr>
                <w:rFonts w:asciiTheme="majorBidi" w:eastAsiaTheme="majorEastAsia" w:hAnsiTheme="majorBidi" w:cstheme="majorBidi"/>
                <w:sz w:val="22"/>
                <w:szCs w:val="22"/>
              </w:rPr>
              <w:t>) </w:t>
            </w:r>
          </w:p>
        </w:tc>
      </w:tr>
      <w:tr w:rsidR="00764225" w:rsidRPr="00ED7E61" w14:paraId="20421D0B" w14:textId="77777777" w:rsidTr="00764225">
        <w:trPr>
          <w:trHeight w:val="1545"/>
        </w:trPr>
        <w:tc>
          <w:tcPr>
            <w:tcW w:w="2055" w:type="dxa"/>
            <w:tcBorders>
              <w:top w:val="nil"/>
              <w:left w:val="nil"/>
              <w:bottom w:val="nil"/>
              <w:right w:val="nil"/>
            </w:tcBorders>
            <w:shd w:val="clear" w:color="auto" w:fill="auto"/>
            <w:hideMark/>
          </w:tcPr>
          <w:p w14:paraId="4039630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Forest </w:t>
            </w:r>
          </w:p>
        </w:tc>
        <w:tc>
          <w:tcPr>
            <w:tcW w:w="7155" w:type="dxa"/>
            <w:tcBorders>
              <w:top w:val="nil"/>
              <w:left w:val="nil"/>
              <w:bottom w:val="nil"/>
              <w:right w:val="nil"/>
            </w:tcBorders>
            <w:shd w:val="clear" w:color="auto" w:fill="auto"/>
            <w:hideMark/>
          </w:tcPr>
          <w:p w14:paraId="7498AD6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Land spanning more than 0.5 hectares with trees higher than 5 meters and a canopy cover of more than 10 percent, or trees able to reach these thresholds in situ. It does not include land that is predominantly under agricultural or urban land use. Forest is determined both by the presence of trees and the absence of other predominant land uses. (</w:t>
            </w:r>
            <w:hyperlink r:id="rId654" w:tgtFrame="_blank" w:history="1">
              <w:r w:rsidRPr="00ED7E61">
                <w:rPr>
                  <w:rStyle w:val="Hyperlink"/>
                  <w:rFonts w:asciiTheme="majorBidi" w:eastAsiaTheme="majorEastAsia" w:hAnsiTheme="majorBidi" w:cstheme="majorBidi"/>
                  <w:sz w:val="22"/>
                  <w:szCs w:val="22"/>
                </w:rPr>
                <w:t>FAO</w:t>
              </w:r>
            </w:hyperlink>
            <w:r w:rsidRPr="00ED7E61">
              <w:rPr>
                <w:rFonts w:asciiTheme="majorBidi" w:eastAsiaTheme="majorEastAsia" w:hAnsiTheme="majorBidi" w:cstheme="majorBidi"/>
                <w:sz w:val="22"/>
                <w:szCs w:val="22"/>
              </w:rPr>
              <w:t>, 2020) </w:t>
            </w:r>
          </w:p>
        </w:tc>
      </w:tr>
      <w:tr w:rsidR="00764225" w:rsidRPr="00ED7E61" w14:paraId="29E5E155" w14:textId="77777777" w:rsidTr="00764225">
        <w:trPr>
          <w:trHeight w:val="712"/>
        </w:trPr>
        <w:tc>
          <w:tcPr>
            <w:tcW w:w="2055" w:type="dxa"/>
            <w:tcBorders>
              <w:top w:val="nil"/>
              <w:left w:val="nil"/>
              <w:bottom w:val="nil"/>
              <w:right w:val="nil"/>
            </w:tcBorders>
            <w:shd w:val="clear" w:color="auto" w:fill="auto"/>
            <w:hideMark/>
          </w:tcPr>
          <w:p w14:paraId="2360FEF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Forest area with management plan </w:t>
            </w:r>
          </w:p>
        </w:tc>
        <w:tc>
          <w:tcPr>
            <w:tcW w:w="7155" w:type="dxa"/>
            <w:tcBorders>
              <w:top w:val="nil"/>
              <w:left w:val="nil"/>
              <w:bottom w:val="nil"/>
              <w:right w:val="nil"/>
            </w:tcBorders>
            <w:shd w:val="clear" w:color="auto" w:fill="auto"/>
            <w:hideMark/>
          </w:tcPr>
          <w:p w14:paraId="5B215C7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Forest area that has a long-term documented management plan, aiming at defined management goals, which is periodically revised. (</w:t>
            </w:r>
            <w:hyperlink r:id="rId655" w:tgtFrame="_blank" w:history="1">
              <w:r w:rsidRPr="00ED7E61">
                <w:rPr>
                  <w:rStyle w:val="Hyperlink"/>
                  <w:rFonts w:asciiTheme="majorBidi" w:eastAsiaTheme="majorEastAsia" w:hAnsiTheme="majorBidi" w:cstheme="majorBidi"/>
                  <w:sz w:val="22"/>
                  <w:szCs w:val="22"/>
                </w:rPr>
                <w:t>FAO</w:t>
              </w:r>
            </w:hyperlink>
            <w:r w:rsidRPr="00ED7E61">
              <w:rPr>
                <w:rFonts w:asciiTheme="majorBidi" w:eastAsiaTheme="majorEastAsia" w:hAnsiTheme="majorBidi" w:cstheme="majorBidi"/>
                <w:sz w:val="22"/>
                <w:szCs w:val="22"/>
              </w:rPr>
              <w:t>, 2020) </w:t>
            </w:r>
          </w:p>
        </w:tc>
      </w:tr>
      <w:tr w:rsidR="00764225" w:rsidRPr="00ED7E61" w14:paraId="6367CB8B" w14:textId="77777777" w:rsidTr="00764225">
        <w:trPr>
          <w:trHeight w:val="5295"/>
        </w:trPr>
        <w:tc>
          <w:tcPr>
            <w:tcW w:w="2055" w:type="dxa"/>
            <w:tcBorders>
              <w:top w:val="nil"/>
              <w:left w:val="nil"/>
              <w:bottom w:val="nil"/>
              <w:right w:val="nil"/>
            </w:tcBorders>
            <w:shd w:val="clear" w:color="auto" w:fill="auto"/>
            <w:hideMark/>
          </w:tcPr>
          <w:p w14:paraId="73023D0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Free, prior and informed consent </w:t>
            </w:r>
          </w:p>
        </w:tc>
        <w:tc>
          <w:tcPr>
            <w:tcW w:w="7155" w:type="dxa"/>
            <w:tcBorders>
              <w:top w:val="nil"/>
              <w:left w:val="nil"/>
              <w:bottom w:val="nil"/>
              <w:right w:val="nil"/>
            </w:tcBorders>
            <w:shd w:val="clear" w:color="auto" w:fill="auto"/>
            <w:hideMark/>
          </w:tcPr>
          <w:p w14:paraId="37EB92B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Free implies that indigenous peoples and local communities are not pressured, intimidated, manipulated or unduly influenced and that their consent is given, without coercion; Prior implies seeking consent or approval sufficiently in advance of any authorization to access traditional knowledge respecting the customary decision-making processes in accordance with national legislation and time requirements of indigenous peoples and local communities; Informed implies that information is provided that covers relevant aspects, such as: the intended purpose of the access; its duration and scope; a preliminary assessment of the likely economic, social, cultural and environmental impacts, including potential risks; personnel likely to be involved in the execution of the access; procedures the access may entail and benefit- sharing arrangements; Consent or approval is the agreement of the indigenous peoples and local communities who are holders of traditional knowledge or the competent authorities of those indigenous peoples and local communities, as appropriate, to grant access to their traditional knowledge to a potential user and includes the right not to grant consent or approval; Involvement refers to the full and effective participation of indigenous peoples and local communities, in decision-making processes related to access to their traditional knowledge. Consultation and full and effective participation of indigenous peoples and local communities are crucial components of a consent or approval process. (CBD, CBD/COP/DEC/14/13) </w:t>
            </w:r>
          </w:p>
        </w:tc>
      </w:tr>
      <w:tr w:rsidR="00764225" w:rsidRPr="00ED7E61" w14:paraId="7D51B5E5" w14:textId="77777777" w:rsidTr="00764225">
        <w:trPr>
          <w:trHeight w:val="3544"/>
        </w:trPr>
        <w:tc>
          <w:tcPr>
            <w:tcW w:w="2055" w:type="dxa"/>
            <w:tcBorders>
              <w:top w:val="nil"/>
              <w:left w:val="nil"/>
              <w:bottom w:val="nil"/>
              <w:right w:val="nil"/>
            </w:tcBorders>
            <w:shd w:val="clear" w:color="auto" w:fill="auto"/>
            <w:hideMark/>
          </w:tcPr>
          <w:p w14:paraId="1FF890A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Full equitable meaningful and information participation and leadership </w:t>
            </w:r>
          </w:p>
        </w:tc>
        <w:tc>
          <w:tcPr>
            <w:tcW w:w="7155" w:type="dxa"/>
            <w:tcBorders>
              <w:top w:val="nil"/>
              <w:left w:val="nil"/>
              <w:bottom w:val="nil"/>
              <w:right w:val="nil"/>
            </w:tcBorders>
            <w:shd w:val="clear" w:color="auto" w:fill="auto"/>
            <w:hideMark/>
          </w:tcPr>
          <w:p w14:paraId="1DD1310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Complete, not missing anything. Fair and impartial. Considered with equal weight and given significant meaning and importance. Informed implies that information is provided that covers relevant aspects of the action, engagement, policy and decision-making under consideration, such as: its intended purpose; its duration and scope; a preliminary assessment of its likely economic, social, cultural and environmental impacts, including potential risks; personnel likely to be involved in its execution and procedures it may entail. Participation is understood as the act of engaging in society's activities. It refers to the possibility to influence decisions and have access to decision-making processes. Social participation creates mutual trust among individuals, which forms the basis for shared responsibilities towards the community and society. The position of being a leader and the action of leading a group of people or an organisation. Leadership implies decision-making authority and recognition of this authority by others. </w:t>
            </w:r>
          </w:p>
        </w:tc>
      </w:tr>
      <w:tr w:rsidR="00764225" w:rsidRPr="00ED7E61" w14:paraId="41404E6D" w14:textId="77777777" w:rsidTr="00764225">
        <w:trPr>
          <w:trHeight w:val="2269"/>
        </w:trPr>
        <w:tc>
          <w:tcPr>
            <w:tcW w:w="2055" w:type="dxa"/>
            <w:tcBorders>
              <w:top w:val="nil"/>
              <w:left w:val="nil"/>
              <w:bottom w:val="nil"/>
              <w:right w:val="nil"/>
            </w:tcBorders>
            <w:shd w:val="clear" w:color="auto" w:fill="auto"/>
            <w:hideMark/>
          </w:tcPr>
          <w:p w14:paraId="42BC1DC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Full protection of human rights defenders </w:t>
            </w:r>
          </w:p>
        </w:tc>
        <w:tc>
          <w:tcPr>
            <w:tcW w:w="7155" w:type="dxa"/>
            <w:tcBorders>
              <w:top w:val="nil"/>
              <w:left w:val="nil"/>
              <w:bottom w:val="nil"/>
              <w:right w:val="nil"/>
            </w:tcBorders>
            <w:shd w:val="clear" w:color="auto" w:fill="auto"/>
            <w:hideMark/>
          </w:tcPr>
          <w:p w14:paraId="45CF6AC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This refers to measures that can be taken to safeguard individuals or groups who work to protect the environment, advocate for environmental justice, and defend the rights of indigenous peoples and local communities. Key aspects of protecting environmental human rights defenders could include but are not limited to: preventing violence and intimidation by providing legal protection, effective remedies and secure exercise of their rights free from reprisals and retaliation, and raising awareness about the important role of environmental human rights defenders. </w:t>
            </w:r>
          </w:p>
        </w:tc>
      </w:tr>
      <w:tr w:rsidR="00764225" w:rsidRPr="00ED7E61" w14:paraId="6BF9B9A7" w14:textId="77777777" w:rsidTr="00764225">
        <w:trPr>
          <w:trHeight w:val="3972"/>
        </w:trPr>
        <w:tc>
          <w:tcPr>
            <w:tcW w:w="2055" w:type="dxa"/>
            <w:tcBorders>
              <w:top w:val="nil"/>
              <w:left w:val="nil"/>
              <w:bottom w:val="nil"/>
              <w:right w:val="nil"/>
            </w:tcBorders>
            <w:shd w:val="clear" w:color="auto" w:fill="auto"/>
            <w:hideMark/>
          </w:tcPr>
          <w:p w14:paraId="5B0D884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Gender equality </w:t>
            </w:r>
          </w:p>
        </w:tc>
        <w:tc>
          <w:tcPr>
            <w:tcW w:w="7155" w:type="dxa"/>
            <w:tcBorders>
              <w:top w:val="nil"/>
              <w:left w:val="nil"/>
              <w:bottom w:val="nil"/>
              <w:right w:val="nil"/>
            </w:tcBorders>
            <w:shd w:val="clear" w:color="auto" w:fill="auto"/>
            <w:hideMark/>
          </w:tcPr>
          <w:p w14:paraId="31322672" w14:textId="1F59DBA5"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concept that women and men, girls and boys have equal conditions, treatment and opportunities for realizing their full potential, human rights and dignity, and for contributing to (and benefitting from) economic, social, cultural and political development. Gender equality is, therefore, the equal valuing by society of the similarities and the differences of men and women, and the roles they play. It is based on women and men being full partners in the home, community and society. Equality does not mean that women and men will become the same but that womens and mens rights, responsibilities and opportunities will not depend on whether they are born male or female. Gender equality implies that the interests, needs and priorities of both women and men and girls and boys are taken into consideration, recognizing the diversity of different groups and that all human beings are free to develop their personal abilities and make choices without the limitations set by stereotypes and prejudices about gender roles. Gender equality is a matter of human rights and is considered a precondition for, and indicator of, sustainable people-centred development. (</w:t>
            </w:r>
            <w:hyperlink r:id="rId656" w:tgtFrame="_blank" w:history="1">
              <w:r w:rsidRPr="00ED7E61">
                <w:rPr>
                  <w:rStyle w:val="Hyperlink"/>
                  <w:rFonts w:asciiTheme="majorBidi" w:eastAsiaTheme="majorEastAsia" w:hAnsiTheme="majorBidi" w:cstheme="majorBidi"/>
                  <w:sz w:val="22"/>
                  <w:szCs w:val="22"/>
                </w:rPr>
                <w:t>UNICEF</w:t>
              </w:r>
            </w:hyperlink>
            <w:r w:rsidRPr="00ED7E61">
              <w:rPr>
                <w:rFonts w:asciiTheme="majorBidi" w:eastAsiaTheme="majorEastAsia" w:hAnsiTheme="majorBidi" w:cstheme="majorBidi"/>
                <w:sz w:val="22"/>
                <w:szCs w:val="22"/>
              </w:rPr>
              <w:t>, 2017) </w:t>
            </w:r>
          </w:p>
        </w:tc>
      </w:tr>
      <w:tr w:rsidR="00764225" w:rsidRPr="00ED7E61" w14:paraId="78326BE0" w14:textId="77777777" w:rsidTr="00764225">
        <w:trPr>
          <w:trHeight w:val="1710"/>
        </w:trPr>
        <w:tc>
          <w:tcPr>
            <w:tcW w:w="2055" w:type="dxa"/>
            <w:tcBorders>
              <w:top w:val="nil"/>
              <w:left w:val="nil"/>
              <w:bottom w:val="nil"/>
              <w:right w:val="nil"/>
            </w:tcBorders>
            <w:shd w:val="clear" w:color="auto" w:fill="auto"/>
            <w:hideMark/>
          </w:tcPr>
          <w:p w14:paraId="66543E7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Gender Plan of Action </w:t>
            </w:r>
          </w:p>
        </w:tc>
        <w:tc>
          <w:tcPr>
            <w:tcW w:w="7155" w:type="dxa"/>
            <w:tcBorders>
              <w:top w:val="nil"/>
              <w:left w:val="nil"/>
              <w:bottom w:val="nil"/>
              <w:right w:val="nil"/>
            </w:tcBorders>
            <w:shd w:val="clear" w:color="auto" w:fill="auto"/>
            <w:hideMark/>
          </w:tcPr>
          <w:p w14:paraId="48EE474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An officially negotiated and agreed upon document of the Kunming-Montreal Global Biodiversity framework who’s purpose is to support and promote the gender responsive implementation of the post-2020 global biodiversity framework. The plan will also support a gender responsive approach to applying the implementation mechanisms associated with the framework. (</w:t>
            </w:r>
            <w:r w:rsidRPr="00ED7E61">
              <w:rPr>
                <w:rFonts w:asciiTheme="majorBidi" w:eastAsiaTheme="majorEastAsia" w:hAnsiTheme="majorBidi" w:cstheme="majorBidi"/>
                <w:sz w:val="22"/>
                <w:szCs w:val="22"/>
                <w:lang w:val="en-GB"/>
              </w:rPr>
              <w:t>CBD/COP/15/L.24)</w:t>
            </w:r>
            <w:r w:rsidRPr="00ED7E61">
              <w:rPr>
                <w:rFonts w:asciiTheme="majorBidi" w:eastAsiaTheme="majorEastAsia" w:hAnsiTheme="majorBidi" w:cstheme="majorBidi"/>
                <w:sz w:val="22"/>
                <w:szCs w:val="22"/>
              </w:rPr>
              <w:t> </w:t>
            </w:r>
          </w:p>
        </w:tc>
      </w:tr>
      <w:tr w:rsidR="00764225" w:rsidRPr="00ED7E61" w14:paraId="3920DACA" w14:textId="77777777" w:rsidTr="00764225">
        <w:trPr>
          <w:trHeight w:val="2254"/>
        </w:trPr>
        <w:tc>
          <w:tcPr>
            <w:tcW w:w="2055" w:type="dxa"/>
            <w:tcBorders>
              <w:top w:val="nil"/>
              <w:left w:val="nil"/>
              <w:bottom w:val="nil"/>
              <w:right w:val="nil"/>
            </w:tcBorders>
            <w:shd w:val="clear" w:color="auto" w:fill="auto"/>
            <w:hideMark/>
          </w:tcPr>
          <w:p w14:paraId="416169D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Gender-responsive </w:t>
            </w:r>
          </w:p>
        </w:tc>
        <w:tc>
          <w:tcPr>
            <w:tcW w:w="7155" w:type="dxa"/>
            <w:tcBorders>
              <w:top w:val="nil"/>
              <w:left w:val="nil"/>
              <w:bottom w:val="nil"/>
              <w:right w:val="nil"/>
            </w:tcBorders>
            <w:shd w:val="clear" w:color="auto" w:fill="auto"/>
            <w:hideMark/>
          </w:tcPr>
          <w:p w14:paraId="5125FB27" w14:textId="25C8A3D0"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A gender responsive approach is one that moves beyond </w:t>
            </w:r>
            <w:r w:rsidR="00D20B01">
              <w:rPr>
                <w:rFonts w:asciiTheme="majorBidi" w:eastAsiaTheme="majorEastAsia" w:hAnsiTheme="majorBidi" w:cstheme="majorBidi"/>
                <w:sz w:val="22"/>
                <w:szCs w:val="22"/>
              </w:rPr>
              <w:t>“</w:t>
            </w:r>
            <w:r w:rsidRPr="00FB1598">
              <w:rPr>
                <w:rFonts w:asciiTheme="majorBidi" w:eastAsiaTheme="majorEastAsia" w:hAnsiTheme="majorBidi" w:cstheme="majorBidi"/>
                <w:i/>
                <w:iCs/>
                <w:sz w:val="22"/>
                <w:szCs w:val="22"/>
              </w:rPr>
              <w:t>do no harm</w:t>
            </w:r>
            <w:r w:rsidR="00D20B01">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xml:space="preserve"> to </w:t>
            </w:r>
            <w:r w:rsidRPr="00FB1598">
              <w:rPr>
                <w:rFonts w:asciiTheme="majorBidi" w:eastAsiaTheme="majorEastAsia" w:hAnsiTheme="majorBidi" w:cstheme="majorBidi"/>
                <w:i/>
                <w:iCs/>
                <w:sz w:val="22"/>
                <w:szCs w:val="22"/>
              </w:rPr>
              <w:t>do better</w:t>
            </w:r>
            <w:r w:rsidR="00D20B01">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xml:space="preserve">, towards changing gender norms, roles and access to resources. Gender responsiveness refers to processes and outcomes that reflect an understanding of and take into account gender dynamics, roles, and inequalities in a given society, and which encourage equal participation and fair distribution of benefits. Gender responsive approaches are based on gender analysis to understand the norms and expectations for women and girls and men and boys in relevant contexts, to inform the design of appropriate interventions. (CBD, </w:t>
            </w:r>
            <w:hyperlink r:id="rId657" w:tgtFrame="_blank" w:history="1">
              <w:r w:rsidRPr="00ED7E61">
                <w:rPr>
                  <w:rStyle w:val="Hyperlink"/>
                  <w:rFonts w:asciiTheme="majorBidi" w:eastAsiaTheme="majorEastAsia" w:hAnsiTheme="majorBidi" w:cstheme="majorBidi"/>
                  <w:sz w:val="22"/>
                  <w:szCs w:val="22"/>
                </w:rPr>
                <w:t>SBI3</w:t>
              </w:r>
            </w:hyperlink>
            <w:r w:rsidRPr="00ED7E61">
              <w:rPr>
                <w:rFonts w:asciiTheme="majorBidi" w:eastAsiaTheme="majorEastAsia" w:hAnsiTheme="majorBidi" w:cstheme="majorBidi"/>
                <w:sz w:val="22"/>
                <w:szCs w:val="22"/>
              </w:rPr>
              <w:t>) </w:t>
            </w:r>
          </w:p>
        </w:tc>
      </w:tr>
      <w:tr w:rsidR="00764225" w:rsidRPr="00ED7E61" w14:paraId="1E832FD0" w14:textId="77777777" w:rsidTr="00764225">
        <w:trPr>
          <w:trHeight w:val="705"/>
        </w:trPr>
        <w:tc>
          <w:tcPr>
            <w:tcW w:w="2055" w:type="dxa"/>
            <w:tcBorders>
              <w:top w:val="nil"/>
              <w:left w:val="nil"/>
              <w:bottom w:val="nil"/>
              <w:right w:val="nil"/>
            </w:tcBorders>
            <w:shd w:val="clear" w:color="auto" w:fill="auto"/>
            <w:hideMark/>
          </w:tcPr>
          <w:p w14:paraId="3C76462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Genetic diversity </w:t>
            </w:r>
          </w:p>
        </w:tc>
        <w:tc>
          <w:tcPr>
            <w:tcW w:w="7155" w:type="dxa"/>
            <w:tcBorders>
              <w:top w:val="nil"/>
              <w:left w:val="nil"/>
              <w:bottom w:val="nil"/>
              <w:right w:val="nil"/>
            </w:tcBorders>
            <w:shd w:val="clear" w:color="auto" w:fill="auto"/>
            <w:hideMark/>
          </w:tcPr>
          <w:p w14:paraId="206D5C8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Is variation at the DNA level, including differences among individuals within populations of species and differences among populations of each species. </w:t>
            </w:r>
          </w:p>
        </w:tc>
      </w:tr>
      <w:tr w:rsidR="00764225" w:rsidRPr="00ED7E61" w14:paraId="0D2A54A0" w14:textId="77777777" w:rsidTr="00764225">
        <w:trPr>
          <w:trHeight w:val="735"/>
        </w:trPr>
        <w:tc>
          <w:tcPr>
            <w:tcW w:w="2055" w:type="dxa"/>
            <w:tcBorders>
              <w:top w:val="nil"/>
              <w:left w:val="nil"/>
              <w:bottom w:val="nil"/>
              <w:right w:val="nil"/>
            </w:tcBorders>
            <w:shd w:val="clear" w:color="auto" w:fill="auto"/>
            <w:hideMark/>
          </w:tcPr>
          <w:p w14:paraId="29CDFBB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Genetic material </w:t>
            </w:r>
          </w:p>
        </w:tc>
        <w:tc>
          <w:tcPr>
            <w:tcW w:w="7155" w:type="dxa"/>
            <w:tcBorders>
              <w:top w:val="nil"/>
              <w:left w:val="nil"/>
              <w:bottom w:val="nil"/>
              <w:right w:val="nil"/>
            </w:tcBorders>
            <w:shd w:val="clear" w:color="auto" w:fill="auto"/>
            <w:hideMark/>
          </w:tcPr>
          <w:p w14:paraId="5E3E0A9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Any material of plant, animal, microbial or other origin containing functional units of heredity. (Convention, Article 2) </w:t>
            </w:r>
          </w:p>
        </w:tc>
      </w:tr>
      <w:tr w:rsidR="00764225" w:rsidRPr="00ED7E61" w14:paraId="57181731" w14:textId="77777777" w:rsidTr="00764225">
        <w:trPr>
          <w:trHeight w:val="525"/>
        </w:trPr>
        <w:tc>
          <w:tcPr>
            <w:tcW w:w="2055" w:type="dxa"/>
            <w:tcBorders>
              <w:top w:val="nil"/>
              <w:left w:val="nil"/>
              <w:bottom w:val="nil"/>
              <w:right w:val="nil"/>
            </w:tcBorders>
            <w:shd w:val="clear" w:color="auto" w:fill="auto"/>
            <w:hideMark/>
          </w:tcPr>
          <w:p w14:paraId="2BFD2FF4"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Genetic resources </w:t>
            </w:r>
          </w:p>
        </w:tc>
        <w:tc>
          <w:tcPr>
            <w:tcW w:w="7155" w:type="dxa"/>
            <w:tcBorders>
              <w:top w:val="nil"/>
              <w:left w:val="nil"/>
              <w:bottom w:val="nil"/>
              <w:right w:val="nil"/>
            </w:tcBorders>
            <w:shd w:val="clear" w:color="auto" w:fill="auto"/>
            <w:hideMark/>
          </w:tcPr>
          <w:p w14:paraId="2B25757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Means genetic material of actual or potential value. (Convention, Article 2) </w:t>
            </w:r>
          </w:p>
        </w:tc>
      </w:tr>
      <w:tr w:rsidR="00764225" w:rsidRPr="00ED7E61" w14:paraId="1F1238A3" w14:textId="77777777" w:rsidTr="00764225">
        <w:trPr>
          <w:trHeight w:val="1418"/>
        </w:trPr>
        <w:tc>
          <w:tcPr>
            <w:tcW w:w="2055" w:type="dxa"/>
            <w:tcBorders>
              <w:top w:val="nil"/>
              <w:left w:val="nil"/>
              <w:bottom w:val="nil"/>
              <w:right w:val="nil"/>
            </w:tcBorders>
            <w:shd w:val="clear" w:color="auto" w:fill="auto"/>
            <w:hideMark/>
          </w:tcPr>
          <w:p w14:paraId="523E9F2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Global climate regulation services </w:t>
            </w:r>
          </w:p>
        </w:tc>
        <w:tc>
          <w:tcPr>
            <w:tcW w:w="7155" w:type="dxa"/>
            <w:tcBorders>
              <w:top w:val="nil"/>
              <w:left w:val="nil"/>
              <w:bottom w:val="nil"/>
              <w:right w:val="nil"/>
            </w:tcBorders>
            <w:shd w:val="clear" w:color="auto" w:fill="auto"/>
            <w:hideMark/>
          </w:tcPr>
          <w:p w14:paraId="476C414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ecosystem contributions to reducing concentrations of GHG in the atmosphere through the removal (sequestration) of carbon from the atmosphere and the retention (storage) of carbon in ecosystems. These services support the regulation of the chemical composition of the atmosphere and oceans. (</w:t>
            </w:r>
            <w:hyperlink r:id="rId658"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06AF26BA" w14:textId="77777777" w:rsidTr="00764225">
        <w:trPr>
          <w:trHeight w:val="998"/>
        </w:trPr>
        <w:tc>
          <w:tcPr>
            <w:tcW w:w="2055" w:type="dxa"/>
            <w:tcBorders>
              <w:top w:val="nil"/>
              <w:left w:val="nil"/>
              <w:bottom w:val="nil"/>
              <w:right w:val="nil"/>
            </w:tcBorders>
            <w:shd w:val="clear" w:color="auto" w:fill="auto"/>
            <w:hideMark/>
          </w:tcPr>
          <w:p w14:paraId="19137CE4"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Global footprint of consumption </w:t>
            </w:r>
          </w:p>
        </w:tc>
        <w:tc>
          <w:tcPr>
            <w:tcW w:w="7155" w:type="dxa"/>
            <w:tcBorders>
              <w:top w:val="nil"/>
              <w:left w:val="nil"/>
              <w:bottom w:val="nil"/>
              <w:right w:val="nil"/>
            </w:tcBorders>
            <w:shd w:val="clear" w:color="auto" w:fill="auto"/>
            <w:hideMark/>
          </w:tcPr>
          <w:p w14:paraId="1BAAE8B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The area used to support the global population’s consumption. The consumption Footprint (in GHa) includes the area needed to produce the materials consumed and the area needed to absorb the carbon dioxide emissions. (Adapted from </w:t>
            </w:r>
            <w:hyperlink r:id="rId659" w:anchor=":~:text=The%20most%20commonly%20reported%20type,absorb%20the%20carbon%20dioxide%20emissions." w:tgtFrame="_blank" w:history="1">
              <w:r w:rsidRPr="00ED7E61">
                <w:rPr>
                  <w:rStyle w:val="Hyperlink"/>
                  <w:rFonts w:asciiTheme="majorBidi" w:eastAsiaTheme="majorEastAsia" w:hAnsiTheme="majorBidi" w:cstheme="majorBidi"/>
                  <w:sz w:val="22"/>
                  <w:szCs w:val="22"/>
                </w:rPr>
                <w:t>GFN</w:t>
              </w:r>
            </w:hyperlink>
            <w:r w:rsidRPr="00ED7E61">
              <w:rPr>
                <w:rFonts w:asciiTheme="majorBidi" w:eastAsiaTheme="majorEastAsia" w:hAnsiTheme="majorBidi" w:cstheme="majorBidi"/>
                <w:sz w:val="22"/>
                <w:szCs w:val="22"/>
              </w:rPr>
              <w:t>) </w:t>
            </w:r>
          </w:p>
        </w:tc>
      </w:tr>
      <w:tr w:rsidR="00764225" w:rsidRPr="00ED7E61" w14:paraId="30B14FA1" w14:textId="77777777" w:rsidTr="00764225">
        <w:trPr>
          <w:trHeight w:val="480"/>
        </w:trPr>
        <w:tc>
          <w:tcPr>
            <w:tcW w:w="2055" w:type="dxa"/>
            <w:tcBorders>
              <w:top w:val="nil"/>
              <w:left w:val="nil"/>
              <w:bottom w:val="nil"/>
              <w:right w:val="nil"/>
            </w:tcBorders>
            <w:shd w:val="clear" w:color="auto" w:fill="auto"/>
            <w:hideMark/>
          </w:tcPr>
          <w:p w14:paraId="086D6A6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Global indicator </w:t>
            </w:r>
          </w:p>
        </w:tc>
        <w:tc>
          <w:tcPr>
            <w:tcW w:w="7155" w:type="dxa"/>
            <w:tcBorders>
              <w:top w:val="nil"/>
              <w:left w:val="nil"/>
              <w:bottom w:val="nil"/>
              <w:right w:val="nil"/>
            </w:tcBorders>
            <w:shd w:val="clear" w:color="auto" w:fill="auto"/>
            <w:hideMark/>
          </w:tcPr>
          <w:p w14:paraId="68982AD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Indicator reported at the global level. </w:t>
            </w:r>
          </w:p>
        </w:tc>
      </w:tr>
      <w:tr w:rsidR="00764225" w:rsidRPr="00ED7E61" w14:paraId="59FA486B" w14:textId="77777777" w:rsidTr="00764225">
        <w:trPr>
          <w:trHeight w:val="2025"/>
        </w:trPr>
        <w:tc>
          <w:tcPr>
            <w:tcW w:w="2055" w:type="dxa"/>
            <w:tcBorders>
              <w:top w:val="nil"/>
              <w:left w:val="nil"/>
              <w:bottom w:val="nil"/>
              <w:right w:val="nil"/>
            </w:tcBorders>
            <w:shd w:val="clear" w:color="auto" w:fill="auto"/>
            <w:hideMark/>
          </w:tcPr>
          <w:p w14:paraId="1D48AA2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Green and blue spaces </w:t>
            </w:r>
          </w:p>
        </w:tc>
        <w:tc>
          <w:tcPr>
            <w:tcW w:w="7155" w:type="dxa"/>
            <w:tcBorders>
              <w:top w:val="nil"/>
              <w:left w:val="nil"/>
              <w:bottom w:val="nil"/>
              <w:right w:val="nil"/>
            </w:tcBorders>
            <w:shd w:val="clear" w:color="auto" w:fill="auto"/>
            <w:hideMark/>
          </w:tcPr>
          <w:p w14:paraId="07B5869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Areas of vegetation, inland and coastal waters, generally in or near to urban areas including green roofs and walls, and other green infrastructure. These can have a range of positive effects on human physical and mental well-being and provide opportunities to reconnect with nature. Green and blue spaces also provide important habitats for species, improve habitat connectivity, provide ecosystem services and help mediate extreme events, if managed with such objectives in mind. (</w:t>
            </w:r>
            <w:r w:rsidRPr="00ED7E61">
              <w:rPr>
                <w:rFonts w:asciiTheme="majorBidi" w:eastAsiaTheme="majorEastAsia" w:hAnsiTheme="majorBidi" w:cstheme="majorBidi"/>
                <w:sz w:val="22"/>
                <w:szCs w:val="22"/>
                <w:lang w:val="en-GB"/>
              </w:rPr>
              <w:t>CBD/WG2020/5/4)</w:t>
            </w:r>
            <w:r w:rsidRPr="00ED7E61">
              <w:rPr>
                <w:rFonts w:asciiTheme="majorBidi" w:eastAsiaTheme="majorEastAsia" w:hAnsiTheme="majorBidi" w:cstheme="majorBidi"/>
                <w:sz w:val="22"/>
                <w:szCs w:val="22"/>
              </w:rPr>
              <w:t> </w:t>
            </w:r>
          </w:p>
        </w:tc>
      </w:tr>
      <w:tr w:rsidR="00764225" w:rsidRPr="00ED7E61" w14:paraId="1B3F21C7" w14:textId="77777777" w:rsidTr="00764225">
        <w:trPr>
          <w:trHeight w:val="645"/>
        </w:trPr>
        <w:tc>
          <w:tcPr>
            <w:tcW w:w="2055" w:type="dxa"/>
            <w:tcBorders>
              <w:top w:val="nil"/>
              <w:left w:val="nil"/>
              <w:bottom w:val="nil"/>
              <w:right w:val="nil"/>
            </w:tcBorders>
            <w:shd w:val="clear" w:color="auto" w:fill="auto"/>
            <w:hideMark/>
          </w:tcPr>
          <w:p w14:paraId="71B915B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Habitat </w:t>
            </w:r>
          </w:p>
        </w:tc>
        <w:tc>
          <w:tcPr>
            <w:tcW w:w="7155" w:type="dxa"/>
            <w:tcBorders>
              <w:top w:val="nil"/>
              <w:left w:val="nil"/>
              <w:bottom w:val="nil"/>
              <w:right w:val="nil"/>
            </w:tcBorders>
            <w:shd w:val="clear" w:color="auto" w:fill="auto"/>
            <w:hideMark/>
          </w:tcPr>
          <w:p w14:paraId="648346C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place or type of site where an organism or population naturally occurs. (Convention, Article 2) </w:t>
            </w:r>
          </w:p>
        </w:tc>
      </w:tr>
      <w:tr w:rsidR="00764225" w:rsidRPr="00ED7E61" w14:paraId="1D4142F3" w14:textId="77777777" w:rsidTr="00764225">
        <w:trPr>
          <w:trHeight w:val="975"/>
        </w:trPr>
        <w:tc>
          <w:tcPr>
            <w:tcW w:w="2055" w:type="dxa"/>
            <w:tcBorders>
              <w:top w:val="nil"/>
              <w:left w:val="nil"/>
              <w:bottom w:val="nil"/>
              <w:right w:val="nil"/>
            </w:tcBorders>
            <w:shd w:val="clear" w:color="auto" w:fill="auto"/>
            <w:hideMark/>
          </w:tcPr>
          <w:p w14:paraId="5FFF8ED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Harmful or perverse incentives to biodiversity </w:t>
            </w:r>
          </w:p>
        </w:tc>
        <w:tc>
          <w:tcPr>
            <w:tcW w:w="7155" w:type="dxa"/>
            <w:tcBorders>
              <w:top w:val="nil"/>
              <w:left w:val="nil"/>
              <w:bottom w:val="nil"/>
              <w:right w:val="nil"/>
            </w:tcBorders>
            <w:shd w:val="clear" w:color="auto" w:fill="auto"/>
            <w:hideMark/>
          </w:tcPr>
          <w:p w14:paraId="6A175C6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Economic, legal and institutional incentives that emanate from policies or practices that induce unsustainable behaviour that destroys biodiversity, often as unanticipated side-effects of policies designed to attain other objectives </w:t>
            </w:r>
          </w:p>
        </w:tc>
      </w:tr>
      <w:tr w:rsidR="00764225" w:rsidRPr="00ED7E61" w14:paraId="5026C552" w14:textId="77777777" w:rsidTr="00764225">
        <w:trPr>
          <w:trHeight w:val="1539"/>
        </w:trPr>
        <w:tc>
          <w:tcPr>
            <w:tcW w:w="2055" w:type="dxa"/>
            <w:tcBorders>
              <w:top w:val="nil"/>
              <w:left w:val="nil"/>
              <w:bottom w:val="nil"/>
              <w:right w:val="nil"/>
            </w:tcBorders>
            <w:shd w:val="clear" w:color="auto" w:fill="auto"/>
            <w:hideMark/>
          </w:tcPr>
          <w:p w14:paraId="6BB2221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Headline indicator </w:t>
            </w:r>
          </w:p>
        </w:tc>
        <w:tc>
          <w:tcPr>
            <w:tcW w:w="7155" w:type="dxa"/>
            <w:tcBorders>
              <w:top w:val="nil"/>
              <w:left w:val="nil"/>
              <w:bottom w:val="nil"/>
              <w:right w:val="nil"/>
            </w:tcBorders>
            <w:shd w:val="clear" w:color="auto" w:fill="auto"/>
            <w:hideMark/>
          </w:tcPr>
          <w:p w14:paraId="2BD2C6F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minimum set of high-level indicators, which capture the overall scope of the goals and targets of the Kunming-Montreal Global Biodiversity Framework to be used for planning and tracking progress as set out in decision 15/6. They are nationally, regionally and globally relevant indicators validated by Parties. These indicators can also be used for communication purposes. (CBD/COP/DEC/15/5) </w:t>
            </w:r>
          </w:p>
        </w:tc>
      </w:tr>
      <w:tr w:rsidR="00764225" w:rsidRPr="00ED7E61" w14:paraId="07FBBFD9" w14:textId="77777777" w:rsidTr="00764225">
        <w:trPr>
          <w:trHeight w:val="1695"/>
        </w:trPr>
        <w:tc>
          <w:tcPr>
            <w:tcW w:w="2055" w:type="dxa"/>
            <w:tcBorders>
              <w:top w:val="nil"/>
              <w:left w:val="nil"/>
              <w:bottom w:val="nil"/>
              <w:right w:val="nil"/>
            </w:tcBorders>
            <w:shd w:val="clear" w:color="auto" w:fill="auto"/>
            <w:hideMark/>
          </w:tcPr>
          <w:p w14:paraId="7A6CB65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Healthy and resilient levels </w:t>
            </w:r>
          </w:p>
        </w:tc>
        <w:tc>
          <w:tcPr>
            <w:tcW w:w="7155" w:type="dxa"/>
            <w:tcBorders>
              <w:top w:val="nil"/>
              <w:left w:val="nil"/>
              <w:bottom w:val="nil"/>
              <w:right w:val="nil"/>
            </w:tcBorders>
            <w:shd w:val="clear" w:color="auto" w:fill="auto"/>
            <w:hideMark/>
          </w:tcPr>
          <w:p w14:paraId="379C7330" w14:textId="5CC09D40"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Levels of population abundance that are not substantially depleted in comparison with historical levels and not diminished to a level that reduces their contribution to ecosystem structure and function, or at which species face the threat of extinction. </w:t>
            </w:r>
            <w:r w:rsidR="00D20B01">
              <w:rPr>
                <w:rFonts w:asciiTheme="majorBidi" w:eastAsiaTheme="majorEastAsia" w:hAnsiTheme="majorBidi" w:cstheme="majorBidi"/>
                <w:sz w:val="22"/>
                <w:szCs w:val="22"/>
              </w:rPr>
              <w:t>“</w:t>
            </w:r>
            <w:r w:rsidRPr="00FB1598">
              <w:rPr>
                <w:rFonts w:asciiTheme="majorBidi" w:eastAsiaTheme="majorEastAsia" w:hAnsiTheme="majorBidi" w:cstheme="majorBidi"/>
                <w:i/>
                <w:iCs/>
                <w:sz w:val="22"/>
                <w:szCs w:val="22"/>
              </w:rPr>
              <w:t>Resilient levels</w:t>
            </w:r>
            <w:r w:rsidR="00D20B01">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xml:space="preserve"> imply that species’ populations are healthy throughout their native range and that no populations have been extirpated. (McGowan et al. 2024) </w:t>
            </w:r>
          </w:p>
        </w:tc>
      </w:tr>
      <w:tr w:rsidR="00764225" w:rsidRPr="00ED7E61" w14:paraId="338FBD1B" w14:textId="77777777" w:rsidTr="00764225">
        <w:trPr>
          <w:trHeight w:val="2010"/>
        </w:trPr>
        <w:tc>
          <w:tcPr>
            <w:tcW w:w="2055" w:type="dxa"/>
            <w:tcBorders>
              <w:top w:val="nil"/>
              <w:left w:val="nil"/>
              <w:bottom w:val="nil"/>
              <w:right w:val="nil"/>
            </w:tcBorders>
            <w:shd w:val="clear" w:color="auto" w:fill="auto"/>
            <w:hideMark/>
          </w:tcPr>
          <w:p w14:paraId="5FFB9F4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Human-induced extinction </w:t>
            </w:r>
          </w:p>
        </w:tc>
        <w:tc>
          <w:tcPr>
            <w:tcW w:w="7155" w:type="dxa"/>
            <w:tcBorders>
              <w:top w:val="nil"/>
              <w:left w:val="nil"/>
              <w:bottom w:val="nil"/>
              <w:right w:val="nil"/>
            </w:tcBorders>
            <w:shd w:val="clear" w:color="auto" w:fill="auto"/>
            <w:hideMark/>
          </w:tcPr>
          <w:p w14:paraId="531A5084" w14:textId="28AB99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Extinctions driven by human activities, rather than </w:t>
            </w:r>
            <w:r w:rsidR="00D20B01">
              <w:rPr>
                <w:rFonts w:asciiTheme="majorBidi" w:eastAsiaTheme="majorEastAsia" w:hAnsiTheme="majorBidi" w:cstheme="majorBidi"/>
                <w:sz w:val="22"/>
                <w:szCs w:val="22"/>
              </w:rPr>
              <w:t>“</w:t>
            </w:r>
            <w:r w:rsidRPr="00FB1598">
              <w:rPr>
                <w:rFonts w:asciiTheme="majorBidi" w:eastAsiaTheme="majorEastAsia" w:hAnsiTheme="majorBidi" w:cstheme="majorBidi"/>
                <w:i/>
                <w:iCs/>
                <w:sz w:val="22"/>
                <w:szCs w:val="22"/>
              </w:rPr>
              <w:t>natural</w:t>
            </w:r>
            <w:r w:rsidR="00D20B01">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xml:space="preserve"> extinctions such as those caused by, for example, volcanic eruptions, which would be extremely difficult to avoid. Human-driven extinctions include those resulting from natural phenomena, such as hurricanes, floods and fires, that are occurring at far higher intensity and frequency because of human-driven climate change (recognising that in practice it may be difficult to confirm that climate change has led to particular extinctions). (McGowan et al. 2024) </w:t>
            </w:r>
          </w:p>
        </w:tc>
      </w:tr>
      <w:tr w:rsidR="00764225" w:rsidRPr="00ED7E61" w14:paraId="1B369B2F" w14:textId="77777777" w:rsidTr="00764225">
        <w:trPr>
          <w:trHeight w:val="1515"/>
        </w:trPr>
        <w:tc>
          <w:tcPr>
            <w:tcW w:w="2055" w:type="dxa"/>
            <w:tcBorders>
              <w:top w:val="nil"/>
              <w:left w:val="nil"/>
              <w:bottom w:val="nil"/>
              <w:right w:val="nil"/>
            </w:tcBorders>
            <w:shd w:val="clear" w:color="auto" w:fill="auto"/>
            <w:hideMark/>
          </w:tcPr>
          <w:p w14:paraId="2C5696E4"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Human rights defenders </w:t>
            </w:r>
          </w:p>
        </w:tc>
        <w:tc>
          <w:tcPr>
            <w:tcW w:w="7155" w:type="dxa"/>
            <w:tcBorders>
              <w:top w:val="nil"/>
              <w:left w:val="nil"/>
              <w:bottom w:val="nil"/>
              <w:right w:val="nil"/>
            </w:tcBorders>
            <w:shd w:val="clear" w:color="auto" w:fill="auto"/>
            <w:hideMark/>
          </w:tcPr>
          <w:p w14:paraId="10E779C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Everyone exercising their right, individually and in association with others, to promote and to strive for the protection and realization of human rights and fundamental freedoms at national and international levels, including trade unionists and some journalists. (UN Declaration on Human Rights Defenders, A/Res/53/144) </w:t>
            </w:r>
          </w:p>
        </w:tc>
      </w:tr>
      <w:tr w:rsidR="00764225" w:rsidRPr="00ED7E61" w14:paraId="3104AC65" w14:textId="77777777" w:rsidTr="00764225">
        <w:trPr>
          <w:trHeight w:val="1312"/>
        </w:trPr>
        <w:tc>
          <w:tcPr>
            <w:tcW w:w="2055" w:type="dxa"/>
            <w:tcBorders>
              <w:top w:val="nil"/>
              <w:left w:val="nil"/>
              <w:bottom w:val="nil"/>
              <w:right w:val="nil"/>
            </w:tcBorders>
            <w:shd w:val="clear" w:color="auto" w:fill="auto"/>
            <w:hideMark/>
          </w:tcPr>
          <w:p w14:paraId="18EC2B2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Human-wildlife conflict </w:t>
            </w:r>
          </w:p>
        </w:tc>
        <w:tc>
          <w:tcPr>
            <w:tcW w:w="7155" w:type="dxa"/>
            <w:tcBorders>
              <w:top w:val="nil"/>
              <w:left w:val="nil"/>
              <w:bottom w:val="nil"/>
              <w:right w:val="nil"/>
            </w:tcBorders>
            <w:shd w:val="clear" w:color="auto" w:fill="auto"/>
            <w:hideMark/>
          </w:tcPr>
          <w:p w14:paraId="374018D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Struggles that emerge when the presence or behaviour of wildlife poses an actual or perceived, direct and recurring threat to human interests or needs, leading to disagreements between groups of people and negative impacts on people and/or wildlife. (</w:t>
            </w:r>
            <w:hyperlink r:id="rId660" w:tgtFrame="_blank" w:history="1">
              <w:r w:rsidRPr="00ED7E61">
                <w:rPr>
                  <w:rStyle w:val="Hyperlink"/>
                  <w:rFonts w:asciiTheme="majorBidi" w:eastAsiaTheme="majorEastAsia" w:hAnsiTheme="majorBidi" w:cstheme="majorBidi"/>
                  <w:sz w:val="22"/>
                  <w:szCs w:val="22"/>
                </w:rPr>
                <w:t>IUCN</w:t>
              </w:r>
            </w:hyperlink>
            <w:r w:rsidRPr="00ED7E61">
              <w:rPr>
                <w:rFonts w:asciiTheme="majorBidi" w:eastAsiaTheme="majorEastAsia" w:hAnsiTheme="majorBidi" w:cstheme="majorBidi"/>
                <w:sz w:val="22"/>
                <w:szCs w:val="22"/>
              </w:rPr>
              <w:t>, 2022) </w:t>
            </w:r>
          </w:p>
        </w:tc>
      </w:tr>
      <w:tr w:rsidR="00764225" w:rsidRPr="00ED7E61" w14:paraId="02774897" w14:textId="77777777" w:rsidTr="00764225">
        <w:trPr>
          <w:trHeight w:val="1695"/>
        </w:trPr>
        <w:tc>
          <w:tcPr>
            <w:tcW w:w="2055" w:type="dxa"/>
            <w:tcBorders>
              <w:top w:val="nil"/>
              <w:left w:val="nil"/>
              <w:bottom w:val="nil"/>
              <w:right w:val="nil"/>
            </w:tcBorders>
            <w:shd w:val="clear" w:color="auto" w:fill="auto"/>
            <w:hideMark/>
          </w:tcPr>
          <w:p w14:paraId="1B56677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Impacts from invasive alien species </w:t>
            </w:r>
          </w:p>
        </w:tc>
        <w:tc>
          <w:tcPr>
            <w:tcW w:w="7155" w:type="dxa"/>
            <w:tcBorders>
              <w:top w:val="nil"/>
              <w:left w:val="nil"/>
              <w:bottom w:val="nil"/>
              <w:right w:val="nil"/>
            </w:tcBorders>
            <w:shd w:val="clear" w:color="auto" w:fill="auto"/>
            <w:hideMark/>
          </w:tcPr>
          <w:p w14:paraId="5CCB689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Impacts are changes to nature, nature’s contributions to people and/or good quality of life. Impacts can be observed or unobserved. Generally, negative impacts become more apparent and problematic when invasive alien species are well established, widespread and present for a long time. Along with their adverse effects, some invasive alien species may have positive impacts providing benefits to some people. (</w:t>
            </w:r>
            <w:hyperlink r:id="rId661"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2023) </w:t>
            </w:r>
          </w:p>
        </w:tc>
      </w:tr>
      <w:tr w:rsidR="00764225" w:rsidRPr="00ED7E61" w14:paraId="2649EB3F" w14:textId="77777777" w:rsidTr="00764225">
        <w:trPr>
          <w:trHeight w:val="2025"/>
        </w:trPr>
        <w:tc>
          <w:tcPr>
            <w:tcW w:w="2055" w:type="dxa"/>
            <w:tcBorders>
              <w:top w:val="nil"/>
              <w:left w:val="nil"/>
              <w:bottom w:val="nil"/>
              <w:right w:val="nil"/>
            </w:tcBorders>
            <w:shd w:val="clear" w:color="auto" w:fill="auto"/>
            <w:hideMark/>
          </w:tcPr>
          <w:p w14:paraId="3528680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Impact of climate change </w:t>
            </w:r>
          </w:p>
        </w:tc>
        <w:tc>
          <w:tcPr>
            <w:tcW w:w="7155" w:type="dxa"/>
            <w:tcBorders>
              <w:top w:val="nil"/>
              <w:left w:val="nil"/>
              <w:bottom w:val="nil"/>
              <w:right w:val="nil"/>
            </w:tcBorders>
            <w:shd w:val="clear" w:color="auto" w:fill="auto"/>
            <w:hideMark/>
          </w:tcPr>
          <w:p w14:paraId="6A2B9D9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consequences of realized risks on natural and human systems, where risks result from the interactions of climate-related hazards (including extreme weather/climate events), exposure, and vulnerability. Impacts generally refer to effects on lives, livelihoods, health and well-being, ecosystems and species, economic, social and cultural assets, services (including ecosystem services), and infrastructure. Impacts may be referred to as consequences or outcomes and can be adverse or beneficial. (</w:t>
            </w:r>
            <w:hyperlink r:id="rId662" w:tgtFrame="_blank" w:history="1">
              <w:r w:rsidRPr="00ED7E61">
                <w:rPr>
                  <w:rStyle w:val="Hyperlink"/>
                  <w:rFonts w:asciiTheme="majorBidi" w:eastAsiaTheme="majorEastAsia" w:hAnsiTheme="majorBidi" w:cstheme="majorBidi"/>
                  <w:sz w:val="22"/>
                  <w:szCs w:val="22"/>
                </w:rPr>
                <w:t>IPCC</w:t>
              </w:r>
            </w:hyperlink>
            <w:r w:rsidRPr="00ED7E61">
              <w:rPr>
                <w:rFonts w:asciiTheme="majorBidi" w:eastAsiaTheme="majorEastAsia" w:hAnsiTheme="majorBidi" w:cstheme="majorBidi"/>
                <w:sz w:val="22"/>
                <w:szCs w:val="22"/>
              </w:rPr>
              <w:t>) </w:t>
            </w:r>
          </w:p>
        </w:tc>
      </w:tr>
      <w:tr w:rsidR="00764225" w:rsidRPr="00ED7E61" w14:paraId="362ED660" w14:textId="77777777" w:rsidTr="00764225">
        <w:trPr>
          <w:trHeight w:val="840"/>
        </w:trPr>
        <w:tc>
          <w:tcPr>
            <w:tcW w:w="2055" w:type="dxa"/>
            <w:tcBorders>
              <w:top w:val="nil"/>
              <w:left w:val="nil"/>
              <w:bottom w:val="nil"/>
              <w:right w:val="nil"/>
            </w:tcBorders>
            <w:shd w:val="clear" w:color="auto" w:fill="auto"/>
            <w:hideMark/>
          </w:tcPr>
          <w:p w14:paraId="7CD2A29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 situ conservation </w:t>
            </w:r>
          </w:p>
        </w:tc>
        <w:tc>
          <w:tcPr>
            <w:tcW w:w="7155" w:type="dxa"/>
            <w:tcBorders>
              <w:top w:val="nil"/>
              <w:left w:val="nil"/>
              <w:bottom w:val="nil"/>
              <w:right w:val="nil"/>
            </w:tcBorders>
            <w:shd w:val="clear" w:color="auto" w:fill="auto"/>
            <w:hideMark/>
          </w:tcPr>
          <w:p w14:paraId="37B50287" w14:textId="5A2B3349"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Conservation actions implemented in the wild (usually within the distribution of the target species). (McGowan et al. 2024) </w:t>
            </w:r>
          </w:p>
        </w:tc>
      </w:tr>
      <w:tr w:rsidR="00764225" w:rsidRPr="00ED7E61" w14:paraId="5CCD2A4A" w14:textId="77777777" w:rsidTr="00764225">
        <w:trPr>
          <w:trHeight w:val="1020"/>
        </w:trPr>
        <w:tc>
          <w:tcPr>
            <w:tcW w:w="2055" w:type="dxa"/>
            <w:tcBorders>
              <w:top w:val="nil"/>
              <w:left w:val="nil"/>
              <w:bottom w:val="nil"/>
              <w:right w:val="nil"/>
            </w:tcBorders>
            <w:shd w:val="clear" w:color="auto" w:fill="auto"/>
            <w:hideMark/>
          </w:tcPr>
          <w:p w14:paraId="3DE2F8D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Incentives </w:t>
            </w:r>
          </w:p>
        </w:tc>
        <w:tc>
          <w:tcPr>
            <w:tcW w:w="7155" w:type="dxa"/>
            <w:tcBorders>
              <w:top w:val="nil"/>
              <w:left w:val="nil"/>
              <w:bottom w:val="nil"/>
              <w:right w:val="nil"/>
            </w:tcBorders>
            <w:shd w:val="clear" w:color="auto" w:fill="auto"/>
            <w:hideMark/>
          </w:tcPr>
          <w:p w14:paraId="4771336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opportunities and constraints that influence the behaviour of individuals and organisations in a society, deriving from a wide range of societal factors, including, but not limited to, from measures taken by governments. </w:t>
            </w:r>
          </w:p>
        </w:tc>
      </w:tr>
      <w:tr w:rsidR="00764225" w:rsidRPr="00ED7E61" w14:paraId="2601EBC3" w14:textId="77777777" w:rsidTr="00764225">
        <w:trPr>
          <w:trHeight w:val="1084"/>
        </w:trPr>
        <w:tc>
          <w:tcPr>
            <w:tcW w:w="2055" w:type="dxa"/>
            <w:tcBorders>
              <w:top w:val="nil"/>
              <w:left w:val="nil"/>
              <w:bottom w:val="nil"/>
              <w:right w:val="nil"/>
            </w:tcBorders>
            <w:shd w:val="clear" w:color="auto" w:fill="auto"/>
            <w:hideMark/>
          </w:tcPr>
          <w:p w14:paraId="45DC441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Inclusive </w:t>
            </w:r>
          </w:p>
        </w:tc>
        <w:tc>
          <w:tcPr>
            <w:tcW w:w="7155" w:type="dxa"/>
            <w:tcBorders>
              <w:top w:val="nil"/>
              <w:left w:val="nil"/>
              <w:bottom w:val="nil"/>
              <w:right w:val="nil"/>
            </w:tcBorders>
            <w:shd w:val="clear" w:color="auto" w:fill="auto"/>
            <w:hideMark/>
          </w:tcPr>
          <w:p w14:paraId="2E2D96E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Inclusion is defined as the process of improving the terms of participation, particularly for people who are disadvantaged, through enhancing opportunities, access to resources, voice and respect for rights. (</w:t>
            </w:r>
            <w:hyperlink r:id="rId663" w:tgtFrame="_blank" w:history="1">
              <w:r w:rsidRPr="00ED7E61">
                <w:rPr>
                  <w:rStyle w:val="Hyperlink"/>
                  <w:rFonts w:asciiTheme="majorBidi" w:eastAsiaTheme="majorEastAsia" w:hAnsiTheme="majorBidi" w:cstheme="majorBidi"/>
                  <w:sz w:val="22"/>
                  <w:szCs w:val="22"/>
                </w:rPr>
                <w:t>UN DESA</w:t>
              </w:r>
            </w:hyperlink>
            <w:r w:rsidRPr="00ED7E61">
              <w:rPr>
                <w:rFonts w:asciiTheme="majorBidi" w:eastAsiaTheme="majorEastAsia" w:hAnsiTheme="majorBidi" w:cstheme="majorBidi"/>
                <w:sz w:val="22"/>
                <w:szCs w:val="22"/>
              </w:rPr>
              <w:t>, 2016) </w:t>
            </w:r>
          </w:p>
        </w:tc>
      </w:tr>
      <w:tr w:rsidR="00764225" w:rsidRPr="00ED7E61" w14:paraId="4EE16891" w14:textId="77777777" w:rsidTr="00764225">
        <w:trPr>
          <w:trHeight w:val="1000"/>
        </w:trPr>
        <w:tc>
          <w:tcPr>
            <w:tcW w:w="2055" w:type="dxa"/>
            <w:tcBorders>
              <w:top w:val="nil"/>
              <w:left w:val="nil"/>
              <w:bottom w:val="nil"/>
              <w:right w:val="nil"/>
            </w:tcBorders>
            <w:shd w:val="clear" w:color="auto" w:fill="auto"/>
            <w:hideMark/>
          </w:tcPr>
          <w:p w14:paraId="32BE704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Independently verified forest management certification </w:t>
            </w:r>
          </w:p>
        </w:tc>
        <w:tc>
          <w:tcPr>
            <w:tcW w:w="7155" w:type="dxa"/>
            <w:tcBorders>
              <w:top w:val="nil"/>
              <w:left w:val="nil"/>
              <w:bottom w:val="nil"/>
              <w:right w:val="nil"/>
            </w:tcBorders>
            <w:shd w:val="clear" w:color="auto" w:fill="auto"/>
            <w:hideMark/>
          </w:tcPr>
          <w:p w14:paraId="4EE5545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Forest area certified under a forest management certification scheme with published standards and is independently verified by a third-party. (FAO, 2004-2021) </w:t>
            </w:r>
          </w:p>
        </w:tc>
      </w:tr>
      <w:tr w:rsidR="00764225" w:rsidRPr="00ED7E61" w14:paraId="45D403DE" w14:textId="77777777" w:rsidTr="00764225">
        <w:trPr>
          <w:trHeight w:val="1020"/>
        </w:trPr>
        <w:tc>
          <w:tcPr>
            <w:tcW w:w="2055" w:type="dxa"/>
            <w:tcBorders>
              <w:top w:val="nil"/>
              <w:left w:val="nil"/>
              <w:bottom w:val="nil"/>
              <w:right w:val="nil"/>
            </w:tcBorders>
            <w:shd w:val="clear" w:color="auto" w:fill="auto"/>
            <w:hideMark/>
          </w:tcPr>
          <w:p w14:paraId="3875702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Indigenous and traditional technologies </w:t>
            </w:r>
          </w:p>
        </w:tc>
        <w:tc>
          <w:tcPr>
            <w:tcW w:w="7155" w:type="dxa"/>
            <w:tcBorders>
              <w:top w:val="nil"/>
              <w:left w:val="nil"/>
              <w:bottom w:val="nil"/>
              <w:right w:val="nil"/>
            </w:tcBorders>
            <w:shd w:val="clear" w:color="auto" w:fill="auto"/>
            <w:hideMark/>
          </w:tcPr>
          <w:p w14:paraId="0C5C23B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lang w:val="en-GB"/>
              </w:rPr>
              <w:t>Technologies employed by the native inhabitants of a country, and which constitute an important part of its cultural heritage and should therefore be protected against exploitation by industrialized countries. (</w:t>
            </w:r>
            <w:hyperlink r:id="rId664" w:tgtFrame="_blank" w:history="1">
              <w:r w:rsidRPr="00ED7E61">
                <w:rPr>
                  <w:rStyle w:val="Hyperlink"/>
                  <w:rFonts w:asciiTheme="majorBidi" w:eastAsiaTheme="majorEastAsia" w:hAnsiTheme="majorBidi" w:cstheme="majorBidi"/>
                  <w:sz w:val="22"/>
                  <w:szCs w:val="22"/>
                  <w:lang w:val="en-GB"/>
                </w:rPr>
                <w:t>EEA</w:t>
              </w:r>
            </w:hyperlink>
            <w:r w:rsidRPr="00ED7E61">
              <w:rPr>
                <w:rFonts w:asciiTheme="majorBidi" w:eastAsiaTheme="majorEastAsia" w:hAnsiTheme="majorBidi" w:cstheme="majorBidi"/>
                <w:sz w:val="22"/>
                <w:szCs w:val="22"/>
                <w:lang w:val="en-GB"/>
              </w:rPr>
              <w:t>)</w:t>
            </w:r>
            <w:r w:rsidRPr="00ED7E61">
              <w:rPr>
                <w:rFonts w:asciiTheme="majorBidi" w:eastAsiaTheme="majorEastAsia" w:hAnsiTheme="majorBidi" w:cstheme="majorBidi"/>
                <w:sz w:val="22"/>
                <w:szCs w:val="22"/>
              </w:rPr>
              <w:t> </w:t>
            </w:r>
          </w:p>
        </w:tc>
      </w:tr>
      <w:tr w:rsidR="00764225" w:rsidRPr="00ED7E61" w14:paraId="505404C5" w14:textId="77777777" w:rsidTr="00764225">
        <w:trPr>
          <w:trHeight w:val="5715"/>
        </w:trPr>
        <w:tc>
          <w:tcPr>
            <w:tcW w:w="2055" w:type="dxa"/>
            <w:tcBorders>
              <w:top w:val="nil"/>
              <w:left w:val="nil"/>
              <w:bottom w:val="nil"/>
              <w:right w:val="nil"/>
            </w:tcBorders>
            <w:shd w:val="clear" w:color="auto" w:fill="auto"/>
            <w:hideMark/>
          </w:tcPr>
          <w:p w14:paraId="71A53F4D" w14:textId="465B552E"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Indigenous peoples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 xml:space="preserve">and local communities </w:t>
            </w:r>
          </w:p>
        </w:tc>
        <w:tc>
          <w:tcPr>
            <w:tcW w:w="7155" w:type="dxa"/>
            <w:tcBorders>
              <w:top w:val="nil"/>
              <w:left w:val="nil"/>
              <w:bottom w:val="nil"/>
              <w:right w:val="nil"/>
            </w:tcBorders>
            <w:shd w:val="clear" w:color="auto" w:fill="auto"/>
            <w:hideMark/>
          </w:tcPr>
          <w:p w14:paraId="6B7A5D23" w14:textId="7643728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Convention on Biological Diversity does not define the terms indigenous and local communities or Indigenous Peoples and Local Communities. The United Nations Declaration on the Rights of Indigenous Peoples does not adopt or recommend a universal definition for Indigenous Peoples (Decision CBD/COP/DEC/14/13). Indigenous people are also known as first peoples, aboriginal peoples, native peoples, or autochthonous peoples, are ethnic groups who are descended from and identify with the original inhabitants of a given region, in contrast to groups that have settled, occupied or colonized the area more recently. The distinctive groups, usually maintaining traditions or other aspects of an early culture that is associated with a given region, are protected in international or national legislation as having a set of specific rights based on their linguistic and historical ties to a particular territory, prior to later settlement, development, and or occupation of a region. Local community is a self-identified human group that relates to a life environment in collective ways that participate to define a shared territory and culture. The members of a local community have frequent chances of direct (possibly face-to-face) encounters and possess some common history, traditions, institutions, language, values and life plans. A local community can be long-standing (</w:t>
            </w:r>
            <w:r w:rsidR="00D20B01">
              <w:rPr>
                <w:rFonts w:asciiTheme="majorBidi" w:eastAsiaTheme="majorEastAsia" w:hAnsiTheme="majorBidi" w:cstheme="majorBidi"/>
                <w:sz w:val="22"/>
                <w:szCs w:val="22"/>
              </w:rPr>
              <w:t>“</w:t>
            </w:r>
            <w:r w:rsidRPr="00FB1598">
              <w:rPr>
                <w:rFonts w:asciiTheme="majorBidi" w:eastAsiaTheme="majorEastAsia" w:hAnsiTheme="majorBidi" w:cstheme="majorBidi"/>
                <w:i/>
                <w:iCs/>
                <w:sz w:val="22"/>
                <w:szCs w:val="22"/>
                <w:u w:val="single"/>
              </w:rPr>
              <w:t>traditional</w:t>
            </w:r>
            <w:r w:rsidR="00D20B01">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xml:space="preserve">) or relatively new, include a single or multiple ethnic identities and be permanently settled or mobile. A local community should have a form of political identity that enables it to exercise its rights and responsibilities with respect to its territory and neighbors. (Adapted from </w:t>
            </w:r>
            <w:hyperlink r:id="rId665"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2019) </w:t>
            </w:r>
          </w:p>
        </w:tc>
      </w:tr>
      <w:tr w:rsidR="00764225" w:rsidRPr="00ED7E61" w14:paraId="7C733C90" w14:textId="77777777" w:rsidTr="00764225">
        <w:trPr>
          <w:trHeight w:val="1260"/>
        </w:trPr>
        <w:tc>
          <w:tcPr>
            <w:tcW w:w="2055" w:type="dxa"/>
            <w:tcBorders>
              <w:top w:val="nil"/>
              <w:left w:val="nil"/>
              <w:bottom w:val="nil"/>
              <w:right w:val="nil"/>
            </w:tcBorders>
            <w:shd w:val="clear" w:color="auto" w:fill="auto"/>
            <w:hideMark/>
          </w:tcPr>
          <w:p w14:paraId="4247D98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Inland waters </w:t>
            </w:r>
          </w:p>
        </w:tc>
        <w:tc>
          <w:tcPr>
            <w:tcW w:w="7155" w:type="dxa"/>
            <w:tcBorders>
              <w:top w:val="nil"/>
              <w:left w:val="nil"/>
              <w:bottom w:val="nil"/>
              <w:right w:val="nil"/>
            </w:tcBorders>
            <w:shd w:val="clear" w:color="auto" w:fill="auto"/>
            <w:hideMark/>
          </w:tcPr>
          <w:p w14:paraId="5971C3D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All landlocked and/or freshwater bodies, including rivers, lakes, inland seas and groundwater, this includes IUCN Global Ecosystem Typologies: rivers and streams (F1), lakes (F2), palustrine wetlands biome (TF1), artificial freshwaters (F3) </w:t>
            </w:r>
          </w:p>
        </w:tc>
      </w:tr>
      <w:tr w:rsidR="00764225" w:rsidRPr="00ED7E61" w14:paraId="42923A6E" w14:textId="77777777" w:rsidTr="00764225">
        <w:trPr>
          <w:trHeight w:val="1425"/>
        </w:trPr>
        <w:tc>
          <w:tcPr>
            <w:tcW w:w="2055" w:type="dxa"/>
            <w:tcBorders>
              <w:top w:val="nil"/>
              <w:left w:val="nil"/>
              <w:bottom w:val="nil"/>
              <w:right w:val="nil"/>
            </w:tcBorders>
            <w:shd w:val="clear" w:color="auto" w:fill="auto"/>
            <w:hideMark/>
          </w:tcPr>
          <w:p w14:paraId="6BE74D4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Innovation </w:t>
            </w:r>
          </w:p>
        </w:tc>
        <w:tc>
          <w:tcPr>
            <w:tcW w:w="7155" w:type="dxa"/>
            <w:tcBorders>
              <w:top w:val="nil"/>
              <w:left w:val="nil"/>
              <w:bottom w:val="nil"/>
              <w:right w:val="nil"/>
            </w:tcBorders>
            <w:shd w:val="clear" w:color="auto" w:fill="auto"/>
            <w:hideMark/>
          </w:tcPr>
          <w:p w14:paraId="238BBB0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implementation of a new or significantly improved product (good or service), process, a new marketing method, or a new organisational method in business practices, workplace organisation or external relations. Innovation is an application of invention so that it improves conservation, sustainable use or monitoring of biodiversity. (</w:t>
            </w:r>
            <w:hyperlink r:id="rId666" w:tgtFrame="_blank" w:history="1">
              <w:r w:rsidRPr="00ED7E61">
                <w:rPr>
                  <w:rStyle w:val="Hyperlink"/>
                  <w:rFonts w:asciiTheme="majorBidi" w:eastAsiaTheme="majorEastAsia" w:hAnsiTheme="majorBidi" w:cstheme="majorBidi"/>
                  <w:sz w:val="22"/>
                  <w:szCs w:val="22"/>
                </w:rPr>
                <w:t>UN HCR</w:t>
              </w:r>
            </w:hyperlink>
            <w:r w:rsidRPr="00ED7E61">
              <w:rPr>
                <w:rFonts w:asciiTheme="majorBidi" w:eastAsiaTheme="majorEastAsia" w:hAnsiTheme="majorBidi" w:cstheme="majorBidi"/>
                <w:sz w:val="22"/>
                <w:szCs w:val="22"/>
              </w:rPr>
              <w:t>, 2017) </w:t>
            </w:r>
          </w:p>
        </w:tc>
      </w:tr>
      <w:tr w:rsidR="00764225" w:rsidRPr="00ED7E61" w14:paraId="2D0E1345" w14:textId="77777777" w:rsidTr="00764225">
        <w:trPr>
          <w:trHeight w:val="690"/>
        </w:trPr>
        <w:tc>
          <w:tcPr>
            <w:tcW w:w="2055" w:type="dxa"/>
            <w:tcBorders>
              <w:top w:val="nil"/>
              <w:left w:val="nil"/>
              <w:bottom w:val="nil"/>
              <w:right w:val="nil"/>
            </w:tcBorders>
            <w:shd w:val="clear" w:color="auto" w:fill="auto"/>
            <w:hideMark/>
          </w:tcPr>
          <w:p w14:paraId="7ED86DB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Institutions </w:t>
            </w:r>
          </w:p>
        </w:tc>
        <w:tc>
          <w:tcPr>
            <w:tcW w:w="7155" w:type="dxa"/>
            <w:tcBorders>
              <w:top w:val="nil"/>
              <w:left w:val="nil"/>
              <w:bottom w:val="nil"/>
              <w:right w:val="nil"/>
            </w:tcBorders>
            <w:shd w:val="clear" w:color="auto" w:fill="auto"/>
            <w:hideMark/>
          </w:tcPr>
          <w:p w14:paraId="4FF60AE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Organisations, both public and private, founded and organised around a common goal. </w:t>
            </w:r>
          </w:p>
        </w:tc>
      </w:tr>
      <w:tr w:rsidR="00764225" w:rsidRPr="00ED7E61" w14:paraId="2D1F8F9A" w14:textId="77777777" w:rsidTr="00764225">
        <w:trPr>
          <w:trHeight w:val="990"/>
        </w:trPr>
        <w:tc>
          <w:tcPr>
            <w:tcW w:w="2055" w:type="dxa"/>
            <w:tcBorders>
              <w:top w:val="nil"/>
              <w:left w:val="nil"/>
              <w:bottom w:val="nil"/>
              <w:right w:val="nil"/>
            </w:tcBorders>
            <w:shd w:val="clear" w:color="auto" w:fill="auto"/>
            <w:hideMark/>
          </w:tcPr>
          <w:p w14:paraId="10060A7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Integrated assessment </w:t>
            </w:r>
          </w:p>
        </w:tc>
        <w:tc>
          <w:tcPr>
            <w:tcW w:w="7155" w:type="dxa"/>
            <w:tcBorders>
              <w:top w:val="nil"/>
              <w:left w:val="nil"/>
              <w:bottom w:val="nil"/>
              <w:right w:val="nil"/>
            </w:tcBorders>
            <w:shd w:val="clear" w:color="auto" w:fill="auto"/>
            <w:hideMark/>
          </w:tcPr>
          <w:p w14:paraId="52CD681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essential characteristics of integrated assessments are the simultaneous consideration of the multiple dimensions of environmental problems, the integration of various practices and coordinated development. (</w:t>
            </w:r>
            <w:hyperlink r:id="rId667"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2016) </w:t>
            </w:r>
          </w:p>
        </w:tc>
      </w:tr>
      <w:tr w:rsidR="00764225" w:rsidRPr="00ED7E61" w14:paraId="34BDAE89" w14:textId="77777777" w:rsidTr="00764225">
        <w:trPr>
          <w:trHeight w:val="975"/>
        </w:trPr>
        <w:tc>
          <w:tcPr>
            <w:tcW w:w="2055" w:type="dxa"/>
            <w:tcBorders>
              <w:top w:val="nil"/>
              <w:left w:val="nil"/>
              <w:bottom w:val="nil"/>
              <w:right w:val="nil"/>
            </w:tcBorders>
            <w:shd w:val="clear" w:color="auto" w:fill="auto"/>
            <w:hideMark/>
          </w:tcPr>
          <w:p w14:paraId="2ED4DED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Integrated spatial planning </w:t>
            </w:r>
          </w:p>
        </w:tc>
        <w:tc>
          <w:tcPr>
            <w:tcW w:w="7155" w:type="dxa"/>
            <w:tcBorders>
              <w:top w:val="nil"/>
              <w:left w:val="nil"/>
              <w:bottom w:val="nil"/>
              <w:right w:val="nil"/>
            </w:tcBorders>
            <w:shd w:val="clear" w:color="auto" w:fill="auto"/>
            <w:hideMark/>
          </w:tcPr>
          <w:p w14:paraId="3775940E" w14:textId="148DACBE"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lang w:val="en-GB"/>
              </w:rPr>
              <w:t xml:space="preserve">A whole-of-government process to create land and sea use plans to achieve social, economic and ecological objectives for sustainable development. (Adapted from </w:t>
            </w:r>
            <w:hyperlink r:id="rId668" w:tgtFrame="_blank" w:history="1">
              <w:r w:rsidRPr="00ED7E61">
                <w:rPr>
                  <w:rStyle w:val="Hyperlink"/>
                  <w:rFonts w:asciiTheme="majorBidi" w:eastAsiaTheme="majorEastAsia" w:hAnsiTheme="majorBidi" w:cstheme="majorBidi"/>
                  <w:sz w:val="22"/>
                  <w:szCs w:val="22"/>
                  <w:lang w:val="en-GB"/>
                </w:rPr>
                <w:t>UNDP</w:t>
              </w:r>
            </w:hyperlink>
            <w:r w:rsidRPr="00ED7E61">
              <w:rPr>
                <w:rFonts w:asciiTheme="majorBidi" w:eastAsiaTheme="majorEastAsia" w:hAnsiTheme="majorBidi" w:cstheme="majorBidi"/>
                <w:sz w:val="22"/>
                <w:szCs w:val="22"/>
                <w:lang w:val="en-GB"/>
              </w:rPr>
              <w:t>, 2022).</w:t>
            </w:r>
            <w:r w:rsidRPr="00ED7E61">
              <w:rPr>
                <w:rFonts w:asciiTheme="majorBidi" w:eastAsiaTheme="majorEastAsia" w:hAnsiTheme="majorBidi" w:cstheme="majorBidi"/>
                <w:sz w:val="22"/>
                <w:szCs w:val="22"/>
              </w:rPr>
              <w:t> </w:t>
            </w:r>
          </w:p>
        </w:tc>
      </w:tr>
      <w:tr w:rsidR="00764225" w:rsidRPr="00ED7E61" w14:paraId="04BEDF99" w14:textId="77777777" w:rsidTr="00764225">
        <w:trPr>
          <w:trHeight w:val="1695"/>
        </w:trPr>
        <w:tc>
          <w:tcPr>
            <w:tcW w:w="2055" w:type="dxa"/>
            <w:tcBorders>
              <w:top w:val="nil"/>
              <w:left w:val="nil"/>
              <w:bottom w:val="nil"/>
              <w:right w:val="nil"/>
            </w:tcBorders>
            <w:shd w:val="clear" w:color="auto" w:fill="auto"/>
            <w:hideMark/>
          </w:tcPr>
          <w:p w14:paraId="6BDD824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Integrity </w:t>
            </w:r>
          </w:p>
        </w:tc>
        <w:tc>
          <w:tcPr>
            <w:tcW w:w="7155" w:type="dxa"/>
            <w:tcBorders>
              <w:top w:val="nil"/>
              <w:left w:val="nil"/>
              <w:bottom w:val="nil"/>
              <w:right w:val="nil"/>
            </w:tcBorders>
            <w:shd w:val="clear" w:color="auto" w:fill="auto"/>
            <w:hideMark/>
          </w:tcPr>
          <w:p w14:paraId="2BDAD23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Refer to the definition of “</w:t>
            </w:r>
            <w:r w:rsidRPr="00FB1598">
              <w:rPr>
                <w:rFonts w:asciiTheme="majorBidi" w:eastAsiaTheme="majorEastAsia" w:hAnsiTheme="majorBidi" w:cstheme="majorBidi"/>
                <w:i/>
                <w:iCs/>
                <w:sz w:val="22"/>
                <w:szCs w:val="22"/>
              </w:rPr>
              <w:t>Ecological integrity</w:t>
            </w:r>
            <w:r w:rsidRPr="00ED7E61">
              <w:rPr>
                <w:rFonts w:asciiTheme="majorBidi" w:eastAsiaTheme="majorEastAsia" w:hAnsiTheme="majorBidi" w:cstheme="majorBidi"/>
                <w:sz w:val="22"/>
                <w:szCs w:val="22"/>
              </w:rPr>
              <w:t>”. </w:t>
            </w:r>
          </w:p>
        </w:tc>
      </w:tr>
      <w:tr w:rsidR="00764225" w:rsidRPr="00ED7E61" w14:paraId="0653B44C" w14:textId="77777777" w:rsidTr="00764225">
        <w:trPr>
          <w:trHeight w:val="709"/>
        </w:trPr>
        <w:tc>
          <w:tcPr>
            <w:tcW w:w="2055" w:type="dxa"/>
            <w:tcBorders>
              <w:top w:val="nil"/>
              <w:left w:val="nil"/>
              <w:bottom w:val="nil"/>
              <w:right w:val="nil"/>
            </w:tcBorders>
            <w:shd w:val="clear" w:color="auto" w:fill="auto"/>
            <w:hideMark/>
          </w:tcPr>
          <w:p w14:paraId="2994A7B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Key Biodiversity Area </w:t>
            </w:r>
          </w:p>
        </w:tc>
        <w:tc>
          <w:tcPr>
            <w:tcW w:w="7155" w:type="dxa"/>
            <w:tcBorders>
              <w:top w:val="nil"/>
              <w:left w:val="nil"/>
              <w:bottom w:val="nil"/>
              <w:right w:val="nil"/>
            </w:tcBorders>
            <w:shd w:val="clear" w:color="auto" w:fill="auto"/>
            <w:hideMark/>
          </w:tcPr>
          <w:p w14:paraId="46F37EC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Sites that contribute significantly to the global persistence of biodiversity. (</w:t>
            </w:r>
            <w:hyperlink r:id="rId669" w:tgtFrame="_blank" w:history="1">
              <w:r w:rsidRPr="00ED7E61">
                <w:rPr>
                  <w:rStyle w:val="Hyperlink"/>
                  <w:rFonts w:asciiTheme="majorBidi" w:eastAsiaTheme="majorEastAsia" w:hAnsiTheme="majorBidi" w:cstheme="majorBidi"/>
                  <w:sz w:val="22"/>
                  <w:szCs w:val="22"/>
                </w:rPr>
                <w:t>IUCN</w:t>
              </w:r>
            </w:hyperlink>
            <w:r w:rsidRPr="00ED7E61">
              <w:rPr>
                <w:rFonts w:asciiTheme="majorBidi" w:eastAsiaTheme="majorEastAsia" w:hAnsiTheme="majorBidi" w:cstheme="majorBidi"/>
                <w:sz w:val="22"/>
                <w:szCs w:val="22"/>
              </w:rPr>
              <w:t>, 2016) </w:t>
            </w:r>
          </w:p>
        </w:tc>
      </w:tr>
      <w:tr w:rsidR="00764225" w:rsidRPr="00ED7E61" w14:paraId="3137A94F" w14:textId="77777777" w:rsidTr="00764225">
        <w:trPr>
          <w:trHeight w:val="1890"/>
        </w:trPr>
        <w:tc>
          <w:tcPr>
            <w:tcW w:w="2055" w:type="dxa"/>
            <w:tcBorders>
              <w:top w:val="nil"/>
              <w:left w:val="nil"/>
              <w:bottom w:val="nil"/>
              <w:right w:val="nil"/>
            </w:tcBorders>
            <w:shd w:val="clear" w:color="auto" w:fill="auto"/>
            <w:hideMark/>
          </w:tcPr>
          <w:p w14:paraId="543881D4"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Known threatened species </w:t>
            </w:r>
          </w:p>
        </w:tc>
        <w:tc>
          <w:tcPr>
            <w:tcW w:w="7155" w:type="dxa"/>
            <w:tcBorders>
              <w:top w:val="nil"/>
              <w:left w:val="nil"/>
              <w:bottom w:val="nil"/>
              <w:right w:val="nil"/>
            </w:tcBorders>
            <w:shd w:val="clear" w:color="auto" w:fill="auto"/>
            <w:hideMark/>
          </w:tcPr>
          <w:p w14:paraId="16D98107" w14:textId="450D6BFF"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Species that have been documented as threatened (qv) on the global IUCN Red List of Threatened Species or on national red lists (often using the guidelines for regional and national application of the IUCN Red List categories and criteria (IUCN 2012). Although many other species are highly likely to be threatened, those for which this is not yet formally </w:t>
            </w:r>
            <w:r w:rsidR="00ED4A97">
              <w:rPr>
                <w:rFonts w:asciiTheme="majorBidi" w:eastAsiaTheme="majorEastAsia" w:hAnsiTheme="majorBidi" w:cstheme="majorBidi"/>
                <w:sz w:val="22"/>
                <w:szCs w:val="22"/>
              </w:rPr>
              <w:t>“</w:t>
            </w:r>
            <w:r w:rsidRPr="00FB1598">
              <w:rPr>
                <w:rFonts w:asciiTheme="majorBidi" w:eastAsiaTheme="majorEastAsia" w:hAnsiTheme="majorBidi" w:cstheme="majorBidi"/>
                <w:i/>
                <w:iCs/>
                <w:sz w:val="22"/>
                <w:szCs w:val="22"/>
              </w:rPr>
              <w:t>known</w:t>
            </w:r>
            <w:r w:rsidR="00ED4A97">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xml:space="preserve"> (including large numbers of species that have not even been described to science) are excluded. (McGowan et al. 2024) </w:t>
            </w:r>
          </w:p>
        </w:tc>
      </w:tr>
      <w:tr w:rsidR="00764225" w:rsidRPr="00ED7E61" w14:paraId="02F195F5" w14:textId="77777777" w:rsidTr="00764225">
        <w:trPr>
          <w:trHeight w:val="870"/>
        </w:trPr>
        <w:tc>
          <w:tcPr>
            <w:tcW w:w="2055" w:type="dxa"/>
            <w:tcBorders>
              <w:top w:val="nil"/>
              <w:left w:val="nil"/>
              <w:bottom w:val="nil"/>
              <w:right w:val="nil"/>
            </w:tcBorders>
            <w:shd w:val="clear" w:color="auto" w:fill="auto"/>
            <w:hideMark/>
          </w:tcPr>
          <w:p w14:paraId="3F67054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Land allocated to streets </w:t>
            </w:r>
          </w:p>
        </w:tc>
        <w:tc>
          <w:tcPr>
            <w:tcW w:w="7155" w:type="dxa"/>
            <w:tcBorders>
              <w:top w:val="nil"/>
              <w:left w:val="nil"/>
              <w:bottom w:val="nil"/>
              <w:right w:val="nil"/>
            </w:tcBorders>
            <w:shd w:val="clear" w:color="auto" w:fill="auto"/>
            <w:hideMark/>
          </w:tcPr>
          <w:p w14:paraId="6E425CD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Refers to the total area of the city/urban area that is occupied by all forms of streets. This indicator only includes streets available at the time of data collection and excludes proposed networks. (</w:t>
            </w:r>
            <w:hyperlink r:id="rId670" w:tgtFrame="_blank" w:history="1">
              <w:r w:rsidRPr="00ED7E61">
                <w:rPr>
                  <w:rStyle w:val="Hyperlink"/>
                  <w:rFonts w:asciiTheme="majorBidi" w:eastAsiaTheme="majorEastAsia" w:hAnsiTheme="majorBidi" w:cstheme="majorBidi"/>
                  <w:sz w:val="22"/>
                  <w:szCs w:val="22"/>
                </w:rPr>
                <w:t>UN Habitat</w:t>
              </w:r>
            </w:hyperlink>
            <w:r w:rsidRPr="00ED7E61">
              <w:rPr>
                <w:rFonts w:asciiTheme="majorBidi" w:eastAsiaTheme="majorEastAsia" w:hAnsiTheme="majorBidi" w:cstheme="majorBidi"/>
                <w:sz w:val="22"/>
                <w:szCs w:val="22"/>
              </w:rPr>
              <w:t>, 2018) </w:t>
            </w:r>
          </w:p>
        </w:tc>
      </w:tr>
      <w:tr w:rsidR="00764225" w:rsidRPr="00ED7E61" w14:paraId="12B99E10" w14:textId="77777777" w:rsidTr="00764225">
        <w:trPr>
          <w:trHeight w:val="1965"/>
        </w:trPr>
        <w:tc>
          <w:tcPr>
            <w:tcW w:w="2055" w:type="dxa"/>
            <w:tcBorders>
              <w:top w:val="nil"/>
              <w:left w:val="nil"/>
              <w:bottom w:val="nil"/>
              <w:right w:val="nil"/>
            </w:tcBorders>
            <w:shd w:val="clear" w:color="auto" w:fill="auto"/>
            <w:hideMark/>
          </w:tcPr>
          <w:p w14:paraId="09127B4C"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Land and sea use change </w:t>
            </w:r>
          </w:p>
        </w:tc>
        <w:tc>
          <w:tcPr>
            <w:tcW w:w="7155" w:type="dxa"/>
            <w:tcBorders>
              <w:top w:val="nil"/>
              <w:left w:val="nil"/>
              <w:bottom w:val="nil"/>
              <w:right w:val="nil"/>
            </w:tcBorders>
            <w:shd w:val="clear" w:color="auto" w:fill="auto"/>
            <w:hideMark/>
          </w:tcPr>
          <w:p w14:paraId="2510DB4B" w14:textId="0D54FCAB"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Land-use change includes the conversion of land cover (e.g. deforestation or mining), changes in the management of the ecosystem or agro-ecosystem (e.g. through the intensification of agricultural management or forest harvesting) or changes in the spatial configuration of the landscape (e.g. fragmentation of habitats). Similarly, sea-use change refers to measures and activities altering the use of marine areas, for example, coastal development, offshore aquaculture, mariculture, oil and gas exploration, and bottom trawling. (</w:t>
            </w:r>
            <w:hyperlink r:id="rId671" w:tgtFrame="_blank" w:history="1">
              <w:r w:rsidRPr="00ED7E61">
                <w:rPr>
                  <w:rStyle w:val="Hyperlink"/>
                  <w:rFonts w:asciiTheme="majorBidi" w:eastAsiaTheme="majorEastAsia" w:hAnsiTheme="majorBidi" w:cstheme="majorBidi"/>
                  <w:sz w:val="22"/>
                  <w:szCs w:val="22"/>
                </w:rPr>
                <w:t>IPBES</w:t>
              </w:r>
            </w:hyperlink>
            <w:r w:rsidR="0057078F" w:rsidRPr="00ED7E61">
              <w:rPr>
                <w:rStyle w:val="Hyperlink"/>
                <w:rFonts w:asciiTheme="majorBidi" w:eastAsiaTheme="majorEastAsia" w:hAnsiTheme="majorBidi" w:cstheme="majorBidi"/>
                <w:sz w:val="22"/>
                <w:szCs w:val="22"/>
              </w:rPr>
              <w:t xml:space="preserve"> and </w:t>
            </w:r>
            <w:hyperlink r:id="rId672" w:history="1">
              <w:r w:rsidR="0057078F" w:rsidRPr="00ED7E61">
                <w:rPr>
                  <w:rStyle w:val="Hyperlink"/>
                  <w:rFonts w:asciiTheme="majorBidi" w:eastAsiaTheme="majorEastAsia" w:hAnsiTheme="majorBidi" w:cstheme="majorBidi"/>
                  <w:sz w:val="22"/>
                  <w:szCs w:val="22"/>
                </w:rPr>
                <w:t>IPBES</w:t>
              </w:r>
            </w:hyperlink>
            <w:r w:rsidR="0057078F" w:rsidRPr="00ED7E61">
              <w:rPr>
                <w:rStyle w:val="Hyperlink"/>
                <w:rFonts w:asciiTheme="majorBidi" w:eastAsiaTheme="majorEastAsia" w:hAnsiTheme="majorBidi" w:cstheme="majorBidi"/>
                <w:sz w:val="22"/>
                <w:szCs w:val="22"/>
              </w:rPr>
              <w:t xml:space="preserve"> and IPBES</w:t>
            </w:r>
            <w:r w:rsidRPr="00ED7E61">
              <w:rPr>
                <w:rFonts w:asciiTheme="majorBidi" w:eastAsiaTheme="majorEastAsia" w:hAnsiTheme="majorBidi" w:cstheme="majorBidi"/>
                <w:sz w:val="22"/>
                <w:szCs w:val="22"/>
              </w:rPr>
              <w:t>) </w:t>
            </w:r>
          </w:p>
        </w:tc>
      </w:tr>
      <w:tr w:rsidR="00764225" w:rsidRPr="00ED7E61" w14:paraId="062A67A9" w14:textId="77777777" w:rsidTr="00764225">
        <w:trPr>
          <w:trHeight w:val="1260"/>
        </w:trPr>
        <w:tc>
          <w:tcPr>
            <w:tcW w:w="2055" w:type="dxa"/>
            <w:tcBorders>
              <w:top w:val="nil"/>
              <w:left w:val="nil"/>
              <w:bottom w:val="nil"/>
              <w:right w:val="nil"/>
            </w:tcBorders>
            <w:shd w:val="clear" w:color="auto" w:fill="auto"/>
            <w:hideMark/>
          </w:tcPr>
          <w:p w14:paraId="75F17D8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Landslide mitigation services </w:t>
            </w:r>
          </w:p>
        </w:tc>
        <w:tc>
          <w:tcPr>
            <w:tcW w:w="7155" w:type="dxa"/>
            <w:tcBorders>
              <w:top w:val="nil"/>
              <w:left w:val="nil"/>
              <w:bottom w:val="nil"/>
              <w:right w:val="nil"/>
            </w:tcBorders>
            <w:shd w:val="clear" w:color="auto" w:fill="auto"/>
            <w:hideMark/>
          </w:tcPr>
          <w:p w14:paraId="4C697E9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ecosystem contributions, particularly the land stabilising effects of vegetation, that mitigates or prevents potential damage to human health and safety and damaging effects to buildings and infrastructure that arise from the mass movement (wasting) of soil, rock and snow. (</w:t>
            </w:r>
            <w:hyperlink r:id="rId673"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55447884" w14:textId="77777777" w:rsidTr="00764225">
        <w:trPr>
          <w:trHeight w:val="1952"/>
        </w:trPr>
        <w:tc>
          <w:tcPr>
            <w:tcW w:w="2055" w:type="dxa"/>
            <w:tcBorders>
              <w:top w:val="nil"/>
              <w:left w:val="nil"/>
              <w:bottom w:val="nil"/>
              <w:right w:val="nil"/>
            </w:tcBorders>
            <w:shd w:val="clear" w:color="auto" w:fill="auto"/>
            <w:hideMark/>
          </w:tcPr>
          <w:p w14:paraId="23D77B17" w14:textId="1E1A7C70"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Large and transnational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 xml:space="preserve">companies and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financial institutions </w:t>
            </w:r>
          </w:p>
        </w:tc>
        <w:tc>
          <w:tcPr>
            <w:tcW w:w="7155" w:type="dxa"/>
            <w:tcBorders>
              <w:top w:val="nil"/>
              <w:left w:val="nil"/>
              <w:bottom w:val="nil"/>
              <w:right w:val="nil"/>
            </w:tcBorders>
            <w:shd w:val="clear" w:color="auto" w:fill="auto"/>
            <w:hideMark/>
          </w:tcPr>
          <w:p w14:paraId="1C99D9C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large private or public firm which owns and controls productive assets and/or holds investments in two or more countries. The most commonly used criteria for company size are employment and annual revenue. The World Bank generally considers companies with over 300 employees and $15 million in annual revenue to be “</w:t>
            </w:r>
            <w:r w:rsidRPr="00FB1598">
              <w:rPr>
                <w:rFonts w:asciiTheme="majorBidi" w:eastAsiaTheme="majorEastAsia" w:hAnsiTheme="majorBidi" w:cstheme="majorBidi"/>
                <w:i/>
                <w:iCs/>
                <w:sz w:val="22"/>
                <w:szCs w:val="22"/>
              </w:rPr>
              <w:t>large</w:t>
            </w:r>
            <w:r w:rsidRPr="00ED7E61">
              <w:rPr>
                <w:rFonts w:asciiTheme="majorBidi" w:eastAsiaTheme="majorEastAsia" w:hAnsiTheme="majorBidi" w:cstheme="majorBidi"/>
                <w:sz w:val="22"/>
                <w:szCs w:val="22"/>
              </w:rPr>
              <w:t>”. However, some countries or jurisdictions use different thresholds to define “</w:t>
            </w:r>
            <w:r w:rsidRPr="00FB1598">
              <w:rPr>
                <w:rFonts w:asciiTheme="majorBidi" w:eastAsiaTheme="majorEastAsia" w:hAnsiTheme="majorBidi" w:cstheme="majorBidi"/>
                <w:i/>
                <w:iCs/>
                <w:sz w:val="22"/>
                <w:szCs w:val="22"/>
              </w:rPr>
              <w:t>large</w:t>
            </w:r>
            <w:r w:rsidRPr="00ED7E61">
              <w:rPr>
                <w:rFonts w:asciiTheme="majorBidi" w:eastAsiaTheme="majorEastAsia" w:hAnsiTheme="majorBidi" w:cstheme="majorBidi"/>
                <w:sz w:val="22"/>
                <w:szCs w:val="22"/>
              </w:rPr>
              <w:t xml:space="preserve">”. Parties may choose to rely on the World Bank criteria or nationally recognised criteria of their own. (Adapted from </w:t>
            </w:r>
            <w:hyperlink r:id="rId674" w:tgtFrame="_blank" w:history="1">
              <w:r w:rsidRPr="00ED7E61">
                <w:rPr>
                  <w:rStyle w:val="Hyperlink"/>
                  <w:rFonts w:asciiTheme="majorBidi" w:eastAsiaTheme="majorEastAsia" w:hAnsiTheme="majorBidi" w:cstheme="majorBidi"/>
                  <w:sz w:val="22"/>
                  <w:szCs w:val="22"/>
                </w:rPr>
                <w:t>World Bank</w:t>
              </w:r>
            </w:hyperlink>
            <w:r w:rsidRPr="00ED7E61">
              <w:rPr>
                <w:rFonts w:asciiTheme="majorBidi" w:eastAsiaTheme="majorEastAsia" w:hAnsiTheme="majorBidi" w:cstheme="majorBidi"/>
                <w:sz w:val="22"/>
                <w:szCs w:val="22"/>
              </w:rPr>
              <w:t xml:space="preserve">, 2020 and </w:t>
            </w:r>
            <w:hyperlink r:id="rId675" w:tgtFrame="_blank" w:history="1">
              <w:r w:rsidRPr="00ED7E61">
                <w:rPr>
                  <w:rStyle w:val="Hyperlink"/>
                  <w:rFonts w:asciiTheme="majorBidi" w:eastAsiaTheme="majorEastAsia" w:hAnsiTheme="majorBidi" w:cstheme="majorBidi"/>
                  <w:sz w:val="22"/>
                  <w:szCs w:val="22"/>
                </w:rPr>
                <w:t>IFC</w:t>
              </w:r>
            </w:hyperlink>
            <w:r w:rsidRPr="00ED7E61">
              <w:rPr>
                <w:rFonts w:asciiTheme="majorBidi" w:eastAsiaTheme="majorEastAsia" w:hAnsiTheme="majorBidi" w:cstheme="majorBidi"/>
                <w:sz w:val="22"/>
                <w:szCs w:val="22"/>
              </w:rPr>
              <w:t>) </w:t>
            </w:r>
          </w:p>
        </w:tc>
      </w:tr>
      <w:tr w:rsidR="00764225" w:rsidRPr="00ED7E61" w14:paraId="112449F3" w14:textId="77777777" w:rsidTr="00764225">
        <w:trPr>
          <w:trHeight w:val="675"/>
        </w:trPr>
        <w:tc>
          <w:tcPr>
            <w:tcW w:w="2055" w:type="dxa"/>
            <w:tcBorders>
              <w:top w:val="nil"/>
              <w:left w:val="nil"/>
              <w:bottom w:val="nil"/>
              <w:right w:val="nil"/>
            </w:tcBorders>
            <w:shd w:val="clear" w:color="auto" w:fill="auto"/>
            <w:hideMark/>
          </w:tcPr>
          <w:p w14:paraId="3ED035E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Legal instruments </w:t>
            </w:r>
          </w:p>
        </w:tc>
        <w:tc>
          <w:tcPr>
            <w:tcW w:w="7155" w:type="dxa"/>
            <w:tcBorders>
              <w:top w:val="nil"/>
              <w:left w:val="nil"/>
              <w:bottom w:val="nil"/>
              <w:right w:val="nil"/>
            </w:tcBorders>
            <w:shd w:val="clear" w:color="auto" w:fill="auto"/>
            <w:hideMark/>
          </w:tcPr>
          <w:p w14:paraId="54B0792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Formal written documents that represent a contractual duty or obligation and are recognized and enforceable by law. </w:t>
            </w:r>
          </w:p>
        </w:tc>
      </w:tr>
      <w:tr w:rsidR="00764225" w:rsidRPr="00ED7E61" w14:paraId="0CC6F2CF" w14:textId="77777777" w:rsidTr="00764225">
        <w:trPr>
          <w:trHeight w:val="458"/>
        </w:trPr>
        <w:tc>
          <w:tcPr>
            <w:tcW w:w="2055" w:type="dxa"/>
            <w:tcBorders>
              <w:top w:val="nil"/>
              <w:left w:val="nil"/>
              <w:bottom w:val="nil"/>
              <w:right w:val="nil"/>
            </w:tcBorders>
            <w:shd w:val="clear" w:color="auto" w:fill="auto"/>
            <w:hideMark/>
          </w:tcPr>
          <w:p w14:paraId="3835AA0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Legislative framework </w:t>
            </w:r>
          </w:p>
        </w:tc>
        <w:tc>
          <w:tcPr>
            <w:tcW w:w="7155" w:type="dxa"/>
            <w:tcBorders>
              <w:top w:val="nil"/>
              <w:left w:val="nil"/>
              <w:bottom w:val="nil"/>
              <w:right w:val="nil"/>
            </w:tcBorders>
            <w:shd w:val="clear" w:color="auto" w:fill="auto"/>
            <w:hideMark/>
          </w:tcPr>
          <w:p w14:paraId="7DC86B3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sets of rules that structure lawmaking. </w:t>
            </w:r>
          </w:p>
        </w:tc>
      </w:tr>
      <w:tr w:rsidR="00764225" w:rsidRPr="00ED7E61" w14:paraId="36038B63" w14:textId="77777777" w:rsidTr="00764225">
        <w:trPr>
          <w:trHeight w:val="1020"/>
        </w:trPr>
        <w:tc>
          <w:tcPr>
            <w:tcW w:w="2055" w:type="dxa"/>
            <w:tcBorders>
              <w:top w:val="nil"/>
              <w:left w:val="nil"/>
              <w:bottom w:val="nil"/>
              <w:right w:val="nil"/>
            </w:tcBorders>
            <w:shd w:val="clear" w:color="auto" w:fill="auto"/>
            <w:hideMark/>
          </w:tcPr>
          <w:p w14:paraId="475D953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Living modified organisms </w:t>
            </w:r>
          </w:p>
        </w:tc>
        <w:tc>
          <w:tcPr>
            <w:tcW w:w="7155" w:type="dxa"/>
            <w:tcBorders>
              <w:top w:val="nil"/>
              <w:left w:val="nil"/>
              <w:bottom w:val="nil"/>
              <w:right w:val="nil"/>
            </w:tcBorders>
            <w:shd w:val="clear" w:color="auto" w:fill="auto"/>
            <w:hideMark/>
          </w:tcPr>
          <w:p w14:paraId="6C312FCC" w14:textId="083D2E58"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The Cartagena Protocol on Biosafety defines </w:t>
            </w:r>
            <w:r w:rsidR="00ED4A97">
              <w:rPr>
                <w:rFonts w:asciiTheme="majorBidi" w:eastAsiaTheme="majorEastAsia" w:hAnsiTheme="majorBidi" w:cstheme="majorBidi"/>
                <w:sz w:val="22"/>
                <w:szCs w:val="22"/>
              </w:rPr>
              <w:t>“</w:t>
            </w:r>
            <w:r w:rsidRPr="00FB1598">
              <w:rPr>
                <w:rFonts w:asciiTheme="majorBidi" w:eastAsiaTheme="majorEastAsia" w:hAnsiTheme="majorBidi" w:cstheme="majorBidi"/>
                <w:i/>
                <w:iCs/>
                <w:sz w:val="22"/>
                <w:szCs w:val="22"/>
              </w:rPr>
              <w:t>living modified organism</w:t>
            </w:r>
            <w:r w:rsidR="00ED4A97">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xml:space="preserve"> as any living organism that possesses a novel combination of genetic material obtained through the use of modern biotechnology. (</w:t>
            </w:r>
            <w:hyperlink r:id="rId676"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2022) </w:t>
            </w:r>
          </w:p>
        </w:tc>
      </w:tr>
      <w:tr w:rsidR="00764225" w:rsidRPr="00ED7E61" w14:paraId="3777F9E6" w14:textId="77777777" w:rsidTr="00764225">
        <w:trPr>
          <w:trHeight w:val="2025"/>
        </w:trPr>
        <w:tc>
          <w:tcPr>
            <w:tcW w:w="2055" w:type="dxa"/>
            <w:tcBorders>
              <w:top w:val="nil"/>
              <w:left w:val="nil"/>
              <w:bottom w:val="nil"/>
              <w:right w:val="nil"/>
            </w:tcBorders>
            <w:shd w:val="clear" w:color="auto" w:fill="auto"/>
            <w:hideMark/>
          </w:tcPr>
          <w:p w14:paraId="41072C8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Mainstreaming biodiversity </w:t>
            </w:r>
          </w:p>
        </w:tc>
        <w:tc>
          <w:tcPr>
            <w:tcW w:w="7155" w:type="dxa"/>
            <w:tcBorders>
              <w:top w:val="nil"/>
              <w:left w:val="nil"/>
              <w:bottom w:val="nil"/>
              <w:right w:val="nil"/>
            </w:tcBorders>
            <w:shd w:val="clear" w:color="auto" w:fill="auto"/>
            <w:hideMark/>
          </w:tcPr>
          <w:p w14:paraId="4B452A6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Biodiversity mainstreaming is generally understood as ensuring that biodiversity, and the services it provides, are appropriately and adequately factored into policies, strategies, plans and practices that rely and have an impact on biodiversity, so that it is conserved and sustainably used. A final definition may be proposed during COP16 as part of the Long-term Strategic Approach to Mainstreaming Biodiversity (see CBD/COP/DEC/15/6).  </w:t>
            </w:r>
          </w:p>
        </w:tc>
      </w:tr>
      <w:tr w:rsidR="00764225" w:rsidRPr="00ED7E61" w14:paraId="7969BA85" w14:textId="77777777" w:rsidTr="00764225">
        <w:trPr>
          <w:trHeight w:val="1701"/>
        </w:trPr>
        <w:tc>
          <w:tcPr>
            <w:tcW w:w="2055" w:type="dxa"/>
            <w:tcBorders>
              <w:top w:val="nil"/>
              <w:left w:val="nil"/>
              <w:bottom w:val="nil"/>
              <w:right w:val="nil"/>
            </w:tcBorders>
            <w:shd w:val="clear" w:color="auto" w:fill="auto"/>
            <w:hideMark/>
          </w:tcPr>
          <w:p w14:paraId="10BAAF8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Maintain genetic diversity </w:t>
            </w:r>
          </w:p>
        </w:tc>
        <w:tc>
          <w:tcPr>
            <w:tcW w:w="7155" w:type="dxa"/>
            <w:tcBorders>
              <w:top w:val="nil"/>
              <w:left w:val="nil"/>
              <w:bottom w:val="nil"/>
              <w:right w:val="nil"/>
            </w:tcBorders>
            <w:shd w:val="clear" w:color="auto" w:fill="auto"/>
            <w:hideMark/>
          </w:tcPr>
          <w:p w14:paraId="64ED29C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amount of genetic diversity (alleles, heterozygosity) does not decrease, and there is no loss of within-population genetic diversity or among population genetic diversity; the precise genetic composition may shift for adapting to environmental change. The Ne 500 indicator ensures maintenance of within-population genetic diversity. Some scientists have argued for a more conservative minimum Ne of 1000, though the Ne 500 recommendation remains common. </w:t>
            </w:r>
          </w:p>
        </w:tc>
      </w:tr>
      <w:tr w:rsidR="00764225" w:rsidRPr="00ED7E61" w14:paraId="3FCAF5EA" w14:textId="77777777" w:rsidTr="00764225">
        <w:trPr>
          <w:trHeight w:val="704"/>
        </w:trPr>
        <w:tc>
          <w:tcPr>
            <w:tcW w:w="2055" w:type="dxa"/>
            <w:tcBorders>
              <w:top w:val="nil"/>
              <w:left w:val="nil"/>
              <w:bottom w:val="nil"/>
              <w:right w:val="nil"/>
            </w:tcBorders>
            <w:shd w:val="clear" w:color="auto" w:fill="auto"/>
            <w:hideMark/>
          </w:tcPr>
          <w:p w14:paraId="682575B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Maintenance of biodiversity and NCP </w:t>
            </w:r>
          </w:p>
        </w:tc>
        <w:tc>
          <w:tcPr>
            <w:tcW w:w="7155" w:type="dxa"/>
            <w:tcBorders>
              <w:top w:val="nil"/>
              <w:left w:val="nil"/>
              <w:bottom w:val="nil"/>
              <w:right w:val="nil"/>
            </w:tcBorders>
            <w:shd w:val="clear" w:color="auto" w:fill="auto"/>
            <w:hideMark/>
          </w:tcPr>
          <w:p w14:paraId="002252B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To keep the existing quantity and quality of biodiversity and nature’s contribution to people. </w:t>
            </w:r>
          </w:p>
        </w:tc>
      </w:tr>
      <w:tr w:rsidR="00764225" w:rsidRPr="00ED7E61" w14:paraId="411EB825" w14:textId="77777777" w:rsidTr="00764225">
        <w:trPr>
          <w:trHeight w:val="1740"/>
        </w:trPr>
        <w:tc>
          <w:tcPr>
            <w:tcW w:w="2055" w:type="dxa"/>
            <w:tcBorders>
              <w:top w:val="nil"/>
              <w:left w:val="nil"/>
              <w:bottom w:val="nil"/>
              <w:right w:val="nil"/>
            </w:tcBorders>
            <w:shd w:val="clear" w:color="auto" w:fill="auto"/>
            <w:hideMark/>
          </w:tcPr>
          <w:p w14:paraId="6848F2E4" w14:textId="482E1ABC"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Managed/</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anthropogenic ecosystems </w:t>
            </w:r>
          </w:p>
        </w:tc>
        <w:tc>
          <w:tcPr>
            <w:tcW w:w="7155" w:type="dxa"/>
            <w:tcBorders>
              <w:top w:val="nil"/>
              <w:left w:val="nil"/>
              <w:bottom w:val="nil"/>
              <w:right w:val="nil"/>
            </w:tcBorders>
            <w:shd w:val="clear" w:color="auto" w:fill="auto"/>
            <w:hideMark/>
          </w:tcPr>
          <w:p w14:paraId="519AF7BC" w14:textId="2E27ADC0"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Are predominantly influenced by human activities where a stable natural ecological state is unobtainable and future socio-economic interventions are required to maintain a new stable state. Examples (with reference to IUCN GET) are urban green spaces and croplands, artificial waterbodies and anthropogenic marine systems. Managed/anthropogenic ecosystems are defined based on the IUCN GET </w:t>
            </w:r>
            <w:r w:rsidR="00D8115D" w:rsidRPr="00ED7E61">
              <w:rPr>
                <w:rFonts w:asciiTheme="majorBidi" w:eastAsiaTheme="majorEastAsia" w:hAnsiTheme="majorBidi" w:cstheme="majorBidi"/>
                <w:sz w:val="22"/>
                <w:szCs w:val="22"/>
              </w:rPr>
              <w:t>Ecosystem Functional Groups</w:t>
            </w:r>
            <w:r w:rsidRPr="00ED7E61">
              <w:rPr>
                <w:rFonts w:asciiTheme="majorBidi" w:eastAsiaTheme="majorEastAsia" w:hAnsiTheme="majorBidi" w:cstheme="majorBidi"/>
                <w:sz w:val="22"/>
                <w:szCs w:val="22"/>
              </w:rPr>
              <w:t xml:space="preserve">. </w:t>
            </w:r>
            <w:r w:rsidRPr="00ED7E61">
              <w:rPr>
                <w:rFonts w:asciiTheme="majorBidi" w:eastAsiaTheme="majorEastAsia" w:hAnsiTheme="majorBidi" w:cstheme="majorBidi"/>
                <w:sz w:val="22"/>
                <w:szCs w:val="22"/>
                <w:lang w:val="en-GB"/>
              </w:rPr>
              <w:t>(Keith et al. 2020)</w:t>
            </w:r>
            <w:r w:rsidRPr="00ED7E61">
              <w:rPr>
                <w:rFonts w:asciiTheme="majorBidi" w:eastAsiaTheme="majorEastAsia" w:hAnsiTheme="majorBidi" w:cstheme="majorBidi"/>
                <w:sz w:val="22"/>
                <w:szCs w:val="22"/>
              </w:rPr>
              <w:t> </w:t>
            </w:r>
          </w:p>
        </w:tc>
      </w:tr>
      <w:tr w:rsidR="00764225" w:rsidRPr="00ED7E61" w14:paraId="6ABDC0F3" w14:textId="77777777" w:rsidTr="00764225">
        <w:trPr>
          <w:trHeight w:val="1944"/>
        </w:trPr>
        <w:tc>
          <w:tcPr>
            <w:tcW w:w="2055" w:type="dxa"/>
            <w:tcBorders>
              <w:top w:val="nil"/>
              <w:left w:val="nil"/>
              <w:bottom w:val="nil"/>
              <w:right w:val="nil"/>
            </w:tcBorders>
            <w:shd w:val="clear" w:color="auto" w:fill="auto"/>
            <w:hideMark/>
          </w:tcPr>
          <w:p w14:paraId="528B3CE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Maximum Sustainable Yield (MSY) </w:t>
            </w:r>
          </w:p>
        </w:tc>
        <w:tc>
          <w:tcPr>
            <w:tcW w:w="7155" w:type="dxa"/>
            <w:tcBorders>
              <w:top w:val="nil"/>
              <w:left w:val="nil"/>
              <w:bottom w:val="nil"/>
              <w:right w:val="nil"/>
            </w:tcBorders>
            <w:shd w:val="clear" w:color="auto" w:fill="auto"/>
            <w:hideMark/>
          </w:tcPr>
          <w:p w14:paraId="42AC657A" w14:textId="4341790A"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greatest average amount of catch that can be harvested in the long-term from a stock under constant and current environmental conditions (e.g. habitat, water conditions, species birth, growth, or death rates of the stock), without affecting the long-term productivity of the stock. A composition and interactions, and anything that could affect stock can produce MSY if its abundance is above a certain level, usually around 50% of its unexploited abundance (but actual value can vary around that level, depending on the biological characteristics of the stock). (</w:t>
            </w:r>
            <w:hyperlink r:id="rId677" w:tgtFrame="_blank" w:history="1">
              <w:r w:rsidRPr="00ED7E61">
                <w:rPr>
                  <w:rStyle w:val="Hyperlink"/>
                  <w:rFonts w:asciiTheme="majorBidi" w:eastAsiaTheme="majorEastAsia" w:hAnsiTheme="majorBidi" w:cstheme="majorBidi"/>
                  <w:sz w:val="22"/>
                  <w:szCs w:val="22"/>
                </w:rPr>
                <w:t>FAO</w:t>
              </w:r>
            </w:hyperlink>
            <w:r w:rsidRPr="00ED7E61">
              <w:rPr>
                <w:rFonts w:asciiTheme="majorBidi" w:eastAsiaTheme="majorEastAsia" w:hAnsiTheme="majorBidi" w:cstheme="majorBidi"/>
                <w:sz w:val="22"/>
                <w:szCs w:val="22"/>
              </w:rPr>
              <w:t>) </w:t>
            </w:r>
          </w:p>
        </w:tc>
      </w:tr>
      <w:tr w:rsidR="00764225" w:rsidRPr="00ED7E61" w14:paraId="0E354222" w14:textId="77777777" w:rsidTr="00764225">
        <w:trPr>
          <w:trHeight w:val="675"/>
        </w:trPr>
        <w:tc>
          <w:tcPr>
            <w:tcW w:w="2055" w:type="dxa"/>
            <w:tcBorders>
              <w:top w:val="nil"/>
              <w:left w:val="nil"/>
              <w:bottom w:val="nil"/>
              <w:right w:val="nil"/>
            </w:tcBorders>
            <w:shd w:val="clear" w:color="auto" w:fill="auto"/>
            <w:hideMark/>
          </w:tcPr>
          <w:p w14:paraId="0CA01CF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Mitigate </w:t>
            </w:r>
          </w:p>
        </w:tc>
        <w:tc>
          <w:tcPr>
            <w:tcW w:w="7155" w:type="dxa"/>
            <w:tcBorders>
              <w:top w:val="nil"/>
              <w:left w:val="nil"/>
              <w:bottom w:val="nil"/>
              <w:right w:val="nil"/>
            </w:tcBorders>
            <w:shd w:val="clear" w:color="auto" w:fill="auto"/>
            <w:hideMark/>
          </w:tcPr>
          <w:p w14:paraId="758519A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 the context of IPBES, an intervention to reduce negative or unsustainable uses of biodiversity and ecosystems. (</w:t>
            </w:r>
            <w:hyperlink r:id="rId678"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2018) </w:t>
            </w:r>
          </w:p>
        </w:tc>
      </w:tr>
      <w:tr w:rsidR="00764225" w:rsidRPr="00ED7E61" w14:paraId="4DCEFB9B" w14:textId="77777777" w:rsidTr="00764225">
        <w:trPr>
          <w:trHeight w:val="675"/>
        </w:trPr>
        <w:tc>
          <w:tcPr>
            <w:tcW w:w="2055" w:type="dxa"/>
            <w:tcBorders>
              <w:top w:val="nil"/>
              <w:left w:val="nil"/>
              <w:bottom w:val="nil"/>
              <w:right w:val="nil"/>
            </w:tcBorders>
            <w:shd w:val="clear" w:color="auto" w:fill="auto"/>
            <w:hideMark/>
          </w:tcPr>
          <w:p w14:paraId="2C36C39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Mitigation of climate change </w:t>
            </w:r>
          </w:p>
        </w:tc>
        <w:tc>
          <w:tcPr>
            <w:tcW w:w="7155" w:type="dxa"/>
            <w:tcBorders>
              <w:top w:val="nil"/>
              <w:left w:val="nil"/>
              <w:bottom w:val="nil"/>
              <w:right w:val="nil"/>
            </w:tcBorders>
            <w:shd w:val="clear" w:color="auto" w:fill="auto"/>
            <w:hideMark/>
          </w:tcPr>
          <w:p w14:paraId="4BF9EB9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human intervention to reduce the drivers of climate change and ocean acidification or enhance the sinks of greenhouse gases. (</w:t>
            </w:r>
            <w:hyperlink r:id="rId679"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2018) </w:t>
            </w:r>
          </w:p>
        </w:tc>
      </w:tr>
      <w:tr w:rsidR="00764225" w:rsidRPr="00ED7E61" w14:paraId="5374F314" w14:textId="77777777" w:rsidTr="00764225">
        <w:trPr>
          <w:trHeight w:val="1695"/>
        </w:trPr>
        <w:tc>
          <w:tcPr>
            <w:tcW w:w="2055" w:type="dxa"/>
            <w:tcBorders>
              <w:top w:val="nil"/>
              <w:left w:val="nil"/>
              <w:bottom w:val="nil"/>
              <w:right w:val="nil"/>
            </w:tcBorders>
            <w:shd w:val="clear" w:color="auto" w:fill="auto"/>
            <w:hideMark/>
          </w:tcPr>
          <w:p w14:paraId="189752A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Modern biotechnology </w:t>
            </w:r>
          </w:p>
        </w:tc>
        <w:tc>
          <w:tcPr>
            <w:tcW w:w="7155" w:type="dxa"/>
            <w:tcBorders>
              <w:top w:val="nil"/>
              <w:left w:val="nil"/>
              <w:bottom w:val="nil"/>
              <w:right w:val="nil"/>
            </w:tcBorders>
            <w:shd w:val="clear" w:color="auto" w:fill="auto"/>
            <w:hideMark/>
          </w:tcPr>
          <w:p w14:paraId="004ADFB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Under the Cartagena Protocol, “</w:t>
            </w:r>
            <w:r w:rsidRPr="00FB1598">
              <w:rPr>
                <w:rFonts w:asciiTheme="majorBidi" w:eastAsiaTheme="majorEastAsia" w:hAnsiTheme="majorBidi" w:cstheme="majorBidi"/>
                <w:i/>
                <w:iCs/>
                <w:sz w:val="22"/>
                <w:szCs w:val="22"/>
              </w:rPr>
              <w:t>modern biotechnology</w:t>
            </w:r>
            <w:r w:rsidRPr="00ED7E61">
              <w:rPr>
                <w:rFonts w:asciiTheme="majorBidi" w:eastAsiaTheme="majorEastAsia" w:hAnsiTheme="majorBidi" w:cstheme="majorBidi"/>
                <w:sz w:val="22"/>
                <w:szCs w:val="22"/>
              </w:rPr>
              <w:t>” means the application of in vitro nucleic acid techniques, including recombinant deoxyribonucleic acid (DNA) and direct injection of nucleic acid into cells or organelles, or fusion of cells beyond the taxonomic family, that overcome natural physiological reproductive or recombination barriers and that are not techniques used in traditional breeding and selection. (Cartagena Protocol, Article 3(i)). </w:t>
            </w:r>
          </w:p>
        </w:tc>
      </w:tr>
      <w:tr w:rsidR="00764225" w:rsidRPr="00ED7E61" w14:paraId="0D6107FE" w14:textId="77777777" w:rsidTr="00764225">
        <w:trPr>
          <w:trHeight w:val="2025"/>
        </w:trPr>
        <w:tc>
          <w:tcPr>
            <w:tcW w:w="2055" w:type="dxa"/>
            <w:tcBorders>
              <w:top w:val="nil"/>
              <w:left w:val="nil"/>
              <w:bottom w:val="nil"/>
              <w:right w:val="nil"/>
            </w:tcBorders>
            <w:shd w:val="clear" w:color="auto" w:fill="auto"/>
            <w:hideMark/>
          </w:tcPr>
          <w:p w14:paraId="489E155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Monetary ecosystem services flow accounts </w:t>
            </w:r>
          </w:p>
        </w:tc>
        <w:tc>
          <w:tcPr>
            <w:tcW w:w="7155" w:type="dxa"/>
            <w:tcBorders>
              <w:top w:val="nil"/>
              <w:left w:val="nil"/>
              <w:bottom w:val="nil"/>
              <w:right w:val="nil"/>
            </w:tcBorders>
            <w:shd w:val="clear" w:color="auto" w:fill="auto"/>
            <w:hideMark/>
          </w:tcPr>
          <w:p w14:paraId="73A49E7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Describe the ecosystem services generated by the ecosystem asset in monetary terms. Aggregate indicators in monetary terms, namely Gross Ecosystem Product (GEP) can be derived using relevant entries of ecosystem services in the monetary ecosystem services flow account. Metrics of monetary units are measured in terms of dollar or local currency. Indicators are measured in terms of their percentage change over an accounting period or with respect to the baseline period determined by countries. (</w:t>
            </w:r>
            <w:hyperlink r:id="rId680"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03B382E2" w14:textId="77777777" w:rsidTr="00764225">
        <w:trPr>
          <w:trHeight w:val="330"/>
        </w:trPr>
        <w:tc>
          <w:tcPr>
            <w:tcW w:w="2055" w:type="dxa"/>
            <w:tcBorders>
              <w:top w:val="nil"/>
              <w:left w:val="nil"/>
              <w:bottom w:val="nil"/>
              <w:right w:val="nil"/>
            </w:tcBorders>
            <w:shd w:val="clear" w:color="auto" w:fill="auto"/>
            <w:hideMark/>
          </w:tcPr>
          <w:p w14:paraId="5E7C420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Monitor </w:t>
            </w:r>
          </w:p>
        </w:tc>
        <w:tc>
          <w:tcPr>
            <w:tcW w:w="7155" w:type="dxa"/>
            <w:tcBorders>
              <w:top w:val="nil"/>
              <w:left w:val="nil"/>
              <w:bottom w:val="nil"/>
              <w:right w:val="nil"/>
            </w:tcBorders>
            <w:shd w:val="clear" w:color="auto" w:fill="auto"/>
            <w:hideMark/>
          </w:tcPr>
          <w:p w14:paraId="5FFD436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Monitoring is the repeated observation of a system in order to detect signs of change. (</w:t>
            </w:r>
            <w:hyperlink r:id="rId681"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2019) </w:t>
            </w:r>
          </w:p>
          <w:p w14:paraId="120FD03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w:t>
            </w:r>
          </w:p>
        </w:tc>
      </w:tr>
      <w:tr w:rsidR="00764225" w:rsidRPr="00ED7E61" w14:paraId="13EB1EBE" w14:textId="77777777" w:rsidTr="00764225">
        <w:trPr>
          <w:trHeight w:val="2040"/>
        </w:trPr>
        <w:tc>
          <w:tcPr>
            <w:tcW w:w="2055" w:type="dxa"/>
            <w:tcBorders>
              <w:top w:val="nil"/>
              <w:left w:val="nil"/>
              <w:bottom w:val="nil"/>
              <w:right w:val="nil"/>
            </w:tcBorders>
            <w:shd w:val="clear" w:color="auto" w:fill="auto"/>
            <w:hideMark/>
          </w:tcPr>
          <w:p w14:paraId="18B0D4B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Multiple values of biodiversity </w:t>
            </w:r>
          </w:p>
        </w:tc>
        <w:tc>
          <w:tcPr>
            <w:tcW w:w="7155" w:type="dxa"/>
            <w:tcBorders>
              <w:top w:val="nil"/>
              <w:left w:val="nil"/>
              <w:bottom w:val="nil"/>
              <w:right w:val="nil"/>
            </w:tcBorders>
            <w:shd w:val="clear" w:color="auto" w:fill="auto"/>
            <w:hideMark/>
          </w:tcPr>
          <w:p w14:paraId="52DD6EA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Biodiversity values include diverse considerations from ecological, genetic, economic, cultural, social, scientific, educational, recreational, aesthetic and intrinsic perspectives. Valuation and values of biodiversity require the recognition of a wide range of worldviews and plural value dimensions of the meaning and importance of nature associated with the quality of human life seen as interdependent in terms of biophysical, sociocultural, economic, health or holistic perspectives. (for a definition of value systems see the </w:t>
            </w:r>
            <w:hyperlink r:id="rId682" w:anchor=".Yz8p-bYpBZU"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2020) </w:t>
            </w:r>
          </w:p>
        </w:tc>
      </w:tr>
      <w:tr w:rsidR="00764225" w:rsidRPr="00ED7E61" w14:paraId="01DCFF9C" w14:textId="77777777" w:rsidTr="00764225">
        <w:trPr>
          <w:trHeight w:val="2565"/>
        </w:trPr>
        <w:tc>
          <w:tcPr>
            <w:tcW w:w="2055" w:type="dxa"/>
            <w:tcBorders>
              <w:top w:val="nil"/>
              <w:left w:val="nil"/>
              <w:bottom w:val="nil"/>
              <w:right w:val="nil"/>
            </w:tcBorders>
            <w:shd w:val="clear" w:color="auto" w:fill="auto"/>
            <w:hideMark/>
          </w:tcPr>
          <w:p w14:paraId="3E070E3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National biodiversity strategy and action plan </w:t>
            </w:r>
          </w:p>
        </w:tc>
        <w:tc>
          <w:tcPr>
            <w:tcW w:w="7155" w:type="dxa"/>
            <w:tcBorders>
              <w:top w:val="nil"/>
              <w:left w:val="nil"/>
              <w:bottom w:val="nil"/>
              <w:right w:val="nil"/>
            </w:tcBorders>
            <w:shd w:val="clear" w:color="auto" w:fill="auto"/>
            <w:hideMark/>
          </w:tcPr>
          <w:p w14:paraId="2FB9B18B"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Convention on Biological Diversity calls on each of its Parties to prepare a National Biodiversity Strategy and Action Plan (Article 6a) that establishes specific activities and targets for achieving the objectives of the Convention. These plans mostly are implemented by a partnership of conservation organizations. Species or habitats which are the subject of NBSAPs are the governments stated priorities for action and therefore raise greater concern where they are threatened. NBSAPs do not carry legal status and listed species and habitat types are not necessarily protected (although some are covered by other legislation) (Hesselink et al., 2007). </w:t>
            </w:r>
          </w:p>
        </w:tc>
      </w:tr>
      <w:tr w:rsidR="00764225" w:rsidRPr="00ED7E61" w14:paraId="6FB946D7" w14:textId="77777777" w:rsidTr="00764225">
        <w:trPr>
          <w:trHeight w:val="1020"/>
        </w:trPr>
        <w:tc>
          <w:tcPr>
            <w:tcW w:w="2055" w:type="dxa"/>
            <w:tcBorders>
              <w:top w:val="nil"/>
              <w:left w:val="nil"/>
              <w:bottom w:val="nil"/>
              <w:right w:val="nil"/>
            </w:tcBorders>
            <w:shd w:val="clear" w:color="auto" w:fill="auto"/>
            <w:hideMark/>
          </w:tcPr>
          <w:p w14:paraId="1646BC8C"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National accounting </w:t>
            </w:r>
          </w:p>
        </w:tc>
        <w:tc>
          <w:tcPr>
            <w:tcW w:w="7155" w:type="dxa"/>
            <w:tcBorders>
              <w:top w:val="nil"/>
              <w:left w:val="nil"/>
              <w:bottom w:val="nil"/>
              <w:right w:val="nil"/>
            </w:tcBorders>
            <w:shd w:val="clear" w:color="auto" w:fill="auto"/>
            <w:hideMark/>
          </w:tcPr>
          <w:p w14:paraId="32BBF52B"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implementation of complete and consistent accounting techniques for measuring the economic activity of a nation, for example following the UN System of National Accounts. (</w:t>
            </w:r>
            <w:hyperlink r:id="rId683" w:anchor=":~:text=The%20System%20of%20National%20Accounts%20(SNA)%20is%20the%20internationally%20agreed,compile%20measures%20of%20economic%20activity." w:tgtFrame="_blank" w:history="1">
              <w:r w:rsidRPr="00ED7E61">
                <w:rPr>
                  <w:rStyle w:val="Hyperlink"/>
                  <w:rFonts w:asciiTheme="majorBidi" w:eastAsiaTheme="majorEastAsia" w:hAnsiTheme="majorBidi" w:cstheme="majorBidi"/>
                  <w:sz w:val="22"/>
                  <w:szCs w:val="22"/>
                </w:rPr>
                <w:t>UN Stats</w:t>
              </w:r>
            </w:hyperlink>
            <w:r w:rsidRPr="00ED7E61">
              <w:rPr>
                <w:rFonts w:asciiTheme="majorBidi" w:eastAsiaTheme="majorEastAsia" w:hAnsiTheme="majorBidi" w:cstheme="majorBidi"/>
                <w:sz w:val="22"/>
                <w:szCs w:val="22"/>
              </w:rPr>
              <w:t>) </w:t>
            </w:r>
          </w:p>
        </w:tc>
      </w:tr>
      <w:tr w:rsidR="00764225" w:rsidRPr="00ED7E61" w14:paraId="5E714A91" w14:textId="77777777" w:rsidTr="00764225">
        <w:trPr>
          <w:trHeight w:val="525"/>
        </w:trPr>
        <w:tc>
          <w:tcPr>
            <w:tcW w:w="2055" w:type="dxa"/>
            <w:tcBorders>
              <w:top w:val="nil"/>
              <w:left w:val="nil"/>
              <w:bottom w:val="nil"/>
              <w:right w:val="nil"/>
            </w:tcBorders>
            <w:shd w:val="clear" w:color="auto" w:fill="auto"/>
            <w:hideMark/>
          </w:tcPr>
          <w:p w14:paraId="31DF863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National budget </w:t>
            </w:r>
          </w:p>
        </w:tc>
        <w:tc>
          <w:tcPr>
            <w:tcW w:w="7155" w:type="dxa"/>
            <w:tcBorders>
              <w:top w:val="nil"/>
              <w:left w:val="nil"/>
              <w:bottom w:val="nil"/>
              <w:right w:val="nil"/>
            </w:tcBorders>
            <w:shd w:val="clear" w:color="auto" w:fill="auto"/>
            <w:hideMark/>
          </w:tcPr>
          <w:p w14:paraId="672DADC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Total budget (income and expenditure) of a country. </w:t>
            </w:r>
          </w:p>
        </w:tc>
      </w:tr>
      <w:tr w:rsidR="00764225" w:rsidRPr="00ED7E61" w14:paraId="5BE5EB8D" w14:textId="77777777" w:rsidTr="00764225">
        <w:trPr>
          <w:trHeight w:val="3060"/>
        </w:trPr>
        <w:tc>
          <w:tcPr>
            <w:tcW w:w="2055" w:type="dxa"/>
            <w:tcBorders>
              <w:top w:val="nil"/>
              <w:left w:val="nil"/>
              <w:bottom w:val="nil"/>
              <w:right w:val="nil"/>
            </w:tcBorders>
            <w:shd w:val="clear" w:color="auto" w:fill="auto"/>
            <w:hideMark/>
          </w:tcPr>
          <w:p w14:paraId="3B46864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National capacity self-assessment </w:t>
            </w:r>
          </w:p>
        </w:tc>
        <w:tc>
          <w:tcPr>
            <w:tcW w:w="7155" w:type="dxa"/>
            <w:tcBorders>
              <w:top w:val="nil"/>
              <w:left w:val="nil"/>
              <w:bottom w:val="nil"/>
              <w:right w:val="nil"/>
            </w:tcBorders>
            <w:shd w:val="clear" w:color="auto" w:fill="auto"/>
            <w:hideMark/>
          </w:tcPr>
          <w:p w14:paraId="1B991C7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An official process outlined by the United Nations and the GEF secretariat to assess the existing capacity of a nation to deliver on and implement the Convention. The primary goal of an NCSA is to determine national priorities for capacity development to better address global environmental issues. The NCSA will analyse the country’s capacity strengths, constraints and needs, and recommend capacity development actions to address them. The focus is on a country’s capacity requirements to implement the three “</w:t>
            </w:r>
            <w:r w:rsidRPr="00FB1598">
              <w:rPr>
                <w:rFonts w:asciiTheme="majorBidi" w:eastAsiaTheme="majorEastAsia" w:hAnsiTheme="majorBidi" w:cstheme="majorBidi"/>
                <w:i/>
                <w:iCs/>
                <w:sz w:val="22"/>
                <w:szCs w:val="22"/>
              </w:rPr>
              <w:t>Rio Conventions</w:t>
            </w:r>
            <w:r w:rsidRPr="00ED7E61">
              <w:rPr>
                <w:rFonts w:asciiTheme="majorBidi" w:eastAsiaTheme="majorEastAsia" w:hAnsiTheme="majorBidi" w:cstheme="majorBidi"/>
                <w:sz w:val="22"/>
                <w:szCs w:val="22"/>
              </w:rPr>
              <w:t>” – biodiversity (CBD), land degradation (CCD), and climate change (UNFCC) – and other relevant Multilateral Environmental Agreements (MEAs). In addition, the NCSA process aims to identify cross-cutting capacity issues and foster synergies among the MEAs. (</w:t>
            </w:r>
            <w:hyperlink r:id="rId684" w:tgtFrame="_blank" w:history="1">
              <w:r w:rsidRPr="00ED7E61">
                <w:rPr>
                  <w:rStyle w:val="Hyperlink"/>
                  <w:rFonts w:asciiTheme="majorBidi" w:eastAsiaTheme="majorEastAsia" w:hAnsiTheme="majorBidi" w:cstheme="majorBidi"/>
                  <w:sz w:val="22"/>
                  <w:szCs w:val="22"/>
                </w:rPr>
                <w:t>GEF</w:t>
              </w:r>
            </w:hyperlink>
            <w:r w:rsidRPr="00ED7E61">
              <w:rPr>
                <w:rFonts w:asciiTheme="majorBidi" w:eastAsiaTheme="majorEastAsia" w:hAnsiTheme="majorBidi" w:cstheme="majorBidi"/>
                <w:sz w:val="22"/>
                <w:szCs w:val="22"/>
              </w:rPr>
              <w:t xml:space="preserve">, 2001; </w:t>
            </w:r>
            <w:hyperlink r:id="rId685" w:tgtFrame="_blank" w:history="1">
              <w:r w:rsidRPr="00ED7E61">
                <w:rPr>
                  <w:rStyle w:val="Hyperlink"/>
                  <w:rFonts w:asciiTheme="majorBidi" w:eastAsiaTheme="majorEastAsia" w:hAnsiTheme="majorBidi" w:cstheme="majorBidi"/>
                  <w:sz w:val="22"/>
                  <w:szCs w:val="22"/>
                </w:rPr>
                <w:t>UNDP</w:t>
              </w:r>
            </w:hyperlink>
            <w:r w:rsidRPr="00ED7E61">
              <w:rPr>
                <w:rFonts w:asciiTheme="majorBidi" w:eastAsiaTheme="majorEastAsia" w:hAnsiTheme="majorBidi" w:cstheme="majorBidi"/>
                <w:sz w:val="22"/>
                <w:szCs w:val="22"/>
              </w:rPr>
              <w:t xml:space="preserve">, 2005; </w:t>
            </w:r>
            <w:hyperlink r:id="rId686" w:tgtFrame="_blank" w:history="1">
              <w:r w:rsidRPr="00ED7E61">
                <w:rPr>
                  <w:rStyle w:val="Hyperlink"/>
                  <w:rFonts w:asciiTheme="majorBidi" w:eastAsiaTheme="majorEastAsia" w:hAnsiTheme="majorBidi" w:cstheme="majorBidi"/>
                  <w:sz w:val="22"/>
                  <w:szCs w:val="22"/>
                </w:rPr>
                <w:t>UNDP</w:t>
              </w:r>
            </w:hyperlink>
            <w:r w:rsidRPr="00ED7E61">
              <w:rPr>
                <w:rFonts w:asciiTheme="majorBidi" w:eastAsiaTheme="majorEastAsia" w:hAnsiTheme="majorBidi" w:cstheme="majorBidi"/>
                <w:sz w:val="22"/>
                <w:szCs w:val="22"/>
              </w:rPr>
              <w:t xml:space="preserve"> 2010) </w:t>
            </w:r>
          </w:p>
        </w:tc>
      </w:tr>
      <w:tr w:rsidR="00764225" w:rsidRPr="00ED7E61" w14:paraId="723B7F8F" w14:textId="77777777" w:rsidTr="00764225">
        <w:trPr>
          <w:trHeight w:val="465"/>
        </w:trPr>
        <w:tc>
          <w:tcPr>
            <w:tcW w:w="2055" w:type="dxa"/>
            <w:tcBorders>
              <w:top w:val="nil"/>
              <w:left w:val="nil"/>
              <w:bottom w:val="nil"/>
              <w:right w:val="nil"/>
            </w:tcBorders>
            <w:shd w:val="clear" w:color="auto" w:fill="auto"/>
            <w:hideMark/>
          </w:tcPr>
          <w:p w14:paraId="1E8A76C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National indicator </w:t>
            </w:r>
          </w:p>
        </w:tc>
        <w:tc>
          <w:tcPr>
            <w:tcW w:w="7155" w:type="dxa"/>
            <w:tcBorders>
              <w:top w:val="nil"/>
              <w:left w:val="nil"/>
              <w:bottom w:val="nil"/>
              <w:right w:val="nil"/>
            </w:tcBorders>
            <w:shd w:val="clear" w:color="auto" w:fill="auto"/>
            <w:hideMark/>
          </w:tcPr>
          <w:p w14:paraId="40FAD7F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Indicator reported at the level of nations. </w:t>
            </w:r>
          </w:p>
        </w:tc>
      </w:tr>
      <w:tr w:rsidR="00764225" w:rsidRPr="00ED7E61" w14:paraId="55760EEE" w14:textId="77777777" w:rsidTr="00764225">
        <w:trPr>
          <w:trHeight w:val="2265"/>
        </w:trPr>
        <w:tc>
          <w:tcPr>
            <w:tcW w:w="2055" w:type="dxa"/>
            <w:tcBorders>
              <w:top w:val="nil"/>
              <w:left w:val="nil"/>
              <w:bottom w:val="nil"/>
              <w:right w:val="nil"/>
            </w:tcBorders>
            <w:shd w:val="clear" w:color="auto" w:fill="auto"/>
            <w:hideMark/>
          </w:tcPr>
          <w:p w14:paraId="6F997B9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Nationally determined contributions </w:t>
            </w:r>
          </w:p>
        </w:tc>
        <w:tc>
          <w:tcPr>
            <w:tcW w:w="7155" w:type="dxa"/>
            <w:tcBorders>
              <w:top w:val="nil"/>
              <w:left w:val="nil"/>
              <w:bottom w:val="nil"/>
              <w:right w:val="nil"/>
            </w:tcBorders>
            <w:shd w:val="clear" w:color="auto" w:fill="auto"/>
            <w:hideMark/>
          </w:tcPr>
          <w:p w14:paraId="6E267C2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Nationally determined contributions (NDCs) are at the heart of the Paris Agreement and the achievement of its long-term goals. NDCs embody efforts by each country to reduce national emissions and adapt to the impacts of climate change. The Paris Agreement (Article 4, paragraph 2) requires each Party to prepare, communicate and maintain successive nationally determined contributions (NDCs) that it intends to achieve. Parties shall pursue domestic mitigation measures, with the aim of achieving the objectives of such contributions. (</w:t>
            </w:r>
            <w:hyperlink r:id="rId687" w:tgtFrame="_blank" w:history="1">
              <w:r w:rsidRPr="00ED7E61">
                <w:rPr>
                  <w:rStyle w:val="Hyperlink"/>
                  <w:rFonts w:asciiTheme="majorBidi" w:eastAsiaTheme="majorEastAsia" w:hAnsiTheme="majorBidi" w:cstheme="majorBidi"/>
                  <w:sz w:val="22"/>
                  <w:szCs w:val="22"/>
                </w:rPr>
                <w:t>UN FCCC</w:t>
              </w:r>
            </w:hyperlink>
            <w:r w:rsidRPr="00ED7E61">
              <w:rPr>
                <w:rFonts w:asciiTheme="majorBidi" w:eastAsiaTheme="majorEastAsia" w:hAnsiTheme="majorBidi" w:cstheme="majorBidi"/>
                <w:sz w:val="22"/>
                <w:szCs w:val="22"/>
              </w:rPr>
              <w:t>) </w:t>
            </w:r>
          </w:p>
        </w:tc>
      </w:tr>
      <w:tr w:rsidR="00764225" w:rsidRPr="00ED7E61" w14:paraId="09CA4685" w14:textId="77777777" w:rsidTr="00764225">
        <w:trPr>
          <w:trHeight w:val="675"/>
        </w:trPr>
        <w:tc>
          <w:tcPr>
            <w:tcW w:w="2055" w:type="dxa"/>
            <w:tcBorders>
              <w:top w:val="nil"/>
              <w:left w:val="nil"/>
              <w:bottom w:val="nil"/>
              <w:right w:val="nil"/>
            </w:tcBorders>
            <w:shd w:val="clear" w:color="auto" w:fill="auto"/>
            <w:hideMark/>
          </w:tcPr>
          <w:p w14:paraId="2D2798C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Native biodiversity </w:t>
            </w:r>
          </w:p>
        </w:tc>
        <w:tc>
          <w:tcPr>
            <w:tcW w:w="7155" w:type="dxa"/>
            <w:tcBorders>
              <w:top w:val="nil"/>
              <w:left w:val="nil"/>
              <w:bottom w:val="nil"/>
              <w:right w:val="nil"/>
            </w:tcBorders>
            <w:shd w:val="clear" w:color="auto" w:fill="auto"/>
            <w:hideMark/>
          </w:tcPr>
          <w:p w14:paraId="631DD03B"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species (animal, plant or other organism) within its natural range, including shifting its range, without human involvement. (</w:t>
            </w:r>
            <w:hyperlink r:id="rId688"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2023) </w:t>
            </w:r>
          </w:p>
        </w:tc>
      </w:tr>
      <w:tr w:rsidR="00764225" w:rsidRPr="00ED7E61" w14:paraId="05AF202A" w14:textId="77777777" w:rsidTr="00764225">
        <w:trPr>
          <w:trHeight w:val="765"/>
        </w:trPr>
        <w:tc>
          <w:tcPr>
            <w:tcW w:w="2055" w:type="dxa"/>
            <w:tcBorders>
              <w:top w:val="nil"/>
              <w:left w:val="nil"/>
              <w:bottom w:val="nil"/>
              <w:right w:val="nil"/>
            </w:tcBorders>
            <w:shd w:val="clear" w:color="auto" w:fill="auto"/>
            <w:hideMark/>
          </w:tcPr>
          <w:p w14:paraId="3000230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Native wild species </w:t>
            </w:r>
          </w:p>
        </w:tc>
        <w:tc>
          <w:tcPr>
            <w:tcW w:w="7155" w:type="dxa"/>
            <w:tcBorders>
              <w:top w:val="nil"/>
              <w:left w:val="nil"/>
              <w:bottom w:val="nil"/>
              <w:right w:val="nil"/>
            </w:tcBorders>
            <w:shd w:val="clear" w:color="auto" w:fill="auto"/>
            <w:hideMark/>
          </w:tcPr>
          <w:p w14:paraId="104D6F2F" w14:textId="41CD49C0"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Species that occur naturally in the wild in the area under consideration. Invasive alien species and domesticated species are excluded. (McGowan et al. 2024) </w:t>
            </w:r>
          </w:p>
        </w:tc>
      </w:tr>
      <w:tr w:rsidR="00764225" w:rsidRPr="00ED7E61" w14:paraId="4EA6D2E5" w14:textId="77777777" w:rsidTr="00764225">
        <w:trPr>
          <w:trHeight w:val="946"/>
        </w:trPr>
        <w:tc>
          <w:tcPr>
            <w:tcW w:w="2055" w:type="dxa"/>
            <w:tcBorders>
              <w:top w:val="nil"/>
              <w:left w:val="nil"/>
              <w:bottom w:val="nil"/>
              <w:right w:val="nil"/>
            </w:tcBorders>
            <w:shd w:val="clear" w:color="auto" w:fill="auto"/>
            <w:hideMark/>
          </w:tcPr>
          <w:p w14:paraId="2A71A6A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Natural ecosystems </w:t>
            </w:r>
          </w:p>
        </w:tc>
        <w:tc>
          <w:tcPr>
            <w:tcW w:w="7155" w:type="dxa"/>
            <w:tcBorders>
              <w:top w:val="nil"/>
              <w:left w:val="nil"/>
              <w:bottom w:val="nil"/>
              <w:right w:val="nil"/>
            </w:tcBorders>
            <w:shd w:val="clear" w:color="auto" w:fill="auto"/>
            <w:hideMark/>
          </w:tcPr>
          <w:p w14:paraId="65141642" w14:textId="7B9331C6"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Natural ecosystems are predominantly influenced by natural ecological processes, functions drivers, and composed of native/indigenous species, relative to historic baselines or reference states (adapted from Nicholson et al</w:t>
            </w:r>
            <w:r w:rsidR="00D266C9">
              <w:rPr>
                <w:rFonts w:asciiTheme="majorBidi" w:eastAsiaTheme="majorEastAsia" w:hAnsiTheme="majorBidi" w:cstheme="majorBidi"/>
                <w:sz w:val="22"/>
                <w:szCs w:val="22"/>
              </w:rPr>
              <w:t>.</w:t>
            </w:r>
            <w:r w:rsidR="00315C60">
              <w:rPr>
                <w:rFonts w:asciiTheme="majorBidi" w:eastAsiaTheme="majorEastAsia" w:hAnsiTheme="majorBidi" w:cstheme="majorBidi"/>
                <w:sz w:val="22"/>
                <w:szCs w:val="22"/>
              </w:rPr>
              <w:t xml:space="preserve"> </w:t>
            </w:r>
            <w:r w:rsidRPr="00ED7E61">
              <w:rPr>
                <w:rFonts w:asciiTheme="majorBidi" w:eastAsiaTheme="majorEastAsia" w:hAnsiTheme="majorBidi" w:cstheme="majorBidi"/>
                <w:sz w:val="22"/>
                <w:szCs w:val="22"/>
              </w:rPr>
              <w:t>2021). </w:t>
            </w:r>
          </w:p>
        </w:tc>
      </w:tr>
      <w:tr w:rsidR="00764225" w:rsidRPr="00ED7E61" w14:paraId="333DAD36" w14:textId="77777777" w:rsidTr="00764225">
        <w:trPr>
          <w:trHeight w:val="750"/>
        </w:trPr>
        <w:tc>
          <w:tcPr>
            <w:tcW w:w="2055" w:type="dxa"/>
            <w:tcBorders>
              <w:top w:val="nil"/>
              <w:left w:val="nil"/>
              <w:bottom w:val="nil"/>
              <w:right w:val="nil"/>
            </w:tcBorders>
            <w:shd w:val="clear" w:color="auto" w:fill="auto"/>
            <w:hideMark/>
          </w:tcPr>
          <w:p w14:paraId="70F56AC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Natural or biodiversity resources </w:t>
            </w:r>
          </w:p>
        </w:tc>
        <w:tc>
          <w:tcPr>
            <w:tcW w:w="7155" w:type="dxa"/>
            <w:tcBorders>
              <w:top w:val="nil"/>
              <w:left w:val="nil"/>
              <w:bottom w:val="nil"/>
              <w:right w:val="nil"/>
            </w:tcBorders>
            <w:shd w:val="clear" w:color="auto" w:fill="auto"/>
            <w:hideMark/>
          </w:tcPr>
          <w:p w14:paraId="120DB74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Natural or biological assets (raw materials) occurring in nature that can be used for economic production or consumption. (</w:t>
            </w:r>
            <w:hyperlink r:id="rId689" w:tgtFrame="_blank" w:history="1">
              <w:r w:rsidRPr="00ED7E61">
                <w:rPr>
                  <w:rStyle w:val="Hyperlink"/>
                  <w:rFonts w:asciiTheme="majorBidi" w:eastAsiaTheme="majorEastAsia" w:hAnsiTheme="majorBidi" w:cstheme="majorBidi"/>
                  <w:sz w:val="22"/>
                  <w:szCs w:val="22"/>
                </w:rPr>
                <w:t>EU Commission</w:t>
              </w:r>
            </w:hyperlink>
            <w:r w:rsidRPr="00ED7E61">
              <w:rPr>
                <w:rFonts w:asciiTheme="majorBidi" w:eastAsiaTheme="majorEastAsia" w:hAnsiTheme="majorBidi" w:cstheme="majorBidi"/>
                <w:sz w:val="22"/>
                <w:szCs w:val="22"/>
              </w:rPr>
              <w:t>, 2023) </w:t>
            </w:r>
          </w:p>
        </w:tc>
      </w:tr>
      <w:tr w:rsidR="00764225" w:rsidRPr="00ED7E61" w14:paraId="0A8DAF6F" w14:textId="77777777" w:rsidTr="00764225">
        <w:trPr>
          <w:trHeight w:val="1695"/>
        </w:trPr>
        <w:tc>
          <w:tcPr>
            <w:tcW w:w="2055" w:type="dxa"/>
            <w:tcBorders>
              <w:top w:val="nil"/>
              <w:left w:val="nil"/>
              <w:bottom w:val="nil"/>
              <w:right w:val="nil"/>
            </w:tcBorders>
            <w:shd w:val="clear" w:color="auto" w:fill="auto"/>
            <w:hideMark/>
          </w:tcPr>
          <w:p w14:paraId="602AB8D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Nature-based solutions </w:t>
            </w:r>
          </w:p>
        </w:tc>
        <w:tc>
          <w:tcPr>
            <w:tcW w:w="7155" w:type="dxa"/>
            <w:tcBorders>
              <w:top w:val="nil"/>
              <w:left w:val="nil"/>
              <w:bottom w:val="nil"/>
              <w:right w:val="nil"/>
            </w:tcBorders>
            <w:shd w:val="clear" w:color="auto" w:fill="auto"/>
            <w:hideMark/>
          </w:tcPr>
          <w:p w14:paraId="62023A9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Refer to actions to protect, conserve, restore, sustainably use and manage natural or modified terrestrial, freshwater, coastal and marine ecosystems, which address social, economic and environmental challenges effectively and adaptively, while simultaneously providing human well-being, ecosystem services and resilience and biodiversity benefits including on mitigation, adaptation and disaster risk reduction. (</w:t>
            </w:r>
            <w:hyperlink r:id="rId690" w:tgtFrame="_blank" w:history="1">
              <w:r w:rsidRPr="00ED7E61">
                <w:rPr>
                  <w:rStyle w:val="Hyperlink"/>
                  <w:rFonts w:asciiTheme="majorBidi" w:eastAsiaTheme="majorEastAsia" w:hAnsiTheme="majorBidi" w:cstheme="majorBidi"/>
                  <w:sz w:val="22"/>
                  <w:szCs w:val="22"/>
                </w:rPr>
                <w:t>UNEA</w:t>
              </w:r>
            </w:hyperlink>
            <w:r w:rsidRPr="00ED7E61">
              <w:rPr>
                <w:rFonts w:asciiTheme="majorBidi" w:eastAsiaTheme="majorEastAsia" w:hAnsiTheme="majorBidi" w:cstheme="majorBidi"/>
                <w:sz w:val="22"/>
                <w:szCs w:val="22"/>
              </w:rPr>
              <w:t>, 2022) </w:t>
            </w:r>
          </w:p>
        </w:tc>
      </w:tr>
      <w:tr w:rsidR="00764225" w:rsidRPr="00ED7E61" w14:paraId="2C4DE44F" w14:textId="77777777" w:rsidTr="00764225">
        <w:trPr>
          <w:trHeight w:val="2497"/>
        </w:trPr>
        <w:tc>
          <w:tcPr>
            <w:tcW w:w="2055" w:type="dxa"/>
            <w:tcBorders>
              <w:top w:val="nil"/>
              <w:left w:val="nil"/>
              <w:bottom w:val="nil"/>
              <w:right w:val="nil"/>
            </w:tcBorders>
            <w:shd w:val="clear" w:color="auto" w:fill="auto"/>
            <w:hideMark/>
          </w:tcPr>
          <w:p w14:paraId="788FF83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Nature's contributions to people (NCP) </w:t>
            </w:r>
          </w:p>
        </w:tc>
        <w:tc>
          <w:tcPr>
            <w:tcW w:w="7155" w:type="dxa"/>
            <w:tcBorders>
              <w:top w:val="nil"/>
              <w:left w:val="nil"/>
              <w:bottom w:val="nil"/>
              <w:right w:val="nil"/>
            </w:tcBorders>
            <w:shd w:val="clear" w:color="auto" w:fill="auto"/>
            <w:hideMark/>
          </w:tcPr>
          <w:p w14:paraId="4632F78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Nature’s contributions to people (a concept similar to and inclusive of ecosystem services) refers to all the contributions from biodiversity to people’s well-being or quality of life. They include (a) material contributions, such as the production of food, feed, fibre, medicines and energy, (b) regulating services, such as the regulation of air and water quality, climate regulation, pollination, regulation of pests and diseases and provision of habitat, and (c) other non-material contributions, such as learning, inspiration, health, physical, psychological, spiritual well-being and experiences and supporting identities and culture, as well as maintaining options for future generations. (</w:t>
            </w:r>
            <w:r w:rsidRPr="00ED7E61">
              <w:rPr>
                <w:rFonts w:asciiTheme="majorBidi" w:eastAsiaTheme="majorEastAsia" w:hAnsiTheme="majorBidi" w:cstheme="majorBidi"/>
                <w:sz w:val="22"/>
                <w:szCs w:val="22"/>
                <w:lang w:val="en-GB"/>
              </w:rPr>
              <w:t>CBD/WG2020/5/4)</w:t>
            </w:r>
            <w:r w:rsidRPr="00ED7E61">
              <w:rPr>
                <w:rFonts w:asciiTheme="majorBidi" w:eastAsiaTheme="majorEastAsia" w:hAnsiTheme="majorBidi" w:cstheme="majorBidi"/>
                <w:sz w:val="22"/>
                <w:szCs w:val="22"/>
              </w:rPr>
              <w:t> </w:t>
            </w:r>
          </w:p>
        </w:tc>
      </w:tr>
      <w:tr w:rsidR="00764225" w:rsidRPr="00ED7E61" w14:paraId="342CDD85" w14:textId="77777777" w:rsidTr="00764225">
        <w:trPr>
          <w:trHeight w:val="1002"/>
        </w:trPr>
        <w:tc>
          <w:tcPr>
            <w:tcW w:w="2055" w:type="dxa"/>
            <w:tcBorders>
              <w:top w:val="nil"/>
              <w:left w:val="nil"/>
              <w:bottom w:val="nil"/>
              <w:right w:val="nil"/>
            </w:tcBorders>
            <w:shd w:val="clear" w:color="auto" w:fill="auto"/>
            <w:hideMark/>
          </w:tcPr>
          <w:p w14:paraId="433C796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Non-monetary values </w:t>
            </w:r>
          </w:p>
        </w:tc>
        <w:tc>
          <w:tcPr>
            <w:tcW w:w="7155" w:type="dxa"/>
            <w:tcBorders>
              <w:top w:val="nil"/>
              <w:left w:val="nil"/>
              <w:bottom w:val="nil"/>
              <w:right w:val="nil"/>
            </w:tcBorders>
            <w:shd w:val="clear" w:color="auto" w:fill="auto"/>
            <w:hideMark/>
          </w:tcPr>
          <w:p w14:paraId="0209271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value attributable to an item or a service without relation to any acceptable cash price and for which a fixed or determinable amount of currency is absent (e.g. many ecosystem services, interpersonal good-will, health, etc.). (</w:t>
            </w:r>
            <w:hyperlink r:id="rId691"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2016) </w:t>
            </w:r>
          </w:p>
        </w:tc>
      </w:tr>
      <w:tr w:rsidR="00764225" w:rsidRPr="00ED7E61" w14:paraId="0D718801" w14:textId="77777777" w:rsidTr="00764225">
        <w:trPr>
          <w:trHeight w:val="1995"/>
        </w:trPr>
        <w:tc>
          <w:tcPr>
            <w:tcW w:w="2055" w:type="dxa"/>
            <w:tcBorders>
              <w:top w:val="nil"/>
              <w:left w:val="nil"/>
              <w:bottom w:val="nil"/>
              <w:right w:val="nil"/>
            </w:tcBorders>
            <w:shd w:val="clear" w:color="auto" w:fill="auto"/>
            <w:hideMark/>
          </w:tcPr>
          <w:p w14:paraId="383AF416" w14:textId="5ED634B4"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Nursery population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 xml:space="preserve">and habitat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maintenance services </w:t>
            </w:r>
          </w:p>
        </w:tc>
        <w:tc>
          <w:tcPr>
            <w:tcW w:w="7155" w:type="dxa"/>
            <w:tcBorders>
              <w:top w:val="nil"/>
              <w:left w:val="nil"/>
              <w:bottom w:val="nil"/>
              <w:right w:val="nil"/>
            </w:tcBorders>
            <w:shd w:val="clear" w:color="auto" w:fill="auto"/>
            <w:hideMark/>
          </w:tcPr>
          <w:p w14:paraId="48B2C662" w14:textId="58E96FC4"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ecosystem contributions necessary for sustaining populations of species that economic units ultimately use or enjoy either through the maintenance of habitats (e.g. for nurseries or migration) or the protection of natural gene pools. This service is an intermediate service and may provide input to different final ecosystem services including biomass provision and recreation-related services. The potential metric is the size of biomass stocks dependent upon nursey and habitat services. </w:t>
            </w:r>
          </w:p>
        </w:tc>
      </w:tr>
      <w:tr w:rsidR="00764225" w:rsidRPr="00ED7E61" w14:paraId="387F3580" w14:textId="77777777" w:rsidTr="00764225">
        <w:trPr>
          <w:trHeight w:val="1020"/>
        </w:trPr>
        <w:tc>
          <w:tcPr>
            <w:tcW w:w="2055" w:type="dxa"/>
            <w:tcBorders>
              <w:top w:val="nil"/>
              <w:left w:val="nil"/>
              <w:bottom w:val="nil"/>
              <w:right w:val="nil"/>
            </w:tcBorders>
            <w:shd w:val="clear" w:color="auto" w:fill="auto"/>
            <w:hideMark/>
          </w:tcPr>
          <w:p w14:paraId="577B3F24"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Ocean acidification </w:t>
            </w:r>
          </w:p>
        </w:tc>
        <w:tc>
          <w:tcPr>
            <w:tcW w:w="7155" w:type="dxa"/>
            <w:tcBorders>
              <w:top w:val="nil"/>
              <w:left w:val="nil"/>
              <w:bottom w:val="nil"/>
              <w:right w:val="nil"/>
            </w:tcBorders>
            <w:shd w:val="clear" w:color="auto" w:fill="auto"/>
            <w:hideMark/>
          </w:tcPr>
          <w:p w14:paraId="2E322B6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Ongoing reduction in the pH of the ocean, caused primarily by the uptake of carbon dioxide (CO2) from the atmosphere, but can also be exacerbated by local processes, such as the decomposition of organic material, microbial processes involved in nitrogen cycling and acidic wastewater discharge. (GOOS) </w:t>
            </w:r>
          </w:p>
          <w:p w14:paraId="55B9159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w:t>
            </w:r>
          </w:p>
        </w:tc>
      </w:tr>
      <w:tr w:rsidR="00764225" w:rsidRPr="00ED7E61" w14:paraId="162320B0" w14:textId="77777777" w:rsidTr="00764225">
        <w:trPr>
          <w:trHeight w:val="3261"/>
        </w:trPr>
        <w:tc>
          <w:tcPr>
            <w:tcW w:w="2055" w:type="dxa"/>
            <w:tcBorders>
              <w:top w:val="nil"/>
              <w:left w:val="nil"/>
              <w:bottom w:val="nil"/>
              <w:right w:val="nil"/>
            </w:tcBorders>
            <w:shd w:val="clear" w:color="auto" w:fill="auto"/>
            <w:hideMark/>
          </w:tcPr>
          <w:p w14:paraId="033446F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Open public space </w:t>
            </w:r>
          </w:p>
        </w:tc>
        <w:tc>
          <w:tcPr>
            <w:tcW w:w="7155" w:type="dxa"/>
            <w:tcBorders>
              <w:top w:val="nil"/>
              <w:left w:val="nil"/>
              <w:bottom w:val="nil"/>
              <w:right w:val="nil"/>
            </w:tcBorders>
            <w:shd w:val="clear" w:color="auto" w:fill="auto"/>
            <w:hideMark/>
          </w:tcPr>
          <w:p w14:paraId="0792646B"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Any open piece of land that is undeveloped or land with no buildings (or other built structures) that is accessible to the public without charge, and provides recreational areas for residents and helps to enhance the beauty and environmental quality of neighbourhoods. UN-Habitat recognizes that different cities have different types of open public spaces, which vary in both size and typology. Based on the size of both soft and hard surfaces, open public spaces are broadly classified into six categories: national/metropolitan open spaces; regional/larger city open spaces; district/city open spaces; neighbourhood open spaces; local/pocket open spaces; and linear open spaces. Classification of open public space by typology is described by the function of the space and can include: green public areas, riparian reserves, parks and urban forests, playground, square, plazas, waterfronts, sports field, community gardens, parklets and pocket parks. (</w:t>
            </w:r>
            <w:hyperlink r:id="rId692" w:tgtFrame="_blank" w:history="1">
              <w:r w:rsidRPr="00ED7E61">
                <w:rPr>
                  <w:rStyle w:val="Hyperlink"/>
                  <w:rFonts w:asciiTheme="majorBidi" w:eastAsiaTheme="majorEastAsia" w:hAnsiTheme="majorBidi" w:cstheme="majorBidi"/>
                  <w:sz w:val="22"/>
                  <w:szCs w:val="22"/>
                </w:rPr>
                <w:t>UN Habitat</w:t>
              </w:r>
            </w:hyperlink>
            <w:r w:rsidRPr="00ED7E61">
              <w:rPr>
                <w:rFonts w:asciiTheme="majorBidi" w:eastAsiaTheme="majorEastAsia" w:hAnsiTheme="majorBidi" w:cstheme="majorBidi"/>
                <w:sz w:val="22"/>
                <w:szCs w:val="22"/>
              </w:rPr>
              <w:t>, 2018) </w:t>
            </w:r>
          </w:p>
        </w:tc>
      </w:tr>
      <w:tr w:rsidR="00764225" w:rsidRPr="00ED7E61" w14:paraId="4EA1ECC2" w14:textId="77777777" w:rsidTr="00764225">
        <w:trPr>
          <w:trHeight w:val="705"/>
        </w:trPr>
        <w:tc>
          <w:tcPr>
            <w:tcW w:w="2055" w:type="dxa"/>
            <w:tcBorders>
              <w:top w:val="nil"/>
              <w:left w:val="nil"/>
              <w:bottom w:val="nil"/>
              <w:right w:val="nil"/>
            </w:tcBorders>
            <w:shd w:val="clear" w:color="auto" w:fill="auto"/>
            <w:hideMark/>
          </w:tcPr>
          <w:p w14:paraId="5CA9B2C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Operations </w:t>
            </w:r>
          </w:p>
        </w:tc>
        <w:tc>
          <w:tcPr>
            <w:tcW w:w="7155" w:type="dxa"/>
            <w:tcBorders>
              <w:top w:val="nil"/>
              <w:left w:val="nil"/>
              <w:bottom w:val="nil"/>
              <w:right w:val="nil"/>
            </w:tcBorders>
            <w:shd w:val="clear" w:color="auto" w:fill="auto"/>
            <w:hideMark/>
          </w:tcPr>
          <w:p w14:paraId="753D603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All activities carried out by large and transnational companies and financial institutions to continue running and earning money.  </w:t>
            </w:r>
          </w:p>
        </w:tc>
      </w:tr>
      <w:tr w:rsidR="00764225" w:rsidRPr="00ED7E61" w14:paraId="5880498B" w14:textId="77777777" w:rsidTr="00764225">
        <w:trPr>
          <w:trHeight w:val="1560"/>
        </w:trPr>
        <w:tc>
          <w:tcPr>
            <w:tcW w:w="2055" w:type="dxa"/>
            <w:tcBorders>
              <w:top w:val="nil"/>
              <w:left w:val="nil"/>
              <w:bottom w:val="nil"/>
              <w:right w:val="nil"/>
            </w:tcBorders>
            <w:shd w:val="clear" w:color="auto" w:fill="auto"/>
            <w:hideMark/>
          </w:tcPr>
          <w:p w14:paraId="3504BE3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Other effective area-based conservation measure </w:t>
            </w:r>
          </w:p>
        </w:tc>
        <w:tc>
          <w:tcPr>
            <w:tcW w:w="7155" w:type="dxa"/>
            <w:tcBorders>
              <w:top w:val="nil"/>
              <w:left w:val="nil"/>
              <w:bottom w:val="nil"/>
              <w:right w:val="nil"/>
            </w:tcBorders>
            <w:shd w:val="clear" w:color="auto" w:fill="auto"/>
            <w:hideMark/>
          </w:tcPr>
          <w:p w14:paraId="1201575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geographically defined area other than a Protected Area, which is governed and managed in ways that achieve positive and sustained long-term outcomes for the in-situ conservation of biodiversity, with associated ecosystem functions and services and where applicable, cultural, spiritual, socio–economic, and other locally relevant values. (</w:t>
            </w:r>
            <w:r w:rsidRPr="00ED7E61">
              <w:rPr>
                <w:rFonts w:asciiTheme="majorBidi" w:eastAsiaTheme="majorEastAsia" w:hAnsiTheme="majorBidi" w:cstheme="majorBidi"/>
                <w:sz w:val="22"/>
                <w:szCs w:val="22"/>
                <w:lang w:val="en-GB"/>
              </w:rPr>
              <w:t>CBD/SBSTTA/22/L.2)</w:t>
            </w:r>
            <w:r w:rsidRPr="00ED7E61">
              <w:rPr>
                <w:rFonts w:asciiTheme="majorBidi" w:eastAsiaTheme="majorEastAsia" w:hAnsiTheme="majorBidi" w:cstheme="majorBidi"/>
                <w:sz w:val="22"/>
                <w:szCs w:val="22"/>
              </w:rPr>
              <w:t> </w:t>
            </w:r>
          </w:p>
        </w:tc>
      </w:tr>
      <w:tr w:rsidR="00764225" w:rsidRPr="00ED7E61" w14:paraId="6AF994AC" w14:textId="77777777" w:rsidTr="00764225">
        <w:trPr>
          <w:trHeight w:val="716"/>
        </w:trPr>
        <w:tc>
          <w:tcPr>
            <w:tcW w:w="2055" w:type="dxa"/>
            <w:tcBorders>
              <w:top w:val="nil"/>
              <w:left w:val="nil"/>
              <w:bottom w:val="nil"/>
              <w:right w:val="nil"/>
            </w:tcBorders>
            <w:shd w:val="clear" w:color="auto" w:fill="auto"/>
            <w:hideMark/>
          </w:tcPr>
          <w:p w14:paraId="4C924864"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Outside biologically sustainable levels </w:t>
            </w:r>
          </w:p>
        </w:tc>
        <w:tc>
          <w:tcPr>
            <w:tcW w:w="7155" w:type="dxa"/>
            <w:tcBorders>
              <w:top w:val="nil"/>
              <w:left w:val="nil"/>
              <w:bottom w:val="nil"/>
              <w:right w:val="nil"/>
            </w:tcBorders>
            <w:shd w:val="clear" w:color="auto" w:fill="auto"/>
            <w:hideMark/>
          </w:tcPr>
          <w:p w14:paraId="22EFF79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When abundance falls below the MSY (maximum sustainable yield) level. </w:t>
            </w:r>
          </w:p>
        </w:tc>
      </w:tr>
      <w:tr w:rsidR="00764225" w:rsidRPr="00ED7E61" w14:paraId="511EF434" w14:textId="77777777" w:rsidTr="00764225">
        <w:trPr>
          <w:trHeight w:val="675"/>
        </w:trPr>
        <w:tc>
          <w:tcPr>
            <w:tcW w:w="2055" w:type="dxa"/>
            <w:tcBorders>
              <w:top w:val="nil"/>
              <w:left w:val="nil"/>
              <w:bottom w:val="nil"/>
              <w:right w:val="nil"/>
            </w:tcBorders>
            <w:shd w:val="clear" w:color="auto" w:fill="auto"/>
            <w:hideMark/>
          </w:tcPr>
          <w:p w14:paraId="03C9754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Overconsumption </w:t>
            </w:r>
          </w:p>
        </w:tc>
        <w:tc>
          <w:tcPr>
            <w:tcW w:w="7155" w:type="dxa"/>
            <w:tcBorders>
              <w:top w:val="nil"/>
              <w:left w:val="nil"/>
              <w:bottom w:val="nil"/>
              <w:right w:val="nil"/>
            </w:tcBorders>
            <w:shd w:val="clear" w:color="auto" w:fill="auto"/>
            <w:hideMark/>
          </w:tcPr>
          <w:p w14:paraId="62A438AB"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action or fact of consuming something to excess. Especially in the context of excessive use of natural resources. </w:t>
            </w:r>
          </w:p>
        </w:tc>
      </w:tr>
      <w:tr w:rsidR="00764225" w:rsidRPr="00ED7E61" w14:paraId="78CCB211" w14:textId="77777777" w:rsidTr="00764225">
        <w:trPr>
          <w:trHeight w:val="735"/>
        </w:trPr>
        <w:tc>
          <w:tcPr>
            <w:tcW w:w="2055" w:type="dxa"/>
            <w:tcBorders>
              <w:top w:val="nil"/>
              <w:left w:val="nil"/>
              <w:bottom w:val="nil"/>
              <w:right w:val="nil"/>
            </w:tcBorders>
            <w:shd w:val="clear" w:color="auto" w:fill="auto"/>
            <w:hideMark/>
          </w:tcPr>
          <w:p w14:paraId="2B8B40F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Participatory process </w:t>
            </w:r>
          </w:p>
        </w:tc>
        <w:tc>
          <w:tcPr>
            <w:tcW w:w="7155" w:type="dxa"/>
            <w:tcBorders>
              <w:top w:val="nil"/>
              <w:left w:val="nil"/>
              <w:bottom w:val="nil"/>
              <w:right w:val="nil"/>
            </w:tcBorders>
            <w:shd w:val="clear" w:color="auto" w:fill="auto"/>
            <w:hideMark/>
          </w:tcPr>
          <w:p w14:paraId="18470D0F" w14:textId="0E718F58"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Specific methods employed to achieve active participation by all members of a group in a decision-making process (Chatty et al. 2003).  </w:t>
            </w:r>
          </w:p>
        </w:tc>
      </w:tr>
      <w:tr w:rsidR="00764225" w:rsidRPr="00ED7E61" w14:paraId="77466FDA" w14:textId="77777777" w:rsidTr="00764225">
        <w:trPr>
          <w:trHeight w:val="1695"/>
        </w:trPr>
        <w:tc>
          <w:tcPr>
            <w:tcW w:w="2055" w:type="dxa"/>
            <w:tcBorders>
              <w:top w:val="nil"/>
              <w:left w:val="nil"/>
              <w:bottom w:val="nil"/>
              <w:right w:val="nil"/>
            </w:tcBorders>
            <w:shd w:val="clear" w:color="auto" w:fill="auto"/>
            <w:hideMark/>
          </w:tcPr>
          <w:p w14:paraId="5FD82A2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Participatory research </w:t>
            </w:r>
          </w:p>
        </w:tc>
        <w:tc>
          <w:tcPr>
            <w:tcW w:w="7155" w:type="dxa"/>
            <w:tcBorders>
              <w:top w:val="nil"/>
              <w:left w:val="nil"/>
              <w:bottom w:val="nil"/>
              <w:right w:val="nil"/>
            </w:tcBorders>
            <w:shd w:val="clear" w:color="auto" w:fill="auto"/>
            <w:hideMark/>
          </w:tcPr>
          <w:p w14:paraId="02D66DF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Participatory research methods are a variety of qualitative and quantitative methods geared towards planning and conducting the research process with those people whose life-world and meaningful actions are under study (Bergold &amp;amp; Thomas, 2012). Participatory methods acknowledge the possibility, the significance, and the usefulness of involving research partners in the knowledge-production process (Bergold, 2007).  </w:t>
            </w:r>
          </w:p>
        </w:tc>
      </w:tr>
      <w:tr w:rsidR="00764225" w:rsidRPr="00ED7E61" w14:paraId="61B9675A" w14:textId="77777777" w:rsidTr="00764225">
        <w:trPr>
          <w:trHeight w:val="1410"/>
        </w:trPr>
        <w:tc>
          <w:tcPr>
            <w:tcW w:w="2055" w:type="dxa"/>
            <w:tcBorders>
              <w:top w:val="nil"/>
              <w:left w:val="nil"/>
              <w:bottom w:val="nil"/>
              <w:right w:val="nil"/>
            </w:tcBorders>
            <w:shd w:val="clear" w:color="auto" w:fill="auto"/>
            <w:hideMark/>
          </w:tcPr>
          <w:p w14:paraId="643E027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Participatory spatial planning </w:t>
            </w:r>
          </w:p>
        </w:tc>
        <w:tc>
          <w:tcPr>
            <w:tcW w:w="7155" w:type="dxa"/>
            <w:tcBorders>
              <w:top w:val="nil"/>
              <w:left w:val="nil"/>
              <w:bottom w:val="nil"/>
              <w:right w:val="nil"/>
            </w:tcBorders>
            <w:shd w:val="clear" w:color="auto" w:fill="auto"/>
            <w:hideMark/>
          </w:tcPr>
          <w:p w14:paraId="39F0B0B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Spatial planning that involves stakeholders and rightsholders in all processes of decision-making and long-term effective management, taking into account traditional knowledge, ensuring that the voices of rightsholders and particularly marginalized groups are appropriately taken into account, to support healthy ecosystems, social equity and human rights. </w:t>
            </w:r>
          </w:p>
        </w:tc>
      </w:tr>
      <w:tr w:rsidR="00764225" w:rsidRPr="00ED7E61" w14:paraId="395BC4AA" w14:textId="77777777" w:rsidTr="00764225">
        <w:trPr>
          <w:trHeight w:val="1020"/>
        </w:trPr>
        <w:tc>
          <w:tcPr>
            <w:tcW w:w="2055" w:type="dxa"/>
            <w:tcBorders>
              <w:top w:val="nil"/>
              <w:left w:val="nil"/>
              <w:bottom w:val="nil"/>
              <w:right w:val="nil"/>
            </w:tcBorders>
            <w:shd w:val="clear" w:color="auto" w:fill="auto"/>
            <w:hideMark/>
          </w:tcPr>
          <w:p w14:paraId="20BECAF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Pathways of the introduction of alien species </w:t>
            </w:r>
          </w:p>
        </w:tc>
        <w:tc>
          <w:tcPr>
            <w:tcW w:w="7155" w:type="dxa"/>
            <w:tcBorders>
              <w:top w:val="nil"/>
              <w:left w:val="nil"/>
              <w:bottom w:val="nil"/>
              <w:right w:val="nil"/>
            </w:tcBorders>
            <w:shd w:val="clear" w:color="auto" w:fill="auto"/>
            <w:hideMark/>
          </w:tcPr>
          <w:p w14:paraId="527DA62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many ways in which species are moved from one location to another by human activities that give rise to an intentional or unintentional introduction. (</w:t>
            </w:r>
            <w:hyperlink r:id="rId693"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2023) </w:t>
            </w:r>
          </w:p>
        </w:tc>
      </w:tr>
      <w:tr w:rsidR="00764225" w:rsidRPr="00ED7E61" w14:paraId="3A88AB0D" w14:textId="77777777" w:rsidTr="00764225">
        <w:trPr>
          <w:trHeight w:val="1418"/>
        </w:trPr>
        <w:tc>
          <w:tcPr>
            <w:tcW w:w="2055" w:type="dxa"/>
            <w:tcBorders>
              <w:top w:val="nil"/>
              <w:left w:val="nil"/>
              <w:bottom w:val="nil"/>
              <w:right w:val="nil"/>
            </w:tcBorders>
            <w:shd w:val="clear" w:color="auto" w:fill="auto"/>
            <w:hideMark/>
          </w:tcPr>
          <w:p w14:paraId="109484D4" w14:textId="7F7529DA"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Payments for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ecosystem services </w:t>
            </w:r>
          </w:p>
        </w:tc>
        <w:tc>
          <w:tcPr>
            <w:tcW w:w="7155" w:type="dxa"/>
            <w:tcBorders>
              <w:top w:val="nil"/>
              <w:left w:val="nil"/>
              <w:bottom w:val="nil"/>
              <w:right w:val="nil"/>
            </w:tcBorders>
            <w:shd w:val="clear" w:color="auto" w:fill="auto"/>
            <w:hideMark/>
          </w:tcPr>
          <w:p w14:paraId="2CB86F0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voluntary transaction between ecosystem service users and service providers that are conditional on agreed rules of natural resource management for generating offsite services (Wunder, 2015). Ecosystem service providers and users may be individuals, companies or aggregations of actors. In some cases, a government may act on behalf of users. </w:t>
            </w:r>
          </w:p>
        </w:tc>
      </w:tr>
      <w:tr w:rsidR="00764225" w:rsidRPr="00ED7E61" w14:paraId="56A82E1C" w14:textId="77777777" w:rsidTr="00764225">
        <w:trPr>
          <w:trHeight w:val="1185"/>
        </w:trPr>
        <w:tc>
          <w:tcPr>
            <w:tcW w:w="2055" w:type="dxa"/>
            <w:tcBorders>
              <w:top w:val="nil"/>
              <w:left w:val="nil"/>
              <w:bottom w:val="nil"/>
              <w:right w:val="nil"/>
            </w:tcBorders>
            <w:shd w:val="clear" w:color="auto" w:fill="auto"/>
            <w:hideMark/>
          </w:tcPr>
          <w:p w14:paraId="2816D21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Persons with disabilities </w:t>
            </w:r>
          </w:p>
        </w:tc>
        <w:tc>
          <w:tcPr>
            <w:tcW w:w="7155" w:type="dxa"/>
            <w:tcBorders>
              <w:top w:val="nil"/>
              <w:left w:val="nil"/>
              <w:bottom w:val="nil"/>
              <w:right w:val="nil"/>
            </w:tcBorders>
            <w:shd w:val="clear" w:color="auto" w:fill="auto"/>
            <w:hideMark/>
          </w:tcPr>
          <w:p w14:paraId="0E8670F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Persons with disabilities include those who have long-term physical, mental, intellectual or sensory impairments which in interaction with various barriers may hinder their full and effective participation in society on an equal basis with others. (UN CRPD, Article 2) </w:t>
            </w:r>
          </w:p>
        </w:tc>
      </w:tr>
      <w:tr w:rsidR="00764225" w:rsidRPr="00ED7E61" w14:paraId="53A0ED20" w14:textId="77777777" w:rsidTr="00764225">
        <w:trPr>
          <w:trHeight w:val="990"/>
        </w:trPr>
        <w:tc>
          <w:tcPr>
            <w:tcW w:w="2055" w:type="dxa"/>
            <w:tcBorders>
              <w:top w:val="nil"/>
              <w:left w:val="nil"/>
              <w:bottom w:val="nil"/>
              <w:right w:val="nil"/>
            </w:tcBorders>
            <w:shd w:val="clear" w:color="auto" w:fill="auto"/>
            <w:hideMark/>
          </w:tcPr>
          <w:p w14:paraId="0CFDD07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Pesticide </w:t>
            </w:r>
          </w:p>
        </w:tc>
        <w:tc>
          <w:tcPr>
            <w:tcW w:w="7155" w:type="dxa"/>
            <w:tcBorders>
              <w:top w:val="nil"/>
              <w:left w:val="nil"/>
              <w:bottom w:val="nil"/>
              <w:right w:val="nil"/>
            </w:tcBorders>
            <w:shd w:val="clear" w:color="auto" w:fill="auto"/>
            <w:hideMark/>
          </w:tcPr>
          <w:p w14:paraId="003385C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Pesticide means any substance, or mixture of substances of chemical or biological ingredients intended for repelling, destroying or controlling any pest, or regulating plant growth. (</w:t>
            </w:r>
            <w:r w:rsidRPr="00ED7E61">
              <w:rPr>
                <w:rFonts w:asciiTheme="majorBidi" w:eastAsiaTheme="majorEastAsia" w:hAnsiTheme="majorBidi" w:cstheme="majorBidi"/>
                <w:sz w:val="22"/>
                <w:szCs w:val="22"/>
                <w:lang w:val="en-GB"/>
              </w:rPr>
              <w:t>CBD/WG2020/5/4)</w:t>
            </w:r>
            <w:r w:rsidRPr="00ED7E61">
              <w:rPr>
                <w:rFonts w:asciiTheme="majorBidi" w:eastAsiaTheme="majorEastAsia" w:hAnsiTheme="majorBidi" w:cstheme="majorBidi"/>
                <w:sz w:val="22"/>
                <w:szCs w:val="22"/>
              </w:rPr>
              <w:t> </w:t>
            </w:r>
          </w:p>
        </w:tc>
      </w:tr>
      <w:tr w:rsidR="00764225" w:rsidRPr="00ED7E61" w14:paraId="770D1DE4" w14:textId="77777777" w:rsidTr="00764225">
        <w:trPr>
          <w:trHeight w:val="2025"/>
        </w:trPr>
        <w:tc>
          <w:tcPr>
            <w:tcW w:w="2055" w:type="dxa"/>
            <w:tcBorders>
              <w:top w:val="nil"/>
              <w:left w:val="nil"/>
              <w:bottom w:val="nil"/>
              <w:right w:val="nil"/>
            </w:tcBorders>
            <w:shd w:val="clear" w:color="auto" w:fill="auto"/>
            <w:hideMark/>
          </w:tcPr>
          <w:p w14:paraId="5FB5D4C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Physical ecosystem services flow accounts </w:t>
            </w:r>
          </w:p>
        </w:tc>
        <w:tc>
          <w:tcPr>
            <w:tcW w:w="7155" w:type="dxa"/>
            <w:tcBorders>
              <w:top w:val="nil"/>
              <w:left w:val="nil"/>
              <w:bottom w:val="nil"/>
              <w:right w:val="nil"/>
            </w:tcBorders>
            <w:shd w:val="clear" w:color="auto" w:fill="auto"/>
            <w:hideMark/>
          </w:tcPr>
          <w:p w14:paraId="5DB154B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supply of final ecosystem services by ecosystem assets and the use of those services by economic units, including households, enterprises and government, in physical units. They use a supply and use table structure, the ecosystem service flow accounts record the flows of final ecosystem services supplied by ecosystem assets and used by economic units during an accounting period and also allow for the recording of intermediate services flows between ecosystem assets. (</w:t>
            </w:r>
            <w:hyperlink r:id="rId694"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5C0FD5E1" w14:textId="77777777" w:rsidTr="00764225">
        <w:trPr>
          <w:trHeight w:val="1500"/>
        </w:trPr>
        <w:tc>
          <w:tcPr>
            <w:tcW w:w="2055" w:type="dxa"/>
            <w:tcBorders>
              <w:top w:val="nil"/>
              <w:left w:val="nil"/>
              <w:bottom w:val="nil"/>
              <w:right w:val="nil"/>
            </w:tcBorders>
            <w:shd w:val="clear" w:color="auto" w:fill="auto"/>
            <w:hideMark/>
          </w:tcPr>
          <w:p w14:paraId="4D40B35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Plan of Action on Customary Sustainable Use of Biological Diversity </w:t>
            </w:r>
          </w:p>
        </w:tc>
        <w:tc>
          <w:tcPr>
            <w:tcW w:w="7155" w:type="dxa"/>
            <w:tcBorders>
              <w:top w:val="nil"/>
              <w:left w:val="nil"/>
              <w:bottom w:val="nil"/>
              <w:right w:val="nil"/>
            </w:tcBorders>
            <w:shd w:val="clear" w:color="auto" w:fill="auto"/>
            <w:hideMark/>
          </w:tcPr>
          <w:p w14:paraId="462D89E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objective of this plan of action is to promote, within the framework of the Convention, a just implementation of Article 10(c) at local, national, regional and international levels and to ensure the full and effective participation of indigenous peoples and local communities at all stages and levels of implementation. (Convention, Article 8(j)) </w:t>
            </w:r>
          </w:p>
        </w:tc>
      </w:tr>
      <w:tr w:rsidR="00764225" w:rsidRPr="00ED7E61" w14:paraId="4D91D4FE" w14:textId="77777777" w:rsidTr="00764225">
        <w:trPr>
          <w:trHeight w:val="705"/>
        </w:trPr>
        <w:tc>
          <w:tcPr>
            <w:tcW w:w="2055" w:type="dxa"/>
            <w:tcBorders>
              <w:top w:val="nil"/>
              <w:left w:val="nil"/>
              <w:bottom w:val="nil"/>
              <w:right w:val="nil"/>
            </w:tcBorders>
            <w:shd w:val="clear" w:color="auto" w:fill="auto"/>
            <w:hideMark/>
          </w:tcPr>
          <w:p w14:paraId="668D01B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Policy </w:t>
            </w:r>
          </w:p>
        </w:tc>
        <w:tc>
          <w:tcPr>
            <w:tcW w:w="7155" w:type="dxa"/>
            <w:tcBorders>
              <w:top w:val="nil"/>
              <w:left w:val="nil"/>
              <w:bottom w:val="nil"/>
              <w:right w:val="nil"/>
            </w:tcBorders>
            <w:shd w:val="clear" w:color="auto" w:fill="auto"/>
            <w:hideMark/>
          </w:tcPr>
          <w:p w14:paraId="4A878F5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course or principle of action adopted or proposed by an organization or individual. (</w:t>
            </w:r>
            <w:hyperlink r:id="rId695"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2016) </w:t>
            </w:r>
          </w:p>
        </w:tc>
      </w:tr>
      <w:tr w:rsidR="00764225" w:rsidRPr="00ED7E61" w14:paraId="65460332" w14:textId="77777777" w:rsidTr="00764225">
        <w:trPr>
          <w:trHeight w:val="1020"/>
        </w:trPr>
        <w:tc>
          <w:tcPr>
            <w:tcW w:w="2055" w:type="dxa"/>
            <w:tcBorders>
              <w:top w:val="nil"/>
              <w:left w:val="nil"/>
              <w:bottom w:val="nil"/>
              <w:right w:val="nil"/>
            </w:tcBorders>
            <w:shd w:val="clear" w:color="auto" w:fill="auto"/>
            <w:hideMark/>
          </w:tcPr>
          <w:p w14:paraId="6EA4E17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Policy framework </w:t>
            </w:r>
          </w:p>
        </w:tc>
        <w:tc>
          <w:tcPr>
            <w:tcW w:w="7155" w:type="dxa"/>
            <w:tcBorders>
              <w:top w:val="nil"/>
              <w:left w:val="nil"/>
              <w:bottom w:val="nil"/>
              <w:right w:val="nil"/>
            </w:tcBorders>
            <w:shd w:val="clear" w:color="auto" w:fill="auto"/>
            <w:hideMark/>
          </w:tcPr>
          <w:p w14:paraId="4669D61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Policy frameworks are general structures, often encapsulated in documents or established practices, that provide institutions a guiding architecture for policy action across one or multiple policy areas. (</w:t>
            </w:r>
            <w:hyperlink r:id="rId696" w:tgtFrame="_blank" w:history="1">
              <w:r w:rsidRPr="00ED7E61">
                <w:rPr>
                  <w:rStyle w:val="Hyperlink"/>
                  <w:rFonts w:asciiTheme="majorBidi" w:eastAsiaTheme="majorEastAsia" w:hAnsiTheme="majorBidi" w:cstheme="majorBidi"/>
                  <w:sz w:val="22"/>
                  <w:szCs w:val="22"/>
                </w:rPr>
                <w:t>Lahkno</w:t>
              </w:r>
            </w:hyperlink>
            <w:r w:rsidRPr="00ED7E61">
              <w:rPr>
                <w:rFonts w:asciiTheme="majorBidi" w:eastAsiaTheme="majorEastAsia" w:hAnsiTheme="majorBidi" w:cstheme="majorBidi"/>
                <w:sz w:val="22"/>
                <w:szCs w:val="22"/>
              </w:rPr>
              <w:t>, 2023) </w:t>
            </w:r>
          </w:p>
        </w:tc>
      </w:tr>
      <w:tr w:rsidR="00764225" w:rsidRPr="00ED7E61" w14:paraId="5769D6DE" w14:textId="77777777" w:rsidTr="00764225">
        <w:trPr>
          <w:trHeight w:val="1230"/>
        </w:trPr>
        <w:tc>
          <w:tcPr>
            <w:tcW w:w="2055" w:type="dxa"/>
            <w:tcBorders>
              <w:top w:val="nil"/>
              <w:left w:val="nil"/>
              <w:bottom w:val="nil"/>
              <w:right w:val="nil"/>
            </w:tcBorders>
            <w:shd w:val="clear" w:color="auto" w:fill="auto"/>
            <w:hideMark/>
          </w:tcPr>
          <w:p w14:paraId="49F577C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Pollination services </w:t>
            </w:r>
          </w:p>
        </w:tc>
        <w:tc>
          <w:tcPr>
            <w:tcW w:w="7155" w:type="dxa"/>
            <w:tcBorders>
              <w:top w:val="nil"/>
              <w:left w:val="nil"/>
              <w:bottom w:val="nil"/>
              <w:right w:val="nil"/>
            </w:tcBorders>
            <w:shd w:val="clear" w:color="auto" w:fill="auto"/>
            <w:hideMark/>
          </w:tcPr>
          <w:p w14:paraId="69009BE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ecosystem contributions by wild pollinators to the fertilization of crops that maintains or increases the abundance and/or diversity of other species that economic units use or enjoy. This may be recorded as a final or intermediate service. (</w:t>
            </w:r>
            <w:hyperlink r:id="rId697"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5D8308FC" w14:textId="77777777" w:rsidTr="00764225">
        <w:trPr>
          <w:trHeight w:val="990"/>
        </w:trPr>
        <w:tc>
          <w:tcPr>
            <w:tcW w:w="2055" w:type="dxa"/>
            <w:tcBorders>
              <w:top w:val="nil"/>
              <w:left w:val="nil"/>
              <w:bottom w:val="nil"/>
              <w:right w:val="nil"/>
            </w:tcBorders>
            <w:shd w:val="clear" w:color="auto" w:fill="auto"/>
            <w:hideMark/>
          </w:tcPr>
          <w:p w14:paraId="1264D65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Population </w:t>
            </w:r>
          </w:p>
        </w:tc>
        <w:tc>
          <w:tcPr>
            <w:tcW w:w="7155" w:type="dxa"/>
            <w:tcBorders>
              <w:top w:val="nil"/>
              <w:left w:val="nil"/>
              <w:bottom w:val="nil"/>
              <w:right w:val="nil"/>
            </w:tcBorders>
            <w:shd w:val="clear" w:color="auto" w:fill="auto"/>
            <w:hideMark/>
          </w:tcPr>
          <w:p w14:paraId="417FC3B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group of individuals of the same species living in the same area at the same time and sharing a common gene pool, with little or no immigration or emigration. </w:t>
            </w:r>
          </w:p>
        </w:tc>
      </w:tr>
      <w:tr w:rsidR="00764225" w:rsidRPr="00ED7E61" w14:paraId="271D93CA" w14:textId="77777777" w:rsidTr="00764225">
        <w:trPr>
          <w:trHeight w:val="330"/>
        </w:trPr>
        <w:tc>
          <w:tcPr>
            <w:tcW w:w="2055" w:type="dxa"/>
            <w:tcBorders>
              <w:top w:val="nil"/>
              <w:left w:val="nil"/>
              <w:bottom w:val="nil"/>
              <w:right w:val="nil"/>
            </w:tcBorders>
            <w:shd w:val="clear" w:color="auto" w:fill="auto"/>
            <w:hideMark/>
          </w:tcPr>
          <w:p w14:paraId="06FC816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Portfolios </w:t>
            </w:r>
          </w:p>
        </w:tc>
        <w:tc>
          <w:tcPr>
            <w:tcW w:w="7155" w:type="dxa"/>
            <w:tcBorders>
              <w:top w:val="nil"/>
              <w:left w:val="nil"/>
              <w:bottom w:val="nil"/>
              <w:right w:val="nil"/>
            </w:tcBorders>
            <w:shd w:val="clear" w:color="auto" w:fill="auto"/>
            <w:hideMark/>
          </w:tcPr>
          <w:p w14:paraId="1FFD9F7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range of investments held by large and transnational companies and financial institutions. </w:t>
            </w:r>
          </w:p>
          <w:p w14:paraId="5FDC7266"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w:t>
            </w:r>
          </w:p>
        </w:tc>
      </w:tr>
      <w:tr w:rsidR="00764225" w:rsidRPr="00ED7E61" w14:paraId="3BFFB6BA" w14:textId="77777777" w:rsidTr="00764225">
        <w:trPr>
          <w:trHeight w:val="2430"/>
        </w:trPr>
        <w:tc>
          <w:tcPr>
            <w:tcW w:w="2055" w:type="dxa"/>
            <w:tcBorders>
              <w:top w:val="nil"/>
              <w:left w:val="nil"/>
              <w:bottom w:val="nil"/>
              <w:right w:val="nil"/>
            </w:tcBorders>
            <w:shd w:val="clear" w:color="auto" w:fill="auto"/>
            <w:hideMark/>
          </w:tcPr>
          <w:p w14:paraId="34BB72F7" w14:textId="1FDBD93A"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Positive incentives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(for biodiversity) </w:t>
            </w:r>
          </w:p>
        </w:tc>
        <w:tc>
          <w:tcPr>
            <w:tcW w:w="7155" w:type="dxa"/>
            <w:tcBorders>
              <w:top w:val="nil"/>
              <w:left w:val="nil"/>
              <w:bottom w:val="nil"/>
              <w:right w:val="nil"/>
            </w:tcBorders>
            <w:shd w:val="clear" w:color="auto" w:fill="auto"/>
            <w:hideMark/>
          </w:tcPr>
          <w:p w14:paraId="16364B9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Positive incentives (also referred to as incentive-based or economic instruments) are the set of fiscal and other economic incentives to incorporate biodiversity-related costs and benefits into production and consumption. They are the policy instruments that use price signals to discourage activities harmful to biodiversity (e.g. a tax on pollution) or encourage activities that benefit biodiversity (e.g. payments for ecosystem services). In contrast to more traditional command-and-control approaches (e.g. restrictions on access or use, standards, etc.), economic instruments can, in theory, meet a given environmental objective at a lower total economic cost. </w:t>
            </w:r>
          </w:p>
        </w:tc>
      </w:tr>
      <w:tr w:rsidR="00764225" w:rsidRPr="00ED7E61" w14:paraId="6A9DE8D1" w14:textId="77777777" w:rsidTr="00764225">
        <w:trPr>
          <w:trHeight w:val="675"/>
        </w:trPr>
        <w:tc>
          <w:tcPr>
            <w:tcW w:w="2055" w:type="dxa"/>
            <w:tcBorders>
              <w:top w:val="nil"/>
              <w:left w:val="nil"/>
              <w:bottom w:val="nil"/>
              <w:right w:val="nil"/>
            </w:tcBorders>
            <w:shd w:val="clear" w:color="auto" w:fill="auto"/>
            <w:hideMark/>
          </w:tcPr>
          <w:p w14:paraId="5C11DE9A" w14:textId="50293B45"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Potential invasive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alien species </w:t>
            </w:r>
          </w:p>
        </w:tc>
        <w:tc>
          <w:tcPr>
            <w:tcW w:w="7155" w:type="dxa"/>
            <w:tcBorders>
              <w:top w:val="nil"/>
              <w:left w:val="nil"/>
              <w:bottom w:val="nil"/>
              <w:right w:val="nil"/>
            </w:tcBorders>
            <w:shd w:val="clear" w:color="auto" w:fill="auto"/>
            <w:hideMark/>
          </w:tcPr>
          <w:p w14:paraId="34959C6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Species that may become invasive alien species if unchecked. </w:t>
            </w:r>
          </w:p>
        </w:tc>
      </w:tr>
      <w:tr w:rsidR="00764225" w:rsidRPr="00ED7E61" w14:paraId="6CC8943A" w14:textId="77777777" w:rsidTr="00764225">
        <w:trPr>
          <w:trHeight w:val="2715"/>
        </w:trPr>
        <w:tc>
          <w:tcPr>
            <w:tcW w:w="2055" w:type="dxa"/>
            <w:tcBorders>
              <w:top w:val="nil"/>
              <w:left w:val="nil"/>
              <w:bottom w:val="nil"/>
              <w:right w:val="nil"/>
            </w:tcBorders>
            <w:shd w:val="clear" w:color="auto" w:fill="auto"/>
            <w:hideMark/>
          </w:tcPr>
          <w:p w14:paraId="46F98C1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Potential open public space </w:t>
            </w:r>
          </w:p>
        </w:tc>
        <w:tc>
          <w:tcPr>
            <w:tcW w:w="7155" w:type="dxa"/>
            <w:tcBorders>
              <w:top w:val="nil"/>
              <w:left w:val="nil"/>
              <w:bottom w:val="nil"/>
              <w:right w:val="nil"/>
            </w:tcBorders>
            <w:shd w:val="clear" w:color="auto" w:fill="auto"/>
            <w:hideMark/>
          </w:tcPr>
          <w:p w14:paraId="6E812DD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identification of open public spaces across cities can be implemented through, among other sources, analysis of high to very high-resolution satellite imagery, from base-maps provided by different organizations (e.g. OpenStreetMap, Esri, etc.) or as crowd-sourced and volunteered data. While these sources provide important baseline data for indicator 11.7.1, some of the identifiable spaces may not meet the criteria of being “</w:t>
            </w:r>
            <w:r w:rsidRPr="00FB1598">
              <w:rPr>
                <w:rFonts w:asciiTheme="majorBidi" w:eastAsiaTheme="majorEastAsia" w:hAnsiTheme="majorBidi" w:cstheme="majorBidi"/>
                <w:i/>
                <w:iCs/>
                <w:sz w:val="22"/>
                <w:szCs w:val="22"/>
              </w:rPr>
              <w:t>accessible to the public without charge</w:t>
            </w:r>
            <w:r w:rsidRPr="00ED7E61">
              <w:rPr>
                <w:rFonts w:asciiTheme="majorBidi" w:eastAsiaTheme="majorEastAsia" w:hAnsiTheme="majorBidi" w:cstheme="majorBidi"/>
                <w:sz w:val="22"/>
                <w:szCs w:val="22"/>
              </w:rPr>
              <w:t>”. The term “</w:t>
            </w:r>
            <w:r w:rsidRPr="00FB1598">
              <w:rPr>
                <w:rFonts w:asciiTheme="majorBidi" w:eastAsiaTheme="majorEastAsia" w:hAnsiTheme="majorBidi" w:cstheme="majorBidi"/>
                <w:i/>
                <w:iCs/>
                <w:sz w:val="22"/>
                <w:szCs w:val="22"/>
              </w:rPr>
              <w:t>potential open public space</w:t>
            </w:r>
            <w:r w:rsidRPr="00ED7E61">
              <w:rPr>
                <w:rFonts w:asciiTheme="majorBidi" w:eastAsiaTheme="majorEastAsia" w:hAnsiTheme="majorBidi" w:cstheme="majorBidi"/>
                <w:sz w:val="22"/>
                <w:szCs w:val="22"/>
              </w:rPr>
              <w:t>” is thus used to refer to open public spaces which are extracted from the above-mentioned sources (based on their spatial character), but which are not yet validated to confirm if they are accessible to the public without charge. (</w:t>
            </w:r>
            <w:hyperlink r:id="rId698" w:tgtFrame="_blank" w:history="1">
              <w:r w:rsidRPr="00ED7E61">
                <w:rPr>
                  <w:rStyle w:val="Hyperlink"/>
                  <w:rFonts w:asciiTheme="majorBidi" w:eastAsiaTheme="majorEastAsia" w:hAnsiTheme="majorBidi" w:cstheme="majorBidi"/>
                  <w:sz w:val="22"/>
                  <w:szCs w:val="22"/>
                </w:rPr>
                <w:t>UN Habitat</w:t>
              </w:r>
            </w:hyperlink>
            <w:r w:rsidRPr="00ED7E61">
              <w:rPr>
                <w:rFonts w:asciiTheme="majorBidi" w:eastAsiaTheme="majorEastAsia" w:hAnsiTheme="majorBidi" w:cstheme="majorBidi"/>
                <w:sz w:val="22"/>
                <w:szCs w:val="22"/>
              </w:rPr>
              <w:t>, 2018) </w:t>
            </w:r>
          </w:p>
        </w:tc>
      </w:tr>
      <w:tr w:rsidR="00764225" w:rsidRPr="00ED7E61" w14:paraId="7CEAB5B3" w14:textId="77777777" w:rsidTr="00764225">
        <w:trPr>
          <w:trHeight w:val="735"/>
        </w:trPr>
        <w:tc>
          <w:tcPr>
            <w:tcW w:w="2055" w:type="dxa"/>
            <w:tcBorders>
              <w:top w:val="nil"/>
              <w:left w:val="nil"/>
              <w:bottom w:val="nil"/>
              <w:right w:val="nil"/>
            </w:tcBorders>
            <w:shd w:val="clear" w:color="auto" w:fill="auto"/>
            <w:hideMark/>
          </w:tcPr>
          <w:p w14:paraId="65EB707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Poverty eradication strategies </w:t>
            </w:r>
          </w:p>
        </w:tc>
        <w:tc>
          <w:tcPr>
            <w:tcW w:w="7155" w:type="dxa"/>
            <w:tcBorders>
              <w:top w:val="nil"/>
              <w:left w:val="nil"/>
              <w:bottom w:val="nil"/>
              <w:right w:val="nil"/>
            </w:tcBorders>
            <w:shd w:val="clear" w:color="auto" w:fill="auto"/>
            <w:hideMark/>
          </w:tcPr>
          <w:p w14:paraId="1446D87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Governmental plans designed and actions taken in line with the United Nations SDG Goal 1 of “</w:t>
            </w:r>
            <w:r w:rsidRPr="00FB1598">
              <w:rPr>
                <w:rFonts w:asciiTheme="majorBidi" w:eastAsiaTheme="majorEastAsia" w:hAnsiTheme="majorBidi" w:cstheme="majorBidi"/>
                <w:i/>
                <w:iCs/>
                <w:sz w:val="22"/>
                <w:szCs w:val="22"/>
              </w:rPr>
              <w:t>ending poverty in all its forms everywhere</w:t>
            </w:r>
            <w:r w:rsidRPr="00ED7E61">
              <w:rPr>
                <w:rFonts w:asciiTheme="majorBidi" w:eastAsiaTheme="majorEastAsia" w:hAnsiTheme="majorBidi" w:cstheme="majorBidi"/>
                <w:sz w:val="22"/>
                <w:szCs w:val="22"/>
              </w:rPr>
              <w:t>”. (</w:t>
            </w:r>
            <w:hyperlink r:id="rId699" w:tgtFrame="_blank" w:history="1">
              <w:r w:rsidRPr="00ED7E61">
                <w:rPr>
                  <w:rStyle w:val="Hyperlink"/>
                  <w:rFonts w:asciiTheme="majorBidi" w:eastAsiaTheme="majorEastAsia" w:hAnsiTheme="majorBidi" w:cstheme="majorBidi"/>
                  <w:sz w:val="22"/>
                  <w:szCs w:val="22"/>
                </w:rPr>
                <w:t>UN SDG</w:t>
              </w:r>
            </w:hyperlink>
            <w:r w:rsidRPr="00ED7E61">
              <w:rPr>
                <w:rFonts w:asciiTheme="majorBidi" w:eastAsiaTheme="majorEastAsia" w:hAnsiTheme="majorBidi" w:cstheme="majorBidi"/>
                <w:sz w:val="22"/>
                <w:szCs w:val="22"/>
              </w:rPr>
              <w:t>) </w:t>
            </w:r>
          </w:p>
        </w:tc>
      </w:tr>
      <w:tr w:rsidR="00764225" w:rsidRPr="00ED7E61" w14:paraId="0B1DEC0A" w14:textId="77777777" w:rsidTr="00764225">
        <w:trPr>
          <w:trHeight w:val="1695"/>
        </w:trPr>
        <w:tc>
          <w:tcPr>
            <w:tcW w:w="2055" w:type="dxa"/>
            <w:tcBorders>
              <w:top w:val="nil"/>
              <w:left w:val="nil"/>
              <w:bottom w:val="nil"/>
              <w:right w:val="nil"/>
            </w:tcBorders>
            <w:shd w:val="clear" w:color="auto" w:fill="auto"/>
            <w:hideMark/>
          </w:tcPr>
          <w:p w14:paraId="534992E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Preventing introduction and establishment of invasive alien species </w:t>
            </w:r>
          </w:p>
        </w:tc>
        <w:tc>
          <w:tcPr>
            <w:tcW w:w="7155" w:type="dxa"/>
            <w:tcBorders>
              <w:top w:val="nil"/>
              <w:left w:val="nil"/>
              <w:bottom w:val="nil"/>
              <w:right w:val="nil"/>
            </w:tcBorders>
            <w:shd w:val="clear" w:color="auto" w:fill="auto"/>
            <w:hideMark/>
          </w:tcPr>
          <w:p w14:paraId="4894AF8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Involves taking action to avoid the introduction of an invasive alien species and is often more cost effective then eradicating it once it has become established. Conducting a risk analysis prior to the introduction of an alien species as well as enhancing border controls and quarantine, early warning mechanisms, rapid response measures and management plans are the types of actions that could be taken to help prevent the establishment of alien species.  </w:t>
            </w:r>
          </w:p>
        </w:tc>
      </w:tr>
      <w:tr w:rsidR="00764225" w:rsidRPr="00ED7E61" w14:paraId="2BDFA6AE" w14:textId="77777777" w:rsidTr="00764225">
        <w:trPr>
          <w:trHeight w:val="675"/>
        </w:trPr>
        <w:tc>
          <w:tcPr>
            <w:tcW w:w="2055" w:type="dxa"/>
            <w:tcBorders>
              <w:top w:val="nil"/>
              <w:left w:val="nil"/>
              <w:bottom w:val="nil"/>
              <w:right w:val="nil"/>
            </w:tcBorders>
            <w:shd w:val="clear" w:color="auto" w:fill="auto"/>
            <w:hideMark/>
          </w:tcPr>
          <w:p w14:paraId="15F4FEFF" w14:textId="662FEFFF"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Priority invasive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alien species </w:t>
            </w:r>
          </w:p>
        </w:tc>
        <w:tc>
          <w:tcPr>
            <w:tcW w:w="7155" w:type="dxa"/>
            <w:tcBorders>
              <w:top w:val="nil"/>
              <w:left w:val="nil"/>
              <w:bottom w:val="nil"/>
              <w:right w:val="nil"/>
            </w:tcBorders>
            <w:shd w:val="clear" w:color="auto" w:fill="auto"/>
            <w:hideMark/>
          </w:tcPr>
          <w:p w14:paraId="72E73B6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Invasive alien species of special importance to a locality, causing particularly large or disproportionate impacts. </w:t>
            </w:r>
          </w:p>
        </w:tc>
      </w:tr>
      <w:tr w:rsidR="00764225" w:rsidRPr="00ED7E61" w14:paraId="14B3B3FC" w14:textId="77777777" w:rsidTr="00764225">
        <w:trPr>
          <w:trHeight w:val="2415"/>
        </w:trPr>
        <w:tc>
          <w:tcPr>
            <w:tcW w:w="2055" w:type="dxa"/>
            <w:tcBorders>
              <w:top w:val="nil"/>
              <w:left w:val="nil"/>
              <w:bottom w:val="nil"/>
              <w:right w:val="nil"/>
            </w:tcBorders>
            <w:shd w:val="clear" w:color="auto" w:fill="auto"/>
            <w:hideMark/>
          </w:tcPr>
          <w:p w14:paraId="3E0A323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Priority sites </w:t>
            </w:r>
          </w:p>
        </w:tc>
        <w:tc>
          <w:tcPr>
            <w:tcW w:w="7155" w:type="dxa"/>
            <w:tcBorders>
              <w:top w:val="nil"/>
              <w:left w:val="nil"/>
              <w:bottom w:val="nil"/>
              <w:right w:val="nil"/>
            </w:tcBorders>
            <w:shd w:val="clear" w:color="auto" w:fill="auto"/>
            <w:hideMark/>
          </w:tcPr>
          <w:p w14:paraId="283502A8"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Ecosystems and habitats which are sensitive and susceptible to biological invasions and areas where impacts of invasive alien species on native components of biodiversity, as well as on social, economic or cultural values are high. Priority sites may include island ecosystems, protected areas, priority ecosystem restoration sites, areas with endemic species, areas with intensive farming and aquaculture, and sites of particular importance for biodiversity. Priority sites may be designated internationally and/or at the national level on the basis of their conditions and circumstances. (See also CBD/SBSTTA/24/3/Add.2/Rev.1, para. 76) </w:t>
            </w:r>
          </w:p>
        </w:tc>
      </w:tr>
      <w:tr w:rsidR="00764225" w:rsidRPr="00ED7E61" w14:paraId="58FDCA4A" w14:textId="77777777" w:rsidTr="00764225">
        <w:trPr>
          <w:trHeight w:val="1020"/>
        </w:trPr>
        <w:tc>
          <w:tcPr>
            <w:tcW w:w="2055" w:type="dxa"/>
            <w:tcBorders>
              <w:top w:val="nil"/>
              <w:left w:val="nil"/>
              <w:bottom w:val="nil"/>
              <w:right w:val="nil"/>
            </w:tcBorders>
            <w:shd w:val="clear" w:color="auto" w:fill="auto"/>
            <w:hideMark/>
          </w:tcPr>
          <w:p w14:paraId="4D0C92E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Protected area </w:t>
            </w:r>
          </w:p>
        </w:tc>
        <w:tc>
          <w:tcPr>
            <w:tcW w:w="7155" w:type="dxa"/>
            <w:tcBorders>
              <w:top w:val="nil"/>
              <w:left w:val="nil"/>
              <w:bottom w:val="nil"/>
              <w:right w:val="nil"/>
            </w:tcBorders>
            <w:shd w:val="clear" w:color="auto" w:fill="auto"/>
            <w:hideMark/>
          </w:tcPr>
          <w:p w14:paraId="766D79C4" w14:textId="3594CDFB"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clearly defined geographical space, recognised, dedicated and managed, through legal or other effective means, to achieve the long-term conservation of nature with associated ecosystem services and cultural values. (Dudley et al. 2008) </w:t>
            </w:r>
          </w:p>
          <w:p w14:paraId="60E5551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w:t>
            </w:r>
          </w:p>
        </w:tc>
      </w:tr>
      <w:tr w:rsidR="00764225" w:rsidRPr="00ED7E61" w14:paraId="3D2BA1ED" w14:textId="77777777" w:rsidTr="00764225">
        <w:trPr>
          <w:trHeight w:val="1185"/>
        </w:trPr>
        <w:tc>
          <w:tcPr>
            <w:tcW w:w="2055" w:type="dxa"/>
            <w:tcBorders>
              <w:top w:val="nil"/>
              <w:left w:val="nil"/>
              <w:bottom w:val="nil"/>
              <w:right w:val="nil"/>
            </w:tcBorders>
            <w:shd w:val="clear" w:color="auto" w:fill="auto"/>
            <w:hideMark/>
          </w:tcPr>
          <w:p w14:paraId="1B46538C"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Public and private activities </w:t>
            </w:r>
          </w:p>
        </w:tc>
        <w:tc>
          <w:tcPr>
            <w:tcW w:w="7155" w:type="dxa"/>
            <w:tcBorders>
              <w:top w:val="nil"/>
              <w:left w:val="nil"/>
              <w:bottom w:val="nil"/>
              <w:right w:val="nil"/>
            </w:tcBorders>
            <w:shd w:val="clear" w:color="auto" w:fill="auto"/>
            <w:hideMark/>
          </w:tcPr>
          <w:p w14:paraId="73FFF37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Commercial and other activities conducted by entities that are subject to control by government units and/or non-government individuals and corporations, with control being defined as the ability to determine general corporate policy by choosing appropriate directors, if necessary. (</w:t>
            </w:r>
            <w:hyperlink r:id="rId700" w:tgtFrame="_blank" w:history="1">
              <w:r w:rsidRPr="00ED7E61">
                <w:rPr>
                  <w:rStyle w:val="Hyperlink"/>
                  <w:rFonts w:asciiTheme="majorBidi" w:eastAsiaTheme="majorEastAsia" w:hAnsiTheme="majorBidi" w:cstheme="majorBidi"/>
                  <w:sz w:val="22"/>
                  <w:szCs w:val="22"/>
                </w:rPr>
                <w:t>UN Stats</w:t>
              </w:r>
            </w:hyperlink>
            <w:r w:rsidRPr="00ED7E61">
              <w:rPr>
                <w:rFonts w:asciiTheme="majorBidi" w:eastAsiaTheme="majorEastAsia" w:hAnsiTheme="majorBidi" w:cstheme="majorBidi"/>
                <w:sz w:val="22"/>
                <w:szCs w:val="22"/>
              </w:rPr>
              <w:t>, 1993) </w:t>
            </w:r>
          </w:p>
        </w:tc>
      </w:tr>
      <w:tr w:rsidR="00764225" w:rsidRPr="00ED7E61" w14:paraId="11594640" w14:textId="77777777" w:rsidTr="00764225">
        <w:trPr>
          <w:trHeight w:val="2985"/>
        </w:trPr>
        <w:tc>
          <w:tcPr>
            <w:tcW w:w="2055" w:type="dxa"/>
            <w:tcBorders>
              <w:top w:val="nil"/>
              <w:left w:val="nil"/>
              <w:bottom w:val="nil"/>
              <w:right w:val="nil"/>
            </w:tcBorders>
            <w:shd w:val="clear" w:color="auto" w:fill="auto"/>
            <w:hideMark/>
          </w:tcPr>
          <w:p w14:paraId="4DEFD37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Public space </w:t>
            </w:r>
          </w:p>
        </w:tc>
        <w:tc>
          <w:tcPr>
            <w:tcW w:w="7155" w:type="dxa"/>
            <w:tcBorders>
              <w:top w:val="nil"/>
              <w:left w:val="nil"/>
              <w:bottom w:val="nil"/>
              <w:right w:val="nil"/>
            </w:tcBorders>
            <w:shd w:val="clear" w:color="auto" w:fill="auto"/>
            <w:hideMark/>
          </w:tcPr>
          <w:p w14:paraId="048F87C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Global Public Space toolkit defines Public Space as all places that are publicly owned or of public use, accessible and enjoyable by all, for free and without a profit motive, categorized into streets, open spaces and public facilities. Public space in general is defined as the meeting or gathering places that exist outside the home and workplace that are generally accessible by members of the public, and which foster resident interaction and opportunities for contact and proximity. This definition implies a higher level of community interaction and places a focus on public involvement rather than public ownership or stewardship. For the purpose of monitoring and reporting on indicator 11.7.1, public space is defined as all places of public use, accessible by all, and comprises open public space and streets. (</w:t>
            </w:r>
            <w:hyperlink r:id="rId701" w:tgtFrame="_blank" w:history="1">
              <w:r w:rsidRPr="00ED7E61">
                <w:rPr>
                  <w:rStyle w:val="Hyperlink"/>
                  <w:rFonts w:asciiTheme="majorBidi" w:eastAsiaTheme="majorEastAsia" w:hAnsiTheme="majorBidi" w:cstheme="majorBidi"/>
                  <w:sz w:val="22"/>
                  <w:szCs w:val="22"/>
                </w:rPr>
                <w:t>UN Habitat</w:t>
              </w:r>
            </w:hyperlink>
            <w:r w:rsidRPr="00ED7E61">
              <w:rPr>
                <w:rFonts w:asciiTheme="majorBidi" w:eastAsiaTheme="majorEastAsia" w:hAnsiTheme="majorBidi" w:cstheme="majorBidi"/>
                <w:sz w:val="22"/>
                <w:szCs w:val="22"/>
              </w:rPr>
              <w:t>, 2018) </w:t>
            </w:r>
          </w:p>
        </w:tc>
      </w:tr>
      <w:tr w:rsidR="00764225" w:rsidRPr="00ED7E61" w14:paraId="205FC28D" w14:textId="77777777" w:rsidTr="00764225">
        <w:trPr>
          <w:trHeight w:val="1695"/>
        </w:trPr>
        <w:tc>
          <w:tcPr>
            <w:tcW w:w="2055" w:type="dxa"/>
            <w:tcBorders>
              <w:top w:val="nil"/>
              <w:left w:val="nil"/>
              <w:bottom w:val="nil"/>
              <w:right w:val="nil"/>
            </w:tcBorders>
            <w:shd w:val="clear" w:color="auto" w:fill="auto"/>
            <w:hideMark/>
          </w:tcPr>
          <w:p w14:paraId="28E8AE0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Red List Index </w:t>
            </w:r>
          </w:p>
        </w:tc>
        <w:tc>
          <w:tcPr>
            <w:tcW w:w="7155" w:type="dxa"/>
            <w:tcBorders>
              <w:top w:val="nil"/>
              <w:left w:val="nil"/>
              <w:bottom w:val="nil"/>
              <w:right w:val="nil"/>
            </w:tcBorders>
            <w:shd w:val="clear" w:color="auto" w:fill="auto"/>
            <w:hideMark/>
          </w:tcPr>
          <w:p w14:paraId="01687BB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Red List Index measures change in aggregate extinction risk across groups of species. It is based on genuine changes in the number of species in each category of extinction risk on the IUCN Red List of Threatened Species (</w:t>
            </w:r>
            <w:hyperlink r:id="rId702" w:tgtFrame="_blank" w:history="1">
              <w:r w:rsidRPr="00ED7E61">
                <w:rPr>
                  <w:rStyle w:val="Hyperlink"/>
                  <w:rFonts w:asciiTheme="majorBidi" w:eastAsiaTheme="majorEastAsia" w:hAnsiTheme="majorBidi" w:cstheme="majorBidi"/>
                  <w:sz w:val="22"/>
                  <w:szCs w:val="22"/>
                </w:rPr>
                <w:t>www.iucnredlist.org</w:t>
              </w:r>
            </w:hyperlink>
            <w:r w:rsidRPr="00ED7E61">
              <w:rPr>
                <w:rFonts w:asciiTheme="majorBidi" w:eastAsiaTheme="majorEastAsia" w:hAnsiTheme="majorBidi" w:cstheme="majorBidi"/>
                <w:sz w:val="22"/>
                <w:szCs w:val="22"/>
              </w:rPr>
              <w:t>) and is expressed as changes in an index ranging from 0 to 1. Similarly, there exists a Red List Index for ecosystems based on the IUCN Red List of Ecosystems. </w:t>
            </w:r>
          </w:p>
        </w:tc>
      </w:tr>
      <w:tr w:rsidR="00764225" w:rsidRPr="00ED7E61" w14:paraId="7D7D6DB9" w14:textId="77777777" w:rsidTr="00764225">
        <w:trPr>
          <w:trHeight w:val="675"/>
        </w:trPr>
        <w:tc>
          <w:tcPr>
            <w:tcW w:w="2055" w:type="dxa"/>
            <w:tcBorders>
              <w:top w:val="nil"/>
              <w:left w:val="nil"/>
              <w:bottom w:val="nil"/>
              <w:right w:val="nil"/>
            </w:tcBorders>
            <w:shd w:val="clear" w:color="auto" w:fill="auto"/>
            <w:hideMark/>
          </w:tcPr>
          <w:p w14:paraId="14B75A3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Reduce </w:t>
            </w:r>
          </w:p>
        </w:tc>
        <w:tc>
          <w:tcPr>
            <w:tcW w:w="7155" w:type="dxa"/>
            <w:tcBorders>
              <w:top w:val="nil"/>
              <w:left w:val="nil"/>
              <w:bottom w:val="nil"/>
              <w:right w:val="nil"/>
            </w:tcBorders>
            <w:shd w:val="clear" w:color="auto" w:fill="auto"/>
            <w:hideMark/>
          </w:tcPr>
          <w:p w14:paraId="590DB24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Minimize impacts, from a previous baseline value, without eliminating them entirely. (</w:t>
            </w:r>
            <w:hyperlink r:id="rId703" w:tgtFrame="_blank" w:history="1">
              <w:r w:rsidRPr="00ED7E61">
                <w:rPr>
                  <w:rStyle w:val="Hyperlink"/>
                  <w:rFonts w:asciiTheme="majorBidi" w:eastAsiaTheme="majorEastAsia" w:hAnsiTheme="majorBidi" w:cstheme="majorBidi"/>
                  <w:sz w:val="22"/>
                  <w:szCs w:val="22"/>
                </w:rPr>
                <w:t>SBTN</w:t>
              </w:r>
            </w:hyperlink>
            <w:r w:rsidRPr="00ED7E61">
              <w:rPr>
                <w:rFonts w:asciiTheme="majorBidi" w:eastAsiaTheme="majorEastAsia" w:hAnsiTheme="majorBidi" w:cstheme="majorBidi"/>
                <w:sz w:val="22"/>
                <w:szCs w:val="22"/>
              </w:rPr>
              <w:t>, 2023) </w:t>
            </w:r>
          </w:p>
        </w:tc>
      </w:tr>
      <w:tr w:rsidR="00764225" w:rsidRPr="00ED7E61" w14:paraId="579DDC65" w14:textId="77777777" w:rsidTr="00764225">
        <w:trPr>
          <w:trHeight w:val="1155"/>
        </w:trPr>
        <w:tc>
          <w:tcPr>
            <w:tcW w:w="2055" w:type="dxa"/>
            <w:tcBorders>
              <w:top w:val="nil"/>
              <w:left w:val="nil"/>
              <w:bottom w:val="nil"/>
              <w:right w:val="nil"/>
            </w:tcBorders>
            <w:shd w:val="clear" w:color="auto" w:fill="auto"/>
            <w:hideMark/>
          </w:tcPr>
          <w:p w14:paraId="4FE75A9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Regulating and maintenance services </w:t>
            </w:r>
          </w:p>
        </w:tc>
        <w:tc>
          <w:tcPr>
            <w:tcW w:w="7155" w:type="dxa"/>
            <w:tcBorders>
              <w:top w:val="nil"/>
              <w:left w:val="nil"/>
              <w:bottom w:val="nil"/>
              <w:right w:val="nil"/>
            </w:tcBorders>
            <w:shd w:val="clear" w:color="auto" w:fill="auto"/>
            <w:hideMark/>
          </w:tcPr>
          <w:p w14:paraId="798AA9B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Those ecosystem services resulting from the ability of ecosystems to regulate biological processes and to influence climate, hydrological and biochemical cycles, and thereby maintain environmental conditions beneficial to individuals and society. (</w:t>
            </w:r>
            <w:hyperlink r:id="rId704"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137DACCC" w14:textId="77777777" w:rsidTr="00764225">
        <w:trPr>
          <w:trHeight w:val="420"/>
        </w:trPr>
        <w:tc>
          <w:tcPr>
            <w:tcW w:w="2055" w:type="dxa"/>
            <w:tcBorders>
              <w:top w:val="nil"/>
              <w:left w:val="nil"/>
              <w:bottom w:val="nil"/>
              <w:right w:val="nil"/>
            </w:tcBorders>
            <w:shd w:val="clear" w:color="auto" w:fill="auto"/>
            <w:hideMark/>
          </w:tcPr>
          <w:p w14:paraId="5E1D05E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Regulation </w:t>
            </w:r>
          </w:p>
        </w:tc>
        <w:tc>
          <w:tcPr>
            <w:tcW w:w="7155" w:type="dxa"/>
            <w:tcBorders>
              <w:top w:val="nil"/>
              <w:left w:val="nil"/>
              <w:bottom w:val="nil"/>
              <w:right w:val="nil"/>
            </w:tcBorders>
            <w:shd w:val="clear" w:color="auto" w:fill="auto"/>
            <w:hideMark/>
          </w:tcPr>
          <w:p w14:paraId="1A78486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Rules or directives maintained by law. </w:t>
            </w:r>
          </w:p>
        </w:tc>
      </w:tr>
      <w:tr w:rsidR="00764225" w:rsidRPr="00ED7E61" w14:paraId="29E98E3D" w14:textId="77777777" w:rsidTr="00764225">
        <w:trPr>
          <w:trHeight w:val="1695"/>
        </w:trPr>
        <w:tc>
          <w:tcPr>
            <w:tcW w:w="2055" w:type="dxa"/>
            <w:tcBorders>
              <w:top w:val="nil"/>
              <w:left w:val="nil"/>
              <w:bottom w:val="nil"/>
              <w:right w:val="nil"/>
            </w:tcBorders>
            <w:shd w:val="clear" w:color="auto" w:fill="auto"/>
            <w:hideMark/>
          </w:tcPr>
          <w:p w14:paraId="575AD5BD" w14:textId="5816F77B"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Regulatory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framework </w:t>
            </w:r>
          </w:p>
        </w:tc>
        <w:tc>
          <w:tcPr>
            <w:tcW w:w="7155" w:type="dxa"/>
            <w:tcBorders>
              <w:top w:val="nil"/>
              <w:left w:val="nil"/>
              <w:bottom w:val="nil"/>
              <w:right w:val="nil"/>
            </w:tcBorders>
            <w:shd w:val="clear" w:color="auto" w:fill="auto"/>
            <w:hideMark/>
          </w:tcPr>
          <w:p w14:paraId="52C6A66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Regulatory frameworks are legal mechanisms that exist on national and international levels. They can be mandatory and coercive (national laws and regulations, contractual obligations) or voluntary (integrity pacts, codes of conduct, arms control agreements). Together they form a legal background against which conservation efforts are measured. The existence of these frameworks is a pre-requisite for fighting biodiversity loss.  </w:t>
            </w:r>
          </w:p>
        </w:tc>
      </w:tr>
      <w:tr w:rsidR="00764225" w:rsidRPr="00ED7E61" w14:paraId="1FF3A2B5" w14:textId="77777777" w:rsidTr="00764225">
        <w:trPr>
          <w:trHeight w:val="2025"/>
        </w:trPr>
        <w:tc>
          <w:tcPr>
            <w:tcW w:w="2055" w:type="dxa"/>
            <w:tcBorders>
              <w:top w:val="nil"/>
              <w:left w:val="nil"/>
              <w:bottom w:val="nil"/>
              <w:right w:val="nil"/>
            </w:tcBorders>
            <w:shd w:val="clear" w:color="auto" w:fill="auto"/>
            <w:hideMark/>
          </w:tcPr>
          <w:p w14:paraId="00027A14"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Rehabilitation </w:t>
            </w:r>
          </w:p>
        </w:tc>
        <w:tc>
          <w:tcPr>
            <w:tcW w:w="7155" w:type="dxa"/>
            <w:tcBorders>
              <w:top w:val="nil"/>
              <w:left w:val="nil"/>
              <w:bottom w:val="nil"/>
              <w:right w:val="nil"/>
            </w:tcBorders>
            <w:shd w:val="clear" w:color="auto" w:fill="auto"/>
            <w:hideMark/>
          </w:tcPr>
          <w:p w14:paraId="7A12026A" w14:textId="28AED3B4"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Management actions that aim to reinstate a level of ecosystem functioning on degraded sites, where the goal is renewed and ongoing provision of ecosystem services rather than the biodiversity and integrity of a designated native reference ecosystem (Gann et al. 2019). Rehabilitation is a type of ecosystem restoration. Ecosystem rehabilitation is focused on restoring and improving functions within transformed ecosystems, while ecological restoration is focused on restoration to a natural state. </w:t>
            </w:r>
          </w:p>
        </w:tc>
      </w:tr>
      <w:tr w:rsidR="00764225" w:rsidRPr="00ED7E61" w14:paraId="331B1126" w14:textId="77777777" w:rsidTr="00764225">
        <w:trPr>
          <w:trHeight w:val="1020"/>
        </w:trPr>
        <w:tc>
          <w:tcPr>
            <w:tcW w:w="2055" w:type="dxa"/>
            <w:tcBorders>
              <w:top w:val="nil"/>
              <w:left w:val="nil"/>
              <w:bottom w:val="nil"/>
              <w:right w:val="nil"/>
            </w:tcBorders>
            <w:shd w:val="clear" w:color="auto" w:fill="auto"/>
            <w:hideMark/>
          </w:tcPr>
          <w:p w14:paraId="60B5C74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Report </w:t>
            </w:r>
          </w:p>
        </w:tc>
        <w:tc>
          <w:tcPr>
            <w:tcW w:w="7155" w:type="dxa"/>
            <w:tcBorders>
              <w:top w:val="nil"/>
              <w:left w:val="nil"/>
              <w:bottom w:val="nil"/>
              <w:right w:val="nil"/>
            </w:tcBorders>
            <w:shd w:val="clear" w:color="auto" w:fill="auto"/>
            <w:hideMark/>
          </w:tcPr>
          <w:p w14:paraId="38ABD51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act of sharing information to a known entity, body, repository that can be internal or external. Reporting can also be a format that disclosure can take when made available externally. (</w:t>
            </w:r>
            <w:r w:rsidRPr="00ED7E61">
              <w:rPr>
                <w:rFonts w:asciiTheme="majorBidi" w:eastAsiaTheme="majorEastAsia" w:hAnsiTheme="majorBidi" w:cstheme="majorBidi"/>
                <w:sz w:val="22"/>
                <w:szCs w:val="22"/>
                <w:lang w:val="en-GB"/>
              </w:rPr>
              <w:t>CBD/WG2020/5/4)</w:t>
            </w:r>
            <w:r w:rsidRPr="00ED7E61">
              <w:rPr>
                <w:rFonts w:asciiTheme="majorBidi" w:eastAsiaTheme="majorEastAsia" w:hAnsiTheme="majorBidi" w:cstheme="majorBidi"/>
                <w:sz w:val="22"/>
                <w:szCs w:val="22"/>
              </w:rPr>
              <w:t> </w:t>
            </w:r>
          </w:p>
        </w:tc>
      </w:tr>
      <w:tr w:rsidR="00764225" w:rsidRPr="00ED7E61" w14:paraId="74E19C10" w14:textId="77777777" w:rsidTr="00764225">
        <w:trPr>
          <w:trHeight w:val="1418"/>
        </w:trPr>
        <w:tc>
          <w:tcPr>
            <w:tcW w:w="2055" w:type="dxa"/>
            <w:tcBorders>
              <w:top w:val="nil"/>
              <w:left w:val="nil"/>
              <w:bottom w:val="nil"/>
              <w:right w:val="nil"/>
            </w:tcBorders>
            <w:shd w:val="clear" w:color="auto" w:fill="auto"/>
            <w:hideMark/>
          </w:tcPr>
          <w:p w14:paraId="306DBC5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Resilience </w:t>
            </w:r>
          </w:p>
        </w:tc>
        <w:tc>
          <w:tcPr>
            <w:tcW w:w="7155" w:type="dxa"/>
            <w:tcBorders>
              <w:top w:val="nil"/>
              <w:left w:val="nil"/>
              <w:bottom w:val="nil"/>
              <w:right w:val="nil"/>
            </w:tcBorders>
            <w:shd w:val="clear" w:color="auto" w:fill="auto"/>
            <w:hideMark/>
          </w:tcPr>
          <w:p w14:paraId="7CDE3D46" w14:textId="55FC58BC"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capacity of a system to absorb disturbance and reorganize while undergoing change so as to still retain essentially the same function, structure, identity, and feedbacks (Walker et al. 2004). A concept initially developed and applied in ecology, which progressively gained usage in the social and environmental sciences. </w:t>
            </w:r>
          </w:p>
        </w:tc>
      </w:tr>
      <w:tr w:rsidR="00764225" w:rsidRPr="00ED7E61" w14:paraId="63D193D3" w14:textId="77777777" w:rsidTr="00764225">
        <w:trPr>
          <w:trHeight w:val="2699"/>
        </w:trPr>
        <w:tc>
          <w:tcPr>
            <w:tcW w:w="2055" w:type="dxa"/>
            <w:tcBorders>
              <w:top w:val="nil"/>
              <w:left w:val="nil"/>
              <w:bottom w:val="nil"/>
              <w:right w:val="nil"/>
            </w:tcBorders>
            <w:shd w:val="clear" w:color="auto" w:fill="auto"/>
            <w:hideMark/>
          </w:tcPr>
          <w:p w14:paraId="0E2D18E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Respecting the rights of indigenous peoples and local communities </w:t>
            </w:r>
          </w:p>
        </w:tc>
        <w:tc>
          <w:tcPr>
            <w:tcW w:w="7155" w:type="dxa"/>
            <w:tcBorders>
              <w:top w:val="nil"/>
              <w:left w:val="nil"/>
              <w:bottom w:val="nil"/>
              <w:right w:val="nil"/>
            </w:tcBorders>
            <w:shd w:val="clear" w:color="auto" w:fill="auto"/>
            <w:hideMark/>
          </w:tcPr>
          <w:p w14:paraId="7321694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rights of indigenous peoples and local communities must be respected and preserved with their free, prior and informed consent, including their full and effective participation in decision making, in accordance with relevant national legislation, international instruments, including the United Nations Declaration on the Rights of Indigenous Peoples, and human rights law. This may include the recognition of local spatial planning of indigenous peoples and local communities, which takes advantage of the local context, including cultural, governance and spiritual dimensions, as well as the planning and management processes being led by indigenous peoples and local communities within their respective lands and waters. (</w:t>
            </w:r>
            <w:hyperlink r:id="rId705" w:tgtFrame="_blank" w:history="1">
              <w:r w:rsidRPr="00ED7E61">
                <w:rPr>
                  <w:rStyle w:val="Hyperlink"/>
                  <w:rFonts w:asciiTheme="majorBidi" w:eastAsiaTheme="majorEastAsia" w:hAnsiTheme="majorBidi" w:cstheme="majorBidi"/>
                  <w:sz w:val="22"/>
                  <w:szCs w:val="22"/>
                </w:rPr>
                <w:t>UNDRIP</w:t>
              </w:r>
            </w:hyperlink>
            <w:r w:rsidRPr="00ED7E61">
              <w:rPr>
                <w:rFonts w:asciiTheme="majorBidi" w:eastAsiaTheme="majorEastAsia" w:hAnsiTheme="majorBidi" w:cstheme="majorBidi"/>
                <w:sz w:val="22"/>
                <w:szCs w:val="22"/>
              </w:rPr>
              <w:t>, 2018) </w:t>
            </w:r>
          </w:p>
        </w:tc>
      </w:tr>
      <w:tr w:rsidR="00764225" w:rsidRPr="00ED7E61" w14:paraId="40F64967" w14:textId="77777777" w:rsidTr="00764225">
        <w:trPr>
          <w:trHeight w:val="1410"/>
        </w:trPr>
        <w:tc>
          <w:tcPr>
            <w:tcW w:w="2055" w:type="dxa"/>
            <w:tcBorders>
              <w:top w:val="nil"/>
              <w:left w:val="nil"/>
              <w:bottom w:val="nil"/>
              <w:right w:val="nil"/>
            </w:tcBorders>
            <w:shd w:val="clear" w:color="auto" w:fill="auto"/>
            <w:hideMark/>
          </w:tcPr>
          <w:p w14:paraId="7A20F25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Rights of women and girls, children and youth, and persons with disabilities </w:t>
            </w:r>
          </w:p>
        </w:tc>
        <w:tc>
          <w:tcPr>
            <w:tcW w:w="7155" w:type="dxa"/>
            <w:tcBorders>
              <w:top w:val="nil"/>
              <w:left w:val="nil"/>
              <w:bottom w:val="nil"/>
              <w:right w:val="nil"/>
            </w:tcBorders>
            <w:shd w:val="clear" w:color="auto" w:fill="auto"/>
            <w:hideMark/>
          </w:tcPr>
          <w:p w14:paraId="5CFF15DB"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Individuals living in vulnerable situations often do not enjoy rights or access to biodiversity and resources. In many places this includes women and girls, children and youth, and persons with disabilities. The Framework calls for measures to ensure that individuals belonging to these groups enjoys the same rights and access as others.  </w:t>
            </w:r>
          </w:p>
        </w:tc>
      </w:tr>
      <w:tr w:rsidR="00764225" w:rsidRPr="00ED7E61" w14:paraId="42D1E17B" w14:textId="77777777" w:rsidTr="00764225">
        <w:trPr>
          <w:trHeight w:val="1395"/>
        </w:trPr>
        <w:tc>
          <w:tcPr>
            <w:tcW w:w="2055" w:type="dxa"/>
            <w:tcBorders>
              <w:top w:val="nil"/>
              <w:left w:val="nil"/>
              <w:bottom w:val="nil"/>
              <w:right w:val="nil"/>
            </w:tcBorders>
            <w:shd w:val="clear" w:color="auto" w:fill="auto"/>
            <w:hideMark/>
          </w:tcPr>
          <w:p w14:paraId="436ABBE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Rights over lands, resources and traditional knowledge </w:t>
            </w:r>
          </w:p>
        </w:tc>
        <w:tc>
          <w:tcPr>
            <w:tcW w:w="7155" w:type="dxa"/>
            <w:tcBorders>
              <w:top w:val="nil"/>
              <w:left w:val="nil"/>
              <w:bottom w:val="nil"/>
              <w:right w:val="nil"/>
            </w:tcBorders>
            <w:shd w:val="clear" w:color="auto" w:fill="auto"/>
            <w:hideMark/>
          </w:tcPr>
          <w:p w14:paraId="70B74B5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This pertains to recognizing and upholding the rights of indigenous peoples and local communities as outlined in other international frameworks, such as the United Nations Declaration on the Rights of Indigenous Peoples and human rights law, including respecting their right to own, use, develop and control their lands, territories, and resources. </w:t>
            </w:r>
          </w:p>
        </w:tc>
      </w:tr>
      <w:tr w:rsidR="00764225" w:rsidRPr="00ED7E61" w14:paraId="5FB35807" w14:textId="77777777" w:rsidTr="00764225">
        <w:trPr>
          <w:trHeight w:val="1140"/>
        </w:trPr>
        <w:tc>
          <w:tcPr>
            <w:tcW w:w="2055" w:type="dxa"/>
            <w:tcBorders>
              <w:top w:val="nil"/>
              <w:left w:val="nil"/>
              <w:bottom w:val="nil"/>
              <w:right w:val="nil"/>
            </w:tcBorders>
            <w:shd w:val="clear" w:color="auto" w:fill="auto"/>
            <w:hideMark/>
          </w:tcPr>
          <w:p w14:paraId="08C4113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Risk assessments for living modified organisms </w:t>
            </w:r>
          </w:p>
        </w:tc>
        <w:tc>
          <w:tcPr>
            <w:tcW w:w="7155" w:type="dxa"/>
            <w:tcBorders>
              <w:top w:val="nil"/>
              <w:left w:val="nil"/>
              <w:bottom w:val="nil"/>
              <w:right w:val="nil"/>
            </w:tcBorders>
            <w:shd w:val="clear" w:color="auto" w:fill="auto"/>
            <w:hideMark/>
          </w:tcPr>
          <w:p w14:paraId="64D5232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In the context of living modified organism management: the qualitative and quantitative evaluation performed in an effort to define the risk posed to human health and/or the environment by the use or release of a living modified organism. (</w:t>
            </w:r>
            <w:hyperlink r:id="rId706" w:tgtFrame="_blank" w:history="1">
              <w:r w:rsidRPr="00ED7E61">
                <w:rPr>
                  <w:rStyle w:val="Hyperlink"/>
                  <w:rFonts w:asciiTheme="majorBidi" w:eastAsiaTheme="majorEastAsia" w:hAnsiTheme="majorBidi" w:cstheme="majorBidi"/>
                  <w:sz w:val="22"/>
                  <w:szCs w:val="22"/>
                </w:rPr>
                <w:t>UNEP</w:t>
              </w:r>
            </w:hyperlink>
            <w:r w:rsidRPr="00ED7E61">
              <w:rPr>
                <w:rFonts w:asciiTheme="majorBidi" w:eastAsiaTheme="majorEastAsia" w:hAnsiTheme="majorBidi" w:cstheme="majorBidi"/>
                <w:sz w:val="22"/>
                <w:szCs w:val="22"/>
              </w:rPr>
              <w:t>) </w:t>
            </w:r>
          </w:p>
        </w:tc>
      </w:tr>
      <w:tr w:rsidR="00764225" w:rsidRPr="00ED7E61" w14:paraId="54483F8A" w14:textId="77777777" w:rsidTr="00764225">
        <w:trPr>
          <w:trHeight w:val="1716"/>
        </w:trPr>
        <w:tc>
          <w:tcPr>
            <w:tcW w:w="2055" w:type="dxa"/>
            <w:tcBorders>
              <w:top w:val="nil"/>
              <w:left w:val="nil"/>
              <w:bottom w:val="nil"/>
              <w:right w:val="nil"/>
            </w:tcBorders>
            <w:shd w:val="clear" w:color="auto" w:fill="auto"/>
            <w:hideMark/>
          </w:tcPr>
          <w:p w14:paraId="7E44E6D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Risk categories of ecosystem collapse </w:t>
            </w:r>
          </w:p>
        </w:tc>
        <w:tc>
          <w:tcPr>
            <w:tcW w:w="7155" w:type="dxa"/>
            <w:tcBorders>
              <w:top w:val="nil"/>
              <w:left w:val="nil"/>
              <w:bottom w:val="nil"/>
              <w:right w:val="nil"/>
            </w:tcBorders>
            <w:shd w:val="clear" w:color="auto" w:fill="auto"/>
            <w:hideMark/>
          </w:tcPr>
          <w:p w14:paraId="3458F8A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risk of ecosystem collapse is based on the risk categories each ecosystem is assigned through assessment under the Red List of Ecosystems framework. The risk categories include, in order of increasing risk of collapse: Least Concern; Near Threatened; Vulnerable; Endangered; Critically Endangered; and Collapsed. If there are insufficient data to assign a risk category, a criterion or ecosystem type it is considered Data Deficient, or Not Evaluated if not assessed. </w:t>
            </w:r>
          </w:p>
        </w:tc>
      </w:tr>
      <w:tr w:rsidR="00764225" w:rsidRPr="00ED7E61" w14:paraId="5779A670" w14:textId="77777777" w:rsidTr="00764225">
        <w:trPr>
          <w:trHeight w:val="1980"/>
        </w:trPr>
        <w:tc>
          <w:tcPr>
            <w:tcW w:w="2055" w:type="dxa"/>
            <w:tcBorders>
              <w:top w:val="nil"/>
              <w:left w:val="nil"/>
              <w:bottom w:val="nil"/>
              <w:right w:val="nil"/>
            </w:tcBorders>
            <w:shd w:val="clear" w:color="auto" w:fill="auto"/>
            <w:hideMark/>
          </w:tcPr>
          <w:p w14:paraId="72BA6A4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Risks to business </w:t>
            </w:r>
          </w:p>
        </w:tc>
        <w:tc>
          <w:tcPr>
            <w:tcW w:w="7155" w:type="dxa"/>
            <w:tcBorders>
              <w:top w:val="nil"/>
              <w:left w:val="nil"/>
              <w:bottom w:val="nil"/>
              <w:right w:val="nil"/>
            </w:tcBorders>
            <w:shd w:val="clear" w:color="auto" w:fill="auto"/>
            <w:hideMark/>
          </w:tcPr>
          <w:p w14:paraId="748CC54A" w14:textId="4CE514EA"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Biodiversity-related risks to businesses are categorised as:</w:t>
            </w:r>
            <w:r w:rsidRPr="00ED7E61">
              <w:rPr>
                <w:rFonts w:asciiTheme="majorBidi" w:hAnsiTheme="majorBidi" w:cstheme="majorBidi"/>
                <w:sz w:val="22"/>
                <w:szCs w:val="22"/>
              </w:rPr>
              <w:t> </w:t>
            </w:r>
            <w:r w:rsidRPr="00ED7E61">
              <w:rPr>
                <w:rFonts w:asciiTheme="majorBidi" w:hAnsiTheme="majorBidi" w:cstheme="majorBidi"/>
                <w:sz w:val="22"/>
                <w:szCs w:val="22"/>
              </w:rPr>
              <w:br/>
            </w:r>
            <w:r w:rsidRPr="00ED7E61">
              <w:rPr>
                <w:rFonts w:asciiTheme="majorBidi" w:eastAsiaTheme="majorEastAsia" w:hAnsiTheme="majorBidi" w:cstheme="majorBidi"/>
                <w:sz w:val="22"/>
                <w:szCs w:val="22"/>
              </w:rPr>
              <w:t xml:space="preserve">o Ecological risks, risks </w:t>
            </w:r>
            <w:r w:rsidR="003438F2" w:rsidRPr="00ED7E61">
              <w:rPr>
                <w:rFonts w:asciiTheme="majorBidi" w:eastAsiaTheme="majorEastAsia" w:hAnsiTheme="majorBidi" w:cstheme="majorBidi"/>
                <w:sz w:val="22"/>
                <w:szCs w:val="22"/>
              </w:rPr>
              <w:t>i.e.</w:t>
            </w:r>
            <w:r w:rsidR="003438F2">
              <w:rPr>
                <w:rFonts w:asciiTheme="majorBidi" w:eastAsiaTheme="majorEastAsia" w:hAnsiTheme="majorBidi" w:cstheme="majorBidi"/>
                <w:sz w:val="22"/>
                <w:szCs w:val="22"/>
              </w:rPr>
              <w:t xml:space="preserve"> </w:t>
            </w:r>
            <w:r w:rsidRPr="00ED7E61">
              <w:rPr>
                <w:rFonts w:asciiTheme="majorBidi" w:eastAsiaTheme="majorEastAsia" w:hAnsiTheme="majorBidi" w:cstheme="majorBidi"/>
                <w:sz w:val="22"/>
                <w:szCs w:val="22"/>
              </w:rPr>
              <w:t>related to biodiversity-related ecological impacts and dependencies, linked to biodiversity loss or ecosystems degradation.</w:t>
            </w:r>
            <w:r w:rsidRPr="00ED7E61">
              <w:rPr>
                <w:rFonts w:asciiTheme="majorBidi" w:hAnsiTheme="majorBidi" w:cstheme="majorBidi"/>
                <w:sz w:val="22"/>
                <w:szCs w:val="22"/>
              </w:rPr>
              <w:t> </w:t>
            </w:r>
            <w:r w:rsidRPr="00ED7E61">
              <w:rPr>
                <w:rFonts w:asciiTheme="majorBidi" w:hAnsiTheme="majorBidi" w:cstheme="majorBidi"/>
                <w:sz w:val="22"/>
                <w:szCs w:val="22"/>
              </w:rPr>
              <w:br/>
            </w:r>
            <w:r w:rsidRPr="00ED7E61">
              <w:rPr>
                <w:rFonts w:asciiTheme="majorBidi" w:eastAsiaTheme="majorEastAsia" w:hAnsiTheme="majorBidi" w:cstheme="majorBidi"/>
                <w:sz w:val="22"/>
                <w:szCs w:val="22"/>
              </w:rPr>
              <w:t>o Liability risks, where parties who have suffered biodiversity-related loss or damage seek compensation for those they hold responsible.</w:t>
            </w:r>
            <w:r w:rsidRPr="00ED7E61">
              <w:rPr>
                <w:rFonts w:asciiTheme="majorBidi" w:hAnsiTheme="majorBidi" w:cstheme="majorBidi"/>
                <w:sz w:val="22"/>
                <w:szCs w:val="22"/>
              </w:rPr>
              <w:t> </w:t>
            </w:r>
            <w:r w:rsidRPr="00ED7E61">
              <w:rPr>
                <w:rFonts w:asciiTheme="majorBidi" w:hAnsiTheme="majorBidi" w:cstheme="majorBidi"/>
                <w:sz w:val="22"/>
                <w:szCs w:val="22"/>
              </w:rPr>
              <w:br/>
            </w:r>
            <w:r w:rsidRPr="00ED7E61">
              <w:rPr>
                <w:rFonts w:asciiTheme="majorBidi" w:eastAsiaTheme="majorEastAsia" w:hAnsiTheme="majorBidi" w:cstheme="majorBidi"/>
                <w:sz w:val="22"/>
                <w:szCs w:val="22"/>
              </w:rPr>
              <w:t xml:space="preserve">o Risks related to achieve transformative change for biodiversity, including regulatory risks, market risks and financial risks. (See </w:t>
            </w:r>
            <w:hyperlink r:id="rId707" w:anchor=":~:text=Businesses%20and%20financial%20organisations%20(including,resource%20dependency%2C%20scarcity%20and%20quality." w:tgtFrame="_blank" w:history="1">
              <w:r w:rsidRPr="00ED7E61">
                <w:rPr>
                  <w:rStyle w:val="Hyperlink"/>
                  <w:rFonts w:asciiTheme="majorBidi" w:eastAsiaTheme="majorEastAsia" w:hAnsiTheme="majorBidi" w:cstheme="majorBidi"/>
                  <w:sz w:val="22"/>
                  <w:szCs w:val="22"/>
                </w:rPr>
                <w:t>OECD</w:t>
              </w:r>
            </w:hyperlink>
            <w:r w:rsidRPr="00ED7E61">
              <w:rPr>
                <w:rFonts w:asciiTheme="majorBidi" w:eastAsiaTheme="majorEastAsia" w:hAnsiTheme="majorBidi" w:cstheme="majorBidi"/>
                <w:sz w:val="22"/>
                <w:szCs w:val="22"/>
              </w:rPr>
              <w:t xml:space="preserve"> for more detail) </w:t>
            </w:r>
          </w:p>
        </w:tc>
      </w:tr>
      <w:tr w:rsidR="00764225" w:rsidRPr="00ED7E61" w14:paraId="4EB83976" w14:textId="77777777" w:rsidTr="00764225">
        <w:trPr>
          <w:trHeight w:val="450"/>
        </w:trPr>
        <w:tc>
          <w:tcPr>
            <w:tcW w:w="2055" w:type="dxa"/>
            <w:tcBorders>
              <w:top w:val="nil"/>
              <w:left w:val="nil"/>
              <w:bottom w:val="nil"/>
              <w:right w:val="nil"/>
            </w:tcBorders>
            <w:shd w:val="clear" w:color="auto" w:fill="auto"/>
            <w:hideMark/>
          </w:tcPr>
          <w:p w14:paraId="70F2E89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Restoration </w:t>
            </w:r>
          </w:p>
        </w:tc>
        <w:tc>
          <w:tcPr>
            <w:tcW w:w="7155" w:type="dxa"/>
            <w:tcBorders>
              <w:top w:val="nil"/>
              <w:left w:val="nil"/>
              <w:bottom w:val="nil"/>
              <w:right w:val="nil"/>
            </w:tcBorders>
            <w:shd w:val="clear" w:color="auto" w:fill="auto"/>
            <w:hideMark/>
          </w:tcPr>
          <w:p w14:paraId="31D18A6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Refer to the definition of “</w:t>
            </w:r>
            <w:r w:rsidRPr="00FB1598">
              <w:rPr>
                <w:rFonts w:asciiTheme="majorBidi" w:eastAsiaTheme="majorEastAsia" w:hAnsiTheme="majorBidi" w:cstheme="majorBidi"/>
                <w:i/>
                <w:iCs/>
                <w:sz w:val="22"/>
                <w:szCs w:val="22"/>
              </w:rPr>
              <w:t>Ecological restoration</w:t>
            </w:r>
            <w:r w:rsidRPr="00ED7E61">
              <w:rPr>
                <w:rFonts w:asciiTheme="majorBidi" w:eastAsiaTheme="majorEastAsia" w:hAnsiTheme="majorBidi" w:cstheme="majorBidi"/>
                <w:sz w:val="22"/>
                <w:szCs w:val="22"/>
              </w:rPr>
              <w:t>”. </w:t>
            </w:r>
          </w:p>
        </w:tc>
      </w:tr>
      <w:tr w:rsidR="00764225" w:rsidRPr="00ED7E61" w14:paraId="6419F7A1" w14:textId="77777777" w:rsidTr="00764225">
        <w:trPr>
          <w:trHeight w:val="851"/>
        </w:trPr>
        <w:tc>
          <w:tcPr>
            <w:tcW w:w="2055" w:type="dxa"/>
            <w:tcBorders>
              <w:top w:val="nil"/>
              <w:left w:val="nil"/>
              <w:bottom w:val="nil"/>
              <w:right w:val="nil"/>
            </w:tcBorders>
            <w:shd w:val="clear" w:color="auto" w:fill="auto"/>
            <w:hideMark/>
          </w:tcPr>
          <w:p w14:paraId="0C8130B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Safeguard genetic diversity </w:t>
            </w:r>
          </w:p>
        </w:tc>
        <w:tc>
          <w:tcPr>
            <w:tcW w:w="7155" w:type="dxa"/>
            <w:tcBorders>
              <w:top w:val="nil"/>
              <w:left w:val="nil"/>
              <w:bottom w:val="nil"/>
              <w:right w:val="nil"/>
            </w:tcBorders>
            <w:shd w:val="clear" w:color="auto" w:fill="auto"/>
            <w:hideMark/>
          </w:tcPr>
          <w:p w14:paraId="5337D0C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To protect genetic diversity e.g. with in-situ and ex-situ protective measures (e.g. seed banks and botanic gardens, well managed protected areas, translocations, etc.). </w:t>
            </w:r>
          </w:p>
          <w:p w14:paraId="2A85A50F" w14:textId="0C73F059" w:rsidR="00764225" w:rsidRPr="00ED7E61" w:rsidRDefault="00764225" w:rsidP="00395866">
            <w:pPr>
              <w:jc w:val="both"/>
              <w:rPr>
                <w:rFonts w:asciiTheme="majorBidi" w:hAnsiTheme="majorBidi" w:cstheme="majorBidi"/>
                <w:sz w:val="22"/>
                <w:szCs w:val="22"/>
              </w:rPr>
            </w:pPr>
          </w:p>
        </w:tc>
      </w:tr>
      <w:tr w:rsidR="00764225" w:rsidRPr="00ED7E61" w14:paraId="607D3C8E" w14:textId="77777777" w:rsidTr="00764225">
        <w:trPr>
          <w:trHeight w:val="2745"/>
        </w:trPr>
        <w:tc>
          <w:tcPr>
            <w:tcW w:w="2055" w:type="dxa"/>
            <w:tcBorders>
              <w:top w:val="nil"/>
              <w:left w:val="nil"/>
              <w:bottom w:val="nil"/>
              <w:right w:val="nil"/>
            </w:tcBorders>
            <w:shd w:val="clear" w:color="auto" w:fill="auto"/>
            <w:hideMark/>
          </w:tcPr>
          <w:p w14:paraId="533DCAC2"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Scientific research </w:t>
            </w:r>
          </w:p>
        </w:tc>
        <w:tc>
          <w:tcPr>
            <w:tcW w:w="7155" w:type="dxa"/>
            <w:tcBorders>
              <w:top w:val="nil"/>
              <w:left w:val="nil"/>
              <w:bottom w:val="nil"/>
              <w:right w:val="nil"/>
            </w:tcBorders>
            <w:shd w:val="clear" w:color="auto" w:fill="auto"/>
            <w:hideMark/>
          </w:tcPr>
          <w:p w14:paraId="0498443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Systematic and creative actions taken to increase knowledge about biodiversity, ecosystems, their functions and services and nature’s contributions to people, and to apply it in new areas of interest. Scientific research is the research performed by applying systematic and constructed scientific methods to obtain, analyze, and interpret data. Scientific research is the neutral, systematic, planned, and multiple-step process that uses previously discovered facts to advance knowledge that does not exist in the literature. It can be classified as observational or experimental with respect to data collection techniques, descriptive or analytical with respect to causality, and prospective, retrospective, or cross-sectional with respect to time. (</w:t>
            </w:r>
            <w:hyperlink r:id="rId708" w:tgtFrame="_blank" w:history="1">
              <w:r w:rsidRPr="00ED7E61">
                <w:rPr>
                  <w:rStyle w:val="Hyperlink"/>
                  <w:rFonts w:asciiTheme="majorBidi" w:eastAsiaTheme="majorEastAsia" w:hAnsiTheme="majorBidi" w:cstheme="majorBidi"/>
                  <w:sz w:val="22"/>
                  <w:szCs w:val="22"/>
                </w:rPr>
                <w:t>Erol</w:t>
              </w:r>
            </w:hyperlink>
            <w:r w:rsidRPr="00ED7E61">
              <w:rPr>
                <w:rFonts w:asciiTheme="majorBidi" w:eastAsiaTheme="majorEastAsia" w:hAnsiTheme="majorBidi" w:cstheme="majorBidi"/>
                <w:sz w:val="22"/>
                <w:szCs w:val="22"/>
              </w:rPr>
              <w:t>, 2017) </w:t>
            </w:r>
          </w:p>
        </w:tc>
      </w:tr>
      <w:tr w:rsidR="00764225" w:rsidRPr="00ED7E61" w14:paraId="33FD4303" w14:textId="77777777" w:rsidTr="00764225">
        <w:trPr>
          <w:trHeight w:val="435"/>
        </w:trPr>
        <w:tc>
          <w:tcPr>
            <w:tcW w:w="2055" w:type="dxa"/>
            <w:tcBorders>
              <w:top w:val="nil"/>
              <w:left w:val="nil"/>
              <w:bottom w:val="nil"/>
              <w:right w:val="nil"/>
            </w:tcBorders>
            <w:shd w:val="clear" w:color="auto" w:fill="auto"/>
            <w:hideMark/>
          </w:tcPr>
          <w:p w14:paraId="3F89003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Scientifically sound </w:t>
            </w:r>
          </w:p>
        </w:tc>
        <w:tc>
          <w:tcPr>
            <w:tcW w:w="7155" w:type="dxa"/>
            <w:tcBorders>
              <w:top w:val="nil"/>
              <w:left w:val="nil"/>
              <w:bottom w:val="nil"/>
              <w:right w:val="nil"/>
            </w:tcBorders>
            <w:shd w:val="clear" w:color="auto" w:fill="auto"/>
            <w:hideMark/>
          </w:tcPr>
          <w:p w14:paraId="05DABFD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Adhering to the requirements of best available science. </w:t>
            </w:r>
          </w:p>
        </w:tc>
      </w:tr>
      <w:tr w:rsidR="00764225" w:rsidRPr="00ED7E61" w14:paraId="46D5686E" w14:textId="77777777" w:rsidTr="00764225">
        <w:trPr>
          <w:trHeight w:val="975"/>
        </w:trPr>
        <w:tc>
          <w:tcPr>
            <w:tcW w:w="2055" w:type="dxa"/>
            <w:tcBorders>
              <w:top w:val="nil"/>
              <w:left w:val="nil"/>
              <w:bottom w:val="nil"/>
              <w:right w:val="nil"/>
            </w:tcBorders>
            <w:shd w:val="clear" w:color="auto" w:fill="auto"/>
            <w:hideMark/>
          </w:tcPr>
          <w:p w14:paraId="1600A9A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Semi-natural ecosystem </w:t>
            </w:r>
          </w:p>
        </w:tc>
        <w:tc>
          <w:tcPr>
            <w:tcW w:w="7155" w:type="dxa"/>
            <w:tcBorders>
              <w:top w:val="nil"/>
              <w:left w:val="nil"/>
              <w:bottom w:val="nil"/>
              <w:right w:val="nil"/>
            </w:tcBorders>
            <w:shd w:val="clear" w:color="auto" w:fill="auto"/>
            <w:hideMark/>
          </w:tcPr>
          <w:p w14:paraId="3278294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An ecosystem with most of its processes and biodiversity intact, though altered by human activity in composition, balance or function relative to the natural state. </w:t>
            </w:r>
          </w:p>
        </w:tc>
      </w:tr>
      <w:tr w:rsidR="00764225" w:rsidRPr="00ED7E61" w14:paraId="0C765D3C" w14:textId="77777777" w:rsidTr="00764225">
        <w:trPr>
          <w:trHeight w:val="1263"/>
        </w:trPr>
        <w:tc>
          <w:tcPr>
            <w:tcW w:w="2055" w:type="dxa"/>
            <w:tcBorders>
              <w:top w:val="nil"/>
              <w:left w:val="nil"/>
              <w:bottom w:val="nil"/>
              <w:right w:val="nil"/>
            </w:tcBorders>
            <w:shd w:val="clear" w:color="auto" w:fill="auto"/>
            <w:hideMark/>
          </w:tcPr>
          <w:p w14:paraId="04142EAA" w14:textId="3D9798F1"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Sex-disaggregated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data collection and analyses </w:t>
            </w:r>
          </w:p>
        </w:tc>
        <w:tc>
          <w:tcPr>
            <w:tcW w:w="7155" w:type="dxa"/>
            <w:tcBorders>
              <w:top w:val="nil"/>
              <w:left w:val="nil"/>
              <w:bottom w:val="nil"/>
              <w:right w:val="nil"/>
            </w:tcBorders>
            <w:shd w:val="clear" w:color="auto" w:fill="auto"/>
            <w:hideMark/>
          </w:tcPr>
          <w:p w14:paraId="154ED60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Collection and analysis of data which is cross classified by sex, and which presents information separately for men and women, boys and girls. Sex-disaggregated data is necessary for effective gender analysis, as it is more difficult to identify real and potential inequalities in its absence. (Adapted from </w:t>
            </w:r>
            <w:hyperlink r:id="rId709" w:tgtFrame="_blank" w:history="1">
              <w:r w:rsidRPr="00ED7E61">
                <w:rPr>
                  <w:rStyle w:val="Hyperlink"/>
                  <w:rFonts w:asciiTheme="majorBidi" w:eastAsiaTheme="majorEastAsia" w:hAnsiTheme="majorBidi" w:cstheme="majorBidi"/>
                  <w:sz w:val="22"/>
                  <w:szCs w:val="22"/>
                </w:rPr>
                <w:t>UN Women</w:t>
              </w:r>
            </w:hyperlink>
            <w:r w:rsidRPr="00ED7E61">
              <w:rPr>
                <w:rFonts w:asciiTheme="majorBidi" w:eastAsiaTheme="majorEastAsia" w:hAnsiTheme="majorBidi" w:cstheme="majorBidi"/>
                <w:sz w:val="22"/>
                <w:szCs w:val="22"/>
              </w:rPr>
              <w:t>, 2022) </w:t>
            </w:r>
          </w:p>
        </w:tc>
      </w:tr>
      <w:tr w:rsidR="00764225" w:rsidRPr="00ED7E61" w14:paraId="5A14E5BD" w14:textId="77777777" w:rsidTr="00764225">
        <w:trPr>
          <w:trHeight w:val="1020"/>
        </w:trPr>
        <w:tc>
          <w:tcPr>
            <w:tcW w:w="2055" w:type="dxa"/>
            <w:tcBorders>
              <w:top w:val="nil"/>
              <w:left w:val="nil"/>
              <w:bottom w:val="nil"/>
              <w:right w:val="nil"/>
            </w:tcBorders>
            <w:shd w:val="clear" w:color="auto" w:fill="auto"/>
            <w:hideMark/>
          </w:tcPr>
          <w:p w14:paraId="33E3763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Soil erosion control services </w:t>
            </w:r>
          </w:p>
        </w:tc>
        <w:tc>
          <w:tcPr>
            <w:tcW w:w="7155" w:type="dxa"/>
            <w:tcBorders>
              <w:top w:val="nil"/>
              <w:left w:val="nil"/>
              <w:bottom w:val="nil"/>
              <w:right w:val="nil"/>
            </w:tcBorders>
            <w:shd w:val="clear" w:color="auto" w:fill="auto"/>
            <w:hideMark/>
          </w:tcPr>
          <w:p w14:paraId="383B6816" w14:textId="0B602F13"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ecosystem contributions, particularly the stabilising effects of vegetation, that reduce the loss of soil (and sediment) and support use of the environment (e.g. agricultural activity, water supply). (</w:t>
            </w:r>
            <w:hyperlink r:id="rId710"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10C172F1" w14:textId="77777777" w:rsidTr="00764225">
        <w:trPr>
          <w:trHeight w:val="2529"/>
        </w:trPr>
        <w:tc>
          <w:tcPr>
            <w:tcW w:w="2055" w:type="dxa"/>
            <w:tcBorders>
              <w:top w:val="nil"/>
              <w:left w:val="nil"/>
              <w:bottom w:val="nil"/>
              <w:right w:val="nil"/>
            </w:tcBorders>
            <w:shd w:val="clear" w:color="auto" w:fill="auto"/>
            <w:hideMark/>
          </w:tcPr>
          <w:p w14:paraId="6EBE6404"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Spatial planning </w:t>
            </w:r>
          </w:p>
        </w:tc>
        <w:tc>
          <w:tcPr>
            <w:tcW w:w="7155" w:type="dxa"/>
            <w:tcBorders>
              <w:top w:val="nil"/>
              <w:left w:val="nil"/>
              <w:bottom w:val="nil"/>
              <w:right w:val="nil"/>
            </w:tcBorders>
            <w:shd w:val="clear" w:color="auto" w:fill="auto"/>
            <w:hideMark/>
          </w:tcPr>
          <w:p w14:paraId="190FDDE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There are different definitions of spatial planning, however it is generally considered to be a method or process for analyzing and allocating the spatial and temporal distribution of human uses and activities in a given area, in order to achieve various social, economic and ecological objectives. It may also include integrating biodiversity considerations using spatial data during land- and sea-use planning exercises. When undertaken in terrestrial areas it is often referred to as “</w:t>
            </w:r>
            <w:r w:rsidRPr="00FB1598">
              <w:rPr>
                <w:rFonts w:asciiTheme="majorBidi" w:eastAsiaTheme="majorEastAsia" w:hAnsiTheme="majorBidi" w:cstheme="majorBidi"/>
                <w:i/>
                <w:iCs/>
                <w:sz w:val="22"/>
                <w:szCs w:val="22"/>
              </w:rPr>
              <w:t>land use planning</w:t>
            </w:r>
            <w:r w:rsidRPr="00ED7E61">
              <w:rPr>
                <w:rFonts w:asciiTheme="majorBidi" w:eastAsiaTheme="majorEastAsia" w:hAnsiTheme="majorBidi" w:cstheme="majorBidi"/>
                <w:sz w:val="22"/>
                <w:szCs w:val="22"/>
              </w:rPr>
              <w:t>” while in marine areas it is referred to as “</w:t>
            </w:r>
            <w:r w:rsidRPr="00FB1598">
              <w:rPr>
                <w:rFonts w:asciiTheme="majorBidi" w:eastAsiaTheme="majorEastAsia" w:hAnsiTheme="majorBidi" w:cstheme="majorBidi"/>
                <w:i/>
                <w:iCs/>
                <w:sz w:val="22"/>
                <w:szCs w:val="22"/>
              </w:rPr>
              <w:t>marine spatial planning</w:t>
            </w:r>
            <w:r w:rsidRPr="00ED7E61">
              <w:rPr>
                <w:rFonts w:asciiTheme="majorBidi" w:eastAsiaTheme="majorEastAsia" w:hAnsiTheme="majorBidi" w:cstheme="majorBidi"/>
                <w:sz w:val="22"/>
                <w:szCs w:val="22"/>
              </w:rPr>
              <w:t xml:space="preserve">”. For inland water and related ecosystems, planning processes often take place at the watershed level. (Adapted from </w:t>
            </w:r>
            <w:hyperlink r:id="rId711" w:tgtFrame="_blank" w:history="1">
              <w:r w:rsidRPr="00ED7E61">
                <w:rPr>
                  <w:rStyle w:val="Hyperlink"/>
                  <w:rFonts w:asciiTheme="majorBidi" w:eastAsiaTheme="majorEastAsia" w:hAnsiTheme="majorBidi" w:cstheme="majorBidi"/>
                  <w:sz w:val="22"/>
                  <w:szCs w:val="22"/>
                </w:rPr>
                <w:t>Metternicht</w:t>
              </w:r>
            </w:hyperlink>
            <w:r w:rsidRPr="00ED7E61">
              <w:rPr>
                <w:rFonts w:asciiTheme="majorBidi" w:eastAsiaTheme="majorEastAsia" w:hAnsiTheme="majorBidi" w:cstheme="majorBidi"/>
                <w:sz w:val="22"/>
                <w:szCs w:val="22"/>
              </w:rPr>
              <w:t>, 2018) </w:t>
            </w:r>
          </w:p>
        </w:tc>
      </w:tr>
      <w:tr w:rsidR="00764225" w:rsidRPr="00ED7E61" w14:paraId="5B4F9191" w14:textId="77777777" w:rsidTr="00764225">
        <w:trPr>
          <w:trHeight w:val="1275"/>
        </w:trPr>
        <w:tc>
          <w:tcPr>
            <w:tcW w:w="2055" w:type="dxa"/>
            <w:tcBorders>
              <w:top w:val="nil"/>
              <w:left w:val="nil"/>
              <w:bottom w:val="nil"/>
              <w:right w:val="nil"/>
            </w:tcBorders>
            <w:shd w:val="clear" w:color="auto" w:fill="auto"/>
            <w:hideMark/>
          </w:tcPr>
          <w:p w14:paraId="6863309C"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Storm mitigation services </w:t>
            </w:r>
          </w:p>
        </w:tc>
        <w:tc>
          <w:tcPr>
            <w:tcW w:w="7155" w:type="dxa"/>
            <w:tcBorders>
              <w:top w:val="nil"/>
              <w:left w:val="nil"/>
              <w:bottom w:val="nil"/>
              <w:right w:val="nil"/>
            </w:tcBorders>
            <w:shd w:val="clear" w:color="auto" w:fill="auto"/>
            <w:hideMark/>
          </w:tcPr>
          <w:p w14:paraId="404CBF3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ecosystem contributions of vegetation including linear elements, in mitigating the impacts of wind, sand and other storms (other than water related events) on local communities.  (</w:t>
            </w:r>
            <w:hyperlink r:id="rId712"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67D82675" w14:textId="77777777" w:rsidTr="00764225">
        <w:trPr>
          <w:trHeight w:val="2550"/>
        </w:trPr>
        <w:tc>
          <w:tcPr>
            <w:tcW w:w="2055" w:type="dxa"/>
            <w:tcBorders>
              <w:top w:val="nil"/>
              <w:left w:val="nil"/>
              <w:bottom w:val="nil"/>
              <w:right w:val="nil"/>
            </w:tcBorders>
            <w:shd w:val="clear" w:color="auto" w:fill="auto"/>
            <w:hideMark/>
          </w:tcPr>
          <w:p w14:paraId="16904E8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Strategic environmental assessment </w:t>
            </w:r>
          </w:p>
        </w:tc>
        <w:tc>
          <w:tcPr>
            <w:tcW w:w="7155" w:type="dxa"/>
            <w:tcBorders>
              <w:top w:val="nil"/>
              <w:left w:val="nil"/>
              <w:bottom w:val="nil"/>
              <w:right w:val="nil"/>
            </w:tcBorders>
            <w:shd w:val="clear" w:color="auto" w:fill="auto"/>
            <w:hideMark/>
          </w:tcPr>
          <w:p w14:paraId="3922601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Strategic environmental assessment is the formalized, systematic and comprehensive process of identifying and evaluating the environmental consequences of proposed policies, plans or programmes to ensure that they are fully included and appropriately addressed at the earliest possible stage of decision- making on a par with economic and social considerations. Strategic environmental assessment, by its nature, covers a wider range of activities or a wider area and often over a longer time span than the environmental impact assessment of projects. Strategic environmental assessment might be applied to an entire sector (such as a national policy on energy for example) or to a geographical area, (for example, in the context of a regional development scheme). (CBD/COP/DEC/6/7) </w:t>
            </w:r>
          </w:p>
          <w:p w14:paraId="76CE6A7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w:t>
            </w:r>
          </w:p>
        </w:tc>
      </w:tr>
      <w:tr w:rsidR="00764225" w:rsidRPr="00ED7E61" w14:paraId="53601CCB" w14:textId="77777777" w:rsidTr="00764225">
        <w:trPr>
          <w:trHeight w:val="2495"/>
        </w:trPr>
        <w:tc>
          <w:tcPr>
            <w:tcW w:w="2055" w:type="dxa"/>
            <w:tcBorders>
              <w:top w:val="nil"/>
              <w:left w:val="nil"/>
              <w:bottom w:val="nil"/>
              <w:right w:val="nil"/>
            </w:tcBorders>
            <w:shd w:val="clear" w:color="auto" w:fill="auto"/>
            <w:hideMark/>
          </w:tcPr>
          <w:p w14:paraId="6A4849D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Streets </w:t>
            </w:r>
          </w:p>
        </w:tc>
        <w:tc>
          <w:tcPr>
            <w:tcW w:w="7155" w:type="dxa"/>
            <w:tcBorders>
              <w:top w:val="nil"/>
              <w:left w:val="nil"/>
              <w:bottom w:val="nil"/>
              <w:right w:val="nil"/>
            </w:tcBorders>
            <w:shd w:val="clear" w:color="auto" w:fill="auto"/>
            <w:hideMark/>
          </w:tcPr>
          <w:p w14:paraId="7244C5AB"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Defined thoroughfares that are based inside urban areas, towns, cities and neighbourhoods most commonly lined with houses or buildings used by pedestrians or vehicles in order to go from one place to another in the city, interact and to earn a livelihood. The main purpose of a street is facilitating movement and enabling public interaction. The following elements are considered as streets space: streets, avenues and boulevards; pavements; passages and galleries; bicycle paths; sidewalks; traffic islands; tramways and roundabouts. Elements excluded from street space include: plots; open space blocks; railways; paved space within parking lots; and airports and individual industries. (</w:t>
            </w:r>
            <w:hyperlink r:id="rId713" w:tgtFrame="_blank" w:history="1">
              <w:r w:rsidRPr="00ED7E61">
                <w:rPr>
                  <w:rStyle w:val="Hyperlink"/>
                  <w:rFonts w:asciiTheme="majorBidi" w:eastAsiaTheme="majorEastAsia" w:hAnsiTheme="majorBidi" w:cstheme="majorBidi"/>
                  <w:sz w:val="22"/>
                  <w:szCs w:val="22"/>
                </w:rPr>
                <w:t>UN Habitat</w:t>
              </w:r>
            </w:hyperlink>
            <w:r w:rsidRPr="00ED7E61">
              <w:rPr>
                <w:rFonts w:asciiTheme="majorBidi" w:eastAsiaTheme="majorEastAsia" w:hAnsiTheme="majorBidi" w:cstheme="majorBidi"/>
                <w:sz w:val="22"/>
                <w:szCs w:val="22"/>
              </w:rPr>
              <w:t>, 2018) </w:t>
            </w:r>
          </w:p>
        </w:tc>
      </w:tr>
      <w:tr w:rsidR="00764225" w:rsidRPr="00ED7E61" w14:paraId="0F989C8F" w14:textId="77777777" w:rsidTr="00764225">
        <w:trPr>
          <w:trHeight w:val="703"/>
        </w:trPr>
        <w:tc>
          <w:tcPr>
            <w:tcW w:w="2055" w:type="dxa"/>
            <w:tcBorders>
              <w:top w:val="nil"/>
              <w:left w:val="nil"/>
              <w:bottom w:val="nil"/>
              <w:right w:val="nil"/>
            </w:tcBorders>
            <w:shd w:val="clear" w:color="auto" w:fill="auto"/>
            <w:hideMark/>
          </w:tcPr>
          <w:p w14:paraId="293D725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Supply chain </w:t>
            </w:r>
          </w:p>
        </w:tc>
        <w:tc>
          <w:tcPr>
            <w:tcW w:w="7155" w:type="dxa"/>
            <w:tcBorders>
              <w:top w:val="nil"/>
              <w:left w:val="nil"/>
              <w:bottom w:val="nil"/>
              <w:right w:val="nil"/>
            </w:tcBorders>
            <w:shd w:val="clear" w:color="auto" w:fill="auto"/>
            <w:hideMark/>
          </w:tcPr>
          <w:p w14:paraId="355817DF"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linear sequence of processes, actors, and locations involved in the production, distribution, and sale of a commodity from start to finish. (</w:t>
            </w:r>
            <w:hyperlink r:id="rId714" w:tgtFrame="_blank" w:history="1">
              <w:r w:rsidRPr="00ED7E61">
                <w:rPr>
                  <w:rStyle w:val="Hyperlink"/>
                  <w:rFonts w:asciiTheme="majorBidi" w:eastAsiaTheme="majorEastAsia" w:hAnsiTheme="majorBidi" w:cstheme="majorBidi"/>
                  <w:sz w:val="22"/>
                  <w:szCs w:val="22"/>
                </w:rPr>
                <w:t>TNFD</w:t>
              </w:r>
            </w:hyperlink>
            <w:r w:rsidRPr="00ED7E61">
              <w:rPr>
                <w:rFonts w:asciiTheme="majorBidi" w:eastAsiaTheme="majorEastAsia" w:hAnsiTheme="majorBidi" w:cstheme="majorBidi"/>
                <w:sz w:val="22"/>
                <w:szCs w:val="22"/>
              </w:rPr>
              <w:t>, 2023) </w:t>
            </w:r>
          </w:p>
        </w:tc>
      </w:tr>
      <w:tr w:rsidR="00764225" w:rsidRPr="00ED7E61" w14:paraId="489AE203" w14:textId="77777777" w:rsidTr="00764225">
        <w:trPr>
          <w:trHeight w:val="1020"/>
        </w:trPr>
        <w:tc>
          <w:tcPr>
            <w:tcW w:w="2055" w:type="dxa"/>
            <w:tcBorders>
              <w:top w:val="nil"/>
              <w:left w:val="nil"/>
              <w:bottom w:val="nil"/>
              <w:right w:val="nil"/>
            </w:tcBorders>
            <w:shd w:val="clear" w:color="auto" w:fill="auto"/>
            <w:hideMark/>
          </w:tcPr>
          <w:p w14:paraId="6CBAC58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Sustainable - Sustainability </w:t>
            </w:r>
          </w:p>
        </w:tc>
        <w:tc>
          <w:tcPr>
            <w:tcW w:w="7155" w:type="dxa"/>
            <w:tcBorders>
              <w:top w:val="nil"/>
              <w:left w:val="nil"/>
              <w:bottom w:val="nil"/>
              <w:right w:val="nil"/>
            </w:tcBorders>
            <w:shd w:val="clear" w:color="auto" w:fill="auto"/>
            <w:hideMark/>
          </w:tcPr>
          <w:p w14:paraId="5439CDD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characteristic or state whereby the needs of the present and local population can be met without compromising the ability of future generations or populations in other locations to meet their needs. (</w:t>
            </w:r>
            <w:hyperlink r:id="rId715"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2018) </w:t>
            </w:r>
          </w:p>
        </w:tc>
      </w:tr>
      <w:tr w:rsidR="00764225" w:rsidRPr="00ED7E61" w14:paraId="53990E04" w14:textId="77777777" w:rsidTr="00764225">
        <w:trPr>
          <w:trHeight w:val="1950"/>
        </w:trPr>
        <w:tc>
          <w:tcPr>
            <w:tcW w:w="2055" w:type="dxa"/>
            <w:tcBorders>
              <w:top w:val="nil"/>
              <w:left w:val="nil"/>
              <w:bottom w:val="nil"/>
              <w:right w:val="nil"/>
            </w:tcBorders>
            <w:shd w:val="clear" w:color="auto" w:fill="auto"/>
            <w:hideMark/>
          </w:tcPr>
          <w:p w14:paraId="78DD614E"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Sustainable agriculture </w:t>
            </w:r>
          </w:p>
        </w:tc>
        <w:tc>
          <w:tcPr>
            <w:tcW w:w="7155" w:type="dxa"/>
            <w:tcBorders>
              <w:top w:val="nil"/>
              <w:left w:val="nil"/>
              <w:bottom w:val="nil"/>
              <w:right w:val="nil"/>
            </w:tcBorders>
            <w:shd w:val="clear" w:color="auto" w:fill="auto"/>
            <w:hideMark/>
          </w:tcPr>
          <w:p w14:paraId="5FEAF3D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management and conservation of the natural resource base, and the orientation of technological and institutional change in such a manner as to ensure the attainment and continued satisfaction of human needs for present and future generation. Such development (in agriculture, forestry and fishing etc.) conserves land, water, plant and animal genetic resources, environmentally non-degrading, technically appropriate, economically viable and socially acceptable. (FAO, 1988) </w:t>
            </w:r>
          </w:p>
        </w:tc>
      </w:tr>
      <w:tr w:rsidR="00764225" w:rsidRPr="00ED7E61" w14:paraId="0B05BD90" w14:textId="77777777" w:rsidTr="00764225">
        <w:trPr>
          <w:trHeight w:val="1140"/>
        </w:trPr>
        <w:tc>
          <w:tcPr>
            <w:tcW w:w="2055" w:type="dxa"/>
            <w:tcBorders>
              <w:top w:val="nil"/>
              <w:left w:val="nil"/>
              <w:bottom w:val="nil"/>
              <w:right w:val="nil"/>
            </w:tcBorders>
            <w:shd w:val="clear" w:color="auto" w:fill="auto"/>
            <w:hideMark/>
          </w:tcPr>
          <w:p w14:paraId="31BB8EE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Sustainable consumption </w:t>
            </w:r>
          </w:p>
        </w:tc>
        <w:tc>
          <w:tcPr>
            <w:tcW w:w="7155" w:type="dxa"/>
            <w:tcBorders>
              <w:top w:val="nil"/>
              <w:left w:val="nil"/>
              <w:bottom w:val="nil"/>
              <w:right w:val="nil"/>
            </w:tcBorders>
            <w:shd w:val="clear" w:color="auto" w:fill="auto"/>
            <w:hideMark/>
          </w:tcPr>
          <w:p w14:paraId="03666A3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use of services and related products, which respond to basic needs and bring a better quality of life while minimizing the use of natural resources as well as the emissions of waste and pollutants over the life cycle of the service or product so as not to jeopardize the needs of future generations. (</w:t>
            </w:r>
            <w:hyperlink r:id="rId716" w:tgtFrame="_blank" w:history="1">
              <w:r w:rsidRPr="00ED7E61">
                <w:rPr>
                  <w:rStyle w:val="Hyperlink"/>
                  <w:rFonts w:asciiTheme="majorBidi" w:eastAsiaTheme="majorEastAsia" w:hAnsiTheme="majorBidi" w:cstheme="majorBidi"/>
                  <w:sz w:val="22"/>
                  <w:szCs w:val="22"/>
                </w:rPr>
                <w:t>UNEP</w:t>
              </w:r>
            </w:hyperlink>
            <w:r w:rsidRPr="00ED7E61">
              <w:rPr>
                <w:rFonts w:asciiTheme="majorBidi" w:eastAsiaTheme="majorEastAsia" w:hAnsiTheme="majorBidi" w:cstheme="majorBidi"/>
                <w:sz w:val="22"/>
                <w:szCs w:val="22"/>
              </w:rPr>
              <w:t>) </w:t>
            </w:r>
          </w:p>
        </w:tc>
      </w:tr>
      <w:tr w:rsidR="00764225" w:rsidRPr="00ED7E61" w14:paraId="32BCBD93" w14:textId="77777777" w:rsidTr="00764225">
        <w:trPr>
          <w:trHeight w:val="675"/>
        </w:trPr>
        <w:tc>
          <w:tcPr>
            <w:tcW w:w="2055" w:type="dxa"/>
            <w:tcBorders>
              <w:top w:val="nil"/>
              <w:left w:val="nil"/>
              <w:bottom w:val="nil"/>
              <w:right w:val="nil"/>
            </w:tcBorders>
            <w:shd w:val="clear" w:color="auto" w:fill="auto"/>
            <w:hideMark/>
          </w:tcPr>
          <w:p w14:paraId="7646014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Sustainable development </w:t>
            </w:r>
          </w:p>
        </w:tc>
        <w:tc>
          <w:tcPr>
            <w:tcW w:w="7155" w:type="dxa"/>
            <w:tcBorders>
              <w:top w:val="nil"/>
              <w:left w:val="nil"/>
              <w:bottom w:val="nil"/>
              <w:right w:val="nil"/>
            </w:tcBorders>
            <w:shd w:val="clear" w:color="auto" w:fill="auto"/>
            <w:hideMark/>
          </w:tcPr>
          <w:p w14:paraId="76ABAA9A"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Development that meets the needs of the present without compromising the ability of future generations to meet their own needs. (</w:t>
            </w:r>
            <w:hyperlink r:id="rId717" w:tgtFrame="_blank" w:history="1">
              <w:r w:rsidRPr="00ED7E61">
                <w:rPr>
                  <w:rStyle w:val="Hyperlink"/>
                  <w:rFonts w:asciiTheme="majorBidi" w:eastAsiaTheme="majorEastAsia" w:hAnsiTheme="majorBidi" w:cstheme="majorBidi"/>
                  <w:sz w:val="22"/>
                  <w:szCs w:val="22"/>
                </w:rPr>
                <w:t>UN SDG</w:t>
              </w:r>
            </w:hyperlink>
            <w:r w:rsidRPr="00ED7E61">
              <w:rPr>
                <w:rFonts w:asciiTheme="majorBidi" w:eastAsiaTheme="majorEastAsia" w:hAnsiTheme="majorBidi" w:cstheme="majorBidi"/>
                <w:sz w:val="22"/>
                <w:szCs w:val="22"/>
              </w:rPr>
              <w:t>) </w:t>
            </w:r>
          </w:p>
        </w:tc>
      </w:tr>
      <w:tr w:rsidR="00764225" w:rsidRPr="00ED7E61" w14:paraId="58FCC1B9" w14:textId="77777777" w:rsidTr="00764225">
        <w:trPr>
          <w:trHeight w:val="1020"/>
        </w:trPr>
        <w:tc>
          <w:tcPr>
            <w:tcW w:w="2055" w:type="dxa"/>
            <w:tcBorders>
              <w:top w:val="nil"/>
              <w:left w:val="nil"/>
              <w:bottom w:val="nil"/>
              <w:right w:val="nil"/>
            </w:tcBorders>
            <w:shd w:val="clear" w:color="auto" w:fill="auto"/>
            <w:hideMark/>
          </w:tcPr>
          <w:p w14:paraId="0DC16BF9"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Sustainable forest management </w:t>
            </w:r>
          </w:p>
        </w:tc>
        <w:tc>
          <w:tcPr>
            <w:tcW w:w="7155" w:type="dxa"/>
            <w:tcBorders>
              <w:top w:val="nil"/>
              <w:left w:val="nil"/>
              <w:bottom w:val="nil"/>
              <w:right w:val="nil"/>
            </w:tcBorders>
            <w:shd w:val="clear" w:color="auto" w:fill="auto"/>
            <w:hideMark/>
          </w:tcPr>
          <w:p w14:paraId="5057F27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dynamic and evolving concept that aims to maintain and enhance the economic, social and environmental values of all types of forests, for the benefit of present and future generations (Resolution A/RES/62/98) </w:t>
            </w:r>
          </w:p>
        </w:tc>
      </w:tr>
      <w:tr w:rsidR="00764225" w:rsidRPr="00ED7E61" w14:paraId="2DD0E247" w14:textId="77777777" w:rsidTr="00764225">
        <w:trPr>
          <w:trHeight w:val="1418"/>
        </w:trPr>
        <w:tc>
          <w:tcPr>
            <w:tcW w:w="2055" w:type="dxa"/>
            <w:tcBorders>
              <w:top w:val="nil"/>
              <w:left w:val="nil"/>
              <w:bottom w:val="nil"/>
              <w:right w:val="nil"/>
            </w:tcBorders>
            <w:shd w:val="clear" w:color="auto" w:fill="auto"/>
            <w:hideMark/>
          </w:tcPr>
          <w:p w14:paraId="73A0CCE4" w14:textId="4CA93B11"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Sustainable patterns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of production / Sustainable consumption and production </w:t>
            </w:r>
          </w:p>
        </w:tc>
        <w:tc>
          <w:tcPr>
            <w:tcW w:w="7155" w:type="dxa"/>
            <w:tcBorders>
              <w:top w:val="nil"/>
              <w:left w:val="nil"/>
              <w:bottom w:val="nil"/>
              <w:right w:val="nil"/>
            </w:tcBorders>
            <w:shd w:val="clear" w:color="auto" w:fill="auto"/>
            <w:hideMark/>
          </w:tcPr>
          <w:p w14:paraId="7AE13C3D"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use of services and related products, which respond to basic needs and bring a better quality of life while minimising the use of natural resources and toxic materials as well as the emissions of waste and pollutants over the life cycle of the service or product so as not to jeopardise the needs of future generations. (</w:t>
            </w:r>
            <w:hyperlink r:id="rId718" w:tgtFrame="_blank" w:history="1">
              <w:r w:rsidRPr="00ED7E61">
                <w:rPr>
                  <w:rStyle w:val="Hyperlink"/>
                  <w:rFonts w:asciiTheme="majorBidi" w:eastAsiaTheme="majorEastAsia" w:hAnsiTheme="majorBidi" w:cstheme="majorBidi"/>
                  <w:sz w:val="22"/>
                  <w:szCs w:val="22"/>
                </w:rPr>
                <w:t>UNEP</w:t>
              </w:r>
            </w:hyperlink>
            <w:r w:rsidRPr="00ED7E61">
              <w:rPr>
                <w:rFonts w:asciiTheme="majorBidi" w:eastAsiaTheme="majorEastAsia" w:hAnsiTheme="majorBidi" w:cstheme="majorBidi"/>
                <w:sz w:val="22"/>
                <w:szCs w:val="22"/>
              </w:rPr>
              <w:t>)  </w:t>
            </w:r>
          </w:p>
        </w:tc>
      </w:tr>
      <w:tr w:rsidR="00764225" w:rsidRPr="00ED7E61" w14:paraId="71ED192F" w14:textId="77777777" w:rsidTr="00764225">
        <w:trPr>
          <w:trHeight w:val="1275"/>
        </w:trPr>
        <w:tc>
          <w:tcPr>
            <w:tcW w:w="2055" w:type="dxa"/>
            <w:tcBorders>
              <w:top w:val="nil"/>
              <w:left w:val="nil"/>
              <w:bottom w:val="nil"/>
              <w:right w:val="nil"/>
            </w:tcBorders>
            <w:shd w:val="clear" w:color="auto" w:fill="auto"/>
            <w:hideMark/>
          </w:tcPr>
          <w:p w14:paraId="418589D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Sustainable use </w:t>
            </w:r>
          </w:p>
        </w:tc>
        <w:tc>
          <w:tcPr>
            <w:tcW w:w="7155" w:type="dxa"/>
            <w:tcBorders>
              <w:top w:val="nil"/>
              <w:left w:val="nil"/>
              <w:bottom w:val="nil"/>
              <w:right w:val="nil"/>
            </w:tcBorders>
            <w:shd w:val="clear" w:color="auto" w:fill="auto"/>
            <w:hideMark/>
          </w:tcPr>
          <w:p w14:paraId="3B060B5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use of components of biological diversity in a way and at a rate that does not lead to the long-term decline of biological diversity, thereby maintaining its potential to meet the needs and aspirations of present and future generations. (Convention, Article 2) </w:t>
            </w:r>
          </w:p>
        </w:tc>
      </w:tr>
      <w:tr w:rsidR="00764225" w:rsidRPr="00ED7E61" w14:paraId="05525AA6" w14:textId="77777777" w:rsidTr="00764225">
        <w:trPr>
          <w:trHeight w:val="1020"/>
        </w:trPr>
        <w:tc>
          <w:tcPr>
            <w:tcW w:w="2055" w:type="dxa"/>
            <w:tcBorders>
              <w:top w:val="nil"/>
              <w:left w:val="nil"/>
              <w:bottom w:val="nil"/>
              <w:right w:val="nil"/>
            </w:tcBorders>
            <w:shd w:val="clear" w:color="auto" w:fill="auto"/>
            <w:hideMark/>
          </w:tcPr>
          <w:p w14:paraId="2FEC1C7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Sustainably used and managed </w:t>
            </w:r>
          </w:p>
        </w:tc>
        <w:tc>
          <w:tcPr>
            <w:tcW w:w="7155" w:type="dxa"/>
            <w:tcBorders>
              <w:top w:val="nil"/>
              <w:left w:val="nil"/>
              <w:bottom w:val="nil"/>
              <w:right w:val="nil"/>
            </w:tcBorders>
            <w:shd w:val="clear" w:color="auto" w:fill="auto"/>
            <w:hideMark/>
          </w:tcPr>
          <w:p w14:paraId="100C7C1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use of components of biological diversity in a way and at a rate that does not lead to the long-term decline of biological diversity, thereby maintaining its potential to meet the needs and aspirations of present and future generations. (</w:t>
            </w:r>
            <w:hyperlink r:id="rId719" w:tgtFrame="_blank" w:history="1">
              <w:r w:rsidRPr="00ED7E61">
                <w:rPr>
                  <w:rStyle w:val="Hyperlink"/>
                  <w:rFonts w:asciiTheme="majorBidi" w:eastAsiaTheme="majorEastAsia" w:hAnsiTheme="majorBidi" w:cstheme="majorBidi"/>
                  <w:sz w:val="22"/>
                  <w:szCs w:val="22"/>
                </w:rPr>
                <w:t>EC</w:t>
              </w:r>
            </w:hyperlink>
            <w:r w:rsidRPr="00ED7E61">
              <w:rPr>
                <w:rFonts w:asciiTheme="majorBidi" w:eastAsiaTheme="majorEastAsia" w:hAnsiTheme="majorBidi" w:cstheme="majorBidi"/>
                <w:sz w:val="22"/>
                <w:szCs w:val="22"/>
              </w:rPr>
              <w:t>, 2023) </w:t>
            </w:r>
          </w:p>
          <w:p w14:paraId="4A00373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w:t>
            </w:r>
          </w:p>
        </w:tc>
      </w:tr>
      <w:tr w:rsidR="00764225" w:rsidRPr="00ED7E61" w14:paraId="07DC974E" w14:textId="77777777" w:rsidTr="00764225">
        <w:trPr>
          <w:trHeight w:val="2282"/>
        </w:trPr>
        <w:tc>
          <w:tcPr>
            <w:tcW w:w="2055" w:type="dxa"/>
            <w:tcBorders>
              <w:top w:val="nil"/>
              <w:left w:val="nil"/>
              <w:bottom w:val="nil"/>
              <w:right w:val="nil"/>
            </w:tcBorders>
            <w:shd w:val="clear" w:color="auto" w:fill="auto"/>
            <w:hideMark/>
          </w:tcPr>
          <w:p w14:paraId="436C51D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Technical and scientific cooperation </w:t>
            </w:r>
          </w:p>
        </w:tc>
        <w:tc>
          <w:tcPr>
            <w:tcW w:w="7155" w:type="dxa"/>
            <w:tcBorders>
              <w:top w:val="nil"/>
              <w:left w:val="nil"/>
              <w:bottom w:val="nil"/>
              <w:right w:val="nil"/>
            </w:tcBorders>
            <w:shd w:val="clear" w:color="auto" w:fill="auto"/>
            <w:hideMark/>
          </w:tcPr>
          <w:p w14:paraId="2D8CA68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Technical and scientific cooperation refers to a process whereby institutions in two or more countries pursue their individual or collective biodiversity-related goals through cooperative actions. This may include the creation and/or exchange of scientific knowledge, data, expertise, resources, technologies, and technical know-how. It may also include human resource development, institution building, joint training of personnel, exchange of experts, joint research programmes, joint ventures for the development and diffusion of technologies (including indigenous and traditional technologies), and transfer of technology and know-how. </w:t>
            </w:r>
          </w:p>
        </w:tc>
      </w:tr>
      <w:tr w:rsidR="00764225" w:rsidRPr="00ED7E61" w14:paraId="0A17831A" w14:textId="77777777" w:rsidTr="00764225">
        <w:trPr>
          <w:trHeight w:val="675"/>
        </w:trPr>
        <w:tc>
          <w:tcPr>
            <w:tcW w:w="2055" w:type="dxa"/>
            <w:tcBorders>
              <w:top w:val="nil"/>
              <w:left w:val="nil"/>
              <w:bottom w:val="nil"/>
              <w:right w:val="nil"/>
            </w:tcBorders>
            <w:shd w:val="clear" w:color="auto" w:fill="auto"/>
            <w:hideMark/>
          </w:tcPr>
          <w:p w14:paraId="34A54927"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Technology </w:t>
            </w:r>
          </w:p>
        </w:tc>
        <w:tc>
          <w:tcPr>
            <w:tcW w:w="7155" w:type="dxa"/>
            <w:tcBorders>
              <w:top w:val="nil"/>
              <w:left w:val="nil"/>
              <w:bottom w:val="nil"/>
              <w:right w:val="nil"/>
            </w:tcBorders>
            <w:shd w:val="clear" w:color="auto" w:fill="auto"/>
            <w:hideMark/>
          </w:tcPr>
          <w:p w14:paraId="43F4316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application of scientific knowledge for practical purposes linked to the conservation, sustainable use or monitoring of biodiversity. </w:t>
            </w:r>
          </w:p>
        </w:tc>
      </w:tr>
      <w:tr w:rsidR="00764225" w:rsidRPr="00ED7E61" w14:paraId="7CF7ECA7" w14:textId="77777777" w:rsidTr="00764225">
        <w:trPr>
          <w:trHeight w:val="736"/>
        </w:trPr>
        <w:tc>
          <w:tcPr>
            <w:tcW w:w="2055" w:type="dxa"/>
            <w:tcBorders>
              <w:top w:val="nil"/>
              <w:left w:val="nil"/>
              <w:bottom w:val="nil"/>
              <w:right w:val="nil"/>
            </w:tcBorders>
            <w:shd w:val="clear" w:color="auto" w:fill="auto"/>
            <w:hideMark/>
          </w:tcPr>
          <w:p w14:paraId="430D31A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Technology development </w:t>
            </w:r>
          </w:p>
        </w:tc>
        <w:tc>
          <w:tcPr>
            <w:tcW w:w="7155" w:type="dxa"/>
            <w:tcBorders>
              <w:top w:val="nil"/>
              <w:left w:val="nil"/>
              <w:bottom w:val="nil"/>
              <w:right w:val="nil"/>
            </w:tcBorders>
            <w:shd w:val="clear" w:color="auto" w:fill="auto"/>
            <w:hideMark/>
          </w:tcPr>
          <w:p w14:paraId="6C365F6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Refers to the systematic process of advancing and improving existing technologies or creating entirely new ones through research, experimentation, and innovation.  </w:t>
            </w:r>
          </w:p>
        </w:tc>
      </w:tr>
      <w:tr w:rsidR="00764225" w:rsidRPr="00ED7E61" w14:paraId="1F5D8536" w14:textId="77777777" w:rsidTr="00764225">
        <w:trPr>
          <w:trHeight w:val="1271"/>
        </w:trPr>
        <w:tc>
          <w:tcPr>
            <w:tcW w:w="2055" w:type="dxa"/>
            <w:tcBorders>
              <w:top w:val="nil"/>
              <w:left w:val="nil"/>
              <w:bottom w:val="nil"/>
              <w:right w:val="nil"/>
            </w:tcBorders>
            <w:shd w:val="clear" w:color="auto" w:fill="auto"/>
            <w:hideMark/>
          </w:tcPr>
          <w:p w14:paraId="4E3EBFD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Terrestrial </w:t>
            </w:r>
          </w:p>
        </w:tc>
        <w:tc>
          <w:tcPr>
            <w:tcW w:w="7155" w:type="dxa"/>
            <w:tcBorders>
              <w:top w:val="nil"/>
              <w:left w:val="nil"/>
              <w:bottom w:val="nil"/>
              <w:right w:val="nil"/>
            </w:tcBorders>
            <w:shd w:val="clear" w:color="auto" w:fill="auto"/>
            <w:hideMark/>
          </w:tcPr>
          <w:p w14:paraId="5853BBEE"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All lands at or above sea level, this includes IUCN typologies: tropical-subtropical lowland rainforests (T1); tropical-subtropical dry forests and scrubs (T2); shrublands &amp; shrubby woodlands (T3); savannas and grasslands (T4); deserts and semi-deserts (T5); polar-alpine (T6); and intensive land-use systems (T7). </w:t>
            </w:r>
          </w:p>
        </w:tc>
      </w:tr>
      <w:tr w:rsidR="00764225" w:rsidRPr="00ED7E61" w14:paraId="2DCA8491" w14:textId="77777777" w:rsidTr="00764225">
        <w:trPr>
          <w:trHeight w:val="1125"/>
        </w:trPr>
        <w:tc>
          <w:tcPr>
            <w:tcW w:w="2055" w:type="dxa"/>
            <w:tcBorders>
              <w:top w:val="nil"/>
              <w:left w:val="nil"/>
              <w:bottom w:val="nil"/>
              <w:right w:val="nil"/>
            </w:tcBorders>
            <w:shd w:val="clear" w:color="auto" w:fill="auto"/>
            <w:hideMark/>
          </w:tcPr>
          <w:p w14:paraId="61CC23BC" w14:textId="2337311E"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The three objectives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of the convention </w:t>
            </w:r>
          </w:p>
        </w:tc>
        <w:tc>
          <w:tcPr>
            <w:tcW w:w="7155" w:type="dxa"/>
            <w:tcBorders>
              <w:top w:val="nil"/>
              <w:left w:val="nil"/>
              <w:bottom w:val="nil"/>
              <w:right w:val="nil"/>
            </w:tcBorders>
            <w:shd w:val="clear" w:color="auto" w:fill="auto"/>
            <w:hideMark/>
          </w:tcPr>
          <w:p w14:paraId="6F83C93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Convention has three main objectives: the conservation of biological diversity; the sustainable use of the components of biological diversity; and the fair and equitable sharing of the benefits arising out of the utilization of genetic resources. (</w:t>
            </w:r>
            <w:hyperlink r:id="rId720" w:anchor=":~:text=The%20Convention%20on%20Biological%20Diversity,the%20utilization%20of%20genetic%20resources." w:tgtFrame="_blank" w:history="1">
              <w:r w:rsidRPr="00ED7E61">
                <w:rPr>
                  <w:rStyle w:val="Hyperlink"/>
                  <w:rFonts w:asciiTheme="majorBidi" w:eastAsiaTheme="majorEastAsia" w:hAnsiTheme="majorBidi" w:cstheme="majorBidi"/>
                  <w:sz w:val="22"/>
                  <w:szCs w:val="22"/>
                </w:rPr>
                <w:t>UN</w:t>
              </w:r>
            </w:hyperlink>
            <w:r w:rsidRPr="00ED7E61">
              <w:rPr>
                <w:rFonts w:asciiTheme="majorBidi" w:eastAsiaTheme="majorEastAsia" w:hAnsiTheme="majorBidi" w:cstheme="majorBidi"/>
                <w:sz w:val="22"/>
                <w:szCs w:val="22"/>
              </w:rPr>
              <w:t>) </w:t>
            </w:r>
          </w:p>
        </w:tc>
      </w:tr>
      <w:tr w:rsidR="00764225" w:rsidRPr="00ED7E61" w14:paraId="4348A992" w14:textId="77777777" w:rsidTr="00764225">
        <w:trPr>
          <w:trHeight w:val="1125"/>
        </w:trPr>
        <w:tc>
          <w:tcPr>
            <w:tcW w:w="2055" w:type="dxa"/>
            <w:tcBorders>
              <w:top w:val="nil"/>
              <w:left w:val="nil"/>
              <w:bottom w:val="nil"/>
              <w:right w:val="nil"/>
            </w:tcBorders>
            <w:shd w:val="clear" w:color="auto" w:fill="auto"/>
            <w:hideMark/>
          </w:tcPr>
          <w:p w14:paraId="4D4C7CD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Threatened species </w:t>
            </w:r>
          </w:p>
        </w:tc>
        <w:tc>
          <w:tcPr>
            <w:tcW w:w="7155" w:type="dxa"/>
            <w:tcBorders>
              <w:top w:val="nil"/>
              <w:left w:val="nil"/>
              <w:bottom w:val="nil"/>
              <w:right w:val="nil"/>
            </w:tcBorders>
            <w:shd w:val="clear" w:color="auto" w:fill="auto"/>
            <w:hideMark/>
          </w:tcPr>
          <w:p w14:paraId="0A5D95CE" w14:textId="03FAAC1F"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Threatened species are those listed on The IUCN Red List of Threatened Species in the categories Vulnerable, Endangered, or Critically Endangered (i.e. species that are facing a high, very high, or extremely high risk of extinction in the wild in the medium-term future). (</w:t>
            </w:r>
            <w:hyperlink r:id="rId721" w:tgtFrame="_blank" w:history="1">
              <w:r w:rsidRPr="00ED7E61">
                <w:rPr>
                  <w:rStyle w:val="Hyperlink"/>
                  <w:rFonts w:asciiTheme="majorBidi" w:eastAsiaTheme="majorEastAsia" w:hAnsiTheme="majorBidi" w:cstheme="majorBidi"/>
                  <w:sz w:val="22"/>
                  <w:szCs w:val="22"/>
                </w:rPr>
                <w:t>IUCN</w:t>
              </w:r>
            </w:hyperlink>
            <w:r w:rsidRPr="00ED7E61">
              <w:rPr>
                <w:rFonts w:asciiTheme="majorBidi" w:eastAsiaTheme="majorEastAsia" w:hAnsiTheme="majorBidi" w:cstheme="majorBidi"/>
                <w:sz w:val="22"/>
                <w:szCs w:val="22"/>
              </w:rPr>
              <w:t>, 2012) </w:t>
            </w:r>
          </w:p>
        </w:tc>
      </w:tr>
      <w:tr w:rsidR="00764225" w:rsidRPr="00ED7E61" w14:paraId="50DE81CD" w14:textId="77777777" w:rsidTr="00764225">
        <w:trPr>
          <w:trHeight w:val="1140"/>
        </w:trPr>
        <w:tc>
          <w:tcPr>
            <w:tcW w:w="2055" w:type="dxa"/>
            <w:tcBorders>
              <w:top w:val="nil"/>
              <w:left w:val="nil"/>
              <w:bottom w:val="nil"/>
              <w:right w:val="nil"/>
            </w:tcBorders>
            <w:shd w:val="clear" w:color="auto" w:fill="auto"/>
            <w:hideMark/>
          </w:tcPr>
          <w:p w14:paraId="559E268C"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Trade in wild species </w:t>
            </w:r>
          </w:p>
        </w:tc>
        <w:tc>
          <w:tcPr>
            <w:tcW w:w="7155" w:type="dxa"/>
            <w:tcBorders>
              <w:top w:val="nil"/>
              <w:left w:val="nil"/>
              <w:bottom w:val="nil"/>
              <w:right w:val="nil"/>
            </w:tcBorders>
            <w:shd w:val="clear" w:color="auto" w:fill="auto"/>
            <w:hideMark/>
          </w:tcPr>
          <w:p w14:paraId="2F39A0E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selling or trading (i.e. selling of dead or living wildlife and/or products derived from them) of wild species for food and non-food purposes, such as for clothing, medicinal, cultural, scientific, recreational and work-related uses. (</w:t>
            </w:r>
            <w:r w:rsidRPr="00ED7E61">
              <w:rPr>
                <w:rFonts w:asciiTheme="majorBidi" w:eastAsiaTheme="majorEastAsia" w:hAnsiTheme="majorBidi" w:cstheme="majorBidi"/>
                <w:sz w:val="22"/>
                <w:szCs w:val="22"/>
                <w:lang w:val="en-GB"/>
              </w:rPr>
              <w:t>CBD/WG2020/5/4)</w:t>
            </w:r>
            <w:r w:rsidRPr="00ED7E61">
              <w:rPr>
                <w:rFonts w:asciiTheme="majorBidi" w:eastAsiaTheme="majorEastAsia" w:hAnsiTheme="majorBidi" w:cstheme="majorBidi"/>
                <w:sz w:val="22"/>
                <w:szCs w:val="22"/>
              </w:rPr>
              <w:t> </w:t>
            </w:r>
          </w:p>
        </w:tc>
      </w:tr>
      <w:tr w:rsidR="00764225" w:rsidRPr="00ED7E61" w14:paraId="37A3F6FB" w14:textId="77777777" w:rsidTr="00764225">
        <w:trPr>
          <w:trHeight w:val="1980"/>
        </w:trPr>
        <w:tc>
          <w:tcPr>
            <w:tcW w:w="2055" w:type="dxa"/>
            <w:tcBorders>
              <w:top w:val="nil"/>
              <w:left w:val="nil"/>
              <w:bottom w:val="nil"/>
              <w:right w:val="nil"/>
            </w:tcBorders>
            <w:shd w:val="clear" w:color="auto" w:fill="auto"/>
            <w:hideMark/>
          </w:tcPr>
          <w:p w14:paraId="0326850B" w14:textId="333FA51F"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 xml:space="preserve">Traditional </w:t>
            </w:r>
            <w:r w:rsidRPr="00ED7E61">
              <w:rPr>
                <w:rFonts w:asciiTheme="majorBidi" w:hAnsiTheme="majorBidi" w:cstheme="majorBidi"/>
                <w:sz w:val="22"/>
                <w:szCs w:val="22"/>
              </w:rPr>
              <w:t xml:space="preserve"> </w:t>
            </w:r>
            <w:r w:rsidRPr="00ED7E61">
              <w:rPr>
                <w:rFonts w:asciiTheme="majorBidi" w:eastAsiaTheme="majorEastAsia" w:hAnsiTheme="majorBidi" w:cstheme="majorBidi"/>
                <w:sz w:val="22"/>
                <w:szCs w:val="22"/>
              </w:rPr>
              <w:t>knowledge </w:t>
            </w:r>
          </w:p>
        </w:tc>
        <w:tc>
          <w:tcPr>
            <w:tcW w:w="7155" w:type="dxa"/>
            <w:tcBorders>
              <w:top w:val="nil"/>
              <w:left w:val="nil"/>
              <w:bottom w:val="nil"/>
              <w:right w:val="nil"/>
            </w:tcBorders>
            <w:shd w:val="clear" w:color="auto" w:fill="auto"/>
            <w:hideMark/>
          </w:tcPr>
          <w:p w14:paraId="77CABC3A" w14:textId="06679E73"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The concept of Traditional Knowledge (TK) in the Convention has two characteristics. Firstly, the Convention defines TK as one kind of knowledge, innovations and practices which is helpful to conservation and sustainable use of biodiversity. Secondly, the Convention limits the TK to link with indigenous peoples and local communities embodying traditional lifestyles, i.e. these TK were created and preserved by </w:t>
            </w:r>
            <w:r w:rsidR="00616510">
              <w:rPr>
                <w:rStyle w:val="normaltextrun"/>
                <w:rFonts w:asciiTheme="majorBidi" w:eastAsiaTheme="majorEastAsia" w:hAnsiTheme="majorBidi" w:cstheme="majorBidi"/>
                <w:color w:val="000000"/>
                <w:lang w:val="en-AU"/>
              </w:rPr>
              <w:t>i</w:t>
            </w:r>
            <w:r w:rsidR="00616510" w:rsidRPr="00ED7E61">
              <w:rPr>
                <w:rStyle w:val="normaltextrun"/>
                <w:rFonts w:asciiTheme="majorBidi" w:eastAsiaTheme="majorEastAsia" w:hAnsiTheme="majorBidi" w:cstheme="majorBidi"/>
                <w:color w:val="000000"/>
                <w:lang w:val="en-AU"/>
              </w:rPr>
              <w:t xml:space="preserve">ndigenous </w:t>
            </w:r>
            <w:r w:rsidR="00616510">
              <w:rPr>
                <w:rStyle w:val="normaltextrun"/>
                <w:rFonts w:asciiTheme="majorBidi" w:eastAsiaTheme="majorEastAsia" w:hAnsiTheme="majorBidi" w:cstheme="majorBidi"/>
                <w:color w:val="000000"/>
                <w:lang w:val="en-AU"/>
              </w:rPr>
              <w:t>p</w:t>
            </w:r>
            <w:r w:rsidR="00616510" w:rsidRPr="00ED7E61">
              <w:rPr>
                <w:rStyle w:val="normaltextrun"/>
                <w:rFonts w:asciiTheme="majorBidi" w:eastAsiaTheme="majorEastAsia" w:hAnsiTheme="majorBidi" w:cstheme="majorBidi"/>
                <w:color w:val="000000"/>
                <w:lang w:val="en-AU"/>
              </w:rPr>
              <w:t xml:space="preserve">eoples and </w:t>
            </w:r>
            <w:r w:rsidR="00616510">
              <w:rPr>
                <w:rStyle w:val="normaltextrun"/>
                <w:rFonts w:asciiTheme="majorBidi" w:eastAsiaTheme="majorEastAsia" w:hAnsiTheme="majorBidi" w:cstheme="majorBidi"/>
                <w:color w:val="000000"/>
                <w:lang w:val="en-AU"/>
              </w:rPr>
              <w:t>l</w:t>
            </w:r>
            <w:r w:rsidR="00616510" w:rsidRPr="00ED7E61">
              <w:rPr>
                <w:rStyle w:val="normaltextrun"/>
                <w:rFonts w:asciiTheme="majorBidi" w:eastAsiaTheme="majorEastAsia" w:hAnsiTheme="majorBidi" w:cstheme="majorBidi"/>
                <w:color w:val="000000"/>
                <w:lang w:val="en-AU"/>
              </w:rPr>
              <w:t xml:space="preserve">ocal </w:t>
            </w:r>
            <w:r w:rsidR="00616510">
              <w:rPr>
                <w:rStyle w:val="normaltextrun"/>
                <w:rFonts w:asciiTheme="majorBidi" w:eastAsiaTheme="majorEastAsia" w:hAnsiTheme="majorBidi" w:cstheme="majorBidi"/>
                <w:color w:val="000000"/>
                <w:lang w:val="en-AU"/>
              </w:rPr>
              <w:t>c</w:t>
            </w:r>
            <w:r w:rsidR="00616510" w:rsidRPr="00ED7E61">
              <w:rPr>
                <w:rStyle w:val="normaltextrun"/>
                <w:rFonts w:asciiTheme="majorBidi" w:eastAsiaTheme="majorEastAsia" w:hAnsiTheme="majorBidi" w:cstheme="majorBidi"/>
                <w:color w:val="000000"/>
                <w:lang w:val="en-AU"/>
              </w:rPr>
              <w:t xml:space="preserve">ommunities </w:t>
            </w:r>
            <w:r w:rsidRPr="00ED7E61">
              <w:rPr>
                <w:rFonts w:asciiTheme="majorBidi" w:eastAsiaTheme="majorEastAsia" w:hAnsiTheme="majorBidi" w:cstheme="majorBidi"/>
                <w:sz w:val="22"/>
                <w:szCs w:val="22"/>
              </w:rPr>
              <w:t>and they are accumulated, developed and inherited generation by generation. (</w:t>
            </w:r>
            <w:hyperlink r:id="rId722"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2022) </w:t>
            </w:r>
          </w:p>
        </w:tc>
      </w:tr>
      <w:tr w:rsidR="00764225" w:rsidRPr="00ED7E61" w14:paraId="3C58895E" w14:textId="77777777" w:rsidTr="00764225">
        <w:trPr>
          <w:trHeight w:val="2551"/>
        </w:trPr>
        <w:tc>
          <w:tcPr>
            <w:tcW w:w="2055" w:type="dxa"/>
            <w:tcBorders>
              <w:top w:val="nil"/>
              <w:left w:val="nil"/>
              <w:bottom w:val="nil"/>
              <w:right w:val="nil"/>
            </w:tcBorders>
            <w:shd w:val="clear" w:color="auto" w:fill="auto"/>
            <w:hideMark/>
          </w:tcPr>
          <w:p w14:paraId="2846D9F8"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Traditional occupations </w:t>
            </w:r>
          </w:p>
        </w:tc>
        <w:tc>
          <w:tcPr>
            <w:tcW w:w="7155" w:type="dxa"/>
            <w:tcBorders>
              <w:top w:val="nil"/>
              <w:left w:val="nil"/>
              <w:bottom w:val="nil"/>
              <w:right w:val="nil"/>
            </w:tcBorders>
            <w:shd w:val="clear" w:color="auto" w:fill="auto"/>
            <w:hideMark/>
          </w:tcPr>
          <w:p w14:paraId="4124D05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Occupations in which indigenous knowledge, cultural practices, innovations and technologies may influence the way the work is performed, if the work is performed by a person who identifies as belonging to an indigenous or tribal group. Indigenous knowledge refers to the constantly evolving information, skills, practices, science and technology passed from generation to generation within an indigenous or tribal group. The work performed in traditional occupations embraces production of goods and services for own use and other forms of unpaid work including volunteer work and unpaid trainee work, as well as employment for pay or profit. </w:t>
            </w:r>
          </w:p>
        </w:tc>
      </w:tr>
      <w:tr w:rsidR="00764225" w:rsidRPr="00ED7E61" w14:paraId="25D0D363" w14:textId="77777777" w:rsidTr="00764225">
        <w:trPr>
          <w:trHeight w:val="675"/>
        </w:trPr>
        <w:tc>
          <w:tcPr>
            <w:tcW w:w="2055" w:type="dxa"/>
            <w:tcBorders>
              <w:top w:val="nil"/>
              <w:left w:val="nil"/>
              <w:bottom w:val="nil"/>
              <w:right w:val="nil"/>
            </w:tcBorders>
            <w:shd w:val="clear" w:color="auto" w:fill="auto"/>
            <w:hideMark/>
          </w:tcPr>
          <w:p w14:paraId="2B9AC21A"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Transparently </w:t>
            </w:r>
          </w:p>
        </w:tc>
        <w:tc>
          <w:tcPr>
            <w:tcW w:w="7155" w:type="dxa"/>
            <w:tcBorders>
              <w:top w:val="nil"/>
              <w:left w:val="nil"/>
              <w:bottom w:val="nil"/>
              <w:right w:val="nil"/>
            </w:tcBorders>
            <w:shd w:val="clear" w:color="auto" w:fill="auto"/>
            <w:hideMark/>
          </w:tcPr>
          <w:p w14:paraId="6B1528F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condition in which all disclosures are made known and available in a timely fashion to the stakeholders - particularly the end users. (</w:t>
            </w:r>
            <w:hyperlink r:id="rId723" w:tgtFrame="_blank" w:history="1">
              <w:r w:rsidRPr="00ED7E61">
                <w:rPr>
                  <w:rStyle w:val="Hyperlink"/>
                  <w:rFonts w:asciiTheme="majorBidi" w:eastAsiaTheme="majorEastAsia" w:hAnsiTheme="majorBidi" w:cstheme="majorBidi"/>
                  <w:sz w:val="22"/>
                  <w:szCs w:val="22"/>
                </w:rPr>
                <w:t>UN Stats</w:t>
              </w:r>
            </w:hyperlink>
            <w:r w:rsidRPr="00ED7E61">
              <w:rPr>
                <w:rFonts w:asciiTheme="majorBidi" w:eastAsiaTheme="majorEastAsia" w:hAnsiTheme="majorBidi" w:cstheme="majorBidi"/>
                <w:sz w:val="22"/>
                <w:szCs w:val="22"/>
              </w:rPr>
              <w:t>, 2012) </w:t>
            </w:r>
          </w:p>
        </w:tc>
      </w:tr>
      <w:tr w:rsidR="00764225" w:rsidRPr="00ED7E61" w14:paraId="175D0BDB" w14:textId="77777777" w:rsidTr="00764225">
        <w:trPr>
          <w:trHeight w:val="945"/>
        </w:trPr>
        <w:tc>
          <w:tcPr>
            <w:tcW w:w="2055" w:type="dxa"/>
            <w:tcBorders>
              <w:top w:val="nil"/>
              <w:left w:val="nil"/>
              <w:bottom w:val="nil"/>
              <w:right w:val="nil"/>
            </w:tcBorders>
            <w:shd w:val="clear" w:color="auto" w:fill="auto"/>
            <w:hideMark/>
          </w:tcPr>
          <w:p w14:paraId="574A400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Triangular cooperation </w:t>
            </w:r>
          </w:p>
        </w:tc>
        <w:tc>
          <w:tcPr>
            <w:tcW w:w="7155" w:type="dxa"/>
            <w:tcBorders>
              <w:top w:val="nil"/>
              <w:left w:val="nil"/>
              <w:bottom w:val="nil"/>
              <w:right w:val="nil"/>
            </w:tcBorders>
            <w:shd w:val="clear" w:color="auto" w:fill="auto"/>
            <w:hideMark/>
          </w:tcPr>
          <w:p w14:paraId="568715D2"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Southern-driven partnerships between two or more developing countries, supported by a developed country(ies) or multilateral organization(s), to implement development cooperation programmes and projects. (</w:t>
            </w:r>
            <w:hyperlink r:id="rId724" w:tgtFrame="_blank" w:history="1">
              <w:r w:rsidRPr="00ED7E61">
                <w:rPr>
                  <w:rStyle w:val="Hyperlink"/>
                  <w:rFonts w:asciiTheme="majorBidi" w:eastAsiaTheme="majorEastAsia" w:hAnsiTheme="majorBidi" w:cstheme="majorBidi"/>
                  <w:sz w:val="22"/>
                  <w:szCs w:val="22"/>
                </w:rPr>
                <w:t>UNDP</w:t>
              </w:r>
            </w:hyperlink>
            <w:r w:rsidRPr="00ED7E61">
              <w:rPr>
                <w:rFonts w:asciiTheme="majorBidi" w:eastAsiaTheme="majorEastAsia" w:hAnsiTheme="majorBidi" w:cstheme="majorBidi"/>
                <w:sz w:val="22"/>
                <w:szCs w:val="22"/>
              </w:rPr>
              <w:t>, 2012) </w:t>
            </w:r>
          </w:p>
        </w:tc>
      </w:tr>
      <w:tr w:rsidR="00764225" w:rsidRPr="00ED7E61" w14:paraId="19822629" w14:textId="77777777" w:rsidTr="00764225">
        <w:trPr>
          <w:trHeight w:val="938"/>
        </w:trPr>
        <w:tc>
          <w:tcPr>
            <w:tcW w:w="2055" w:type="dxa"/>
            <w:tcBorders>
              <w:top w:val="nil"/>
              <w:left w:val="nil"/>
              <w:bottom w:val="nil"/>
              <w:right w:val="nil"/>
            </w:tcBorders>
            <w:shd w:val="clear" w:color="auto" w:fill="auto"/>
            <w:hideMark/>
          </w:tcPr>
          <w:p w14:paraId="679C9FF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Urban and densely populated areas </w:t>
            </w:r>
          </w:p>
        </w:tc>
        <w:tc>
          <w:tcPr>
            <w:tcW w:w="7155" w:type="dxa"/>
            <w:tcBorders>
              <w:top w:val="nil"/>
              <w:left w:val="nil"/>
              <w:bottom w:val="nil"/>
              <w:right w:val="nil"/>
            </w:tcBorders>
            <w:shd w:val="clear" w:color="auto" w:fill="auto"/>
            <w:hideMark/>
          </w:tcPr>
          <w:p w14:paraId="7EB24EB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Variable per country but generally refers to areas highly modified by and for humans where large numbers of people live. United Nations definitions, provided by national statistics offices, by country can be found here (</w:t>
            </w:r>
            <w:hyperlink r:id="rId725" w:tgtFrame="_blank" w:history="1">
              <w:r w:rsidRPr="00ED7E61">
                <w:rPr>
                  <w:rStyle w:val="Hyperlink"/>
                  <w:rFonts w:asciiTheme="majorBidi" w:eastAsiaTheme="majorEastAsia" w:hAnsiTheme="majorBidi" w:cstheme="majorBidi"/>
                  <w:sz w:val="22"/>
                  <w:szCs w:val="22"/>
                </w:rPr>
                <w:t>UN Stats</w:t>
              </w:r>
            </w:hyperlink>
            <w:r w:rsidRPr="00ED7E61">
              <w:rPr>
                <w:rFonts w:asciiTheme="majorBidi" w:eastAsiaTheme="majorEastAsia" w:hAnsiTheme="majorBidi" w:cstheme="majorBidi"/>
                <w:sz w:val="22"/>
                <w:szCs w:val="22"/>
              </w:rPr>
              <w:t>, 2005) </w:t>
            </w:r>
          </w:p>
        </w:tc>
      </w:tr>
      <w:tr w:rsidR="00764225" w:rsidRPr="00ED7E61" w14:paraId="1AE31D39" w14:textId="77777777" w:rsidTr="00764225">
        <w:trPr>
          <w:trHeight w:val="975"/>
        </w:trPr>
        <w:tc>
          <w:tcPr>
            <w:tcW w:w="2055" w:type="dxa"/>
            <w:tcBorders>
              <w:top w:val="nil"/>
              <w:left w:val="nil"/>
              <w:bottom w:val="nil"/>
              <w:right w:val="nil"/>
            </w:tcBorders>
            <w:shd w:val="clear" w:color="auto" w:fill="auto"/>
            <w:hideMark/>
          </w:tcPr>
          <w:p w14:paraId="30FEB38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Urbanisation </w:t>
            </w:r>
          </w:p>
        </w:tc>
        <w:tc>
          <w:tcPr>
            <w:tcW w:w="7155" w:type="dxa"/>
            <w:tcBorders>
              <w:top w:val="nil"/>
              <w:left w:val="nil"/>
              <w:bottom w:val="nil"/>
              <w:right w:val="nil"/>
            </w:tcBorders>
            <w:shd w:val="clear" w:color="auto" w:fill="auto"/>
            <w:hideMark/>
          </w:tcPr>
          <w:p w14:paraId="363B456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increase in the proportion of a population living in urban areas; the process by which a large number of people becomes permanently concentrated in relatively small areas, forming cities. (</w:t>
            </w:r>
            <w:hyperlink r:id="rId726"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2022) </w:t>
            </w:r>
          </w:p>
        </w:tc>
      </w:tr>
      <w:tr w:rsidR="00764225" w:rsidRPr="00ED7E61" w14:paraId="3529BE7D" w14:textId="77777777" w:rsidTr="00764225">
        <w:trPr>
          <w:trHeight w:val="2000"/>
        </w:trPr>
        <w:tc>
          <w:tcPr>
            <w:tcW w:w="2055" w:type="dxa"/>
            <w:tcBorders>
              <w:top w:val="nil"/>
              <w:left w:val="nil"/>
              <w:bottom w:val="nil"/>
              <w:right w:val="nil"/>
            </w:tcBorders>
            <w:shd w:val="clear" w:color="auto" w:fill="auto"/>
            <w:hideMark/>
          </w:tcPr>
          <w:p w14:paraId="15E4D72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Urgent management actions </w:t>
            </w:r>
          </w:p>
        </w:tc>
        <w:tc>
          <w:tcPr>
            <w:tcW w:w="7155" w:type="dxa"/>
            <w:tcBorders>
              <w:top w:val="nil"/>
              <w:left w:val="nil"/>
              <w:bottom w:val="nil"/>
              <w:right w:val="nil"/>
            </w:tcBorders>
            <w:shd w:val="clear" w:color="auto" w:fill="auto"/>
            <w:hideMark/>
          </w:tcPr>
          <w:p w14:paraId="071E6C34" w14:textId="503662F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Species-specific management actions required above and beyond efforts to mitigate threats such as loss of natural habitats, unsustainable harvest, invasive alien species, pollution, and climate change, which are the focus of in other targets in the framework. More than half of threatened species from comprehensively assessed groups on the IUCN Red List of Threatened Species require such actions, including supplementary feeding, vaccinations, ex situ management, reintroduction and a range of recovery actions. (McGowan et al. 2024) </w:t>
            </w:r>
          </w:p>
        </w:tc>
      </w:tr>
      <w:tr w:rsidR="00764225" w:rsidRPr="00ED7E61" w14:paraId="32768A97" w14:textId="77777777" w:rsidTr="00764225">
        <w:trPr>
          <w:trHeight w:val="1125"/>
        </w:trPr>
        <w:tc>
          <w:tcPr>
            <w:tcW w:w="2055" w:type="dxa"/>
            <w:tcBorders>
              <w:top w:val="nil"/>
              <w:left w:val="nil"/>
              <w:bottom w:val="nil"/>
              <w:right w:val="nil"/>
            </w:tcBorders>
            <w:shd w:val="clear" w:color="auto" w:fill="auto"/>
            <w:hideMark/>
          </w:tcPr>
          <w:p w14:paraId="1D7D92B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Utilization of genetic resources </w:t>
            </w:r>
          </w:p>
        </w:tc>
        <w:tc>
          <w:tcPr>
            <w:tcW w:w="7155" w:type="dxa"/>
            <w:tcBorders>
              <w:top w:val="nil"/>
              <w:left w:val="nil"/>
              <w:bottom w:val="nil"/>
              <w:right w:val="nil"/>
            </w:tcBorders>
            <w:shd w:val="clear" w:color="auto" w:fill="auto"/>
            <w:hideMark/>
          </w:tcPr>
          <w:p w14:paraId="757206A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Utilization of genetic resources means to conduct research and development on the genetic and/or biochemical composition of genetic resources, including through the application of biotechnology as defined in Article 2 of the Convention. (Nagoya Protocol, Article 2, paragraph (c)). </w:t>
            </w:r>
          </w:p>
        </w:tc>
      </w:tr>
      <w:tr w:rsidR="00764225" w:rsidRPr="00ED7E61" w14:paraId="5EE44DCF" w14:textId="77777777" w:rsidTr="00764225">
        <w:trPr>
          <w:trHeight w:val="2715"/>
        </w:trPr>
        <w:tc>
          <w:tcPr>
            <w:tcW w:w="2055" w:type="dxa"/>
            <w:tcBorders>
              <w:top w:val="nil"/>
              <w:left w:val="nil"/>
              <w:bottom w:val="nil"/>
              <w:right w:val="nil"/>
            </w:tcBorders>
            <w:shd w:val="clear" w:color="auto" w:fill="auto"/>
            <w:hideMark/>
          </w:tcPr>
          <w:p w14:paraId="08AF8CD0"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Value chain </w:t>
            </w:r>
          </w:p>
        </w:tc>
        <w:tc>
          <w:tcPr>
            <w:tcW w:w="7155" w:type="dxa"/>
            <w:tcBorders>
              <w:top w:val="nil"/>
              <w:left w:val="nil"/>
              <w:bottom w:val="nil"/>
              <w:right w:val="nil"/>
            </w:tcBorders>
            <w:shd w:val="clear" w:color="auto" w:fill="auto"/>
            <w:hideMark/>
          </w:tcPr>
          <w:p w14:paraId="51B9C5C1"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full range of interactions, resources and relationships related to a reporting entity’s business model and the external environment in which it operates. A value chain encompasses the interactions, resources and relationships an entity uses and depends on to create its products or services from conception to delivery, consumption and end-of-life, including interactions, resources and relationships in the entity’s operations, such as human resources; those along its supply, marketing and distribution channels, such as materials and service sourcing, and product and service sale and delivery; and the financing, geographical, geopolitical and regulatory environments in which the entity operates. (</w:t>
            </w:r>
            <w:hyperlink r:id="rId727" w:tgtFrame="_blank" w:history="1">
              <w:r w:rsidRPr="00ED7E61">
                <w:rPr>
                  <w:rStyle w:val="Hyperlink"/>
                  <w:rFonts w:asciiTheme="majorBidi" w:eastAsiaTheme="majorEastAsia" w:hAnsiTheme="majorBidi" w:cstheme="majorBidi"/>
                  <w:sz w:val="22"/>
                  <w:szCs w:val="22"/>
                </w:rPr>
                <w:t>IFRS</w:t>
              </w:r>
            </w:hyperlink>
            <w:r w:rsidRPr="00ED7E61">
              <w:rPr>
                <w:rFonts w:asciiTheme="majorBidi" w:eastAsiaTheme="majorEastAsia" w:hAnsiTheme="majorBidi" w:cstheme="majorBidi"/>
                <w:sz w:val="22"/>
                <w:szCs w:val="22"/>
              </w:rPr>
              <w:t>, 2023) </w:t>
            </w:r>
          </w:p>
        </w:tc>
      </w:tr>
      <w:tr w:rsidR="00764225" w:rsidRPr="00ED7E61" w14:paraId="1D4F55B5" w14:textId="77777777" w:rsidTr="00764225">
        <w:trPr>
          <w:trHeight w:val="960"/>
        </w:trPr>
        <w:tc>
          <w:tcPr>
            <w:tcW w:w="2055" w:type="dxa"/>
            <w:tcBorders>
              <w:top w:val="nil"/>
              <w:left w:val="nil"/>
              <w:bottom w:val="nil"/>
              <w:right w:val="nil"/>
            </w:tcBorders>
            <w:shd w:val="clear" w:color="auto" w:fill="auto"/>
            <w:hideMark/>
          </w:tcPr>
          <w:p w14:paraId="7789F016"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Vulnerable situation - Vulnerability </w:t>
            </w:r>
          </w:p>
        </w:tc>
        <w:tc>
          <w:tcPr>
            <w:tcW w:w="7155" w:type="dxa"/>
            <w:tcBorders>
              <w:top w:val="nil"/>
              <w:left w:val="nil"/>
              <w:bottom w:val="nil"/>
              <w:right w:val="nil"/>
            </w:tcBorders>
            <w:shd w:val="clear" w:color="auto" w:fill="auto"/>
            <w:hideMark/>
          </w:tcPr>
          <w:p w14:paraId="01CC7FCC"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conditions determined by physical, social, economic and environmental factors or processes which increase the susceptibility of an individual, a community, assets or systems to the impacts of hazards. (</w:t>
            </w:r>
            <w:r w:rsidRPr="00ED7E61">
              <w:rPr>
                <w:rFonts w:asciiTheme="majorBidi" w:eastAsiaTheme="majorEastAsia" w:hAnsiTheme="majorBidi" w:cstheme="majorBidi"/>
                <w:sz w:val="22"/>
                <w:szCs w:val="22"/>
                <w:lang w:val="en-GB"/>
              </w:rPr>
              <w:t>CBD/WG2020/5/4)</w:t>
            </w:r>
            <w:r w:rsidRPr="00ED7E61">
              <w:rPr>
                <w:rFonts w:asciiTheme="majorBidi" w:eastAsiaTheme="majorEastAsia" w:hAnsiTheme="majorBidi" w:cstheme="majorBidi"/>
                <w:sz w:val="22"/>
                <w:szCs w:val="22"/>
              </w:rPr>
              <w:t> </w:t>
            </w:r>
          </w:p>
        </w:tc>
      </w:tr>
      <w:tr w:rsidR="00764225" w:rsidRPr="00ED7E61" w14:paraId="7264FBBA" w14:textId="77777777" w:rsidTr="00764225">
        <w:trPr>
          <w:trHeight w:val="1695"/>
        </w:trPr>
        <w:tc>
          <w:tcPr>
            <w:tcW w:w="2055" w:type="dxa"/>
            <w:tcBorders>
              <w:top w:val="nil"/>
              <w:left w:val="nil"/>
              <w:bottom w:val="nil"/>
              <w:right w:val="nil"/>
            </w:tcBorders>
            <w:shd w:val="clear" w:color="auto" w:fill="auto"/>
            <w:hideMark/>
          </w:tcPr>
          <w:p w14:paraId="0797B4C3"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Waste </w:t>
            </w:r>
          </w:p>
        </w:tc>
        <w:tc>
          <w:tcPr>
            <w:tcW w:w="7155" w:type="dxa"/>
            <w:tcBorders>
              <w:top w:val="nil"/>
              <w:left w:val="nil"/>
              <w:bottom w:val="nil"/>
              <w:right w:val="nil"/>
            </w:tcBorders>
            <w:shd w:val="clear" w:color="auto" w:fill="auto"/>
            <w:hideMark/>
          </w:tcPr>
          <w:p w14:paraId="61FE4334"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Materials that are not prime products (that is, products produced for the market) for which the generator has no further use in terms of his/her own purposes of production, transformation or consumption, and of which he/she wants to dispose.  Wastes may be generated during the extraction of raw materials, the processing of raw materials into intermediate and final products, the consumption of final products, and other human activities. (</w:t>
            </w:r>
            <w:hyperlink r:id="rId728" w:tgtFrame="_blank" w:history="1">
              <w:r w:rsidRPr="00ED7E61">
                <w:rPr>
                  <w:rStyle w:val="Hyperlink"/>
                  <w:rFonts w:asciiTheme="majorBidi" w:eastAsiaTheme="majorEastAsia" w:hAnsiTheme="majorBidi" w:cstheme="majorBidi"/>
                  <w:sz w:val="22"/>
                  <w:szCs w:val="22"/>
                </w:rPr>
                <w:t>UN Stats</w:t>
              </w:r>
            </w:hyperlink>
            <w:r w:rsidRPr="00ED7E61">
              <w:rPr>
                <w:rFonts w:asciiTheme="majorBidi" w:eastAsiaTheme="majorEastAsia" w:hAnsiTheme="majorBidi" w:cstheme="majorBidi"/>
                <w:sz w:val="22"/>
                <w:szCs w:val="22"/>
              </w:rPr>
              <w:t>) </w:t>
            </w:r>
          </w:p>
        </w:tc>
      </w:tr>
      <w:tr w:rsidR="00764225" w:rsidRPr="00ED7E61" w14:paraId="35F6FDFF" w14:textId="77777777" w:rsidTr="00764225">
        <w:trPr>
          <w:trHeight w:val="444"/>
        </w:trPr>
        <w:tc>
          <w:tcPr>
            <w:tcW w:w="2055" w:type="dxa"/>
            <w:tcBorders>
              <w:top w:val="nil"/>
              <w:left w:val="nil"/>
              <w:bottom w:val="nil"/>
              <w:right w:val="nil"/>
            </w:tcBorders>
            <w:shd w:val="clear" w:color="auto" w:fill="auto"/>
            <w:hideMark/>
          </w:tcPr>
          <w:p w14:paraId="271A069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Waste generation </w:t>
            </w:r>
          </w:p>
        </w:tc>
        <w:tc>
          <w:tcPr>
            <w:tcW w:w="7155" w:type="dxa"/>
            <w:tcBorders>
              <w:top w:val="nil"/>
              <w:left w:val="nil"/>
              <w:bottom w:val="nil"/>
              <w:right w:val="nil"/>
            </w:tcBorders>
            <w:shd w:val="clear" w:color="auto" w:fill="auto"/>
            <w:hideMark/>
          </w:tcPr>
          <w:p w14:paraId="2C7C41D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process of generating waste, whether through production or consumption. </w:t>
            </w:r>
          </w:p>
        </w:tc>
      </w:tr>
      <w:tr w:rsidR="00764225" w:rsidRPr="00ED7E61" w14:paraId="3DA03C3F" w14:textId="77777777" w:rsidTr="00764225">
        <w:trPr>
          <w:trHeight w:val="1982"/>
        </w:trPr>
        <w:tc>
          <w:tcPr>
            <w:tcW w:w="2055" w:type="dxa"/>
            <w:tcBorders>
              <w:top w:val="nil"/>
              <w:left w:val="nil"/>
              <w:bottom w:val="nil"/>
              <w:right w:val="nil"/>
            </w:tcBorders>
            <w:shd w:val="clear" w:color="auto" w:fill="auto"/>
            <w:hideMark/>
          </w:tcPr>
          <w:p w14:paraId="5F7AE325"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Water flow regulation services </w:t>
            </w:r>
          </w:p>
        </w:tc>
        <w:tc>
          <w:tcPr>
            <w:tcW w:w="7155" w:type="dxa"/>
            <w:tcBorders>
              <w:top w:val="nil"/>
              <w:left w:val="nil"/>
              <w:bottom w:val="nil"/>
              <w:right w:val="nil"/>
            </w:tcBorders>
            <w:shd w:val="clear" w:color="auto" w:fill="auto"/>
            <w:hideMark/>
          </w:tcPr>
          <w:p w14:paraId="0868F589"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Consist of baseline flow maintenance services and Peak flow mitigation services. Water regulation services are the ecosystem contributions to the regulation of river flows and groundwater and lake water tables. They are derived from the ability of ecosystems to absorb and store water, and gradually release water during dry seasons or periods through evapotranspiration and hence secure a regular flow of water. Likewise, this ability mitigates the effects of flood and other extreme water-related events.  (</w:t>
            </w:r>
            <w:hyperlink r:id="rId729"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554CA0D4" w14:textId="77777777" w:rsidTr="00764225">
        <w:trPr>
          <w:trHeight w:val="2266"/>
        </w:trPr>
        <w:tc>
          <w:tcPr>
            <w:tcW w:w="2055" w:type="dxa"/>
            <w:tcBorders>
              <w:top w:val="nil"/>
              <w:left w:val="nil"/>
              <w:bottom w:val="nil"/>
              <w:right w:val="nil"/>
            </w:tcBorders>
            <w:shd w:val="clear" w:color="auto" w:fill="auto"/>
            <w:hideMark/>
          </w:tcPr>
          <w:p w14:paraId="47340E8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Wellbeing </w:t>
            </w:r>
          </w:p>
        </w:tc>
        <w:tc>
          <w:tcPr>
            <w:tcW w:w="7155" w:type="dxa"/>
            <w:tcBorders>
              <w:top w:val="nil"/>
              <w:left w:val="nil"/>
              <w:bottom w:val="nil"/>
              <w:right w:val="nil"/>
            </w:tcBorders>
            <w:shd w:val="clear" w:color="auto" w:fill="auto"/>
            <w:hideMark/>
          </w:tcPr>
          <w:p w14:paraId="331F5D57"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 perspective on a good life that comprises access to basic resources, freedom and choice, health and physical, including psychological, well-being, good social relationships, security, equity, peace of mind and spiritual experience. Well-being is achieved when individuals and communities can act meaningfully to pursue their goals and can enjoy a good quality of life. The concept of human well-being is used in many western societies and its variants, together with living in harmony with nature, and living well in balance and harmony with Mother Earth. All these are different perspectives on a good quality of life. (</w:t>
            </w:r>
            <w:hyperlink r:id="rId730"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2019) </w:t>
            </w:r>
          </w:p>
        </w:tc>
      </w:tr>
      <w:tr w:rsidR="00764225" w:rsidRPr="00ED7E61" w14:paraId="62271A8C" w14:textId="77777777" w:rsidTr="00764225">
        <w:trPr>
          <w:trHeight w:val="1695"/>
        </w:trPr>
        <w:tc>
          <w:tcPr>
            <w:tcW w:w="2055" w:type="dxa"/>
            <w:tcBorders>
              <w:top w:val="nil"/>
              <w:left w:val="nil"/>
              <w:bottom w:val="nil"/>
              <w:right w:val="nil"/>
            </w:tcBorders>
            <w:shd w:val="clear" w:color="auto" w:fill="auto"/>
            <w:hideMark/>
          </w:tcPr>
          <w:p w14:paraId="77C2D72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Wild animals, plants and other biomass provisioning services </w:t>
            </w:r>
          </w:p>
        </w:tc>
        <w:tc>
          <w:tcPr>
            <w:tcW w:w="7155" w:type="dxa"/>
            <w:tcBorders>
              <w:top w:val="nil"/>
              <w:left w:val="nil"/>
              <w:bottom w:val="nil"/>
              <w:right w:val="nil"/>
            </w:tcBorders>
            <w:shd w:val="clear" w:color="auto" w:fill="auto"/>
            <w:hideMark/>
          </w:tcPr>
          <w:p w14:paraId="08C3FF5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ecosystem contributions to the growth of wild animals, plants and other biomass that are captured and harvested in uncultivated production contexts by economic units for various uses. The scope includes non-wood forest products and services related to hunting, trapping and bio-prospecting activities; but excludes wild fish and other natural aquatic biomass. (</w:t>
            </w:r>
            <w:hyperlink r:id="rId731"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3CAEC7D8" w14:textId="77777777" w:rsidTr="00764225">
        <w:trPr>
          <w:trHeight w:val="1276"/>
        </w:trPr>
        <w:tc>
          <w:tcPr>
            <w:tcW w:w="2055" w:type="dxa"/>
            <w:tcBorders>
              <w:top w:val="nil"/>
              <w:left w:val="nil"/>
              <w:bottom w:val="nil"/>
              <w:right w:val="nil"/>
            </w:tcBorders>
            <w:shd w:val="clear" w:color="auto" w:fill="auto"/>
            <w:hideMark/>
          </w:tcPr>
          <w:p w14:paraId="11324F51"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Wild fish and other natural aquatic biomass provisioning services </w:t>
            </w:r>
          </w:p>
        </w:tc>
        <w:tc>
          <w:tcPr>
            <w:tcW w:w="7155" w:type="dxa"/>
            <w:tcBorders>
              <w:top w:val="nil"/>
              <w:left w:val="nil"/>
              <w:bottom w:val="nil"/>
              <w:right w:val="nil"/>
            </w:tcBorders>
            <w:shd w:val="clear" w:color="auto" w:fill="auto"/>
            <w:hideMark/>
          </w:tcPr>
          <w:p w14:paraId="5219A3D3"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The ecosystem contributions to the growth of fish and other aquatic biomass that are captured in uncultivated production contexts by economic units for various uses, primarily food production.  (</w:t>
            </w:r>
            <w:hyperlink r:id="rId732" w:tgtFrame="_blank" w:history="1">
              <w:r w:rsidRPr="00ED7E61">
                <w:rPr>
                  <w:rStyle w:val="Hyperlink"/>
                  <w:rFonts w:asciiTheme="majorBidi" w:eastAsiaTheme="majorEastAsia" w:hAnsiTheme="majorBidi" w:cstheme="majorBidi"/>
                  <w:sz w:val="22"/>
                  <w:szCs w:val="22"/>
                </w:rPr>
                <w:t>SEEA</w:t>
              </w:r>
            </w:hyperlink>
            <w:r w:rsidRPr="00ED7E61">
              <w:rPr>
                <w:rFonts w:asciiTheme="majorBidi" w:eastAsiaTheme="majorEastAsia" w:hAnsiTheme="majorBidi" w:cstheme="majorBidi"/>
                <w:sz w:val="22"/>
                <w:szCs w:val="22"/>
              </w:rPr>
              <w:t>, 2021) </w:t>
            </w:r>
          </w:p>
        </w:tc>
      </w:tr>
      <w:tr w:rsidR="00764225" w:rsidRPr="00ED7E61" w14:paraId="3B6CEAF6" w14:textId="77777777" w:rsidTr="00764225">
        <w:trPr>
          <w:trHeight w:val="1550"/>
        </w:trPr>
        <w:tc>
          <w:tcPr>
            <w:tcW w:w="2055" w:type="dxa"/>
            <w:tcBorders>
              <w:top w:val="nil"/>
              <w:left w:val="nil"/>
              <w:bottom w:val="nil"/>
              <w:right w:val="nil"/>
            </w:tcBorders>
            <w:shd w:val="clear" w:color="auto" w:fill="auto"/>
            <w:hideMark/>
          </w:tcPr>
          <w:p w14:paraId="18357C6B"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Wild species </w:t>
            </w:r>
          </w:p>
        </w:tc>
        <w:tc>
          <w:tcPr>
            <w:tcW w:w="7155" w:type="dxa"/>
            <w:tcBorders>
              <w:top w:val="nil"/>
              <w:left w:val="nil"/>
              <w:bottom w:val="nil"/>
              <w:right w:val="nil"/>
            </w:tcBorders>
            <w:shd w:val="clear" w:color="auto" w:fill="auto"/>
            <w:hideMark/>
          </w:tcPr>
          <w:p w14:paraId="56F2CB45"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Populations of any species that have not been domesticated through multigenerational selection for particular traits, and which can survive independently of human intervention that may occur in any environment. This does not imply a complete absence of human management and recognizes various intermediate states between wild and domesticated. (</w:t>
            </w:r>
            <w:hyperlink r:id="rId733" w:tgtFrame="_blank" w:history="1">
              <w:r w:rsidRPr="00ED7E61">
                <w:rPr>
                  <w:rStyle w:val="Hyperlink"/>
                  <w:rFonts w:asciiTheme="majorBidi" w:eastAsiaTheme="majorEastAsia" w:hAnsiTheme="majorBidi" w:cstheme="majorBidi"/>
                  <w:sz w:val="22"/>
                  <w:szCs w:val="22"/>
                </w:rPr>
                <w:t>IPBES</w:t>
              </w:r>
            </w:hyperlink>
            <w:r w:rsidRPr="00ED7E61">
              <w:rPr>
                <w:rFonts w:asciiTheme="majorBidi" w:eastAsiaTheme="majorEastAsia" w:hAnsiTheme="majorBidi" w:cstheme="majorBidi"/>
                <w:sz w:val="22"/>
                <w:szCs w:val="22"/>
              </w:rPr>
              <w:t>, 2022) </w:t>
            </w:r>
          </w:p>
        </w:tc>
      </w:tr>
      <w:tr w:rsidR="00764225" w:rsidRPr="00ED7E61" w14:paraId="5D467DBF" w14:textId="77777777" w:rsidTr="00764225">
        <w:trPr>
          <w:trHeight w:val="862"/>
        </w:trPr>
        <w:tc>
          <w:tcPr>
            <w:tcW w:w="2055" w:type="dxa"/>
            <w:tcBorders>
              <w:top w:val="nil"/>
              <w:left w:val="nil"/>
              <w:bottom w:val="nil"/>
              <w:right w:val="nil"/>
            </w:tcBorders>
            <w:shd w:val="clear" w:color="auto" w:fill="auto"/>
            <w:hideMark/>
          </w:tcPr>
          <w:p w14:paraId="5C7EB17D"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Within biologically sustainable levels </w:t>
            </w:r>
          </w:p>
        </w:tc>
        <w:tc>
          <w:tcPr>
            <w:tcW w:w="7155" w:type="dxa"/>
            <w:tcBorders>
              <w:top w:val="nil"/>
              <w:left w:val="nil"/>
              <w:bottom w:val="nil"/>
              <w:right w:val="nil"/>
            </w:tcBorders>
            <w:shd w:val="clear" w:color="auto" w:fill="auto"/>
            <w:hideMark/>
          </w:tcPr>
          <w:p w14:paraId="036BE540" w14:textId="7777777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Abundance is estimated (considering uncertainty) to be equal to or greater than the level that can produce the Maximum Sustainable Yield (MSY). </w:t>
            </w:r>
          </w:p>
        </w:tc>
      </w:tr>
      <w:tr w:rsidR="00764225" w:rsidRPr="00ED7E61" w14:paraId="44916BB5" w14:textId="77777777" w:rsidTr="00764225">
        <w:trPr>
          <w:trHeight w:val="2370"/>
        </w:trPr>
        <w:tc>
          <w:tcPr>
            <w:tcW w:w="2055" w:type="dxa"/>
            <w:tcBorders>
              <w:top w:val="nil"/>
              <w:left w:val="nil"/>
              <w:bottom w:val="nil"/>
              <w:right w:val="nil"/>
            </w:tcBorders>
            <w:shd w:val="clear" w:color="auto" w:fill="auto"/>
            <w:hideMark/>
          </w:tcPr>
          <w:p w14:paraId="7452FCBF" w14:textId="77777777" w:rsidR="00764225" w:rsidRPr="00ED7E61" w:rsidRDefault="00764225" w:rsidP="00395866">
            <w:pPr>
              <w:rPr>
                <w:rFonts w:asciiTheme="majorBidi" w:hAnsiTheme="majorBidi" w:cstheme="majorBidi"/>
                <w:sz w:val="22"/>
                <w:szCs w:val="22"/>
              </w:rPr>
            </w:pPr>
            <w:r w:rsidRPr="00ED7E61">
              <w:rPr>
                <w:rFonts w:asciiTheme="majorBidi" w:eastAsiaTheme="majorEastAsia" w:hAnsiTheme="majorBidi" w:cstheme="majorBidi"/>
                <w:sz w:val="22"/>
                <w:szCs w:val="22"/>
              </w:rPr>
              <w:t>Youth </w:t>
            </w:r>
          </w:p>
        </w:tc>
        <w:tc>
          <w:tcPr>
            <w:tcW w:w="7155" w:type="dxa"/>
            <w:tcBorders>
              <w:top w:val="nil"/>
              <w:left w:val="nil"/>
              <w:bottom w:val="nil"/>
              <w:right w:val="nil"/>
            </w:tcBorders>
            <w:shd w:val="clear" w:color="auto" w:fill="auto"/>
            <w:hideMark/>
          </w:tcPr>
          <w:p w14:paraId="2EB72EF6" w14:textId="22432BE7" w:rsidR="00764225" w:rsidRPr="00ED7E61" w:rsidRDefault="00764225" w:rsidP="00395866">
            <w:pPr>
              <w:jc w:val="both"/>
              <w:rPr>
                <w:rFonts w:asciiTheme="majorBidi" w:hAnsiTheme="majorBidi" w:cstheme="majorBidi"/>
                <w:sz w:val="22"/>
                <w:szCs w:val="22"/>
              </w:rPr>
            </w:pPr>
            <w:r w:rsidRPr="00ED7E61">
              <w:rPr>
                <w:rFonts w:asciiTheme="majorBidi" w:eastAsiaTheme="majorEastAsia" w:hAnsiTheme="majorBidi" w:cstheme="majorBidi"/>
                <w:sz w:val="22"/>
                <w:szCs w:val="22"/>
              </w:rPr>
              <w:t xml:space="preserve">There is no universally agreed international definition of the youth age group. For statistical purposes, however, the United Nations—without prejudice to any other definitions made by Member States—defines </w:t>
            </w:r>
            <w:r w:rsidR="006D3042">
              <w:rPr>
                <w:rFonts w:asciiTheme="majorBidi" w:eastAsiaTheme="majorEastAsia" w:hAnsiTheme="majorBidi" w:cstheme="majorBidi"/>
                <w:sz w:val="22"/>
                <w:szCs w:val="22"/>
              </w:rPr>
              <w:t>“</w:t>
            </w:r>
            <w:r w:rsidRPr="00FB1598">
              <w:rPr>
                <w:rFonts w:asciiTheme="majorBidi" w:eastAsiaTheme="majorEastAsia" w:hAnsiTheme="majorBidi" w:cstheme="majorBidi"/>
                <w:i/>
                <w:iCs/>
                <w:sz w:val="22"/>
                <w:szCs w:val="22"/>
              </w:rPr>
              <w:t>youth</w:t>
            </w:r>
            <w:r w:rsidR="006D3042">
              <w:rPr>
                <w:rFonts w:asciiTheme="majorBidi" w:eastAsiaTheme="majorEastAsia" w:hAnsiTheme="majorBidi" w:cstheme="majorBidi"/>
                <w:sz w:val="22"/>
                <w:szCs w:val="22"/>
              </w:rPr>
              <w:t>”</w:t>
            </w:r>
            <w:r w:rsidRPr="00ED7E61">
              <w:rPr>
                <w:rFonts w:asciiTheme="majorBidi" w:eastAsiaTheme="majorEastAsia" w:hAnsiTheme="majorBidi" w:cstheme="majorBidi"/>
                <w:sz w:val="22"/>
                <w:szCs w:val="22"/>
              </w:rPr>
              <w:t xml:space="preserve"> as those persons between the ages of 15 and 24 years. This definition, which arose in the context of preparations for the International Youth Year (1985) (see A/36/215), was endorsed by the General Assembly in its resolution 36/28 of 1981. All UN statistics on youth are based on this definition, as is reflected in the annual yearbooks of statistics published by the UN system on demography, education, employment and health.  </w:t>
            </w:r>
          </w:p>
        </w:tc>
      </w:tr>
    </w:tbl>
    <w:p w14:paraId="7640C8BD" w14:textId="2C6C8E7E" w:rsidR="00764225" w:rsidRPr="00395866" w:rsidRDefault="00A536EB" w:rsidP="00C16EC5">
      <w:pPr>
        <w:jc w:val="center"/>
        <w:rPr>
          <w:rFonts w:asciiTheme="majorBidi" w:hAnsiTheme="majorBidi" w:cstheme="majorBidi"/>
          <w:sz w:val="22"/>
          <w:szCs w:val="22"/>
        </w:rPr>
      </w:pPr>
      <w:r w:rsidRPr="00ED7E61">
        <w:rPr>
          <w:rFonts w:asciiTheme="majorBidi" w:hAnsiTheme="majorBidi" w:cstheme="majorBidi"/>
          <w:sz w:val="22"/>
          <w:szCs w:val="22"/>
        </w:rPr>
        <w:t>__________</w:t>
      </w:r>
    </w:p>
    <w:sectPr w:rsidR="00764225" w:rsidRPr="00395866" w:rsidSect="00B3383B">
      <w:pgSz w:w="12240" w:h="15840"/>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AECCC" w14:textId="77777777" w:rsidR="00F43F09" w:rsidRDefault="00F43F09" w:rsidP="003109C0">
      <w:r>
        <w:separator/>
      </w:r>
    </w:p>
  </w:endnote>
  <w:endnote w:type="continuationSeparator" w:id="0">
    <w:p w14:paraId="12305A6D" w14:textId="77777777" w:rsidR="00F43F09" w:rsidRDefault="00F43F09" w:rsidP="003109C0">
      <w:r>
        <w:continuationSeparator/>
      </w:r>
    </w:p>
  </w:endnote>
  <w:endnote w:type="continuationNotice" w:id="1">
    <w:p w14:paraId="62DF2AA5" w14:textId="77777777" w:rsidR="00F43F09" w:rsidRDefault="00F43F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_MSFontService">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FA26C" w14:textId="649944AB" w:rsidR="0089127F" w:rsidRPr="00B3383B" w:rsidRDefault="00000000">
    <w:pPr>
      <w:pStyle w:val="Footer"/>
      <w:rPr>
        <w:rFonts w:ascii="Times New Roman" w:hAnsi="Times New Roman" w:cs="Times New Roman"/>
        <w:sz w:val="20"/>
        <w:szCs w:val="20"/>
      </w:rPr>
    </w:pPr>
    <w:sdt>
      <w:sdtPr>
        <w:rPr>
          <w:rFonts w:ascii="Times New Roman" w:hAnsi="Times New Roman" w:cs="Times New Roman"/>
          <w:sz w:val="20"/>
          <w:szCs w:val="20"/>
        </w:rPr>
        <w:id w:val="1810593685"/>
        <w:docPartObj>
          <w:docPartGallery w:val="Page Numbers (Top of Page)"/>
          <w:docPartUnique/>
        </w:docPartObj>
      </w:sdtPr>
      <w:sdtContent>
        <w:r w:rsidR="00F31704" w:rsidRPr="00B3383B">
          <w:rPr>
            <w:rFonts w:ascii="Times New Roman" w:hAnsi="Times New Roman" w:cs="Times New Roman"/>
            <w:sz w:val="20"/>
            <w:szCs w:val="20"/>
          </w:rPr>
          <w:fldChar w:fldCharType="begin"/>
        </w:r>
        <w:r w:rsidR="00F31704" w:rsidRPr="00B3383B">
          <w:rPr>
            <w:rFonts w:ascii="Times New Roman" w:hAnsi="Times New Roman" w:cs="Times New Roman"/>
            <w:sz w:val="20"/>
            <w:szCs w:val="20"/>
          </w:rPr>
          <w:instrText xml:space="preserve"> PAGE </w:instrText>
        </w:r>
        <w:r w:rsidR="00F31704" w:rsidRPr="00B3383B">
          <w:rPr>
            <w:rFonts w:ascii="Times New Roman" w:hAnsi="Times New Roman" w:cs="Times New Roman"/>
            <w:sz w:val="20"/>
            <w:szCs w:val="20"/>
          </w:rPr>
          <w:fldChar w:fldCharType="separate"/>
        </w:r>
        <w:r w:rsidR="00DE69C8">
          <w:rPr>
            <w:rFonts w:ascii="Times New Roman" w:hAnsi="Times New Roman" w:cs="Times New Roman"/>
            <w:noProof/>
            <w:sz w:val="20"/>
            <w:szCs w:val="20"/>
          </w:rPr>
          <w:t>138</w:t>
        </w:r>
        <w:r w:rsidR="00F31704" w:rsidRPr="00B3383B">
          <w:rPr>
            <w:rFonts w:ascii="Times New Roman" w:hAnsi="Times New Roman" w:cs="Times New Roman"/>
            <w:sz w:val="20"/>
            <w:szCs w:val="20"/>
          </w:rPr>
          <w:fldChar w:fldCharType="end"/>
        </w:r>
        <w:r w:rsidR="00F31704" w:rsidRPr="00B3383B">
          <w:rPr>
            <w:rFonts w:ascii="Times New Roman" w:hAnsi="Times New Roman" w:cs="Times New Roman"/>
            <w:sz w:val="20"/>
            <w:szCs w:val="20"/>
          </w:rPr>
          <w:t>/</w:t>
        </w:r>
        <w:r w:rsidR="00F31704" w:rsidRPr="00B3383B">
          <w:rPr>
            <w:rFonts w:ascii="Times New Roman" w:hAnsi="Times New Roman" w:cs="Times New Roman"/>
            <w:sz w:val="20"/>
            <w:szCs w:val="20"/>
          </w:rPr>
          <w:fldChar w:fldCharType="begin"/>
        </w:r>
        <w:r w:rsidR="00F31704" w:rsidRPr="00B3383B">
          <w:rPr>
            <w:rFonts w:ascii="Times New Roman" w:hAnsi="Times New Roman" w:cs="Times New Roman"/>
            <w:sz w:val="20"/>
            <w:szCs w:val="20"/>
          </w:rPr>
          <w:instrText xml:space="preserve"> NUMPAGES  </w:instrText>
        </w:r>
        <w:r w:rsidR="00F31704" w:rsidRPr="00B3383B">
          <w:rPr>
            <w:rFonts w:ascii="Times New Roman" w:hAnsi="Times New Roman" w:cs="Times New Roman"/>
            <w:sz w:val="20"/>
            <w:szCs w:val="20"/>
          </w:rPr>
          <w:fldChar w:fldCharType="separate"/>
        </w:r>
        <w:r w:rsidR="00DE69C8">
          <w:rPr>
            <w:rFonts w:ascii="Times New Roman" w:hAnsi="Times New Roman" w:cs="Times New Roman"/>
            <w:noProof/>
            <w:sz w:val="20"/>
            <w:szCs w:val="20"/>
          </w:rPr>
          <w:t>363</w:t>
        </w:r>
        <w:r w:rsidR="00F31704" w:rsidRPr="00B3383B">
          <w:rPr>
            <w:rFonts w:ascii="Times New Roman" w:hAnsi="Times New Roman" w:cs="Times New Roman"/>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722161"/>
      <w:docPartObj>
        <w:docPartGallery w:val="Page Numbers (Bottom of Page)"/>
        <w:docPartUnique/>
      </w:docPartObj>
    </w:sdtPr>
    <w:sdtEndPr>
      <w:rPr>
        <w:noProof/>
      </w:rPr>
    </w:sdtEndPr>
    <w:sdtContent>
      <w:p w14:paraId="6B8D135A" w14:textId="0AF5B223" w:rsidR="00501E19" w:rsidRDefault="00000000" w:rsidP="00B3383B">
        <w:pPr>
          <w:pStyle w:val="Footer"/>
          <w:jc w:val="right"/>
        </w:pPr>
        <w:sdt>
          <w:sdtPr>
            <w:id w:val="-1705238520"/>
            <w:docPartObj>
              <w:docPartGallery w:val="Page Numbers (Top of Page)"/>
              <w:docPartUnique/>
            </w:docPartObj>
          </w:sdtPr>
          <w:sdtContent>
            <w:r w:rsidR="00F31704" w:rsidRPr="00B3383B">
              <w:rPr>
                <w:rFonts w:ascii="Times New Roman" w:hAnsi="Times New Roman" w:cs="Times New Roman"/>
                <w:sz w:val="20"/>
                <w:szCs w:val="20"/>
              </w:rPr>
              <w:fldChar w:fldCharType="begin"/>
            </w:r>
            <w:r w:rsidR="00F31704" w:rsidRPr="00B3383B">
              <w:rPr>
                <w:rFonts w:ascii="Times New Roman" w:hAnsi="Times New Roman" w:cs="Times New Roman"/>
                <w:sz w:val="20"/>
                <w:szCs w:val="20"/>
              </w:rPr>
              <w:instrText xml:space="preserve"> PAGE </w:instrText>
            </w:r>
            <w:r w:rsidR="00F31704" w:rsidRPr="00B3383B">
              <w:rPr>
                <w:rFonts w:ascii="Times New Roman" w:hAnsi="Times New Roman" w:cs="Times New Roman"/>
                <w:sz w:val="20"/>
                <w:szCs w:val="20"/>
              </w:rPr>
              <w:fldChar w:fldCharType="separate"/>
            </w:r>
            <w:r w:rsidR="00DE69C8">
              <w:rPr>
                <w:rFonts w:ascii="Times New Roman" w:hAnsi="Times New Roman" w:cs="Times New Roman"/>
                <w:noProof/>
                <w:sz w:val="20"/>
                <w:szCs w:val="20"/>
              </w:rPr>
              <w:t>139</w:t>
            </w:r>
            <w:r w:rsidR="00F31704" w:rsidRPr="00B3383B">
              <w:rPr>
                <w:rFonts w:ascii="Times New Roman" w:hAnsi="Times New Roman" w:cs="Times New Roman"/>
                <w:sz w:val="20"/>
                <w:szCs w:val="20"/>
              </w:rPr>
              <w:fldChar w:fldCharType="end"/>
            </w:r>
            <w:r w:rsidR="00F31704" w:rsidRPr="00B3383B">
              <w:rPr>
                <w:rFonts w:ascii="Times New Roman" w:hAnsi="Times New Roman" w:cs="Times New Roman"/>
                <w:sz w:val="20"/>
                <w:szCs w:val="20"/>
              </w:rPr>
              <w:t>/</w:t>
            </w:r>
            <w:r w:rsidR="00F31704" w:rsidRPr="00B3383B">
              <w:rPr>
                <w:rFonts w:ascii="Times New Roman" w:hAnsi="Times New Roman" w:cs="Times New Roman"/>
                <w:sz w:val="20"/>
                <w:szCs w:val="20"/>
              </w:rPr>
              <w:fldChar w:fldCharType="begin"/>
            </w:r>
            <w:r w:rsidR="00F31704" w:rsidRPr="00B3383B">
              <w:rPr>
                <w:rFonts w:ascii="Times New Roman" w:hAnsi="Times New Roman" w:cs="Times New Roman"/>
                <w:sz w:val="20"/>
                <w:szCs w:val="20"/>
              </w:rPr>
              <w:instrText xml:space="preserve"> NUMPAGES  </w:instrText>
            </w:r>
            <w:r w:rsidR="00F31704" w:rsidRPr="00B3383B">
              <w:rPr>
                <w:rFonts w:ascii="Times New Roman" w:hAnsi="Times New Roman" w:cs="Times New Roman"/>
                <w:sz w:val="20"/>
                <w:szCs w:val="20"/>
              </w:rPr>
              <w:fldChar w:fldCharType="separate"/>
            </w:r>
            <w:r w:rsidR="00DE69C8">
              <w:rPr>
                <w:rFonts w:ascii="Times New Roman" w:hAnsi="Times New Roman" w:cs="Times New Roman"/>
                <w:noProof/>
                <w:sz w:val="20"/>
                <w:szCs w:val="20"/>
              </w:rPr>
              <w:t>363</w:t>
            </w:r>
            <w:r w:rsidR="00F31704" w:rsidRPr="00B3383B">
              <w:rPr>
                <w:rFonts w:ascii="Times New Roman" w:hAnsi="Times New Roman" w:cs="Times New Roman"/>
                <w:sz w:val="20"/>
                <w:szCs w:val="20"/>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D8C78" w14:textId="77777777" w:rsidR="00F43F09" w:rsidRDefault="00F43F09" w:rsidP="003109C0">
      <w:r>
        <w:separator/>
      </w:r>
    </w:p>
  </w:footnote>
  <w:footnote w:type="continuationSeparator" w:id="0">
    <w:p w14:paraId="5BF5BD0B" w14:textId="77777777" w:rsidR="00F43F09" w:rsidRDefault="00F43F09" w:rsidP="003109C0">
      <w:r>
        <w:continuationSeparator/>
      </w:r>
    </w:p>
  </w:footnote>
  <w:footnote w:type="continuationNotice" w:id="1">
    <w:p w14:paraId="3D999F50" w14:textId="77777777" w:rsidR="00F43F09" w:rsidRDefault="00F43F09"/>
  </w:footnote>
  <w:footnote w:id="2">
    <w:p w14:paraId="1CC9EE95" w14:textId="77777777" w:rsidR="00B0658E" w:rsidRDefault="00B0658E" w:rsidP="00B0658E">
      <w:pPr>
        <w:pStyle w:val="Footnote"/>
      </w:pPr>
      <w:r>
        <w:rPr>
          <w:rStyle w:val="FootnoteReference"/>
          <w:rFonts w:eastAsiaTheme="majorEastAsia"/>
        </w:rPr>
        <w:t>*</w:t>
      </w:r>
      <w:r>
        <w:t xml:space="preserve"> </w:t>
      </w:r>
      <w:r w:rsidRPr="00A96B21">
        <w:t>CBD</w:t>
      </w:r>
      <w:r>
        <w:t>/COP/16/1.</w:t>
      </w:r>
    </w:p>
    <w:p w14:paraId="0AB0651C" w14:textId="1888F2B1" w:rsidR="00941197" w:rsidRPr="00A96B21" w:rsidRDefault="00941197" w:rsidP="00941197">
      <w:pPr>
        <w:pStyle w:val="Footnote"/>
      </w:pPr>
      <w:r w:rsidRPr="00B3383B">
        <w:rPr>
          <w:vertAlign w:val="superscript"/>
        </w:rPr>
        <w:t>**</w:t>
      </w:r>
      <w:r>
        <w:t xml:space="preserve"> </w:t>
      </w:r>
      <w:r w:rsidRPr="00941197">
        <w:t>The present document is being issued without formal editing.</w:t>
      </w:r>
    </w:p>
  </w:footnote>
  <w:footnote w:id="3">
    <w:p w14:paraId="571629FC" w14:textId="77777777" w:rsidR="009C0BC4" w:rsidRPr="005B0D1E" w:rsidRDefault="009C0BC4" w:rsidP="009C0BC4">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Reports of these meetings are accessible here - </w:t>
      </w:r>
      <w:hyperlink r:id="rId1" w:history="1">
        <w:r w:rsidRPr="005B0D1E">
          <w:rPr>
            <w:rStyle w:val="Hyperlink"/>
            <w:rFonts w:asciiTheme="majorBidi" w:hAnsiTheme="majorBidi" w:cstheme="majorBidi"/>
            <w:sz w:val="18"/>
            <w:szCs w:val="18"/>
          </w:rPr>
          <w:t>IND-AHTEG-2023-01 - Documents (cbd.int)</w:t>
        </w:r>
      </w:hyperlink>
    </w:p>
  </w:footnote>
  <w:footnote w:id="4">
    <w:p w14:paraId="08559B9A" w14:textId="77777777" w:rsidR="009C0BC4" w:rsidRPr="005B0D1E" w:rsidRDefault="009C0BC4" w:rsidP="009C0BC4">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The discussion forum is accessible here - </w:t>
      </w:r>
      <w:hyperlink r:id="rId2" w:history="1">
        <w:r w:rsidRPr="005B0D1E">
          <w:rPr>
            <w:rStyle w:val="Hyperlink"/>
            <w:rFonts w:asciiTheme="majorBidi" w:hAnsiTheme="majorBidi" w:cstheme="majorBidi"/>
            <w:sz w:val="18"/>
            <w:szCs w:val="18"/>
          </w:rPr>
          <w:t>Discussion forum on the monitoring framework for the Kunming-Montreal Global Biodiversity Framework (cbd.int)</w:t>
        </w:r>
      </w:hyperlink>
    </w:p>
  </w:footnote>
  <w:footnote w:id="5">
    <w:p w14:paraId="573F2614" w14:textId="77777777" w:rsidR="009C0BC4" w:rsidRPr="005B0D1E" w:rsidRDefault="009C0BC4" w:rsidP="009C0BC4">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For details please see - </w:t>
      </w:r>
      <w:hyperlink r:id="rId3" w:history="1">
        <w:r w:rsidRPr="005B0D1E">
          <w:rPr>
            <w:rStyle w:val="Hyperlink"/>
            <w:rFonts w:asciiTheme="majorBidi" w:hAnsiTheme="majorBidi" w:cstheme="majorBidi"/>
            <w:sz w:val="18"/>
            <w:szCs w:val="18"/>
          </w:rPr>
          <w:t>SBSTTA-OM-2024-01 - Documents (cbd.int)</w:t>
        </w:r>
      </w:hyperlink>
    </w:p>
  </w:footnote>
  <w:footnote w:id="6">
    <w:p w14:paraId="41925092" w14:textId="26A6B920" w:rsidR="00CA6F57" w:rsidRPr="005B0D1E" w:rsidRDefault="00CA6F57" w:rsidP="00CA6F57">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The review comments received are available from this page </w:t>
      </w:r>
      <w:hyperlink r:id="rId4" w:history="1">
        <w:r w:rsidRPr="005B0D1E">
          <w:rPr>
            <w:rStyle w:val="Hyperlink"/>
            <w:rFonts w:asciiTheme="majorBidi" w:hAnsiTheme="majorBidi" w:cstheme="majorBidi"/>
            <w:sz w:val="18"/>
            <w:szCs w:val="18"/>
          </w:rPr>
          <w:t>Convention on Biological Diversity (cbd.int)</w:t>
        </w:r>
      </w:hyperlink>
      <w:r w:rsidRPr="005B0D1E">
        <w:rPr>
          <w:rFonts w:asciiTheme="majorBidi" w:hAnsiTheme="majorBidi" w:cstheme="majorBidi"/>
          <w:sz w:val="18"/>
          <w:szCs w:val="18"/>
        </w:rPr>
        <w:t xml:space="preserve">. </w:t>
      </w:r>
    </w:p>
  </w:footnote>
  <w:footnote w:id="7">
    <w:p w14:paraId="69FAA54D" w14:textId="4D8C2CD2" w:rsidR="009C0BC4" w:rsidRPr="005B0D1E" w:rsidRDefault="009C0BC4">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Scientific and technical review of the traditional knowledge indicators and their suggested links with the headline, component and complementary indicators of the monitoring framework for the Kunming-Montreal Global Biodiversity Framework, information document</w:t>
      </w:r>
    </w:p>
  </w:footnote>
  <w:footnote w:id="8">
    <w:p w14:paraId="3F418CAE" w14:textId="7FB6CE68" w:rsidR="009C0BC4" w:rsidRPr="005B0D1E" w:rsidRDefault="009C0BC4">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Access and benefit-sharing indicators for the Kunming-Montreal Global Biodiversity Framework</w:t>
      </w:r>
    </w:p>
  </w:footnote>
  <w:footnote w:id="9">
    <w:p w14:paraId="56AA0553" w14:textId="0A7F7F61" w:rsidR="009C0BC4" w:rsidRPr="005B0D1E" w:rsidRDefault="009C0BC4">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Report of the online discussions of the Liaison Group on the Cartagena Protocol on Biosafety on the monitoring framework for the Kunming-Montreal Global Biodiversity Framework as it relates to Target 17</w:t>
      </w:r>
    </w:p>
  </w:footnote>
  <w:footnote w:id="10">
    <w:p w14:paraId="6DF064A3" w14:textId="66595E18" w:rsidR="0087104E" w:rsidRPr="005B0D1E" w:rsidRDefault="0087104E" w:rsidP="0087104E">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Report of the expert meeting on developing a methodology for headline indicator 7.2 under the monitoring framework of the Kunming-Montreal Global Biodiversity Framework</w:t>
      </w:r>
    </w:p>
  </w:footnote>
  <w:footnote w:id="11">
    <w:p w14:paraId="0336DD2D" w14:textId="623675DA" w:rsidR="0087104E" w:rsidRPr="005B0D1E" w:rsidRDefault="0087104E" w:rsidP="0087104E">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Headline indicator D.3 on private funding: a background note</w:t>
      </w:r>
    </w:p>
  </w:footnote>
  <w:footnote w:id="12">
    <w:p w14:paraId="2152F408" w14:textId="4D834196" w:rsidR="0087104E" w:rsidRPr="005B0D1E" w:rsidRDefault="0087104E" w:rsidP="0087104E">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Guidance from the Informal Advisory Group on Technical and Scientific Cooperation regarding indicators for Target 20 of the Kunming-Montreal Global Biodiversity Framework</w:t>
      </w:r>
    </w:p>
  </w:footnote>
  <w:footnote w:id="13">
    <w:p w14:paraId="4E73F604" w14:textId="31B2B67F" w:rsidR="003A6862" w:rsidRPr="005B0D1E" w:rsidRDefault="003A6862" w:rsidP="00B3383B">
      <w:pPr>
        <w:pStyle w:val="paragraph"/>
        <w:spacing w:before="0" w:beforeAutospacing="0" w:after="0" w:afterAutospacing="0"/>
        <w:textAlignment w:val="baseline"/>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Style w:val="normaltextrun"/>
          <w:rFonts w:asciiTheme="majorBidi" w:eastAsiaTheme="majorEastAsia" w:hAnsiTheme="majorBidi" w:cstheme="majorBidi"/>
          <w:sz w:val="18"/>
          <w:szCs w:val="18"/>
        </w:rPr>
        <w:t>The Sustainable Development Goals were adopted by the General Assembly of the United Nations in 2015. The global indicator framework for Sustainable Development Goals was developed by the Inter-Agency and Expert Group on SDG Indicators (IAEG-SDGs) and agreed upon at the 48th session of the United Nations Statistical Commission held in March 2017. The global indicator framework was later adopted by the General Assembly on 6 July 2017 and is contained in the Resolution adopted by the General Assembly on Work of the Statistical Commission pertaining to the 2030 Agenda for Sustainable Development (A/RES/71/313), Annex (</w:t>
      </w:r>
      <w:hyperlink r:id="rId5" w:history="1">
        <w:r w:rsidRPr="005B0D1E">
          <w:rPr>
            <w:rStyle w:val="Hyperlink"/>
            <w:rFonts w:asciiTheme="majorBidi" w:eastAsiaTheme="majorEastAsia" w:hAnsiTheme="majorBidi" w:cstheme="majorBidi"/>
            <w:sz w:val="18"/>
            <w:szCs w:val="18"/>
          </w:rPr>
          <w:t>https://unstats.un.org/sdgs/indicators/indicators-list/</w:t>
        </w:r>
      </w:hyperlink>
      <w:r w:rsidRPr="005B0D1E">
        <w:rPr>
          <w:rStyle w:val="normaltextrun"/>
          <w:rFonts w:asciiTheme="majorBidi" w:eastAsiaTheme="majorEastAsia" w:hAnsiTheme="majorBidi" w:cstheme="majorBidi"/>
          <w:sz w:val="18"/>
          <w:szCs w:val="18"/>
        </w:rPr>
        <w:t xml:space="preserve">). </w:t>
      </w:r>
    </w:p>
  </w:footnote>
  <w:footnote w:id="14">
    <w:p w14:paraId="7C66EE49" w14:textId="6EA884D6" w:rsidR="00774F02" w:rsidRPr="005B0D1E" w:rsidRDefault="00774F02" w:rsidP="00FB1598">
      <w:pPr>
        <w:jc w:val="both"/>
        <w:rPr>
          <w:rFonts w:asciiTheme="majorBidi" w:hAnsiTheme="majorBidi" w:cstheme="majorBidi"/>
          <w:sz w:val="18"/>
          <w:szCs w:val="18"/>
        </w:rPr>
      </w:pPr>
      <w:r w:rsidRPr="00ED7E61">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hAnsiTheme="majorBidi" w:cstheme="majorBidi"/>
          <w:i/>
          <w:iCs/>
          <w:sz w:val="18"/>
          <w:szCs w:val="18"/>
        </w:rPr>
        <w:t>Encourages</w:t>
      </w:r>
      <w:r w:rsidRPr="005B0D1E">
        <w:rPr>
          <w:rFonts w:asciiTheme="majorBidi" w:hAnsiTheme="majorBidi" w:cstheme="majorBidi"/>
          <w:sz w:val="18"/>
          <w:szCs w:val="18"/>
        </w:rPr>
        <w:t> the Expert Group to take section C of the Framework into consideration when addressing the gaps in the monitoring framework in preparation for the twenty-sixth meeting of the Subsidiary Body on Scientific, Technical and Technological Advice (</w:t>
      </w:r>
      <w:r w:rsidR="00464B89">
        <w:rPr>
          <w:rFonts w:asciiTheme="majorBidi" w:hAnsiTheme="majorBidi" w:cstheme="majorBidi"/>
          <w:sz w:val="18"/>
          <w:szCs w:val="18"/>
        </w:rPr>
        <w:t xml:space="preserve">recommendation </w:t>
      </w:r>
      <w:r w:rsidRPr="005B0D1E">
        <w:rPr>
          <w:rFonts w:asciiTheme="majorBidi" w:hAnsiTheme="majorBidi" w:cstheme="majorBidi"/>
          <w:sz w:val="18"/>
          <w:szCs w:val="18"/>
        </w:rPr>
        <w:t>25/1, para</w:t>
      </w:r>
      <w:r w:rsidR="00464B89">
        <w:rPr>
          <w:rFonts w:asciiTheme="majorBidi" w:hAnsiTheme="majorBidi" w:cstheme="majorBidi"/>
          <w:sz w:val="18"/>
          <w:szCs w:val="18"/>
        </w:rPr>
        <w:t>.</w:t>
      </w:r>
      <w:r w:rsidRPr="005B0D1E">
        <w:rPr>
          <w:rFonts w:asciiTheme="majorBidi" w:hAnsiTheme="majorBidi" w:cstheme="majorBidi"/>
          <w:sz w:val="18"/>
          <w:szCs w:val="18"/>
        </w:rPr>
        <w:t xml:space="preserve"> 9).</w:t>
      </w:r>
    </w:p>
  </w:footnote>
  <w:footnote w:id="15">
    <w:p w14:paraId="4D9280A6" w14:textId="50DEC55B" w:rsidR="00774F02" w:rsidRPr="005B0D1E" w:rsidRDefault="00774F02" w:rsidP="00FB1598">
      <w:pPr>
        <w:jc w:val="both"/>
        <w:rPr>
          <w:rFonts w:asciiTheme="majorBidi" w:hAnsiTheme="majorBidi" w:cstheme="majorBidi"/>
          <w:sz w:val="18"/>
          <w:szCs w:val="18"/>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hAnsiTheme="majorBidi" w:cstheme="majorBidi"/>
          <w:i/>
          <w:iCs/>
          <w:sz w:val="18"/>
          <w:szCs w:val="18"/>
          <w:lang w:val="en-US"/>
        </w:rPr>
        <w:t>Urges</w:t>
      </w:r>
      <w:r w:rsidRPr="005B0D1E">
        <w:rPr>
          <w:rFonts w:asciiTheme="majorBidi" w:hAnsiTheme="majorBidi" w:cstheme="majorBidi"/>
          <w:b/>
          <w:bCs/>
          <w:i/>
          <w:iCs/>
          <w:sz w:val="18"/>
          <w:szCs w:val="18"/>
          <w:lang w:val="en-US"/>
        </w:rPr>
        <w:t xml:space="preserve"> </w:t>
      </w:r>
      <w:r w:rsidRPr="005B0D1E">
        <w:rPr>
          <w:rFonts w:asciiTheme="majorBidi" w:hAnsiTheme="majorBidi" w:cstheme="majorBidi"/>
          <w:sz w:val="18"/>
          <w:szCs w:val="18"/>
          <w:lang w:val="en-US"/>
        </w:rPr>
        <w:t>Parties and invites where appropriate,</w:t>
      </w:r>
      <w:r w:rsidRPr="005B0D1E">
        <w:rPr>
          <w:rFonts w:asciiTheme="majorBidi" w:hAnsiTheme="majorBidi" w:cstheme="majorBidi"/>
          <w:i/>
          <w:iCs/>
          <w:sz w:val="18"/>
          <w:szCs w:val="18"/>
          <w:lang w:val="en-US"/>
        </w:rPr>
        <w:t xml:space="preserve"> </w:t>
      </w:r>
      <w:r w:rsidRPr="005B0D1E">
        <w:rPr>
          <w:rFonts w:asciiTheme="majorBidi" w:hAnsiTheme="majorBidi" w:cstheme="majorBidi"/>
          <w:sz w:val="18"/>
          <w:szCs w:val="18"/>
          <w:lang w:val="en-US"/>
        </w:rPr>
        <w:t xml:space="preserve">relevant organizations to incorporate the Gender Plan of Action in national biodiversity strategies and action plans, and to include gender-specific indicators in the development of national indicators, collecting data disaggregated by sex, age and other demographic factors and gender indicators, where possible; [...] </w:t>
      </w:r>
      <w:r w:rsidR="002862D2">
        <w:rPr>
          <w:rFonts w:asciiTheme="majorBidi" w:hAnsiTheme="majorBidi" w:cstheme="majorBidi"/>
          <w:sz w:val="18"/>
          <w:szCs w:val="18"/>
        </w:rPr>
        <w:t xml:space="preserve">decision </w:t>
      </w:r>
      <w:r w:rsidRPr="005B0D1E">
        <w:rPr>
          <w:rFonts w:asciiTheme="majorBidi" w:hAnsiTheme="majorBidi" w:cstheme="majorBidi"/>
          <w:sz w:val="18"/>
          <w:szCs w:val="18"/>
        </w:rPr>
        <w:t xml:space="preserve">15/11, </w:t>
      </w:r>
      <w:r w:rsidR="00FE6051" w:rsidRPr="005B0D1E">
        <w:rPr>
          <w:rFonts w:asciiTheme="majorBidi" w:hAnsiTheme="majorBidi" w:cstheme="majorBidi"/>
          <w:sz w:val="18"/>
          <w:szCs w:val="18"/>
        </w:rPr>
        <w:t>para</w:t>
      </w:r>
      <w:r w:rsidR="002862D2">
        <w:rPr>
          <w:rFonts w:asciiTheme="majorBidi" w:hAnsiTheme="majorBidi" w:cstheme="majorBidi"/>
          <w:sz w:val="18"/>
          <w:szCs w:val="18"/>
        </w:rPr>
        <w:t>.</w:t>
      </w:r>
      <w:r w:rsidRPr="005B0D1E">
        <w:rPr>
          <w:rFonts w:asciiTheme="majorBidi" w:hAnsiTheme="majorBidi" w:cstheme="majorBidi"/>
          <w:sz w:val="18"/>
          <w:szCs w:val="18"/>
        </w:rPr>
        <w:t xml:space="preserve"> 4) and </w:t>
      </w:r>
      <w:r w:rsidRPr="005B0D1E">
        <w:rPr>
          <w:rFonts w:asciiTheme="majorBidi" w:hAnsiTheme="majorBidi" w:cstheme="majorBidi"/>
          <w:i/>
          <w:iCs/>
          <w:sz w:val="18"/>
          <w:szCs w:val="18"/>
          <w:lang w:val="en-US"/>
        </w:rPr>
        <w:t>Encourages</w:t>
      </w:r>
      <w:r w:rsidRPr="005B0D1E">
        <w:rPr>
          <w:rFonts w:asciiTheme="majorBidi" w:hAnsiTheme="majorBidi" w:cstheme="majorBidi"/>
          <w:sz w:val="18"/>
          <w:szCs w:val="18"/>
          <w:lang w:val="en-US"/>
        </w:rPr>
        <w:t xml:space="preserve"> Parties to submit information on efforts and steps taken to implement the Gender Plan of Action in their national reporting, including sex-disaggregated data; </w:t>
      </w:r>
      <w:r w:rsidR="00464B89">
        <w:rPr>
          <w:rFonts w:asciiTheme="majorBidi" w:hAnsiTheme="majorBidi" w:cstheme="majorBidi"/>
          <w:sz w:val="18"/>
          <w:szCs w:val="18"/>
        </w:rPr>
        <w:t xml:space="preserve">decision </w:t>
      </w:r>
      <w:r w:rsidRPr="005B0D1E">
        <w:rPr>
          <w:rFonts w:asciiTheme="majorBidi" w:hAnsiTheme="majorBidi" w:cstheme="majorBidi"/>
          <w:sz w:val="18"/>
          <w:szCs w:val="18"/>
        </w:rPr>
        <w:t xml:space="preserve">15/11, </w:t>
      </w:r>
      <w:r w:rsidR="00FE6051" w:rsidRPr="005B0D1E">
        <w:rPr>
          <w:rFonts w:asciiTheme="majorBidi" w:hAnsiTheme="majorBidi" w:cstheme="majorBidi"/>
          <w:sz w:val="18"/>
          <w:szCs w:val="18"/>
        </w:rPr>
        <w:t>para</w:t>
      </w:r>
      <w:r w:rsidR="002862D2">
        <w:rPr>
          <w:rFonts w:asciiTheme="majorBidi" w:hAnsiTheme="majorBidi" w:cstheme="majorBidi"/>
          <w:sz w:val="18"/>
          <w:szCs w:val="18"/>
        </w:rPr>
        <w:t>.</w:t>
      </w:r>
      <w:r w:rsidRPr="005B0D1E">
        <w:rPr>
          <w:rFonts w:asciiTheme="majorBidi" w:hAnsiTheme="majorBidi" w:cstheme="majorBidi"/>
          <w:sz w:val="18"/>
          <w:szCs w:val="18"/>
        </w:rPr>
        <w:t xml:space="preserve"> 4)</w:t>
      </w:r>
    </w:p>
  </w:footnote>
  <w:footnote w:id="16">
    <w:p w14:paraId="672F1E7F" w14:textId="62CC7F3B" w:rsidR="00C761B7" w:rsidRPr="005B0D1E" w:rsidRDefault="00C761B7" w:rsidP="005B0D1E">
      <w:pPr>
        <w:jc w:val="both"/>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Through this recommendation, the Working Group on Article 8(j) and Related Provisions reviewed a draft </w:t>
      </w:r>
      <w:r w:rsidRPr="005B0D1E">
        <w:rPr>
          <w:rFonts w:eastAsiaTheme="majorEastAsia"/>
          <w:sz w:val="18"/>
          <w:szCs w:val="18"/>
        </w:rPr>
        <w:t>Knowledge Management Strategy</w:t>
      </w:r>
      <w:r w:rsidRPr="005B0D1E">
        <w:rPr>
          <w:rFonts w:asciiTheme="majorBidi" w:hAnsiTheme="majorBidi" w:cstheme="majorBidi"/>
          <w:sz w:val="18"/>
          <w:szCs w:val="18"/>
        </w:rPr>
        <w:t>, which will be further considered by COP-16.  The strategy is “</w:t>
      </w:r>
      <w:r w:rsidRPr="00FB1598">
        <w:rPr>
          <w:rFonts w:asciiTheme="majorBidi" w:hAnsiTheme="majorBidi" w:cstheme="majorBidi"/>
          <w:i/>
          <w:iCs/>
          <w:sz w:val="18"/>
          <w:szCs w:val="18"/>
        </w:rPr>
        <w:t>aimed at enhancing the accessibility and use of relevant data, information and knowledge, including traditional knowledge given access to with the free, prior and informed consent of Indigenous Peoples and Local Communities, for informed policy development, planning, decision-making and action to support the implementation and monitoring of the Framework at all levels. It is also aimed at strengthening communication, awareness-raising, education, capacity development, knowledge-sharing and organizational learning</w:t>
      </w:r>
      <w:r w:rsidRPr="005B0D1E">
        <w:rPr>
          <w:rFonts w:asciiTheme="majorBidi" w:hAnsiTheme="majorBidi" w:cstheme="majorBidi"/>
          <w:sz w:val="18"/>
          <w:szCs w:val="18"/>
        </w:rPr>
        <w:t>.”</w:t>
      </w:r>
    </w:p>
  </w:footnote>
  <w:footnote w:id="17">
    <w:p w14:paraId="512AF2A3" w14:textId="3204E3B5" w:rsidR="00774F02" w:rsidRPr="005B0D1E" w:rsidRDefault="00774F02" w:rsidP="00B3383B">
      <w:pPr>
        <w:rPr>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00885B1B" w:rsidRPr="005B0D1E">
        <w:rPr>
          <w:rFonts w:asciiTheme="majorBidi" w:hAnsiTheme="majorBidi" w:cstheme="majorBidi"/>
          <w:sz w:val="18"/>
          <w:szCs w:val="18"/>
        </w:rPr>
        <w:t>Invites the Ad Hoc Technical Expert Group on Indicators and the Subsidiary Body on</w:t>
      </w:r>
      <w:r w:rsidR="00FE6051">
        <w:rPr>
          <w:rFonts w:asciiTheme="majorBidi" w:hAnsiTheme="majorBidi" w:cstheme="majorBidi"/>
          <w:sz w:val="18"/>
          <w:szCs w:val="18"/>
        </w:rPr>
        <w:t xml:space="preserve"> S</w:t>
      </w:r>
      <w:r w:rsidR="00885B1B" w:rsidRPr="005B0D1E">
        <w:rPr>
          <w:rFonts w:asciiTheme="majorBidi" w:hAnsiTheme="majorBidi" w:cstheme="majorBidi"/>
          <w:sz w:val="18"/>
          <w:szCs w:val="18"/>
        </w:rPr>
        <w:t xml:space="preserve">cientific, Technical and Technological Advice, in their work </w:t>
      </w:r>
      <w:r w:rsidR="00885B1B" w:rsidRPr="005B0D1E">
        <w:rPr>
          <w:rFonts w:asciiTheme="majorBidi" w:hAnsiTheme="majorBidi" w:cstheme="majorBidi"/>
          <w:sz w:val="18"/>
          <w:szCs w:val="18"/>
          <w:lang w:val="en-US"/>
        </w:rPr>
        <w:t xml:space="preserve">to </w:t>
      </w:r>
      <w:r w:rsidRPr="005B0D1E">
        <w:rPr>
          <w:rFonts w:asciiTheme="majorBidi" w:hAnsiTheme="majorBidi" w:cstheme="majorBidi"/>
          <w:sz w:val="18"/>
          <w:szCs w:val="18"/>
          <w:lang w:val="en-US"/>
        </w:rPr>
        <w:t>consider the need for data disaggregation by sex for all indicators related to the Framework, including the traditional knowledge indicators, and of strengthening, in line with objective 3.2 of the Gender Plan of Action, the evidence-based understanding and analysis of the gender-related impacts of the implementation of the Framework, including insights from the traditional knowledge of women and girls from Indigenous Peoples and Local Communities</w:t>
      </w:r>
      <w:r w:rsidR="00885B1B" w:rsidRPr="005B0D1E">
        <w:rPr>
          <w:rFonts w:asciiTheme="majorBidi" w:hAnsiTheme="majorBidi" w:cstheme="majorBidi"/>
          <w:sz w:val="18"/>
          <w:szCs w:val="18"/>
          <w:lang w:val="en-US"/>
        </w:rPr>
        <w:t xml:space="preserve"> (</w:t>
      </w:r>
      <w:r w:rsidR="00464B89">
        <w:rPr>
          <w:rFonts w:asciiTheme="majorBidi" w:hAnsiTheme="majorBidi" w:cstheme="majorBidi"/>
          <w:sz w:val="18"/>
          <w:szCs w:val="18"/>
        </w:rPr>
        <w:t>r</w:t>
      </w:r>
      <w:r w:rsidR="00885B1B" w:rsidRPr="005B0D1E">
        <w:rPr>
          <w:rFonts w:asciiTheme="majorBidi" w:hAnsiTheme="majorBidi" w:cstheme="majorBidi"/>
          <w:sz w:val="18"/>
          <w:szCs w:val="18"/>
        </w:rPr>
        <w:t>ecommendation WG8J-12/4, para</w:t>
      </w:r>
      <w:r w:rsidR="002862D2">
        <w:rPr>
          <w:rFonts w:asciiTheme="majorBidi" w:hAnsiTheme="majorBidi" w:cstheme="majorBidi"/>
          <w:sz w:val="18"/>
          <w:szCs w:val="18"/>
        </w:rPr>
        <w:t>.</w:t>
      </w:r>
      <w:r w:rsidR="00885B1B" w:rsidRPr="005B0D1E">
        <w:rPr>
          <w:rFonts w:asciiTheme="majorBidi" w:hAnsiTheme="majorBidi" w:cstheme="majorBidi"/>
          <w:sz w:val="18"/>
          <w:szCs w:val="18"/>
        </w:rPr>
        <w:t xml:space="preserve"> 3 (e))</w:t>
      </w:r>
    </w:p>
  </w:footnote>
  <w:footnote w:id="18">
    <w:p w14:paraId="02824921" w14:textId="088D4610" w:rsidR="00EF3B8A" w:rsidRPr="0090481A" w:rsidRDefault="00EF3B8A" w:rsidP="005B0D1E">
      <w:pPr>
        <w:jc w:val="both"/>
        <w:rPr>
          <w:rFonts w:asciiTheme="majorBidi" w:hAnsiTheme="majorBidi" w:cstheme="majorBidi"/>
          <w:sz w:val="20"/>
          <w:szCs w:val="20"/>
        </w:rPr>
      </w:pPr>
      <w:r w:rsidRPr="005B0D1E">
        <w:rPr>
          <w:rStyle w:val="FootnoteReference"/>
          <w:rFonts w:asciiTheme="majorBidi" w:hAnsiTheme="majorBidi" w:cstheme="majorBidi"/>
          <w:sz w:val="18"/>
          <w:szCs w:val="18"/>
        </w:rPr>
        <w:footnoteRef/>
      </w:r>
      <w:r w:rsidRPr="005B0D1E">
        <w:rPr>
          <w:rFonts w:asciiTheme="majorBidi" w:hAnsiTheme="majorBidi" w:cstheme="majorBidi"/>
          <w:i/>
          <w:iCs/>
          <w:sz w:val="18"/>
          <w:szCs w:val="18"/>
          <w:lang w:val="en-GB"/>
        </w:rPr>
        <w:t xml:space="preserve"> </w:t>
      </w:r>
      <w:r w:rsidRPr="0090481A">
        <w:rPr>
          <w:rFonts w:asciiTheme="majorBidi" w:hAnsiTheme="majorBidi" w:cstheme="majorBidi"/>
          <w:i/>
          <w:iCs/>
          <w:sz w:val="20"/>
          <w:szCs w:val="20"/>
          <w:lang w:val="en-GB"/>
        </w:rPr>
        <w:t xml:space="preserve">Invites </w:t>
      </w:r>
      <w:r w:rsidRPr="0090481A">
        <w:rPr>
          <w:rFonts w:asciiTheme="majorBidi" w:hAnsiTheme="majorBidi" w:cstheme="majorBidi"/>
          <w:sz w:val="20"/>
          <w:szCs w:val="20"/>
          <w:lang w:val="en-GB"/>
        </w:rPr>
        <w:t>Parties and relevant organizations to support community-based monitoring and information systems and citizen science and their contributions to the implementation of the monitoring framework for the Kunming-Montreal Global Biodiversity Framework (</w:t>
      </w:r>
      <w:hyperlink r:id="rId6">
        <w:r w:rsidRPr="0090481A">
          <w:rPr>
            <w:rStyle w:val="Hyperlink"/>
            <w:rFonts w:asciiTheme="majorBidi" w:eastAsiaTheme="majorEastAsia" w:hAnsiTheme="majorBidi" w:cstheme="majorBidi"/>
            <w:sz w:val="20"/>
            <w:szCs w:val="20"/>
          </w:rPr>
          <w:t>Decision 15/5</w:t>
        </w:r>
      </w:hyperlink>
      <w:r w:rsidRPr="0090481A">
        <w:rPr>
          <w:rFonts w:asciiTheme="majorBidi" w:hAnsiTheme="majorBidi" w:cstheme="majorBidi"/>
          <w:sz w:val="20"/>
          <w:szCs w:val="20"/>
        </w:rPr>
        <w:t xml:space="preserve"> paragraph 6)</w:t>
      </w:r>
    </w:p>
  </w:footnote>
  <w:footnote w:id="19">
    <w:p w14:paraId="16A215D3" w14:textId="0C3FDB7D" w:rsidR="00EF3B8A" w:rsidRPr="0090481A" w:rsidRDefault="00EF3B8A" w:rsidP="0090481A">
      <w:pPr>
        <w:jc w:val="both"/>
        <w:rPr>
          <w:rFonts w:asciiTheme="majorBidi" w:hAnsiTheme="majorBidi" w:cstheme="majorBidi"/>
          <w:sz w:val="20"/>
          <w:szCs w:val="20"/>
        </w:rPr>
      </w:pPr>
      <w:r w:rsidRPr="0090481A">
        <w:rPr>
          <w:rStyle w:val="FootnoteReference"/>
          <w:rFonts w:asciiTheme="majorBidi" w:hAnsiTheme="majorBidi" w:cstheme="majorBidi"/>
          <w:sz w:val="20"/>
          <w:szCs w:val="20"/>
        </w:rPr>
        <w:footnoteRef/>
      </w:r>
      <w:r w:rsidRPr="0090481A">
        <w:rPr>
          <w:rFonts w:asciiTheme="majorBidi" w:hAnsiTheme="majorBidi" w:cstheme="majorBidi"/>
          <w:sz w:val="20"/>
          <w:szCs w:val="20"/>
        </w:rPr>
        <w:t xml:space="preserve"> </w:t>
      </w:r>
      <w:r w:rsidRPr="0090481A">
        <w:rPr>
          <w:rFonts w:asciiTheme="majorBidi" w:hAnsiTheme="majorBidi" w:cstheme="majorBidi"/>
          <w:i/>
          <w:iCs/>
          <w:sz w:val="20"/>
          <w:szCs w:val="20"/>
        </w:rPr>
        <w:t>Stresses</w:t>
      </w:r>
      <w:r w:rsidRPr="0090481A">
        <w:rPr>
          <w:rFonts w:asciiTheme="majorBidi" w:hAnsiTheme="majorBidi" w:cstheme="majorBidi"/>
          <w:sz w:val="20"/>
          <w:szCs w:val="20"/>
        </w:rPr>
        <w:t xml:space="preserve"> the importance of community-based monitoring and information systems for filling temporal and spatial data gaps and building capacity to implement the monitoring framework for the Kunming-Montreal Global Biodiversity Framework, while acknowledging the need to engage Indigenous Peoples and Local Communities in the development and management of those information systems</w:t>
      </w:r>
      <w:r w:rsidR="00615CF9" w:rsidRPr="0090481A">
        <w:rPr>
          <w:rFonts w:asciiTheme="majorBidi" w:hAnsiTheme="majorBidi" w:cstheme="majorBidi"/>
          <w:sz w:val="20"/>
          <w:szCs w:val="20"/>
        </w:rPr>
        <w:t xml:space="preserve"> </w:t>
      </w:r>
      <w:r w:rsidRPr="0090481A">
        <w:rPr>
          <w:rFonts w:asciiTheme="majorBidi" w:hAnsiTheme="majorBidi" w:cstheme="majorBidi"/>
          <w:sz w:val="20"/>
          <w:szCs w:val="20"/>
        </w:rPr>
        <w:t>[…] (Recommendation WG8J-14/4, paragraph 5)</w:t>
      </w:r>
    </w:p>
  </w:footnote>
  <w:footnote w:id="20">
    <w:p w14:paraId="060C83AC" w14:textId="42D63137" w:rsidR="0090481A" w:rsidRDefault="0090481A">
      <w:pPr>
        <w:pStyle w:val="FootnoteText"/>
      </w:pPr>
      <w:r w:rsidRPr="0090481A">
        <w:rPr>
          <w:rStyle w:val="FootnoteReference"/>
          <w:rFonts w:asciiTheme="majorBidi" w:hAnsiTheme="majorBidi" w:cstheme="majorBidi"/>
        </w:rPr>
        <w:footnoteRef/>
      </w:r>
      <w:r w:rsidRPr="0090481A">
        <w:rPr>
          <w:rFonts w:asciiTheme="majorBidi" w:hAnsiTheme="majorBidi" w:cstheme="majorBidi"/>
        </w:rPr>
        <w:t xml:space="preserve"> </w:t>
      </w:r>
      <w:hyperlink r:id="rId7" w:history="1">
        <w:r w:rsidRPr="0090481A">
          <w:rPr>
            <w:rStyle w:val="Hyperlink"/>
            <w:rFonts w:asciiTheme="majorBidi" w:hAnsiTheme="majorBidi" w:cstheme="majorBidi"/>
          </w:rPr>
          <w:t>https://www.ipbes.net/the-values-assessment</w:t>
        </w:r>
      </w:hyperlink>
      <w:r>
        <w:t xml:space="preserve"> </w:t>
      </w:r>
    </w:p>
  </w:footnote>
  <w:footnote w:id="21">
    <w:p w14:paraId="3CD0570C" w14:textId="4392153B" w:rsidR="003D6BBD" w:rsidRPr="005B0D1E" w:rsidRDefault="003D6BBD" w:rsidP="003D6BBD">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For further details see </w:t>
      </w:r>
      <w:hyperlink r:id="rId8">
        <w:r w:rsidRPr="00FB1598">
          <w:rPr>
            <w:rStyle w:val="Hyperlink"/>
            <w:rFonts w:asciiTheme="majorBidi" w:hAnsiTheme="majorBidi" w:cstheme="majorBidi"/>
            <w:sz w:val="18"/>
            <w:szCs w:val="18"/>
            <w:lang w:val="en-GB"/>
          </w:rPr>
          <w:t>global-ecosystems.org/</w:t>
        </w:r>
      </w:hyperlink>
      <w:r w:rsidR="005E2FA0">
        <w:rPr>
          <w:rStyle w:val="Hyperlink"/>
          <w:rFonts w:asciiTheme="majorBidi" w:eastAsiaTheme="majorEastAsia" w:hAnsiTheme="majorBidi" w:cstheme="majorBidi"/>
          <w:color w:val="000000" w:themeColor="text1"/>
          <w:sz w:val="18"/>
          <w:szCs w:val="18"/>
          <w:lang w:val="en-GB"/>
        </w:rPr>
        <w:t xml:space="preserve"> </w:t>
      </w:r>
    </w:p>
  </w:footnote>
  <w:footnote w:id="22">
    <w:p w14:paraId="1FA847F2" w14:textId="2592068A" w:rsidR="003D6BBD" w:rsidRPr="005B0D1E" w:rsidRDefault="003D6BBD" w:rsidP="003D6BBD">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For further details see </w:t>
      </w:r>
      <w:hyperlink r:id="rId9" w:history="1">
        <w:r w:rsidR="005E2FA0" w:rsidRPr="00F233CE">
          <w:rPr>
            <w:rStyle w:val="Hyperlink"/>
            <w:rFonts w:asciiTheme="majorBidi" w:hAnsiTheme="majorBidi" w:cstheme="majorBidi"/>
            <w:sz w:val="18"/>
            <w:szCs w:val="18"/>
            <w:lang w:val="en-GB"/>
          </w:rPr>
          <w:t>https://seea.un.org/content/seea-experimental-ecosystem-accounting-revision</w:t>
        </w:r>
      </w:hyperlink>
      <w:r w:rsidR="005E2FA0">
        <w:rPr>
          <w:rFonts w:asciiTheme="majorBidi" w:hAnsiTheme="majorBidi" w:cstheme="majorBidi"/>
          <w:color w:val="000000" w:themeColor="text1"/>
          <w:sz w:val="18"/>
          <w:szCs w:val="18"/>
          <w:lang w:val="en-GB"/>
        </w:rPr>
        <w:t xml:space="preserve"> </w:t>
      </w:r>
    </w:p>
  </w:footnote>
  <w:footnote w:id="23">
    <w:p w14:paraId="15DCC790" w14:textId="77777777" w:rsidR="003D6BBD" w:rsidRPr="005B0D1E" w:rsidRDefault="003D6BBD" w:rsidP="003D6BBD">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S</w:t>
      </w:r>
      <w:r w:rsidRPr="005B0D1E">
        <w:rPr>
          <w:rFonts w:asciiTheme="majorBidi" w:hAnsiTheme="majorBidi" w:cstheme="majorBidi"/>
          <w:color w:val="000000" w:themeColor="text1"/>
          <w:sz w:val="18"/>
          <w:szCs w:val="18"/>
          <w:lang w:val="en-GB"/>
        </w:rPr>
        <w:t xml:space="preserve">hown on the typology website, </w:t>
      </w:r>
      <w:hyperlink r:id="rId10">
        <w:r w:rsidRPr="005B0D1E">
          <w:rPr>
            <w:rStyle w:val="Hyperlink"/>
            <w:rFonts w:asciiTheme="majorBidi" w:eastAsiaTheme="majorEastAsia" w:hAnsiTheme="majorBidi" w:cstheme="majorBidi"/>
            <w:sz w:val="18"/>
            <w:szCs w:val="18"/>
            <w:lang w:val="en-GB"/>
          </w:rPr>
          <w:t>www.global-ecosystems.org</w:t>
        </w:r>
      </w:hyperlink>
    </w:p>
  </w:footnote>
  <w:footnote w:id="24">
    <w:p w14:paraId="51E09F13" w14:textId="49E9C9CE" w:rsidR="003D6BBD" w:rsidRPr="005B0D1E" w:rsidRDefault="003D6BBD" w:rsidP="003D6BBD">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hAnsiTheme="majorBidi" w:cstheme="majorBidi"/>
          <w:color w:val="000000" w:themeColor="text1"/>
          <w:sz w:val="18"/>
          <w:szCs w:val="18"/>
          <w:lang w:val="en-GB"/>
        </w:rPr>
        <w:t xml:space="preserve">These can be viewed and downloaded at </w:t>
      </w:r>
      <w:hyperlink r:id="rId11" w:history="1">
        <w:r w:rsidRPr="005B0D1E">
          <w:rPr>
            <w:rStyle w:val="Hyperlink"/>
            <w:rFonts w:asciiTheme="majorBidi" w:hAnsiTheme="majorBidi" w:cstheme="majorBidi"/>
            <w:sz w:val="18"/>
            <w:szCs w:val="18"/>
            <w:lang w:val="en-GB"/>
          </w:rPr>
          <w:t>https://global-ecosystems.org/</w:t>
        </w:r>
      </w:hyperlink>
      <w:r w:rsidRPr="005B0D1E">
        <w:rPr>
          <w:rFonts w:asciiTheme="majorBidi" w:hAnsiTheme="majorBidi" w:cstheme="majorBidi"/>
          <w:color w:val="000000" w:themeColor="text1"/>
          <w:sz w:val="18"/>
          <w:szCs w:val="18"/>
          <w:lang w:val="en-GB"/>
        </w:rPr>
        <w:t xml:space="preserve"> via the </w:t>
      </w:r>
      <w:r w:rsidR="006D3042">
        <w:rPr>
          <w:rFonts w:asciiTheme="majorBidi" w:hAnsiTheme="majorBidi" w:cstheme="majorBidi"/>
          <w:color w:val="000000" w:themeColor="text1"/>
          <w:sz w:val="18"/>
          <w:szCs w:val="18"/>
          <w:lang w:val="en-GB"/>
        </w:rPr>
        <w:t>“</w:t>
      </w:r>
      <w:r w:rsidRPr="00FB1598">
        <w:rPr>
          <w:rFonts w:asciiTheme="majorBidi" w:hAnsiTheme="majorBidi" w:cstheme="majorBidi"/>
          <w:i/>
          <w:iCs/>
          <w:color w:val="000000" w:themeColor="text1"/>
          <w:sz w:val="18"/>
          <w:szCs w:val="18"/>
          <w:lang w:val="en-GB"/>
        </w:rPr>
        <w:t>analyse</w:t>
      </w:r>
      <w:r w:rsidR="006D3042">
        <w:rPr>
          <w:rFonts w:asciiTheme="majorBidi" w:hAnsiTheme="majorBidi" w:cstheme="majorBidi"/>
          <w:color w:val="000000" w:themeColor="text1"/>
          <w:sz w:val="18"/>
          <w:szCs w:val="18"/>
          <w:lang w:val="en-GB"/>
        </w:rPr>
        <w:t>”</w:t>
      </w:r>
      <w:r w:rsidRPr="005B0D1E">
        <w:rPr>
          <w:rFonts w:asciiTheme="majorBidi" w:hAnsiTheme="majorBidi" w:cstheme="majorBidi"/>
          <w:color w:val="000000" w:themeColor="text1"/>
          <w:sz w:val="18"/>
          <w:szCs w:val="18"/>
          <w:lang w:val="en-GB"/>
        </w:rPr>
        <w:t xml:space="preserve"> function.</w:t>
      </w:r>
    </w:p>
  </w:footnote>
  <w:footnote w:id="25">
    <w:p w14:paraId="31438BD9" w14:textId="77777777" w:rsidR="003D6BBD" w:rsidRPr="005B0D1E" w:rsidRDefault="003D6BBD" w:rsidP="003D6BBD">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hAnsiTheme="majorBidi" w:cstheme="majorBidi"/>
          <w:i/>
          <w:iCs/>
          <w:color w:val="000000" w:themeColor="text1"/>
          <w:sz w:val="18"/>
          <w:szCs w:val="18"/>
          <w:lang w:val="en-GB"/>
        </w:rPr>
        <w:t xml:space="preserve">Estimated using indicative maps at </w:t>
      </w:r>
      <w:hyperlink r:id="rId12" w:history="1">
        <w:r w:rsidRPr="005B0D1E">
          <w:rPr>
            <w:rStyle w:val="Hyperlink"/>
            <w:rFonts w:asciiTheme="majorBidi" w:hAnsiTheme="majorBidi" w:cstheme="majorBidi"/>
            <w:i/>
            <w:iCs/>
            <w:sz w:val="18"/>
            <w:szCs w:val="18"/>
            <w:lang w:val="en-GB"/>
          </w:rPr>
          <w:t>https://global-ecosystems.org/</w:t>
        </w:r>
      </w:hyperlink>
      <w:r w:rsidRPr="005B0D1E">
        <w:rPr>
          <w:rFonts w:asciiTheme="majorBidi" w:hAnsiTheme="majorBidi" w:cstheme="majorBidi"/>
          <w:i/>
          <w:iCs/>
          <w:color w:val="000000" w:themeColor="text1"/>
          <w:sz w:val="18"/>
          <w:szCs w:val="18"/>
          <w:lang w:val="en-GB"/>
        </w:rPr>
        <w:t>: Transitional realms</w:t>
      </w:r>
    </w:p>
  </w:footnote>
  <w:footnote w:id="26">
    <w:p w14:paraId="10074666" w14:textId="6A37B345" w:rsidR="008344AF" w:rsidRPr="005B0D1E" w:rsidRDefault="008344AF" w:rsidP="00B3383B">
      <w:pPr>
        <w:rPr>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The binary indicator text included in the metadata is based on the text included in SBSTTA recommendation 26/1. It will need to be updated to take into account the outcomes from the sixteenth meeting of the Conference of the Parties. </w:t>
      </w:r>
    </w:p>
  </w:footnote>
  <w:footnote w:id="27">
    <w:p w14:paraId="6A681A94" w14:textId="0A922BAC" w:rsidR="00F9458B" w:rsidRPr="005B0D1E" w:rsidRDefault="00F9458B" w:rsidP="001D1D0D">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0051387C" w:rsidRPr="005B0D1E">
        <w:rPr>
          <w:rFonts w:asciiTheme="majorBidi" w:hAnsiTheme="majorBidi" w:cstheme="majorBidi"/>
          <w:sz w:val="18"/>
          <w:szCs w:val="18"/>
        </w:rPr>
        <w:t xml:space="preserve">The Red List Index is Sustainable Development Goal indicator 15.5.1. </w:t>
      </w:r>
      <w:r w:rsidR="001D1D0D" w:rsidRPr="005B0D1E">
        <w:rPr>
          <w:rFonts w:asciiTheme="majorBidi" w:hAnsiTheme="majorBidi" w:cstheme="majorBidi"/>
          <w:sz w:val="18"/>
          <w:szCs w:val="18"/>
        </w:rPr>
        <w:t xml:space="preserve">The </w:t>
      </w:r>
      <w:r w:rsidR="004A0FDB" w:rsidRPr="005B0D1E">
        <w:rPr>
          <w:rFonts w:asciiTheme="majorBidi" w:hAnsiTheme="majorBidi" w:cstheme="majorBidi"/>
          <w:sz w:val="18"/>
          <w:szCs w:val="18"/>
        </w:rPr>
        <w:t xml:space="preserve">official </w:t>
      </w:r>
      <w:r w:rsidR="001D1D0D" w:rsidRPr="005B0D1E">
        <w:rPr>
          <w:rFonts w:asciiTheme="majorBidi" w:hAnsiTheme="majorBidi" w:cstheme="majorBidi"/>
          <w:sz w:val="18"/>
          <w:szCs w:val="18"/>
        </w:rPr>
        <w:t xml:space="preserve">SDG metadata is accessible from </w:t>
      </w:r>
      <w:hyperlink r:id="rId13" w:history="1">
        <w:r w:rsidR="001D1D0D" w:rsidRPr="005B0D1E">
          <w:rPr>
            <w:rStyle w:val="Hyperlink"/>
            <w:rFonts w:asciiTheme="majorBidi" w:hAnsiTheme="majorBidi" w:cstheme="majorBidi"/>
            <w:sz w:val="18"/>
            <w:szCs w:val="18"/>
          </w:rPr>
          <w:t>Metadata-15-05-01.pdf (un.org)</w:t>
        </w:r>
      </w:hyperlink>
      <w:r w:rsidR="001D1D0D" w:rsidRPr="005B0D1E">
        <w:rPr>
          <w:rFonts w:asciiTheme="majorBidi" w:hAnsiTheme="majorBidi" w:cstheme="majorBidi"/>
          <w:sz w:val="18"/>
          <w:szCs w:val="18"/>
        </w:rPr>
        <w:t xml:space="preserve">. </w:t>
      </w:r>
      <w:r w:rsidR="0051387C" w:rsidRPr="005B0D1E">
        <w:rPr>
          <w:rFonts w:asciiTheme="majorBidi" w:hAnsiTheme="majorBidi" w:cstheme="majorBidi"/>
          <w:sz w:val="18"/>
          <w:szCs w:val="18"/>
        </w:rPr>
        <w:t xml:space="preserve"> </w:t>
      </w:r>
    </w:p>
  </w:footnote>
  <w:footnote w:id="28">
    <w:p w14:paraId="569EDCF3" w14:textId="514CCD13" w:rsidR="009A563F" w:rsidRPr="005B0D1E" w:rsidRDefault="009A563F" w:rsidP="00B338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eastAsia="Garamond" w:hAnsiTheme="majorBidi" w:cstheme="majorBidi"/>
          <w:color w:val="000000" w:themeColor="text1"/>
          <w:sz w:val="18"/>
          <w:szCs w:val="18"/>
        </w:rPr>
        <w:t>Note that further information on progress towards the target can be provided in the free text section of the reporting tool.</w:t>
      </w:r>
    </w:p>
  </w:footnote>
  <w:footnote w:id="29">
    <w:p w14:paraId="1E35FC21" w14:textId="77777777" w:rsidR="0081052F" w:rsidRPr="005B0D1E" w:rsidRDefault="0081052F" w:rsidP="0081052F">
      <w:pPr>
        <w:jc w:val="both"/>
        <w:rPr>
          <w:rFonts w:asciiTheme="majorBidi" w:hAnsiTheme="majorBidi" w:cstheme="majorBidi"/>
          <w:sz w:val="18"/>
          <w:szCs w:val="18"/>
        </w:rPr>
      </w:pPr>
      <w:r w:rsidRPr="005B0D1E">
        <w:rPr>
          <w:rFonts w:asciiTheme="majorBidi" w:hAnsiTheme="majorBidi" w:cstheme="majorBidi"/>
          <w:sz w:val="18"/>
          <w:szCs w:val="18"/>
          <w:vertAlign w:val="superscript"/>
        </w:rPr>
        <w:footnoteRef/>
      </w:r>
      <w:r w:rsidRPr="005B0D1E">
        <w:rPr>
          <w:rFonts w:asciiTheme="majorBidi" w:hAnsiTheme="majorBidi" w:cstheme="majorBidi"/>
          <w:sz w:val="18"/>
          <w:szCs w:val="18"/>
        </w:rPr>
        <w:t xml:space="preserve"> According to the Strategy for the practical implementation of the programme of work on technology transfer and scientific and technological cooperation </w:t>
      </w:r>
      <w:r w:rsidRPr="005B0D1E">
        <w:rPr>
          <w:rFonts w:asciiTheme="majorBidi" w:hAnsiTheme="majorBidi" w:cstheme="majorBidi"/>
          <w:sz w:val="18"/>
          <w:szCs w:val="18"/>
        </w:rPr>
        <w:fldChar w:fldCharType="begin"/>
      </w:r>
      <w:r w:rsidRPr="005B0D1E">
        <w:rPr>
          <w:rFonts w:asciiTheme="majorBidi" w:hAnsiTheme="majorBidi" w:cstheme="majorBidi"/>
          <w:sz w:val="18"/>
          <w:szCs w:val="18"/>
        </w:rPr>
        <w:instrText xml:space="preserve"> ADDIN ZOTERO_ITEM CSL_CITATION {"citationID":"9vZbuHJr","properties":{"formattedCitation":"(17)","plainCitation":"(17)","noteIndex":26},"citationItems":[{"id":7652,"uris":["http://zotero.org/users/12039636/items/ACCPMQE7"],"itemData":{"id":7652,"type":"paper-conference","container-title":"U.N. Doc.","publisher":"UNEP/CBD/COP/DEC/IX/14","title":"DECISION ADOPTED BY THE CONFERENCE OF THE PARTIES TO THE CONVENTION ON BIOLOGICAL DIVERSITY, IX/14. Technology transfer and cooperation","URL":"https://www.cbd.int/doc/decisions/cop-09/cop-09-dec-14-en.pdf","author":[{"literal":"Conference of the Parties to the Convention on Biological Diversity"}],"issued":{"date-parts":[["2008",10]]}}}],"schema":"https://github.com/citation-style-language/schema/raw/master/csl-citation.json"} </w:instrText>
      </w:r>
      <w:r w:rsidRPr="005B0D1E">
        <w:rPr>
          <w:rFonts w:asciiTheme="majorBidi" w:hAnsiTheme="majorBidi" w:cstheme="majorBidi"/>
          <w:sz w:val="18"/>
          <w:szCs w:val="18"/>
        </w:rPr>
        <w:fldChar w:fldCharType="separate"/>
      </w:r>
      <w:r w:rsidRPr="005B0D1E">
        <w:rPr>
          <w:rFonts w:asciiTheme="majorBidi" w:hAnsiTheme="majorBidi" w:cstheme="majorBidi"/>
          <w:sz w:val="18"/>
          <w:szCs w:val="18"/>
        </w:rPr>
        <w:t>(17)</w:t>
      </w:r>
      <w:r w:rsidRPr="005B0D1E">
        <w:rPr>
          <w:rFonts w:asciiTheme="majorBidi" w:hAnsiTheme="majorBidi" w:cstheme="majorBidi"/>
          <w:sz w:val="18"/>
          <w:szCs w:val="18"/>
        </w:rPr>
        <w:fldChar w:fldCharType="end"/>
      </w:r>
      <w:r w:rsidRPr="005B0D1E">
        <w:rPr>
          <w:rFonts w:asciiTheme="majorBidi" w:hAnsiTheme="majorBidi" w:cstheme="majorBidi"/>
          <w:sz w:val="18"/>
          <w:szCs w:val="18"/>
        </w:rPr>
        <w:t xml:space="preserve"> “</w:t>
      </w:r>
      <w:r w:rsidRPr="00FB1598">
        <w:rPr>
          <w:rFonts w:asciiTheme="majorBidi" w:hAnsiTheme="majorBidi" w:cstheme="majorBidi"/>
          <w:i/>
          <w:iCs/>
          <w:sz w:val="18"/>
          <w:szCs w:val="18"/>
        </w:rPr>
        <w:t>The concept of technology as generally understood under the Convention includes both</w:t>
      </w:r>
      <w:r w:rsidRPr="005B0D1E">
        <w:rPr>
          <w:rFonts w:asciiTheme="majorBidi" w:hAnsiTheme="majorBidi" w:cstheme="majorBidi"/>
          <w:sz w:val="18"/>
          <w:szCs w:val="18"/>
        </w:rPr>
        <w:t xml:space="preserve"> “</w:t>
      </w:r>
      <w:r w:rsidRPr="00FB1598">
        <w:rPr>
          <w:rFonts w:asciiTheme="majorBidi" w:hAnsiTheme="majorBidi" w:cstheme="majorBidi"/>
          <w:i/>
          <w:iCs/>
          <w:sz w:val="18"/>
          <w:szCs w:val="18"/>
        </w:rPr>
        <w:t>hard</w:t>
      </w:r>
      <w:r w:rsidRPr="005B0D1E">
        <w:rPr>
          <w:rFonts w:asciiTheme="majorBidi" w:hAnsiTheme="majorBidi" w:cstheme="majorBidi"/>
          <w:sz w:val="18"/>
          <w:szCs w:val="18"/>
        </w:rPr>
        <w:t xml:space="preserve">” </w:t>
      </w:r>
      <w:r w:rsidRPr="00FB1598">
        <w:rPr>
          <w:rFonts w:asciiTheme="majorBidi" w:hAnsiTheme="majorBidi" w:cstheme="majorBidi"/>
          <w:i/>
          <w:iCs/>
          <w:sz w:val="18"/>
          <w:szCs w:val="18"/>
        </w:rPr>
        <w:t>and “soft” technology. The notion of hard technology refers to the actual machinery and other physical hardware that is transferred, while the category of soft technology refers to technological information or know-how. Such “soft” technology is often transferred within long-term scientific and technological cooperation including through joint research and innovation which move ideas from invention to new products, processes and services</w:t>
      </w:r>
      <w:r w:rsidRPr="005B0D1E">
        <w:rPr>
          <w:rFonts w:asciiTheme="majorBidi" w:hAnsiTheme="majorBidi" w:cstheme="majorBidi"/>
          <w:sz w:val="18"/>
          <w:szCs w:val="18"/>
        </w:rPr>
        <w:t>”</w:t>
      </w:r>
    </w:p>
  </w:footnote>
  <w:footnote w:id="30">
    <w:p w14:paraId="5D84334E" w14:textId="77777777" w:rsidR="00CB0D9F" w:rsidRPr="005B0D1E" w:rsidRDefault="00CB0D9F" w:rsidP="00CB0D9F">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In accordance with Article 14.2 and Article 17.2 of the Nagoya Protocol.</w:t>
      </w:r>
    </w:p>
  </w:footnote>
  <w:footnote w:id="31">
    <w:p w14:paraId="73A4894F" w14:textId="7040421C" w:rsidR="003F212A" w:rsidRPr="00ED7E61" w:rsidRDefault="003F212A" w:rsidP="003F212A">
      <w:pPr>
        <w:pStyle w:val="FootnoteText"/>
        <w:rPr>
          <w:rFonts w:asciiTheme="majorBidi" w:hAnsiTheme="majorBidi" w:cstheme="majorBidi"/>
        </w:rPr>
      </w:pPr>
      <w:r>
        <w:rPr>
          <w:rStyle w:val="FootnoteReference"/>
        </w:rPr>
        <w:footnoteRef/>
      </w:r>
      <w:r>
        <w:t xml:space="preserve"> </w:t>
      </w:r>
      <w:r w:rsidRPr="00ED7E61">
        <w:rPr>
          <w:rFonts w:asciiTheme="majorBidi" w:hAnsiTheme="majorBidi" w:cstheme="majorBidi"/>
        </w:rPr>
        <w:t>ODA must have the economic development and welfare of developing countries as its main objective, and be concessional in character (i.e. grants, and concessional loans that are extended on softer terms than market loans). In turn, OOF comprises transactions from governments to developing countries that do not qualify as ODA (i.e. loans extended at market rates). This definition of other official flows excludes official direct export credits.</w:t>
      </w:r>
      <w:r>
        <w:rPr>
          <w:rFonts w:asciiTheme="majorBidi" w:hAnsiTheme="majorBidi" w:cstheme="majorBidi"/>
        </w:rPr>
        <w:t xml:space="preserve"> </w:t>
      </w:r>
    </w:p>
  </w:footnote>
  <w:footnote w:id="32">
    <w:p w14:paraId="1D236C98" w14:textId="35A79FBA" w:rsidR="003F212A" w:rsidRDefault="003F212A">
      <w:pPr>
        <w:pStyle w:val="FootnoteText"/>
      </w:pPr>
      <w:r>
        <w:rPr>
          <w:rStyle w:val="FootnoteReference"/>
        </w:rPr>
        <w:footnoteRef/>
      </w:r>
      <w:r>
        <w:t xml:space="preserve"> </w:t>
      </w:r>
      <w:r w:rsidRPr="0001342B">
        <w:rPr>
          <w:rFonts w:asciiTheme="majorBidi" w:hAnsiTheme="majorBidi" w:cstheme="majorBidi"/>
        </w:rPr>
        <w:t>As of January 2024, the list of TOSSD recipients is the list of ODA recipients as of 2015, when the 2030 Agenda for Sustainable Development was approved, as an interim solution. In 2024, the International Forum on TOSSD will discuss including multidimensional criteria to develop a list of TOSSD recipients.</w:t>
      </w:r>
    </w:p>
  </w:footnote>
  <w:footnote w:id="33">
    <w:p w14:paraId="6540AC1C" w14:textId="16ED54D5" w:rsidR="009753DA" w:rsidRDefault="009753DA">
      <w:pPr>
        <w:pStyle w:val="FootnoteText"/>
      </w:pPr>
      <w:r>
        <w:rPr>
          <w:rStyle w:val="FootnoteReference"/>
        </w:rPr>
        <w:footnoteRef/>
      </w:r>
      <w:r>
        <w:t xml:space="preserve"> </w:t>
      </w:r>
      <w:r w:rsidRPr="00ED7E61">
        <w:rPr>
          <w:rFonts w:asciiTheme="majorBidi" w:hAnsiTheme="majorBidi" w:cstheme="majorBidi"/>
        </w:rPr>
        <w:t>Not all multilateral institutions require core contributions on a regular basis (and thus not all require regular capitalisation by shareholders since they finance themselves through their lending operations and/or capital markets); and not all are able to target capital markets to finance themselves.</w:t>
      </w:r>
    </w:p>
  </w:footnote>
  <w:footnote w:id="34">
    <w:p w14:paraId="1279E07F" w14:textId="681A73A7" w:rsidR="009753DA" w:rsidRPr="00ED7E61" w:rsidRDefault="009753DA">
      <w:pPr>
        <w:pStyle w:val="FootnoteText"/>
        <w:rPr>
          <w:rFonts w:asciiTheme="majorBidi" w:hAnsiTheme="majorBidi" w:cstheme="majorBidi"/>
        </w:rPr>
      </w:pPr>
      <w:r>
        <w:rPr>
          <w:rStyle w:val="FootnoteReference"/>
        </w:rPr>
        <w:footnoteRef/>
      </w:r>
      <w:r>
        <w:t xml:space="preserve"> </w:t>
      </w:r>
      <w:r w:rsidRPr="00ED7E61">
        <w:rPr>
          <w:rFonts w:asciiTheme="majorBidi" w:hAnsiTheme="majorBidi" w:cstheme="majorBidi"/>
        </w:rPr>
        <w:t>The CEP was adopted in March 2024 by UNSD and brings together the CEPA and CReMA. It has a more detailed structure, and more detailed and clearer explanatory notes than CEPA and CreMA, thus being an improvement for practical use. It is the first unified classification of SEEA environmental protection and resource management. It is the first statistical classification designed to be used for activities, products or expenditures. It is the first statistical classification of activities or products that allows mapping to “</w:t>
      </w:r>
      <w:r w:rsidRPr="00FB1598">
        <w:rPr>
          <w:rFonts w:asciiTheme="majorBidi" w:hAnsiTheme="majorBidi" w:cstheme="majorBidi"/>
          <w:i/>
          <w:iCs/>
        </w:rPr>
        <w:t>policy areas</w:t>
      </w:r>
      <w:r w:rsidRPr="00ED7E61">
        <w:rPr>
          <w:rFonts w:asciiTheme="majorBidi" w:hAnsiTheme="majorBidi" w:cstheme="majorBidi"/>
        </w:rPr>
        <w:t>” including for biodiversity, climate change mitigation and circular economy. It therefore allows for SEEA-based applications for those policy areas.</w:t>
      </w:r>
    </w:p>
  </w:footnote>
  <w:footnote w:id="35">
    <w:p w14:paraId="2270A774" w14:textId="4AED4BC9" w:rsidR="00A35D79" w:rsidRPr="00ED7E61" w:rsidRDefault="00A35D79">
      <w:pPr>
        <w:pStyle w:val="FootnoteText"/>
        <w:rPr>
          <w:rFonts w:asciiTheme="majorBidi" w:hAnsiTheme="majorBidi" w:cstheme="majorBidi"/>
        </w:rPr>
      </w:pPr>
      <w:r w:rsidRPr="00ED7E61">
        <w:rPr>
          <w:rStyle w:val="FootnoteReference"/>
          <w:rFonts w:asciiTheme="majorBidi" w:hAnsiTheme="majorBidi" w:cstheme="majorBidi"/>
        </w:rPr>
        <w:footnoteRef/>
      </w:r>
      <w:r w:rsidRPr="00ED7E61">
        <w:rPr>
          <w:rFonts w:asciiTheme="majorBidi" w:hAnsiTheme="majorBidi" w:cstheme="majorBidi"/>
        </w:rPr>
        <w:t xml:space="preserve"> International private philanthropies reporting to the OECD are institutionalized philanthropic organizations that are donors of finance from private sources (as opposed to channels of financing from the official sector or other foundations. Financing from “</w:t>
      </w:r>
      <w:r w:rsidRPr="00FB1598">
        <w:rPr>
          <w:rFonts w:asciiTheme="majorBidi" w:hAnsiTheme="majorBidi" w:cstheme="majorBidi"/>
          <w:i/>
          <w:iCs/>
        </w:rPr>
        <w:t>foundations</w:t>
      </w:r>
      <w:r w:rsidRPr="00ED7E61">
        <w:rPr>
          <w:rFonts w:asciiTheme="majorBidi" w:hAnsiTheme="majorBidi" w:cstheme="majorBidi"/>
        </w:rPr>
        <w:t>” that channel resources of other private and official providers is not tracked.</w:t>
      </w:r>
    </w:p>
  </w:footnote>
  <w:footnote w:id="36">
    <w:p w14:paraId="4BDE1A6C" w14:textId="467345F8" w:rsidR="00781C70" w:rsidRPr="005B0D1E" w:rsidRDefault="00781C70" w:rsidP="005B0D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eastAsia="Garamond" w:hAnsiTheme="majorBidi" w:cstheme="majorBidi"/>
          <w:color w:val="000000" w:themeColor="text1"/>
          <w:sz w:val="18"/>
          <w:szCs w:val="18"/>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0E5362">
        <w:rPr>
          <w:rFonts w:asciiTheme="majorBidi" w:hAnsiTheme="majorBidi" w:cstheme="majorBidi"/>
          <w:color w:val="000000" w:themeColor="text1"/>
          <w:sz w:val="18"/>
          <w:szCs w:val="18"/>
          <w:lang w:val="en-US"/>
        </w:rPr>
        <w:t>F</w:t>
      </w:r>
      <w:r w:rsidRPr="005B0D1E">
        <w:rPr>
          <w:rFonts w:asciiTheme="majorBidi" w:hAnsiTheme="majorBidi" w:cstheme="majorBidi"/>
          <w:color w:val="000000" w:themeColor="text1"/>
          <w:sz w:val="18"/>
          <w:szCs w:val="18"/>
          <w:lang w:val="en-US"/>
        </w:rPr>
        <w:t>urther information on progress towards the target can be provided in the free text section of the reporting tool.</w:t>
      </w:r>
    </w:p>
  </w:footnote>
  <w:footnote w:id="37">
    <w:p w14:paraId="0F452B49" w14:textId="49602770" w:rsidR="00781C70" w:rsidRPr="005B0D1E" w:rsidRDefault="00781C70" w:rsidP="00781C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color w:val="000000" w:themeColor="text1"/>
          <w:sz w:val="18"/>
          <w:szCs w:val="18"/>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hAnsiTheme="majorBidi" w:cstheme="majorBidi"/>
          <w:color w:val="000000" w:themeColor="text1"/>
          <w:sz w:val="18"/>
          <w:szCs w:val="18"/>
          <w:lang w:val="en-US"/>
        </w:rPr>
        <w:t>If a nation is a landlocked state, all questions related to coastal and marine spatial planning will be ignored in the aggregation process of answers.</w:t>
      </w:r>
    </w:p>
    <w:p w14:paraId="6B9A4A7C" w14:textId="77777777" w:rsidR="00781C70" w:rsidRPr="005B0D1E" w:rsidRDefault="00781C70" w:rsidP="00781C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color w:val="000000" w:themeColor="text1"/>
          <w:sz w:val="18"/>
          <w:szCs w:val="18"/>
          <w:lang w:val="en-US"/>
        </w:rPr>
      </w:pPr>
    </w:p>
    <w:p w14:paraId="37BA0DC8" w14:textId="402BC74E" w:rsidR="00781C70" w:rsidRPr="005B0D1E" w:rsidRDefault="00781C70">
      <w:pPr>
        <w:pStyle w:val="FootnoteText"/>
        <w:rPr>
          <w:rFonts w:asciiTheme="majorBidi" w:hAnsiTheme="majorBidi" w:cstheme="majorBidi"/>
          <w:sz w:val="18"/>
          <w:szCs w:val="18"/>
          <w:lang w:val="en-US"/>
        </w:rPr>
      </w:pPr>
    </w:p>
  </w:footnote>
  <w:footnote w:id="38">
    <w:p w14:paraId="70AADAB5" w14:textId="54AE3CBF" w:rsidR="00A6636F" w:rsidRPr="005B0D1E" w:rsidRDefault="00A6636F" w:rsidP="00C82C08">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00AB417B" w:rsidRPr="005B0D1E">
        <w:rPr>
          <w:rFonts w:asciiTheme="majorBidi" w:hAnsiTheme="majorBidi" w:cstheme="majorBidi"/>
          <w:sz w:val="18"/>
          <w:szCs w:val="18"/>
        </w:rPr>
        <w:t xml:space="preserve">The Proportion of fish stocks within biologically sustainable levels is Sustainable Development Goal indicator </w:t>
      </w:r>
      <w:r w:rsidR="00C36E8B" w:rsidRPr="005B0D1E">
        <w:rPr>
          <w:rFonts w:asciiTheme="majorBidi" w:hAnsiTheme="majorBidi" w:cstheme="majorBidi"/>
          <w:sz w:val="18"/>
          <w:szCs w:val="18"/>
        </w:rPr>
        <w:t>14.4.1</w:t>
      </w:r>
      <w:r w:rsidR="00AB417B" w:rsidRPr="005B0D1E">
        <w:rPr>
          <w:rFonts w:asciiTheme="majorBidi" w:hAnsiTheme="majorBidi" w:cstheme="majorBidi"/>
          <w:sz w:val="18"/>
          <w:szCs w:val="18"/>
        </w:rPr>
        <w:t xml:space="preserve"> The official SDG metadata is accessible from </w:t>
      </w:r>
      <w:hyperlink r:id="rId14" w:history="1">
        <w:r w:rsidR="00C82C08" w:rsidRPr="005B0D1E">
          <w:rPr>
            <w:rStyle w:val="Hyperlink"/>
            <w:rFonts w:asciiTheme="majorBidi" w:hAnsiTheme="majorBidi" w:cstheme="majorBidi"/>
            <w:sz w:val="18"/>
            <w:szCs w:val="18"/>
          </w:rPr>
          <w:t>Metadata-14-04-01.pdf (un.org)</w:t>
        </w:r>
      </w:hyperlink>
    </w:p>
  </w:footnote>
  <w:footnote w:id="39">
    <w:p w14:paraId="716D17DA" w14:textId="589AF65A" w:rsidR="00694186" w:rsidRPr="005B0D1E" w:rsidRDefault="00694186" w:rsidP="006941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eastAsia="Garamond" w:hAnsiTheme="majorBidi" w:cstheme="majorBidi"/>
          <w:color w:val="000000" w:themeColor="text1"/>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eastAsia="Garamond" w:hAnsiTheme="majorBidi" w:cstheme="majorBidi"/>
          <w:color w:val="000000" w:themeColor="text1"/>
          <w:sz w:val="18"/>
          <w:szCs w:val="18"/>
        </w:rPr>
        <w:t>Further information on progress towards the target can be provided in the free text section of the reporting tool.</w:t>
      </w:r>
    </w:p>
    <w:p w14:paraId="70D68891" w14:textId="0138FC36" w:rsidR="00694186" w:rsidRPr="005B0D1E" w:rsidRDefault="00694186">
      <w:pPr>
        <w:pStyle w:val="FootnoteText"/>
        <w:rPr>
          <w:rFonts w:asciiTheme="majorBidi" w:hAnsiTheme="majorBidi" w:cstheme="majorBidi"/>
          <w:sz w:val="18"/>
          <w:szCs w:val="18"/>
        </w:rPr>
      </w:pPr>
    </w:p>
  </w:footnote>
  <w:footnote w:id="40">
    <w:p w14:paraId="416B2F97" w14:textId="2199A21C" w:rsidR="00CE2041" w:rsidRPr="00921920" w:rsidRDefault="00CE2041" w:rsidP="00921920">
      <w:pPr>
        <w:pStyle w:val="Heading3"/>
        <w:rPr>
          <w:b w:val="0"/>
          <w:bCs/>
          <w:sz w:val="18"/>
          <w:szCs w:val="18"/>
        </w:rPr>
      </w:pPr>
      <w:r w:rsidRPr="005B0D1E">
        <w:rPr>
          <w:rStyle w:val="FootnoteReference"/>
          <w:b w:val="0"/>
          <w:bCs/>
          <w:sz w:val="18"/>
          <w:szCs w:val="18"/>
        </w:rPr>
        <w:footnoteRef/>
      </w:r>
      <w:r w:rsidRPr="005B0D1E">
        <w:rPr>
          <w:b w:val="0"/>
          <w:bCs/>
          <w:sz w:val="18"/>
          <w:szCs w:val="18"/>
        </w:rPr>
        <w:t xml:space="preserve"> </w:t>
      </w:r>
      <w:r w:rsidR="00DD72A3" w:rsidRPr="005B0D1E">
        <w:rPr>
          <w:b w:val="0"/>
          <w:bCs/>
          <w:sz w:val="18"/>
          <w:szCs w:val="18"/>
        </w:rPr>
        <w:t xml:space="preserve">The </w:t>
      </w:r>
      <w:r w:rsidR="00F55032" w:rsidRPr="005B0D1E">
        <w:rPr>
          <w:b w:val="0"/>
          <w:bCs/>
          <w:sz w:val="18"/>
          <w:szCs w:val="18"/>
        </w:rPr>
        <w:t xml:space="preserve">index of coastal eutrophication potential is </w:t>
      </w:r>
      <w:r w:rsidR="00DD72A3" w:rsidRPr="005B0D1E">
        <w:rPr>
          <w:b w:val="0"/>
          <w:bCs/>
          <w:sz w:val="18"/>
          <w:szCs w:val="18"/>
        </w:rPr>
        <w:t>Sustainable Development Goal indicator 14.</w:t>
      </w:r>
      <w:r w:rsidR="001B5451" w:rsidRPr="005B0D1E">
        <w:rPr>
          <w:b w:val="0"/>
          <w:bCs/>
          <w:sz w:val="18"/>
          <w:szCs w:val="18"/>
        </w:rPr>
        <w:t>1</w:t>
      </w:r>
      <w:r w:rsidR="00DD72A3" w:rsidRPr="005B0D1E">
        <w:rPr>
          <w:b w:val="0"/>
          <w:bCs/>
          <w:sz w:val="18"/>
          <w:szCs w:val="18"/>
        </w:rPr>
        <w:t>.1</w:t>
      </w:r>
      <w:r w:rsidR="001B5451" w:rsidRPr="005B0D1E">
        <w:rPr>
          <w:b w:val="0"/>
          <w:bCs/>
          <w:sz w:val="18"/>
          <w:szCs w:val="18"/>
        </w:rPr>
        <w:t xml:space="preserve">(a). </w:t>
      </w:r>
      <w:r w:rsidR="00DD72A3" w:rsidRPr="005B0D1E">
        <w:rPr>
          <w:b w:val="0"/>
          <w:bCs/>
          <w:sz w:val="18"/>
          <w:szCs w:val="18"/>
        </w:rPr>
        <w:t xml:space="preserve"> The official SDG metadata is accessible from </w:t>
      </w:r>
      <w:hyperlink r:id="rId15" w:history="1">
        <w:r w:rsidR="00F9255D" w:rsidRPr="005B0D1E">
          <w:rPr>
            <w:rStyle w:val="Hyperlink"/>
            <w:b w:val="0"/>
            <w:bCs/>
            <w:sz w:val="18"/>
            <w:szCs w:val="18"/>
          </w:rPr>
          <w:t>Metadata-14-01-01.pdf (un.org)</w:t>
        </w:r>
      </w:hyperlink>
    </w:p>
  </w:footnote>
  <w:footnote w:id="41">
    <w:p w14:paraId="0D03856E" w14:textId="39334978" w:rsidR="006233E3" w:rsidRPr="005B0D1E" w:rsidRDefault="006233E3" w:rsidP="005B0D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heme="majorBidi" w:eastAsia="Garamond" w:hAnsiTheme="majorBidi" w:cstheme="majorBidi"/>
          <w:color w:val="000000" w:themeColor="text1"/>
          <w:sz w:val="18"/>
          <w:szCs w:val="18"/>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F</w:t>
      </w:r>
      <w:r w:rsidRPr="005B0D1E">
        <w:rPr>
          <w:rFonts w:asciiTheme="majorBidi" w:eastAsia="Garamond" w:hAnsiTheme="majorBidi" w:cstheme="majorBidi"/>
          <w:color w:val="000000" w:themeColor="text1"/>
          <w:sz w:val="18"/>
          <w:szCs w:val="18"/>
          <w:lang w:val="en-US"/>
        </w:rPr>
        <w:t>or landlocked countries “</w:t>
      </w:r>
      <w:r w:rsidRPr="00FB1598">
        <w:rPr>
          <w:rFonts w:asciiTheme="majorBidi" w:eastAsia="Garamond" w:hAnsiTheme="majorBidi" w:cstheme="majorBidi"/>
          <w:i/>
          <w:iCs/>
          <w:color w:val="000000" w:themeColor="text1"/>
          <w:sz w:val="18"/>
          <w:szCs w:val="18"/>
          <w:lang w:val="en-US"/>
        </w:rPr>
        <w:t>ocean acidification</w:t>
      </w:r>
      <w:r w:rsidRPr="005B0D1E">
        <w:rPr>
          <w:rFonts w:asciiTheme="majorBidi" w:eastAsia="Garamond" w:hAnsiTheme="majorBidi" w:cstheme="majorBidi"/>
          <w:color w:val="000000" w:themeColor="text1"/>
          <w:sz w:val="18"/>
          <w:szCs w:val="18"/>
          <w:lang w:val="en-US"/>
        </w:rPr>
        <w:t>” as an answer to 8.1 will be considered not applicable. Additionally, questions 8.4 and 8.6 will be considered not applicable and only policies and action plans on the impacts of climate change are to be considered relevant for answering 8.7</w:t>
      </w:r>
    </w:p>
  </w:footnote>
  <w:footnote w:id="42">
    <w:p w14:paraId="677AAF2F" w14:textId="67EA59DF" w:rsidR="006233E3" w:rsidRPr="00181CB0" w:rsidRDefault="006233E3" w:rsidP="00181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eastAsia="Garamond" w:hAnsiTheme="majorBidi" w:cstheme="majorBidi"/>
          <w:color w:val="000000" w:themeColor="text1"/>
          <w:sz w:val="18"/>
          <w:szCs w:val="18"/>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eastAsia="Garamond" w:hAnsiTheme="majorBidi" w:cstheme="majorBidi"/>
          <w:color w:val="000000" w:themeColor="text1"/>
          <w:sz w:val="18"/>
          <w:szCs w:val="18"/>
        </w:rPr>
        <w:t>Further information on progress towards the target can be provided in the free text section of the reporting tool.</w:t>
      </w:r>
    </w:p>
  </w:footnote>
  <w:footnote w:id="43">
    <w:p w14:paraId="05CBEE03" w14:textId="754D640B" w:rsidR="008D3953" w:rsidRPr="00FB1598" w:rsidRDefault="008D3953">
      <w:pPr>
        <w:pStyle w:val="FootnoteText"/>
        <w:rPr>
          <w:lang w:val="en-GB"/>
        </w:rPr>
      </w:pPr>
      <w:r>
        <w:rPr>
          <w:rStyle w:val="FootnoteReference"/>
        </w:rPr>
        <w:footnoteRef/>
      </w:r>
      <w:r>
        <w:t xml:space="preserve"> </w:t>
      </w:r>
      <w:hyperlink r:id="rId16" w:anchor="gid=2005954972" w:history="1">
        <w:r w:rsidRPr="008D3953">
          <w:rPr>
            <w:rStyle w:val="Hyperlink"/>
          </w:rPr>
          <w:t>2. Indicators Research Spreadsheet - Google Sheets</w:t>
        </w:r>
      </w:hyperlink>
      <w:r>
        <w:t xml:space="preserve"> </w:t>
      </w:r>
    </w:p>
  </w:footnote>
  <w:footnote w:id="44">
    <w:p w14:paraId="7F6D10D0" w14:textId="7BA78FAF" w:rsidR="00303312" w:rsidRPr="00803D50" w:rsidRDefault="00303312" w:rsidP="00803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eastAsia="Garamond" w:hAnsiTheme="majorBidi" w:cstheme="majorBidi"/>
          <w:color w:val="000000" w:themeColor="text1"/>
          <w:sz w:val="18"/>
          <w:szCs w:val="18"/>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eastAsia="Garamond" w:hAnsiTheme="majorBidi" w:cstheme="majorBidi"/>
          <w:color w:val="000000" w:themeColor="text1"/>
          <w:sz w:val="18"/>
          <w:szCs w:val="18"/>
        </w:rPr>
        <w:t>Further information on progress towards the target can be provided in the free text section of the reporting tool.</w:t>
      </w:r>
    </w:p>
  </w:footnote>
  <w:footnote w:id="45">
    <w:p w14:paraId="25B6C64A" w14:textId="2C0AB108" w:rsidR="000537BB" w:rsidRPr="005B0D1E" w:rsidRDefault="000537BB" w:rsidP="00D85685">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00D54537" w:rsidRPr="005B0D1E">
        <w:rPr>
          <w:rFonts w:asciiTheme="majorBidi" w:hAnsiTheme="majorBidi" w:cstheme="majorBidi"/>
          <w:sz w:val="18"/>
          <w:szCs w:val="18"/>
        </w:rPr>
        <w:t>The proportion of agricultural area under productive and sustainable agriculture is sustainable Development Goal indicator</w:t>
      </w:r>
      <w:r w:rsidR="00D23505" w:rsidRPr="005B0D1E">
        <w:rPr>
          <w:rFonts w:asciiTheme="majorBidi" w:hAnsiTheme="majorBidi" w:cstheme="majorBidi"/>
          <w:sz w:val="18"/>
          <w:szCs w:val="18"/>
        </w:rPr>
        <w:t xml:space="preserve"> 2.4.1. </w:t>
      </w:r>
      <w:r w:rsidR="006D5290" w:rsidRPr="005B0D1E">
        <w:rPr>
          <w:rFonts w:asciiTheme="majorBidi" w:hAnsiTheme="majorBidi" w:cstheme="majorBidi"/>
          <w:sz w:val="18"/>
          <w:szCs w:val="18"/>
        </w:rPr>
        <w:t xml:space="preserve">The official SDG metadata </w:t>
      </w:r>
      <w:r w:rsidR="000B5FBA" w:rsidRPr="005B0D1E">
        <w:rPr>
          <w:rFonts w:asciiTheme="majorBidi" w:hAnsiTheme="majorBidi" w:cstheme="majorBidi"/>
          <w:sz w:val="18"/>
          <w:szCs w:val="18"/>
        </w:rPr>
        <w:t>is accessible from</w:t>
      </w:r>
      <w:r w:rsidR="00FF23C4" w:rsidRPr="005B0D1E">
        <w:rPr>
          <w:rFonts w:asciiTheme="majorBidi" w:hAnsiTheme="majorBidi" w:cstheme="majorBidi"/>
          <w:sz w:val="18"/>
          <w:szCs w:val="18"/>
        </w:rPr>
        <w:t xml:space="preserve"> </w:t>
      </w:r>
      <w:hyperlink r:id="rId17" w:history="1">
        <w:r w:rsidR="00FF23C4" w:rsidRPr="005B0D1E">
          <w:rPr>
            <w:rStyle w:val="Hyperlink"/>
            <w:rFonts w:asciiTheme="majorBidi" w:hAnsiTheme="majorBidi" w:cstheme="majorBidi"/>
            <w:sz w:val="18"/>
            <w:szCs w:val="18"/>
          </w:rPr>
          <w:t>Metadata-02-04-01.pdf (un.org)</w:t>
        </w:r>
      </w:hyperlink>
      <w:r w:rsidR="00FF23C4" w:rsidRPr="005B0D1E">
        <w:rPr>
          <w:rFonts w:asciiTheme="majorBidi" w:hAnsiTheme="majorBidi" w:cstheme="majorBidi"/>
          <w:sz w:val="18"/>
          <w:szCs w:val="18"/>
        </w:rPr>
        <w:t xml:space="preserve">. The proxy metadata is accessible from </w:t>
      </w:r>
      <w:r w:rsidR="00D85685" w:rsidRPr="005B0D1E">
        <w:rPr>
          <w:rFonts w:asciiTheme="majorBidi" w:hAnsiTheme="majorBidi" w:cstheme="majorBidi"/>
          <w:sz w:val="18"/>
          <w:szCs w:val="18"/>
        </w:rPr>
        <w:t xml:space="preserve"> </w:t>
      </w:r>
      <w:hyperlink r:id="rId18" w:history="1">
        <w:r w:rsidR="00D85685" w:rsidRPr="005B0D1E">
          <w:rPr>
            <w:rStyle w:val="Hyperlink"/>
            <w:rFonts w:asciiTheme="majorBidi" w:hAnsiTheme="majorBidi" w:cstheme="majorBidi"/>
            <w:sz w:val="18"/>
            <w:szCs w:val="18"/>
          </w:rPr>
          <w:t>Metadata-02-04-01proxy.pdf (un.org)</w:t>
        </w:r>
      </w:hyperlink>
    </w:p>
  </w:footnote>
  <w:footnote w:id="46">
    <w:p w14:paraId="685C8881" w14:textId="28EFC3F8" w:rsidR="00672DBA" w:rsidRPr="005B0D1E" w:rsidRDefault="00672DBA" w:rsidP="00FB1598">
      <w:pPr>
        <w:pStyle w:val="FootnoteText"/>
        <w:keepLines/>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The 11 sub-indicators and the methodology to calculate each of them are described in the official SDG 2.4.1 Metadata sheet (</w:t>
      </w:r>
      <w:hyperlink r:id="rId19" w:history="1">
        <w:r w:rsidRPr="005B0D1E">
          <w:rPr>
            <w:rStyle w:val="Hyperlink"/>
            <w:rFonts w:asciiTheme="majorBidi" w:hAnsiTheme="majorBidi" w:cstheme="majorBidi"/>
            <w:sz w:val="18"/>
            <w:szCs w:val="18"/>
          </w:rPr>
          <w:t>https://unstats.un.org/sdgs/metadata/files/Metadata-02-04-01.pdf</w:t>
        </w:r>
      </w:hyperlink>
      <w:r w:rsidRPr="005B0D1E">
        <w:rPr>
          <w:rFonts w:asciiTheme="majorBidi" w:hAnsiTheme="majorBidi" w:cstheme="majorBidi"/>
          <w:sz w:val="18"/>
          <w:szCs w:val="18"/>
        </w:rPr>
        <w:t xml:space="preserve">). The detailed description of the development process for the </w:t>
      </w:r>
      <w:r w:rsidR="005025A8">
        <w:rPr>
          <w:rFonts w:asciiTheme="majorBidi" w:hAnsiTheme="majorBidi" w:cstheme="majorBidi"/>
          <w:sz w:val="18"/>
          <w:szCs w:val="18"/>
        </w:rPr>
        <w:t>e</w:t>
      </w:r>
      <w:r w:rsidRPr="005B0D1E">
        <w:rPr>
          <w:rFonts w:asciiTheme="majorBidi" w:hAnsiTheme="majorBidi" w:cstheme="majorBidi"/>
          <w:sz w:val="18"/>
          <w:szCs w:val="18"/>
        </w:rPr>
        <w:t>leven sub-indicators is described in the Methodological note (</w:t>
      </w:r>
      <w:hyperlink r:id="rId20" w:history="1">
        <w:r w:rsidR="005025A8" w:rsidRPr="00F233CE">
          <w:rPr>
            <w:rStyle w:val="Hyperlink"/>
            <w:rFonts w:asciiTheme="majorBidi" w:hAnsiTheme="majorBidi" w:cstheme="majorBidi"/>
            <w:sz w:val="18"/>
            <w:szCs w:val="18"/>
          </w:rPr>
          <w:t>https://openknowledge.fao.org/server/api/core/bitstreams/e344e3ee-4630-49c1-98a8-b1f5df3dcb8f/content</w:t>
        </w:r>
      </w:hyperlink>
      <w:r w:rsidRPr="005B0D1E">
        <w:rPr>
          <w:rFonts w:asciiTheme="majorBidi" w:hAnsiTheme="majorBidi" w:cstheme="majorBidi"/>
          <w:sz w:val="18"/>
          <w:szCs w:val="18"/>
        </w:rPr>
        <w:t>)</w:t>
      </w:r>
      <w:r w:rsidR="005025A8">
        <w:rPr>
          <w:rFonts w:asciiTheme="majorBidi" w:hAnsiTheme="majorBidi" w:cstheme="majorBidi"/>
          <w:sz w:val="18"/>
          <w:szCs w:val="18"/>
        </w:rPr>
        <w:t xml:space="preserve"> </w:t>
      </w:r>
    </w:p>
  </w:footnote>
  <w:footnote w:id="47">
    <w:p w14:paraId="40EDA89C" w14:textId="5CBFC3D2" w:rsidR="00672DBA" w:rsidRPr="005B0D1E" w:rsidRDefault="00672DBA" w:rsidP="00672DBA">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hyperlink r:id="rId21" w:history="1">
        <w:r w:rsidR="005025A8" w:rsidRPr="00F233CE">
          <w:rPr>
            <w:rStyle w:val="Hyperlink"/>
            <w:rFonts w:asciiTheme="majorBidi" w:hAnsiTheme="majorBidi" w:cstheme="majorBidi"/>
            <w:sz w:val="18"/>
            <w:szCs w:val="18"/>
          </w:rPr>
          <w:t>https://openknowledge.fao.org/server/api/core/bitstreams/e344e3ee-4630-49c1-98a8-b1f5df3dcb8f/content</w:t>
        </w:r>
      </w:hyperlink>
      <w:r w:rsidR="005025A8">
        <w:rPr>
          <w:rFonts w:asciiTheme="majorBidi" w:hAnsiTheme="majorBidi" w:cstheme="majorBidi"/>
          <w:sz w:val="18"/>
          <w:szCs w:val="18"/>
        </w:rPr>
        <w:t xml:space="preserve"> </w:t>
      </w:r>
    </w:p>
  </w:footnote>
  <w:footnote w:id="48">
    <w:p w14:paraId="65B29445" w14:textId="709E5B5F" w:rsidR="009614F1" w:rsidRPr="00FB1598" w:rsidRDefault="009614F1">
      <w:pPr>
        <w:pStyle w:val="FootnoteText"/>
        <w:rPr>
          <w:rFonts w:asciiTheme="majorBidi" w:hAnsiTheme="majorBidi" w:cstheme="majorBidi"/>
        </w:rPr>
      </w:pPr>
      <w:r>
        <w:rPr>
          <w:rStyle w:val="FootnoteReference"/>
        </w:rPr>
        <w:footnoteRef/>
      </w:r>
      <w:r w:rsidRPr="00FB1598">
        <w:rPr>
          <w:rFonts w:asciiTheme="majorBidi" w:hAnsiTheme="majorBidi" w:cstheme="majorBidi"/>
        </w:rPr>
        <w:t>See the SDG metadata for SDG indictor</w:t>
      </w:r>
      <w:r w:rsidR="00132D69" w:rsidRPr="00FB1598">
        <w:rPr>
          <w:rFonts w:asciiTheme="majorBidi" w:hAnsiTheme="majorBidi" w:cstheme="majorBidi"/>
        </w:rPr>
        <w:t xml:space="preserve"> 2.4.1 accessible from </w:t>
      </w:r>
      <w:r w:rsidRPr="00FB1598">
        <w:rPr>
          <w:rFonts w:asciiTheme="majorBidi" w:hAnsiTheme="majorBidi" w:cstheme="majorBidi"/>
        </w:rPr>
        <w:t xml:space="preserve"> </w:t>
      </w:r>
      <w:hyperlink r:id="rId22" w:history="1">
        <w:r w:rsidRPr="00FB1598">
          <w:rPr>
            <w:rStyle w:val="Hyperlink"/>
            <w:rFonts w:asciiTheme="majorBidi" w:hAnsiTheme="majorBidi" w:cstheme="majorBidi"/>
          </w:rPr>
          <w:t>https://unstats.un.org/sdgs/metadata/files/Metadata-02-04-01.pdf</w:t>
        </w:r>
      </w:hyperlink>
    </w:p>
  </w:footnote>
  <w:footnote w:id="49">
    <w:p w14:paraId="786A4A27" w14:textId="3BB5A886" w:rsidR="00672DBA" w:rsidRPr="005B0D1E" w:rsidRDefault="00672DBA" w:rsidP="00672DBA">
      <w:pPr>
        <w:pStyle w:val="FootnoteText"/>
        <w:rPr>
          <w:rFonts w:asciiTheme="majorBidi" w:hAnsiTheme="majorBidi" w:cstheme="majorBidi"/>
          <w:sz w:val="18"/>
          <w:szCs w:val="18"/>
          <w:lang w:val="en-GB"/>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hyperlink r:id="rId23" w:history="1">
        <w:r w:rsidR="005025A8" w:rsidRPr="00F233CE">
          <w:rPr>
            <w:rStyle w:val="Hyperlink"/>
            <w:rFonts w:asciiTheme="majorBidi" w:hAnsiTheme="majorBidi" w:cstheme="majorBidi"/>
            <w:sz w:val="18"/>
            <w:szCs w:val="18"/>
          </w:rPr>
          <w:t>https://openknowledge.fao.org/server/api/core/bitstreams/4cb138eb-c887-4463-b6c4-34d94b6de5c3/content</w:t>
        </w:r>
      </w:hyperlink>
      <w:r w:rsidR="005025A8">
        <w:rPr>
          <w:rFonts w:asciiTheme="majorBidi" w:hAnsiTheme="majorBidi" w:cstheme="majorBidi"/>
          <w:sz w:val="18"/>
          <w:szCs w:val="18"/>
        </w:rPr>
        <w:t xml:space="preserve"> </w:t>
      </w:r>
    </w:p>
  </w:footnote>
  <w:footnote w:id="50">
    <w:p w14:paraId="20ABA013" w14:textId="6D206E0A" w:rsidR="00672DBA" w:rsidRPr="005B0D1E" w:rsidRDefault="00672DBA" w:rsidP="00672DBA">
      <w:pPr>
        <w:pStyle w:val="FootnoteText"/>
        <w:rPr>
          <w:rFonts w:asciiTheme="majorBidi" w:hAnsiTheme="majorBidi" w:cstheme="majorBidi"/>
          <w:sz w:val="18"/>
          <w:szCs w:val="18"/>
          <w:lang w:val="en-GB"/>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hyperlink r:id="rId24" w:history="1">
        <w:r w:rsidR="005025A8" w:rsidRPr="00F233CE">
          <w:rPr>
            <w:rStyle w:val="Hyperlink"/>
            <w:rFonts w:asciiTheme="majorBidi" w:hAnsiTheme="majorBidi" w:cstheme="majorBidi"/>
            <w:sz w:val="18"/>
            <w:szCs w:val="18"/>
          </w:rPr>
          <w:t>https://openknowledge.fao.org/server/api/core/bitstreams/e344e3ee-4630-49c1-98a8-b1f5df3dcb8f/content</w:t>
        </w:r>
      </w:hyperlink>
      <w:r w:rsidR="005025A8">
        <w:rPr>
          <w:rFonts w:asciiTheme="majorBidi" w:hAnsiTheme="majorBidi" w:cstheme="majorBidi"/>
          <w:sz w:val="18"/>
          <w:szCs w:val="18"/>
        </w:rPr>
        <w:t xml:space="preserve"> </w:t>
      </w:r>
    </w:p>
  </w:footnote>
  <w:footnote w:id="51">
    <w:p w14:paraId="7328AD93" w14:textId="70DD1BC0" w:rsidR="00672DBA" w:rsidRPr="005B0D1E" w:rsidRDefault="00672DBA" w:rsidP="00672DBA">
      <w:pPr>
        <w:pStyle w:val="FootnoteText"/>
        <w:rPr>
          <w:rFonts w:asciiTheme="majorBidi" w:hAnsiTheme="majorBidi" w:cstheme="majorBidi"/>
          <w:sz w:val="18"/>
          <w:szCs w:val="18"/>
          <w:lang w:val="en-GB"/>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The conversion from local units to hectares is given in detail in the enumerator manual: </w:t>
      </w:r>
      <w:hyperlink r:id="rId25" w:history="1">
        <w:r w:rsidR="005025A8" w:rsidRPr="00F233CE">
          <w:rPr>
            <w:rStyle w:val="Hyperlink"/>
            <w:rFonts w:asciiTheme="majorBidi" w:hAnsiTheme="majorBidi" w:cstheme="majorBidi"/>
            <w:sz w:val="18"/>
            <w:szCs w:val="18"/>
          </w:rPr>
          <w:t>https://openknowledge.fao.org/server/api/core/bitstreams/03d673ed-6360-47b6-9ac0-e8ca1eac35e0/content</w:t>
        </w:r>
      </w:hyperlink>
      <w:r w:rsidR="005025A8">
        <w:rPr>
          <w:rFonts w:asciiTheme="majorBidi" w:hAnsiTheme="majorBidi" w:cstheme="majorBidi"/>
          <w:sz w:val="18"/>
          <w:szCs w:val="18"/>
        </w:rPr>
        <w:t xml:space="preserve"> </w:t>
      </w:r>
    </w:p>
  </w:footnote>
  <w:footnote w:id="52">
    <w:p w14:paraId="7A97D4D6" w14:textId="2379EAEF" w:rsidR="00672DBA" w:rsidRPr="005B0D1E" w:rsidRDefault="00672DBA" w:rsidP="00672DBA">
      <w:pPr>
        <w:pStyle w:val="FootnoteText"/>
        <w:rPr>
          <w:rFonts w:asciiTheme="majorBidi" w:hAnsiTheme="majorBidi" w:cstheme="majorBidi"/>
          <w:sz w:val="18"/>
          <w:szCs w:val="18"/>
          <w:lang w:val="en-GB"/>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hyperlink r:id="rId26" w:history="1">
        <w:r w:rsidR="005025A8" w:rsidRPr="00F233CE">
          <w:rPr>
            <w:rStyle w:val="Hyperlink"/>
            <w:rFonts w:asciiTheme="majorBidi" w:hAnsiTheme="majorBidi" w:cstheme="majorBidi"/>
            <w:sz w:val="18"/>
            <w:szCs w:val="18"/>
          </w:rPr>
          <w:t>https://openknowledge.fao.org/server/api/core/bitstreams/6599bf25-e0af-46c7-b756-c420cf839d90/content</w:t>
        </w:r>
      </w:hyperlink>
      <w:r w:rsidR="005025A8">
        <w:rPr>
          <w:rFonts w:asciiTheme="majorBidi" w:hAnsiTheme="majorBidi" w:cstheme="majorBidi"/>
          <w:sz w:val="18"/>
          <w:szCs w:val="18"/>
        </w:rPr>
        <w:t xml:space="preserve"> </w:t>
      </w:r>
    </w:p>
  </w:footnote>
  <w:footnote w:id="53">
    <w:p w14:paraId="2DCD2070" w14:textId="2A01DB94" w:rsidR="00672DBA" w:rsidRPr="005B0D1E" w:rsidRDefault="00672DBA" w:rsidP="00672DBA">
      <w:pPr>
        <w:pStyle w:val="FootnoteText"/>
        <w:rPr>
          <w:rFonts w:asciiTheme="majorBidi" w:hAnsiTheme="majorBidi" w:cstheme="majorBidi"/>
          <w:sz w:val="18"/>
          <w:szCs w:val="18"/>
          <w:lang w:val="en-GB"/>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hyperlink r:id="rId27" w:history="1">
        <w:r w:rsidR="005025A8" w:rsidRPr="00F233CE">
          <w:rPr>
            <w:rStyle w:val="Hyperlink"/>
            <w:rFonts w:asciiTheme="majorBidi" w:hAnsiTheme="majorBidi" w:cstheme="majorBidi"/>
            <w:sz w:val="18"/>
            <w:szCs w:val="18"/>
          </w:rPr>
          <w:t>https://openknowledge.fao.org/server/api/core/bitstreams/8a9fb2b2-604c-4e1d-b1b9-37192e226bce/content</w:t>
        </w:r>
      </w:hyperlink>
      <w:r w:rsidR="005025A8">
        <w:rPr>
          <w:rFonts w:asciiTheme="majorBidi" w:hAnsiTheme="majorBidi" w:cstheme="majorBidi"/>
          <w:sz w:val="18"/>
          <w:szCs w:val="18"/>
        </w:rPr>
        <w:t xml:space="preserve"> </w:t>
      </w:r>
    </w:p>
  </w:footnote>
  <w:footnote w:id="54">
    <w:p w14:paraId="3162248E" w14:textId="6632EB8A" w:rsidR="00672DBA" w:rsidRPr="005B0D1E" w:rsidRDefault="00672DBA" w:rsidP="00672DBA">
      <w:pPr>
        <w:pStyle w:val="FootnoteText"/>
        <w:rPr>
          <w:rFonts w:asciiTheme="majorBidi" w:hAnsiTheme="majorBidi" w:cstheme="majorBidi"/>
          <w:sz w:val="18"/>
          <w:szCs w:val="18"/>
          <w:lang w:val="en-GB"/>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hyperlink r:id="rId28" w:history="1">
        <w:r w:rsidR="005025A8" w:rsidRPr="00F233CE">
          <w:rPr>
            <w:rStyle w:val="Hyperlink"/>
            <w:rFonts w:asciiTheme="majorBidi" w:hAnsiTheme="majorBidi" w:cstheme="majorBidi"/>
            <w:sz w:val="18"/>
            <w:szCs w:val="18"/>
          </w:rPr>
          <w:t>https://openknowledge.fao.org/server/api/core/bitstreams/7935a029-2a50-4a75-8ee4-72125fe660c0/content</w:t>
        </w:r>
      </w:hyperlink>
      <w:r w:rsidR="005025A8">
        <w:rPr>
          <w:rFonts w:asciiTheme="majorBidi" w:hAnsiTheme="majorBidi" w:cstheme="majorBidi"/>
          <w:sz w:val="18"/>
          <w:szCs w:val="18"/>
        </w:rPr>
        <w:t xml:space="preserve"> </w:t>
      </w:r>
    </w:p>
  </w:footnote>
  <w:footnote w:id="55">
    <w:p w14:paraId="1D213A73" w14:textId="261D7577" w:rsidR="00672DBA" w:rsidRPr="005B0D1E" w:rsidRDefault="00672DBA" w:rsidP="00672DBA">
      <w:pPr>
        <w:pStyle w:val="FootnoteText"/>
        <w:rPr>
          <w:rFonts w:asciiTheme="majorBidi" w:hAnsiTheme="majorBidi" w:cstheme="majorBidi"/>
          <w:sz w:val="18"/>
          <w:szCs w:val="18"/>
          <w:lang w:val="en-GB"/>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hyperlink r:id="rId29" w:history="1">
        <w:r w:rsidR="005025A8" w:rsidRPr="00F233CE">
          <w:rPr>
            <w:rStyle w:val="Hyperlink"/>
            <w:rFonts w:asciiTheme="majorBidi" w:hAnsiTheme="majorBidi" w:cstheme="majorBidi"/>
            <w:sz w:val="18"/>
            <w:szCs w:val="18"/>
          </w:rPr>
          <w:t>https://elearning.fao.org/course/view.php?id=503</w:t>
        </w:r>
      </w:hyperlink>
      <w:r w:rsidR="005025A8">
        <w:rPr>
          <w:rFonts w:asciiTheme="majorBidi" w:hAnsiTheme="majorBidi" w:cstheme="majorBidi"/>
          <w:sz w:val="18"/>
          <w:szCs w:val="18"/>
        </w:rPr>
        <w:t xml:space="preserve"> </w:t>
      </w:r>
    </w:p>
  </w:footnote>
  <w:footnote w:id="56">
    <w:p w14:paraId="5722D3DA" w14:textId="0D46F186" w:rsidR="00B668FA" w:rsidRPr="005B0D1E" w:rsidRDefault="00B668FA" w:rsidP="009B3384">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The </w:t>
      </w:r>
      <w:r w:rsidR="005E2E73" w:rsidRPr="005B0D1E">
        <w:rPr>
          <w:rFonts w:asciiTheme="majorBidi" w:hAnsiTheme="majorBidi" w:cstheme="majorBidi"/>
          <w:sz w:val="18"/>
          <w:szCs w:val="18"/>
        </w:rPr>
        <w:t>indicat</w:t>
      </w:r>
      <w:r w:rsidR="005025A8">
        <w:rPr>
          <w:rFonts w:asciiTheme="majorBidi" w:hAnsiTheme="majorBidi" w:cstheme="majorBidi"/>
          <w:sz w:val="18"/>
          <w:szCs w:val="18"/>
        </w:rPr>
        <w:t>o</w:t>
      </w:r>
      <w:r w:rsidR="005E2E73" w:rsidRPr="005B0D1E">
        <w:rPr>
          <w:rFonts w:asciiTheme="majorBidi" w:hAnsiTheme="majorBidi" w:cstheme="majorBidi"/>
          <w:sz w:val="18"/>
          <w:szCs w:val="18"/>
        </w:rPr>
        <w:t xml:space="preserve">r progress </w:t>
      </w:r>
      <w:r w:rsidR="005025A8" w:rsidRPr="005B0D1E">
        <w:rPr>
          <w:rFonts w:asciiTheme="majorBidi" w:hAnsiTheme="majorBidi" w:cstheme="majorBidi"/>
          <w:sz w:val="18"/>
          <w:szCs w:val="18"/>
        </w:rPr>
        <w:t>towards</w:t>
      </w:r>
      <w:r w:rsidR="005E2E73" w:rsidRPr="005B0D1E">
        <w:rPr>
          <w:rFonts w:asciiTheme="majorBidi" w:hAnsiTheme="majorBidi" w:cstheme="majorBidi"/>
          <w:sz w:val="18"/>
          <w:szCs w:val="18"/>
        </w:rPr>
        <w:t xml:space="preserve"> sustainable forest management is Sustainable Development Goal indicator 15.2.1</w:t>
      </w:r>
      <w:r w:rsidR="00403AF4" w:rsidRPr="005B0D1E">
        <w:rPr>
          <w:rFonts w:asciiTheme="majorBidi" w:hAnsiTheme="majorBidi" w:cstheme="majorBidi"/>
          <w:sz w:val="18"/>
          <w:szCs w:val="18"/>
        </w:rPr>
        <w:t xml:space="preserve">. the official SDG metadata is accessible from </w:t>
      </w:r>
      <w:hyperlink r:id="rId30" w:history="1">
        <w:r w:rsidR="009B3384" w:rsidRPr="005B0D1E">
          <w:rPr>
            <w:rStyle w:val="Hyperlink"/>
            <w:rFonts w:asciiTheme="majorBidi" w:hAnsiTheme="majorBidi" w:cstheme="majorBidi"/>
            <w:sz w:val="18"/>
            <w:szCs w:val="18"/>
          </w:rPr>
          <w:t>Metadata-15-02-01.pdf (un.org)</w:t>
        </w:r>
      </w:hyperlink>
    </w:p>
  </w:footnote>
  <w:footnote w:id="57">
    <w:p w14:paraId="2680BAA7" w14:textId="272C7634" w:rsidR="000A444A" w:rsidRPr="005B0D1E" w:rsidRDefault="000A444A" w:rsidP="00704699">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009E2123" w:rsidRPr="005B0D1E">
        <w:rPr>
          <w:rFonts w:asciiTheme="majorBidi" w:hAnsiTheme="majorBidi" w:cstheme="majorBidi"/>
          <w:sz w:val="18"/>
          <w:szCs w:val="18"/>
        </w:rPr>
        <w:t xml:space="preserve">Average share of the built-up area of cities that is green/blue space for public use for all is </w:t>
      </w:r>
      <w:r w:rsidR="00B07925" w:rsidRPr="005B0D1E">
        <w:rPr>
          <w:rFonts w:asciiTheme="majorBidi" w:hAnsiTheme="majorBidi" w:cstheme="majorBidi"/>
          <w:sz w:val="18"/>
          <w:szCs w:val="18"/>
        </w:rPr>
        <w:t>an element of</w:t>
      </w:r>
      <w:r w:rsidR="005025A8">
        <w:rPr>
          <w:rFonts w:asciiTheme="majorBidi" w:hAnsiTheme="majorBidi" w:cstheme="majorBidi"/>
          <w:sz w:val="18"/>
          <w:szCs w:val="18"/>
        </w:rPr>
        <w:t xml:space="preserve"> </w:t>
      </w:r>
      <w:r w:rsidR="009E2123" w:rsidRPr="005B0D1E">
        <w:rPr>
          <w:rFonts w:asciiTheme="majorBidi" w:hAnsiTheme="majorBidi" w:cstheme="majorBidi"/>
          <w:sz w:val="18"/>
          <w:szCs w:val="18"/>
        </w:rPr>
        <w:t xml:space="preserve">Sustainable Development Goal indicator </w:t>
      </w:r>
      <w:r w:rsidR="00B07925" w:rsidRPr="005B0D1E">
        <w:rPr>
          <w:rFonts w:asciiTheme="majorBidi" w:hAnsiTheme="majorBidi" w:cstheme="majorBidi"/>
          <w:sz w:val="18"/>
          <w:szCs w:val="18"/>
        </w:rPr>
        <w:t xml:space="preserve">11.7.1. The official SDG metadata is accessible from </w:t>
      </w:r>
      <w:hyperlink r:id="rId31" w:history="1">
        <w:r w:rsidR="00704699" w:rsidRPr="005B0D1E">
          <w:rPr>
            <w:rStyle w:val="Hyperlink"/>
            <w:rFonts w:asciiTheme="majorBidi" w:hAnsiTheme="majorBidi" w:cstheme="majorBidi"/>
            <w:sz w:val="18"/>
            <w:szCs w:val="18"/>
          </w:rPr>
          <w:t>unstats.un.org/sdgs/metadata/files/Metadata-11-07-01.pdf</w:t>
        </w:r>
      </w:hyperlink>
    </w:p>
  </w:footnote>
  <w:footnote w:id="58">
    <w:p w14:paraId="5DE04DF5" w14:textId="03C12085" w:rsidR="00E51276" w:rsidRPr="00F869E0" w:rsidRDefault="00E51276" w:rsidP="00F869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eastAsia="Garamond" w:hAnsiTheme="majorBidi" w:cstheme="majorBidi"/>
          <w:color w:val="000000" w:themeColor="text1"/>
          <w:sz w:val="18"/>
          <w:szCs w:val="18"/>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005007EE" w:rsidRPr="005B0D1E">
        <w:rPr>
          <w:rFonts w:asciiTheme="majorBidi" w:eastAsia="Garamond" w:hAnsiTheme="majorBidi" w:cstheme="majorBidi"/>
          <w:color w:val="000000" w:themeColor="text1"/>
          <w:sz w:val="18"/>
          <w:szCs w:val="18"/>
        </w:rPr>
        <w:t>Further information on progress towards the target can be provided in the free text section of the reporting tool.</w:t>
      </w:r>
    </w:p>
  </w:footnote>
  <w:footnote w:id="59">
    <w:p w14:paraId="6EA0F978" w14:textId="41F4CEA4" w:rsidR="00753FA0" w:rsidRPr="005B0D1E" w:rsidRDefault="00753FA0">
      <w:pPr>
        <w:pStyle w:val="FootnoteText"/>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00DA2AF0" w:rsidRPr="005B0D1E">
        <w:rPr>
          <w:rFonts w:asciiTheme="majorBidi" w:hAnsiTheme="majorBidi" w:cstheme="majorBidi"/>
          <w:sz w:val="18"/>
          <w:szCs w:val="18"/>
        </w:rPr>
        <w:t>F</w:t>
      </w:r>
      <w:r w:rsidRPr="005B0D1E">
        <w:rPr>
          <w:rFonts w:asciiTheme="majorBidi" w:eastAsia="Garamond" w:hAnsiTheme="majorBidi" w:cstheme="majorBidi"/>
          <w:color w:val="000000" w:themeColor="text1"/>
          <w:sz w:val="18"/>
          <w:szCs w:val="18"/>
        </w:rPr>
        <w:t>urther information on progress towards the target can be provided in the free text section of the reporting tool.</w:t>
      </w:r>
    </w:p>
  </w:footnote>
  <w:footnote w:id="60">
    <w:p w14:paraId="645A4B4E" w14:textId="621743FD" w:rsidR="00533D8E" w:rsidRPr="004E0302" w:rsidRDefault="00533D8E" w:rsidP="004E03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sz w:val="18"/>
          <w:szCs w:val="18"/>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eastAsia="Garamond" w:hAnsiTheme="majorBidi" w:cstheme="majorBidi"/>
          <w:color w:val="000000" w:themeColor="text1"/>
          <w:sz w:val="18"/>
          <w:szCs w:val="18"/>
        </w:rPr>
        <w:t>Further information on progress towards the target can be provided in the free text section of the reporting tool.</w:t>
      </w:r>
    </w:p>
  </w:footnote>
  <w:footnote w:id="61">
    <w:p w14:paraId="74177C62" w14:textId="2ACA4861" w:rsidR="003F30DB" w:rsidRPr="005B0D1E" w:rsidRDefault="003F30DB" w:rsidP="003F30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color w:val="000000" w:themeColor="text1"/>
          <w:sz w:val="18"/>
          <w:szCs w:val="18"/>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eastAsia="Garamond" w:hAnsiTheme="majorBidi" w:cstheme="majorBidi"/>
          <w:color w:val="000000" w:themeColor="text1"/>
          <w:sz w:val="18"/>
          <w:szCs w:val="18"/>
        </w:rPr>
        <w:t>Further information on progress towards the target can be provided in the free text section of the reporting tool.</w:t>
      </w:r>
    </w:p>
    <w:p w14:paraId="7AFF560F" w14:textId="440BA759" w:rsidR="003F30DB" w:rsidRPr="005B0D1E" w:rsidRDefault="003F30DB">
      <w:pPr>
        <w:pStyle w:val="FootnoteText"/>
        <w:rPr>
          <w:rFonts w:asciiTheme="majorBidi" w:hAnsiTheme="majorBidi" w:cstheme="majorBidi"/>
          <w:sz w:val="18"/>
          <w:szCs w:val="18"/>
        </w:rPr>
      </w:pPr>
    </w:p>
  </w:footnote>
  <w:footnote w:id="62">
    <w:p w14:paraId="47D3712F" w14:textId="29ACF299" w:rsidR="001424A6" w:rsidRPr="005B0D1E" w:rsidRDefault="001424A6" w:rsidP="00142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hAnsiTheme="majorBidi" w:cstheme="majorBidi"/>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Further information on progress towards the target can be provided in the free text section of the reporting tool.</w:t>
      </w:r>
    </w:p>
    <w:p w14:paraId="7CDEC946" w14:textId="15A9E1F5" w:rsidR="001424A6" w:rsidRPr="005B0D1E" w:rsidRDefault="001424A6">
      <w:pPr>
        <w:pStyle w:val="FootnoteText"/>
        <w:rPr>
          <w:rFonts w:asciiTheme="majorBidi" w:hAnsiTheme="majorBidi" w:cstheme="majorBidi"/>
          <w:sz w:val="18"/>
          <w:szCs w:val="18"/>
        </w:rPr>
      </w:pPr>
    </w:p>
  </w:footnote>
  <w:footnote w:id="63">
    <w:p w14:paraId="339F1168" w14:textId="2DFC8EBF" w:rsidR="009753DA" w:rsidRPr="00757C3F" w:rsidRDefault="009753DA" w:rsidP="00757C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eastAsia="Garamond" w:hAnsiTheme="majorBidi" w:cstheme="majorBidi"/>
          <w:color w:val="000000" w:themeColor="text1"/>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eastAsia="Garamond" w:hAnsiTheme="majorBidi" w:cstheme="majorBidi"/>
          <w:color w:val="000000" w:themeColor="text1"/>
          <w:sz w:val="18"/>
          <w:szCs w:val="18"/>
        </w:rPr>
        <w:t>Further information on progress towards the target can be provided in the free text section of the reporting tool.</w:t>
      </w:r>
    </w:p>
  </w:footnote>
  <w:footnote w:id="64">
    <w:p w14:paraId="2CCDFCB7" w14:textId="6CBD8E61" w:rsidR="00E202FA" w:rsidRDefault="00E202FA" w:rsidP="00E202FA">
      <w:pPr>
        <w:pStyle w:val="FootnoteText"/>
      </w:pPr>
      <w:r>
        <w:rPr>
          <w:rStyle w:val="FootnoteReference"/>
        </w:rPr>
        <w:footnoteRef/>
      </w:r>
      <w:r>
        <w:t xml:space="preserve"> </w:t>
      </w:r>
      <w:r w:rsidRPr="00E202FA">
        <w:rPr>
          <w:rFonts w:asciiTheme="majorBidi" w:hAnsiTheme="majorBidi" w:cstheme="majorBidi"/>
        </w:rPr>
        <w:t xml:space="preserve">The PINE database considers a subsidy as environmentally beneficial if it reduces directly or indirectly the relative price of a clean product or activity. Environmentally beneficial subsidies include grants, per-unit subsidies, </w:t>
      </w:r>
      <w:r w:rsidR="006B2582">
        <w:rPr>
          <w:rFonts w:asciiTheme="majorBidi" w:hAnsiTheme="majorBidi" w:cstheme="majorBidi"/>
        </w:rPr>
        <w:t xml:space="preserve">or </w:t>
      </w:r>
      <w:r w:rsidRPr="00E202FA">
        <w:rPr>
          <w:rFonts w:asciiTheme="majorBidi" w:hAnsiTheme="majorBidi" w:cstheme="majorBidi"/>
        </w:rPr>
        <w:t>preferential tax treatments, , among others.</w:t>
      </w:r>
    </w:p>
  </w:footnote>
  <w:footnote w:id="65">
    <w:p w14:paraId="62909AA1" w14:textId="3AD29CA6" w:rsidR="00174F32" w:rsidRPr="005B0D1E" w:rsidRDefault="00174F32" w:rsidP="00174F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eastAsia="Garamond" w:hAnsiTheme="majorBidi" w:cstheme="majorBidi"/>
          <w:color w:val="000000" w:themeColor="text1"/>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eastAsia="Garamond" w:hAnsiTheme="majorBidi" w:cstheme="majorBidi"/>
          <w:color w:val="000000" w:themeColor="text1"/>
          <w:sz w:val="18"/>
          <w:szCs w:val="18"/>
        </w:rPr>
        <w:t>Further information on progress towards the target can be provided in the free text section of the reporting tool.</w:t>
      </w:r>
    </w:p>
    <w:p w14:paraId="6088F192" w14:textId="77777777" w:rsidR="00174F32" w:rsidRPr="005B0D1E" w:rsidRDefault="00174F32" w:rsidP="00174F32">
      <w:pPr>
        <w:pStyle w:val="FootnoteText"/>
        <w:rPr>
          <w:rFonts w:asciiTheme="majorBidi" w:hAnsiTheme="majorBidi" w:cstheme="majorBidi"/>
          <w:sz w:val="18"/>
          <w:szCs w:val="18"/>
        </w:rPr>
      </w:pPr>
    </w:p>
  </w:footnote>
  <w:footnote w:id="66">
    <w:p w14:paraId="6B26BBDC" w14:textId="23445B99" w:rsidR="00697889" w:rsidRPr="005B0D1E" w:rsidRDefault="00E97DC8" w:rsidP="0069788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eastAsia="Garamond" w:hAnsiTheme="majorBidi" w:cstheme="majorBidi"/>
          <w:color w:val="000000" w:themeColor="text1"/>
          <w:sz w:val="18"/>
          <w:szCs w:val="18"/>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00697889" w:rsidRPr="005B0D1E">
        <w:rPr>
          <w:rFonts w:asciiTheme="majorBidi" w:hAnsiTheme="majorBidi" w:cstheme="majorBidi"/>
          <w:sz w:val="18"/>
          <w:szCs w:val="18"/>
        </w:rPr>
        <w:t>F</w:t>
      </w:r>
      <w:r w:rsidR="00697889" w:rsidRPr="005B0D1E">
        <w:rPr>
          <w:rFonts w:asciiTheme="majorBidi" w:eastAsia="Garamond" w:hAnsiTheme="majorBidi" w:cstheme="majorBidi"/>
          <w:color w:val="000000" w:themeColor="text1"/>
          <w:sz w:val="18"/>
          <w:szCs w:val="18"/>
        </w:rPr>
        <w:t>urther information on progress towards the target can be provided in the free text section of the reporting tool.</w:t>
      </w:r>
    </w:p>
    <w:p w14:paraId="69D038B3" w14:textId="4801D524" w:rsidR="00E97DC8" w:rsidRPr="005B0D1E" w:rsidRDefault="00E97DC8">
      <w:pPr>
        <w:pStyle w:val="FootnoteText"/>
        <w:rPr>
          <w:rFonts w:asciiTheme="majorBidi" w:hAnsiTheme="majorBidi" w:cstheme="majorBidi"/>
          <w:sz w:val="18"/>
          <w:szCs w:val="18"/>
        </w:rPr>
      </w:pPr>
    </w:p>
  </w:footnote>
  <w:footnote w:id="67">
    <w:p w14:paraId="77D567CF" w14:textId="23B72947" w:rsidR="001010A0" w:rsidRDefault="001010A0">
      <w:pPr>
        <w:pStyle w:val="FootnoteText"/>
      </w:pPr>
      <w:r>
        <w:rPr>
          <w:rStyle w:val="FootnoteReference"/>
        </w:rPr>
        <w:footnoteRef/>
      </w:r>
      <w:r>
        <w:t xml:space="preserve"> </w:t>
      </w:r>
      <w:r w:rsidRPr="00FB1598">
        <w:rPr>
          <w:rFonts w:asciiTheme="majorBidi" w:hAnsiTheme="majorBidi" w:cstheme="majorBidi"/>
        </w:rPr>
        <w:t>The Universal Declaration of Human rights</w:t>
      </w:r>
      <w:r>
        <w:rPr>
          <w:rFonts w:asciiTheme="majorBidi" w:hAnsiTheme="majorBidi" w:cstheme="majorBidi"/>
        </w:rPr>
        <w:t xml:space="preserve"> - </w:t>
      </w:r>
      <w:r w:rsidRPr="001010A0">
        <w:rPr>
          <w:rFonts w:asciiTheme="majorBidi" w:hAnsiTheme="majorBidi" w:cstheme="majorBidi"/>
        </w:rPr>
        <w:t>https://www.un.org/en/about-us/universal-declaration-of-human-rights</w:t>
      </w:r>
    </w:p>
  </w:footnote>
  <w:footnote w:id="68">
    <w:p w14:paraId="07B0DA20" w14:textId="4E50BAA7" w:rsidR="005F316C" w:rsidRPr="005B0D1E" w:rsidRDefault="005F316C" w:rsidP="005F31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Bidi" w:eastAsia="Garamond" w:hAnsiTheme="majorBidi" w:cstheme="majorBidi"/>
          <w:color w:val="000000" w:themeColor="text1"/>
          <w:sz w:val="18"/>
          <w:szCs w:val="18"/>
          <w:lang w:val="en-US"/>
        </w:rPr>
      </w:pPr>
      <w:r w:rsidRPr="005B0D1E">
        <w:rPr>
          <w:rStyle w:val="FootnoteReference"/>
          <w:rFonts w:asciiTheme="majorBidi" w:hAnsiTheme="majorBidi" w:cstheme="majorBidi"/>
          <w:sz w:val="18"/>
          <w:szCs w:val="18"/>
        </w:rPr>
        <w:footnoteRef/>
      </w:r>
      <w:r w:rsidRPr="005B0D1E">
        <w:rPr>
          <w:rFonts w:asciiTheme="majorBidi" w:hAnsiTheme="majorBidi" w:cstheme="majorBidi"/>
          <w:sz w:val="18"/>
          <w:szCs w:val="18"/>
        </w:rPr>
        <w:t xml:space="preserve"> </w:t>
      </w:r>
      <w:r w:rsidRPr="005B0D1E">
        <w:rPr>
          <w:rFonts w:asciiTheme="majorBidi" w:eastAsia="Garamond" w:hAnsiTheme="majorBidi" w:cstheme="majorBidi"/>
          <w:color w:val="000000" w:themeColor="text1"/>
          <w:sz w:val="18"/>
          <w:szCs w:val="18"/>
        </w:rPr>
        <w:t>Further information on progress towards the target can be provided in the free text section of the reporting tool.</w:t>
      </w:r>
    </w:p>
    <w:p w14:paraId="735444A0" w14:textId="26ACA0D8" w:rsidR="005F316C" w:rsidRPr="00ED7E61" w:rsidRDefault="005F316C">
      <w:pPr>
        <w:pStyle w:val="FootnoteText"/>
        <w:rPr>
          <w:rFonts w:asciiTheme="majorBidi" w:hAnsiTheme="majorBidi" w:cstheme="majorBid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DE209" w14:textId="18C670B7" w:rsidR="00FB3BAE" w:rsidRPr="00C16EC5" w:rsidRDefault="00FB3BAE" w:rsidP="00C16EC5">
    <w:pPr>
      <w:pStyle w:val="Header"/>
      <w:pBdr>
        <w:bottom w:val="single" w:sz="4" w:space="1" w:color="auto"/>
      </w:pBdr>
      <w:rPr>
        <w:rFonts w:asciiTheme="majorBidi" w:hAnsiTheme="majorBidi" w:cstheme="majorBidi"/>
        <w:sz w:val="20"/>
        <w:szCs w:val="20"/>
      </w:rPr>
    </w:pPr>
    <w:r w:rsidRPr="00C16EC5">
      <w:rPr>
        <w:rFonts w:asciiTheme="majorBidi" w:hAnsiTheme="majorBidi" w:cstheme="majorBidi"/>
        <w:sz w:val="20"/>
        <w:szCs w:val="20"/>
      </w:rPr>
      <w:t>CBD/</w:t>
    </w:r>
    <w:r w:rsidR="00B0658E">
      <w:rPr>
        <w:rFonts w:asciiTheme="majorBidi" w:hAnsiTheme="majorBidi" w:cstheme="majorBidi"/>
        <w:sz w:val="20"/>
        <w:szCs w:val="20"/>
      </w:rPr>
      <w:t>COP</w:t>
    </w:r>
    <w:r w:rsidRPr="00C16EC5">
      <w:rPr>
        <w:rFonts w:asciiTheme="majorBidi" w:hAnsiTheme="majorBidi" w:cstheme="majorBidi"/>
        <w:sz w:val="20"/>
        <w:szCs w:val="20"/>
      </w:rPr>
      <w:t>/</w:t>
    </w:r>
    <w:r w:rsidR="00B0658E">
      <w:rPr>
        <w:rFonts w:asciiTheme="majorBidi" w:hAnsiTheme="majorBidi" w:cstheme="majorBidi"/>
        <w:sz w:val="20"/>
        <w:szCs w:val="20"/>
      </w:rPr>
      <w:t>1</w:t>
    </w:r>
    <w:r w:rsidRPr="00C16EC5">
      <w:rPr>
        <w:rFonts w:asciiTheme="majorBidi" w:hAnsiTheme="majorBidi" w:cstheme="majorBidi"/>
        <w:sz w:val="20"/>
        <w:szCs w:val="20"/>
      </w:rPr>
      <w:t>6/INF/</w:t>
    </w:r>
    <w:r w:rsidR="005F160E">
      <w:rPr>
        <w:rFonts w:asciiTheme="majorBidi" w:hAnsiTheme="majorBidi" w:cstheme="majorBidi"/>
        <w:sz w:val="20"/>
        <w:szCs w:val="20"/>
      </w:rPr>
      <w:t>3</w:t>
    </w:r>
    <w:r w:rsidR="00C21B7A">
      <w:rPr>
        <w:rFonts w:asciiTheme="majorBidi" w:hAnsiTheme="majorBidi" w:cstheme="majorBidi"/>
        <w:sz w:val="20"/>
        <w:szCs w:val="20"/>
      </w:rPr>
      <w:t>/Rev.1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4F1A7" w14:textId="0F7D4D41" w:rsidR="00FB3BAE" w:rsidRPr="00C16EC5" w:rsidRDefault="00FB3BAE" w:rsidP="00C16EC5">
    <w:pPr>
      <w:pStyle w:val="Header"/>
      <w:pBdr>
        <w:bottom w:val="single" w:sz="4" w:space="1" w:color="auto"/>
      </w:pBdr>
      <w:jc w:val="right"/>
      <w:rPr>
        <w:rFonts w:asciiTheme="majorBidi" w:hAnsiTheme="majorBidi" w:cstheme="majorBidi"/>
        <w:sz w:val="20"/>
        <w:szCs w:val="20"/>
      </w:rPr>
    </w:pPr>
    <w:r w:rsidRPr="00F460DC">
      <w:rPr>
        <w:rFonts w:asciiTheme="majorBidi" w:hAnsiTheme="majorBidi" w:cstheme="majorBidi"/>
        <w:sz w:val="20"/>
        <w:szCs w:val="20"/>
      </w:rPr>
      <w:t>CBD/</w:t>
    </w:r>
    <w:r w:rsidR="00B0658E">
      <w:rPr>
        <w:rFonts w:asciiTheme="majorBidi" w:hAnsiTheme="majorBidi" w:cstheme="majorBidi"/>
        <w:sz w:val="20"/>
        <w:szCs w:val="20"/>
      </w:rPr>
      <w:t>COP</w:t>
    </w:r>
    <w:r w:rsidRPr="00F460DC">
      <w:rPr>
        <w:rFonts w:asciiTheme="majorBidi" w:hAnsiTheme="majorBidi" w:cstheme="majorBidi"/>
        <w:sz w:val="20"/>
        <w:szCs w:val="20"/>
      </w:rPr>
      <w:t>/</w:t>
    </w:r>
    <w:r w:rsidR="00B0658E">
      <w:rPr>
        <w:rFonts w:asciiTheme="majorBidi" w:hAnsiTheme="majorBidi" w:cstheme="majorBidi"/>
        <w:sz w:val="20"/>
        <w:szCs w:val="20"/>
      </w:rPr>
      <w:t>1</w:t>
    </w:r>
    <w:r w:rsidRPr="00F460DC">
      <w:rPr>
        <w:rFonts w:asciiTheme="majorBidi" w:hAnsiTheme="majorBidi" w:cstheme="majorBidi"/>
        <w:sz w:val="20"/>
        <w:szCs w:val="20"/>
      </w:rPr>
      <w:t>6/INF/</w:t>
    </w:r>
    <w:r w:rsidR="005F160E">
      <w:rPr>
        <w:rFonts w:asciiTheme="majorBidi" w:hAnsiTheme="majorBidi" w:cstheme="majorBidi"/>
        <w:sz w:val="20"/>
        <w:szCs w:val="20"/>
      </w:rPr>
      <w:t>3</w:t>
    </w:r>
    <w:r w:rsidR="00C21B7A">
      <w:rPr>
        <w:rFonts w:asciiTheme="majorBidi" w:hAnsiTheme="majorBidi" w:cstheme="majorBidi"/>
        <w:sz w:val="20"/>
        <w:szCs w:val="20"/>
      </w:rPr>
      <w:t>/Rev.1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E6E43"/>
    <w:multiLevelType w:val="hybridMultilevel"/>
    <w:tmpl w:val="65A6E804"/>
    <w:lvl w:ilvl="0" w:tplc="FFFFFFFF">
      <w:start w:val="1"/>
      <w:numFmt w:val="lowerLetter"/>
      <w:lvlText w:val="(%1)"/>
      <w:lvlJc w:val="left"/>
      <w:pPr>
        <w:ind w:left="720" w:hanging="360"/>
      </w:pPr>
      <w:rPr>
        <w:rFonts w:ascii="Times New Roman" w:eastAsia="SimSun" w:hAnsi="Times New Roman" w:cs="Times New Roman"/>
      </w:rPr>
    </w:lvl>
    <w:lvl w:ilvl="1" w:tplc="2154102E">
      <w:start w:val="1"/>
      <w:numFmt w:val="lowerRoman"/>
      <w:lvlText w:val="(%2)"/>
      <w:lvlJc w:val="left"/>
      <w:pPr>
        <w:ind w:left="72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2D25193"/>
    <w:multiLevelType w:val="hybridMultilevel"/>
    <w:tmpl w:val="AA1ECE08"/>
    <w:lvl w:ilvl="0" w:tplc="84A8AA3A">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 w15:restartNumberingAfterBreak="0">
    <w:nsid w:val="073C31E6"/>
    <w:multiLevelType w:val="multilevel"/>
    <w:tmpl w:val="FEB4FD9A"/>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8A5585"/>
    <w:multiLevelType w:val="hybridMultilevel"/>
    <w:tmpl w:val="9106227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 w15:restartNumberingAfterBreak="0">
    <w:nsid w:val="08B86D93"/>
    <w:multiLevelType w:val="hybridMultilevel"/>
    <w:tmpl w:val="90A482B2"/>
    <w:lvl w:ilvl="0" w:tplc="60AAD378">
      <w:start w:val="1"/>
      <w:numFmt w:val="lowerLetter"/>
      <w:lvlText w:val="(%1)"/>
      <w:lvlJc w:val="left"/>
      <w:pPr>
        <w:ind w:left="927" w:hanging="360"/>
      </w:pPr>
      <w:rPr>
        <w:rFonts w:ascii="Times New Roman" w:eastAsia="SimSun" w:hAnsi="Times New Roman" w:cs="Times New Roman"/>
      </w:rPr>
    </w:lvl>
    <w:lvl w:ilvl="1" w:tplc="FFFFFFFF">
      <w:start w:val="1"/>
      <w:numFmt w:val="bullet"/>
      <w:lvlText w:val=""/>
      <w:lvlJc w:val="left"/>
      <w:pPr>
        <w:ind w:left="1647" w:hanging="360"/>
      </w:pPr>
      <w:rPr>
        <w:rFonts w:ascii="Symbol" w:hAnsi="Symbol" w:hint="default"/>
      </w:rPr>
    </w:lvl>
    <w:lvl w:ilvl="2" w:tplc="1E448EAC">
      <w:start w:val="1"/>
      <w:numFmt w:val="lowerRoman"/>
      <w:lvlText w:val="%3."/>
      <w:lvlJc w:val="right"/>
      <w:pPr>
        <w:ind w:left="2367" w:hanging="180"/>
      </w:pPr>
    </w:lvl>
    <w:lvl w:ilvl="3" w:tplc="D9D67490">
      <w:start w:val="1"/>
      <w:numFmt w:val="decimal"/>
      <w:lvlText w:val="%4."/>
      <w:lvlJc w:val="left"/>
      <w:pPr>
        <w:ind w:left="3087" w:hanging="360"/>
      </w:pPr>
    </w:lvl>
    <w:lvl w:ilvl="4" w:tplc="497EDD38">
      <w:start w:val="1"/>
      <w:numFmt w:val="lowerLetter"/>
      <w:lvlText w:val="%5."/>
      <w:lvlJc w:val="left"/>
      <w:pPr>
        <w:ind w:left="3807" w:hanging="360"/>
      </w:pPr>
    </w:lvl>
    <w:lvl w:ilvl="5" w:tplc="6A9C70FA">
      <w:start w:val="1"/>
      <w:numFmt w:val="lowerRoman"/>
      <w:lvlText w:val="%6."/>
      <w:lvlJc w:val="right"/>
      <w:pPr>
        <w:ind w:left="4527" w:hanging="180"/>
      </w:pPr>
    </w:lvl>
    <w:lvl w:ilvl="6" w:tplc="B7BEA388">
      <w:start w:val="1"/>
      <w:numFmt w:val="decimal"/>
      <w:lvlText w:val="%7."/>
      <w:lvlJc w:val="left"/>
      <w:pPr>
        <w:ind w:left="5247" w:hanging="360"/>
      </w:pPr>
    </w:lvl>
    <w:lvl w:ilvl="7" w:tplc="3318865E">
      <w:start w:val="1"/>
      <w:numFmt w:val="lowerLetter"/>
      <w:lvlText w:val="%8."/>
      <w:lvlJc w:val="left"/>
      <w:pPr>
        <w:ind w:left="5967" w:hanging="360"/>
      </w:pPr>
    </w:lvl>
    <w:lvl w:ilvl="8" w:tplc="56C42F1C">
      <w:start w:val="1"/>
      <w:numFmt w:val="lowerRoman"/>
      <w:lvlText w:val="%9."/>
      <w:lvlJc w:val="right"/>
      <w:pPr>
        <w:ind w:left="6687" w:hanging="180"/>
      </w:pPr>
    </w:lvl>
  </w:abstractNum>
  <w:abstractNum w:abstractNumId="5" w15:restartNumberingAfterBreak="0">
    <w:nsid w:val="0A493EAA"/>
    <w:multiLevelType w:val="hybridMultilevel"/>
    <w:tmpl w:val="92AEC1B0"/>
    <w:lvl w:ilvl="0" w:tplc="FFFFFFFF">
      <w:start w:val="1"/>
      <w:numFmt w:val="lowerLetter"/>
      <w:lvlText w:val="(%1)"/>
      <w:lvlJc w:val="left"/>
      <w:pPr>
        <w:ind w:left="1440" w:hanging="360"/>
      </w:pPr>
    </w:lvl>
    <w:lvl w:ilvl="1" w:tplc="10090019" w:tentative="1">
      <w:start w:val="1"/>
      <w:numFmt w:val="lowerLetter"/>
      <w:lvlText w:val="%2."/>
      <w:lvlJc w:val="left"/>
      <w:pPr>
        <w:ind w:left="57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6" w15:restartNumberingAfterBreak="0">
    <w:nsid w:val="0C681DAE"/>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 w15:restartNumberingAfterBreak="0">
    <w:nsid w:val="0C9A1E6E"/>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 w15:restartNumberingAfterBreak="0">
    <w:nsid w:val="0D924BC3"/>
    <w:multiLevelType w:val="hybridMultilevel"/>
    <w:tmpl w:val="874A90F2"/>
    <w:lvl w:ilvl="0" w:tplc="FFFFFFFF">
      <w:start w:val="1"/>
      <w:numFmt w:val="lowerLetter"/>
      <w:lvlText w:val="(%1)"/>
      <w:lvlJc w:val="left"/>
      <w:pPr>
        <w:ind w:left="230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D9F4586"/>
    <w:multiLevelType w:val="hybridMultilevel"/>
    <w:tmpl w:val="EF8EC996"/>
    <w:lvl w:ilvl="0" w:tplc="FFFFFFFF">
      <w:start w:val="1"/>
      <w:numFmt w:val="lowerLetter"/>
      <w:lvlText w:val="(%1)"/>
      <w:lvlJc w:val="left"/>
      <w:pPr>
        <w:ind w:left="-5472" w:hanging="360"/>
      </w:pPr>
    </w:lvl>
    <w:lvl w:ilvl="1" w:tplc="FFFFFFFF" w:tentative="1">
      <w:start w:val="1"/>
      <w:numFmt w:val="lowerLetter"/>
      <w:lvlText w:val="%2."/>
      <w:lvlJc w:val="left"/>
      <w:pPr>
        <w:ind w:left="-6336" w:hanging="360"/>
      </w:pPr>
    </w:lvl>
    <w:lvl w:ilvl="2" w:tplc="FFFFFFFF" w:tentative="1">
      <w:start w:val="1"/>
      <w:numFmt w:val="lowerRoman"/>
      <w:lvlText w:val="%3."/>
      <w:lvlJc w:val="right"/>
      <w:pPr>
        <w:ind w:left="-5616" w:hanging="180"/>
      </w:pPr>
    </w:lvl>
    <w:lvl w:ilvl="3" w:tplc="FFFFFFFF" w:tentative="1">
      <w:start w:val="1"/>
      <w:numFmt w:val="decimal"/>
      <w:lvlText w:val="%4."/>
      <w:lvlJc w:val="left"/>
      <w:pPr>
        <w:ind w:left="-489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3456" w:hanging="180"/>
      </w:pPr>
    </w:lvl>
    <w:lvl w:ilvl="6" w:tplc="FFFFFFFF" w:tentative="1">
      <w:start w:val="1"/>
      <w:numFmt w:val="decimal"/>
      <w:lvlText w:val="%7."/>
      <w:lvlJc w:val="left"/>
      <w:pPr>
        <w:ind w:left="-2736" w:hanging="360"/>
      </w:pPr>
    </w:lvl>
    <w:lvl w:ilvl="7" w:tplc="FFFFFFFF" w:tentative="1">
      <w:start w:val="1"/>
      <w:numFmt w:val="lowerLetter"/>
      <w:lvlText w:val="%8."/>
      <w:lvlJc w:val="left"/>
      <w:pPr>
        <w:ind w:left="-2016" w:hanging="360"/>
      </w:pPr>
    </w:lvl>
    <w:lvl w:ilvl="8" w:tplc="FFFFFFFF" w:tentative="1">
      <w:start w:val="1"/>
      <w:numFmt w:val="lowerRoman"/>
      <w:lvlText w:val="%9."/>
      <w:lvlJc w:val="right"/>
      <w:pPr>
        <w:ind w:left="-1296" w:hanging="180"/>
      </w:pPr>
    </w:lvl>
  </w:abstractNum>
  <w:abstractNum w:abstractNumId="10" w15:restartNumberingAfterBreak="0">
    <w:nsid w:val="0EDD5D68"/>
    <w:multiLevelType w:val="hybridMultilevel"/>
    <w:tmpl w:val="54B89BF4"/>
    <w:lvl w:ilvl="0" w:tplc="FFFFFFFF">
      <w:start w:val="1"/>
      <w:numFmt w:val="lowerLetter"/>
      <w:lvlText w:val="(%1)"/>
      <w:lvlJc w:val="left"/>
      <w:pPr>
        <w:ind w:left="230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EF6250"/>
    <w:multiLevelType w:val="hybridMultilevel"/>
    <w:tmpl w:val="D22A5216"/>
    <w:lvl w:ilvl="0" w:tplc="FFFFFFFF">
      <w:start w:val="1"/>
      <w:numFmt w:val="lowerLetter"/>
      <w:lvlText w:val="(%1)"/>
      <w:lvlJc w:val="left"/>
      <w:pPr>
        <w:ind w:left="-4608" w:hanging="360"/>
      </w:pPr>
    </w:lvl>
    <w:lvl w:ilvl="1" w:tplc="10090019" w:tentative="1">
      <w:start w:val="1"/>
      <w:numFmt w:val="lowerLetter"/>
      <w:lvlText w:val="%2."/>
      <w:lvlJc w:val="left"/>
      <w:pPr>
        <w:ind w:left="-5472" w:hanging="360"/>
      </w:pPr>
    </w:lvl>
    <w:lvl w:ilvl="2" w:tplc="1009001B" w:tentative="1">
      <w:start w:val="1"/>
      <w:numFmt w:val="lowerRoman"/>
      <w:lvlText w:val="%3."/>
      <w:lvlJc w:val="right"/>
      <w:pPr>
        <w:ind w:left="-4752" w:hanging="180"/>
      </w:pPr>
    </w:lvl>
    <w:lvl w:ilvl="3" w:tplc="1009000F" w:tentative="1">
      <w:start w:val="1"/>
      <w:numFmt w:val="decimal"/>
      <w:lvlText w:val="%4."/>
      <w:lvlJc w:val="left"/>
      <w:pPr>
        <w:ind w:left="-403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2592" w:hanging="180"/>
      </w:pPr>
    </w:lvl>
    <w:lvl w:ilvl="6" w:tplc="1009000F" w:tentative="1">
      <w:start w:val="1"/>
      <w:numFmt w:val="decimal"/>
      <w:lvlText w:val="%7."/>
      <w:lvlJc w:val="left"/>
      <w:pPr>
        <w:ind w:left="-1872" w:hanging="360"/>
      </w:pPr>
    </w:lvl>
    <w:lvl w:ilvl="7" w:tplc="10090019" w:tentative="1">
      <w:start w:val="1"/>
      <w:numFmt w:val="lowerLetter"/>
      <w:lvlText w:val="%8."/>
      <w:lvlJc w:val="left"/>
      <w:pPr>
        <w:ind w:left="-1152" w:hanging="360"/>
      </w:pPr>
    </w:lvl>
    <w:lvl w:ilvl="8" w:tplc="1009001B" w:tentative="1">
      <w:start w:val="1"/>
      <w:numFmt w:val="lowerRoman"/>
      <w:lvlText w:val="%9."/>
      <w:lvlJc w:val="right"/>
      <w:pPr>
        <w:ind w:left="-432" w:hanging="180"/>
      </w:pPr>
    </w:lvl>
  </w:abstractNum>
  <w:abstractNum w:abstractNumId="12" w15:restartNumberingAfterBreak="0">
    <w:nsid w:val="14094EBE"/>
    <w:multiLevelType w:val="multilevel"/>
    <w:tmpl w:val="2C0E7E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42D3DE0"/>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4" w15:restartNumberingAfterBreak="0">
    <w:nsid w:val="15B6097D"/>
    <w:multiLevelType w:val="hybridMultilevel"/>
    <w:tmpl w:val="59CE97DE"/>
    <w:lvl w:ilvl="0" w:tplc="FFFFFFFF">
      <w:start w:val="1"/>
      <w:numFmt w:val="lowerLetter"/>
      <w:lvlText w:val="(%1)"/>
      <w:lvlJc w:val="left"/>
      <w:pPr>
        <w:ind w:left="230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5DD0294"/>
    <w:multiLevelType w:val="hybridMultilevel"/>
    <w:tmpl w:val="1B526F34"/>
    <w:lvl w:ilvl="0" w:tplc="FFFFFFFF">
      <w:start w:val="1"/>
      <w:numFmt w:val="lowerLetter"/>
      <w:lvlText w:val="(%1)"/>
      <w:lvlJc w:val="left"/>
      <w:pPr>
        <w:ind w:left="576" w:hanging="360"/>
      </w:pPr>
    </w:lvl>
    <w:lvl w:ilvl="1" w:tplc="10090019" w:tentative="1">
      <w:start w:val="1"/>
      <w:numFmt w:val="lowerLetter"/>
      <w:lvlText w:val="%2."/>
      <w:lvlJc w:val="left"/>
      <w:pPr>
        <w:ind w:left="-288" w:hanging="360"/>
      </w:pPr>
    </w:lvl>
    <w:lvl w:ilvl="2" w:tplc="1009001B" w:tentative="1">
      <w:start w:val="1"/>
      <w:numFmt w:val="lowerRoman"/>
      <w:lvlText w:val="%3."/>
      <w:lvlJc w:val="right"/>
      <w:pPr>
        <w:ind w:left="432" w:hanging="180"/>
      </w:pPr>
    </w:lvl>
    <w:lvl w:ilvl="3" w:tplc="1009000F" w:tentative="1">
      <w:start w:val="1"/>
      <w:numFmt w:val="decimal"/>
      <w:lvlText w:val="%4."/>
      <w:lvlJc w:val="left"/>
      <w:pPr>
        <w:ind w:left="1152" w:hanging="360"/>
      </w:pPr>
    </w:lvl>
    <w:lvl w:ilvl="4" w:tplc="10090019" w:tentative="1">
      <w:start w:val="1"/>
      <w:numFmt w:val="lowerLetter"/>
      <w:lvlText w:val="%5."/>
      <w:lvlJc w:val="left"/>
      <w:pPr>
        <w:ind w:left="1872" w:hanging="360"/>
      </w:pPr>
    </w:lvl>
    <w:lvl w:ilvl="5" w:tplc="1009001B" w:tentative="1">
      <w:start w:val="1"/>
      <w:numFmt w:val="lowerRoman"/>
      <w:lvlText w:val="%6."/>
      <w:lvlJc w:val="right"/>
      <w:pPr>
        <w:ind w:left="2592" w:hanging="180"/>
      </w:pPr>
    </w:lvl>
    <w:lvl w:ilvl="6" w:tplc="1009000F" w:tentative="1">
      <w:start w:val="1"/>
      <w:numFmt w:val="decimal"/>
      <w:lvlText w:val="%7."/>
      <w:lvlJc w:val="left"/>
      <w:pPr>
        <w:ind w:left="3312" w:hanging="360"/>
      </w:pPr>
    </w:lvl>
    <w:lvl w:ilvl="7" w:tplc="10090019" w:tentative="1">
      <w:start w:val="1"/>
      <w:numFmt w:val="lowerLetter"/>
      <w:lvlText w:val="%8."/>
      <w:lvlJc w:val="left"/>
      <w:pPr>
        <w:ind w:left="4032" w:hanging="360"/>
      </w:pPr>
    </w:lvl>
    <w:lvl w:ilvl="8" w:tplc="1009001B" w:tentative="1">
      <w:start w:val="1"/>
      <w:numFmt w:val="lowerRoman"/>
      <w:lvlText w:val="%9."/>
      <w:lvlJc w:val="right"/>
      <w:pPr>
        <w:ind w:left="4752" w:hanging="180"/>
      </w:pPr>
    </w:lvl>
  </w:abstractNum>
  <w:abstractNum w:abstractNumId="16" w15:restartNumberingAfterBreak="0">
    <w:nsid w:val="16097C66"/>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7" w15:restartNumberingAfterBreak="0">
    <w:nsid w:val="163D50E6"/>
    <w:multiLevelType w:val="hybridMultilevel"/>
    <w:tmpl w:val="E29C3712"/>
    <w:lvl w:ilvl="0" w:tplc="C530747E">
      <w:start w:val="1"/>
      <w:numFmt w:val="decimal"/>
      <w:lvlText w:val="%1."/>
      <w:lvlJc w:val="left"/>
      <w:pPr>
        <w:ind w:left="1584" w:hanging="360"/>
      </w:pPr>
      <w:rPr>
        <w:rFonts w:hint="default"/>
        <w:b w:val="0"/>
        <w:bCs w:val="0"/>
        <w:color w:val="auto"/>
      </w:rPr>
    </w:lvl>
    <w:lvl w:ilvl="1" w:tplc="85CC4766">
      <w:start w:val="1"/>
      <w:numFmt w:val="lowerLetter"/>
      <w:lvlText w:val="(%2)"/>
      <w:lvlJc w:val="left"/>
      <w:pPr>
        <w:ind w:left="2304" w:hanging="360"/>
      </w:pPr>
    </w:lvl>
    <w:lvl w:ilvl="2" w:tplc="0EAE8862">
      <w:start w:val="1"/>
      <w:numFmt w:val="lowerRoman"/>
      <w:lvlText w:val="%3."/>
      <w:lvlJc w:val="right"/>
      <w:pPr>
        <w:ind w:left="3024" w:hanging="180"/>
      </w:pPr>
      <w:rPr>
        <w:b/>
        <w:bCs/>
      </w:rPr>
    </w:lvl>
    <w:lvl w:ilvl="3" w:tplc="1009000F">
      <w:start w:val="1"/>
      <w:numFmt w:val="decimal"/>
      <w:lvlText w:val="%4."/>
      <w:lvlJc w:val="left"/>
      <w:pPr>
        <w:ind w:left="3744" w:hanging="360"/>
      </w:pPr>
    </w:lvl>
    <w:lvl w:ilvl="4" w:tplc="10090019">
      <w:start w:val="1"/>
      <w:numFmt w:val="lowerLetter"/>
      <w:lvlText w:val="%5."/>
      <w:lvlJc w:val="left"/>
      <w:pPr>
        <w:ind w:left="4464" w:hanging="360"/>
      </w:pPr>
    </w:lvl>
    <w:lvl w:ilvl="5" w:tplc="1009001B">
      <w:start w:val="1"/>
      <w:numFmt w:val="lowerRoman"/>
      <w:lvlText w:val="%6."/>
      <w:lvlJc w:val="right"/>
      <w:pPr>
        <w:ind w:left="5184" w:hanging="180"/>
      </w:pPr>
    </w:lvl>
    <w:lvl w:ilvl="6" w:tplc="1009000F">
      <w:start w:val="1"/>
      <w:numFmt w:val="decimal"/>
      <w:lvlText w:val="%7."/>
      <w:lvlJc w:val="left"/>
      <w:pPr>
        <w:ind w:left="5904" w:hanging="360"/>
      </w:pPr>
    </w:lvl>
    <w:lvl w:ilvl="7" w:tplc="10090019">
      <w:start w:val="1"/>
      <w:numFmt w:val="lowerLetter"/>
      <w:lvlText w:val="%8."/>
      <w:lvlJc w:val="left"/>
      <w:pPr>
        <w:ind w:left="6624" w:hanging="360"/>
      </w:pPr>
    </w:lvl>
    <w:lvl w:ilvl="8" w:tplc="1009001B" w:tentative="1">
      <w:start w:val="1"/>
      <w:numFmt w:val="lowerRoman"/>
      <w:lvlText w:val="%9."/>
      <w:lvlJc w:val="right"/>
      <w:pPr>
        <w:ind w:left="7344" w:hanging="180"/>
      </w:pPr>
    </w:lvl>
  </w:abstractNum>
  <w:abstractNum w:abstractNumId="18" w15:restartNumberingAfterBreak="0">
    <w:nsid w:val="1847003C"/>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9" w15:restartNumberingAfterBreak="0">
    <w:nsid w:val="18720D23"/>
    <w:multiLevelType w:val="hybridMultilevel"/>
    <w:tmpl w:val="63680BE8"/>
    <w:lvl w:ilvl="0" w:tplc="FFFFFFFF">
      <w:start w:val="1"/>
      <w:numFmt w:val="lowerLetter"/>
      <w:lvlText w:val="(%1)"/>
      <w:lvlJc w:val="left"/>
      <w:pPr>
        <w:ind w:left="-2880" w:hanging="360"/>
      </w:pPr>
    </w:lvl>
    <w:lvl w:ilvl="1" w:tplc="10090019">
      <w:start w:val="1"/>
      <w:numFmt w:val="lowerLetter"/>
      <w:lvlText w:val="%2."/>
      <w:lvlJc w:val="left"/>
      <w:pPr>
        <w:ind w:left="-3744" w:hanging="360"/>
      </w:pPr>
    </w:lvl>
    <w:lvl w:ilvl="2" w:tplc="1009001B" w:tentative="1">
      <w:start w:val="1"/>
      <w:numFmt w:val="lowerRoman"/>
      <w:lvlText w:val="%3."/>
      <w:lvlJc w:val="right"/>
      <w:pPr>
        <w:ind w:left="-3024" w:hanging="180"/>
      </w:pPr>
    </w:lvl>
    <w:lvl w:ilvl="3" w:tplc="1009000F" w:tentative="1">
      <w:start w:val="1"/>
      <w:numFmt w:val="decimal"/>
      <w:lvlText w:val="%4."/>
      <w:lvlJc w:val="left"/>
      <w:pPr>
        <w:ind w:left="-2304" w:hanging="360"/>
      </w:pPr>
    </w:lvl>
    <w:lvl w:ilvl="4" w:tplc="10090019" w:tentative="1">
      <w:start w:val="1"/>
      <w:numFmt w:val="lowerLetter"/>
      <w:lvlText w:val="%5."/>
      <w:lvlJc w:val="left"/>
      <w:pPr>
        <w:ind w:left="-1584" w:hanging="360"/>
      </w:pPr>
    </w:lvl>
    <w:lvl w:ilvl="5" w:tplc="1009001B" w:tentative="1">
      <w:start w:val="1"/>
      <w:numFmt w:val="lowerRoman"/>
      <w:lvlText w:val="%6."/>
      <w:lvlJc w:val="right"/>
      <w:pPr>
        <w:ind w:left="-864" w:hanging="180"/>
      </w:pPr>
    </w:lvl>
    <w:lvl w:ilvl="6" w:tplc="1009000F" w:tentative="1">
      <w:start w:val="1"/>
      <w:numFmt w:val="decimal"/>
      <w:lvlText w:val="%7."/>
      <w:lvlJc w:val="left"/>
      <w:pPr>
        <w:ind w:left="-144" w:hanging="360"/>
      </w:pPr>
    </w:lvl>
    <w:lvl w:ilvl="7" w:tplc="10090019" w:tentative="1">
      <w:start w:val="1"/>
      <w:numFmt w:val="lowerLetter"/>
      <w:lvlText w:val="%8."/>
      <w:lvlJc w:val="left"/>
      <w:pPr>
        <w:ind w:left="576" w:hanging="360"/>
      </w:pPr>
    </w:lvl>
    <w:lvl w:ilvl="8" w:tplc="1009001B" w:tentative="1">
      <w:start w:val="1"/>
      <w:numFmt w:val="lowerRoman"/>
      <w:lvlText w:val="%9."/>
      <w:lvlJc w:val="right"/>
      <w:pPr>
        <w:ind w:left="1296" w:hanging="180"/>
      </w:pPr>
    </w:lvl>
  </w:abstractNum>
  <w:abstractNum w:abstractNumId="20" w15:restartNumberingAfterBreak="0">
    <w:nsid w:val="1C5945F5"/>
    <w:multiLevelType w:val="hybridMultilevel"/>
    <w:tmpl w:val="21CCCFB6"/>
    <w:lvl w:ilvl="0" w:tplc="FFFFFFFF">
      <w:start w:val="1"/>
      <w:numFmt w:val="lowerLetter"/>
      <w:lvlText w:val="(%1)"/>
      <w:lvlJc w:val="left"/>
      <w:pPr>
        <w:ind w:left="576" w:hanging="360"/>
      </w:pPr>
    </w:lvl>
    <w:lvl w:ilvl="1" w:tplc="10090019" w:tentative="1">
      <w:start w:val="1"/>
      <w:numFmt w:val="lowerLetter"/>
      <w:lvlText w:val="%2."/>
      <w:lvlJc w:val="left"/>
      <w:pPr>
        <w:ind w:left="-288" w:hanging="360"/>
      </w:pPr>
    </w:lvl>
    <w:lvl w:ilvl="2" w:tplc="1009001B" w:tentative="1">
      <w:start w:val="1"/>
      <w:numFmt w:val="lowerRoman"/>
      <w:lvlText w:val="%3."/>
      <w:lvlJc w:val="right"/>
      <w:pPr>
        <w:ind w:left="432" w:hanging="180"/>
      </w:pPr>
    </w:lvl>
    <w:lvl w:ilvl="3" w:tplc="1009000F" w:tentative="1">
      <w:start w:val="1"/>
      <w:numFmt w:val="decimal"/>
      <w:lvlText w:val="%4."/>
      <w:lvlJc w:val="left"/>
      <w:pPr>
        <w:ind w:left="1152" w:hanging="360"/>
      </w:pPr>
    </w:lvl>
    <w:lvl w:ilvl="4" w:tplc="10090019" w:tentative="1">
      <w:start w:val="1"/>
      <w:numFmt w:val="lowerLetter"/>
      <w:lvlText w:val="%5."/>
      <w:lvlJc w:val="left"/>
      <w:pPr>
        <w:ind w:left="1872" w:hanging="360"/>
      </w:pPr>
    </w:lvl>
    <w:lvl w:ilvl="5" w:tplc="1009001B" w:tentative="1">
      <w:start w:val="1"/>
      <w:numFmt w:val="lowerRoman"/>
      <w:lvlText w:val="%6."/>
      <w:lvlJc w:val="right"/>
      <w:pPr>
        <w:ind w:left="2592" w:hanging="180"/>
      </w:pPr>
    </w:lvl>
    <w:lvl w:ilvl="6" w:tplc="1009000F" w:tentative="1">
      <w:start w:val="1"/>
      <w:numFmt w:val="decimal"/>
      <w:lvlText w:val="%7."/>
      <w:lvlJc w:val="left"/>
      <w:pPr>
        <w:ind w:left="3312" w:hanging="360"/>
      </w:pPr>
    </w:lvl>
    <w:lvl w:ilvl="7" w:tplc="10090019" w:tentative="1">
      <w:start w:val="1"/>
      <w:numFmt w:val="lowerLetter"/>
      <w:lvlText w:val="%8."/>
      <w:lvlJc w:val="left"/>
      <w:pPr>
        <w:ind w:left="4032" w:hanging="360"/>
      </w:pPr>
    </w:lvl>
    <w:lvl w:ilvl="8" w:tplc="1009001B" w:tentative="1">
      <w:start w:val="1"/>
      <w:numFmt w:val="lowerRoman"/>
      <w:lvlText w:val="%9."/>
      <w:lvlJc w:val="right"/>
      <w:pPr>
        <w:ind w:left="4752" w:hanging="180"/>
      </w:pPr>
    </w:lvl>
  </w:abstractNum>
  <w:abstractNum w:abstractNumId="21" w15:restartNumberingAfterBreak="0">
    <w:nsid w:val="1D504DAC"/>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2" w15:restartNumberingAfterBreak="0">
    <w:nsid w:val="1E817496"/>
    <w:multiLevelType w:val="hybridMultilevel"/>
    <w:tmpl w:val="59CE97DE"/>
    <w:lvl w:ilvl="0" w:tplc="FFFFFFFF">
      <w:start w:val="1"/>
      <w:numFmt w:val="lowerLetter"/>
      <w:lvlText w:val="(%1)"/>
      <w:lvlJc w:val="left"/>
      <w:pPr>
        <w:ind w:left="230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F0719FE"/>
    <w:multiLevelType w:val="hybridMultilevel"/>
    <w:tmpl w:val="7362FEC0"/>
    <w:lvl w:ilvl="0" w:tplc="FFFFFFFF">
      <w:start w:val="1"/>
      <w:numFmt w:val="lowerLetter"/>
      <w:lvlText w:val="(%1)"/>
      <w:lvlJc w:val="left"/>
      <w:pPr>
        <w:ind w:left="-2016"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720" w:hanging="360"/>
      </w:pPr>
    </w:lvl>
    <w:lvl w:ilvl="5" w:tplc="FFFFFFFF" w:tentative="1">
      <w:start w:val="1"/>
      <w:numFmt w:val="lowerRoman"/>
      <w:lvlText w:val="%6."/>
      <w:lvlJc w:val="right"/>
      <w:pPr>
        <w:ind w:left="0" w:hanging="180"/>
      </w:pPr>
    </w:lvl>
    <w:lvl w:ilvl="6" w:tplc="FFFFFFFF" w:tentative="1">
      <w:start w:val="1"/>
      <w:numFmt w:val="decimal"/>
      <w:lvlText w:val="%7."/>
      <w:lvlJc w:val="left"/>
      <w:pPr>
        <w:ind w:left="720" w:hanging="360"/>
      </w:pPr>
    </w:lvl>
    <w:lvl w:ilvl="7" w:tplc="FFFFFFFF" w:tentative="1">
      <w:start w:val="1"/>
      <w:numFmt w:val="lowerLetter"/>
      <w:lvlText w:val="%8."/>
      <w:lvlJc w:val="left"/>
      <w:pPr>
        <w:ind w:left="1440" w:hanging="360"/>
      </w:pPr>
    </w:lvl>
    <w:lvl w:ilvl="8" w:tplc="FFFFFFFF" w:tentative="1">
      <w:start w:val="1"/>
      <w:numFmt w:val="lowerRoman"/>
      <w:lvlText w:val="%9."/>
      <w:lvlJc w:val="right"/>
      <w:pPr>
        <w:ind w:left="2160" w:hanging="180"/>
      </w:pPr>
    </w:lvl>
  </w:abstractNum>
  <w:abstractNum w:abstractNumId="24" w15:restartNumberingAfterBreak="0">
    <w:nsid w:val="200816E5"/>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5" w15:restartNumberingAfterBreak="0">
    <w:nsid w:val="20437411"/>
    <w:multiLevelType w:val="hybridMultilevel"/>
    <w:tmpl w:val="21CCCFB6"/>
    <w:lvl w:ilvl="0" w:tplc="FFFFFFFF">
      <w:start w:val="1"/>
      <w:numFmt w:val="lowerLetter"/>
      <w:lvlText w:val="(%1)"/>
      <w:lvlJc w:val="left"/>
      <w:pPr>
        <w:ind w:left="576" w:hanging="360"/>
      </w:pPr>
    </w:lvl>
    <w:lvl w:ilvl="1" w:tplc="FFFFFFFF" w:tentative="1">
      <w:start w:val="1"/>
      <w:numFmt w:val="lowerLetter"/>
      <w:lvlText w:val="%2."/>
      <w:lvlJc w:val="left"/>
      <w:pPr>
        <w:ind w:left="-288" w:hanging="360"/>
      </w:pPr>
    </w:lvl>
    <w:lvl w:ilvl="2" w:tplc="FFFFFFFF" w:tentative="1">
      <w:start w:val="1"/>
      <w:numFmt w:val="lowerRoman"/>
      <w:lvlText w:val="%3."/>
      <w:lvlJc w:val="right"/>
      <w:pPr>
        <w:ind w:left="432" w:hanging="180"/>
      </w:pPr>
    </w:lvl>
    <w:lvl w:ilvl="3" w:tplc="FFFFFFFF" w:tentative="1">
      <w:start w:val="1"/>
      <w:numFmt w:val="decimal"/>
      <w:lvlText w:val="%4."/>
      <w:lvlJc w:val="left"/>
      <w:pPr>
        <w:ind w:left="1152" w:hanging="360"/>
      </w:pPr>
    </w:lvl>
    <w:lvl w:ilvl="4" w:tplc="FFFFFFFF" w:tentative="1">
      <w:start w:val="1"/>
      <w:numFmt w:val="lowerLetter"/>
      <w:lvlText w:val="%5."/>
      <w:lvlJc w:val="left"/>
      <w:pPr>
        <w:ind w:left="1872" w:hanging="360"/>
      </w:pPr>
    </w:lvl>
    <w:lvl w:ilvl="5" w:tplc="FFFFFFFF" w:tentative="1">
      <w:start w:val="1"/>
      <w:numFmt w:val="lowerRoman"/>
      <w:lvlText w:val="%6."/>
      <w:lvlJc w:val="right"/>
      <w:pPr>
        <w:ind w:left="2592" w:hanging="180"/>
      </w:pPr>
    </w:lvl>
    <w:lvl w:ilvl="6" w:tplc="FFFFFFFF" w:tentative="1">
      <w:start w:val="1"/>
      <w:numFmt w:val="decimal"/>
      <w:lvlText w:val="%7."/>
      <w:lvlJc w:val="left"/>
      <w:pPr>
        <w:ind w:left="3312" w:hanging="360"/>
      </w:pPr>
    </w:lvl>
    <w:lvl w:ilvl="7" w:tplc="FFFFFFFF" w:tentative="1">
      <w:start w:val="1"/>
      <w:numFmt w:val="lowerLetter"/>
      <w:lvlText w:val="%8."/>
      <w:lvlJc w:val="left"/>
      <w:pPr>
        <w:ind w:left="4032" w:hanging="360"/>
      </w:pPr>
    </w:lvl>
    <w:lvl w:ilvl="8" w:tplc="FFFFFFFF" w:tentative="1">
      <w:start w:val="1"/>
      <w:numFmt w:val="lowerRoman"/>
      <w:lvlText w:val="%9."/>
      <w:lvlJc w:val="right"/>
      <w:pPr>
        <w:ind w:left="4752" w:hanging="180"/>
      </w:pPr>
    </w:lvl>
  </w:abstractNum>
  <w:abstractNum w:abstractNumId="26" w15:restartNumberingAfterBreak="0">
    <w:nsid w:val="20510874"/>
    <w:multiLevelType w:val="hybridMultilevel"/>
    <w:tmpl w:val="F96E985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1AB5145"/>
    <w:multiLevelType w:val="hybridMultilevel"/>
    <w:tmpl w:val="8F66C1D6"/>
    <w:lvl w:ilvl="0" w:tplc="AC6C33EA">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28" w15:restartNumberingAfterBreak="0">
    <w:nsid w:val="22CE76BB"/>
    <w:multiLevelType w:val="hybridMultilevel"/>
    <w:tmpl w:val="7230277A"/>
    <w:lvl w:ilvl="0" w:tplc="FFFFFFFF">
      <w:start w:val="1"/>
      <w:numFmt w:val="lowerLetter"/>
      <w:lvlText w:val="(%1)"/>
      <w:lvlJc w:val="left"/>
      <w:pPr>
        <w:ind w:left="-1152" w:hanging="360"/>
      </w:pPr>
    </w:lvl>
    <w:lvl w:ilvl="1" w:tplc="10090019" w:tentative="1">
      <w:start w:val="1"/>
      <w:numFmt w:val="lowerLetter"/>
      <w:lvlText w:val="%2."/>
      <w:lvlJc w:val="left"/>
      <w:pPr>
        <w:ind w:left="-201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576" w:hanging="360"/>
      </w:pPr>
    </w:lvl>
    <w:lvl w:ilvl="4" w:tplc="10090019" w:tentative="1">
      <w:start w:val="1"/>
      <w:numFmt w:val="lowerLetter"/>
      <w:lvlText w:val="%5."/>
      <w:lvlJc w:val="left"/>
      <w:pPr>
        <w:ind w:left="144" w:hanging="360"/>
      </w:pPr>
    </w:lvl>
    <w:lvl w:ilvl="5" w:tplc="1009001B" w:tentative="1">
      <w:start w:val="1"/>
      <w:numFmt w:val="lowerRoman"/>
      <w:lvlText w:val="%6."/>
      <w:lvlJc w:val="right"/>
      <w:pPr>
        <w:ind w:left="864" w:hanging="180"/>
      </w:pPr>
    </w:lvl>
    <w:lvl w:ilvl="6" w:tplc="1009000F" w:tentative="1">
      <w:start w:val="1"/>
      <w:numFmt w:val="decimal"/>
      <w:lvlText w:val="%7."/>
      <w:lvlJc w:val="left"/>
      <w:pPr>
        <w:ind w:left="1584" w:hanging="360"/>
      </w:pPr>
    </w:lvl>
    <w:lvl w:ilvl="7" w:tplc="10090019" w:tentative="1">
      <w:start w:val="1"/>
      <w:numFmt w:val="lowerLetter"/>
      <w:lvlText w:val="%8."/>
      <w:lvlJc w:val="left"/>
      <w:pPr>
        <w:ind w:left="2304" w:hanging="360"/>
      </w:pPr>
    </w:lvl>
    <w:lvl w:ilvl="8" w:tplc="1009001B" w:tentative="1">
      <w:start w:val="1"/>
      <w:numFmt w:val="lowerRoman"/>
      <w:lvlText w:val="%9."/>
      <w:lvlJc w:val="right"/>
      <w:pPr>
        <w:ind w:left="3024" w:hanging="180"/>
      </w:pPr>
    </w:lvl>
  </w:abstractNum>
  <w:abstractNum w:abstractNumId="29" w15:restartNumberingAfterBreak="0">
    <w:nsid w:val="249A621C"/>
    <w:multiLevelType w:val="hybridMultilevel"/>
    <w:tmpl w:val="4D1807F6"/>
    <w:lvl w:ilvl="0" w:tplc="FFFFFFFF">
      <w:start w:val="1"/>
      <w:numFmt w:val="lowerLetter"/>
      <w:lvlText w:val="(%1)"/>
      <w:lvlJc w:val="left"/>
      <w:pPr>
        <w:ind w:left="230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94573F3"/>
    <w:multiLevelType w:val="hybridMultilevel"/>
    <w:tmpl w:val="90A482B2"/>
    <w:lvl w:ilvl="0" w:tplc="FFFFFFFF">
      <w:start w:val="1"/>
      <w:numFmt w:val="lowerLetter"/>
      <w:lvlText w:val="(%1)"/>
      <w:lvlJc w:val="left"/>
      <w:pPr>
        <w:ind w:left="927" w:hanging="360"/>
      </w:pPr>
      <w:rPr>
        <w:rFonts w:ascii="Times New Roman" w:eastAsia="SimSun" w:hAnsi="Times New Roman" w:cs="Times New Roman"/>
      </w:rPr>
    </w:lvl>
    <w:lvl w:ilvl="1" w:tplc="FFFFFFFF">
      <w:start w:val="1"/>
      <w:numFmt w:val="bullet"/>
      <w:lvlText w:val=""/>
      <w:lvlJc w:val="left"/>
      <w:pPr>
        <w:ind w:left="1647" w:hanging="360"/>
      </w:pPr>
      <w:rPr>
        <w:rFonts w:ascii="Symbol" w:hAnsi="Symbol" w:hint="default"/>
      </w:r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31" w15:restartNumberingAfterBreak="0">
    <w:nsid w:val="2AF361DC"/>
    <w:multiLevelType w:val="hybridMultilevel"/>
    <w:tmpl w:val="E52C664A"/>
    <w:lvl w:ilvl="0" w:tplc="FFFFFFFF">
      <w:start w:val="1"/>
      <w:numFmt w:val="lowerLetter"/>
      <w:lvlText w:val="(%1)"/>
      <w:lvlJc w:val="left"/>
      <w:pPr>
        <w:ind w:left="230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2CE57850"/>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3" w15:restartNumberingAfterBreak="0">
    <w:nsid w:val="2E577F1D"/>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4" w15:restartNumberingAfterBreak="0">
    <w:nsid w:val="346B2DEE"/>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5" w15:restartNumberingAfterBreak="0">
    <w:nsid w:val="348E5880"/>
    <w:multiLevelType w:val="hybridMultilevel"/>
    <w:tmpl w:val="4D1807F6"/>
    <w:lvl w:ilvl="0" w:tplc="FFFFFFFF">
      <w:start w:val="1"/>
      <w:numFmt w:val="lowerLetter"/>
      <w:lvlText w:val="(%1)"/>
      <w:lvlJc w:val="left"/>
      <w:pPr>
        <w:ind w:left="230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4C23C79"/>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7" w15:restartNumberingAfterBreak="0">
    <w:nsid w:val="356E0C07"/>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8" w15:restartNumberingAfterBreak="0">
    <w:nsid w:val="368001A0"/>
    <w:multiLevelType w:val="hybridMultilevel"/>
    <w:tmpl w:val="7362FEC0"/>
    <w:lvl w:ilvl="0" w:tplc="FFFFFFFF">
      <w:start w:val="1"/>
      <w:numFmt w:val="lowerLetter"/>
      <w:lvlText w:val="(%1)"/>
      <w:lvlJc w:val="left"/>
      <w:pPr>
        <w:ind w:left="-2016"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720" w:hanging="360"/>
      </w:pPr>
    </w:lvl>
    <w:lvl w:ilvl="5" w:tplc="FFFFFFFF" w:tentative="1">
      <w:start w:val="1"/>
      <w:numFmt w:val="lowerRoman"/>
      <w:lvlText w:val="%6."/>
      <w:lvlJc w:val="right"/>
      <w:pPr>
        <w:ind w:left="0" w:hanging="180"/>
      </w:pPr>
    </w:lvl>
    <w:lvl w:ilvl="6" w:tplc="FFFFFFFF" w:tentative="1">
      <w:start w:val="1"/>
      <w:numFmt w:val="decimal"/>
      <w:lvlText w:val="%7."/>
      <w:lvlJc w:val="left"/>
      <w:pPr>
        <w:ind w:left="720" w:hanging="360"/>
      </w:pPr>
    </w:lvl>
    <w:lvl w:ilvl="7" w:tplc="FFFFFFFF" w:tentative="1">
      <w:start w:val="1"/>
      <w:numFmt w:val="lowerLetter"/>
      <w:lvlText w:val="%8."/>
      <w:lvlJc w:val="left"/>
      <w:pPr>
        <w:ind w:left="1440" w:hanging="360"/>
      </w:pPr>
    </w:lvl>
    <w:lvl w:ilvl="8" w:tplc="FFFFFFFF" w:tentative="1">
      <w:start w:val="1"/>
      <w:numFmt w:val="lowerRoman"/>
      <w:lvlText w:val="%9."/>
      <w:lvlJc w:val="right"/>
      <w:pPr>
        <w:ind w:left="2160" w:hanging="180"/>
      </w:pPr>
    </w:lvl>
  </w:abstractNum>
  <w:abstractNum w:abstractNumId="39" w15:restartNumberingAfterBreak="0">
    <w:nsid w:val="368838C7"/>
    <w:multiLevelType w:val="hybridMultilevel"/>
    <w:tmpl w:val="21CCCFB6"/>
    <w:lvl w:ilvl="0" w:tplc="FFFFFFFF">
      <w:start w:val="1"/>
      <w:numFmt w:val="lowerLetter"/>
      <w:lvlText w:val="(%1)"/>
      <w:lvlJc w:val="left"/>
      <w:pPr>
        <w:ind w:left="576" w:hanging="360"/>
      </w:pPr>
    </w:lvl>
    <w:lvl w:ilvl="1" w:tplc="FFFFFFFF" w:tentative="1">
      <w:start w:val="1"/>
      <w:numFmt w:val="lowerLetter"/>
      <w:lvlText w:val="%2."/>
      <w:lvlJc w:val="left"/>
      <w:pPr>
        <w:ind w:left="-288" w:hanging="360"/>
      </w:pPr>
    </w:lvl>
    <w:lvl w:ilvl="2" w:tplc="FFFFFFFF" w:tentative="1">
      <w:start w:val="1"/>
      <w:numFmt w:val="lowerRoman"/>
      <w:lvlText w:val="%3."/>
      <w:lvlJc w:val="right"/>
      <w:pPr>
        <w:ind w:left="432" w:hanging="180"/>
      </w:pPr>
    </w:lvl>
    <w:lvl w:ilvl="3" w:tplc="FFFFFFFF" w:tentative="1">
      <w:start w:val="1"/>
      <w:numFmt w:val="decimal"/>
      <w:lvlText w:val="%4."/>
      <w:lvlJc w:val="left"/>
      <w:pPr>
        <w:ind w:left="1152" w:hanging="360"/>
      </w:pPr>
    </w:lvl>
    <w:lvl w:ilvl="4" w:tplc="FFFFFFFF" w:tentative="1">
      <w:start w:val="1"/>
      <w:numFmt w:val="lowerLetter"/>
      <w:lvlText w:val="%5."/>
      <w:lvlJc w:val="left"/>
      <w:pPr>
        <w:ind w:left="1872" w:hanging="360"/>
      </w:pPr>
    </w:lvl>
    <w:lvl w:ilvl="5" w:tplc="FFFFFFFF" w:tentative="1">
      <w:start w:val="1"/>
      <w:numFmt w:val="lowerRoman"/>
      <w:lvlText w:val="%6."/>
      <w:lvlJc w:val="right"/>
      <w:pPr>
        <w:ind w:left="2592" w:hanging="180"/>
      </w:pPr>
    </w:lvl>
    <w:lvl w:ilvl="6" w:tplc="FFFFFFFF" w:tentative="1">
      <w:start w:val="1"/>
      <w:numFmt w:val="decimal"/>
      <w:lvlText w:val="%7."/>
      <w:lvlJc w:val="left"/>
      <w:pPr>
        <w:ind w:left="3312" w:hanging="360"/>
      </w:pPr>
    </w:lvl>
    <w:lvl w:ilvl="7" w:tplc="FFFFFFFF" w:tentative="1">
      <w:start w:val="1"/>
      <w:numFmt w:val="lowerLetter"/>
      <w:lvlText w:val="%8."/>
      <w:lvlJc w:val="left"/>
      <w:pPr>
        <w:ind w:left="4032" w:hanging="360"/>
      </w:pPr>
    </w:lvl>
    <w:lvl w:ilvl="8" w:tplc="FFFFFFFF" w:tentative="1">
      <w:start w:val="1"/>
      <w:numFmt w:val="lowerRoman"/>
      <w:lvlText w:val="%9."/>
      <w:lvlJc w:val="right"/>
      <w:pPr>
        <w:ind w:left="4752" w:hanging="180"/>
      </w:pPr>
    </w:lvl>
  </w:abstractNum>
  <w:abstractNum w:abstractNumId="40" w15:restartNumberingAfterBreak="0">
    <w:nsid w:val="3B434A1E"/>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1" w15:restartNumberingAfterBreak="0">
    <w:nsid w:val="3C222A6C"/>
    <w:multiLevelType w:val="hybridMultilevel"/>
    <w:tmpl w:val="59CE97DE"/>
    <w:lvl w:ilvl="0" w:tplc="85CC4766">
      <w:start w:val="1"/>
      <w:numFmt w:val="lowerLetter"/>
      <w:lvlText w:val="(%1)"/>
      <w:lvlJc w:val="left"/>
      <w:pPr>
        <w:ind w:left="230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C7176BF"/>
    <w:multiLevelType w:val="multilevel"/>
    <w:tmpl w:val="7E9A6DC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C925D9E"/>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4" w15:restartNumberingAfterBreak="0">
    <w:nsid w:val="3D6350C7"/>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5" w15:restartNumberingAfterBreak="0">
    <w:nsid w:val="3DE70F91"/>
    <w:multiLevelType w:val="hybridMultilevel"/>
    <w:tmpl w:val="D4ECFBB2"/>
    <w:lvl w:ilvl="0" w:tplc="FFFFFFFF">
      <w:start w:val="1"/>
      <w:numFmt w:val="lowerLetter"/>
      <w:lvlText w:val="(%1)"/>
      <w:lvlJc w:val="left"/>
      <w:pPr>
        <w:ind w:left="-288" w:hanging="360"/>
      </w:pPr>
    </w:lvl>
    <w:lvl w:ilvl="1" w:tplc="10090019" w:tentative="1">
      <w:start w:val="1"/>
      <w:numFmt w:val="lowerLetter"/>
      <w:lvlText w:val="%2."/>
      <w:lvlJc w:val="left"/>
      <w:pPr>
        <w:ind w:left="-1152" w:hanging="360"/>
      </w:pPr>
    </w:lvl>
    <w:lvl w:ilvl="2" w:tplc="1009001B" w:tentative="1">
      <w:start w:val="1"/>
      <w:numFmt w:val="lowerRoman"/>
      <w:lvlText w:val="%3."/>
      <w:lvlJc w:val="right"/>
      <w:pPr>
        <w:ind w:left="-432" w:hanging="180"/>
      </w:pPr>
    </w:lvl>
    <w:lvl w:ilvl="3" w:tplc="1009000F" w:tentative="1">
      <w:start w:val="1"/>
      <w:numFmt w:val="decimal"/>
      <w:lvlText w:val="%4."/>
      <w:lvlJc w:val="left"/>
      <w:pPr>
        <w:ind w:left="288" w:hanging="360"/>
      </w:pPr>
    </w:lvl>
    <w:lvl w:ilvl="4" w:tplc="10090019" w:tentative="1">
      <w:start w:val="1"/>
      <w:numFmt w:val="lowerLetter"/>
      <w:lvlText w:val="%5."/>
      <w:lvlJc w:val="left"/>
      <w:pPr>
        <w:ind w:left="1008" w:hanging="360"/>
      </w:pPr>
    </w:lvl>
    <w:lvl w:ilvl="5" w:tplc="1009001B" w:tentative="1">
      <w:start w:val="1"/>
      <w:numFmt w:val="lowerRoman"/>
      <w:lvlText w:val="%6."/>
      <w:lvlJc w:val="right"/>
      <w:pPr>
        <w:ind w:left="1728" w:hanging="180"/>
      </w:pPr>
    </w:lvl>
    <w:lvl w:ilvl="6" w:tplc="1009000F" w:tentative="1">
      <w:start w:val="1"/>
      <w:numFmt w:val="decimal"/>
      <w:lvlText w:val="%7."/>
      <w:lvlJc w:val="left"/>
      <w:pPr>
        <w:ind w:left="2448" w:hanging="360"/>
      </w:pPr>
    </w:lvl>
    <w:lvl w:ilvl="7" w:tplc="10090019" w:tentative="1">
      <w:start w:val="1"/>
      <w:numFmt w:val="lowerLetter"/>
      <w:lvlText w:val="%8."/>
      <w:lvlJc w:val="left"/>
      <w:pPr>
        <w:ind w:left="3168" w:hanging="360"/>
      </w:pPr>
    </w:lvl>
    <w:lvl w:ilvl="8" w:tplc="1009001B" w:tentative="1">
      <w:start w:val="1"/>
      <w:numFmt w:val="lowerRoman"/>
      <w:lvlText w:val="%9."/>
      <w:lvlJc w:val="right"/>
      <w:pPr>
        <w:ind w:left="3888" w:hanging="180"/>
      </w:pPr>
    </w:lvl>
  </w:abstractNum>
  <w:abstractNum w:abstractNumId="46" w15:restartNumberingAfterBreak="0">
    <w:nsid w:val="3E46469D"/>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7" w15:restartNumberingAfterBreak="0">
    <w:nsid w:val="412A323A"/>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8" w15:restartNumberingAfterBreak="0">
    <w:nsid w:val="4146556B"/>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49" w15:restartNumberingAfterBreak="0">
    <w:nsid w:val="426D04E4"/>
    <w:multiLevelType w:val="hybridMultilevel"/>
    <w:tmpl w:val="92AEC1B0"/>
    <w:lvl w:ilvl="0" w:tplc="FFFFFFFF">
      <w:start w:val="1"/>
      <w:numFmt w:val="lowerLetter"/>
      <w:lvlText w:val="(%1)"/>
      <w:lvlJc w:val="left"/>
      <w:pPr>
        <w:ind w:left="1440" w:hanging="360"/>
      </w:pPr>
    </w:lvl>
    <w:lvl w:ilvl="1" w:tplc="FFFFFFFF" w:tentative="1">
      <w:start w:val="1"/>
      <w:numFmt w:val="lowerLetter"/>
      <w:lvlText w:val="%2."/>
      <w:lvlJc w:val="left"/>
      <w:pPr>
        <w:ind w:left="576" w:hanging="360"/>
      </w:pPr>
    </w:lvl>
    <w:lvl w:ilvl="2" w:tplc="FFFFFFFF" w:tentative="1">
      <w:start w:val="1"/>
      <w:numFmt w:val="lowerRoman"/>
      <w:lvlText w:val="%3."/>
      <w:lvlJc w:val="right"/>
      <w:pPr>
        <w:ind w:left="1296" w:hanging="180"/>
      </w:pPr>
    </w:lvl>
    <w:lvl w:ilvl="3" w:tplc="FFFFFFFF" w:tentative="1">
      <w:start w:val="1"/>
      <w:numFmt w:val="decimal"/>
      <w:lvlText w:val="%4."/>
      <w:lvlJc w:val="left"/>
      <w:pPr>
        <w:ind w:left="2016" w:hanging="360"/>
      </w:pPr>
    </w:lvl>
    <w:lvl w:ilvl="4" w:tplc="FFFFFFFF" w:tentative="1">
      <w:start w:val="1"/>
      <w:numFmt w:val="lowerLetter"/>
      <w:lvlText w:val="%5."/>
      <w:lvlJc w:val="left"/>
      <w:pPr>
        <w:ind w:left="2736" w:hanging="360"/>
      </w:pPr>
    </w:lvl>
    <w:lvl w:ilvl="5" w:tplc="FFFFFFFF" w:tentative="1">
      <w:start w:val="1"/>
      <w:numFmt w:val="lowerRoman"/>
      <w:lvlText w:val="%6."/>
      <w:lvlJc w:val="right"/>
      <w:pPr>
        <w:ind w:left="3456" w:hanging="180"/>
      </w:pPr>
    </w:lvl>
    <w:lvl w:ilvl="6" w:tplc="FFFFFFFF" w:tentative="1">
      <w:start w:val="1"/>
      <w:numFmt w:val="decimal"/>
      <w:lvlText w:val="%7."/>
      <w:lvlJc w:val="left"/>
      <w:pPr>
        <w:ind w:left="4176" w:hanging="360"/>
      </w:pPr>
    </w:lvl>
    <w:lvl w:ilvl="7" w:tplc="FFFFFFFF" w:tentative="1">
      <w:start w:val="1"/>
      <w:numFmt w:val="lowerLetter"/>
      <w:lvlText w:val="%8."/>
      <w:lvlJc w:val="left"/>
      <w:pPr>
        <w:ind w:left="4896" w:hanging="360"/>
      </w:pPr>
    </w:lvl>
    <w:lvl w:ilvl="8" w:tplc="FFFFFFFF" w:tentative="1">
      <w:start w:val="1"/>
      <w:numFmt w:val="lowerRoman"/>
      <w:lvlText w:val="%9."/>
      <w:lvlJc w:val="right"/>
      <w:pPr>
        <w:ind w:left="5616" w:hanging="180"/>
      </w:pPr>
    </w:lvl>
  </w:abstractNum>
  <w:abstractNum w:abstractNumId="50" w15:restartNumberingAfterBreak="0">
    <w:nsid w:val="42FF045C"/>
    <w:multiLevelType w:val="hybridMultilevel"/>
    <w:tmpl w:val="92AEC1B0"/>
    <w:lvl w:ilvl="0" w:tplc="FFFFFFFF">
      <w:start w:val="1"/>
      <w:numFmt w:val="lowerLetter"/>
      <w:lvlText w:val="(%1)"/>
      <w:lvlJc w:val="left"/>
      <w:pPr>
        <w:ind w:left="1440" w:hanging="360"/>
      </w:pPr>
    </w:lvl>
    <w:lvl w:ilvl="1" w:tplc="FFFFFFFF" w:tentative="1">
      <w:start w:val="1"/>
      <w:numFmt w:val="lowerLetter"/>
      <w:lvlText w:val="%2."/>
      <w:lvlJc w:val="left"/>
      <w:pPr>
        <w:ind w:left="576" w:hanging="360"/>
      </w:pPr>
    </w:lvl>
    <w:lvl w:ilvl="2" w:tplc="FFFFFFFF" w:tentative="1">
      <w:start w:val="1"/>
      <w:numFmt w:val="lowerRoman"/>
      <w:lvlText w:val="%3."/>
      <w:lvlJc w:val="right"/>
      <w:pPr>
        <w:ind w:left="1296" w:hanging="180"/>
      </w:pPr>
    </w:lvl>
    <w:lvl w:ilvl="3" w:tplc="FFFFFFFF" w:tentative="1">
      <w:start w:val="1"/>
      <w:numFmt w:val="decimal"/>
      <w:lvlText w:val="%4."/>
      <w:lvlJc w:val="left"/>
      <w:pPr>
        <w:ind w:left="2016" w:hanging="360"/>
      </w:pPr>
    </w:lvl>
    <w:lvl w:ilvl="4" w:tplc="FFFFFFFF" w:tentative="1">
      <w:start w:val="1"/>
      <w:numFmt w:val="lowerLetter"/>
      <w:lvlText w:val="%5."/>
      <w:lvlJc w:val="left"/>
      <w:pPr>
        <w:ind w:left="2736" w:hanging="360"/>
      </w:pPr>
    </w:lvl>
    <w:lvl w:ilvl="5" w:tplc="FFFFFFFF" w:tentative="1">
      <w:start w:val="1"/>
      <w:numFmt w:val="lowerRoman"/>
      <w:lvlText w:val="%6."/>
      <w:lvlJc w:val="right"/>
      <w:pPr>
        <w:ind w:left="3456" w:hanging="180"/>
      </w:pPr>
    </w:lvl>
    <w:lvl w:ilvl="6" w:tplc="FFFFFFFF" w:tentative="1">
      <w:start w:val="1"/>
      <w:numFmt w:val="decimal"/>
      <w:lvlText w:val="%7."/>
      <w:lvlJc w:val="left"/>
      <w:pPr>
        <w:ind w:left="4176" w:hanging="360"/>
      </w:pPr>
    </w:lvl>
    <w:lvl w:ilvl="7" w:tplc="FFFFFFFF" w:tentative="1">
      <w:start w:val="1"/>
      <w:numFmt w:val="lowerLetter"/>
      <w:lvlText w:val="%8."/>
      <w:lvlJc w:val="left"/>
      <w:pPr>
        <w:ind w:left="4896" w:hanging="360"/>
      </w:pPr>
    </w:lvl>
    <w:lvl w:ilvl="8" w:tplc="FFFFFFFF" w:tentative="1">
      <w:start w:val="1"/>
      <w:numFmt w:val="lowerRoman"/>
      <w:lvlText w:val="%9."/>
      <w:lvlJc w:val="right"/>
      <w:pPr>
        <w:ind w:left="5616" w:hanging="180"/>
      </w:pPr>
    </w:lvl>
  </w:abstractNum>
  <w:abstractNum w:abstractNumId="51" w15:restartNumberingAfterBreak="0">
    <w:nsid w:val="43E20872"/>
    <w:multiLevelType w:val="hybridMultilevel"/>
    <w:tmpl w:val="12129C10"/>
    <w:lvl w:ilvl="0" w:tplc="2154102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44F353B7"/>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53" w15:restartNumberingAfterBreak="0">
    <w:nsid w:val="49016436"/>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54" w15:restartNumberingAfterBreak="0">
    <w:nsid w:val="490B60AE"/>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55" w15:restartNumberingAfterBreak="0">
    <w:nsid w:val="49603A67"/>
    <w:multiLevelType w:val="multilevel"/>
    <w:tmpl w:val="6876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DEB6ECA"/>
    <w:multiLevelType w:val="hybridMultilevel"/>
    <w:tmpl w:val="EF8EC996"/>
    <w:lvl w:ilvl="0" w:tplc="FFFFFFFF">
      <w:start w:val="1"/>
      <w:numFmt w:val="lowerLetter"/>
      <w:lvlText w:val="(%1)"/>
      <w:lvlJc w:val="left"/>
      <w:pPr>
        <w:ind w:left="-5472" w:hanging="360"/>
      </w:pPr>
    </w:lvl>
    <w:lvl w:ilvl="1" w:tplc="10090019" w:tentative="1">
      <w:start w:val="1"/>
      <w:numFmt w:val="lowerLetter"/>
      <w:lvlText w:val="%2."/>
      <w:lvlJc w:val="left"/>
      <w:pPr>
        <w:ind w:left="-6336" w:hanging="360"/>
      </w:pPr>
    </w:lvl>
    <w:lvl w:ilvl="2" w:tplc="1009001B" w:tentative="1">
      <w:start w:val="1"/>
      <w:numFmt w:val="lowerRoman"/>
      <w:lvlText w:val="%3."/>
      <w:lvlJc w:val="right"/>
      <w:pPr>
        <w:ind w:left="-5616" w:hanging="180"/>
      </w:pPr>
    </w:lvl>
    <w:lvl w:ilvl="3" w:tplc="1009000F" w:tentative="1">
      <w:start w:val="1"/>
      <w:numFmt w:val="decimal"/>
      <w:lvlText w:val="%4."/>
      <w:lvlJc w:val="left"/>
      <w:pPr>
        <w:ind w:left="-4896" w:hanging="360"/>
      </w:pPr>
    </w:lvl>
    <w:lvl w:ilvl="4" w:tplc="10090019" w:tentative="1">
      <w:start w:val="1"/>
      <w:numFmt w:val="lowerLetter"/>
      <w:lvlText w:val="%5."/>
      <w:lvlJc w:val="left"/>
      <w:pPr>
        <w:ind w:left="-417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2736" w:hanging="360"/>
      </w:pPr>
    </w:lvl>
    <w:lvl w:ilvl="7" w:tplc="10090019" w:tentative="1">
      <w:start w:val="1"/>
      <w:numFmt w:val="lowerLetter"/>
      <w:lvlText w:val="%8."/>
      <w:lvlJc w:val="left"/>
      <w:pPr>
        <w:ind w:left="-2016" w:hanging="360"/>
      </w:pPr>
    </w:lvl>
    <w:lvl w:ilvl="8" w:tplc="1009001B" w:tentative="1">
      <w:start w:val="1"/>
      <w:numFmt w:val="lowerRoman"/>
      <w:lvlText w:val="%9."/>
      <w:lvlJc w:val="right"/>
      <w:pPr>
        <w:ind w:left="-1296" w:hanging="180"/>
      </w:pPr>
    </w:lvl>
  </w:abstractNum>
  <w:abstractNum w:abstractNumId="57" w15:restartNumberingAfterBreak="0">
    <w:nsid w:val="5330250E"/>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58" w15:restartNumberingAfterBreak="0">
    <w:nsid w:val="55167DE4"/>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59" w15:restartNumberingAfterBreak="0">
    <w:nsid w:val="558D5210"/>
    <w:multiLevelType w:val="hybridMultilevel"/>
    <w:tmpl w:val="E29C3712"/>
    <w:lvl w:ilvl="0" w:tplc="FFFFFFFF">
      <w:start w:val="1"/>
      <w:numFmt w:val="decimal"/>
      <w:lvlText w:val="%1."/>
      <w:lvlJc w:val="left"/>
      <w:pPr>
        <w:ind w:left="1584" w:hanging="360"/>
      </w:pPr>
      <w:rPr>
        <w:rFonts w:hint="default"/>
        <w:b w:val="0"/>
        <w:bCs w:val="0"/>
        <w:color w:val="auto"/>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0" w15:restartNumberingAfterBreak="0">
    <w:nsid w:val="57896396"/>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1" w15:restartNumberingAfterBreak="0">
    <w:nsid w:val="58296B7C"/>
    <w:multiLevelType w:val="multilevel"/>
    <w:tmpl w:val="824C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8B60EA5"/>
    <w:multiLevelType w:val="hybridMultilevel"/>
    <w:tmpl w:val="EF8EC996"/>
    <w:lvl w:ilvl="0" w:tplc="FFFFFFFF">
      <w:start w:val="1"/>
      <w:numFmt w:val="lowerLetter"/>
      <w:lvlText w:val="(%1)"/>
      <w:lvlJc w:val="left"/>
      <w:pPr>
        <w:ind w:left="-5472" w:hanging="360"/>
      </w:pPr>
    </w:lvl>
    <w:lvl w:ilvl="1" w:tplc="FFFFFFFF" w:tentative="1">
      <w:start w:val="1"/>
      <w:numFmt w:val="lowerLetter"/>
      <w:lvlText w:val="%2."/>
      <w:lvlJc w:val="left"/>
      <w:pPr>
        <w:ind w:left="-6336" w:hanging="360"/>
      </w:pPr>
    </w:lvl>
    <w:lvl w:ilvl="2" w:tplc="FFFFFFFF" w:tentative="1">
      <w:start w:val="1"/>
      <w:numFmt w:val="lowerRoman"/>
      <w:lvlText w:val="%3."/>
      <w:lvlJc w:val="right"/>
      <w:pPr>
        <w:ind w:left="-5616" w:hanging="180"/>
      </w:pPr>
    </w:lvl>
    <w:lvl w:ilvl="3" w:tplc="FFFFFFFF" w:tentative="1">
      <w:start w:val="1"/>
      <w:numFmt w:val="decimal"/>
      <w:lvlText w:val="%4."/>
      <w:lvlJc w:val="left"/>
      <w:pPr>
        <w:ind w:left="-489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3456" w:hanging="180"/>
      </w:pPr>
    </w:lvl>
    <w:lvl w:ilvl="6" w:tplc="FFFFFFFF" w:tentative="1">
      <w:start w:val="1"/>
      <w:numFmt w:val="decimal"/>
      <w:lvlText w:val="%7."/>
      <w:lvlJc w:val="left"/>
      <w:pPr>
        <w:ind w:left="-2736" w:hanging="360"/>
      </w:pPr>
    </w:lvl>
    <w:lvl w:ilvl="7" w:tplc="FFFFFFFF" w:tentative="1">
      <w:start w:val="1"/>
      <w:numFmt w:val="lowerLetter"/>
      <w:lvlText w:val="%8."/>
      <w:lvlJc w:val="left"/>
      <w:pPr>
        <w:ind w:left="-2016" w:hanging="360"/>
      </w:pPr>
    </w:lvl>
    <w:lvl w:ilvl="8" w:tplc="FFFFFFFF" w:tentative="1">
      <w:start w:val="1"/>
      <w:numFmt w:val="lowerRoman"/>
      <w:lvlText w:val="%9."/>
      <w:lvlJc w:val="right"/>
      <w:pPr>
        <w:ind w:left="-1296" w:hanging="180"/>
      </w:pPr>
    </w:lvl>
  </w:abstractNum>
  <w:abstractNum w:abstractNumId="63" w15:restartNumberingAfterBreak="0">
    <w:nsid w:val="5D24692B"/>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4" w15:restartNumberingAfterBreak="0">
    <w:nsid w:val="5D943BEE"/>
    <w:multiLevelType w:val="multilevel"/>
    <w:tmpl w:val="222A08B4"/>
    <w:lvl w:ilvl="0">
      <w:start w:val="1"/>
      <w:numFmt w:val="decimal"/>
      <w:pStyle w:val="CBDNormalNumber"/>
      <w:lvlText w:val="%1."/>
      <w:lvlJc w:val="left"/>
      <w:pPr>
        <w:ind w:left="567" w:firstLine="0"/>
      </w:pPr>
      <w:rPr>
        <w:rFonts w:ascii="Times New Roman" w:hAnsi="Times New Roman" w:cs="Times New Roman" w:hint="default"/>
        <w:b w:val="0"/>
        <w:bCs w:val="0"/>
        <w:i w:val="0"/>
        <w:iCs w:val="0"/>
        <w:color w:val="auto"/>
        <w:sz w:val="22"/>
      </w:rPr>
    </w:lvl>
    <w:lvl w:ilvl="1">
      <w:start w:val="1"/>
      <w:numFmt w:val="lowerLetter"/>
      <w:lvlText w:val="(%2)"/>
      <w:lvlJc w:val="left"/>
      <w:pPr>
        <w:ind w:left="567" w:firstLine="567"/>
      </w:pPr>
      <w:rPr>
        <w:rFonts w:ascii="Times New Roman" w:hAnsi="Times New Roman" w:hint="default"/>
        <w:b w:val="0"/>
        <w:i w:val="0"/>
        <w:sz w:val="22"/>
      </w:rPr>
    </w:lvl>
    <w:lvl w:ilvl="2">
      <w:start w:val="1"/>
      <w:numFmt w:val="lowerRoman"/>
      <w:lvlText w:val="(%3)"/>
      <w:lvlJc w:val="left"/>
      <w:pPr>
        <w:ind w:left="2268" w:hanging="567"/>
      </w:pPr>
      <w:rPr>
        <w:rFonts w:ascii="Times New Roman" w:hAnsi="Times New Roman" w:hint="default"/>
        <w:sz w:val="22"/>
      </w:rPr>
    </w:lvl>
    <w:lvl w:ilvl="3">
      <w:start w:val="1"/>
      <w:numFmt w:val="decimal"/>
      <w:lvlText w:val="(%4)"/>
      <w:lvlJc w:val="left"/>
      <w:pPr>
        <w:ind w:left="2835" w:hanging="567"/>
      </w:pPr>
      <w:rPr>
        <w:rFonts w:ascii="Times New Roman" w:hAnsi="Times New Roman" w:hint="default"/>
        <w:sz w:val="22"/>
      </w:rPr>
    </w:lvl>
    <w:lvl w:ilvl="4">
      <w:start w:val="1"/>
      <w:numFmt w:val="lowerLetter"/>
      <w:lvlText w:val="(%5)"/>
      <w:lvlJc w:val="left"/>
      <w:pPr>
        <w:ind w:left="3402" w:hanging="567"/>
      </w:pPr>
      <w:rPr>
        <w:rFonts w:hint="default"/>
      </w:rPr>
    </w:lvl>
    <w:lvl w:ilvl="5">
      <w:start w:val="1"/>
      <w:numFmt w:val="lowerRoman"/>
      <w:lvlText w:val="(%6)"/>
      <w:lvlJc w:val="left"/>
      <w:pPr>
        <w:ind w:left="2826" w:hanging="360"/>
      </w:pPr>
      <w:rPr>
        <w:rFonts w:hint="default"/>
      </w:rPr>
    </w:lvl>
    <w:lvl w:ilvl="6">
      <w:start w:val="1"/>
      <w:numFmt w:val="decimal"/>
      <w:lvlText w:val="%7."/>
      <w:lvlJc w:val="left"/>
      <w:pPr>
        <w:ind w:left="3186" w:hanging="360"/>
      </w:pPr>
      <w:rPr>
        <w:rFonts w:hint="default"/>
      </w:rPr>
    </w:lvl>
    <w:lvl w:ilvl="7">
      <w:start w:val="1"/>
      <w:numFmt w:val="lowerLetter"/>
      <w:lvlText w:val="%8."/>
      <w:lvlJc w:val="left"/>
      <w:pPr>
        <w:ind w:left="3546" w:hanging="360"/>
      </w:pPr>
      <w:rPr>
        <w:rFonts w:hint="default"/>
      </w:rPr>
    </w:lvl>
    <w:lvl w:ilvl="8">
      <w:start w:val="1"/>
      <w:numFmt w:val="lowerRoman"/>
      <w:lvlText w:val="%9."/>
      <w:lvlJc w:val="left"/>
      <w:pPr>
        <w:ind w:left="3906" w:hanging="360"/>
      </w:pPr>
      <w:rPr>
        <w:rFonts w:hint="default"/>
      </w:rPr>
    </w:lvl>
  </w:abstractNum>
  <w:abstractNum w:abstractNumId="65" w15:restartNumberingAfterBreak="0">
    <w:nsid w:val="5E955472"/>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6" w15:restartNumberingAfterBreak="0">
    <w:nsid w:val="5F213FB1"/>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7" w15:restartNumberingAfterBreak="0">
    <w:nsid w:val="61BA5AFF"/>
    <w:multiLevelType w:val="hybridMultilevel"/>
    <w:tmpl w:val="7362FEC0"/>
    <w:lvl w:ilvl="0" w:tplc="FFFFFFFF">
      <w:start w:val="1"/>
      <w:numFmt w:val="lowerLetter"/>
      <w:lvlText w:val="(%1)"/>
      <w:lvlJc w:val="left"/>
      <w:pPr>
        <w:ind w:left="-2016"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1440" w:hanging="360"/>
      </w:pPr>
    </w:lvl>
    <w:lvl w:ilvl="4" w:tplc="10090019" w:tentative="1">
      <w:start w:val="1"/>
      <w:numFmt w:val="lowerLetter"/>
      <w:lvlText w:val="%5."/>
      <w:lvlJc w:val="left"/>
      <w:pPr>
        <w:ind w:left="-720" w:hanging="360"/>
      </w:pPr>
    </w:lvl>
    <w:lvl w:ilvl="5" w:tplc="1009001B" w:tentative="1">
      <w:start w:val="1"/>
      <w:numFmt w:val="lowerRoman"/>
      <w:lvlText w:val="%6."/>
      <w:lvlJc w:val="right"/>
      <w:pPr>
        <w:ind w:left="0" w:hanging="180"/>
      </w:pPr>
    </w:lvl>
    <w:lvl w:ilvl="6" w:tplc="1009000F" w:tentative="1">
      <w:start w:val="1"/>
      <w:numFmt w:val="decimal"/>
      <w:lvlText w:val="%7."/>
      <w:lvlJc w:val="left"/>
      <w:pPr>
        <w:ind w:left="720" w:hanging="360"/>
      </w:pPr>
    </w:lvl>
    <w:lvl w:ilvl="7" w:tplc="10090019" w:tentative="1">
      <w:start w:val="1"/>
      <w:numFmt w:val="lowerLetter"/>
      <w:lvlText w:val="%8."/>
      <w:lvlJc w:val="left"/>
      <w:pPr>
        <w:ind w:left="1440" w:hanging="360"/>
      </w:pPr>
    </w:lvl>
    <w:lvl w:ilvl="8" w:tplc="1009001B" w:tentative="1">
      <w:start w:val="1"/>
      <w:numFmt w:val="lowerRoman"/>
      <w:lvlText w:val="%9."/>
      <w:lvlJc w:val="right"/>
      <w:pPr>
        <w:ind w:left="2160" w:hanging="180"/>
      </w:pPr>
    </w:lvl>
  </w:abstractNum>
  <w:abstractNum w:abstractNumId="68" w15:restartNumberingAfterBreak="0">
    <w:nsid w:val="65D7293C"/>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9" w15:restartNumberingAfterBreak="0">
    <w:nsid w:val="65E26B27"/>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0" w15:restartNumberingAfterBreak="0">
    <w:nsid w:val="676A1276"/>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1" w15:restartNumberingAfterBreak="0">
    <w:nsid w:val="68B70991"/>
    <w:multiLevelType w:val="hybridMultilevel"/>
    <w:tmpl w:val="03BC8A2C"/>
    <w:lvl w:ilvl="0" w:tplc="63E82E68">
      <w:start w:val="1"/>
      <w:numFmt w:val="decimal"/>
      <w:pStyle w:val="Para1"/>
      <w:lvlText w:val="%1."/>
      <w:lvlJc w:val="left"/>
      <w:pPr>
        <w:ind w:left="927" w:hanging="360"/>
      </w:pPr>
      <w:rPr>
        <w:rFonts w:hint="default"/>
        <w:i w:val="0"/>
        <w:iCs w:val="0"/>
        <w:strike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72" w15:restartNumberingAfterBreak="0">
    <w:nsid w:val="69EC54F8"/>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3" w15:restartNumberingAfterBreak="0">
    <w:nsid w:val="6A482868"/>
    <w:multiLevelType w:val="hybridMultilevel"/>
    <w:tmpl w:val="389AD6A0"/>
    <w:lvl w:ilvl="0" w:tplc="4A24DAE6">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74" w15:restartNumberingAfterBreak="0">
    <w:nsid w:val="6BA72842"/>
    <w:multiLevelType w:val="hybridMultilevel"/>
    <w:tmpl w:val="7362FEC0"/>
    <w:lvl w:ilvl="0" w:tplc="FFFFFFFF">
      <w:start w:val="1"/>
      <w:numFmt w:val="lowerLetter"/>
      <w:lvlText w:val="(%1)"/>
      <w:lvlJc w:val="left"/>
      <w:pPr>
        <w:ind w:left="-2016"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720" w:hanging="360"/>
      </w:pPr>
    </w:lvl>
    <w:lvl w:ilvl="5" w:tplc="FFFFFFFF" w:tentative="1">
      <w:start w:val="1"/>
      <w:numFmt w:val="lowerRoman"/>
      <w:lvlText w:val="%6."/>
      <w:lvlJc w:val="right"/>
      <w:pPr>
        <w:ind w:left="0" w:hanging="180"/>
      </w:pPr>
    </w:lvl>
    <w:lvl w:ilvl="6" w:tplc="FFFFFFFF" w:tentative="1">
      <w:start w:val="1"/>
      <w:numFmt w:val="decimal"/>
      <w:lvlText w:val="%7."/>
      <w:lvlJc w:val="left"/>
      <w:pPr>
        <w:ind w:left="720" w:hanging="360"/>
      </w:pPr>
    </w:lvl>
    <w:lvl w:ilvl="7" w:tplc="FFFFFFFF" w:tentative="1">
      <w:start w:val="1"/>
      <w:numFmt w:val="lowerLetter"/>
      <w:lvlText w:val="%8."/>
      <w:lvlJc w:val="left"/>
      <w:pPr>
        <w:ind w:left="1440" w:hanging="360"/>
      </w:pPr>
    </w:lvl>
    <w:lvl w:ilvl="8" w:tplc="FFFFFFFF" w:tentative="1">
      <w:start w:val="1"/>
      <w:numFmt w:val="lowerRoman"/>
      <w:lvlText w:val="%9."/>
      <w:lvlJc w:val="right"/>
      <w:pPr>
        <w:ind w:left="2160" w:hanging="180"/>
      </w:pPr>
    </w:lvl>
  </w:abstractNum>
  <w:abstractNum w:abstractNumId="75" w15:restartNumberingAfterBreak="0">
    <w:nsid w:val="6BF97DF3"/>
    <w:multiLevelType w:val="hybridMultilevel"/>
    <w:tmpl w:val="54B89BF4"/>
    <w:lvl w:ilvl="0" w:tplc="FFFFFFFF">
      <w:start w:val="1"/>
      <w:numFmt w:val="lowerLetter"/>
      <w:lvlText w:val="(%1)"/>
      <w:lvlJc w:val="left"/>
      <w:pPr>
        <w:ind w:left="230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6F962881"/>
    <w:multiLevelType w:val="hybridMultilevel"/>
    <w:tmpl w:val="540A6C7A"/>
    <w:lvl w:ilvl="0" w:tplc="FFFFFFFF">
      <w:start w:val="1"/>
      <w:numFmt w:val="lowerLetter"/>
      <w:lvlText w:val="(%1)"/>
      <w:lvlJc w:val="left"/>
      <w:pPr>
        <w:ind w:left="1440" w:hanging="360"/>
      </w:pPr>
    </w:lvl>
    <w:lvl w:ilvl="1" w:tplc="10090019" w:tentative="1">
      <w:start w:val="1"/>
      <w:numFmt w:val="lowerLetter"/>
      <w:lvlText w:val="%2."/>
      <w:lvlJc w:val="left"/>
      <w:pPr>
        <w:ind w:left="57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77" w15:restartNumberingAfterBreak="0">
    <w:nsid w:val="70245F7E"/>
    <w:multiLevelType w:val="hybridMultilevel"/>
    <w:tmpl w:val="3914075E"/>
    <w:lvl w:ilvl="0" w:tplc="FFFFFFFF">
      <w:start w:val="1"/>
      <w:numFmt w:val="lowerLetter"/>
      <w:lvlText w:val="(%1)"/>
      <w:lvlJc w:val="left"/>
      <w:pPr>
        <w:ind w:left="-3744" w:hanging="360"/>
      </w:pPr>
    </w:lvl>
    <w:lvl w:ilvl="1" w:tplc="10090019" w:tentative="1">
      <w:start w:val="1"/>
      <w:numFmt w:val="lowerLetter"/>
      <w:lvlText w:val="%2."/>
      <w:lvlJc w:val="left"/>
      <w:pPr>
        <w:ind w:left="-4608" w:hanging="360"/>
      </w:pPr>
    </w:lvl>
    <w:lvl w:ilvl="2" w:tplc="1009001B" w:tentative="1">
      <w:start w:val="1"/>
      <w:numFmt w:val="lowerRoman"/>
      <w:lvlText w:val="%3."/>
      <w:lvlJc w:val="right"/>
      <w:pPr>
        <w:ind w:left="-3888" w:hanging="180"/>
      </w:pPr>
    </w:lvl>
    <w:lvl w:ilvl="3" w:tplc="1009000F" w:tentative="1">
      <w:start w:val="1"/>
      <w:numFmt w:val="decimal"/>
      <w:lvlText w:val="%4."/>
      <w:lvlJc w:val="left"/>
      <w:pPr>
        <w:ind w:left="-3168" w:hanging="360"/>
      </w:pPr>
    </w:lvl>
    <w:lvl w:ilvl="4" w:tplc="10090019" w:tentative="1">
      <w:start w:val="1"/>
      <w:numFmt w:val="lowerLetter"/>
      <w:lvlText w:val="%5."/>
      <w:lvlJc w:val="left"/>
      <w:pPr>
        <w:ind w:left="-2448" w:hanging="360"/>
      </w:pPr>
    </w:lvl>
    <w:lvl w:ilvl="5" w:tplc="1009001B" w:tentative="1">
      <w:start w:val="1"/>
      <w:numFmt w:val="lowerRoman"/>
      <w:lvlText w:val="%6."/>
      <w:lvlJc w:val="right"/>
      <w:pPr>
        <w:ind w:left="-1728" w:hanging="180"/>
      </w:pPr>
    </w:lvl>
    <w:lvl w:ilvl="6" w:tplc="1009000F" w:tentative="1">
      <w:start w:val="1"/>
      <w:numFmt w:val="decimal"/>
      <w:lvlText w:val="%7."/>
      <w:lvlJc w:val="left"/>
      <w:pPr>
        <w:ind w:left="-1008" w:hanging="360"/>
      </w:pPr>
    </w:lvl>
    <w:lvl w:ilvl="7" w:tplc="10090019" w:tentative="1">
      <w:start w:val="1"/>
      <w:numFmt w:val="lowerLetter"/>
      <w:lvlText w:val="%8."/>
      <w:lvlJc w:val="left"/>
      <w:pPr>
        <w:ind w:left="-288" w:hanging="360"/>
      </w:pPr>
    </w:lvl>
    <w:lvl w:ilvl="8" w:tplc="1009001B" w:tentative="1">
      <w:start w:val="1"/>
      <w:numFmt w:val="lowerRoman"/>
      <w:lvlText w:val="%9."/>
      <w:lvlJc w:val="right"/>
      <w:pPr>
        <w:ind w:left="432" w:hanging="180"/>
      </w:pPr>
    </w:lvl>
  </w:abstractNum>
  <w:abstractNum w:abstractNumId="78" w15:restartNumberingAfterBreak="0">
    <w:nsid w:val="72CF3408"/>
    <w:multiLevelType w:val="multilevel"/>
    <w:tmpl w:val="8C12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344495E"/>
    <w:multiLevelType w:val="hybridMultilevel"/>
    <w:tmpl w:val="21CCCFB6"/>
    <w:lvl w:ilvl="0" w:tplc="FFFFFFFF">
      <w:start w:val="1"/>
      <w:numFmt w:val="lowerLetter"/>
      <w:lvlText w:val="(%1)"/>
      <w:lvlJc w:val="left"/>
      <w:pPr>
        <w:ind w:left="576" w:hanging="360"/>
      </w:pPr>
    </w:lvl>
    <w:lvl w:ilvl="1" w:tplc="FFFFFFFF" w:tentative="1">
      <w:start w:val="1"/>
      <w:numFmt w:val="lowerLetter"/>
      <w:lvlText w:val="%2."/>
      <w:lvlJc w:val="left"/>
      <w:pPr>
        <w:ind w:left="-288" w:hanging="360"/>
      </w:pPr>
    </w:lvl>
    <w:lvl w:ilvl="2" w:tplc="FFFFFFFF" w:tentative="1">
      <w:start w:val="1"/>
      <w:numFmt w:val="lowerRoman"/>
      <w:lvlText w:val="%3."/>
      <w:lvlJc w:val="right"/>
      <w:pPr>
        <w:ind w:left="432" w:hanging="180"/>
      </w:pPr>
    </w:lvl>
    <w:lvl w:ilvl="3" w:tplc="FFFFFFFF" w:tentative="1">
      <w:start w:val="1"/>
      <w:numFmt w:val="decimal"/>
      <w:lvlText w:val="%4."/>
      <w:lvlJc w:val="left"/>
      <w:pPr>
        <w:ind w:left="1152" w:hanging="360"/>
      </w:pPr>
    </w:lvl>
    <w:lvl w:ilvl="4" w:tplc="FFFFFFFF" w:tentative="1">
      <w:start w:val="1"/>
      <w:numFmt w:val="lowerLetter"/>
      <w:lvlText w:val="%5."/>
      <w:lvlJc w:val="left"/>
      <w:pPr>
        <w:ind w:left="1872" w:hanging="360"/>
      </w:pPr>
    </w:lvl>
    <w:lvl w:ilvl="5" w:tplc="FFFFFFFF" w:tentative="1">
      <w:start w:val="1"/>
      <w:numFmt w:val="lowerRoman"/>
      <w:lvlText w:val="%6."/>
      <w:lvlJc w:val="right"/>
      <w:pPr>
        <w:ind w:left="2592" w:hanging="180"/>
      </w:pPr>
    </w:lvl>
    <w:lvl w:ilvl="6" w:tplc="FFFFFFFF" w:tentative="1">
      <w:start w:val="1"/>
      <w:numFmt w:val="decimal"/>
      <w:lvlText w:val="%7."/>
      <w:lvlJc w:val="left"/>
      <w:pPr>
        <w:ind w:left="3312" w:hanging="360"/>
      </w:pPr>
    </w:lvl>
    <w:lvl w:ilvl="7" w:tplc="FFFFFFFF" w:tentative="1">
      <w:start w:val="1"/>
      <w:numFmt w:val="lowerLetter"/>
      <w:lvlText w:val="%8."/>
      <w:lvlJc w:val="left"/>
      <w:pPr>
        <w:ind w:left="4032" w:hanging="360"/>
      </w:pPr>
    </w:lvl>
    <w:lvl w:ilvl="8" w:tplc="FFFFFFFF" w:tentative="1">
      <w:start w:val="1"/>
      <w:numFmt w:val="lowerRoman"/>
      <w:lvlText w:val="%9."/>
      <w:lvlJc w:val="right"/>
      <w:pPr>
        <w:ind w:left="4752" w:hanging="180"/>
      </w:pPr>
    </w:lvl>
  </w:abstractNum>
  <w:abstractNum w:abstractNumId="80" w15:restartNumberingAfterBreak="0">
    <w:nsid w:val="75B74CDA"/>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1" w15:restartNumberingAfterBreak="0">
    <w:nsid w:val="764E65A6"/>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2" w15:restartNumberingAfterBreak="0">
    <w:nsid w:val="76822EE2"/>
    <w:multiLevelType w:val="hybridMultilevel"/>
    <w:tmpl w:val="21CCCFB6"/>
    <w:lvl w:ilvl="0" w:tplc="FFFFFFFF">
      <w:start w:val="1"/>
      <w:numFmt w:val="lowerLetter"/>
      <w:lvlText w:val="(%1)"/>
      <w:lvlJc w:val="left"/>
      <w:pPr>
        <w:ind w:left="576" w:hanging="360"/>
      </w:pPr>
    </w:lvl>
    <w:lvl w:ilvl="1" w:tplc="FFFFFFFF" w:tentative="1">
      <w:start w:val="1"/>
      <w:numFmt w:val="lowerLetter"/>
      <w:lvlText w:val="%2."/>
      <w:lvlJc w:val="left"/>
      <w:pPr>
        <w:ind w:left="-288" w:hanging="360"/>
      </w:pPr>
    </w:lvl>
    <w:lvl w:ilvl="2" w:tplc="FFFFFFFF" w:tentative="1">
      <w:start w:val="1"/>
      <w:numFmt w:val="lowerRoman"/>
      <w:lvlText w:val="%3."/>
      <w:lvlJc w:val="right"/>
      <w:pPr>
        <w:ind w:left="432" w:hanging="180"/>
      </w:pPr>
    </w:lvl>
    <w:lvl w:ilvl="3" w:tplc="FFFFFFFF" w:tentative="1">
      <w:start w:val="1"/>
      <w:numFmt w:val="decimal"/>
      <w:lvlText w:val="%4."/>
      <w:lvlJc w:val="left"/>
      <w:pPr>
        <w:ind w:left="1152" w:hanging="360"/>
      </w:pPr>
    </w:lvl>
    <w:lvl w:ilvl="4" w:tplc="FFFFFFFF" w:tentative="1">
      <w:start w:val="1"/>
      <w:numFmt w:val="lowerLetter"/>
      <w:lvlText w:val="%5."/>
      <w:lvlJc w:val="left"/>
      <w:pPr>
        <w:ind w:left="1872" w:hanging="360"/>
      </w:pPr>
    </w:lvl>
    <w:lvl w:ilvl="5" w:tplc="FFFFFFFF" w:tentative="1">
      <w:start w:val="1"/>
      <w:numFmt w:val="lowerRoman"/>
      <w:lvlText w:val="%6."/>
      <w:lvlJc w:val="right"/>
      <w:pPr>
        <w:ind w:left="2592" w:hanging="180"/>
      </w:pPr>
    </w:lvl>
    <w:lvl w:ilvl="6" w:tplc="FFFFFFFF" w:tentative="1">
      <w:start w:val="1"/>
      <w:numFmt w:val="decimal"/>
      <w:lvlText w:val="%7."/>
      <w:lvlJc w:val="left"/>
      <w:pPr>
        <w:ind w:left="3312" w:hanging="360"/>
      </w:pPr>
    </w:lvl>
    <w:lvl w:ilvl="7" w:tplc="FFFFFFFF" w:tentative="1">
      <w:start w:val="1"/>
      <w:numFmt w:val="lowerLetter"/>
      <w:lvlText w:val="%8."/>
      <w:lvlJc w:val="left"/>
      <w:pPr>
        <w:ind w:left="4032" w:hanging="360"/>
      </w:pPr>
    </w:lvl>
    <w:lvl w:ilvl="8" w:tplc="FFFFFFFF" w:tentative="1">
      <w:start w:val="1"/>
      <w:numFmt w:val="lowerRoman"/>
      <w:lvlText w:val="%9."/>
      <w:lvlJc w:val="right"/>
      <w:pPr>
        <w:ind w:left="4752" w:hanging="180"/>
      </w:pPr>
    </w:lvl>
  </w:abstractNum>
  <w:abstractNum w:abstractNumId="83" w15:restartNumberingAfterBreak="0">
    <w:nsid w:val="76CD7A25"/>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4" w15:restartNumberingAfterBreak="0">
    <w:nsid w:val="77D63194"/>
    <w:multiLevelType w:val="hybridMultilevel"/>
    <w:tmpl w:val="8F66C1D6"/>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5" w15:restartNumberingAfterBreak="0">
    <w:nsid w:val="7886078C"/>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6" w15:restartNumberingAfterBreak="0">
    <w:nsid w:val="791F7234"/>
    <w:multiLevelType w:val="hybridMultilevel"/>
    <w:tmpl w:val="48D8059A"/>
    <w:lvl w:ilvl="0" w:tplc="321844C8">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rPr>
        <w:b/>
        <w:bCs/>
      </w:rPr>
    </w:lvl>
    <w:lvl w:ilvl="3" w:tplc="FFFFFFFF">
      <w:start w:val="1"/>
      <w:numFmt w:val="decimal"/>
      <w:lvlText w:val="%4."/>
      <w:lvlJc w:val="left"/>
      <w:pPr>
        <w:ind w:left="3744" w:hanging="360"/>
      </w:pPr>
    </w:lvl>
    <w:lvl w:ilvl="4" w:tplc="FFFFFFFF">
      <w:start w:val="1"/>
      <w:numFmt w:val="lowerLetter"/>
      <w:lvlText w:val="%5."/>
      <w:lvlJc w:val="left"/>
      <w:pPr>
        <w:ind w:left="4464" w:hanging="360"/>
      </w:pPr>
    </w:lvl>
    <w:lvl w:ilvl="5" w:tplc="FFFFFFFF">
      <w:start w:val="1"/>
      <w:numFmt w:val="lowerRoman"/>
      <w:lvlText w:val="%6."/>
      <w:lvlJc w:val="right"/>
      <w:pPr>
        <w:ind w:left="5184" w:hanging="180"/>
      </w:pPr>
    </w:lvl>
    <w:lvl w:ilvl="6" w:tplc="FFFFFFFF">
      <w:start w:val="1"/>
      <w:numFmt w:val="decimal"/>
      <w:lvlText w:val="%7."/>
      <w:lvlJc w:val="left"/>
      <w:pPr>
        <w:ind w:left="5904" w:hanging="360"/>
      </w:pPr>
    </w:lvl>
    <w:lvl w:ilvl="7" w:tplc="FFFFFFFF">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7" w15:restartNumberingAfterBreak="0">
    <w:nsid w:val="7B565F16"/>
    <w:multiLevelType w:val="multilevel"/>
    <w:tmpl w:val="9DB4A24E"/>
    <w:lvl w:ilvl="0">
      <w:start w:val="2"/>
      <w:numFmt w:val="lowerLetter"/>
      <w:lvlText w:val="%1."/>
      <w:lvlJc w:val="left"/>
      <w:pPr>
        <w:tabs>
          <w:tab w:val="num" w:pos="720"/>
        </w:tabs>
        <w:ind w:left="720" w:hanging="360"/>
      </w:pPr>
    </w:lvl>
    <w:lvl w:ilvl="1">
      <w:start w:val="8"/>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D7C4CEF"/>
    <w:multiLevelType w:val="hybridMultilevel"/>
    <w:tmpl w:val="AA1ECE08"/>
    <w:lvl w:ilvl="0" w:tplc="FFFFFFFF">
      <w:start w:val="1"/>
      <w:numFmt w:val="decimal"/>
      <w:lvlText w:val="%1."/>
      <w:lvlJc w:val="left"/>
      <w:pPr>
        <w:ind w:left="1584" w:hanging="360"/>
      </w:pPr>
      <w:rPr>
        <w:rFonts w:hint="default"/>
        <w:b w:val="0"/>
        <w:bCs w:val="0"/>
        <w:color w:val="auto"/>
        <w:sz w:val="22"/>
        <w:szCs w:val="22"/>
      </w:rPr>
    </w:lvl>
    <w:lvl w:ilvl="1" w:tplc="FFFFFFFF">
      <w:start w:val="1"/>
      <w:numFmt w:val="lowerLetter"/>
      <w:lvlText w:val="(%2)"/>
      <w:lvlJc w:val="left"/>
      <w:pPr>
        <w:ind w:left="2304" w:hanging="360"/>
      </w:pPr>
    </w:lvl>
    <w:lvl w:ilvl="2" w:tplc="FFFFFFFF">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89" w15:restartNumberingAfterBreak="0">
    <w:nsid w:val="7F511884"/>
    <w:multiLevelType w:val="hybridMultilevel"/>
    <w:tmpl w:val="21CCCFB6"/>
    <w:lvl w:ilvl="0" w:tplc="FFFFFFFF">
      <w:start w:val="1"/>
      <w:numFmt w:val="lowerLetter"/>
      <w:lvlText w:val="(%1)"/>
      <w:lvlJc w:val="left"/>
      <w:pPr>
        <w:ind w:left="576" w:hanging="360"/>
      </w:pPr>
    </w:lvl>
    <w:lvl w:ilvl="1" w:tplc="FFFFFFFF" w:tentative="1">
      <w:start w:val="1"/>
      <w:numFmt w:val="lowerLetter"/>
      <w:lvlText w:val="%2."/>
      <w:lvlJc w:val="left"/>
      <w:pPr>
        <w:ind w:left="-288" w:hanging="360"/>
      </w:pPr>
    </w:lvl>
    <w:lvl w:ilvl="2" w:tplc="FFFFFFFF" w:tentative="1">
      <w:start w:val="1"/>
      <w:numFmt w:val="lowerRoman"/>
      <w:lvlText w:val="%3."/>
      <w:lvlJc w:val="right"/>
      <w:pPr>
        <w:ind w:left="432" w:hanging="180"/>
      </w:pPr>
    </w:lvl>
    <w:lvl w:ilvl="3" w:tplc="FFFFFFFF" w:tentative="1">
      <w:start w:val="1"/>
      <w:numFmt w:val="decimal"/>
      <w:lvlText w:val="%4."/>
      <w:lvlJc w:val="left"/>
      <w:pPr>
        <w:ind w:left="1152" w:hanging="360"/>
      </w:pPr>
    </w:lvl>
    <w:lvl w:ilvl="4" w:tplc="FFFFFFFF" w:tentative="1">
      <w:start w:val="1"/>
      <w:numFmt w:val="lowerLetter"/>
      <w:lvlText w:val="%5."/>
      <w:lvlJc w:val="left"/>
      <w:pPr>
        <w:ind w:left="1872" w:hanging="360"/>
      </w:pPr>
    </w:lvl>
    <w:lvl w:ilvl="5" w:tplc="FFFFFFFF" w:tentative="1">
      <w:start w:val="1"/>
      <w:numFmt w:val="lowerRoman"/>
      <w:lvlText w:val="%6."/>
      <w:lvlJc w:val="right"/>
      <w:pPr>
        <w:ind w:left="2592" w:hanging="180"/>
      </w:pPr>
    </w:lvl>
    <w:lvl w:ilvl="6" w:tplc="FFFFFFFF" w:tentative="1">
      <w:start w:val="1"/>
      <w:numFmt w:val="decimal"/>
      <w:lvlText w:val="%7."/>
      <w:lvlJc w:val="left"/>
      <w:pPr>
        <w:ind w:left="3312" w:hanging="360"/>
      </w:pPr>
    </w:lvl>
    <w:lvl w:ilvl="7" w:tplc="FFFFFFFF" w:tentative="1">
      <w:start w:val="1"/>
      <w:numFmt w:val="lowerLetter"/>
      <w:lvlText w:val="%8."/>
      <w:lvlJc w:val="left"/>
      <w:pPr>
        <w:ind w:left="4032" w:hanging="360"/>
      </w:pPr>
    </w:lvl>
    <w:lvl w:ilvl="8" w:tplc="FFFFFFFF" w:tentative="1">
      <w:start w:val="1"/>
      <w:numFmt w:val="lowerRoman"/>
      <w:lvlText w:val="%9."/>
      <w:lvlJc w:val="right"/>
      <w:pPr>
        <w:ind w:left="4752" w:hanging="180"/>
      </w:pPr>
    </w:lvl>
  </w:abstractNum>
  <w:num w:numId="1" w16cid:durableId="1167748783">
    <w:abstractNumId w:val="55"/>
  </w:num>
  <w:num w:numId="2" w16cid:durableId="1870560051">
    <w:abstractNumId w:val="61"/>
  </w:num>
  <w:num w:numId="3" w16cid:durableId="460345140">
    <w:abstractNumId w:val="78"/>
  </w:num>
  <w:num w:numId="4" w16cid:durableId="442261630">
    <w:abstractNumId w:val="12"/>
  </w:num>
  <w:num w:numId="5" w16cid:durableId="1377461977">
    <w:abstractNumId w:val="87"/>
  </w:num>
  <w:num w:numId="6" w16cid:durableId="1274898664">
    <w:abstractNumId w:val="42"/>
  </w:num>
  <w:num w:numId="7" w16cid:durableId="261497687">
    <w:abstractNumId w:val="4"/>
  </w:num>
  <w:num w:numId="8" w16cid:durableId="549927326">
    <w:abstractNumId w:val="2"/>
  </w:num>
  <w:num w:numId="9" w16cid:durableId="930158134">
    <w:abstractNumId w:val="71"/>
  </w:num>
  <w:num w:numId="10" w16cid:durableId="26218795">
    <w:abstractNumId w:val="26"/>
  </w:num>
  <w:num w:numId="11" w16cid:durableId="348609907">
    <w:abstractNumId w:val="17"/>
  </w:num>
  <w:num w:numId="12" w16cid:durableId="1558126603">
    <w:abstractNumId w:val="51"/>
  </w:num>
  <w:num w:numId="13" w16cid:durableId="134378615">
    <w:abstractNumId w:val="30"/>
  </w:num>
  <w:num w:numId="14" w16cid:durableId="1502311180">
    <w:abstractNumId w:val="3"/>
  </w:num>
  <w:num w:numId="15" w16cid:durableId="898636108">
    <w:abstractNumId w:val="29"/>
  </w:num>
  <w:num w:numId="16" w16cid:durableId="2107580003">
    <w:abstractNumId w:val="35"/>
  </w:num>
  <w:num w:numId="17" w16cid:durableId="1323897226">
    <w:abstractNumId w:val="76"/>
  </w:num>
  <w:num w:numId="18" w16cid:durableId="1782146792">
    <w:abstractNumId w:val="15"/>
  </w:num>
  <w:num w:numId="19" w16cid:durableId="1880242105">
    <w:abstractNumId w:val="45"/>
  </w:num>
  <w:num w:numId="20" w16cid:durableId="18359087">
    <w:abstractNumId w:val="28"/>
  </w:num>
  <w:num w:numId="21" w16cid:durableId="1979453920">
    <w:abstractNumId w:val="67"/>
  </w:num>
  <w:num w:numId="22" w16cid:durableId="1091389774">
    <w:abstractNumId w:val="74"/>
  </w:num>
  <w:num w:numId="23" w16cid:durableId="1634603585">
    <w:abstractNumId w:val="38"/>
  </w:num>
  <w:num w:numId="24" w16cid:durableId="2033729287">
    <w:abstractNumId w:val="23"/>
  </w:num>
  <w:num w:numId="25" w16cid:durableId="636300383">
    <w:abstractNumId w:val="19"/>
  </w:num>
  <w:num w:numId="26" w16cid:durableId="486165846">
    <w:abstractNumId w:val="77"/>
  </w:num>
  <w:num w:numId="27" w16cid:durableId="719474512">
    <w:abstractNumId w:val="11"/>
  </w:num>
  <w:num w:numId="28" w16cid:durableId="281159001">
    <w:abstractNumId w:val="56"/>
  </w:num>
  <w:num w:numId="29" w16cid:durableId="768506648">
    <w:abstractNumId w:val="62"/>
  </w:num>
  <w:num w:numId="30" w16cid:durableId="1952784402">
    <w:abstractNumId w:val="9"/>
  </w:num>
  <w:num w:numId="31" w16cid:durableId="1813012811">
    <w:abstractNumId w:val="31"/>
  </w:num>
  <w:num w:numId="32" w16cid:durableId="619261164">
    <w:abstractNumId w:val="1"/>
  </w:num>
  <w:num w:numId="33" w16cid:durableId="1376349956">
    <w:abstractNumId w:val="0"/>
  </w:num>
  <w:num w:numId="34" w16cid:durableId="938220937">
    <w:abstractNumId w:val="64"/>
  </w:num>
  <w:num w:numId="35" w16cid:durableId="1061761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11713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689723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276620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9715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83449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91612136">
    <w:abstractNumId w:val="41"/>
  </w:num>
  <w:num w:numId="42" w16cid:durableId="644966600">
    <w:abstractNumId w:val="22"/>
  </w:num>
  <w:num w:numId="43" w16cid:durableId="1170481965">
    <w:abstractNumId w:val="14"/>
  </w:num>
  <w:num w:numId="44" w16cid:durableId="1269971745">
    <w:abstractNumId w:val="37"/>
  </w:num>
  <w:num w:numId="45" w16cid:durableId="51072868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8866174">
    <w:abstractNumId w:val="75"/>
  </w:num>
  <w:num w:numId="47" w16cid:durableId="270474703">
    <w:abstractNumId w:val="10"/>
  </w:num>
  <w:num w:numId="48" w16cid:durableId="1914388297">
    <w:abstractNumId w:val="46"/>
  </w:num>
  <w:num w:numId="49" w16cid:durableId="12475007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37955624">
    <w:abstractNumId w:val="8"/>
  </w:num>
  <w:num w:numId="51" w16cid:durableId="504783095">
    <w:abstractNumId w:val="5"/>
  </w:num>
  <w:num w:numId="52" w16cid:durableId="238057987">
    <w:abstractNumId w:val="49"/>
  </w:num>
  <w:num w:numId="53" w16cid:durableId="298456447">
    <w:abstractNumId w:val="50"/>
  </w:num>
  <w:num w:numId="54" w16cid:durableId="1992296062">
    <w:abstractNumId w:val="20"/>
  </w:num>
  <w:num w:numId="55" w16cid:durableId="231276751">
    <w:abstractNumId w:val="39"/>
  </w:num>
  <w:num w:numId="56" w16cid:durableId="598022378">
    <w:abstractNumId w:val="82"/>
  </w:num>
  <w:num w:numId="57" w16cid:durableId="188644707">
    <w:abstractNumId w:val="89"/>
  </w:num>
  <w:num w:numId="58" w16cid:durableId="160318669">
    <w:abstractNumId w:val="79"/>
  </w:num>
  <w:num w:numId="59" w16cid:durableId="1255440002">
    <w:abstractNumId w:val="25"/>
  </w:num>
  <w:num w:numId="60" w16cid:durableId="1892378555">
    <w:abstractNumId w:val="86"/>
  </w:num>
  <w:num w:numId="61" w16cid:durableId="1672220702">
    <w:abstractNumId w:val="73"/>
  </w:num>
  <w:num w:numId="62" w16cid:durableId="1148130586">
    <w:abstractNumId w:val="59"/>
  </w:num>
  <w:num w:numId="63" w16cid:durableId="862010754">
    <w:abstractNumId w:val="47"/>
  </w:num>
  <w:num w:numId="64" w16cid:durableId="1334649337">
    <w:abstractNumId w:val="24"/>
  </w:num>
  <w:num w:numId="65" w16cid:durableId="1068652641">
    <w:abstractNumId w:val="21"/>
  </w:num>
  <w:num w:numId="66" w16cid:durableId="550772384">
    <w:abstractNumId w:val="13"/>
  </w:num>
  <w:num w:numId="67" w16cid:durableId="1204175587">
    <w:abstractNumId w:val="27"/>
  </w:num>
  <w:num w:numId="68" w16cid:durableId="114717271">
    <w:abstractNumId w:val="7"/>
  </w:num>
  <w:num w:numId="69" w16cid:durableId="2082675702">
    <w:abstractNumId w:val="60"/>
  </w:num>
  <w:num w:numId="70" w16cid:durableId="793059380">
    <w:abstractNumId w:val="69"/>
  </w:num>
  <w:num w:numId="71" w16cid:durableId="301154507">
    <w:abstractNumId w:val="43"/>
  </w:num>
  <w:num w:numId="72" w16cid:durableId="1506240219">
    <w:abstractNumId w:val="53"/>
  </w:num>
  <w:num w:numId="73" w16cid:durableId="267661134">
    <w:abstractNumId w:val="84"/>
  </w:num>
  <w:num w:numId="74" w16cid:durableId="504783479">
    <w:abstractNumId w:val="40"/>
  </w:num>
  <w:num w:numId="75" w16cid:durableId="1284774193">
    <w:abstractNumId w:val="54"/>
  </w:num>
  <w:num w:numId="76" w16cid:durableId="540173323">
    <w:abstractNumId w:val="33"/>
  </w:num>
  <w:num w:numId="77" w16cid:durableId="1742563340">
    <w:abstractNumId w:val="34"/>
  </w:num>
  <w:num w:numId="78" w16cid:durableId="1611887628">
    <w:abstractNumId w:val="57"/>
  </w:num>
  <w:num w:numId="79" w16cid:durableId="1746150147">
    <w:abstractNumId w:val="58"/>
  </w:num>
  <w:num w:numId="80" w16cid:durableId="1251700080">
    <w:abstractNumId w:val="65"/>
  </w:num>
  <w:num w:numId="81" w16cid:durableId="1973447">
    <w:abstractNumId w:val="32"/>
  </w:num>
  <w:num w:numId="82" w16cid:durableId="250503812">
    <w:abstractNumId w:val="68"/>
  </w:num>
  <w:num w:numId="83" w16cid:durableId="329406470">
    <w:abstractNumId w:val="18"/>
  </w:num>
  <w:num w:numId="84" w16cid:durableId="1553883489">
    <w:abstractNumId w:val="70"/>
  </w:num>
  <w:num w:numId="85" w16cid:durableId="366679574">
    <w:abstractNumId w:val="80"/>
  </w:num>
  <w:num w:numId="86" w16cid:durableId="1104837310">
    <w:abstractNumId w:val="6"/>
  </w:num>
  <w:num w:numId="87" w16cid:durableId="1242525385">
    <w:abstractNumId w:val="16"/>
  </w:num>
  <w:num w:numId="88" w16cid:durableId="1478720932">
    <w:abstractNumId w:val="83"/>
  </w:num>
  <w:num w:numId="89" w16cid:durableId="1060596304">
    <w:abstractNumId w:val="48"/>
  </w:num>
  <w:num w:numId="90" w16cid:durableId="885485495">
    <w:abstractNumId w:val="81"/>
  </w:num>
  <w:num w:numId="91" w16cid:durableId="250091891">
    <w:abstractNumId w:val="63"/>
  </w:num>
  <w:num w:numId="92" w16cid:durableId="1338076723">
    <w:abstractNumId w:val="52"/>
  </w:num>
  <w:num w:numId="93" w16cid:durableId="150488702">
    <w:abstractNumId w:val="66"/>
  </w:num>
  <w:num w:numId="94" w16cid:durableId="699085980">
    <w:abstractNumId w:val="85"/>
  </w:num>
  <w:num w:numId="95" w16cid:durableId="1234660127">
    <w:abstractNumId w:val="44"/>
  </w:num>
  <w:num w:numId="96" w16cid:durableId="749352500">
    <w:abstractNumId w:val="36"/>
  </w:num>
  <w:num w:numId="97" w16cid:durableId="1731880793">
    <w:abstractNumId w:val="88"/>
  </w:num>
  <w:num w:numId="98" w16cid:durableId="287013288">
    <w:abstractNumId w:val="7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E8D"/>
    <w:rsid w:val="00000E16"/>
    <w:rsid w:val="00012525"/>
    <w:rsid w:val="0001254A"/>
    <w:rsid w:val="000127A8"/>
    <w:rsid w:val="00012B6A"/>
    <w:rsid w:val="00015381"/>
    <w:rsid w:val="00022576"/>
    <w:rsid w:val="0002538C"/>
    <w:rsid w:val="000312FE"/>
    <w:rsid w:val="00036E97"/>
    <w:rsid w:val="000372DB"/>
    <w:rsid w:val="00041B16"/>
    <w:rsid w:val="00043029"/>
    <w:rsid w:val="0004367E"/>
    <w:rsid w:val="00044D2D"/>
    <w:rsid w:val="00047A98"/>
    <w:rsid w:val="000504CE"/>
    <w:rsid w:val="00050BB9"/>
    <w:rsid w:val="00052451"/>
    <w:rsid w:val="000537BB"/>
    <w:rsid w:val="000556DE"/>
    <w:rsid w:val="00057DCC"/>
    <w:rsid w:val="00062ABF"/>
    <w:rsid w:val="00063554"/>
    <w:rsid w:val="000644F8"/>
    <w:rsid w:val="0006542F"/>
    <w:rsid w:val="00065B84"/>
    <w:rsid w:val="00066F79"/>
    <w:rsid w:val="00070A85"/>
    <w:rsid w:val="000725B0"/>
    <w:rsid w:val="0007299F"/>
    <w:rsid w:val="00075ACB"/>
    <w:rsid w:val="00077FE2"/>
    <w:rsid w:val="0008177C"/>
    <w:rsid w:val="00082C42"/>
    <w:rsid w:val="00085FBB"/>
    <w:rsid w:val="00093A6C"/>
    <w:rsid w:val="00095C9F"/>
    <w:rsid w:val="00096129"/>
    <w:rsid w:val="000A273E"/>
    <w:rsid w:val="000A444A"/>
    <w:rsid w:val="000A49F7"/>
    <w:rsid w:val="000B392A"/>
    <w:rsid w:val="000B5FBA"/>
    <w:rsid w:val="000B668D"/>
    <w:rsid w:val="000B7763"/>
    <w:rsid w:val="000B7DE0"/>
    <w:rsid w:val="000C0CC3"/>
    <w:rsid w:val="000C7B63"/>
    <w:rsid w:val="000D09DB"/>
    <w:rsid w:val="000D24F3"/>
    <w:rsid w:val="000D7B30"/>
    <w:rsid w:val="000E296B"/>
    <w:rsid w:val="000E3BC3"/>
    <w:rsid w:val="000E5362"/>
    <w:rsid w:val="000E7311"/>
    <w:rsid w:val="000F1549"/>
    <w:rsid w:val="000F1AD8"/>
    <w:rsid w:val="000F622E"/>
    <w:rsid w:val="000F6FC1"/>
    <w:rsid w:val="000F7754"/>
    <w:rsid w:val="000F790E"/>
    <w:rsid w:val="001008C7"/>
    <w:rsid w:val="001010A0"/>
    <w:rsid w:val="001022C4"/>
    <w:rsid w:val="00105D64"/>
    <w:rsid w:val="00106527"/>
    <w:rsid w:val="001072D3"/>
    <w:rsid w:val="0010741D"/>
    <w:rsid w:val="00111A92"/>
    <w:rsid w:val="0011433C"/>
    <w:rsid w:val="00114CE8"/>
    <w:rsid w:val="00125292"/>
    <w:rsid w:val="00125609"/>
    <w:rsid w:val="00131381"/>
    <w:rsid w:val="00132093"/>
    <w:rsid w:val="00132D69"/>
    <w:rsid w:val="00136E9D"/>
    <w:rsid w:val="00137C09"/>
    <w:rsid w:val="00140474"/>
    <w:rsid w:val="00141897"/>
    <w:rsid w:val="001424A6"/>
    <w:rsid w:val="001443EC"/>
    <w:rsid w:val="00147C50"/>
    <w:rsid w:val="001509F1"/>
    <w:rsid w:val="001551B1"/>
    <w:rsid w:val="001560FD"/>
    <w:rsid w:val="00161248"/>
    <w:rsid w:val="00163D20"/>
    <w:rsid w:val="001641F8"/>
    <w:rsid w:val="0016488F"/>
    <w:rsid w:val="0016526F"/>
    <w:rsid w:val="00166BEC"/>
    <w:rsid w:val="001711E0"/>
    <w:rsid w:val="00172A35"/>
    <w:rsid w:val="00173C59"/>
    <w:rsid w:val="0017425A"/>
    <w:rsid w:val="00174F32"/>
    <w:rsid w:val="001807EF"/>
    <w:rsid w:val="00181CB0"/>
    <w:rsid w:val="00194105"/>
    <w:rsid w:val="00196A02"/>
    <w:rsid w:val="00196C53"/>
    <w:rsid w:val="001A5720"/>
    <w:rsid w:val="001A6645"/>
    <w:rsid w:val="001A6BF7"/>
    <w:rsid w:val="001A748D"/>
    <w:rsid w:val="001B12D3"/>
    <w:rsid w:val="001B422C"/>
    <w:rsid w:val="001B5240"/>
    <w:rsid w:val="001B5451"/>
    <w:rsid w:val="001B54FE"/>
    <w:rsid w:val="001B59DF"/>
    <w:rsid w:val="001B73A0"/>
    <w:rsid w:val="001B7496"/>
    <w:rsid w:val="001C20F4"/>
    <w:rsid w:val="001C2BD6"/>
    <w:rsid w:val="001C32AD"/>
    <w:rsid w:val="001C397C"/>
    <w:rsid w:val="001C4F52"/>
    <w:rsid w:val="001C6EE2"/>
    <w:rsid w:val="001C6F21"/>
    <w:rsid w:val="001C7F12"/>
    <w:rsid w:val="001D0E81"/>
    <w:rsid w:val="001D1981"/>
    <w:rsid w:val="001D1D0D"/>
    <w:rsid w:val="001D33F3"/>
    <w:rsid w:val="001D4497"/>
    <w:rsid w:val="001E1899"/>
    <w:rsid w:val="001E2387"/>
    <w:rsid w:val="001E3385"/>
    <w:rsid w:val="001E38E7"/>
    <w:rsid w:val="001E4724"/>
    <w:rsid w:val="001E4E0A"/>
    <w:rsid w:val="001F0820"/>
    <w:rsid w:val="001F09A6"/>
    <w:rsid w:val="001F0FD5"/>
    <w:rsid w:val="001F68D7"/>
    <w:rsid w:val="00203BE4"/>
    <w:rsid w:val="00204AA0"/>
    <w:rsid w:val="0020665E"/>
    <w:rsid w:val="00207C9B"/>
    <w:rsid w:val="002102FF"/>
    <w:rsid w:val="00212991"/>
    <w:rsid w:val="00212C73"/>
    <w:rsid w:val="00214181"/>
    <w:rsid w:val="00215AED"/>
    <w:rsid w:val="0021697A"/>
    <w:rsid w:val="00217472"/>
    <w:rsid w:val="00222E6C"/>
    <w:rsid w:val="00224200"/>
    <w:rsid w:val="00225324"/>
    <w:rsid w:val="00227D37"/>
    <w:rsid w:val="00233F1C"/>
    <w:rsid w:val="00235BC3"/>
    <w:rsid w:val="00236D73"/>
    <w:rsid w:val="00237BDC"/>
    <w:rsid w:val="00242C67"/>
    <w:rsid w:val="002439BB"/>
    <w:rsid w:val="00250304"/>
    <w:rsid w:val="002529BC"/>
    <w:rsid w:val="0025590A"/>
    <w:rsid w:val="00255AA5"/>
    <w:rsid w:val="00260C34"/>
    <w:rsid w:val="002667A3"/>
    <w:rsid w:val="00267162"/>
    <w:rsid w:val="002734FB"/>
    <w:rsid w:val="00274042"/>
    <w:rsid w:val="00274072"/>
    <w:rsid w:val="0027609C"/>
    <w:rsid w:val="0028182E"/>
    <w:rsid w:val="00282459"/>
    <w:rsid w:val="002837B0"/>
    <w:rsid w:val="00283C36"/>
    <w:rsid w:val="00283EAF"/>
    <w:rsid w:val="00284B16"/>
    <w:rsid w:val="00284B1E"/>
    <w:rsid w:val="0028566A"/>
    <w:rsid w:val="00285C8C"/>
    <w:rsid w:val="002862D2"/>
    <w:rsid w:val="0028702B"/>
    <w:rsid w:val="0029290C"/>
    <w:rsid w:val="002946B5"/>
    <w:rsid w:val="00295728"/>
    <w:rsid w:val="002973AF"/>
    <w:rsid w:val="002A2B93"/>
    <w:rsid w:val="002A73DE"/>
    <w:rsid w:val="002B160D"/>
    <w:rsid w:val="002B5C03"/>
    <w:rsid w:val="002C3771"/>
    <w:rsid w:val="002D23EF"/>
    <w:rsid w:val="002D29CB"/>
    <w:rsid w:val="002D4A32"/>
    <w:rsid w:val="002D6AA5"/>
    <w:rsid w:val="002D6D9E"/>
    <w:rsid w:val="002E0115"/>
    <w:rsid w:val="002E48C2"/>
    <w:rsid w:val="002E642A"/>
    <w:rsid w:val="002E75CB"/>
    <w:rsid w:val="002E7C8B"/>
    <w:rsid w:val="002F0135"/>
    <w:rsid w:val="002F1008"/>
    <w:rsid w:val="002F297C"/>
    <w:rsid w:val="002F3059"/>
    <w:rsid w:val="002F58C2"/>
    <w:rsid w:val="002F5C29"/>
    <w:rsid w:val="002F5CF5"/>
    <w:rsid w:val="002F6383"/>
    <w:rsid w:val="002F67C5"/>
    <w:rsid w:val="002F6AAD"/>
    <w:rsid w:val="002F6DE3"/>
    <w:rsid w:val="002F7978"/>
    <w:rsid w:val="00301700"/>
    <w:rsid w:val="00303035"/>
    <w:rsid w:val="00303312"/>
    <w:rsid w:val="0030437D"/>
    <w:rsid w:val="0030539B"/>
    <w:rsid w:val="00305616"/>
    <w:rsid w:val="0030708B"/>
    <w:rsid w:val="00307746"/>
    <w:rsid w:val="003109C0"/>
    <w:rsid w:val="00315909"/>
    <w:rsid w:val="00315C60"/>
    <w:rsid w:val="00320477"/>
    <w:rsid w:val="00320B15"/>
    <w:rsid w:val="00324141"/>
    <w:rsid w:val="00324878"/>
    <w:rsid w:val="00325140"/>
    <w:rsid w:val="00331B63"/>
    <w:rsid w:val="00332805"/>
    <w:rsid w:val="00332B00"/>
    <w:rsid w:val="00337535"/>
    <w:rsid w:val="00340C3B"/>
    <w:rsid w:val="00341157"/>
    <w:rsid w:val="003437AC"/>
    <w:rsid w:val="003438F2"/>
    <w:rsid w:val="00343D57"/>
    <w:rsid w:val="00353D61"/>
    <w:rsid w:val="00354DB5"/>
    <w:rsid w:val="0035752A"/>
    <w:rsid w:val="00360C14"/>
    <w:rsid w:val="00361708"/>
    <w:rsid w:val="003618C3"/>
    <w:rsid w:val="00367263"/>
    <w:rsid w:val="00370DA3"/>
    <w:rsid w:val="00375969"/>
    <w:rsid w:val="00376C66"/>
    <w:rsid w:val="0038066B"/>
    <w:rsid w:val="003806DF"/>
    <w:rsid w:val="003814D1"/>
    <w:rsid w:val="00382612"/>
    <w:rsid w:val="00391DBD"/>
    <w:rsid w:val="003945F8"/>
    <w:rsid w:val="00394AB8"/>
    <w:rsid w:val="00395866"/>
    <w:rsid w:val="00397668"/>
    <w:rsid w:val="003A086A"/>
    <w:rsid w:val="003A3797"/>
    <w:rsid w:val="003A3AB3"/>
    <w:rsid w:val="003A533B"/>
    <w:rsid w:val="003A5B9D"/>
    <w:rsid w:val="003A5E07"/>
    <w:rsid w:val="003A6862"/>
    <w:rsid w:val="003B0DDF"/>
    <w:rsid w:val="003B0E8A"/>
    <w:rsid w:val="003B2AEC"/>
    <w:rsid w:val="003B3C92"/>
    <w:rsid w:val="003B445C"/>
    <w:rsid w:val="003B470F"/>
    <w:rsid w:val="003B495E"/>
    <w:rsid w:val="003B5078"/>
    <w:rsid w:val="003B7C81"/>
    <w:rsid w:val="003C0930"/>
    <w:rsid w:val="003C610A"/>
    <w:rsid w:val="003C74C9"/>
    <w:rsid w:val="003C7793"/>
    <w:rsid w:val="003D3FDB"/>
    <w:rsid w:val="003D44F2"/>
    <w:rsid w:val="003D4EC6"/>
    <w:rsid w:val="003D694D"/>
    <w:rsid w:val="003D6BBD"/>
    <w:rsid w:val="003D7DDA"/>
    <w:rsid w:val="003E056A"/>
    <w:rsid w:val="003E15B5"/>
    <w:rsid w:val="003E3783"/>
    <w:rsid w:val="003E468B"/>
    <w:rsid w:val="003E4E25"/>
    <w:rsid w:val="003E6584"/>
    <w:rsid w:val="003E7D98"/>
    <w:rsid w:val="003F0C82"/>
    <w:rsid w:val="003F15A4"/>
    <w:rsid w:val="003F212A"/>
    <w:rsid w:val="003F26E7"/>
    <w:rsid w:val="003F29B8"/>
    <w:rsid w:val="003F30DB"/>
    <w:rsid w:val="003F3ED7"/>
    <w:rsid w:val="00403AF4"/>
    <w:rsid w:val="004056F3"/>
    <w:rsid w:val="0040571C"/>
    <w:rsid w:val="00406635"/>
    <w:rsid w:val="004066D8"/>
    <w:rsid w:val="004106A3"/>
    <w:rsid w:val="00410C12"/>
    <w:rsid w:val="0041332B"/>
    <w:rsid w:val="004153E5"/>
    <w:rsid w:val="00426C86"/>
    <w:rsid w:val="00432789"/>
    <w:rsid w:val="004328E1"/>
    <w:rsid w:val="00433758"/>
    <w:rsid w:val="00434492"/>
    <w:rsid w:val="00437DF0"/>
    <w:rsid w:val="0044129B"/>
    <w:rsid w:val="00442544"/>
    <w:rsid w:val="00442A51"/>
    <w:rsid w:val="00444EEA"/>
    <w:rsid w:val="00445AE3"/>
    <w:rsid w:val="00445BCF"/>
    <w:rsid w:val="00445FBE"/>
    <w:rsid w:val="004476EE"/>
    <w:rsid w:val="00450BAE"/>
    <w:rsid w:val="004513C7"/>
    <w:rsid w:val="004518E1"/>
    <w:rsid w:val="00453A4C"/>
    <w:rsid w:val="00454603"/>
    <w:rsid w:val="00454683"/>
    <w:rsid w:val="00454E8D"/>
    <w:rsid w:val="00456B13"/>
    <w:rsid w:val="004617A7"/>
    <w:rsid w:val="004629D0"/>
    <w:rsid w:val="00464497"/>
    <w:rsid w:val="00464B89"/>
    <w:rsid w:val="0046509B"/>
    <w:rsid w:val="004652A8"/>
    <w:rsid w:val="0046601E"/>
    <w:rsid w:val="00471715"/>
    <w:rsid w:val="0047231C"/>
    <w:rsid w:val="00472F9E"/>
    <w:rsid w:val="004738DA"/>
    <w:rsid w:val="00474A03"/>
    <w:rsid w:val="004760AE"/>
    <w:rsid w:val="00483F92"/>
    <w:rsid w:val="00491071"/>
    <w:rsid w:val="00491162"/>
    <w:rsid w:val="00491FD3"/>
    <w:rsid w:val="00494612"/>
    <w:rsid w:val="00494EC8"/>
    <w:rsid w:val="004959FC"/>
    <w:rsid w:val="00496C5A"/>
    <w:rsid w:val="004A0FDB"/>
    <w:rsid w:val="004A273F"/>
    <w:rsid w:val="004A39D6"/>
    <w:rsid w:val="004A4CBB"/>
    <w:rsid w:val="004A6C25"/>
    <w:rsid w:val="004B098E"/>
    <w:rsid w:val="004C0D25"/>
    <w:rsid w:val="004C1D41"/>
    <w:rsid w:val="004C1F0A"/>
    <w:rsid w:val="004C252A"/>
    <w:rsid w:val="004C2D9A"/>
    <w:rsid w:val="004C2E5A"/>
    <w:rsid w:val="004C44D1"/>
    <w:rsid w:val="004C576B"/>
    <w:rsid w:val="004C5A21"/>
    <w:rsid w:val="004C7AE5"/>
    <w:rsid w:val="004D05EE"/>
    <w:rsid w:val="004D2A98"/>
    <w:rsid w:val="004D4F11"/>
    <w:rsid w:val="004D594D"/>
    <w:rsid w:val="004D674C"/>
    <w:rsid w:val="004D7043"/>
    <w:rsid w:val="004E025B"/>
    <w:rsid w:val="004E0302"/>
    <w:rsid w:val="004E07BB"/>
    <w:rsid w:val="004E6707"/>
    <w:rsid w:val="004F0C49"/>
    <w:rsid w:val="004F3665"/>
    <w:rsid w:val="004F5022"/>
    <w:rsid w:val="004F75E6"/>
    <w:rsid w:val="004F77DE"/>
    <w:rsid w:val="004F7D1E"/>
    <w:rsid w:val="005007EE"/>
    <w:rsid w:val="00501E19"/>
    <w:rsid w:val="005025A8"/>
    <w:rsid w:val="005058FF"/>
    <w:rsid w:val="005068D9"/>
    <w:rsid w:val="00512660"/>
    <w:rsid w:val="00512F91"/>
    <w:rsid w:val="0051387C"/>
    <w:rsid w:val="00513EBC"/>
    <w:rsid w:val="0051557A"/>
    <w:rsid w:val="0051592A"/>
    <w:rsid w:val="00516632"/>
    <w:rsid w:val="00520446"/>
    <w:rsid w:val="00522790"/>
    <w:rsid w:val="0052370E"/>
    <w:rsid w:val="00524FA0"/>
    <w:rsid w:val="00525F8B"/>
    <w:rsid w:val="00526EB5"/>
    <w:rsid w:val="00527059"/>
    <w:rsid w:val="00533D8E"/>
    <w:rsid w:val="005377BE"/>
    <w:rsid w:val="00540A6B"/>
    <w:rsid w:val="00543E2F"/>
    <w:rsid w:val="00546298"/>
    <w:rsid w:val="0055566B"/>
    <w:rsid w:val="00556B4B"/>
    <w:rsid w:val="0057078F"/>
    <w:rsid w:val="00582F29"/>
    <w:rsid w:val="00585454"/>
    <w:rsid w:val="00585E26"/>
    <w:rsid w:val="00586CD3"/>
    <w:rsid w:val="0058790E"/>
    <w:rsid w:val="005900C9"/>
    <w:rsid w:val="005903F9"/>
    <w:rsid w:val="0059402D"/>
    <w:rsid w:val="00596B05"/>
    <w:rsid w:val="00597E50"/>
    <w:rsid w:val="005A16C3"/>
    <w:rsid w:val="005A19BA"/>
    <w:rsid w:val="005A334C"/>
    <w:rsid w:val="005A3D96"/>
    <w:rsid w:val="005A4D66"/>
    <w:rsid w:val="005A5C97"/>
    <w:rsid w:val="005B0AC6"/>
    <w:rsid w:val="005B0D1E"/>
    <w:rsid w:val="005B1835"/>
    <w:rsid w:val="005B187F"/>
    <w:rsid w:val="005B283F"/>
    <w:rsid w:val="005B6436"/>
    <w:rsid w:val="005B788A"/>
    <w:rsid w:val="005C05EB"/>
    <w:rsid w:val="005C18D2"/>
    <w:rsid w:val="005C6EAC"/>
    <w:rsid w:val="005D1945"/>
    <w:rsid w:val="005D1978"/>
    <w:rsid w:val="005D28B5"/>
    <w:rsid w:val="005D6459"/>
    <w:rsid w:val="005D7A45"/>
    <w:rsid w:val="005E1911"/>
    <w:rsid w:val="005E2E73"/>
    <w:rsid w:val="005E2FA0"/>
    <w:rsid w:val="005E310B"/>
    <w:rsid w:val="005E5103"/>
    <w:rsid w:val="005E56F9"/>
    <w:rsid w:val="005E66C1"/>
    <w:rsid w:val="005E7FB7"/>
    <w:rsid w:val="005F160E"/>
    <w:rsid w:val="005F1A02"/>
    <w:rsid w:val="005F2FC5"/>
    <w:rsid w:val="005F316C"/>
    <w:rsid w:val="005F3651"/>
    <w:rsid w:val="005F4683"/>
    <w:rsid w:val="005F6B9B"/>
    <w:rsid w:val="005F6C63"/>
    <w:rsid w:val="005F7DE3"/>
    <w:rsid w:val="00601AE3"/>
    <w:rsid w:val="00603A9B"/>
    <w:rsid w:val="00605E72"/>
    <w:rsid w:val="00606728"/>
    <w:rsid w:val="00607AD4"/>
    <w:rsid w:val="00611D96"/>
    <w:rsid w:val="00615CF9"/>
    <w:rsid w:val="00616510"/>
    <w:rsid w:val="00622120"/>
    <w:rsid w:val="006233E3"/>
    <w:rsid w:val="00625F56"/>
    <w:rsid w:val="00626434"/>
    <w:rsid w:val="006278C2"/>
    <w:rsid w:val="00627C2F"/>
    <w:rsid w:val="00634B19"/>
    <w:rsid w:val="00636F52"/>
    <w:rsid w:val="00640ABD"/>
    <w:rsid w:val="0064766E"/>
    <w:rsid w:val="00650586"/>
    <w:rsid w:val="00651465"/>
    <w:rsid w:val="00653D9D"/>
    <w:rsid w:val="006542D2"/>
    <w:rsid w:val="0065700A"/>
    <w:rsid w:val="00657195"/>
    <w:rsid w:val="006609FA"/>
    <w:rsid w:val="00665830"/>
    <w:rsid w:val="00667198"/>
    <w:rsid w:val="00670D5E"/>
    <w:rsid w:val="00672DBA"/>
    <w:rsid w:val="00682573"/>
    <w:rsid w:val="00683A4C"/>
    <w:rsid w:val="00684B1A"/>
    <w:rsid w:val="00691EFA"/>
    <w:rsid w:val="006935BC"/>
    <w:rsid w:val="00694186"/>
    <w:rsid w:val="00696187"/>
    <w:rsid w:val="00697090"/>
    <w:rsid w:val="00697889"/>
    <w:rsid w:val="00697B1A"/>
    <w:rsid w:val="006A0780"/>
    <w:rsid w:val="006A1082"/>
    <w:rsid w:val="006A112D"/>
    <w:rsid w:val="006A21E0"/>
    <w:rsid w:val="006A6ADB"/>
    <w:rsid w:val="006B248D"/>
    <w:rsid w:val="006B2582"/>
    <w:rsid w:val="006B2B3A"/>
    <w:rsid w:val="006B30FE"/>
    <w:rsid w:val="006B5DAA"/>
    <w:rsid w:val="006B65E4"/>
    <w:rsid w:val="006B67E3"/>
    <w:rsid w:val="006B73D2"/>
    <w:rsid w:val="006B7683"/>
    <w:rsid w:val="006C254A"/>
    <w:rsid w:val="006C4161"/>
    <w:rsid w:val="006D3042"/>
    <w:rsid w:val="006D351B"/>
    <w:rsid w:val="006D3A5D"/>
    <w:rsid w:val="006D4642"/>
    <w:rsid w:val="006D5290"/>
    <w:rsid w:val="006E2146"/>
    <w:rsid w:val="006E2288"/>
    <w:rsid w:val="006E4716"/>
    <w:rsid w:val="006F1798"/>
    <w:rsid w:val="006F60A9"/>
    <w:rsid w:val="006F64C4"/>
    <w:rsid w:val="006F69AD"/>
    <w:rsid w:val="006F6B40"/>
    <w:rsid w:val="006F75CC"/>
    <w:rsid w:val="0070233C"/>
    <w:rsid w:val="0070323F"/>
    <w:rsid w:val="00704699"/>
    <w:rsid w:val="00711D49"/>
    <w:rsid w:val="00713F70"/>
    <w:rsid w:val="00725B93"/>
    <w:rsid w:val="00726147"/>
    <w:rsid w:val="00730745"/>
    <w:rsid w:val="0073113A"/>
    <w:rsid w:val="00731F53"/>
    <w:rsid w:val="00734D2C"/>
    <w:rsid w:val="007364E7"/>
    <w:rsid w:val="00737A0E"/>
    <w:rsid w:val="00737A66"/>
    <w:rsid w:val="00737EBE"/>
    <w:rsid w:val="0074409C"/>
    <w:rsid w:val="00750A65"/>
    <w:rsid w:val="00751000"/>
    <w:rsid w:val="007521E0"/>
    <w:rsid w:val="00752C1F"/>
    <w:rsid w:val="00753FA0"/>
    <w:rsid w:val="00754070"/>
    <w:rsid w:val="00756F0F"/>
    <w:rsid w:val="00757C3F"/>
    <w:rsid w:val="00760517"/>
    <w:rsid w:val="00764225"/>
    <w:rsid w:val="0077087D"/>
    <w:rsid w:val="00772C53"/>
    <w:rsid w:val="00774F02"/>
    <w:rsid w:val="00775978"/>
    <w:rsid w:val="00775E71"/>
    <w:rsid w:val="007776DA"/>
    <w:rsid w:val="0078186A"/>
    <w:rsid w:val="00781C70"/>
    <w:rsid w:val="007858FC"/>
    <w:rsid w:val="00787B45"/>
    <w:rsid w:val="0079328E"/>
    <w:rsid w:val="00793A2E"/>
    <w:rsid w:val="00794772"/>
    <w:rsid w:val="0079535A"/>
    <w:rsid w:val="00797639"/>
    <w:rsid w:val="007A1604"/>
    <w:rsid w:val="007A5A7E"/>
    <w:rsid w:val="007A66F1"/>
    <w:rsid w:val="007A7DB0"/>
    <w:rsid w:val="007B1E43"/>
    <w:rsid w:val="007B5299"/>
    <w:rsid w:val="007B64BA"/>
    <w:rsid w:val="007B6C57"/>
    <w:rsid w:val="007B7CA5"/>
    <w:rsid w:val="007C1FE0"/>
    <w:rsid w:val="007C2A90"/>
    <w:rsid w:val="007C4AAD"/>
    <w:rsid w:val="007C4FF8"/>
    <w:rsid w:val="007C5063"/>
    <w:rsid w:val="007C7B4E"/>
    <w:rsid w:val="007D21A2"/>
    <w:rsid w:val="007D269A"/>
    <w:rsid w:val="007D3CD8"/>
    <w:rsid w:val="007D435E"/>
    <w:rsid w:val="007E1983"/>
    <w:rsid w:val="007E260B"/>
    <w:rsid w:val="007E45B7"/>
    <w:rsid w:val="007F0527"/>
    <w:rsid w:val="007F0A45"/>
    <w:rsid w:val="007F3D0B"/>
    <w:rsid w:val="007F50E8"/>
    <w:rsid w:val="00803D50"/>
    <w:rsid w:val="0081052F"/>
    <w:rsid w:val="0081065B"/>
    <w:rsid w:val="008125C6"/>
    <w:rsid w:val="00813284"/>
    <w:rsid w:val="00813CD1"/>
    <w:rsid w:val="00814FCB"/>
    <w:rsid w:val="00820098"/>
    <w:rsid w:val="008200F0"/>
    <w:rsid w:val="00820617"/>
    <w:rsid w:val="00821A1A"/>
    <w:rsid w:val="00821CC3"/>
    <w:rsid w:val="00823611"/>
    <w:rsid w:val="0082447A"/>
    <w:rsid w:val="008312D9"/>
    <w:rsid w:val="0083347D"/>
    <w:rsid w:val="00833DDB"/>
    <w:rsid w:val="008344AF"/>
    <w:rsid w:val="008365DA"/>
    <w:rsid w:val="00844D98"/>
    <w:rsid w:val="00845B5D"/>
    <w:rsid w:val="008506BE"/>
    <w:rsid w:val="00851DB0"/>
    <w:rsid w:val="0085357B"/>
    <w:rsid w:val="00860C2B"/>
    <w:rsid w:val="008676D1"/>
    <w:rsid w:val="0087104E"/>
    <w:rsid w:val="008734AC"/>
    <w:rsid w:val="008734AE"/>
    <w:rsid w:val="00873E40"/>
    <w:rsid w:val="008841A4"/>
    <w:rsid w:val="008841C1"/>
    <w:rsid w:val="00885B1B"/>
    <w:rsid w:val="0088760B"/>
    <w:rsid w:val="0089127F"/>
    <w:rsid w:val="008917DD"/>
    <w:rsid w:val="0089297C"/>
    <w:rsid w:val="008959A4"/>
    <w:rsid w:val="008A3E0F"/>
    <w:rsid w:val="008B214A"/>
    <w:rsid w:val="008B3F8D"/>
    <w:rsid w:val="008B420D"/>
    <w:rsid w:val="008C4EAC"/>
    <w:rsid w:val="008C5609"/>
    <w:rsid w:val="008C72FA"/>
    <w:rsid w:val="008D015E"/>
    <w:rsid w:val="008D0926"/>
    <w:rsid w:val="008D16BE"/>
    <w:rsid w:val="008D3953"/>
    <w:rsid w:val="008D427D"/>
    <w:rsid w:val="008D4848"/>
    <w:rsid w:val="008D4CDD"/>
    <w:rsid w:val="008D5BDD"/>
    <w:rsid w:val="008D660D"/>
    <w:rsid w:val="008E26B4"/>
    <w:rsid w:val="008E5C75"/>
    <w:rsid w:val="008F2372"/>
    <w:rsid w:val="008F3925"/>
    <w:rsid w:val="008F4606"/>
    <w:rsid w:val="008F5FB1"/>
    <w:rsid w:val="008F768B"/>
    <w:rsid w:val="0090481A"/>
    <w:rsid w:val="00906CF0"/>
    <w:rsid w:val="00906DC5"/>
    <w:rsid w:val="00907048"/>
    <w:rsid w:val="009101E7"/>
    <w:rsid w:val="009125FA"/>
    <w:rsid w:val="00916412"/>
    <w:rsid w:val="00921920"/>
    <w:rsid w:val="009241FD"/>
    <w:rsid w:val="00926921"/>
    <w:rsid w:val="00927083"/>
    <w:rsid w:val="00927A83"/>
    <w:rsid w:val="00930026"/>
    <w:rsid w:val="00930B9B"/>
    <w:rsid w:val="00932941"/>
    <w:rsid w:val="00933B63"/>
    <w:rsid w:val="0093427A"/>
    <w:rsid w:val="0093475F"/>
    <w:rsid w:val="00937659"/>
    <w:rsid w:val="00941197"/>
    <w:rsid w:val="009446FA"/>
    <w:rsid w:val="009475C9"/>
    <w:rsid w:val="00950699"/>
    <w:rsid w:val="0095533D"/>
    <w:rsid w:val="00956C65"/>
    <w:rsid w:val="00957FA0"/>
    <w:rsid w:val="00960CA6"/>
    <w:rsid w:val="009614F1"/>
    <w:rsid w:val="00961B50"/>
    <w:rsid w:val="00965B3D"/>
    <w:rsid w:val="00966C2B"/>
    <w:rsid w:val="0096790B"/>
    <w:rsid w:val="0097105B"/>
    <w:rsid w:val="009724AD"/>
    <w:rsid w:val="009746FB"/>
    <w:rsid w:val="009753DA"/>
    <w:rsid w:val="00983ABC"/>
    <w:rsid w:val="009848BD"/>
    <w:rsid w:val="00985D19"/>
    <w:rsid w:val="00986877"/>
    <w:rsid w:val="009925BD"/>
    <w:rsid w:val="009931DA"/>
    <w:rsid w:val="009932EC"/>
    <w:rsid w:val="0099584C"/>
    <w:rsid w:val="0099795E"/>
    <w:rsid w:val="009A166E"/>
    <w:rsid w:val="009A563F"/>
    <w:rsid w:val="009A72C7"/>
    <w:rsid w:val="009B3384"/>
    <w:rsid w:val="009B3869"/>
    <w:rsid w:val="009B48FC"/>
    <w:rsid w:val="009B72A4"/>
    <w:rsid w:val="009C0BC4"/>
    <w:rsid w:val="009C2718"/>
    <w:rsid w:val="009C4E6D"/>
    <w:rsid w:val="009D40D1"/>
    <w:rsid w:val="009D4A13"/>
    <w:rsid w:val="009D4F0D"/>
    <w:rsid w:val="009D6E5D"/>
    <w:rsid w:val="009D7784"/>
    <w:rsid w:val="009E2123"/>
    <w:rsid w:val="009E44A2"/>
    <w:rsid w:val="009E462F"/>
    <w:rsid w:val="009E4D7B"/>
    <w:rsid w:val="009F29FB"/>
    <w:rsid w:val="009F3204"/>
    <w:rsid w:val="009F38A8"/>
    <w:rsid w:val="00A02AAC"/>
    <w:rsid w:val="00A05CB5"/>
    <w:rsid w:val="00A07006"/>
    <w:rsid w:val="00A07206"/>
    <w:rsid w:val="00A14B6A"/>
    <w:rsid w:val="00A16532"/>
    <w:rsid w:val="00A238B6"/>
    <w:rsid w:val="00A26683"/>
    <w:rsid w:val="00A26F7B"/>
    <w:rsid w:val="00A27282"/>
    <w:rsid w:val="00A30F49"/>
    <w:rsid w:val="00A31362"/>
    <w:rsid w:val="00A31BCC"/>
    <w:rsid w:val="00A329C2"/>
    <w:rsid w:val="00A33658"/>
    <w:rsid w:val="00A345D1"/>
    <w:rsid w:val="00A35D79"/>
    <w:rsid w:val="00A37367"/>
    <w:rsid w:val="00A37519"/>
    <w:rsid w:val="00A37D79"/>
    <w:rsid w:val="00A41CF6"/>
    <w:rsid w:val="00A42D17"/>
    <w:rsid w:val="00A46340"/>
    <w:rsid w:val="00A4734E"/>
    <w:rsid w:val="00A4751A"/>
    <w:rsid w:val="00A533B7"/>
    <w:rsid w:val="00A536EB"/>
    <w:rsid w:val="00A54050"/>
    <w:rsid w:val="00A5446A"/>
    <w:rsid w:val="00A60618"/>
    <w:rsid w:val="00A613D5"/>
    <w:rsid w:val="00A626CF"/>
    <w:rsid w:val="00A63BFD"/>
    <w:rsid w:val="00A66203"/>
    <w:rsid w:val="00A6636F"/>
    <w:rsid w:val="00A70C42"/>
    <w:rsid w:val="00A70CA5"/>
    <w:rsid w:val="00A711FC"/>
    <w:rsid w:val="00A835F6"/>
    <w:rsid w:val="00A850EF"/>
    <w:rsid w:val="00A867BF"/>
    <w:rsid w:val="00A9006D"/>
    <w:rsid w:val="00A91414"/>
    <w:rsid w:val="00A9205C"/>
    <w:rsid w:val="00A96711"/>
    <w:rsid w:val="00A9791E"/>
    <w:rsid w:val="00AA147C"/>
    <w:rsid w:val="00AA16E5"/>
    <w:rsid w:val="00AA4310"/>
    <w:rsid w:val="00AA4CEC"/>
    <w:rsid w:val="00AA6BF1"/>
    <w:rsid w:val="00AB03EE"/>
    <w:rsid w:val="00AB0440"/>
    <w:rsid w:val="00AB1324"/>
    <w:rsid w:val="00AB3877"/>
    <w:rsid w:val="00AB417B"/>
    <w:rsid w:val="00AB4584"/>
    <w:rsid w:val="00AB5A06"/>
    <w:rsid w:val="00AB5B5D"/>
    <w:rsid w:val="00AC25E3"/>
    <w:rsid w:val="00AC3A5E"/>
    <w:rsid w:val="00AC5B43"/>
    <w:rsid w:val="00AC7C53"/>
    <w:rsid w:val="00AD031C"/>
    <w:rsid w:val="00AD18B4"/>
    <w:rsid w:val="00AD1F2E"/>
    <w:rsid w:val="00AD66E2"/>
    <w:rsid w:val="00AD6CF2"/>
    <w:rsid w:val="00AE384D"/>
    <w:rsid w:val="00AE3CCA"/>
    <w:rsid w:val="00AE65B9"/>
    <w:rsid w:val="00AF1FC0"/>
    <w:rsid w:val="00AF24F0"/>
    <w:rsid w:val="00AF25B2"/>
    <w:rsid w:val="00AF278C"/>
    <w:rsid w:val="00AF3FCF"/>
    <w:rsid w:val="00AF417C"/>
    <w:rsid w:val="00AF75E1"/>
    <w:rsid w:val="00AF78EC"/>
    <w:rsid w:val="00B031DA"/>
    <w:rsid w:val="00B05C1D"/>
    <w:rsid w:val="00B0658E"/>
    <w:rsid w:val="00B06F3D"/>
    <w:rsid w:val="00B07925"/>
    <w:rsid w:val="00B10F0C"/>
    <w:rsid w:val="00B10F84"/>
    <w:rsid w:val="00B11DB2"/>
    <w:rsid w:val="00B1245F"/>
    <w:rsid w:val="00B1417A"/>
    <w:rsid w:val="00B15D91"/>
    <w:rsid w:val="00B16521"/>
    <w:rsid w:val="00B21D84"/>
    <w:rsid w:val="00B25DD1"/>
    <w:rsid w:val="00B308A2"/>
    <w:rsid w:val="00B32475"/>
    <w:rsid w:val="00B3383B"/>
    <w:rsid w:val="00B3437C"/>
    <w:rsid w:val="00B35350"/>
    <w:rsid w:val="00B3649D"/>
    <w:rsid w:val="00B36E45"/>
    <w:rsid w:val="00B36FF1"/>
    <w:rsid w:val="00B37317"/>
    <w:rsid w:val="00B376A6"/>
    <w:rsid w:val="00B37EE9"/>
    <w:rsid w:val="00B45C85"/>
    <w:rsid w:val="00B461B2"/>
    <w:rsid w:val="00B46714"/>
    <w:rsid w:val="00B473C1"/>
    <w:rsid w:val="00B50078"/>
    <w:rsid w:val="00B50B71"/>
    <w:rsid w:val="00B554BF"/>
    <w:rsid w:val="00B55AFF"/>
    <w:rsid w:val="00B568F4"/>
    <w:rsid w:val="00B57C26"/>
    <w:rsid w:val="00B61111"/>
    <w:rsid w:val="00B62074"/>
    <w:rsid w:val="00B65FA4"/>
    <w:rsid w:val="00B6621B"/>
    <w:rsid w:val="00B668FA"/>
    <w:rsid w:val="00B710A8"/>
    <w:rsid w:val="00B7178D"/>
    <w:rsid w:val="00B737C5"/>
    <w:rsid w:val="00B75B95"/>
    <w:rsid w:val="00B75FE4"/>
    <w:rsid w:val="00B77AAF"/>
    <w:rsid w:val="00B830FC"/>
    <w:rsid w:val="00B90603"/>
    <w:rsid w:val="00B929B4"/>
    <w:rsid w:val="00B93D0C"/>
    <w:rsid w:val="00B96E8F"/>
    <w:rsid w:val="00BA18BF"/>
    <w:rsid w:val="00BA34E7"/>
    <w:rsid w:val="00BB2DB2"/>
    <w:rsid w:val="00BB6C78"/>
    <w:rsid w:val="00BB7BA7"/>
    <w:rsid w:val="00BC2D23"/>
    <w:rsid w:val="00BC3AE8"/>
    <w:rsid w:val="00BC612D"/>
    <w:rsid w:val="00BD1308"/>
    <w:rsid w:val="00BD1309"/>
    <w:rsid w:val="00BD15B8"/>
    <w:rsid w:val="00BD18B0"/>
    <w:rsid w:val="00BD2AF3"/>
    <w:rsid w:val="00BE494E"/>
    <w:rsid w:val="00BE4992"/>
    <w:rsid w:val="00BE5207"/>
    <w:rsid w:val="00BE6AFF"/>
    <w:rsid w:val="00BE7FA9"/>
    <w:rsid w:val="00BF0E81"/>
    <w:rsid w:val="00BF5363"/>
    <w:rsid w:val="00BF7BC3"/>
    <w:rsid w:val="00C03C6C"/>
    <w:rsid w:val="00C04C8A"/>
    <w:rsid w:val="00C05136"/>
    <w:rsid w:val="00C058BE"/>
    <w:rsid w:val="00C058BF"/>
    <w:rsid w:val="00C074BA"/>
    <w:rsid w:val="00C102C5"/>
    <w:rsid w:val="00C10BE8"/>
    <w:rsid w:val="00C113BA"/>
    <w:rsid w:val="00C1266A"/>
    <w:rsid w:val="00C15AAE"/>
    <w:rsid w:val="00C16EC5"/>
    <w:rsid w:val="00C215E0"/>
    <w:rsid w:val="00C21B7A"/>
    <w:rsid w:val="00C24132"/>
    <w:rsid w:val="00C313E5"/>
    <w:rsid w:val="00C36E8B"/>
    <w:rsid w:val="00C3760A"/>
    <w:rsid w:val="00C43C39"/>
    <w:rsid w:val="00C50F72"/>
    <w:rsid w:val="00C51F8D"/>
    <w:rsid w:val="00C52616"/>
    <w:rsid w:val="00C55B47"/>
    <w:rsid w:val="00C55C59"/>
    <w:rsid w:val="00C5606D"/>
    <w:rsid w:val="00C61E49"/>
    <w:rsid w:val="00C631BB"/>
    <w:rsid w:val="00C66D9D"/>
    <w:rsid w:val="00C6727C"/>
    <w:rsid w:val="00C6775E"/>
    <w:rsid w:val="00C67F1E"/>
    <w:rsid w:val="00C72D14"/>
    <w:rsid w:val="00C73E20"/>
    <w:rsid w:val="00C761B7"/>
    <w:rsid w:val="00C766EB"/>
    <w:rsid w:val="00C76FBC"/>
    <w:rsid w:val="00C81B06"/>
    <w:rsid w:val="00C82C08"/>
    <w:rsid w:val="00C83C4C"/>
    <w:rsid w:val="00C84F8A"/>
    <w:rsid w:val="00C87162"/>
    <w:rsid w:val="00C87939"/>
    <w:rsid w:val="00C87DD9"/>
    <w:rsid w:val="00C91437"/>
    <w:rsid w:val="00C91E88"/>
    <w:rsid w:val="00C93B0B"/>
    <w:rsid w:val="00C9492A"/>
    <w:rsid w:val="00C9506C"/>
    <w:rsid w:val="00CA0DFC"/>
    <w:rsid w:val="00CA0E6B"/>
    <w:rsid w:val="00CA4EF8"/>
    <w:rsid w:val="00CA6213"/>
    <w:rsid w:val="00CA6E9E"/>
    <w:rsid w:val="00CA6F57"/>
    <w:rsid w:val="00CA7325"/>
    <w:rsid w:val="00CA7D35"/>
    <w:rsid w:val="00CB0D9F"/>
    <w:rsid w:val="00CB0EF4"/>
    <w:rsid w:val="00CB4F0B"/>
    <w:rsid w:val="00CB5FEE"/>
    <w:rsid w:val="00CB606F"/>
    <w:rsid w:val="00CB739B"/>
    <w:rsid w:val="00CC1825"/>
    <w:rsid w:val="00CC1D04"/>
    <w:rsid w:val="00CC2E72"/>
    <w:rsid w:val="00CC56A2"/>
    <w:rsid w:val="00CC5C9D"/>
    <w:rsid w:val="00CD2A66"/>
    <w:rsid w:val="00CD3C9E"/>
    <w:rsid w:val="00CE2041"/>
    <w:rsid w:val="00CE544C"/>
    <w:rsid w:val="00CE5571"/>
    <w:rsid w:val="00CE5D0F"/>
    <w:rsid w:val="00CE618B"/>
    <w:rsid w:val="00CE649E"/>
    <w:rsid w:val="00CE7236"/>
    <w:rsid w:val="00D000C1"/>
    <w:rsid w:val="00D019A1"/>
    <w:rsid w:val="00D04D68"/>
    <w:rsid w:val="00D15B91"/>
    <w:rsid w:val="00D20B01"/>
    <w:rsid w:val="00D23505"/>
    <w:rsid w:val="00D266C9"/>
    <w:rsid w:val="00D26D8B"/>
    <w:rsid w:val="00D311B8"/>
    <w:rsid w:val="00D32683"/>
    <w:rsid w:val="00D32769"/>
    <w:rsid w:val="00D36575"/>
    <w:rsid w:val="00D368F2"/>
    <w:rsid w:val="00D37597"/>
    <w:rsid w:val="00D40389"/>
    <w:rsid w:val="00D43430"/>
    <w:rsid w:val="00D442FF"/>
    <w:rsid w:val="00D45252"/>
    <w:rsid w:val="00D4700C"/>
    <w:rsid w:val="00D47C15"/>
    <w:rsid w:val="00D5129D"/>
    <w:rsid w:val="00D54537"/>
    <w:rsid w:val="00D56314"/>
    <w:rsid w:val="00D620E3"/>
    <w:rsid w:val="00D63349"/>
    <w:rsid w:val="00D66992"/>
    <w:rsid w:val="00D72A14"/>
    <w:rsid w:val="00D72A7C"/>
    <w:rsid w:val="00D761D9"/>
    <w:rsid w:val="00D804BA"/>
    <w:rsid w:val="00D804E8"/>
    <w:rsid w:val="00D80638"/>
    <w:rsid w:val="00D8115D"/>
    <w:rsid w:val="00D8132C"/>
    <w:rsid w:val="00D8164C"/>
    <w:rsid w:val="00D85685"/>
    <w:rsid w:val="00D87086"/>
    <w:rsid w:val="00D90AC0"/>
    <w:rsid w:val="00D93535"/>
    <w:rsid w:val="00D9695D"/>
    <w:rsid w:val="00D970F1"/>
    <w:rsid w:val="00DA2A18"/>
    <w:rsid w:val="00DA2AF0"/>
    <w:rsid w:val="00DA2BD3"/>
    <w:rsid w:val="00DA381F"/>
    <w:rsid w:val="00DA49A7"/>
    <w:rsid w:val="00DA5399"/>
    <w:rsid w:val="00DA5960"/>
    <w:rsid w:val="00DB19BE"/>
    <w:rsid w:val="00DB71A3"/>
    <w:rsid w:val="00DC0258"/>
    <w:rsid w:val="00DC0708"/>
    <w:rsid w:val="00DC0F01"/>
    <w:rsid w:val="00DC39B2"/>
    <w:rsid w:val="00DC70C5"/>
    <w:rsid w:val="00DD0648"/>
    <w:rsid w:val="00DD22ED"/>
    <w:rsid w:val="00DD3CDE"/>
    <w:rsid w:val="00DD72A3"/>
    <w:rsid w:val="00DE01D4"/>
    <w:rsid w:val="00DE0E82"/>
    <w:rsid w:val="00DE312C"/>
    <w:rsid w:val="00DE5973"/>
    <w:rsid w:val="00DE69C8"/>
    <w:rsid w:val="00DE6E1A"/>
    <w:rsid w:val="00DE6EB2"/>
    <w:rsid w:val="00DE7CC0"/>
    <w:rsid w:val="00DF2E06"/>
    <w:rsid w:val="00DF2E4E"/>
    <w:rsid w:val="00DF4B70"/>
    <w:rsid w:val="00DF4E9E"/>
    <w:rsid w:val="00DF53E8"/>
    <w:rsid w:val="00DF673E"/>
    <w:rsid w:val="00DF7177"/>
    <w:rsid w:val="00DF7CCB"/>
    <w:rsid w:val="00E0084B"/>
    <w:rsid w:val="00E03ABB"/>
    <w:rsid w:val="00E0626B"/>
    <w:rsid w:val="00E070BA"/>
    <w:rsid w:val="00E1493B"/>
    <w:rsid w:val="00E202FA"/>
    <w:rsid w:val="00E225C2"/>
    <w:rsid w:val="00E2363E"/>
    <w:rsid w:val="00E30689"/>
    <w:rsid w:val="00E3299A"/>
    <w:rsid w:val="00E34547"/>
    <w:rsid w:val="00E34A44"/>
    <w:rsid w:val="00E35FD3"/>
    <w:rsid w:val="00E370AD"/>
    <w:rsid w:val="00E44995"/>
    <w:rsid w:val="00E47D5E"/>
    <w:rsid w:val="00E51276"/>
    <w:rsid w:val="00E51D62"/>
    <w:rsid w:val="00E53C72"/>
    <w:rsid w:val="00E56408"/>
    <w:rsid w:val="00E6032B"/>
    <w:rsid w:val="00E61182"/>
    <w:rsid w:val="00E66729"/>
    <w:rsid w:val="00E66985"/>
    <w:rsid w:val="00E66D46"/>
    <w:rsid w:val="00E70E5C"/>
    <w:rsid w:val="00E716E3"/>
    <w:rsid w:val="00E72792"/>
    <w:rsid w:val="00E72CB5"/>
    <w:rsid w:val="00E74BE4"/>
    <w:rsid w:val="00E74FAE"/>
    <w:rsid w:val="00E75267"/>
    <w:rsid w:val="00E81377"/>
    <w:rsid w:val="00E81463"/>
    <w:rsid w:val="00E8432C"/>
    <w:rsid w:val="00E86209"/>
    <w:rsid w:val="00E86995"/>
    <w:rsid w:val="00E879D2"/>
    <w:rsid w:val="00E905EF"/>
    <w:rsid w:val="00E93820"/>
    <w:rsid w:val="00E9382E"/>
    <w:rsid w:val="00E97DC8"/>
    <w:rsid w:val="00EA16A7"/>
    <w:rsid w:val="00EA690A"/>
    <w:rsid w:val="00EC1EE5"/>
    <w:rsid w:val="00EC552F"/>
    <w:rsid w:val="00EC63E0"/>
    <w:rsid w:val="00EC7650"/>
    <w:rsid w:val="00ED3992"/>
    <w:rsid w:val="00ED3F20"/>
    <w:rsid w:val="00ED4A97"/>
    <w:rsid w:val="00ED54BE"/>
    <w:rsid w:val="00ED7E61"/>
    <w:rsid w:val="00EE1859"/>
    <w:rsid w:val="00EE1A31"/>
    <w:rsid w:val="00EE7D4D"/>
    <w:rsid w:val="00EF3B8A"/>
    <w:rsid w:val="00EF3E4F"/>
    <w:rsid w:val="00EF5F32"/>
    <w:rsid w:val="00EF65D0"/>
    <w:rsid w:val="00F00F44"/>
    <w:rsid w:val="00F01E48"/>
    <w:rsid w:val="00F0383A"/>
    <w:rsid w:val="00F070E1"/>
    <w:rsid w:val="00F076D0"/>
    <w:rsid w:val="00F07DCD"/>
    <w:rsid w:val="00F11C78"/>
    <w:rsid w:val="00F12195"/>
    <w:rsid w:val="00F14134"/>
    <w:rsid w:val="00F142D3"/>
    <w:rsid w:val="00F20ED3"/>
    <w:rsid w:val="00F25E16"/>
    <w:rsid w:val="00F31704"/>
    <w:rsid w:val="00F31D4E"/>
    <w:rsid w:val="00F33777"/>
    <w:rsid w:val="00F33958"/>
    <w:rsid w:val="00F363D4"/>
    <w:rsid w:val="00F40A27"/>
    <w:rsid w:val="00F42D6A"/>
    <w:rsid w:val="00F43F09"/>
    <w:rsid w:val="00F44FDE"/>
    <w:rsid w:val="00F46A96"/>
    <w:rsid w:val="00F46C9D"/>
    <w:rsid w:val="00F54208"/>
    <w:rsid w:val="00F55032"/>
    <w:rsid w:val="00F5715E"/>
    <w:rsid w:val="00F6057E"/>
    <w:rsid w:val="00F6395C"/>
    <w:rsid w:val="00F72564"/>
    <w:rsid w:val="00F73008"/>
    <w:rsid w:val="00F73ED8"/>
    <w:rsid w:val="00F82F72"/>
    <w:rsid w:val="00F831B7"/>
    <w:rsid w:val="00F84F68"/>
    <w:rsid w:val="00F86504"/>
    <w:rsid w:val="00F869E0"/>
    <w:rsid w:val="00F86FEF"/>
    <w:rsid w:val="00F87937"/>
    <w:rsid w:val="00F922E3"/>
    <w:rsid w:val="00F9255D"/>
    <w:rsid w:val="00F9355A"/>
    <w:rsid w:val="00F9458B"/>
    <w:rsid w:val="00F95B31"/>
    <w:rsid w:val="00F960CF"/>
    <w:rsid w:val="00FA2CF2"/>
    <w:rsid w:val="00FA3866"/>
    <w:rsid w:val="00FA5831"/>
    <w:rsid w:val="00FB1598"/>
    <w:rsid w:val="00FB1FA7"/>
    <w:rsid w:val="00FB33CD"/>
    <w:rsid w:val="00FB36FB"/>
    <w:rsid w:val="00FB3BAE"/>
    <w:rsid w:val="00FB441D"/>
    <w:rsid w:val="00FB4BFF"/>
    <w:rsid w:val="00FB59C0"/>
    <w:rsid w:val="00FB6DE2"/>
    <w:rsid w:val="00FB7113"/>
    <w:rsid w:val="00FC1E67"/>
    <w:rsid w:val="00FC5744"/>
    <w:rsid w:val="00FC6EEC"/>
    <w:rsid w:val="00FC7747"/>
    <w:rsid w:val="00FC7A39"/>
    <w:rsid w:val="00FD4B9B"/>
    <w:rsid w:val="00FD4CEA"/>
    <w:rsid w:val="00FD5582"/>
    <w:rsid w:val="00FD57CE"/>
    <w:rsid w:val="00FD5DB7"/>
    <w:rsid w:val="00FD7261"/>
    <w:rsid w:val="00FE0A01"/>
    <w:rsid w:val="00FE2DF9"/>
    <w:rsid w:val="00FE3C54"/>
    <w:rsid w:val="00FE407E"/>
    <w:rsid w:val="00FE6051"/>
    <w:rsid w:val="00FF0D09"/>
    <w:rsid w:val="00FF23C4"/>
    <w:rsid w:val="00FF386B"/>
    <w:rsid w:val="00FF4FA9"/>
    <w:rsid w:val="00FF6192"/>
    <w:rsid w:val="00FF6CC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BF89D"/>
  <w15:chartTrackingRefBased/>
  <w15:docId w15:val="{30AD6584-5E71-4C9E-9763-C1EE62493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Theme="minorHAnsi" w:hAnsi="Garamond" w:cs="Times New Roman (Body CS)"/>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BEC"/>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54E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82573"/>
    <w:pPr>
      <w:keepNext/>
      <w:keepLines/>
      <w:spacing w:before="160" w:after="80"/>
      <w:outlineLvl w:val="1"/>
    </w:pPr>
    <w:rPr>
      <w:rFonts w:asciiTheme="majorBidi" w:eastAsiaTheme="majorEastAsia" w:hAnsiTheme="majorBidi" w:cstheme="majorBidi"/>
      <w:color w:val="000000" w:themeColor="text1"/>
      <w:sz w:val="32"/>
      <w:szCs w:val="32"/>
    </w:rPr>
  </w:style>
  <w:style w:type="paragraph" w:styleId="Heading3">
    <w:name w:val="heading 3"/>
    <w:basedOn w:val="Normal"/>
    <w:next w:val="Normal"/>
    <w:link w:val="Heading3Char"/>
    <w:uiPriority w:val="9"/>
    <w:unhideWhenUsed/>
    <w:qFormat/>
    <w:rsid w:val="00215AED"/>
    <w:pPr>
      <w:keepNext/>
      <w:keepLines/>
      <w:spacing w:before="160" w:after="80"/>
      <w:outlineLvl w:val="2"/>
    </w:pPr>
    <w:rPr>
      <w:rFonts w:asciiTheme="majorBidi" w:eastAsiaTheme="majorEastAsia" w:hAnsiTheme="majorBidi" w:cstheme="majorBidi"/>
      <w:b/>
      <w:sz w:val="28"/>
      <w:szCs w:val="28"/>
    </w:rPr>
  </w:style>
  <w:style w:type="paragraph" w:styleId="Heading4">
    <w:name w:val="heading 4"/>
    <w:basedOn w:val="Normal"/>
    <w:next w:val="Normal"/>
    <w:link w:val="Heading4Char"/>
    <w:uiPriority w:val="9"/>
    <w:semiHidden/>
    <w:unhideWhenUsed/>
    <w:qFormat/>
    <w:rsid w:val="00454E8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54E8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54E8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54E8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54E8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54E8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E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2573"/>
    <w:rPr>
      <w:rFonts w:asciiTheme="majorBidi" w:eastAsiaTheme="majorEastAsia" w:hAnsiTheme="majorBidi" w:cstheme="majorBidi"/>
      <w:color w:val="000000" w:themeColor="text1"/>
      <w:kern w:val="0"/>
      <w:sz w:val="32"/>
      <w:szCs w:val="32"/>
      <w14:ligatures w14:val="none"/>
    </w:rPr>
  </w:style>
  <w:style w:type="character" w:customStyle="1" w:styleId="Heading3Char">
    <w:name w:val="Heading 3 Char"/>
    <w:basedOn w:val="DefaultParagraphFont"/>
    <w:link w:val="Heading3"/>
    <w:uiPriority w:val="9"/>
    <w:rsid w:val="00215AED"/>
    <w:rPr>
      <w:rFonts w:asciiTheme="majorBidi" w:eastAsiaTheme="majorEastAsia" w:hAnsiTheme="majorBidi" w:cstheme="majorBidi"/>
      <w:b/>
      <w:kern w:val="0"/>
      <w:sz w:val="28"/>
      <w:szCs w:val="28"/>
      <w14:ligatures w14:val="none"/>
    </w:rPr>
  </w:style>
  <w:style w:type="character" w:customStyle="1" w:styleId="Heading4Char">
    <w:name w:val="Heading 4 Char"/>
    <w:basedOn w:val="DefaultParagraphFont"/>
    <w:link w:val="Heading4"/>
    <w:uiPriority w:val="9"/>
    <w:semiHidden/>
    <w:rsid w:val="00454E8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54E8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54E8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54E8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54E8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54E8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54E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E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4E8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4E8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54E8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4E8D"/>
    <w:rPr>
      <w:i/>
      <w:iCs/>
      <w:color w:val="404040" w:themeColor="text1" w:themeTint="BF"/>
    </w:rPr>
  </w:style>
  <w:style w:type="paragraph" w:styleId="ListParagraph">
    <w:name w:val="List Paragraph"/>
    <w:basedOn w:val="Normal"/>
    <w:link w:val="ListParagraphChar"/>
    <w:uiPriority w:val="34"/>
    <w:qFormat/>
    <w:rsid w:val="00454E8D"/>
    <w:pPr>
      <w:ind w:left="720"/>
      <w:contextualSpacing/>
    </w:pPr>
  </w:style>
  <w:style w:type="character" w:styleId="IntenseEmphasis">
    <w:name w:val="Intense Emphasis"/>
    <w:basedOn w:val="DefaultParagraphFont"/>
    <w:uiPriority w:val="21"/>
    <w:qFormat/>
    <w:rsid w:val="00454E8D"/>
    <w:rPr>
      <w:i/>
      <w:iCs/>
      <w:color w:val="0F4761" w:themeColor="accent1" w:themeShade="BF"/>
    </w:rPr>
  </w:style>
  <w:style w:type="paragraph" w:styleId="IntenseQuote">
    <w:name w:val="Intense Quote"/>
    <w:basedOn w:val="Normal"/>
    <w:next w:val="Normal"/>
    <w:link w:val="IntenseQuoteChar"/>
    <w:uiPriority w:val="30"/>
    <w:qFormat/>
    <w:rsid w:val="00454E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4E8D"/>
    <w:rPr>
      <w:i/>
      <w:iCs/>
      <w:color w:val="0F4761" w:themeColor="accent1" w:themeShade="BF"/>
    </w:rPr>
  </w:style>
  <w:style w:type="character" w:styleId="IntenseReference">
    <w:name w:val="Intense Reference"/>
    <w:basedOn w:val="DefaultParagraphFont"/>
    <w:uiPriority w:val="32"/>
    <w:qFormat/>
    <w:rsid w:val="00454E8D"/>
    <w:rPr>
      <w:b/>
      <w:bCs/>
      <w:smallCaps/>
      <w:color w:val="0F4761" w:themeColor="accent1" w:themeShade="BF"/>
      <w:spacing w:val="5"/>
    </w:rPr>
  </w:style>
  <w:style w:type="character" w:customStyle="1" w:styleId="normaltextrun">
    <w:name w:val="normaltextrun"/>
    <w:basedOn w:val="DefaultParagraphFont"/>
    <w:rsid w:val="00764225"/>
  </w:style>
  <w:style w:type="character" w:customStyle="1" w:styleId="eop">
    <w:name w:val="eop"/>
    <w:basedOn w:val="DefaultParagraphFont"/>
    <w:rsid w:val="00764225"/>
  </w:style>
  <w:style w:type="paragraph" w:customStyle="1" w:styleId="msonormal0">
    <w:name w:val="msonormal"/>
    <w:basedOn w:val="Normal"/>
    <w:rsid w:val="00764225"/>
    <w:pPr>
      <w:spacing w:before="100" w:beforeAutospacing="1" w:after="100" w:afterAutospacing="1"/>
    </w:pPr>
  </w:style>
  <w:style w:type="paragraph" w:customStyle="1" w:styleId="paragraph">
    <w:name w:val="paragraph"/>
    <w:basedOn w:val="Normal"/>
    <w:rsid w:val="00764225"/>
    <w:pPr>
      <w:spacing w:before="100" w:beforeAutospacing="1" w:after="100" w:afterAutospacing="1"/>
    </w:pPr>
  </w:style>
  <w:style w:type="character" w:customStyle="1" w:styleId="textrun">
    <w:name w:val="textrun"/>
    <w:basedOn w:val="DefaultParagraphFont"/>
    <w:rsid w:val="00764225"/>
  </w:style>
  <w:style w:type="character" w:styleId="Hyperlink">
    <w:name w:val="Hyperlink"/>
    <w:basedOn w:val="DefaultParagraphFont"/>
    <w:uiPriority w:val="99"/>
    <w:unhideWhenUsed/>
    <w:rsid w:val="00764225"/>
    <w:rPr>
      <w:color w:val="0000FF"/>
      <w:u w:val="single"/>
    </w:rPr>
  </w:style>
  <w:style w:type="character" w:styleId="FollowedHyperlink">
    <w:name w:val="FollowedHyperlink"/>
    <w:basedOn w:val="DefaultParagraphFont"/>
    <w:uiPriority w:val="99"/>
    <w:semiHidden/>
    <w:unhideWhenUsed/>
    <w:rsid w:val="00764225"/>
    <w:rPr>
      <w:color w:val="800080"/>
      <w:u w:val="single"/>
    </w:rPr>
  </w:style>
  <w:style w:type="character" w:customStyle="1" w:styleId="fieldrange">
    <w:name w:val="fieldrange"/>
    <w:basedOn w:val="DefaultParagraphFont"/>
    <w:rsid w:val="00764225"/>
  </w:style>
  <w:style w:type="character" w:customStyle="1" w:styleId="linebreakblob">
    <w:name w:val="linebreakblob"/>
    <w:basedOn w:val="DefaultParagraphFont"/>
    <w:rsid w:val="00764225"/>
  </w:style>
  <w:style w:type="character" w:customStyle="1" w:styleId="scxw115220699">
    <w:name w:val="scxw115220699"/>
    <w:basedOn w:val="DefaultParagraphFont"/>
    <w:rsid w:val="00764225"/>
  </w:style>
  <w:style w:type="character" w:customStyle="1" w:styleId="superscript">
    <w:name w:val="superscript"/>
    <w:basedOn w:val="DefaultParagraphFont"/>
    <w:rsid w:val="00AB03EE"/>
  </w:style>
  <w:style w:type="character" w:customStyle="1" w:styleId="wacimagecontainer">
    <w:name w:val="wacimagecontainer"/>
    <w:basedOn w:val="DefaultParagraphFont"/>
    <w:rsid w:val="00AB03EE"/>
  </w:style>
  <w:style w:type="character" w:customStyle="1" w:styleId="trackchangetextinsertion">
    <w:name w:val="trackchangetextinsertion"/>
    <w:basedOn w:val="DefaultParagraphFont"/>
    <w:rsid w:val="00BB6C78"/>
  </w:style>
  <w:style w:type="paragraph" w:customStyle="1" w:styleId="outlineelement">
    <w:name w:val="outlineelement"/>
    <w:basedOn w:val="Normal"/>
    <w:rsid w:val="00BB6C78"/>
    <w:pPr>
      <w:spacing w:before="100" w:beforeAutospacing="1" w:after="100" w:afterAutospacing="1"/>
    </w:pPr>
  </w:style>
  <w:style w:type="character" w:customStyle="1" w:styleId="pagebreakblob">
    <w:name w:val="pagebreakblob"/>
    <w:basedOn w:val="DefaultParagraphFont"/>
    <w:rsid w:val="00BB6C78"/>
  </w:style>
  <w:style w:type="character" w:customStyle="1" w:styleId="pagebreakborderspan">
    <w:name w:val="pagebreakborderspan"/>
    <w:basedOn w:val="DefaultParagraphFont"/>
    <w:rsid w:val="00BB6C78"/>
  </w:style>
  <w:style w:type="character" w:customStyle="1" w:styleId="pagebreaktextspan">
    <w:name w:val="pagebreaktextspan"/>
    <w:basedOn w:val="DefaultParagraphFont"/>
    <w:rsid w:val="00BB6C78"/>
  </w:style>
  <w:style w:type="character" w:customStyle="1" w:styleId="trackedchange">
    <w:name w:val="trackedchange"/>
    <w:basedOn w:val="DefaultParagraphFont"/>
    <w:rsid w:val="00BB6C78"/>
  </w:style>
  <w:style w:type="character" w:customStyle="1" w:styleId="trackchangetextdeletionmarker">
    <w:name w:val="trackchangetextdeletionmarker"/>
    <w:basedOn w:val="DefaultParagraphFont"/>
    <w:rsid w:val="00BB6C78"/>
  </w:style>
  <w:style w:type="character" w:customStyle="1" w:styleId="wacimagegroupcontainer">
    <w:name w:val="wacimagegroupcontainer"/>
    <w:basedOn w:val="DefaultParagraphFont"/>
    <w:rsid w:val="003F0C82"/>
  </w:style>
  <w:style w:type="character" w:customStyle="1" w:styleId="scxw7305117">
    <w:name w:val="scxw7305117"/>
    <w:basedOn w:val="DefaultParagraphFont"/>
    <w:rsid w:val="003F0C82"/>
  </w:style>
  <w:style w:type="character" w:customStyle="1" w:styleId="tabrun">
    <w:name w:val="tabrun"/>
    <w:basedOn w:val="DefaultParagraphFont"/>
    <w:rsid w:val="003F0C82"/>
  </w:style>
  <w:style w:type="character" w:customStyle="1" w:styleId="tabchar">
    <w:name w:val="tabchar"/>
    <w:basedOn w:val="DefaultParagraphFont"/>
    <w:rsid w:val="003F0C82"/>
  </w:style>
  <w:style w:type="character" w:customStyle="1" w:styleId="tableaderchars">
    <w:name w:val="tableaderchars"/>
    <w:basedOn w:val="DefaultParagraphFont"/>
    <w:rsid w:val="003F0C82"/>
  </w:style>
  <w:style w:type="character" w:customStyle="1" w:styleId="scxw55407066">
    <w:name w:val="scxw55407066"/>
    <w:basedOn w:val="DefaultParagraphFont"/>
    <w:rsid w:val="00756F0F"/>
  </w:style>
  <w:style w:type="character" w:customStyle="1" w:styleId="wacimageborder">
    <w:name w:val="wacimageborder"/>
    <w:basedOn w:val="DefaultParagraphFont"/>
    <w:rsid w:val="00756F0F"/>
  </w:style>
  <w:style w:type="character" w:customStyle="1" w:styleId="contentcontrol">
    <w:name w:val="contentcontrol"/>
    <w:basedOn w:val="DefaultParagraphFont"/>
    <w:rsid w:val="00756F0F"/>
  </w:style>
  <w:style w:type="character" w:customStyle="1" w:styleId="contentcontrolboundarysink">
    <w:name w:val="contentcontrolboundarysink"/>
    <w:basedOn w:val="DefaultParagraphFont"/>
    <w:rsid w:val="00756F0F"/>
  </w:style>
  <w:style w:type="character" w:customStyle="1" w:styleId="wacimageplaceholder">
    <w:name w:val="wacimageplaceholder"/>
    <w:basedOn w:val="DefaultParagraphFont"/>
    <w:rsid w:val="00756F0F"/>
  </w:style>
  <w:style w:type="character" w:customStyle="1" w:styleId="wacprogress">
    <w:name w:val="wacprogress"/>
    <w:basedOn w:val="DefaultParagraphFont"/>
    <w:rsid w:val="00756F0F"/>
  </w:style>
  <w:style w:type="character" w:customStyle="1" w:styleId="wacimageplaceholderfiller">
    <w:name w:val="wacimageplaceholderfiller"/>
    <w:basedOn w:val="DefaultParagraphFont"/>
    <w:rsid w:val="00756F0F"/>
  </w:style>
  <w:style w:type="character" w:customStyle="1" w:styleId="mathequationcontainer">
    <w:name w:val="mathequationcontainer"/>
    <w:basedOn w:val="DefaultParagraphFont"/>
    <w:rsid w:val="00756F0F"/>
  </w:style>
  <w:style w:type="character" w:customStyle="1" w:styleId="equationplaceholdertext">
    <w:name w:val="equationplaceholdertext"/>
    <w:basedOn w:val="DefaultParagraphFont"/>
    <w:rsid w:val="00756F0F"/>
  </w:style>
  <w:style w:type="character" w:styleId="CommentReference">
    <w:name w:val="annotation reference"/>
    <w:basedOn w:val="DefaultParagraphFont"/>
    <w:uiPriority w:val="99"/>
    <w:unhideWhenUsed/>
    <w:qFormat/>
    <w:rsid w:val="003109C0"/>
    <w:rPr>
      <w:sz w:val="16"/>
      <w:szCs w:val="16"/>
    </w:rPr>
  </w:style>
  <w:style w:type="paragraph" w:styleId="CommentText">
    <w:name w:val="annotation text"/>
    <w:basedOn w:val="Normal"/>
    <w:link w:val="CommentTextChar"/>
    <w:uiPriority w:val="99"/>
    <w:unhideWhenUsed/>
    <w:rsid w:val="003109C0"/>
    <w:rPr>
      <w:rFonts w:ascii="Garamond" w:eastAsiaTheme="minorHAnsi" w:hAnsi="Garamond" w:cs="Times New Roman (Body CS)"/>
      <w:kern w:val="2"/>
      <w:sz w:val="20"/>
      <w:szCs w:val="20"/>
      <w14:ligatures w14:val="standardContextual"/>
    </w:rPr>
  </w:style>
  <w:style w:type="character" w:customStyle="1" w:styleId="CommentTextChar">
    <w:name w:val="Comment Text Char"/>
    <w:basedOn w:val="DefaultParagraphFont"/>
    <w:link w:val="CommentText"/>
    <w:uiPriority w:val="99"/>
    <w:rsid w:val="003109C0"/>
    <w:rPr>
      <w:sz w:val="20"/>
      <w:szCs w:val="20"/>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
    <w:basedOn w:val="DefaultParagraphFont"/>
    <w:link w:val="BVIfnrChar"/>
    <w:uiPriority w:val="99"/>
    <w:unhideWhenUsed/>
    <w:qFormat/>
    <w:rsid w:val="003109C0"/>
    <w:rPr>
      <w:vertAlign w:val="superscript"/>
    </w:rPr>
  </w:style>
  <w:style w:type="character" w:customStyle="1" w:styleId="FootnoteTextChar">
    <w:name w:val="Footnote Text Char"/>
    <w:aliases w:val="Geneva 9 Char,Font: Geneva 9 Char,Boston 10 Char,f Char,ft Char1,Fotnotstext Char Char,ft Char Char,single space Char,footnote text Char,FOOTNOTES Char,ADB Char,single space1 Char,footnote text1 Char,FOOTNOTES1 Char,fn1 Char,ADB1 Char"/>
    <w:basedOn w:val="DefaultParagraphFont"/>
    <w:link w:val="FootnoteText"/>
    <w:uiPriority w:val="99"/>
    <w:qFormat/>
    <w:rsid w:val="003109C0"/>
    <w:rPr>
      <w:sz w:val="20"/>
      <w:szCs w:val="20"/>
    </w:rPr>
  </w:style>
  <w:style w:type="paragraph" w:styleId="FootnoteText">
    <w:name w:val="footnote text"/>
    <w:aliases w:val="Geneva 9,Font: Geneva 9,Boston 10,f,ft,Fotnotstext Char,ft Char,single space,footnote text,FOOTNOTES,ADB,single space1,footnote text1,FOOTNOTES1,fn1,ADB1,single space2,footnote text2,FOOTNOTES2,fn2,ADB2,single space3,footnote text3"/>
    <w:basedOn w:val="Normal"/>
    <w:link w:val="FootnoteTextChar"/>
    <w:uiPriority w:val="99"/>
    <w:unhideWhenUsed/>
    <w:qFormat/>
    <w:rsid w:val="003109C0"/>
    <w:rPr>
      <w:rFonts w:ascii="Garamond" w:eastAsiaTheme="minorHAnsi" w:hAnsi="Garamond" w:cs="Times New Roman (Body CS)"/>
      <w:kern w:val="2"/>
      <w:sz w:val="20"/>
      <w:szCs w:val="20"/>
      <w14:ligatures w14:val="standardContextual"/>
    </w:rPr>
  </w:style>
  <w:style w:type="character" w:customStyle="1" w:styleId="FootnoteTextChar1">
    <w:name w:val="Footnote Text Char1"/>
    <w:basedOn w:val="DefaultParagraphFont"/>
    <w:uiPriority w:val="99"/>
    <w:semiHidden/>
    <w:rsid w:val="003109C0"/>
    <w:rPr>
      <w:rFonts w:ascii="Times New Roman" w:eastAsia="Times New Roman" w:hAnsi="Times New Roman" w:cs="Times New Roman"/>
      <w:kern w:val="0"/>
      <w:sz w:val="20"/>
      <w:szCs w:val="20"/>
      <w14:ligatures w14:val="none"/>
    </w:rPr>
  </w:style>
  <w:style w:type="character" w:customStyle="1" w:styleId="HeaderChar">
    <w:name w:val="Header Char"/>
    <w:basedOn w:val="DefaultParagraphFont"/>
    <w:link w:val="Header"/>
    <w:uiPriority w:val="99"/>
    <w:rsid w:val="003109C0"/>
  </w:style>
  <w:style w:type="paragraph" w:styleId="Header">
    <w:name w:val="header"/>
    <w:basedOn w:val="Normal"/>
    <w:link w:val="HeaderChar"/>
    <w:uiPriority w:val="99"/>
    <w:unhideWhenUsed/>
    <w:rsid w:val="003109C0"/>
    <w:pPr>
      <w:tabs>
        <w:tab w:val="center" w:pos="4680"/>
        <w:tab w:val="right" w:pos="9360"/>
      </w:tabs>
    </w:pPr>
    <w:rPr>
      <w:rFonts w:ascii="Garamond" w:eastAsiaTheme="minorHAnsi" w:hAnsi="Garamond" w:cs="Times New Roman (Body CS)"/>
      <w:kern w:val="2"/>
      <w14:ligatures w14:val="standardContextual"/>
    </w:rPr>
  </w:style>
  <w:style w:type="character" w:customStyle="1" w:styleId="HeaderChar1">
    <w:name w:val="Header Char1"/>
    <w:basedOn w:val="DefaultParagraphFont"/>
    <w:uiPriority w:val="99"/>
    <w:semiHidden/>
    <w:rsid w:val="003109C0"/>
    <w:rPr>
      <w:rFonts w:ascii="Times New Roman" w:eastAsia="Times New Roman" w:hAnsi="Times New Roman" w:cs="Times New Roman"/>
      <w:kern w:val="0"/>
      <w14:ligatures w14:val="none"/>
    </w:rPr>
  </w:style>
  <w:style w:type="paragraph" w:customStyle="1" w:styleId="m-7839000498800682492para1">
    <w:name w:val="m_-7839000498800682492para1"/>
    <w:basedOn w:val="Normal"/>
    <w:rsid w:val="00950699"/>
    <w:pPr>
      <w:spacing w:before="100" w:beforeAutospacing="1" w:after="100" w:afterAutospacing="1"/>
    </w:pPr>
  </w:style>
  <w:style w:type="character" w:customStyle="1" w:styleId="UnresolvedMention1">
    <w:name w:val="Unresolved Mention1"/>
    <w:basedOn w:val="DefaultParagraphFont"/>
    <w:uiPriority w:val="99"/>
    <w:semiHidden/>
    <w:unhideWhenUsed/>
    <w:rsid w:val="00950699"/>
    <w:rPr>
      <w:color w:val="605E5C"/>
      <w:shd w:val="clear" w:color="auto" w:fill="E1DFDD"/>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FootnoteReference"/>
    <w:uiPriority w:val="99"/>
    <w:qFormat/>
    <w:rsid w:val="00950699"/>
    <w:pPr>
      <w:spacing w:after="160" w:line="240" w:lineRule="exact"/>
      <w:jc w:val="both"/>
    </w:pPr>
    <w:rPr>
      <w:rFonts w:ascii="Garamond" w:eastAsiaTheme="minorHAnsi" w:hAnsi="Garamond" w:cs="Times New Roman (Body CS)"/>
      <w:kern w:val="2"/>
      <w:vertAlign w:val="superscript"/>
      <w14:ligatures w14:val="standardContextual"/>
    </w:rPr>
  </w:style>
  <w:style w:type="paragraph" w:styleId="CommentSubject">
    <w:name w:val="annotation subject"/>
    <w:basedOn w:val="CommentText"/>
    <w:next w:val="CommentText"/>
    <w:link w:val="CommentSubjectChar"/>
    <w:uiPriority w:val="99"/>
    <w:semiHidden/>
    <w:unhideWhenUsed/>
    <w:rsid w:val="00950699"/>
    <w:rPr>
      <w:rFonts w:asciiTheme="minorHAnsi" w:hAnsiTheme="minorHAnsi"/>
      <w:b/>
      <w:bCs/>
    </w:rPr>
  </w:style>
  <w:style w:type="character" w:customStyle="1" w:styleId="CommentSubjectChar">
    <w:name w:val="Comment Subject Char"/>
    <w:basedOn w:val="CommentTextChar"/>
    <w:link w:val="CommentSubject"/>
    <w:uiPriority w:val="99"/>
    <w:semiHidden/>
    <w:rsid w:val="00950699"/>
    <w:rPr>
      <w:rFonts w:asciiTheme="minorHAnsi" w:hAnsiTheme="minorHAnsi"/>
      <w:b/>
      <w:bCs/>
      <w:sz w:val="20"/>
      <w:szCs w:val="20"/>
    </w:rPr>
  </w:style>
  <w:style w:type="table" w:styleId="TableGrid">
    <w:name w:val="Table Grid"/>
    <w:basedOn w:val="TableNormal"/>
    <w:uiPriority w:val="39"/>
    <w:rsid w:val="00950699"/>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50699"/>
    <w:pPr>
      <w:tabs>
        <w:tab w:val="center" w:pos="4680"/>
        <w:tab w:val="right" w:pos="9360"/>
      </w:tabs>
    </w:pPr>
    <w:rPr>
      <w:rFonts w:asciiTheme="minorHAnsi" w:eastAsiaTheme="minorHAnsi" w:hAnsiTheme="minorHAnsi" w:cs="Times New Roman (Body CS)"/>
      <w:kern w:val="2"/>
      <w:sz w:val="22"/>
      <w:szCs w:val="22"/>
      <w14:ligatures w14:val="standardContextual"/>
    </w:rPr>
  </w:style>
  <w:style w:type="character" w:customStyle="1" w:styleId="FooterChar">
    <w:name w:val="Footer Char"/>
    <w:basedOn w:val="DefaultParagraphFont"/>
    <w:link w:val="Footer"/>
    <w:uiPriority w:val="99"/>
    <w:rsid w:val="00950699"/>
    <w:rPr>
      <w:rFonts w:asciiTheme="minorHAnsi" w:hAnsiTheme="minorHAnsi"/>
      <w:sz w:val="22"/>
      <w:szCs w:val="22"/>
    </w:rPr>
  </w:style>
  <w:style w:type="character" w:styleId="PageNumber">
    <w:name w:val="page number"/>
    <w:basedOn w:val="DefaultParagraphFont"/>
    <w:uiPriority w:val="99"/>
    <w:semiHidden/>
    <w:unhideWhenUsed/>
    <w:rsid w:val="00950699"/>
  </w:style>
  <w:style w:type="paragraph" w:styleId="Revision">
    <w:name w:val="Revision"/>
    <w:hidden/>
    <w:uiPriority w:val="99"/>
    <w:semiHidden/>
    <w:rsid w:val="00950699"/>
    <w:rPr>
      <w:rFonts w:asciiTheme="minorHAnsi" w:hAnsiTheme="minorHAnsi"/>
      <w:sz w:val="22"/>
      <w:szCs w:val="22"/>
    </w:rPr>
  </w:style>
  <w:style w:type="character" w:customStyle="1" w:styleId="cf01">
    <w:name w:val="cf01"/>
    <w:basedOn w:val="DefaultParagraphFont"/>
    <w:rsid w:val="00950699"/>
    <w:rPr>
      <w:rFonts w:ascii="Segoe UI" w:hAnsi="Segoe UI" w:cs="Segoe UI" w:hint="default"/>
      <w:sz w:val="18"/>
      <w:szCs w:val="18"/>
    </w:rPr>
  </w:style>
  <w:style w:type="paragraph" w:customStyle="1" w:styleId="pf0">
    <w:name w:val="pf0"/>
    <w:basedOn w:val="Normal"/>
    <w:rsid w:val="00950699"/>
    <w:pPr>
      <w:spacing w:before="100" w:beforeAutospacing="1" w:after="100" w:afterAutospacing="1"/>
    </w:pPr>
    <w:rPr>
      <w:lang w:val="en-GB" w:eastAsia="en-GB"/>
    </w:rPr>
  </w:style>
  <w:style w:type="table" w:styleId="GridTable6Colorful">
    <w:name w:val="Grid Table 6 Colorful"/>
    <w:basedOn w:val="TableNormal"/>
    <w:uiPriority w:val="51"/>
    <w:rsid w:val="008F3925"/>
    <w:rPr>
      <w:rFonts w:asciiTheme="minorHAnsi" w:hAnsiTheme="minorHAnsi" w:cstheme="minorBidi"/>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8F3925"/>
    <w:pPr>
      <w:jc w:val="center"/>
    </w:pPr>
    <w:rPr>
      <w:rFonts w:ascii="Calibri" w:eastAsiaTheme="minorHAnsi" w:hAnsi="Calibri" w:cs="Calibri"/>
      <w:kern w:val="2"/>
      <w:lang w:val="en-US"/>
      <w14:ligatures w14:val="standardContextual"/>
    </w:rPr>
  </w:style>
  <w:style w:type="character" w:customStyle="1" w:styleId="EndNoteBibliographyTitleChar">
    <w:name w:val="EndNote Bibliography Title Char"/>
    <w:basedOn w:val="DefaultParagraphFont"/>
    <w:link w:val="EndNoteBibliographyTitle"/>
    <w:rsid w:val="008F3925"/>
    <w:rPr>
      <w:rFonts w:ascii="Calibri" w:hAnsi="Calibri" w:cs="Calibri"/>
      <w:lang w:val="en-US"/>
    </w:rPr>
  </w:style>
  <w:style w:type="paragraph" w:customStyle="1" w:styleId="EndNoteBibliography">
    <w:name w:val="EndNote Bibliography"/>
    <w:basedOn w:val="Normal"/>
    <w:link w:val="EndNoteBibliographyChar"/>
    <w:rsid w:val="008F3925"/>
    <w:rPr>
      <w:rFonts w:ascii="Calibri" w:eastAsiaTheme="minorHAnsi" w:hAnsi="Calibri" w:cs="Calibri"/>
      <w:kern w:val="2"/>
      <w:lang w:val="en-US"/>
      <w14:ligatures w14:val="standardContextual"/>
    </w:rPr>
  </w:style>
  <w:style w:type="character" w:customStyle="1" w:styleId="EndNoteBibliographyChar">
    <w:name w:val="EndNote Bibliography Char"/>
    <w:basedOn w:val="DefaultParagraphFont"/>
    <w:link w:val="EndNoteBibliography"/>
    <w:rsid w:val="008F3925"/>
    <w:rPr>
      <w:rFonts w:ascii="Calibri" w:hAnsi="Calibri" w:cs="Calibri"/>
      <w:lang w:val="en-US"/>
    </w:rPr>
  </w:style>
  <w:style w:type="character" w:customStyle="1" w:styleId="UnresolvedMention10">
    <w:name w:val="Unresolved Mention1"/>
    <w:basedOn w:val="DefaultParagraphFont"/>
    <w:uiPriority w:val="99"/>
    <w:semiHidden/>
    <w:unhideWhenUsed/>
    <w:rsid w:val="008F3925"/>
    <w:rPr>
      <w:color w:val="605E5C"/>
      <w:shd w:val="clear" w:color="auto" w:fill="E1DFDD"/>
    </w:rPr>
  </w:style>
  <w:style w:type="paragraph" w:styleId="BalloonText">
    <w:name w:val="Balloon Text"/>
    <w:basedOn w:val="Normal"/>
    <w:link w:val="BalloonTextChar"/>
    <w:uiPriority w:val="99"/>
    <w:semiHidden/>
    <w:unhideWhenUsed/>
    <w:rsid w:val="008F3925"/>
    <w:rPr>
      <w:rFonts w:ascii="Segoe UI" w:eastAsiaTheme="minorHAnsi" w:hAnsi="Segoe UI" w:cs="Segoe UI"/>
      <w:kern w:val="2"/>
      <w:sz w:val="18"/>
      <w:szCs w:val="18"/>
      <w:lang w:val="en-AU"/>
      <w14:ligatures w14:val="standardContextual"/>
    </w:rPr>
  </w:style>
  <w:style w:type="character" w:customStyle="1" w:styleId="BalloonTextChar">
    <w:name w:val="Balloon Text Char"/>
    <w:basedOn w:val="DefaultParagraphFont"/>
    <w:link w:val="BalloonText"/>
    <w:uiPriority w:val="99"/>
    <w:semiHidden/>
    <w:rsid w:val="008F3925"/>
    <w:rPr>
      <w:rFonts w:ascii="Segoe UI" w:hAnsi="Segoe UI" w:cs="Segoe UI"/>
      <w:sz w:val="18"/>
      <w:szCs w:val="18"/>
      <w:lang w:val="en-AU"/>
    </w:rPr>
  </w:style>
  <w:style w:type="table" w:styleId="GridTable4-Accent3">
    <w:name w:val="Grid Table 4 Accent 3"/>
    <w:basedOn w:val="TableNormal"/>
    <w:uiPriority w:val="49"/>
    <w:rsid w:val="008F3925"/>
    <w:rPr>
      <w:rFonts w:asciiTheme="minorHAnsi" w:hAnsiTheme="minorHAnsi" w:cstheme="minorBidi"/>
      <w:lang w:val="en-AU"/>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1Light">
    <w:name w:val="Grid Table 1 Light"/>
    <w:basedOn w:val="TableNormal"/>
    <w:uiPriority w:val="46"/>
    <w:rsid w:val="008F3925"/>
    <w:rPr>
      <w:rFonts w:asciiTheme="minorHAnsi" w:hAnsiTheme="minorHAnsi" w:cstheme="minorBidi"/>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CurrentList1">
    <w:name w:val="Current List1"/>
    <w:uiPriority w:val="99"/>
    <w:rsid w:val="008F3925"/>
    <w:pPr>
      <w:numPr>
        <w:numId w:val="8"/>
      </w:numPr>
    </w:pPr>
  </w:style>
  <w:style w:type="paragraph" w:styleId="Caption">
    <w:name w:val="caption"/>
    <w:basedOn w:val="Normal"/>
    <w:next w:val="Normal"/>
    <w:uiPriority w:val="35"/>
    <w:unhideWhenUsed/>
    <w:qFormat/>
    <w:rsid w:val="0081052F"/>
    <w:pPr>
      <w:spacing w:after="200"/>
    </w:pPr>
    <w:rPr>
      <w:rFonts w:ascii="Calibri" w:eastAsia="Calibri" w:hAnsi="Calibri" w:cs="Calibri"/>
      <w:i/>
      <w:iCs/>
      <w:color w:val="0E2841" w:themeColor="text2"/>
      <w:sz w:val="18"/>
      <w:szCs w:val="18"/>
      <w:lang w:val="en-US"/>
    </w:rPr>
  </w:style>
  <w:style w:type="paragraph" w:styleId="TOCHeading">
    <w:name w:val="TOC Heading"/>
    <w:basedOn w:val="Heading1"/>
    <w:next w:val="Normal"/>
    <w:uiPriority w:val="39"/>
    <w:unhideWhenUsed/>
    <w:qFormat/>
    <w:rsid w:val="00E70E5C"/>
    <w:pPr>
      <w:spacing w:before="240" w:after="0" w:line="259" w:lineRule="auto"/>
      <w:outlineLvl w:val="9"/>
    </w:pPr>
    <w:rPr>
      <w:sz w:val="32"/>
      <w:szCs w:val="32"/>
      <w:lang w:val="en-US"/>
    </w:rPr>
  </w:style>
  <w:style w:type="paragraph" w:styleId="TOC2">
    <w:name w:val="toc 2"/>
    <w:basedOn w:val="Normal"/>
    <w:next w:val="Normal"/>
    <w:autoRedefine/>
    <w:uiPriority w:val="39"/>
    <w:unhideWhenUsed/>
    <w:rsid w:val="00E70E5C"/>
    <w:pPr>
      <w:spacing w:after="100"/>
      <w:ind w:left="240"/>
    </w:pPr>
  </w:style>
  <w:style w:type="paragraph" w:styleId="TOC3">
    <w:name w:val="toc 3"/>
    <w:basedOn w:val="Normal"/>
    <w:next w:val="Normal"/>
    <w:autoRedefine/>
    <w:uiPriority w:val="39"/>
    <w:unhideWhenUsed/>
    <w:rsid w:val="00036E97"/>
    <w:pPr>
      <w:tabs>
        <w:tab w:val="right" w:leader="dot" w:pos="9350"/>
      </w:tabs>
      <w:spacing w:after="100"/>
      <w:ind w:left="480"/>
    </w:pPr>
  </w:style>
  <w:style w:type="paragraph" w:customStyle="1" w:styleId="MText">
    <w:name w:val="M.Text"/>
    <w:basedOn w:val="Normal"/>
    <w:link w:val="MTextChar"/>
    <w:qFormat/>
    <w:rsid w:val="00930B9B"/>
    <w:pPr>
      <w:shd w:val="clear" w:color="auto" w:fill="FFFFFF"/>
      <w:spacing w:line="276" w:lineRule="auto"/>
    </w:pPr>
    <w:rPr>
      <w:rFonts w:asciiTheme="minorHAnsi" w:hAnsiTheme="minorHAnsi"/>
      <w:color w:val="4A4A4A"/>
      <w:sz w:val="21"/>
      <w:szCs w:val="21"/>
      <w:lang w:val="en-GB" w:eastAsia="en-GB"/>
    </w:rPr>
  </w:style>
  <w:style w:type="character" w:customStyle="1" w:styleId="MTextChar">
    <w:name w:val="M.Text Char"/>
    <w:basedOn w:val="DefaultParagraphFont"/>
    <w:link w:val="MText"/>
    <w:rsid w:val="00930B9B"/>
    <w:rPr>
      <w:rFonts w:asciiTheme="minorHAnsi" w:eastAsia="Times New Roman" w:hAnsiTheme="minorHAnsi" w:cs="Times New Roman"/>
      <w:color w:val="4A4A4A"/>
      <w:kern w:val="0"/>
      <w:sz w:val="21"/>
      <w:szCs w:val="21"/>
      <w:shd w:val="clear" w:color="auto" w:fill="FFFFFF"/>
      <w:lang w:val="en-GB" w:eastAsia="en-GB"/>
      <w14:ligatures w14:val="none"/>
    </w:rPr>
  </w:style>
  <w:style w:type="character" w:customStyle="1" w:styleId="ListParagraphChar">
    <w:name w:val="List Paragraph Char"/>
    <w:link w:val="ListParagraph"/>
    <w:uiPriority w:val="34"/>
    <w:locked/>
    <w:rsid w:val="00285C8C"/>
    <w:rPr>
      <w:rFonts w:ascii="Times New Roman" w:eastAsia="Times New Roman" w:hAnsi="Times New Roman" w:cs="Times New Roman"/>
      <w:kern w:val="0"/>
      <w14:ligatures w14:val="none"/>
    </w:rPr>
  </w:style>
  <w:style w:type="paragraph" w:styleId="Date">
    <w:name w:val="Date"/>
    <w:basedOn w:val="Normal"/>
    <w:next w:val="Normal"/>
    <w:link w:val="DateChar"/>
    <w:uiPriority w:val="99"/>
    <w:semiHidden/>
    <w:unhideWhenUsed/>
    <w:rsid w:val="00775978"/>
  </w:style>
  <w:style w:type="character" w:customStyle="1" w:styleId="DateChar">
    <w:name w:val="Date Char"/>
    <w:basedOn w:val="DefaultParagraphFont"/>
    <w:link w:val="Date"/>
    <w:uiPriority w:val="99"/>
    <w:semiHidden/>
    <w:rsid w:val="00775978"/>
    <w:rPr>
      <w:rFonts w:ascii="Times New Roman" w:eastAsia="Times New Roman" w:hAnsi="Times New Roman" w:cs="Times New Roman"/>
      <w:kern w:val="0"/>
      <w14:ligatures w14:val="none"/>
    </w:rPr>
  </w:style>
  <w:style w:type="table" w:customStyle="1" w:styleId="TableGrid1">
    <w:name w:val="Table Grid1"/>
    <w:basedOn w:val="TableNormal"/>
    <w:next w:val="TableGrid"/>
    <w:uiPriority w:val="59"/>
    <w:rsid w:val="00775978"/>
    <w:rPr>
      <w:rFonts w:ascii="Calibri" w:eastAsia="DengXian"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FootnoteText"/>
    <w:qFormat/>
    <w:rsid w:val="00775978"/>
    <w:pPr>
      <w:jc w:val="both"/>
    </w:pPr>
    <w:rPr>
      <w:rFonts w:ascii="Times New Roman" w:eastAsia="Times New Roman" w:hAnsi="Times New Roman" w:cs="Times New Roman"/>
      <w:kern w:val="0"/>
      <w:sz w:val="18"/>
      <w:szCs w:val="18"/>
      <w14:ligatures w14:val="none"/>
    </w:rPr>
  </w:style>
  <w:style w:type="character" w:styleId="PlaceholderText">
    <w:name w:val="Placeholder Text"/>
    <w:basedOn w:val="DefaultParagraphFont"/>
    <w:uiPriority w:val="99"/>
    <w:semiHidden/>
    <w:rsid w:val="00775978"/>
    <w:rPr>
      <w:color w:val="808080"/>
    </w:rPr>
  </w:style>
  <w:style w:type="character" w:customStyle="1" w:styleId="ui-provider">
    <w:name w:val="ui-provider"/>
    <w:basedOn w:val="DefaultParagraphFont"/>
    <w:rsid w:val="00CA7325"/>
  </w:style>
  <w:style w:type="paragraph" w:customStyle="1" w:styleId="Annex">
    <w:name w:val="Annex"/>
    <w:basedOn w:val="Normal"/>
    <w:qFormat/>
    <w:rsid w:val="003E3783"/>
    <w:pPr>
      <w:tabs>
        <w:tab w:val="left" w:pos="567"/>
        <w:tab w:val="left" w:pos="1134"/>
        <w:tab w:val="left" w:pos="1701"/>
        <w:tab w:val="left" w:pos="2268"/>
      </w:tabs>
      <w:spacing w:after="240"/>
      <w:jc w:val="both"/>
    </w:pPr>
    <w:rPr>
      <w:rFonts w:eastAsia="SimSun"/>
      <w:b/>
      <w:sz w:val="28"/>
      <w:szCs w:val="22"/>
      <w:lang w:val="en-US"/>
    </w:rPr>
  </w:style>
  <w:style w:type="paragraph" w:customStyle="1" w:styleId="Para1">
    <w:name w:val="Para 1"/>
    <w:basedOn w:val="Normal"/>
    <w:qFormat/>
    <w:rsid w:val="00CA6F57"/>
    <w:pPr>
      <w:numPr>
        <w:numId w:val="9"/>
      </w:numPr>
      <w:tabs>
        <w:tab w:val="left" w:pos="1134"/>
      </w:tabs>
      <w:spacing w:before="120" w:after="120"/>
      <w:jc w:val="both"/>
    </w:pPr>
    <w:rPr>
      <w:sz w:val="22"/>
    </w:rPr>
  </w:style>
  <w:style w:type="table" w:styleId="PlainTable2">
    <w:name w:val="Plain Table 2"/>
    <w:basedOn w:val="TableNormal"/>
    <w:uiPriority w:val="42"/>
    <w:rsid w:val="003D6B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697090"/>
  </w:style>
  <w:style w:type="paragraph" w:customStyle="1" w:styleId="CBDNormalNumber">
    <w:name w:val="CBD_Normal_Number"/>
    <w:basedOn w:val="CBDNormal"/>
    <w:qFormat/>
    <w:rsid w:val="003E3783"/>
    <w:pPr>
      <w:numPr>
        <w:numId w:val="34"/>
      </w:numPr>
      <w:tabs>
        <w:tab w:val="left" w:pos="3969"/>
      </w:tabs>
      <w:spacing w:before="120" w:after="120"/>
    </w:pPr>
    <w:rPr>
      <w:lang w:val="en-GB"/>
    </w:rPr>
  </w:style>
  <w:style w:type="paragraph" w:customStyle="1" w:styleId="CBDH2">
    <w:name w:val="CBD_H2"/>
    <w:basedOn w:val="CBDNormalNumber"/>
    <w:qFormat/>
    <w:rsid w:val="003E3783"/>
    <w:pPr>
      <w:keepNext/>
      <w:keepLines/>
      <w:ind w:hanging="567"/>
    </w:pPr>
    <w:rPr>
      <w:b/>
      <w:sz w:val="24"/>
    </w:rPr>
  </w:style>
  <w:style w:type="paragraph" w:customStyle="1" w:styleId="Cornernotation">
    <w:name w:val="Corner notation"/>
    <w:basedOn w:val="Normal"/>
    <w:rsid w:val="00B0658E"/>
    <w:pPr>
      <w:tabs>
        <w:tab w:val="left" w:pos="567"/>
        <w:tab w:val="left" w:pos="1134"/>
        <w:tab w:val="left" w:pos="1701"/>
        <w:tab w:val="left" w:pos="2268"/>
      </w:tabs>
      <w:ind w:left="170" w:right="3119" w:hanging="170"/>
    </w:pPr>
    <w:rPr>
      <w:rFonts w:eastAsia="SimSun"/>
      <w:b/>
      <w:szCs w:val="22"/>
      <w:lang w:val="en-US"/>
    </w:rPr>
  </w:style>
  <w:style w:type="paragraph" w:customStyle="1" w:styleId="Venuedate">
    <w:name w:val="Venue&amp;date"/>
    <w:basedOn w:val="Cornernotation"/>
    <w:qFormat/>
    <w:rsid w:val="00B0658E"/>
    <w:rPr>
      <w:b w:val="0"/>
      <w:bCs/>
      <w:sz w:val="22"/>
    </w:rPr>
  </w:style>
  <w:style w:type="paragraph" w:customStyle="1" w:styleId="Cornernotation-Item">
    <w:name w:val="Corner notation - Item"/>
    <w:basedOn w:val="Venuedate"/>
    <w:qFormat/>
    <w:rsid w:val="00B0658E"/>
    <w:rPr>
      <w:b/>
    </w:rPr>
  </w:style>
  <w:style w:type="paragraph" w:customStyle="1" w:styleId="CBDAnnex">
    <w:name w:val="CBD_Annex"/>
    <w:basedOn w:val="Normal"/>
    <w:next w:val="Normal"/>
    <w:qFormat/>
    <w:rsid w:val="003E3783"/>
    <w:pPr>
      <w:keepNext/>
      <w:keepLines/>
      <w:tabs>
        <w:tab w:val="left" w:pos="567"/>
        <w:tab w:val="left" w:pos="1134"/>
        <w:tab w:val="left" w:pos="1701"/>
        <w:tab w:val="left" w:pos="2268"/>
        <w:tab w:val="left" w:pos="2835"/>
        <w:tab w:val="left" w:pos="3402"/>
      </w:tabs>
      <w:spacing w:after="240"/>
    </w:pPr>
    <w:rPr>
      <w:rFonts w:eastAsia="SimSun"/>
      <w:b/>
      <w:sz w:val="28"/>
      <w:szCs w:val="22"/>
      <w:lang w:val="en-GB" w:bidi="ar-SY"/>
    </w:rPr>
  </w:style>
  <w:style w:type="paragraph" w:customStyle="1" w:styleId="CBDH1">
    <w:name w:val="CBD_H1"/>
    <w:basedOn w:val="Normal"/>
    <w:qFormat/>
    <w:rsid w:val="003E3783"/>
    <w:pPr>
      <w:keepNext/>
      <w:keepLines/>
      <w:tabs>
        <w:tab w:val="left" w:pos="567"/>
        <w:tab w:val="left" w:pos="1134"/>
        <w:tab w:val="left" w:pos="1701"/>
        <w:tab w:val="left" w:pos="2268"/>
        <w:tab w:val="left" w:pos="2835"/>
        <w:tab w:val="left" w:pos="3402"/>
      </w:tabs>
      <w:spacing w:before="240" w:after="120"/>
      <w:ind w:left="567" w:hanging="567"/>
      <w:outlineLvl w:val="0"/>
    </w:pPr>
    <w:rPr>
      <w:rFonts w:eastAsia="SimSun"/>
      <w:b/>
      <w:sz w:val="28"/>
      <w:szCs w:val="22"/>
      <w:lang w:val="en-GB"/>
    </w:rPr>
  </w:style>
  <w:style w:type="paragraph" w:customStyle="1" w:styleId="CBDH3">
    <w:name w:val="CBD_H3"/>
    <w:basedOn w:val="Normal"/>
    <w:qFormat/>
    <w:rsid w:val="003E3783"/>
    <w:pPr>
      <w:keepNext/>
      <w:keepLines/>
      <w:tabs>
        <w:tab w:val="left" w:pos="567"/>
        <w:tab w:val="left" w:pos="1134"/>
        <w:tab w:val="left" w:pos="1701"/>
        <w:tab w:val="left" w:pos="2268"/>
        <w:tab w:val="left" w:pos="2835"/>
        <w:tab w:val="left" w:pos="3402"/>
      </w:tabs>
      <w:spacing w:before="120" w:after="120"/>
      <w:ind w:left="567" w:hanging="567"/>
    </w:pPr>
    <w:rPr>
      <w:rFonts w:eastAsia="SimSun"/>
      <w:b/>
      <w:sz w:val="22"/>
      <w:szCs w:val="22"/>
      <w:lang w:val="en-US"/>
    </w:rPr>
  </w:style>
  <w:style w:type="paragraph" w:customStyle="1" w:styleId="CBDNormal">
    <w:name w:val="CBD_Normal"/>
    <w:unhideWhenUsed/>
    <w:qFormat/>
    <w:rsid w:val="003E3783"/>
    <w:pPr>
      <w:tabs>
        <w:tab w:val="left" w:pos="567"/>
        <w:tab w:val="left" w:pos="1134"/>
        <w:tab w:val="left" w:pos="1701"/>
        <w:tab w:val="left" w:pos="2268"/>
        <w:tab w:val="left" w:pos="2835"/>
        <w:tab w:val="left" w:pos="3402"/>
      </w:tabs>
      <w:jc w:val="both"/>
    </w:pPr>
    <w:rPr>
      <w:rFonts w:ascii="Times New Roman" w:eastAsia="SimSun" w:hAnsi="Times New Roman" w:cs="Times New Roman"/>
      <w:kern w:val="0"/>
      <w:sz w:val="22"/>
      <w:szCs w:val="22"/>
      <w:lang w:val="en-US"/>
      <w14:ligatures w14:val="none"/>
    </w:rPr>
  </w:style>
  <w:style w:type="paragraph" w:customStyle="1" w:styleId="CBDTitle">
    <w:name w:val="CBD_Title"/>
    <w:basedOn w:val="CBDNormal"/>
    <w:next w:val="Normal"/>
    <w:qFormat/>
    <w:rsid w:val="003E3783"/>
    <w:pPr>
      <w:keepNext/>
      <w:keepLines/>
      <w:spacing w:before="240" w:after="240"/>
      <w:ind w:left="567"/>
      <w:jc w:val="left"/>
    </w:pPr>
    <w:rPr>
      <w:b/>
      <w:sz w:val="28"/>
      <w:lang w:val="en-GB"/>
    </w:rPr>
  </w:style>
  <w:style w:type="paragraph" w:customStyle="1" w:styleId="CBDSubTitle">
    <w:name w:val="CBD_SubTitle"/>
    <w:basedOn w:val="CBDNormal"/>
    <w:qFormat/>
    <w:rsid w:val="003E3783"/>
    <w:pPr>
      <w:keepNext/>
      <w:keepLines/>
      <w:spacing w:before="240" w:after="240"/>
      <w:ind w:left="567"/>
      <w:jc w:val="left"/>
    </w:pPr>
    <w:rPr>
      <w:b/>
      <w:lang w:val="en-GB"/>
    </w:rPr>
  </w:style>
  <w:style w:type="paragraph" w:customStyle="1" w:styleId="CBDTableNormal">
    <w:name w:val="CBD_TableNormal"/>
    <w:basedOn w:val="CBDNormal"/>
    <w:qFormat/>
    <w:rsid w:val="003E3783"/>
    <w:pPr>
      <w:spacing w:before="40" w:after="8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7226">
      <w:bodyDiv w:val="1"/>
      <w:marLeft w:val="0"/>
      <w:marRight w:val="0"/>
      <w:marTop w:val="0"/>
      <w:marBottom w:val="0"/>
      <w:divBdr>
        <w:top w:val="none" w:sz="0" w:space="0" w:color="auto"/>
        <w:left w:val="none" w:sz="0" w:space="0" w:color="auto"/>
        <w:bottom w:val="none" w:sz="0" w:space="0" w:color="auto"/>
        <w:right w:val="none" w:sz="0" w:space="0" w:color="auto"/>
      </w:divBdr>
    </w:div>
    <w:div w:id="117335285">
      <w:bodyDiv w:val="1"/>
      <w:marLeft w:val="0"/>
      <w:marRight w:val="0"/>
      <w:marTop w:val="0"/>
      <w:marBottom w:val="0"/>
      <w:divBdr>
        <w:top w:val="none" w:sz="0" w:space="0" w:color="auto"/>
        <w:left w:val="none" w:sz="0" w:space="0" w:color="auto"/>
        <w:bottom w:val="none" w:sz="0" w:space="0" w:color="auto"/>
        <w:right w:val="none" w:sz="0" w:space="0" w:color="auto"/>
      </w:divBdr>
    </w:div>
    <w:div w:id="142427489">
      <w:bodyDiv w:val="1"/>
      <w:marLeft w:val="0"/>
      <w:marRight w:val="0"/>
      <w:marTop w:val="0"/>
      <w:marBottom w:val="0"/>
      <w:divBdr>
        <w:top w:val="none" w:sz="0" w:space="0" w:color="auto"/>
        <w:left w:val="none" w:sz="0" w:space="0" w:color="auto"/>
        <w:bottom w:val="none" w:sz="0" w:space="0" w:color="auto"/>
        <w:right w:val="none" w:sz="0" w:space="0" w:color="auto"/>
      </w:divBdr>
    </w:div>
    <w:div w:id="145052355">
      <w:bodyDiv w:val="1"/>
      <w:marLeft w:val="0"/>
      <w:marRight w:val="0"/>
      <w:marTop w:val="0"/>
      <w:marBottom w:val="0"/>
      <w:divBdr>
        <w:top w:val="none" w:sz="0" w:space="0" w:color="auto"/>
        <w:left w:val="none" w:sz="0" w:space="0" w:color="auto"/>
        <w:bottom w:val="none" w:sz="0" w:space="0" w:color="auto"/>
        <w:right w:val="none" w:sz="0" w:space="0" w:color="auto"/>
      </w:divBdr>
      <w:divsChild>
        <w:div w:id="437676251">
          <w:marLeft w:val="0"/>
          <w:marRight w:val="0"/>
          <w:marTop w:val="0"/>
          <w:marBottom w:val="0"/>
          <w:divBdr>
            <w:top w:val="none" w:sz="0" w:space="0" w:color="auto"/>
            <w:left w:val="none" w:sz="0" w:space="0" w:color="auto"/>
            <w:bottom w:val="none" w:sz="0" w:space="0" w:color="auto"/>
            <w:right w:val="none" w:sz="0" w:space="0" w:color="auto"/>
          </w:divBdr>
        </w:div>
        <w:div w:id="792476471">
          <w:marLeft w:val="0"/>
          <w:marRight w:val="0"/>
          <w:marTop w:val="0"/>
          <w:marBottom w:val="0"/>
          <w:divBdr>
            <w:top w:val="none" w:sz="0" w:space="0" w:color="auto"/>
            <w:left w:val="none" w:sz="0" w:space="0" w:color="auto"/>
            <w:bottom w:val="none" w:sz="0" w:space="0" w:color="auto"/>
            <w:right w:val="none" w:sz="0" w:space="0" w:color="auto"/>
          </w:divBdr>
        </w:div>
        <w:div w:id="1246450121">
          <w:marLeft w:val="0"/>
          <w:marRight w:val="0"/>
          <w:marTop w:val="0"/>
          <w:marBottom w:val="0"/>
          <w:divBdr>
            <w:top w:val="none" w:sz="0" w:space="0" w:color="auto"/>
            <w:left w:val="none" w:sz="0" w:space="0" w:color="auto"/>
            <w:bottom w:val="none" w:sz="0" w:space="0" w:color="auto"/>
            <w:right w:val="none" w:sz="0" w:space="0" w:color="auto"/>
          </w:divBdr>
        </w:div>
        <w:div w:id="1460103388">
          <w:marLeft w:val="0"/>
          <w:marRight w:val="0"/>
          <w:marTop w:val="0"/>
          <w:marBottom w:val="0"/>
          <w:divBdr>
            <w:top w:val="none" w:sz="0" w:space="0" w:color="auto"/>
            <w:left w:val="none" w:sz="0" w:space="0" w:color="auto"/>
            <w:bottom w:val="none" w:sz="0" w:space="0" w:color="auto"/>
            <w:right w:val="none" w:sz="0" w:space="0" w:color="auto"/>
          </w:divBdr>
        </w:div>
        <w:div w:id="1555315782">
          <w:marLeft w:val="0"/>
          <w:marRight w:val="0"/>
          <w:marTop w:val="0"/>
          <w:marBottom w:val="0"/>
          <w:divBdr>
            <w:top w:val="none" w:sz="0" w:space="0" w:color="auto"/>
            <w:left w:val="none" w:sz="0" w:space="0" w:color="auto"/>
            <w:bottom w:val="none" w:sz="0" w:space="0" w:color="auto"/>
            <w:right w:val="none" w:sz="0" w:space="0" w:color="auto"/>
          </w:divBdr>
        </w:div>
        <w:div w:id="1882015836">
          <w:marLeft w:val="0"/>
          <w:marRight w:val="0"/>
          <w:marTop w:val="0"/>
          <w:marBottom w:val="0"/>
          <w:divBdr>
            <w:top w:val="none" w:sz="0" w:space="0" w:color="auto"/>
            <w:left w:val="none" w:sz="0" w:space="0" w:color="auto"/>
            <w:bottom w:val="none" w:sz="0" w:space="0" w:color="auto"/>
            <w:right w:val="none" w:sz="0" w:space="0" w:color="auto"/>
          </w:divBdr>
        </w:div>
      </w:divsChild>
    </w:div>
    <w:div w:id="190802731">
      <w:bodyDiv w:val="1"/>
      <w:marLeft w:val="0"/>
      <w:marRight w:val="0"/>
      <w:marTop w:val="0"/>
      <w:marBottom w:val="0"/>
      <w:divBdr>
        <w:top w:val="none" w:sz="0" w:space="0" w:color="auto"/>
        <w:left w:val="none" w:sz="0" w:space="0" w:color="auto"/>
        <w:bottom w:val="none" w:sz="0" w:space="0" w:color="auto"/>
        <w:right w:val="none" w:sz="0" w:space="0" w:color="auto"/>
      </w:divBdr>
    </w:div>
    <w:div w:id="277490501">
      <w:bodyDiv w:val="1"/>
      <w:marLeft w:val="0"/>
      <w:marRight w:val="0"/>
      <w:marTop w:val="0"/>
      <w:marBottom w:val="0"/>
      <w:divBdr>
        <w:top w:val="none" w:sz="0" w:space="0" w:color="auto"/>
        <w:left w:val="none" w:sz="0" w:space="0" w:color="auto"/>
        <w:bottom w:val="none" w:sz="0" w:space="0" w:color="auto"/>
        <w:right w:val="none" w:sz="0" w:space="0" w:color="auto"/>
      </w:divBdr>
    </w:div>
    <w:div w:id="334959978">
      <w:bodyDiv w:val="1"/>
      <w:marLeft w:val="0"/>
      <w:marRight w:val="0"/>
      <w:marTop w:val="0"/>
      <w:marBottom w:val="0"/>
      <w:divBdr>
        <w:top w:val="none" w:sz="0" w:space="0" w:color="auto"/>
        <w:left w:val="none" w:sz="0" w:space="0" w:color="auto"/>
        <w:bottom w:val="none" w:sz="0" w:space="0" w:color="auto"/>
        <w:right w:val="none" w:sz="0" w:space="0" w:color="auto"/>
      </w:divBdr>
      <w:divsChild>
        <w:div w:id="50160043">
          <w:marLeft w:val="0"/>
          <w:marRight w:val="0"/>
          <w:marTop w:val="0"/>
          <w:marBottom w:val="0"/>
          <w:divBdr>
            <w:top w:val="none" w:sz="0" w:space="0" w:color="auto"/>
            <w:left w:val="none" w:sz="0" w:space="0" w:color="auto"/>
            <w:bottom w:val="none" w:sz="0" w:space="0" w:color="auto"/>
            <w:right w:val="none" w:sz="0" w:space="0" w:color="auto"/>
          </w:divBdr>
        </w:div>
        <w:div w:id="83768369">
          <w:marLeft w:val="0"/>
          <w:marRight w:val="0"/>
          <w:marTop w:val="0"/>
          <w:marBottom w:val="0"/>
          <w:divBdr>
            <w:top w:val="none" w:sz="0" w:space="0" w:color="auto"/>
            <w:left w:val="none" w:sz="0" w:space="0" w:color="auto"/>
            <w:bottom w:val="none" w:sz="0" w:space="0" w:color="auto"/>
            <w:right w:val="none" w:sz="0" w:space="0" w:color="auto"/>
          </w:divBdr>
        </w:div>
        <w:div w:id="130827295">
          <w:marLeft w:val="0"/>
          <w:marRight w:val="0"/>
          <w:marTop w:val="0"/>
          <w:marBottom w:val="0"/>
          <w:divBdr>
            <w:top w:val="none" w:sz="0" w:space="0" w:color="auto"/>
            <w:left w:val="none" w:sz="0" w:space="0" w:color="auto"/>
            <w:bottom w:val="none" w:sz="0" w:space="0" w:color="auto"/>
            <w:right w:val="none" w:sz="0" w:space="0" w:color="auto"/>
          </w:divBdr>
        </w:div>
        <w:div w:id="206836570">
          <w:marLeft w:val="0"/>
          <w:marRight w:val="0"/>
          <w:marTop w:val="0"/>
          <w:marBottom w:val="0"/>
          <w:divBdr>
            <w:top w:val="none" w:sz="0" w:space="0" w:color="auto"/>
            <w:left w:val="none" w:sz="0" w:space="0" w:color="auto"/>
            <w:bottom w:val="none" w:sz="0" w:space="0" w:color="auto"/>
            <w:right w:val="none" w:sz="0" w:space="0" w:color="auto"/>
          </w:divBdr>
        </w:div>
        <w:div w:id="230970529">
          <w:marLeft w:val="0"/>
          <w:marRight w:val="0"/>
          <w:marTop w:val="0"/>
          <w:marBottom w:val="0"/>
          <w:divBdr>
            <w:top w:val="none" w:sz="0" w:space="0" w:color="auto"/>
            <w:left w:val="none" w:sz="0" w:space="0" w:color="auto"/>
            <w:bottom w:val="none" w:sz="0" w:space="0" w:color="auto"/>
            <w:right w:val="none" w:sz="0" w:space="0" w:color="auto"/>
          </w:divBdr>
        </w:div>
        <w:div w:id="326448102">
          <w:marLeft w:val="0"/>
          <w:marRight w:val="0"/>
          <w:marTop w:val="0"/>
          <w:marBottom w:val="0"/>
          <w:divBdr>
            <w:top w:val="none" w:sz="0" w:space="0" w:color="auto"/>
            <w:left w:val="none" w:sz="0" w:space="0" w:color="auto"/>
            <w:bottom w:val="none" w:sz="0" w:space="0" w:color="auto"/>
            <w:right w:val="none" w:sz="0" w:space="0" w:color="auto"/>
          </w:divBdr>
        </w:div>
        <w:div w:id="342827644">
          <w:marLeft w:val="0"/>
          <w:marRight w:val="0"/>
          <w:marTop w:val="0"/>
          <w:marBottom w:val="0"/>
          <w:divBdr>
            <w:top w:val="none" w:sz="0" w:space="0" w:color="auto"/>
            <w:left w:val="none" w:sz="0" w:space="0" w:color="auto"/>
            <w:bottom w:val="none" w:sz="0" w:space="0" w:color="auto"/>
            <w:right w:val="none" w:sz="0" w:space="0" w:color="auto"/>
          </w:divBdr>
        </w:div>
        <w:div w:id="503471582">
          <w:marLeft w:val="0"/>
          <w:marRight w:val="0"/>
          <w:marTop w:val="0"/>
          <w:marBottom w:val="0"/>
          <w:divBdr>
            <w:top w:val="none" w:sz="0" w:space="0" w:color="auto"/>
            <w:left w:val="none" w:sz="0" w:space="0" w:color="auto"/>
            <w:bottom w:val="none" w:sz="0" w:space="0" w:color="auto"/>
            <w:right w:val="none" w:sz="0" w:space="0" w:color="auto"/>
          </w:divBdr>
          <w:divsChild>
            <w:div w:id="7485246">
              <w:marLeft w:val="0"/>
              <w:marRight w:val="0"/>
              <w:marTop w:val="0"/>
              <w:marBottom w:val="0"/>
              <w:divBdr>
                <w:top w:val="none" w:sz="0" w:space="0" w:color="auto"/>
                <w:left w:val="none" w:sz="0" w:space="0" w:color="auto"/>
                <w:bottom w:val="none" w:sz="0" w:space="0" w:color="auto"/>
                <w:right w:val="none" w:sz="0" w:space="0" w:color="auto"/>
              </w:divBdr>
            </w:div>
            <w:div w:id="9914359">
              <w:marLeft w:val="0"/>
              <w:marRight w:val="0"/>
              <w:marTop w:val="0"/>
              <w:marBottom w:val="0"/>
              <w:divBdr>
                <w:top w:val="none" w:sz="0" w:space="0" w:color="auto"/>
                <w:left w:val="none" w:sz="0" w:space="0" w:color="auto"/>
                <w:bottom w:val="none" w:sz="0" w:space="0" w:color="auto"/>
                <w:right w:val="none" w:sz="0" w:space="0" w:color="auto"/>
              </w:divBdr>
            </w:div>
            <w:div w:id="264768710">
              <w:marLeft w:val="0"/>
              <w:marRight w:val="0"/>
              <w:marTop w:val="0"/>
              <w:marBottom w:val="0"/>
              <w:divBdr>
                <w:top w:val="none" w:sz="0" w:space="0" w:color="auto"/>
                <w:left w:val="none" w:sz="0" w:space="0" w:color="auto"/>
                <w:bottom w:val="none" w:sz="0" w:space="0" w:color="auto"/>
                <w:right w:val="none" w:sz="0" w:space="0" w:color="auto"/>
              </w:divBdr>
            </w:div>
            <w:div w:id="389883759">
              <w:marLeft w:val="0"/>
              <w:marRight w:val="0"/>
              <w:marTop w:val="0"/>
              <w:marBottom w:val="0"/>
              <w:divBdr>
                <w:top w:val="none" w:sz="0" w:space="0" w:color="auto"/>
                <w:left w:val="none" w:sz="0" w:space="0" w:color="auto"/>
                <w:bottom w:val="none" w:sz="0" w:space="0" w:color="auto"/>
                <w:right w:val="none" w:sz="0" w:space="0" w:color="auto"/>
              </w:divBdr>
            </w:div>
            <w:div w:id="503711795">
              <w:marLeft w:val="0"/>
              <w:marRight w:val="0"/>
              <w:marTop w:val="0"/>
              <w:marBottom w:val="0"/>
              <w:divBdr>
                <w:top w:val="none" w:sz="0" w:space="0" w:color="auto"/>
                <w:left w:val="none" w:sz="0" w:space="0" w:color="auto"/>
                <w:bottom w:val="none" w:sz="0" w:space="0" w:color="auto"/>
                <w:right w:val="none" w:sz="0" w:space="0" w:color="auto"/>
              </w:divBdr>
            </w:div>
            <w:div w:id="644041692">
              <w:marLeft w:val="0"/>
              <w:marRight w:val="0"/>
              <w:marTop w:val="0"/>
              <w:marBottom w:val="0"/>
              <w:divBdr>
                <w:top w:val="none" w:sz="0" w:space="0" w:color="auto"/>
                <w:left w:val="none" w:sz="0" w:space="0" w:color="auto"/>
                <w:bottom w:val="none" w:sz="0" w:space="0" w:color="auto"/>
                <w:right w:val="none" w:sz="0" w:space="0" w:color="auto"/>
              </w:divBdr>
            </w:div>
            <w:div w:id="796021589">
              <w:marLeft w:val="0"/>
              <w:marRight w:val="0"/>
              <w:marTop w:val="0"/>
              <w:marBottom w:val="0"/>
              <w:divBdr>
                <w:top w:val="none" w:sz="0" w:space="0" w:color="auto"/>
                <w:left w:val="none" w:sz="0" w:space="0" w:color="auto"/>
                <w:bottom w:val="none" w:sz="0" w:space="0" w:color="auto"/>
                <w:right w:val="none" w:sz="0" w:space="0" w:color="auto"/>
              </w:divBdr>
            </w:div>
            <w:div w:id="897474715">
              <w:marLeft w:val="0"/>
              <w:marRight w:val="0"/>
              <w:marTop w:val="0"/>
              <w:marBottom w:val="0"/>
              <w:divBdr>
                <w:top w:val="none" w:sz="0" w:space="0" w:color="auto"/>
                <w:left w:val="none" w:sz="0" w:space="0" w:color="auto"/>
                <w:bottom w:val="none" w:sz="0" w:space="0" w:color="auto"/>
                <w:right w:val="none" w:sz="0" w:space="0" w:color="auto"/>
              </w:divBdr>
            </w:div>
            <w:div w:id="1006329343">
              <w:marLeft w:val="0"/>
              <w:marRight w:val="0"/>
              <w:marTop w:val="0"/>
              <w:marBottom w:val="0"/>
              <w:divBdr>
                <w:top w:val="none" w:sz="0" w:space="0" w:color="auto"/>
                <w:left w:val="none" w:sz="0" w:space="0" w:color="auto"/>
                <w:bottom w:val="none" w:sz="0" w:space="0" w:color="auto"/>
                <w:right w:val="none" w:sz="0" w:space="0" w:color="auto"/>
              </w:divBdr>
            </w:div>
            <w:div w:id="1016228302">
              <w:marLeft w:val="0"/>
              <w:marRight w:val="0"/>
              <w:marTop w:val="0"/>
              <w:marBottom w:val="0"/>
              <w:divBdr>
                <w:top w:val="none" w:sz="0" w:space="0" w:color="auto"/>
                <w:left w:val="none" w:sz="0" w:space="0" w:color="auto"/>
                <w:bottom w:val="none" w:sz="0" w:space="0" w:color="auto"/>
                <w:right w:val="none" w:sz="0" w:space="0" w:color="auto"/>
              </w:divBdr>
            </w:div>
            <w:div w:id="1176655460">
              <w:marLeft w:val="0"/>
              <w:marRight w:val="0"/>
              <w:marTop w:val="0"/>
              <w:marBottom w:val="0"/>
              <w:divBdr>
                <w:top w:val="none" w:sz="0" w:space="0" w:color="auto"/>
                <w:left w:val="none" w:sz="0" w:space="0" w:color="auto"/>
                <w:bottom w:val="none" w:sz="0" w:space="0" w:color="auto"/>
                <w:right w:val="none" w:sz="0" w:space="0" w:color="auto"/>
              </w:divBdr>
            </w:div>
            <w:div w:id="1501509627">
              <w:marLeft w:val="0"/>
              <w:marRight w:val="0"/>
              <w:marTop w:val="0"/>
              <w:marBottom w:val="0"/>
              <w:divBdr>
                <w:top w:val="none" w:sz="0" w:space="0" w:color="auto"/>
                <w:left w:val="none" w:sz="0" w:space="0" w:color="auto"/>
                <w:bottom w:val="none" w:sz="0" w:space="0" w:color="auto"/>
                <w:right w:val="none" w:sz="0" w:space="0" w:color="auto"/>
              </w:divBdr>
            </w:div>
            <w:div w:id="1571383030">
              <w:marLeft w:val="0"/>
              <w:marRight w:val="0"/>
              <w:marTop w:val="0"/>
              <w:marBottom w:val="0"/>
              <w:divBdr>
                <w:top w:val="none" w:sz="0" w:space="0" w:color="auto"/>
                <w:left w:val="none" w:sz="0" w:space="0" w:color="auto"/>
                <w:bottom w:val="none" w:sz="0" w:space="0" w:color="auto"/>
                <w:right w:val="none" w:sz="0" w:space="0" w:color="auto"/>
              </w:divBdr>
            </w:div>
            <w:div w:id="1859393789">
              <w:marLeft w:val="0"/>
              <w:marRight w:val="0"/>
              <w:marTop w:val="0"/>
              <w:marBottom w:val="0"/>
              <w:divBdr>
                <w:top w:val="none" w:sz="0" w:space="0" w:color="auto"/>
                <w:left w:val="none" w:sz="0" w:space="0" w:color="auto"/>
                <w:bottom w:val="none" w:sz="0" w:space="0" w:color="auto"/>
                <w:right w:val="none" w:sz="0" w:space="0" w:color="auto"/>
              </w:divBdr>
            </w:div>
            <w:div w:id="1999186398">
              <w:marLeft w:val="0"/>
              <w:marRight w:val="0"/>
              <w:marTop w:val="0"/>
              <w:marBottom w:val="0"/>
              <w:divBdr>
                <w:top w:val="none" w:sz="0" w:space="0" w:color="auto"/>
                <w:left w:val="none" w:sz="0" w:space="0" w:color="auto"/>
                <w:bottom w:val="none" w:sz="0" w:space="0" w:color="auto"/>
                <w:right w:val="none" w:sz="0" w:space="0" w:color="auto"/>
              </w:divBdr>
            </w:div>
            <w:div w:id="2085561438">
              <w:marLeft w:val="0"/>
              <w:marRight w:val="0"/>
              <w:marTop w:val="0"/>
              <w:marBottom w:val="0"/>
              <w:divBdr>
                <w:top w:val="none" w:sz="0" w:space="0" w:color="auto"/>
                <w:left w:val="none" w:sz="0" w:space="0" w:color="auto"/>
                <w:bottom w:val="none" w:sz="0" w:space="0" w:color="auto"/>
                <w:right w:val="none" w:sz="0" w:space="0" w:color="auto"/>
              </w:divBdr>
            </w:div>
          </w:divsChild>
        </w:div>
        <w:div w:id="684675955">
          <w:marLeft w:val="0"/>
          <w:marRight w:val="0"/>
          <w:marTop w:val="0"/>
          <w:marBottom w:val="0"/>
          <w:divBdr>
            <w:top w:val="none" w:sz="0" w:space="0" w:color="auto"/>
            <w:left w:val="none" w:sz="0" w:space="0" w:color="auto"/>
            <w:bottom w:val="none" w:sz="0" w:space="0" w:color="auto"/>
            <w:right w:val="none" w:sz="0" w:space="0" w:color="auto"/>
          </w:divBdr>
          <w:divsChild>
            <w:div w:id="332950916">
              <w:marLeft w:val="0"/>
              <w:marRight w:val="0"/>
              <w:marTop w:val="0"/>
              <w:marBottom w:val="0"/>
              <w:divBdr>
                <w:top w:val="none" w:sz="0" w:space="0" w:color="auto"/>
                <w:left w:val="none" w:sz="0" w:space="0" w:color="auto"/>
                <w:bottom w:val="none" w:sz="0" w:space="0" w:color="auto"/>
                <w:right w:val="none" w:sz="0" w:space="0" w:color="auto"/>
              </w:divBdr>
            </w:div>
            <w:div w:id="561404091">
              <w:marLeft w:val="0"/>
              <w:marRight w:val="0"/>
              <w:marTop w:val="0"/>
              <w:marBottom w:val="0"/>
              <w:divBdr>
                <w:top w:val="none" w:sz="0" w:space="0" w:color="auto"/>
                <w:left w:val="none" w:sz="0" w:space="0" w:color="auto"/>
                <w:bottom w:val="none" w:sz="0" w:space="0" w:color="auto"/>
                <w:right w:val="none" w:sz="0" w:space="0" w:color="auto"/>
              </w:divBdr>
            </w:div>
            <w:div w:id="585766332">
              <w:marLeft w:val="0"/>
              <w:marRight w:val="0"/>
              <w:marTop w:val="0"/>
              <w:marBottom w:val="0"/>
              <w:divBdr>
                <w:top w:val="none" w:sz="0" w:space="0" w:color="auto"/>
                <w:left w:val="none" w:sz="0" w:space="0" w:color="auto"/>
                <w:bottom w:val="none" w:sz="0" w:space="0" w:color="auto"/>
                <w:right w:val="none" w:sz="0" w:space="0" w:color="auto"/>
              </w:divBdr>
            </w:div>
            <w:div w:id="611205586">
              <w:marLeft w:val="0"/>
              <w:marRight w:val="0"/>
              <w:marTop w:val="0"/>
              <w:marBottom w:val="0"/>
              <w:divBdr>
                <w:top w:val="none" w:sz="0" w:space="0" w:color="auto"/>
                <w:left w:val="none" w:sz="0" w:space="0" w:color="auto"/>
                <w:bottom w:val="none" w:sz="0" w:space="0" w:color="auto"/>
                <w:right w:val="none" w:sz="0" w:space="0" w:color="auto"/>
              </w:divBdr>
            </w:div>
            <w:div w:id="827327083">
              <w:marLeft w:val="0"/>
              <w:marRight w:val="0"/>
              <w:marTop w:val="0"/>
              <w:marBottom w:val="0"/>
              <w:divBdr>
                <w:top w:val="none" w:sz="0" w:space="0" w:color="auto"/>
                <w:left w:val="none" w:sz="0" w:space="0" w:color="auto"/>
                <w:bottom w:val="none" w:sz="0" w:space="0" w:color="auto"/>
                <w:right w:val="none" w:sz="0" w:space="0" w:color="auto"/>
              </w:divBdr>
            </w:div>
            <w:div w:id="927425438">
              <w:marLeft w:val="0"/>
              <w:marRight w:val="0"/>
              <w:marTop w:val="0"/>
              <w:marBottom w:val="0"/>
              <w:divBdr>
                <w:top w:val="none" w:sz="0" w:space="0" w:color="auto"/>
                <w:left w:val="none" w:sz="0" w:space="0" w:color="auto"/>
                <w:bottom w:val="none" w:sz="0" w:space="0" w:color="auto"/>
                <w:right w:val="none" w:sz="0" w:space="0" w:color="auto"/>
              </w:divBdr>
            </w:div>
            <w:div w:id="945844503">
              <w:marLeft w:val="0"/>
              <w:marRight w:val="0"/>
              <w:marTop w:val="0"/>
              <w:marBottom w:val="0"/>
              <w:divBdr>
                <w:top w:val="none" w:sz="0" w:space="0" w:color="auto"/>
                <w:left w:val="none" w:sz="0" w:space="0" w:color="auto"/>
                <w:bottom w:val="none" w:sz="0" w:space="0" w:color="auto"/>
                <w:right w:val="none" w:sz="0" w:space="0" w:color="auto"/>
              </w:divBdr>
            </w:div>
            <w:div w:id="1008798074">
              <w:marLeft w:val="0"/>
              <w:marRight w:val="0"/>
              <w:marTop w:val="0"/>
              <w:marBottom w:val="0"/>
              <w:divBdr>
                <w:top w:val="none" w:sz="0" w:space="0" w:color="auto"/>
                <w:left w:val="none" w:sz="0" w:space="0" w:color="auto"/>
                <w:bottom w:val="none" w:sz="0" w:space="0" w:color="auto"/>
                <w:right w:val="none" w:sz="0" w:space="0" w:color="auto"/>
              </w:divBdr>
            </w:div>
            <w:div w:id="1147090968">
              <w:marLeft w:val="0"/>
              <w:marRight w:val="0"/>
              <w:marTop w:val="0"/>
              <w:marBottom w:val="0"/>
              <w:divBdr>
                <w:top w:val="none" w:sz="0" w:space="0" w:color="auto"/>
                <w:left w:val="none" w:sz="0" w:space="0" w:color="auto"/>
                <w:bottom w:val="none" w:sz="0" w:space="0" w:color="auto"/>
                <w:right w:val="none" w:sz="0" w:space="0" w:color="auto"/>
              </w:divBdr>
            </w:div>
            <w:div w:id="1253008348">
              <w:marLeft w:val="0"/>
              <w:marRight w:val="0"/>
              <w:marTop w:val="0"/>
              <w:marBottom w:val="0"/>
              <w:divBdr>
                <w:top w:val="none" w:sz="0" w:space="0" w:color="auto"/>
                <w:left w:val="none" w:sz="0" w:space="0" w:color="auto"/>
                <w:bottom w:val="none" w:sz="0" w:space="0" w:color="auto"/>
                <w:right w:val="none" w:sz="0" w:space="0" w:color="auto"/>
              </w:divBdr>
            </w:div>
            <w:div w:id="1256547637">
              <w:marLeft w:val="0"/>
              <w:marRight w:val="0"/>
              <w:marTop w:val="0"/>
              <w:marBottom w:val="0"/>
              <w:divBdr>
                <w:top w:val="none" w:sz="0" w:space="0" w:color="auto"/>
                <w:left w:val="none" w:sz="0" w:space="0" w:color="auto"/>
                <w:bottom w:val="none" w:sz="0" w:space="0" w:color="auto"/>
                <w:right w:val="none" w:sz="0" w:space="0" w:color="auto"/>
              </w:divBdr>
            </w:div>
            <w:div w:id="1278440268">
              <w:marLeft w:val="0"/>
              <w:marRight w:val="0"/>
              <w:marTop w:val="0"/>
              <w:marBottom w:val="0"/>
              <w:divBdr>
                <w:top w:val="none" w:sz="0" w:space="0" w:color="auto"/>
                <w:left w:val="none" w:sz="0" w:space="0" w:color="auto"/>
                <w:bottom w:val="none" w:sz="0" w:space="0" w:color="auto"/>
                <w:right w:val="none" w:sz="0" w:space="0" w:color="auto"/>
              </w:divBdr>
            </w:div>
            <w:div w:id="1299872652">
              <w:marLeft w:val="0"/>
              <w:marRight w:val="0"/>
              <w:marTop w:val="0"/>
              <w:marBottom w:val="0"/>
              <w:divBdr>
                <w:top w:val="none" w:sz="0" w:space="0" w:color="auto"/>
                <w:left w:val="none" w:sz="0" w:space="0" w:color="auto"/>
                <w:bottom w:val="none" w:sz="0" w:space="0" w:color="auto"/>
                <w:right w:val="none" w:sz="0" w:space="0" w:color="auto"/>
              </w:divBdr>
            </w:div>
            <w:div w:id="1707635887">
              <w:marLeft w:val="0"/>
              <w:marRight w:val="0"/>
              <w:marTop w:val="0"/>
              <w:marBottom w:val="0"/>
              <w:divBdr>
                <w:top w:val="none" w:sz="0" w:space="0" w:color="auto"/>
                <w:left w:val="none" w:sz="0" w:space="0" w:color="auto"/>
                <w:bottom w:val="none" w:sz="0" w:space="0" w:color="auto"/>
                <w:right w:val="none" w:sz="0" w:space="0" w:color="auto"/>
              </w:divBdr>
            </w:div>
            <w:div w:id="1742364950">
              <w:marLeft w:val="0"/>
              <w:marRight w:val="0"/>
              <w:marTop w:val="0"/>
              <w:marBottom w:val="0"/>
              <w:divBdr>
                <w:top w:val="none" w:sz="0" w:space="0" w:color="auto"/>
                <w:left w:val="none" w:sz="0" w:space="0" w:color="auto"/>
                <w:bottom w:val="none" w:sz="0" w:space="0" w:color="auto"/>
                <w:right w:val="none" w:sz="0" w:space="0" w:color="auto"/>
              </w:divBdr>
            </w:div>
            <w:div w:id="1792286400">
              <w:marLeft w:val="0"/>
              <w:marRight w:val="0"/>
              <w:marTop w:val="0"/>
              <w:marBottom w:val="0"/>
              <w:divBdr>
                <w:top w:val="none" w:sz="0" w:space="0" w:color="auto"/>
                <w:left w:val="none" w:sz="0" w:space="0" w:color="auto"/>
                <w:bottom w:val="none" w:sz="0" w:space="0" w:color="auto"/>
                <w:right w:val="none" w:sz="0" w:space="0" w:color="auto"/>
              </w:divBdr>
            </w:div>
            <w:div w:id="2055620217">
              <w:marLeft w:val="0"/>
              <w:marRight w:val="0"/>
              <w:marTop w:val="0"/>
              <w:marBottom w:val="0"/>
              <w:divBdr>
                <w:top w:val="none" w:sz="0" w:space="0" w:color="auto"/>
                <w:left w:val="none" w:sz="0" w:space="0" w:color="auto"/>
                <w:bottom w:val="none" w:sz="0" w:space="0" w:color="auto"/>
                <w:right w:val="none" w:sz="0" w:space="0" w:color="auto"/>
              </w:divBdr>
            </w:div>
            <w:div w:id="2108113026">
              <w:marLeft w:val="0"/>
              <w:marRight w:val="0"/>
              <w:marTop w:val="0"/>
              <w:marBottom w:val="0"/>
              <w:divBdr>
                <w:top w:val="none" w:sz="0" w:space="0" w:color="auto"/>
                <w:left w:val="none" w:sz="0" w:space="0" w:color="auto"/>
                <w:bottom w:val="none" w:sz="0" w:space="0" w:color="auto"/>
                <w:right w:val="none" w:sz="0" w:space="0" w:color="auto"/>
              </w:divBdr>
            </w:div>
          </w:divsChild>
        </w:div>
        <w:div w:id="795566371">
          <w:marLeft w:val="0"/>
          <w:marRight w:val="0"/>
          <w:marTop w:val="0"/>
          <w:marBottom w:val="0"/>
          <w:divBdr>
            <w:top w:val="none" w:sz="0" w:space="0" w:color="auto"/>
            <w:left w:val="none" w:sz="0" w:space="0" w:color="auto"/>
            <w:bottom w:val="none" w:sz="0" w:space="0" w:color="auto"/>
            <w:right w:val="none" w:sz="0" w:space="0" w:color="auto"/>
          </w:divBdr>
        </w:div>
        <w:div w:id="812452948">
          <w:marLeft w:val="0"/>
          <w:marRight w:val="0"/>
          <w:marTop w:val="0"/>
          <w:marBottom w:val="0"/>
          <w:divBdr>
            <w:top w:val="none" w:sz="0" w:space="0" w:color="auto"/>
            <w:left w:val="none" w:sz="0" w:space="0" w:color="auto"/>
            <w:bottom w:val="none" w:sz="0" w:space="0" w:color="auto"/>
            <w:right w:val="none" w:sz="0" w:space="0" w:color="auto"/>
          </w:divBdr>
          <w:divsChild>
            <w:div w:id="1477531048">
              <w:marLeft w:val="-75"/>
              <w:marRight w:val="0"/>
              <w:marTop w:val="30"/>
              <w:marBottom w:val="30"/>
              <w:divBdr>
                <w:top w:val="none" w:sz="0" w:space="0" w:color="auto"/>
                <w:left w:val="none" w:sz="0" w:space="0" w:color="auto"/>
                <w:bottom w:val="none" w:sz="0" w:space="0" w:color="auto"/>
                <w:right w:val="none" w:sz="0" w:space="0" w:color="auto"/>
              </w:divBdr>
              <w:divsChild>
                <w:div w:id="5716619">
                  <w:marLeft w:val="0"/>
                  <w:marRight w:val="0"/>
                  <w:marTop w:val="0"/>
                  <w:marBottom w:val="0"/>
                  <w:divBdr>
                    <w:top w:val="none" w:sz="0" w:space="0" w:color="auto"/>
                    <w:left w:val="none" w:sz="0" w:space="0" w:color="auto"/>
                    <w:bottom w:val="none" w:sz="0" w:space="0" w:color="auto"/>
                    <w:right w:val="none" w:sz="0" w:space="0" w:color="auto"/>
                  </w:divBdr>
                  <w:divsChild>
                    <w:div w:id="1314867248">
                      <w:marLeft w:val="0"/>
                      <w:marRight w:val="0"/>
                      <w:marTop w:val="0"/>
                      <w:marBottom w:val="0"/>
                      <w:divBdr>
                        <w:top w:val="none" w:sz="0" w:space="0" w:color="auto"/>
                        <w:left w:val="none" w:sz="0" w:space="0" w:color="auto"/>
                        <w:bottom w:val="none" w:sz="0" w:space="0" w:color="auto"/>
                        <w:right w:val="none" w:sz="0" w:space="0" w:color="auto"/>
                      </w:divBdr>
                    </w:div>
                  </w:divsChild>
                </w:div>
                <w:div w:id="9845376">
                  <w:marLeft w:val="0"/>
                  <w:marRight w:val="0"/>
                  <w:marTop w:val="0"/>
                  <w:marBottom w:val="0"/>
                  <w:divBdr>
                    <w:top w:val="none" w:sz="0" w:space="0" w:color="auto"/>
                    <w:left w:val="none" w:sz="0" w:space="0" w:color="auto"/>
                    <w:bottom w:val="none" w:sz="0" w:space="0" w:color="auto"/>
                    <w:right w:val="none" w:sz="0" w:space="0" w:color="auto"/>
                  </w:divBdr>
                  <w:divsChild>
                    <w:div w:id="528684507">
                      <w:marLeft w:val="0"/>
                      <w:marRight w:val="0"/>
                      <w:marTop w:val="0"/>
                      <w:marBottom w:val="0"/>
                      <w:divBdr>
                        <w:top w:val="none" w:sz="0" w:space="0" w:color="auto"/>
                        <w:left w:val="none" w:sz="0" w:space="0" w:color="auto"/>
                        <w:bottom w:val="none" w:sz="0" w:space="0" w:color="auto"/>
                        <w:right w:val="none" w:sz="0" w:space="0" w:color="auto"/>
                      </w:divBdr>
                    </w:div>
                  </w:divsChild>
                </w:div>
                <w:div w:id="18047242">
                  <w:marLeft w:val="0"/>
                  <w:marRight w:val="0"/>
                  <w:marTop w:val="0"/>
                  <w:marBottom w:val="0"/>
                  <w:divBdr>
                    <w:top w:val="none" w:sz="0" w:space="0" w:color="auto"/>
                    <w:left w:val="none" w:sz="0" w:space="0" w:color="auto"/>
                    <w:bottom w:val="none" w:sz="0" w:space="0" w:color="auto"/>
                    <w:right w:val="none" w:sz="0" w:space="0" w:color="auto"/>
                  </w:divBdr>
                  <w:divsChild>
                    <w:div w:id="229775632">
                      <w:marLeft w:val="0"/>
                      <w:marRight w:val="0"/>
                      <w:marTop w:val="0"/>
                      <w:marBottom w:val="0"/>
                      <w:divBdr>
                        <w:top w:val="none" w:sz="0" w:space="0" w:color="auto"/>
                        <w:left w:val="none" w:sz="0" w:space="0" w:color="auto"/>
                        <w:bottom w:val="none" w:sz="0" w:space="0" w:color="auto"/>
                        <w:right w:val="none" w:sz="0" w:space="0" w:color="auto"/>
                      </w:divBdr>
                    </w:div>
                  </w:divsChild>
                </w:div>
                <w:div w:id="62487812">
                  <w:marLeft w:val="0"/>
                  <w:marRight w:val="0"/>
                  <w:marTop w:val="0"/>
                  <w:marBottom w:val="0"/>
                  <w:divBdr>
                    <w:top w:val="none" w:sz="0" w:space="0" w:color="auto"/>
                    <w:left w:val="none" w:sz="0" w:space="0" w:color="auto"/>
                    <w:bottom w:val="none" w:sz="0" w:space="0" w:color="auto"/>
                    <w:right w:val="none" w:sz="0" w:space="0" w:color="auto"/>
                  </w:divBdr>
                  <w:divsChild>
                    <w:div w:id="1755660459">
                      <w:marLeft w:val="0"/>
                      <w:marRight w:val="0"/>
                      <w:marTop w:val="0"/>
                      <w:marBottom w:val="0"/>
                      <w:divBdr>
                        <w:top w:val="none" w:sz="0" w:space="0" w:color="auto"/>
                        <w:left w:val="none" w:sz="0" w:space="0" w:color="auto"/>
                        <w:bottom w:val="none" w:sz="0" w:space="0" w:color="auto"/>
                        <w:right w:val="none" w:sz="0" w:space="0" w:color="auto"/>
                      </w:divBdr>
                    </w:div>
                  </w:divsChild>
                </w:div>
                <w:div w:id="66735251">
                  <w:marLeft w:val="0"/>
                  <w:marRight w:val="0"/>
                  <w:marTop w:val="0"/>
                  <w:marBottom w:val="0"/>
                  <w:divBdr>
                    <w:top w:val="none" w:sz="0" w:space="0" w:color="auto"/>
                    <w:left w:val="none" w:sz="0" w:space="0" w:color="auto"/>
                    <w:bottom w:val="none" w:sz="0" w:space="0" w:color="auto"/>
                    <w:right w:val="none" w:sz="0" w:space="0" w:color="auto"/>
                  </w:divBdr>
                  <w:divsChild>
                    <w:div w:id="485438765">
                      <w:marLeft w:val="0"/>
                      <w:marRight w:val="0"/>
                      <w:marTop w:val="0"/>
                      <w:marBottom w:val="0"/>
                      <w:divBdr>
                        <w:top w:val="none" w:sz="0" w:space="0" w:color="auto"/>
                        <w:left w:val="none" w:sz="0" w:space="0" w:color="auto"/>
                        <w:bottom w:val="none" w:sz="0" w:space="0" w:color="auto"/>
                        <w:right w:val="none" w:sz="0" w:space="0" w:color="auto"/>
                      </w:divBdr>
                    </w:div>
                  </w:divsChild>
                </w:div>
                <w:div w:id="125894698">
                  <w:marLeft w:val="0"/>
                  <w:marRight w:val="0"/>
                  <w:marTop w:val="0"/>
                  <w:marBottom w:val="0"/>
                  <w:divBdr>
                    <w:top w:val="none" w:sz="0" w:space="0" w:color="auto"/>
                    <w:left w:val="none" w:sz="0" w:space="0" w:color="auto"/>
                    <w:bottom w:val="none" w:sz="0" w:space="0" w:color="auto"/>
                    <w:right w:val="none" w:sz="0" w:space="0" w:color="auto"/>
                  </w:divBdr>
                  <w:divsChild>
                    <w:div w:id="1834225809">
                      <w:marLeft w:val="0"/>
                      <w:marRight w:val="0"/>
                      <w:marTop w:val="0"/>
                      <w:marBottom w:val="0"/>
                      <w:divBdr>
                        <w:top w:val="none" w:sz="0" w:space="0" w:color="auto"/>
                        <w:left w:val="none" w:sz="0" w:space="0" w:color="auto"/>
                        <w:bottom w:val="none" w:sz="0" w:space="0" w:color="auto"/>
                        <w:right w:val="none" w:sz="0" w:space="0" w:color="auto"/>
                      </w:divBdr>
                    </w:div>
                  </w:divsChild>
                </w:div>
                <w:div w:id="141582730">
                  <w:marLeft w:val="0"/>
                  <w:marRight w:val="0"/>
                  <w:marTop w:val="0"/>
                  <w:marBottom w:val="0"/>
                  <w:divBdr>
                    <w:top w:val="none" w:sz="0" w:space="0" w:color="auto"/>
                    <w:left w:val="none" w:sz="0" w:space="0" w:color="auto"/>
                    <w:bottom w:val="none" w:sz="0" w:space="0" w:color="auto"/>
                    <w:right w:val="none" w:sz="0" w:space="0" w:color="auto"/>
                  </w:divBdr>
                  <w:divsChild>
                    <w:div w:id="1301109179">
                      <w:marLeft w:val="0"/>
                      <w:marRight w:val="0"/>
                      <w:marTop w:val="0"/>
                      <w:marBottom w:val="0"/>
                      <w:divBdr>
                        <w:top w:val="none" w:sz="0" w:space="0" w:color="auto"/>
                        <w:left w:val="none" w:sz="0" w:space="0" w:color="auto"/>
                        <w:bottom w:val="none" w:sz="0" w:space="0" w:color="auto"/>
                        <w:right w:val="none" w:sz="0" w:space="0" w:color="auto"/>
                      </w:divBdr>
                    </w:div>
                  </w:divsChild>
                </w:div>
                <w:div w:id="161819610">
                  <w:marLeft w:val="0"/>
                  <w:marRight w:val="0"/>
                  <w:marTop w:val="0"/>
                  <w:marBottom w:val="0"/>
                  <w:divBdr>
                    <w:top w:val="none" w:sz="0" w:space="0" w:color="auto"/>
                    <w:left w:val="none" w:sz="0" w:space="0" w:color="auto"/>
                    <w:bottom w:val="none" w:sz="0" w:space="0" w:color="auto"/>
                    <w:right w:val="none" w:sz="0" w:space="0" w:color="auto"/>
                  </w:divBdr>
                  <w:divsChild>
                    <w:div w:id="460609162">
                      <w:marLeft w:val="0"/>
                      <w:marRight w:val="0"/>
                      <w:marTop w:val="0"/>
                      <w:marBottom w:val="0"/>
                      <w:divBdr>
                        <w:top w:val="none" w:sz="0" w:space="0" w:color="auto"/>
                        <w:left w:val="none" w:sz="0" w:space="0" w:color="auto"/>
                        <w:bottom w:val="none" w:sz="0" w:space="0" w:color="auto"/>
                        <w:right w:val="none" w:sz="0" w:space="0" w:color="auto"/>
                      </w:divBdr>
                    </w:div>
                  </w:divsChild>
                </w:div>
                <w:div w:id="170225308">
                  <w:marLeft w:val="0"/>
                  <w:marRight w:val="0"/>
                  <w:marTop w:val="0"/>
                  <w:marBottom w:val="0"/>
                  <w:divBdr>
                    <w:top w:val="none" w:sz="0" w:space="0" w:color="auto"/>
                    <w:left w:val="none" w:sz="0" w:space="0" w:color="auto"/>
                    <w:bottom w:val="none" w:sz="0" w:space="0" w:color="auto"/>
                    <w:right w:val="none" w:sz="0" w:space="0" w:color="auto"/>
                  </w:divBdr>
                  <w:divsChild>
                    <w:div w:id="807404541">
                      <w:marLeft w:val="0"/>
                      <w:marRight w:val="0"/>
                      <w:marTop w:val="0"/>
                      <w:marBottom w:val="0"/>
                      <w:divBdr>
                        <w:top w:val="none" w:sz="0" w:space="0" w:color="auto"/>
                        <w:left w:val="none" w:sz="0" w:space="0" w:color="auto"/>
                        <w:bottom w:val="none" w:sz="0" w:space="0" w:color="auto"/>
                        <w:right w:val="none" w:sz="0" w:space="0" w:color="auto"/>
                      </w:divBdr>
                    </w:div>
                  </w:divsChild>
                </w:div>
                <w:div w:id="173958327">
                  <w:marLeft w:val="0"/>
                  <w:marRight w:val="0"/>
                  <w:marTop w:val="0"/>
                  <w:marBottom w:val="0"/>
                  <w:divBdr>
                    <w:top w:val="none" w:sz="0" w:space="0" w:color="auto"/>
                    <w:left w:val="none" w:sz="0" w:space="0" w:color="auto"/>
                    <w:bottom w:val="none" w:sz="0" w:space="0" w:color="auto"/>
                    <w:right w:val="none" w:sz="0" w:space="0" w:color="auto"/>
                  </w:divBdr>
                  <w:divsChild>
                    <w:div w:id="932396377">
                      <w:marLeft w:val="0"/>
                      <w:marRight w:val="0"/>
                      <w:marTop w:val="0"/>
                      <w:marBottom w:val="0"/>
                      <w:divBdr>
                        <w:top w:val="none" w:sz="0" w:space="0" w:color="auto"/>
                        <w:left w:val="none" w:sz="0" w:space="0" w:color="auto"/>
                        <w:bottom w:val="none" w:sz="0" w:space="0" w:color="auto"/>
                        <w:right w:val="none" w:sz="0" w:space="0" w:color="auto"/>
                      </w:divBdr>
                    </w:div>
                  </w:divsChild>
                </w:div>
                <w:div w:id="181289442">
                  <w:marLeft w:val="0"/>
                  <w:marRight w:val="0"/>
                  <w:marTop w:val="0"/>
                  <w:marBottom w:val="0"/>
                  <w:divBdr>
                    <w:top w:val="none" w:sz="0" w:space="0" w:color="auto"/>
                    <w:left w:val="none" w:sz="0" w:space="0" w:color="auto"/>
                    <w:bottom w:val="none" w:sz="0" w:space="0" w:color="auto"/>
                    <w:right w:val="none" w:sz="0" w:space="0" w:color="auto"/>
                  </w:divBdr>
                  <w:divsChild>
                    <w:div w:id="1970817186">
                      <w:marLeft w:val="0"/>
                      <w:marRight w:val="0"/>
                      <w:marTop w:val="0"/>
                      <w:marBottom w:val="0"/>
                      <w:divBdr>
                        <w:top w:val="none" w:sz="0" w:space="0" w:color="auto"/>
                        <w:left w:val="none" w:sz="0" w:space="0" w:color="auto"/>
                        <w:bottom w:val="none" w:sz="0" w:space="0" w:color="auto"/>
                        <w:right w:val="none" w:sz="0" w:space="0" w:color="auto"/>
                      </w:divBdr>
                    </w:div>
                  </w:divsChild>
                </w:div>
                <w:div w:id="183330952">
                  <w:marLeft w:val="0"/>
                  <w:marRight w:val="0"/>
                  <w:marTop w:val="0"/>
                  <w:marBottom w:val="0"/>
                  <w:divBdr>
                    <w:top w:val="none" w:sz="0" w:space="0" w:color="auto"/>
                    <w:left w:val="none" w:sz="0" w:space="0" w:color="auto"/>
                    <w:bottom w:val="none" w:sz="0" w:space="0" w:color="auto"/>
                    <w:right w:val="none" w:sz="0" w:space="0" w:color="auto"/>
                  </w:divBdr>
                  <w:divsChild>
                    <w:div w:id="348484403">
                      <w:marLeft w:val="0"/>
                      <w:marRight w:val="0"/>
                      <w:marTop w:val="0"/>
                      <w:marBottom w:val="0"/>
                      <w:divBdr>
                        <w:top w:val="none" w:sz="0" w:space="0" w:color="auto"/>
                        <w:left w:val="none" w:sz="0" w:space="0" w:color="auto"/>
                        <w:bottom w:val="none" w:sz="0" w:space="0" w:color="auto"/>
                        <w:right w:val="none" w:sz="0" w:space="0" w:color="auto"/>
                      </w:divBdr>
                    </w:div>
                  </w:divsChild>
                </w:div>
                <w:div w:id="202984433">
                  <w:marLeft w:val="0"/>
                  <w:marRight w:val="0"/>
                  <w:marTop w:val="0"/>
                  <w:marBottom w:val="0"/>
                  <w:divBdr>
                    <w:top w:val="none" w:sz="0" w:space="0" w:color="auto"/>
                    <w:left w:val="none" w:sz="0" w:space="0" w:color="auto"/>
                    <w:bottom w:val="none" w:sz="0" w:space="0" w:color="auto"/>
                    <w:right w:val="none" w:sz="0" w:space="0" w:color="auto"/>
                  </w:divBdr>
                  <w:divsChild>
                    <w:div w:id="157579606">
                      <w:marLeft w:val="0"/>
                      <w:marRight w:val="0"/>
                      <w:marTop w:val="0"/>
                      <w:marBottom w:val="0"/>
                      <w:divBdr>
                        <w:top w:val="none" w:sz="0" w:space="0" w:color="auto"/>
                        <w:left w:val="none" w:sz="0" w:space="0" w:color="auto"/>
                        <w:bottom w:val="none" w:sz="0" w:space="0" w:color="auto"/>
                        <w:right w:val="none" w:sz="0" w:space="0" w:color="auto"/>
                      </w:divBdr>
                    </w:div>
                  </w:divsChild>
                </w:div>
                <w:div w:id="211771611">
                  <w:marLeft w:val="0"/>
                  <w:marRight w:val="0"/>
                  <w:marTop w:val="0"/>
                  <w:marBottom w:val="0"/>
                  <w:divBdr>
                    <w:top w:val="none" w:sz="0" w:space="0" w:color="auto"/>
                    <w:left w:val="none" w:sz="0" w:space="0" w:color="auto"/>
                    <w:bottom w:val="none" w:sz="0" w:space="0" w:color="auto"/>
                    <w:right w:val="none" w:sz="0" w:space="0" w:color="auto"/>
                  </w:divBdr>
                  <w:divsChild>
                    <w:div w:id="679090585">
                      <w:marLeft w:val="0"/>
                      <w:marRight w:val="0"/>
                      <w:marTop w:val="0"/>
                      <w:marBottom w:val="0"/>
                      <w:divBdr>
                        <w:top w:val="none" w:sz="0" w:space="0" w:color="auto"/>
                        <w:left w:val="none" w:sz="0" w:space="0" w:color="auto"/>
                        <w:bottom w:val="none" w:sz="0" w:space="0" w:color="auto"/>
                        <w:right w:val="none" w:sz="0" w:space="0" w:color="auto"/>
                      </w:divBdr>
                    </w:div>
                  </w:divsChild>
                </w:div>
                <w:div w:id="216941047">
                  <w:marLeft w:val="0"/>
                  <w:marRight w:val="0"/>
                  <w:marTop w:val="0"/>
                  <w:marBottom w:val="0"/>
                  <w:divBdr>
                    <w:top w:val="none" w:sz="0" w:space="0" w:color="auto"/>
                    <w:left w:val="none" w:sz="0" w:space="0" w:color="auto"/>
                    <w:bottom w:val="none" w:sz="0" w:space="0" w:color="auto"/>
                    <w:right w:val="none" w:sz="0" w:space="0" w:color="auto"/>
                  </w:divBdr>
                  <w:divsChild>
                    <w:div w:id="397099506">
                      <w:marLeft w:val="0"/>
                      <w:marRight w:val="0"/>
                      <w:marTop w:val="0"/>
                      <w:marBottom w:val="0"/>
                      <w:divBdr>
                        <w:top w:val="none" w:sz="0" w:space="0" w:color="auto"/>
                        <w:left w:val="none" w:sz="0" w:space="0" w:color="auto"/>
                        <w:bottom w:val="none" w:sz="0" w:space="0" w:color="auto"/>
                        <w:right w:val="none" w:sz="0" w:space="0" w:color="auto"/>
                      </w:divBdr>
                    </w:div>
                  </w:divsChild>
                </w:div>
                <w:div w:id="233129663">
                  <w:marLeft w:val="0"/>
                  <w:marRight w:val="0"/>
                  <w:marTop w:val="0"/>
                  <w:marBottom w:val="0"/>
                  <w:divBdr>
                    <w:top w:val="none" w:sz="0" w:space="0" w:color="auto"/>
                    <w:left w:val="none" w:sz="0" w:space="0" w:color="auto"/>
                    <w:bottom w:val="none" w:sz="0" w:space="0" w:color="auto"/>
                    <w:right w:val="none" w:sz="0" w:space="0" w:color="auto"/>
                  </w:divBdr>
                  <w:divsChild>
                    <w:div w:id="1639144331">
                      <w:marLeft w:val="0"/>
                      <w:marRight w:val="0"/>
                      <w:marTop w:val="0"/>
                      <w:marBottom w:val="0"/>
                      <w:divBdr>
                        <w:top w:val="none" w:sz="0" w:space="0" w:color="auto"/>
                        <w:left w:val="none" w:sz="0" w:space="0" w:color="auto"/>
                        <w:bottom w:val="none" w:sz="0" w:space="0" w:color="auto"/>
                        <w:right w:val="none" w:sz="0" w:space="0" w:color="auto"/>
                      </w:divBdr>
                    </w:div>
                  </w:divsChild>
                </w:div>
                <w:div w:id="234516737">
                  <w:marLeft w:val="0"/>
                  <w:marRight w:val="0"/>
                  <w:marTop w:val="0"/>
                  <w:marBottom w:val="0"/>
                  <w:divBdr>
                    <w:top w:val="none" w:sz="0" w:space="0" w:color="auto"/>
                    <w:left w:val="none" w:sz="0" w:space="0" w:color="auto"/>
                    <w:bottom w:val="none" w:sz="0" w:space="0" w:color="auto"/>
                    <w:right w:val="none" w:sz="0" w:space="0" w:color="auto"/>
                  </w:divBdr>
                  <w:divsChild>
                    <w:div w:id="671684823">
                      <w:marLeft w:val="0"/>
                      <w:marRight w:val="0"/>
                      <w:marTop w:val="0"/>
                      <w:marBottom w:val="0"/>
                      <w:divBdr>
                        <w:top w:val="none" w:sz="0" w:space="0" w:color="auto"/>
                        <w:left w:val="none" w:sz="0" w:space="0" w:color="auto"/>
                        <w:bottom w:val="none" w:sz="0" w:space="0" w:color="auto"/>
                        <w:right w:val="none" w:sz="0" w:space="0" w:color="auto"/>
                      </w:divBdr>
                    </w:div>
                  </w:divsChild>
                </w:div>
                <w:div w:id="265426344">
                  <w:marLeft w:val="0"/>
                  <w:marRight w:val="0"/>
                  <w:marTop w:val="0"/>
                  <w:marBottom w:val="0"/>
                  <w:divBdr>
                    <w:top w:val="none" w:sz="0" w:space="0" w:color="auto"/>
                    <w:left w:val="none" w:sz="0" w:space="0" w:color="auto"/>
                    <w:bottom w:val="none" w:sz="0" w:space="0" w:color="auto"/>
                    <w:right w:val="none" w:sz="0" w:space="0" w:color="auto"/>
                  </w:divBdr>
                  <w:divsChild>
                    <w:div w:id="1211923081">
                      <w:marLeft w:val="0"/>
                      <w:marRight w:val="0"/>
                      <w:marTop w:val="0"/>
                      <w:marBottom w:val="0"/>
                      <w:divBdr>
                        <w:top w:val="none" w:sz="0" w:space="0" w:color="auto"/>
                        <w:left w:val="none" w:sz="0" w:space="0" w:color="auto"/>
                        <w:bottom w:val="none" w:sz="0" w:space="0" w:color="auto"/>
                        <w:right w:val="none" w:sz="0" w:space="0" w:color="auto"/>
                      </w:divBdr>
                    </w:div>
                  </w:divsChild>
                </w:div>
                <w:div w:id="280693190">
                  <w:marLeft w:val="0"/>
                  <w:marRight w:val="0"/>
                  <w:marTop w:val="0"/>
                  <w:marBottom w:val="0"/>
                  <w:divBdr>
                    <w:top w:val="none" w:sz="0" w:space="0" w:color="auto"/>
                    <w:left w:val="none" w:sz="0" w:space="0" w:color="auto"/>
                    <w:bottom w:val="none" w:sz="0" w:space="0" w:color="auto"/>
                    <w:right w:val="none" w:sz="0" w:space="0" w:color="auto"/>
                  </w:divBdr>
                  <w:divsChild>
                    <w:div w:id="763723572">
                      <w:marLeft w:val="0"/>
                      <w:marRight w:val="0"/>
                      <w:marTop w:val="0"/>
                      <w:marBottom w:val="0"/>
                      <w:divBdr>
                        <w:top w:val="none" w:sz="0" w:space="0" w:color="auto"/>
                        <w:left w:val="none" w:sz="0" w:space="0" w:color="auto"/>
                        <w:bottom w:val="none" w:sz="0" w:space="0" w:color="auto"/>
                        <w:right w:val="none" w:sz="0" w:space="0" w:color="auto"/>
                      </w:divBdr>
                    </w:div>
                  </w:divsChild>
                </w:div>
                <w:div w:id="289897856">
                  <w:marLeft w:val="0"/>
                  <w:marRight w:val="0"/>
                  <w:marTop w:val="0"/>
                  <w:marBottom w:val="0"/>
                  <w:divBdr>
                    <w:top w:val="none" w:sz="0" w:space="0" w:color="auto"/>
                    <w:left w:val="none" w:sz="0" w:space="0" w:color="auto"/>
                    <w:bottom w:val="none" w:sz="0" w:space="0" w:color="auto"/>
                    <w:right w:val="none" w:sz="0" w:space="0" w:color="auto"/>
                  </w:divBdr>
                  <w:divsChild>
                    <w:div w:id="1508640061">
                      <w:marLeft w:val="0"/>
                      <w:marRight w:val="0"/>
                      <w:marTop w:val="0"/>
                      <w:marBottom w:val="0"/>
                      <w:divBdr>
                        <w:top w:val="none" w:sz="0" w:space="0" w:color="auto"/>
                        <w:left w:val="none" w:sz="0" w:space="0" w:color="auto"/>
                        <w:bottom w:val="none" w:sz="0" w:space="0" w:color="auto"/>
                        <w:right w:val="none" w:sz="0" w:space="0" w:color="auto"/>
                      </w:divBdr>
                    </w:div>
                  </w:divsChild>
                </w:div>
                <w:div w:id="303967914">
                  <w:marLeft w:val="0"/>
                  <w:marRight w:val="0"/>
                  <w:marTop w:val="0"/>
                  <w:marBottom w:val="0"/>
                  <w:divBdr>
                    <w:top w:val="none" w:sz="0" w:space="0" w:color="auto"/>
                    <w:left w:val="none" w:sz="0" w:space="0" w:color="auto"/>
                    <w:bottom w:val="none" w:sz="0" w:space="0" w:color="auto"/>
                    <w:right w:val="none" w:sz="0" w:space="0" w:color="auto"/>
                  </w:divBdr>
                  <w:divsChild>
                    <w:div w:id="1543059293">
                      <w:marLeft w:val="0"/>
                      <w:marRight w:val="0"/>
                      <w:marTop w:val="0"/>
                      <w:marBottom w:val="0"/>
                      <w:divBdr>
                        <w:top w:val="none" w:sz="0" w:space="0" w:color="auto"/>
                        <w:left w:val="none" w:sz="0" w:space="0" w:color="auto"/>
                        <w:bottom w:val="none" w:sz="0" w:space="0" w:color="auto"/>
                        <w:right w:val="none" w:sz="0" w:space="0" w:color="auto"/>
                      </w:divBdr>
                    </w:div>
                  </w:divsChild>
                </w:div>
                <w:div w:id="306446625">
                  <w:marLeft w:val="0"/>
                  <w:marRight w:val="0"/>
                  <w:marTop w:val="0"/>
                  <w:marBottom w:val="0"/>
                  <w:divBdr>
                    <w:top w:val="none" w:sz="0" w:space="0" w:color="auto"/>
                    <w:left w:val="none" w:sz="0" w:space="0" w:color="auto"/>
                    <w:bottom w:val="none" w:sz="0" w:space="0" w:color="auto"/>
                    <w:right w:val="none" w:sz="0" w:space="0" w:color="auto"/>
                  </w:divBdr>
                  <w:divsChild>
                    <w:div w:id="573781176">
                      <w:marLeft w:val="0"/>
                      <w:marRight w:val="0"/>
                      <w:marTop w:val="0"/>
                      <w:marBottom w:val="0"/>
                      <w:divBdr>
                        <w:top w:val="none" w:sz="0" w:space="0" w:color="auto"/>
                        <w:left w:val="none" w:sz="0" w:space="0" w:color="auto"/>
                        <w:bottom w:val="none" w:sz="0" w:space="0" w:color="auto"/>
                        <w:right w:val="none" w:sz="0" w:space="0" w:color="auto"/>
                      </w:divBdr>
                    </w:div>
                  </w:divsChild>
                </w:div>
                <w:div w:id="332032296">
                  <w:marLeft w:val="0"/>
                  <w:marRight w:val="0"/>
                  <w:marTop w:val="0"/>
                  <w:marBottom w:val="0"/>
                  <w:divBdr>
                    <w:top w:val="none" w:sz="0" w:space="0" w:color="auto"/>
                    <w:left w:val="none" w:sz="0" w:space="0" w:color="auto"/>
                    <w:bottom w:val="none" w:sz="0" w:space="0" w:color="auto"/>
                    <w:right w:val="none" w:sz="0" w:space="0" w:color="auto"/>
                  </w:divBdr>
                  <w:divsChild>
                    <w:div w:id="1328241330">
                      <w:marLeft w:val="0"/>
                      <w:marRight w:val="0"/>
                      <w:marTop w:val="0"/>
                      <w:marBottom w:val="0"/>
                      <w:divBdr>
                        <w:top w:val="none" w:sz="0" w:space="0" w:color="auto"/>
                        <w:left w:val="none" w:sz="0" w:space="0" w:color="auto"/>
                        <w:bottom w:val="none" w:sz="0" w:space="0" w:color="auto"/>
                        <w:right w:val="none" w:sz="0" w:space="0" w:color="auto"/>
                      </w:divBdr>
                    </w:div>
                  </w:divsChild>
                </w:div>
                <w:div w:id="335773272">
                  <w:marLeft w:val="0"/>
                  <w:marRight w:val="0"/>
                  <w:marTop w:val="0"/>
                  <w:marBottom w:val="0"/>
                  <w:divBdr>
                    <w:top w:val="none" w:sz="0" w:space="0" w:color="auto"/>
                    <w:left w:val="none" w:sz="0" w:space="0" w:color="auto"/>
                    <w:bottom w:val="none" w:sz="0" w:space="0" w:color="auto"/>
                    <w:right w:val="none" w:sz="0" w:space="0" w:color="auto"/>
                  </w:divBdr>
                  <w:divsChild>
                    <w:div w:id="350645983">
                      <w:marLeft w:val="0"/>
                      <w:marRight w:val="0"/>
                      <w:marTop w:val="0"/>
                      <w:marBottom w:val="0"/>
                      <w:divBdr>
                        <w:top w:val="none" w:sz="0" w:space="0" w:color="auto"/>
                        <w:left w:val="none" w:sz="0" w:space="0" w:color="auto"/>
                        <w:bottom w:val="none" w:sz="0" w:space="0" w:color="auto"/>
                        <w:right w:val="none" w:sz="0" w:space="0" w:color="auto"/>
                      </w:divBdr>
                    </w:div>
                  </w:divsChild>
                </w:div>
                <w:div w:id="338394182">
                  <w:marLeft w:val="0"/>
                  <w:marRight w:val="0"/>
                  <w:marTop w:val="0"/>
                  <w:marBottom w:val="0"/>
                  <w:divBdr>
                    <w:top w:val="none" w:sz="0" w:space="0" w:color="auto"/>
                    <w:left w:val="none" w:sz="0" w:space="0" w:color="auto"/>
                    <w:bottom w:val="none" w:sz="0" w:space="0" w:color="auto"/>
                    <w:right w:val="none" w:sz="0" w:space="0" w:color="auto"/>
                  </w:divBdr>
                  <w:divsChild>
                    <w:div w:id="1039743154">
                      <w:marLeft w:val="0"/>
                      <w:marRight w:val="0"/>
                      <w:marTop w:val="0"/>
                      <w:marBottom w:val="0"/>
                      <w:divBdr>
                        <w:top w:val="none" w:sz="0" w:space="0" w:color="auto"/>
                        <w:left w:val="none" w:sz="0" w:space="0" w:color="auto"/>
                        <w:bottom w:val="none" w:sz="0" w:space="0" w:color="auto"/>
                        <w:right w:val="none" w:sz="0" w:space="0" w:color="auto"/>
                      </w:divBdr>
                    </w:div>
                  </w:divsChild>
                </w:div>
                <w:div w:id="367225028">
                  <w:marLeft w:val="0"/>
                  <w:marRight w:val="0"/>
                  <w:marTop w:val="0"/>
                  <w:marBottom w:val="0"/>
                  <w:divBdr>
                    <w:top w:val="none" w:sz="0" w:space="0" w:color="auto"/>
                    <w:left w:val="none" w:sz="0" w:space="0" w:color="auto"/>
                    <w:bottom w:val="none" w:sz="0" w:space="0" w:color="auto"/>
                    <w:right w:val="none" w:sz="0" w:space="0" w:color="auto"/>
                  </w:divBdr>
                  <w:divsChild>
                    <w:div w:id="1826968812">
                      <w:marLeft w:val="0"/>
                      <w:marRight w:val="0"/>
                      <w:marTop w:val="0"/>
                      <w:marBottom w:val="0"/>
                      <w:divBdr>
                        <w:top w:val="none" w:sz="0" w:space="0" w:color="auto"/>
                        <w:left w:val="none" w:sz="0" w:space="0" w:color="auto"/>
                        <w:bottom w:val="none" w:sz="0" w:space="0" w:color="auto"/>
                        <w:right w:val="none" w:sz="0" w:space="0" w:color="auto"/>
                      </w:divBdr>
                    </w:div>
                  </w:divsChild>
                </w:div>
                <w:div w:id="380330248">
                  <w:marLeft w:val="0"/>
                  <w:marRight w:val="0"/>
                  <w:marTop w:val="0"/>
                  <w:marBottom w:val="0"/>
                  <w:divBdr>
                    <w:top w:val="none" w:sz="0" w:space="0" w:color="auto"/>
                    <w:left w:val="none" w:sz="0" w:space="0" w:color="auto"/>
                    <w:bottom w:val="none" w:sz="0" w:space="0" w:color="auto"/>
                    <w:right w:val="none" w:sz="0" w:space="0" w:color="auto"/>
                  </w:divBdr>
                  <w:divsChild>
                    <w:div w:id="155725598">
                      <w:marLeft w:val="0"/>
                      <w:marRight w:val="0"/>
                      <w:marTop w:val="0"/>
                      <w:marBottom w:val="0"/>
                      <w:divBdr>
                        <w:top w:val="none" w:sz="0" w:space="0" w:color="auto"/>
                        <w:left w:val="none" w:sz="0" w:space="0" w:color="auto"/>
                        <w:bottom w:val="none" w:sz="0" w:space="0" w:color="auto"/>
                        <w:right w:val="none" w:sz="0" w:space="0" w:color="auto"/>
                      </w:divBdr>
                    </w:div>
                  </w:divsChild>
                </w:div>
                <w:div w:id="387725936">
                  <w:marLeft w:val="0"/>
                  <w:marRight w:val="0"/>
                  <w:marTop w:val="0"/>
                  <w:marBottom w:val="0"/>
                  <w:divBdr>
                    <w:top w:val="none" w:sz="0" w:space="0" w:color="auto"/>
                    <w:left w:val="none" w:sz="0" w:space="0" w:color="auto"/>
                    <w:bottom w:val="none" w:sz="0" w:space="0" w:color="auto"/>
                    <w:right w:val="none" w:sz="0" w:space="0" w:color="auto"/>
                  </w:divBdr>
                  <w:divsChild>
                    <w:div w:id="1174567365">
                      <w:marLeft w:val="0"/>
                      <w:marRight w:val="0"/>
                      <w:marTop w:val="0"/>
                      <w:marBottom w:val="0"/>
                      <w:divBdr>
                        <w:top w:val="none" w:sz="0" w:space="0" w:color="auto"/>
                        <w:left w:val="none" w:sz="0" w:space="0" w:color="auto"/>
                        <w:bottom w:val="none" w:sz="0" w:space="0" w:color="auto"/>
                        <w:right w:val="none" w:sz="0" w:space="0" w:color="auto"/>
                      </w:divBdr>
                    </w:div>
                  </w:divsChild>
                </w:div>
                <w:div w:id="411317559">
                  <w:marLeft w:val="0"/>
                  <w:marRight w:val="0"/>
                  <w:marTop w:val="0"/>
                  <w:marBottom w:val="0"/>
                  <w:divBdr>
                    <w:top w:val="none" w:sz="0" w:space="0" w:color="auto"/>
                    <w:left w:val="none" w:sz="0" w:space="0" w:color="auto"/>
                    <w:bottom w:val="none" w:sz="0" w:space="0" w:color="auto"/>
                    <w:right w:val="none" w:sz="0" w:space="0" w:color="auto"/>
                  </w:divBdr>
                  <w:divsChild>
                    <w:div w:id="947813499">
                      <w:marLeft w:val="0"/>
                      <w:marRight w:val="0"/>
                      <w:marTop w:val="0"/>
                      <w:marBottom w:val="0"/>
                      <w:divBdr>
                        <w:top w:val="none" w:sz="0" w:space="0" w:color="auto"/>
                        <w:left w:val="none" w:sz="0" w:space="0" w:color="auto"/>
                        <w:bottom w:val="none" w:sz="0" w:space="0" w:color="auto"/>
                        <w:right w:val="none" w:sz="0" w:space="0" w:color="auto"/>
                      </w:divBdr>
                    </w:div>
                  </w:divsChild>
                </w:div>
                <w:div w:id="420218287">
                  <w:marLeft w:val="0"/>
                  <w:marRight w:val="0"/>
                  <w:marTop w:val="0"/>
                  <w:marBottom w:val="0"/>
                  <w:divBdr>
                    <w:top w:val="none" w:sz="0" w:space="0" w:color="auto"/>
                    <w:left w:val="none" w:sz="0" w:space="0" w:color="auto"/>
                    <w:bottom w:val="none" w:sz="0" w:space="0" w:color="auto"/>
                    <w:right w:val="none" w:sz="0" w:space="0" w:color="auto"/>
                  </w:divBdr>
                  <w:divsChild>
                    <w:div w:id="1561936054">
                      <w:marLeft w:val="0"/>
                      <w:marRight w:val="0"/>
                      <w:marTop w:val="0"/>
                      <w:marBottom w:val="0"/>
                      <w:divBdr>
                        <w:top w:val="none" w:sz="0" w:space="0" w:color="auto"/>
                        <w:left w:val="none" w:sz="0" w:space="0" w:color="auto"/>
                        <w:bottom w:val="none" w:sz="0" w:space="0" w:color="auto"/>
                        <w:right w:val="none" w:sz="0" w:space="0" w:color="auto"/>
                      </w:divBdr>
                    </w:div>
                  </w:divsChild>
                </w:div>
                <w:div w:id="453443988">
                  <w:marLeft w:val="0"/>
                  <w:marRight w:val="0"/>
                  <w:marTop w:val="0"/>
                  <w:marBottom w:val="0"/>
                  <w:divBdr>
                    <w:top w:val="none" w:sz="0" w:space="0" w:color="auto"/>
                    <w:left w:val="none" w:sz="0" w:space="0" w:color="auto"/>
                    <w:bottom w:val="none" w:sz="0" w:space="0" w:color="auto"/>
                    <w:right w:val="none" w:sz="0" w:space="0" w:color="auto"/>
                  </w:divBdr>
                  <w:divsChild>
                    <w:div w:id="309410457">
                      <w:marLeft w:val="0"/>
                      <w:marRight w:val="0"/>
                      <w:marTop w:val="0"/>
                      <w:marBottom w:val="0"/>
                      <w:divBdr>
                        <w:top w:val="none" w:sz="0" w:space="0" w:color="auto"/>
                        <w:left w:val="none" w:sz="0" w:space="0" w:color="auto"/>
                        <w:bottom w:val="none" w:sz="0" w:space="0" w:color="auto"/>
                        <w:right w:val="none" w:sz="0" w:space="0" w:color="auto"/>
                      </w:divBdr>
                    </w:div>
                  </w:divsChild>
                </w:div>
                <w:div w:id="567232066">
                  <w:marLeft w:val="0"/>
                  <w:marRight w:val="0"/>
                  <w:marTop w:val="0"/>
                  <w:marBottom w:val="0"/>
                  <w:divBdr>
                    <w:top w:val="none" w:sz="0" w:space="0" w:color="auto"/>
                    <w:left w:val="none" w:sz="0" w:space="0" w:color="auto"/>
                    <w:bottom w:val="none" w:sz="0" w:space="0" w:color="auto"/>
                    <w:right w:val="none" w:sz="0" w:space="0" w:color="auto"/>
                  </w:divBdr>
                  <w:divsChild>
                    <w:div w:id="787773452">
                      <w:marLeft w:val="0"/>
                      <w:marRight w:val="0"/>
                      <w:marTop w:val="0"/>
                      <w:marBottom w:val="0"/>
                      <w:divBdr>
                        <w:top w:val="none" w:sz="0" w:space="0" w:color="auto"/>
                        <w:left w:val="none" w:sz="0" w:space="0" w:color="auto"/>
                        <w:bottom w:val="none" w:sz="0" w:space="0" w:color="auto"/>
                        <w:right w:val="none" w:sz="0" w:space="0" w:color="auto"/>
                      </w:divBdr>
                    </w:div>
                  </w:divsChild>
                </w:div>
                <w:div w:id="571887798">
                  <w:marLeft w:val="0"/>
                  <w:marRight w:val="0"/>
                  <w:marTop w:val="0"/>
                  <w:marBottom w:val="0"/>
                  <w:divBdr>
                    <w:top w:val="none" w:sz="0" w:space="0" w:color="auto"/>
                    <w:left w:val="none" w:sz="0" w:space="0" w:color="auto"/>
                    <w:bottom w:val="none" w:sz="0" w:space="0" w:color="auto"/>
                    <w:right w:val="none" w:sz="0" w:space="0" w:color="auto"/>
                  </w:divBdr>
                  <w:divsChild>
                    <w:div w:id="1460296875">
                      <w:marLeft w:val="0"/>
                      <w:marRight w:val="0"/>
                      <w:marTop w:val="0"/>
                      <w:marBottom w:val="0"/>
                      <w:divBdr>
                        <w:top w:val="none" w:sz="0" w:space="0" w:color="auto"/>
                        <w:left w:val="none" w:sz="0" w:space="0" w:color="auto"/>
                        <w:bottom w:val="none" w:sz="0" w:space="0" w:color="auto"/>
                        <w:right w:val="none" w:sz="0" w:space="0" w:color="auto"/>
                      </w:divBdr>
                    </w:div>
                  </w:divsChild>
                </w:div>
                <w:div w:id="587889346">
                  <w:marLeft w:val="0"/>
                  <w:marRight w:val="0"/>
                  <w:marTop w:val="0"/>
                  <w:marBottom w:val="0"/>
                  <w:divBdr>
                    <w:top w:val="none" w:sz="0" w:space="0" w:color="auto"/>
                    <w:left w:val="none" w:sz="0" w:space="0" w:color="auto"/>
                    <w:bottom w:val="none" w:sz="0" w:space="0" w:color="auto"/>
                    <w:right w:val="none" w:sz="0" w:space="0" w:color="auto"/>
                  </w:divBdr>
                  <w:divsChild>
                    <w:div w:id="842089508">
                      <w:marLeft w:val="0"/>
                      <w:marRight w:val="0"/>
                      <w:marTop w:val="0"/>
                      <w:marBottom w:val="0"/>
                      <w:divBdr>
                        <w:top w:val="none" w:sz="0" w:space="0" w:color="auto"/>
                        <w:left w:val="none" w:sz="0" w:space="0" w:color="auto"/>
                        <w:bottom w:val="none" w:sz="0" w:space="0" w:color="auto"/>
                        <w:right w:val="none" w:sz="0" w:space="0" w:color="auto"/>
                      </w:divBdr>
                    </w:div>
                  </w:divsChild>
                </w:div>
                <w:div w:id="603923734">
                  <w:marLeft w:val="0"/>
                  <w:marRight w:val="0"/>
                  <w:marTop w:val="0"/>
                  <w:marBottom w:val="0"/>
                  <w:divBdr>
                    <w:top w:val="none" w:sz="0" w:space="0" w:color="auto"/>
                    <w:left w:val="none" w:sz="0" w:space="0" w:color="auto"/>
                    <w:bottom w:val="none" w:sz="0" w:space="0" w:color="auto"/>
                    <w:right w:val="none" w:sz="0" w:space="0" w:color="auto"/>
                  </w:divBdr>
                  <w:divsChild>
                    <w:div w:id="1603025738">
                      <w:marLeft w:val="0"/>
                      <w:marRight w:val="0"/>
                      <w:marTop w:val="0"/>
                      <w:marBottom w:val="0"/>
                      <w:divBdr>
                        <w:top w:val="none" w:sz="0" w:space="0" w:color="auto"/>
                        <w:left w:val="none" w:sz="0" w:space="0" w:color="auto"/>
                        <w:bottom w:val="none" w:sz="0" w:space="0" w:color="auto"/>
                        <w:right w:val="none" w:sz="0" w:space="0" w:color="auto"/>
                      </w:divBdr>
                    </w:div>
                  </w:divsChild>
                </w:div>
                <w:div w:id="638414543">
                  <w:marLeft w:val="0"/>
                  <w:marRight w:val="0"/>
                  <w:marTop w:val="0"/>
                  <w:marBottom w:val="0"/>
                  <w:divBdr>
                    <w:top w:val="none" w:sz="0" w:space="0" w:color="auto"/>
                    <w:left w:val="none" w:sz="0" w:space="0" w:color="auto"/>
                    <w:bottom w:val="none" w:sz="0" w:space="0" w:color="auto"/>
                    <w:right w:val="none" w:sz="0" w:space="0" w:color="auto"/>
                  </w:divBdr>
                  <w:divsChild>
                    <w:div w:id="1159930403">
                      <w:marLeft w:val="0"/>
                      <w:marRight w:val="0"/>
                      <w:marTop w:val="0"/>
                      <w:marBottom w:val="0"/>
                      <w:divBdr>
                        <w:top w:val="none" w:sz="0" w:space="0" w:color="auto"/>
                        <w:left w:val="none" w:sz="0" w:space="0" w:color="auto"/>
                        <w:bottom w:val="none" w:sz="0" w:space="0" w:color="auto"/>
                        <w:right w:val="none" w:sz="0" w:space="0" w:color="auto"/>
                      </w:divBdr>
                    </w:div>
                  </w:divsChild>
                </w:div>
                <w:div w:id="644241706">
                  <w:marLeft w:val="0"/>
                  <w:marRight w:val="0"/>
                  <w:marTop w:val="0"/>
                  <w:marBottom w:val="0"/>
                  <w:divBdr>
                    <w:top w:val="none" w:sz="0" w:space="0" w:color="auto"/>
                    <w:left w:val="none" w:sz="0" w:space="0" w:color="auto"/>
                    <w:bottom w:val="none" w:sz="0" w:space="0" w:color="auto"/>
                    <w:right w:val="none" w:sz="0" w:space="0" w:color="auto"/>
                  </w:divBdr>
                  <w:divsChild>
                    <w:div w:id="549420409">
                      <w:marLeft w:val="0"/>
                      <w:marRight w:val="0"/>
                      <w:marTop w:val="0"/>
                      <w:marBottom w:val="0"/>
                      <w:divBdr>
                        <w:top w:val="none" w:sz="0" w:space="0" w:color="auto"/>
                        <w:left w:val="none" w:sz="0" w:space="0" w:color="auto"/>
                        <w:bottom w:val="none" w:sz="0" w:space="0" w:color="auto"/>
                        <w:right w:val="none" w:sz="0" w:space="0" w:color="auto"/>
                      </w:divBdr>
                    </w:div>
                  </w:divsChild>
                </w:div>
                <w:div w:id="673848697">
                  <w:marLeft w:val="0"/>
                  <w:marRight w:val="0"/>
                  <w:marTop w:val="0"/>
                  <w:marBottom w:val="0"/>
                  <w:divBdr>
                    <w:top w:val="none" w:sz="0" w:space="0" w:color="auto"/>
                    <w:left w:val="none" w:sz="0" w:space="0" w:color="auto"/>
                    <w:bottom w:val="none" w:sz="0" w:space="0" w:color="auto"/>
                    <w:right w:val="none" w:sz="0" w:space="0" w:color="auto"/>
                  </w:divBdr>
                  <w:divsChild>
                    <w:div w:id="1831944998">
                      <w:marLeft w:val="0"/>
                      <w:marRight w:val="0"/>
                      <w:marTop w:val="0"/>
                      <w:marBottom w:val="0"/>
                      <w:divBdr>
                        <w:top w:val="none" w:sz="0" w:space="0" w:color="auto"/>
                        <w:left w:val="none" w:sz="0" w:space="0" w:color="auto"/>
                        <w:bottom w:val="none" w:sz="0" w:space="0" w:color="auto"/>
                        <w:right w:val="none" w:sz="0" w:space="0" w:color="auto"/>
                      </w:divBdr>
                    </w:div>
                  </w:divsChild>
                </w:div>
                <w:div w:id="685519332">
                  <w:marLeft w:val="0"/>
                  <w:marRight w:val="0"/>
                  <w:marTop w:val="0"/>
                  <w:marBottom w:val="0"/>
                  <w:divBdr>
                    <w:top w:val="none" w:sz="0" w:space="0" w:color="auto"/>
                    <w:left w:val="none" w:sz="0" w:space="0" w:color="auto"/>
                    <w:bottom w:val="none" w:sz="0" w:space="0" w:color="auto"/>
                    <w:right w:val="none" w:sz="0" w:space="0" w:color="auto"/>
                  </w:divBdr>
                  <w:divsChild>
                    <w:div w:id="109907099">
                      <w:marLeft w:val="0"/>
                      <w:marRight w:val="0"/>
                      <w:marTop w:val="0"/>
                      <w:marBottom w:val="0"/>
                      <w:divBdr>
                        <w:top w:val="none" w:sz="0" w:space="0" w:color="auto"/>
                        <w:left w:val="none" w:sz="0" w:space="0" w:color="auto"/>
                        <w:bottom w:val="none" w:sz="0" w:space="0" w:color="auto"/>
                        <w:right w:val="none" w:sz="0" w:space="0" w:color="auto"/>
                      </w:divBdr>
                    </w:div>
                  </w:divsChild>
                </w:div>
                <w:div w:id="697782924">
                  <w:marLeft w:val="0"/>
                  <w:marRight w:val="0"/>
                  <w:marTop w:val="0"/>
                  <w:marBottom w:val="0"/>
                  <w:divBdr>
                    <w:top w:val="none" w:sz="0" w:space="0" w:color="auto"/>
                    <w:left w:val="none" w:sz="0" w:space="0" w:color="auto"/>
                    <w:bottom w:val="none" w:sz="0" w:space="0" w:color="auto"/>
                    <w:right w:val="none" w:sz="0" w:space="0" w:color="auto"/>
                  </w:divBdr>
                  <w:divsChild>
                    <w:div w:id="485242388">
                      <w:marLeft w:val="0"/>
                      <w:marRight w:val="0"/>
                      <w:marTop w:val="0"/>
                      <w:marBottom w:val="0"/>
                      <w:divBdr>
                        <w:top w:val="none" w:sz="0" w:space="0" w:color="auto"/>
                        <w:left w:val="none" w:sz="0" w:space="0" w:color="auto"/>
                        <w:bottom w:val="none" w:sz="0" w:space="0" w:color="auto"/>
                        <w:right w:val="none" w:sz="0" w:space="0" w:color="auto"/>
                      </w:divBdr>
                    </w:div>
                  </w:divsChild>
                </w:div>
                <w:div w:id="704215804">
                  <w:marLeft w:val="0"/>
                  <w:marRight w:val="0"/>
                  <w:marTop w:val="0"/>
                  <w:marBottom w:val="0"/>
                  <w:divBdr>
                    <w:top w:val="none" w:sz="0" w:space="0" w:color="auto"/>
                    <w:left w:val="none" w:sz="0" w:space="0" w:color="auto"/>
                    <w:bottom w:val="none" w:sz="0" w:space="0" w:color="auto"/>
                    <w:right w:val="none" w:sz="0" w:space="0" w:color="auto"/>
                  </w:divBdr>
                  <w:divsChild>
                    <w:div w:id="718212108">
                      <w:marLeft w:val="0"/>
                      <w:marRight w:val="0"/>
                      <w:marTop w:val="0"/>
                      <w:marBottom w:val="0"/>
                      <w:divBdr>
                        <w:top w:val="none" w:sz="0" w:space="0" w:color="auto"/>
                        <w:left w:val="none" w:sz="0" w:space="0" w:color="auto"/>
                        <w:bottom w:val="none" w:sz="0" w:space="0" w:color="auto"/>
                        <w:right w:val="none" w:sz="0" w:space="0" w:color="auto"/>
                      </w:divBdr>
                    </w:div>
                  </w:divsChild>
                </w:div>
                <w:div w:id="709189328">
                  <w:marLeft w:val="0"/>
                  <w:marRight w:val="0"/>
                  <w:marTop w:val="0"/>
                  <w:marBottom w:val="0"/>
                  <w:divBdr>
                    <w:top w:val="none" w:sz="0" w:space="0" w:color="auto"/>
                    <w:left w:val="none" w:sz="0" w:space="0" w:color="auto"/>
                    <w:bottom w:val="none" w:sz="0" w:space="0" w:color="auto"/>
                    <w:right w:val="none" w:sz="0" w:space="0" w:color="auto"/>
                  </w:divBdr>
                  <w:divsChild>
                    <w:div w:id="211816290">
                      <w:marLeft w:val="0"/>
                      <w:marRight w:val="0"/>
                      <w:marTop w:val="0"/>
                      <w:marBottom w:val="0"/>
                      <w:divBdr>
                        <w:top w:val="none" w:sz="0" w:space="0" w:color="auto"/>
                        <w:left w:val="none" w:sz="0" w:space="0" w:color="auto"/>
                        <w:bottom w:val="none" w:sz="0" w:space="0" w:color="auto"/>
                        <w:right w:val="none" w:sz="0" w:space="0" w:color="auto"/>
                      </w:divBdr>
                    </w:div>
                  </w:divsChild>
                </w:div>
                <w:div w:id="719672525">
                  <w:marLeft w:val="0"/>
                  <w:marRight w:val="0"/>
                  <w:marTop w:val="0"/>
                  <w:marBottom w:val="0"/>
                  <w:divBdr>
                    <w:top w:val="none" w:sz="0" w:space="0" w:color="auto"/>
                    <w:left w:val="none" w:sz="0" w:space="0" w:color="auto"/>
                    <w:bottom w:val="none" w:sz="0" w:space="0" w:color="auto"/>
                    <w:right w:val="none" w:sz="0" w:space="0" w:color="auto"/>
                  </w:divBdr>
                  <w:divsChild>
                    <w:div w:id="45420586">
                      <w:marLeft w:val="0"/>
                      <w:marRight w:val="0"/>
                      <w:marTop w:val="0"/>
                      <w:marBottom w:val="0"/>
                      <w:divBdr>
                        <w:top w:val="none" w:sz="0" w:space="0" w:color="auto"/>
                        <w:left w:val="none" w:sz="0" w:space="0" w:color="auto"/>
                        <w:bottom w:val="none" w:sz="0" w:space="0" w:color="auto"/>
                        <w:right w:val="none" w:sz="0" w:space="0" w:color="auto"/>
                      </w:divBdr>
                    </w:div>
                  </w:divsChild>
                </w:div>
                <w:div w:id="726611723">
                  <w:marLeft w:val="0"/>
                  <w:marRight w:val="0"/>
                  <w:marTop w:val="0"/>
                  <w:marBottom w:val="0"/>
                  <w:divBdr>
                    <w:top w:val="none" w:sz="0" w:space="0" w:color="auto"/>
                    <w:left w:val="none" w:sz="0" w:space="0" w:color="auto"/>
                    <w:bottom w:val="none" w:sz="0" w:space="0" w:color="auto"/>
                    <w:right w:val="none" w:sz="0" w:space="0" w:color="auto"/>
                  </w:divBdr>
                  <w:divsChild>
                    <w:div w:id="540168852">
                      <w:marLeft w:val="0"/>
                      <w:marRight w:val="0"/>
                      <w:marTop w:val="0"/>
                      <w:marBottom w:val="0"/>
                      <w:divBdr>
                        <w:top w:val="none" w:sz="0" w:space="0" w:color="auto"/>
                        <w:left w:val="none" w:sz="0" w:space="0" w:color="auto"/>
                        <w:bottom w:val="none" w:sz="0" w:space="0" w:color="auto"/>
                        <w:right w:val="none" w:sz="0" w:space="0" w:color="auto"/>
                      </w:divBdr>
                    </w:div>
                  </w:divsChild>
                </w:div>
                <w:div w:id="777214079">
                  <w:marLeft w:val="0"/>
                  <w:marRight w:val="0"/>
                  <w:marTop w:val="0"/>
                  <w:marBottom w:val="0"/>
                  <w:divBdr>
                    <w:top w:val="none" w:sz="0" w:space="0" w:color="auto"/>
                    <w:left w:val="none" w:sz="0" w:space="0" w:color="auto"/>
                    <w:bottom w:val="none" w:sz="0" w:space="0" w:color="auto"/>
                    <w:right w:val="none" w:sz="0" w:space="0" w:color="auto"/>
                  </w:divBdr>
                  <w:divsChild>
                    <w:div w:id="1178469464">
                      <w:marLeft w:val="0"/>
                      <w:marRight w:val="0"/>
                      <w:marTop w:val="0"/>
                      <w:marBottom w:val="0"/>
                      <w:divBdr>
                        <w:top w:val="none" w:sz="0" w:space="0" w:color="auto"/>
                        <w:left w:val="none" w:sz="0" w:space="0" w:color="auto"/>
                        <w:bottom w:val="none" w:sz="0" w:space="0" w:color="auto"/>
                        <w:right w:val="none" w:sz="0" w:space="0" w:color="auto"/>
                      </w:divBdr>
                    </w:div>
                  </w:divsChild>
                </w:div>
                <w:div w:id="777406744">
                  <w:marLeft w:val="0"/>
                  <w:marRight w:val="0"/>
                  <w:marTop w:val="0"/>
                  <w:marBottom w:val="0"/>
                  <w:divBdr>
                    <w:top w:val="none" w:sz="0" w:space="0" w:color="auto"/>
                    <w:left w:val="none" w:sz="0" w:space="0" w:color="auto"/>
                    <w:bottom w:val="none" w:sz="0" w:space="0" w:color="auto"/>
                    <w:right w:val="none" w:sz="0" w:space="0" w:color="auto"/>
                  </w:divBdr>
                  <w:divsChild>
                    <w:div w:id="342557304">
                      <w:marLeft w:val="0"/>
                      <w:marRight w:val="0"/>
                      <w:marTop w:val="0"/>
                      <w:marBottom w:val="0"/>
                      <w:divBdr>
                        <w:top w:val="none" w:sz="0" w:space="0" w:color="auto"/>
                        <w:left w:val="none" w:sz="0" w:space="0" w:color="auto"/>
                        <w:bottom w:val="none" w:sz="0" w:space="0" w:color="auto"/>
                        <w:right w:val="none" w:sz="0" w:space="0" w:color="auto"/>
                      </w:divBdr>
                    </w:div>
                  </w:divsChild>
                </w:div>
                <w:div w:id="789327394">
                  <w:marLeft w:val="0"/>
                  <w:marRight w:val="0"/>
                  <w:marTop w:val="0"/>
                  <w:marBottom w:val="0"/>
                  <w:divBdr>
                    <w:top w:val="none" w:sz="0" w:space="0" w:color="auto"/>
                    <w:left w:val="none" w:sz="0" w:space="0" w:color="auto"/>
                    <w:bottom w:val="none" w:sz="0" w:space="0" w:color="auto"/>
                    <w:right w:val="none" w:sz="0" w:space="0" w:color="auto"/>
                  </w:divBdr>
                  <w:divsChild>
                    <w:div w:id="519659798">
                      <w:marLeft w:val="0"/>
                      <w:marRight w:val="0"/>
                      <w:marTop w:val="0"/>
                      <w:marBottom w:val="0"/>
                      <w:divBdr>
                        <w:top w:val="none" w:sz="0" w:space="0" w:color="auto"/>
                        <w:left w:val="none" w:sz="0" w:space="0" w:color="auto"/>
                        <w:bottom w:val="none" w:sz="0" w:space="0" w:color="auto"/>
                        <w:right w:val="none" w:sz="0" w:space="0" w:color="auto"/>
                      </w:divBdr>
                    </w:div>
                  </w:divsChild>
                </w:div>
                <w:div w:id="798494885">
                  <w:marLeft w:val="0"/>
                  <w:marRight w:val="0"/>
                  <w:marTop w:val="0"/>
                  <w:marBottom w:val="0"/>
                  <w:divBdr>
                    <w:top w:val="none" w:sz="0" w:space="0" w:color="auto"/>
                    <w:left w:val="none" w:sz="0" w:space="0" w:color="auto"/>
                    <w:bottom w:val="none" w:sz="0" w:space="0" w:color="auto"/>
                    <w:right w:val="none" w:sz="0" w:space="0" w:color="auto"/>
                  </w:divBdr>
                  <w:divsChild>
                    <w:div w:id="1756248690">
                      <w:marLeft w:val="0"/>
                      <w:marRight w:val="0"/>
                      <w:marTop w:val="0"/>
                      <w:marBottom w:val="0"/>
                      <w:divBdr>
                        <w:top w:val="none" w:sz="0" w:space="0" w:color="auto"/>
                        <w:left w:val="none" w:sz="0" w:space="0" w:color="auto"/>
                        <w:bottom w:val="none" w:sz="0" w:space="0" w:color="auto"/>
                        <w:right w:val="none" w:sz="0" w:space="0" w:color="auto"/>
                      </w:divBdr>
                    </w:div>
                  </w:divsChild>
                </w:div>
                <w:div w:id="812478939">
                  <w:marLeft w:val="0"/>
                  <w:marRight w:val="0"/>
                  <w:marTop w:val="0"/>
                  <w:marBottom w:val="0"/>
                  <w:divBdr>
                    <w:top w:val="none" w:sz="0" w:space="0" w:color="auto"/>
                    <w:left w:val="none" w:sz="0" w:space="0" w:color="auto"/>
                    <w:bottom w:val="none" w:sz="0" w:space="0" w:color="auto"/>
                    <w:right w:val="none" w:sz="0" w:space="0" w:color="auto"/>
                  </w:divBdr>
                  <w:divsChild>
                    <w:div w:id="1197042647">
                      <w:marLeft w:val="0"/>
                      <w:marRight w:val="0"/>
                      <w:marTop w:val="0"/>
                      <w:marBottom w:val="0"/>
                      <w:divBdr>
                        <w:top w:val="none" w:sz="0" w:space="0" w:color="auto"/>
                        <w:left w:val="none" w:sz="0" w:space="0" w:color="auto"/>
                        <w:bottom w:val="none" w:sz="0" w:space="0" w:color="auto"/>
                        <w:right w:val="none" w:sz="0" w:space="0" w:color="auto"/>
                      </w:divBdr>
                    </w:div>
                  </w:divsChild>
                </w:div>
                <w:div w:id="869608993">
                  <w:marLeft w:val="0"/>
                  <w:marRight w:val="0"/>
                  <w:marTop w:val="0"/>
                  <w:marBottom w:val="0"/>
                  <w:divBdr>
                    <w:top w:val="none" w:sz="0" w:space="0" w:color="auto"/>
                    <w:left w:val="none" w:sz="0" w:space="0" w:color="auto"/>
                    <w:bottom w:val="none" w:sz="0" w:space="0" w:color="auto"/>
                    <w:right w:val="none" w:sz="0" w:space="0" w:color="auto"/>
                  </w:divBdr>
                  <w:divsChild>
                    <w:div w:id="2099518837">
                      <w:marLeft w:val="0"/>
                      <w:marRight w:val="0"/>
                      <w:marTop w:val="0"/>
                      <w:marBottom w:val="0"/>
                      <w:divBdr>
                        <w:top w:val="none" w:sz="0" w:space="0" w:color="auto"/>
                        <w:left w:val="none" w:sz="0" w:space="0" w:color="auto"/>
                        <w:bottom w:val="none" w:sz="0" w:space="0" w:color="auto"/>
                        <w:right w:val="none" w:sz="0" w:space="0" w:color="auto"/>
                      </w:divBdr>
                    </w:div>
                  </w:divsChild>
                </w:div>
                <w:div w:id="889224930">
                  <w:marLeft w:val="0"/>
                  <w:marRight w:val="0"/>
                  <w:marTop w:val="0"/>
                  <w:marBottom w:val="0"/>
                  <w:divBdr>
                    <w:top w:val="none" w:sz="0" w:space="0" w:color="auto"/>
                    <w:left w:val="none" w:sz="0" w:space="0" w:color="auto"/>
                    <w:bottom w:val="none" w:sz="0" w:space="0" w:color="auto"/>
                    <w:right w:val="none" w:sz="0" w:space="0" w:color="auto"/>
                  </w:divBdr>
                  <w:divsChild>
                    <w:div w:id="1266383632">
                      <w:marLeft w:val="0"/>
                      <w:marRight w:val="0"/>
                      <w:marTop w:val="0"/>
                      <w:marBottom w:val="0"/>
                      <w:divBdr>
                        <w:top w:val="none" w:sz="0" w:space="0" w:color="auto"/>
                        <w:left w:val="none" w:sz="0" w:space="0" w:color="auto"/>
                        <w:bottom w:val="none" w:sz="0" w:space="0" w:color="auto"/>
                        <w:right w:val="none" w:sz="0" w:space="0" w:color="auto"/>
                      </w:divBdr>
                    </w:div>
                  </w:divsChild>
                </w:div>
                <w:div w:id="902562221">
                  <w:marLeft w:val="0"/>
                  <w:marRight w:val="0"/>
                  <w:marTop w:val="0"/>
                  <w:marBottom w:val="0"/>
                  <w:divBdr>
                    <w:top w:val="none" w:sz="0" w:space="0" w:color="auto"/>
                    <w:left w:val="none" w:sz="0" w:space="0" w:color="auto"/>
                    <w:bottom w:val="none" w:sz="0" w:space="0" w:color="auto"/>
                    <w:right w:val="none" w:sz="0" w:space="0" w:color="auto"/>
                  </w:divBdr>
                  <w:divsChild>
                    <w:div w:id="220529272">
                      <w:marLeft w:val="0"/>
                      <w:marRight w:val="0"/>
                      <w:marTop w:val="0"/>
                      <w:marBottom w:val="0"/>
                      <w:divBdr>
                        <w:top w:val="none" w:sz="0" w:space="0" w:color="auto"/>
                        <w:left w:val="none" w:sz="0" w:space="0" w:color="auto"/>
                        <w:bottom w:val="none" w:sz="0" w:space="0" w:color="auto"/>
                        <w:right w:val="none" w:sz="0" w:space="0" w:color="auto"/>
                      </w:divBdr>
                    </w:div>
                  </w:divsChild>
                </w:div>
                <w:div w:id="942879868">
                  <w:marLeft w:val="0"/>
                  <w:marRight w:val="0"/>
                  <w:marTop w:val="0"/>
                  <w:marBottom w:val="0"/>
                  <w:divBdr>
                    <w:top w:val="none" w:sz="0" w:space="0" w:color="auto"/>
                    <w:left w:val="none" w:sz="0" w:space="0" w:color="auto"/>
                    <w:bottom w:val="none" w:sz="0" w:space="0" w:color="auto"/>
                    <w:right w:val="none" w:sz="0" w:space="0" w:color="auto"/>
                  </w:divBdr>
                  <w:divsChild>
                    <w:div w:id="229387952">
                      <w:marLeft w:val="0"/>
                      <w:marRight w:val="0"/>
                      <w:marTop w:val="0"/>
                      <w:marBottom w:val="0"/>
                      <w:divBdr>
                        <w:top w:val="none" w:sz="0" w:space="0" w:color="auto"/>
                        <w:left w:val="none" w:sz="0" w:space="0" w:color="auto"/>
                        <w:bottom w:val="none" w:sz="0" w:space="0" w:color="auto"/>
                        <w:right w:val="none" w:sz="0" w:space="0" w:color="auto"/>
                      </w:divBdr>
                    </w:div>
                  </w:divsChild>
                </w:div>
                <w:div w:id="947003132">
                  <w:marLeft w:val="0"/>
                  <w:marRight w:val="0"/>
                  <w:marTop w:val="0"/>
                  <w:marBottom w:val="0"/>
                  <w:divBdr>
                    <w:top w:val="none" w:sz="0" w:space="0" w:color="auto"/>
                    <w:left w:val="none" w:sz="0" w:space="0" w:color="auto"/>
                    <w:bottom w:val="none" w:sz="0" w:space="0" w:color="auto"/>
                    <w:right w:val="none" w:sz="0" w:space="0" w:color="auto"/>
                  </w:divBdr>
                  <w:divsChild>
                    <w:div w:id="1242178404">
                      <w:marLeft w:val="0"/>
                      <w:marRight w:val="0"/>
                      <w:marTop w:val="0"/>
                      <w:marBottom w:val="0"/>
                      <w:divBdr>
                        <w:top w:val="none" w:sz="0" w:space="0" w:color="auto"/>
                        <w:left w:val="none" w:sz="0" w:space="0" w:color="auto"/>
                        <w:bottom w:val="none" w:sz="0" w:space="0" w:color="auto"/>
                        <w:right w:val="none" w:sz="0" w:space="0" w:color="auto"/>
                      </w:divBdr>
                    </w:div>
                  </w:divsChild>
                </w:div>
                <w:div w:id="968635188">
                  <w:marLeft w:val="0"/>
                  <w:marRight w:val="0"/>
                  <w:marTop w:val="0"/>
                  <w:marBottom w:val="0"/>
                  <w:divBdr>
                    <w:top w:val="none" w:sz="0" w:space="0" w:color="auto"/>
                    <w:left w:val="none" w:sz="0" w:space="0" w:color="auto"/>
                    <w:bottom w:val="none" w:sz="0" w:space="0" w:color="auto"/>
                    <w:right w:val="none" w:sz="0" w:space="0" w:color="auto"/>
                  </w:divBdr>
                  <w:divsChild>
                    <w:div w:id="897321609">
                      <w:marLeft w:val="0"/>
                      <w:marRight w:val="0"/>
                      <w:marTop w:val="0"/>
                      <w:marBottom w:val="0"/>
                      <w:divBdr>
                        <w:top w:val="none" w:sz="0" w:space="0" w:color="auto"/>
                        <w:left w:val="none" w:sz="0" w:space="0" w:color="auto"/>
                        <w:bottom w:val="none" w:sz="0" w:space="0" w:color="auto"/>
                        <w:right w:val="none" w:sz="0" w:space="0" w:color="auto"/>
                      </w:divBdr>
                    </w:div>
                  </w:divsChild>
                </w:div>
                <w:div w:id="1001154162">
                  <w:marLeft w:val="0"/>
                  <w:marRight w:val="0"/>
                  <w:marTop w:val="0"/>
                  <w:marBottom w:val="0"/>
                  <w:divBdr>
                    <w:top w:val="none" w:sz="0" w:space="0" w:color="auto"/>
                    <w:left w:val="none" w:sz="0" w:space="0" w:color="auto"/>
                    <w:bottom w:val="none" w:sz="0" w:space="0" w:color="auto"/>
                    <w:right w:val="none" w:sz="0" w:space="0" w:color="auto"/>
                  </w:divBdr>
                  <w:divsChild>
                    <w:div w:id="1308629065">
                      <w:marLeft w:val="0"/>
                      <w:marRight w:val="0"/>
                      <w:marTop w:val="0"/>
                      <w:marBottom w:val="0"/>
                      <w:divBdr>
                        <w:top w:val="none" w:sz="0" w:space="0" w:color="auto"/>
                        <w:left w:val="none" w:sz="0" w:space="0" w:color="auto"/>
                        <w:bottom w:val="none" w:sz="0" w:space="0" w:color="auto"/>
                        <w:right w:val="none" w:sz="0" w:space="0" w:color="auto"/>
                      </w:divBdr>
                    </w:div>
                  </w:divsChild>
                </w:div>
                <w:div w:id="1056395355">
                  <w:marLeft w:val="0"/>
                  <w:marRight w:val="0"/>
                  <w:marTop w:val="0"/>
                  <w:marBottom w:val="0"/>
                  <w:divBdr>
                    <w:top w:val="none" w:sz="0" w:space="0" w:color="auto"/>
                    <w:left w:val="none" w:sz="0" w:space="0" w:color="auto"/>
                    <w:bottom w:val="none" w:sz="0" w:space="0" w:color="auto"/>
                    <w:right w:val="none" w:sz="0" w:space="0" w:color="auto"/>
                  </w:divBdr>
                  <w:divsChild>
                    <w:div w:id="185558455">
                      <w:marLeft w:val="0"/>
                      <w:marRight w:val="0"/>
                      <w:marTop w:val="0"/>
                      <w:marBottom w:val="0"/>
                      <w:divBdr>
                        <w:top w:val="none" w:sz="0" w:space="0" w:color="auto"/>
                        <w:left w:val="none" w:sz="0" w:space="0" w:color="auto"/>
                        <w:bottom w:val="none" w:sz="0" w:space="0" w:color="auto"/>
                        <w:right w:val="none" w:sz="0" w:space="0" w:color="auto"/>
                      </w:divBdr>
                    </w:div>
                  </w:divsChild>
                </w:div>
                <w:div w:id="1076442057">
                  <w:marLeft w:val="0"/>
                  <w:marRight w:val="0"/>
                  <w:marTop w:val="0"/>
                  <w:marBottom w:val="0"/>
                  <w:divBdr>
                    <w:top w:val="none" w:sz="0" w:space="0" w:color="auto"/>
                    <w:left w:val="none" w:sz="0" w:space="0" w:color="auto"/>
                    <w:bottom w:val="none" w:sz="0" w:space="0" w:color="auto"/>
                    <w:right w:val="none" w:sz="0" w:space="0" w:color="auto"/>
                  </w:divBdr>
                  <w:divsChild>
                    <w:div w:id="5716457">
                      <w:marLeft w:val="0"/>
                      <w:marRight w:val="0"/>
                      <w:marTop w:val="0"/>
                      <w:marBottom w:val="0"/>
                      <w:divBdr>
                        <w:top w:val="none" w:sz="0" w:space="0" w:color="auto"/>
                        <w:left w:val="none" w:sz="0" w:space="0" w:color="auto"/>
                        <w:bottom w:val="none" w:sz="0" w:space="0" w:color="auto"/>
                        <w:right w:val="none" w:sz="0" w:space="0" w:color="auto"/>
                      </w:divBdr>
                    </w:div>
                  </w:divsChild>
                </w:div>
                <w:div w:id="1080448367">
                  <w:marLeft w:val="0"/>
                  <w:marRight w:val="0"/>
                  <w:marTop w:val="0"/>
                  <w:marBottom w:val="0"/>
                  <w:divBdr>
                    <w:top w:val="none" w:sz="0" w:space="0" w:color="auto"/>
                    <w:left w:val="none" w:sz="0" w:space="0" w:color="auto"/>
                    <w:bottom w:val="none" w:sz="0" w:space="0" w:color="auto"/>
                    <w:right w:val="none" w:sz="0" w:space="0" w:color="auto"/>
                  </w:divBdr>
                  <w:divsChild>
                    <w:div w:id="1338196494">
                      <w:marLeft w:val="0"/>
                      <w:marRight w:val="0"/>
                      <w:marTop w:val="0"/>
                      <w:marBottom w:val="0"/>
                      <w:divBdr>
                        <w:top w:val="none" w:sz="0" w:space="0" w:color="auto"/>
                        <w:left w:val="none" w:sz="0" w:space="0" w:color="auto"/>
                        <w:bottom w:val="none" w:sz="0" w:space="0" w:color="auto"/>
                        <w:right w:val="none" w:sz="0" w:space="0" w:color="auto"/>
                      </w:divBdr>
                    </w:div>
                  </w:divsChild>
                </w:div>
                <w:div w:id="1108625606">
                  <w:marLeft w:val="0"/>
                  <w:marRight w:val="0"/>
                  <w:marTop w:val="0"/>
                  <w:marBottom w:val="0"/>
                  <w:divBdr>
                    <w:top w:val="none" w:sz="0" w:space="0" w:color="auto"/>
                    <w:left w:val="none" w:sz="0" w:space="0" w:color="auto"/>
                    <w:bottom w:val="none" w:sz="0" w:space="0" w:color="auto"/>
                    <w:right w:val="none" w:sz="0" w:space="0" w:color="auto"/>
                  </w:divBdr>
                  <w:divsChild>
                    <w:div w:id="1469325840">
                      <w:marLeft w:val="0"/>
                      <w:marRight w:val="0"/>
                      <w:marTop w:val="0"/>
                      <w:marBottom w:val="0"/>
                      <w:divBdr>
                        <w:top w:val="none" w:sz="0" w:space="0" w:color="auto"/>
                        <w:left w:val="none" w:sz="0" w:space="0" w:color="auto"/>
                        <w:bottom w:val="none" w:sz="0" w:space="0" w:color="auto"/>
                        <w:right w:val="none" w:sz="0" w:space="0" w:color="auto"/>
                      </w:divBdr>
                    </w:div>
                  </w:divsChild>
                </w:div>
                <w:div w:id="1126198460">
                  <w:marLeft w:val="0"/>
                  <w:marRight w:val="0"/>
                  <w:marTop w:val="0"/>
                  <w:marBottom w:val="0"/>
                  <w:divBdr>
                    <w:top w:val="none" w:sz="0" w:space="0" w:color="auto"/>
                    <w:left w:val="none" w:sz="0" w:space="0" w:color="auto"/>
                    <w:bottom w:val="none" w:sz="0" w:space="0" w:color="auto"/>
                    <w:right w:val="none" w:sz="0" w:space="0" w:color="auto"/>
                  </w:divBdr>
                  <w:divsChild>
                    <w:div w:id="596982109">
                      <w:marLeft w:val="0"/>
                      <w:marRight w:val="0"/>
                      <w:marTop w:val="0"/>
                      <w:marBottom w:val="0"/>
                      <w:divBdr>
                        <w:top w:val="none" w:sz="0" w:space="0" w:color="auto"/>
                        <w:left w:val="none" w:sz="0" w:space="0" w:color="auto"/>
                        <w:bottom w:val="none" w:sz="0" w:space="0" w:color="auto"/>
                        <w:right w:val="none" w:sz="0" w:space="0" w:color="auto"/>
                      </w:divBdr>
                    </w:div>
                  </w:divsChild>
                </w:div>
                <w:div w:id="1163199200">
                  <w:marLeft w:val="0"/>
                  <w:marRight w:val="0"/>
                  <w:marTop w:val="0"/>
                  <w:marBottom w:val="0"/>
                  <w:divBdr>
                    <w:top w:val="none" w:sz="0" w:space="0" w:color="auto"/>
                    <w:left w:val="none" w:sz="0" w:space="0" w:color="auto"/>
                    <w:bottom w:val="none" w:sz="0" w:space="0" w:color="auto"/>
                    <w:right w:val="none" w:sz="0" w:space="0" w:color="auto"/>
                  </w:divBdr>
                  <w:divsChild>
                    <w:div w:id="25953949">
                      <w:marLeft w:val="0"/>
                      <w:marRight w:val="0"/>
                      <w:marTop w:val="0"/>
                      <w:marBottom w:val="0"/>
                      <w:divBdr>
                        <w:top w:val="none" w:sz="0" w:space="0" w:color="auto"/>
                        <w:left w:val="none" w:sz="0" w:space="0" w:color="auto"/>
                        <w:bottom w:val="none" w:sz="0" w:space="0" w:color="auto"/>
                        <w:right w:val="none" w:sz="0" w:space="0" w:color="auto"/>
                      </w:divBdr>
                    </w:div>
                  </w:divsChild>
                </w:div>
                <w:div w:id="1184628842">
                  <w:marLeft w:val="0"/>
                  <w:marRight w:val="0"/>
                  <w:marTop w:val="0"/>
                  <w:marBottom w:val="0"/>
                  <w:divBdr>
                    <w:top w:val="none" w:sz="0" w:space="0" w:color="auto"/>
                    <w:left w:val="none" w:sz="0" w:space="0" w:color="auto"/>
                    <w:bottom w:val="none" w:sz="0" w:space="0" w:color="auto"/>
                    <w:right w:val="none" w:sz="0" w:space="0" w:color="auto"/>
                  </w:divBdr>
                  <w:divsChild>
                    <w:div w:id="1337614465">
                      <w:marLeft w:val="0"/>
                      <w:marRight w:val="0"/>
                      <w:marTop w:val="0"/>
                      <w:marBottom w:val="0"/>
                      <w:divBdr>
                        <w:top w:val="none" w:sz="0" w:space="0" w:color="auto"/>
                        <w:left w:val="none" w:sz="0" w:space="0" w:color="auto"/>
                        <w:bottom w:val="none" w:sz="0" w:space="0" w:color="auto"/>
                        <w:right w:val="none" w:sz="0" w:space="0" w:color="auto"/>
                      </w:divBdr>
                    </w:div>
                  </w:divsChild>
                </w:div>
                <w:div w:id="1244341271">
                  <w:marLeft w:val="0"/>
                  <w:marRight w:val="0"/>
                  <w:marTop w:val="0"/>
                  <w:marBottom w:val="0"/>
                  <w:divBdr>
                    <w:top w:val="none" w:sz="0" w:space="0" w:color="auto"/>
                    <w:left w:val="none" w:sz="0" w:space="0" w:color="auto"/>
                    <w:bottom w:val="none" w:sz="0" w:space="0" w:color="auto"/>
                    <w:right w:val="none" w:sz="0" w:space="0" w:color="auto"/>
                  </w:divBdr>
                  <w:divsChild>
                    <w:div w:id="2041124043">
                      <w:marLeft w:val="0"/>
                      <w:marRight w:val="0"/>
                      <w:marTop w:val="0"/>
                      <w:marBottom w:val="0"/>
                      <w:divBdr>
                        <w:top w:val="none" w:sz="0" w:space="0" w:color="auto"/>
                        <w:left w:val="none" w:sz="0" w:space="0" w:color="auto"/>
                        <w:bottom w:val="none" w:sz="0" w:space="0" w:color="auto"/>
                        <w:right w:val="none" w:sz="0" w:space="0" w:color="auto"/>
                      </w:divBdr>
                    </w:div>
                  </w:divsChild>
                </w:div>
                <w:div w:id="1254314430">
                  <w:marLeft w:val="0"/>
                  <w:marRight w:val="0"/>
                  <w:marTop w:val="0"/>
                  <w:marBottom w:val="0"/>
                  <w:divBdr>
                    <w:top w:val="none" w:sz="0" w:space="0" w:color="auto"/>
                    <w:left w:val="none" w:sz="0" w:space="0" w:color="auto"/>
                    <w:bottom w:val="none" w:sz="0" w:space="0" w:color="auto"/>
                    <w:right w:val="none" w:sz="0" w:space="0" w:color="auto"/>
                  </w:divBdr>
                  <w:divsChild>
                    <w:div w:id="1796633373">
                      <w:marLeft w:val="0"/>
                      <w:marRight w:val="0"/>
                      <w:marTop w:val="0"/>
                      <w:marBottom w:val="0"/>
                      <w:divBdr>
                        <w:top w:val="none" w:sz="0" w:space="0" w:color="auto"/>
                        <w:left w:val="none" w:sz="0" w:space="0" w:color="auto"/>
                        <w:bottom w:val="none" w:sz="0" w:space="0" w:color="auto"/>
                        <w:right w:val="none" w:sz="0" w:space="0" w:color="auto"/>
                      </w:divBdr>
                    </w:div>
                  </w:divsChild>
                </w:div>
                <w:div w:id="1277172714">
                  <w:marLeft w:val="0"/>
                  <w:marRight w:val="0"/>
                  <w:marTop w:val="0"/>
                  <w:marBottom w:val="0"/>
                  <w:divBdr>
                    <w:top w:val="none" w:sz="0" w:space="0" w:color="auto"/>
                    <w:left w:val="none" w:sz="0" w:space="0" w:color="auto"/>
                    <w:bottom w:val="none" w:sz="0" w:space="0" w:color="auto"/>
                    <w:right w:val="none" w:sz="0" w:space="0" w:color="auto"/>
                  </w:divBdr>
                  <w:divsChild>
                    <w:div w:id="1409040013">
                      <w:marLeft w:val="0"/>
                      <w:marRight w:val="0"/>
                      <w:marTop w:val="0"/>
                      <w:marBottom w:val="0"/>
                      <w:divBdr>
                        <w:top w:val="none" w:sz="0" w:space="0" w:color="auto"/>
                        <w:left w:val="none" w:sz="0" w:space="0" w:color="auto"/>
                        <w:bottom w:val="none" w:sz="0" w:space="0" w:color="auto"/>
                        <w:right w:val="none" w:sz="0" w:space="0" w:color="auto"/>
                      </w:divBdr>
                    </w:div>
                  </w:divsChild>
                </w:div>
                <w:div w:id="1289429107">
                  <w:marLeft w:val="0"/>
                  <w:marRight w:val="0"/>
                  <w:marTop w:val="0"/>
                  <w:marBottom w:val="0"/>
                  <w:divBdr>
                    <w:top w:val="none" w:sz="0" w:space="0" w:color="auto"/>
                    <w:left w:val="none" w:sz="0" w:space="0" w:color="auto"/>
                    <w:bottom w:val="none" w:sz="0" w:space="0" w:color="auto"/>
                    <w:right w:val="none" w:sz="0" w:space="0" w:color="auto"/>
                  </w:divBdr>
                  <w:divsChild>
                    <w:div w:id="203566766">
                      <w:marLeft w:val="0"/>
                      <w:marRight w:val="0"/>
                      <w:marTop w:val="0"/>
                      <w:marBottom w:val="0"/>
                      <w:divBdr>
                        <w:top w:val="none" w:sz="0" w:space="0" w:color="auto"/>
                        <w:left w:val="none" w:sz="0" w:space="0" w:color="auto"/>
                        <w:bottom w:val="none" w:sz="0" w:space="0" w:color="auto"/>
                        <w:right w:val="none" w:sz="0" w:space="0" w:color="auto"/>
                      </w:divBdr>
                    </w:div>
                  </w:divsChild>
                </w:div>
                <w:div w:id="1292442141">
                  <w:marLeft w:val="0"/>
                  <w:marRight w:val="0"/>
                  <w:marTop w:val="0"/>
                  <w:marBottom w:val="0"/>
                  <w:divBdr>
                    <w:top w:val="none" w:sz="0" w:space="0" w:color="auto"/>
                    <w:left w:val="none" w:sz="0" w:space="0" w:color="auto"/>
                    <w:bottom w:val="none" w:sz="0" w:space="0" w:color="auto"/>
                    <w:right w:val="none" w:sz="0" w:space="0" w:color="auto"/>
                  </w:divBdr>
                  <w:divsChild>
                    <w:div w:id="596598749">
                      <w:marLeft w:val="0"/>
                      <w:marRight w:val="0"/>
                      <w:marTop w:val="0"/>
                      <w:marBottom w:val="0"/>
                      <w:divBdr>
                        <w:top w:val="none" w:sz="0" w:space="0" w:color="auto"/>
                        <w:left w:val="none" w:sz="0" w:space="0" w:color="auto"/>
                        <w:bottom w:val="none" w:sz="0" w:space="0" w:color="auto"/>
                        <w:right w:val="none" w:sz="0" w:space="0" w:color="auto"/>
                      </w:divBdr>
                    </w:div>
                  </w:divsChild>
                </w:div>
                <w:div w:id="1322781460">
                  <w:marLeft w:val="0"/>
                  <w:marRight w:val="0"/>
                  <w:marTop w:val="0"/>
                  <w:marBottom w:val="0"/>
                  <w:divBdr>
                    <w:top w:val="none" w:sz="0" w:space="0" w:color="auto"/>
                    <w:left w:val="none" w:sz="0" w:space="0" w:color="auto"/>
                    <w:bottom w:val="none" w:sz="0" w:space="0" w:color="auto"/>
                    <w:right w:val="none" w:sz="0" w:space="0" w:color="auto"/>
                  </w:divBdr>
                  <w:divsChild>
                    <w:div w:id="1743480121">
                      <w:marLeft w:val="0"/>
                      <w:marRight w:val="0"/>
                      <w:marTop w:val="0"/>
                      <w:marBottom w:val="0"/>
                      <w:divBdr>
                        <w:top w:val="none" w:sz="0" w:space="0" w:color="auto"/>
                        <w:left w:val="none" w:sz="0" w:space="0" w:color="auto"/>
                        <w:bottom w:val="none" w:sz="0" w:space="0" w:color="auto"/>
                        <w:right w:val="none" w:sz="0" w:space="0" w:color="auto"/>
                      </w:divBdr>
                    </w:div>
                  </w:divsChild>
                </w:div>
                <w:div w:id="1343358952">
                  <w:marLeft w:val="0"/>
                  <w:marRight w:val="0"/>
                  <w:marTop w:val="0"/>
                  <w:marBottom w:val="0"/>
                  <w:divBdr>
                    <w:top w:val="none" w:sz="0" w:space="0" w:color="auto"/>
                    <w:left w:val="none" w:sz="0" w:space="0" w:color="auto"/>
                    <w:bottom w:val="none" w:sz="0" w:space="0" w:color="auto"/>
                    <w:right w:val="none" w:sz="0" w:space="0" w:color="auto"/>
                  </w:divBdr>
                  <w:divsChild>
                    <w:div w:id="1183202514">
                      <w:marLeft w:val="0"/>
                      <w:marRight w:val="0"/>
                      <w:marTop w:val="0"/>
                      <w:marBottom w:val="0"/>
                      <w:divBdr>
                        <w:top w:val="none" w:sz="0" w:space="0" w:color="auto"/>
                        <w:left w:val="none" w:sz="0" w:space="0" w:color="auto"/>
                        <w:bottom w:val="none" w:sz="0" w:space="0" w:color="auto"/>
                        <w:right w:val="none" w:sz="0" w:space="0" w:color="auto"/>
                      </w:divBdr>
                    </w:div>
                  </w:divsChild>
                </w:div>
                <w:div w:id="1343623626">
                  <w:marLeft w:val="0"/>
                  <w:marRight w:val="0"/>
                  <w:marTop w:val="0"/>
                  <w:marBottom w:val="0"/>
                  <w:divBdr>
                    <w:top w:val="none" w:sz="0" w:space="0" w:color="auto"/>
                    <w:left w:val="none" w:sz="0" w:space="0" w:color="auto"/>
                    <w:bottom w:val="none" w:sz="0" w:space="0" w:color="auto"/>
                    <w:right w:val="none" w:sz="0" w:space="0" w:color="auto"/>
                  </w:divBdr>
                  <w:divsChild>
                    <w:div w:id="662121177">
                      <w:marLeft w:val="0"/>
                      <w:marRight w:val="0"/>
                      <w:marTop w:val="0"/>
                      <w:marBottom w:val="0"/>
                      <w:divBdr>
                        <w:top w:val="none" w:sz="0" w:space="0" w:color="auto"/>
                        <w:left w:val="none" w:sz="0" w:space="0" w:color="auto"/>
                        <w:bottom w:val="none" w:sz="0" w:space="0" w:color="auto"/>
                        <w:right w:val="none" w:sz="0" w:space="0" w:color="auto"/>
                      </w:divBdr>
                    </w:div>
                  </w:divsChild>
                </w:div>
                <w:div w:id="1348756884">
                  <w:marLeft w:val="0"/>
                  <w:marRight w:val="0"/>
                  <w:marTop w:val="0"/>
                  <w:marBottom w:val="0"/>
                  <w:divBdr>
                    <w:top w:val="none" w:sz="0" w:space="0" w:color="auto"/>
                    <w:left w:val="none" w:sz="0" w:space="0" w:color="auto"/>
                    <w:bottom w:val="none" w:sz="0" w:space="0" w:color="auto"/>
                    <w:right w:val="none" w:sz="0" w:space="0" w:color="auto"/>
                  </w:divBdr>
                  <w:divsChild>
                    <w:div w:id="187573042">
                      <w:marLeft w:val="0"/>
                      <w:marRight w:val="0"/>
                      <w:marTop w:val="0"/>
                      <w:marBottom w:val="0"/>
                      <w:divBdr>
                        <w:top w:val="none" w:sz="0" w:space="0" w:color="auto"/>
                        <w:left w:val="none" w:sz="0" w:space="0" w:color="auto"/>
                        <w:bottom w:val="none" w:sz="0" w:space="0" w:color="auto"/>
                        <w:right w:val="none" w:sz="0" w:space="0" w:color="auto"/>
                      </w:divBdr>
                    </w:div>
                  </w:divsChild>
                </w:div>
                <w:div w:id="1351835762">
                  <w:marLeft w:val="0"/>
                  <w:marRight w:val="0"/>
                  <w:marTop w:val="0"/>
                  <w:marBottom w:val="0"/>
                  <w:divBdr>
                    <w:top w:val="none" w:sz="0" w:space="0" w:color="auto"/>
                    <w:left w:val="none" w:sz="0" w:space="0" w:color="auto"/>
                    <w:bottom w:val="none" w:sz="0" w:space="0" w:color="auto"/>
                    <w:right w:val="none" w:sz="0" w:space="0" w:color="auto"/>
                  </w:divBdr>
                  <w:divsChild>
                    <w:div w:id="1920745208">
                      <w:marLeft w:val="0"/>
                      <w:marRight w:val="0"/>
                      <w:marTop w:val="0"/>
                      <w:marBottom w:val="0"/>
                      <w:divBdr>
                        <w:top w:val="none" w:sz="0" w:space="0" w:color="auto"/>
                        <w:left w:val="none" w:sz="0" w:space="0" w:color="auto"/>
                        <w:bottom w:val="none" w:sz="0" w:space="0" w:color="auto"/>
                        <w:right w:val="none" w:sz="0" w:space="0" w:color="auto"/>
                      </w:divBdr>
                    </w:div>
                  </w:divsChild>
                </w:div>
                <w:div w:id="1359357828">
                  <w:marLeft w:val="0"/>
                  <w:marRight w:val="0"/>
                  <w:marTop w:val="0"/>
                  <w:marBottom w:val="0"/>
                  <w:divBdr>
                    <w:top w:val="none" w:sz="0" w:space="0" w:color="auto"/>
                    <w:left w:val="none" w:sz="0" w:space="0" w:color="auto"/>
                    <w:bottom w:val="none" w:sz="0" w:space="0" w:color="auto"/>
                    <w:right w:val="none" w:sz="0" w:space="0" w:color="auto"/>
                  </w:divBdr>
                  <w:divsChild>
                    <w:div w:id="308217128">
                      <w:marLeft w:val="0"/>
                      <w:marRight w:val="0"/>
                      <w:marTop w:val="0"/>
                      <w:marBottom w:val="0"/>
                      <w:divBdr>
                        <w:top w:val="none" w:sz="0" w:space="0" w:color="auto"/>
                        <w:left w:val="none" w:sz="0" w:space="0" w:color="auto"/>
                        <w:bottom w:val="none" w:sz="0" w:space="0" w:color="auto"/>
                        <w:right w:val="none" w:sz="0" w:space="0" w:color="auto"/>
                      </w:divBdr>
                    </w:div>
                  </w:divsChild>
                </w:div>
                <w:div w:id="1366297452">
                  <w:marLeft w:val="0"/>
                  <w:marRight w:val="0"/>
                  <w:marTop w:val="0"/>
                  <w:marBottom w:val="0"/>
                  <w:divBdr>
                    <w:top w:val="none" w:sz="0" w:space="0" w:color="auto"/>
                    <w:left w:val="none" w:sz="0" w:space="0" w:color="auto"/>
                    <w:bottom w:val="none" w:sz="0" w:space="0" w:color="auto"/>
                    <w:right w:val="none" w:sz="0" w:space="0" w:color="auto"/>
                  </w:divBdr>
                  <w:divsChild>
                    <w:div w:id="994912638">
                      <w:marLeft w:val="0"/>
                      <w:marRight w:val="0"/>
                      <w:marTop w:val="0"/>
                      <w:marBottom w:val="0"/>
                      <w:divBdr>
                        <w:top w:val="none" w:sz="0" w:space="0" w:color="auto"/>
                        <w:left w:val="none" w:sz="0" w:space="0" w:color="auto"/>
                        <w:bottom w:val="none" w:sz="0" w:space="0" w:color="auto"/>
                        <w:right w:val="none" w:sz="0" w:space="0" w:color="auto"/>
                      </w:divBdr>
                    </w:div>
                  </w:divsChild>
                </w:div>
                <w:div w:id="1401752560">
                  <w:marLeft w:val="0"/>
                  <w:marRight w:val="0"/>
                  <w:marTop w:val="0"/>
                  <w:marBottom w:val="0"/>
                  <w:divBdr>
                    <w:top w:val="none" w:sz="0" w:space="0" w:color="auto"/>
                    <w:left w:val="none" w:sz="0" w:space="0" w:color="auto"/>
                    <w:bottom w:val="none" w:sz="0" w:space="0" w:color="auto"/>
                    <w:right w:val="none" w:sz="0" w:space="0" w:color="auto"/>
                  </w:divBdr>
                  <w:divsChild>
                    <w:div w:id="1676300773">
                      <w:marLeft w:val="0"/>
                      <w:marRight w:val="0"/>
                      <w:marTop w:val="0"/>
                      <w:marBottom w:val="0"/>
                      <w:divBdr>
                        <w:top w:val="none" w:sz="0" w:space="0" w:color="auto"/>
                        <w:left w:val="none" w:sz="0" w:space="0" w:color="auto"/>
                        <w:bottom w:val="none" w:sz="0" w:space="0" w:color="auto"/>
                        <w:right w:val="none" w:sz="0" w:space="0" w:color="auto"/>
                      </w:divBdr>
                    </w:div>
                  </w:divsChild>
                </w:div>
                <w:div w:id="1405027236">
                  <w:marLeft w:val="0"/>
                  <w:marRight w:val="0"/>
                  <w:marTop w:val="0"/>
                  <w:marBottom w:val="0"/>
                  <w:divBdr>
                    <w:top w:val="none" w:sz="0" w:space="0" w:color="auto"/>
                    <w:left w:val="none" w:sz="0" w:space="0" w:color="auto"/>
                    <w:bottom w:val="none" w:sz="0" w:space="0" w:color="auto"/>
                    <w:right w:val="none" w:sz="0" w:space="0" w:color="auto"/>
                  </w:divBdr>
                  <w:divsChild>
                    <w:div w:id="1653634609">
                      <w:marLeft w:val="0"/>
                      <w:marRight w:val="0"/>
                      <w:marTop w:val="0"/>
                      <w:marBottom w:val="0"/>
                      <w:divBdr>
                        <w:top w:val="none" w:sz="0" w:space="0" w:color="auto"/>
                        <w:left w:val="none" w:sz="0" w:space="0" w:color="auto"/>
                        <w:bottom w:val="none" w:sz="0" w:space="0" w:color="auto"/>
                        <w:right w:val="none" w:sz="0" w:space="0" w:color="auto"/>
                      </w:divBdr>
                    </w:div>
                  </w:divsChild>
                </w:div>
                <w:div w:id="1444349429">
                  <w:marLeft w:val="0"/>
                  <w:marRight w:val="0"/>
                  <w:marTop w:val="0"/>
                  <w:marBottom w:val="0"/>
                  <w:divBdr>
                    <w:top w:val="none" w:sz="0" w:space="0" w:color="auto"/>
                    <w:left w:val="none" w:sz="0" w:space="0" w:color="auto"/>
                    <w:bottom w:val="none" w:sz="0" w:space="0" w:color="auto"/>
                    <w:right w:val="none" w:sz="0" w:space="0" w:color="auto"/>
                  </w:divBdr>
                  <w:divsChild>
                    <w:div w:id="782966081">
                      <w:marLeft w:val="0"/>
                      <w:marRight w:val="0"/>
                      <w:marTop w:val="0"/>
                      <w:marBottom w:val="0"/>
                      <w:divBdr>
                        <w:top w:val="none" w:sz="0" w:space="0" w:color="auto"/>
                        <w:left w:val="none" w:sz="0" w:space="0" w:color="auto"/>
                        <w:bottom w:val="none" w:sz="0" w:space="0" w:color="auto"/>
                        <w:right w:val="none" w:sz="0" w:space="0" w:color="auto"/>
                      </w:divBdr>
                    </w:div>
                  </w:divsChild>
                </w:div>
                <w:div w:id="1448814446">
                  <w:marLeft w:val="0"/>
                  <w:marRight w:val="0"/>
                  <w:marTop w:val="0"/>
                  <w:marBottom w:val="0"/>
                  <w:divBdr>
                    <w:top w:val="none" w:sz="0" w:space="0" w:color="auto"/>
                    <w:left w:val="none" w:sz="0" w:space="0" w:color="auto"/>
                    <w:bottom w:val="none" w:sz="0" w:space="0" w:color="auto"/>
                    <w:right w:val="none" w:sz="0" w:space="0" w:color="auto"/>
                  </w:divBdr>
                  <w:divsChild>
                    <w:div w:id="1613439611">
                      <w:marLeft w:val="0"/>
                      <w:marRight w:val="0"/>
                      <w:marTop w:val="0"/>
                      <w:marBottom w:val="0"/>
                      <w:divBdr>
                        <w:top w:val="none" w:sz="0" w:space="0" w:color="auto"/>
                        <w:left w:val="none" w:sz="0" w:space="0" w:color="auto"/>
                        <w:bottom w:val="none" w:sz="0" w:space="0" w:color="auto"/>
                        <w:right w:val="none" w:sz="0" w:space="0" w:color="auto"/>
                      </w:divBdr>
                    </w:div>
                  </w:divsChild>
                </w:div>
                <w:div w:id="1452018438">
                  <w:marLeft w:val="0"/>
                  <w:marRight w:val="0"/>
                  <w:marTop w:val="0"/>
                  <w:marBottom w:val="0"/>
                  <w:divBdr>
                    <w:top w:val="none" w:sz="0" w:space="0" w:color="auto"/>
                    <w:left w:val="none" w:sz="0" w:space="0" w:color="auto"/>
                    <w:bottom w:val="none" w:sz="0" w:space="0" w:color="auto"/>
                    <w:right w:val="none" w:sz="0" w:space="0" w:color="auto"/>
                  </w:divBdr>
                  <w:divsChild>
                    <w:div w:id="1079058980">
                      <w:marLeft w:val="0"/>
                      <w:marRight w:val="0"/>
                      <w:marTop w:val="0"/>
                      <w:marBottom w:val="0"/>
                      <w:divBdr>
                        <w:top w:val="none" w:sz="0" w:space="0" w:color="auto"/>
                        <w:left w:val="none" w:sz="0" w:space="0" w:color="auto"/>
                        <w:bottom w:val="none" w:sz="0" w:space="0" w:color="auto"/>
                        <w:right w:val="none" w:sz="0" w:space="0" w:color="auto"/>
                      </w:divBdr>
                    </w:div>
                  </w:divsChild>
                </w:div>
                <w:div w:id="1462723154">
                  <w:marLeft w:val="0"/>
                  <w:marRight w:val="0"/>
                  <w:marTop w:val="0"/>
                  <w:marBottom w:val="0"/>
                  <w:divBdr>
                    <w:top w:val="none" w:sz="0" w:space="0" w:color="auto"/>
                    <w:left w:val="none" w:sz="0" w:space="0" w:color="auto"/>
                    <w:bottom w:val="none" w:sz="0" w:space="0" w:color="auto"/>
                    <w:right w:val="none" w:sz="0" w:space="0" w:color="auto"/>
                  </w:divBdr>
                  <w:divsChild>
                    <w:div w:id="1191645174">
                      <w:marLeft w:val="0"/>
                      <w:marRight w:val="0"/>
                      <w:marTop w:val="0"/>
                      <w:marBottom w:val="0"/>
                      <w:divBdr>
                        <w:top w:val="none" w:sz="0" w:space="0" w:color="auto"/>
                        <w:left w:val="none" w:sz="0" w:space="0" w:color="auto"/>
                        <w:bottom w:val="none" w:sz="0" w:space="0" w:color="auto"/>
                        <w:right w:val="none" w:sz="0" w:space="0" w:color="auto"/>
                      </w:divBdr>
                    </w:div>
                  </w:divsChild>
                </w:div>
                <w:div w:id="1484466653">
                  <w:marLeft w:val="0"/>
                  <w:marRight w:val="0"/>
                  <w:marTop w:val="0"/>
                  <w:marBottom w:val="0"/>
                  <w:divBdr>
                    <w:top w:val="none" w:sz="0" w:space="0" w:color="auto"/>
                    <w:left w:val="none" w:sz="0" w:space="0" w:color="auto"/>
                    <w:bottom w:val="none" w:sz="0" w:space="0" w:color="auto"/>
                    <w:right w:val="none" w:sz="0" w:space="0" w:color="auto"/>
                  </w:divBdr>
                  <w:divsChild>
                    <w:div w:id="1276133746">
                      <w:marLeft w:val="0"/>
                      <w:marRight w:val="0"/>
                      <w:marTop w:val="0"/>
                      <w:marBottom w:val="0"/>
                      <w:divBdr>
                        <w:top w:val="none" w:sz="0" w:space="0" w:color="auto"/>
                        <w:left w:val="none" w:sz="0" w:space="0" w:color="auto"/>
                        <w:bottom w:val="none" w:sz="0" w:space="0" w:color="auto"/>
                        <w:right w:val="none" w:sz="0" w:space="0" w:color="auto"/>
                      </w:divBdr>
                    </w:div>
                  </w:divsChild>
                </w:div>
                <w:div w:id="1491024651">
                  <w:marLeft w:val="0"/>
                  <w:marRight w:val="0"/>
                  <w:marTop w:val="0"/>
                  <w:marBottom w:val="0"/>
                  <w:divBdr>
                    <w:top w:val="none" w:sz="0" w:space="0" w:color="auto"/>
                    <w:left w:val="none" w:sz="0" w:space="0" w:color="auto"/>
                    <w:bottom w:val="none" w:sz="0" w:space="0" w:color="auto"/>
                    <w:right w:val="none" w:sz="0" w:space="0" w:color="auto"/>
                  </w:divBdr>
                  <w:divsChild>
                    <w:div w:id="2146581947">
                      <w:marLeft w:val="0"/>
                      <w:marRight w:val="0"/>
                      <w:marTop w:val="0"/>
                      <w:marBottom w:val="0"/>
                      <w:divBdr>
                        <w:top w:val="none" w:sz="0" w:space="0" w:color="auto"/>
                        <w:left w:val="none" w:sz="0" w:space="0" w:color="auto"/>
                        <w:bottom w:val="none" w:sz="0" w:space="0" w:color="auto"/>
                        <w:right w:val="none" w:sz="0" w:space="0" w:color="auto"/>
                      </w:divBdr>
                    </w:div>
                  </w:divsChild>
                </w:div>
                <w:div w:id="1538007986">
                  <w:marLeft w:val="0"/>
                  <w:marRight w:val="0"/>
                  <w:marTop w:val="0"/>
                  <w:marBottom w:val="0"/>
                  <w:divBdr>
                    <w:top w:val="none" w:sz="0" w:space="0" w:color="auto"/>
                    <w:left w:val="none" w:sz="0" w:space="0" w:color="auto"/>
                    <w:bottom w:val="none" w:sz="0" w:space="0" w:color="auto"/>
                    <w:right w:val="none" w:sz="0" w:space="0" w:color="auto"/>
                  </w:divBdr>
                  <w:divsChild>
                    <w:div w:id="1147017480">
                      <w:marLeft w:val="0"/>
                      <w:marRight w:val="0"/>
                      <w:marTop w:val="0"/>
                      <w:marBottom w:val="0"/>
                      <w:divBdr>
                        <w:top w:val="none" w:sz="0" w:space="0" w:color="auto"/>
                        <w:left w:val="none" w:sz="0" w:space="0" w:color="auto"/>
                        <w:bottom w:val="none" w:sz="0" w:space="0" w:color="auto"/>
                        <w:right w:val="none" w:sz="0" w:space="0" w:color="auto"/>
                      </w:divBdr>
                    </w:div>
                  </w:divsChild>
                </w:div>
                <w:div w:id="1545603240">
                  <w:marLeft w:val="0"/>
                  <w:marRight w:val="0"/>
                  <w:marTop w:val="0"/>
                  <w:marBottom w:val="0"/>
                  <w:divBdr>
                    <w:top w:val="none" w:sz="0" w:space="0" w:color="auto"/>
                    <w:left w:val="none" w:sz="0" w:space="0" w:color="auto"/>
                    <w:bottom w:val="none" w:sz="0" w:space="0" w:color="auto"/>
                    <w:right w:val="none" w:sz="0" w:space="0" w:color="auto"/>
                  </w:divBdr>
                  <w:divsChild>
                    <w:div w:id="1507792243">
                      <w:marLeft w:val="0"/>
                      <w:marRight w:val="0"/>
                      <w:marTop w:val="0"/>
                      <w:marBottom w:val="0"/>
                      <w:divBdr>
                        <w:top w:val="none" w:sz="0" w:space="0" w:color="auto"/>
                        <w:left w:val="none" w:sz="0" w:space="0" w:color="auto"/>
                        <w:bottom w:val="none" w:sz="0" w:space="0" w:color="auto"/>
                        <w:right w:val="none" w:sz="0" w:space="0" w:color="auto"/>
                      </w:divBdr>
                    </w:div>
                  </w:divsChild>
                </w:div>
                <w:div w:id="1564096639">
                  <w:marLeft w:val="0"/>
                  <w:marRight w:val="0"/>
                  <w:marTop w:val="0"/>
                  <w:marBottom w:val="0"/>
                  <w:divBdr>
                    <w:top w:val="none" w:sz="0" w:space="0" w:color="auto"/>
                    <w:left w:val="none" w:sz="0" w:space="0" w:color="auto"/>
                    <w:bottom w:val="none" w:sz="0" w:space="0" w:color="auto"/>
                    <w:right w:val="none" w:sz="0" w:space="0" w:color="auto"/>
                  </w:divBdr>
                  <w:divsChild>
                    <w:div w:id="634218529">
                      <w:marLeft w:val="0"/>
                      <w:marRight w:val="0"/>
                      <w:marTop w:val="0"/>
                      <w:marBottom w:val="0"/>
                      <w:divBdr>
                        <w:top w:val="none" w:sz="0" w:space="0" w:color="auto"/>
                        <w:left w:val="none" w:sz="0" w:space="0" w:color="auto"/>
                        <w:bottom w:val="none" w:sz="0" w:space="0" w:color="auto"/>
                        <w:right w:val="none" w:sz="0" w:space="0" w:color="auto"/>
                      </w:divBdr>
                    </w:div>
                  </w:divsChild>
                </w:div>
                <w:div w:id="1564413143">
                  <w:marLeft w:val="0"/>
                  <w:marRight w:val="0"/>
                  <w:marTop w:val="0"/>
                  <w:marBottom w:val="0"/>
                  <w:divBdr>
                    <w:top w:val="none" w:sz="0" w:space="0" w:color="auto"/>
                    <w:left w:val="none" w:sz="0" w:space="0" w:color="auto"/>
                    <w:bottom w:val="none" w:sz="0" w:space="0" w:color="auto"/>
                    <w:right w:val="none" w:sz="0" w:space="0" w:color="auto"/>
                  </w:divBdr>
                  <w:divsChild>
                    <w:div w:id="499320982">
                      <w:marLeft w:val="0"/>
                      <w:marRight w:val="0"/>
                      <w:marTop w:val="0"/>
                      <w:marBottom w:val="0"/>
                      <w:divBdr>
                        <w:top w:val="none" w:sz="0" w:space="0" w:color="auto"/>
                        <w:left w:val="none" w:sz="0" w:space="0" w:color="auto"/>
                        <w:bottom w:val="none" w:sz="0" w:space="0" w:color="auto"/>
                        <w:right w:val="none" w:sz="0" w:space="0" w:color="auto"/>
                      </w:divBdr>
                    </w:div>
                  </w:divsChild>
                </w:div>
                <w:div w:id="1566140564">
                  <w:marLeft w:val="0"/>
                  <w:marRight w:val="0"/>
                  <w:marTop w:val="0"/>
                  <w:marBottom w:val="0"/>
                  <w:divBdr>
                    <w:top w:val="none" w:sz="0" w:space="0" w:color="auto"/>
                    <w:left w:val="none" w:sz="0" w:space="0" w:color="auto"/>
                    <w:bottom w:val="none" w:sz="0" w:space="0" w:color="auto"/>
                    <w:right w:val="none" w:sz="0" w:space="0" w:color="auto"/>
                  </w:divBdr>
                  <w:divsChild>
                    <w:div w:id="415595578">
                      <w:marLeft w:val="0"/>
                      <w:marRight w:val="0"/>
                      <w:marTop w:val="0"/>
                      <w:marBottom w:val="0"/>
                      <w:divBdr>
                        <w:top w:val="none" w:sz="0" w:space="0" w:color="auto"/>
                        <w:left w:val="none" w:sz="0" w:space="0" w:color="auto"/>
                        <w:bottom w:val="none" w:sz="0" w:space="0" w:color="auto"/>
                        <w:right w:val="none" w:sz="0" w:space="0" w:color="auto"/>
                      </w:divBdr>
                    </w:div>
                  </w:divsChild>
                </w:div>
                <w:div w:id="1579290599">
                  <w:marLeft w:val="0"/>
                  <w:marRight w:val="0"/>
                  <w:marTop w:val="0"/>
                  <w:marBottom w:val="0"/>
                  <w:divBdr>
                    <w:top w:val="none" w:sz="0" w:space="0" w:color="auto"/>
                    <w:left w:val="none" w:sz="0" w:space="0" w:color="auto"/>
                    <w:bottom w:val="none" w:sz="0" w:space="0" w:color="auto"/>
                    <w:right w:val="none" w:sz="0" w:space="0" w:color="auto"/>
                  </w:divBdr>
                  <w:divsChild>
                    <w:div w:id="287126140">
                      <w:marLeft w:val="0"/>
                      <w:marRight w:val="0"/>
                      <w:marTop w:val="0"/>
                      <w:marBottom w:val="0"/>
                      <w:divBdr>
                        <w:top w:val="none" w:sz="0" w:space="0" w:color="auto"/>
                        <w:left w:val="none" w:sz="0" w:space="0" w:color="auto"/>
                        <w:bottom w:val="none" w:sz="0" w:space="0" w:color="auto"/>
                        <w:right w:val="none" w:sz="0" w:space="0" w:color="auto"/>
                      </w:divBdr>
                    </w:div>
                  </w:divsChild>
                </w:div>
                <w:div w:id="1600679453">
                  <w:marLeft w:val="0"/>
                  <w:marRight w:val="0"/>
                  <w:marTop w:val="0"/>
                  <w:marBottom w:val="0"/>
                  <w:divBdr>
                    <w:top w:val="none" w:sz="0" w:space="0" w:color="auto"/>
                    <w:left w:val="none" w:sz="0" w:space="0" w:color="auto"/>
                    <w:bottom w:val="none" w:sz="0" w:space="0" w:color="auto"/>
                    <w:right w:val="none" w:sz="0" w:space="0" w:color="auto"/>
                  </w:divBdr>
                  <w:divsChild>
                    <w:div w:id="5134922">
                      <w:marLeft w:val="0"/>
                      <w:marRight w:val="0"/>
                      <w:marTop w:val="0"/>
                      <w:marBottom w:val="0"/>
                      <w:divBdr>
                        <w:top w:val="none" w:sz="0" w:space="0" w:color="auto"/>
                        <w:left w:val="none" w:sz="0" w:space="0" w:color="auto"/>
                        <w:bottom w:val="none" w:sz="0" w:space="0" w:color="auto"/>
                        <w:right w:val="none" w:sz="0" w:space="0" w:color="auto"/>
                      </w:divBdr>
                    </w:div>
                  </w:divsChild>
                </w:div>
                <w:div w:id="1603225666">
                  <w:marLeft w:val="0"/>
                  <w:marRight w:val="0"/>
                  <w:marTop w:val="0"/>
                  <w:marBottom w:val="0"/>
                  <w:divBdr>
                    <w:top w:val="none" w:sz="0" w:space="0" w:color="auto"/>
                    <w:left w:val="none" w:sz="0" w:space="0" w:color="auto"/>
                    <w:bottom w:val="none" w:sz="0" w:space="0" w:color="auto"/>
                    <w:right w:val="none" w:sz="0" w:space="0" w:color="auto"/>
                  </w:divBdr>
                  <w:divsChild>
                    <w:div w:id="417601300">
                      <w:marLeft w:val="0"/>
                      <w:marRight w:val="0"/>
                      <w:marTop w:val="0"/>
                      <w:marBottom w:val="0"/>
                      <w:divBdr>
                        <w:top w:val="none" w:sz="0" w:space="0" w:color="auto"/>
                        <w:left w:val="none" w:sz="0" w:space="0" w:color="auto"/>
                        <w:bottom w:val="none" w:sz="0" w:space="0" w:color="auto"/>
                        <w:right w:val="none" w:sz="0" w:space="0" w:color="auto"/>
                      </w:divBdr>
                    </w:div>
                  </w:divsChild>
                </w:div>
                <w:div w:id="1640568783">
                  <w:marLeft w:val="0"/>
                  <w:marRight w:val="0"/>
                  <w:marTop w:val="0"/>
                  <w:marBottom w:val="0"/>
                  <w:divBdr>
                    <w:top w:val="none" w:sz="0" w:space="0" w:color="auto"/>
                    <w:left w:val="none" w:sz="0" w:space="0" w:color="auto"/>
                    <w:bottom w:val="none" w:sz="0" w:space="0" w:color="auto"/>
                    <w:right w:val="none" w:sz="0" w:space="0" w:color="auto"/>
                  </w:divBdr>
                  <w:divsChild>
                    <w:div w:id="1799687712">
                      <w:marLeft w:val="0"/>
                      <w:marRight w:val="0"/>
                      <w:marTop w:val="0"/>
                      <w:marBottom w:val="0"/>
                      <w:divBdr>
                        <w:top w:val="none" w:sz="0" w:space="0" w:color="auto"/>
                        <w:left w:val="none" w:sz="0" w:space="0" w:color="auto"/>
                        <w:bottom w:val="none" w:sz="0" w:space="0" w:color="auto"/>
                        <w:right w:val="none" w:sz="0" w:space="0" w:color="auto"/>
                      </w:divBdr>
                    </w:div>
                  </w:divsChild>
                </w:div>
                <w:div w:id="1656882971">
                  <w:marLeft w:val="0"/>
                  <w:marRight w:val="0"/>
                  <w:marTop w:val="0"/>
                  <w:marBottom w:val="0"/>
                  <w:divBdr>
                    <w:top w:val="none" w:sz="0" w:space="0" w:color="auto"/>
                    <w:left w:val="none" w:sz="0" w:space="0" w:color="auto"/>
                    <w:bottom w:val="none" w:sz="0" w:space="0" w:color="auto"/>
                    <w:right w:val="none" w:sz="0" w:space="0" w:color="auto"/>
                  </w:divBdr>
                  <w:divsChild>
                    <w:div w:id="311103652">
                      <w:marLeft w:val="0"/>
                      <w:marRight w:val="0"/>
                      <w:marTop w:val="0"/>
                      <w:marBottom w:val="0"/>
                      <w:divBdr>
                        <w:top w:val="none" w:sz="0" w:space="0" w:color="auto"/>
                        <w:left w:val="none" w:sz="0" w:space="0" w:color="auto"/>
                        <w:bottom w:val="none" w:sz="0" w:space="0" w:color="auto"/>
                        <w:right w:val="none" w:sz="0" w:space="0" w:color="auto"/>
                      </w:divBdr>
                    </w:div>
                  </w:divsChild>
                </w:div>
                <w:div w:id="1666515370">
                  <w:marLeft w:val="0"/>
                  <w:marRight w:val="0"/>
                  <w:marTop w:val="0"/>
                  <w:marBottom w:val="0"/>
                  <w:divBdr>
                    <w:top w:val="none" w:sz="0" w:space="0" w:color="auto"/>
                    <w:left w:val="none" w:sz="0" w:space="0" w:color="auto"/>
                    <w:bottom w:val="none" w:sz="0" w:space="0" w:color="auto"/>
                    <w:right w:val="none" w:sz="0" w:space="0" w:color="auto"/>
                  </w:divBdr>
                  <w:divsChild>
                    <w:div w:id="1986154377">
                      <w:marLeft w:val="0"/>
                      <w:marRight w:val="0"/>
                      <w:marTop w:val="0"/>
                      <w:marBottom w:val="0"/>
                      <w:divBdr>
                        <w:top w:val="none" w:sz="0" w:space="0" w:color="auto"/>
                        <w:left w:val="none" w:sz="0" w:space="0" w:color="auto"/>
                        <w:bottom w:val="none" w:sz="0" w:space="0" w:color="auto"/>
                        <w:right w:val="none" w:sz="0" w:space="0" w:color="auto"/>
                      </w:divBdr>
                    </w:div>
                  </w:divsChild>
                </w:div>
                <w:div w:id="1668943777">
                  <w:marLeft w:val="0"/>
                  <w:marRight w:val="0"/>
                  <w:marTop w:val="0"/>
                  <w:marBottom w:val="0"/>
                  <w:divBdr>
                    <w:top w:val="none" w:sz="0" w:space="0" w:color="auto"/>
                    <w:left w:val="none" w:sz="0" w:space="0" w:color="auto"/>
                    <w:bottom w:val="none" w:sz="0" w:space="0" w:color="auto"/>
                    <w:right w:val="none" w:sz="0" w:space="0" w:color="auto"/>
                  </w:divBdr>
                  <w:divsChild>
                    <w:div w:id="1337225213">
                      <w:marLeft w:val="0"/>
                      <w:marRight w:val="0"/>
                      <w:marTop w:val="0"/>
                      <w:marBottom w:val="0"/>
                      <w:divBdr>
                        <w:top w:val="none" w:sz="0" w:space="0" w:color="auto"/>
                        <w:left w:val="none" w:sz="0" w:space="0" w:color="auto"/>
                        <w:bottom w:val="none" w:sz="0" w:space="0" w:color="auto"/>
                        <w:right w:val="none" w:sz="0" w:space="0" w:color="auto"/>
                      </w:divBdr>
                    </w:div>
                  </w:divsChild>
                </w:div>
                <w:div w:id="1670210400">
                  <w:marLeft w:val="0"/>
                  <w:marRight w:val="0"/>
                  <w:marTop w:val="0"/>
                  <w:marBottom w:val="0"/>
                  <w:divBdr>
                    <w:top w:val="none" w:sz="0" w:space="0" w:color="auto"/>
                    <w:left w:val="none" w:sz="0" w:space="0" w:color="auto"/>
                    <w:bottom w:val="none" w:sz="0" w:space="0" w:color="auto"/>
                    <w:right w:val="none" w:sz="0" w:space="0" w:color="auto"/>
                  </w:divBdr>
                  <w:divsChild>
                    <w:div w:id="2079476907">
                      <w:marLeft w:val="0"/>
                      <w:marRight w:val="0"/>
                      <w:marTop w:val="0"/>
                      <w:marBottom w:val="0"/>
                      <w:divBdr>
                        <w:top w:val="none" w:sz="0" w:space="0" w:color="auto"/>
                        <w:left w:val="none" w:sz="0" w:space="0" w:color="auto"/>
                        <w:bottom w:val="none" w:sz="0" w:space="0" w:color="auto"/>
                        <w:right w:val="none" w:sz="0" w:space="0" w:color="auto"/>
                      </w:divBdr>
                    </w:div>
                  </w:divsChild>
                </w:div>
                <w:div w:id="1680427944">
                  <w:marLeft w:val="0"/>
                  <w:marRight w:val="0"/>
                  <w:marTop w:val="0"/>
                  <w:marBottom w:val="0"/>
                  <w:divBdr>
                    <w:top w:val="none" w:sz="0" w:space="0" w:color="auto"/>
                    <w:left w:val="none" w:sz="0" w:space="0" w:color="auto"/>
                    <w:bottom w:val="none" w:sz="0" w:space="0" w:color="auto"/>
                    <w:right w:val="none" w:sz="0" w:space="0" w:color="auto"/>
                  </w:divBdr>
                  <w:divsChild>
                    <w:div w:id="2115436890">
                      <w:marLeft w:val="0"/>
                      <w:marRight w:val="0"/>
                      <w:marTop w:val="0"/>
                      <w:marBottom w:val="0"/>
                      <w:divBdr>
                        <w:top w:val="none" w:sz="0" w:space="0" w:color="auto"/>
                        <w:left w:val="none" w:sz="0" w:space="0" w:color="auto"/>
                        <w:bottom w:val="none" w:sz="0" w:space="0" w:color="auto"/>
                        <w:right w:val="none" w:sz="0" w:space="0" w:color="auto"/>
                      </w:divBdr>
                    </w:div>
                  </w:divsChild>
                </w:div>
                <w:div w:id="1708986538">
                  <w:marLeft w:val="0"/>
                  <w:marRight w:val="0"/>
                  <w:marTop w:val="0"/>
                  <w:marBottom w:val="0"/>
                  <w:divBdr>
                    <w:top w:val="none" w:sz="0" w:space="0" w:color="auto"/>
                    <w:left w:val="none" w:sz="0" w:space="0" w:color="auto"/>
                    <w:bottom w:val="none" w:sz="0" w:space="0" w:color="auto"/>
                    <w:right w:val="none" w:sz="0" w:space="0" w:color="auto"/>
                  </w:divBdr>
                  <w:divsChild>
                    <w:div w:id="1672828119">
                      <w:marLeft w:val="0"/>
                      <w:marRight w:val="0"/>
                      <w:marTop w:val="0"/>
                      <w:marBottom w:val="0"/>
                      <w:divBdr>
                        <w:top w:val="none" w:sz="0" w:space="0" w:color="auto"/>
                        <w:left w:val="none" w:sz="0" w:space="0" w:color="auto"/>
                        <w:bottom w:val="none" w:sz="0" w:space="0" w:color="auto"/>
                        <w:right w:val="none" w:sz="0" w:space="0" w:color="auto"/>
                      </w:divBdr>
                    </w:div>
                  </w:divsChild>
                </w:div>
                <w:div w:id="1716392653">
                  <w:marLeft w:val="0"/>
                  <w:marRight w:val="0"/>
                  <w:marTop w:val="0"/>
                  <w:marBottom w:val="0"/>
                  <w:divBdr>
                    <w:top w:val="none" w:sz="0" w:space="0" w:color="auto"/>
                    <w:left w:val="none" w:sz="0" w:space="0" w:color="auto"/>
                    <w:bottom w:val="none" w:sz="0" w:space="0" w:color="auto"/>
                    <w:right w:val="none" w:sz="0" w:space="0" w:color="auto"/>
                  </w:divBdr>
                  <w:divsChild>
                    <w:div w:id="1949775234">
                      <w:marLeft w:val="0"/>
                      <w:marRight w:val="0"/>
                      <w:marTop w:val="0"/>
                      <w:marBottom w:val="0"/>
                      <w:divBdr>
                        <w:top w:val="none" w:sz="0" w:space="0" w:color="auto"/>
                        <w:left w:val="none" w:sz="0" w:space="0" w:color="auto"/>
                        <w:bottom w:val="none" w:sz="0" w:space="0" w:color="auto"/>
                        <w:right w:val="none" w:sz="0" w:space="0" w:color="auto"/>
                      </w:divBdr>
                    </w:div>
                  </w:divsChild>
                </w:div>
                <w:div w:id="1728190056">
                  <w:marLeft w:val="0"/>
                  <w:marRight w:val="0"/>
                  <w:marTop w:val="0"/>
                  <w:marBottom w:val="0"/>
                  <w:divBdr>
                    <w:top w:val="none" w:sz="0" w:space="0" w:color="auto"/>
                    <w:left w:val="none" w:sz="0" w:space="0" w:color="auto"/>
                    <w:bottom w:val="none" w:sz="0" w:space="0" w:color="auto"/>
                    <w:right w:val="none" w:sz="0" w:space="0" w:color="auto"/>
                  </w:divBdr>
                  <w:divsChild>
                    <w:div w:id="1255436081">
                      <w:marLeft w:val="0"/>
                      <w:marRight w:val="0"/>
                      <w:marTop w:val="0"/>
                      <w:marBottom w:val="0"/>
                      <w:divBdr>
                        <w:top w:val="none" w:sz="0" w:space="0" w:color="auto"/>
                        <w:left w:val="none" w:sz="0" w:space="0" w:color="auto"/>
                        <w:bottom w:val="none" w:sz="0" w:space="0" w:color="auto"/>
                        <w:right w:val="none" w:sz="0" w:space="0" w:color="auto"/>
                      </w:divBdr>
                    </w:div>
                  </w:divsChild>
                </w:div>
                <w:div w:id="1749688213">
                  <w:marLeft w:val="0"/>
                  <w:marRight w:val="0"/>
                  <w:marTop w:val="0"/>
                  <w:marBottom w:val="0"/>
                  <w:divBdr>
                    <w:top w:val="none" w:sz="0" w:space="0" w:color="auto"/>
                    <w:left w:val="none" w:sz="0" w:space="0" w:color="auto"/>
                    <w:bottom w:val="none" w:sz="0" w:space="0" w:color="auto"/>
                    <w:right w:val="none" w:sz="0" w:space="0" w:color="auto"/>
                  </w:divBdr>
                  <w:divsChild>
                    <w:div w:id="1728606302">
                      <w:marLeft w:val="0"/>
                      <w:marRight w:val="0"/>
                      <w:marTop w:val="0"/>
                      <w:marBottom w:val="0"/>
                      <w:divBdr>
                        <w:top w:val="none" w:sz="0" w:space="0" w:color="auto"/>
                        <w:left w:val="none" w:sz="0" w:space="0" w:color="auto"/>
                        <w:bottom w:val="none" w:sz="0" w:space="0" w:color="auto"/>
                        <w:right w:val="none" w:sz="0" w:space="0" w:color="auto"/>
                      </w:divBdr>
                    </w:div>
                  </w:divsChild>
                </w:div>
                <w:div w:id="1758360360">
                  <w:marLeft w:val="0"/>
                  <w:marRight w:val="0"/>
                  <w:marTop w:val="0"/>
                  <w:marBottom w:val="0"/>
                  <w:divBdr>
                    <w:top w:val="none" w:sz="0" w:space="0" w:color="auto"/>
                    <w:left w:val="none" w:sz="0" w:space="0" w:color="auto"/>
                    <w:bottom w:val="none" w:sz="0" w:space="0" w:color="auto"/>
                    <w:right w:val="none" w:sz="0" w:space="0" w:color="auto"/>
                  </w:divBdr>
                  <w:divsChild>
                    <w:div w:id="1494175138">
                      <w:marLeft w:val="0"/>
                      <w:marRight w:val="0"/>
                      <w:marTop w:val="0"/>
                      <w:marBottom w:val="0"/>
                      <w:divBdr>
                        <w:top w:val="none" w:sz="0" w:space="0" w:color="auto"/>
                        <w:left w:val="none" w:sz="0" w:space="0" w:color="auto"/>
                        <w:bottom w:val="none" w:sz="0" w:space="0" w:color="auto"/>
                        <w:right w:val="none" w:sz="0" w:space="0" w:color="auto"/>
                      </w:divBdr>
                    </w:div>
                  </w:divsChild>
                </w:div>
                <w:div w:id="1779644740">
                  <w:marLeft w:val="0"/>
                  <w:marRight w:val="0"/>
                  <w:marTop w:val="0"/>
                  <w:marBottom w:val="0"/>
                  <w:divBdr>
                    <w:top w:val="none" w:sz="0" w:space="0" w:color="auto"/>
                    <w:left w:val="none" w:sz="0" w:space="0" w:color="auto"/>
                    <w:bottom w:val="none" w:sz="0" w:space="0" w:color="auto"/>
                    <w:right w:val="none" w:sz="0" w:space="0" w:color="auto"/>
                  </w:divBdr>
                  <w:divsChild>
                    <w:div w:id="760028348">
                      <w:marLeft w:val="0"/>
                      <w:marRight w:val="0"/>
                      <w:marTop w:val="0"/>
                      <w:marBottom w:val="0"/>
                      <w:divBdr>
                        <w:top w:val="none" w:sz="0" w:space="0" w:color="auto"/>
                        <w:left w:val="none" w:sz="0" w:space="0" w:color="auto"/>
                        <w:bottom w:val="none" w:sz="0" w:space="0" w:color="auto"/>
                        <w:right w:val="none" w:sz="0" w:space="0" w:color="auto"/>
                      </w:divBdr>
                    </w:div>
                  </w:divsChild>
                </w:div>
                <w:div w:id="1794981206">
                  <w:marLeft w:val="0"/>
                  <w:marRight w:val="0"/>
                  <w:marTop w:val="0"/>
                  <w:marBottom w:val="0"/>
                  <w:divBdr>
                    <w:top w:val="none" w:sz="0" w:space="0" w:color="auto"/>
                    <w:left w:val="none" w:sz="0" w:space="0" w:color="auto"/>
                    <w:bottom w:val="none" w:sz="0" w:space="0" w:color="auto"/>
                    <w:right w:val="none" w:sz="0" w:space="0" w:color="auto"/>
                  </w:divBdr>
                  <w:divsChild>
                    <w:div w:id="1264415915">
                      <w:marLeft w:val="0"/>
                      <w:marRight w:val="0"/>
                      <w:marTop w:val="0"/>
                      <w:marBottom w:val="0"/>
                      <w:divBdr>
                        <w:top w:val="none" w:sz="0" w:space="0" w:color="auto"/>
                        <w:left w:val="none" w:sz="0" w:space="0" w:color="auto"/>
                        <w:bottom w:val="none" w:sz="0" w:space="0" w:color="auto"/>
                        <w:right w:val="none" w:sz="0" w:space="0" w:color="auto"/>
                      </w:divBdr>
                    </w:div>
                  </w:divsChild>
                </w:div>
                <w:div w:id="1824851522">
                  <w:marLeft w:val="0"/>
                  <w:marRight w:val="0"/>
                  <w:marTop w:val="0"/>
                  <w:marBottom w:val="0"/>
                  <w:divBdr>
                    <w:top w:val="none" w:sz="0" w:space="0" w:color="auto"/>
                    <w:left w:val="none" w:sz="0" w:space="0" w:color="auto"/>
                    <w:bottom w:val="none" w:sz="0" w:space="0" w:color="auto"/>
                    <w:right w:val="none" w:sz="0" w:space="0" w:color="auto"/>
                  </w:divBdr>
                  <w:divsChild>
                    <w:div w:id="1784378642">
                      <w:marLeft w:val="0"/>
                      <w:marRight w:val="0"/>
                      <w:marTop w:val="0"/>
                      <w:marBottom w:val="0"/>
                      <w:divBdr>
                        <w:top w:val="none" w:sz="0" w:space="0" w:color="auto"/>
                        <w:left w:val="none" w:sz="0" w:space="0" w:color="auto"/>
                        <w:bottom w:val="none" w:sz="0" w:space="0" w:color="auto"/>
                        <w:right w:val="none" w:sz="0" w:space="0" w:color="auto"/>
                      </w:divBdr>
                    </w:div>
                  </w:divsChild>
                </w:div>
                <w:div w:id="1832257915">
                  <w:marLeft w:val="0"/>
                  <w:marRight w:val="0"/>
                  <w:marTop w:val="0"/>
                  <w:marBottom w:val="0"/>
                  <w:divBdr>
                    <w:top w:val="none" w:sz="0" w:space="0" w:color="auto"/>
                    <w:left w:val="none" w:sz="0" w:space="0" w:color="auto"/>
                    <w:bottom w:val="none" w:sz="0" w:space="0" w:color="auto"/>
                    <w:right w:val="none" w:sz="0" w:space="0" w:color="auto"/>
                  </w:divBdr>
                  <w:divsChild>
                    <w:div w:id="1099444223">
                      <w:marLeft w:val="0"/>
                      <w:marRight w:val="0"/>
                      <w:marTop w:val="0"/>
                      <w:marBottom w:val="0"/>
                      <w:divBdr>
                        <w:top w:val="none" w:sz="0" w:space="0" w:color="auto"/>
                        <w:left w:val="none" w:sz="0" w:space="0" w:color="auto"/>
                        <w:bottom w:val="none" w:sz="0" w:space="0" w:color="auto"/>
                        <w:right w:val="none" w:sz="0" w:space="0" w:color="auto"/>
                      </w:divBdr>
                    </w:div>
                  </w:divsChild>
                </w:div>
                <w:div w:id="1893887983">
                  <w:marLeft w:val="0"/>
                  <w:marRight w:val="0"/>
                  <w:marTop w:val="0"/>
                  <w:marBottom w:val="0"/>
                  <w:divBdr>
                    <w:top w:val="none" w:sz="0" w:space="0" w:color="auto"/>
                    <w:left w:val="none" w:sz="0" w:space="0" w:color="auto"/>
                    <w:bottom w:val="none" w:sz="0" w:space="0" w:color="auto"/>
                    <w:right w:val="none" w:sz="0" w:space="0" w:color="auto"/>
                  </w:divBdr>
                  <w:divsChild>
                    <w:div w:id="179587083">
                      <w:marLeft w:val="0"/>
                      <w:marRight w:val="0"/>
                      <w:marTop w:val="0"/>
                      <w:marBottom w:val="0"/>
                      <w:divBdr>
                        <w:top w:val="none" w:sz="0" w:space="0" w:color="auto"/>
                        <w:left w:val="none" w:sz="0" w:space="0" w:color="auto"/>
                        <w:bottom w:val="none" w:sz="0" w:space="0" w:color="auto"/>
                        <w:right w:val="none" w:sz="0" w:space="0" w:color="auto"/>
                      </w:divBdr>
                    </w:div>
                  </w:divsChild>
                </w:div>
                <w:div w:id="1921450078">
                  <w:marLeft w:val="0"/>
                  <w:marRight w:val="0"/>
                  <w:marTop w:val="0"/>
                  <w:marBottom w:val="0"/>
                  <w:divBdr>
                    <w:top w:val="none" w:sz="0" w:space="0" w:color="auto"/>
                    <w:left w:val="none" w:sz="0" w:space="0" w:color="auto"/>
                    <w:bottom w:val="none" w:sz="0" w:space="0" w:color="auto"/>
                    <w:right w:val="none" w:sz="0" w:space="0" w:color="auto"/>
                  </w:divBdr>
                  <w:divsChild>
                    <w:div w:id="1142389615">
                      <w:marLeft w:val="0"/>
                      <w:marRight w:val="0"/>
                      <w:marTop w:val="0"/>
                      <w:marBottom w:val="0"/>
                      <w:divBdr>
                        <w:top w:val="none" w:sz="0" w:space="0" w:color="auto"/>
                        <w:left w:val="none" w:sz="0" w:space="0" w:color="auto"/>
                        <w:bottom w:val="none" w:sz="0" w:space="0" w:color="auto"/>
                        <w:right w:val="none" w:sz="0" w:space="0" w:color="auto"/>
                      </w:divBdr>
                    </w:div>
                  </w:divsChild>
                </w:div>
                <w:div w:id="1966620249">
                  <w:marLeft w:val="0"/>
                  <w:marRight w:val="0"/>
                  <w:marTop w:val="0"/>
                  <w:marBottom w:val="0"/>
                  <w:divBdr>
                    <w:top w:val="none" w:sz="0" w:space="0" w:color="auto"/>
                    <w:left w:val="none" w:sz="0" w:space="0" w:color="auto"/>
                    <w:bottom w:val="none" w:sz="0" w:space="0" w:color="auto"/>
                    <w:right w:val="none" w:sz="0" w:space="0" w:color="auto"/>
                  </w:divBdr>
                  <w:divsChild>
                    <w:div w:id="137041754">
                      <w:marLeft w:val="0"/>
                      <w:marRight w:val="0"/>
                      <w:marTop w:val="0"/>
                      <w:marBottom w:val="0"/>
                      <w:divBdr>
                        <w:top w:val="none" w:sz="0" w:space="0" w:color="auto"/>
                        <w:left w:val="none" w:sz="0" w:space="0" w:color="auto"/>
                        <w:bottom w:val="none" w:sz="0" w:space="0" w:color="auto"/>
                        <w:right w:val="none" w:sz="0" w:space="0" w:color="auto"/>
                      </w:divBdr>
                    </w:div>
                  </w:divsChild>
                </w:div>
                <w:div w:id="2005819381">
                  <w:marLeft w:val="0"/>
                  <w:marRight w:val="0"/>
                  <w:marTop w:val="0"/>
                  <w:marBottom w:val="0"/>
                  <w:divBdr>
                    <w:top w:val="none" w:sz="0" w:space="0" w:color="auto"/>
                    <w:left w:val="none" w:sz="0" w:space="0" w:color="auto"/>
                    <w:bottom w:val="none" w:sz="0" w:space="0" w:color="auto"/>
                    <w:right w:val="none" w:sz="0" w:space="0" w:color="auto"/>
                  </w:divBdr>
                  <w:divsChild>
                    <w:div w:id="1606111868">
                      <w:marLeft w:val="0"/>
                      <w:marRight w:val="0"/>
                      <w:marTop w:val="0"/>
                      <w:marBottom w:val="0"/>
                      <w:divBdr>
                        <w:top w:val="none" w:sz="0" w:space="0" w:color="auto"/>
                        <w:left w:val="none" w:sz="0" w:space="0" w:color="auto"/>
                        <w:bottom w:val="none" w:sz="0" w:space="0" w:color="auto"/>
                        <w:right w:val="none" w:sz="0" w:space="0" w:color="auto"/>
                      </w:divBdr>
                    </w:div>
                  </w:divsChild>
                </w:div>
                <w:div w:id="2032880428">
                  <w:marLeft w:val="0"/>
                  <w:marRight w:val="0"/>
                  <w:marTop w:val="0"/>
                  <w:marBottom w:val="0"/>
                  <w:divBdr>
                    <w:top w:val="none" w:sz="0" w:space="0" w:color="auto"/>
                    <w:left w:val="none" w:sz="0" w:space="0" w:color="auto"/>
                    <w:bottom w:val="none" w:sz="0" w:space="0" w:color="auto"/>
                    <w:right w:val="none" w:sz="0" w:space="0" w:color="auto"/>
                  </w:divBdr>
                  <w:divsChild>
                    <w:div w:id="294259492">
                      <w:marLeft w:val="0"/>
                      <w:marRight w:val="0"/>
                      <w:marTop w:val="0"/>
                      <w:marBottom w:val="0"/>
                      <w:divBdr>
                        <w:top w:val="none" w:sz="0" w:space="0" w:color="auto"/>
                        <w:left w:val="none" w:sz="0" w:space="0" w:color="auto"/>
                        <w:bottom w:val="none" w:sz="0" w:space="0" w:color="auto"/>
                        <w:right w:val="none" w:sz="0" w:space="0" w:color="auto"/>
                      </w:divBdr>
                    </w:div>
                  </w:divsChild>
                </w:div>
                <w:div w:id="2036223686">
                  <w:marLeft w:val="0"/>
                  <w:marRight w:val="0"/>
                  <w:marTop w:val="0"/>
                  <w:marBottom w:val="0"/>
                  <w:divBdr>
                    <w:top w:val="none" w:sz="0" w:space="0" w:color="auto"/>
                    <w:left w:val="none" w:sz="0" w:space="0" w:color="auto"/>
                    <w:bottom w:val="none" w:sz="0" w:space="0" w:color="auto"/>
                    <w:right w:val="none" w:sz="0" w:space="0" w:color="auto"/>
                  </w:divBdr>
                  <w:divsChild>
                    <w:div w:id="218635636">
                      <w:marLeft w:val="0"/>
                      <w:marRight w:val="0"/>
                      <w:marTop w:val="0"/>
                      <w:marBottom w:val="0"/>
                      <w:divBdr>
                        <w:top w:val="none" w:sz="0" w:space="0" w:color="auto"/>
                        <w:left w:val="none" w:sz="0" w:space="0" w:color="auto"/>
                        <w:bottom w:val="none" w:sz="0" w:space="0" w:color="auto"/>
                        <w:right w:val="none" w:sz="0" w:space="0" w:color="auto"/>
                      </w:divBdr>
                    </w:div>
                  </w:divsChild>
                </w:div>
                <w:div w:id="2045860723">
                  <w:marLeft w:val="0"/>
                  <w:marRight w:val="0"/>
                  <w:marTop w:val="0"/>
                  <w:marBottom w:val="0"/>
                  <w:divBdr>
                    <w:top w:val="none" w:sz="0" w:space="0" w:color="auto"/>
                    <w:left w:val="none" w:sz="0" w:space="0" w:color="auto"/>
                    <w:bottom w:val="none" w:sz="0" w:space="0" w:color="auto"/>
                    <w:right w:val="none" w:sz="0" w:space="0" w:color="auto"/>
                  </w:divBdr>
                  <w:divsChild>
                    <w:div w:id="812601826">
                      <w:marLeft w:val="0"/>
                      <w:marRight w:val="0"/>
                      <w:marTop w:val="0"/>
                      <w:marBottom w:val="0"/>
                      <w:divBdr>
                        <w:top w:val="none" w:sz="0" w:space="0" w:color="auto"/>
                        <w:left w:val="none" w:sz="0" w:space="0" w:color="auto"/>
                        <w:bottom w:val="none" w:sz="0" w:space="0" w:color="auto"/>
                        <w:right w:val="none" w:sz="0" w:space="0" w:color="auto"/>
                      </w:divBdr>
                    </w:div>
                  </w:divsChild>
                </w:div>
                <w:div w:id="2082365404">
                  <w:marLeft w:val="0"/>
                  <w:marRight w:val="0"/>
                  <w:marTop w:val="0"/>
                  <w:marBottom w:val="0"/>
                  <w:divBdr>
                    <w:top w:val="none" w:sz="0" w:space="0" w:color="auto"/>
                    <w:left w:val="none" w:sz="0" w:space="0" w:color="auto"/>
                    <w:bottom w:val="none" w:sz="0" w:space="0" w:color="auto"/>
                    <w:right w:val="none" w:sz="0" w:space="0" w:color="auto"/>
                  </w:divBdr>
                  <w:divsChild>
                    <w:div w:id="1656375541">
                      <w:marLeft w:val="0"/>
                      <w:marRight w:val="0"/>
                      <w:marTop w:val="0"/>
                      <w:marBottom w:val="0"/>
                      <w:divBdr>
                        <w:top w:val="none" w:sz="0" w:space="0" w:color="auto"/>
                        <w:left w:val="none" w:sz="0" w:space="0" w:color="auto"/>
                        <w:bottom w:val="none" w:sz="0" w:space="0" w:color="auto"/>
                        <w:right w:val="none" w:sz="0" w:space="0" w:color="auto"/>
                      </w:divBdr>
                    </w:div>
                  </w:divsChild>
                </w:div>
                <w:div w:id="2112582815">
                  <w:marLeft w:val="0"/>
                  <w:marRight w:val="0"/>
                  <w:marTop w:val="0"/>
                  <w:marBottom w:val="0"/>
                  <w:divBdr>
                    <w:top w:val="none" w:sz="0" w:space="0" w:color="auto"/>
                    <w:left w:val="none" w:sz="0" w:space="0" w:color="auto"/>
                    <w:bottom w:val="none" w:sz="0" w:space="0" w:color="auto"/>
                    <w:right w:val="none" w:sz="0" w:space="0" w:color="auto"/>
                  </w:divBdr>
                  <w:divsChild>
                    <w:div w:id="780689498">
                      <w:marLeft w:val="0"/>
                      <w:marRight w:val="0"/>
                      <w:marTop w:val="0"/>
                      <w:marBottom w:val="0"/>
                      <w:divBdr>
                        <w:top w:val="none" w:sz="0" w:space="0" w:color="auto"/>
                        <w:left w:val="none" w:sz="0" w:space="0" w:color="auto"/>
                        <w:bottom w:val="none" w:sz="0" w:space="0" w:color="auto"/>
                        <w:right w:val="none" w:sz="0" w:space="0" w:color="auto"/>
                      </w:divBdr>
                    </w:div>
                  </w:divsChild>
                </w:div>
                <w:div w:id="2117670599">
                  <w:marLeft w:val="0"/>
                  <w:marRight w:val="0"/>
                  <w:marTop w:val="0"/>
                  <w:marBottom w:val="0"/>
                  <w:divBdr>
                    <w:top w:val="none" w:sz="0" w:space="0" w:color="auto"/>
                    <w:left w:val="none" w:sz="0" w:space="0" w:color="auto"/>
                    <w:bottom w:val="none" w:sz="0" w:space="0" w:color="auto"/>
                    <w:right w:val="none" w:sz="0" w:space="0" w:color="auto"/>
                  </w:divBdr>
                  <w:divsChild>
                    <w:div w:id="1291009145">
                      <w:marLeft w:val="0"/>
                      <w:marRight w:val="0"/>
                      <w:marTop w:val="0"/>
                      <w:marBottom w:val="0"/>
                      <w:divBdr>
                        <w:top w:val="none" w:sz="0" w:space="0" w:color="auto"/>
                        <w:left w:val="none" w:sz="0" w:space="0" w:color="auto"/>
                        <w:bottom w:val="none" w:sz="0" w:space="0" w:color="auto"/>
                        <w:right w:val="none" w:sz="0" w:space="0" w:color="auto"/>
                      </w:divBdr>
                    </w:div>
                  </w:divsChild>
                </w:div>
                <w:div w:id="2124616323">
                  <w:marLeft w:val="0"/>
                  <w:marRight w:val="0"/>
                  <w:marTop w:val="0"/>
                  <w:marBottom w:val="0"/>
                  <w:divBdr>
                    <w:top w:val="none" w:sz="0" w:space="0" w:color="auto"/>
                    <w:left w:val="none" w:sz="0" w:space="0" w:color="auto"/>
                    <w:bottom w:val="none" w:sz="0" w:space="0" w:color="auto"/>
                    <w:right w:val="none" w:sz="0" w:space="0" w:color="auto"/>
                  </w:divBdr>
                  <w:divsChild>
                    <w:div w:id="6712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6403">
          <w:marLeft w:val="0"/>
          <w:marRight w:val="0"/>
          <w:marTop w:val="0"/>
          <w:marBottom w:val="0"/>
          <w:divBdr>
            <w:top w:val="none" w:sz="0" w:space="0" w:color="auto"/>
            <w:left w:val="none" w:sz="0" w:space="0" w:color="auto"/>
            <w:bottom w:val="none" w:sz="0" w:space="0" w:color="auto"/>
            <w:right w:val="none" w:sz="0" w:space="0" w:color="auto"/>
          </w:divBdr>
        </w:div>
        <w:div w:id="872155940">
          <w:marLeft w:val="0"/>
          <w:marRight w:val="0"/>
          <w:marTop w:val="0"/>
          <w:marBottom w:val="0"/>
          <w:divBdr>
            <w:top w:val="none" w:sz="0" w:space="0" w:color="auto"/>
            <w:left w:val="none" w:sz="0" w:space="0" w:color="auto"/>
            <w:bottom w:val="none" w:sz="0" w:space="0" w:color="auto"/>
            <w:right w:val="none" w:sz="0" w:space="0" w:color="auto"/>
          </w:divBdr>
        </w:div>
        <w:div w:id="916552487">
          <w:marLeft w:val="0"/>
          <w:marRight w:val="0"/>
          <w:marTop w:val="0"/>
          <w:marBottom w:val="0"/>
          <w:divBdr>
            <w:top w:val="none" w:sz="0" w:space="0" w:color="auto"/>
            <w:left w:val="none" w:sz="0" w:space="0" w:color="auto"/>
            <w:bottom w:val="none" w:sz="0" w:space="0" w:color="auto"/>
            <w:right w:val="none" w:sz="0" w:space="0" w:color="auto"/>
          </w:divBdr>
        </w:div>
        <w:div w:id="927158415">
          <w:marLeft w:val="0"/>
          <w:marRight w:val="0"/>
          <w:marTop w:val="0"/>
          <w:marBottom w:val="0"/>
          <w:divBdr>
            <w:top w:val="none" w:sz="0" w:space="0" w:color="auto"/>
            <w:left w:val="none" w:sz="0" w:space="0" w:color="auto"/>
            <w:bottom w:val="none" w:sz="0" w:space="0" w:color="auto"/>
            <w:right w:val="none" w:sz="0" w:space="0" w:color="auto"/>
          </w:divBdr>
        </w:div>
        <w:div w:id="932856257">
          <w:marLeft w:val="0"/>
          <w:marRight w:val="0"/>
          <w:marTop w:val="0"/>
          <w:marBottom w:val="0"/>
          <w:divBdr>
            <w:top w:val="none" w:sz="0" w:space="0" w:color="auto"/>
            <w:left w:val="none" w:sz="0" w:space="0" w:color="auto"/>
            <w:bottom w:val="none" w:sz="0" w:space="0" w:color="auto"/>
            <w:right w:val="none" w:sz="0" w:space="0" w:color="auto"/>
          </w:divBdr>
        </w:div>
        <w:div w:id="943194941">
          <w:marLeft w:val="0"/>
          <w:marRight w:val="0"/>
          <w:marTop w:val="0"/>
          <w:marBottom w:val="0"/>
          <w:divBdr>
            <w:top w:val="none" w:sz="0" w:space="0" w:color="auto"/>
            <w:left w:val="none" w:sz="0" w:space="0" w:color="auto"/>
            <w:bottom w:val="none" w:sz="0" w:space="0" w:color="auto"/>
            <w:right w:val="none" w:sz="0" w:space="0" w:color="auto"/>
          </w:divBdr>
        </w:div>
        <w:div w:id="1020739450">
          <w:marLeft w:val="0"/>
          <w:marRight w:val="0"/>
          <w:marTop w:val="0"/>
          <w:marBottom w:val="0"/>
          <w:divBdr>
            <w:top w:val="none" w:sz="0" w:space="0" w:color="auto"/>
            <w:left w:val="none" w:sz="0" w:space="0" w:color="auto"/>
            <w:bottom w:val="none" w:sz="0" w:space="0" w:color="auto"/>
            <w:right w:val="none" w:sz="0" w:space="0" w:color="auto"/>
          </w:divBdr>
          <w:divsChild>
            <w:div w:id="11809408">
              <w:marLeft w:val="0"/>
              <w:marRight w:val="0"/>
              <w:marTop w:val="0"/>
              <w:marBottom w:val="0"/>
              <w:divBdr>
                <w:top w:val="none" w:sz="0" w:space="0" w:color="auto"/>
                <w:left w:val="none" w:sz="0" w:space="0" w:color="auto"/>
                <w:bottom w:val="none" w:sz="0" w:space="0" w:color="auto"/>
                <w:right w:val="none" w:sz="0" w:space="0" w:color="auto"/>
              </w:divBdr>
            </w:div>
            <w:div w:id="271743614">
              <w:marLeft w:val="0"/>
              <w:marRight w:val="0"/>
              <w:marTop w:val="0"/>
              <w:marBottom w:val="0"/>
              <w:divBdr>
                <w:top w:val="none" w:sz="0" w:space="0" w:color="auto"/>
                <w:left w:val="none" w:sz="0" w:space="0" w:color="auto"/>
                <w:bottom w:val="none" w:sz="0" w:space="0" w:color="auto"/>
                <w:right w:val="none" w:sz="0" w:space="0" w:color="auto"/>
              </w:divBdr>
            </w:div>
            <w:div w:id="343440664">
              <w:marLeft w:val="0"/>
              <w:marRight w:val="0"/>
              <w:marTop w:val="0"/>
              <w:marBottom w:val="0"/>
              <w:divBdr>
                <w:top w:val="none" w:sz="0" w:space="0" w:color="auto"/>
                <w:left w:val="none" w:sz="0" w:space="0" w:color="auto"/>
                <w:bottom w:val="none" w:sz="0" w:space="0" w:color="auto"/>
                <w:right w:val="none" w:sz="0" w:space="0" w:color="auto"/>
              </w:divBdr>
            </w:div>
            <w:div w:id="644512336">
              <w:marLeft w:val="0"/>
              <w:marRight w:val="0"/>
              <w:marTop w:val="0"/>
              <w:marBottom w:val="0"/>
              <w:divBdr>
                <w:top w:val="none" w:sz="0" w:space="0" w:color="auto"/>
                <w:left w:val="none" w:sz="0" w:space="0" w:color="auto"/>
                <w:bottom w:val="none" w:sz="0" w:space="0" w:color="auto"/>
                <w:right w:val="none" w:sz="0" w:space="0" w:color="auto"/>
              </w:divBdr>
            </w:div>
            <w:div w:id="699091011">
              <w:marLeft w:val="0"/>
              <w:marRight w:val="0"/>
              <w:marTop w:val="0"/>
              <w:marBottom w:val="0"/>
              <w:divBdr>
                <w:top w:val="none" w:sz="0" w:space="0" w:color="auto"/>
                <w:left w:val="none" w:sz="0" w:space="0" w:color="auto"/>
                <w:bottom w:val="none" w:sz="0" w:space="0" w:color="auto"/>
                <w:right w:val="none" w:sz="0" w:space="0" w:color="auto"/>
              </w:divBdr>
            </w:div>
            <w:div w:id="977567403">
              <w:marLeft w:val="0"/>
              <w:marRight w:val="0"/>
              <w:marTop w:val="0"/>
              <w:marBottom w:val="0"/>
              <w:divBdr>
                <w:top w:val="none" w:sz="0" w:space="0" w:color="auto"/>
                <w:left w:val="none" w:sz="0" w:space="0" w:color="auto"/>
                <w:bottom w:val="none" w:sz="0" w:space="0" w:color="auto"/>
                <w:right w:val="none" w:sz="0" w:space="0" w:color="auto"/>
              </w:divBdr>
            </w:div>
            <w:div w:id="1071001429">
              <w:marLeft w:val="0"/>
              <w:marRight w:val="0"/>
              <w:marTop w:val="0"/>
              <w:marBottom w:val="0"/>
              <w:divBdr>
                <w:top w:val="none" w:sz="0" w:space="0" w:color="auto"/>
                <w:left w:val="none" w:sz="0" w:space="0" w:color="auto"/>
                <w:bottom w:val="none" w:sz="0" w:space="0" w:color="auto"/>
                <w:right w:val="none" w:sz="0" w:space="0" w:color="auto"/>
              </w:divBdr>
            </w:div>
            <w:div w:id="1143081887">
              <w:marLeft w:val="0"/>
              <w:marRight w:val="0"/>
              <w:marTop w:val="0"/>
              <w:marBottom w:val="0"/>
              <w:divBdr>
                <w:top w:val="none" w:sz="0" w:space="0" w:color="auto"/>
                <w:left w:val="none" w:sz="0" w:space="0" w:color="auto"/>
                <w:bottom w:val="none" w:sz="0" w:space="0" w:color="auto"/>
                <w:right w:val="none" w:sz="0" w:space="0" w:color="auto"/>
              </w:divBdr>
            </w:div>
            <w:div w:id="1169442459">
              <w:marLeft w:val="0"/>
              <w:marRight w:val="0"/>
              <w:marTop w:val="0"/>
              <w:marBottom w:val="0"/>
              <w:divBdr>
                <w:top w:val="none" w:sz="0" w:space="0" w:color="auto"/>
                <w:left w:val="none" w:sz="0" w:space="0" w:color="auto"/>
                <w:bottom w:val="none" w:sz="0" w:space="0" w:color="auto"/>
                <w:right w:val="none" w:sz="0" w:space="0" w:color="auto"/>
              </w:divBdr>
            </w:div>
            <w:div w:id="1343357738">
              <w:marLeft w:val="0"/>
              <w:marRight w:val="0"/>
              <w:marTop w:val="0"/>
              <w:marBottom w:val="0"/>
              <w:divBdr>
                <w:top w:val="none" w:sz="0" w:space="0" w:color="auto"/>
                <w:left w:val="none" w:sz="0" w:space="0" w:color="auto"/>
                <w:bottom w:val="none" w:sz="0" w:space="0" w:color="auto"/>
                <w:right w:val="none" w:sz="0" w:space="0" w:color="auto"/>
              </w:divBdr>
            </w:div>
            <w:div w:id="1448043565">
              <w:marLeft w:val="0"/>
              <w:marRight w:val="0"/>
              <w:marTop w:val="0"/>
              <w:marBottom w:val="0"/>
              <w:divBdr>
                <w:top w:val="none" w:sz="0" w:space="0" w:color="auto"/>
                <w:left w:val="none" w:sz="0" w:space="0" w:color="auto"/>
                <w:bottom w:val="none" w:sz="0" w:space="0" w:color="auto"/>
                <w:right w:val="none" w:sz="0" w:space="0" w:color="auto"/>
              </w:divBdr>
            </w:div>
            <w:div w:id="1668242638">
              <w:marLeft w:val="0"/>
              <w:marRight w:val="0"/>
              <w:marTop w:val="0"/>
              <w:marBottom w:val="0"/>
              <w:divBdr>
                <w:top w:val="none" w:sz="0" w:space="0" w:color="auto"/>
                <w:left w:val="none" w:sz="0" w:space="0" w:color="auto"/>
                <w:bottom w:val="none" w:sz="0" w:space="0" w:color="auto"/>
                <w:right w:val="none" w:sz="0" w:space="0" w:color="auto"/>
              </w:divBdr>
            </w:div>
            <w:div w:id="1819034339">
              <w:marLeft w:val="0"/>
              <w:marRight w:val="0"/>
              <w:marTop w:val="0"/>
              <w:marBottom w:val="0"/>
              <w:divBdr>
                <w:top w:val="none" w:sz="0" w:space="0" w:color="auto"/>
                <w:left w:val="none" w:sz="0" w:space="0" w:color="auto"/>
                <w:bottom w:val="none" w:sz="0" w:space="0" w:color="auto"/>
                <w:right w:val="none" w:sz="0" w:space="0" w:color="auto"/>
              </w:divBdr>
            </w:div>
            <w:div w:id="1952858157">
              <w:marLeft w:val="0"/>
              <w:marRight w:val="0"/>
              <w:marTop w:val="0"/>
              <w:marBottom w:val="0"/>
              <w:divBdr>
                <w:top w:val="none" w:sz="0" w:space="0" w:color="auto"/>
                <w:left w:val="none" w:sz="0" w:space="0" w:color="auto"/>
                <w:bottom w:val="none" w:sz="0" w:space="0" w:color="auto"/>
                <w:right w:val="none" w:sz="0" w:space="0" w:color="auto"/>
              </w:divBdr>
            </w:div>
            <w:div w:id="2046977760">
              <w:marLeft w:val="0"/>
              <w:marRight w:val="0"/>
              <w:marTop w:val="0"/>
              <w:marBottom w:val="0"/>
              <w:divBdr>
                <w:top w:val="none" w:sz="0" w:space="0" w:color="auto"/>
                <w:left w:val="none" w:sz="0" w:space="0" w:color="auto"/>
                <w:bottom w:val="none" w:sz="0" w:space="0" w:color="auto"/>
                <w:right w:val="none" w:sz="0" w:space="0" w:color="auto"/>
              </w:divBdr>
            </w:div>
          </w:divsChild>
        </w:div>
        <w:div w:id="1122571736">
          <w:marLeft w:val="0"/>
          <w:marRight w:val="0"/>
          <w:marTop w:val="0"/>
          <w:marBottom w:val="0"/>
          <w:divBdr>
            <w:top w:val="none" w:sz="0" w:space="0" w:color="auto"/>
            <w:left w:val="none" w:sz="0" w:space="0" w:color="auto"/>
            <w:bottom w:val="none" w:sz="0" w:space="0" w:color="auto"/>
            <w:right w:val="none" w:sz="0" w:space="0" w:color="auto"/>
          </w:divBdr>
        </w:div>
        <w:div w:id="1446651610">
          <w:marLeft w:val="0"/>
          <w:marRight w:val="0"/>
          <w:marTop w:val="0"/>
          <w:marBottom w:val="0"/>
          <w:divBdr>
            <w:top w:val="none" w:sz="0" w:space="0" w:color="auto"/>
            <w:left w:val="none" w:sz="0" w:space="0" w:color="auto"/>
            <w:bottom w:val="none" w:sz="0" w:space="0" w:color="auto"/>
            <w:right w:val="none" w:sz="0" w:space="0" w:color="auto"/>
          </w:divBdr>
        </w:div>
        <w:div w:id="1649942411">
          <w:marLeft w:val="0"/>
          <w:marRight w:val="0"/>
          <w:marTop w:val="0"/>
          <w:marBottom w:val="0"/>
          <w:divBdr>
            <w:top w:val="none" w:sz="0" w:space="0" w:color="auto"/>
            <w:left w:val="none" w:sz="0" w:space="0" w:color="auto"/>
            <w:bottom w:val="none" w:sz="0" w:space="0" w:color="auto"/>
            <w:right w:val="none" w:sz="0" w:space="0" w:color="auto"/>
          </w:divBdr>
          <w:divsChild>
            <w:div w:id="1088693677">
              <w:marLeft w:val="-75"/>
              <w:marRight w:val="0"/>
              <w:marTop w:val="30"/>
              <w:marBottom w:val="30"/>
              <w:divBdr>
                <w:top w:val="none" w:sz="0" w:space="0" w:color="auto"/>
                <w:left w:val="none" w:sz="0" w:space="0" w:color="auto"/>
                <w:bottom w:val="none" w:sz="0" w:space="0" w:color="auto"/>
                <w:right w:val="none" w:sz="0" w:space="0" w:color="auto"/>
              </w:divBdr>
              <w:divsChild>
                <w:div w:id="5600227">
                  <w:marLeft w:val="0"/>
                  <w:marRight w:val="0"/>
                  <w:marTop w:val="0"/>
                  <w:marBottom w:val="0"/>
                  <w:divBdr>
                    <w:top w:val="none" w:sz="0" w:space="0" w:color="auto"/>
                    <w:left w:val="none" w:sz="0" w:space="0" w:color="auto"/>
                    <w:bottom w:val="none" w:sz="0" w:space="0" w:color="auto"/>
                    <w:right w:val="none" w:sz="0" w:space="0" w:color="auto"/>
                  </w:divBdr>
                  <w:divsChild>
                    <w:div w:id="1715545477">
                      <w:marLeft w:val="0"/>
                      <w:marRight w:val="0"/>
                      <w:marTop w:val="0"/>
                      <w:marBottom w:val="0"/>
                      <w:divBdr>
                        <w:top w:val="none" w:sz="0" w:space="0" w:color="auto"/>
                        <w:left w:val="none" w:sz="0" w:space="0" w:color="auto"/>
                        <w:bottom w:val="none" w:sz="0" w:space="0" w:color="auto"/>
                        <w:right w:val="none" w:sz="0" w:space="0" w:color="auto"/>
                      </w:divBdr>
                    </w:div>
                  </w:divsChild>
                </w:div>
                <w:div w:id="50808047">
                  <w:marLeft w:val="0"/>
                  <w:marRight w:val="0"/>
                  <w:marTop w:val="0"/>
                  <w:marBottom w:val="0"/>
                  <w:divBdr>
                    <w:top w:val="none" w:sz="0" w:space="0" w:color="auto"/>
                    <w:left w:val="none" w:sz="0" w:space="0" w:color="auto"/>
                    <w:bottom w:val="none" w:sz="0" w:space="0" w:color="auto"/>
                    <w:right w:val="none" w:sz="0" w:space="0" w:color="auto"/>
                  </w:divBdr>
                  <w:divsChild>
                    <w:div w:id="1119911935">
                      <w:marLeft w:val="0"/>
                      <w:marRight w:val="0"/>
                      <w:marTop w:val="0"/>
                      <w:marBottom w:val="0"/>
                      <w:divBdr>
                        <w:top w:val="none" w:sz="0" w:space="0" w:color="auto"/>
                        <w:left w:val="none" w:sz="0" w:space="0" w:color="auto"/>
                        <w:bottom w:val="none" w:sz="0" w:space="0" w:color="auto"/>
                        <w:right w:val="none" w:sz="0" w:space="0" w:color="auto"/>
                      </w:divBdr>
                    </w:div>
                  </w:divsChild>
                </w:div>
                <w:div w:id="111560906">
                  <w:marLeft w:val="0"/>
                  <w:marRight w:val="0"/>
                  <w:marTop w:val="0"/>
                  <w:marBottom w:val="0"/>
                  <w:divBdr>
                    <w:top w:val="none" w:sz="0" w:space="0" w:color="auto"/>
                    <w:left w:val="none" w:sz="0" w:space="0" w:color="auto"/>
                    <w:bottom w:val="none" w:sz="0" w:space="0" w:color="auto"/>
                    <w:right w:val="none" w:sz="0" w:space="0" w:color="auto"/>
                  </w:divBdr>
                  <w:divsChild>
                    <w:div w:id="1759715047">
                      <w:marLeft w:val="0"/>
                      <w:marRight w:val="0"/>
                      <w:marTop w:val="0"/>
                      <w:marBottom w:val="0"/>
                      <w:divBdr>
                        <w:top w:val="none" w:sz="0" w:space="0" w:color="auto"/>
                        <w:left w:val="none" w:sz="0" w:space="0" w:color="auto"/>
                        <w:bottom w:val="none" w:sz="0" w:space="0" w:color="auto"/>
                        <w:right w:val="none" w:sz="0" w:space="0" w:color="auto"/>
                      </w:divBdr>
                    </w:div>
                  </w:divsChild>
                </w:div>
                <w:div w:id="148521107">
                  <w:marLeft w:val="0"/>
                  <w:marRight w:val="0"/>
                  <w:marTop w:val="0"/>
                  <w:marBottom w:val="0"/>
                  <w:divBdr>
                    <w:top w:val="none" w:sz="0" w:space="0" w:color="auto"/>
                    <w:left w:val="none" w:sz="0" w:space="0" w:color="auto"/>
                    <w:bottom w:val="none" w:sz="0" w:space="0" w:color="auto"/>
                    <w:right w:val="none" w:sz="0" w:space="0" w:color="auto"/>
                  </w:divBdr>
                  <w:divsChild>
                    <w:div w:id="1266226344">
                      <w:marLeft w:val="0"/>
                      <w:marRight w:val="0"/>
                      <w:marTop w:val="0"/>
                      <w:marBottom w:val="0"/>
                      <w:divBdr>
                        <w:top w:val="none" w:sz="0" w:space="0" w:color="auto"/>
                        <w:left w:val="none" w:sz="0" w:space="0" w:color="auto"/>
                        <w:bottom w:val="none" w:sz="0" w:space="0" w:color="auto"/>
                        <w:right w:val="none" w:sz="0" w:space="0" w:color="auto"/>
                      </w:divBdr>
                    </w:div>
                  </w:divsChild>
                </w:div>
                <w:div w:id="168250722">
                  <w:marLeft w:val="0"/>
                  <w:marRight w:val="0"/>
                  <w:marTop w:val="0"/>
                  <w:marBottom w:val="0"/>
                  <w:divBdr>
                    <w:top w:val="none" w:sz="0" w:space="0" w:color="auto"/>
                    <w:left w:val="none" w:sz="0" w:space="0" w:color="auto"/>
                    <w:bottom w:val="none" w:sz="0" w:space="0" w:color="auto"/>
                    <w:right w:val="none" w:sz="0" w:space="0" w:color="auto"/>
                  </w:divBdr>
                  <w:divsChild>
                    <w:div w:id="1075201189">
                      <w:marLeft w:val="0"/>
                      <w:marRight w:val="0"/>
                      <w:marTop w:val="0"/>
                      <w:marBottom w:val="0"/>
                      <w:divBdr>
                        <w:top w:val="none" w:sz="0" w:space="0" w:color="auto"/>
                        <w:left w:val="none" w:sz="0" w:space="0" w:color="auto"/>
                        <w:bottom w:val="none" w:sz="0" w:space="0" w:color="auto"/>
                        <w:right w:val="none" w:sz="0" w:space="0" w:color="auto"/>
                      </w:divBdr>
                    </w:div>
                  </w:divsChild>
                </w:div>
                <w:div w:id="259142916">
                  <w:marLeft w:val="0"/>
                  <w:marRight w:val="0"/>
                  <w:marTop w:val="0"/>
                  <w:marBottom w:val="0"/>
                  <w:divBdr>
                    <w:top w:val="none" w:sz="0" w:space="0" w:color="auto"/>
                    <w:left w:val="none" w:sz="0" w:space="0" w:color="auto"/>
                    <w:bottom w:val="none" w:sz="0" w:space="0" w:color="auto"/>
                    <w:right w:val="none" w:sz="0" w:space="0" w:color="auto"/>
                  </w:divBdr>
                  <w:divsChild>
                    <w:div w:id="906110018">
                      <w:marLeft w:val="0"/>
                      <w:marRight w:val="0"/>
                      <w:marTop w:val="0"/>
                      <w:marBottom w:val="0"/>
                      <w:divBdr>
                        <w:top w:val="none" w:sz="0" w:space="0" w:color="auto"/>
                        <w:left w:val="none" w:sz="0" w:space="0" w:color="auto"/>
                        <w:bottom w:val="none" w:sz="0" w:space="0" w:color="auto"/>
                        <w:right w:val="none" w:sz="0" w:space="0" w:color="auto"/>
                      </w:divBdr>
                    </w:div>
                  </w:divsChild>
                </w:div>
                <w:div w:id="259148337">
                  <w:marLeft w:val="0"/>
                  <w:marRight w:val="0"/>
                  <w:marTop w:val="0"/>
                  <w:marBottom w:val="0"/>
                  <w:divBdr>
                    <w:top w:val="none" w:sz="0" w:space="0" w:color="auto"/>
                    <w:left w:val="none" w:sz="0" w:space="0" w:color="auto"/>
                    <w:bottom w:val="none" w:sz="0" w:space="0" w:color="auto"/>
                    <w:right w:val="none" w:sz="0" w:space="0" w:color="auto"/>
                  </w:divBdr>
                  <w:divsChild>
                    <w:div w:id="1527670081">
                      <w:marLeft w:val="0"/>
                      <w:marRight w:val="0"/>
                      <w:marTop w:val="0"/>
                      <w:marBottom w:val="0"/>
                      <w:divBdr>
                        <w:top w:val="none" w:sz="0" w:space="0" w:color="auto"/>
                        <w:left w:val="none" w:sz="0" w:space="0" w:color="auto"/>
                        <w:bottom w:val="none" w:sz="0" w:space="0" w:color="auto"/>
                        <w:right w:val="none" w:sz="0" w:space="0" w:color="auto"/>
                      </w:divBdr>
                    </w:div>
                  </w:divsChild>
                </w:div>
                <w:div w:id="264533000">
                  <w:marLeft w:val="0"/>
                  <w:marRight w:val="0"/>
                  <w:marTop w:val="0"/>
                  <w:marBottom w:val="0"/>
                  <w:divBdr>
                    <w:top w:val="none" w:sz="0" w:space="0" w:color="auto"/>
                    <w:left w:val="none" w:sz="0" w:space="0" w:color="auto"/>
                    <w:bottom w:val="none" w:sz="0" w:space="0" w:color="auto"/>
                    <w:right w:val="none" w:sz="0" w:space="0" w:color="auto"/>
                  </w:divBdr>
                  <w:divsChild>
                    <w:div w:id="628782335">
                      <w:marLeft w:val="0"/>
                      <w:marRight w:val="0"/>
                      <w:marTop w:val="0"/>
                      <w:marBottom w:val="0"/>
                      <w:divBdr>
                        <w:top w:val="none" w:sz="0" w:space="0" w:color="auto"/>
                        <w:left w:val="none" w:sz="0" w:space="0" w:color="auto"/>
                        <w:bottom w:val="none" w:sz="0" w:space="0" w:color="auto"/>
                        <w:right w:val="none" w:sz="0" w:space="0" w:color="auto"/>
                      </w:divBdr>
                    </w:div>
                  </w:divsChild>
                </w:div>
                <w:div w:id="382101024">
                  <w:marLeft w:val="0"/>
                  <w:marRight w:val="0"/>
                  <w:marTop w:val="0"/>
                  <w:marBottom w:val="0"/>
                  <w:divBdr>
                    <w:top w:val="none" w:sz="0" w:space="0" w:color="auto"/>
                    <w:left w:val="none" w:sz="0" w:space="0" w:color="auto"/>
                    <w:bottom w:val="none" w:sz="0" w:space="0" w:color="auto"/>
                    <w:right w:val="none" w:sz="0" w:space="0" w:color="auto"/>
                  </w:divBdr>
                  <w:divsChild>
                    <w:div w:id="1377000802">
                      <w:marLeft w:val="0"/>
                      <w:marRight w:val="0"/>
                      <w:marTop w:val="0"/>
                      <w:marBottom w:val="0"/>
                      <w:divBdr>
                        <w:top w:val="none" w:sz="0" w:space="0" w:color="auto"/>
                        <w:left w:val="none" w:sz="0" w:space="0" w:color="auto"/>
                        <w:bottom w:val="none" w:sz="0" w:space="0" w:color="auto"/>
                        <w:right w:val="none" w:sz="0" w:space="0" w:color="auto"/>
                      </w:divBdr>
                    </w:div>
                  </w:divsChild>
                </w:div>
                <w:div w:id="446394972">
                  <w:marLeft w:val="0"/>
                  <w:marRight w:val="0"/>
                  <w:marTop w:val="0"/>
                  <w:marBottom w:val="0"/>
                  <w:divBdr>
                    <w:top w:val="none" w:sz="0" w:space="0" w:color="auto"/>
                    <w:left w:val="none" w:sz="0" w:space="0" w:color="auto"/>
                    <w:bottom w:val="none" w:sz="0" w:space="0" w:color="auto"/>
                    <w:right w:val="none" w:sz="0" w:space="0" w:color="auto"/>
                  </w:divBdr>
                  <w:divsChild>
                    <w:div w:id="57096133">
                      <w:marLeft w:val="0"/>
                      <w:marRight w:val="0"/>
                      <w:marTop w:val="0"/>
                      <w:marBottom w:val="0"/>
                      <w:divBdr>
                        <w:top w:val="none" w:sz="0" w:space="0" w:color="auto"/>
                        <w:left w:val="none" w:sz="0" w:space="0" w:color="auto"/>
                        <w:bottom w:val="none" w:sz="0" w:space="0" w:color="auto"/>
                        <w:right w:val="none" w:sz="0" w:space="0" w:color="auto"/>
                      </w:divBdr>
                    </w:div>
                  </w:divsChild>
                </w:div>
                <w:div w:id="555161342">
                  <w:marLeft w:val="0"/>
                  <w:marRight w:val="0"/>
                  <w:marTop w:val="0"/>
                  <w:marBottom w:val="0"/>
                  <w:divBdr>
                    <w:top w:val="none" w:sz="0" w:space="0" w:color="auto"/>
                    <w:left w:val="none" w:sz="0" w:space="0" w:color="auto"/>
                    <w:bottom w:val="none" w:sz="0" w:space="0" w:color="auto"/>
                    <w:right w:val="none" w:sz="0" w:space="0" w:color="auto"/>
                  </w:divBdr>
                  <w:divsChild>
                    <w:div w:id="19821023">
                      <w:marLeft w:val="0"/>
                      <w:marRight w:val="0"/>
                      <w:marTop w:val="0"/>
                      <w:marBottom w:val="0"/>
                      <w:divBdr>
                        <w:top w:val="none" w:sz="0" w:space="0" w:color="auto"/>
                        <w:left w:val="none" w:sz="0" w:space="0" w:color="auto"/>
                        <w:bottom w:val="none" w:sz="0" w:space="0" w:color="auto"/>
                        <w:right w:val="none" w:sz="0" w:space="0" w:color="auto"/>
                      </w:divBdr>
                    </w:div>
                  </w:divsChild>
                </w:div>
                <w:div w:id="562763205">
                  <w:marLeft w:val="0"/>
                  <w:marRight w:val="0"/>
                  <w:marTop w:val="0"/>
                  <w:marBottom w:val="0"/>
                  <w:divBdr>
                    <w:top w:val="none" w:sz="0" w:space="0" w:color="auto"/>
                    <w:left w:val="none" w:sz="0" w:space="0" w:color="auto"/>
                    <w:bottom w:val="none" w:sz="0" w:space="0" w:color="auto"/>
                    <w:right w:val="none" w:sz="0" w:space="0" w:color="auto"/>
                  </w:divBdr>
                  <w:divsChild>
                    <w:div w:id="419637992">
                      <w:marLeft w:val="0"/>
                      <w:marRight w:val="0"/>
                      <w:marTop w:val="0"/>
                      <w:marBottom w:val="0"/>
                      <w:divBdr>
                        <w:top w:val="none" w:sz="0" w:space="0" w:color="auto"/>
                        <w:left w:val="none" w:sz="0" w:space="0" w:color="auto"/>
                        <w:bottom w:val="none" w:sz="0" w:space="0" w:color="auto"/>
                        <w:right w:val="none" w:sz="0" w:space="0" w:color="auto"/>
                      </w:divBdr>
                    </w:div>
                  </w:divsChild>
                </w:div>
                <w:div w:id="570849754">
                  <w:marLeft w:val="0"/>
                  <w:marRight w:val="0"/>
                  <w:marTop w:val="0"/>
                  <w:marBottom w:val="0"/>
                  <w:divBdr>
                    <w:top w:val="none" w:sz="0" w:space="0" w:color="auto"/>
                    <w:left w:val="none" w:sz="0" w:space="0" w:color="auto"/>
                    <w:bottom w:val="none" w:sz="0" w:space="0" w:color="auto"/>
                    <w:right w:val="none" w:sz="0" w:space="0" w:color="auto"/>
                  </w:divBdr>
                  <w:divsChild>
                    <w:div w:id="1886525125">
                      <w:marLeft w:val="0"/>
                      <w:marRight w:val="0"/>
                      <w:marTop w:val="0"/>
                      <w:marBottom w:val="0"/>
                      <w:divBdr>
                        <w:top w:val="none" w:sz="0" w:space="0" w:color="auto"/>
                        <w:left w:val="none" w:sz="0" w:space="0" w:color="auto"/>
                        <w:bottom w:val="none" w:sz="0" w:space="0" w:color="auto"/>
                        <w:right w:val="none" w:sz="0" w:space="0" w:color="auto"/>
                      </w:divBdr>
                    </w:div>
                  </w:divsChild>
                </w:div>
                <w:div w:id="632102324">
                  <w:marLeft w:val="0"/>
                  <w:marRight w:val="0"/>
                  <w:marTop w:val="0"/>
                  <w:marBottom w:val="0"/>
                  <w:divBdr>
                    <w:top w:val="none" w:sz="0" w:space="0" w:color="auto"/>
                    <w:left w:val="none" w:sz="0" w:space="0" w:color="auto"/>
                    <w:bottom w:val="none" w:sz="0" w:space="0" w:color="auto"/>
                    <w:right w:val="none" w:sz="0" w:space="0" w:color="auto"/>
                  </w:divBdr>
                  <w:divsChild>
                    <w:div w:id="1613898515">
                      <w:marLeft w:val="0"/>
                      <w:marRight w:val="0"/>
                      <w:marTop w:val="0"/>
                      <w:marBottom w:val="0"/>
                      <w:divBdr>
                        <w:top w:val="none" w:sz="0" w:space="0" w:color="auto"/>
                        <w:left w:val="none" w:sz="0" w:space="0" w:color="auto"/>
                        <w:bottom w:val="none" w:sz="0" w:space="0" w:color="auto"/>
                        <w:right w:val="none" w:sz="0" w:space="0" w:color="auto"/>
                      </w:divBdr>
                    </w:div>
                  </w:divsChild>
                </w:div>
                <w:div w:id="645935487">
                  <w:marLeft w:val="0"/>
                  <w:marRight w:val="0"/>
                  <w:marTop w:val="0"/>
                  <w:marBottom w:val="0"/>
                  <w:divBdr>
                    <w:top w:val="none" w:sz="0" w:space="0" w:color="auto"/>
                    <w:left w:val="none" w:sz="0" w:space="0" w:color="auto"/>
                    <w:bottom w:val="none" w:sz="0" w:space="0" w:color="auto"/>
                    <w:right w:val="none" w:sz="0" w:space="0" w:color="auto"/>
                  </w:divBdr>
                  <w:divsChild>
                    <w:div w:id="399910515">
                      <w:marLeft w:val="0"/>
                      <w:marRight w:val="0"/>
                      <w:marTop w:val="0"/>
                      <w:marBottom w:val="0"/>
                      <w:divBdr>
                        <w:top w:val="none" w:sz="0" w:space="0" w:color="auto"/>
                        <w:left w:val="none" w:sz="0" w:space="0" w:color="auto"/>
                        <w:bottom w:val="none" w:sz="0" w:space="0" w:color="auto"/>
                        <w:right w:val="none" w:sz="0" w:space="0" w:color="auto"/>
                      </w:divBdr>
                    </w:div>
                  </w:divsChild>
                </w:div>
                <w:div w:id="651983361">
                  <w:marLeft w:val="0"/>
                  <w:marRight w:val="0"/>
                  <w:marTop w:val="0"/>
                  <w:marBottom w:val="0"/>
                  <w:divBdr>
                    <w:top w:val="none" w:sz="0" w:space="0" w:color="auto"/>
                    <w:left w:val="none" w:sz="0" w:space="0" w:color="auto"/>
                    <w:bottom w:val="none" w:sz="0" w:space="0" w:color="auto"/>
                    <w:right w:val="none" w:sz="0" w:space="0" w:color="auto"/>
                  </w:divBdr>
                  <w:divsChild>
                    <w:div w:id="1571112959">
                      <w:marLeft w:val="0"/>
                      <w:marRight w:val="0"/>
                      <w:marTop w:val="0"/>
                      <w:marBottom w:val="0"/>
                      <w:divBdr>
                        <w:top w:val="none" w:sz="0" w:space="0" w:color="auto"/>
                        <w:left w:val="none" w:sz="0" w:space="0" w:color="auto"/>
                        <w:bottom w:val="none" w:sz="0" w:space="0" w:color="auto"/>
                        <w:right w:val="none" w:sz="0" w:space="0" w:color="auto"/>
                      </w:divBdr>
                    </w:div>
                  </w:divsChild>
                </w:div>
                <w:div w:id="662513100">
                  <w:marLeft w:val="0"/>
                  <w:marRight w:val="0"/>
                  <w:marTop w:val="0"/>
                  <w:marBottom w:val="0"/>
                  <w:divBdr>
                    <w:top w:val="none" w:sz="0" w:space="0" w:color="auto"/>
                    <w:left w:val="none" w:sz="0" w:space="0" w:color="auto"/>
                    <w:bottom w:val="none" w:sz="0" w:space="0" w:color="auto"/>
                    <w:right w:val="none" w:sz="0" w:space="0" w:color="auto"/>
                  </w:divBdr>
                  <w:divsChild>
                    <w:div w:id="46415367">
                      <w:marLeft w:val="0"/>
                      <w:marRight w:val="0"/>
                      <w:marTop w:val="0"/>
                      <w:marBottom w:val="0"/>
                      <w:divBdr>
                        <w:top w:val="none" w:sz="0" w:space="0" w:color="auto"/>
                        <w:left w:val="none" w:sz="0" w:space="0" w:color="auto"/>
                        <w:bottom w:val="none" w:sz="0" w:space="0" w:color="auto"/>
                        <w:right w:val="none" w:sz="0" w:space="0" w:color="auto"/>
                      </w:divBdr>
                    </w:div>
                  </w:divsChild>
                </w:div>
                <w:div w:id="673410969">
                  <w:marLeft w:val="0"/>
                  <w:marRight w:val="0"/>
                  <w:marTop w:val="0"/>
                  <w:marBottom w:val="0"/>
                  <w:divBdr>
                    <w:top w:val="none" w:sz="0" w:space="0" w:color="auto"/>
                    <w:left w:val="none" w:sz="0" w:space="0" w:color="auto"/>
                    <w:bottom w:val="none" w:sz="0" w:space="0" w:color="auto"/>
                    <w:right w:val="none" w:sz="0" w:space="0" w:color="auto"/>
                  </w:divBdr>
                  <w:divsChild>
                    <w:div w:id="84421306">
                      <w:marLeft w:val="0"/>
                      <w:marRight w:val="0"/>
                      <w:marTop w:val="0"/>
                      <w:marBottom w:val="0"/>
                      <w:divBdr>
                        <w:top w:val="none" w:sz="0" w:space="0" w:color="auto"/>
                        <w:left w:val="none" w:sz="0" w:space="0" w:color="auto"/>
                        <w:bottom w:val="none" w:sz="0" w:space="0" w:color="auto"/>
                        <w:right w:val="none" w:sz="0" w:space="0" w:color="auto"/>
                      </w:divBdr>
                    </w:div>
                  </w:divsChild>
                </w:div>
                <w:div w:id="778259631">
                  <w:marLeft w:val="0"/>
                  <w:marRight w:val="0"/>
                  <w:marTop w:val="0"/>
                  <w:marBottom w:val="0"/>
                  <w:divBdr>
                    <w:top w:val="none" w:sz="0" w:space="0" w:color="auto"/>
                    <w:left w:val="none" w:sz="0" w:space="0" w:color="auto"/>
                    <w:bottom w:val="none" w:sz="0" w:space="0" w:color="auto"/>
                    <w:right w:val="none" w:sz="0" w:space="0" w:color="auto"/>
                  </w:divBdr>
                  <w:divsChild>
                    <w:div w:id="559946275">
                      <w:marLeft w:val="0"/>
                      <w:marRight w:val="0"/>
                      <w:marTop w:val="0"/>
                      <w:marBottom w:val="0"/>
                      <w:divBdr>
                        <w:top w:val="none" w:sz="0" w:space="0" w:color="auto"/>
                        <w:left w:val="none" w:sz="0" w:space="0" w:color="auto"/>
                        <w:bottom w:val="none" w:sz="0" w:space="0" w:color="auto"/>
                        <w:right w:val="none" w:sz="0" w:space="0" w:color="auto"/>
                      </w:divBdr>
                    </w:div>
                  </w:divsChild>
                </w:div>
                <w:div w:id="799766288">
                  <w:marLeft w:val="0"/>
                  <w:marRight w:val="0"/>
                  <w:marTop w:val="0"/>
                  <w:marBottom w:val="0"/>
                  <w:divBdr>
                    <w:top w:val="none" w:sz="0" w:space="0" w:color="auto"/>
                    <w:left w:val="none" w:sz="0" w:space="0" w:color="auto"/>
                    <w:bottom w:val="none" w:sz="0" w:space="0" w:color="auto"/>
                    <w:right w:val="none" w:sz="0" w:space="0" w:color="auto"/>
                  </w:divBdr>
                  <w:divsChild>
                    <w:div w:id="526064393">
                      <w:marLeft w:val="0"/>
                      <w:marRight w:val="0"/>
                      <w:marTop w:val="0"/>
                      <w:marBottom w:val="0"/>
                      <w:divBdr>
                        <w:top w:val="none" w:sz="0" w:space="0" w:color="auto"/>
                        <w:left w:val="none" w:sz="0" w:space="0" w:color="auto"/>
                        <w:bottom w:val="none" w:sz="0" w:space="0" w:color="auto"/>
                        <w:right w:val="none" w:sz="0" w:space="0" w:color="auto"/>
                      </w:divBdr>
                    </w:div>
                  </w:divsChild>
                </w:div>
                <w:div w:id="821584046">
                  <w:marLeft w:val="0"/>
                  <w:marRight w:val="0"/>
                  <w:marTop w:val="0"/>
                  <w:marBottom w:val="0"/>
                  <w:divBdr>
                    <w:top w:val="none" w:sz="0" w:space="0" w:color="auto"/>
                    <w:left w:val="none" w:sz="0" w:space="0" w:color="auto"/>
                    <w:bottom w:val="none" w:sz="0" w:space="0" w:color="auto"/>
                    <w:right w:val="none" w:sz="0" w:space="0" w:color="auto"/>
                  </w:divBdr>
                  <w:divsChild>
                    <w:div w:id="455484867">
                      <w:marLeft w:val="0"/>
                      <w:marRight w:val="0"/>
                      <w:marTop w:val="0"/>
                      <w:marBottom w:val="0"/>
                      <w:divBdr>
                        <w:top w:val="none" w:sz="0" w:space="0" w:color="auto"/>
                        <w:left w:val="none" w:sz="0" w:space="0" w:color="auto"/>
                        <w:bottom w:val="none" w:sz="0" w:space="0" w:color="auto"/>
                        <w:right w:val="none" w:sz="0" w:space="0" w:color="auto"/>
                      </w:divBdr>
                    </w:div>
                  </w:divsChild>
                </w:div>
                <w:div w:id="847448849">
                  <w:marLeft w:val="0"/>
                  <w:marRight w:val="0"/>
                  <w:marTop w:val="0"/>
                  <w:marBottom w:val="0"/>
                  <w:divBdr>
                    <w:top w:val="none" w:sz="0" w:space="0" w:color="auto"/>
                    <w:left w:val="none" w:sz="0" w:space="0" w:color="auto"/>
                    <w:bottom w:val="none" w:sz="0" w:space="0" w:color="auto"/>
                    <w:right w:val="none" w:sz="0" w:space="0" w:color="auto"/>
                  </w:divBdr>
                  <w:divsChild>
                    <w:div w:id="1330400863">
                      <w:marLeft w:val="0"/>
                      <w:marRight w:val="0"/>
                      <w:marTop w:val="0"/>
                      <w:marBottom w:val="0"/>
                      <w:divBdr>
                        <w:top w:val="none" w:sz="0" w:space="0" w:color="auto"/>
                        <w:left w:val="none" w:sz="0" w:space="0" w:color="auto"/>
                        <w:bottom w:val="none" w:sz="0" w:space="0" w:color="auto"/>
                        <w:right w:val="none" w:sz="0" w:space="0" w:color="auto"/>
                      </w:divBdr>
                    </w:div>
                  </w:divsChild>
                </w:div>
                <w:div w:id="907421328">
                  <w:marLeft w:val="0"/>
                  <w:marRight w:val="0"/>
                  <w:marTop w:val="0"/>
                  <w:marBottom w:val="0"/>
                  <w:divBdr>
                    <w:top w:val="none" w:sz="0" w:space="0" w:color="auto"/>
                    <w:left w:val="none" w:sz="0" w:space="0" w:color="auto"/>
                    <w:bottom w:val="none" w:sz="0" w:space="0" w:color="auto"/>
                    <w:right w:val="none" w:sz="0" w:space="0" w:color="auto"/>
                  </w:divBdr>
                  <w:divsChild>
                    <w:div w:id="569265422">
                      <w:marLeft w:val="0"/>
                      <w:marRight w:val="0"/>
                      <w:marTop w:val="0"/>
                      <w:marBottom w:val="0"/>
                      <w:divBdr>
                        <w:top w:val="none" w:sz="0" w:space="0" w:color="auto"/>
                        <w:left w:val="none" w:sz="0" w:space="0" w:color="auto"/>
                        <w:bottom w:val="none" w:sz="0" w:space="0" w:color="auto"/>
                        <w:right w:val="none" w:sz="0" w:space="0" w:color="auto"/>
                      </w:divBdr>
                    </w:div>
                  </w:divsChild>
                </w:div>
                <w:div w:id="913591790">
                  <w:marLeft w:val="0"/>
                  <w:marRight w:val="0"/>
                  <w:marTop w:val="0"/>
                  <w:marBottom w:val="0"/>
                  <w:divBdr>
                    <w:top w:val="none" w:sz="0" w:space="0" w:color="auto"/>
                    <w:left w:val="none" w:sz="0" w:space="0" w:color="auto"/>
                    <w:bottom w:val="none" w:sz="0" w:space="0" w:color="auto"/>
                    <w:right w:val="none" w:sz="0" w:space="0" w:color="auto"/>
                  </w:divBdr>
                  <w:divsChild>
                    <w:div w:id="766510482">
                      <w:marLeft w:val="0"/>
                      <w:marRight w:val="0"/>
                      <w:marTop w:val="0"/>
                      <w:marBottom w:val="0"/>
                      <w:divBdr>
                        <w:top w:val="none" w:sz="0" w:space="0" w:color="auto"/>
                        <w:left w:val="none" w:sz="0" w:space="0" w:color="auto"/>
                        <w:bottom w:val="none" w:sz="0" w:space="0" w:color="auto"/>
                        <w:right w:val="none" w:sz="0" w:space="0" w:color="auto"/>
                      </w:divBdr>
                    </w:div>
                  </w:divsChild>
                </w:div>
                <w:div w:id="982661396">
                  <w:marLeft w:val="0"/>
                  <w:marRight w:val="0"/>
                  <w:marTop w:val="0"/>
                  <w:marBottom w:val="0"/>
                  <w:divBdr>
                    <w:top w:val="none" w:sz="0" w:space="0" w:color="auto"/>
                    <w:left w:val="none" w:sz="0" w:space="0" w:color="auto"/>
                    <w:bottom w:val="none" w:sz="0" w:space="0" w:color="auto"/>
                    <w:right w:val="none" w:sz="0" w:space="0" w:color="auto"/>
                  </w:divBdr>
                  <w:divsChild>
                    <w:div w:id="767383726">
                      <w:marLeft w:val="0"/>
                      <w:marRight w:val="0"/>
                      <w:marTop w:val="0"/>
                      <w:marBottom w:val="0"/>
                      <w:divBdr>
                        <w:top w:val="none" w:sz="0" w:space="0" w:color="auto"/>
                        <w:left w:val="none" w:sz="0" w:space="0" w:color="auto"/>
                        <w:bottom w:val="none" w:sz="0" w:space="0" w:color="auto"/>
                        <w:right w:val="none" w:sz="0" w:space="0" w:color="auto"/>
                      </w:divBdr>
                    </w:div>
                  </w:divsChild>
                </w:div>
                <w:div w:id="1090272403">
                  <w:marLeft w:val="0"/>
                  <w:marRight w:val="0"/>
                  <w:marTop w:val="0"/>
                  <w:marBottom w:val="0"/>
                  <w:divBdr>
                    <w:top w:val="none" w:sz="0" w:space="0" w:color="auto"/>
                    <w:left w:val="none" w:sz="0" w:space="0" w:color="auto"/>
                    <w:bottom w:val="none" w:sz="0" w:space="0" w:color="auto"/>
                    <w:right w:val="none" w:sz="0" w:space="0" w:color="auto"/>
                  </w:divBdr>
                  <w:divsChild>
                    <w:div w:id="1540701633">
                      <w:marLeft w:val="0"/>
                      <w:marRight w:val="0"/>
                      <w:marTop w:val="0"/>
                      <w:marBottom w:val="0"/>
                      <w:divBdr>
                        <w:top w:val="none" w:sz="0" w:space="0" w:color="auto"/>
                        <w:left w:val="none" w:sz="0" w:space="0" w:color="auto"/>
                        <w:bottom w:val="none" w:sz="0" w:space="0" w:color="auto"/>
                        <w:right w:val="none" w:sz="0" w:space="0" w:color="auto"/>
                      </w:divBdr>
                    </w:div>
                  </w:divsChild>
                </w:div>
                <w:div w:id="1175804438">
                  <w:marLeft w:val="0"/>
                  <w:marRight w:val="0"/>
                  <w:marTop w:val="0"/>
                  <w:marBottom w:val="0"/>
                  <w:divBdr>
                    <w:top w:val="none" w:sz="0" w:space="0" w:color="auto"/>
                    <w:left w:val="none" w:sz="0" w:space="0" w:color="auto"/>
                    <w:bottom w:val="none" w:sz="0" w:space="0" w:color="auto"/>
                    <w:right w:val="none" w:sz="0" w:space="0" w:color="auto"/>
                  </w:divBdr>
                  <w:divsChild>
                    <w:div w:id="1369455542">
                      <w:marLeft w:val="0"/>
                      <w:marRight w:val="0"/>
                      <w:marTop w:val="0"/>
                      <w:marBottom w:val="0"/>
                      <w:divBdr>
                        <w:top w:val="none" w:sz="0" w:space="0" w:color="auto"/>
                        <w:left w:val="none" w:sz="0" w:space="0" w:color="auto"/>
                        <w:bottom w:val="none" w:sz="0" w:space="0" w:color="auto"/>
                        <w:right w:val="none" w:sz="0" w:space="0" w:color="auto"/>
                      </w:divBdr>
                    </w:div>
                  </w:divsChild>
                </w:div>
                <w:div w:id="1202203148">
                  <w:marLeft w:val="0"/>
                  <w:marRight w:val="0"/>
                  <w:marTop w:val="0"/>
                  <w:marBottom w:val="0"/>
                  <w:divBdr>
                    <w:top w:val="none" w:sz="0" w:space="0" w:color="auto"/>
                    <w:left w:val="none" w:sz="0" w:space="0" w:color="auto"/>
                    <w:bottom w:val="none" w:sz="0" w:space="0" w:color="auto"/>
                    <w:right w:val="none" w:sz="0" w:space="0" w:color="auto"/>
                  </w:divBdr>
                  <w:divsChild>
                    <w:div w:id="461070845">
                      <w:marLeft w:val="0"/>
                      <w:marRight w:val="0"/>
                      <w:marTop w:val="0"/>
                      <w:marBottom w:val="0"/>
                      <w:divBdr>
                        <w:top w:val="none" w:sz="0" w:space="0" w:color="auto"/>
                        <w:left w:val="none" w:sz="0" w:space="0" w:color="auto"/>
                        <w:bottom w:val="none" w:sz="0" w:space="0" w:color="auto"/>
                        <w:right w:val="none" w:sz="0" w:space="0" w:color="auto"/>
                      </w:divBdr>
                    </w:div>
                  </w:divsChild>
                </w:div>
                <w:div w:id="1267880623">
                  <w:marLeft w:val="0"/>
                  <w:marRight w:val="0"/>
                  <w:marTop w:val="0"/>
                  <w:marBottom w:val="0"/>
                  <w:divBdr>
                    <w:top w:val="none" w:sz="0" w:space="0" w:color="auto"/>
                    <w:left w:val="none" w:sz="0" w:space="0" w:color="auto"/>
                    <w:bottom w:val="none" w:sz="0" w:space="0" w:color="auto"/>
                    <w:right w:val="none" w:sz="0" w:space="0" w:color="auto"/>
                  </w:divBdr>
                  <w:divsChild>
                    <w:div w:id="1665084454">
                      <w:marLeft w:val="0"/>
                      <w:marRight w:val="0"/>
                      <w:marTop w:val="0"/>
                      <w:marBottom w:val="0"/>
                      <w:divBdr>
                        <w:top w:val="none" w:sz="0" w:space="0" w:color="auto"/>
                        <w:left w:val="none" w:sz="0" w:space="0" w:color="auto"/>
                        <w:bottom w:val="none" w:sz="0" w:space="0" w:color="auto"/>
                        <w:right w:val="none" w:sz="0" w:space="0" w:color="auto"/>
                      </w:divBdr>
                    </w:div>
                  </w:divsChild>
                </w:div>
                <w:div w:id="1296331857">
                  <w:marLeft w:val="0"/>
                  <w:marRight w:val="0"/>
                  <w:marTop w:val="0"/>
                  <w:marBottom w:val="0"/>
                  <w:divBdr>
                    <w:top w:val="none" w:sz="0" w:space="0" w:color="auto"/>
                    <w:left w:val="none" w:sz="0" w:space="0" w:color="auto"/>
                    <w:bottom w:val="none" w:sz="0" w:space="0" w:color="auto"/>
                    <w:right w:val="none" w:sz="0" w:space="0" w:color="auto"/>
                  </w:divBdr>
                  <w:divsChild>
                    <w:div w:id="1570995301">
                      <w:marLeft w:val="0"/>
                      <w:marRight w:val="0"/>
                      <w:marTop w:val="0"/>
                      <w:marBottom w:val="0"/>
                      <w:divBdr>
                        <w:top w:val="none" w:sz="0" w:space="0" w:color="auto"/>
                        <w:left w:val="none" w:sz="0" w:space="0" w:color="auto"/>
                        <w:bottom w:val="none" w:sz="0" w:space="0" w:color="auto"/>
                        <w:right w:val="none" w:sz="0" w:space="0" w:color="auto"/>
                      </w:divBdr>
                    </w:div>
                  </w:divsChild>
                </w:div>
                <w:div w:id="1310406412">
                  <w:marLeft w:val="0"/>
                  <w:marRight w:val="0"/>
                  <w:marTop w:val="0"/>
                  <w:marBottom w:val="0"/>
                  <w:divBdr>
                    <w:top w:val="none" w:sz="0" w:space="0" w:color="auto"/>
                    <w:left w:val="none" w:sz="0" w:space="0" w:color="auto"/>
                    <w:bottom w:val="none" w:sz="0" w:space="0" w:color="auto"/>
                    <w:right w:val="none" w:sz="0" w:space="0" w:color="auto"/>
                  </w:divBdr>
                  <w:divsChild>
                    <w:div w:id="1477644775">
                      <w:marLeft w:val="0"/>
                      <w:marRight w:val="0"/>
                      <w:marTop w:val="0"/>
                      <w:marBottom w:val="0"/>
                      <w:divBdr>
                        <w:top w:val="none" w:sz="0" w:space="0" w:color="auto"/>
                        <w:left w:val="none" w:sz="0" w:space="0" w:color="auto"/>
                        <w:bottom w:val="none" w:sz="0" w:space="0" w:color="auto"/>
                        <w:right w:val="none" w:sz="0" w:space="0" w:color="auto"/>
                      </w:divBdr>
                    </w:div>
                  </w:divsChild>
                </w:div>
                <w:div w:id="1370953901">
                  <w:marLeft w:val="0"/>
                  <w:marRight w:val="0"/>
                  <w:marTop w:val="0"/>
                  <w:marBottom w:val="0"/>
                  <w:divBdr>
                    <w:top w:val="none" w:sz="0" w:space="0" w:color="auto"/>
                    <w:left w:val="none" w:sz="0" w:space="0" w:color="auto"/>
                    <w:bottom w:val="none" w:sz="0" w:space="0" w:color="auto"/>
                    <w:right w:val="none" w:sz="0" w:space="0" w:color="auto"/>
                  </w:divBdr>
                  <w:divsChild>
                    <w:div w:id="58137227">
                      <w:marLeft w:val="0"/>
                      <w:marRight w:val="0"/>
                      <w:marTop w:val="0"/>
                      <w:marBottom w:val="0"/>
                      <w:divBdr>
                        <w:top w:val="none" w:sz="0" w:space="0" w:color="auto"/>
                        <w:left w:val="none" w:sz="0" w:space="0" w:color="auto"/>
                        <w:bottom w:val="none" w:sz="0" w:space="0" w:color="auto"/>
                        <w:right w:val="none" w:sz="0" w:space="0" w:color="auto"/>
                      </w:divBdr>
                    </w:div>
                  </w:divsChild>
                </w:div>
                <w:div w:id="1416900753">
                  <w:marLeft w:val="0"/>
                  <w:marRight w:val="0"/>
                  <w:marTop w:val="0"/>
                  <w:marBottom w:val="0"/>
                  <w:divBdr>
                    <w:top w:val="none" w:sz="0" w:space="0" w:color="auto"/>
                    <w:left w:val="none" w:sz="0" w:space="0" w:color="auto"/>
                    <w:bottom w:val="none" w:sz="0" w:space="0" w:color="auto"/>
                    <w:right w:val="none" w:sz="0" w:space="0" w:color="auto"/>
                  </w:divBdr>
                  <w:divsChild>
                    <w:div w:id="823744744">
                      <w:marLeft w:val="0"/>
                      <w:marRight w:val="0"/>
                      <w:marTop w:val="0"/>
                      <w:marBottom w:val="0"/>
                      <w:divBdr>
                        <w:top w:val="none" w:sz="0" w:space="0" w:color="auto"/>
                        <w:left w:val="none" w:sz="0" w:space="0" w:color="auto"/>
                        <w:bottom w:val="none" w:sz="0" w:space="0" w:color="auto"/>
                        <w:right w:val="none" w:sz="0" w:space="0" w:color="auto"/>
                      </w:divBdr>
                    </w:div>
                  </w:divsChild>
                </w:div>
                <w:div w:id="1433627770">
                  <w:marLeft w:val="0"/>
                  <w:marRight w:val="0"/>
                  <w:marTop w:val="0"/>
                  <w:marBottom w:val="0"/>
                  <w:divBdr>
                    <w:top w:val="none" w:sz="0" w:space="0" w:color="auto"/>
                    <w:left w:val="none" w:sz="0" w:space="0" w:color="auto"/>
                    <w:bottom w:val="none" w:sz="0" w:space="0" w:color="auto"/>
                    <w:right w:val="none" w:sz="0" w:space="0" w:color="auto"/>
                  </w:divBdr>
                  <w:divsChild>
                    <w:div w:id="1887330366">
                      <w:marLeft w:val="0"/>
                      <w:marRight w:val="0"/>
                      <w:marTop w:val="0"/>
                      <w:marBottom w:val="0"/>
                      <w:divBdr>
                        <w:top w:val="none" w:sz="0" w:space="0" w:color="auto"/>
                        <w:left w:val="none" w:sz="0" w:space="0" w:color="auto"/>
                        <w:bottom w:val="none" w:sz="0" w:space="0" w:color="auto"/>
                        <w:right w:val="none" w:sz="0" w:space="0" w:color="auto"/>
                      </w:divBdr>
                    </w:div>
                  </w:divsChild>
                </w:div>
                <w:div w:id="1527057933">
                  <w:marLeft w:val="0"/>
                  <w:marRight w:val="0"/>
                  <w:marTop w:val="0"/>
                  <w:marBottom w:val="0"/>
                  <w:divBdr>
                    <w:top w:val="none" w:sz="0" w:space="0" w:color="auto"/>
                    <w:left w:val="none" w:sz="0" w:space="0" w:color="auto"/>
                    <w:bottom w:val="none" w:sz="0" w:space="0" w:color="auto"/>
                    <w:right w:val="none" w:sz="0" w:space="0" w:color="auto"/>
                  </w:divBdr>
                  <w:divsChild>
                    <w:div w:id="350256065">
                      <w:marLeft w:val="0"/>
                      <w:marRight w:val="0"/>
                      <w:marTop w:val="0"/>
                      <w:marBottom w:val="0"/>
                      <w:divBdr>
                        <w:top w:val="none" w:sz="0" w:space="0" w:color="auto"/>
                        <w:left w:val="none" w:sz="0" w:space="0" w:color="auto"/>
                        <w:bottom w:val="none" w:sz="0" w:space="0" w:color="auto"/>
                        <w:right w:val="none" w:sz="0" w:space="0" w:color="auto"/>
                      </w:divBdr>
                    </w:div>
                  </w:divsChild>
                </w:div>
                <w:div w:id="1603343459">
                  <w:marLeft w:val="0"/>
                  <w:marRight w:val="0"/>
                  <w:marTop w:val="0"/>
                  <w:marBottom w:val="0"/>
                  <w:divBdr>
                    <w:top w:val="none" w:sz="0" w:space="0" w:color="auto"/>
                    <w:left w:val="none" w:sz="0" w:space="0" w:color="auto"/>
                    <w:bottom w:val="none" w:sz="0" w:space="0" w:color="auto"/>
                    <w:right w:val="none" w:sz="0" w:space="0" w:color="auto"/>
                  </w:divBdr>
                  <w:divsChild>
                    <w:div w:id="1101606117">
                      <w:marLeft w:val="0"/>
                      <w:marRight w:val="0"/>
                      <w:marTop w:val="0"/>
                      <w:marBottom w:val="0"/>
                      <w:divBdr>
                        <w:top w:val="none" w:sz="0" w:space="0" w:color="auto"/>
                        <w:left w:val="none" w:sz="0" w:space="0" w:color="auto"/>
                        <w:bottom w:val="none" w:sz="0" w:space="0" w:color="auto"/>
                        <w:right w:val="none" w:sz="0" w:space="0" w:color="auto"/>
                      </w:divBdr>
                    </w:div>
                  </w:divsChild>
                </w:div>
                <w:div w:id="1614364957">
                  <w:marLeft w:val="0"/>
                  <w:marRight w:val="0"/>
                  <w:marTop w:val="0"/>
                  <w:marBottom w:val="0"/>
                  <w:divBdr>
                    <w:top w:val="none" w:sz="0" w:space="0" w:color="auto"/>
                    <w:left w:val="none" w:sz="0" w:space="0" w:color="auto"/>
                    <w:bottom w:val="none" w:sz="0" w:space="0" w:color="auto"/>
                    <w:right w:val="none" w:sz="0" w:space="0" w:color="auto"/>
                  </w:divBdr>
                  <w:divsChild>
                    <w:div w:id="1942958006">
                      <w:marLeft w:val="0"/>
                      <w:marRight w:val="0"/>
                      <w:marTop w:val="0"/>
                      <w:marBottom w:val="0"/>
                      <w:divBdr>
                        <w:top w:val="none" w:sz="0" w:space="0" w:color="auto"/>
                        <w:left w:val="none" w:sz="0" w:space="0" w:color="auto"/>
                        <w:bottom w:val="none" w:sz="0" w:space="0" w:color="auto"/>
                        <w:right w:val="none" w:sz="0" w:space="0" w:color="auto"/>
                      </w:divBdr>
                    </w:div>
                  </w:divsChild>
                </w:div>
                <w:div w:id="1639649139">
                  <w:marLeft w:val="0"/>
                  <w:marRight w:val="0"/>
                  <w:marTop w:val="0"/>
                  <w:marBottom w:val="0"/>
                  <w:divBdr>
                    <w:top w:val="none" w:sz="0" w:space="0" w:color="auto"/>
                    <w:left w:val="none" w:sz="0" w:space="0" w:color="auto"/>
                    <w:bottom w:val="none" w:sz="0" w:space="0" w:color="auto"/>
                    <w:right w:val="none" w:sz="0" w:space="0" w:color="auto"/>
                  </w:divBdr>
                  <w:divsChild>
                    <w:div w:id="725418330">
                      <w:marLeft w:val="0"/>
                      <w:marRight w:val="0"/>
                      <w:marTop w:val="0"/>
                      <w:marBottom w:val="0"/>
                      <w:divBdr>
                        <w:top w:val="none" w:sz="0" w:space="0" w:color="auto"/>
                        <w:left w:val="none" w:sz="0" w:space="0" w:color="auto"/>
                        <w:bottom w:val="none" w:sz="0" w:space="0" w:color="auto"/>
                        <w:right w:val="none" w:sz="0" w:space="0" w:color="auto"/>
                      </w:divBdr>
                    </w:div>
                  </w:divsChild>
                </w:div>
                <w:div w:id="1645040650">
                  <w:marLeft w:val="0"/>
                  <w:marRight w:val="0"/>
                  <w:marTop w:val="0"/>
                  <w:marBottom w:val="0"/>
                  <w:divBdr>
                    <w:top w:val="none" w:sz="0" w:space="0" w:color="auto"/>
                    <w:left w:val="none" w:sz="0" w:space="0" w:color="auto"/>
                    <w:bottom w:val="none" w:sz="0" w:space="0" w:color="auto"/>
                    <w:right w:val="none" w:sz="0" w:space="0" w:color="auto"/>
                  </w:divBdr>
                  <w:divsChild>
                    <w:div w:id="483280877">
                      <w:marLeft w:val="0"/>
                      <w:marRight w:val="0"/>
                      <w:marTop w:val="0"/>
                      <w:marBottom w:val="0"/>
                      <w:divBdr>
                        <w:top w:val="none" w:sz="0" w:space="0" w:color="auto"/>
                        <w:left w:val="none" w:sz="0" w:space="0" w:color="auto"/>
                        <w:bottom w:val="none" w:sz="0" w:space="0" w:color="auto"/>
                        <w:right w:val="none" w:sz="0" w:space="0" w:color="auto"/>
                      </w:divBdr>
                    </w:div>
                  </w:divsChild>
                </w:div>
                <w:div w:id="1674524281">
                  <w:marLeft w:val="0"/>
                  <w:marRight w:val="0"/>
                  <w:marTop w:val="0"/>
                  <w:marBottom w:val="0"/>
                  <w:divBdr>
                    <w:top w:val="none" w:sz="0" w:space="0" w:color="auto"/>
                    <w:left w:val="none" w:sz="0" w:space="0" w:color="auto"/>
                    <w:bottom w:val="none" w:sz="0" w:space="0" w:color="auto"/>
                    <w:right w:val="none" w:sz="0" w:space="0" w:color="auto"/>
                  </w:divBdr>
                  <w:divsChild>
                    <w:div w:id="1929733717">
                      <w:marLeft w:val="0"/>
                      <w:marRight w:val="0"/>
                      <w:marTop w:val="0"/>
                      <w:marBottom w:val="0"/>
                      <w:divBdr>
                        <w:top w:val="none" w:sz="0" w:space="0" w:color="auto"/>
                        <w:left w:val="none" w:sz="0" w:space="0" w:color="auto"/>
                        <w:bottom w:val="none" w:sz="0" w:space="0" w:color="auto"/>
                        <w:right w:val="none" w:sz="0" w:space="0" w:color="auto"/>
                      </w:divBdr>
                    </w:div>
                  </w:divsChild>
                </w:div>
                <w:div w:id="1692411536">
                  <w:marLeft w:val="0"/>
                  <w:marRight w:val="0"/>
                  <w:marTop w:val="0"/>
                  <w:marBottom w:val="0"/>
                  <w:divBdr>
                    <w:top w:val="none" w:sz="0" w:space="0" w:color="auto"/>
                    <w:left w:val="none" w:sz="0" w:space="0" w:color="auto"/>
                    <w:bottom w:val="none" w:sz="0" w:space="0" w:color="auto"/>
                    <w:right w:val="none" w:sz="0" w:space="0" w:color="auto"/>
                  </w:divBdr>
                  <w:divsChild>
                    <w:div w:id="344015112">
                      <w:marLeft w:val="0"/>
                      <w:marRight w:val="0"/>
                      <w:marTop w:val="0"/>
                      <w:marBottom w:val="0"/>
                      <w:divBdr>
                        <w:top w:val="none" w:sz="0" w:space="0" w:color="auto"/>
                        <w:left w:val="none" w:sz="0" w:space="0" w:color="auto"/>
                        <w:bottom w:val="none" w:sz="0" w:space="0" w:color="auto"/>
                        <w:right w:val="none" w:sz="0" w:space="0" w:color="auto"/>
                      </w:divBdr>
                    </w:div>
                  </w:divsChild>
                </w:div>
                <w:div w:id="1715348657">
                  <w:marLeft w:val="0"/>
                  <w:marRight w:val="0"/>
                  <w:marTop w:val="0"/>
                  <w:marBottom w:val="0"/>
                  <w:divBdr>
                    <w:top w:val="none" w:sz="0" w:space="0" w:color="auto"/>
                    <w:left w:val="none" w:sz="0" w:space="0" w:color="auto"/>
                    <w:bottom w:val="none" w:sz="0" w:space="0" w:color="auto"/>
                    <w:right w:val="none" w:sz="0" w:space="0" w:color="auto"/>
                  </w:divBdr>
                  <w:divsChild>
                    <w:div w:id="66344125">
                      <w:marLeft w:val="0"/>
                      <w:marRight w:val="0"/>
                      <w:marTop w:val="0"/>
                      <w:marBottom w:val="0"/>
                      <w:divBdr>
                        <w:top w:val="none" w:sz="0" w:space="0" w:color="auto"/>
                        <w:left w:val="none" w:sz="0" w:space="0" w:color="auto"/>
                        <w:bottom w:val="none" w:sz="0" w:space="0" w:color="auto"/>
                        <w:right w:val="none" w:sz="0" w:space="0" w:color="auto"/>
                      </w:divBdr>
                    </w:div>
                  </w:divsChild>
                </w:div>
                <w:div w:id="1735933702">
                  <w:marLeft w:val="0"/>
                  <w:marRight w:val="0"/>
                  <w:marTop w:val="0"/>
                  <w:marBottom w:val="0"/>
                  <w:divBdr>
                    <w:top w:val="none" w:sz="0" w:space="0" w:color="auto"/>
                    <w:left w:val="none" w:sz="0" w:space="0" w:color="auto"/>
                    <w:bottom w:val="none" w:sz="0" w:space="0" w:color="auto"/>
                    <w:right w:val="none" w:sz="0" w:space="0" w:color="auto"/>
                  </w:divBdr>
                  <w:divsChild>
                    <w:div w:id="2135249518">
                      <w:marLeft w:val="0"/>
                      <w:marRight w:val="0"/>
                      <w:marTop w:val="0"/>
                      <w:marBottom w:val="0"/>
                      <w:divBdr>
                        <w:top w:val="none" w:sz="0" w:space="0" w:color="auto"/>
                        <w:left w:val="none" w:sz="0" w:space="0" w:color="auto"/>
                        <w:bottom w:val="none" w:sz="0" w:space="0" w:color="auto"/>
                        <w:right w:val="none" w:sz="0" w:space="0" w:color="auto"/>
                      </w:divBdr>
                    </w:div>
                  </w:divsChild>
                </w:div>
                <w:div w:id="1780877744">
                  <w:marLeft w:val="0"/>
                  <w:marRight w:val="0"/>
                  <w:marTop w:val="0"/>
                  <w:marBottom w:val="0"/>
                  <w:divBdr>
                    <w:top w:val="none" w:sz="0" w:space="0" w:color="auto"/>
                    <w:left w:val="none" w:sz="0" w:space="0" w:color="auto"/>
                    <w:bottom w:val="none" w:sz="0" w:space="0" w:color="auto"/>
                    <w:right w:val="none" w:sz="0" w:space="0" w:color="auto"/>
                  </w:divBdr>
                  <w:divsChild>
                    <w:div w:id="557976790">
                      <w:marLeft w:val="0"/>
                      <w:marRight w:val="0"/>
                      <w:marTop w:val="0"/>
                      <w:marBottom w:val="0"/>
                      <w:divBdr>
                        <w:top w:val="none" w:sz="0" w:space="0" w:color="auto"/>
                        <w:left w:val="none" w:sz="0" w:space="0" w:color="auto"/>
                        <w:bottom w:val="none" w:sz="0" w:space="0" w:color="auto"/>
                        <w:right w:val="none" w:sz="0" w:space="0" w:color="auto"/>
                      </w:divBdr>
                    </w:div>
                  </w:divsChild>
                </w:div>
                <w:div w:id="1880969321">
                  <w:marLeft w:val="0"/>
                  <w:marRight w:val="0"/>
                  <w:marTop w:val="0"/>
                  <w:marBottom w:val="0"/>
                  <w:divBdr>
                    <w:top w:val="none" w:sz="0" w:space="0" w:color="auto"/>
                    <w:left w:val="none" w:sz="0" w:space="0" w:color="auto"/>
                    <w:bottom w:val="none" w:sz="0" w:space="0" w:color="auto"/>
                    <w:right w:val="none" w:sz="0" w:space="0" w:color="auto"/>
                  </w:divBdr>
                  <w:divsChild>
                    <w:div w:id="937831603">
                      <w:marLeft w:val="0"/>
                      <w:marRight w:val="0"/>
                      <w:marTop w:val="0"/>
                      <w:marBottom w:val="0"/>
                      <w:divBdr>
                        <w:top w:val="none" w:sz="0" w:space="0" w:color="auto"/>
                        <w:left w:val="none" w:sz="0" w:space="0" w:color="auto"/>
                        <w:bottom w:val="none" w:sz="0" w:space="0" w:color="auto"/>
                        <w:right w:val="none" w:sz="0" w:space="0" w:color="auto"/>
                      </w:divBdr>
                    </w:div>
                  </w:divsChild>
                </w:div>
                <w:div w:id="1888906076">
                  <w:marLeft w:val="0"/>
                  <w:marRight w:val="0"/>
                  <w:marTop w:val="0"/>
                  <w:marBottom w:val="0"/>
                  <w:divBdr>
                    <w:top w:val="none" w:sz="0" w:space="0" w:color="auto"/>
                    <w:left w:val="none" w:sz="0" w:space="0" w:color="auto"/>
                    <w:bottom w:val="none" w:sz="0" w:space="0" w:color="auto"/>
                    <w:right w:val="none" w:sz="0" w:space="0" w:color="auto"/>
                  </w:divBdr>
                  <w:divsChild>
                    <w:div w:id="795758383">
                      <w:marLeft w:val="0"/>
                      <w:marRight w:val="0"/>
                      <w:marTop w:val="0"/>
                      <w:marBottom w:val="0"/>
                      <w:divBdr>
                        <w:top w:val="none" w:sz="0" w:space="0" w:color="auto"/>
                        <w:left w:val="none" w:sz="0" w:space="0" w:color="auto"/>
                        <w:bottom w:val="none" w:sz="0" w:space="0" w:color="auto"/>
                        <w:right w:val="none" w:sz="0" w:space="0" w:color="auto"/>
                      </w:divBdr>
                    </w:div>
                  </w:divsChild>
                </w:div>
                <w:div w:id="1975671557">
                  <w:marLeft w:val="0"/>
                  <w:marRight w:val="0"/>
                  <w:marTop w:val="0"/>
                  <w:marBottom w:val="0"/>
                  <w:divBdr>
                    <w:top w:val="none" w:sz="0" w:space="0" w:color="auto"/>
                    <w:left w:val="none" w:sz="0" w:space="0" w:color="auto"/>
                    <w:bottom w:val="none" w:sz="0" w:space="0" w:color="auto"/>
                    <w:right w:val="none" w:sz="0" w:space="0" w:color="auto"/>
                  </w:divBdr>
                  <w:divsChild>
                    <w:div w:id="1236818596">
                      <w:marLeft w:val="0"/>
                      <w:marRight w:val="0"/>
                      <w:marTop w:val="0"/>
                      <w:marBottom w:val="0"/>
                      <w:divBdr>
                        <w:top w:val="none" w:sz="0" w:space="0" w:color="auto"/>
                        <w:left w:val="none" w:sz="0" w:space="0" w:color="auto"/>
                        <w:bottom w:val="none" w:sz="0" w:space="0" w:color="auto"/>
                        <w:right w:val="none" w:sz="0" w:space="0" w:color="auto"/>
                      </w:divBdr>
                    </w:div>
                  </w:divsChild>
                </w:div>
                <w:div w:id="1976107171">
                  <w:marLeft w:val="0"/>
                  <w:marRight w:val="0"/>
                  <w:marTop w:val="0"/>
                  <w:marBottom w:val="0"/>
                  <w:divBdr>
                    <w:top w:val="none" w:sz="0" w:space="0" w:color="auto"/>
                    <w:left w:val="none" w:sz="0" w:space="0" w:color="auto"/>
                    <w:bottom w:val="none" w:sz="0" w:space="0" w:color="auto"/>
                    <w:right w:val="none" w:sz="0" w:space="0" w:color="auto"/>
                  </w:divBdr>
                  <w:divsChild>
                    <w:div w:id="1055468190">
                      <w:marLeft w:val="0"/>
                      <w:marRight w:val="0"/>
                      <w:marTop w:val="0"/>
                      <w:marBottom w:val="0"/>
                      <w:divBdr>
                        <w:top w:val="none" w:sz="0" w:space="0" w:color="auto"/>
                        <w:left w:val="none" w:sz="0" w:space="0" w:color="auto"/>
                        <w:bottom w:val="none" w:sz="0" w:space="0" w:color="auto"/>
                        <w:right w:val="none" w:sz="0" w:space="0" w:color="auto"/>
                      </w:divBdr>
                    </w:div>
                  </w:divsChild>
                </w:div>
                <w:div w:id="1999116212">
                  <w:marLeft w:val="0"/>
                  <w:marRight w:val="0"/>
                  <w:marTop w:val="0"/>
                  <w:marBottom w:val="0"/>
                  <w:divBdr>
                    <w:top w:val="none" w:sz="0" w:space="0" w:color="auto"/>
                    <w:left w:val="none" w:sz="0" w:space="0" w:color="auto"/>
                    <w:bottom w:val="none" w:sz="0" w:space="0" w:color="auto"/>
                    <w:right w:val="none" w:sz="0" w:space="0" w:color="auto"/>
                  </w:divBdr>
                  <w:divsChild>
                    <w:div w:id="2036734043">
                      <w:marLeft w:val="0"/>
                      <w:marRight w:val="0"/>
                      <w:marTop w:val="0"/>
                      <w:marBottom w:val="0"/>
                      <w:divBdr>
                        <w:top w:val="none" w:sz="0" w:space="0" w:color="auto"/>
                        <w:left w:val="none" w:sz="0" w:space="0" w:color="auto"/>
                        <w:bottom w:val="none" w:sz="0" w:space="0" w:color="auto"/>
                        <w:right w:val="none" w:sz="0" w:space="0" w:color="auto"/>
                      </w:divBdr>
                    </w:div>
                  </w:divsChild>
                </w:div>
                <w:div w:id="2014018943">
                  <w:marLeft w:val="0"/>
                  <w:marRight w:val="0"/>
                  <w:marTop w:val="0"/>
                  <w:marBottom w:val="0"/>
                  <w:divBdr>
                    <w:top w:val="none" w:sz="0" w:space="0" w:color="auto"/>
                    <w:left w:val="none" w:sz="0" w:space="0" w:color="auto"/>
                    <w:bottom w:val="none" w:sz="0" w:space="0" w:color="auto"/>
                    <w:right w:val="none" w:sz="0" w:space="0" w:color="auto"/>
                  </w:divBdr>
                  <w:divsChild>
                    <w:div w:id="23988551">
                      <w:marLeft w:val="0"/>
                      <w:marRight w:val="0"/>
                      <w:marTop w:val="0"/>
                      <w:marBottom w:val="0"/>
                      <w:divBdr>
                        <w:top w:val="none" w:sz="0" w:space="0" w:color="auto"/>
                        <w:left w:val="none" w:sz="0" w:space="0" w:color="auto"/>
                        <w:bottom w:val="none" w:sz="0" w:space="0" w:color="auto"/>
                        <w:right w:val="none" w:sz="0" w:space="0" w:color="auto"/>
                      </w:divBdr>
                    </w:div>
                  </w:divsChild>
                </w:div>
                <w:div w:id="2015497862">
                  <w:marLeft w:val="0"/>
                  <w:marRight w:val="0"/>
                  <w:marTop w:val="0"/>
                  <w:marBottom w:val="0"/>
                  <w:divBdr>
                    <w:top w:val="none" w:sz="0" w:space="0" w:color="auto"/>
                    <w:left w:val="none" w:sz="0" w:space="0" w:color="auto"/>
                    <w:bottom w:val="none" w:sz="0" w:space="0" w:color="auto"/>
                    <w:right w:val="none" w:sz="0" w:space="0" w:color="auto"/>
                  </w:divBdr>
                  <w:divsChild>
                    <w:div w:id="950867572">
                      <w:marLeft w:val="0"/>
                      <w:marRight w:val="0"/>
                      <w:marTop w:val="0"/>
                      <w:marBottom w:val="0"/>
                      <w:divBdr>
                        <w:top w:val="none" w:sz="0" w:space="0" w:color="auto"/>
                        <w:left w:val="none" w:sz="0" w:space="0" w:color="auto"/>
                        <w:bottom w:val="none" w:sz="0" w:space="0" w:color="auto"/>
                        <w:right w:val="none" w:sz="0" w:space="0" w:color="auto"/>
                      </w:divBdr>
                    </w:div>
                  </w:divsChild>
                </w:div>
                <w:div w:id="2021151447">
                  <w:marLeft w:val="0"/>
                  <w:marRight w:val="0"/>
                  <w:marTop w:val="0"/>
                  <w:marBottom w:val="0"/>
                  <w:divBdr>
                    <w:top w:val="none" w:sz="0" w:space="0" w:color="auto"/>
                    <w:left w:val="none" w:sz="0" w:space="0" w:color="auto"/>
                    <w:bottom w:val="none" w:sz="0" w:space="0" w:color="auto"/>
                    <w:right w:val="none" w:sz="0" w:space="0" w:color="auto"/>
                  </w:divBdr>
                  <w:divsChild>
                    <w:div w:id="825631182">
                      <w:marLeft w:val="0"/>
                      <w:marRight w:val="0"/>
                      <w:marTop w:val="0"/>
                      <w:marBottom w:val="0"/>
                      <w:divBdr>
                        <w:top w:val="none" w:sz="0" w:space="0" w:color="auto"/>
                        <w:left w:val="none" w:sz="0" w:space="0" w:color="auto"/>
                        <w:bottom w:val="none" w:sz="0" w:space="0" w:color="auto"/>
                        <w:right w:val="none" w:sz="0" w:space="0" w:color="auto"/>
                      </w:divBdr>
                    </w:div>
                  </w:divsChild>
                </w:div>
                <w:div w:id="2069566123">
                  <w:marLeft w:val="0"/>
                  <w:marRight w:val="0"/>
                  <w:marTop w:val="0"/>
                  <w:marBottom w:val="0"/>
                  <w:divBdr>
                    <w:top w:val="none" w:sz="0" w:space="0" w:color="auto"/>
                    <w:left w:val="none" w:sz="0" w:space="0" w:color="auto"/>
                    <w:bottom w:val="none" w:sz="0" w:space="0" w:color="auto"/>
                    <w:right w:val="none" w:sz="0" w:space="0" w:color="auto"/>
                  </w:divBdr>
                  <w:divsChild>
                    <w:div w:id="456872258">
                      <w:marLeft w:val="0"/>
                      <w:marRight w:val="0"/>
                      <w:marTop w:val="0"/>
                      <w:marBottom w:val="0"/>
                      <w:divBdr>
                        <w:top w:val="none" w:sz="0" w:space="0" w:color="auto"/>
                        <w:left w:val="none" w:sz="0" w:space="0" w:color="auto"/>
                        <w:bottom w:val="none" w:sz="0" w:space="0" w:color="auto"/>
                        <w:right w:val="none" w:sz="0" w:space="0" w:color="auto"/>
                      </w:divBdr>
                    </w:div>
                  </w:divsChild>
                </w:div>
                <w:div w:id="2130126029">
                  <w:marLeft w:val="0"/>
                  <w:marRight w:val="0"/>
                  <w:marTop w:val="0"/>
                  <w:marBottom w:val="0"/>
                  <w:divBdr>
                    <w:top w:val="none" w:sz="0" w:space="0" w:color="auto"/>
                    <w:left w:val="none" w:sz="0" w:space="0" w:color="auto"/>
                    <w:bottom w:val="none" w:sz="0" w:space="0" w:color="auto"/>
                    <w:right w:val="none" w:sz="0" w:space="0" w:color="auto"/>
                  </w:divBdr>
                  <w:divsChild>
                    <w:div w:id="10346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67914">
          <w:marLeft w:val="0"/>
          <w:marRight w:val="0"/>
          <w:marTop w:val="0"/>
          <w:marBottom w:val="0"/>
          <w:divBdr>
            <w:top w:val="none" w:sz="0" w:space="0" w:color="auto"/>
            <w:left w:val="none" w:sz="0" w:space="0" w:color="auto"/>
            <w:bottom w:val="none" w:sz="0" w:space="0" w:color="auto"/>
            <w:right w:val="none" w:sz="0" w:space="0" w:color="auto"/>
          </w:divBdr>
          <w:divsChild>
            <w:div w:id="2084254226">
              <w:marLeft w:val="-75"/>
              <w:marRight w:val="0"/>
              <w:marTop w:val="30"/>
              <w:marBottom w:val="30"/>
              <w:divBdr>
                <w:top w:val="none" w:sz="0" w:space="0" w:color="auto"/>
                <w:left w:val="none" w:sz="0" w:space="0" w:color="auto"/>
                <w:bottom w:val="none" w:sz="0" w:space="0" w:color="auto"/>
                <w:right w:val="none" w:sz="0" w:space="0" w:color="auto"/>
              </w:divBdr>
              <w:divsChild>
                <w:div w:id="59326451">
                  <w:marLeft w:val="0"/>
                  <w:marRight w:val="0"/>
                  <w:marTop w:val="0"/>
                  <w:marBottom w:val="0"/>
                  <w:divBdr>
                    <w:top w:val="none" w:sz="0" w:space="0" w:color="auto"/>
                    <w:left w:val="none" w:sz="0" w:space="0" w:color="auto"/>
                    <w:bottom w:val="none" w:sz="0" w:space="0" w:color="auto"/>
                    <w:right w:val="none" w:sz="0" w:space="0" w:color="auto"/>
                  </w:divBdr>
                  <w:divsChild>
                    <w:div w:id="1552955606">
                      <w:marLeft w:val="0"/>
                      <w:marRight w:val="0"/>
                      <w:marTop w:val="0"/>
                      <w:marBottom w:val="0"/>
                      <w:divBdr>
                        <w:top w:val="none" w:sz="0" w:space="0" w:color="auto"/>
                        <w:left w:val="none" w:sz="0" w:space="0" w:color="auto"/>
                        <w:bottom w:val="none" w:sz="0" w:space="0" w:color="auto"/>
                        <w:right w:val="none" w:sz="0" w:space="0" w:color="auto"/>
                      </w:divBdr>
                    </w:div>
                  </w:divsChild>
                </w:div>
                <w:div w:id="59602789">
                  <w:marLeft w:val="0"/>
                  <w:marRight w:val="0"/>
                  <w:marTop w:val="0"/>
                  <w:marBottom w:val="0"/>
                  <w:divBdr>
                    <w:top w:val="none" w:sz="0" w:space="0" w:color="auto"/>
                    <w:left w:val="none" w:sz="0" w:space="0" w:color="auto"/>
                    <w:bottom w:val="none" w:sz="0" w:space="0" w:color="auto"/>
                    <w:right w:val="none" w:sz="0" w:space="0" w:color="auto"/>
                  </w:divBdr>
                  <w:divsChild>
                    <w:div w:id="1383746732">
                      <w:marLeft w:val="0"/>
                      <w:marRight w:val="0"/>
                      <w:marTop w:val="0"/>
                      <w:marBottom w:val="0"/>
                      <w:divBdr>
                        <w:top w:val="none" w:sz="0" w:space="0" w:color="auto"/>
                        <w:left w:val="none" w:sz="0" w:space="0" w:color="auto"/>
                        <w:bottom w:val="none" w:sz="0" w:space="0" w:color="auto"/>
                        <w:right w:val="none" w:sz="0" w:space="0" w:color="auto"/>
                      </w:divBdr>
                    </w:div>
                  </w:divsChild>
                </w:div>
                <w:div w:id="60299737">
                  <w:marLeft w:val="0"/>
                  <w:marRight w:val="0"/>
                  <w:marTop w:val="0"/>
                  <w:marBottom w:val="0"/>
                  <w:divBdr>
                    <w:top w:val="none" w:sz="0" w:space="0" w:color="auto"/>
                    <w:left w:val="none" w:sz="0" w:space="0" w:color="auto"/>
                    <w:bottom w:val="none" w:sz="0" w:space="0" w:color="auto"/>
                    <w:right w:val="none" w:sz="0" w:space="0" w:color="auto"/>
                  </w:divBdr>
                  <w:divsChild>
                    <w:div w:id="1118765133">
                      <w:marLeft w:val="0"/>
                      <w:marRight w:val="0"/>
                      <w:marTop w:val="0"/>
                      <w:marBottom w:val="0"/>
                      <w:divBdr>
                        <w:top w:val="none" w:sz="0" w:space="0" w:color="auto"/>
                        <w:left w:val="none" w:sz="0" w:space="0" w:color="auto"/>
                        <w:bottom w:val="none" w:sz="0" w:space="0" w:color="auto"/>
                        <w:right w:val="none" w:sz="0" w:space="0" w:color="auto"/>
                      </w:divBdr>
                    </w:div>
                  </w:divsChild>
                </w:div>
                <w:div w:id="107747452">
                  <w:marLeft w:val="0"/>
                  <w:marRight w:val="0"/>
                  <w:marTop w:val="0"/>
                  <w:marBottom w:val="0"/>
                  <w:divBdr>
                    <w:top w:val="none" w:sz="0" w:space="0" w:color="auto"/>
                    <w:left w:val="none" w:sz="0" w:space="0" w:color="auto"/>
                    <w:bottom w:val="none" w:sz="0" w:space="0" w:color="auto"/>
                    <w:right w:val="none" w:sz="0" w:space="0" w:color="auto"/>
                  </w:divBdr>
                  <w:divsChild>
                    <w:div w:id="587885422">
                      <w:marLeft w:val="0"/>
                      <w:marRight w:val="0"/>
                      <w:marTop w:val="0"/>
                      <w:marBottom w:val="0"/>
                      <w:divBdr>
                        <w:top w:val="none" w:sz="0" w:space="0" w:color="auto"/>
                        <w:left w:val="none" w:sz="0" w:space="0" w:color="auto"/>
                        <w:bottom w:val="none" w:sz="0" w:space="0" w:color="auto"/>
                        <w:right w:val="none" w:sz="0" w:space="0" w:color="auto"/>
                      </w:divBdr>
                    </w:div>
                  </w:divsChild>
                </w:div>
                <w:div w:id="115369873">
                  <w:marLeft w:val="0"/>
                  <w:marRight w:val="0"/>
                  <w:marTop w:val="0"/>
                  <w:marBottom w:val="0"/>
                  <w:divBdr>
                    <w:top w:val="none" w:sz="0" w:space="0" w:color="auto"/>
                    <w:left w:val="none" w:sz="0" w:space="0" w:color="auto"/>
                    <w:bottom w:val="none" w:sz="0" w:space="0" w:color="auto"/>
                    <w:right w:val="none" w:sz="0" w:space="0" w:color="auto"/>
                  </w:divBdr>
                  <w:divsChild>
                    <w:div w:id="841162798">
                      <w:marLeft w:val="0"/>
                      <w:marRight w:val="0"/>
                      <w:marTop w:val="0"/>
                      <w:marBottom w:val="0"/>
                      <w:divBdr>
                        <w:top w:val="none" w:sz="0" w:space="0" w:color="auto"/>
                        <w:left w:val="none" w:sz="0" w:space="0" w:color="auto"/>
                        <w:bottom w:val="none" w:sz="0" w:space="0" w:color="auto"/>
                        <w:right w:val="none" w:sz="0" w:space="0" w:color="auto"/>
                      </w:divBdr>
                    </w:div>
                  </w:divsChild>
                </w:div>
                <w:div w:id="128593234">
                  <w:marLeft w:val="0"/>
                  <w:marRight w:val="0"/>
                  <w:marTop w:val="0"/>
                  <w:marBottom w:val="0"/>
                  <w:divBdr>
                    <w:top w:val="none" w:sz="0" w:space="0" w:color="auto"/>
                    <w:left w:val="none" w:sz="0" w:space="0" w:color="auto"/>
                    <w:bottom w:val="none" w:sz="0" w:space="0" w:color="auto"/>
                    <w:right w:val="none" w:sz="0" w:space="0" w:color="auto"/>
                  </w:divBdr>
                  <w:divsChild>
                    <w:div w:id="1009216376">
                      <w:marLeft w:val="0"/>
                      <w:marRight w:val="0"/>
                      <w:marTop w:val="0"/>
                      <w:marBottom w:val="0"/>
                      <w:divBdr>
                        <w:top w:val="none" w:sz="0" w:space="0" w:color="auto"/>
                        <w:left w:val="none" w:sz="0" w:space="0" w:color="auto"/>
                        <w:bottom w:val="none" w:sz="0" w:space="0" w:color="auto"/>
                        <w:right w:val="none" w:sz="0" w:space="0" w:color="auto"/>
                      </w:divBdr>
                    </w:div>
                  </w:divsChild>
                </w:div>
                <w:div w:id="131024393">
                  <w:marLeft w:val="0"/>
                  <w:marRight w:val="0"/>
                  <w:marTop w:val="0"/>
                  <w:marBottom w:val="0"/>
                  <w:divBdr>
                    <w:top w:val="none" w:sz="0" w:space="0" w:color="auto"/>
                    <w:left w:val="none" w:sz="0" w:space="0" w:color="auto"/>
                    <w:bottom w:val="none" w:sz="0" w:space="0" w:color="auto"/>
                    <w:right w:val="none" w:sz="0" w:space="0" w:color="auto"/>
                  </w:divBdr>
                  <w:divsChild>
                    <w:div w:id="1809740872">
                      <w:marLeft w:val="0"/>
                      <w:marRight w:val="0"/>
                      <w:marTop w:val="0"/>
                      <w:marBottom w:val="0"/>
                      <w:divBdr>
                        <w:top w:val="none" w:sz="0" w:space="0" w:color="auto"/>
                        <w:left w:val="none" w:sz="0" w:space="0" w:color="auto"/>
                        <w:bottom w:val="none" w:sz="0" w:space="0" w:color="auto"/>
                        <w:right w:val="none" w:sz="0" w:space="0" w:color="auto"/>
                      </w:divBdr>
                    </w:div>
                  </w:divsChild>
                </w:div>
                <w:div w:id="150026597">
                  <w:marLeft w:val="0"/>
                  <w:marRight w:val="0"/>
                  <w:marTop w:val="0"/>
                  <w:marBottom w:val="0"/>
                  <w:divBdr>
                    <w:top w:val="none" w:sz="0" w:space="0" w:color="auto"/>
                    <w:left w:val="none" w:sz="0" w:space="0" w:color="auto"/>
                    <w:bottom w:val="none" w:sz="0" w:space="0" w:color="auto"/>
                    <w:right w:val="none" w:sz="0" w:space="0" w:color="auto"/>
                  </w:divBdr>
                  <w:divsChild>
                    <w:div w:id="542792153">
                      <w:marLeft w:val="0"/>
                      <w:marRight w:val="0"/>
                      <w:marTop w:val="0"/>
                      <w:marBottom w:val="0"/>
                      <w:divBdr>
                        <w:top w:val="none" w:sz="0" w:space="0" w:color="auto"/>
                        <w:left w:val="none" w:sz="0" w:space="0" w:color="auto"/>
                        <w:bottom w:val="none" w:sz="0" w:space="0" w:color="auto"/>
                        <w:right w:val="none" w:sz="0" w:space="0" w:color="auto"/>
                      </w:divBdr>
                    </w:div>
                  </w:divsChild>
                </w:div>
                <w:div w:id="186529009">
                  <w:marLeft w:val="0"/>
                  <w:marRight w:val="0"/>
                  <w:marTop w:val="0"/>
                  <w:marBottom w:val="0"/>
                  <w:divBdr>
                    <w:top w:val="none" w:sz="0" w:space="0" w:color="auto"/>
                    <w:left w:val="none" w:sz="0" w:space="0" w:color="auto"/>
                    <w:bottom w:val="none" w:sz="0" w:space="0" w:color="auto"/>
                    <w:right w:val="none" w:sz="0" w:space="0" w:color="auto"/>
                  </w:divBdr>
                  <w:divsChild>
                    <w:div w:id="251403817">
                      <w:marLeft w:val="0"/>
                      <w:marRight w:val="0"/>
                      <w:marTop w:val="0"/>
                      <w:marBottom w:val="0"/>
                      <w:divBdr>
                        <w:top w:val="none" w:sz="0" w:space="0" w:color="auto"/>
                        <w:left w:val="none" w:sz="0" w:space="0" w:color="auto"/>
                        <w:bottom w:val="none" w:sz="0" w:space="0" w:color="auto"/>
                        <w:right w:val="none" w:sz="0" w:space="0" w:color="auto"/>
                      </w:divBdr>
                    </w:div>
                  </w:divsChild>
                </w:div>
                <w:div w:id="199510917">
                  <w:marLeft w:val="0"/>
                  <w:marRight w:val="0"/>
                  <w:marTop w:val="0"/>
                  <w:marBottom w:val="0"/>
                  <w:divBdr>
                    <w:top w:val="none" w:sz="0" w:space="0" w:color="auto"/>
                    <w:left w:val="none" w:sz="0" w:space="0" w:color="auto"/>
                    <w:bottom w:val="none" w:sz="0" w:space="0" w:color="auto"/>
                    <w:right w:val="none" w:sz="0" w:space="0" w:color="auto"/>
                  </w:divBdr>
                  <w:divsChild>
                    <w:div w:id="71659381">
                      <w:marLeft w:val="0"/>
                      <w:marRight w:val="0"/>
                      <w:marTop w:val="0"/>
                      <w:marBottom w:val="0"/>
                      <w:divBdr>
                        <w:top w:val="none" w:sz="0" w:space="0" w:color="auto"/>
                        <w:left w:val="none" w:sz="0" w:space="0" w:color="auto"/>
                        <w:bottom w:val="none" w:sz="0" w:space="0" w:color="auto"/>
                        <w:right w:val="none" w:sz="0" w:space="0" w:color="auto"/>
                      </w:divBdr>
                    </w:div>
                  </w:divsChild>
                </w:div>
                <w:div w:id="221600154">
                  <w:marLeft w:val="0"/>
                  <w:marRight w:val="0"/>
                  <w:marTop w:val="0"/>
                  <w:marBottom w:val="0"/>
                  <w:divBdr>
                    <w:top w:val="none" w:sz="0" w:space="0" w:color="auto"/>
                    <w:left w:val="none" w:sz="0" w:space="0" w:color="auto"/>
                    <w:bottom w:val="none" w:sz="0" w:space="0" w:color="auto"/>
                    <w:right w:val="none" w:sz="0" w:space="0" w:color="auto"/>
                  </w:divBdr>
                  <w:divsChild>
                    <w:div w:id="1928155636">
                      <w:marLeft w:val="0"/>
                      <w:marRight w:val="0"/>
                      <w:marTop w:val="0"/>
                      <w:marBottom w:val="0"/>
                      <w:divBdr>
                        <w:top w:val="none" w:sz="0" w:space="0" w:color="auto"/>
                        <w:left w:val="none" w:sz="0" w:space="0" w:color="auto"/>
                        <w:bottom w:val="none" w:sz="0" w:space="0" w:color="auto"/>
                        <w:right w:val="none" w:sz="0" w:space="0" w:color="auto"/>
                      </w:divBdr>
                    </w:div>
                  </w:divsChild>
                </w:div>
                <w:div w:id="252326171">
                  <w:marLeft w:val="0"/>
                  <w:marRight w:val="0"/>
                  <w:marTop w:val="0"/>
                  <w:marBottom w:val="0"/>
                  <w:divBdr>
                    <w:top w:val="none" w:sz="0" w:space="0" w:color="auto"/>
                    <w:left w:val="none" w:sz="0" w:space="0" w:color="auto"/>
                    <w:bottom w:val="none" w:sz="0" w:space="0" w:color="auto"/>
                    <w:right w:val="none" w:sz="0" w:space="0" w:color="auto"/>
                  </w:divBdr>
                  <w:divsChild>
                    <w:div w:id="591278037">
                      <w:marLeft w:val="0"/>
                      <w:marRight w:val="0"/>
                      <w:marTop w:val="0"/>
                      <w:marBottom w:val="0"/>
                      <w:divBdr>
                        <w:top w:val="none" w:sz="0" w:space="0" w:color="auto"/>
                        <w:left w:val="none" w:sz="0" w:space="0" w:color="auto"/>
                        <w:bottom w:val="none" w:sz="0" w:space="0" w:color="auto"/>
                        <w:right w:val="none" w:sz="0" w:space="0" w:color="auto"/>
                      </w:divBdr>
                    </w:div>
                  </w:divsChild>
                </w:div>
                <w:div w:id="302347205">
                  <w:marLeft w:val="0"/>
                  <w:marRight w:val="0"/>
                  <w:marTop w:val="0"/>
                  <w:marBottom w:val="0"/>
                  <w:divBdr>
                    <w:top w:val="none" w:sz="0" w:space="0" w:color="auto"/>
                    <w:left w:val="none" w:sz="0" w:space="0" w:color="auto"/>
                    <w:bottom w:val="none" w:sz="0" w:space="0" w:color="auto"/>
                    <w:right w:val="none" w:sz="0" w:space="0" w:color="auto"/>
                  </w:divBdr>
                  <w:divsChild>
                    <w:div w:id="1296907739">
                      <w:marLeft w:val="0"/>
                      <w:marRight w:val="0"/>
                      <w:marTop w:val="0"/>
                      <w:marBottom w:val="0"/>
                      <w:divBdr>
                        <w:top w:val="none" w:sz="0" w:space="0" w:color="auto"/>
                        <w:left w:val="none" w:sz="0" w:space="0" w:color="auto"/>
                        <w:bottom w:val="none" w:sz="0" w:space="0" w:color="auto"/>
                        <w:right w:val="none" w:sz="0" w:space="0" w:color="auto"/>
                      </w:divBdr>
                    </w:div>
                  </w:divsChild>
                </w:div>
                <w:div w:id="313219684">
                  <w:marLeft w:val="0"/>
                  <w:marRight w:val="0"/>
                  <w:marTop w:val="0"/>
                  <w:marBottom w:val="0"/>
                  <w:divBdr>
                    <w:top w:val="none" w:sz="0" w:space="0" w:color="auto"/>
                    <w:left w:val="none" w:sz="0" w:space="0" w:color="auto"/>
                    <w:bottom w:val="none" w:sz="0" w:space="0" w:color="auto"/>
                    <w:right w:val="none" w:sz="0" w:space="0" w:color="auto"/>
                  </w:divBdr>
                  <w:divsChild>
                    <w:div w:id="1237087647">
                      <w:marLeft w:val="0"/>
                      <w:marRight w:val="0"/>
                      <w:marTop w:val="0"/>
                      <w:marBottom w:val="0"/>
                      <w:divBdr>
                        <w:top w:val="none" w:sz="0" w:space="0" w:color="auto"/>
                        <w:left w:val="none" w:sz="0" w:space="0" w:color="auto"/>
                        <w:bottom w:val="none" w:sz="0" w:space="0" w:color="auto"/>
                        <w:right w:val="none" w:sz="0" w:space="0" w:color="auto"/>
                      </w:divBdr>
                    </w:div>
                  </w:divsChild>
                </w:div>
                <w:div w:id="315770836">
                  <w:marLeft w:val="0"/>
                  <w:marRight w:val="0"/>
                  <w:marTop w:val="0"/>
                  <w:marBottom w:val="0"/>
                  <w:divBdr>
                    <w:top w:val="none" w:sz="0" w:space="0" w:color="auto"/>
                    <w:left w:val="none" w:sz="0" w:space="0" w:color="auto"/>
                    <w:bottom w:val="none" w:sz="0" w:space="0" w:color="auto"/>
                    <w:right w:val="none" w:sz="0" w:space="0" w:color="auto"/>
                  </w:divBdr>
                  <w:divsChild>
                    <w:div w:id="1518302053">
                      <w:marLeft w:val="0"/>
                      <w:marRight w:val="0"/>
                      <w:marTop w:val="0"/>
                      <w:marBottom w:val="0"/>
                      <w:divBdr>
                        <w:top w:val="none" w:sz="0" w:space="0" w:color="auto"/>
                        <w:left w:val="none" w:sz="0" w:space="0" w:color="auto"/>
                        <w:bottom w:val="none" w:sz="0" w:space="0" w:color="auto"/>
                        <w:right w:val="none" w:sz="0" w:space="0" w:color="auto"/>
                      </w:divBdr>
                    </w:div>
                  </w:divsChild>
                </w:div>
                <w:div w:id="344863797">
                  <w:marLeft w:val="0"/>
                  <w:marRight w:val="0"/>
                  <w:marTop w:val="0"/>
                  <w:marBottom w:val="0"/>
                  <w:divBdr>
                    <w:top w:val="none" w:sz="0" w:space="0" w:color="auto"/>
                    <w:left w:val="none" w:sz="0" w:space="0" w:color="auto"/>
                    <w:bottom w:val="none" w:sz="0" w:space="0" w:color="auto"/>
                    <w:right w:val="none" w:sz="0" w:space="0" w:color="auto"/>
                  </w:divBdr>
                  <w:divsChild>
                    <w:div w:id="220021815">
                      <w:marLeft w:val="0"/>
                      <w:marRight w:val="0"/>
                      <w:marTop w:val="0"/>
                      <w:marBottom w:val="0"/>
                      <w:divBdr>
                        <w:top w:val="none" w:sz="0" w:space="0" w:color="auto"/>
                        <w:left w:val="none" w:sz="0" w:space="0" w:color="auto"/>
                        <w:bottom w:val="none" w:sz="0" w:space="0" w:color="auto"/>
                        <w:right w:val="none" w:sz="0" w:space="0" w:color="auto"/>
                      </w:divBdr>
                    </w:div>
                  </w:divsChild>
                </w:div>
                <w:div w:id="414519677">
                  <w:marLeft w:val="0"/>
                  <w:marRight w:val="0"/>
                  <w:marTop w:val="0"/>
                  <w:marBottom w:val="0"/>
                  <w:divBdr>
                    <w:top w:val="none" w:sz="0" w:space="0" w:color="auto"/>
                    <w:left w:val="none" w:sz="0" w:space="0" w:color="auto"/>
                    <w:bottom w:val="none" w:sz="0" w:space="0" w:color="auto"/>
                    <w:right w:val="none" w:sz="0" w:space="0" w:color="auto"/>
                  </w:divBdr>
                  <w:divsChild>
                    <w:div w:id="1324167869">
                      <w:marLeft w:val="0"/>
                      <w:marRight w:val="0"/>
                      <w:marTop w:val="0"/>
                      <w:marBottom w:val="0"/>
                      <w:divBdr>
                        <w:top w:val="none" w:sz="0" w:space="0" w:color="auto"/>
                        <w:left w:val="none" w:sz="0" w:space="0" w:color="auto"/>
                        <w:bottom w:val="none" w:sz="0" w:space="0" w:color="auto"/>
                        <w:right w:val="none" w:sz="0" w:space="0" w:color="auto"/>
                      </w:divBdr>
                    </w:div>
                  </w:divsChild>
                </w:div>
                <w:div w:id="435250907">
                  <w:marLeft w:val="0"/>
                  <w:marRight w:val="0"/>
                  <w:marTop w:val="0"/>
                  <w:marBottom w:val="0"/>
                  <w:divBdr>
                    <w:top w:val="none" w:sz="0" w:space="0" w:color="auto"/>
                    <w:left w:val="none" w:sz="0" w:space="0" w:color="auto"/>
                    <w:bottom w:val="none" w:sz="0" w:space="0" w:color="auto"/>
                    <w:right w:val="none" w:sz="0" w:space="0" w:color="auto"/>
                  </w:divBdr>
                  <w:divsChild>
                    <w:div w:id="741566405">
                      <w:marLeft w:val="0"/>
                      <w:marRight w:val="0"/>
                      <w:marTop w:val="0"/>
                      <w:marBottom w:val="0"/>
                      <w:divBdr>
                        <w:top w:val="none" w:sz="0" w:space="0" w:color="auto"/>
                        <w:left w:val="none" w:sz="0" w:space="0" w:color="auto"/>
                        <w:bottom w:val="none" w:sz="0" w:space="0" w:color="auto"/>
                        <w:right w:val="none" w:sz="0" w:space="0" w:color="auto"/>
                      </w:divBdr>
                    </w:div>
                  </w:divsChild>
                </w:div>
                <w:div w:id="449665930">
                  <w:marLeft w:val="0"/>
                  <w:marRight w:val="0"/>
                  <w:marTop w:val="0"/>
                  <w:marBottom w:val="0"/>
                  <w:divBdr>
                    <w:top w:val="none" w:sz="0" w:space="0" w:color="auto"/>
                    <w:left w:val="none" w:sz="0" w:space="0" w:color="auto"/>
                    <w:bottom w:val="none" w:sz="0" w:space="0" w:color="auto"/>
                    <w:right w:val="none" w:sz="0" w:space="0" w:color="auto"/>
                  </w:divBdr>
                  <w:divsChild>
                    <w:div w:id="1980382496">
                      <w:marLeft w:val="0"/>
                      <w:marRight w:val="0"/>
                      <w:marTop w:val="0"/>
                      <w:marBottom w:val="0"/>
                      <w:divBdr>
                        <w:top w:val="none" w:sz="0" w:space="0" w:color="auto"/>
                        <w:left w:val="none" w:sz="0" w:space="0" w:color="auto"/>
                        <w:bottom w:val="none" w:sz="0" w:space="0" w:color="auto"/>
                        <w:right w:val="none" w:sz="0" w:space="0" w:color="auto"/>
                      </w:divBdr>
                    </w:div>
                  </w:divsChild>
                </w:div>
                <w:div w:id="466163282">
                  <w:marLeft w:val="0"/>
                  <w:marRight w:val="0"/>
                  <w:marTop w:val="0"/>
                  <w:marBottom w:val="0"/>
                  <w:divBdr>
                    <w:top w:val="none" w:sz="0" w:space="0" w:color="auto"/>
                    <w:left w:val="none" w:sz="0" w:space="0" w:color="auto"/>
                    <w:bottom w:val="none" w:sz="0" w:space="0" w:color="auto"/>
                    <w:right w:val="none" w:sz="0" w:space="0" w:color="auto"/>
                  </w:divBdr>
                  <w:divsChild>
                    <w:div w:id="1610623143">
                      <w:marLeft w:val="0"/>
                      <w:marRight w:val="0"/>
                      <w:marTop w:val="0"/>
                      <w:marBottom w:val="0"/>
                      <w:divBdr>
                        <w:top w:val="none" w:sz="0" w:space="0" w:color="auto"/>
                        <w:left w:val="none" w:sz="0" w:space="0" w:color="auto"/>
                        <w:bottom w:val="none" w:sz="0" w:space="0" w:color="auto"/>
                        <w:right w:val="none" w:sz="0" w:space="0" w:color="auto"/>
                      </w:divBdr>
                    </w:div>
                  </w:divsChild>
                </w:div>
                <w:div w:id="500317830">
                  <w:marLeft w:val="0"/>
                  <w:marRight w:val="0"/>
                  <w:marTop w:val="0"/>
                  <w:marBottom w:val="0"/>
                  <w:divBdr>
                    <w:top w:val="none" w:sz="0" w:space="0" w:color="auto"/>
                    <w:left w:val="none" w:sz="0" w:space="0" w:color="auto"/>
                    <w:bottom w:val="none" w:sz="0" w:space="0" w:color="auto"/>
                    <w:right w:val="none" w:sz="0" w:space="0" w:color="auto"/>
                  </w:divBdr>
                  <w:divsChild>
                    <w:div w:id="898134999">
                      <w:marLeft w:val="0"/>
                      <w:marRight w:val="0"/>
                      <w:marTop w:val="0"/>
                      <w:marBottom w:val="0"/>
                      <w:divBdr>
                        <w:top w:val="none" w:sz="0" w:space="0" w:color="auto"/>
                        <w:left w:val="none" w:sz="0" w:space="0" w:color="auto"/>
                        <w:bottom w:val="none" w:sz="0" w:space="0" w:color="auto"/>
                        <w:right w:val="none" w:sz="0" w:space="0" w:color="auto"/>
                      </w:divBdr>
                    </w:div>
                  </w:divsChild>
                </w:div>
                <w:div w:id="558905488">
                  <w:marLeft w:val="0"/>
                  <w:marRight w:val="0"/>
                  <w:marTop w:val="0"/>
                  <w:marBottom w:val="0"/>
                  <w:divBdr>
                    <w:top w:val="none" w:sz="0" w:space="0" w:color="auto"/>
                    <w:left w:val="none" w:sz="0" w:space="0" w:color="auto"/>
                    <w:bottom w:val="none" w:sz="0" w:space="0" w:color="auto"/>
                    <w:right w:val="none" w:sz="0" w:space="0" w:color="auto"/>
                  </w:divBdr>
                  <w:divsChild>
                    <w:div w:id="373581355">
                      <w:marLeft w:val="0"/>
                      <w:marRight w:val="0"/>
                      <w:marTop w:val="0"/>
                      <w:marBottom w:val="0"/>
                      <w:divBdr>
                        <w:top w:val="none" w:sz="0" w:space="0" w:color="auto"/>
                        <w:left w:val="none" w:sz="0" w:space="0" w:color="auto"/>
                        <w:bottom w:val="none" w:sz="0" w:space="0" w:color="auto"/>
                        <w:right w:val="none" w:sz="0" w:space="0" w:color="auto"/>
                      </w:divBdr>
                    </w:div>
                  </w:divsChild>
                </w:div>
                <w:div w:id="580480968">
                  <w:marLeft w:val="0"/>
                  <w:marRight w:val="0"/>
                  <w:marTop w:val="0"/>
                  <w:marBottom w:val="0"/>
                  <w:divBdr>
                    <w:top w:val="none" w:sz="0" w:space="0" w:color="auto"/>
                    <w:left w:val="none" w:sz="0" w:space="0" w:color="auto"/>
                    <w:bottom w:val="none" w:sz="0" w:space="0" w:color="auto"/>
                    <w:right w:val="none" w:sz="0" w:space="0" w:color="auto"/>
                  </w:divBdr>
                  <w:divsChild>
                    <w:div w:id="1877311017">
                      <w:marLeft w:val="0"/>
                      <w:marRight w:val="0"/>
                      <w:marTop w:val="0"/>
                      <w:marBottom w:val="0"/>
                      <w:divBdr>
                        <w:top w:val="none" w:sz="0" w:space="0" w:color="auto"/>
                        <w:left w:val="none" w:sz="0" w:space="0" w:color="auto"/>
                        <w:bottom w:val="none" w:sz="0" w:space="0" w:color="auto"/>
                        <w:right w:val="none" w:sz="0" w:space="0" w:color="auto"/>
                      </w:divBdr>
                    </w:div>
                  </w:divsChild>
                </w:div>
                <w:div w:id="594747451">
                  <w:marLeft w:val="0"/>
                  <w:marRight w:val="0"/>
                  <w:marTop w:val="0"/>
                  <w:marBottom w:val="0"/>
                  <w:divBdr>
                    <w:top w:val="none" w:sz="0" w:space="0" w:color="auto"/>
                    <w:left w:val="none" w:sz="0" w:space="0" w:color="auto"/>
                    <w:bottom w:val="none" w:sz="0" w:space="0" w:color="auto"/>
                    <w:right w:val="none" w:sz="0" w:space="0" w:color="auto"/>
                  </w:divBdr>
                  <w:divsChild>
                    <w:div w:id="2030831634">
                      <w:marLeft w:val="0"/>
                      <w:marRight w:val="0"/>
                      <w:marTop w:val="0"/>
                      <w:marBottom w:val="0"/>
                      <w:divBdr>
                        <w:top w:val="none" w:sz="0" w:space="0" w:color="auto"/>
                        <w:left w:val="none" w:sz="0" w:space="0" w:color="auto"/>
                        <w:bottom w:val="none" w:sz="0" w:space="0" w:color="auto"/>
                        <w:right w:val="none" w:sz="0" w:space="0" w:color="auto"/>
                      </w:divBdr>
                    </w:div>
                  </w:divsChild>
                </w:div>
                <w:div w:id="646476041">
                  <w:marLeft w:val="0"/>
                  <w:marRight w:val="0"/>
                  <w:marTop w:val="0"/>
                  <w:marBottom w:val="0"/>
                  <w:divBdr>
                    <w:top w:val="none" w:sz="0" w:space="0" w:color="auto"/>
                    <w:left w:val="none" w:sz="0" w:space="0" w:color="auto"/>
                    <w:bottom w:val="none" w:sz="0" w:space="0" w:color="auto"/>
                    <w:right w:val="none" w:sz="0" w:space="0" w:color="auto"/>
                  </w:divBdr>
                  <w:divsChild>
                    <w:div w:id="1671442440">
                      <w:marLeft w:val="0"/>
                      <w:marRight w:val="0"/>
                      <w:marTop w:val="0"/>
                      <w:marBottom w:val="0"/>
                      <w:divBdr>
                        <w:top w:val="none" w:sz="0" w:space="0" w:color="auto"/>
                        <w:left w:val="none" w:sz="0" w:space="0" w:color="auto"/>
                        <w:bottom w:val="none" w:sz="0" w:space="0" w:color="auto"/>
                        <w:right w:val="none" w:sz="0" w:space="0" w:color="auto"/>
                      </w:divBdr>
                    </w:div>
                  </w:divsChild>
                </w:div>
                <w:div w:id="674310273">
                  <w:marLeft w:val="0"/>
                  <w:marRight w:val="0"/>
                  <w:marTop w:val="0"/>
                  <w:marBottom w:val="0"/>
                  <w:divBdr>
                    <w:top w:val="none" w:sz="0" w:space="0" w:color="auto"/>
                    <w:left w:val="none" w:sz="0" w:space="0" w:color="auto"/>
                    <w:bottom w:val="none" w:sz="0" w:space="0" w:color="auto"/>
                    <w:right w:val="none" w:sz="0" w:space="0" w:color="auto"/>
                  </w:divBdr>
                  <w:divsChild>
                    <w:div w:id="1739476101">
                      <w:marLeft w:val="0"/>
                      <w:marRight w:val="0"/>
                      <w:marTop w:val="0"/>
                      <w:marBottom w:val="0"/>
                      <w:divBdr>
                        <w:top w:val="none" w:sz="0" w:space="0" w:color="auto"/>
                        <w:left w:val="none" w:sz="0" w:space="0" w:color="auto"/>
                        <w:bottom w:val="none" w:sz="0" w:space="0" w:color="auto"/>
                        <w:right w:val="none" w:sz="0" w:space="0" w:color="auto"/>
                      </w:divBdr>
                    </w:div>
                  </w:divsChild>
                </w:div>
                <w:div w:id="692609005">
                  <w:marLeft w:val="0"/>
                  <w:marRight w:val="0"/>
                  <w:marTop w:val="0"/>
                  <w:marBottom w:val="0"/>
                  <w:divBdr>
                    <w:top w:val="none" w:sz="0" w:space="0" w:color="auto"/>
                    <w:left w:val="none" w:sz="0" w:space="0" w:color="auto"/>
                    <w:bottom w:val="none" w:sz="0" w:space="0" w:color="auto"/>
                    <w:right w:val="none" w:sz="0" w:space="0" w:color="auto"/>
                  </w:divBdr>
                  <w:divsChild>
                    <w:div w:id="869418080">
                      <w:marLeft w:val="0"/>
                      <w:marRight w:val="0"/>
                      <w:marTop w:val="0"/>
                      <w:marBottom w:val="0"/>
                      <w:divBdr>
                        <w:top w:val="none" w:sz="0" w:space="0" w:color="auto"/>
                        <w:left w:val="none" w:sz="0" w:space="0" w:color="auto"/>
                        <w:bottom w:val="none" w:sz="0" w:space="0" w:color="auto"/>
                        <w:right w:val="none" w:sz="0" w:space="0" w:color="auto"/>
                      </w:divBdr>
                    </w:div>
                  </w:divsChild>
                </w:div>
                <w:div w:id="701249234">
                  <w:marLeft w:val="0"/>
                  <w:marRight w:val="0"/>
                  <w:marTop w:val="0"/>
                  <w:marBottom w:val="0"/>
                  <w:divBdr>
                    <w:top w:val="none" w:sz="0" w:space="0" w:color="auto"/>
                    <w:left w:val="none" w:sz="0" w:space="0" w:color="auto"/>
                    <w:bottom w:val="none" w:sz="0" w:space="0" w:color="auto"/>
                    <w:right w:val="none" w:sz="0" w:space="0" w:color="auto"/>
                  </w:divBdr>
                  <w:divsChild>
                    <w:div w:id="179467383">
                      <w:marLeft w:val="0"/>
                      <w:marRight w:val="0"/>
                      <w:marTop w:val="0"/>
                      <w:marBottom w:val="0"/>
                      <w:divBdr>
                        <w:top w:val="none" w:sz="0" w:space="0" w:color="auto"/>
                        <w:left w:val="none" w:sz="0" w:space="0" w:color="auto"/>
                        <w:bottom w:val="none" w:sz="0" w:space="0" w:color="auto"/>
                        <w:right w:val="none" w:sz="0" w:space="0" w:color="auto"/>
                      </w:divBdr>
                    </w:div>
                  </w:divsChild>
                </w:div>
                <w:div w:id="730153185">
                  <w:marLeft w:val="0"/>
                  <w:marRight w:val="0"/>
                  <w:marTop w:val="0"/>
                  <w:marBottom w:val="0"/>
                  <w:divBdr>
                    <w:top w:val="none" w:sz="0" w:space="0" w:color="auto"/>
                    <w:left w:val="none" w:sz="0" w:space="0" w:color="auto"/>
                    <w:bottom w:val="none" w:sz="0" w:space="0" w:color="auto"/>
                    <w:right w:val="none" w:sz="0" w:space="0" w:color="auto"/>
                  </w:divBdr>
                  <w:divsChild>
                    <w:div w:id="751468230">
                      <w:marLeft w:val="0"/>
                      <w:marRight w:val="0"/>
                      <w:marTop w:val="0"/>
                      <w:marBottom w:val="0"/>
                      <w:divBdr>
                        <w:top w:val="none" w:sz="0" w:space="0" w:color="auto"/>
                        <w:left w:val="none" w:sz="0" w:space="0" w:color="auto"/>
                        <w:bottom w:val="none" w:sz="0" w:space="0" w:color="auto"/>
                        <w:right w:val="none" w:sz="0" w:space="0" w:color="auto"/>
                      </w:divBdr>
                    </w:div>
                  </w:divsChild>
                </w:div>
                <w:div w:id="747923714">
                  <w:marLeft w:val="0"/>
                  <w:marRight w:val="0"/>
                  <w:marTop w:val="0"/>
                  <w:marBottom w:val="0"/>
                  <w:divBdr>
                    <w:top w:val="none" w:sz="0" w:space="0" w:color="auto"/>
                    <w:left w:val="none" w:sz="0" w:space="0" w:color="auto"/>
                    <w:bottom w:val="none" w:sz="0" w:space="0" w:color="auto"/>
                    <w:right w:val="none" w:sz="0" w:space="0" w:color="auto"/>
                  </w:divBdr>
                  <w:divsChild>
                    <w:div w:id="632519122">
                      <w:marLeft w:val="0"/>
                      <w:marRight w:val="0"/>
                      <w:marTop w:val="0"/>
                      <w:marBottom w:val="0"/>
                      <w:divBdr>
                        <w:top w:val="none" w:sz="0" w:space="0" w:color="auto"/>
                        <w:left w:val="none" w:sz="0" w:space="0" w:color="auto"/>
                        <w:bottom w:val="none" w:sz="0" w:space="0" w:color="auto"/>
                        <w:right w:val="none" w:sz="0" w:space="0" w:color="auto"/>
                      </w:divBdr>
                    </w:div>
                  </w:divsChild>
                </w:div>
                <w:div w:id="760487829">
                  <w:marLeft w:val="0"/>
                  <w:marRight w:val="0"/>
                  <w:marTop w:val="0"/>
                  <w:marBottom w:val="0"/>
                  <w:divBdr>
                    <w:top w:val="none" w:sz="0" w:space="0" w:color="auto"/>
                    <w:left w:val="none" w:sz="0" w:space="0" w:color="auto"/>
                    <w:bottom w:val="none" w:sz="0" w:space="0" w:color="auto"/>
                    <w:right w:val="none" w:sz="0" w:space="0" w:color="auto"/>
                  </w:divBdr>
                  <w:divsChild>
                    <w:div w:id="2011712265">
                      <w:marLeft w:val="0"/>
                      <w:marRight w:val="0"/>
                      <w:marTop w:val="0"/>
                      <w:marBottom w:val="0"/>
                      <w:divBdr>
                        <w:top w:val="none" w:sz="0" w:space="0" w:color="auto"/>
                        <w:left w:val="none" w:sz="0" w:space="0" w:color="auto"/>
                        <w:bottom w:val="none" w:sz="0" w:space="0" w:color="auto"/>
                        <w:right w:val="none" w:sz="0" w:space="0" w:color="auto"/>
                      </w:divBdr>
                    </w:div>
                  </w:divsChild>
                </w:div>
                <w:div w:id="782699321">
                  <w:marLeft w:val="0"/>
                  <w:marRight w:val="0"/>
                  <w:marTop w:val="0"/>
                  <w:marBottom w:val="0"/>
                  <w:divBdr>
                    <w:top w:val="none" w:sz="0" w:space="0" w:color="auto"/>
                    <w:left w:val="none" w:sz="0" w:space="0" w:color="auto"/>
                    <w:bottom w:val="none" w:sz="0" w:space="0" w:color="auto"/>
                    <w:right w:val="none" w:sz="0" w:space="0" w:color="auto"/>
                  </w:divBdr>
                  <w:divsChild>
                    <w:div w:id="35786504">
                      <w:marLeft w:val="0"/>
                      <w:marRight w:val="0"/>
                      <w:marTop w:val="0"/>
                      <w:marBottom w:val="0"/>
                      <w:divBdr>
                        <w:top w:val="none" w:sz="0" w:space="0" w:color="auto"/>
                        <w:left w:val="none" w:sz="0" w:space="0" w:color="auto"/>
                        <w:bottom w:val="none" w:sz="0" w:space="0" w:color="auto"/>
                        <w:right w:val="none" w:sz="0" w:space="0" w:color="auto"/>
                      </w:divBdr>
                    </w:div>
                  </w:divsChild>
                </w:div>
                <w:div w:id="783187330">
                  <w:marLeft w:val="0"/>
                  <w:marRight w:val="0"/>
                  <w:marTop w:val="0"/>
                  <w:marBottom w:val="0"/>
                  <w:divBdr>
                    <w:top w:val="none" w:sz="0" w:space="0" w:color="auto"/>
                    <w:left w:val="none" w:sz="0" w:space="0" w:color="auto"/>
                    <w:bottom w:val="none" w:sz="0" w:space="0" w:color="auto"/>
                    <w:right w:val="none" w:sz="0" w:space="0" w:color="auto"/>
                  </w:divBdr>
                  <w:divsChild>
                    <w:div w:id="1749644988">
                      <w:marLeft w:val="0"/>
                      <w:marRight w:val="0"/>
                      <w:marTop w:val="0"/>
                      <w:marBottom w:val="0"/>
                      <w:divBdr>
                        <w:top w:val="none" w:sz="0" w:space="0" w:color="auto"/>
                        <w:left w:val="none" w:sz="0" w:space="0" w:color="auto"/>
                        <w:bottom w:val="none" w:sz="0" w:space="0" w:color="auto"/>
                        <w:right w:val="none" w:sz="0" w:space="0" w:color="auto"/>
                      </w:divBdr>
                    </w:div>
                  </w:divsChild>
                </w:div>
                <w:div w:id="932512317">
                  <w:marLeft w:val="0"/>
                  <w:marRight w:val="0"/>
                  <w:marTop w:val="0"/>
                  <w:marBottom w:val="0"/>
                  <w:divBdr>
                    <w:top w:val="none" w:sz="0" w:space="0" w:color="auto"/>
                    <w:left w:val="none" w:sz="0" w:space="0" w:color="auto"/>
                    <w:bottom w:val="none" w:sz="0" w:space="0" w:color="auto"/>
                    <w:right w:val="none" w:sz="0" w:space="0" w:color="auto"/>
                  </w:divBdr>
                  <w:divsChild>
                    <w:div w:id="1439760992">
                      <w:marLeft w:val="0"/>
                      <w:marRight w:val="0"/>
                      <w:marTop w:val="0"/>
                      <w:marBottom w:val="0"/>
                      <w:divBdr>
                        <w:top w:val="none" w:sz="0" w:space="0" w:color="auto"/>
                        <w:left w:val="none" w:sz="0" w:space="0" w:color="auto"/>
                        <w:bottom w:val="none" w:sz="0" w:space="0" w:color="auto"/>
                        <w:right w:val="none" w:sz="0" w:space="0" w:color="auto"/>
                      </w:divBdr>
                    </w:div>
                  </w:divsChild>
                </w:div>
                <w:div w:id="963075044">
                  <w:marLeft w:val="0"/>
                  <w:marRight w:val="0"/>
                  <w:marTop w:val="0"/>
                  <w:marBottom w:val="0"/>
                  <w:divBdr>
                    <w:top w:val="none" w:sz="0" w:space="0" w:color="auto"/>
                    <w:left w:val="none" w:sz="0" w:space="0" w:color="auto"/>
                    <w:bottom w:val="none" w:sz="0" w:space="0" w:color="auto"/>
                    <w:right w:val="none" w:sz="0" w:space="0" w:color="auto"/>
                  </w:divBdr>
                  <w:divsChild>
                    <w:div w:id="148061807">
                      <w:marLeft w:val="0"/>
                      <w:marRight w:val="0"/>
                      <w:marTop w:val="0"/>
                      <w:marBottom w:val="0"/>
                      <w:divBdr>
                        <w:top w:val="none" w:sz="0" w:space="0" w:color="auto"/>
                        <w:left w:val="none" w:sz="0" w:space="0" w:color="auto"/>
                        <w:bottom w:val="none" w:sz="0" w:space="0" w:color="auto"/>
                        <w:right w:val="none" w:sz="0" w:space="0" w:color="auto"/>
                      </w:divBdr>
                    </w:div>
                  </w:divsChild>
                </w:div>
                <w:div w:id="973367459">
                  <w:marLeft w:val="0"/>
                  <w:marRight w:val="0"/>
                  <w:marTop w:val="0"/>
                  <w:marBottom w:val="0"/>
                  <w:divBdr>
                    <w:top w:val="none" w:sz="0" w:space="0" w:color="auto"/>
                    <w:left w:val="none" w:sz="0" w:space="0" w:color="auto"/>
                    <w:bottom w:val="none" w:sz="0" w:space="0" w:color="auto"/>
                    <w:right w:val="none" w:sz="0" w:space="0" w:color="auto"/>
                  </w:divBdr>
                  <w:divsChild>
                    <w:div w:id="231627524">
                      <w:marLeft w:val="0"/>
                      <w:marRight w:val="0"/>
                      <w:marTop w:val="0"/>
                      <w:marBottom w:val="0"/>
                      <w:divBdr>
                        <w:top w:val="none" w:sz="0" w:space="0" w:color="auto"/>
                        <w:left w:val="none" w:sz="0" w:space="0" w:color="auto"/>
                        <w:bottom w:val="none" w:sz="0" w:space="0" w:color="auto"/>
                        <w:right w:val="none" w:sz="0" w:space="0" w:color="auto"/>
                      </w:divBdr>
                    </w:div>
                  </w:divsChild>
                </w:div>
                <w:div w:id="1014261942">
                  <w:marLeft w:val="0"/>
                  <w:marRight w:val="0"/>
                  <w:marTop w:val="0"/>
                  <w:marBottom w:val="0"/>
                  <w:divBdr>
                    <w:top w:val="none" w:sz="0" w:space="0" w:color="auto"/>
                    <w:left w:val="none" w:sz="0" w:space="0" w:color="auto"/>
                    <w:bottom w:val="none" w:sz="0" w:space="0" w:color="auto"/>
                    <w:right w:val="none" w:sz="0" w:space="0" w:color="auto"/>
                  </w:divBdr>
                  <w:divsChild>
                    <w:div w:id="91975539">
                      <w:marLeft w:val="0"/>
                      <w:marRight w:val="0"/>
                      <w:marTop w:val="0"/>
                      <w:marBottom w:val="0"/>
                      <w:divBdr>
                        <w:top w:val="none" w:sz="0" w:space="0" w:color="auto"/>
                        <w:left w:val="none" w:sz="0" w:space="0" w:color="auto"/>
                        <w:bottom w:val="none" w:sz="0" w:space="0" w:color="auto"/>
                        <w:right w:val="none" w:sz="0" w:space="0" w:color="auto"/>
                      </w:divBdr>
                    </w:div>
                  </w:divsChild>
                </w:div>
                <w:div w:id="1141848943">
                  <w:marLeft w:val="0"/>
                  <w:marRight w:val="0"/>
                  <w:marTop w:val="0"/>
                  <w:marBottom w:val="0"/>
                  <w:divBdr>
                    <w:top w:val="none" w:sz="0" w:space="0" w:color="auto"/>
                    <w:left w:val="none" w:sz="0" w:space="0" w:color="auto"/>
                    <w:bottom w:val="none" w:sz="0" w:space="0" w:color="auto"/>
                    <w:right w:val="none" w:sz="0" w:space="0" w:color="auto"/>
                  </w:divBdr>
                  <w:divsChild>
                    <w:div w:id="1793281802">
                      <w:marLeft w:val="0"/>
                      <w:marRight w:val="0"/>
                      <w:marTop w:val="0"/>
                      <w:marBottom w:val="0"/>
                      <w:divBdr>
                        <w:top w:val="none" w:sz="0" w:space="0" w:color="auto"/>
                        <w:left w:val="none" w:sz="0" w:space="0" w:color="auto"/>
                        <w:bottom w:val="none" w:sz="0" w:space="0" w:color="auto"/>
                        <w:right w:val="none" w:sz="0" w:space="0" w:color="auto"/>
                      </w:divBdr>
                    </w:div>
                  </w:divsChild>
                </w:div>
                <w:div w:id="1215432568">
                  <w:marLeft w:val="0"/>
                  <w:marRight w:val="0"/>
                  <w:marTop w:val="0"/>
                  <w:marBottom w:val="0"/>
                  <w:divBdr>
                    <w:top w:val="none" w:sz="0" w:space="0" w:color="auto"/>
                    <w:left w:val="none" w:sz="0" w:space="0" w:color="auto"/>
                    <w:bottom w:val="none" w:sz="0" w:space="0" w:color="auto"/>
                    <w:right w:val="none" w:sz="0" w:space="0" w:color="auto"/>
                  </w:divBdr>
                  <w:divsChild>
                    <w:div w:id="1029993495">
                      <w:marLeft w:val="0"/>
                      <w:marRight w:val="0"/>
                      <w:marTop w:val="0"/>
                      <w:marBottom w:val="0"/>
                      <w:divBdr>
                        <w:top w:val="none" w:sz="0" w:space="0" w:color="auto"/>
                        <w:left w:val="none" w:sz="0" w:space="0" w:color="auto"/>
                        <w:bottom w:val="none" w:sz="0" w:space="0" w:color="auto"/>
                        <w:right w:val="none" w:sz="0" w:space="0" w:color="auto"/>
                      </w:divBdr>
                    </w:div>
                  </w:divsChild>
                </w:div>
                <w:div w:id="1251498889">
                  <w:marLeft w:val="0"/>
                  <w:marRight w:val="0"/>
                  <w:marTop w:val="0"/>
                  <w:marBottom w:val="0"/>
                  <w:divBdr>
                    <w:top w:val="none" w:sz="0" w:space="0" w:color="auto"/>
                    <w:left w:val="none" w:sz="0" w:space="0" w:color="auto"/>
                    <w:bottom w:val="none" w:sz="0" w:space="0" w:color="auto"/>
                    <w:right w:val="none" w:sz="0" w:space="0" w:color="auto"/>
                  </w:divBdr>
                  <w:divsChild>
                    <w:div w:id="341854679">
                      <w:marLeft w:val="0"/>
                      <w:marRight w:val="0"/>
                      <w:marTop w:val="0"/>
                      <w:marBottom w:val="0"/>
                      <w:divBdr>
                        <w:top w:val="none" w:sz="0" w:space="0" w:color="auto"/>
                        <w:left w:val="none" w:sz="0" w:space="0" w:color="auto"/>
                        <w:bottom w:val="none" w:sz="0" w:space="0" w:color="auto"/>
                        <w:right w:val="none" w:sz="0" w:space="0" w:color="auto"/>
                      </w:divBdr>
                    </w:div>
                  </w:divsChild>
                </w:div>
                <w:div w:id="1303581685">
                  <w:marLeft w:val="0"/>
                  <w:marRight w:val="0"/>
                  <w:marTop w:val="0"/>
                  <w:marBottom w:val="0"/>
                  <w:divBdr>
                    <w:top w:val="none" w:sz="0" w:space="0" w:color="auto"/>
                    <w:left w:val="none" w:sz="0" w:space="0" w:color="auto"/>
                    <w:bottom w:val="none" w:sz="0" w:space="0" w:color="auto"/>
                    <w:right w:val="none" w:sz="0" w:space="0" w:color="auto"/>
                  </w:divBdr>
                  <w:divsChild>
                    <w:div w:id="1966738368">
                      <w:marLeft w:val="0"/>
                      <w:marRight w:val="0"/>
                      <w:marTop w:val="0"/>
                      <w:marBottom w:val="0"/>
                      <w:divBdr>
                        <w:top w:val="none" w:sz="0" w:space="0" w:color="auto"/>
                        <w:left w:val="none" w:sz="0" w:space="0" w:color="auto"/>
                        <w:bottom w:val="none" w:sz="0" w:space="0" w:color="auto"/>
                        <w:right w:val="none" w:sz="0" w:space="0" w:color="auto"/>
                      </w:divBdr>
                    </w:div>
                  </w:divsChild>
                </w:div>
                <w:div w:id="1412702664">
                  <w:marLeft w:val="0"/>
                  <w:marRight w:val="0"/>
                  <w:marTop w:val="0"/>
                  <w:marBottom w:val="0"/>
                  <w:divBdr>
                    <w:top w:val="none" w:sz="0" w:space="0" w:color="auto"/>
                    <w:left w:val="none" w:sz="0" w:space="0" w:color="auto"/>
                    <w:bottom w:val="none" w:sz="0" w:space="0" w:color="auto"/>
                    <w:right w:val="none" w:sz="0" w:space="0" w:color="auto"/>
                  </w:divBdr>
                  <w:divsChild>
                    <w:div w:id="1489446370">
                      <w:marLeft w:val="0"/>
                      <w:marRight w:val="0"/>
                      <w:marTop w:val="0"/>
                      <w:marBottom w:val="0"/>
                      <w:divBdr>
                        <w:top w:val="none" w:sz="0" w:space="0" w:color="auto"/>
                        <w:left w:val="none" w:sz="0" w:space="0" w:color="auto"/>
                        <w:bottom w:val="none" w:sz="0" w:space="0" w:color="auto"/>
                        <w:right w:val="none" w:sz="0" w:space="0" w:color="auto"/>
                      </w:divBdr>
                    </w:div>
                  </w:divsChild>
                </w:div>
                <w:div w:id="1622807222">
                  <w:marLeft w:val="0"/>
                  <w:marRight w:val="0"/>
                  <w:marTop w:val="0"/>
                  <w:marBottom w:val="0"/>
                  <w:divBdr>
                    <w:top w:val="none" w:sz="0" w:space="0" w:color="auto"/>
                    <w:left w:val="none" w:sz="0" w:space="0" w:color="auto"/>
                    <w:bottom w:val="none" w:sz="0" w:space="0" w:color="auto"/>
                    <w:right w:val="none" w:sz="0" w:space="0" w:color="auto"/>
                  </w:divBdr>
                  <w:divsChild>
                    <w:div w:id="1851796075">
                      <w:marLeft w:val="0"/>
                      <w:marRight w:val="0"/>
                      <w:marTop w:val="0"/>
                      <w:marBottom w:val="0"/>
                      <w:divBdr>
                        <w:top w:val="none" w:sz="0" w:space="0" w:color="auto"/>
                        <w:left w:val="none" w:sz="0" w:space="0" w:color="auto"/>
                        <w:bottom w:val="none" w:sz="0" w:space="0" w:color="auto"/>
                        <w:right w:val="none" w:sz="0" w:space="0" w:color="auto"/>
                      </w:divBdr>
                    </w:div>
                  </w:divsChild>
                </w:div>
                <w:div w:id="1629898901">
                  <w:marLeft w:val="0"/>
                  <w:marRight w:val="0"/>
                  <w:marTop w:val="0"/>
                  <w:marBottom w:val="0"/>
                  <w:divBdr>
                    <w:top w:val="none" w:sz="0" w:space="0" w:color="auto"/>
                    <w:left w:val="none" w:sz="0" w:space="0" w:color="auto"/>
                    <w:bottom w:val="none" w:sz="0" w:space="0" w:color="auto"/>
                    <w:right w:val="none" w:sz="0" w:space="0" w:color="auto"/>
                  </w:divBdr>
                  <w:divsChild>
                    <w:div w:id="863982197">
                      <w:marLeft w:val="0"/>
                      <w:marRight w:val="0"/>
                      <w:marTop w:val="0"/>
                      <w:marBottom w:val="0"/>
                      <w:divBdr>
                        <w:top w:val="none" w:sz="0" w:space="0" w:color="auto"/>
                        <w:left w:val="none" w:sz="0" w:space="0" w:color="auto"/>
                        <w:bottom w:val="none" w:sz="0" w:space="0" w:color="auto"/>
                        <w:right w:val="none" w:sz="0" w:space="0" w:color="auto"/>
                      </w:divBdr>
                    </w:div>
                  </w:divsChild>
                </w:div>
                <w:div w:id="1640305371">
                  <w:marLeft w:val="0"/>
                  <w:marRight w:val="0"/>
                  <w:marTop w:val="0"/>
                  <w:marBottom w:val="0"/>
                  <w:divBdr>
                    <w:top w:val="none" w:sz="0" w:space="0" w:color="auto"/>
                    <w:left w:val="none" w:sz="0" w:space="0" w:color="auto"/>
                    <w:bottom w:val="none" w:sz="0" w:space="0" w:color="auto"/>
                    <w:right w:val="none" w:sz="0" w:space="0" w:color="auto"/>
                  </w:divBdr>
                  <w:divsChild>
                    <w:div w:id="923958276">
                      <w:marLeft w:val="0"/>
                      <w:marRight w:val="0"/>
                      <w:marTop w:val="0"/>
                      <w:marBottom w:val="0"/>
                      <w:divBdr>
                        <w:top w:val="none" w:sz="0" w:space="0" w:color="auto"/>
                        <w:left w:val="none" w:sz="0" w:space="0" w:color="auto"/>
                        <w:bottom w:val="none" w:sz="0" w:space="0" w:color="auto"/>
                        <w:right w:val="none" w:sz="0" w:space="0" w:color="auto"/>
                      </w:divBdr>
                    </w:div>
                  </w:divsChild>
                </w:div>
                <w:div w:id="1660382313">
                  <w:marLeft w:val="0"/>
                  <w:marRight w:val="0"/>
                  <w:marTop w:val="0"/>
                  <w:marBottom w:val="0"/>
                  <w:divBdr>
                    <w:top w:val="none" w:sz="0" w:space="0" w:color="auto"/>
                    <w:left w:val="none" w:sz="0" w:space="0" w:color="auto"/>
                    <w:bottom w:val="none" w:sz="0" w:space="0" w:color="auto"/>
                    <w:right w:val="none" w:sz="0" w:space="0" w:color="auto"/>
                  </w:divBdr>
                  <w:divsChild>
                    <w:div w:id="945189281">
                      <w:marLeft w:val="0"/>
                      <w:marRight w:val="0"/>
                      <w:marTop w:val="0"/>
                      <w:marBottom w:val="0"/>
                      <w:divBdr>
                        <w:top w:val="none" w:sz="0" w:space="0" w:color="auto"/>
                        <w:left w:val="none" w:sz="0" w:space="0" w:color="auto"/>
                        <w:bottom w:val="none" w:sz="0" w:space="0" w:color="auto"/>
                        <w:right w:val="none" w:sz="0" w:space="0" w:color="auto"/>
                      </w:divBdr>
                    </w:div>
                  </w:divsChild>
                </w:div>
                <w:div w:id="1686663421">
                  <w:marLeft w:val="0"/>
                  <w:marRight w:val="0"/>
                  <w:marTop w:val="0"/>
                  <w:marBottom w:val="0"/>
                  <w:divBdr>
                    <w:top w:val="none" w:sz="0" w:space="0" w:color="auto"/>
                    <w:left w:val="none" w:sz="0" w:space="0" w:color="auto"/>
                    <w:bottom w:val="none" w:sz="0" w:space="0" w:color="auto"/>
                    <w:right w:val="none" w:sz="0" w:space="0" w:color="auto"/>
                  </w:divBdr>
                  <w:divsChild>
                    <w:div w:id="327830399">
                      <w:marLeft w:val="0"/>
                      <w:marRight w:val="0"/>
                      <w:marTop w:val="0"/>
                      <w:marBottom w:val="0"/>
                      <w:divBdr>
                        <w:top w:val="none" w:sz="0" w:space="0" w:color="auto"/>
                        <w:left w:val="none" w:sz="0" w:space="0" w:color="auto"/>
                        <w:bottom w:val="none" w:sz="0" w:space="0" w:color="auto"/>
                        <w:right w:val="none" w:sz="0" w:space="0" w:color="auto"/>
                      </w:divBdr>
                    </w:div>
                  </w:divsChild>
                </w:div>
                <w:div w:id="1767264924">
                  <w:marLeft w:val="0"/>
                  <w:marRight w:val="0"/>
                  <w:marTop w:val="0"/>
                  <w:marBottom w:val="0"/>
                  <w:divBdr>
                    <w:top w:val="none" w:sz="0" w:space="0" w:color="auto"/>
                    <w:left w:val="none" w:sz="0" w:space="0" w:color="auto"/>
                    <w:bottom w:val="none" w:sz="0" w:space="0" w:color="auto"/>
                    <w:right w:val="none" w:sz="0" w:space="0" w:color="auto"/>
                  </w:divBdr>
                  <w:divsChild>
                    <w:div w:id="1617172751">
                      <w:marLeft w:val="0"/>
                      <w:marRight w:val="0"/>
                      <w:marTop w:val="0"/>
                      <w:marBottom w:val="0"/>
                      <w:divBdr>
                        <w:top w:val="none" w:sz="0" w:space="0" w:color="auto"/>
                        <w:left w:val="none" w:sz="0" w:space="0" w:color="auto"/>
                        <w:bottom w:val="none" w:sz="0" w:space="0" w:color="auto"/>
                        <w:right w:val="none" w:sz="0" w:space="0" w:color="auto"/>
                      </w:divBdr>
                    </w:div>
                  </w:divsChild>
                </w:div>
                <w:div w:id="1834376482">
                  <w:marLeft w:val="0"/>
                  <w:marRight w:val="0"/>
                  <w:marTop w:val="0"/>
                  <w:marBottom w:val="0"/>
                  <w:divBdr>
                    <w:top w:val="none" w:sz="0" w:space="0" w:color="auto"/>
                    <w:left w:val="none" w:sz="0" w:space="0" w:color="auto"/>
                    <w:bottom w:val="none" w:sz="0" w:space="0" w:color="auto"/>
                    <w:right w:val="none" w:sz="0" w:space="0" w:color="auto"/>
                  </w:divBdr>
                  <w:divsChild>
                    <w:div w:id="501049734">
                      <w:marLeft w:val="0"/>
                      <w:marRight w:val="0"/>
                      <w:marTop w:val="0"/>
                      <w:marBottom w:val="0"/>
                      <w:divBdr>
                        <w:top w:val="none" w:sz="0" w:space="0" w:color="auto"/>
                        <w:left w:val="none" w:sz="0" w:space="0" w:color="auto"/>
                        <w:bottom w:val="none" w:sz="0" w:space="0" w:color="auto"/>
                        <w:right w:val="none" w:sz="0" w:space="0" w:color="auto"/>
                      </w:divBdr>
                    </w:div>
                  </w:divsChild>
                </w:div>
                <w:div w:id="1898592321">
                  <w:marLeft w:val="0"/>
                  <w:marRight w:val="0"/>
                  <w:marTop w:val="0"/>
                  <w:marBottom w:val="0"/>
                  <w:divBdr>
                    <w:top w:val="none" w:sz="0" w:space="0" w:color="auto"/>
                    <w:left w:val="none" w:sz="0" w:space="0" w:color="auto"/>
                    <w:bottom w:val="none" w:sz="0" w:space="0" w:color="auto"/>
                    <w:right w:val="none" w:sz="0" w:space="0" w:color="auto"/>
                  </w:divBdr>
                  <w:divsChild>
                    <w:div w:id="1420254394">
                      <w:marLeft w:val="0"/>
                      <w:marRight w:val="0"/>
                      <w:marTop w:val="0"/>
                      <w:marBottom w:val="0"/>
                      <w:divBdr>
                        <w:top w:val="none" w:sz="0" w:space="0" w:color="auto"/>
                        <w:left w:val="none" w:sz="0" w:space="0" w:color="auto"/>
                        <w:bottom w:val="none" w:sz="0" w:space="0" w:color="auto"/>
                        <w:right w:val="none" w:sz="0" w:space="0" w:color="auto"/>
                      </w:divBdr>
                    </w:div>
                  </w:divsChild>
                </w:div>
                <w:div w:id="1912959867">
                  <w:marLeft w:val="0"/>
                  <w:marRight w:val="0"/>
                  <w:marTop w:val="0"/>
                  <w:marBottom w:val="0"/>
                  <w:divBdr>
                    <w:top w:val="none" w:sz="0" w:space="0" w:color="auto"/>
                    <w:left w:val="none" w:sz="0" w:space="0" w:color="auto"/>
                    <w:bottom w:val="none" w:sz="0" w:space="0" w:color="auto"/>
                    <w:right w:val="none" w:sz="0" w:space="0" w:color="auto"/>
                  </w:divBdr>
                  <w:divsChild>
                    <w:div w:id="294337750">
                      <w:marLeft w:val="0"/>
                      <w:marRight w:val="0"/>
                      <w:marTop w:val="0"/>
                      <w:marBottom w:val="0"/>
                      <w:divBdr>
                        <w:top w:val="none" w:sz="0" w:space="0" w:color="auto"/>
                        <w:left w:val="none" w:sz="0" w:space="0" w:color="auto"/>
                        <w:bottom w:val="none" w:sz="0" w:space="0" w:color="auto"/>
                        <w:right w:val="none" w:sz="0" w:space="0" w:color="auto"/>
                      </w:divBdr>
                    </w:div>
                  </w:divsChild>
                </w:div>
                <w:div w:id="1919754181">
                  <w:marLeft w:val="0"/>
                  <w:marRight w:val="0"/>
                  <w:marTop w:val="0"/>
                  <w:marBottom w:val="0"/>
                  <w:divBdr>
                    <w:top w:val="none" w:sz="0" w:space="0" w:color="auto"/>
                    <w:left w:val="none" w:sz="0" w:space="0" w:color="auto"/>
                    <w:bottom w:val="none" w:sz="0" w:space="0" w:color="auto"/>
                    <w:right w:val="none" w:sz="0" w:space="0" w:color="auto"/>
                  </w:divBdr>
                  <w:divsChild>
                    <w:div w:id="1201477677">
                      <w:marLeft w:val="0"/>
                      <w:marRight w:val="0"/>
                      <w:marTop w:val="0"/>
                      <w:marBottom w:val="0"/>
                      <w:divBdr>
                        <w:top w:val="none" w:sz="0" w:space="0" w:color="auto"/>
                        <w:left w:val="none" w:sz="0" w:space="0" w:color="auto"/>
                        <w:bottom w:val="none" w:sz="0" w:space="0" w:color="auto"/>
                        <w:right w:val="none" w:sz="0" w:space="0" w:color="auto"/>
                      </w:divBdr>
                    </w:div>
                  </w:divsChild>
                </w:div>
                <w:div w:id="1968389501">
                  <w:marLeft w:val="0"/>
                  <w:marRight w:val="0"/>
                  <w:marTop w:val="0"/>
                  <w:marBottom w:val="0"/>
                  <w:divBdr>
                    <w:top w:val="none" w:sz="0" w:space="0" w:color="auto"/>
                    <w:left w:val="none" w:sz="0" w:space="0" w:color="auto"/>
                    <w:bottom w:val="none" w:sz="0" w:space="0" w:color="auto"/>
                    <w:right w:val="none" w:sz="0" w:space="0" w:color="auto"/>
                  </w:divBdr>
                  <w:divsChild>
                    <w:div w:id="779879704">
                      <w:marLeft w:val="0"/>
                      <w:marRight w:val="0"/>
                      <w:marTop w:val="0"/>
                      <w:marBottom w:val="0"/>
                      <w:divBdr>
                        <w:top w:val="none" w:sz="0" w:space="0" w:color="auto"/>
                        <w:left w:val="none" w:sz="0" w:space="0" w:color="auto"/>
                        <w:bottom w:val="none" w:sz="0" w:space="0" w:color="auto"/>
                        <w:right w:val="none" w:sz="0" w:space="0" w:color="auto"/>
                      </w:divBdr>
                    </w:div>
                  </w:divsChild>
                </w:div>
                <w:div w:id="2002270642">
                  <w:marLeft w:val="0"/>
                  <w:marRight w:val="0"/>
                  <w:marTop w:val="0"/>
                  <w:marBottom w:val="0"/>
                  <w:divBdr>
                    <w:top w:val="none" w:sz="0" w:space="0" w:color="auto"/>
                    <w:left w:val="none" w:sz="0" w:space="0" w:color="auto"/>
                    <w:bottom w:val="none" w:sz="0" w:space="0" w:color="auto"/>
                    <w:right w:val="none" w:sz="0" w:space="0" w:color="auto"/>
                  </w:divBdr>
                  <w:divsChild>
                    <w:div w:id="2118596301">
                      <w:marLeft w:val="0"/>
                      <w:marRight w:val="0"/>
                      <w:marTop w:val="0"/>
                      <w:marBottom w:val="0"/>
                      <w:divBdr>
                        <w:top w:val="none" w:sz="0" w:space="0" w:color="auto"/>
                        <w:left w:val="none" w:sz="0" w:space="0" w:color="auto"/>
                        <w:bottom w:val="none" w:sz="0" w:space="0" w:color="auto"/>
                        <w:right w:val="none" w:sz="0" w:space="0" w:color="auto"/>
                      </w:divBdr>
                    </w:div>
                  </w:divsChild>
                </w:div>
                <w:div w:id="2022004228">
                  <w:marLeft w:val="0"/>
                  <w:marRight w:val="0"/>
                  <w:marTop w:val="0"/>
                  <w:marBottom w:val="0"/>
                  <w:divBdr>
                    <w:top w:val="none" w:sz="0" w:space="0" w:color="auto"/>
                    <w:left w:val="none" w:sz="0" w:space="0" w:color="auto"/>
                    <w:bottom w:val="none" w:sz="0" w:space="0" w:color="auto"/>
                    <w:right w:val="none" w:sz="0" w:space="0" w:color="auto"/>
                  </w:divBdr>
                  <w:divsChild>
                    <w:div w:id="597494000">
                      <w:marLeft w:val="0"/>
                      <w:marRight w:val="0"/>
                      <w:marTop w:val="0"/>
                      <w:marBottom w:val="0"/>
                      <w:divBdr>
                        <w:top w:val="none" w:sz="0" w:space="0" w:color="auto"/>
                        <w:left w:val="none" w:sz="0" w:space="0" w:color="auto"/>
                        <w:bottom w:val="none" w:sz="0" w:space="0" w:color="auto"/>
                        <w:right w:val="none" w:sz="0" w:space="0" w:color="auto"/>
                      </w:divBdr>
                    </w:div>
                  </w:divsChild>
                </w:div>
                <w:div w:id="2022928543">
                  <w:marLeft w:val="0"/>
                  <w:marRight w:val="0"/>
                  <w:marTop w:val="0"/>
                  <w:marBottom w:val="0"/>
                  <w:divBdr>
                    <w:top w:val="none" w:sz="0" w:space="0" w:color="auto"/>
                    <w:left w:val="none" w:sz="0" w:space="0" w:color="auto"/>
                    <w:bottom w:val="none" w:sz="0" w:space="0" w:color="auto"/>
                    <w:right w:val="none" w:sz="0" w:space="0" w:color="auto"/>
                  </w:divBdr>
                  <w:divsChild>
                    <w:div w:id="1945724154">
                      <w:marLeft w:val="0"/>
                      <w:marRight w:val="0"/>
                      <w:marTop w:val="0"/>
                      <w:marBottom w:val="0"/>
                      <w:divBdr>
                        <w:top w:val="none" w:sz="0" w:space="0" w:color="auto"/>
                        <w:left w:val="none" w:sz="0" w:space="0" w:color="auto"/>
                        <w:bottom w:val="none" w:sz="0" w:space="0" w:color="auto"/>
                        <w:right w:val="none" w:sz="0" w:space="0" w:color="auto"/>
                      </w:divBdr>
                    </w:div>
                  </w:divsChild>
                </w:div>
                <w:div w:id="2057578556">
                  <w:marLeft w:val="0"/>
                  <w:marRight w:val="0"/>
                  <w:marTop w:val="0"/>
                  <w:marBottom w:val="0"/>
                  <w:divBdr>
                    <w:top w:val="none" w:sz="0" w:space="0" w:color="auto"/>
                    <w:left w:val="none" w:sz="0" w:space="0" w:color="auto"/>
                    <w:bottom w:val="none" w:sz="0" w:space="0" w:color="auto"/>
                    <w:right w:val="none" w:sz="0" w:space="0" w:color="auto"/>
                  </w:divBdr>
                  <w:divsChild>
                    <w:div w:id="2027444477">
                      <w:marLeft w:val="0"/>
                      <w:marRight w:val="0"/>
                      <w:marTop w:val="0"/>
                      <w:marBottom w:val="0"/>
                      <w:divBdr>
                        <w:top w:val="none" w:sz="0" w:space="0" w:color="auto"/>
                        <w:left w:val="none" w:sz="0" w:space="0" w:color="auto"/>
                        <w:bottom w:val="none" w:sz="0" w:space="0" w:color="auto"/>
                        <w:right w:val="none" w:sz="0" w:space="0" w:color="auto"/>
                      </w:divBdr>
                    </w:div>
                  </w:divsChild>
                </w:div>
                <w:div w:id="2103454424">
                  <w:marLeft w:val="0"/>
                  <w:marRight w:val="0"/>
                  <w:marTop w:val="0"/>
                  <w:marBottom w:val="0"/>
                  <w:divBdr>
                    <w:top w:val="none" w:sz="0" w:space="0" w:color="auto"/>
                    <w:left w:val="none" w:sz="0" w:space="0" w:color="auto"/>
                    <w:bottom w:val="none" w:sz="0" w:space="0" w:color="auto"/>
                    <w:right w:val="none" w:sz="0" w:space="0" w:color="auto"/>
                  </w:divBdr>
                  <w:divsChild>
                    <w:div w:id="1715277428">
                      <w:marLeft w:val="0"/>
                      <w:marRight w:val="0"/>
                      <w:marTop w:val="0"/>
                      <w:marBottom w:val="0"/>
                      <w:divBdr>
                        <w:top w:val="none" w:sz="0" w:space="0" w:color="auto"/>
                        <w:left w:val="none" w:sz="0" w:space="0" w:color="auto"/>
                        <w:bottom w:val="none" w:sz="0" w:space="0" w:color="auto"/>
                        <w:right w:val="none" w:sz="0" w:space="0" w:color="auto"/>
                      </w:divBdr>
                    </w:div>
                  </w:divsChild>
                </w:div>
                <w:div w:id="2105684892">
                  <w:marLeft w:val="0"/>
                  <w:marRight w:val="0"/>
                  <w:marTop w:val="0"/>
                  <w:marBottom w:val="0"/>
                  <w:divBdr>
                    <w:top w:val="none" w:sz="0" w:space="0" w:color="auto"/>
                    <w:left w:val="none" w:sz="0" w:space="0" w:color="auto"/>
                    <w:bottom w:val="none" w:sz="0" w:space="0" w:color="auto"/>
                    <w:right w:val="none" w:sz="0" w:space="0" w:color="auto"/>
                  </w:divBdr>
                  <w:divsChild>
                    <w:div w:id="1539244599">
                      <w:marLeft w:val="0"/>
                      <w:marRight w:val="0"/>
                      <w:marTop w:val="0"/>
                      <w:marBottom w:val="0"/>
                      <w:divBdr>
                        <w:top w:val="none" w:sz="0" w:space="0" w:color="auto"/>
                        <w:left w:val="none" w:sz="0" w:space="0" w:color="auto"/>
                        <w:bottom w:val="none" w:sz="0" w:space="0" w:color="auto"/>
                        <w:right w:val="none" w:sz="0" w:space="0" w:color="auto"/>
                      </w:divBdr>
                    </w:div>
                  </w:divsChild>
                </w:div>
                <w:div w:id="2136635962">
                  <w:marLeft w:val="0"/>
                  <w:marRight w:val="0"/>
                  <w:marTop w:val="0"/>
                  <w:marBottom w:val="0"/>
                  <w:divBdr>
                    <w:top w:val="none" w:sz="0" w:space="0" w:color="auto"/>
                    <w:left w:val="none" w:sz="0" w:space="0" w:color="auto"/>
                    <w:bottom w:val="none" w:sz="0" w:space="0" w:color="auto"/>
                    <w:right w:val="none" w:sz="0" w:space="0" w:color="auto"/>
                  </w:divBdr>
                  <w:divsChild>
                    <w:div w:id="206467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93382">
          <w:marLeft w:val="0"/>
          <w:marRight w:val="0"/>
          <w:marTop w:val="0"/>
          <w:marBottom w:val="0"/>
          <w:divBdr>
            <w:top w:val="none" w:sz="0" w:space="0" w:color="auto"/>
            <w:left w:val="none" w:sz="0" w:space="0" w:color="auto"/>
            <w:bottom w:val="none" w:sz="0" w:space="0" w:color="auto"/>
            <w:right w:val="none" w:sz="0" w:space="0" w:color="auto"/>
          </w:divBdr>
        </w:div>
        <w:div w:id="1811628716">
          <w:marLeft w:val="0"/>
          <w:marRight w:val="0"/>
          <w:marTop w:val="0"/>
          <w:marBottom w:val="0"/>
          <w:divBdr>
            <w:top w:val="none" w:sz="0" w:space="0" w:color="auto"/>
            <w:left w:val="none" w:sz="0" w:space="0" w:color="auto"/>
            <w:bottom w:val="none" w:sz="0" w:space="0" w:color="auto"/>
            <w:right w:val="none" w:sz="0" w:space="0" w:color="auto"/>
          </w:divBdr>
          <w:divsChild>
            <w:div w:id="416442712">
              <w:marLeft w:val="0"/>
              <w:marRight w:val="0"/>
              <w:marTop w:val="0"/>
              <w:marBottom w:val="0"/>
              <w:divBdr>
                <w:top w:val="none" w:sz="0" w:space="0" w:color="auto"/>
                <w:left w:val="none" w:sz="0" w:space="0" w:color="auto"/>
                <w:bottom w:val="none" w:sz="0" w:space="0" w:color="auto"/>
                <w:right w:val="none" w:sz="0" w:space="0" w:color="auto"/>
              </w:divBdr>
            </w:div>
            <w:div w:id="530463324">
              <w:marLeft w:val="0"/>
              <w:marRight w:val="0"/>
              <w:marTop w:val="0"/>
              <w:marBottom w:val="0"/>
              <w:divBdr>
                <w:top w:val="none" w:sz="0" w:space="0" w:color="auto"/>
                <w:left w:val="none" w:sz="0" w:space="0" w:color="auto"/>
                <w:bottom w:val="none" w:sz="0" w:space="0" w:color="auto"/>
                <w:right w:val="none" w:sz="0" w:space="0" w:color="auto"/>
              </w:divBdr>
            </w:div>
            <w:div w:id="578828317">
              <w:marLeft w:val="0"/>
              <w:marRight w:val="0"/>
              <w:marTop w:val="0"/>
              <w:marBottom w:val="0"/>
              <w:divBdr>
                <w:top w:val="none" w:sz="0" w:space="0" w:color="auto"/>
                <w:left w:val="none" w:sz="0" w:space="0" w:color="auto"/>
                <w:bottom w:val="none" w:sz="0" w:space="0" w:color="auto"/>
                <w:right w:val="none" w:sz="0" w:space="0" w:color="auto"/>
              </w:divBdr>
            </w:div>
            <w:div w:id="658116149">
              <w:marLeft w:val="0"/>
              <w:marRight w:val="0"/>
              <w:marTop w:val="0"/>
              <w:marBottom w:val="0"/>
              <w:divBdr>
                <w:top w:val="none" w:sz="0" w:space="0" w:color="auto"/>
                <w:left w:val="none" w:sz="0" w:space="0" w:color="auto"/>
                <w:bottom w:val="none" w:sz="0" w:space="0" w:color="auto"/>
                <w:right w:val="none" w:sz="0" w:space="0" w:color="auto"/>
              </w:divBdr>
            </w:div>
            <w:div w:id="917785568">
              <w:marLeft w:val="0"/>
              <w:marRight w:val="0"/>
              <w:marTop w:val="0"/>
              <w:marBottom w:val="0"/>
              <w:divBdr>
                <w:top w:val="none" w:sz="0" w:space="0" w:color="auto"/>
                <w:left w:val="none" w:sz="0" w:space="0" w:color="auto"/>
                <w:bottom w:val="none" w:sz="0" w:space="0" w:color="auto"/>
                <w:right w:val="none" w:sz="0" w:space="0" w:color="auto"/>
              </w:divBdr>
            </w:div>
            <w:div w:id="1664091833">
              <w:marLeft w:val="0"/>
              <w:marRight w:val="0"/>
              <w:marTop w:val="0"/>
              <w:marBottom w:val="0"/>
              <w:divBdr>
                <w:top w:val="none" w:sz="0" w:space="0" w:color="auto"/>
                <w:left w:val="none" w:sz="0" w:space="0" w:color="auto"/>
                <w:bottom w:val="none" w:sz="0" w:space="0" w:color="auto"/>
                <w:right w:val="none" w:sz="0" w:space="0" w:color="auto"/>
              </w:divBdr>
            </w:div>
            <w:div w:id="1669090974">
              <w:marLeft w:val="0"/>
              <w:marRight w:val="0"/>
              <w:marTop w:val="0"/>
              <w:marBottom w:val="0"/>
              <w:divBdr>
                <w:top w:val="none" w:sz="0" w:space="0" w:color="auto"/>
                <w:left w:val="none" w:sz="0" w:space="0" w:color="auto"/>
                <w:bottom w:val="none" w:sz="0" w:space="0" w:color="auto"/>
                <w:right w:val="none" w:sz="0" w:space="0" w:color="auto"/>
              </w:divBdr>
            </w:div>
            <w:div w:id="1671642856">
              <w:marLeft w:val="0"/>
              <w:marRight w:val="0"/>
              <w:marTop w:val="0"/>
              <w:marBottom w:val="0"/>
              <w:divBdr>
                <w:top w:val="none" w:sz="0" w:space="0" w:color="auto"/>
                <w:left w:val="none" w:sz="0" w:space="0" w:color="auto"/>
                <w:bottom w:val="none" w:sz="0" w:space="0" w:color="auto"/>
                <w:right w:val="none" w:sz="0" w:space="0" w:color="auto"/>
              </w:divBdr>
            </w:div>
          </w:divsChild>
        </w:div>
        <w:div w:id="1813937372">
          <w:marLeft w:val="0"/>
          <w:marRight w:val="0"/>
          <w:marTop w:val="0"/>
          <w:marBottom w:val="0"/>
          <w:divBdr>
            <w:top w:val="none" w:sz="0" w:space="0" w:color="auto"/>
            <w:left w:val="none" w:sz="0" w:space="0" w:color="auto"/>
            <w:bottom w:val="none" w:sz="0" w:space="0" w:color="auto"/>
            <w:right w:val="none" w:sz="0" w:space="0" w:color="auto"/>
          </w:divBdr>
          <w:divsChild>
            <w:div w:id="9991860">
              <w:marLeft w:val="0"/>
              <w:marRight w:val="0"/>
              <w:marTop w:val="0"/>
              <w:marBottom w:val="0"/>
              <w:divBdr>
                <w:top w:val="none" w:sz="0" w:space="0" w:color="auto"/>
                <w:left w:val="none" w:sz="0" w:space="0" w:color="auto"/>
                <w:bottom w:val="none" w:sz="0" w:space="0" w:color="auto"/>
                <w:right w:val="none" w:sz="0" w:space="0" w:color="auto"/>
              </w:divBdr>
            </w:div>
            <w:div w:id="27410864">
              <w:marLeft w:val="0"/>
              <w:marRight w:val="0"/>
              <w:marTop w:val="0"/>
              <w:marBottom w:val="0"/>
              <w:divBdr>
                <w:top w:val="none" w:sz="0" w:space="0" w:color="auto"/>
                <w:left w:val="none" w:sz="0" w:space="0" w:color="auto"/>
                <w:bottom w:val="none" w:sz="0" w:space="0" w:color="auto"/>
                <w:right w:val="none" w:sz="0" w:space="0" w:color="auto"/>
              </w:divBdr>
            </w:div>
            <w:div w:id="100028059">
              <w:marLeft w:val="0"/>
              <w:marRight w:val="0"/>
              <w:marTop w:val="0"/>
              <w:marBottom w:val="0"/>
              <w:divBdr>
                <w:top w:val="none" w:sz="0" w:space="0" w:color="auto"/>
                <w:left w:val="none" w:sz="0" w:space="0" w:color="auto"/>
                <w:bottom w:val="none" w:sz="0" w:space="0" w:color="auto"/>
                <w:right w:val="none" w:sz="0" w:space="0" w:color="auto"/>
              </w:divBdr>
            </w:div>
            <w:div w:id="193930803">
              <w:marLeft w:val="0"/>
              <w:marRight w:val="0"/>
              <w:marTop w:val="0"/>
              <w:marBottom w:val="0"/>
              <w:divBdr>
                <w:top w:val="none" w:sz="0" w:space="0" w:color="auto"/>
                <w:left w:val="none" w:sz="0" w:space="0" w:color="auto"/>
                <w:bottom w:val="none" w:sz="0" w:space="0" w:color="auto"/>
                <w:right w:val="none" w:sz="0" w:space="0" w:color="auto"/>
              </w:divBdr>
            </w:div>
            <w:div w:id="271867722">
              <w:marLeft w:val="0"/>
              <w:marRight w:val="0"/>
              <w:marTop w:val="0"/>
              <w:marBottom w:val="0"/>
              <w:divBdr>
                <w:top w:val="none" w:sz="0" w:space="0" w:color="auto"/>
                <w:left w:val="none" w:sz="0" w:space="0" w:color="auto"/>
                <w:bottom w:val="none" w:sz="0" w:space="0" w:color="auto"/>
                <w:right w:val="none" w:sz="0" w:space="0" w:color="auto"/>
              </w:divBdr>
            </w:div>
            <w:div w:id="360059135">
              <w:marLeft w:val="0"/>
              <w:marRight w:val="0"/>
              <w:marTop w:val="0"/>
              <w:marBottom w:val="0"/>
              <w:divBdr>
                <w:top w:val="none" w:sz="0" w:space="0" w:color="auto"/>
                <w:left w:val="none" w:sz="0" w:space="0" w:color="auto"/>
                <w:bottom w:val="none" w:sz="0" w:space="0" w:color="auto"/>
                <w:right w:val="none" w:sz="0" w:space="0" w:color="auto"/>
              </w:divBdr>
            </w:div>
            <w:div w:id="384260498">
              <w:marLeft w:val="0"/>
              <w:marRight w:val="0"/>
              <w:marTop w:val="0"/>
              <w:marBottom w:val="0"/>
              <w:divBdr>
                <w:top w:val="none" w:sz="0" w:space="0" w:color="auto"/>
                <w:left w:val="none" w:sz="0" w:space="0" w:color="auto"/>
                <w:bottom w:val="none" w:sz="0" w:space="0" w:color="auto"/>
                <w:right w:val="none" w:sz="0" w:space="0" w:color="auto"/>
              </w:divBdr>
            </w:div>
            <w:div w:id="581331159">
              <w:marLeft w:val="0"/>
              <w:marRight w:val="0"/>
              <w:marTop w:val="0"/>
              <w:marBottom w:val="0"/>
              <w:divBdr>
                <w:top w:val="none" w:sz="0" w:space="0" w:color="auto"/>
                <w:left w:val="none" w:sz="0" w:space="0" w:color="auto"/>
                <w:bottom w:val="none" w:sz="0" w:space="0" w:color="auto"/>
                <w:right w:val="none" w:sz="0" w:space="0" w:color="auto"/>
              </w:divBdr>
            </w:div>
            <w:div w:id="728922809">
              <w:marLeft w:val="0"/>
              <w:marRight w:val="0"/>
              <w:marTop w:val="0"/>
              <w:marBottom w:val="0"/>
              <w:divBdr>
                <w:top w:val="none" w:sz="0" w:space="0" w:color="auto"/>
                <w:left w:val="none" w:sz="0" w:space="0" w:color="auto"/>
                <w:bottom w:val="none" w:sz="0" w:space="0" w:color="auto"/>
                <w:right w:val="none" w:sz="0" w:space="0" w:color="auto"/>
              </w:divBdr>
            </w:div>
            <w:div w:id="849179230">
              <w:marLeft w:val="0"/>
              <w:marRight w:val="0"/>
              <w:marTop w:val="0"/>
              <w:marBottom w:val="0"/>
              <w:divBdr>
                <w:top w:val="none" w:sz="0" w:space="0" w:color="auto"/>
                <w:left w:val="none" w:sz="0" w:space="0" w:color="auto"/>
                <w:bottom w:val="none" w:sz="0" w:space="0" w:color="auto"/>
                <w:right w:val="none" w:sz="0" w:space="0" w:color="auto"/>
              </w:divBdr>
            </w:div>
            <w:div w:id="903487643">
              <w:marLeft w:val="0"/>
              <w:marRight w:val="0"/>
              <w:marTop w:val="0"/>
              <w:marBottom w:val="0"/>
              <w:divBdr>
                <w:top w:val="none" w:sz="0" w:space="0" w:color="auto"/>
                <w:left w:val="none" w:sz="0" w:space="0" w:color="auto"/>
                <w:bottom w:val="none" w:sz="0" w:space="0" w:color="auto"/>
                <w:right w:val="none" w:sz="0" w:space="0" w:color="auto"/>
              </w:divBdr>
            </w:div>
            <w:div w:id="1313832027">
              <w:marLeft w:val="0"/>
              <w:marRight w:val="0"/>
              <w:marTop w:val="0"/>
              <w:marBottom w:val="0"/>
              <w:divBdr>
                <w:top w:val="none" w:sz="0" w:space="0" w:color="auto"/>
                <w:left w:val="none" w:sz="0" w:space="0" w:color="auto"/>
                <w:bottom w:val="none" w:sz="0" w:space="0" w:color="auto"/>
                <w:right w:val="none" w:sz="0" w:space="0" w:color="auto"/>
              </w:divBdr>
            </w:div>
            <w:div w:id="1423337099">
              <w:marLeft w:val="0"/>
              <w:marRight w:val="0"/>
              <w:marTop w:val="0"/>
              <w:marBottom w:val="0"/>
              <w:divBdr>
                <w:top w:val="none" w:sz="0" w:space="0" w:color="auto"/>
                <w:left w:val="none" w:sz="0" w:space="0" w:color="auto"/>
                <w:bottom w:val="none" w:sz="0" w:space="0" w:color="auto"/>
                <w:right w:val="none" w:sz="0" w:space="0" w:color="auto"/>
              </w:divBdr>
            </w:div>
            <w:div w:id="2084913500">
              <w:marLeft w:val="0"/>
              <w:marRight w:val="0"/>
              <w:marTop w:val="0"/>
              <w:marBottom w:val="0"/>
              <w:divBdr>
                <w:top w:val="none" w:sz="0" w:space="0" w:color="auto"/>
                <w:left w:val="none" w:sz="0" w:space="0" w:color="auto"/>
                <w:bottom w:val="none" w:sz="0" w:space="0" w:color="auto"/>
                <w:right w:val="none" w:sz="0" w:space="0" w:color="auto"/>
              </w:divBdr>
            </w:div>
            <w:div w:id="2122068274">
              <w:marLeft w:val="0"/>
              <w:marRight w:val="0"/>
              <w:marTop w:val="0"/>
              <w:marBottom w:val="0"/>
              <w:divBdr>
                <w:top w:val="none" w:sz="0" w:space="0" w:color="auto"/>
                <w:left w:val="none" w:sz="0" w:space="0" w:color="auto"/>
                <w:bottom w:val="none" w:sz="0" w:space="0" w:color="auto"/>
                <w:right w:val="none" w:sz="0" w:space="0" w:color="auto"/>
              </w:divBdr>
            </w:div>
          </w:divsChild>
        </w:div>
        <w:div w:id="1861893736">
          <w:marLeft w:val="0"/>
          <w:marRight w:val="0"/>
          <w:marTop w:val="0"/>
          <w:marBottom w:val="0"/>
          <w:divBdr>
            <w:top w:val="none" w:sz="0" w:space="0" w:color="auto"/>
            <w:left w:val="none" w:sz="0" w:space="0" w:color="auto"/>
            <w:bottom w:val="none" w:sz="0" w:space="0" w:color="auto"/>
            <w:right w:val="none" w:sz="0" w:space="0" w:color="auto"/>
          </w:divBdr>
        </w:div>
        <w:div w:id="1877353137">
          <w:marLeft w:val="0"/>
          <w:marRight w:val="0"/>
          <w:marTop w:val="0"/>
          <w:marBottom w:val="0"/>
          <w:divBdr>
            <w:top w:val="none" w:sz="0" w:space="0" w:color="auto"/>
            <w:left w:val="none" w:sz="0" w:space="0" w:color="auto"/>
            <w:bottom w:val="none" w:sz="0" w:space="0" w:color="auto"/>
            <w:right w:val="none" w:sz="0" w:space="0" w:color="auto"/>
          </w:divBdr>
          <w:divsChild>
            <w:div w:id="119881873">
              <w:marLeft w:val="0"/>
              <w:marRight w:val="0"/>
              <w:marTop w:val="0"/>
              <w:marBottom w:val="0"/>
              <w:divBdr>
                <w:top w:val="none" w:sz="0" w:space="0" w:color="auto"/>
                <w:left w:val="none" w:sz="0" w:space="0" w:color="auto"/>
                <w:bottom w:val="none" w:sz="0" w:space="0" w:color="auto"/>
                <w:right w:val="none" w:sz="0" w:space="0" w:color="auto"/>
              </w:divBdr>
            </w:div>
            <w:div w:id="333145584">
              <w:marLeft w:val="0"/>
              <w:marRight w:val="0"/>
              <w:marTop w:val="0"/>
              <w:marBottom w:val="0"/>
              <w:divBdr>
                <w:top w:val="none" w:sz="0" w:space="0" w:color="auto"/>
                <w:left w:val="none" w:sz="0" w:space="0" w:color="auto"/>
                <w:bottom w:val="none" w:sz="0" w:space="0" w:color="auto"/>
                <w:right w:val="none" w:sz="0" w:space="0" w:color="auto"/>
              </w:divBdr>
            </w:div>
            <w:div w:id="362051671">
              <w:marLeft w:val="0"/>
              <w:marRight w:val="0"/>
              <w:marTop w:val="0"/>
              <w:marBottom w:val="0"/>
              <w:divBdr>
                <w:top w:val="none" w:sz="0" w:space="0" w:color="auto"/>
                <w:left w:val="none" w:sz="0" w:space="0" w:color="auto"/>
                <w:bottom w:val="none" w:sz="0" w:space="0" w:color="auto"/>
                <w:right w:val="none" w:sz="0" w:space="0" w:color="auto"/>
              </w:divBdr>
            </w:div>
            <w:div w:id="486674685">
              <w:marLeft w:val="0"/>
              <w:marRight w:val="0"/>
              <w:marTop w:val="0"/>
              <w:marBottom w:val="0"/>
              <w:divBdr>
                <w:top w:val="none" w:sz="0" w:space="0" w:color="auto"/>
                <w:left w:val="none" w:sz="0" w:space="0" w:color="auto"/>
                <w:bottom w:val="none" w:sz="0" w:space="0" w:color="auto"/>
                <w:right w:val="none" w:sz="0" w:space="0" w:color="auto"/>
              </w:divBdr>
            </w:div>
            <w:div w:id="555360938">
              <w:marLeft w:val="0"/>
              <w:marRight w:val="0"/>
              <w:marTop w:val="0"/>
              <w:marBottom w:val="0"/>
              <w:divBdr>
                <w:top w:val="none" w:sz="0" w:space="0" w:color="auto"/>
                <w:left w:val="none" w:sz="0" w:space="0" w:color="auto"/>
                <w:bottom w:val="none" w:sz="0" w:space="0" w:color="auto"/>
                <w:right w:val="none" w:sz="0" w:space="0" w:color="auto"/>
              </w:divBdr>
            </w:div>
            <w:div w:id="918710156">
              <w:marLeft w:val="0"/>
              <w:marRight w:val="0"/>
              <w:marTop w:val="0"/>
              <w:marBottom w:val="0"/>
              <w:divBdr>
                <w:top w:val="none" w:sz="0" w:space="0" w:color="auto"/>
                <w:left w:val="none" w:sz="0" w:space="0" w:color="auto"/>
                <w:bottom w:val="none" w:sz="0" w:space="0" w:color="auto"/>
                <w:right w:val="none" w:sz="0" w:space="0" w:color="auto"/>
              </w:divBdr>
            </w:div>
            <w:div w:id="974602630">
              <w:marLeft w:val="0"/>
              <w:marRight w:val="0"/>
              <w:marTop w:val="0"/>
              <w:marBottom w:val="0"/>
              <w:divBdr>
                <w:top w:val="none" w:sz="0" w:space="0" w:color="auto"/>
                <w:left w:val="none" w:sz="0" w:space="0" w:color="auto"/>
                <w:bottom w:val="none" w:sz="0" w:space="0" w:color="auto"/>
                <w:right w:val="none" w:sz="0" w:space="0" w:color="auto"/>
              </w:divBdr>
            </w:div>
            <w:div w:id="988099265">
              <w:marLeft w:val="0"/>
              <w:marRight w:val="0"/>
              <w:marTop w:val="0"/>
              <w:marBottom w:val="0"/>
              <w:divBdr>
                <w:top w:val="none" w:sz="0" w:space="0" w:color="auto"/>
                <w:left w:val="none" w:sz="0" w:space="0" w:color="auto"/>
                <w:bottom w:val="none" w:sz="0" w:space="0" w:color="auto"/>
                <w:right w:val="none" w:sz="0" w:space="0" w:color="auto"/>
              </w:divBdr>
            </w:div>
            <w:div w:id="1047997493">
              <w:marLeft w:val="0"/>
              <w:marRight w:val="0"/>
              <w:marTop w:val="0"/>
              <w:marBottom w:val="0"/>
              <w:divBdr>
                <w:top w:val="none" w:sz="0" w:space="0" w:color="auto"/>
                <w:left w:val="none" w:sz="0" w:space="0" w:color="auto"/>
                <w:bottom w:val="none" w:sz="0" w:space="0" w:color="auto"/>
                <w:right w:val="none" w:sz="0" w:space="0" w:color="auto"/>
              </w:divBdr>
            </w:div>
            <w:div w:id="1148284057">
              <w:marLeft w:val="0"/>
              <w:marRight w:val="0"/>
              <w:marTop w:val="0"/>
              <w:marBottom w:val="0"/>
              <w:divBdr>
                <w:top w:val="none" w:sz="0" w:space="0" w:color="auto"/>
                <w:left w:val="none" w:sz="0" w:space="0" w:color="auto"/>
                <w:bottom w:val="none" w:sz="0" w:space="0" w:color="auto"/>
                <w:right w:val="none" w:sz="0" w:space="0" w:color="auto"/>
              </w:divBdr>
            </w:div>
            <w:div w:id="1168638749">
              <w:marLeft w:val="0"/>
              <w:marRight w:val="0"/>
              <w:marTop w:val="0"/>
              <w:marBottom w:val="0"/>
              <w:divBdr>
                <w:top w:val="none" w:sz="0" w:space="0" w:color="auto"/>
                <w:left w:val="none" w:sz="0" w:space="0" w:color="auto"/>
                <w:bottom w:val="none" w:sz="0" w:space="0" w:color="auto"/>
                <w:right w:val="none" w:sz="0" w:space="0" w:color="auto"/>
              </w:divBdr>
            </w:div>
            <w:div w:id="1254899304">
              <w:marLeft w:val="0"/>
              <w:marRight w:val="0"/>
              <w:marTop w:val="0"/>
              <w:marBottom w:val="0"/>
              <w:divBdr>
                <w:top w:val="none" w:sz="0" w:space="0" w:color="auto"/>
                <w:left w:val="none" w:sz="0" w:space="0" w:color="auto"/>
                <w:bottom w:val="none" w:sz="0" w:space="0" w:color="auto"/>
                <w:right w:val="none" w:sz="0" w:space="0" w:color="auto"/>
              </w:divBdr>
            </w:div>
            <w:div w:id="1382287893">
              <w:marLeft w:val="0"/>
              <w:marRight w:val="0"/>
              <w:marTop w:val="0"/>
              <w:marBottom w:val="0"/>
              <w:divBdr>
                <w:top w:val="none" w:sz="0" w:space="0" w:color="auto"/>
                <w:left w:val="none" w:sz="0" w:space="0" w:color="auto"/>
                <w:bottom w:val="none" w:sz="0" w:space="0" w:color="auto"/>
                <w:right w:val="none" w:sz="0" w:space="0" w:color="auto"/>
              </w:divBdr>
            </w:div>
            <w:div w:id="1410928344">
              <w:marLeft w:val="0"/>
              <w:marRight w:val="0"/>
              <w:marTop w:val="0"/>
              <w:marBottom w:val="0"/>
              <w:divBdr>
                <w:top w:val="none" w:sz="0" w:space="0" w:color="auto"/>
                <w:left w:val="none" w:sz="0" w:space="0" w:color="auto"/>
                <w:bottom w:val="none" w:sz="0" w:space="0" w:color="auto"/>
                <w:right w:val="none" w:sz="0" w:space="0" w:color="auto"/>
              </w:divBdr>
            </w:div>
            <w:div w:id="1507984224">
              <w:marLeft w:val="0"/>
              <w:marRight w:val="0"/>
              <w:marTop w:val="0"/>
              <w:marBottom w:val="0"/>
              <w:divBdr>
                <w:top w:val="none" w:sz="0" w:space="0" w:color="auto"/>
                <w:left w:val="none" w:sz="0" w:space="0" w:color="auto"/>
                <w:bottom w:val="none" w:sz="0" w:space="0" w:color="auto"/>
                <w:right w:val="none" w:sz="0" w:space="0" w:color="auto"/>
              </w:divBdr>
            </w:div>
            <w:div w:id="1674333017">
              <w:marLeft w:val="0"/>
              <w:marRight w:val="0"/>
              <w:marTop w:val="0"/>
              <w:marBottom w:val="0"/>
              <w:divBdr>
                <w:top w:val="none" w:sz="0" w:space="0" w:color="auto"/>
                <w:left w:val="none" w:sz="0" w:space="0" w:color="auto"/>
                <w:bottom w:val="none" w:sz="0" w:space="0" w:color="auto"/>
                <w:right w:val="none" w:sz="0" w:space="0" w:color="auto"/>
              </w:divBdr>
            </w:div>
            <w:div w:id="1886406297">
              <w:marLeft w:val="0"/>
              <w:marRight w:val="0"/>
              <w:marTop w:val="0"/>
              <w:marBottom w:val="0"/>
              <w:divBdr>
                <w:top w:val="none" w:sz="0" w:space="0" w:color="auto"/>
                <w:left w:val="none" w:sz="0" w:space="0" w:color="auto"/>
                <w:bottom w:val="none" w:sz="0" w:space="0" w:color="auto"/>
                <w:right w:val="none" w:sz="0" w:space="0" w:color="auto"/>
              </w:divBdr>
            </w:div>
            <w:div w:id="1896965865">
              <w:marLeft w:val="0"/>
              <w:marRight w:val="0"/>
              <w:marTop w:val="0"/>
              <w:marBottom w:val="0"/>
              <w:divBdr>
                <w:top w:val="none" w:sz="0" w:space="0" w:color="auto"/>
                <w:left w:val="none" w:sz="0" w:space="0" w:color="auto"/>
                <w:bottom w:val="none" w:sz="0" w:space="0" w:color="auto"/>
                <w:right w:val="none" w:sz="0" w:space="0" w:color="auto"/>
              </w:divBdr>
            </w:div>
            <w:div w:id="2112704048">
              <w:marLeft w:val="0"/>
              <w:marRight w:val="0"/>
              <w:marTop w:val="0"/>
              <w:marBottom w:val="0"/>
              <w:divBdr>
                <w:top w:val="none" w:sz="0" w:space="0" w:color="auto"/>
                <w:left w:val="none" w:sz="0" w:space="0" w:color="auto"/>
                <w:bottom w:val="none" w:sz="0" w:space="0" w:color="auto"/>
                <w:right w:val="none" w:sz="0" w:space="0" w:color="auto"/>
              </w:divBdr>
            </w:div>
            <w:div w:id="2129083457">
              <w:marLeft w:val="0"/>
              <w:marRight w:val="0"/>
              <w:marTop w:val="0"/>
              <w:marBottom w:val="0"/>
              <w:divBdr>
                <w:top w:val="none" w:sz="0" w:space="0" w:color="auto"/>
                <w:left w:val="none" w:sz="0" w:space="0" w:color="auto"/>
                <w:bottom w:val="none" w:sz="0" w:space="0" w:color="auto"/>
                <w:right w:val="none" w:sz="0" w:space="0" w:color="auto"/>
              </w:divBdr>
            </w:div>
          </w:divsChild>
        </w:div>
        <w:div w:id="1999504582">
          <w:marLeft w:val="0"/>
          <w:marRight w:val="0"/>
          <w:marTop w:val="0"/>
          <w:marBottom w:val="0"/>
          <w:divBdr>
            <w:top w:val="none" w:sz="0" w:space="0" w:color="auto"/>
            <w:left w:val="none" w:sz="0" w:space="0" w:color="auto"/>
            <w:bottom w:val="none" w:sz="0" w:space="0" w:color="auto"/>
            <w:right w:val="none" w:sz="0" w:space="0" w:color="auto"/>
          </w:divBdr>
        </w:div>
        <w:div w:id="2003578287">
          <w:marLeft w:val="0"/>
          <w:marRight w:val="0"/>
          <w:marTop w:val="0"/>
          <w:marBottom w:val="0"/>
          <w:divBdr>
            <w:top w:val="none" w:sz="0" w:space="0" w:color="auto"/>
            <w:left w:val="none" w:sz="0" w:space="0" w:color="auto"/>
            <w:bottom w:val="none" w:sz="0" w:space="0" w:color="auto"/>
            <w:right w:val="none" w:sz="0" w:space="0" w:color="auto"/>
          </w:divBdr>
        </w:div>
        <w:div w:id="2133278045">
          <w:marLeft w:val="0"/>
          <w:marRight w:val="0"/>
          <w:marTop w:val="0"/>
          <w:marBottom w:val="0"/>
          <w:divBdr>
            <w:top w:val="none" w:sz="0" w:space="0" w:color="auto"/>
            <w:left w:val="none" w:sz="0" w:space="0" w:color="auto"/>
            <w:bottom w:val="none" w:sz="0" w:space="0" w:color="auto"/>
            <w:right w:val="none" w:sz="0" w:space="0" w:color="auto"/>
          </w:divBdr>
        </w:div>
      </w:divsChild>
    </w:div>
    <w:div w:id="363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2504">
          <w:marLeft w:val="0"/>
          <w:marRight w:val="0"/>
          <w:marTop w:val="0"/>
          <w:marBottom w:val="0"/>
          <w:divBdr>
            <w:top w:val="none" w:sz="0" w:space="0" w:color="auto"/>
            <w:left w:val="none" w:sz="0" w:space="0" w:color="auto"/>
            <w:bottom w:val="none" w:sz="0" w:space="0" w:color="auto"/>
            <w:right w:val="none" w:sz="0" w:space="0" w:color="auto"/>
          </w:divBdr>
          <w:divsChild>
            <w:div w:id="1425803751">
              <w:marLeft w:val="0"/>
              <w:marRight w:val="0"/>
              <w:marTop w:val="0"/>
              <w:marBottom w:val="0"/>
              <w:divBdr>
                <w:top w:val="none" w:sz="0" w:space="0" w:color="auto"/>
                <w:left w:val="none" w:sz="0" w:space="0" w:color="auto"/>
                <w:bottom w:val="none" w:sz="0" w:space="0" w:color="auto"/>
                <w:right w:val="none" w:sz="0" w:space="0" w:color="auto"/>
              </w:divBdr>
            </w:div>
          </w:divsChild>
        </w:div>
        <w:div w:id="3434171">
          <w:marLeft w:val="0"/>
          <w:marRight w:val="0"/>
          <w:marTop w:val="0"/>
          <w:marBottom w:val="0"/>
          <w:divBdr>
            <w:top w:val="none" w:sz="0" w:space="0" w:color="auto"/>
            <w:left w:val="none" w:sz="0" w:space="0" w:color="auto"/>
            <w:bottom w:val="none" w:sz="0" w:space="0" w:color="auto"/>
            <w:right w:val="none" w:sz="0" w:space="0" w:color="auto"/>
          </w:divBdr>
          <w:divsChild>
            <w:div w:id="1618297303">
              <w:marLeft w:val="0"/>
              <w:marRight w:val="0"/>
              <w:marTop w:val="0"/>
              <w:marBottom w:val="0"/>
              <w:divBdr>
                <w:top w:val="none" w:sz="0" w:space="0" w:color="auto"/>
                <w:left w:val="none" w:sz="0" w:space="0" w:color="auto"/>
                <w:bottom w:val="none" w:sz="0" w:space="0" w:color="auto"/>
                <w:right w:val="none" w:sz="0" w:space="0" w:color="auto"/>
              </w:divBdr>
            </w:div>
          </w:divsChild>
        </w:div>
        <w:div w:id="5449604">
          <w:marLeft w:val="0"/>
          <w:marRight w:val="0"/>
          <w:marTop w:val="0"/>
          <w:marBottom w:val="0"/>
          <w:divBdr>
            <w:top w:val="none" w:sz="0" w:space="0" w:color="auto"/>
            <w:left w:val="none" w:sz="0" w:space="0" w:color="auto"/>
            <w:bottom w:val="none" w:sz="0" w:space="0" w:color="auto"/>
            <w:right w:val="none" w:sz="0" w:space="0" w:color="auto"/>
          </w:divBdr>
          <w:divsChild>
            <w:div w:id="1309358801">
              <w:marLeft w:val="0"/>
              <w:marRight w:val="0"/>
              <w:marTop w:val="0"/>
              <w:marBottom w:val="0"/>
              <w:divBdr>
                <w:top w:val="none" w:sz="0" w:space="0" w:color="auto"/>
                <w:left w:val="none" w:sz="0" w:space="0" w:color="auto"/>
                <w:bottom w:val="none" w:sz="0" w:space="0" w:color="auto"/>
                <w:right w:val="none" w:sz="0" w:space="0" w:color="auto"/>
              </w:divBdr>
            </w:div>
          </w:divsChild>
        </w:div>
        <w:div w:id="11535184">
          <w:marLeft w:val="0"/>
          <w:marRight w:val="0"/>
          <w:marTop w:val="0"/>
          <w:marBottom w:val="0"/>
          <w:divBdr>
            <w:top w:val="none" w:sz="0" w:space="0" w:color="auto"/>
            <w:left w:val="none" w:sz="0" w:space="0" w:color="auto"/>
            <w:bottom w:val="none" w:sz="0" w:space="0" w:color="auto"/>
            <w:right w:val="none" w:sz="0" w:space="0" w:color="auto"/>
          </w:divBdr>
          <w:divsChild>
            <w:div w:id="202061981">
              <w:marLeft w:val="0"/>
              <w:marRight w:val="0"/>
              <w:marTop w:val="0"/>
              <w:marBottom w:val="0"/>
              <w:divBdr>
                <w:top w:val="none" w:sz="0" w:space="0" w:color="auto"/>
                <w:left w:val="none" w:sz="0" w:space="0" w:color="auto"/>
                <w:bottom w:val="none" w:sz="0" w:space="0" w:color="auto"/>
                <w:right w:val="none" w:sz="0" w:space="0" w:color="auto"/>
              </w:divBdr>
            </w:div>
          </w:divsChild>
        </w:div>
        <w:div w:id="13311891">
          <w:marLeft w:val="0"/>
          <w:marRight w:val="0"/>
          <w:marTop w:val="0"/>
          <w:marBottom w:val="0"/>
          <w:divBdr>
            <w:top w:val="none" w:sz="0" w:space="0" w:color="auto"/>
            <w:left w:val="none" w:sz="0" w:space="0" w:color="auto"/>
            <w:bottom w:val="none" w:sz="0" w:space="0" w:color="auto"/>
            <w:right w:val="none" w:sz="0" w:space="0" w:color="auto"/>
          </w:divBdr>
          <w:divsChild>
            <w:div w:id="412557047">
              <w:marLeft w:val="0"/>
              <w:marRight w:val="0"/>
              <w:marTop w:val="0"/>
              <w:marBottom w:val="0"/>
              <w:divBdr>
                <w:top w:val="none" w:sz="0" w:space="0" w:color="auto"/>
                <w:left w:val="none" w:sz="0" w:space="0" w:color="auto"/>
                <w:bottom w:val="none" w:sz="0" w:space="0" w:color="auto"/>
                <w:right w:val="none" w:sz="0" w:space="0" w:color="auto"/>
              </w:divBdr>
            </w:div>
          </w:divsChild>
        </w:div>
        <w:div w:id="13845366">
          <w:marLeft w:val="0"/>
          <w:marRight w:val="0"/>
          <w:marTop w:val="0"/>
          <w:marBottom w:val="0"/>
          <w:divBdr>
            <w:top w:val="none" w:sz="0" w:space="0" w:color="auto"/>
            <w:left w:val="none" w:sz="0" w:space="0" w:color="auto"/>
            <w:bottom w:val="none" w:sz="0" w:space="0" w:color="auto"/>
            <w:right w:val="none" w:sz="0" w:space="0" w:color="auto"/>
          </w:divBdr>
          <w:divsChild>
            <w:div w:id="1455253271">
              <w:marLeft w:val="0"/>
              <w:marRight w:val="0"/>
              <w:marTop w:val="0"/>
              <w:marBottom w:val="0"/>
              <w:divBdr>
                <w:top w:val="none" w:sz="0" w:space="0" w:color="auto"/>
                <w:left w:val="none" w:sz="0" w:space="0" w:color="auto"/>
                <w:bottom w:val="none" w:sz="0" w:space="0" w:color="auto"/>
                <w:right w:val="none" w:sz="0" w:space="0" w:color="auto"/>
              </w:divBdr>
            </w:div>
          </w:divsChild>
        </w:div>
        <w:div w:id="18051532">
          <w:marLeft w:val="0"/>
          <w:marRight w:val="0"/>
          <w:marTop w:val="0"/>
          <w:marBottom w:val="0"/>
          <w:divBdr>
            <w:top w:val="none" w:sz="0" w:space="0" w:color="auto"/>
            <w:left w:val="none" w:sz="0" w:space="0" w:color="auto"/>
            <w:bottom w:val="none" w:sz="0" w:space="0" w:color="auto"/>
            <w:right w:val="none" w:sz="0" w:space="0" w:color="auto"/>
          </w:divBdr>
          <w:divsChild>
            <w:div w:id="87889137">
              <w:marLeft w:val="0"/>
              <w:marRight w:val="0"/>
              <w:marTop w:val="0"/>
              <w:marBottom w:val="0"/>
              <w:divBdr>
                <w:top w:val="none" w:sz="0" w:space="0" w:color="auto"/>
                <w:left w:val="none" w:sz="0" w:space="0" w:color="auto"/>
                <w:bottom w:val="none" w:sz="0" w:space="0" w:color="auto"/>
                <w:right w:val="none" w:sz="0" w:space="0" w:color="auto"/>
              </w:divBdr>
            </w:div>
          </w:divsChild>
        </w:div>
        <w:div w:id="20668910">
          <w:marLeft w:val="0"/>
          <w:marRight w:val="0"/>
          <w:marTop w:val="0"/>
          <w:marBottom w:val="0"/>
          <w:divBdr>
            <w:top w:val="none" w:sz="0" w:space="0" w:color="auto"/>
            <w:left w:val="none" w:sz="0" w:space="0" w:color="auto"/>
            <w:bottom w:val="none" w:sz="0" w:space="0" w:color="auto"/>
            <w:right w:val="none" w:sz="0" w:space="0" w:color="auto"/>
          </w:divBdr>
          <w:divsChild>
            <w:div w:id="1360475593">
              <w:marLeft w:val="0"/>
              <w:marRight w:val="0"/>
              <w:marTop w:val="0"/>
              <w:marBottom w:val="0"/>
              <w:divBdr>
                <w:top w:val="none" w:sz="0" w:space="0" w:color="auto"/>
                <w:left w:val="none" w:sz="0" w:space="0" w:color="auto"/>
                <w:bottom w:val="none" w:sz="0" w:space="0" w:color="auto"/>
                <w:right w:val="none" w:sz="0" w:space="0" w:color="auto"/>
              </w:divBdr>
            </w:div>
          </w:divsChild>
        </w:div>
        <w:div w:id="22218310">
          <w:marLeft w:val="0"/>
          <w:marRight w:val="0"/>
          <w:marTop w:val="0"/>
          <w:marBottom w:val="0"/>
          <w:divBdr>
            <w:top w:val="none" w:sz="0" w:space="0" w:color="auto"/>
            <w:left w:val="none" w:sz="0" w:space="0" w:color="auto"/>
            <w:bottom w:val="none" w:sz="0" w:space="0" w:color="auto"/>
            <w:right w:val="none" w:sz="0" w:space="0" w:color="auto"/>
          </w:divBdr>
          <w:divsChild>
            <w:div w:id="2047026372">
              <w:marLeft w:val="0"/>
              <w:marRight w:val="0"/>
              <w:marTop w:val="0"/>
              <w:marBottom w:val="0"/>
              <w:divBdr>
                <w:top w:val="none" w:sz="0" w:space="0" w:color="auto"/>
                <w:left w:val="none" w:sz="0" w:space="0" w:color="auto"/>
                <w:bottom w:val="none" w:sz="0" w:space="0" w:color="auto"/>
                <w:right w:val="none" w:sz="0" w:space="0" w:color="auto"/>
              </w:divBdr>
            </w:div>
          </w:divsChild>
        </w:div>
        <w:div w:id="23485360">
          <w:marLeft w:val="0"/>
          <w:marRight w:val="0"/>
          <w:marTop w:val="0"/>
          <w:marBottom w:val="0"/>
          <w:divBdr>
            <w:top w:val="none" w:sz="0" w:space="0" w:color="auto"/>
            <w:left w:val="none" w:sz="0" w:space="0" w:color="auto"/>
            <w:bottom w:val="none" w:sz="0" w:space="0" w:color="auto"/>
            <w:right w:val="none" w:sz="0" w:space="0" w:color="auto"/>
          </w:divBdr>
          <w:divsChild>
            <w:div w:id="161511679">
              <w:marLeft w:val="0"/>
              <w:marRight w:val="0"/>
              <w:marTop w:val="0"/>
              <w:marBottom w:val="0"/>
              <w:divBdr>
                <w:top w:val="none" w:sz="0" w:space="0" w:color="auto"/>
                <w:left w:val="none" w:sz="0" w:space="0" w:color="auto"/>
                <w:bottom w:val="none" w:sz="0" w:space="0" w:color="auto"/>
                <w:right w:val="none" w:sz="0" w:space="0" w:color="auto"/>
              </w:divBdr>
            </w:div>
          </w:divsChild>
        </w:div>
        <w:div w:id="26569917">
          <w:marLeft w:val="0"/>
          <w:marRight w:val="0"/>
          <w:marTop w:val="0"/>
          <w:marBottom w:val="0"/>
          <w:divBdr>
            <w:top w:val="none" w:sz="0" w:space="0" w:color="auto"/>
            <w:left w:val="none" w:sz="0" w:space="0" w:color="auto"/>
            <w:bottom w:val="none" w:sz="0" w:space="0" w:color="auto"/>
            <w:right w:val="none" w:sz="0" w:space="0" w:color="auto"/>
          </w:divBdr>
          <w:divsChild>
            <w:div w:id="1727484113">
              <w:marLeft w:val="0"/>
              <w:marRight w:val="0"/>
              <w:marTop w:val="0"/>
              <w:marBottom w:val="0"/>
              <w:divBdr>
                <w:top w:val="none" w:sz="0" w:space="0" w:color="auto"/>
                <w:left w:val="none" w:sz="0" w:space="0" w:color="auto"/>
                <w:bottom w:val="none" w:sz="0" w:space="0" w:color="auto"/>
                <w:right w:val="none" w:sz="0" w:space="0" w:color="auto"/>
              </w:divBdr>
            </w:div>
          </w:divsChild>
        </w:div>
        <w:div w:id="28917589">
          <w:marLeft w:val="0"/>
          <w:marRight w:val="0"/>
          <w:marTop w:val="0"/>
          <w:marBottom w:val="0"/>
          <w:divBdr>
            <w:top w:val="none" w:sz="0" w:space="0" w:color="auto"/>
            <w:left w:val="none" w:sz="0" w:space="0" w:color="auto"/>
            <w:bottom w:val="none" w:sz="0" w:space="0" w:color="auto"/>
            <w:right w:val="none" w:sz="0" w:space="0" w:color="auto"/>
          </w:divBdr>
          <w:divsChild>
            <w:div w:id="1336300930">
              <w:marLeft w:val="0"/>
              <w:marRight w:val="0"/>
              <w:marTop w:val="0"/>
              <w:marBottom w:val="0"/>
              <w:divBdr>
                <w:top w:val="none" w:sz="0" w:space="0" w:color="auto"/>
                <w:left w:val="none" w:sz="0" w:space="0" w:color="auto"/>
                <w:bottom w:val="none" w:sz="0" w:space="0" w:color="auto"/>
                <w:right w:val="none" w:sz="0" w:space="0" w:color="auto"/>
              </w:divBdr>
            </w:div>
          </w:divsChild>
        </w:div>
        <w:div w:id="30543430">
          <w:marLeft w:val="0"/>
          <w:marRight w:val="0"/>
          <w:marTop w:val="0"/>
          <w:marBottom w:val="0"/>
          <w:divBdr>
            <w:top w:val="none" w:sz="0" w:space="0" w:color="auto"/>
            <w:left w:val="none" w:sz="0" w:space="0" w:color="auto"/>
            <w:bottom w:val="none" w:sz="0" w:space="0" w:color="auto"/>
            <w:right w:val="none" w:sz="0" w:space="0" w:color="auto"/>
          </w:divBdr>
          <w:divsChild>
            <w:div w:id="971515787">
              <w:marLeft w:val="0"/>
              <w:marRight w:val="0"/>
              <w:marTop w:val="0"/>
              <w:marBottom w:val="0"/>
              <w:divBdr>
                <w:top w:val="none" w:sz="0" w:space="0" w:color="auto"/>
                <w:left w:val="none" w:sz="0" w:space="0" w:color="auto"/>
                <w:bottom w:val="none" w:sz="0" w:space="0" w:color="auto"/>
                <w:right w:val="none" w:sz="0" w:space="0" w:color="auto"/>
              </w:divBdr>
            </w:div>
          </w:divsChild>
        </w:div>
        <w:div w:id="32772819">
          <w:marLeft w:val="0"/>
          <w:marRight w:val="0"/>
          <w:marTop w:val="0"/>
          <w:marBottom w:val="0"/>
          <w:divBdr>
            <w:top w:val="none" w:sz="0" w:space="0" w:color="auto"/>
            <w:left w:val="none" w:sz="0" w:space="0" w:color="auto"/>
            <w:bottom w:val="none" w:sz="0" w:space="0" w:color="auto"/>
            <w:right w:val="none" w:sz="0" w:space="0" w:color="auto"/>
          </w:divBdr>
          <w:divsChild>
            <w:div w:id="916132435">
              <w:marLeft w:val="0"/>
              <w:marRight w:val="0"/>
              <w:marTop w:val="0"/>
              <w:marBottom w:val="0"/>
              <w:divBdr>
                <w:top w:val="none" w:sz="0" w:space="0" w:color="auto"/>
                <w:left w:val="none" w:sz="0" w:space="0" w:color="auto"/>
                <w:bottom w:val="none" w:sz="0" w:space="0" w:color="auto"/>
                <w:right w:val="none" w:sz="0" w:space="0" w:color="auto"/>
              </w:divBdr>
            </w:div>
          </w:divsChild>
        </w:div>
        <w:div w:id="33434542">
          <w:marLeft w:val="0"/>
          <w:marRight w:val="0"/>
          <w:marTop w:val="0"/>
          <w:marBottom w:val="0"/>
          <w:divBdr>
            <w:top w:val="none" w:sz="0" w:space="0" w:color="auto"/>
            <w:left w:val="none" w:sz="0" w:space="0" w:color="auto"/>
            <w:bottom w:val="none" w:sz="0" w:space="0" w:color="auto"/>
            <w:right w:val="none" w:sz="0" w:space="0" w:color="auto"/>
          </w:divBdr>
          <w:divsChild>
            <w:div w:id="607858204">
              <w:marLeft w:val="0"/>
              <w:marRight w:val="0"/>
              <w:marTop w:val="0"/>
              <w:marBottom w:val="0"/>
              <w:divBdr>
                <w:top w:val="none" w:sz="0" w:space="0" w:color="auto"/>
                <w:left w:val="none" w:sz="0" w:space="0" w:color="auto"/>
                <w:bottom w:val="none" w:sz="0" w:space="0" w:color="auto"/>
                <w:right w:val="none" w:sz="0" w:space="0" w:color="auto"/>
              </w:divBdr>
            </w:div>
          </w:divsChild>
        </w:div>
        <w:div w:id="42367370">
          <w:marLeft w:val="0"/>
          <w:marRight w:val="0"/>
          <w:marTop w:val="0"/>
          <w:marBottom w:val="0"/>
          <w:divBdr>
            <w:top w:val="none" w:sz="0" w:space="0" w:color="auto"/>
            <w:left w:val="none" w:sz="0" w:space="0" w:color="auto"/>
            <w:bottom w:val="none" w:sz="0" w:space="0" w:color="auto"/>
            <w:right w:val="none" w:sz="0" w:space="0" w:color="auto"/>
          </w:divBdr>
          <w:divsChild>
            <w:div w:id="690187111">
              <w:marLeft w:val="0"/>
              <w:marRight w:val="0"/>
              <w:marTop w:val="0"/>
              <w:marBottom w:val="0"/>
              <w:divBdr>
                <w:top w:val="none" w:sz="0" w:space="0" w:color="auto"/>
                <w:left w:val="none" w:sz="0" w:space="0" w:color="auto"/>
                <w:bottom w:val="none" w:sz="0" w:space="0" w:color="auto"/>
                <w:right w:val="none" w:sz="0" w:space="0" w:color="auto"/>
              </w:divBdr>
            </w:div>
          </w:divsChild>
        </w:div>
        <w:div w:id="49043286">
          <w:marLeft w:val="0"/>
          <w:marRight w:val="0"/>
          <w:marTop w:val="0"/>
          <w:marBottom w:val="0"/>
          <w:divBdr>
            <w:top w:val="none" w:sz="0" w:space="0" w:color="auto"/>
            <w:left w:val="none" w:sz="0" w:space="0" w:color="auto"/>
            <w:bottom w:val="none" w:sz="0" w:space="0" w:color="auto"/>
            <w:right w:val="none" w:sz="0" w:space="0" w:color="auto"/>
          </w:divBdr>
          <w:divsChild>
            <w:div w:id="319694811">
              <w:marLeft w:val="0"/>
              <w:marRight w:val="0"/>
              <w:marTop w:val="0"/>
              <w:marBottom w:val="0"/>
              <w:divBdr>
                <w:top w:val="none" w:sz="0" w:space="0" w:color="auto"/>
                <w:left w:val="none" w:sz="0" w:space="0" w:color="auto"/>
                <w:bottom w:val="none" w:sz="0" w:space="0" w:color="auto"/>
                <w:right w:val="none" w:sz="0" w:space="0" w:color="auto"/>
              </w:divBdr>
            </w:div>
          </w:divsChild>
        </w:div>
        <w:div w:id="49115977">
          <w:marLeft w:val="0"/>
          <w:marRight w:val="0"/>
          <w:marTop w:val="0"/>
          <w:marBottom w:val="0"/>
          <w:divBdr>
            <w:top w:val="none" w:sz="0" w:space="0" w:color="auto"/>
            <w:left w:val="none" w:sz="0" w:space="0" w:color="auto"/>
            <w:bottom w:val="none" w:sz="0" w:space="0" w:color="auto"/>
            <w:right w:val="none" w:sz="0" w:space="0" w:color="auto"/>
          </w:divBdr>
          <w:divsChild>
            <w:div w:id="554122955">
              <w:marLeft w:val="0"/>
              <w:marRight w:val="0"/>
              <w:marTop w:val="0"/>
              <w:marBottom w:val="0"/>
              <w:divBdr>
                <w:top w:val="none" w:sz="0" w:space="0" w:color="auto"/>
                <w:left w:val="none" w:sz="0" w:space="0" w:color="auto"/>
                <w:bottom w:val="none" w:sz="0" w:space="0" w:color="auto"/>
                <w:right w:val="none" w:sz="0" w:space="0" w:color="auto"/>
              </w:divBdr>
            </w:div>
          </w:divsChild>
        </w:div>
        <w:div w:id="54860828">
          <w:marLeft w:val="0"/>
          <w:marRight w:val="0"/>
          <w:marTop w:val="0"/>
          <w:marBottom w:val="0"/>
          <w:divBdr>
            <w:top w:val="none" w:sz="0" w:space="0" w:color="auto"/>
            <w:left w:val="none" w:sz="0" w:space="0" w:color="auto"/>
            <w:bottom w:val="none" w:sz="0" w:space="0" w:color="auto"/>
            <w:right w:val="none" w:sz="0" w:space="0" w:color="auto"/>
          </w:divBdr>
          <w:divsChild>
            <w:div w:id="553274750">
              <w:marLeft w:val="0"/>
              <w:marRight w:val="0"/>
              <w:marTop w:val="0"/>
              <w:marBottom w:val="0"/>
              <w:divBdr>
                <w:top w:val="none" w:sz="0" w:space="0" w:color="auto"/>
                <w:left w:val="none" w:sz="0" w:space="0" w:color="auto"/>
                <w:bottom w:val="none" w:sz="0" w:space="0" w:color="auto"/>
                <w:right w:val="none" w:sz="0" w:space="0" w:color="auto"/>
              </w:divBdr>
            </w:div>
          </w:divsChild>
        </w:div>
        <w:div w:id="65615760">
          <w:marLeft w:val="0"/>
          <w:marRight w:val="0"/>
          <w:marTop w:val="0"/>
          <w:marBottom w:val="0"/>
          <w:divBdr>
            <w:top w:val="none" w:sz="0" w:space="0" w:color="auto"/>
            <w:left w:val="none" w:sz="0" w:space="0" w:color="auto"/>
            <w:bottom w:val="none" w:sz="0" w:space="0" w:color="auto"/>
            <w:right w:val="none" w:sz="0" w:space="0" w:color="auto"/>
          </w:divBdr>
          <w:divsChild>
            <w:div w:id="1775393061">
              <w:marLeft w:val="0"/>
              <w:marRight w:val="0"/>
              <w:marTop w:val="0"/>
              <w:marBottom w:val="0"/>
              <w:divBdr>
                <w:top w:val="none" w:sz="0" w:space="0" w:color="auto"/>
                <w:left w:val="none" w:sz="0" w:space="0" w:color="auto"/>
                <w:bottom w:val="none" w:sz="0" w:space="0" w:color="auto"/>
                <w:right w:val="none" w:sz="0" w:space="0" w:color="auto"/>
              </w:divBdr>
            </w:div>
          </w:divsChild>
        </w:div>
        <w:div w:id="70742512">
          <w:marLeft w:val="0"/>
          <w:marRight w:val="0"/>
          <w:marTop w:val="0"/>
          <w:marBottom w:val="0"/>
          <w:divBdr>
            <w:top w:val="none" w:sz="0" w:space="0" w:color="auto"/>
            <w:left w:val="none" w:sz="0" w:space="0" w:color="auto"/>
            <w:bottom w:val="none" w:sz="0" w:space="0" w:color="auto"/>
            <w:right w:val="none" w:sz="0" w:space="0" w:color="auto"/>
          </w:divBdr>
          <w:divsChild>
            <w:div w:id="269894424">
              <w:marLeft w:val="0"/>
              <w:marRight w:val="0"/>
              <w:marTop w:val="0"/>
              <w:marBottom w:val="0"/>
              <w:divBdr>
                <w:top w:val="none" w:sz="0" w:space="0" w:color="auto"/>
                <w:left w:val="none" w:sz="0" w:space="0" w:color="auto"/>
                <w:bottom w:val="none" w:sz="0" w:space="0" w:color="auto"/>
                <w:right w:val="none" w:sz="0" w:space="0" w:color="auto"/>
              </w:divBdr>
            </w:div>
          </w:divsChild>
        </w:div>
        <w:div w:id="71388777">
          <w:marLeft w:val="0"/>
          <w:marRight w:val="0"/>
          <w:marTop w:val="0"/>
          <w:marBottom w:val="0"/>
          <w:divBdr>
            <w:top w:val="none" w:sz="0" w:space="0" w:color="auto"/>
            <w:left w:val="none" w:sz="0" w:space="0" w:color="auto"/>
            <w:bottom w:val="none" w:sz="0" w:space="0" w:color="auto"/>
            <w:right w:val="none" w:sz="0" w:space="0" w:color="auto"/>
          </w:divBdr>
          <w:divsChild>
            <w:div w:id="1267889741">
              <w:marLeft w:val="0"/>
              <w:marRight w:val="0"/>
              <w:marTop w:val="0"/>
              <w:marBottom w:val="0"/>
              <w:divBdr>
                <w:top w:val="none" w:sz="0" w:space="0" w:color="auto"/>
                <w:left w:val="none" w:sz="0" w:space="0" w:color="auto"/>
                <w:bottom w:val="none" w:sz="0" w:space="0" w:color="auto"/>
                <w:right w:val="none" w:sz="0" w:space="0" w:color="auto"/>
              </w:divBdr>
            </w:div>
          </w:divsChild>
        </w:div>
        <w:div w:id="72051128">
          <w:marLeft w:val="0"/>
          <w:marRight w:val="0"/>
          <w:marTop w:val="0"/>
          <w:marBottom w:val="0"/>
          <w:divBdr>
            <w:top w:val="none" w:sz="0" w:space="0" w:color="auto"/>
            <w:left w:val="none" w:sz="0" w:space="0" w:color="auto"/>
            <w:bottom w:val="none" w:sz="0" w:space="0" w:color="auto"/>
            <w:right w:val="none" w:sz="0" w:space="0" w:color="auto"/>
          </w:divBdr>
          <w:divsChild>
            <w:div w:id="1453670948">
              <w:marLeft w:val="0"/>
              <w:marRight w:val="0"/>
              <w:marTop w:val="0"/>
              <w:marBottom w:val="0"/>
              <w:divBdr>
                <w:top w:val="none" w:sz="0" w:space="0" w:color="auto"/>
                <w:left w:val="none" w:sz="0" w:space="0" w:color="auto"/>
                <w:bottom w:val="none" w:sz="0" w:space="0" w:color="auto"/>
                <w:right w:val="none" w:sz="0" w:space="0" w:color="auto"/>
              </w:divBdr>
            </w:div>
          </w:divsChild>
        </w:div>
        <w:div w:id="73668279">
          <w:marLeft w:val="0"/>
          <w:marRight w:val="0"/>
          <w:marTop w:val="0"/>
          <w:marBottom w:val="0"/>
          <w:divBdr>
            <w:top w:val="none" w:sz="0" w:space="0" w:color="auto"/>
            <w:left w:val="none" w:sz="0" w:space="0" w:color="auto"/>
            <w:bottom w:val="none" w:sz="0" w:space="0" w:color="auto"/>
            <w:right w:val="none" w:sz="0" w:space="0" w:color="auto"/>
          </w:divBdr>
          <w:divsChild>
            <w:div w:id="1100680820">
              <w:marLeft w:val="0"/>
              <w:marRight w:val="0"/>
              <w:marTop w:val="0"/>
              <w:marBottom w:val="0"/>
              <w:divBdr>
                <w:top w:val="none" w:sz="0" w:space="0" w:color="auto"/>
                <w:left w:val="none" w:sz="0" w:space="0" w:color="auto"/>
                <w:bottom w:val="none" w:sz="0" w:space="0" w:color="auto"/>
                <w:right w:val="none" w:sz="0" w:space="0" w:color="auto"/>
              </w:divBdr>
            </w:div>
          </w:divsChild>
        </w:div>
        <w:div w:id="74060794">
          <w:marLeft w:val="0"/>
          <w:marRight w:val="0"/>
          <w:marTop w:val="0"/>
          <w:marBottom w:val="0"/>
          <w:divBdr>
            <w:top w:val="none" w:sz="0" w:space="0" w:color="auto"/>
            <w:left w:val="none" w:sz="0" w:space="0" w:color="auto"/>
            <w:bottom w:val="none" w:sz="0" w:space="0" w:color="auto"/>
            <w:right w:val="none" w:sz="0" w:space="0" w:color="auto"/>
          </w:divBdr>
          <w:divsChild>
            <w:div w:id="1520662643">
              <w:marLeft w:val="0"/>
              <w:marRight w:val="0"/>
              <w:marTop w:val="0"/>
              <w:marBottom w:val="0"/>
              <w:divBdr>
                <w:top w:val="none" w:sz="0" w:space="0" w:color="auto"/>
                <w:left w:val="none" w:sz="0" w:space="0" w:color="auto"/>
                <w:bottom w:val="none" w:sz="0" w:space="0" w:color="auto"/>
                <w:right w:val="none" w:sz="0" w:space="0" w:color="auto"/>
              </w:divBdr>
            </w:div>
          </w:divsChild>
        </w:div>
        <w:div w:id="75327024">
          <w:marLeft w:val="0"/>
          <w:marRight w:val="0"/>
          <w:marTop w:val="0"/>
          <w:marBottom w:val="0"/>
          <w:divBdr>
            <w:top w:val="none" w:sz="0" w:space="0" w:color="auto"/>
            <w:left w:val="none" w:sz="0" w:space="0" w:color="auto"/>
            <w:bottom w:val="none" w:sz="0" w:space="0" w:color="auto"/>
            <w:right w:val="none" w:sz="0" w:space="0" w:color="auto"/>
          </w:divBdr>
          <w:divsChild>
            <w:div w:id="111098444">
              <w:marLeft w:val="0"/>
              <w:marRight w:val="0"/>
              <w:marTop w:val="0"/>
              <w:marBottom w:val="0"/>
              <w:divBdr>
                <w:top w:val="none" w:sz="0" w:space="0" w:color="auto"/>
                <w:left w:val="none" w:sz="0" w:space="0" w:color="auto"/>
                <w:bottom w:val="none" w:sz="0" w:space="0" w:color="auto"/>
                <w:right w:val="none" w:sz="0" w:space="0" w:color="auto"/>
              </w:divBdr>
            </w:div>
          </w:divsChild>
        </w:div>
        <w:div w:id="76099767">
          <w:marLeft w:val="0"/>
          <w:marRight w:val="0"/>
          <w:marTop w:val="0"/>
          <w:marBottom w:val="0"/>
          <w:divBdr>
            <w:top w:val="none" w:sz="0" w:space="0" w:color="auto"/>
            <w:left w:val="none" w:sz="0" w:space="0" w:color="auto"/>
            <w:bottom w:val="none" w:sz="0" w:space="0" w:color="auto"/>
            <w:right w:val="none" w:sz="0" w:space="0" w:color="auto"/>
          </w:divBdr>
          <w:divsChild>
            <w:div w:id="1456750820">
              <w:marLeft w:val="0"/>
              <w:marRight w:val="0"/>
              <w:marTop w:val="0"/>
              <w:marBottom w:val="0"/>
              <w:divBdr>
                <w:top w:val="none" w:sz="0" w:space="0" w:color="auto"/>
                <w:left w:val="none" w:sz="0" w:space="0" w:color="auto"/>
                <w:bottom w:val="none" w:sz="0" w:space="0" w:color="auto"/>
                <w:right w:val="none" w:sz="0" w:space="0" w:color="auto"/>
              </w:divBdr>
            </w:div>
          </w:divsChild>
        </w:div>
        <w:div w:id="83116717">
          <w:marLeft w:val="0"/>
          <w:marRight w:val="0"/>
          <w:marTop w:val="0"/>
          <w:marBottom w:val="0"/>
          <w:divBdr>
            <w:top w:val="none" w:sz="0" w:space="0" w:color="auto"/>
            <w:left w:val="none" w:sz="0" w:space="0" w:color="auto"/>
            <w:bottom w:val="none" w:sz="0" w:space="0" w:color="auto"/>
            <w:right w:val="none" w:sz="0" w:space="0" w:color="auto"/>
          </w:divBdr>
          <w:divsChild>
            <w:div w:id="40205367">
              <w:marLeft w:val="0"/>
              <w:marRight w:val="0"/>
              <w:marTop w:val="0"/>
              <w:marBottom w:val="0"/>
              <w:divBdr>
                <w:top w:val="none" w:sz="0" w:space="0" w:color="auto"/>
                <w:left w:val="none" w:sz="0" w:space="0" w:color="auto"/>
                <w:bottom w:val="none" w:sz="0" w:space="0" w:color="auto"/>
                <w:right w:val="none" w:sz="0" w:space="0" w:color="auto"/>
              </w:divBdr>
            </w:div>
          </w:divsChild>
        </w:div>
        <w:div w:id="83886463">
          <w:marLeft w:val="0"/>
          <w:marRight w:val="0"/>
          <w:marTop w:val="0"/>
          <w:marBottom w:val="0"/>
          <w:divBdr>
            <w:top w:val="none" w:sz="0" w:space="0" w:color="auto"/>
            <w:left w:val="none" w:sz="0" w:space="0" w:color="auto"/>
            <w:bottom w:val="none" w:sz="0" w:space="0" w:color="auto"/>
            <w:right w:val="none" w:sz="0" w:space="0" w:color="auto"/>
          </w:divBdr>
          <w:divsChild>
            <w:div w:id="240990055">
              <w:marLeft w:val="0"/>
              <w:marRight w:val="0"/>
              <w:marTop w:val="0"/>
              <w:marBottom w:val="0"/>
              <w:divBdr>
                <w:top w:val="none" w:sz="0" w:space="0" w:color="auto"/>
                <w:left w:val="none" w:sz="0" w:space="0" w:color="auto"/>
                <w:bottom w:val="none" w:sz="0" w:space="0" w:color="auto"/>
                <w:right w:val="none" w:sz="0" w:space="0" w:color="auto"/>
              </w:divBdr>
            </w:div>
          </w:divsChild>
        </w:div>
        <w:div w:id="85616935">
          <w:marLeft w:val="0"/>
          <w:marRight w:val="0"/>
          <w:marTop w:val="0"/>
          <w:marBottom w:val="0"/>
          <w:divBdr>
            <w:top w:val="none" w:sz="0" w:space="0" w:color="auto"/>
            <w:left w:val="none" w:sz="0" w:space="0" w:color="auto"/>
            <w:bottom w:val="none" w:sz="0" w:space="0" w:color="auto"/>
            <w:right w:val="none" w:sz="0" w:space="0" w:color="auto"/>
          </w:divBdr>
          <w:divsChild>
            <w:div w:id="816579371">
              <w:marLeft w:val="0"/>
              <w:marRight w:val="0"/>
              <w:marTop w:val="0"/>
              <w:marBottom w:val="0"/>
              <w:divBdr>
                <w:top w:val="none" w:sz="0" w:space="0" w:color="auto"/>
                <w:left w:val="none" w:sz="0" w:space="0" w:color="auto"/>
                <w:bottom w:val="none" w:sz="0" w:space="0" w:color="auto"/>
                <w:right w:val="none" w:sz="0" w:space="0" w:color="auto"/>
              </w:divBdr>
            </w:div>
          </w:divsChild>
        </w:div>
        <w:div w:id="86778478">
          <w:marLeft w:val="0"/>
          <w:marRight w:val="0"/>
          <w:marTop w:val="0"/>
          <w:marBottom w:val="0"/>
          <w:divBdr>
            <w:top w:val="none" w:sz="0" w:space="0" w:color="auto"/>
            <w:left w:val="none" w:sz="0" w:space="0" w:color="auto"/>
            <w:bottom w:val="none" w:sz="0" w:space="0" w:color="auto"/>
            <w:right w:val="none" w:sz="0" w:space="0" w:color="auto"/>
          </w:divBdr>
          <w:divsChild>
            <w:div w:id="1630280072">
              <w:marLeft w:val="0"/>
              <w:marRight w:val="0"/>
              <w:marTop w:val="0"/>
              <w:marBottom w:val="0"/>
              <w:divBdr>
                <w:top w:val="none" w:sz="0" w:space="0" w:color="auto"/>
                <w:left w:val="none" w:sz="0" w:space="0" w:color="auto"/>
                <w:bottom w:val="none" w:sz="0" w:space="0" w:color="auto"/>
                <w:right w:val="none" w:sz="0" w:space="0" w:color="auto"/>
              </w:divBdr>
            </w:div>
          </w:divsChild>
        </w:div>
        <w:div w:id="88741253">
          <w:marLeft w:val="0"/>
          <w:marRight w:val="0"/>
          <w:marTop w:val="0"/>
          <w:marBottom w:val="0"/>
          <w:divBdr>
            <w:top w:val="none" w:sz="0" w:space="0" w:color="auto"/>
            <w:left w:val="none" w:sz="0" w:space="0" w:color="auto"/>
            <w:bottom w:val="none" w:sz="0" w:space="0" w:color="auto"/>
            <w:right w:val="none" w:sz="0" w:space="0" w:color="auto"/>
          </w:divBdr>
          <w:divsChild>
            <w:div w:id="2010518036">
              <w:marLeft w:val="0"/>
              <w:marRight w:val="0"/>
              <w:marTop w:val="0"/>
              <w:marBottom w:val="0"/>
              <w:divBdr>
                <w:top w:val="none" w:sz="0" w:space="0" w:color="auto"/>
                <w:left w:val="none" w:sz="0" w:space="0" w:color="auto"/>
                <w:bottom w:val="none" w:sz="0" w:space="0" w:color="auto"/>
                <w:right w:val="none" w:sz="0" w:space="0" w:color="auto"/>
              </w:divBdr>
            </w:div>
          </w:divsChild>
        </w:div>
        <w:div w:id="90247440">
          <w:marLeft w:val="0"/>
          <w:marRight w:val="0"/>
          <w:marTop w:val="0"/>
          <w:marBottom w:val="0"/>
          <w:divBdr>
            <w:top w:val="none" w:sz="0" w:space="0" w:color="auto"/>
            <w:left w:val="none" w:sz="0" w:space="0" w:color="auto"/>
            <w:bottom w:val="none" w:sz="0" w:space="0" w:color="auto"/>
            <w:right w:val="none" w:sz="0" w:space="0" w:color="auto"/>
          </w:divBdr>
          <w:divsChild>
            <w:div w:id="1228494007">
              <w:marLeft w:val="0"/>
              <w:marRight w:val="0"/>
              <w:marTop w:val="0"/>
              <w:marBottom w:val="0"/>
              <w:divBdr>
                <w:top w:val="none" w:sz="0" w:space="0" w:color="auto"/>
                <w:left w:val="none" w:sz="0" w:space="0" w:color="auto"/>
                <w:bottom w:val="none" w:sz="0" w:space="0" w:color="auto"/>
                <w:right w:val="none" w:sz="0" w:space="0" w:color="auto"/>
              </w:divBdr>
            </w:div>
          </w:divsChild>
        </w:div>
        <w:div w:id="97681181">
          <w:marLeft w:val="0"/>
          <w:marRight w:val="0"/>
          <w:marTop w:val="0"/>
          <w:marBottom w:val="0"/>
          <w:divBdr>
            <w:top w:val="none" w:sz="0" w:space="0" w:color="auto"/>
            <w:left w:val="none" w:sz="0" w:space="0" w:color="auto"/>
            <w:bottom w:val="none" w:sz="0" w:space="0" w:color="auto"/>
            <w:right w:val="none" w:sz="0" w:space="0" w:color="auto"/>
          </w:divBdr>
          <w:divsChild>
            <w:div w:id="1279994122">
              <w:marLeft w:val="0"/>
              <w:marRight w:val="0"/>
              <w:marTop w:val="0"/>
              <w:marBottom w:val="0"/>
              <w:divBdr>
                <w:top w:val="none" w:sz="0" w:space="0" w:color="auto"/>
                <w:left w:val="none" w:sz="0" w:space="0" w:color="auto"/>
                <w:bottom w:val="none" w:sz="0" w:space="0" w:color="auto"/>
                <w:right w:val="none" w:sz="0" w:space="0" w:color="auto"/>
              </w:divBdr>
            </w:div>
          </w:divsChild>
        </w:div>
        <w:div w:id="97918839">
          <w:marLeft w:val="0"/>
          <w:marRight w:val="0"/>
          <w:marTop w:val="0"/>
          <w:marBottom w:val="0"/>
          <w:divBdr>
            <w:top w:val="none" w:sz="0" w:space="0" w:color="auto"/>
            <w:left w:val="none" w:sz="0" w:space="0" w:color="auto"/>
            <w:bottom w:val="none" w:sz="0" w:space="0" w:color="auto"/>
            <w:right w:val="none" w:sz="0" w:space="0" w:color="auto"/>
          </w:divBdr>
          <w:divsChild>
            <w:div w:id="329522768">
              <w:marLeft w:val="0"/>
              <w:marRight w:val="0"/>
              <w:marTop w:val="0"/>
              <w:marBottom w:val="0"/>
              <w:divBdr>
                <w:top w:val="none" w:sz="0" w:space="0" w:color="auto"/>
                <w:left w:val="none" w:sz="0" w:space="0" w:color="auto"/>
                <w:bottom w:val="none" w:sz="0" w:space="0" w:color="auto"/>
                <w:right w:val="none" w:sz="0" w:space="0" w:color="auto"/>
              </w:divBdr>
            </w:div>
          </w:divsChild>
        </w:div>
        <w:div w:id="99566052">
          <w:marLeft w:val="0"/>
          <w:marRight w:val="0"/>
          <w:marTop w:val="0"/>
          <w:marBottom w:val="0"/>
          <w:divBdr>
            <w:top w:val="none" w:sz="0" w:space="0" w:color="auto"/>
            <w:left w:val="none" w:sz="0" w:space="0" w:color="auto"/>
            <w:bottom w:val="none" w:sz="0" w:space="0" w:color="auto"/>
            <w:right w:val="none" w:sz="0" w:space="0" w:color="auto"/>
          </w:divBdr>
          <w:divsChild>
            <w:div w:id="1736853709">
              <w:marLeft w:val="0"/>
              <w:marRight w:val="0"/>
              <w:marTop w:val="0"/>
              <w:marBottom w:val="0"/>
              <w:divBdr>
                <w:top w:val="none" w:sz="0" w:space="0" w:color="auto"/>
                <w:left w:val="none" w:sz="0" w:space="0" w:color="auto"/>
                <w:bottom w:val="none" w:sz="0" w:space="0" w:color="auto"/>
                <w:right w:val="none" w:sz="0" w:space="0" w:color="auto"/>
              </w:divBdr>
            </w:div>
          </w:divsChild>
        </w:div>
        <w:div w:id="100229495">
          <w:marLeft w:val="0"/>
          <w:marRight w:val="0"/>
          <w:marTop w:val="0"/>
          <w:marBottom w:val="0"/>
          <w:divBdr>
            <w:top w:val="none" w:sz="0" w:space="0" w:color="auto"/>
            <w:left w:val="none" w:sz="0" w:space="0" w:color="auto"/>
            <w:bottom w:val="none" w:sz="0" w:space="0" w:color="auto"/>
            <w:right w:val="none" w:sz="0" w:space="0" w:color="auto"/>
          </w:divBdr>
          <w:divsChild>
            <w:div w:id="652754685">
              <w:marLeft w:val="0"/>
              <w:marRight w:val="0"/>
              <w:marTop w:val="0"/>
              <w:marBottom w:val="0"/>
              <w:divBdr>
                <w:top w:val="none" w:sz="0" w:space="0" w:color="auto"/>
                <w:left w:val="none" w:sz="0" w:space="0" w:color="auto"/>
                <w:bottom w:val="none" w:sz="0" w:space="0" w:color="auto"/>
                <w:right w:val="none" w:sz="0" w:space="0" w:color="auto"/>
              </w:divBdr>
            </w:div>
          </w:divsChild>
        </w:div>
        <w:div w:id="101075264">
          <w:marLeft w:val="0"/>
          <w:marRight w:val="0"/>
          <w:marTop w:val="0"/>
          <w:marBottom w:val="0"/>
          <w:divBdr>
            <w:top w:val="none" w:sz="0" w:space="0" w:color="auto"/>
            <w:left w:val="none" w:sz="0" w:space="0" w:color="auto"/>
            <w:bottom w:val="none" w:sz="0" w:space="0" w:color="auto"/>
            <w:right w:val="none" w:sz="0" w:space="0" w:color="auto"/>
          </w:divBdr>
          <w:divsChild>
            <w:div w:id="1299871315">
              <w:marLeft w:val="0"/>
              <w:marRight w:val="0"/>
              <w:marTop w:val="0"/>
              <w:marBottom w:val="0"/>
              <w:divBdr>
                <w:top w:val="none" w:sz="0" w:space="0" w:color="auto"/>
                <w:left w:val="none" w:sz="0" w:space="0" w:color="auto"/>
                <w:bottom w:val="none" w:sz="0" w:space="0" w:color="auto"/>
                <w:right w:val="none" w:sz="0" w:space="0" w:color="auto"/>
              </w:divBdr>
            </w:div>
          </w:divsChild>
        </w:div>
        <w:div w:id="101653351">
          <w:marLeft w:val="0"/>
          <w:marRight w:val="0"/>
          <w:marTop w:val="0"/>
          <w:marBottom w:val="0"/>
          <w:divBdr>
            <w:top w:val="none" w:sz="0" w:space="0" w:color="auto"/>
            <w:left w:val="none" w:sz="0" w:space="0" w:color="auto"/>
            <w:bottom w:val="none" w:sz="0" w:space="0" w:color="auto"/>
            <w:right w:val="none" w:sz="0" w:space="0" w:color="auto"/>
          </w:divBdr>
          <w:divsChild>
            <w:div w:id="639263771">
              <w:marLeft w:val="0"/>
              <w:marRight w:val="0"/>
              <w:marTop w:val="0"/>
              <w:marBottom w:val="0"/>
              <w:divBdr>
                <w:top w:val="none" w:sz="0" w:space="0" w:color="auto"/>
                <w:left w:val="none" w:sz="0" w:space="0" w:color="auto"/>
                <w:bottom w:val="none" w:sz="0" w:space="0" w:color="auto"/>
                <w:right w:val="none" w:sz="0" w:space="0" w:color="auto"/>
              </w:divBdr>
            </w:div>
          </w:divsChild>
        </w:div>
        <w:div w:id="101734032">
          <w:marLeft w:val="0"/>
          <w:marRight w:val="0"/>
          <w:marTop w:val="0"/>
          <w:marBottom w:val="0"/>
          <w:divBdr>
            <w:top w:val="none" w:sz="0" w:space="0" w:color="auto"/>
            <w:left w:val="none" w:sz="0" w:space="0" w:color="auto"/>
            <w:bottom w:val="none" w:sz="0" w:space="0" w:color="auto"/>
            <w:right w:val="none" w:sz="0" w:space="0" w:color="auto"/>
          </w:divBdr>
          <w:divsChild>
            <w:div w:id="796484428">
              <w:marLeft w:val="0"/>
              <w:marRight w:val="0"/>
              <w:marTop w:val="0"/>
              <w:marBottom w:val="0"/>
              <w:divBdr>
                <w:top w:val="none" w:sz="0" w:space="0" w:color="auto"/>
                <w:left w:val="none" w:sz="0" w:space="0" w:color="auto"/>
                <w:bottom w:val="none" w:sz="0" w:space="0" w:color="auto"/>
                <w:right w:val="none" w:sz="0" w:space="0" w:color="auto"/>
              </w:divBdr>
            </w:div>
          </w:divsChild>
        </w:div>
        <w:div w:id="103308304">
          <w:marLeft w:val="0"/>
          <w:marRight w:val="0"/>
          <w:marTop w:val="0"/>
          <w:marBottom w:val="0"/>
          <w:divBdr>
            <w:top w:val="none" w:sz="0" w:space="0" w:color="auto"/>
            <w:left w:val="none" w:sz="0" w:space="0" w:color="auto"/>
            <w:bottom w:val="none" w:sz="0" w:space="0" w:color="auto"/>
            <w:right w:val="none" w:sz="0" w:space="0" w:color="auto"/>
          </w:divBdr>
          <w:divsChild>
            <w:div w:id="867448726">
              <w:marLeft w:val="0"/>
              <w:marRight w:val="0"/>
              <w:marTop w:val="0"/>
              <w:marBottom w:val="0"/>
              <w:divBdr>
                <w:top w:val="none" w:sz="0" w:space="0" w:color="auto"/>
                <w:left w:val="none" w:sz="0" w:space="0" w:color="auto"/>
                <w:bottom w:val="none" w:sz="0" w:space="0" w:color="auto"/>
                <w:right w:val="none" w:sz="0" w:space="0" w:color="auto"/>
              </w:divBdr>
            </w:div>
          </w:divsChild>
        </w:div>
        <w:div w:id="104424302">
          <w:marLeft w:val="0"/>
          <w:marRight w:val="0"/>
          <w:marTop w:val="0"/>
          <w:marBottom w:val="0"/>
          <w:divBdr>
            <w:top w:val="none" w:sz="0" w:space="0" w:color="auto"/>
            <w:left w:val="none" w:sz="0" w:space="0" w:color="auto"/>
            <w:bottom w:val="none" w:sz="0" w:space="0" w:color="auto"/>
            <w:right w:val="none" w:sz="0" w:space="0" w:color="auto"/>
          </w:divBdr>
          <w:divsChild>
            <w:div w:id="240649760">
              <w:marLeft w:val="0"/>
              <w:marRight w:val="0"/>
              <w:marTop w:val="0"/>
              <w:marBottom w:val="0"/>
              <w:divBdr>
                <w:top w:val="none" w:sz="0" w:space="0" w:color="auto"/>
                <w:left w:val="none" w:sz="0" w:space="0" w:color="auto"/>
                <w:bottom w:val="none" w:sz="0" w:space="0" w:color="auto"/>
                <w:right w:val="none" w:sz="0" w:space="0" w:color="auto"/>
              </w:divBdr>
            </w:div>
          </w:divsChild>
        </w:div>
        <w:div w:id="114712962">
          <w:marLeft w:val="0"/>
          <w:marRight w:val="0"/>
          <w:marTop w:val="0"/>
          <w:marBottom w:val="0"/>
          <w:divBdr>
            <w:top w:val="none" w:sz="0" w:space="0" w:color="auto"/>
            <w:left w:val="none" w:sz="0" w:space="0" w:color="auto"/>
            <w:bottom w:val="none" w:sz="0" w:space="0" w:color="auto"/>
            <w:right w:val="none" w:sz="0" w:space="0" w:color="auto"/>
          </w:divBdr>
          <w:divsChild>
            <w:div w:id="2140955021">
              <w:marLeft w:val="0"/>
              <w:marRight w:val="0"/>
              <w:marTop w:val="0"/>
              <w:marBottom w:val="0"/>
              <w:divBdr>
                <w:top w:val="none" w:sz="0" w:space="0" w:color="auto"/>
                <w:left w:val="none" w:sz="0" w:space="0" w:color="auto"/>
                <w:bottom w:val="none" w:sz="0" w:space="0" w:color="auto"/>
                <w:right w:val="none" w:sz="0" w:space="0" w:color="auto"/>
              </w:divBdr>
            </w:div>
          </w:divsChild>
        </w:div>
        <w:div w:id="120348013">
          <w:marLeft w:val="0"/>
          <w:marRight w:val="0"/>
          <w:marTop w:val="0"/>
          <w:marBottom w:val="0"/>
          <w:divBdr>
            <w:top w:val="none" w:sz="0" w:space="0" w:color="auto"/>
            <w:left w:val="none" w:sz="0" w:space="0" w:color="auto"/>
            <w:bottom w:val="none" w:sz="0" w:space="0" w:color="auto"/>
            <w:right w:val="none" w:sz="0" w:space="0" w:color="auto"/>
          </w:divBdr>
          <w:divsChild>
            <w:div w:id="1439761128">
              <w:marLeft w:val="0"/>
              <w:marRight w:val="0"/>
              <w:marTop w:val="0"/>
              <w:marBottom w:val="0"/>
              <w:divBdr>
                <w:top w:val="none" w:sz="0" w:space="0" w:color="auto"/>
                <w:left w:val="none" w:sz="0" w:space="0" w:color="auto"/>
                <w:bottom w:val="none" w:sz="0" w:space="0" w:color="auto"/>
                <w:right w:val="none" w:sz="0" w:space="0" w:color="auto"/>
              </w:divBdr>
            </w:div>
          </w:divsChild>
        </w:div>
        <w:div w:id="131366556">
          <w:marLeft w:val="0"/>
          <w:marRight w:val="0"/>
          <w:marTop w:val="0"/>
          <w:marBottom w:val="0"/>
          <w:divBdr>
            <w:top w:val="none" w:sz="0" w:space="0" w:color="auto"/>
            <w:left w:val="none" w:sz="0" w:space="0" w:color="auto"/>
            <w:bottom w:val="none" w:sz="0" w:space="0" w:color="auto"/>
            <w:right w:val="none" w:sz="0" w:space="0" w:color="auto"/>
          </w:divBdr>
          <w:divsChild>
            <w:div w:id="1408959672">
              <w:marLeft w:val="0"/>
              <w:marRight w:val="0"/>
              <w:marTop w:val="0"/>
              <w:marBottom w:val="0"/>
              <w:divBdr>
                <w:top w:val="none" w:sz="0" w:space="0" w:color="auto"/>
                <w:left w:val="none" w:sz="0" w:space="0" w:color="auto"/>
                <w:bottom w:val="none" w:sz="0" w:space="0" w:color="auto"/>
                <w:right w:val="none" w:sz="0" w:space="0" w:color="auto"/>
              </w:divBdr>
            </w:div>
          </w:divsChild>
        </w:div>
        <w:div w:id="133497840">
          <w:marLeft w:val="0"/>
          <w:marRight w:val="0"/>
          <w:marTop w:val="0"/>
          <w:marBottom w:val="0"/>
          <w:divBdr>
            <w:top w:val="none" w:sz="0" w:space="0" w:color="auto"/>
            <w:left w:val="none" w:sz="0" w:space="0" w:color="auto"/>
            <w:bottom w:val="none" w:sz="0" w:space="0" w:color="auto"/>
            <w:right w:val="none" w:sz="0" w:space="0" w:color="auto"/>
          </w:divBdr>
          <w:divsChild>
            <w:div w:id="1494756645">
              <w:marLeft w:val="0"/>
              <w:marRight w:val="0"/>
              <w:marTop w:val="0"/>
              <w:marBottom w:val="0"/>
              <w:divBdr>
                <w:top w:val="none" w:sz="0" w:space="0" w:color="auto"/>
                <w:left w:val="none" w:sz="0" w:space="0" w:color="auto"/>
                <w:bottom w:val="none" w:sz="0" w:space="0" w:color="auto"/>
                <w:right w:val="none" w:sz="0" w:space="0" w:color="auto"/>
              </w:divBdr>
            </w:div>
          </w:divsChild>
        </w:div>
        <w:div w:id="139076198">
          <w:marLeft w:val="0"/>
          <w:marRight w:val="0"/>
          <w:marTop w:val="0"/>
          <w:marBottom w:val="0"/>
          <w:divBdr>
            <w:top w:val="none" w:sz="0" w:space="0" w:color="auto"/>
            <w:left w:val="none" w:sz="0" w:space="0" w:color="auto"/>
            <w:bottom w:val="none" w:sz="0" w:space="0" w:color="auto"/>
            <w:right w:val="none" w:sz="0" w:space="0" w:color="auto"/>
          </w:divBdr>
          <w:divsChild>
            <w:div w:id="712928083">
              <w:marLeft w:val="0"/>
              <w:marRight w:val="0"/>
              <w:marTop w:val="0"/>
              <w:marBottom w:val="0"/>
              <w:divBdr>
                <w:top w:val="none" w:sz="0" w:space="0" w:color="auto"/>
                <w:left w:val="none" w:sz="0" w:space="0" w:color="auto"/>
                <w:bottom w:val="none" w:sz="0" w:space="0" w:color="auto"/>
                <w:right w:val="none" w:sz="0" w:space="0" w:color="auto"/>
              </w:divBdr>
            </w:div>
          </w:divsChild>
        </w:div>
        <w:div w:id="143814733">
          <w:marLeft w:val="0"/>
          <w:marRight w:val="0"/>
          <w:marTop w:val="0"/>
          <w:marBottom w:val="0"/>
          <w:divBdr>
            <w:top w:val="none" w:sz="0" w:space="0" w:color="auto"/>
            <w:left w:val="none" w:sz="0" w:space="0" w:color="auto"/>
            <w:bottom w:val="none" w:sz="0" w:space="0" w:color="auto"/>
            <w:right w:val="none" w:sz="0" w:space="0" w:color="auto"/>
          </w:divBdr>
          <w:divsChild>
            <w:div w:id="721178630">
              <w:marLeft w:val="0"/>
              <w:marRight w:val="0"/>
              <w:marTop w:val="0"/>
              <w:marBottom w:val="0"/>
              <w:divBdr>
                <w:top w:val="none" w:sz="0" w:space="0" w:color="auto"/>
                <w:left w:val="none" w:sz="0" w:space="0" w:color="auto"/>
                <w:bottom w:val="none" w:sz="0" w:space="0" w:color="auto"/>
                <w:right w:val="none" w:sz="0" w:space="0" w:color="auto"/>
              </w:divBdr>
            </w:div>
          </w:divsChild>
        </w:div>
        <w:div w:id="147989117">
          <w:marLeft w:val="0"/>
          <w:marRight w:val="0"/>
          <w:marTop w:val="0"/>
          <w:marBottom w:val="0"/>
          <w:divBdr>
            <w:top w:val="none" w:sz="0" w:space="0" w:color="auto"/>
            <w:left w:val="none" w:sz="0" w:space="0" w:color="auto"/>
            <w:bottom w:val="none" w:sz="0" w:space="0" w:color="auto"/>
            <w:right w:val="none" w:sz="0" w:space="0" w:color="auto"/>
          </w:divBdr>
          <w:divsChild>
            <w:div w:id="619844693">
              <w:marLeft w:val="0"/>
              <w:marRight w:val="0"/>
              <w:marTop w:val="0"/>
              <w:marBottom w:val="0"/>
              <w:divBdr>
                <w:top w:val="none" w:sz="0" w:space="0" w:color="auto"/>
                <w:left w:val="none" w:sz="0" w:space="0" w:color="auto"/>
                <w:bottom w:val="none" w:sz="0" w:space="0" w:color="auto"/>
                <w:right w:val="none" w:sz="0" w:space="0" w:color="auto"/>
              </w:divBdr>
            </w:div>
          </w:divsChild>
        </w:div>
        <w:div w:id="156531453">
          <w:marLeft w:val="0"/>
          <w:marRight w:val="0"/>
          <w:marTop w:val="0"/>
          <w:marBottom w:val="0"/>
          <w:divBdr>
            <w:top w:val="none" w:sz="0" w:space="0" w:color="auto"/>
            <w:left w:val="none" w:sz="0" w:space="0" w:color="auto"/>
            <w:bottom w:val="none" w:sz="0" w:space="0" w:color="auto"/>
            <w:right w:val="none" w:sz="0" w:space="0" w:color="auto"/>
          </w:divBdr>
          <w:divsChild>
            <w:div w:id="134837456">
              <w:marLeft w:val="0"/>
              <w:marRight w:val="0"/>
              <w:marTop w:val="0"/>
              <w:marBottom w:val="0"/>
              <w:divBdr>
                <w:top w:val="none" w:sz="0" w:space="0" w:color="auto"/>
                <w:left w:val="none" w:sz="0" w:space="0" w:color="auto"/>
                <w:bottom w:val="none" w:sz="0" w:space="0" w:color="auto"/>
                <w:right w:val="none" w:sz="0" w:space="0" w:color="auto"/>
              </w:divBdr>
            </w:div>
          </w:divsChild>
        </w:div>
        <w:div w:id="173812618">
          <w:marLeft w:val="0"/>
          <w:marRight w:val="0"/>
          <w:marTop w:val="0"/>
          <w:marBottom w:val="0"/>
          <w:divBdr>
            <w:top w:val="none" w:sz="0" w:space="0" w:color="auto"/>
            <w:left w:val="none" w:sz="0" w:space="0" w:color="auto"/>
            <w:bottom w:val="none" w:sz="0" w:space="0" w:color="auto"/>
            <w:right w:val="none" w:sz="0" w:space="0" w:color="auto"/>
          </w:divBdr>
          <w:divsChild>
            <w:div w:id="1575816937">
              <w:marLeft w:val="0"/>
              <w:marRight w:val="0"/>
              <w:marTop w:val="0"/>
              <w:marBottom w:val="0"/>
              <w:divBdr>
                <w:top w:val="none" w:sz="0" w:space="0" w:color="auto"/>
                <w:left w:val="none" w:sz="0" w:space="0" w:color="auto"/>
                <w:bottom w:val="none" w:sz="0" w:space="0" w:color="auto"/>
                <w:right w:val="none" w:sz="0" w:space="0" w:color="auto"/>
              </w:divBdr>
            </w:div>
          </w:divsChild>
        </w:div>
        <w:div w:id="182330092">
          <w:marLeft w:val="0"/>
          <w:marRight w:val="0"/>
          <w:marTop w:val="0"/>
          <w:marBottom w:val="0"/>
          <w:divBdr>
            <w:top w:val="none" w:sz="0" w:space="0" w:color="auto"/>
            <w:left w:val="none" w:sz="0" w:space="0" w:color="auto"/>
            <w:bottom w:val="none" w:sz="0" w:space="0" w:color="auto"/>
            <w:right w:val="none" w:sz="0" w:space="0" w:color="auto"/>
          </w:divBdr>
          <w:divsChild>
            <w:div w:id="875699439">
              <w:marLeft w:val="0"/>
              <w:marRight w:val="0"/>
              <w:marTop w:val="0"/>
              <w:marBottom w:val="0"/>
              <w:divBdr>
                <w:top w:val="none" w:sz="0" w:space="0" w:color="auto"/>
                <w:left w:val="none" w:sz="0" w:space="0" w:color="auto"/>
                <w:bottom w:val="none" w:sz="0" w:space="0" w:color="auto"/>
                <w:right w:val="none" w:sz="0" w:space="0" w:color="auto"/>
              </w:divBdr>
            </w:div>
          </w:divsChild>
        </w:div>
        <w:div w:id="187571787">
          <w:marLeft w:val="0"/>
          <w:marRight w:val="0"/>
          <w:marTop w:val="0"/>
          <w:marBottom w:val="0"/>
          <w:divBdr>
            <w:top w:val="none" w:sz="0" w:space="0" w:color="auto"/>
            <w:left w:val="none" w:sz="0" w:space="0" w:color="auto"/>
            <w:bottom w:val="none" w:sz="0" w:space="0" w:color="auto"/>
            <w:right w:val="none" w:sz="0" w:space="0" w:color="auto"/>
          </w:divBdr>
          <w:divsChild>
            <w:div w:id="1249460128">
              <w:marLeft w:val="0"/>
              <w:marRight w:val="0"/>
              <w:marTop w:val="0"/>
              <w:marBottom w:val="0"/>
              <w:divBdr>
                <w:top w:val="none" w:sz="0" w:space="0" w:color="auto"/>
                <w:left w:val="none" w:sz="0" w:space="0" w:color="auto"/>
                <w:bottom w:val="none" w:sz="0" w:space="0" w:color="auto"/>
                <w:right w:val="none" w:sz="0" w:space="0" w:color="auto"/>
              </w:divBdr>
            </w:div>
          </w:divsChild>
        </w:div>
        <w:div w:id="189144961">
          <w:marLeft w:val="0"/>
          <w:marRight w:val="0"/>
          <w:marTop w:val="0"/>
          <w:marBottom w:val="0"/>
          <w:divBdr>
            <w:top w:val="none" w:sz="0" w:space="0" w:color="auto"/>
            <w:left w:val="none" w:sz="0" w:space="0" w:color="auto"/>
            <w:bottom w:val="none" w:sz="0" w:space="0" w:color="auto"/>
            <w:right w:val="none" w:sz="0" w:space="0" w:color="auto"/>
          </w:divBdr>
          <w:divsChild>
            <w:div w:id="1887793057">
              <w:marLeft w:val="0"/>
              <w:marRight w:val="0"/>
              <w:marTop w:val="0"/>
              <w:marBottom w:val="0"/>
              <w:divBdr>
                <w:top w:val="none" w:sz="0" w:space="0" w:color="auto"/>
                <w:left w:val="none" w:sz="0" w:space="0" w:color="auto"/>
                <w:bottom w:val="none" w:sz="0" w:space="0" w:color="auto"/>
                <w:right w:val="none" w:sz="0" w:space="0" w:color="auto"/>
              </w:divBdr>
            </w:div>
          </w:divsChild>
        </w:div>
        <w:div w:id="191497379">
          <w:marLeft w:val="0"/>
          <w:marRight w:val="0"/>
          <w:marTop w:val="0"/>
          <w:marBottom w:val="0"/>
          <w:divBdr>
            <w:top w:val="none" w:sz="0" w:space="0" w:color="auto"/>
            <w:left w:val="none" w:sz="0" w:space="0" w:color="auto"/>
            <w:bottom w:val="none" w:sz="0" w:space="0" w:color="auto"/>
            <w:right w:val="none" w:sz="0" w:space="0" w:color="auto"/>
          </w:divBdr>
          <w:divsChild>
            <w:div w:id="1091196440">
              <w:marLeft w:val="0"/>
              <w:marRight w:val="0"/>
              <w:marTop w:val="0"/>
              <w:marBottom w:val="0"/>
              <w:divBdr>
                <w:top w:val="none" w:sz="0" w:space="0" w:color="auto"/>
                <w:left w:val="none" w:sz="0" w:space="0" w:color="auto"/>
                <w:bottom w:val="none" w:sz="0" w:space="0" w:color="auto"/>
                <w:right w:val="none" w:sz="0" w:space="0" w:color="auto"/>
              </w:divBdr>
            </w:div>
          </w:divsChild>
        </w:div>
        <w:div w:id="193815109">
          <w:marLeft w:val="0"/>
          <w:marRight w:val="0"/>
          <w:marTop w:val="0"/>
          <w:marBottom w:val="0"/>
          <w:divBdr>
            <w:top w:val="none" w:sz="0" w:space="0" w:color="auto"/>
            <w:left w:val="none" w:sz="0" w:space="0" w:color="auto"/>
            <w:bottom w:val="none" w:sz="0" w:space="0" w:color="auto"/>
            <w:right w:val="none" w:sz="0" w:space="0" w:color="auto"/>
          </w:divBdr>
          <w:divsChild>
            <w:div w:id="470245553">
              <w:marLeft w:val="0"/>
              <w:marRight w:val="0"/>
              <w:marTop w:val="0"/>
              <w:marBottom w:val="0"/>
              <w:divBdr>
                <w:top w:val="none" w:sz="0" w:space="0" w:color="auto"/>
                <w:left w:val="none" w:sz="0" w:space="0" w:color="auto"/>
                <w:bottom w:val="none" w:sz="0" w:space="0" w:color="auto"/>
                <w:right w:val="none" w:sz="0" w:space="0" w:color="auto"/>
              </w:divBdr>
            </w:div>
          </w:divsChild>
        </w:div>
        <w:div w:id="197670352">
          <w:marLeft w:val="0"/>
          <w:marRight w:val="0"/>
          <w:marTop w:val="0"/>
          <w:marBottom w:val="0"/>
          <w:divBdr>
            <w:top w:val="none" w:sz="0" w:space="0" w:color="auto"/>
            <w:left w:val="none" w:sz="0" w:space="0" w:color="auto"/>
            <w:bottom w:val="none" w:sz="0" w:space="0" w:color="auto"/>
            <w:right w:val="none" w:sz="0" w:space="0" w:color="auto"/>
          </w:divBdr>
          <w:divsChild>
            <w:div w:id="325675156">
              <w:marLeft w:val="0"/>
              <w:marRight w:val="0"/>
              <w:marTop w:val="0"/>
              <w:marBottom w:val="0"/>
              <w:divBdr>
                <w:top w:val="none" w:sz="0" w:space="0" w:color="auto"/>
                <w:left w:val="none" w:sz="0" w:space="0" w:color="auto"/>
                <w:bottom w:val="none" w:sz="0" w:space="0" w:color="auto"/>
                <w:right w:val="none" w:sz="0" w:space="0" w:color="auto"/>
              </w:divBdr>
            </w:div>
          </w:divsChild>
        </w:div>
        <w:div w:id="199242838">
          <w:marLeft w:val="0"/>
          <w:marRight w:val="0"/>
          <w:marTop w:val="0"/>
          <w:marBottom w:val="0"/>
          <w:divBdr>
            <w:top w:val="none" w:sz="0" w:space="0" w:color="auto"/>
            <w:left w:val="none" w:sz="0" w:space="0" w:color="auto"/>
            <w:bottom w:val="none" w:sz="0" w:space="0" w:color="auto"/>
            <w:right w:val="none" w:sz="0" w:space="0" w:color="auto"/>
          </w:divBdr>
          <w:divsChild>
            <w:div w:id="2097510072">
              <w:marLeft w:val="0"/>
              <w:marRight w:val="0"/>
              <w:marTop w:val="0"/>
              <w:marBottom w:val="0"/>
              <w:divBdr>
                <w:top w:val="none" w:sz="0" w:space="0" w:color="auto"/>
                <w:left w:val="none" w:sz="0" w:space="0" w:color="auto"/>
                <w:bottom w:val="none" w:sz="0" w:space="0" w:color="auto"/>
                <w:right w:val="none" w:sz="0" w:space="0" w:color="auto"/>
              </w:divBdr>
            </w:div>
          </w:divsChild>
        </w:div>
        <w:div w:id="200288135">
          <w:marLeft w:val="0"/>
          <w:marRight w:val="0"/>
          <w:marTop w:val="0"/>
          <w:marBottom w:val="0"/>
          <w:divBdr>
            <w:top w:val="none" w:sz="0" w:space="0" w:color="auto"/>
            <w:left w:val="none" w:sz="0" w:space="0" w:color="auto"/>
            <w:bottom w:val="none" w:sz="0" w:space="0" w:color="auto"/>
            <w:right w:val="none" w:sz="0" w:space="0" w:color="auto"/>
          </w:divBdr>
          <w:divsChild>
            <w:div w:id="2143770413">
              <w:marLeft w:val="0"/>
              <w:marRight w:val="0"/>
              <w:marTop w:val="0"/>
              <w:marBottom w:val="0"/>
              <w:divBdr>
                <w:top w:val="none" w:sz="0" w:space="0" w:color="auto"/>
                <w:left w:val="none" w:sz="0" w:space="0" w:color="auto"/>
                <w:bottom w:val="none" w:sz="0" w:space="0" w:color="auto"/>
                <w:right w:val="none" w:sz="0" w:space="0" w:color="auto"/>
              </w:divBdr>
            </w:div>
          </w:divsChild>
        </w:div>
        <w:div w:id="202597629">
          <w:marLeft w:val="0"/>
          <w:marRight w:val="0"/>
          <w:marTop w:val="0"/>
          <w:marBottom w:val="0"/>
          <w:divBdr>
            <w:top w:val="none" w:sz="0" w:space="0" w:color="auto"/>
            <w:left w:val="none" w:sz="0" w:space="0" w:color="auto"/>
            <w:bottom w:val="none" w:sz="0" w:space="0" w:color="auto"/>
            <w:right w:val="none" w:sz="0" w:space="0" w:color="auto"/>
          </w:divBdr>
          <w:divsChild>
            <w:div w:id="1241257002">
              <w:marLeft w:val="0"/>
              <w:marRight w:val="0"/>
              <w:marTop w:val="0"/>
              <w:marBottom w:val="0"/>
              <w:divBdr>
                <w:top w:val="none" w:sz="0" w:space="0" w:color="auto"/>
                <w:left w:val="none" w:sz="0" w:space="0" w:color="auto"/>
                <w:bottom w:val="none" w:sz="0" w:space="0" w:color="auto"/>
                <w:right w:val="none" w:sz="0" w:space="0" w:color="auto"/>
              </w:divBdr>
            </w:div>
          </w:divsChild>
        </w:div>
        <w:div w:id="206648066">
          <w:marLeft w:val="0"/>
          <w:marRight w:val="0"/>
          <w:marTop w:val="0"/>
          <w:marBottom w:val="0"/>
          <w:divBdr>
            <w:top w:val="none" w:sz="0" w:space="0" w:color="auto"/>
            <w:left w:val="none" w:sz="0" w:space="0" w:color="auto"/>
            <w:bottom w:val="none" w:sz="0" w:space="0" w:color="auto"/>
            <w:right w:val="none" w:sz="0" w:space="0" w:color="auto"/>
          </w:divBdr>
          <w:divsChild>
            <w:div w:id="1853563817">
              <w:marLeft w:val="0"/>
              <w:marRight w:val="0"/>
              <w:marTop w:val="0"/>
              <w:marBottom w:val="0"/>
              <w:divBdr>
                <w:top w:val="none" w:sz="0" w:space="0" w:color="auto"/>
                <w:left w:val="none" w:sz="0" w:space="0" w:color="auto"/>
                <w:bottom w:val="none" w:sz="0" w:space="0" w:color="auto"/>
                <w:right w:val="none" w:sz="0" w:space="0" w:color="auto"/>
              </w:divBdr>
            </w:div>
          </w:divsChild>
        </w:div>
        <w:div w:id="230114620">
          <w:marLeft w:val="0"/>
          <w:marRight w:val="0"/>
          <w:marTop w:val="0"/>
          <w:marBottom w:val="0"/>
          <w:divBdr>
            <w:top w:val="none" w:sz="0" w:space="0" w:color="auto"/>
            <w:left w:val="none" w:sz="0" w:space="0" w:color="auto"/>
            <w:bottom w:val="none" w:sz="0" w:space="0" w:color="auto"/>
            <w:right w:val="none" w:sz="0" w:space="0" w:color="auto"/>
          </w:divBdr>
          <w:divsChild>
            <w:div w:id="1402681361">
              <w:marLeft w:val="0"/>
              <w:marRight w:val="0"/>
              <w:marTop w:val="0"/>
              <w:marBottom w:val="0"/>
              <w:divBdr>
                <w:top w:val="none" w:sz="0" w:space="0" w:color="auto"/>
                <w:left w:val="none" w:sz="0" w:space="0" w:color="auto"/>
                <w:bottom w:val="none" w:sz="0" w:space="0" w:color="auto"/>
                <w:right w:val="none" w:sz="0" w:space="0" w:color="auto"/>
              </w:divBdr>
            </w:div>
          </w:divsChild>
        </w:div>
        <w:div w:id="230703501">
          <w:marLeft w:val="0"/>
          <w:marRight w:val="0"/>
          <w:marTop w:val="0"/>
          <w:marBottom w:val="0"/>
          <w:divBdr>
            <w:top w:val="none" w:sz="0" w:space="0" w:color="auto"/>
            <w:left w:val="none" w:sz="0" w:space="0" w:color="auto"/>
            <w:bottom w:val="none" w:sz="0" w:space="0" w:color="auto"/>
            <w:right w:val="none" w:sz="0" w:space="0" w:color="auto"/>
          </w:divBdr>
          <w:divsChild>
            <w:div w:id="633828871">
              <w:marLeft w:val="0"/>
              <w:marRight w:val="0"/>
              <w:marTop w:val="0"/>
              <w:marBottom w:val="0"/>
              <w:divBdr>
                <w:top w:val="none" w:sz="0" w:space="0" w:color="auto"/>
                <w:left w:val="none" w:sz="0" w:space="0" w:color="auto"/>
                <w:bottom w:val="none" w:sz="0" w:space="0" w:color="auto"/>
                <w:right w:val="none" w:sz="0" w:space="0" w:color="auto"/>
              </w:divBdr>
            </w:div>
          </w:divsChild>
        </w:div>
        <w:div w:id="244917203">
          <w:marLeft w:val="0"/>
          <w:marRight w:val="0"/>
          <w:marTop w:val="0"/>
          <w:marBottom w:val="0"/>
          <w:divBdr>
            <w:top w:val="none" w:sz="0" w:space="0" w:color="auto"/>
            <w:left w:val="none" w:sz="0" w:space="0" w:color="auto"/>
            <w:bottom w:val="none" w:sz="0" w:space="0" w:color="auto"/>
            <w:right w:val="none" w:sz="0" w:space="0" w:color="auto"/>
          </w:divBdr>
          <w:divsChild>
            <w:div w:id="983238767">
              <w:marLeft w:val="0"/>
              <w:marRight w:val="0"/>
              <w:marTop w:val="0"/>
              <w:marBottom w:val="0"/>
              <w:divBdr>
                <w:top w:val="none" w:sz="0" w:space="0" w:color="auto"/>
                <w:left w:val="none" w:sz="0" w:space="0" w:color="auto"/>
                <w:bottom w:val="none" w:sz="0" w:space="0" w:color="auto"/>
                <w:right w:val="none" w:sz="0" w:space="0" w:color="auto"/>
              </w:divBdr>
            </w:div>
          </w:divsChild>
        </w:div>
        <w:div w:id="252058956">
          <w:marLeft w:val="0"/>
          <w:marRight w:val="0"/>
          <w:marTop w:val="0"/>
          <w:marBottom w:val="0"/>
          <w:divBdr>
            <w:top w:val="none" w:sz="0" w:space="0" w:color="auto"/>
            <w:left w:val="none" w:sz="0" w:space="0" w:color="auto"/>
            <w:bottom w:val="none" w:sz="0" w:space="0" w:color="auto"/>
            <w:right w:val="none" w:sz="0" w:space="0" w:color="auto"/>
          </w:divBdr>
          <w:divsChild>
            <w:div w:id="1530609382">
              <w:marLeft w:val="0"/>
              <w:marRight w:val="0"/>
              <w:marTop w:val="0"/>
              <w:marBottom w:val="0"/>
              <w:divBdr>
                <w:top w:val="none" w:sz="0" w:space="0" w:color="auto"/>
                <w:left w:val="none" w:sz="0" w:space="0" w:color="auto"/>
                <w:bottom w:val="none" w:sz="0" w:space="0" w:color="auto"/>
                <w:right w:val="none" w:sz="0" w:space="0" w:color="auto"/>
              </w:divBdr>
            </w:div>
          </w:divsChild>
        </w:div>
        <w:div w:id="255753979">
          <w:marLeft w:val="0"/>
          <w:marRight w:val="0"/>
          <w:marTop w:val="0"/>
          <w:marBottom w:val="0"/>
          <w:divBdr>
            <w:top w:val="none" w:sz="0" w:space="0" w:color="auto"/>
            <w:left w:val="none" w:sz="0" w:space="0" w:color="auto"/>
            <w:bottom w:val="none" w:sz="0" w:space="0" w:color="auto"/>
            <w:right w:val="none" w:sz="0" w:space="0" w:color="auto"/>
          </w:divBdr>
          <w:divsChild>
            <w:div w:id="52431182">
              <w:marLeft w:val="0"/>
              <w:marRight w:val="0"/>
              <w:marTop w:val="0"/>
              <w:marBottom w:val="0"/>
              <w:divBdr>
                <w:top w:val="none" w:sz="0" w:space="0" w:color="auto"/>
                <w:left w:val="none" w:sz="0" w:space="0" w:color="auto"/>
                <w:bottom w:val="none" w:sz="0" w:space="0" w:color="auto"/>
                <w:right w:val="none" w:sz="0" w:space="0" w:color="auto"/>
              </w:divBdr>
            </w:div>
          </w:divsChild>
        </w:div>
        <w:div w:id="257176030">
          <w:marLeft w:val="0"/>
          <w:marRight w:val="0"/>
          <w:marTop w:val="0"/>
          <w:marBottom w:val="0"/>
          <w:divBdr>
            <w:top w:val="none" w:sz="0" w:space="0" w:color="auto"/>
            <w:left w:val="none" w:sz="0" w:space="0" w:color="auto"/>
            <w:bottom w:val="none" w:sz="0" w:space="0" w:color="auto"/>
            <w:right w:val="none" w:sz="0" w:space="0" w:color="auto"/>
          </w:divBdr>
          <w:divsChild>
            <w:div w:id="688070902">
              <w:marLeft w:val="0"/>
              <w:marRight w:val="0"/>
              <w:marTop w:val="0"/>
              <w:marBottom w:val="0"/>
              <w:divBdr>
                <w:top w:val="none" w:sz="0" w:space="0" w:color="auto"/>
                <w:left w:val="none" w:sz="0" w:space="0" w:color="auto"/>
                <w:bottom w:val="none" w:sz="0" w:space="0" w:color="auto"/>
                <w:right w:val="none" w:sz="0" w:space="0" w:color="auto"/>
              </w:divBdr>
            </w:div>
          </w:divsChild>
        </w:div>
        <w:div w:id="265306052">
          <w:marLeft w:val="0"/>
          <w:marRight w:val="0"/>
          <w:marTop w:val="0"/>
          <w:marBottom w:val="0"/>
          <w:divBdr>
            <w:top w:val="none" w:sz="0" w:space="0" w:color="auto"/>
            <w:left w:val="none" w:sz="0" w:space="0" w:color="auto"/>
            <w:bottom w:val="none" w:sz="0" w:space="0" w:color="auto"/>
            <w:right w:val="none" w:sz="0" w:space="0" w:color="auto"/>
          </w:divBdr>
          <w:divsChild>
            <w:div w:id="628512177">
              <w:marLeft w:val="0"/>
              <w:marRight w:val="0"/>
              <w:marTop w:val="0"/>
              <w:marBottom w:val="0"/>
              <w:divBdr>
                <w:top w:val="none" w:sz="0" w:space="0" w:color="auto"/>
                <w:left w:val="none" w:sz="0" w:space="0" w:color="auto"/>
                <w:bottom w:val="none" w:sz="0" w:space="0" w:color="auto"/>
                <w:right w:val="none" w:sz="0" w:space="0" w:color="auto"/>
              </w:divBdr>
            </w:div>
          </w:divsChild>
        </w:div>
        <w:div w:id="265697682">
          <w:marLeft w:val="0"/>
          <w:marRight w:val="0"/>
          <w:marTop w:val="0"/>
          <w:marBottom w:val="0"/>
          <w:divBdr>
            <w:top w:val="none" w:sz="0" w:space="0" w:color="auto"/>
            <w:left w:val="none" w:sz="0" w:space="0" w:color="auto"/>
            <w:bottom w:val="none" w:sz="0" w:space="0" w:color="auto"/>
            <w:right w:val="none" w:sz="0" w:space="0" w:color="auto"/>
          </w:divBdr>
          <w:divsChild>
            <w:div w:id="338849078">
              <w:marLeft w:val="0"/>
              <w:marRight w:val="0"/>
              <w:marTop w:val="0"/>
              <w:marBottom w:val="0"/>
              <w:divBdr>
                <w:top w:val="none" w:sz="0" w:space="0" w:color="auto"/>
                <w:left w:val="none" w:sz="0" w:space="0" w:color="auto"/>
                <w:bottom w:val="none" w:sz="0" w:space="0" w:color="auto"/>
                <w:right w:val="none" w:sz="0" w:space="0" w:color="auto"/>
              </w:divBdr>
            </w:div>
            <w:div w:id="957950255">
              <w:marLeft w:val="0"/>
              <w:marRight w:val="0"/>
              <w:marTop w:val="0"/>
              <w:marBottom w:val="0"/>
              <w:divBdr>
                <w:top w:val="none" w:sz="0" w:space="0" w:color="auto"/>
                <w:left w:val="none" w:sz="0" w:space="0" w:color="auto"/>
                <w:bottom w:val="none" w:sz="0" w:space="0" w:color="auto"/>
                <w:right w:val="none" w:sz="0" w:space="0" w:color="auto"/>
              </w:divBdr>
            </w:div>
            <w:div w:id="1354455453">
              <w:marLeft w:val="0"/>
              <w:marRight w:val="0"/>
              <w:marTop w:val="0"/>
              <w:marBottom w:val="0"/>
              <w:divBdr>
                <w:top w:val="none" w:sz="0" w:space="0" w:color="auto"/>
                <w:left w:val="none" w:sz="0" w:space="0" w:color="auto"/>
                <w:bottom w:val="none" w:sz="0" w:space="0" w:color="auto"/>
                <w:right w:val="none" w:sz="0" w:space="0" w:color="auto"/>
              </w:divBdr>
            </w:div>
          </w:divsChild>
        </w:div>
        <w:div w:id="267781332">
          <w:marLeft w:val="0"/>
          <w:marRight w:val="0"/>
          <w:marTop w:val="0"/>
          <w:marBottom w:val="0"/>
          <w:divBdr>
            <w:top w:val="none" w:sz="0" w:space="0" w:color="auto"/>
            <w:left w:val="none" w:sz="0" w:space="0" w:color="auto"/>
            <w:bottom w:val="none" w:sz="0" w:space="0" w:color="auto"/>
            <w:right w:val="none" w:sz="0" w:space="0" w:color="auto"/>
          </w:divBdr>
          <w:divsChild>
            <w:div w:id="312225332">
              <w:marLeft w:val="0"/>
              <w:marRight w:val="0"/>
              <w:marTop w:val="0"/>
              <w:marBottom w:val="0"/>
              <w:divBdr>
                <w:top w:val="none" w:sz="0" w:space="0" w:color="auto"/>
                <w:left w:val="none" w:sz="0" w:space="0" w:color="auto"/>
                <w:bottom w:val="none" w:sz="0" w:space="0" w:color="auto"/>
                <w:right w:val="none" w:sz="0" w:space="0" w:color="auto"/>
              </w:divBdr>
            </w:div>
          </w:divsChild>
        </w:div>
        <w:div w:id="268203779">
          <w:marLeft w:val="0"/>
          <w:marRight w:val="0"/>
          <w:marTop w:val="0"/>
          <w:marBottom w:val="0"/>
          <w:divBdr>
            <w:top w:val="none" w:sz="0" w:space="0" w:color="auto"/>
            <w:left w:val="none" w:sz="0" w:space="0" w:color="auto"/>
            <w:bottom w:val="none" w:sz="0" w:space="0" w:color="auto"/>
            <w:right w:val="none" w:sz="0" w:space="0" w:color="auto"/>
          </w:divBdr>
          <w:divsChild>
            <w:div w:id="619069795">
              <w:marLeft w:val="0"/>
              <w:marRight w:val="0"/>
              <w:marTop w:val="0"/>
              <w:marBottom w:val="0"/>
              <w:divBdr>
                <w:top w:val="none" w:sz="0" w:space="0" w:color="auto"/>
                <w:left w:val="none" w:sz="0" w:space="0" w:color="auto"/>
                <w:bottom w:val="none" w:sz="0" w:space="0" w:color="auto"/>
                <w:right w:val="none" w:sz="0" w:space="0" w:color="auto"/>
              </w:divBdr>
            </w:div>
          </w:divsChild>
        </w:div>
        <w:div w:id="281696364">
          <w:marLeft w:val="0"/>
          <w:marRight w:val="0"/>
          <w:marTop w:val="0"/>
          <w:marBottom w:val="0"/>
          <w:divBdr>
            <w:top w:val="none" w:sz="0" w:space="0" w:color="auto"/>
            <w:left w:val="none" w:sz="0" w:space="0" w:color="auto"/>
            <w:bottom w:val="none" w:sz="0" w:space="0" w:color="auto"/>
            <w:right w:val="none" w:sz="0" w:space="0" w:color="auto"/>
          </w:divBdr>
          <w:divsChild>
            <w:div w:id="842361457">
              <w:marLeft w:val="0"/>
              <w:marRight w:val="0"/>
              <w:marTop w:val="0"/>
              <w:marBottom w:val="0"/>
              <w:divBdr>
                <w:top w:val="none" w:sz="0" w:space="0" w:color="auto"/>
                <w:left w:val="none" w:sz="0" w:space="0" w:color="auto"/>
                <w:bottom w:val="none" w:sz="0" w:space="0" w:color="auto"/>
                <w:right w:val="none" w:sz="0" w:space="0" w:color="auto"/>
              </w:divBdr>
            </w:div>
          </w:divsChild>
        </w:div>
        <w:div w:id="291904660">
          <w:marLeft w:val="0"/>
          <w:marRight w:val="0"/>
          <w:marTop w:val="0"/>
          <w:marBottom w:val="0"/>
          <w:divBdr>
            <w:top w:val="none" w:sz="0" w:space="0" w:color="auto"/>
            <w:left w:val="none" w:sz="0" w:space="0" w:color="auto"/>
            <w:bottom w:val="none" w:sz="0" w:space="0" w:color="auto"/>
            <w:right w:val="none" w:sz="0" w:space="0" w:color="auto"/>
          </w:divBdr>
          <w:divsChild>
            <w:div w:id="1977486421">
              <w:marLeft w:val="0"/>
              <w:marRight w:val="0"/>
              <w:marTop w:val="0"/>
              <w:marBottom w:val="0"/>
              <w:divBdr>
                <w:top w:val="none" w:sz="0" w:space="0" w:color="auto"/>
                <w:left w:val="none" w:sz="0" w:space="0" w:color="auto"/>
                <w:bottom w:val="none" w:sz="0" w:space="0" w:color="auto"/>
                <w:right w:val="none" w:sz="0" w:space="0" w:color="auto"/>
              </w:divBdr>
            </w:div>
          </w:divsChild>
        </w:div>
        <w:div w:id="297928110">
          <w:marLeft w:val="0"/>
          <w:marRight w:val="0"/>
          <w:marTop w:val="0"/>
          <w:marBottom w:val="0"/>
          <w:divBdr>
            <w:top w:val="none" w:sz="0" w:space="0" w:color="auto"/>
            <w:left w:val="none" w:sz="0" w:space="0" w:color="auto"/>
            <w:bottom w:val="none" w:sz="0" w:space="0" w:color="auto"/>
            <w:right w:val="none" w:sz="0" w:space="0" w:color="auto"/>
          </w:divBdr>
          <w:divsChild>
            <w:div w:id="1733693672">
              <w:marLeft w:val="0"/>
              <w:marRight w:val="0"/>
              <w:marTop w:val="0"/>
              <w:marBottom w:val="0"/>
              <w:divBdr>
                <w:top w:val="none" w:sz="0" w:space="0" w:color="auto"/>
                <w:left w:val="none" w:sz="0" w:space="0" w:color="auto"/>
                <w:bottom w:val="none" w:sz="0" w:space="0" w:color="auto"/>
                <w:right w:val="none" w:sz="0" w:space="0" w:color="auto"/>
              </w:divBdr>
            </w:div>
          </w:divsChild>
        </w:div>
        <w:div w:id="298654524">
          <w:marLeft w:val="0"/>
          <w:marRight w:val="0"/>
          <w:marTop w:val="0"/>
          <w:marBottom w:val="0"/>
          <w:divBdr>
            <w:top w:val="none" w:sz="0" w:space="0" w:color="auto"/>
            <w:left w:val="none" w:sz="0" w:space="0" w:color="auto"/>
            <w:bottom w:val="none" w:sz="0" w:space="0" w:color="auto"/>
            <w:right w:val="none" w:sz="0" w:space="0" w:color="auto"/>
          </w:divBdr>
          <w:divsChild>
            <w:div w:id="1295134824">
              <w:marLeft w:val="0"/>
              <w:marRight w:val="0"/>
              <w:marTop w:val="0"/>
              <w:marBottom w:val="0"/>
              <w:divBdr>
                <w:top w:val="none" w:sz="0" w:space="0" w:color="auto"/>
                <w:left w:val="none" w:sz="0" w:space="0" w:color="auto"/>
                <w:bottom w:val="none" w:sz="0" w:space="0" w:color="auto"/>
                <w:right w:val="none" w:sz="0" w:space="0" w:color="auto"/>
              </w:divBdr>
            </w:div>
          </w:divsChild>
        </w:div>
        <w:div w:id="315573301">
          <w:marLeft w:val="0"/>
          <w:marRight w:val="0"/>
          <w:marTop w:val="0"/>
          <w:marBottom w:val="0"/>
          <w:divBdr>
            <w:top w:val="none" w:sz="0" w:space="0" w:color="auto"/>
            <w:left w:val="none" w:sz="0" w:space="0" w:color="auto"/>
            <w:bottom w:val="none" w:sz="0" w:space="0" w:color="auto"/>
            <w:right w:val="none" w:sz="0" w:space="0" w:color="auto"/>
          </w:divBdr>
          <w:divsChild>
            <w:div w:id="1522090369">
              <w:marLeft w:val="0"/>
              <w:marRight w:val="0"/>
              <w:marTop w:val="0"/>
              <w:marBottom w:val="0"/>
              <w:divBdr>
                <w:top w:val="none" w:sz="0" w:space="0" w:color="auto"/>
                <w:left w:val="none" w:sz="0" w:space="0" w:color="auto"/>
                <w:bottom w:val="none" w:sz="0" w:space="0" w:color="auto"/>
                <w:right w:val="none" w:sz="0" w:space="0" w:color="auto"/>
              </w:divBdr>
            </w:div>
          </w:divsChild>
        </w:div>
        <w:div w:id="320164194">
          <w:marLeft w:val="0"/>
          <w:marRight w:val="0"/>
          <w:marTop w:val="0"/>
          <w:marBottom w:val="0"/>
          <w:divBdr>
            <w:top w:val="none" w:sz="0" w:space="0" w:color="auto"/>
            <w:left w:val="none" w:sz="0" w:space="0" w:color="auto"/>
            <w:bottom w:val="none" w:sz="0" w:space="0" w:color="auto"/>
            <w:right w:val="none" w:sz="0" w:space="0" w:color="auto"/>
          </w:divBdr>
          <w:divsChild>
            <w:div w:id="1689059795">
              <w:marLeft w:val="0"/>
              <w:marRight w:val="0"/>
              <w:marTop w:val="0"/>
              <w:marBottom w:val="0"/>
              <w:divBdr>
                <w:top w:val="none" w:sz="0" w:space="0" w:color="auto"/>
                <w:left w:val="none" w:sz="0" w:space="0" w:color="auto"/>
                <w:bottom w:val="none" w:sz="0" w:space="0" w:color="auto"/>
                <w:right w:val="none" w:sz="0" w:space="0" w:color="auto"/>
              </w:divBdr>
            </w:div>
          </w:divsChild>
        </w:div>
        <w:div w:id="322513979">
          <w:marLeft w:val="0"/>
          <w:marRight w:val="0"/>
          <w:marTop w:val="0"/>
          <w:marBottom w:val="0"/>
          <w:divBdr>
            <w:top w:val="none" w:sz="0" w:space="0" w:color="auto"/>
            <w:left w:val="none" w:sz="0" w:space="0" w:color="auto"/>
            <w:bottom w:val="none" w:sz="0" w:space="0" w:color="auto"/>
            <w:right w:val="none" w:sz="0" w:space="0" w:color="auto"/>
          </w:divBdr>
          <w:divsChild>
            <w:div w:id="898246366">
              <w:marLeft w:val="0"/>
              <w:marRight w:val="0"/>
              <w:marTop w:val="0"/>
              <w:marBottom w:val="0"/>
              <w:divBdr>
                <w:top w:val="none" w:sz="0" w:space="0" w:color="auto"/>
                <w:left w:val="none" w:sz="0" w:space="0" w:color="auto"/>
                <w:bottom w:val="none" w:sz="0" w:space="0" w:color="auto"/>
                <w:right w:val="none" w:sz="0" w:space="0" w:color="auto"/>
              </w:divBdr>
            </w:div>
          </w:divsChild>
        </w:div>
        <w:div w:id="326443742">
          <w:marLeft w:val="0"/>
          <w:marRight w:val="0"/>
          <w:marTop w:val="0"/>
          <w:marBottom w:val="0"/>
          <w:divBdr>
            <w:top w:val="none" w:sz="0" w:space="0" w:color="auto"/>
            <w:left w:val="none" w:sz="0" w:space="0" w:color="auto"/>
            <w:bottom w:val="none" w:sz="0" w:space="0" w:color="auto"/>
            <w:right w:val="none" w:sz="0" w:space="0" w:color="auto"/>
          </w:divBdr>
          <w:divsChild>
            <w:div w:id="1700011004">
              <w:marLeft w:val="0"/>
              <w:marRight w:val="0"/>
              <w:marTop w:val="0"/>
              <w:marBottom w:val="0"/>
              <w:divBdr>
                <w:top w:val="none" w:sz="0" w:space="0" w:color="auto"/>
                <w:left w:val="none" w:sz="0" w:space="0" w:color="auto"/>
                <w:bottom w:val="none" w:sz="0" w:space="0" w:color="auto"/>
                <w:right w:val="none" w:sz="0" w:space="0" w:color="auto"/>
              </w:divBdr>
            </w:div>
          </w:divsChild>
        </w:div>
        <w:div w:id="327366582">
          <w:marLeft w:val="0"/>
          <w:marRight w:val="0"/>
          <w:marTop w:val="0"/>
          <w:marBottom w:val="0"/>
          <w:divBdr>
            <w:top w:val="none" w:sz="0" w:space="0" w:color="auto"/>
            <w:left w:val="none" w:sz="0" w:space="0" w:color="auto"/>
            <w:bottom w:val="none" w:sz="0" w:space="0" w:color="auto"/>
            <w:right w:val="none" w:sz="0" w:space="0" w:color="auto"/>
          </w:divBdr>
          <w:divsChild>
            <w:div w:id="773406231">
              <w:marLeft w:val="0"/>
              <w:marRight w:val="0"/>
              <w:marTop w:val="0"/>
              <w:marBottom w:val="0"/>
              <w:divBdr>
                <w:top w:val="none" w:sz="0" w:space="0" w:color="auto"/>
                <w:left w:val="none" w:sz="0" w:space="0" w:color="auto"/>
                <w:bottom w:val="none" w:sz="0" w:space="0" w:color="auto"/>
                <w:right w:val="none" w:sz="0" w:space="0" w:color="auto"/>
              </w:divBdr>
            </w:div>
            <w:div w:id="783381069">
              <w:marLeft w:val="0"/>
              <w:marRight w:val="0"/>
              <w:marTop w:val="0"/>
              <w:marBottom w:val="0"/>
              <w:divBdr>
                <w:top w:val="none" w:sz="0" w:space="0" w:color="auto"/>
                <w:left w:val="none" w:sz="0" w:space="0" w:color="auto"/>
                <w:bottom w:val="none" w:sz="0" w:space="0" w:color="auto"/>
                <w:right w:val="none" w:sz="0" w:space="0" w:color="auto"/>
              </w:divBdr>
            </w:div>
          </w:divsChild>
        </w:div>
        <w:div w:id="328139242">
          <w:marLeft w:val="0"/>
          <w:marRight w:val="0"/>
          <w:marTop w:val="0"/>
          <w:marBottom w:val="0"/>
          <w:divBdr>
            <w:top w:val="none" w:sz="0" w:space="0" w:color="auto"/>
            <w:left w:val="none" w:sz="0" w:space="0" w:color="auto"/>
            <w:bottom w:val="none" w:sz="0" w:space="0" w:color="auto"/>
            <w:right w:val="none" w:sz="0" w:space="0" w:color="auto"/>
          </w:divBdr>
          <w:divsChild>
            <w:div w:id="2039163487">
              <w:marLeft w:val="0"/>
              <w:marRight w:val="0"/>
              <w:marTop w:val="0"/>
              <w:marBottom w:val="0"/>
              <w:divBdr>
                <w:top w:val="none" w:sz="0" w:space="0" w:color="auto"/>
                <w:left w:val="none" w:sz="0" w:space="0" w:color="auto"/>
                <w:bottom w:val="none" w:sz="0" w:space="0" w:color="auto"/>
                <w:right w:val="none" w:sz="0" w:space="0" w:color="auto"/>
              </w:divBdr>
            </w:div>
          </w:divsChild>
        </w:div>
        <w:div w:id="333461502">
          <w:marLeft w:val="0"/>
          <w:marRight w:val="0"/>
          <w:marTop w:val="0"/>
          <w:marBottom w:val="0"/>
          <w:divBdr>
            <w:top w:val="none" w:sz="0" w:space="0" w:color="auto"/>
            <w:left w:val="none" w:sz="0" w:space="0" w:color="auto"/>
            <w:bottom w:val="none" w:sz="0" w:space="0" w:color="auto"/>
            <w:right w:val="none" w:sz="0" w:space="0" w:color="auto"/>
          </w:divBdr>
          <w:divsChild>
            <w:div w:id="59256989">
              <w:marLeft w:val="0"/>
              <w:marRight w:val="0"/>
              <w:marTop w:val="0"/>
              <w:marBottom w:val="0"/>
              <w:divBdr>
                <w:top w:val="none" w:sz="0" w:space="0" w:color="auto"/>
                <w:left w:val="none" w:sz="0" w:space="0" w:color="auto"/>
                <w:bottom w:val="none" w:sz="0" w:space="0" w:color="auto"/>
                <w:right w:val="none" w:sz="0" w:space="0" w:color="auto"/>
              </w:divBdr>
            </w:div>
          </w:divsChild>
        </w:div>
        <w:div w:id="341708326">
          <w:marLeft w:val="0"/>
          <w:marRight w:val="0"/>
          <w:marTop w:val="0"/>
          <w:marBottom w:val="0"/>
          <w:divBdr>
            <w:top w:val="none" w:sz="0" w:space="0" w:color="auto"/>
            <w:left w:val="none" w:sz="0" w:space="0" w:color="auto"/>
            <w:bottom w:val="none" w:sz="0" w:space="0" w:color="auto"/>
            <w:right w:val="none" w:sz="0" w:space="0" w:color="auto"/>
          </w:divBdr>
          <w:divsChild>
            <w:div w:id="689919296">
              <w:marLeft w:val="0"/>
              <w:marRight w:val="0"/>
              <w:marTop w:val="0"/>
              <w:marBottom w:val="0"/>
              <w:divBdr>
                <w:top w:val="none" w:sz="0" w:space="0" w:color="auto"/>
                <w:left w:val="none" w:sz="0" w:space="0" w:color="auto"/>
                <w:bottom w:val="none" w:sz="0" w:space="0" w:color="auto"/>
                <w:right w:val="none" w:sz="0" w:space="0" w:color="auto"/>
              </w:divBdr>
            </w:div>
          </w:divsChild>
        </w:div>
        <w:div w:id="342171109">
          <w:marLeft w:val="0"/>
          <w:marRight w:val="0"/>
          <w:marTop w:val="0"/>
          <w:marBottom w:val="0"/>
          <w:divBdr>
            <w:top w:val="none" w:sz="0" w:space="0" w:color="auto"/>
            <w:left w:val="none" w:sz="0" w:space="0" w:color="auto"/>
            <w:bottom w:val="none" w:sz="0" w:space="0" w:color="auto"/>
            <w:right w:val="none" w:sz="0" w:space="0" w:color="auto"/>
          </w:divBdr>
          <w:divsChild>
            <w:div w:id="1543975109">
              <w:marLeft w:val="0"/>
              <w:marRight w:val="0"/>
              <w:marTop w:val="0"/>
              <w:marBottom w:val="0"/>
              <w:divBdr>
                <w:top w:val="none" w:sz="0" w:space="0" w:color="auto"/>
                <w:left w:val="none" w:sz="0" w:space="0" w:color="auto"/>
                <w:bottom w:val="none" w:sz="0" w:space="0" w:color="auto"/>
                <w:right w:val="none" w:sz="0" w:space="0" w:color="auto"/>
              </w:divBdr>
            </w:div>
          </w:divsChild>
        </w:div>
        <w:div w:id="344288286">
          <w:marLeft w:val="0"/>
          <w:marRight w:val="0"/>
          <w:marTop w:val="0"/>
          <w:marBottom w:val="0"/>
          <w:divBdr>
            <w:top w:val="none" w:sz="0" w:space="0" w:color="auto"/>
            <w:left w:val="none" w:sz="0" w:space="0" w:color="auto"/>
            <w:bottom w:val="none" w:sz="0" w:space="0" w:color="auto"/>
            <w:right w:val="none" w:sz="0" w:space="0" w:color="auto"/>
          </w:divBdr>
          <w:divsChild>
            <w:div w:id="1189222986">
              <w:marLeft w:val="0"/>
              <w:marRight w:val="0"/>
              <w:marTop w:val="0"/>
              <w:marBottom w:val="0"/>
              <w:divBdr>
                <w:top w:val="none" w:sz="0" w:space="0" w:color="auto"/>
                <w:left w:val="none" w:sz="0" w:space="0" w:color="auto"/>
                <w:bottom w:val="none" w:sz="0" w:space="0" w:color="auto"/>
                <w:right w:val="none" w:sz="0" w:space="0" w:color="auto"/>
              </w:divBdr>
            </w:div>
          </w:divsChild>
        </w:div>
        <w:div w:id="352927293">
          <w:marLeft w:val="0"/>
          <w:marRight w:val="0"/>
          <w:marTop w:val="0"/>
          <w:marBottom w:val="0"/>
          <w:divBdr>
            <w:top w:val="none" w:sz="0" w:space="0" w:color="auto"/>
            <w:left w:val="none" w:sz="0" w:space="0" w:color="auto"/>
            <w:bottom w:val="none" w:sz="0" w:space="0" w:color="auto"/>
            <w:right w:val="none" w:sz="0" w:space="0" w:color="auto"/>
          </w:divBdr>
          <w:divsChild>
            <w:div w:id="691609049">
              <w:marLeft w:val="0"/>
              <w:marRight w:val="0"/>
              <w:marTop w:val="0"/>
              <w:marBottom w:val="0"/>
              <w:divBdr>
                <w:top w:val="none" w:sz="0" w:space="0" w:color="auto"/>
                <w:left w:val="none" w:sz="0" w:space="0" w:color="auto"/>
                <w:bottom w:val="none" w:sz="0" w:space="0" w:color="auto"/>
                <w:right w:val="none" w:sz="0" w:space="0" w:color="auto"/>
              </w:divBdr>
            </w:div>
          </w:divsChild>
        </w:div>
        <w:div w:id="354888213">
          <w:marLeft w:val="0"/>
          <w:marRight w:val="0"/>
          <w:marTop w:val="0"/>
          <w:marBottom w:val="0"/>
          <w:divBdr>
            <w:top w:val="none" w:sz="0" w:space="0" w:color="auto"/>
            <w:left w:val="none" w:sz="0" w:space="0" w:color="auto"/>
            <w:bottom w:val="none" w:sz="0" w:space="0" w:color="auto"/>
            <w:right w:val="none" w:sz="0" w:space="0" w:color="auto"/>
          </w:divBdr>
          <w:divsChild>
            <w:div w:id="1162307532">
              <w:marLeft w:val="0"/>
              <w:marRight w:val="0"/>
              <w:marTop w:val="0"/>
              <w:marBottom w:val="0"/>
              <w:divBdr>
                <w:top w:val="none" w:sz="0" w:space="0" w:color="auto"/>
                <w:left w:val="none" w:sz="0" w:space="0" w:color="auto"/>
                <w:bottom w:val="none" w:sz="0" w:space="0" w:color="auto"/>
                <w:right w:val="none" w:sz="0" w:space="0" w:color="auto"/>
              </w:divBdr>
            </w:div>
          </w:divsChild>
        </w:div>
        <w:div w:id="361901575">
          <w:marLeft w:val="0"/>
          <w:marRight w:val="0"/>
          <w:marTop w:val="0"/>
          <w:marBottom w:val="0"/>
          <w:divBdr>
            <w:top w:val="none" w:sz="0" w:space="0" w:color="auto"/>
            <w:left w:val="none" w:sz="0" w:space="0" w:color="auto"/>
            <w:bottom w:val="none" w:sz="0" w:space="0" w:color="auto"/>
            <w:right w:val="none" w:sz="0" w:space="0" w:color="auto"/>
          </w:divBdr>
          <w:divsChild>
            <w:div w:id="374356199">
              <w:marLeft w:val="0"/>
              <w:marRight w:val="0"/>
              <w:marTop w:val="0"/>
              <w:marBottom w:val="0"/>
              <w:divBdr>
                <w:top w:val="none" w:sz="0" w:space="0" w:color="auto"/>
                <w:left w:val="none" w:sz="0" w:space="0" w:color="auto"/>
                <w:bottom w:val="none" w:sz="0" w:space="0" w:color="auto"/>
                <w:right w:val="none" w:sz="0" w:space="0" w:color="auto"/>
              </w:divBdr>
            </w:div>
          </w:divsChild>
        </w:div>
        <w:div w:id="368577909">
          <w:marLeft w:val="0"/>
          <w:marRight w:val="0"/>
          <w:marTop w:val="0"/>
          <w:marBottom w:val="0"/>
          <w:divBdr>
            <w:top w:val="none" w:sz="0" w:space="0" w:color="auto"/>
            <w:left w:val="none" w:sz="0" w:space="0" w:color="auto"/>
            <w:bottom w:val="none" w:sz="0" w:space="0" w:color="auto"/>
            <w:right w:val="none" w:sz="0" w:space="0" w:color="auto"/>
          </w:divBdr>
          <w:divsChild>
            <w:div w:id="1614824850">
              <w:marLeft w:val="0"/>
              <w:marRight w:val="0"/>
              <w:marTop w:val="0"/>
              <w:marBottom w:val="0"/>
              <w:divBdr>
                <w:top w:val="none" w:sz="0" w:space="0" w:color="auto"/>
                <w:left w:val="none" w:sz="0" w:space="0" w:color="auto"/>
                <w:bottom w:val="none" w:sz="0" w:space="0" w:color="auto"/>
                <w:right w:val="none" w:sz="0" w:space="0" w:color="auto"/>
              </w:divBdr>
            </w:div>
          </w:divsChild>
        </w:div>
        <w:div w:id="374240680">
          <w:marLeft w:val="0"/>
          <w:marRight w:val="0"/>
          <w:marTop w:val="0"/>
          <w:marBottom w:val="0"/>
          <w:divBdr>
            <w:top w:val="none" w:sz="0" w:space="0" w:color="auto"/>
            <w:left w:val="none" w:sz="0" w:space="0" w:color="auto"/>
            <w:bottom w:val="none" w:sz="0" w:space="0" w:color="auto"/>
            <w:right w:val="none" w:sz="0" w:space="0" w:color="auto"/>
          </w:divBdr>
          <w:divsChild>
            <w:div w:id="1167482150">
              <w:marLeft w:val="0"/>
              <w:marRight w:val="0"/>
              <w:marTop w:val="0"/>
              <w:marBottom w:val="0"/>
              <w:divBdr>
                <w:top w:val="none" w:sz="0" w:space="0" w:color="auto"/>
                <w:left w:val="none" w:sz="0" w:space="0" w:color="auto"/>
                <w:bottom w:val="none" w:sz="0" w:space="0" w:color="auto"/>
                <w:right w:val="none" w:sz="0" w:space="0" w:color="auto"/>
              </w:divBdr>
            </w:div>
          </w:divsChild>
        </w:div>
        <w:div w:id="379090033">
          <w:marLeft w:val="0"/>
          <w:marRight w:val="0"/>
          <w:marTop w:val="0"/>
          <w:marBottom w:val="0"/>
          <w:divBdr>
            <w:top w:val="none" w:sz="0" w:space="0" w:color="auto"/>
            <w:left w:val="none" w:sz="0" w:space="0" w:color="auto"/>
            <w:bottom w:val="none" w:sz="0" w:space="0" w:color="auto"/>
            <w:right w:val="none" w:sz="0" w:space="0" w:color="auto"/>
          </w:divBdr>
          <w:divsChild>
            <w:div w:id="949242329">
              <w:marLeft w:val="0"/>
              <w:marRight w:val="0"/>
              <w:marTop w:val="0"/>
              <w:marBottom w:val="0"/>
              <w:divBdr>
                <w:top w:val="none" w:sz="0" w:space="0" w:color="auto"/>
                <w:left w:val="none" w:sz="0" w:space="0" w:color="auto"/>
                <w:bottom w:val="none" w:sz="0" w:space="0" w:color="auto"/>
                <w:right w:val="none" w:sz="0" w:space="0" w:color="auto"/>
              </w:divBdr>
            </w:div>
          </w:divsChild>
        </w:div>
        <w:div w:id="388381805">
          <w:marLeft w:val="0"/>
          <w:marRight w:val="0"/>
          <w:marTop w:val="0"/>
          <w:marBottom w:val="0"/>
          <w:divBdr>
            <w:top w:val="none" w:sz="0" w:space="0" w:color="auto"/>
            <w:left w:val="none" w:sz="0" w:space="0" w:color="auto"/>
            <w:bottom w:val="none" w:sz="0" w:space="0" w:color="auto"/>
            <w:right w:val="none" w:sz="0" w:space="0" w:color="auto"/>
          </w:divBdr>
          <w:divsChild>
            <w:div w:id="1929844204">
              <w:marLeft w:val="0"/>
              <w:marRight w:val="0"/>
              <w:marTop w:val="0"/>
              <w:marBottom w:val="0"/>
              <w:divBdr>
                <w:top w:val="none" w:sz="0" w:space="0" w:color="auto"/>
                <w:left w:val="none" w:sz="0" w:space="0" w:color="auto"/>
                <w:bottom w:val="none" w:sz="0" w:space="0" w:color="auto"/>
                <w:right w:val="none" w:sz="0" w:space="0" w:color="auto"/>
              </w:divBdr>
            </w:div>
          </w:divsChild>
        </w:div>
        <w:div w:id="389890073">
          <w:marLeft w:val="0"/>
          <w:marRight w:val="0"/>
          <w:marTop w:val="0"/>
          <w:marBottom w:val="0"/>
          <w:divBdr>
            <w:top w:val="none" w:sz="0" w:space="0" w:color="auto"/>
            <w:left w:val="none" w:sz="0" w:space="0" w:color="auto"/>
            <w:bottom w:val="none" w:sz="0" w:space="0" w:color="auto"/>
            <w:right w:val="none" w:sz="0" w:space="0" w:color="auto"/>
          </w:divBdr>
          <w:divsChild>
            <w:div w:id="1575161868">
              <w:marLeft w:val="0"/>
              <w:marRight w:val="0"/>
              <w:marTop w:val="0"/>
              <w:marBottom w:val="0"/>
              <w:divBdr>
                <w:top w:val="none" w:sz="0" w:space="0" w:color="auto"/>
                <w:left w:val="none" w:sz="0" w:space="0" w:color="auto"/>
                <w:bottom w:val="none" w:sz="0" w:space="0" w:color="auto"/>
                <w:right w:val="none" w:sz="0" w:space="0" w:color="auto"/>
              </w:divBdr>
            </w:div>
          </w:divsChild>
        </w:div>
        <w:div w:id="394352633">
          <w:marLeft w:val="0"/>
          <w:marRight w:val="0"/>
          <w:marTop w:val="0"/>
          <w:marBottom w:val="0"/>
          <w:divBdr>
            <w:top w:val="none" w:sz="0" w:space="0" w:color="auto"/>
            <w:left w:val="none" w:sz="0" w:space="0" w:color="auto"/>
            <w:bottom w:val="none" w:sz="0" w:space="0" w:color="auto"/>
            <w:right w:val="none" w:sz="0" w:space="0" w:color="auto"/>
          </w:divBdr>
          <w:divsChild>
            <w:div w:id="959340998">
              <w:marLeft w:val="0"/>
              <w:marRight w:val="0"/>
              <w:marTop w:val="0"/>
              <w:marBottom w:val="0"/>
              <w:divBdr>
                <w:top w:val="none" w:sz="0" w:space="0" w:color="auto"/>
                <w:left w:val="none" w:sz="0" w:space="0" w:color="auto"/>
                <w:bottom w:val="none" w:sz="0" w:space="0" w:color="auto"/>
                <w:right w:val="none" w:sz="0" w:space="0" w:color="auto"/>
              </w:divBdr>
            </w:div>
          </w:divsChild>
        </w:div>
        <w:div w:id="397047801">
          <w:marLeft w:val="0"/>
          <w:marRight w:val="0"/>
          <w:marTop w:val="0"/>
          <w:marBottom w:val="0"/>
          <w:divBdr>
            <w:top w:val="none" w:sz="0" w:space="0" w:color="auto"/>
            <w:left w:val="none" w:sz="0" w:space="0" w:color="auto"/>
            <w:bottom w:val="none" w:sz="0" w:space="0" w:color="auto"/>
            <w:right w:val="none" w:sz="0" w:space="0" w:color="auto"/>
          </w:divBdr>
          <w:divsChild>
            <w:div w:id="146677623">
              <w:marLeft w:val="0"/>
              <w:marRight w:val="0"/>
              <w:marTop w:val="0"/>
              <w:marBottom w:val="0"/>
              <w:divBdr>
                <w:top w:val="none" w:sz="0" w:space="0" w:color="auto"/>
                <w:left w:val="none" w:sz="0" w:space="0" w:color="auto"/>
                <w:bottom w:val="none" w:sz="0" w:space="0" w:color="auto"/>
                <w:right w:val="none" w:sz="0" w:space="0" w:color="auto"/>
              </w:divBdr>
            </w:div>
          </w:divsChild>
        </w:div>
        <w:div w:id="402027774">
          <w:marLeft w:val="0"/>
          <w:marRight w:val="0"/>
          <w:marTop w:val="0"/>
          <w:marBottom w:val="0"/>
          <w:divBdr>
            <w:top w:val="none" w:sz="0" w:space="0" w:color="auto"/>
            <w:left w:val="none" w:sz="0" w:space="0" w:color="auto"/>
            <w:bottom w:val="none" w:sz="0" w:space="0" w:color="auto"/>
            <w:right w:val="none" w:sz="0" w:space="0" w:color="auto"/>
          </w:divBdr>
          <w:divsChild>
            <w:div w:id="1866018913">
              <w:marLeft w:val="0"/>
              <w:marRight w:val="0"/>
              <w:marTop w:val="0"/>
              <w:marBottom w:val="0"/>
              <w:divBdr>
                <w:top w:val="none" w:sz="0" w:space="0" w:color="auto"/>
                <w:left w:val="none" w:sz="0" w:space="0" w:color="auto"/>
                <w:bottom w:val="none" w:sz="0" w:space="0" w:color="auto"/>
                <w:right w:val="none" w:sz="0" w:space="0" w:color="auto"/>
              </w:divBdr>
            </w:div>
          </w:divsChild>
        </w:div>
        <w:div w:id="415060476">
          <w:marLeft w:val="0"/>
          <w:marRight w:val="0"/>
          <w:marTop w:val="0"/>
          <w:marBottom w:val="0"/>
          <w:divBdr>
            <w:top w:val="none" w:sz="0" w:space="0" w:color="auto"/>
            <w:left w:val="none" w:sz="0" w:space="0" w:color="auto"/>
            <w:bottom w:val="none" w:sz="0" w:space="0" w:color="auto"/>
            <w:right w:val="none" w:sz="0" w:space="0" w:color="auto"/>
          </w:divBdr>
          <w:divsChild>
            <w:div w:id="1498575053">
              <w:marLeft w:val="0"/>
              <w:marRight w:val="0"/>
              <w:marTop w:val="0"/>
              <w:marBottom w:val="0"/>
              <w:divBdr>
                <w:top w:val="none" w:sz="0" w:space="0" w:color="auto"/>
                <w:left w:val="none" w:sz="0" w:space="0" w:color="auto"/>
                <w:bottom w:val="none" w:sz="0" w:space="0" w:color="auto"/>
                <w:right w:val="none" w:sz="0" w:space="0" w:color="auto"/>
              </w:divBdr>
            </w:div>
          </w:divsChild>
        </w:div>
        <w:div w:id="419764117">
          <w:marLeft w:val="0"/>
          <w:marRight w:val="0"/>
          <w:marTop w:val="0"/>
          <w:marBottom w:val="0"/>
          <w:divBdr>
            <w:top w:val="none" w:sz="0" w:space="0" w:color="auto"/>
            <w:left w:val="none" w:sz="0" w:space="0" w:color="auto"/>
            <w:bottom w:val="none" w:sz="0" w:space="0" w:color="auto"/>
            <w:right w:val="none" w:sz="0" w:space="0" w:color="auto"/>
          </w:divBdr>
          <w:divsChild>
            <w:div w:id="230698958">
              <w:marLeft w:val="0"/>
              <w:marRight w:val="0"/>
              <w:marTop w:val="0"/>
              <w:marBottom w:val="0"/>
              <w:divBdr>
                <w:top w:val="none" w:sz="0" w:space="0" w:color="auto"/>
                <w:left w:val="none" w:sz="0" w:space="0" w:color="auto"/>
                <w:bottom w:val="none" w:sz="0" w:space="0" w:color="auto"/>
                <w:right w:val="none" w:sz="0" w:space="0" w:color="auto"/>
              </w:divBdr>
            </w:div>
          </w:divsChild>
        </w:div>
        <w:div w:id="421528930">
          <w:marLeft w:val="0"/>
          <w:marRight w:val="0"/>
          <w:marTop w:val="0"/>
          <w:marBottom w:val="0"/>
          <w:divBdr>
            <w:top w:val="none" w:sz="0" w:space="0" w:color="auto"/>
            <w:left w:val="none" w:sz="0" w:space="0" w:color="auto"/>
            <w:bottom w:val="none" w:sz="0" w:space="0" w:color="auto"/>
            <w:right w:val="none" w:sz="0" w:space="0" w:color="auto"/>
          </w:divBdr>
          <w:divsChild>
            <w:div w:id="1373574630">
              <w:marLeft w:val="0"/>
              <w:marRight w:val="0"/>
              <w:marTop w:val="0"/>
              <w:marBottom w:val="0"/>
              <w:divBdr>
                <w:top w:val="none" w:sz="0" w:space="0" w:color="auto"/>
                <w:left w:val="none" w:sz="0" w:space="0" w:color="auto"/>
                <w:bottom w:val="none" w:sz="0" w:space="0" w:color="auto"/>
                <w:right w:val="none" w:sz="0" w:space="0" w:color="auto"/>
              </w:divBdr>
            </w:div>
          </w:divsChild>
        </w:div>
        <w:div w:id="432360955">
          <w:marLeft w:val="0"/>
          <w:marRight w:val="0"/>
          <w:marTop w:val="0"/>
          <w:marBottom w:val="0"/>
          <w:divBdr>
            <w:top w:val="none" w:sz="0" w:space="0" w:color="auto"/>
            <w:left w:val="none" w:sz="0" w:space="0" w:color="auto"/>
            <w:bottom w:val="none" w:sz="0" w:space="0" w:color="auto"/>
            <w:right w:val="none" w:sz="0" w:space="0" w:color="auto"/>
          </w:divBdr>
          <w:divsChild>
            <w:div w:id="1183939493">
              <w:marLeft w:val="0"/>
              <w:marRight w:val="0"/>
              <w:marTop w:val="0"/>
              <w:marBottom w:val="0"/>
              <w:divBdr>
                <w:top w:val="none" w:sz="0" w:space="0" w:color="auto"/>
                <w:left w:val="none" w:sz="0" w:space="0" w:color="auto"/>
                <w:bottom w:val="none" w:sz="0" w:space="0" w:color="auto"/>
                <w:right w:val="none" w:sz="0" w:space="0" w:color="auto"/>
              </w:divBdr>
            </w:div>
          </w:divsChild>
        </w:div>
        <w:div w:id="435760341">
          <w:marLeft w:val="0"/>
          <w:marRight w:val="0"/>
          <w:marTop w:val="0"/>
          <w:marBottom w:val="0"/>
          <w:divBdr>
            <w:top w:val="none" w:sz="0" w:space="0" w:color="auto"/>
            <w:left w:val="none" w:sz="0" w:space="0" w:color="auto"/>
            <w:bottom w:val="none" w:sz="0" w:space="0" w:color="auto"/>
            <w:right w:val="none" w:sz="0" w:space="0" w:color="auto"/>
          </w:divBdr>
          <w:divsChild>
            <w:div w:id="1245064176">
              <w:marLeft w:val="0"/>
              <w:marRight w:val="0"/>
              <w:marTop w:val="0"/>
              <w:marBottom w:val="0"/>
              <w:divBdr>
                <w:top w:val="none" w:sz="0" w:space="0" w:color="auto"/>
                <w:left w:val="none" w:sz="0" w:space="0" w:color="auto"/>
                <w:bottom w:val="none" w:sz="0" w:space="0" w:color="auto"/>
                <w:right w:val="none" w:sz="0" w:space="0" w:color="auto"/>
              </w:divBdr>
            </w:div>
          </w:divsChild>
        </w:div>
        <w:div w:id="437069979">
          <w:marLeft w:val="0"/>
          <w:marRight w:val="0"/>
          <w:marTop w:val="0"/>
          <w:marBottom w:val="0"/>
          <w:divBdr>
            <w:top w:val="none" w:sz="0" w:space="0" w:color="auto"/>
            <w:left w:val="none" w:sz="0" w:space="0" w:color="auto"/>
            <w:bottom w:val="none" w:sz="0" w:space="0" w:color="auto"/>
            <w:right w:val="none" w:sz="0" w:space="0" w:color="auto"/>
          </w:divBdr>
          <w:divsChild>
            <w:div w:id="1170563143">
              <w:marLeft w:val="0"/>
              <w:marRight w:val="0"/>
              <w:marTop w:val="0"/>
              <w:marBottom w:val="0"/>
              <w:divBdr>
                <w:top w:val="none" w:sz="0" w:space="0" w:color="auto"/>
                <w:left w:val="none" w:sz="0" w:space="0" w:color="auto"/>
                <w:bottom w:val="none" w:sz="0" w:space="0" w:color="auto"/>
                <w:right w:val="none" w:sz="0" w:space="0" w:color="auto"/>
              </w:divBdr>
            </w:div>
          </w:divsChild>
        </w:div>
        <w:div w:id="440347642">
          <w:marLeft w:val="0"/>
          <w:marRight w:val="0"/>
          <w:marTop w:val="0"/>
          <w:marBottom w:val="0"/>
          <w:divBdr>
            <w:top w:val="none" w:sz="0" w:space="0" w:color="auto"/>
            <w:left w:val="none" w:sz="0" w:space="0" w:color="auto"/>
            <w:bottom w:val="none" w:sz="0" w:space="0" w:color="auto"/>
            <w:right w:val="none" w:sz="0" w:space="0" w:color="auto"/>
          </w:divBdr>
          <w:divsChild>
            <w:div w:id="542643989">
              <w:marLeft w:val="0"/>
              <w:marRight w:val="0"/>
              <w:marTop w:val="0"/>
              <w:marBottom w:val="0"/>
              <w:divBdr>
                <w:top w:val="none" w:sz="0" w:space="0" w:color="auto"/>
                <w:left w:val="none" w:sz="0" w:space="0" w:color="auto"/>
                <w:bottom w:val="none" w:sz="0" w:space="0" w:color="auto"/>
                <w:right w:val="none" w:sz="0" w:space="0" w:color="auto"/>
              </w:divBdr>
            </w:div>
          </w:divsChild>
        </w:div>
        <w:div w:id="448623453">
          <w:marLeft w:val="0"/>
          <w:marRight w:val="0"/>
          <w:marTop w:val="0"/>
          <w:marBottom w:val="0"/>
          <w:divBdr>
            <w:top w:val="none" w:sz="0" w:space="0" w:color="auto"/>
            <w:left w:val="none" w:sz="0" w:space="0" w:color="auto"/>
            <w:bottom w:val="none" w:sz="0" w:space="0" w:color="auto"/>
            <w:right w:val="none" w:sz="0" w:space="0" w:color="auto"/>
          </w:divBdr>
          <w:divsChild>
            <w:div w:id="97913404">
              <w:marLeft w:val="0"/>
              <w:marRight w:val="0"/>
              <w:marTop w:val="0"/>
              <w:marBottom w:val="0"/>
              <w:divBdr>
                <w:top w:val="none" w:sz="0" w:space="0" w:color="auto"/>
                <w:left w:val="none" w:sz="0" w:space="0" w:color="auto"/>
                <w:bottom w:val="none" w:sz="0" w:space="0" w:color="auto"/>
                <w:right w:val="none" w:sz="0" w:space="0" w:color="auto"/>
              </w:divBdr>
            </w:div>
          </w:divsChild>
        </w:div>
        <w:div w:id="451631943">
          <w:marLeft w:val="0"/>
          <w:marRight w:val="0"/>
          <w:marTop w:val="0"/>
          <w:marBottom w:val="0"/>
          <w:divBdr>
            <w:top w:val="none" w:sz="0" w:space="0" w:color="auto"/>
            <w:left w:val="none" w:sz="0" w:space="0" w:color="auto"/>
            <w:bottom w:val="none" w:sz="0" w:space="0" w:color="auto"/>
            <w:right w:val="none" w:sz="0" w:space="0" w:color="auto"/>
          </w:divBdr>
          <w:divsChild>
            <w:div w:id="958688364">
              <w:marLeft w:val="0"/>
              <w:marRight w:val="0"/>
              <w:marTop w:val="0"/>
              <w:marBottom w:val="0"/>
              <w:divBdr>
                <w:top w:val="none" w:sz="0" w:space="0" w:color="auto"/>
                <w:left w:val="none" w:sz="0" w:space="0" w:color="auto"/>
                <w:bottom w:val="none" w:sz="0" w:space="0" w:color="auto"/>
                <w:right w:val="none" w:sz="0" w:space="0" w:color="auto"/>
              </w:divBdr>
            </w:div>
          </w:divsChild>
        </w:div>
        <w:div w:id="458645698">
          <w:marLeft w:val="0"/>
          <w:marRight w:val="0"/>
          <w:marTop w:val="0"/>
          <w:marBottom w:val="0"/>
          <w:divBdr>
            <w:top w:val="none" w:sz="0" w:space="0" w:color="auto"/>
            <w:left w:val="none" w:sz="0" w:space="0" w:color="auto"/>
            <w:bottom w:val="none" w:sz="0" w:space="0" w:color="auto"/>
            <w:right w:val="none" w:sz="0" w:space="0" w:color="auto"/>
          </w:divBdr>
          <w:divsChild>
            <w:div w:id="1041713658">
              <w:marLeft w:val="0"/>
              <w:marRight w:val="0"/>
              <w:marTop w:val="0"/>
              <w:marBottom w:val="0"/>
              <w:divBdr>
                <w:top w:val="none" w:sz="0" w:space="0" w:color="auto"/>
                <w:left w:val="none" w:sz="0" w:space="0" w:color="auto"/>
                <w:bottom w:val="none" w:sz="0" w:space="0" w:color="auto"/>
                <w:right w:val="none" w:sz="0" w:space="0" w:color="auto"/>
              </w:divBdr>
            </w:div>
          </w:divsChild>
        </w:div>
        <w:div w:id="467625510">
          <w:marLeft w:val="0"/>
          <w:marRight w:val="0"/>
          <w:marTop w:val="0"/>
          <w:marBottom w:val="0"/>
          <w:divBdr>
            <w:top w:val="none" w:sz="0" w:space="0" w:color="auto"/>
            <w:left w:val="none" w:sz="0" w:space="0" w:color="auto"/>
            <w:bottom w:val="none" w:sz="0" w:space="0" w:color="auto"/>
            <w:right w:val="none" w:sz="0" w:space="0" w:color="auto"/>
          </w:divBdr>
          <w:divsChild>
            <w:div w:id="774250796">
              <w:marLeft w:val="0"/>
              <w:marRight w:val="0"/>
              <w:marTop w:val="0"/>
              <w:marBottom w:val="0"/>
              <w:divBdr>
                <w:top w:val="none" w:sz="0" w:space="0" w:color="auto"/>
                <w:left w:val="none" w:sz="0" w:space="0" w:color="auto"/>
                <w:bottom w:val="none" w:sz="0" w:space="0" w:color="auto"/>
                <w:right w:val="none" w:sz="0" w:space="0" w:color="auto"/>
              </w:divBdr>
            </w:div>
          </w:divsChild>
        </w:div>
        <w:div w:id="478113563">
          <w:marLeft w:val="0"/>
          <w:marRight w:val="0"/>
          <w:marTop w:val="0"/>
          <w:marBottom w:val="0"/>
          <w:divBdr>
            <w:top w:val="none" w:sz="0" w:space="0" w:color="auto"/>
            <w:left w:val="none" w:sz="0" w:space="0" w:color="auto"/>
            <w:bottom w:val="none" w:sz="0" w:space="0" w:color="auto"/>
            <w:right w:val="none" w:sz="0" w:space="0" w:color="auto"/>
          </w:divBdr>
          <w:divsChild>
            <w:div w:id="1007634574">
              <w:marLeft w:val="0"/>
              <w:marRight w:val="0"/>
              <w:marTop w:val="0"/>
              <w:marBottom w:val="0"/>
              <w:divBdr>
                <w:top w:val="none" w:sz="0" w:space="0" w:color="auto"/>
                <w:left w:val="none" w:sz="0" w:space="0" w:color="auto"/>
                <w:bottom w:val="none" w:sz="0" w:space="0" w:color="auto"/>
                <w:right w:val="none" w:sz="0" w:space="0" w:color="auto"/>
              </w:divBdr>
            </w:div>
          </w:divsChild>
        </w:div>
        <w:div w:id="479082452">
          <w:marLeft w:val="0"/>
          <w:marRight w:val="0"/>
          <w:marTop w:val="0"/>
          <w:marBottom w:val="0"/>
          <w:divBdr>
            <w:top w:val="none" w:sz="0" w:space="0" w:color="auto"/>
            <w:left w:val="none" w:sz="0" w:space="0" w:color="auto"/>
            <w:bottom w:val="none" w:sz="0" w:space="0" w:color="auto"/>
            <w:right w:val="none" w:sz="0" w:space="0" w:color="auto"/>
          </w:divBdr>
          <w:divsChild>
            <w:div w:id="1499736051">
              <w:marLeft w:val="0"/>
              <w:marRight w:val="0"/>
              <w:marTop w:val="0"/>
              <w:marBottom w:val="0"/>
              <w:divBdr>
                <w:top w:val="none" w:sz="0" w:space="0" w:color="auto"/>
                <w:left w:val="none" w:sz="0" w:space="0" w:color="auto"/>
                <w:bottom w:val="none" w:sz="0" w:space="0" w:color="auto"/>
                <w:right w:val="none" w:sz="0" w:space="0" w:color="auto"/>
              </w:divBdr>
            </w:div>
          </w:divsChild>
        </w:div>
        <w:div w:id="479999806">
          <w:marLeft w:val="0"/>
          <w:marRight w:val="0"/>
          <w:marTop w:val="0"/>
          <w:marBottom w:val="0"/>
          <w:divBdr>
            <w:top w:val="none" w:sz="0" w:space="0" w:color="auto"/>
            <w:left w:val="none" w:sz="0" w:space="0" w:color="auto"/>
            <w:bottom w:val="none" w:sz="0" w:space="0" w:color="auto"/>
            <w:right w:val="none" w:sz="0" w:space="0" w:color="auto"/>
          </w:divBdr>
          <w:divsChild>
            <w:div w:id="1763453011">
              <w:marLeft w:val="0"/>
              <w:marRight w:val="0"/>
              <w:marTop w:val="0"/>
              <w:marBottom w:val="0"/>
              <w:divBdr>
                <w:top w:val="none" w:sz="0" w:space="0" w:color="auto"/>
                <w:left w:val="none" w:sz="0" w:space="0" w:color="auto"/>
                <w:bottom w:val="none" w:sz="0" w:space="0" w:color="auto"/>
                <w:right w:val="none" w:sz="0" w:space="0" w:color="auto"/>
              </w:divBdr>
            </w:div>
          </w:divsChild>
        </w:div>
        <w:div w:id="487474843">
          <w:marLeft w:val="0"/>
          <w:marRight w:val="0"/>
          <w:marTop w:val="0"/>
          <w:marBottom w:val="0"/>
          <w:divBdr>
            <w:top w:val="none" w:sz="0" w:space="0" w:color="auto"/>
            <w:left w:val="none" w:sz="0" w:space="0" w:color="auto"/>
            <w:bottom w:val="none" w:sz="0" w:space="0" w:color="auto"/>
            <w:right w:val="none" w:sz="0" w:space="0" w:color="auto"/>
          </w:divBdr>
          <w:divsChild>
            <w:div w:id="1496800063">
              <w:marLeft w:val="0"/>
              <w:marRight w:val="0"/>
              <w:marTop w:val="0"/>
              <w:marBottom w:val="0"/>
              <w:divBdr>
                <w:top w:val="none" w:sz="0" w:space="0" w:color="auto"/>
                <w:left w:val="none" w:sz="0" w:space="0" w:color="auto"/>
                <w:bottom w:val="none" w:sz="0" w:space="0" w:color="auto"/>
                <w:right w:val="none" w:sz="0" w:space="0" w:color="auto"/>
              </w:divBdr>
            </w:div>
          </w:divsChild>
        </w:div>
        <w:div w:id="488642122">
          <w:marLeft w:val="0"/>
          <w:marRight w:val="0"/>
          <w:marTop w:val="0"/>
          <w:marBottom w:val="0"/>
          <w:divBdr>
            <w:top w:val="none" w:sz="0" w:space="0" w:color="auto"/>
            <w:left w:val="none" w:sz="0" w:space="0" w:color="auto"/>
            <w:bottom w:val="none" w:sz="0" w:space="0" w:color="auto"/>
            <w:right w:val="none" w:sz="0" w:space="0" w:color="auto"/>
          </w:divBdr>
          <w:divsChild>
            <w:div w:id="1346664417">
              <w:marLeft w:val="0"/>
              <w:marRight w:val="0"/>
              <w:marTop w:val="0"/>
              <w:marBottom w:val="0"/>
              <w:divBdr>
                <w:top w:val="none" w:sz="0" w:space="0" w:color="auto"/>
                <w:left w:val="none" w:sz="0" w:space="0" w:color="auto"/>
                <w:bottom w:val="none" w:sz="0" w:space="0" w:color="auto"/>
                <w:right w:val="none" w:sz="0" w:space="0" w:color="auto"/>
              </w:divBdr>
            </w:div>
          </w:divsChild>
        </w:div>
        <w:div w:id="488643686">
          <w:marLeft w:val="0"/>
          <w:marRight w:val="0"/>
          <w:marTop w:val="0"/>
          <w:marBottom w:val="0"/>
          <w:divBdr>
            <w:top w:val="none" w:sz="0" w:space="0" w:color="auto"/>
            <w:left w:val="none" w:sz="0" w:space="0" w:color="auto"/>
            <w:bottom w:val="none" w:sz="0" w:space="0" w:color="auto"/>
            <w:right w:val="none" w:sz="0" w:space="0" w:color="auto"/>
          </w:divBdr>
          <w:divsChild>
            <w:div w:id="852577356">
              <w:marLeft w:val="0"/>
              <w:marRight w:val="0"/>
              <w:marTop w:val="0"/>
              <w:marBottom w:val="0"/>
              <w:divBdr>
                <w:top w:val="none" w:sz="0" w:space="0" w:color="auto"/>
                <w:left w:val="none" w:sz="0" w:space="0" w:color="auto"/>
                <w:bottom w:val="none" w:sz="0" w:space="0" w:color="auto"/>
                <w:right w:val="none" w:sz="0" w:space="0" w:color="auto"/>
              </w:divBdr>
            </w:div>
          </w:divsChild>
        </w:div>
        <w:div w:id="494339728">
          <w:marLeft w:val="0"/>
          <w:marRight w:val="0"/>
          <w:marTop w:val="0"/>
          <w:marBottom w:val="0"/>
          <w:divBdr>
            <w:top w:val="none" w:sz="0" w:space="0" w:color="auto"/>
            <w:left w:val="none" w:sz="0" w:space="0" w:color="auto"/>
            <w:bottom w:val="none" w:sz="0" w:space="0" w:color="auto"/>
            <w:right w:val="none" w:sz="0" w:space="0" w:color="auto"/>
          </w:divBdr>
          <w:divsChild>
            <w:div w:id="2094817167">
              <w:marLeft w:val="0"/>
              <w:marRight w:val="0"/>
              <w:marTop w:val="0"/>
              <w:marBottom w:val="0"/>
              <w:divBdr>
                <w:top w:val="none" w:sz="0" w:space="0" w:color="auto"/>
                <w:left w:val="none" w:sz="0" w:space="0" w:color="auto"/>
                <w:bottom w:val="none" w:sz="0" w:space="0" w:color="auto"/>
                <w:right w:val="none" w:sz="0" w:space="0" w:color="auto"/>
              </w:divBdr>
            </w:div>
          </w:divsChild>
        </w:div>
        <w:div w:id="495071598">
          <w:marLeft w:val="0"/>
          <w:marRight w:val="0"/>
          <w:marTop w:val="0"/>
          <w:marBottom w:val="0"/>
          <w:divBdr>
            <w:top w:val="none" w:sz="0" w:space="0" w:color="auto"/>
            <w:left w:val="none" w:sz="0" w:space="0" w:color="auto"/>
            <w:bottom w:val="none" w:sz="0" w:space="0" w:color="auto"/>
            <w:right w:val="none" w:sz="0" w:space="0" w:color="auto"/>
          </w:divBdr>
          <w:divsChild>
            <w:div w:id="317348831">
              <w:marLeft w:val="0"/>
              <w:marRight w:val="0"/>
              <w:marTop w:val="0"/>
              <w:marBottom w:val="0"/>
              <w:divBdr>
                <w:top w:val="none" w:sz="0" w:space="0" w:color="auto"/>
                <w:left w:val="none" w:sz="0" w:space="0" w:color="auto"/>
                <w:bottom w:val="none" w:sz="0" w:space="0" w:color="auto"/>
                <w:right w:val="none" w:sz="0" w:space="0" w:color="auto"/>
              </w:divBdr>
            </w:div>
          </w:divsChild>
        </w:div>
        <w:div w:id="499084449">
          <w:marLeft w:val="0"/>
          <w:marRight w:val="0"/>
          <w:marTop w:val="0"/>
          <w:marBottom w:val="0"/>
          <w:divBdr>
            <w:top w:val="none" w:sz="0" w:space="0" w:color="auto"/>
            <w:left w:val="none" w:sz="0" w:space="0" w:color="auto"/>
            <w:bottom w:val="none" w:sz="0" w:space="0" w:color="auto"/>
            <w:right w:val="none" w:sz="0" w:space="0" w:color="auto"/>
          </w:divBdr>
          <w:divsChild>
            <w:div w:id="263541113">
              <w:marLeft w:val="0"/>
              <w:marRight w:val="0"/>
              <w:marTop w:val="0"/>
              <w:marBottom w:val="0"/>
              <w:divBdr>
                <w:top w:val="none" w:sz="0" w:space="0" w:color="auto"/>
                <w:left w:val="none" w:sz="0" w:space="0" w:color="auto"/>
                <w:bottom w:val="none" w:sz="0" w:space="0" w:color="auto"/>
                <w:right w:val="none" w:sz="0" w:space="0" w:color="auto"/>
              </w:divBdr>
            </w:div>
          </w:divsChild>
        </w:div>
        <w:div w:id="500892919">
          <w:marLeft w:val="0"/>
          <w:marRight w:val="0"/>
          <w:marTop w:val="0"/>
          <w:marBottom w:val="0"/>
          <w:divBdr>
            <w:top w:val="none" w:sz="0" w:space="0" w:color="auto"/>
            <w:left w:val="none" w:sz="0" w:space="0" w:color="auto"/>
            <w:bottom w:val="none" w:sz="0" w:space="0" w:color="auto"/>
            <w:right w:val="none" w:sz="0" w:space="0" w:color="auto"/>
          </w:divBdr>
          <w:divsChild>
            <w:div w:id="1801074986">
              <w:marLeft w:val="0"/>
              <w:marRight w:val="0"/>
              <w:marTop w:val="0"/>
              <w:marBottom w:val="0"/>
              <w:divBdr>
                <w:top w:val="none" w:sz="0" w:space="0" w:color="auto"/>
                <w:left w:val="none" w:sz="0" w:space="0" w:color="auto"/>
                <w:bottom w:val="none" w:sz="0" w:space="0" w:color="auto"/>
                <w:right w:val="none" w:sz="0" w:space="0" w:color="auto"/>
              </w:divBdr>
            </w:div>
          </w:divsChild>
        </w:div>
        <w:div w:id="513030496">
          <w:marLeft w:val="0"/>
          <w:marRight w:val="0"/>
          <w:marTop w:val="0"/>
          <w:marBottom w:val="0"/>
          <w:divBdr>
            <w:top w:val="none" w:sz="0" w:space="0" w:color="auto"/>
            <w:left w:val="none" w:sz="0" w:space="0" w:color="auto"/>
            <w:bottom w:val="none" w:sz="0" w:space="0" w:color="auto"/>
            <w:right w:val="none" w:sz="0" w:space="0" w:color="auto"/>
          </w:divBdr>
          <w:divsChild>
            <w:div w:id="626469531">
              <w:marLeft w:val="0"/>
              <w:marRight w:val="0"/>
              <w:marTop w:val="0"/>
              <w:marBottom w:val="0"/>
              <w:divBdr>
                <w:top w:val="none" w:sz="0" w:space="0" w:color="auto"/>
                <w:left w:val="none" w:sz="0" w:space="0" w:color="auto"/>
                <w:bottom w:val="none" w:sz="0" w:space="0" w:color="auto"/>
                <w:right w:val="none" w:sz="0" w:space="0" w:color="auto"/>
              </w:divBdr>
            </w:div>
          </w:divsChild>
        </w:div>
        <w:div w:id="519130099">
          <w:marLeft w:val="0"/>
          <w:marRight w:val="0"/>
          <w:marTop w:val="0"/>
          <w:marBottom w:val="0"/>
          <w:divBdr>
            <w:top w:val="none" w:sz="0" w:space="0" w:color="auto"/>
            <w:left w:val="none" w:sz="0" w:space="0" w:color="auto"/>
            <w:bottom w:val="none" w:sz="0" w:space="0" w:color="auto"/>
            <w:right w:val="none" w:sz="0" w:space="0" w:color="auto"/>
          </w:divBdr>
          <w:divsChild>
            <w:div w:id="954673302">
              <w:marLeft w:val="0"/>
              <w:marRight w:val="0"/>
              <w:marTop w:val="0"/>
              <w:marBottom w:val="0"/>
              <w:divBdr>
                <w:top w:val="none" w:sz="0" w:space="0" w:color="auto"/>
                <w:left w:val="none" w:sz="0" w:space="0" w:color="auto"/>
                <w:bottom w:val="none" w:sz="0" w:space="0" w:color="auto"/>
                <w:right w:val="none" w:sz="0" w:space="0" w:color="auto"/>
              </w:divBdr>
            </w:div>
          </w:divsChild>
        </w:div>
        <w:div w:id="526716719">
          <w:marLeft w:val="0"/>
          <w:marRight w:val="0"/>
          <w:marTop w:val="0"/>
          <w:marBottom w:val="0"/>
          <w:divBdr>
            <w:top w:val="none" w:sz="0" w:space="0" w:color="auto"/>
            <w:left w:val="none" w:sz="0" w:space="0" w:color="auto"/>
            <w:bottom w:val="none" w:sz="0" w:space="0" w:color="auto"/>
            <w:right w:val="none" w:sz="0" w:space="0" w:color="auto"/>
          </w:divBdr>
          <w:divsChild>
            <w:div w:id="1028261415">
              <w:marLeft w:val="0"/>
              <w:marRight w:val="0"/>
              <w:marTop w:val="0"/>
              <w:marBottom w:val="0"/>
              <w:divBdr>
                <w:top w:val="none" w:sz="0" w:space="0" w:color="auto"/>
                <w:left w:val="none" w:sz="0" w:space="0" w:color="auto"/>
                <w:bottom w:val="none" w:sz="0" w:space="0" w:color="auto"/>
                <w:right w:val="none" w:sz="0" w:space="0" w:color="auto"/>
              </w:divBdr>
            </w:div>
          </w:divsChild>
        </w:div>
        <w:div w:id="527108474">
          <w:marLeft w:val="0"/>
          <w:marRight w:val="0"/>
          <w:marTop w:val="0"/>
          <w:marBottom w:val="0"/>
          <w:divBdr>
            <w:top w:val="none" w:sz="0" w:space="0" w:color="auto"/>
            <w:left w:val="none" w:sz="0" w:space="0" w:color="auto"/>
            <w:bottom w:val="none" w:sz="0" w:space="0" w:color="auto"/>
            <w:right w:val="none" w:sz="0" w:space="0" w:color="auto"/>
          </w:divBdr>
          <w:divsChild>
            <w:div w:id="907150661">
              <w:marLeft w:val="0"/>
              <w:marRight w:val="0"/>
              <w:marTop w:val="0"/>
              <w:marBottom w:val="0"/>
              <w:divBdr>
                <w:top w:val="none" w:sz="0" w:space="0" w:color="auto"/>
                <w:left w:val="none" w:sz="0" w:space="0" w:color="auto"/>
                <w:bottom w:val="none" w:sz="0" w:space="0" w:color="auto"/>
                <w:right w:val="none" w:sz="0" w:space="0" w:color="auto"/>
              </w:divBdr>
            </w:div>
          </w:divsChild>
        </w:div>
        <w:div w:id="533082983">
          <w:marLeft w:val="0"/>
          <w:marRight w:val="0"/>
          <w:marTop w:val="0"/>
          <w:marBottom w:val="0"/>
          <w:divBdr>
            <w:top w:val="none" w:sz="0" w:space="0" w:color="auto"/>
            <w:left w:val="none" w:sz="0" w:space="0" w:color="auto"/>
            <w:bottom w:val="none" w:sz="0" w:space="0" w:color="auto"/>
            <w:right w:val="none" w:sz="0" w:space="0" w:color="auto"/>
          </w:divBdr>
          <w:divsChild>
            <w:div w:id="138888741">
              <w:marLeft w:val="0"/>
              <w:marRight w:val="0"/>
              <w:marTop w:val="0"/>
              <w:marBottom w:val="0"/>
              <w:divBdr>
                <w:top w:val="none" w:sz="0" w:space="0" w:color="auto"/>
                <w:left w:val="none" w:sz="0" w:space="0" w:color="auto"/>
                <w:bottom w:val="none" w:sz="0" w:space="0" w:color="auto"/>
                <w:right w:val="none" w:sz="0" w:space="0" w:color="auto"/>
              </w:divBdr>
            </w:div>
          </w:divsChild>
        </w:div>
        <w:div w:id="535122256">
          <w:marLeft w:val="0"/>
          <w:marRight w:val="0"/>
          <w:marTop w:val="0"/>
          <w:marBottom w:val="0"/>
          <w:divBdr>
            <w:top w:val="none" w:sz="0" w:space="0" w:color="auto"/>
            <w:left w:val="none" w:sz="0" w:space="0" w:color="auto"/>
            <w:bottom w:val="none" w:sz="0" w:space="0" w:color="auto"/>
            <w:right w:val="none" w:sz="0" w:space="0" w:color="auto"/>
          </w:divBdr>
          <w:divsChild>
            <w:div w:id="748499889">
              <w:marLeft w:val="0"/>
              <w:marRight w:val="0"/>
              <w:marTop w:val="0"/>
              <w:marBottom w:val="0"/>
              <w:divBdr>
                <w:top w:val="none" w:sz="0" w:space="0" w:color="auto"/>
                <w:left w:val="none" w:sz="0" w:space="0" w:color="auto"/>
                <w:bottom w:val="none" w:sz="0" w:space="0" w:color="auto"/>
                <w:right w:val="none" w:sz="0" w:space="0" w:color="auto"/>
              </w:divBdr>
            </w:div>
          </w:divsChild>
        </w:div>
        <w:div w:id="538318166">
          <w:marLeft w:val="0"/>
          <w:marRight w:val="0"/>
          <w:marTop w:val="0"/>
          <w:marBottom w:val="0"/>
          <w:divBdr>
            <w:top w:val="none" w:sz="0" w:space="0" w:color="auto"/>
            <w:left w:val="none" w:sz="0" w:space="0" w:color="auto"/>
            <w:bottom w:val="none" w:sz="0" w:space="0" w:color="auto"/>
            <w:right w:val="none" w:sz="0" w:space="0" w:color="auto"/>
          </w:divBdr>
          <w:divsChild>
            <w:div w:id="514199457">
              <w:marLeft w:val="0"/>
              <w:marRight w:val="0"/>
              <w:marTop w:val="0"/>
              <w:marBottom w:val="0"/>
              <w:divBdr>
                <w:top w:val="none" w:sz="0" w:space="0" w:color="auto"/>
                <w:left w:val="none" w:sz="0" w:space="0" w:color="auto"/>
                <w:bottom w:val="none" w:sz="0" w:space="0" w:color="auto"/>
                <w:right w:val="none" w:sz="0" w:space="0" w:color="auto"/>
              </w:divBdr>
            </w:div>
          </w:divsChild>
        </w:div>
        <w:div w:id="543099080">
          <w:marLeft w:val="0"/>
          <w:marRight w:val="0"/>
          <w:marTop w:val="0"/>
          <w:marBottom w:val="0"/>
          <w:divBdr>
            <w:top w:val="none" w:sz="0" w:space="0" w:color="auto"/>
            <w:left w:val="none" w:sz="0" w:space="0" w:color="auto"/>
            <w:bottom w:val="none" w:sz="0" w:space="0" w:color="auto"/>
            <w:right w:val="none" w:sz="0" w:space="0" w:color="auto"/>
          </w:divBdr>
          <w:divsChild>
            <w:div w:id="324093007">
              <w:marLeft w:val="0"/>
              <w:marRight w:val="0"/>
              <w:marTop w:val="0"/>
              <w:marBottom w:val="0"/>
              <w:divBdr>
                <w:top w:val="none" w:sz="0" w:space="0" w:color="auto"/>
                <w:left w:val="none" w:sz="0" w:space="0" w:color="auto"/>
                <w:bottom w:val="none" w:sz="0" w:space="0" w:color="auto"/>
                <w:right w:val="none" w:sz="0" w:space="0" w:color="auto"/>
              </w:divBdr>
            </w:div>
          </w:divsChild>
        </w:div>
        <w:div w:id="546186689">
          <w:marLeft w:val="0"/>
          <w:marRight w:val="0"/>
          <w:marTop w:val="0"/>
          <w:marBottom w:val="0"/>
          <w:divBdr>
            <w:top w:val="none" w:sz="0" w:space="0" w:color="auto"/>
            <w:left w:val="none" w:sz="0" w:space="0" w:color="auto"/>
            <w:bottom w:val="none" w:sz="0" w:space="0" w:color="auto"/>
            <w:right w:val="none" w:sz="0" w:space="0" w:color="auto"/>
          </w:divBdr>
          <w:divsChild>
            <w:div w:id="1012999215">
              <w:marLeft w:val="0"/>
              <w:marRight w:val="0"/>
              <w:marTop w:val="0"/>
              <w:marBottom w:val="0"/>
              <w:divBdr>
                <w:top w:val="none" w:sz="0" w:space="0" w:color="auto"/>
                <w:left w:val="none" w:sz="0" w:space="0" w:color="auto"/>
                <w:bottom w:val="none" w:sz="0" w:space="0" w:color="auto"/>
                <w:right w:val="none" w:sz="0" w:space="0" w:color="auto"/>
              </w:divBdr>
            </w:div>
          </w:divsChild>
        </w:div>
        <w:div w:id="556938438">
          <w:marLeft w:val="0"/>
          <w:marRight w:val="0"/>
          <w:marTop w:val="0"/>
          <w:marBottom w:val="0"/>
          <w:divBdr>
            <w:top w:val="none" w:sz="0" w:space="0" w:color="auto"/>
            <w:left w:val="none" w:sz="0" w:space="0" w:color="auto"/>
            <w:bottom w:val="none" w:sz="0" w:space="0" w:color="auto"/>
            <w:right w:val="none" w:sz="0" w:space="0" w:color="auto"/>
          </w:divBdr>
          <w:divsChild>
            <w:div w:id="1730882911">
              <w:marLeft w:val="0"/>
              <w:marRight w:val="0"/>
              <w:marTop w:val="0"/>
              <w:marBottom w:val="0"/>
              <w:divBdr>
                <w:top w:val="none" w:sz="0" w:space="0" w:color="auto"/>
                <w:left w:val="none" w:sz="0" w:space="0" w:color="auto"/>
                <w:bottom w:val="none" w:sz="0" w:space="0" w:color="auto"/>
                <w:right w:val="none" w:sz="0" w:space="0" w:color="auto"/>
              </w:divBdr>
            </w:div>
          </w:divsChild>
        </w:div>
        <w:div w:id="557132540">
          <w:marLeft w:val="0"/>
          <w:marRight w:val="0"/>
          <w:marTop w:val="0"/>
          <w:marBottom w:val="0"/>
          <w:divBdr>
            <w:top w:val="none" w:sz="0" w:space="0" w:color="auto"/>
            <w:left w:val="none" w:sz="0" w:space="0" w:color="auto"/>
            <w:bottom w:val="none" w:sz="0" w:space="0" w:color="auto"/>
            <w:right w:val="none" w:sz="0" w:space="0" w:color="auto"/>
          </w:divBdr>
          <w:divsChild>
            <w:div w:id="564411147">
              <w:marLeft w:val="0"/>
              <w:marRight w:val="0"/>
              <w:marTop w:val="0"/>
              <w:marBottom w:val="0"/>
              <w:divBdr>
                <w:top w:val="none" w:sz="0" w:space="0" w:color="auto"/>
                <w:left w:val="none" w:sz="0" w:space="0" w:color="auto"/>
                <w:bottom w:val="none" w:sz="0" w:space="0" w:color="auto"/>
                <w:right w:val="none" w:sz="0" w:space="0" w:color="auto"/>
              </w:divBdr>
            </w:div>
          </w:divsChild>
        </w:div>
        <w:div w:id="563639583">
          <w:marLeft w:val="0"/>
          <w:marRight w:val="0"/>
          <w:marTop w:val="0"/>
          <w:marBottom w:val="0"/>
          <w:divBdr>
            <w:top w:val="none" w:sz="0" w:space="0" w:color="auto"/>
            <w:left w:val="none" w:sz="0" w:space="0" w:color="auto"/>
            <w:bottom w:val="none" w:sz="0" w:space="0" w:color="auto"/>
            <w:right w:val="none" w:sz="0" w:space="0" w:color="auto"/>
          </w:divBdr>
          <w:divsChild>
            <w:div w:id="1529877676">
              <w:marLeft w:val="0"/>
              <w:marRight w:val="0"/>
              <w:marTop w:val="0"/>
              <w:marBottom w:val="0"/>
              <w:divBdr>
                <w:top w:val="none" w:sz="0" w:space="0" w:color="auto"/>
                <w:left w:val="none" w:sz="0" w:space="0" w:color="auto"/>
                <w:bottom w:val="none" w:sz="0" w:space="0" w:color="auto"/>
                <w:right w:val="none" w:sz="0" w:space="0" w:color="auto"/>
              </w:divBdr>
            </w:div>
          </w:divsChild>
        </w:div>
        <w:div w:id="572129606">
          <w:marLeft w:val="0"/>
          <w:marRight w:val="0"/>
          <w:marTop w:val="0"/>
          <w:marBottom w:val="0"/>
          <w:divBdr>
            <w:top w:val="none" w:sz="0" w:space="0" w:color="auto"/>
            <w:left w:val="none" w:sz="0" w:space="0" w:color="auto"/>
            <w:bottom w:val="none" w:sz="0" w:space="0" w:color="auto"/>
            <w:right w:val="none" w:sz="0" w:space="0" w:color="auto"/>
          </w:divBdr>
          <w:divsChild>
            <w:div w:id="257981346">
              <w:marLeft w:val="0"/>
              <w:marRight w:val="0"/>
              <w:marTop w:val="0"/>
              <w:marBottom w:val="0"/>
              <w:divBdr>
                <w:top w:val="none" w:sz="0" w:space="0" w:color="auto"/>
                <w:left w:val="none" w:sz="0" w:space="0" w:color="auto"/>
                <w:bottom w:val="none" w:sz="0" w:space="0" w:color="auto"/>
                <w:right w:val="none" w:sz="0" w:space="0" w:color="auto"/>
              </w:divBdr>
            </w:div>
          </w:divsChild>
        </w:div>
        <w:div w:id="585113419">
          <w:marLeft w:val="0"/>
          <w:marRight w:val="0"/>
          <w:marTop w:val="0"/>
          <w:marBottom w:val="0"/>
          <w:divBdr>
            <w:top w:val="none" w:sz="0" w:space="0" w:color="auto"/>
            <w:left w:val="none" w:sz="0" w:space="0" w:color="auto"/>
            <w:bottom w:val="none" w:sz="0" w:space="0" w:color="auto"/>
            <w:right w:val="none" w:sz="0" w:space="0" w:color="auto"/>
          </w:divBdr>
          <w:divsChild>
            <w:div w:id="1614747257">
              <w:marLeft w:val="0"/>
              <w:marRight w:val="0"/>
              <w:marTop w:val="0"/>
              <w:marBottom w:val="0"/>
              <w:divBdr>
                <w:top w:val="none" w:sz="0" w:space="0" w:color="auto"/>
                <w:left w:val="none" w:sz="0" w:space="0" w:color="auto"/>
                <w:bottom w:val="none" w:sz="0" w:space="0" w:color="auto"/>
                <w:right w:val="none" w:sz="0" w:space="0" w:color="auto"/>
              </w:divBdr>
            </w:div>
          </w:divsChild>
        </w:div>
        <w:div w:id="586308682">
          <w:marLeft w:val="0"/>
          <w:marRight w:val="0"/>
          <w:marTop w:val="0"/>
          <w:marBottom w:val="0"/>
          <w:divBdr>
            <w:top w:val="none" w:sz="0" w:space="0" w:color="auto"/>
            <w:left w:val="none" w:sz="0" w:space="0" w:color="auto"/>
            <w:bottom w:val="none" w:sz="0" w:space="0" w:color="auto"/>
            <w:right w:val="none" w:sz="0" w:space="0" w:color="auto"/>
          </w:divBdr>
          <w:divsChild>
            <w:div w:id="1994406116">
              <w:marLeft w:val="0"/>
              <w:marRight w:val="0"/>
              <w:marTop w:val="0"/>
              <w:marBottom w:val="0"/>
              <w:divBdr>
                <w:top w:val="none" w:sz="0" w:space="0" w:color="auto"/>
                <w:left w:val="none" w:sz="0" w:space="0" w:color="auto"/>
                <w:bottom w:val="none" w:sz="0" w:space="0" w:color="auto"/>
                <w:right w:val="none" w:sz="0" w:space="0" w:color="auto"/>
              </w:divBdr>
            </w:div>
          </w:divsChild>
        </w:div>
        <w:div w:id="590511640">
          <w:marLeft w:val="0"/>
          <w:marRight w:val="0"/>
          <w:marTop w:val="0"/>
          <w:marBottom w:val="0"/>
          <w:divBdr>
            <w:top w:val="none" w:sz="0" w:space="0" w:color="auto"/>
            <w:left w:val="none" w:sz="0" w:space="0" w:color="auto"/>
            <w:bottom w:val="none" w:sz="0" w:space="0" w:color="auto"/>
            <w:right w:val="none" w:sz="0" w:space="0" w:color="auto"/>
          </w:divBdr>
          <w:divsChild>
            <w:div w:id="534074958">
              <w:marLeft w:val="0"/>
              <w:marRight w:val="0"/>
              <w:marTop w:val="0"/>
              <w:marBottom w:val="0"/>
              <w:divBdr>
                <w:top w:val="none" w:sz="0" w:space="0" w:color="auto"/>
                <w:left w:val="none" w:sz="0" w:space="0" w:color="auto"/>
                <w:bottom w:val="none" w:sz="0" w:space="0" w:color="auto"/>
                <w:right w:val="none" w:sz="0" w:space="0" w:color="auto"/>
              </w:divBdr>
            </w:div>
          </w:divsChild>
        </w:div>
        <w:div w:id="594674060">
          <w:marLeft w:val="0"/>
          <w:marRight w:val="0"/>
          <w:marTop w:val="0"/>
          <w:marBottom w:val="0"/>
          <w:divBdr>
            <w:top w:val="none" w:sz="0" w:space="0" w:color="auto"/>
            <w:left w:val="none" w:sz="0" w:space="0" w:color="auto"/>
            <w:bottom w:val="none" w:sz="0" w:space="0" w:color="auto"/>
            <w:right w:val="none" w:sz="0" w:space="0" w:color="auto"/>
          </w:divBdr>
          <w:divsChild>
            <w:div w:id="2046445694">
              <w:marLeft w:val="0"/>
              <w:marRight w:val="0"/>
              <w:marTop w:val="0"/>
              <w:marBottom w:val="0"/>
              <w:divBdr>
                <w:top w:val="none" w:sz="0" w:space="0" w:color="auto"/>
                <w:left w:val="none" w:sz="0" w:space="0" w:color="auto"/>
                <w:bottom w:val="none" w:sz="0" w:space="0" w:color="auto"/>
                <w:right w:val="none" w:sz="0" w:space="0" w:color="auto"/>
              </w:divBdr>
            </w:div>
          </w:divsChild>
        </w:div>
        <w:div w:id="597443272">
          <w:marLeft w:val="0"/>
          <w:marRight w:val="0"/>
          <w:marTop w:val="0"/>
          <w:marBottom w:val="0"/>
          <w:divBdr>
            <w:top w:val="none" w:sz="0" w:space="0" w:color="auto"/>
            <w:left w:val="none" w:sz="0" w:space="0" w:color="auto"/>
            <w:bottom w:val="none" w:sz="0" w:space="0" w:color="auto"/>
            <w:right w:val="none" w:sz="0" w:space="0" w:color="auto"/>
          </w:divBdr>
          <w:divsChild>
            <w:div w:id="1971588938">
              <w:marLeft w:val="0"/>
              <w:marRight w:val="0"/>
              <w:marTop w:val="0"/>
              <w:marBottom w:val="0"/>
              <w:divBdr>
                <w:top w:val="none" w:sz="0" w:space="0" w:color="auto"/>
                <w:left w:val="none" w:sz="0" w:space="0" w:color="auto"/>
                <w:bottom w:val="none" w:sz="0" w:space="0" w:color="auto"/>
                <w:right w:val="none" w:sz="0" w:space="0" w:color="auto"/>
              </w:divBdr>
            </w:div>
          </w:divsChild>
        </w:div>
        <w:div w:id="599877713">
          <w:marLeft w:val="0"/>
          <w:marRight w:val="0"/>
          <w:marTop w:val="0"/>
          <w:marBottom w:val="0"/>
          <w:divBdr>
            <w:top w:val="none" w:sz="0" w:space="0" w:color="auto"/>
            <w:left w:val="none" w:sz="0" w:space="0" w:color="auto"/>
            <w:bottom w:val="none" w:sz="0" w:space="0" w:color="auto"/>
            <w:right w:val="none" w:sz="0" w:space="0" w:color="auto"/>
          </w:divBdr>
          <w:divsChild>
            <w:div w:id="83456993">
              <w:marLeft w:val="0"/>
              <w:marRight w:val="0"/>
              <w:marTop w:val="0"/>
              <w:marBottom w:val="0"/>
              <w:divBdr>
                <w:top w:val="none" w:sz="0" w:space="0" w:color="auto"/>
                <w:left w:val="none" w:sz="0" w:space="0" w:color="auto"/>
                <w:bottom w:val="none" w:sz="0" w:space="0" w:color="auto"/>
                <w:right w:val="none" w:sz="0" w:space="0" w:color="auto"/>
              </w:divBdr>
            </w:div>
          </w:divsChild>
        </w:div>
        <w:div w:id="600912652">
          <w:marLeft w:val="0"/>
          <w:marRight w:val="0"/>
          <w:marTop w:val="0"/>
          <w:marBottom w:val="0"/>
          <w:divBdr>
            <w:top w:val="none" w:sz="0" w:space="0" w:color="auto"/>
            <w:left w:val="none" w:sz="0" w:space="0" w:color="auto"/>
            <w:bottom w:val="none" w:sz="0" w:space="0" w:color="auto"/>
            <w:right w:val="none" w:sz="0" w:space="0" w:color="auto"/>
          </w:divBdr>
          <w:divsChild>
            <w:div w:id="1659574892">
              <w:marLeft w:val="0"/>
              <w:marRight w:val="0"/>
              <w:marTop w:val="0"/>
              <w:marBottom w:val="0"/>
              <w:divBdr>
                <w:top w:val="none" w:sz="0" w:space="0" w:color="auto"/>
                <w:left w:val="none" w:sz="0" w:space="0" w:color="auto"/>
                <w:bottom w:val="none" w:sz="0" w:space="0" w:color="auto"/>
                <w:right w:val="none" w:sz="0" w:space="0" w:color="auto"/>
              </w:divBdr>
            </w:div>
          </w:divsChild>
        </w:div>
        <w:div w:id="604575388">
          <w:marLeft w:val="0"/>
          <w:marRight w:val="0"/>
          <w:marTop w:val="0"/>
          <w:marBottom w:val="0"/>
          <w:divBdr>
            <w:top w:val="none" w:sz="0" w:space="0" w:color="auto"/>
            <w:left w:val="none" w:sz="0" w:space="0" w:color="auto"/>
            <w:bottom w:val="none" w:sz="0" w:space="0" w:color="auto"/>
            <w:right w:val="none" w:sz="0" w:space="0" w:color="auto"/>
          </w:divBdr>
          <w:divsChild>
            <w:div w:id="1044938275">
              <w:marLeft w:val="0"/>
              <w:marRight w:val="0"/>
              <w:marTop w:val="0"/>
              <w:marBottom w:val="0"/>
              <w:divBdr>
                <w:top w:val="none" w:sz="0" w:space="0" w:color="auto"/>
                <w:left w:val="none" w:sz="0" w:space="0" w:color="auto"/>
                <w:bottom w:val="none" w:sz="0" w:space="0" w:color="auto"/>
                <w:right w:val="none" w:sz="0" w:space="0" w:color="auto"/>
              </w:divBdr>
            </w:div>
          </w:divsChild>
        </w:div>
        <w:div w:id="605623824">
          <w:marLeft w:val="0"/>
          <w:marRight w:val="0"/>
          <w:marTop w:val="0"/>
          <w:marBottom w:val="0"/>
          <w:divBdr>
            <w:top w:val="none" w:sz="0" w:space="0" w:color="auto"/>
            <w:left w:val="none" w:sz="0" w:space="0" w:color="auto"/>
            <w:bottom w:val="none" w:sz="0" w:space="0" w:color="auto"/>
            <w:right w:val="none" w:sz="0" w:space="0" w:color="auto"/>
          </w:divBdr>
          <w:divsChild>
            <w:div w:id="1187402408">
              <w:marLeft w:val="0"/>
              <w:marRight w:val="0"/>
              <w:marTop w:val="0"/>
              <w:marBottom w:val="0"/>
              <w:divBdr>
                <w:top w:val="none" w:sz="0" w:space="0" w:color="auto"/>
                <w:left w:val="none" w:sz="0" w:space="0" w:color="auto"/>
                <w:bottom w:val="none" w:sz="0" w:space="0" w:color="auto"/>
                <w:right w:val="none" w:sz="0" w:space="0" w:color="auto"/>
              </w:divBdr>
            </w:div>
          </w:divsChild>
        </w:div>
        <w:div w:id="611520074">
          <w:marLeft w:val="0"/>
          <w:marRight w:val="0"/>
          <w:marTop w:val="0"/>
          <w:marBottom w:val="0"/>
          <w:divBdr>
            <w:top w:val="none" w:sz="0" w:space="0" w:color="auto"/>
            <w:left w:val="none" w:sz="0" w:space="0" w:color="auto"/>
            <w:bottom w:val="none" w:sz="0" w:space="0" w:color="auto"/>
            <w:right w:val="none" w:sz="0" w:space="0" w:color="auto"/>
          </w:divBdr>
          <w:divsChild>
            <w:div w:id="39986480">
              <w:marLeft w:val="0"/>
              <w:marRight w:val="0"/>
              <w:marTop w:val="0"/>
              <w:marBottom w:val="0"/>
              <w:divBdr>
                <w:top w:val="none" w:sz="0" w:space="0" w:color="auto"/>
                <w:left w:val="none" w:sz="0" w:space="0" w:color="auto"/>
                <w:bottom w:val="none" w:sz="0" w:space="0" w:color="auto"/>
                <w:right w:val="none" w:sz="0" w:space="0" w:color="auto"/>
              </w:divBdr>
            </w:div>
          </w:divsChild>
        </w:div>
        <w:div w:id="612054196">
          <w:marLeft w:val="0"/>
          <w:marRight w:val="0"/>
          <w:marTop w:val="0"/>
          <w:marBottom w:val="0"/>
          <w:divBdr>
            <w:top w:val="none" w:sz="0" w:space="0" w:color="auto"/>
            <w:left w:val="none" w:sz="0" w:space="0" w:color="auto"/>
            <w:bottom w:val="none" w:sz="0" w:space="0" w:color="auto"/>
            <w:right w:val="none" w:sz="0" w:space="0" w:color="auto"/>
          </w:divBdr>
          <w:divsChild>
            <w:div w:id="1471097072">
              <w:marLeft w:val="0"/>
              <w:marRight w:val="0"/>
              <w:marTop w:val="0"/>
              <w:marBottom w:val="0"/>
              <w:divBdr>
                <w:top w:val="none" w:sz="0" w:space="0" w:color="auto"/>
                <w:left w:val="none" w:sz="0" w:space="0" w:color="auto"/>
                <w:bottom w:val="none" w:sz="0" w:space="0" w:color="auto"/>
                <w:right w:val="none" w:sz="0" w:space="0" w:color="auto"/>
              </w:divBdr>
            </w:div>
          </w:divsChild>
        </w:div>
        <w:div w:id="623270062">
          <w:marLeft w:val="0"/>
          <w:marRight w:val="0"/>
          <w:marTop w:val="0"/>
          <w:marBottom w:val="0"/>
          <w:divBdr>
            <w:top w:val="none" w:sz="0" w:space="0" w:color="auto"/>
            <w:left w:val="none" w:sz="0" w:space="0" w:color="auto"/>
            <w:bottom w:val="none" w:sz="0" w:space="0" w:color="auto"/>
            <w:right w:val="none" w:sz="0" w:space="0" w:color="auto"/>
          </w:divBdr>
          <w:divsChild>
            <w:div w:id="445584770">
              <w:marLeft w:val="0"/>
              <w:marRight w:val="0"/>
              <w:marTop w:val="0"/>
              <w:marBottom w:val="0"/>
              <w:divBdr>
                <w:top w:val="none" w:sz="0" w:space="0" w:color="auto"/>
                <w:left w:val="none" w:sz="0" w:space="0" w:color="auto"/>
                <w:bottom w:val="none" w:sz="0" w:space="0" w:color="auto"/>
                <w:right w:val="none" w:sz="0" w:space="0" w:color="auto"/>
              </w:divBdr>
            </w:div>
          </w:divsChild>
        </w:div>
        <w:div w:id="626012787">
          <w:marLeft w:val="0"/>
          <w:marRight w:val="0"/>
          <w:marTop w:val="0"/>
          <w:marBottom w:val="0"/>
          <w:divBdr>
            <w:top w:val="none" w:sz="0" w:space="0" w:color="auto"/>
            <w:left w:val="none" w:sz="0" w:space="0" w:color="auto"/>
            <w:bottom w:val="none" w:sz="0" w:space="0" w:color="auto"/>
            <w:right w:val="none" w:sz="0" w:space="0" w:color="auto"/>
          </w:divBdr>
          <w:divsChild>
            <w:div w:id="558788196">
              <w:marLeft w:val="0"/>
              <w:marRight w:val="0"/>
              <w:marTop w:val="0"/>
              <w:marBottom w:val="0"/>
              <w:divBdr>
                <w:top w:val="none" w:sz="0" w:space="0" w:color="auto"/>
                <w:left w:val="none" w:sz="0" w:space="0" w:color="auto"/>
                <w:bottom w:val="none" w:sz="0" w:space="0" w:color="auto"/>
                <w:right w:val="none" w:sz="0" w:space="0" w:color="auto"/>
              </w:divBdr>
            </w:div>
          </w:divsChild>
        </w:div>
        <w:div w:id="626132798">
          <w:marLeft w:val="0"/>
          <w:marRight w:val="0"/>
          <w:marTop w:val="0"/>
          <w:marBottom w:val="0"/>
          <w:divBdr>
            <w:top w:val="none" w:sz="0" w:space="0" w:color="auto"/>
            <w:left w:val="none" w:sz="0" w:space="0" w:color="auto"/>
            <w:bottom w:val="none" w:sz="0" w:space="0" w:color="auto"/>
            <w:right w:val="none" w:sz="0" w:space="0" w:color="auto"/>
          </w:divBdr>
          <w:divsChild>
            <w:div w:id="1981887522">
              <w:marLeft w:val="0"/>
              <w:marRight w:val="0"/>
              <w:marTop w:val="0"/>
              <w:marBottom w:val="0"/>
              <w:divBdr>
                <w:top w:val="none" w:sz="0" w:space="0" w:color="auto"/>
                <w:left w:val="none" w:sz="0" w:space="0" w:color="auto"/>
                <w:bottom w:val="none" w:sz="0" w:space="0" w:color="auto"/>
                <w:right w:val="none" w:sz="0" w:space="0" w:color="auto"/>
              </w:divBdr>
            </w:div>
          </w:divsChild>
        </w:div>
        <w:div w:id="628170185">
          <w:marLeft w:val="0"/>
          <w:marRight w:val="0"/>
          <w:marTop w:val="0"/>
          <w:marBottom w:val="0"/>
          <w:divBdr>
            <w:top w:val="none" w:sz="0" w:space="0" w:color="auto"/>
            <w:left w:val="none" w:sz="0" w:space="0" w:color="auto"/>
            <w:bottom w:val="none" w:sz="0" w:space="0" w:color="auto"/>
            <w:right w:val="none" w:sz="0" w:space="0" w:color="auto"/>
          </w:divBdr>
          <w:divsChild>
            <w:div w:id="493570498">
              <w:marLeft w:val="0"/>
              <w:marRight w:val="0"/>
              <w:marTop w:val="0"/>
              <w:marBottom w:val="0"/>
              <w:divBdr>
                <w:top w:val="none" w:sz="0" w:space="0" w:color="auto"/>
                <w:left w:val="none" w:sz="0" w:space="0" w:color="auto"/>
                <w:bottom w:val="none" w:sz="0" w:space="0" w:color="auto"/>
                <w:right w:val="none" w:sz="0" w:space="0" w:color="auto"/>
              </w:divBdr>
            </w:div>
          </w:divsChild>
        </w:div>
        <w:div w:id="633876022">
          <w:marLeft w:val="0"/>
          <w:marRight w:val="0"/>
          <w:marTop w:val="0"/>
          <w:marBottom w:val="0"/>
          <w:divBdr>
            <w:top w:val="none" w:sz="0" w:space="0" w:color="auto"/>
            <w:left w:val="none" w:sz="0" w:space="0" w:color="auto"/>
            <w:bottom w:val="none" w:sz="0" w:space="0" w:color="auto"/>
            <w:right w:val="none" w:sz="0" w:space="0" w:color="auto"/>
          </w:divBdr>
          <w:divsChild>
            <w:div w:id="991374276">
              <w:marLeft w:val="0"/>
              <w:marRight w:val="0"/>
              <w:marTop w:val="0"/>
              <w:marBottom w:val="0"/>
              <w:divBdr>
                <w:top w:val="none" w:sz="0" w:space="0" w:color="auto"/>
                <w:left w:val="none" w:sz="0" w:space="0" w:color="auto"/>
                <w:bottom w:val="none" w:sz="0" w:space="0" w:color="auto"/>
                <w:right w:val="none" w:sz="0" w:space="0" w:color="auto"/>
              </w:divBdr>
            </w:div>
          </w:divsChild>
        </w:div>
        <w:div w:id="633946388">
          <w:marLeft w:val="0"/>
          <w:marRight w:val="0"/>
          <w:marTop w:val="0"/>
          <w:marBottom w:val="0"/>
          <w:divBdr>
            <w:top w:val="none" w:sz="0" w:space="0" w:color="auto"/>
            <w:left w:val="none" w:sz="0" w:space="0" w:color="auto"/>
            <w:bottom w:val="none" w:sz="0" w:space="0" w:color="auto"/>
            <w:right w:val="none" w:sz="0" w:space="0" w:color="auto"/>
          </w:divBdr>
          <w:divsChild>
            <w:div w:id="180976710">
              <w:marLeft w:val="0"/>
              <w:marRight w:val="0"/>
              <w:marTop w:val="0"/>
              <w:marBottom w:val="0"/>
              <w:divBdr>
                <w:top w:val="none" w:sz="0" w:space="0" w:color="auto"/>
                <w:left w:val="none" w:sz="0" w:space="0" w:color="auto"/>
                <w:bottom w:val="none" w:sz="0" w:space="0" w:color="auto"/>
                <w:right w:val="none" w:sz="0" w:space="0" w:color="auto"/>
              </w:divBdr>
            </w:div>
          </w:divsChild>
        </w:div>
        <w:div w:id="634676276">
          <w:marLeft w:val="0"/>
          <w:marRight w:val="0"/>
          <w:marTop w:val="0"/>
          <w:marBottom w:val="0"/>
          <w:divBdr>
            <w:top w:val="none" w:sz="0" w:space="0" w:color="auto"/>
            <w:left w:val="none" w:sz="0" w:space="0" w:color="auto"/>
            <w:bottom w:val="none" w:sz="0" w:space="0" w:color="auto"/>
            <w:right w:val="none" w:sz="0" w:space="0" w:color="auto"/>
          </w:divBdr>
          <w:divsChild>
            <w:div w:id="186529800">
              <w:marLeft w:val="0"/>
              <w:marRight w:val="0"/>
              <w:marTop w:val="0"/>
              <w:marBottom w:val="0"/>
              <w:divBdr>
                <w:top w:val="none" w:sz="0" w:space="0" w:color="auto"/>
                <w:left w:val="none" w:sz="0" w:space="0" w:color="auto"/>
                <w:bottom w:val="none" w:sz="0" w:space="0" w:color="auto"/>
                <w:right w:val="none" w:sz="0" w:space="0" w:color="auto"/>
              </w:divBdr>
            </w:div>
          </w:divsChild>
        </w:div>
        <w:div w:id="636379354">
          <w:marLeft w:val="0"/>
          <w:marRight w:val="0"/>
          <w:marTop w:val="0"/>
          <w:marBottom w:val="0"/>
          <w:divBdr>
            <w:top w:val="none" w:sz="0" w:space="0" w:color="auto"/>
            <w:left w:val="none" w:sz="0" w:space="0" w:color="auto"/>
            <w:bottom w:val="none" w:sz="0" w:space="0" w:color="auto"/>
            <w:right w:val="none" w:sz="0" w:space="0" w:color="auto"/>
          </w:divBdr>
          <w:divsChild>
            <w:div w:id="474374832">
              <w:marLeft w:val="0"/>
              <w:marRight w:val="0"/>
              <w:marTop w:val="0"/>
              <w:marBottom w:val="0"/>
              <w:divBdr>
                <w:top w:val="none" w:sz="0" w:space="0" w:color="auto"/>
                <w:left w:val="none" w:sz="0" w:space="0" w:color="auto"/>
                <w:bottom w:val="none" w:sz="0" w:space="0" w:color="auto"/>
                <w:right w:val="none" w:sz="0" w:space="0" w:color="auto"/>
              </w:divBdr>
            </w:div>
          </w:divsChild>
        </w:div>
        <w:div w:id="645159704">
          <w:marLeft w:val="0"/>
          <w:marRight w:val="0"/>
          <w:marTop w:val="0"/>
          <w:marBottom w:val="0"/>
          <w:divBdr>
            <w:top w:val="none" w:sz="0" w:space="0" w:color="auto"/>
            <w:left w:val="none" w:sz="0" w:space="0" w:color="auto"/>
            <w:bottom w:val="none" w:sz="0" w:space="0" w:color="auto"/>
            <w:right w:val="none" w:sz="0" w:space="0" w:color="auto"/>
          </w:divBdr>
          <w:divsChild>
            <w:div w:id="1664311691">
              <w:marLeft w:val="0"/>
              <w:marRight w:val="0"/>
              <w:marTop w:val="0"/>
              <w:marBottom w:val="0"/>
              <w:divBdr>
                <w:top w:val="none" w:sz="0" w:space="0" w:color="auto"/>
                <w:left w:val="none" w:sz="0" w:space="0" w:color="auto"/>
                <w:bottom w:val="none" w:sz="0" w:space="0" w:color="auto"/>
                <w:right w:val="none" w:sz="0" w:space="0" w:color="auto"/>
              </w:divBdr>
            </w:div>
          </w:divsChild>
        </w:div>
        <w:div w:id="646325599">
          <w:marLeft w:val="0"/>
          <w:marRight w:val="0"/>
          <w:marTop w:val="0"/>
          <w:marBottom w:val="0"/>
          <w:divBdr>
            <w:top w:val="none" w:sz="0" w:space="0" w:color="auto"/>
            <w:left w:val="none" w:sz="0" w:space="0" w:color="auto"/>
            <w:bottom w:val="none" w:sz="0" w:space="0" w:color="auto"/>
            <w:right w:val="none" w:sz="0" w:space="0" w:color="auto"/>
          </w:divBdr>
          <w:divsChild>
            <w:div w:id="1785729493">
              <w:marLeft w:val="0"/>
              <w:marRight w:val="0"/>
              <w:marTop w:val="0"/>
              <w:marBottom w:val="0"/>
              <w:divBdr>
                <w:top w:val="none" w:sz="0" w:space="0" w:color="auto"/>
                <w:left w:val="none" w:sz="0" w:space="0" w:color="auto"/>
                <w:bottom w:val="none" w:sz="0" w:space="0" w:color="auto"/>
                <w:right w:val="none" w:sz="0" w:space="0" w:color="auto"/>
              </w:divBdr>
            </w:div>
          </w:divsChild>
        </w:div>
        <w:div w:id="646933573">
          <w:marLeft w:val="0"/>
          <w:marRight w:val="0"/>
          <w:marTop w:val="0"/>
          <w:marBottom w:val="0"/>
          <w:divBdr>
            <w:top w:val="none" w:sz="0" w:space="0" w:color="auto"/>
            <w:left w:val="none" w:sz="0" w:space="0" w:color="auto"/>
            <w:bottom w:val="none" w:sz="0" w:space="0" w:color="auto"/>
            <w:right w:val="none" w:sz="0" w:space="0" w:color="auto"/>
          </w:divBdr>
          <w:divsChild>
            <w:div w:id="575632810">
              <w:marLeft w:val="0"/>
              <w:marRight w:val="0"/>
              <w:marTop w:val="0"/>
              <w:marBottom w:val="0"/>
              <w:divBdr>
                <w:top w:val="none" w:sz="0" w:space="0" w:color="auto"/>
                <w:left w:val="none" w:sz="0" w:space="0" w:color="auto"/>
                <w:bottom w:val="none" w:sz="0" w:space="0" w:color="auto"/>
                <w:right w:val="none" w:sz="0" w:space="0" w:color="auto"/>
              </w:divBdr>
            </w:div>
          </w:divsChild>
        </w:div>
        <w:div w:id="646938465">
          <w:marLeft w:val="0"/>
          <w:marRight w:val="0"/>
          <w:marTop w:val="0"/>
          <w:marBottom w:val="0"/>
          <w:divBdr>
            <w:top w:val="none" w:sz="0" w:space="0" w:color="auto"/>
            <w:left w:val="none" w:sz="0" w:space="0" w:color="auto"/>
            <w:bottom w:val="none" w:sz="0" w:space="0" w:color="auto"/>
            <w:right w:val="none" w:sz="0" w:space="0" w:color="auto"/>
          </w:divBdr>
          <w:divsChild>
            <w:div w:id="1803426445">
              <w:marLeft w:val="0"/>
              <w:marRight w:val="0"/>
              <w:marTop w:val="0"/>
              <w:marBottom w:val="0"/>
              <w:divBdr>
                <w:top w:val="none" w:sz="0" w:space="0" w:color="auto"/>
                <w:left w:val="none" w:sz="0" w:space="0" w:color="auto"/>
                <w:bottom w:val="none" w:sz="0" w:space="0" w:color="auto"/>
                <w:right w:val="none" w:sz="0" w:space="0" w:color="auto"/>
              </w:divBdr>
            </w:div>
          </w:divsChild>
        </w:div>
        <w:div w:id="649941432">
          <w:marLeft w:val="0"/>
          <w:marRight w:val="0"/>
          <w:marTop w:val="0"/>
          <w:marBottom w:val="0"/>
          <w:divBdr>
            <w:top w:val="none" w:sz="0" w:space="0" w:color="auto"/>
            <w:left w:val="none" w:sz="0" w:space="0" w:color="auto"/>
            <w:bottom w:val="none" w:sz="0" w:space="0" w:color="auto"/>
            <w:right w:val="none" w:sz="0" w:space="0" w:color="auto"/>
          </w:divBdr>
          <w:divsChild>
            <w:div w:id="379784811">
              <w:marLeft w:val="0"/>
              <w:marRight w:val="0"/>
              <w:marTop w:val="0"/>
              <w:marBottom w:val="0"/>
              <w:divBdr>
                <w:top w:val="none" w:sz="0" w:space="0" w:color="auto"/>
                <w:left w:val="none" w:sz="0" w:space="0" w:color="auto"/>
                <w:bottom w:val="none" w:sz="0" w:space="0" w:color="auto"/>
                <w:right w:val="none" w:sz="0" w:space="0" w:color="auto"/>
              </w:divBdr>
            </w:div>
          </w:divsChild>
        </w:div>
        <w:div w:id="651954849">
          <w:marLeft w:val="0"/>
          <w:marRight w:val="0"/>
          <w:marTop w:val="0"/>
          <w:marBottom w:val="0"/>
          <w:divBdr>
            <w:top w:val="none" w:sz="0" w:space="0" w:color="auto"/>
            <w:left w:val="none" w:sz="0" w:space="0" w:color="auto"/>
            <w:bottom w:val="none" w:sz="0" w:space="0" w:color="auto"/>
            <w:right w:val="none" w:sz="0" w:space="0" w:color="auto"/>
          </w:divBdr>
          <w:divsChild>
            <w:div w:id="1225943862">
              <w:marLeft w:val="0"/>
              <w:marRight w:val="0"/>
              <w:marTop w:val="0"/>
              <w:marBottom w:val="0"/>
              <w:divBdr>
                <w:top w:val="none" w:sz="0" w:space="0" w:color="auto"/>
                <w:left w:val="none" w:sz="0" w:space="0" w:color="auto"/>
                <w:bottom w:val="none" w:sz="0" w:space="0" w:color="auto"/>
                <w:right w:val="none" w:sz="0" w:space="0" w:color="auto"/>
              </w:divBdr>
            </w:div>
          </w:divsChild>
        </w:div>
        <w:div w:id="653486779">
          <w:marLeft w:val="0"/>
          <w:marRight w:val="0"/>
          <w:marTop w:val="0"/>
          <w:marBottom w:val="0"/>
          <w:divBdr>
            <w:top w:val="none" w:sz="0" w:space="0" w:color="auto"/>
            <w:left w:val="none" w:sz="0" w:space="0" w:color="auto"/>
            <w:bottom w:val="none" w:sz="0" w:space="0" w:color="auto"/>
            <w:right w:val="none" w:sz="0" w:space="0" w:color="auto"/>
          </w:divBdr>
          <w:divsChild>
            <w:div w:id="1731347372">
              <w:marLeft w:val="0"/>
              <w:marRight w:val="0"/>
              <w:marTop w:val="0"/>
              <w:marBottom w:val="0"/>
              <w:divBdr>
                <w:top w:val="none" w:sz="0" w:space="0" w:color="auto"/>
                <w:left w:val="none" w:sz="0" w:space="0" w:color="auto"/>
                <w:bottom w:val="none" w:sz="0" w:space="0" w:color="auto"/>
                <w:right w:val="none" w:sz="0" w:space="0" w:color="auto"/>
              </w:divBdr>
            </w:div>
          </w:divsChild>
        </w:div>
        <w:div w:id="654184390">
          <w:marLeft w:val="0"/>
          <w:marRight w:val="0"/>
          <w:marTop w:val="0"/>
          <w:marBottom w:val="0"/>
          <w:divBdr>
            <w:top w:val="none" w:sz="0" w:space="0" w:color="auto"/>
            <w:left w:val="none" w:sz="0" w:space="0" w:color="auto"/>
            <w:bottom w:val="none" w:sz="0" w:space="0" w:color="auto"/>
            <w:right w:val="none" w:sz="0" w:space="0" w:color="auto"/>
          </w:divBdr>
          <w:divsChild>
            <w:div w:id="1250693355">
              <w:marLeft w:val="0"/>
              <w:marRight w:val="0"/>
              <w:marTop w:val="0"/>
              <w:marBottom w:val="0"/>
              <w:divBdr>
                <w:top w:val="none" w:sz="0" w:space="0" w:color="auto"/>
                <w:left w:val="none" w:sz="0" w:space="0" w:color="auto"/>
                <w:bottom w:val="none" w:sz="0" w:space="0" w:color="auto"/>
                <w:right w:val="none" w:sz="0" w:space="0" w:color="auto"/>
              </w:divBdr>
            </w:div>
          </w:divsChild>
        </w:div>
        <w:div w:id="657466463">
          <w:marLeft w:val="0"/>
          <w:marRight w:val="0"/>
          <w:marTop w:val="0"/>
          <w:marBottom w:val="0"/>
          <w:divBdr>
            <w:top w:val="none" w:sz="0" w:space="0" w:color="auto"/>
            <w:left w:val="none" w:sz="0" w:space="0" w:color="auto"/>
            <w:bottom w:val="none" w:sz="0" w:space="0" w:color="auto"/>
            <w:right w:val="none" w:sz="0" w:space="0" w:color="auto"/>
          </w:divBdr>
          <w:divsChild>
            <w:div w:id="996617780">
              <w:marLeft w:val="0"/>
              <w:marRight w:val="0"/>
              <w:marTop w:val="0"/>
              <w:marBottom w:val="0"/>
              <w:divBdr>
                <w:top w:val="none" w:sz="0" w:space="0" w:color="auto"/>
                <w:left w:val="none" w:sz="0" w:space="0" w:color="auto"/>
                <w:bottom w:val="none" w:sz="0" w:space="0" w:color="auto"/>
                <w:right w:val="none" w:sz="0" w:space="0" w:color="auto"/>
              </w:divBdr>
            </w:div>
          </w:divsChild>
        </w:div>
        <w:div w:id="662048457">
          <w:marLeft w:val="0"/>
          <w:marRight w:val="0"/>
          <w:marTop w:val="0"/>
          <w:marBottom w:val="0"/>
          <w:divBdr>
            <w:top w:val="none" w:sz="0" w:space="0" w:color="auto"/>
            <w:left w:val="none" w:sz="0" w:space="0" w:color="auto"/>
            <w:bottom w:val="none" w:sz="0" w:space="0" w:color="auto"/>
            <w:right w:val="none" w:sz="0" w:space="0" w:color="auto"/>
          </w:divBdr>
          <w:divsChild>
            <w:div w:id="1108621687">
              <w:marLeft w:val="0"/>
              <w:marRight w:val="0"/>
              <w:marTop w:val="0"/>
              <w:marBottom w:val="0"/>
              <w:divBdr>
                <w:top w:val="none" w:sz="0" w:space="0" w:color="auto"/>
                <w:left w:val="none" w:sz="0" w:space="0" w:color="auto"/>
                <w:bottom w:val="none" w:sz="0" w:space="0" w:color="auto"/>
                <w:right w:val="none" w:sz="0" w:space="0" w:color="auto"/>
              </w:divBdr>
            </w:div>
          </w:divsChild>
        </w:div>
        <w:div w:id="668140568">
          <w:marLeft w:val="0"/>
          <w:marRight w:val="0"/>
          <w:marTop w:val="0"/>
          <w:marBottom w:val="0"/>
          <w:divBdr>
            <w:top w:val="none" w:sz="0" w:space="0" w:color="auto"/>
            <w:left w:val="none" w:sz="0" w:space="0" w:color="auto"/>
            <w:bottom w:val="none" w:sz="0" w:space="0" w:color="auto"/>
            <w:right w:val="none" w:sz="0" w:space="0" w:color="auto"/>
          </w:divBdr>
          <w:divsChild>
            <w:div w:id="1094979769">
              <w:marLeft w:val="0"/>
              <w:marRight w:val="0"/>
              <w:marTop w:val="0"/>
              <w:marBottom w:val="0"/>
              <w:divBdr>
                <w:top w:val="none" w:sz="0" w:space="0" w:color="auto"/>
                <w:left w:val="none" w:sz="0" w:space="0" w:color="auto"/>
                <w:bottom w:val="none" w:sz="0" w:space="0" w:color="auto"/>
                <w:right w:val="none" w:sz="0" w:space="0" w:color="auto"/>
              </w:divBdr>
            </w:div>
          </w:divsChild>
        </w:div>
        <w:div w:id="671875860">
          <w:marLeft w:val="0"/>
          <w:marRight w:val="0"/>
          <w:marTop w:val="0"/>
          <w:marBottom w:val="0"/>
          <w:divBdr>
            <w:top w:val="none" w:sz="0" w:space="0" w:color="auto"/>
            <w:left w:val="none" w:sz="0" w:space="0" w:color="auto"/>
            <w:bottom w:val="none" w:sz="0" w:space="0" w:color="auto"/>
            <w:right w:val="none" w:sz="0" w:space="0" w:color="auto"/>
          </w:divBdr>
          <w:divsChild>
            <w:div w:id="1069498854">
              <w:marLeft w:val="0"/>
              <w:marRight w:val="0"/>
              <w:marTop w:val="0"/>
              <w:marBottom w:val="0"/>
              <w:divBdr>
                <w:top w:val="none" w:sz="0" w:space="0" w:color="auto"/>
                <w:left w:val="none" w:sz="0" w:space="0" w:color="auto"/>
                <w:bottom w:val="none" w:sz="0" w:space="0" w:color="auto"/>
                <w:right w:val="none" w:sz="0" w:space="0" w:color="auto"/>
              </w:divBdr>
            </w:div>
          </w:divsChild>
        </w:div>
        <w:div w:id="682515625">
          <w:marLeft w:val="0"/>
          <w:marRight w:val="0"/>
          <w:marTop w:val="0"/>
          <w:marBottom w:val="0"/>
          <w:divBdr>
            <w:top w:val="none" w:sz="0" w:space="0" w:color="auto"/>
            <w:left w:val="none" w:sz="0" w:space="0" w:color="auto"/>
            <w:bottom w:val="none" w:sz="0" w:space="0" w:color="auto"/>
            <w:right w:val="none" w:sz="0" w:space="0" w:color="auto"/>
          </w:divBdr>
          <w:divsChild>
            <w:div w:id="782267388">
              <w:marLeft w:val="0"/>
              <w:marRight w:val="0"/>
              <w:marTop w:val="0"/>
              <w:marBottom w:val="0"/>
              <w:divBdr>
                <w:top w:val="none" w:sz="0" w:space="0" w:color="auto"/>
                <w:left w:val="none" w:sz="0" w:space="0" w:color="auto"/>
                <w:bottom w:val="none" w:sz="0" w:space="0" w:color="auto"/>
                <w:right w:val="none" w:sz="0" w:space="0" w:color="auto"/>
              </w:divBdr>
            </w:div>
          </w:divsChild>
        </w:div>
        <w:div w:id="683827046">
          <w:marLeft w:val="0"/>
          <w:marRight w:val="0"/>
          <w:marTop w:val="0"/>
          <w:marBottom w:val="0"/>
          <w:divBdr>
            <w:top w:val="none" w:sz="0" w:space="0" w:color="auto"/>
            <w:left w:val="none" w:sz="0" w:space="0" w:color="auto"/>
            <w:bottom w:val="none" w:sz="0" w:space="0" w:color="auto"/>
            <w:right w:val="none" w:sz="0" w:space="0" w:color="auto"/>
          </w:divBdr>
          <w:divsChild>
            <w:div w:id="775101910">
              <w:marLeft w:val="0"/>
              <w:marRight w:val="0"/>
              <w:marTop w:val="0"/>
              <w:marBottom w:val="0"/>
              <w:divBdr>
                <w:top w:val="none" w:sz="0" w:space="0" w:color="auto"/>
                <w:left w:val="none" w:sz="0" w:space="0" w:color="auto"/>
                <w:bottom w:val="none" w:sz="0" w:space="0" w:color="auto"/>
                <w:right w:val="none" w:sz="0" w:space="0" w:color="auto"/>
              </w:divBdr>
            </w:div>
          </w:divsChild>
        </w:div>
        <w:div w:id="684481517">
          <w:marLeft w:val="0"/>
          <w:marRight w:val="0"/>
          <w:marTop w:val="0"/>
          <w:marBottom w:val="0"/>
          <w:divBdr>
            <w:top w:val="none" w:sz="0" w:space="0" w:color="auto"/>
            <w:left w:val="none" w:sz="0" w:space="0" w:color="auto"/>
            <w:bottom w:val="none" w:sz="0" w:space="0" w:color="auto"/>
            <w:right w:val="none" w:sz="0" w:space="0" w:color="auto"/>
          </w:divBdr>
          <w:divsChild>
            <w:div w:id="925462357">
              <w:marLeft w:val="0"/>
              <w:marRight w:val="0"/>
              <w:marTop w:val="0"/>
              <w:marBottom w:val="0"/>
              <w:divBdr>
                <w:top w:val="none" w:sz="0" w:space="0" w:color="auto"/>
                <w:left w:val="none" w:sz="0" w:space="0" w:color="auto"/>
                <w:bottom w:val="none" w:sz="0" w:space="0" w:color="auto"/>
                <w:right w:val="none" w:sz="0" w:space="0" w:color="auto"/>
              </w:divBdr>
            </w:div>
          </w:divsChild>
        </w:div>
        <w:div w:id="685446616">
          <w:marLeft w:val="0"/>
          <w:marRight w:val="0"/>
          <w:marTop w:val="0"/>
          <w:marBottom w:val="0"/>
          <w:divBdr>
            <w:top w:val="none" w:sz="0" w:space="0" w:color="auto"/>
            <w:left w:val="none" w:sz="0" w:space="0" w:color="auto"/>
            <w:bottom w:val="none" w:sz="0" w:space="0" w:color="auto"/>
            <w:right w:val="none" w:sz="0" w:space="0" w:color="auto"/>
          </w:divBdr>
          <w:divsChild>
            <w:div w:id="1423145950">
              <w:marLeft w:val="0"/>
              <w:marRight w:val="0"/>
              <w:marTop w:val="0"/>
              <w:marBottom w:val="0"/>
              <w:divBdr>
                <w:top w:val="none" w:sz="0" w:space="0" w:color="auto"/>
                <w:left w:val="none" w:sz="0" w:space="0" w:color="auto"/>
                <w:bottom w:val="none" w:sz="0" w:space="0" w:color="auto"/>
                <w:right w:val="none" w:sz="0" w:space="0" w:color="auto"/>
              </w:divBdr>
            </w:div>
          </w:divsChild>
        </w:div>
        <w:div w:id="689987205">
          <w:marLeft w:val="0"/>
          <w:marRight w:val="0"/>
          <w:marTop w:val="0"/>
          <w:marBottom w:val="0"/>
          <w:divBdr>
            <w:top w:val="none" w:sz="0" w:space="0" w:color="auto"/>
            <w:left w:val="none" w:sz="0" w:space="0" w:color="auto"/>
            <w:bottom w:val="none" w:sz="0" w:space="0" w:color="auto"/>
            <w:right w:val="none" w:sz="0" w:space="0" w:color="auto"/>
          </w:divBdr>
          <w:divsChild>
            <w:div w:id="1869291089">
              <w:marLeft w:val="0"/>
              <w:marRight w:val="0"/>
              <w:marTop w:val="0"/>
              <w:marBottom w:val="0"/>
              <w:divBdr>
                <w:top w:val="none" w:sz="0" w:space="0" w:color="auto"/>
                <w:left w:val="none" w:sz="0" w:space="0" w:color="auto"/>
                <w:bottom w:val="none" w:sz="0" w:space="0" w:color="auto"/>
                <w:right w:val="none" w:sz="0" w:space="0" w:color="auto"/>
              </w:divBdr>
            </w:div>
          </w:divsChild>
        </w:div>
        <w:div w:id="689993385">
          <w:marLeft w:val="0"/>
          <w:marRight w:val="0"/>
          <w:marTop w:val="0"/>
          <w:marBottom w:val="0"/>
          <w:divBdr>
            <w:top w:val="none" w:sz="0" w:space="0" w:color="auto"/>
            <w:left w:val="none" w:sz="0" w:space="0" w:color="auto"/>
            <w:bottom w:val="none" w:sz="0" w:space="0" w:color="auto"/>
            <w:right w:val="none" w:sz="0" w:space="0" w:color="auto"/>
          </w:divBdr>
          <w:divsChild>
            <w:div w:id="813452394">
              <w:marLeft w:val="0"/>
              <w:marRight w:val="0"/>
              <w:marTop w:val="0"/>
              <w:marBottom w:val="0"/>
              <w:divBdr>
                <w:top w:val="none" w:sz="0" w:space="0" w:color="auto"/>
                <w:left w:val="none" w:sz="0" w:space="0" w:color="auto"/>
                <w:bottom w:val="none" w:sz="0" w:space="0" w:color="auto"/>
                <w:right w:val="none" w:sz="0" w:space="0" w:color="auto"/>
              </w:divBdr>
            </w:div>
          </w:divsChild>
        </w:div>
        <w:div w:id="694185842">
          <w:marLeft w:val="0"/>
          <w:marRight w:val="0"/>
          <w:marTop w:val="0"/>
          <w:marBottom w:val="0"/>
          <w:divBdr>
            <w:top w:val="none" w:sz="0" w:space="0" w:color="auto"/>
            <w:left w:val="none" w:sz="0" w:space="0" w:color="auto"/>
            <w:bottom w:val="none" w:sz="0" w:space="0" w:color="auto"/>
            <w:right w:val="none" w:sz="0" w:space="0" w:color="auto"/>
          </w:divBdr>
          <w:divsChild>
            <w:div w:id="1652250611">
              <w:marLeft w:val="0"/>
              <w:marRight w:val="0"/>
              <w:marTop w:val="0"/>
              <w:marBottom w:val="0"/>
              <w:divBdr>
                <w:top w:val="none" w:sz="0" w:space="0" w:color="auto"/>
                <w:left w:val="none" w:sz="0" w:space="0" w:color="auto"/>
                <w:bottom w:val="none" w:sz="0" w:space="0" w:color="auto"/>
                <w:right w:val="none" w:sz="0" w:space="0" w:color="auto"/>
              </w:divBdr>
            </w:div>
          </w:divsChild>
        </w:div>
        <w:div w:id="694696311">
          <w:marLeft w:val="0"/>
          <w:marRight w:val="0"/>
          <w:marTop w:val="0"/>
          <w:marBottom w:val="0"/>
          <w:divBdr>
            <w:top w:val="none" w:sz="0" w:space="0" w:color="auto"/>
            <w:left w:val="none" w:sz="0" w:space="0" w:color="auto"/>
            <w:bottom w:val="none" w:sz="0" w:space="0" w:color="auto"/>
            <w:right w:val="none" w:sz="0" w:space="0" w:color="auto"/>
          </w:divBdr>
          <w:divsChild>
            <w:div w:id="1568297841">
              <w:marLeft w:val="0"/>
              <w:marRight w:val="0"/>
              <w:marTop w:val="0"/>
              <w:marBottom w:val="0"/>
              <w:divBdr>
                <w:top w:val="none" w:sz="0" w:space="0" w:color="auto"/>
                <w:left w:val="none" w:sz="0" w:space="0" w:color="auto"/>
                <w:bottom w:val="none" w:sz="0" w:space="0" w:color="auto"/>
                <w:right w:val="none" w:sz="0" w:space="0" w:color="auto"/>
              </w:divBdr>
            </w:div>
          </w:divsChild>
        </w:div>
        <w:div w:id="703015839">
          <w:marLeft w:val="0"/>
          <w:marRight w:val="0"/>
          <w:marTop w:val="0"/>
          <w:marBottom w:val="0"/>
          <w:divBdr>
            <w:top w:val="none" w:sz="0" w:space="0" w:color="auto"/>
            <w:left w:val="none" w:sz="0" w:space="0" w:color="auto"/>
            <w:bottom w:val="none" w:sz="0" w:space="0" w:color="auto"/>
            <w:right w:val="none" w:sz="0" w:space="0" w:color="auto"/>
          </w:divBdr>
          <w:divsChild>
            <w:div w:id="1931229573">
              <w:marLeft w:val="0"/>
              <w:marRight w:val="0"/>
              <w:marTop w:val="0"/>
              <w:marBottom w:val="0"/>
              <w:divBdr>
                <w:top w:val="none" w:sz="0" w:space="0" w:color="auto"/>
                <w:left w:val="none" w:sz="0" w:space="0" w:color="auto"/>
                <w:bottom w:val="none" w:sz="0" w:space="0" w:color="auto"/>
                <w:right w:val="none" w:sz="0" w:space="0" w:color="auto"/>
              </w:divBdr>
            </w:div>
          </w:divsChild>
        </w:div>
        <w:div w:id="707028642">
          <w:marLeft w:val="0"/>
          <w:marRight w:val="0"/>
          <w:marTop w:val="0"/>
          <w:marBottom w:val="0"/>
          <w:divBdr>
            <w:top w:val="none" w:sz="0" w:space="0" w:color="auto"/>
            <w:left w:val="none" w:sz="0" w:space="0" w:color="auto"/>
            <w:bottom w:val="none" w:sz="0" w:space="0" w:color="auto"/>
            <w:right w:val="none" w:sz="0" w:space="0" w:color="auto"/>
          </w:divBdr>
          <w:divsChild>
            <w:div w:id="501119576">
              <w:marLeft w:val="0"/>
              <w:marRight w:val="0"/>
              <w:marTop w:val="0"/>
              <w:marBottom w:val="0"/>
              <w:divBdr>
                <w:top w:val="none" w:sz="0" w:space="0" w:color="auto"/>
                <w:left w:val="none" w:sz="0" w:space="0" w:color="auto"/>
                <w:bottom w:val="none" w:sz="0" w:space="0" w:color="auto"/>
                <w:right w:val="none" w:sz="0" w:space="0" w:color="auto"/>
              </w:divBdr>
            </w:div>
          </w:divsChild>
        </w:div>
        <w:div w:id="713503258">
          <w:marLeft w:val="0"/>
          <w:marRight w:val="0"/>
          <w:marTop w:val="0"/>
          <w:marBottom w:val="0"/>
          <w:divBdr>
            <w:top w:val="none" w:sz="0" w:space="0" w:color="auto"/>
            <w:left w:val="none" w:sz="0" w:space="0" w:color="auto"/>
            <w:bottom w:val="none" w:sz="0" w:space="0" w:color="auto"/>
            <w:right w:val="none" w:sz="0" w:space="0" w:color="auto"/>
          </w:divBdr>
          <w:divsChild>
            <w:div w:id="1952928411">
              <w:marLeft w:val="0"/>
              <w:marRight w:val="0"/>
              <w:marTop w:val="0"/>
              <w:marBottom w:val="0"/>
              <w:divBdr>
                <w:top w:val="none" w:sz="0" w:space="0" w:color="auto"/>
                <w:left w:val="none" w:sz="0" w:space="0" w:color="auto"/>
                <w:bottom w:val="none" w:sz="0" w:space="0" w:color="auto"/>
                <w:right w:val="none" w:sz="0" w:space="0" w:color="auto"/>
              </w:divBdr>
            </w:div>
          </w:divsChild>
        </w:div>
        <w:div w:id="713583416">
          <w:marLeft w:val="0"/>
          <w:marRight w:val="0"/>
          <w:marTop w:val="0"/>
          <w:marBottom w:val="0"/>
          <w:divBdr>
            <w:top w:val="none" w:sz="0" w:space="0" w:color="auto"/>
            <w:left w:val="none" w:sz="0" w:space="0" w:color="auto"/>
            <w:bottom w:val="none" w:sz="0" w:space="0" w:color="auto"/>
            <w:right w:val="none" w:sz="0" w:space="0" w:color="auto"/>
          </w:divBdr>
          <w:divsChild>
            <w:div w:id="1700934140">
              <w:marLeft w:val="0"/>
              <w:marRight w:val="0"/>
              <w:marTop w:val="0"/>
              <w:marBottom w:val="0"/>
              <w:divBdr>
                <w:top w:val="none" w:sz="0" w:space="0" w:color="auto"/>
                <w:left w:val="none" w:sz="0" w:space="0" w:color="auto"/>
                <w:bottom w:val="none" w:sz="0" w:space="0" w:color="auto"/>
                <w:right w:val="none" w:sz="0" w:space="0" w:color="auto"/>
              </w:divBdr>
            </w:div>
          </w:divsChild>
        </w:div>
        <w:div w:id="714157572">
          <w:marLeft w:val="0"/>
          <w:marRight w:val="0"/>
          <w:marTop w:val="0"/>
          <w:marBottom w:val="0"/>
          <w:divBdr>
            <w:top w:val="none" w:sz="0" w:space="0" w:color="auto"/>
            <w:left w:val="none" w:sz="0" w:space="0" w:color="auto"/>
            <w:bottom w:val="none" w:sz="0" w:space="0" w:color="auto"/>
            <w:right w:val="none" w:sz="0" w:space="0" w:color="auto"/>
          </w:divBdr>
          <w:divsChild>
            <w:div w:id="2017927058">
              <w:marLeft w:val="0"/>
              <w:marRight w:val="0"/>
              <w:marTop w:val="0"/>
              <w:marBottom w:val="0"/>
              <w:divBdr>
                <w:top w:val="none" w:sz="0" w:space="0" w:color="auto"/>
                <w:left w:val="none" w:sz="0" w:space="0" w:color="auto"/>
                <w:bottom w:val="none" w:sz="0" w:space="0" w:color="auto"/>
                <w:right w:val="none" w:sz="0" w:space="0" w:color="auto"/>
              </w:divBdr>
            </w:div>
          </w:divsChild>
        </w:div>
        <w:div w:id="715272506">
          <w:marLeft w:val="0"/>
          <w:marRight w:val="0"/>
          <w:marTop w:val="0"/>
          <w:marBottom w:val="0"/>
          <w:divBdr>
            <w:top w:val="none" w:sz="0" w:space="0" w:color="auto"/>
            <w:left w:val="none" w:sz="0" w:space="0" w:color="auto"/>
            <w:bottom w:val="none" w:sz="0" w:space="0" w:color="auto"/>
            <w:right w:val="none" w:sz="0" w:space="0" w:color="auto"/>
          </w:divBdr>
          <w:divsChild>
            <w:div w:id="1589072619">
              <w:marLeft w:val="0"/>
              <w:marRight w:val="0"/>
              <w:marTop w:val="0"/>
              <w:marBottom w:val="0"/>
              <w:divBdr>
                <w:top w:val="none" w:sz="0" w:space="0" w:color="auto"/>
                <w:left w:val="none" w:sz="0" w:space="0" w:color="auto"/>
                <w:bottom w:val="none" w:sz="0" w:space="0" w:color="auto"/>
                <w:right w:val="none" w:sz="0" w:space="0" w:color="auto"/>
              </w:divBdr>
            </w:div>
          </w:divsChild>
        </w:div>
        <w:div w:id="723799336">
          <w:marLeft w:val="0"/>
          <w:marRight w:val="0"/>
          <w:marTop w:val="0"/>
          <w:marBottom w:val="0"/>
          <w:divBdr>
            <w:top w:val="none" w:sz="0" w:space="0" w:color="auto"/>
            <w:left w:val="none" w:sz="0" w:space="0" w:color="auto"/>
            <w:bottom w:val="none" w:sz="0" w:space="0" w:color="auto"/>
            <w:right w:val="none" w:sz="0" w:space="0" w:color="auto"/>
          </w:divBdr>
          <w:divsChild>
            <w:div w:id="282925589">
              <w:marLeft w:val="0"/>
              <w:marRight w:val="0"/>
              <w:marTop w:val="0"/>
              <w:marBottom w:val="0"/>
              <w:divBdr>
                <w:top w:val="none" w:sz="0" w:space="0" w:color="auto"/>
                <w:left w:val="none" w:sz="0" w:space="0" w:color="auto"/>
                <w:bottom w:val="none" w:sz="0" w:space="0" w:color="auto"/>
                <w:right w:val="none" w:sz="0" w:space="0" w:color="auto"/>
              </w:divBdr>
            </w:div>
          </w:divsChild>
        </w:div>
        <w:div w:id="724527528">
          <w:marLeft w:val="0"/>
          <w:marRight w:val="0"/>
          <w:marTop w:val="0"/>
          <w:marBottom w:val="0"/>
          <w:divBdr>
            <w:top w:val="none" w:sz="0" w:space="0" w:color="auto"/>
            <w:left w:val="none" w:sz="0" w:space="0" w:color="auto"/>
            <w:bottom w:val="none" w:sz="0" w:space="0" w:color="auto"/>
            <w:right w:val="none" w:sz="0" w:space="0" w:color="auto"/>
          </w:divBdr>
          <w:divsChild>
            <w:div w:id="1540508134">
              <w:marLeft w:val="0"/>
              <w:marRight w:val="0"/>
              <w:marTop w:val="0"/>
              <w:marBottom w:val="0"/>
              <w:divBdr>
                <w:top w:val="none" w:sz="0" w:space="0" w:color="auto"/>
                <w:left w:val="none" w:sz="0" w:space="0" w:color="auto"/>
                <w:bottom w:val="none" w:sz="0" w:space="0" w:color="auto"/>
                <w:right w:val="none" w:sz="0" w:space="0" w:color="auto"/>
              </w:divBdr>
            </w:div>
          </w:divsChild>
        </w:div>
        <w:div w:id="729815510">
          <w:marLeft w:val="0"/>
          <w:marRight w:val="0"/>
          <w:marTop w:val="0"/>
          <w:marBottom w:val="0"/>
          <w:divBdr>
            <w:top w:val="none" w:sz="0" w:space="0" w:color="auto"/>
            <w:left w:val="none" w:sz="0" w:space="0" w:color="auto"/>
            <w:bottom w:val="none" w:sz="0" w:space="0" w:color="auto"/>
            <w:right w:val="none" w:sz="0" w:space="0" w:color="auto"/>
          </w:divBdr>
          <w:divsChild>
            <w:div w:id="734739057">
              <w:marLeft w:val="0"/>
              <w:marRight w:val="0"/>
              <w:marTop w:val="0"/>
              <w:marBottom w:val="0"/>
              <w:divBdr>
                <w:top w:val="none" w:sz="0" w:space="0" w:color="auto"/>
                <w:left w:val="none" w:sz="0" w:space="0" w:color="auto"/>
                <w:bottom w:val="none" w:sz="0" w:space="0" w:color="auto"/>
                <w:right w:val="none" w:sz="0" w:space="0" w:color="auto"/>
              </w:divBdr>
            </w:div>
          </w:divsChild>
        </w:div>
        <w:div w:id="730420786">
          <w:marLeft w:val="0"/>
          <w:marRight w:val="0"/>
          <w:marTop w:val="0"/>
          <w:marBottom w:val="0"/>
          <w:divBdr>
            <w:top w:val="none" w:sz="0" w:space="0" w:color="auto"/>
            <w:left w:val="none" w:sz="0" w:space="0" w:color="auto"/>
            <w:bottom w:val="none" w:sz="0" w:space="0" w:color="auto"/>
            <w:right w:val="none" w:sz="0" w:space="0" w:color="auto"/>
          </w:divBdr>
          <w:divsChild>
            <w:div w:id="545262657">
              <w:marLeft w:val="0"/>
              <w:marRight w:val="0"/>
              <w:marTop w:val="0"/>
              <w:marBottom w:val="0"/>
              <w:divBdr>
                <w:top w:val="none" w:sz="0" w:space="0" w:color="auto"/>
                <w:left w:val="none" w:sz="0" w:space="0" w:color="auto"/>
                <w:bottom w:val="none" w:sz="0" w:space="0" w:color="auto"/>
                <w:right w:val="none" w:sz="0" w:space="0" w:color="auto"/>
              </w:divBdr>
            </w:div>
          </w:divsChild>
        </w:div>
        <w:div w:id="743185134">
          <w:marLeft w:val="0"/>
          <w:marRight w:val="0"/>
          <w:marTop w:val="0"/>
          <w:marBottom w:val="0"/>
          <w:divBdr>
            <w:top w:val="none" w:sz="0" w:space="0" w:color="auto"/>
            <w:left w:val="none" w:sz="0" w:space="0" w:color="auto"/>
            <w:bottom w:val="none" w:sz="0" w:space="0" w:color="auto"/>
            <w:right w:val="none" w:sz="0" w:space="0" w:color="auto"/>
          </w:divBdr>
          <w:divsChild>
            <w:div w:id="1827630442">
              <w:marLeft w:val="0"/>
              <w:marRight w:val="0"/>
              <w:marTop w:val="0"/>
              <w:marBottom w:val="0"/>
              <w:divBdr>
                <w:top w:val="none" w:sz="0" w:space="0" w:color="auto"/>
                <w:left w:val="none" w:sz="0" w:space="0" w:color="auto"/>
                <w:bottom w:val="none" w:sz="0" w:space="0" w:color="auto"/>
                <w:right w:val="none" w:sz="0" w:space="0" w:color="auto"/>
              </w:divBdr>
            </w:div>
          </w:divsChild>
        </w:div>
        <w:div w:id="744692502">
          <w:marLeft w:val="0"/>
          <w:marRight w:val="0"/>
          <w:marTop w:val="0"/>
          <w:marBottom w:val="0"/>
          <w:divBdr>
            <w:top w:val="none" w:sz="0" w:space="0" w:color="auto"/>
            <w:left w:val="none" w:sz="0" w:space="0" w:color="auto"/>
            <w:bottom w:val="none" w:sz="0" w:space="0" w:color="auto"/>
            <w:right w:val="none" w:sz="0" w:space="0" w:color="auto"/>
          </w:divBdr>
          <w:divsChild>
            <w:div w:id="409619332">
              <w:marLeft w:val="0"/>
              <w:marRight w:val="0"/>
              <w:marTop w:val="0"/>
              <w:marBottom w:val="0"/>
              <w:divBdr>
                <w:top w:val="none" w:sz="0" w:space="0" w:color="auto"/>
                <w:left w:val="none" w:sz="0" w:space="0" w:color="auto"/>
                <w:bottom w:val="none" w:sz="0" w:space="0" w:color="auto"/>
                <w:right w:val="none" w:sz="0" w:space="0" w:color="auto"/>
              </w:divBdr>
            </w:div>
          </w:divsChild>
        </w:div>
        <w:div w:id="748960793">
          <w:marLeft w:val="0"/>
          <w:marRight w:val="0"/>
          <w:marTop w:val="0"/>
          <w:marBottom w:val="0"/>
          <w:divBdr>
            <w:top w:val="none" w:sz="0" w:space="0" w:color="auto"/>
            <w:left w:val="none" w:sz="0" w:space="0" w:color="auto"/>
            <w:bottom w:val="none" w:sz="0" w:space="0" w:color="auto"/>
            <w:right w:val="none" w:sz="0" w:space="0" w:color="auto"/>
          </w:divBdr>
          <w:divsChild>
            <w:div w:id="1792824741">
              <w:marLeft w:val="0"/>
              <w:marRight w:val="0"/>
              <w:marTop w:val="0"/>
              <w:marBottom w:val="0"/>
              <w:divBdr>
                <w:top w:val="none" w:sz="0" w:space="0" w:color="auto"/>
                <w:left w:val="none" w:sz="0" w:space="0" w:color="auto"/>
                <w:bottom w:val="none" w:sz="0" w:space="0" w:color="auto"/>
                <w:right w:val="none" w:sz="0" w:space="0" w:color="auto"/>
              </w:divBdr>
            </w:div>
          </w:divsChild>
        </w:div>
        <w:div w:id="750394425">
          <w:marLeft w:val="0"/>
          <w:marRight w:val="0"/>
          <w:marTop w:val="0"/>
          <w:marBottom w:val="0"/>
          <w:divBdr>
            <w:top w:val="none" w:sz="0" w:space="0" w:color="auto"/>
            <w:left w:val="none" w:sz="0" w:space="0" w:color="auto"/>
            <w:bottom w:val="none" w:sz="0" w:space="0" w:color="auto"/>
            <w:right w:val="none" w:sz="0" w:space="0" w:color="auto"/>
          </w:divBdr>
          <w:divsChild>
            <w:div w:id="185026673">
              <w:marLeft w:val="0"/>
              <w:marRight w:val="0"/>
              <w:marTop w:val="0"/>
              <w:marBottom w:val="0"/>
              <w:divBdr>
                <w:top w:val="none" w:sz="0" w:space="0" w:color="auto"/>
                <w:left w:val="none" w:sz="0" w:space="0" w:color="auto"/>
                <w:bottom w:val="none" w:sz="0" w:space="0" w:color="auto"/>
                <w:right w:val="none" w:sz="0" w:space="0" w:color="auto"/>
              </w:divBdr>
            </w:div>
          </w:divsChild>
        </w:div>
        <w:div w:id="750584008">
          <w:marLeft w:val="0"/>
          <w:marRight w:val="0"/>
          <w:marTop w:val="0"/>
          <w:marBottom w:val="0"/>
          <w:divBdr>
            <w:top w:val="none" w:sz="0" w:space="0" w:color="auto"/>
            <w:left w:val="none" w:sz="0" w:space="0" w:color="auto"/>
            <w:bottom w:val="none" w:sz="0" w:space="0" w:color="auto"/>
            <w:right w:val="none" w:sz="0" w:space="0" w:color="auto"/>
          </w:divBdr>
          <w:divsChild>
            <w:div w:id="1969121542">
              <w:marLeft w:val="0"/>
              <w:marRight w:val="0"/>
              <w:marTop w:val="0"/>
              <w:marBottom w:val="0"/>
              <w:divBdr>
                <w:top w:val="none" w:sz="0" w:space="0" w:color="auto"/>
                <w:left w:val="none" w:sz="0" w:space="0" w:color="auto"/>
                <w:bottom w:val="none" w:sz="0" w:space="0" w:color="auto"/>
                <w:right w:val="none" w:sz="0" w:space="0" w:color="auto"/>
              </w:divBdr>
            </w:div>
          </w:divsChild>
        </w:div>
        <w:div w:id="757750160">
          <w:marLeft w:val="0"/>
          <w:marRight w:val="0"/>
          <w:marTop w:val="0"/>
          <w:marBottom w:val="0"/>
          <w:divBdr>
            <w:top w:val="none" w:sz="0" w:space="0" w:color="auto"/>
            <w:left w:val="none" w:sz="0" w:space="0" w:color="auto"/>
            <w:bottom w:val="none" w:sz="0" w:space="0" w:color="auto"/>
            <w:right w:val="none" w:sz="0" w:space="0" w:color="auto"/>
          </w:divBdr>
          <w:divsChild>
            <w:div w:id="481233551">
              <w:marLeft w:val="0"/>
              <w:marRight w:val="0"/>
              <w:marTop w:val="0"/>
              <w:marBottom w:val="0"/>
              <w:divBdr>
                <w:top w:val="none" w:sz="0" w:space="0" w:color="auto"/>
                <w:left w:val="none" w:sz="0" w:space="0" w:color="auto"/>
                <w:bottom w:val="none" w:sz="0" w:space="0" w:color="auto"/>
                <w:right w:val="none" w:sz="0" w:space="0" w:color="auto"/>
              </w:divBdr>
            </w:div>
          </w:divsChild>
        </w:div>
        <w:div w:id="757754596">
          <w:marLeft w:val="0"/>
          <w:marRight w:val="0"/>
          <w:marTop w:val="0"/>
          <w:marBottom w:val="0"/>
          <w:divBdr>
            <w:top w:val="none" w:sz="0" w:space="0" w:color="auto"/>
            <w:left w:val="none" w:sz="0" w:space="0" w:color="auto"/>
            <w:bottom w:val="none" w:sz="0" w:space="0" w:color="auto"/>
            <w:right w:val="none" w:sz="0" w:space="0" w:color="auto"/>
          </w:divBdr>
          <w:divsChild>
            <w:div w:id="466434320">
              <w:marLeft w:val="0"/>
              <w:marRight w:val="0"/>
              <w:marTop w:val="0"/>
              <w:marBottom w:val="0"/>
              <w:divBdr>
                <w:top w:val="none" w:sz="0" w:space="0" w:color="auto"/>
                <w:left w:val="none" w:sz="0" w:space="0" w:color="auto"/>
                <w:bottom w:val="none" w:sz="0" w:space="0" w:color="auto"/>
                <w:right w:val="none" w:sz="0" w:space="0" w:color="auto"/>
              </w:divBdr>
            </w:div>
          </w:divsChild>
        </w:div>
        <w:div w:id="766344163">
          <w:marLeft w:val="0"/>
          <w:marRight w:val="0"/>
          <w:marTop w:val="0"/>
          <w:marBottom w:val="0"/>
          <w:divBdr>
            <w:top w:val="none" w:sz="0" w:space="0" w:color="auto"/>
            <w:left w:val="none" w:sz="0" w:space="0" w:color="auto"/>
            <w:bottom w:val="none" w:sz="0" w:space="0" w:color="auto"/>
            <w:right w:val="none" w:sz="0" w:space="0" w:color="auto"/>
          </w:divBdr>
          <w:divsChild>
            <w:div w:id="985160094">
              <w:marLeft w:val="0"/>
              <w:marRight w:val="0"/>
              <w:marTop w:val="0"/>
              <w:marBottom w:val="0"/>
              <w:divBdr>
                <w:top w:val="none" w:sz="0" w:space="0" w:color="auto"/>
                <w:left w:val="none" w:sz="0" w:space="0" w:color="auto"/>
                <w:bottom w:val="none" w:sz="0" w:space="0" w:color="auto"/>
                <w:right w:val="none" w:sz="0" w:space="0" w:color="auto"/>
              </w:divBdr>
            </w:div>
          </w:divsChild>
        </w:div>
        <w:div w:id="766849110">
          <w:marLeft w:val="0"/>
          <w:marRight w:val="0"/>
          <w:marTop w:val="0"/>
          <w:marBottom w:val="0"/>
          <w:divBdr>
            <w:top w:val="none" w:sz="0" w:space="0" w:color="auto"/>
            <w:left w:val="none" w:sz="0" w:space="0" w:color="auto"/>
            <w:bottom w:val="none" w:sz="0" w:space="0" w:color="auto"/>
            <w:right w:val="none" w:sz="0" w:space="0" w:color="auto"/>
          </w:divBdr>
          <w:divsChild>
            <w:div w:id="1854762350">
              <w:marLeft w:val="0"/>
              <w:marRight w:val="0"/>
              <w:marTop w:val="0"/>
              <w:marBottom w:val="0"/>
              <w:divBdr>
                <w:top w:val="none" w:sz="0" w:space="0" w:color="auto"/>
                <w:left w:val="none" w:sz="0" w:space="0" w:color="auto"/>
                <w:bottom w:val="none" w:sz="0" w:space="0" w:color="auto"/>
                <w:right w:val="none" w:sz="0" w:space="0" w:color="auto"/>
              </w:divBdr>
            </w:div>
          </w:divsChild>
        </w:div>
        <w:div w:id="769816132">
          <w:marLeft w:val="0"/>
          <w:marRight w:val="0"/>
          <w:marTop w:val="0"/>
          <w:marBottom w:val="0"/>
          <w:divBdr>
            <w:top w:val="none" w:sz="0" w:space="0" w:color="auto"/>
            <w:left w:val="none" w:sz="0" w:space="0" w:color="auto"/>
            <w:bottom w:val="none" w:sz="0" w:space="0" w:color="auto"/>
            <w:right w:val="none" w:sz="0" w:space="0" w:color="auto"/>
          </w:divBdr>
          <w:divsChild>
            <w:div w:id="1572349082">
              <w:marLeft w:val="0"/>
              <w:marRight w:val="0"/>
              <w:marTop w:val="0"/>
              <w:marBottom w:val="0"/>
              <w:divBdr>
                <w:top w:val="none" w:sz="0" w:space="0" w:color="auto"/>
                <w:left w:val="none" w:sz="0" w:space="0" w:color="auto"/>
                <w:bottom w:val="none" w:sz="0" w:space="0" w:color="auto"/>
                <w:right w:val="none" w:sz="0" w:space="0" w:color="auto"/>
              </w:divBdr>
            </w:div>
          </w:divsChild>
        </w:div>
        <w:div w:id="780303285">
          <w:marLeft w:val="0"/>
          <w:marRight w:val="0"/>
          <w:marTop w:val="0"/>
          <w:marBottom w:val="0"/>
          <w:divBdr>
            <w:top w:val="none" w:sz="0" w:space="0" w:color="auto"/>
            <w:left w:val="none" w:sz="0" w:space="0" w:color="auto"/>
            <w:bottom w:val="none" w:sz="0" w:space="0" w:color="auto"/>
            <w:right w:val="none" w:sz="0" w:space="0" w:color="auto"/>
          </w:divBdr>
          <w:divsChild>
            <w:div w:id="1412385198">
              <w:marLeft w:val="0"/>
              <w:marRight w:val="0"/>
              <w:marTop w:val="0"/>
              <w:marBottom w:val="0"/>
              <w:divBdr>
                <w:top w:val="none" w:sz="0" w:space="0" w:color="auto"/>
                <w:left w:val="none" w:sz="0" w:space="0" w:color="auto"/>
                <w:bottom w:val="none" w:sz="0" w:space="0" w:color="auto"/>
                <w:right w:val="none" w:sz="0" w:space="0" w:color="auto"/>
              </w:divBdr>
            </w:div>
          </w:divsChild>
        </w:div>
        <w:div w:id="785734070">
          <w:marLeft w:val="0"/>
          <w:marRight w:val="0"/>
          <w:marTop w:val="0"/>
          <w:marBottom w:val="0"/>
          <w:divBdr>
            <w:top w:val="none" w:sz="0" w:space="0" w:color="auto"/>
            <w:left w:val="none" w:sz="0" w:space="0" w:color="auto"/>
            <w:bottom w:val="none" w:sz="0" w:space="0" w:color="auto"/>
            <w:right w:val="none" w:sz="0" w:space="0" w:color="auto"/>
          </w:divBdr>
          <w:divsChild>
            <w:div w:id="1605846282">
              <w:marLeft w:val="0"/>
              <w:marRight w:val="0"/>
              <w:marTop w:val="0"/>
              <w:marBottom w:val="0"/>
              <w:divBdr>
                <w:top w:val="none" w:sz="0" w:space="0" w:color="auto"/>
                <w:left w:val="none" w:sz="0" w:space="0" w:color="auto"/>
                <w:bottom w:val="none" w:sz="0" w:space="0" w:color="auto"/>
                <w:right w:val="none" w:sz="0" w:space="0" w:color="auto"/>
              </w:divBdr>
            </w:div>
          </w:divsChild>
        </w:div>
        <w:div w:id="789980423">
          <w:marLeft w:val="0"/>
          <w:marRight w:val="0"/>
          <w:marTop w:val="0"/>
          <w:marBottom w:val="0"/>
          <w:divBdr>
            <w:top w:val="none" w:sz="0" w:space="0" w:color="auto"/>
            <w:left w:val="none" w:sz="0" w:space="0" w:color="auto"/>
            <w:bottom w:val="none" w:sz="0" w:space="0" w:color="auto"/>
            <w:right w:val="none" w:sz="0" w:space="0" w:color="auto"/>
          </w:divBdr>
          <w:divsChild>
            <w:div w:id="1382050805">
              <w:marLeft w:val="0"/>
              <w:marRight w:val="0"/>
              <w:marTop w:val="0"/>
              <w:marBottom w:val="0"/>
              <w:divBdr>
                <w:top w:val="none" w:sz="0" w:space="0" w:color="auto"/>
                <w:left w:val="none" w:sz="0" w:space="0" w:color="auto"/>
                <w:bottom w:val="none" w:sz="0" w:space="0" w:color="auto"/>
                <w:right w:val="none" w:sz="0" w:space="0" w:color="auto"/>
              </w:divBdr>
            </w:div>
          </w:divsChild>
        </w:div>
        <w:div w:id="790972358">
          <w:marLeft w:val="0"/>
          <w:marRight w:val="0"/>
          <w:marTop w:val="0"/>
          <w:marBottom w:val="0"/>
          <w:divBdr>
            <w:top w:val="none" w:sz="0" w:space="0" w:color="auto"/>
            <w:left w:val="none" w:sz="0" w:space="0" w:color="auto"/>
            <w:bottom w:val="none" w:sz="0" w:space="0" w:color="auto"/>
            <w:right w:val="none" w:sz="0" w:space="0" w:color="auto"/>
          </w:divBdr>
          <w:divsChild>
            <w:div w:id="1375076897">
              <w:marLeft w:val="0"/>
              <w:marRight w:val="0"/>
              <w:marTop w:val="0"/>
              <w:marBottom w:val="0"/>
              <w:divBdr>
                <w:top w:val="none" w:sz="0" w:space="0" w:color="auto"/>
                <w:left w:val="none" w:sz="0" w:space="0" w:color="auto"/>
                <w:bottom w:val="none" w:sz="0" w:space="0" w:color="auto"/>
                <w:right w:val="none" w:sz="0" w:space="0" w:color="auto"/>
              </w:divBdr>
            </w:div>
          </w:divsChild>
        </w:div>
        <w:div w:id="791360239">
          <w:marLeft w:val="0"/>
          <w:marRight w:val="0"/>
          <w:marTop w:val="0"/>
          <w:marBottom w:val="0"/>
          <w:divBdr>
            <w:top w:val="none" w:sz="0" w:space="0" w:color="auto"/>
            <w:left w:val="none" w:sz="0" w:space="0" w:color="auto"/>
            <w:bottom w:val="none" w:sz="0" w:space="0" w:color="auto"/>
            <w:right w:val="none" w:sz="0" w:space="0" w:color="auto"/>
          </w:divBdr>
          <w:divsChild>
            <w:div w:id="350960468">
              <w:marLeft w:val="0"/>
              <w:marRight w:val="0"/>
              <w:marTop w:val="0"/>
              <w:marBottom w:val="0"/>
              <w:divBdr>
                <w:top w:val="none" w:sz="0" w:space="0" w:color="auto"/>
                <w:left w:val="none" w:sz="0" w:space="0" w:color="auto"/>
                <w:bottom w:val="none" w:sz="0" w:space="0" w:color="auto"/>
                <w:right w:val="none" w:sz="0" w:space="0" w:color="auto"/>
              </w:divBdr>
            </w:div>
          </w:divsChild>
        </w:div>
        <w:div w:id="793401043">
          <w:marLeft w:val="0"/>
          <w:marRight w:val="0"/>
          <w:marTop w:val="0"/>
          <w:marBottom w:val="0"/>
          <w:divBdr>
            <w:top w:val="none" w:sz="0" w:space="0" w:color="auto"/>
            <w:left w:val="none" w:sz="0" w:space="0" w:color="auto"/>
            <w:bottom w:val="none" w:sz="0" w:space="0" w:color="auto"/>
            <w:right w:val="none" w:sz="0" w:space="0" w:color="auto"/>
          </w:divBdr>
          <w:divsChild>
            <w:div w:id="1455714810">
              <w:marLeft w:val="0"/>
              <w:marRight w:val="0"/>
              <w:marTop w:val="0"/>
              <w:marBottom w:val="0"/>
              <w:divBdr>
                <w:top w:val="none" w:sz="0" w:space="0" w:color="auto"/>
                <w:left w:val="none" w:sz="0" w:space="0" w:color="auto"/>
                <w:bottom w:val="none" w:sz="0" w:space="0" w:color="auto"/>
                <w:right w:val="none" w:sz="0" w:space="0" w:color="auto"/>
              </w:divBdr>
            </w:div>
          </w:divsChild>
        </w:div>
        <w:div w:id="798380036">
          <w:marLeft w:val="0"/>
          <w:marRight w:val="0"/>
          <w:marTop w:val="0"/>
          <w:marBottom w:val="0"/>
          <w:divBdr>
            <w:top w:val="none" w:sz="0" w:space="0" w:color="auto"/>
            <w:left w:val="none" w:sz="0" w:space="0" w:color="auto"/>
            <w:bottom w:val="none" w:sz="0" w:space="0" w:color="auto"/>
            <w:right w:val="none" w:sz="0" w:space="0" w:color="auto"/>
          </w:divBdr>
          <w:divsChild>
            <w:div w:id="533617885">
              <w:marLeft w:val="0"/>
              <w:marRight w:val="0"/>
              <w:marTop w:val="0"/>
              <w:marBottom w:val="0"/>
              <w:divBdr>
                <w:top w:val="none" w:sz="0" w:space="0" w:color="auto"/>
                <w:left w:val="none" w:sz="0" w:space="0" w:color="auto"/>
                <w:bottom w:val="none" w:sz="0" w:space="0" w:color="auto"/>
                <w:right w:val="none" w:sz="0" w:space="0" w:color="auto"/>
              </w:divBdr>
            </w:div>
          </w:divsChild>
        </w:div>
        <w:div w:id="798648471">
          <w:marLeft w:val="0"/>
          <w:marRight w:val="0"/>
          <w:marTop w:val="0"/>
          <w:marBottom w:val="0"/>
          <w:divBdr>
            <w:top w:val="none" w:sz="0" w:space="0" w:color="auto"/>
            <w:left w:val="none" w:sz="0" w:space="0" w:color="auto"/>
            <w:bottom w:val="none" w:sz="0" w:space="0" w:color="auto"/>
            <w:right w:val="none" w:sz="0" w:space="0" w:color="auto"/>
          </w:divBdr>
          <w:divsChild>
            <w:div w:id="1548952526">
              <w:marLeft w:val="0"/>
              <w:marRight w:val="0"/>
              <w:marTop w:val="0"/>
              <w:marBottom w:val="0"/>
              <w:divBdr>
                <w:top w:val="none" w:sz="0" w:space="0" w:color="auto"/>
                <w:left w:val="none" w:sz="0" w:space="0" w:color="auto"/>
                <w:bottom w:val="none" w:sz="0" w:space="0" w:color="auto"/>
                <w:right w:val="none" w:sz="0" w:space="0" w:color="auto"/>
              </w:divBdr>
            </w:div>
          </w:divsChild>
        </w:div>
        <w:div w:id="798958972">
          <w:marLeft w:val="0"/>
          <w:marRight w:val="0"/>
          <w:marTop w:val="0"/>
          <w:marBottom w:val="0"/>
          <w:divBdr>
            <w:top w:val="none" w:sz="0" w:space="0" w:color="auto"/>
            <w:left w:val="none" w:sz="0" w:space="0" w:color="auto"/>
            <w:bottom w:val="none" w:sz="0" w:space="0" w:color="auto"/>
            <w:right w:val="none" w:sz="0" w:space="0" w:color="auto"/>
          </w:divBdr>
          <w:divsChild>
            <w:div w:id="1006053513">
              <w:marLeft w:val="0"/>
              <w:marRight w:val="0"/>
              <w:marTop w:val="0"/>
              <w:marBottom w:val="0"/>
              <w:divBdr>
                <w:top w:val="none" w:sz="0" w:space="0" w:color="auto"/>
                <w:left w:val="none" w:sz="0" w:space="0" w:color="auto"/>
                <w:bottom w:val="none" w:sz="0" w:space="0" w:color="auto"/>
                <w:right w:val="none" w:sz="0" w:space="0" w:color="auto"/>
              </w:divBdr>
            </w:div>
          </w:divsChild>
        </w:div>
        <w:div w:id="802428861">
          <w:marLeft w:val="0"/>
          <w:marRight w:val="0"/>
          <w:marTop w:val="0"/>
          <w:marBottom w:val="0"/>
          <w:divBdr>
            <w:top w:val="none" w:sz="0" w:space="0" w:color="auto"/>
            <w:left w:val="none" w:sz="0" w:space="0" w:color="auto"/>
            <w:bottom w:val="none" w:sz="0" w:space="0" w:color="auto"/>
            <w:right w:val="none" w:sz="0" w:space="0" w:color="auto"/>
          </w:divBdr>
          <w:divsChild>
            <w:div w:id="1909607814">
              <w:marLeft w:val="0"/>
              <w:marRight w:val="0"/>
              <w:marTop w:val="0"/>
              <w:marBottom w:val="0"/>
              <w:divBdr>
                <w:top w:val="none" w:sz="0" w:space="0" w:color="auto"/>
                <w:left w:val="none" w:sz="0" w:space="0" w:color="auto"/>
                <w:bottom w:val="none" w:sz="0" w:space="0" w:color="auto"/>
                <w:right w:val="none" w:sz="0" w:space="0" w:color="auto"/>
              </w:divBdr>
            </w:div>
          </w:divsChild>
        </w:div>
        <w:div w:id="810513370">
          <w:marLeft w:val="0"/>
          <w:marRight w:val="0"/>
          <w:marTop w:val="0"/>
          <w:marBottom w:val="0"/>
          <w:divBdr>
            <w:top w:val="none" w:sz="0" w:space="0" w:color="auto"/>
            <w:left w:val="none" w:sz="0" w:space="0" w:color="auto"/>
            <w:bottom w:val="none" w:sz="0" w:space="0" w:color="auto"/>
            <w:right w:val="none" w:sz="0" w:space="0" w:color="auto"/>
          </w:divBdr>
          <w:divsChild>
            <w:div w:id="815415722">
              <w:marLeft w:val="0"/>
              <w:marRight w:val="0"/>
              <w:marTop w:val="0"/>
              <w:marBottom w:val="0"/>
              <w:divBdr>
                <w:top w:val="none" w:sz="0" w:space="0" w:color="auto"/>
                <w:left w:val="none" w:sz="0" w:space="0" w:color="auto"/>
                <w:bottom w:val="none" w:sz="0" w:space="0" w:color="auto"/>
                <w:right w:val="none" w:sz="0" w:space="0" w:color="auto"/>
              </w:divBdr>
            </w:div>
          </w:divsChild>
        </w:div>
        <w:div w:id="811287445">
          <w:marLeft w:val="0"/>
          <w:marRight w:val="0"/>
          <w:marTop w:val="0"/>
          <w:marBottom w:val="0"/>
          <w:divBdr>
            <w:top w:val="none" w:sz="0" w:space="0" w:color="auto"/>
            <w:left w:val="none" w:sz="0" w:space="0" w:color="auto"/>
            <w:bottom w:val="none" w:sz="0" w:space="0" w:color="auto"/>
            <w:right w:val="none" w:sz="0" w:space="0" w:color="auto"/>
          </w:divBdr>
          <w:divsChild>
            <w:div w:id="614408909">
              <w:marLeft w:val="0"/>
              <w:marRight w:val="0"/>
              <w:marTop w:val="0"/>
              <w:marBottom w:val="0"/>
              <w:divBdr>
                <w:top w:val="none" w:sz="0" w:space="0" w:color="auto"/>
                <w:left w:val="none" w:sz="0" w:space="0" w:color="auto"/>
                <w:bottom w:val="none" w:sz="0" w:space="0" w:color="auto"/>
                <w:right w:val="none" w:sz="0" w:space="0" w:color="auto"/>
              </w:divBdr>
            </w:div>
          </w:divsChild>
        </w:div>
        <w:div w:id="821964597">
          <w:marLeft w:val="0"/>
          <w:marRight w:val="0"/>
          <w:marTop w:val="0"/>
          <w:marBottom w:val="0"/>
          <w:divBdr>
            <w:top w:val="none" w:sz="0" w:space="0" w:color="auto"/>
            <w:left w:val="none" w:sz="0" w:space="0" w:color="auto"/>
            <w:bottom w:val="none" w:sz="0" w:space="0" w:color="auto"/>
            <w:right w:val="none" w:sz="0" w:space="0" w:color="auto"/>
          </w:divBdr>
          <w:divsChild>
            <w:div w:id="961347625">
              <w:marLeft w:val="0"/>
              <w:marRight w:val="0"/>
              <w:marTop w:val="0"/>
              <w:marBottom w:val="0"/>
              <w:divBdr>
                <w:top w:val="none" w:sz="0" w:space="0" w:color="auto"/>
                <w:left w:val="none" w:sz="0" w:space="0" w:color="auto"/>
                <w:bottom w:val="none" w:sz="0" w:space="0" w:color="auto"/>
                <w:right w:val="none" w:sz="0" w:space="0" w:color="auto"/>
              </w:divBdr>
            </w:div>
          </w:divsChild>
        </w:div>
        <w:div w:id="832917913">
          <w:marLeft w:val="0"/>
          <w:marRight w:val="0"/>
          <w:marTop w:val="0"/>
          <w:marBottom w:val="0"/>
          <w:divBdr>
            <w:top w:val="none" w:sz="0" w:space="0" w:color="auto"/>
            <w:left w:val="none" w:sz="0" w:space="0" w:color="auto"/>
            <w:bottom w:val="none" w:sz="0" w:space="0" w:color="auto"/>
            <w:right w:val="none" w:sz="0" w:space="0" w:color="auto"/>
          </w:divBdr>
          <w:divsChild>
            <w:div w:id="844589702">
              <w:marLeft w:val="0"/>
              <w:marRight w:val="0"/>
              <w:marTop w:val="0"/>
              <w:marBottom w:val="0"/>
              <w:divBdr>
                <w:top w:val="none" w:sz="0" w:space="0" w:color="auto"/>
                <w:left w:val="none" w:sz="0" w:space="0" w:color="auto"/>
                <w:bottom w:val="none" w:sz="0" w:space="0" w:color="auto"/>
                <w:right w:val="none" w:sz="0" w:space="0" w:color="auto"/>
              </w:divBdr>
            </w:div>
          </w:divsChild>
        </w:div>
        <w:div w:id="832993824">
          <w:marLeft w:val="0"/>
          <w:marRight w:val="0"/>
          <w:marTop w:val="0"/>
          <w:marBottom w:val="0"/>
          <w:divBdr>
            <w:top w:val="none" w:sz="0" w:space="0" w:color="auto"/>
            <w:left w:val="none" w:sz="0" w:space="0" w:color="auto"/>
            <w:bottom w:val="none" w:sz="0" w:space="0" w:color="auto"/>
            <w:right w:val="none" w:sz="0" w:space="0" w:color="auto"/>
          </w:divBdr>
          <w:divsChild>
            <w:div w:id="947547355">
              <w:marLeft w:val="0"/>
              <w:marRight w:val="0"/>
              <w:marTop w:val="0"/>
              <w:marBottom w:val="0"/>
              <w:divBdr>
                <w:top w:val="none" w:sz="0" w:space="0" w:color="auto"/>
                <w:left w:val="none" w:sz="0" w:space="0" w:color="auto"/>
                <w:bottom w:val="none" w:sz="0" w:space="0" w:color="auto"/>
                <w:right w:val="none" w:sz="0" w:space="0" w:color="auto"/>
              </w:divBdr>
            </w:div>
          </w:divsChild>
        </w:div>
        <w:div w:id="835724860">
          <w:marLeft w:val="0"/>
          <w:marRight w:val="0"/>
          <w:marTop w:val="0"/>
          <w:marBottom w:val="0"/>
          <w:divBdr>
            <w:top w:val="none" w:sz="0" w:space="0" w:color="auto"/>
            <w:left w:val="none" w:sz="0" w:space="0" w:color="auto"/>
            <w:bottom w:val="none" w:sz="0" w:space="0" w:color="auto"/>
            <w:right w:val="none" w:sz="0" w:space="0" w:color="auto"/>
          </w:divBdr>
          <w:divsChild>
            <w:div w:id="1425883025">
              <w:marLeft w:val="0"/>
              <w:marRight w:val="0"/>
              <w:marTop w:val="0"/>
              <w:marBottom w:val="0"/>
              <w:divBdr>
                <w:top w:val="none" w:sz="0" w:space="0" w:color="auto"/>
                <w:left w:val="none" w:sz="0" w:space="0" w:color="auto"/>
                <w:bottom w:val="none" w:sz="0" w:space="0" w:color="auto"/>
                <w:right w:val="none" w:sz="0" w:space="0" w:color="auto"/>
              </w:divBdr>
            </w:div>
          </w:divsChild>
        </w:div>
        <w:div w:id="835799425">
          <w:marLeft w:val="0"/>
          <w:marRight w:val="0"/>
          <w:marTop w:val="0"/>
          <w:marBottom w:val="0"/>
          <w:divBdr>
            <w:top w:val="none" w:sz="0" w:space="0" w:color="auto"/>
            <w:left w:val="none" w:sz="0" w:space="0" w:color="auto"/>
            <w:bottom w:val="none" w:sz="0" w:space="0" w:color="auto"/>
            <w:right w:val="none" w:sz="0" w:space="0" w:color="auto"/>
          </w:divBdr>
          <w:divsChild>
            <w:div w:id="760100832">
              <w:marLeft w:val="0"/>
              <w:marRight w:val="0"/>
              <w:marTop w:val="0"/>
              <w:marBottom w:val="0"/>
              <w:divBdr>
                <w:top w:val="none" w:sz="0" w:space="0" w:color="auto"/>
                <w:left w:val="none" w:sz="0" w:space="0" w:color="auto"/>
                <w:bottom w:val="none" w:sz="0" w:space="0" w:color="auto"/>
                <w:right w:val="none" w:sz="0" w:space="0" w:color="auto"/>
              </w:divBdr>
            </w:div>
          </w:divsChild>
        </w:div>
        <w:div w:id="838811228">
          <w:marLeft w:val="0"/>
          <w:marRight w:val="0"/>
          <w:marTop w:val="0"/>
          <w:marBottom w:val="0"/>
          <w:divBdr>
            <w:top w:val="none" w:sz="0" w:space="0" w:color="auto"/>
            <w:left w:val="none" w:sz="0" w:space="0" w:color="auto"/>
            <w:bottom w:val="none" w:sz="0" w:space="0" w:color="auto"/>
            <w:right w:val="none" w:sz="0" w:space="0" w:color="auto"/>
          </w:divBdr>
          <w:divsChild>
            <w:div w:id="1475831529">
              <w:marLeft w:val="0"/>
              <w:marRight w:val="0"/>
              <w:marTop w:val="0"/>
              <w:marBottom w:val="0"/>
              <w:divBdr>
                <w:top w:val="none" w:sz="0" w:space="0" w:color="auto"/>
                <w:left w:val="none" w:sz="0" w:space="0" w:color="auto"/>
                <w:bottom w:val="none" w:sz="0" w:space="0" w:color="auto"/>
                <w:right w:val="none" w:sz="0" w:space="0" w:color="auto"/>
              </w:divBdr>
            </w:div>
          </w:divsChild>
        </w:div>
        <w:div w:id="843125398">
          <w:marLeft w:val="0"/>
          <w:marRight w:val="0"/>
          <w:marTop w:val="0"/>
          <w:marBottom w:val="0"/>
          <w:divBdr>
            <w:top w:val="none" w:sz="0" w:space="0" w:color="auto"/>
            <w:left w:val="none" w:sz="0" w:space="0" w:color="auto"/>
            <w:bottom w:val="none" w:sz="0" w:space="0" w:color="auto"/>
            <w:right w:val="none" w:sz="0" w:space="0" w:color="auto"/>
          </w:divBdr>
          <w:divsChild>
            <w:div w:id="1753622629">
              <w:marLeft w:val="0"/>
              <w:marRight w:val="0"/>
              <w:marTop w:val="0"/>
              <w:marBottom w:val="0"/>
              <w:divBdr>
                <w:top w:val="none" w:sz="0" w:space="0" w:color="auto"/>
                <w:left w:val="none" w:sz="0" w:space="0" w:color="auto"/>
                <w:bottom w:val="none" w:sz="0" w:space="0" w:color="auto"/>
                <w:right w:val="none" w:sz="0" w:space="0" w:color="auto"/>
              </w:divBdr>
            </w:div>
          </w:divsChild>
        </w:div>
        <w:div w:id="844855674">
          <w:marLeft w:val="0"/>
          <w:marRight w:val="0"/>
          <w:marTop w:val="0"/>
          <w:marBottom w:val="0"/>
          <w:divBdr>
            <w:top w:val="none" w:sz="0" w:space="0" w:color="auto"/>
            <w:left w:val="none" w:sz="0" w:space="0" w:color="auto"/>
            <w:bottom w:val="none" w:sz="0" w:space="0" w:color="auto"/>
            <w:right w:val="none" w:sz="0" w:space="0" w:color="auto"/>
          </w:divBdr>
          <w:divsChild>
            <w:div w:id="1675569420">
              <w:marLeft w:val="0"/>
              <w:marRight w:val="0"/>
              <w:marTop w:val="0"/>
              <w:marBottom w:val="0"/>
              <w:divBdr>
                <w:top w:val="none" w:sz="0" w:space="0" w:color="auto"/>
                <w:left w:val="none" w:sz="0" w:space="0" w:color="auto"/>
                <w:bottom w:val="none" w:sz="0" w:space="0" w:color="auto"/>
                <w:right w:val="none" w:sz="0" w:space="0" w:color="auto"/>
              </w:divBdr>
            </w:div>
          </w:divsChild>
        </w:div>
        <w:div w:id="846599597">
          <w:marLeft w:val="0"/>
          <w:marRight w:val="0"/>
          <w:marTop w:val="0"/>
          <w:marBottom w:val="0"/>
          <w:divBdr>
            <w:top w:val="none" w:sz="0" w:space="0" w:color="auto"/>
            <w:left w:val="none" w:sz="0" w:space="0" w:color="auto"/>
            <w:bottom w:val="none" w:sz="0" w:space="0" w:color="auto"/>
            <w:right w:val="none" w:sz="0" w:space="0" w:color="auto"/>
          </w:divBdr>
          <w:divsChild>
            <w:div w:id="1679504455">
              <w:marLeft w:val="0"/>
              <w:marRight w:val="0"/>
              <w:marTop w:val="0"/>
              <w:marBottom w:val="0"/>
              <w:divBdr>
                <w:top w:val="none" w:sz="0" w:space="0" w:color="auto"/>
                <w:left w:val="none" w:sz="0" w:space="0" w:color="auto"/>
                <w:bottom w:val="none" w:sz="0" w:space="0" w:color="auto"/>
                <w:right w:val="none" w:sz="0" w:space="0" w:color="auto"/>
              </w:divBdr>
            </w:div>
          </w:divsChild>
        </w:div>
        <w:div w:id="847259090">
          <w:marLeft w:val="0"/>
          <w:marRight w:val="0"/>
          <w:marTop w:val="0"/>
          <w:marBottom w:val="0"/>
          <w:divBdr>
            <w:top w:val="none" w:sz="0" w:space="0" w:color="auto"/>
            <w:left w:val="none" w:sz="0" w:space="0" w:color="auto"/>
            <w:bottom w:val="none" w:sz="0" w:space="0" w:color="auto"/>
            <w:right w:val="none" w:sz="0" w:space="0" w:color="auto"/>
          </w:divBdr>
          <w:divsChild>
            <w:div w:id="1230382511">
              <w:marLeft w:val="0"/>
              <w:marRight w:val="0"/>
              <w:marTop w:val="0"/>
              <w:marBottom w:val="0"/>
              <w:divBdr>
                <w:top w:val="none" w:sz="0" w:space="0" w:color="auto"/>
                <w:left w:val="none" w:sz="0" w:space="0" w:color="auto"/>
                <w:bottom w:val="none" w:sz="0" w:space="0" w:color="auto"/>
                <w:right w:val="none" w:sz="0" w:space="0" w:color="auto"/>
              </w:divBdr>
            </w:div>
          </w:divsChild>
        </w:div>
        <w:div w:id="847334559">
          <w:marLeft w:val="0"/>
          <w:marRight w:val="0"/>
          <w:marTop w:val="0"/>
          <w:marBottom w:val="0"/>
          <w:divBdr>
            <w:top w:val="none" w:sz="0" w:space="0" w:color="auto"/>
            <w:left w:val="none" w:sz="0" w:space="0" w:color="auto"/>
            <w:bottom w:val="none" w:sz="0" w:space="0" w:color="auto"/>
            <w:right w:val="none" w:sz="0" w:space="0" w:color="auto"/>
          </w:divBdr>
          <w:divsChild>
            <w:div w:id="1568031533">
              <w:marLeft w:val="0"/>
              <w:marRight w:val="0"/>
              <w:marTop w:val="0"/>
              <w:marBottom w:val="0"/>
              <w:divBdr>
                <w:top w:val="none" w:sz="0" w:space="0" w:color="auto"/>
                <w:left w:val="none" w:sz="0" w:space="0" w:color="auto"/>
                <w:bottom w:val="none" w:sz="0" w:space="0" w:color="auto"/>
                <w:right w:val="none" w:sz="0" w:space="0" w:color="auto"/>
              </w:divBdr>
            </w:div>
          </w:divsChild>
        </w:div>
        <w:div w:id="860826869">
          <w:marLeft w:val="0"/>
          <w:marRight w:val="0"/>
          <w:marTop w:val="0"/>
          <w:marBottom w:val="0"/>
          <w:divBdr>
            <w:top w:val="none" w:sz="0" w:space="0" w:color="auto"/>
            <w:left w:val="none" w:sz="0" w:space="0" w:color="auto"/>
            <w:bottom w:val="none" w:sz="0" w:space="0" w:color="auto"/>
            <w:right w:val="none" w:sz="0" w:space="0" w:color="auto"/>
          </w:divBdr>
          <w:divsChild>
            <w:div w:id="1968197035">
              <w:marLeft w:val="0"/>
              <w:marRight w:val="0"/>
              <w:marTop w:val="0"/>
              <w:marBottom w:val="0"/>
              <w:divBdr>
                <w:top w:val="none" w:sz="0" w:space="0" w:color="auto"/>
                <w:left w:val="none" w:sz="0" w:space="0" w:color="auto"/>
                <w:bottom w:val="none" w:sz="0" w:space="0" w:color="auto"/>
                <w:right w:val="none" w:sz="0" w:space="0" w:color="auto"/>
              </w:divBdr>
            </w:div>
          </w:divsChild>
        </w:div>
        <w:div w:id="861556931">
          <w:marLeft w:val="0"/>
          <w:marRight w:val="0"/>
          <w:marTop w:val="0"/>
          <w:marBottom w:val="0"/>
          <w:divBdr>
            <w:top w:val="none" w:sz="0" w:space="0" w:color="auto"/>
            <w:left w:val="none" w:sz="0" w:space="0" w:color="auto"/>
            <w:bottom w:val="none" w:sz="0" w:space="0" w:color="auto"/>
            <w:right w:val="none" w:sz="0" w:space="0" w:color="auto"/>
          </w:divBdr>
          <w:divsChild>
            <w:div w:id="1673289002">
              <w:marLeft w:val="0"/>
              <w:marRight w:val="0"/>
              <w:marTop w:val="0"/>
              <w:marBottom w:val="0"/>
              <w:divBdr>
                <w:top w:val="none" w:sz="0" w:space="0" w:color="auto"/>
                <w:left w:val="none" w:sz="0" w:space="0" w:color="auto"/>
                <w:bottom w:val="none" w:sz="0" w:space="0" w:color="auto"/>
                <w:right w:val="none" w:sz="0" w:space="0" w:color="auto"/>
              </w:divBdr>
            </w:div>
          </w:divsChild>
        </w:div>
        <w:div w:id="862208331">
          <w:marLeft w:val="0"/>
          <w:marRight w:val="0"/>
          <w:marTop w:val="0"/>
          <w:marBottom w:val="0"/>
          <w:divBdr>
            <w:top w:val="none" w:sz="0" w:space="0" w:color="auto"/>
            <w:left w:val="none" w:sz="0" w:space="0" w:color="auto"/>
            <w:bottom w:val="none" w:sz="0" w:space="0" w:color="auto"/>
            <w:right w:val="none" w:sz="0" w:space="0" w:color="auto"/>
          </w:divBdr>
          <w:divsChild>
            <w:div w:id="100270832">
              <w:marLeft w:val="0"/>
              <w:marRight w:val="0"/>
              <w:marTop w:val="0"/>
              <w:marBottom w:val="0"/>
              <w:divBdr>
                <w:top w:val="none" w:sz="0" w:space="0" w:color="auto"/>
                <w:left w:val="none" w:sz="0" w:space="0" w:color="auto"/>
                <w:bottom w:val="none" w:sz="0" w:space="0" w:color="auto"/>
                <w:right w:val="none" w:sz="0" w:space="0" w:color="auto"/>
              </w:divBdr>
            </w:div>
          </w:divsChild>
        </w:div>
        <w:div w:id="867059972">
          <w:marLeft w:val="0"/>
          <w:marRight w:val="0"/>
          <w:marTop w:val="0"/>
          <w:marBottom w:val="0"/>
          <w:divBdr>
            <w:top w:val="none" w:sz="0" w:space="0" w:color="auto"/>
            <w:left w:val="none" w:sz="0" w:space="0" w:color="auto"/>
            <w:bottom w:val="none" w:sz="0" w:space="0" w:color="auto"/>
            <w:right w:val="none" w:sz="0" w:space="0" w:color="auto"/>
          </w:divBdr>
          <w:divsChild>
            <w:div w:id="901329221">
              <w:marLeft w:val="0"/>
              <w:marRight w:val="0"/>
              <w:marTop w:val="0"/>
              <w:marBottom w:val="0"/>
              <w:divBdr>
                <w:top w:val="none" w:sz="0" w:space="0" w:color="auto"/>
                <w:left w:val="none" w:sz="0" w:space="0" w:color="auto"/>
                <w:bottom w:val="none" w:sz="0" w:space="0" w:color="auto"/>
                <w:right w:val="none" w:sz="0" w:space="0" w:color="auto"/>
              </w:divBdr>
            </w:div>
          </w:divsChild>
        </w:div>
        <w:div w:id="867260032">
          <w:marLeft w:val="0"/>
          <w:marRight w:val="0"/>
          <w:marTop w:val="0"/>
          <w:marBottom w:val="0"/>
          <w:divBdr>
            <w:top w:val="none" w:sz="0" w:space="0" w:color="auto"/>
            <w:left w:val="none" w:sz="0" w:space="0" w:color="auto"/>
            <w:bottom w:val="none" w:sz="0" w:space="0" w:color="auto"/>
            <w:right w:val="none" w:sz="0" w:space="0" w:color="auto"/>
          </w:divBdr>
          <w:divsChild>
            <w:div w:id="2126264552">
              <w:marLeft w:val="0"/>
              <w:marRight w:val="0"/>
              <w:marTop w:val="0"/>
              <w:marBottom w:val="0"/>
              <w:divBdr>
                <w:top w:val="none" w:sz="0" w:space="0" w:color="auto"/>
                <w:left w:val="none" w:sz="0" w:space="0" w:color="auto"/>
                <w:bottom w:val="none" w:sz="0" w:space="0" w:color="auto"/>
                <w:right w:val="none" w:sz="0" w:space="0" w:color="auto"/>
              </w:divBdr>
            </w:div>
          </w:divsChild>
        </w:div>
        <w:div w:id="876235468">
          <w:marLeft w:val="0"/>
          <w:marRight w:val="0"/>
          <w:marTop w:val="0"/>
          <w:marBottom w:val="0"/>
          <w:divBdr>
            <w:top w:val="none" w:sz="0" w:space="0" w:color="auto"/>
            <w:left w:val="none" w:sz="0" w:space="0" w:color="auto"/>
            <w:bottom w:val="none" w:sz="0" w:space="0" w:color="auto"/>
            <w:right w:val="none" w:sz="0" w:space="0" w:color="auto"/>
          </w:divBdr>
          <w:divsChild>
            <w:div w:id="132186403">
              <w:marLeft w:val="0"/>
              <w:marRight w:val="0"/>
              <w:marTop w:val="0"/>
              <w:marBottom w:val="0"/>
              <w:divBdr>
                <w:top w:val="none" w:sz="0" w:space="0" w:color="auto"/>
                <w:left w:val="none" w:sz="0" w:space="0" w:color="auto"/>
                <w:bottom w:val="none" w:sz="0" w:space="0" w:color="auto"/>
                <w:right w:val="none" w:sz="0" w:space="0" w:color="auto"/>
              </w:divBdr>
            </w:div>
          </w:divsChild>
        </w:div>
        <w:div w:id="877469504">
          <w:marLeft w:val="0"/>
          <w:marRight w:val="0"/>
          <w:marTop w:val="0"/>
          <w:marBottom w:val="0"/>
          <w:divBdr>
            <w:top w:val="none" w:sz="0" w:space="0" w:color="auto"/>
            <w:left w:val="none" w:sz="0" w:space="0" w:color="auto"/>
            <w:bottom w:val="none" w:sz="0" w:space="0" w:color="auto"/>
            <w:right w:val="none" w:sz="0" w:space="0" w:color="auto"/>
          </w:divBdr>
          <w:divsChild>
            <w:div w:id="1050963033">
              <w:marLeft w:val="0"/>
              <w:marRight w:val="0"/>
              <w:marTop w:val="0"/>
              <w:marBottom w:val="0"/>
              <w:divBdr>
                <w:top w:val="none" w:sz="0" w:space="0" w:color="auto"/>
                <w:left w:val="none" w:sz="0" w:space="0" w:color="auto"/>
                <w:bottom w:val="none" w:sz="0" w:space="0" w:color="auto"/>
                <w:right w:val="none" w:sz="0" w:space="0" w:color="auto"/>
              </w:divBdr>
            </w:div>
          </w:divsChild>
        </w:div>
        <w:div w:id="880169708">
          <w:marLeft w:val="0"/>
          <w:marRight w:val="0"/>
          <w:marTop w:val="0"/>
          <w:marBottom w:val="0"/>
          <w:divBdr>
            <w:top w:val="none" w:sz="0" w:space="0" w:color="auto"/>
            <w:left w:val="none" w:sz="0" w:space="0" w:color="auto"/>
            <w:bottom w:val="none" w:sz="0" w:space="0" w:color="auto"/>
            <w:right w:val="none" w:sz="0" w:space="0" w:color="auto"/>
          </w:divBdr>
          <w:divsChild>
            <w:div w:id="1420717061">
              <w:marLeft w:val="0"/>
              <w:marRight w:val="0"/>
              <w:marTop w:val="0"/>
              <w:marBottom w:val="0"/>
              <w:divBdr>
                <w:top w:val="none" w:sz="0" w:space="0" w:color="auto"/>
                <w:left w:val="none" w:sz="0" w:space="0" w:color="auto"/>
                <w:bottom w:val="none" w:sz="0" w:space="0" w:color="auto"/>
                <w:right w:val="none" w:sz="0" w:space="0" w:color="auto"/>
              </w:divBdr>
            </w:div>
          </w:divsChild>
        </w:div>
        <w:div w:id="881483472">
          <w:marLeft w:val="0"/>
          <w:marRight w:val="0"/>
          <w:marTop w:val="0"/>
          <w:marBottom w:val="0"/>
          <w:divBdr>
            <w:top w:val="none" w:sz="0" w:space="0" w:color="auto"/>
            <w:left w:val="none" w:sz="0" w:space="0" w:color="auto"/>
            <w:bottom w:val="none" w:sz="0" w:space="0" w:color="auto"/>
            <w:right w:val="none" w:sz="0" w:space="0" w:color="auto"/>
          </w:divBdr>
          <w:divsChild>
            <w:div w:id="667051934">
              <w:marLeft w:val="0"/>
              <w:marRight w:val="0"/>
              <w:marTop w:val="0"/>
              <w:marBottom w:val="0"/>
              <w:divBdr>
                <w:top w:val="none" w:sz="0" w:space="0" w:color="auto"/>
                <w:left w:val="none" w:sz="0" w:space="0" w:color="auto"/>
                <w:bottom w:val="none" w:sz="0" w:space="0" w:color="auto"/>
                <w:right w:val="none" w:sz="0" w:space="0" w:color="auto"/>
              </w:divBdr>
            </w:div>
          </w:divsChild>
        </w:div>
        <w:div w:id="903686368">
          <w:marLeft w:val="0"/>
          <w:marRight w:val="0"/>
          <w:marTop w:val="0"/>
          <w:marBottom w:val="0"/>
          <w:divBdr>
            <w:top w:val="none" w:sz="0" w:space="0" w:color="auto"/>
            <w:left w:val="none" w:sz="0" w:space="0" w:color="auto"/>
            <w:bottom w:val="none" w:sz="0" w:space="0" w:color="auto"/>
            <w:right w:val="none" w:sz="0" w:space="0" w:color="auto"/>
          </w:divBdr>
          <w:divsChild>
            <w:div w:id="1096245002">
              <w:marLeft w:val="0"/>
              <w:marRight w:val="0"/>
              <w:marTop w:val="0"/>
              <w:marBottom w:val="0"/>
              <w:divBdr>
                <w:top w:val="none" w:sz="0" w:space="0" w:color="auto"/>
                <w:left w:val="none" w:sz="0" w:space="0" w:color="auto"/>
                <w:bottom w:val="none" w:sz="0" w:space="0" w:color="auto"/>
                <w:right w:val="none" w:sz="0" w:space="0" w:color="auto"/>
              </w:divBdr>
            </w:div>
          </w:divsChild>
        </w:div>
        <w:div w:id="911282370">
          <w:marLeft w:val="0"/>
          <w:marRight w:val="0"/>
          <w:marTop w:val="0"/>
          <w:marBottom w:val="0"/>
          <w:divBdr>
            <w:top w:val="none" w:sz="0" w:space="0" w:color="auto"/>
            <w:left w:val="none" w:sz="0" w:space="0" w:color="auto"/>
            <w:bottom w:val="none" w:sz="0" w:space="0" w:color="auto"/>
            <w:right w:val="none" w:sz="0" w:space="0" w:color="auto"/>
          </w:divBdr>
          <w:divsChild>
            <w:div w:id="1183012167">
              <w:marLeft w:val="0"/>
              <w:marRight w:val="0"/>
              <w:marTop w:val="0"/>
              <w:marBottom w:val="0"/>
              <w:divBdr>
                <w:top w:val="none" w:sz="0" w:space="0" w:color="auto"/>
                <w:left w:val="none" w:sz="0" w:space="0" w:color="auto"/>
                <w:bottom w:val="none" w:sz="0" w:space="0" w:color="auto"/>
                <w:right w:val="none" w:sz="0" w:space="0" w:color="auto"/>
              </w:divBdr>
            </w:div>
          </w:divsChild>
        </w:div>
        <w:div w:id="921722849">
          <w:marLeft w:val="0"/>
          <w:marRight w:val="0"/>
          <w:marTop w:val="0"/>
          <w:marBottom w:val="0"/>
          <w:divBdr>
            <w:top w:val="none" w:sz="0" w:space="0" w:color="auto"/>
            <w:left w:val="none" w:sz="0" w:space="0" w:color="auto"/>
            <w:bottom w:val="none" w:sz="0" w:space="0" w:color="auto"/>
            <w:right w:val="none" w:sz="0" w:space="0" w:color="auto"/>
          </w:divBdr>
          <w:divsChild>
            <w:div w:id="644748024">
              <w:marLeft w:val="0"/>
              <w:marRight w:val="0"/>
              <w:marTop w:val="0"/>
              <w:marBottom w:val="0"/>
              <w:divBdr>
                <w:top w:val="none" w:sz="0" w:space="0" w:color="auto"/>
                <w:left w:val="none" w:sz="0" w:space="0" w:color="auto"/>
                <w:bottom w:val="none" w:sz="0" w:space="0" w:color="auto"/>
                <w:right w:val="none" w:sz="0" w:space="0" w:color="auto"/>
              </w:divBdr>
            </w:div>
          </w:divsChild>
        </w:div>
        <w:div w:id="922026775">
          <w:marLeft w:val="0"/>
          <w:marRight w:val="0"/>
          <w:marTop w:val="0"/>
          <w:marBottom w:val="0"/>
          <w:divBdr>
            <w:top w:val="none" w:sz="0" w:space="0" w:color="auto"/>
            <w:left w:val="none" w:sz="0" w:space="0" w:color="auto"/>
            <w:bottom w:val="none" w:sz="0" w:space="0" w:color="auto"/>
            <w:right w:val="none" w:sz="0" w:space="0" w:color="auto"/>
          </w:divBdr>
          <w:divsChild>
            <w:div w:id="1791246025">
              <w:marLeft w:val="0"/>
              <w:marRight w:val="0"/>
              <w:marTop w:val="0"/>
              <w:marBottom w:val="0"/>
              <w:divBdr>
                <w:top w:val="none" w:sz="0" w:space="0" w:color="auto"/>
                <w:left w:val="none" w:sz="0" w:space="0" w:color="auto"/>
                <w:bottom w:val="none" w:sz="0" w:space="0" w:color="auto"/>
                <w:right w:val="none" w:sz="0" w:space="0" w:color="auto"/>
              </w:divBdr>
            </w:div>
          </w:divsChild>
        </w:div>
        <w:div w:id="923301224">
          <w:marLeft w:val="0"/>
          <w:marRight w:val="0"/>
          <w:marTop w:val="0"/>
          <w:marBottom w:val="0"/>
          <w:divBdr>
            <w:top w:val="none" w:sz="0" w:space="0" w:color="auto"/>
            <w:left w:val="none" w:sz="0" w:space="0" w:color="auto"/>
            <w:bottom w:val="none" w:sz="0" w:space="0" w:color="auto"/>
            <w:right w:val="none" w:sz="0" w:space="0" w:color="auto"/>
          </w:divBdr>
          <w:divsChild>
            <w:div w:id="1940746720">
              <w:marLeft w:val="0"/>
              <w:marRight w:val="0"/>
              <w:marTop w:val="0"/>
              <w:marBottom w:val="0"/>
              <w:divBdr>
                <w:top w:val="none" w:sz="0" w:space="0" w:color="auto"/>
                <w:left w:val="none" w:sz="0" w:space="0" w:color="auto"/>
                <w:bottom w:val="none" w:sz="0" w:space="0" w:color="auto"/>
                <w:right w:val="none" w:sz="0" w:space="0" w:color="auto"/>
              </w:divBdr>
            </w:div>
          </w:divsChild>
        </w:div>
        <w:div w:id="926226840">
          <w:marLeft w:val="0"/>
          <w:marRight w:val="0"/>
          <w:marTop w:val="0"/>
          <w:marBottom w:val="0"/>
          <w:divBdr>
            <w:top w:val="none" w:sz="0" w:space="0" w:color="auto"/>
            <w:left w:val="none" w:sz="0" w:space="0" w:color="auto"/>
            <w:bottom w:val="none" w:sz="0" w:space="0" w:color="auto"/>
            <w:right w:val="none" w:sz="0" w:space="0" w:color="auto"/>
          </w:divBdr>
          <w:divsChild>
            <w:div w:id="1847936516">
              <w:marLeft w:val="0"/>
              <w:marRight w:val="0"/>
              <w:marTop w:val="0"/>
              <w:marBottom w:val="0"/>
              <w:divBdr>
                <w:top w:val="none" w:sz="0" w:space="0" w:color="auto"/>
                <w:left w:val="none" w:sz="0" w:space="0" w:color="auto"/>
                <w:bottom w:val="none" w:sz="0" w:space="0" w:color="auto"/>
                <w:right w:val="none" w:sz="0" w:space="0" w:color="auto"/>
              </w:divBdr>
            </w:div>
          </w:divsChild>
        </w:div>
        <w:div w:id="928733900">
          <w:marLeft w:val="0"/>
          <w:marRight w:val="0"/>
          <w:marTop w:val="0"/>
          <w:marBottom w:val="0"/>
          <w:divBdr>
            <w:top w:val="none" w:sz="0" w:space="0" w:color="auto"/>
            <w:left w:val="none" w:sz="0" w:space="0" w:color="auto"/>
            <w:bottom w:val="none" w:sz="0" w:space="0" w:color="auto"/>
            <w:right w:val="none" w:sz="0" w:space="0" w:color="auto"/>
          </w:divBdr>
          <w:divsChild>
            <w:div w:id="871259748">
              <w:marLeft w:val="0"/>
              <w:marRight w:val="0"/>
              <w:marTop w:val="0"/>
              <w:marBottom w:val="0"/>
              <w:divBdr>
                <w:top w:val="none" w:sz="0" w:space="0" w:color="auto"/>
                <w:left w:val="none" w:sz="0" w:space="0" w:color="auto"/>
                <w:bottom w:val="none" w:sz="0" w:space="0" w:color="auto"/>
                <w:right w:val="none" w:sz="0" w:space="0" w:color="auto"/>
              </w:divBdr>
            </w:div>
          </w:divsChild>
        </w:div>
        <w:div w:id="931546633">
          <w:marLeft w:val="0"/>
          <w:marRight w:val="0"/>
          <w:marTop w:val="0"/>
          <w:marBottom w:val="0"/>
          <w:divBdr>
            <w:top w:val="none" w:sz="0" w:space="0" w:color="auto"/>
            <w:left w:val="none" w:sz="0" w:space="0" w:color="auto"/>
            <w:bottom w:val="none" w:sz="0" w:space="0" w:color="auto"/>
            <w:right w:val="none" w:sz="0" w:space="0" w:color="auto"/>
          </w:divBdr>
          <w:divsChild>
            <w:div w:id="567228448">
              <w:marLeft w:val="0"/>
              <w:marRight w:val="0"/>
              <w:marTop w:val="0"/>
              <w:marBottom w:val="0"/>
              <w:divBdr>
                <w:top w:val="none" w:sz="0" w:space="0" w:color="auto"/>
                <w:left w:val="none" w:sz="0" w:space="0" w:color="auto"/>
                <w:bottom w:val="none" w:sz="0" w:space="0" w:color="auto"/>
                <w:right w:val="none" w:sz="0" w:space="0" w:color="auto"/>
              </w:divBdr>
            </w:div>
          </w:divsChild>
        </w:div>
        <w:div w:id="932398856">
          <w:marLeft w:val="0"/>
          <w:marRight w:val="0"/>
          <w:marTop w:val="0"/>
          <w:marBottom w:val="0"/>
          <w:divBdr>
            <w:top w:val="none" w:sz="0" w:space="0" w:color="auto"/>
            <w:left w:val="none" w:sz="0" w:space="0" w:color="auto"/>
            <w:bottom w:val="none" w:sz="0" w:space="0" w:color="auto"/>
            <w:right w:val="none" w:sz="0" w:space="0" w:color="auto"/>
          </w:divBdr>
          <w:divsChild>
            <w:div w:id="1351371662">
              <w:marLeft w:val="0"/>
              <w:marRight w:val="0"/>
              <w:marTop w:val="0"/>
              <w:marBottom w:val="0"/>
              <w:divBdr>
                <w:top w:val="none" w:sz="0" w:space="0" w:color="auto"/>
                <w:left w:val="none" w:sz="0" w:space="0" w:color="auto"/>
                <w:bottom w:val="none" w:sz="0" w:space="0" w:color="auto"/>
                <w:right w:val="none" w:sz="0" w:space="0" w:color="auto"/>
              </w:divBdr>
            </w:div>
          </w:divsChild>
        </w:div>
        <w:div w:id="937713488">
          <w:marLeft w:val="0"/>
          <w:marRight w:val="0"/>
          <w:marTop w:val="0"/>
          <w:marBottom w:val="0"/>
          <w:divBdr>
            <w:top w:val="none" w:sz="0" w:space="0" w:color="auto"/>
            <w:left w:val="none" w:sz="0" w:space="0" w:color="auto"/>
            <w:bottom w:val="none" w:sz="0" w:space="0" w:color="auto"/>
            <w:right w:val="none" w:sz="0" w:space="0" w:color="auto"/>
          </w:divBdr>
          <w:divsChild>
            <w:div w:id="489559613">
              <w:marLeft w:val="0"/>
              <w:marRight w:val="0"/>
              <w:marTop w:val="0"/>
              <w:marBottom w:val="0"/>
              <w:divBdr>
                <w:top w:val="none" w:sz="0" w:space="0" w:color="auto"/>
                <w:left w:val="none" w:sz="0" w:space="0" w:color="auto"/>
                <w:bottom w:val="none" w:sz="0" w:space="0" w:color="auto"/>
                <w:right w:val="none" w:sz="0" w:space="0" w:color="auto"/>
              </w:divBdr>
            </w:div>
          </w:divsChild>
        </w:div>
        <w:div w:id="939415572">
          <w:marLeft w:val="0"/>
          <w:marRight w:val="0"/>
          <w:marTop w:val="0"/>
          <w:marBottom w:val="0"/>
          <w:divBdr>
            <w:top w:val="none" w:sz="0" w:space="0" w:color="auto"/>
            <w:left w:val="none" w:sz="0" w:space="0" w:color="auto"/>
            <w:bottom w:val="none" w:sz="0" w:space="0" w:color="auto"/>
            <w:right w:val="none" w:sz="0" w:space="0" w:color="auto"/>
          </w:divBdr>
          <w:divsChild>
            <w:div w:id="166869735">
              <w:marLeft w:val="0"/>
              <w:marRight w:val="0"/>
              <w:marTop w:val="0"/>
              <w:marBottom w:val="0"/>
              <w:divBdr>
                <w:top w:val="none" w:sz="0" w:space="0" w:color="auto"/>
                <w:left w:val="none" w:sz="0" w:space="0" w:color="auto"/>
                <w:bottom w:val="none" w:sz="0" w:space="0" w:color="auto"/>
                <w:right w:val="none" w:sz="0" w:space="0" w:color="auto"/>
              </w:divBdr>
            </w:div>
          </w:divsChild>
        </w:div>
        <w:div w:id="944849700">
          <w:marLeft w:val="0"/>
          <w:marRight w:val="0"/>
          <w:marTop w:val="0"/>
          <w:marBottom w:val="0"/>
          <w:divBdr>
            <w:top w:val="none" w:sz="0" w:space="0" w:color="auto"/>
            <w:left w:val="none" w:sz="0" w:space="0" w:color="auto"/>
            <w:bottom w:val="none" w:sz="0" w:space="0" w:color="auto"/>
            <w:right w:val="none" w:sz="0" w:space="0" w:color="auto"/>
          </w:divBdr>
          <w:divsChild>
            <w:div w:id="2079475218">
              <w:marLeft w:val="0"/>
              <w:marRight w:val="0"/>
              <w:marTop w:val="0"/>
              <w:marBottom w:val="0"/>
              <w:divBdr>
                <w:top w:val="none" w:sz="0" w:space="0" w:color="auto"/>
                <w:left w:val="none" w:sz="0" w:space="0" w:color="auto"/>
                <w:bottom w:val="none" w:sz="0" w:space="0" w:color="auto"/>
                <w:right w:val="none" w:sz="0" w:space="0" w:color="auto"/>
              </w:divBdr>
            </w:div>
          </w:divsChild>
        </w:div>
        <w:div w:id="953171823">
          <w:marLeft w:val="0"/>
          <w:marRight w:val="0"/>
          <w:marTop w:val="0"/>
          <w:marBottom w:val="0"/>
          <w:divBdr>
            <w:top w:val="none" w:sz="0" w:space="0" w:color="auto"/>
            <w:left w:val="none" w:sz="0" w:space="0" w:color="auto"/>
            <w:bottom w:val="none" w:sz="0" w:space="0" w:color="auto"/>
            <w:right w:val="none" w:sz="0" w:space="0" w:color="auto"/>
          </w:divBdr>
          <w:divsChild>
            <w:div w:id="1548183210">
              <w:marLeft w:val="0"/>
              <w:marRight w:val="0"/>
              <w:marTop w:val="0"/>
              <w:marBottom w:val="0"/>
              <w:divBdr>
                <w:top w:val="none" w:sz="0" w:space="0" w:color="auto"/>
                <w:left w:val="none" w:sz="0" w:space="0" w:color="auto"/>
                <w:bottom w:val="none" w:sz="0" w:space="0" w:color="auto"/>
                <w:right w:val="none" w:sz="0" w:space="0" w:color="auto"/>
              </w:divBdr>
            </w:div>
          </w:divsChild>
        </w:div>
        <w:div w:id="970017218">
          <w:marLeft w:val="0"/>
          <w:marRight w:val="0"/>
          <w:marTop w:val="0"/>
          <w:marBottom w:val="0"/>
          <w:divBdr>
            <w:top w:val="none" w:sz="0" w:space="0" w:color="auto"/>
            <w:left w:val="none" w:sz="0" w:space="0" w:color="auto"/>
            <w:bottom w:val="none" w:sz="0" w:space="0" w:color="auto"/>
            <w:right w:val="none" w:sz="0" w:space="0" w:color="auto"/>
          </w:divBdr>
          <w:divsChild>
            <w:div w:id="647905339">
              <w:marLeft w:val="0"/>
              <w:marRight w:val="0"/>
              <w:marTop w:val="0"/>
              <w:marBottom w:val="0"/>
              <w:divBdr>
                <w:top w:val="none" w:sz="0" w:space="0" w:color="auto"/>
                <w:left w:val="none" w:sz="0" w:space="0" w:color="auto"/>
                <w:bottom w:val="none" w:sz="0" w:space="0" w:color="auto"/>
                <w:right w:val="none" w:sz="0" w:space="0" w:color="auto"/>
              </w:divBdr>
            </w:div>
          </w:divsChild>
        </w:div>
        <w:div w:id="973633194">
          <w:marLeft w:val="0"/>
          <w:marRight w:val="0"/>
          <w:marTop w:val="0"/>
          <w:marBottom w:val="0"/>
          <w:divBdr>
            <w:top w:val="none" w:sz="0" w:space="0" w:color="auto"/>
            <w:left w:val="none" w:sz="0" w:space="0" w:color="auto"/>
            <w:bottom w:val="none" w:sz="0" w:space="0" w:color="auto"/>
            <w:right w:val="none" w:sz="0" w:space="0" w:color="auto"/>
          </w:divBdr>
          <w:divsChild>
            <w:div w:id="666905721">
              <w:marLeft w:val="0"/>
              <w:marRight w:val="0"/>
              <w:marTop w:val="0"/>
              <w:marBottom w:val="0"/>
              <w:divBdr>
                <w:top w:val="none" w:sz="0" w:space="0" w:color="auto"/>
                <w:left w:val="none" w:sz="0" w:space="0" w:color="auto"/>
                <w:bottom w:val="none" w:sz="0" w:space="0" w:color="auto"/>
                <w:right w:val="none" w:sz="0" w:space="0" w:color="auto"/>
              </w:divBdr>
            </w:div>
          </w:divsChild>
        </w:div>
        <w:div w:id="978454791">
          <w:marLeft w:val="0"/>
          <w:marRight w:val="0"/>
          <w:marTop w:val="0"/>
          <w:marBottom w:val="0"/>
          <w:divBdr>
            <w:top w:val="none" w:sz="0" w:space="0" w:color="auto"/>
            <w:left w:val="none" w:sz="0" w:space="0" w:color="auto"/>
            <w:bottom w:val="none" w:sz="0" w:space="0" w:color="auto"/>
            <w:right w:val="none" w:sz="0" w:space="0" w:color="auto"/>
          </w:divBdr>
          <w:divsChild>
            <w:div w:id="224069284">
              <w:marLeft w:val="0"/>
              <w:marRight w:val="0"/>
              <w:marTop w:val="0"/>
              <w:marBottom w:val="0"/>
              <w:divBdr>
                <w:top w:val="none" w:sz="0" w:space="0" w:color="auto"/>
                <w:left w:val="none" w:sz="0" w:space="0" w:color="auto"/>
                <w:bottom w:val="none" w:sz="0" w:space="0" w:color="auto"/>
                <w:right w:val="none" w:sz="0" w:space="0" w:color="auto"/>
              </w:divBdr>
            </w:div>
          </w:divsChild>
        </w:div>
        <w:div w:id="981889047">
          <w:marLeft w:val="0"/>
          <w:marRight w:val="0"/>
          <w:marTop w:val="0"/>
          <w:marBottom w:val="0"/>
          <w:divBdr>
            <w:top w:val="none" w:sz="0" w:space="0" w:color="auto"/>
            <w:left w:val="none" w:sz="0" w:space="0" w:color="auto"/>
            <w:bottom w:val="none" w:sz="0" w:space="0" w:color="auto"/>
            <w:right w:val="none" w:sz="0" w:space="0" w:color="auto"/>
          </w:divBdr>
          <w:divsChild>
            <w:div w:id="2127970046">
              <w:marLeft w:val="0"/>
              <w:marRight w:val="0"/>
              <w:marTop w:val="0"/>
              <w:marBottom w:val="0"/>
              <w:divBdr>
                <w:top w:val="none" w:sz="0" w:space="0" w:color="auto"/>
                <w:left w:val="none" w:sz="0" w:space="0" w:color="auto"/>
                <w:bottom w:val="none" w:sz="0" w:space="0" w:color="auto"/>
                <w:right w:val="none" w:sz="0" w:space="0" w:color="auto"/>
              </w:divBdr>
            </w:div>
          </w:divsChild>
        </w:div>
        <w:div w:id="988168659">
          <w:marLeft w:val="0"/>
          <w:marRight w:val="0"/>
          <w:marTop w:val="0"/>
          <w:marBottom w:val="0"/>
          <w:divBdr>
            <w:top w:val="none" w:sz="0" w:space="0" w:color="auto"/>
            <w:left w:val="none" w:sz="0" w:space="0" w:color="auto"/>
            <w:bottom w:val="none" w:sz="0" w:space="0" w:color="auto"/>
            <w:right w:val="none" w:sz="0" w:space="0" w:color="auto"/>
          </w:divBdr>
          <w:divsChild>
            <w:div w:id="1769158851">
              <w:marLeft w:val="0"/>
              <w:marRight w:val="0"/>
              <w:marTop w:val="0"/>
              <w:marBottom w:val="0"/>
              <w:divBdr>
                <w:top w:val="none" w:sz="0" w:space="0" w:color="auto"/>
                <w:left w:val="none" w:sz="0" w:space="0" w:color="auto"/>
                <w:bottom w:val="none" w:sz="0" w:space="0" w:color="auto"/>
                <w:right w:val="none" w:sz="0" w:space="0" w:color="auto"/>
              </w:divBdr>
            </w:div>
          </w:divsChild>
        </w:div>
        <w:div w:id="1000158227">
          <w:marLeft w:val="0"/>
          <w:marRight w:val="0"/>
          <w:marTop w:val="0"/>
          <w:marBottom w:val="0"/>
          <w:divBdr>
            <w:top w:val="none" w:sz="0" w:space="0" w:color="auto"/>
            <w:left w:val="none" w:sz="0" w:space="0" w:color="auto"/>
            <w:bottom w:val="none" w:sz="0" w:space="0" w:color="auto"/>
            <w:right w:val="none" w:sz="0" w:space="0" w:color="auto"/>
          </w:divBdr>
          <w:divsChild>
            <w:div w:id="980502358">
              <w:marLeft w:val="0"/>
              <w:marRight w:val="0"/>
              <w:marTop w:val="0"/>
              <w:marBottom w:val="0"/>
              <w:divBdr>
                <w:top w:val="none" w:sz="0" w:space="0" w:color="auto"/>
                <w:left w:val="none" w:sz="0" w:space="0" w:color="auto"/>
                <w:bottom w:val="none" w:sz="0" w:space="0" w:color="auto"/>
                <w:right w:val="none" w:sz="0" w:space="0" w:color="auto"/>
              </w:divBdr>
            </w:div>
          </w:divsChild>
        </w:div>
        <w:div w:id="1001087438">
          <w:marLeft w:val="0"/>
          <w:marRight w:val="0"/>
          <w:marTop w:val="0"/>
          <w:marBottom w:val="0"/>
          <w:divBdr>
            <w:top w:val="none" w:sz="0" w:space="0" w:color="auto"/>
            <w:left w:val="none" w:sz="0" w:space="0" w:color="auto"/>
            <w:bottom w:val="none" w:sz="0" w:space="0" w:color="auto"/>
            <w:right w:val="none" w:sz="0" w:space="0" w:color="auto"/>
          </w:divBdr>
          <w:divsChild>
            <w:div w:id="419184639">
              <w:marLeft w:val="0"/>
              <w:marRight w:val="0"/>
              <w:marTop w:val="0"/>
              <w:marBottom w:val="0"/>
              <w:divBdr>
                <w:top w:val="none" w:sz="0" w:space="0" w:color="auto"/>
                <w:left w:val="none" w:sz="0" w:space="0" w:color="auto"/>
                <w:bottom w:val="none" w:sz="0" w:space="0" w:color="auto"/>
                <w:right w:val="none" w:sz="0" w:space="0" w:color="auto"/>
              </w:divBdr>
            </w:div>
          </w:divsChild>
        </w:div>
        <w:div w:id="1002706553">
          <w:marLeft w:val="0"/>
          <w:marRight w:val="0"/>
          <w:marTop w:val="0"/>
          <w:marBottom w:val="0"/>
          <w:divBdr>
            <w:top w:val="none" w:sz="0" w:space="0" w:color="auto"/>
            <w:left w:val="none" w:sz="0" w:space="0" w:color="auto"/>
            <w:bottom w:val="none" w:sz="0" w:space="0" w:color="auto"/>
            <w:right w:val="none" w:sz="0" w:space="0" w:color="auto"/>
          </w:divBdr>
          <w:divsChild>
            <w:div w:id="177163978">
              <w:marLeft w:val="0"/>
              <w:marRight w:val="0"/>
              <w:marTop w:val="0"/>
              <w:marBottom w:val="0"/>
              <w:divBdr>
                <w:top w:val="none" w:sz="0" w:space="0" w:color="auto"/>
                <w:left w:val="none" w:sz="0" w:space="0" w:color="auto"/>
                <w:bottom w:val="none" w:sz="0" w:space="0" w:color="auto"/>
                <w:right w:val="none" w:sz="0" w:space="0" w:color="auto"/>
              </w:divBdr>
            </w:div>
          </w:divsChild>
        </w:div>
        <w:div w:id="1004285961">
          <w:marLeft w:val="0"/>
          <w:marRight w:val="0"/>
          <w:marTop w:val="0"/>
          <w:marBottom w:val="0"/>
          <w:divBdr>
            <w:top w:val="none" w:sz="0" w:space="0" w:color="auto"/>
            <w:left w:val="none" w:sz="0" w:space="0" w:color="auto"/>
            <w:bottom w:val="none" w:sz="0" w:space="0" w:color="auto"/>
            <w:right w:val="none" w:sz="0" w:space="0" w:color="auto"/>
          </w:divBdr>
          <w:divsChild>
            <w:div w:id="1613778994">
              <w:marLeft w:val="0"/>
              <w:marRight w:val="0"/>
              <w:marTop w:val="0"/>
              <w:marBottom w:val="0"/>
              <w:divBdr>
                <w:top w:val="none" w:sz="0" w:space="0" w:color="auto"/>
                <w:left w:val="none" w:sz="0" w:space="0" w:color="auto"/>
                <w:bottom w:val="none" w:sz="0" w:space="0" w:color="auto"/>
                <w:right w:val="none" w:sz="0" w:space="0" w:color="auto"/>
              </w:divBdr>
            </w:div>
          </w:divsChild>
        </w:div>
        <w:div w:id="1014385570">
          <w:marLeft w:val="0"/>
          <w:marRight w:val="0"/>
          <w:marTop w:val="0"/>
          <w:marBottom w:val="0"/>
          <w:divBdr>
            <w:top w:val="none" w:sz="0" w:space="0" w:color="auto"/>
            <w:left w:val="none" w:sz="0" w:space="0" w:color="auto"/>
            <w:bottom w:val="none" w:sz="0" w:space="0" w:color="auto"/>
            <w:right w:val="none" w:sz="0" w:space="0" w:color="auto"/>
          </w:divBdr>
          <w:divsChild>
            <w:div w:id="1458256441">
              <w:marLeft w:val="0"/>
              <w:marRight w:val="0"/>
              <w:marTop w:val="0"/>
              <w:marBottom w:val="0"/>
              <w:divBdr>
                <w:top w:val="none" w:sz="0" w:space="0" w:color="auto"/>
                <w:left w:val="none" w:sz="0" w:space="0" w:color="auto"/>
                <w:bottom w:val="none" w:sz="0" w:space="0" w:color="auto"/>
                <w:right w:val="none" w:sz="0" w:space="0" w:color="auto"/>
              </w:divBdr>
            </w:div>
          </w:divsChild>
        </w:div>
        <w:div w:id="1016662139">
          <w:marLeft w:val="0"/>
          <w:marRight w:val="0"/>
          <w:marTop w:val="0"/>
          <w:marBottom w:val="0"/>
          <w:divBdr>
            <w:top w:val="none" w:sz="0" w:space="0" w:color="auto"/>
            <w:left w:val="none" w:sz="0" w:space="0" w:color="auto"/>
            <w:bottom w:val="none" w:sz="0" w:space="0" w:color="auto"/>
            <w:right w:val="none" w:sz="0" w:space="0" w:color="auto"/>
          </w:divBdr>
          <w:divsChild>
            <w:div w:id="338192293">
              <w:marLeft w:val="0"/>
              <w:marRight w:val="0"/>
              <w:marTop w:val="0"/>
              <w:marBottom w:val="0"/>
              <w:divBdr>
                <w:top w:val="none" w:sz="0" w:space="0" w:color="auto"/>
                <w:left w:val="none" w:sz="0" w:space="0" w:color="auto"/>
                <w:bottom w:val="none" w:sz="0" w:space="0" w:color="auto"/>
                <w:right w:val="none" w:sz="0" w:space="0" w:color="auto"/>
              </w:divBdr>
            </w:div>
          </w:divsChild>
        </w:div>
        <w:div w:id="1019894738">
          <w:marLeft w:val="0"/>
          <w:marRight w:val="0"/>
          <w:marTop w:val="0"/>
          <w:marBottom w:val="0"/>
          <w:divBdr>
            <w:top w:val="none" w:sz="0" w:space="0" w:color="auto"/>
            <w:left w:val="none" w:sz="0" w:space="0" w:color="auto"/>
            <w:bottom w:val="none" w:sz="0" w:space="0" w:color="auto"/>
            <w:right w:val="none" w:sz="0" w:space="0" w:color="auto"/>
          </w:divBdr>
          <w:divsChild>
            <w:div w:id="1126777645">
              <w:marLeft w:val="0"/>
              <w:marRight w:val="0"/>
              <w:marTop w:val="0"/>
              <w:marBottom w:val="0"/>
              <w:divBdr>
                <w:top w:val="none" w:sz="0" w:space="0" w:color="auto"/>
                <w:left w:val="none" w:sz="0" w:space="0" w:color="auto"/>
                <w:bottom w:val="none" w:sz="0" w:space="0" w:color="auto"/>
                <w:right w:val="none" w:sz="0" w:space="0" w:color="auto"/>
              </w:divBdr>
            </w:div>
          </w:divsChild>
        </w:div>
        <w:div w:id="1026370224">
          <w:marLeft w:val="0"/>
          <w:marRight w:val="0"/>
          <w:marTop w:val="0"/>
          <w:marBottom w:val="0"/>
          <w:divBdr>
            <w:top w:val="none" w:sz="0" w:space="0" w:color="auto"/>
            <w:left w:val="none" w:sz="0" w:space="0" w:color="auto"/>
            <w:bottom w:val="none" w:sz="0" w:space="0" w:color="auto"/>
            <w:right w:val="none" w:sz="0" w:space="0" w:color="auto"/>
          </w:divBdr>
          <w:divsChild>
            <w:div w:id="1010258080">
              <w:marLeft w:val="0"/>
              <w:marRight w:val="0"/>
              <w:marTop w:val="0"/>
              <w:marBottom w:val="0"/>
              <w:divBdr>
                <w:top w:val="none" w:sz="0" w:space="0" w:color="auto"/>
                <w:left w:val="none" w:sz="0" w:space="0" w:color="auto"/>
                <w:bottom w:val="none" w:sz="0" w:space="0" w:color="auto"/>
                <w:right w:val="none" w:sz="0" w:space="0" w:color="auto"/>
              </w:divBdr>
            </w:div>
          </w:divsChild>
        </w:div>
        <w:div w:id="1026832783">
          <w:marLeft w:val="0"/>
          <w:marRight w:val="0"/>
          <w:marTop w:val="0"/>
          <w:marBottom w:val="0"/>
          <w:divBdr>
            <w:top w:val="none" w:sz="0" w:space="0" w:color="auto"/>
            <w:left w:val="none" w:sz="0" w:space="0" w:color="auto"/>
            <w:bottom w:val="none" w:sz="0" w:space="0" w:color="auto"/>
            <w:right w:val="none" w:sz="0" w:space="0" w:color="auto"/>
          </w:divBdr>
          <w:divsChild>
            <w:div w:id="846478952">
              <w:marLeft w:val="0"/>
              <w:marRight w:val="0"/>
              <w:marTop w:val="0"/>
              <w:marBottom w:val="0"/>
              <w:divBdr>
                <w:top w:val="none" w:sz="0" w:space="0" w:color="auto"/>
                <w:left w:val="none" w:sz="0" w:space="0" w:color="auto"/>
                <w:bottom w:val="none" w:sz="0" w:space="0" w:color="auto"/>
                <w:right w:val="none" w:sz="0" w:space="0" w:color="auto"/>
              </w:divBdr>
            </w:div>
          </w:divsChild>
        </w:div>
        <w:div w:id="1029338700">
          <w:marLeft w:val="0"/>
          <w:marRight w:val="0"/>
          <w:marTop w:val="0"/>
          <w:marBottom w:val="0"/>
          <w:divBdr>
            <w:top w:val="none" w:sz="0" w:space="0" w:color="auto"/>
            <w:left w:val="none" w:sz="0" w:space="0" w:color="auto"/>
            <w:bottom w:val="none" w:sz="0" w:space="0" w:color="auto"/>
            <w:right w:val="none" w:sz="0" w:space="0" w:color="auto"/>
          </w:divBdr>
          <w:divsChild>
            <w:div w:id="254438582">
              <w:marLeft w:val="0"/>
              <w:marRight w:val="0"/>
              <w:marTop w:val="0"/>
              <w:marBottom w:val="0"/>
              <w:divBdr>
                <w:top w:val="none" w:sz="0" w:space="0" w:color="auto"/>
                <w:left w:val="none" w:sz="0" w:space="0" w:color="auto"/>
                <w:bottom w:val="none" w:sz="0" w:space="0" w:color="auto"/>
                <w:right w:val="none" w:sz="0" w:space="0" w:color="auto"/>
              </w:divBdr>
            </w:div>
          </w:divsChild>
        </w:div>
        <w:div w:id="1035424582">
          <w:marLeft w:val="0"/>
          <w:marRight w:val="0"/>
          <w:marTop w:val="0"/>
          <w:marBottom w:val="0"/>
          <w:divBdr>
            <w:top w:val="none" w:sz="0" w:space="0" w:color="auto"/>
            <w:left w:val="none" w:sz="0" w:space="0" w:color="auto"/>
            <w:bottom w:val="none" w:sz="0" w:space="0" w:color="auto"/>
            <w:right w:val="none" w:sz="0" w:space="0" w:color="auto"/>
          </w:divBdr>
          <w:divsChild>
            <w:div w:id="697974713">
              <w:marLeft w:val="0"/>
              <w:marRight w:val="0"/>
              <w:marTop w:val="0"/>
              <w:marBottom w:val="0"/>
              <w:divBdr>
                <w:top w:val="none" w:sz="0" w:space="0" w:color="auto"/>
                <w:left w:val="none" w:sz="0" w:space="0" w:color="auto"/>
                <w:bottom w:val="none" w:sz="0" w:space="0" w:color="auto"/>
                <w:right w:val="none" w:sz="0" w:space="0" w:color="auto"/>
              </w:divBdr>
            </w:div>
          </w:divsChild>
        </w:div>
        <w:div w:id="1037505489">
          <w:marLeft w:val="0"/>
          <w:marRight w:val="0"/>
          <w:marTop w:val="0"/>
          <w:marBottom w:val="0"/>
          <w:divBdr>
            <w:top w:val="none" w:sz="0" w:space="0" w:color="auto"/>
            <w:left w:val="none" w:sz="0" w:space="0" w:color="auto"/>
            <w:bottom w:val="none" w:sz="0" w:space="0" w:color="auto"/>
            <w:right w:val="none" w:sz="0" w:space="0" w:color="auto"/>
          </w:divBdr>
          <w:divsChild>
            <w:div w:id="400641768">
              <w:marLeft w:val="0"/>
              <w:marRight w:val="0"/>
              <w:marTop w:val="0"/>
              <w:marBottom w:val="0"/>
              <w:divBdr>
                <w:top w:val="none" w:sz="0" w:space="0" w:color="auto"/>
                <w:left w:val="none" w:sz="0" w:space="0" w:color="auto"/>
                <w:bottom w:val="none" w:sz="0" w:space="0" w:color="auto"/>
                <w:right w:val="none" w:sz="0" w:space="0" w:color="auto"/>
              </w:divBdr>
            </w:div>
          </w:divsChild>
        </w:div>
        <w:div w:id="1037778633">
          <w:marLeft w:val="0"/>
          <w:marRight w:val="0"/>
          <w:marTop w:val="0"/>
          <w:marBottom w:val="0"/>
          <w:divBdr>
            <w:top w:val="none" w:sz="0" w:space="0" w:color="auto"/>
            <w:left w:val="none" w:sz="0" w:space="0" w:color="auto"/>
            <w:bottom w:val="none" w:sz="0" w:space="0" w:color="auto"/>
            <w:right w:val="none" w:sz="0" w:space="0" w:color="auto"/>
          </w:divBdr>
          <w:divsChild>
            <w:div w:id="1878198594">
              <w:marLeft w:val="0"/>
              <w:marRight w:val="0"/>
              <w:marTop w:val="0"/>
              <w:marBottom w:val="0"/>
              <w:divBdr>
                <w:top w:val="none" w:sz="0" w:space="0" w:color="auto"/>
                <w:left w:val="none" w:sz="0" w:space="0" w:color="auto"/>
                <w:bottom w:val="none" w:sz="0" w:space="0" w:color="auto"/>
                <w:right w:val="none" w:sz="0" w:space="0" w:color="auto"/>
              </w:divBdr>
            </w:div>
          </w:divsChild>
        </w:div>
        <w:div w:id="1041248569">
          <w:marLeft w:val="0"/>
          <w:marRight w:val="0"/>
          <w:marTop w:val="0"/>
          <w:marBottom w:val="0"/>
          <w:divBdr>
            <w:top w:val="none" w:sz="0" w:space="0" w:color="auto"/>
            <w:left w:val="none" w:sz="0" w:space="0" w:color="auto"/>
            <w:bottom w:val="none" w:sz="0" w:space="0" w:color="auto"/>
            <w:right w:val="none" w:sz="0" w:space="0" w:color="auto"/>
          </w:divBdr>
          <w:divsChild>
            <w:div w:id="394471028">
              <w:marLeft w:val="0"/>
              <w:marRight w:val="0"/>
              <w:marTop w:val="0"/>
              <w:marBottom w:val="0"/>
              <w:divBdr>
                <w:top w:val="none" w:sz="0" w:space="0" w:color="auto"/>
                <w:left w:val="none" w:sz="0" w:space="0" w:color="auto"/>
                <w:bottom w:val="none" w:sz="0" w:space="0" w:color="auto"/>
                <w:right w:val="none" w:sz="0" w:space="0" w:color="auto"/>
              </w:divBdr>
            </w:div>
          </w:divsChild>
        </w:div>
        <w:div w:id="1043870025">
          <w:marLeft w:val="0"/>
          <w:marRight w:val="0"/>
          <w:marTop w:val="0"/>
          <w:marBottom w:val="0"/>
          <w:divBdr>
            <w:top w:val="none" w:sz="0" w:space="0" w:color="auto"/>
            <w:left w:val="none" w:sz="0" w:space="0" w:color="auto"/>
            <w:bottom w:val="none" w:sz="0" w:space="0" w:color="auto"/>
            <w:right w:val="none" w:sz="0" w:space="0" w:color="auto"/>
          </w:divBdr>
          <w:divsChild>
            <w:div w:id="1210454315">
              <w:marLeft w:val="0"/>
              <w:marRight w:val="0"/>
              <w:marTop w:val="0"/>
              <w:marBottom w:val="0"/>
              <w:divBdr>
                <w:top w:val="none" w:sz="0" w:space="0" w:color="auto"/>
                <w:left w:val="none" w:sz="0" w:space="0" w:color="auto"/>
                <w:bottom w:val="none" w:sz="0" w:space="0" w:color="auto"/>
                <w:right w:val="none" w:sz="0" w:space="0" w:color="auto"/>
              </w:divBdr>
            </w:div>
          </w:divsChild>
        </w:div>
        <w:div w:id="1044214086">
          <w:marLeft w:val="0"/>
          <w:marRight w:val="0"/>
          <w:marTop w:val="0"/>
          <w:marBottom w:val="0"/>
          <w:divBdr>
            <w:top w:val="none" w:sz="0" w:space="0" w:color="auto"/>
            <w:left w:val="none" w:sz="0" w:space="0" w:color="auto"/>
            <w:bottom w:val="none" w:sz="0" w:space="0" w:color="auto"/>
            <w:right w:val="none" w:sz="0" w:space="0" w:color="auto"/>
          </w:divBdr>
          <w:divsChild>
            <w:div w:id="1539470389">
              <w:marLeft w:val="0"/>
              <w:marRight w:val="0"/>
              <w:marTop w:val="0"/>
              <w:marBottom w:val="0"/>
              <w:divBdr>
                <w:top w:val="none" w:sz="0" w:space="0" w:color="auto"/>
                <w:left w:val="none" w:sz="0" w:space="0" w:color="auto"/>
                <w:bottom w:val="none" w:sz="0" w:space="0" w:color="auto"/>
                <w:right w:val="none" w:sz="0" w:space="0" w:color="auto"/>
              </w:divBdr>
            </w:div>
          </w:divsChild>
        </w:div>
        <w:div w:id="1045911814">
          <w:marLeft w:val="0"/>
          <w:marRight w:val="0"/>
          <w:marTop w:val="0"/>
          <w:marBottom w:val="0"/>
          <w:divBdr>
            <w:top w:val="none" w:sz="0" w:space="0" w:color="auto"/>
            <w:left w:val="none" w:sz="0" w:space="0" w:color="auto"/>
            <w:bottom w:val="none" w:sz="0" w:space="0" w:color="auto"/>
            <w:right w:val="none" w:sz="0" w:space="0" w:color="auto"/>
          </w:divBdr>
          <w:divsChild>
            <w:div w:id="1327250177">
              <w:marLeft w:val="0"/>
              <w:marRight w:val="0"/>
              <w:marTop w:val="0"/>
              <w:marBottom w:val="0"/>
              <w:divBdr>
                <w:top w:val="none" w:sz="0" w:space="0" w:color="auto"/>
                <w:left w:val="none" w:sz="0" w:space="0" w:color="auto"/>
                <w:bottom w:val="none" w:sz="0" w:space="0" w:color="auto"/>
                <w:right w:val="none" w:sz="0" w:space="0" w:color="auto"/>
              </w:divBdr>
            </w:div>
          </w:divsChild>
        </w:div>
        <w:div w:id="1049036281">
          <w:marLeft w:val="0"/>
          <w:marRight w:val="0"/>
          <w:marTop w:val="0"/>
          <w:marBottom w:val="0"/>
          <w:divBdr>
            <w:top w:val="none" w:sz="0" w:space="0" w:color="auto"/>
            <w:left w:val="none" w:sz="0" w:space="0" w:color="auto"/>
            <w:bottom w:val="none" w:sz="0" w:space="0" w:color="auto"/>
            <w:right w:val="none" w:sz="0" w:space="0" w:color="auto"/>
          </w:divBdr>
          <w:divsChild>
            <w:div w:id="2090468924">
              <w:marLeft w:val="0"/>
              <w:marRight w:val="0"/>
              <w:marTop w:val="0"/>
              <w:marBottom w:val="0"/>
              <w:divBdr>
                <w:top w:val="none" w:sz="0" w:space="0" w:color="auto"/>
                <w:left w:val="none" w:sz="0" w:space="0" w:color="auto"/>
                <w:bottom w:val="none" w:sz="0" w:space="0" w:color="auto"/>
                <w:right w:val="none" w:sz="0" w:space="0" w:color="auto"/>
              </w:divBdr>
            </w:div>
          </w:divsChild>
        </w:div>
        <w:div w:id="1056464606">
          <w:marLeft w:val="0"/>
          <w:marRight w:val="0"/>
          <w:marTop w:val="0"/>
          <w:marBottom w:val="0"/>
          <w:divBdr>
            <w:top w:val="none" w:sz="0" w:space="0" w:color="auto"/>
            <w:left w:val="none" w:sz="0" w:space="0" w:color="auto"/>
            <w:bottom w:val="none" w:sz="0" w:space="0" w:color="auto"/>
            <w:right w:val="none" w:sz="0" w:space="0" w:color="auto"/>
          </w:divBdr>
          <w:divsChild>
            <w:div w:id="320013998">
              <w:marLeft w:val="0"/>
              <w:marRight w:val="0"/>
              <w:marTop w:val="0"/>
              <w:marBottom w:val="0"/>
              <w:divBdr>
                <w:top w:val="none" w:sz="0" w:space="0" w:color="auto"/>
                <w:left w:val="none" w:sz="0" w:space="0" w:color="auto"/>
                <w:bottom w:val="none" w:sz="0" w:space="0" w:color="auto"/>
                <w:right w:val="none" w:sz="0" w:space="0" w:color="auto"/>
              </w:divBdr>
            </w:div>
          </w:divsChild>
        </w:div>
        <w:div w:id="1057751874">
          <w:marLeft w:val="0"/>
          <w:marRight w:val="0"/>
          <w:marTop w:val="0"/>
          <w:marBottom w:val="0"/>
          <w:divBdr>
            <w:top w:val="none" w:sz="0" w:space="0" w:color="auto"/>
            <w:left w:val="none" w:sz="0" w:space="0" w:color="auto"/>
            <w:bottom w:val="none" w:sz="0" w:space="0" w:color="auto"/>
            <w:right w:val="none" w:sz="0" w:space="0" w:color="auto"/>
          </w:divBdr>
          <w:divsChild>
            <w:div w:id="1648320437">
              <w:marLeft w:val="0"/>
              <w:marRight w:val="0"/>
              <w:marTop w:val="0"/>
              <w:marBottom w:val="0"/>
              <w:divBdr>
                <w:top w:val="none" w:sz="0" w:space="0" w:color="auto"/>
                <w:left w:val="none" w:sz="0" w:space="0" w:color="auto"/>
                <w:bottom w:val="none" w:sz="0" w:space="0" w:color="auto"/>
                <w:right w:val="none" w:sz="0" w:space="0" w:color="auto"/>
              </w:divBdr>
            </w:div>
          </w:divsChild>
        </w:div>
        <w:div w:id="1061708192">
          <w:marLeft w:val="0"/>
          <w:marRight w:val="0"/>
          <w:marTop w:val="0"/>
          <w:marBottom w:val="0"/>
          <w:divBdr>
            <w:top w:val="none" w:sz="0" w:space="0" w:color="auto"/>
            <w:left w:val="none" w:sz="0" w:space="0" w:color="auto"/>
            <w:bottom w:val="none" w:sz="0" w:space="0" w:color="auto"/>
            <w:right w:val="none" w:sz="0" w:space="0" w:color="auto"/>
          </w:divBdr>
          <w:divsChild>
            <w:div w:id="1899395052">
              <w:marLeft w:val="0"/>
              <w:marRight w:val="0"/>
              <w:marTop w:val="0"/>
              <w:marBottom w:val="0"/>
              <w:divBdr>
                <w:top w:val="none" w:sz="0" w:space="0" w:color="auto"/>
                <w:left w:val="none" w:sz="0" w:space="0" w:color="auto"/>
                <w:bottom w:val="none" w:sz="0" w:space="0" w:color="auto"/>
                <w:right w:val="none" w:sz="0" w:space="0" w:color="auto"/>
              </w:divBdr>
            </w:div>
          </w:divsChild>
        </w:div>
        <w:div w:id="1064723664">
          <w:marLeft w:val="0"/>
          <w:marRight w:val="0"/>
          <w:marTop w:val="0"/>
          <w:marBottom w:val="0"/>
          <w:divBdr>
            <w:top w:val="none" w:sz="0" w:space="0" w:color="auto"/>
            <w:left w:val="none" w:sz="0" w:space="0" w:color="auto"/>
            <w:bottom w:val="none" w:sz="0" w:space="0" w:color="auto"/>
            <w:right w:val="none" w:sz="0" w:space="0" w:color="auto"/>
          </w:divBdr>
          <w:divsChild>
            <w:div w:id="116683325">
              <w:marLeft w:val="0"/>
              <w:marRight w:val="0"/>
              <w:marTop w:val="0"/>
              <w:marBottom w:val="0"/>
              <w:divBdr>
                <w:top w:val="none" w:sz="0" w:space="0" w:color="auto"/>
                <w:left w:val="none" w:sz="0" w:space="0" w:color="auto"/>
                <w:bottom w:val="none" w:sz="0" w:space="0" w:color="auto"/>
                <w:right w:val="none" w:sz="0" w:space="0" w:color="auto"/>
              </w:divBdr>
            </w:div>
          </w:divsChild>
        </w:div>
        <w:div w:id="1073428197">
          <w:marLeft w:val="0"/>
          <w:marRight w:val="0"/>
          <w:marTop w:val="0"/>
          <w:marBottom w:val="0"/>
          <w:divBdr>
            <w:top w:val="none" w:sz="0" w:space="0" w:color="auto"/>
            <w:left w:val="none" w:sz="0" w:space="0" w:color="auto"/>
            <w:bottom w:val="none" w:sz="0" w:space="0" w:color="auto"/>
            <w:right w:val="none" w:sz="0" w:space="0" w:color="auto"/>
          </w:divBdr>
          <w:divsChild>
            <w:div w:id="1949661191">
              <w:marLeft w:val="0"/>
              <w:marRight w:val="0"/>
              <w:marTop w:val="0"/>
              <w:marBottom w:val="0"/>
              <w:divBdr>
                <w:top w:val="none" w:sz="0" w:space="0" w:color="auto"/>
                <w:left w:val="none" w:sz="0" w:space="0" w:color="auto"/>
                <w:bottom w:val="none" w:sz="0" w:space="0" w:color="auto"/>
                <w:right w:val="none" w:sz="0" w:space="0" w:color="auto"/>
              </w:divBdr>
            </w:div>
          </w:divsChild>
        </w:div>
        <w:div w:id="1077897959">
          <w:marLeft w:val="0"/>
          <w:marRight w:val="0"/>
          <w:marTop w:val="0"/>
          <w:marBottom w:val="0"/>
          <w:divBdr>
            <w:top w:val="none" w:sz="0" w:space="0" w:color="auto"/>
            <w:left w:val="none" w:sz="0" w:space="0" w:color="auto"/>
            <w:bottom w:val="none" w:sz="0" w:space="0" w:color="auto"/>
            <w:right w:val="none" w:sz="0" w:space="0" w:color="auto"/>
          </w:divBdr>
          <w:divsChild>
            <w:div w:id="1432816519">
              <w:marLeft w:val="0"/>
              <w:marRight w:val="0"/>
              <w:marTop w:val="0"/>
              <w:marBottom w:val="0"/>
              <w:divBdr>
                <w:top w:val="none" w:sz="0" w:space="0" w:color="auto"/>
                <w:left w:val="none" w:sz="0" w:space="0" w:color="auto"/>
                <w:bottom w:val="none" w:sz="0" w:space="0" w:color="auto"/>
                <w:right w:val="none" w:sz="0" w:space="0" w:color="auto"/>
              </w:divBdr>
            </w:div>
          </w:divsChild>
        </w:div>
        <w:div w:id="1082411605">
          <w:marLeft w:val="0"/>
          <w:marRight w:val="0"/>
          <w:marTop w:val="0"/>
          <w:marBottom w:val="0"/>
          <w:divBdr>
            <w:top w:val="none" w:sz="0" w:space="0" w:color="auto"/>
            <w:left w:val="none" w:sz="0" w:space="0" w:color="auto"/>
            <w:bottom w:val="none" w:sz="0" w:space="0" w:color="auto"/>
            <w:right w:val="none" w:sz="0" w:space="0" w:color="auto"/>
          </w:divBdr>
          <w:divsChild>
            <w:div w:id="930433361">
              <w:marLeft w:val="0"/>
              <w:marRight w:val="0"/>
              <w:marTop w:val="0"/>
              <w:marBottom w:val="0"/>
              <w:divBdr>
                <w:top w:val="none" w:sz="0" w:space="0" w:color="auto"/>
                <w:left w:val="none" w:sz="0" w:space="0" w:color="auto"/>
                <w:bottom w:val="none" w:sz="0" w:space="0" w:color="auto"/>
                <w:right w:val="none" w:sz="0" w:space="0" w:color="auto"/>
              </w:divBdr>
            </w:div>
          </w:divsChild>
        </w:div>
        <w:div w:id="1084182030">
          <w:marLeft w:val="0"/>
          <w:marRight w:val="0"/>
          <w:marTop w:val="0"/>
          <w:marBottom w:val="0"/>
          <w:divBdr>
            <w:top w:val="none" w:sz="0" w:space="0" w:color="auto"/>
            <w:left w:val="none" w:sz="0" w:space="0" w:color="auto"/>
            <w:bottom w:val="none" w:sz="0" w:space="0" w:color="auto"/>
            <w:right w:val="none" w:sz="0" w:space="0" w:color="auto"/>
          </w:divBdr>
          <w:divsChild>
            <w:div w:id="315495447">
              <w:marLeft w:val="0"/>
              <w:marRight w:val="0"/>
              <w:marTop w:val="0"/>
              <w:marBottom w:val="0"/>
              <w:divBdr>
                <w:top w:val="none" w:sz="0" w:space="0" w:color="auto"/>
                <w:left w:val="none" w:sz="0" w:space="0" w:color="auto"/>
                <w:bottom w:val="none" w:sz="0" w:space="0" w:color="auto"/>
                <w:right w:val="none" w:sz="0" w:space="0" w:color="auto"/>
              </w:divBdr>
            </w:div>
          </w:divsChild>
        </w:div>
        <w:div w:id="1092237187">
          <w:marLeft w:val="0"/>
          <w:marRight w:val="0"/>
          <w:marTop w:val="0"/>
          <w:marBottom w:val="0"/>
          <w:divBdr>
            <w:top w:val="none" w:sz="0" w:space="0" w:color="auto"/>
            <w:left w:val="none" w:sz="0" w:space="0" w:color="auto"/>
            <w:bottom w:val="none" w:sz="0" w:space="0" w:color="auto"/>
            <w:right w:val="none" w:sz="0" w:space="0" w:color="auto"/>
          </w:divBdr>
          <w:divsChild>
            <w:div w:id="614990703">
              <w:marLeft w:val="0"/>
              <w:marRight w:val="0"/>
              <w:marTop w:val="0"/>
              <w:marBottom w:val="0"/>
              <w:divBdr>
                <w:top w:val="none" w:sz="0" w:space="0" w:color="auto"/>
                <w:left w:val="none" w:sz="0" w:space="0" w:color="auto"/>
                <w:bottom w:val="none" w:sz="0" w:space="0" w:color="auto"/>
                <w:right w:val="none" w:sz="0" w:space="0" w:color="auto"/>
              </w:divBdr>
            </w:div>
          </w:divsChild>
        </w:div>
        <w:div w:id="1095708524">
          <w:marLeft w:val="0"/>
          <w:marRight w:val="0"/>
          <w:marTop w:val="0"/>
          <w:marBottom w:val="0"/>
          <w:divBdr>
            <w:top w:val="none" w:sz="0" w:space="0" w:color="auto"/>
            <w:left w:val="none" w:sz="0" w:space="0" w:color="auto"/>
            <w:bottom w:val="none" w:sz="0" w:space="0" w:color="auto"/>
            <w:right w:val="none" w:sz="0" w:space="0" w:color="auto"/>
          </w:divBdr>
          <w:divsChild>
            <w:div w:id="1600721663">
              <w:marLeft w:val="0"/>
              <w:marRight w:val="0"/>
              <w:marTop w:val="0"/>
              <w:marBottom w:val="0"/>
              <w:divBdr>
                <w:top w:val="none" w:sz="0" w:space="0" w:color="auto"/>
                <w:left w:val="none" w:sz="0" w:space="0" w:color="auto"/>
                <w:bottom w:val="none" w:sz="0" w:space="0" w:color="auto"/>
                <w:right w:val="none" w:sz="0" w:space="0" w:color="auto"/>
              </w:divBdr>
            </w:div>
          </w:divsChild>
        </w:div>
        <w:div w:id="1096825976">
          <w:marLeft w:val="0"/>
          <w:marRight w:val="0"/>
          <w:marTop w:val="0"/>
          <w:marBottom w:val="0"/>
          <w:divBdr>
            <w:top w:val="none" w:sz="0" w:space="0" w:color="auto"/>
            <w:left w:val="none" w:sz="0" w:space="0" w:color="auto"/>
            <w:bottom w:val="none" w:sz="0" w:space="0" w:color="auto"/>
            <w:right w:val="none" w:sz="0" w:space="0" w:color="auto"/>
          </w:divBdr>
          <w:divsChild>
            <w:div w:id="1716811309">
              <w:marLeft w:val="0"/>
              <w:marRight w:val="0"/>
              <w:marTop w:val="0"/>
              <w:marBottom w:val="0"/>
              <w:divBdr>
                <w:top w:val="none" w:sz="0" w:space="0" w:color="auto"/>
                <w:left w:val="none" w:sz="0" w:space="0" w:color="auto"/>
                <w:bottom w:val="none" w:sz="0" w:space="0" w:color="auto"/>
                <w:right w:val="none" w:sz="0" w:space="0" w:color="auto"/>
              </w:divBdr>
            </w:div>
          </w:divsChild>
        </w:div>
        <w:div w:id="1097138747">
          <w:marLeft w:val="0"/>
          <w:marRight w:val="0"/>
          <w:marTop w:val="0"/>
          <w:marBottom w:val="0"/>
          <w:divBdr>
            <w:top w:val="none" w:sz="0" w:space="0" w:color="auto"/>
            <w:left w:val="none" w:sz="0" w:space="0" w:color="auto"/>
            <w:bottom w:val="none" w:sz="0" w:space="0" w:color="auto"/>
            <w:right w:val="none" w:sz="0" w:space="0" w:color="auto"/>
          </w:divBdr>
          <w:divsChild>
            <w:div w:id="340933544">
              <w:marLeft w:val="0"/>
              <w:marRight w:val="0"/>
              <w:marTop w:val="0"/>
              <w:marBottom w:val="0"/>
              <w:divBdr>
                <w:top w:val="none" w:sz="0" w:space="0" w:color="auto"/>
                <w:left w:val="none" w:sz="0" w:space="0" w:color="auto"/>
                <w:bottom w:val="none" w:sz="0" w:space="0" w:color="auto"/>
                <w:right w:val="none" w:sz="0" w:space="0" w:color="auto"/>
              </w:divBdr>
            </w:div>
          </w:divsChild>
        </w:div>
        <w:div w:id="1097945383">
          <w:marLeft w:val="0"/>
          <w:marRight w:val="0"/>
          <w:marTop w:val="0"/>
          <w:marBottom w:val="0"/>
          <w:divBdr>
            <w:top w:val="none" w:sz="0" w:space="0" w:color="auto"/>
            <w:left w:val="none" w:sz="0" w:space="0" w:color="auto"/>
            <w:bottom w:val="none" w:sz="0" w:space="0" w:color="auto"/>
            <w:right w:val="none" w:sz="0" w:space="0" w:color="auto"/>
          </w:divBdr>
          <w:divsChild>
            <w:div w:id="329598836">
              <w:marLeft w:val="0"/>
              <w:marRight w:val="0"/>
              <w:marTop w:val="0"/>
              <w:marBottom w:val="0"/>
              <w:divBdr>
                <w:top w:val="none" w:sz="0" w:space="0" w:color="auto"/>
                <w:left w:val="none" w:sz="0" w:space="0" w:color="auto"/>
                <w:bottom w:val="none" w:sz="0" w:space="0" w:color="auto"/>
                <w:right w:val="none" w:sz="0" w:space="0" w:color="auto"/>
              </w:divBdr>
            </w:div>
          </w:divsChild>
        </w:div>
        <w:div w:id="1098914934">
          <w:marLeft w:val="0"/>
          <w:marRight w:val="0"/>
          <w:marTop w:val="0"/>
          <w:marBottom w:val="0"/>
          <w:divBdr>
            <w:top w:val="none" w:sz="0" w:space="0" w:color="auto"/>
            <w:left w:val="none" w:sz="0" w:space="0" w:color="auto"/>
            <w:bottom w:val="none" w:sz="0" w:space="0" w:color="auto"/>
            <w:right w:val="none" w:sz="0" w:space="0" w:color="auto"/>
          </w:divBdr>
          <w:divsChild>
            <w:div w:id="1617637898">
              <w:marLeft w:val="0"/>
              <w:marRight w:val="0"/>
              <w:marTop w:val="0"/>
              <w:marBottom w:val="0"/>
              <w:divBdr>
                <w:top w:val="none" w:sz="0" w:space="0" w:color="auto"/>
                <w:left w:val="none" w:sz="0" w:space="0" w:color="auto"/>
                <w:bottom w:val="none" w:sz="0" w:space="0" w:color="auto"/>
                <w:right w:val="none" w:sz="0" w:space="0" w:color="auto"/>
              </w:divBdr>
            </w:div>
          </w:divsChild>
        </w:div>
        <w:div w:id="1105341649">
          <w:marLeft w:val="0"/>
          <w:marRight w:val="0"/>
          <w:marTop w:val="0"/>
          <w:marBottom w:val="0"/>
          <w:divBdr>
            <w:top w:val="none" w:sz="0" w:space="0" w:color="auto"/>
            <w:left w:val="none" w:sz="0" w:space="0" w:color="auto"/>
            <w:bottom w:val="none" w:sz="0" w:space="0" w:color="auto"/>
            <w:right w:val="none" w:sz="0" w:space="0" w:color="auto"/>
          </w:divBdr>
          <w:divsChild>
            <w:div w:id="806630702">
              <w:marLeft w:val="0"/>
              <w:marRight w:val="0"/>
              <w:marTop w:val="0"/>
              <w:marBottom w:val="0"/>
              <w:divBdr>
                <w:top w:val="none" w:sz="0" w:space="0" w:color="auto"/>
                <w:left w:val="none" w:sz="0" w:space="0" w:color="auto"/>
                <w:bottom w:val="none" w:sz="0" w:space="0" w:color="auto"/>
                <w:right w:val="none" w:sz="0" w:space="0" w:color="auto"/>
              </w:divBdr>
            </w:div>
          </w:divsChild>
        </w:div>
        <w:div w:id="1113789609">
          <w:marLeft w:val="0"/>
          <w:marRight w:val="0"/>
          <w:marTop w:val="0"/>
          <w:marBottom w:val="0"/>
          <w:divBdr>
            <w:top w:val="none" w:sz="0" w:space="0" w:color="auto"/>
            <w:left w:val="none" w:sz="0" w:space="0" w:color="auto"/>
            <w:bottom w:val="none" w:sz="0" w:space="0" w:color="auto"/>
            <w:right w:val="none" w:sz="0" w:space="0" w:color="auto"/>
          </w:divBdr>
          <w:divsChild>
            <w:div w:id="800533288">
              <w:marLeft w:val="0"/>
              <w:marRight w:val="0"/>
              <w:marTop w:val="0"/>
              <w:marBottom w:val="0"/>
              <w:divBdr>
                <w:top w:val="none" w:sz="0" w:space="0" w:color="auto"/>
                <w:left w:val="none" w:sz="0" w:space="0" w:color="auto"/>
                <w:bottom w:val="none" w:sz="0" w:space="0" w:color="auto"/>
                <w:right w:val="none" w:sz="0" w:space="0" w:color="auto"/>
              </w:divBdr>
            </w:div>
          </w:divsChild>
        </w:div>
        <w:div w:id="1114133159">
          <w:marLeft w:val="0"/>
          <w:marRight w:val="0"/>
          <w:marTop w:val="0"/>
          <w:marBottom w:val="0"/>
          <w:divBdr>
            <w:top w:val="none" w:sz="0" w:space="0" w:color="auto"/>
            <w:left w:val="none" w:sz="0" w:space="0" w:color="auto"/>
            <w:bottom w:val="none" w:sz="0" w:space="0" w:color="auto"/>
            <w:right w:val="none" w:sz="0" w:space="0" w:color="auto"/>
          </w:divBdr>
          <w:divsChild>
            <w:div w:id="2047295901">
              <w:marLeft w:val="0"/>
              <w:marRight w:val="0"/>
              <w:marTop w:val="0"/>
              <w:marBottom w:val="0"/>
              <w:divBdr>
                <w:top w:val="none" w:sz="0" w:space="0" w:color="auto"/>
                <w:left w:val="none" w:sz="0" w:space="0" w:color="auto"/>
                <w:bottom w:val="none" w:sz="0" w:space="0" w:color="auto"/>
                <w:right w:val="none" w:sz="0" w:space="0" w:color="auto"/>
              </w:divBdr>
            </w:div>
          </w:divsChild>
        </w:div>
        <w:div w:id="1117527532">
          <w:marLeft w:val="0"/>
          <w:marRight w:val="0"/>
          <w:marTop w:val="0"/>
          <w:marBottom w:val="0"/>
          <w:divBdr>
            <w:top w:val="none" w:sz="0" w:space="0" w:color="auto"/>
            <w:left w:val="none" w:sz="0" w:space="0" w:color="auto"/>
            <w:bottom w:val="none" w:sz="0" w:space="0" w:color="auto"/>
            <w:right w:val="none" w:sz="0" w:space="0" w:color="auto"/>
          </w:divBdr>
          <w:divsChild>
            <w:div w:id="237591163">
              <w:marLeft w:val="0"/>
              <w:marRight w:val="0"/>
              <w:marTop w:val="0"/>
              <w:marBottom w:val="0"/>
              <w:divBdr>
                <w:top w:val="none" w:sz="0" w:space="0" w:color="auto"/>
                <w:left w:val="none" w:sz="0" w:space="0" w:color="auto"/>
                <w:bottom w:val="none" w:sz="0" w:space="0" w:color="auto"/>
                <w:right w:val="none" w:sz="0" w:space="0" w:color="auto"/>
              </w:divBdr>
            </w:div>
          </w:divsChild>
        </w:div>
        <w:div w:id="1121650458">
          <w:marLeft w:val="0"/>
          <w:marRight w:val="0"/>
          <w:marTop w:val="0"/>
          <w:marBottom w:val="0"/>
          <w:divBdr>
            <w:top w:val="none" w:sz="0" w:space="0" w:color="auto"/>
            <w:left w:val="none" w:sz="0" w:space="0" w:color="auto"/>
            <w:bottom w:val="none" w:sz="0" w:space="0" w:color="auto"/>
            <w:right w:val="none" w:sz="0" w:space="0" w:color="auto"/>
          </w:divBdr>
          <w:divsChild>
            <w:div w:id="759371963">
              <w:marLeft w:val="0"/>
              <w:marRight w:val="0"/>
              <w:marTop w:val="0"/>
              <w:marBottom w:val="0"/>
              <w:divBdr>
                <w:top w:val="none" w:sz="0" w:space="0" w:color="auto"/>
                <w:left w:val="none" w:sz="0" w:space="0" w:color="auto"/>
                <w:bottom w:val="none" w:sz="0" w:space="0" w:color="auto"/>
                <w:right w:val="none" w:sz="0" w:space="0" w:color="auto"/>
              </w:divBdr>
            </w:div>
          </w:divsChild>
        </w:div>
        <w:div w:id="1122459736">
          <w:marLeft w:val="0"/>
          <w:marRight w:val="0"/>
          <w:marTop w:val="0"/>
          <w:marBottom w:val="0"/>
          <w:divBdr>
            <w:top w:val="none" w:sz="0" w:space="0" w:color="auto"/>
            <w:left w:val="none" w:sz="0" w:space="0" w:color="auto"/>
            <w:bottom w:val="none" w:sz="0" w:space="0" w:color="auto"/>
            <w:right w:val="none" w:sz="0" w:space="0" w:color="auto"/>
          </w:divBdr>
          <w:divsChild>
            <w:div w:id="1242720218">
              <w:marLeft w:val="0"/>
              <w:marRight w:val="0"/>
              <w:marTop w:val="0"/>
              <w:marBottom w:val="0"/>
              <w:divBdr>
                <w:top w:val="none" w:sz="0" w:space="0" w:color="auto"/>
                <w:left w:val="none" w:sz="0" w:space="0" w:color="auto"/>
                <w:bottom w:val="none" w:sz="0" w:space="0" w:color="auto"/>
                <w:right w:val="none" w:sz="0" w:space="0" w:color="auto"/>
              </w:divBdr>
            </w:div>
          </w:divsChild>
        </w:div>
        <w:div w:id="1124618775">
          <w:marLeft w:val="0"/>
          <w:marRight w:val="0"/>
          <w:marTop w:val="0"/>
          <w:marBottom w:val="0"/>
          <w:divBdr>
            <w:top w:val="none" w:sz="0" w:space="0" w:color="auto"/>
            <w:left w:val="none" w:sz="0" w:space="0" w:color="auto"/>
            <w:bottom w:val="none" w:sz="0" w:space="0" w:color="auto"/>
            <w:right w:val="none" w:sz="0" w:space="0" w:color="auto"/>
          </w:divBdr>
          <w:divsChild>
            <w:div w:id="931551977">
              <w:marLeft w:val="0"/>
              <w:marRight w:val="0"/>
              <w:marTop w:val="0"/>
              <w:marBottom w:val="0"/>
              <w:divBdr>
                <w:top w:val="none" w:sz="0" w:space="0" w:color="auto"/>
                <w:left w:val="none" w:sz="0" w:space="0" w:color="auto"/>
                <w:bottom w:val="none" w:sz="0" w:space="0" w:color="auto"/>
                <w:right w:val="none" w:sz="0" w:space="0" w:color="auto"/>
              </w:divBdr>
            </w:div>
          </w:divsChild>
        </w:div>
        <w:div w:id="1125545480">
          <w:marLeft w:val="0"/>
          <w:marRight w:val="0"/>
          <w:marTop w:val="0"/>
          <w:marBottom w:val="0"/>
          <w:divBdr>
            <w:top w:val="none" w:sz="0" w:space="0" w:color="auto"/>
            <w:left w:val="none" w:sz="0" w:space="0" w:color="auto"/>
            <w:bottom w:val="none" w:sz="0" w:space="0" w:color="auto"/>
            <w:right w:val="none" w:sz="0" w:space="0" w:color="auto"/>
          </w:divBdr>
          <w:divsChild>
            <w:div w:id="894707126">
              <w:marLeft w:val="0"/>
              <w:marRight w:val="0"/>
              <w:marTop w:val="0"/>
              <w:marBottom w:val="0"/>
              <w:divBdr>
                <w:top w:val="none" w:sz="0" w:space="0" w:color="auto"/>
                <w:left w:val="none" w:sz="0" w:space="0" w:color="auto"/>
                <w:bottom w:val="none" w:sz="0" w:space="0" w:color="auto"/>
                <w:right w:val="none" w:sz="0" w:space="0" w:color="auto"/>
              </w:divBdr>
            </w:div>
          </w:divsChild>
        </w:div>
        <w:div w:id="1127508661">
          <w:marLeft w:val="0"/>
          <w:marRight w:val="0"/>
          <w:marTop w:val="0"/>
          <w:marBottom w:val="0"/>
          <w:divBdr>
            <w:top w:val="none" w:sz="0" w:space="0" w:color="auto"/>
            <w:left w:val="none" w:sz="0" w:space="0" w:color="auto"/>
            <w:bottom w:val="none" w:sz="0" w:space="0" w:color="auto"/>
            <w:right w:val="none" w:sz="0" w:space="0" w:color="auto"/>
          </w:divBdr>
          <w:divsChild>
            <w:div w:id="1688556972">
              <w:marLeft w:val="0"/>
              <w:marRight w:val="0"/>
              <w:marTop w:val="0"/>
              <w:marBottom w:val="0"/>
              <w:divBdr>
                <w:top w:val="none" w:sz="0" w:space="0" w:color="auto"/>
                <w:left w:val="none" w:sz="0" w:space="0" w:color="auto"/>
                <w:bottom w:val="none" w:sz="0" w:space="0" w:color="auto"/>
                <w:right w:val="none" w:sz="0" w:space="0" w:color="auto"/>
              </w:divBdr>
            </w:div>
          </w:divsChild>
        </w:div>
        <w:div w:id="1129205771">
          <w:marLeft w:val="0"/>
          <w:marRight w:val="0"/>
          <w:marTop w:val="0"/>
          <w:marBottom w:val="0"/>
          <w:divBdr>
            <w:top w:val="none" w:sz="0" w:space="0" w:color="auto"/>
            <w:left w:val="none" w:sz="0" w:space="0" w:color="auto"/>
            <w:bottom w:val="none" w:sz="0" w:space="0" w:color="auto"/>
            <w:right w:val="none" w:sz="0" w:space="0" w:color="auto"/>
          </w:divBdr>
          <w:divsChild>
            <w:div w:id="1219516661">
              <w:marLeft w:val="0"/>
              <w:marRight w:val="0"/>
              <w:marTop w:val="0"/>
              <w:marBottom w:val="0"/>
              <w:divBdr>
                <w:top w:val="none" w:sz="0" w:space="0" w:color="auto"/>
                <w:left w:val="none" w:sz="0" w:space="0" w:color="auto"/>
                <w:bottom w:val="none" w:sz="0" w:space="0" w:color="auto"/>
                <w:right w:val="none" w:sz="0" w:space="0" w:color="auto"/>
              </w:divBdr>
            </w:div>
          </w:divsChild>
        </w:div>
        <w:div w:id="1134100721">
          <w:marLeft w:val="0"/>
          <w:marRight w:val="0"/>
          <w:marTop w:val="0"/>
          <w:marBottom w:val="0"/>
          <w:divBdr>
            <w:top w:val="none" w:sz="0" w:space="0" w:color="auto"/>
            <w:left w:val="none" w:sz="0" w:space="0" w:color="auto"/>
            <w:bottom w:val="none" w:sz="0" w:space="0" w:color="auto"/>
            <w:right w:val="none" w:sz="0" w:space="0" w:color="auto"/>
          </w:divBdr>
          <w:divsChild>
            <w:div w:id="1036782134">
              <w:marLeft w:val="0"/>
              <w:marRight w:val="0"/>
              <w:marTop w:val="0"/>
              <w:marBottom w:val="0"/>
              <w:divBdr>
                <w:top w:val="none" w:sz="0" w:space="0" w:color="auto"/>
                <w:left w:val="none" w:sz="0" w:space="0" w:color="auto"/>
                <w:bottom w:val="none" w:sz="0" w:space="0" w:color="auto"/>
                <w:right w:val="none" w:sz="0" w:space="0" w:color="auto"/>
              </w:divBdr>
            </w:div>
          </w:divsChild>
        </w:div>
        <w:div w:id="1134829119">
          <w:marLeft w:val="0"/>
          <w:marRight w:val="0"/>
          <w:marTop w:val="0"/>
          <w:marBottom w:val="0"/>
          <w:divBdr>
            <w:top w:val="none" w:sz="0" w:space="0" w:color="auto"/>
            <w:left w:val="none" w:sz="0" w:space="0" w:color="auto"/>
            <w:bottom w:val="none" w:sz="0" w:space="0" w:color="auto"/>
            <w:right w:val="none" w:sz="0" w:space="0" w:color="auto"/>
          </w:divBdr>
          <w:divsChild>
            <w:div w:id="189339201">
              <w:marLeft w:val="0"/>
              <w:marRight w:val="0"/>
              <w:marTop w:val="0"/>
              <w:marBottom w:val="0"/>
              <w:divBdr>
                <w:top w:val="none" w:sz="0" w:space="0" w:color="auto"/>
                <w:left w:val="none" w:sz="0" w:space="0" w:color="auto"/>
                <w:bottom w:val="none" w:sz="0" w:space="0" w:color="auto"/>
                <w:right w:val="none" w:sz="0" w:space="0" w:color="auto"/>
              </w:divBdr>
            </w:div>
          </w:divsChild>
        </w:div>
        <w:div w:id="1140031043">
          <w:marLeft w:val="0"/>
          <w:marRight w:val="0"/>
          <w:marTop w:val="0"/>
          <w:marBottom w:val="0"/>
          <w:divBdr>
            <w:top w:val="none" w:sz="0" w:space="0" w:color="auto"/>
            <w:left w:val="none" w:sz="0" w:space="0" w:color="auto"/>
            <w:bottom w:val="none" w:sz="0" w:space="0" w:color="auto"/>
            <w:right w:val="none" w:sz="0" w:space="0" w:color="auto"/>
          </w:divBdr>
          <w:divsChild>
            <w:div w:id="435172988">
              <w:marLeft w:val="0"/>
              <w:marRight w:val="0"/>
              <w:marTop w:val="0"/>
              <w:marBottom w:val="0"/>
              <w:divBdr>
                <w:top w:val="none" w:sz="0" w:space="0" w:color="auto"/>
                <w:left w:val="none" w:sz="0" w:space="0" w:color="auto"/>
                <w:bottom w:val="none" w:sz="0" w:space="0" w:color="auto"/>
                <w:right w:val="none" w:sz="0" w:space="0" w:color="auto"/>
              </w:divBdr>
            </w:div>
          </w:divsChild>
        </w:div>
        <w:div w:id="1140995649">
          <w:marLeft w:val="0"/>
          <w:marRight w:val="0"/>
          <w:marTop w:val="0"/>
          <w:marBottom w:val="0"/>
          <w:divBdr>
            <w:top w:val="none" w:sz="0" w:space="0" w:color="auto"/>
            <w:left w:val="none" w:sz="0" w:space="0" w:color="auto"/>
            <w:bottom w:val="none" w:sz="0" w:space="0" w:color="auto"/>
            <w:right w:val="none" w:sz="0" w:space="0" w:color="auto"/>
          </w:divBdr>
          <w:divsChild>
            <w:div w:id="320699376">
              <w:marLeft w:val="0"/>
              <w:marRight w:val="0"/>
              <w:marTop w:val="0"/>
              <w:marBottom w:val="0"/>
              <w:divBdr>
                <w:top w:val="none" w:sz="0" w:space="0" w:color="auto"/>
                <w:left w:val="none" w:sz="0" w:space="0" w:color="auto"/>
                <w:bottom w:val="none" w:sz="0" w:space="0" w:color="auto"/>
                <w:right w:val="none" w:sz="0" w:space="0" w:color="auto"/>
              </w:divBdr>
            </w:div>
          </w:divsChild>
        </w:div>
        <w:div w:id="1141575325">
          <w:marLeft w:val="0"/>
          <w:marRight w:val="0"/>
          <w:marTop w:val="0"/>
          <w:marBottom w:val="0"/>
          <w:divBdr>
            <w:top w:val="none" w:sz="0" w:space="0" w:color="auto"/>
            <w:left w:val="none" w:sz="0" w:space="0" w:color="auto"/>
            <w:bottom w:val="none" w:sz="0" w:space="0" w:color="auto"/>
            <w:right w:val="none" w:sz="0" w:space="0" w:color="auto"/>
          </w:divBdr>
          <w:divsChild>
            <w:div w:id="613024226">
              <w:marLeft w:val="0"/>
              <w:marRight w:val="0"/>
              <w:marTop w:val="0"/>
              <w:marBottom w:val="0"/>
              <w:divBdr>
                <w:top w:val="none" w:sz="0" w:space="0" w:color="auto"/>
                <w:left w:val="none" w:sz="0" w:space="0" w:color="auto"/>
                <w:bottom w:val="none" w:sz="0" w:space="0" w:color="auto"/>
                <w:right w:val="none" w:sz="0" w:space="0" w:color="auto"/>
              </w:divBdr>
            </w:div>
          </w:divsChild>
        </w:div>
        <w:div w:id="1148400977">
          <w:marLeft w:val="0"/>
          <w:marRight w:val="0"/>
          <w:marTop w:val="0"/>
          <w:marBottom w:val="0"/>
          <w:divBdr>
            <w:top w:val="none" w:sz="0" w:space="0" w:color="auto"/>
            <w:left w:val="none" w:sz="0" w:space="0" w:color="auto"/>
            <w:bottom w:val="none" w:sz="0" w:space="0" w:color="auto"/>
            <w:right w:val="none" w:sz="0" w:space="0" w:color="auto"/>
          </w:divBdr>
          <w:divsChild>
            <w:div w:id="1751153467">
              <w:marLeft w:val="0"/>
              <w:marRight w:val="0"/>
              <w:marTop w:val="0"/>
              <w:marBottom w:val="0"/>
              <w:divBdr>
                <w:top w:val="none" w:sz="0" w:space="0" w:color="auto"/>
                <w:left w:val="none" w:sz="0" w:space="0" w:color="auto"/>
                <w:bottom w:val="none" w:sz="0" w:space="0" w:color="auto"/>
                <w:right w:val="none" w:sz="0" w:space="0" w:color="auto"/>
              </w:divBdr>
            </w:div>
          </w:divsChild>
        </w:div>
        <w:div w:id="1148984908">
          <w:marLeft w:val="0"/>
          <w:marRight w:val="0"/>
          <w:marTop w:val="0"/>
          <w:marBottom w:val="0"/>
          <w:divBdr>
            <w:top w:val="none" w:sz="0" w:space="0" w:color="auto"/>
            <w:left w:val="none" w:sz="0" w:space="0" w:color="auto"/>
            <w:bottom w:val="none" w:sz="0" w:space="0" w:color="auto"/>
            <w:right w:val="none" w:sz="0" w:space="0" w:color="auto"/>
          </w:divBdr>
          <w:divsChild>
            <w:div w:id="310136803">
              <w:marLeft w:val="0"/>
              <w:marRight w:val="0"/>
              <w:marTop w:val="0"/>
              <w:marBottom w:val="0"/>
              <w:divBdr>
                <w:top w:val="none" w:sz="0" w:space="0" w:color="auto"/>
                <w:left w:val="none" w:sz="0" w:space="0" w:color="auto"/>
                <w:bottom w:val="none" w:sz="0" w:space="0" w:color="auto"/>
                <w:right w:val="none" w:sz="0" w:space="0" w:color="auto"/>
              </w:divBdr>
            </w:div>
          </w:divsChild>
        </w:div>
        <w:div w:id="1149250324">
          <w:marLeft w:val="0"/>
          <w:marRight w:val="0"/>
          <w:marTop w:val="0"/>
          <w:marBottom w:val="0"/>
          <w:divBdr>
            <w:top w:val="none" w:sz="0" w:space="0" w:color="auto"/>
            <w:left w:val="none" w:sz="0" w:space="0" w:color="auto"/>
            <w:bottom w:val="none" w:sz="0" w:space="0" w:color="auto"/>
            <w:right w:val="none" w:sz="0" w:space="0" w:color="auto"/>
          </w:divBdr>
          <w:divsChild>
            <w:div w:id="2124380027">
              <w:marLeft w:val="0"/>
              <w:marRight w:val="0"/>
              <w:marTop w:val="0"/>
              <w:marBottom w:val="0"/>
              <w:divBdr>
                <w:top w:val="none" w:sz="0" w:space="0" w:color="auto"/>
                <w:left w:val="none" w:sz="0" w:space="0" w:color="auto"/>
                <w:bottom w:val="none" w:sz="0" w:space="0" w:color="auto"/>
                <w:right w:val="none" w:sz="0" w:space="0" w:color="auto"/>
              </w:divBdr>
            </w:div>
          </w:divsChild>
        </w:div>
        <w:div w:id="1165978331">
          <w:marLeft w:val="0"/>
          <w:marRight w:val="0"/>
          <w:marTop w:val="0"/>
          <w:marBottom w:val="0"/>
          <w:divBdr>
            <w:top w:val="none" w:sz="0" w:space="0" w:color="auto"/>
            <w:left w:val="none" w:sz="0" w:space="0" w:color="auto"/>
            <w:bottom w:val="none" w:sz="0" w:space="0" w:color="auto"/>
            <w:right w:val="none" w:sz="0" w:space="0" w:color="auto"/>
          </w:divBdr>
          <w:divsChild>
            <w:div w:id="355733236">
              <w:marLeft w:val="0"/>
              <w:marRight w:val="0"/>
              <w:marTop w:val="0"/>
              <w:marBottom w:val="0"/>
              <w:divBdr>
                <w:top w:val="none" w:sz="0" w:space="0" w:color="auto"/>
                <w:left w:val="none" w:sz="0" w:space="0" w:color="auto"/>
                <w:bottom w:val="none" w:sz="0" w:space="0" w:color="auto"/>
                <w:right w:val="none" w:sz="0" w:space="0" w:color="auto"/>
              </w:divBdr>
            </w:div>
          </w:divsChild>
        </w:div>
        <w:div w:id="1167358932">
          <w:marLeft w:val="0"/>
          <w:marRight w:val="0"/>
          <w:marTop w:val="0"/>
          <w:marBottom w:val="0"/>
          <w:divBdr>
            <w:top w:val="none" w:sz="0" w:space="0" w:color="auto"/>
            <w:left w:val="none" w:sz="0" w:space="0" w:color="auto"/>
            <w:bottom w:val="none" w:sz="0" w:space="0" w:color="auto"/>
            <w:right w:val="none" w:sz="0" w:space="0" w:color="auto"/>
          </w:divBdr>
          <w:divsChild>
            <w:div w:id="1135413037">
              <w:marLeft w:val="0"/>
              <w:marRight w:val="0"/>
              <w:marTop w:val="0"/>
              <w:marBottom w:val="0"/>
              <w:divBdr>
                <w:top w:val="none" w:sz="0" w:space="0" w:color="auto"/>
                <w:left w:val="none" w:sz="0" w:space="0" w:color="auto"/>
                <w:bottom w:val="none" w:sz="0" w:space="0" w:color="auto"/>
                <w:right w:val="none" w:sz="0" w:space="0" w:color="auto"/>
              </w:divBdr>
            </w:div>
          </w:divsChild>
        </w:div>
        <w:div w:id="1167672868">
          <w:marLeft w:val="0"/>
          <w:marRight w:val="0"/>
          <w:marTop w:val="0"/>
          <w:marBottom w:val="0"/>
          <w:divBdr>
            <w:top w:val="none" w:sz="0" w:space="0" w:color="auto"/>
            <w:left w:val="none" w:sz="0" w:space="0" w:color="auto"/>
            <w:bottom w:val="none" w:sz="0" w:space="0" w:color="auto"/>
            <w:right w:val="none" w:sz="0" w:space="0" w:color="auto"/>
          </w:divBdr>
          <w:divsChild>
            <w:div w:id="1554996599">
              <w:marLeft w:val="0"/>
              <w:marRight w:val="0"/>
              <w:marTop w:val="0"/>
              <w:marBottom w:val="0"/>
              <w:divBdr>
                <w:top w:val="none" w:sz="0" w:space="0" w:color="auto"/>
                <w:left w:val="none" w:sz="0" w:space="0" w:color="auto"/>
                <w:bottom w:val="none" w:sz="0" w:space="0" w:color="auto"/>
                <w:right w:val="none" w:sz="0" w:space="0" w:color="auto"/>
              </w:divBdr>
            </w:div>
          </w:divsChild>
        </w:div>
        <w:div w:id="1169952566">
          <w:marLeft w:val="0"/>
          <w:marRight w:val="0"/>
          <w:marTop w:val="0"/>
          <w:marBottom w:val="0"/>
          <w:divBdr>
            <w:top w:val="none" w:sz="0" w:space="0" w:color="auto"/>
            <w:left w:val="none" w:sz="0" w:space="0" w:color="auto"/>
            <w:bottom w:val="none" w:sz="0" w:space="0" w:color="auto"/>
            <w:right w:val="none" w:sz="0" w:space="0" w:color="auto"/>
          </w:divBdr>
          <w:divsChild>
            <w:div w:id="998844954">
              <w:marLeft w:val="0"/>
              <w:marRight w:val="0"/>
              <w:marTop w:val="0"/>
              <w:marBottom w:val="0"/>
              <w:divBdr>
                <w:top w:val="none" w:sz="0" w:space="0" w:color="auto"/>
                <w:left w:val="none" w:sz="0" w:space="0" w:color="auto"/>
                <w:bottom w:val="none" w:sz="0" w:space="0" w:color="auto"/>
                <w:right w:val="none" w:sz="0" w:space="0" w:color="auto"/>
              </w:divBdr>
            </w:div>
          </w:divsChild>
        </w:div>
        <w:div w:id="1175070158">
          <w:marLeft w:val="0"/>
          <w:marRight w:val="0"/>
          <w:marTop w:val="0"/>
          <w:marBottom w:val="0"/>
          <w:divBdr>
            <w:top w:val="none" w:sz="0" w:space="0" w:color="auto"/>
            <w:left w:val="none" w:sz="0" w:space="0" w:color="auto"/>
            <w:bottom w:val="none" w:sz="0" w:space="0" w:color="auto"/>
            <w:right w:val="none" w:sz="0" w:space="0" w:color="auto"/>
          </w:divBdr>
          <w:divsChild>
            <w:div w:id="2063164979">
              <w:marLeft w:val="0"/>
              <w:marRight w:val="0"/>
              <w:marTop w:val="0"/>
              <w:marBottom w:val="0"/>
              <w:divBdr>
                <w:top w:val="none" w:sz="0" w:space="0" w:color="auto"/>
                <w:left w:val="none" w:sz="0" w:space="0" w:color="auto"/>
                <w:bottom w:val="none" w:sz="0" w:space="0" w:color="auto"/>
                <w:right w:val="none" w:sz="0" w:space="0" w:color="auto"/>
              </w:divBdr>
            </w:div>
          </w:divsChild>
        </w:div>
        <w:div w:id="1175804850">
          <w:marLeft w:val="0"/>
          <w:marRight w:val="0"/>
          <w:marTop w:val="0"/>
          <w:marBottom w:val="0"/>
          <w:divBdr>
            <w:top w:val="none" w:sz="0" w:space="0" w:color="auto"/>
            <w:left w:val="none" w:sz="0" w:space="0" w:color="auto"/>
            <w:bottom w:val="none" w:sz="0" w:space="0" w:color="auto"/>
            <w:right w:val="none" w:sz="0" w:space="0" w:color="auto"/>
          </w:divBdr>
          <w:divsChild>
            <w:div w:id="1231621086">
              <w:marLeft w:val="0"/>
              <w:marRight w:val="0"/>
              <w:marTop w:val="0"/>
              <w:marBottom w:val="0"/>
              <w:divBdr>
                <w:top w:val="none" w:sz="0" w:space="0" w:color="auto"/>
                <w:left w:val="none" w:sz="0" w:space="0" w:color="auto"/>
                <w:bottom w:val="none" w:sz="0" w:space="0" w:color="auto"/>
                <w:right w:val="none" w:sz="0" w:space="0" w:color="auto"/>
              </w:divBdr>
            </w:div>
          </w:divsChild>
        </w:div>
        <w:div w:id="1184131289">
          <w:marLeft w:val="0"/>
          <w:marRight w:val="0"/>
          <w:marTop w:val="0"/>
          <w:marBottom w:val="0"/>
          <w:divBdr>
            <w:top w:val="none" w:sz="0" w:space="0" w:color="auto"/>
            <w:left w:val="none" w:sz="0" w:space="0" w:color="auto"/>
            <w:bottom w:val="none" w:sz="0" w:space="0" w:color="auto"/>
            <w:right w:val="none" w:sz="0" w:space="0" w:color="auto"/>
          </w:divBdr>
          <w:divsChild>
            <w:div w:id="1301302926">
              <w:marLeft w:val="0"/>
              <w:marRight w:val="0"/>
              <w:marTop w:val="0"/>
              <w:marBottom w:val="0"/>
              <w:divBdr>
                <w:top w:val="none" w:sz="0" w:space="0" w:color="auto"/>
                <w:left w:val="none" w:sz="0" w:space="0" w:color="auto"/>
                <w:bottom w:val="none" w:sz="0" w:space="0" w:color="auto"/>
                <w:right w:val="none" w:sz="0" w:space="0" w:color="auto"/>
              </w:divBdr>
            </w:div>
          </w:divsChild>
        </w:div>
        <w:div w:id="1187330810">
          <w:marLeft w:val="0"/>
          <w:marRight w:val="0"/>
          <w:marTop w:val="0"/>
          <w:marBottom w:val="0"/>
          <w:divBdr>
            <w:top w:val="none" w:sz="0" w:space="0" w:color="auto"/>
            <w:left w:val="none" w:sz="0" w:space="0" w:color="auto"/>
            <w:bottom w:val="none" w:sz="0" w:space="0" w:color="auto"/>
            <w:right w:val="none" w:sz="0" w:space="0" w:color="auto"/>
          </w:divBdr>
          <w:divsChild>
            <w:div w:id="971903973">
              <w:marLeft w:val="0"/>
              <w:marRight w:val="0"/>
              <w:marTop w:val="0"/>
              <w:marBottom w:val="0"/>
              <w:divBdr>
                <w:top w:val="none" w:sz="0" w:space="0" w:color="auto"/>
                <w:left w:val="none" w:sz="0" w:space="0" w:color="auto"/>
                <w:bottom w:val="none" w:sz="0" w:space="0" w:color="auto"/>
                <w:right w:val="none" w:sz="0" w:space="0" w:color="auto"/>
              </w:divBdr>
            </w:div>
          </w:divsChild>
        </w:div>
        <w:div w:id="1198658125">
          <w:marLeft w:val="0"/>
          <w:marRight w:val="0"/>
          <w:marTop w:val="0"/>
          <w:marBottom w:val="0"/>
          <w:divBdr>
            <w:top w:val="none" w:sz="0" w:space="0" w:color="auto"/>
            <w:left w:val="none" w:sz="0" w:space="0" w:color="auto"/>
            <w:bottom w:val="none" w:sz="0" w:space="0" w:color="auto"/>
            <w:right w:val="none" w:sz="0" w:space="0" w:color="auto"/>
          </w:divBdr>
          <w:divsChild>
            <w:div w:id="715738626">
              <w:marLeft w:val="0"/>
              <w:marRight w:val="0"/>
              <w:marTop w:val="0"/>
              <w:marBottom w:val="0"/>
              <w:divBdr>
                <w:top w:val="none" w:sz="0" w:space="0" w:color="auto"/>
                <w:left w:val="none" w:sz="0" w:space="0" w:color="auto"/>
                <w:bottom w:val="none" w:sz="0" w:space="0" w:color="auto"/>
                <w:right w:val="none" w:sz="0" w:space="0" w:color="auto"/>
              </w:divBdr>
            </w:div>
          </w:divsChild>
        </w:div>
        <w:div w:id="1205293722">
          <w:marLeft w:val="0"/>
          <w:marRight w:val="0"/>
          <w:marTop w:val="0"/>
          <w:marBottom w:val="0"/>
          <w:divBdr>
            <w:top w:val="none" w:sz="0" w:space="0" w:color="auto"/>
            <w:left w:val="none" w:sz="0" w:space="0" w:color="auto"/>
            <w:bottom w:val="none" w:sz="0" w:space="0" w:color="auto"/>
            <w:right w:val="none" w:sz="0" w:space="0" w:color="auto"/>
          </w:divBdr>
          <w:divsChild>
            <w:div w:id="1324234564">
              <w:marLeft w:val="0"/>
              <w:marRight w:val="0"/>
              <w:marTop w:val="0"/>
              <w:marBottom w:val="0"/>
              <w:divBdr>
                <w:top w:val="none" w:sz="0" w:space="0" w:color="auto"/>
                <w:left w:val="none" w:sz="0" w:space="0" w:color="auto"/>
                <w:bottom w:val="none" w:sz="0" w:space="0" w:color="auto"/>
                <w:right w:val="none" w:sz="0" w:space="0" w:color="auto"/>
              </w:divBdr>
            </w:div>
          </w:divsChild>
        </w:div>
        <w:div w:id="1209102651">
          <w:marLeft w:val="0"/>
          <w:marRight w:val="0"/>
          <w:marTop w:val="0"/>
          <w:marBottom w:val="0"/>
          <w:divBdr>
            <w:top w:val="none" w:sz="0" w:space="0" w:color="auto"/>
            <w:left w:val="none" w:sz="0" w:space="0" w:color="auto"/>
            <w:bottom w:val="none" w:sz="0" w:space="0" w:color="auto"/>
            <w:right w:val="none" w:sz="0" w:space="0" w:color="auto"/>
          </w:divBdr>
          <w:divsChild>
            <w:div w:id="1844125600">
              <w:marLeft w:val="0"/>
              <w:marRight w:val="0"/>
              <w:marTop w:val="0"/>
              <w:marBottom w:val="0"/>
              <w:divBdr>
                <w:top w:val="none" w:sz="0" w:space="0" w:color="auto"/>
                <w:left w:val="none" w:sz="0" w:space="0" w:color="auto"/>
                <w:bottom w:val="none" w:sz="0" w:space="0" w:color="auto"/>
                <w:right w:val="none" w:sz="0" w:space="0" w:color="auto"/>
              </w:divBdr>
            </w:div>
          </w:divsChild>
        </w:div>
        <w:div w:id="1214465433">
          <w:marLeft w:val="0"/>
          <w:marRight w:val="0"/>
          <w:marTop w:val="0"/>
          <w:marBottom w:val="0"/>
          <w:divBdr>
            <w:top w:val="none" w:sz="0" w:space="0" w:color="auto"/>
            <w:left w:val="none" w:sz="0" w:space="0" w:color="auto"/>
            <w:bottom w:val="none" w:sz="0" w:space="0" w:color="auto"/>
            <w:right w:val="none" w:sz="0" w:space="0" w:color="auto"/>
          </w:divBdr>
          <w:divsChild>
            <w:div w:id="341129449">
              <w:marLeft w:val="0"/>
              <w:marRight w:val="0"/>
              <w:marTop w:val="0"/>
              <w:marBottom w:val="0"/>
              <w:divBdr>
                <w:top w:val="none" w:sz="0" w:space="0" w:color="auto"/>
                <w:left w:val="none" w:sz="0" w:space="0" w:color="auto"/>
                <w:bottom w:val="none" w:sz="0" w:space="0" w:color="auto"/>
                <w:right w:val="none" w:sz="0" w:space="0" w:color="auto"/>
              </w:divBdr>
            </w:div>
          </w:divsChild>
        </w:div>
        <w:div w:id="1216359695">
          <w:marLeft w:val="0"/>
          <w:marRight w:val="0"/>
          <w:marTop w:val="0"/>
          <w:marBottom w:val="0"/>
          <w:divBdr>
            <w:top w:val="none" w:sz="0" w:space="0" w:color="auto"/>
            <w:left w:val="none" w:sz="0" w:space="0" w:color="auto"/>
            <w:bottom w:val="none" w:sz="0" w:space="0" w:color="auto"/>
            <w:right w:val="none" w:sz="0" w:space="0" w:color="auto"/>
          </w:divBdr>
          <w:divsChild>
            <w:div w:id="1429619708">
              <w:marLeft w:val="0"/>
              <w:marRight w:val="0"/>
              <w:marTop w:val="0"/>
              <w:marBottom w:val="0"/>
              <w:divBdr>
                <w:top w:val="none" w:sz="0" w:space="0" w:color="auto"/>
                <w:left w:val="none" w:sz="0" w:space="0" w:color="auto"/>
                <w:bottom w:val="none" w:sz="0" w:space="0" w:color="auto"/>
                <w:right w:val="none" w:sz="0" w:space="0" w:color="auto"/>
              </w:divBdr>
            </w:div>
          </w:divsChild>
        </w:div>
        <w:div w:id="1217668862">
          <w:marLeft w:val="0"/>
          <w:marRight w:val="0"/>
          <w:marTop w:val="0"/>
          <w:marBottom w:val="0"/>
          <w:divBdr>
            <w:top w:val="none" w:sz="0" w:space="0" w:color="auto"/>
            <w:left w:val="none" w:sz="0" w:space="0" w:color="auto"/>
            <w:bottom w:val="none" w:sz="0" w:space="0" w:color="auto"/>
            <w:right w:val="none" w:sz="0" w:space="0" w:color="auto"/>
          </w:divBdr>
          <w:divsChild>
            <w:div w:id="612059583">
              <w:marLeft w:val="0"/>
              <w:marRight w:val="0"/>
              <w:marTop w:val="0"/>
              <w:marBottom w:val="0"/>
              <w:divBdr>
                <w:top w:val="none" w:sz="0" w:space="0" w:color="auto"/>
                <w:left w:val="none" w:sz="0" w:space="0" w:color="auto"/>
                <w:bottom w:val="none" w:sz="0" w:space="0" w:color="auto"/>
                <w:right w:val="none" w:sz="0" w:space="0" w:color="auto"/>
              </w:divBdr>
            </w:div>
          </w:divsChild>
        </w:div>
        <w:div w:id="1219634177">
          <w:marLeft w:val="0"/>
          <w:marRight w:val="0"/>
          <w:marTop w:val="0"/>
          <w:marBottom w:val="0"/>
          <w:divBdr>
            <w:top w:val="none" w:sz="0" w:space="0" w:color="auto"/>
            <w:left w:val="none" w:sz="0" w:space="0" w:color="auto"/>
            <w:bottom w:val="none" w:sz="0" w:space="0" w:color="auto"/>
            <w:right w:val="none" w:sz="0" w:space="0" w:color="auto"/>
          </w:divBdr>
          <w:divsChild>
            <w:div w:id="1385521934">
              <w:marLeft w:val="0"/>
              <w:marRight w:val="0"/>
              <w:marTop w:val="0"/>
              <w:marBottom w:val="0"/>
              <w:divBdr>
                <w:top w:val="none" w:sz="0" w:space="0" w:color="auto"/>
                <w:left w:val="none" w:sz="0" w:space="0" w:color="auto"/>
                <w:bottom w:val="none" w:sz="0" w:space="0" w:color="auto"/>
                <w:right w:val="none" w:sz="0" w:space="0" w:color="auto"/>
              </w:divBdr>
            </w:div>
          </w:divsChild>
        </w:div>
        <w:div w:id="1223641312">
          <w:marLeft w:val="0"/>
          <w:marRight w:val="0"/>
          <w:marTop w:val="0"/>
          <w:marBottom w:val="0"/>
          <w:divBdr>
            <w:top w:val="none" w:sz="0" w:space="0" w:color="auto"/>
            <w:left w:val="none" w:sz="0" w:space="0" w:color="auto"/>
            <w:bottom w:val="none" w:sz="0" w:space="0" w:color="auto"/>
            <w:right w:val="none" w:sz="0" w:space="0" w:color="auto"/>
          </w:divBdr>
          <w:divsChild>
            <w:div w:id="1717116899">
              <w:marLeft w:val="0"/>
              <w:marRight w:val="0"/>
              <w:marTop w:val="0"/>
              <w:marBottom w:val="0"/>
              <w:divBdr>
                <w:top w:val="none" w:sz="0" w:space="0" w:color="auto"/>
                <w:left w:val="none" w:sz="0" w:space="0" w:color="auto"/>
                <w:bottom w:val="none" w:sz="0" w:space="0" w:color="auto"/>
                <w:right w:val="none" w:sz="0" w:space="0" w:color="auto"/>
              </w:divBdr>
            </w:div>
          </w:divsChild>
        </w:div>
        <w:div w:id="1228606862">
          <w:marLeft w:val="0"/>
          <w:marRight w:val="0"/>
          <w:marTop w:val="0"/>
          <w:marBottom w:val="0"/>
          <w:divBdr>
            <w:top w:val="none" w:sz="0" w:space="0" w:color="auto"/>
            <w:left w:val="none" w:sz="0" w:space="0" w:color="auto"/>
            <w:bottom w:val="none" w:sz="0" w:space="0" w:color="auto"/>
            <w:right w:val="none" w:sz="0" w:space="0" w:color="auto"/>
          </w:divBdr>
          <w:divsChild>
            <w:div w:id="422072477">
              <w:marLeft w:val="0"/>
              <w:marRight w:val="0"/>
              <w:marTop w:val="0"/>
              <w:marBottom w:val="0"/>
              <w:divBdr>
                <w:top w:val="none" w:sz="0" w:space="0" w:color="auto"/>
                <w:left w:val="none" w:sz="0" w:space="0" w:color="auto"/>
                <w:bottom w:val="none" w:sz="0" w:space="0" w:color="auto"/>
                <w:right w:val="none" w:sz="0" w:space="0" w:color="auto"/>
              </w:divBdr>
            </w:div>
          </w:divsChild>
        </w:div>
        <w:div w:id="1235702816">
          <w:marLeft w:val="0"/>
          <w:marRight w:val="0"/>
          <w:marTop w:val="0"/>
          <w:marBottom w:val="0"/>
          <w:divBdr>
            <w:top w:val="none" w:sz="0" w:space="0" w:color="auto"/>
            <w:left w:val="none" w:sz="0" w:space="0" w:color="auto"/>
            <w:bottom w:val="none" w:sz="0" w:space="0" w:color="auto"/>
            <w:right w:val="none" w:sz="0" w:space="0" w:color="auto"/>
          </w:divBdr>
          <w:divsChild>
            <w:div w:id="727875505">
              <w:marLeft w:val="0"/>
              <w:marRight w:val="0"/>
              <w:marTop w:val="0"/>
              <w:marBottom w:val="0"/>
              <w:divBdr>
                <w:top w:val="none" w:sz="0" w:space="0" w:color="auto"/>
                <w:left w:val="none" w:sz="0" w:space="0" w:color="auto"/>
                <w:bottom w:val="none" w:sz="0" w:space="0" w:color="auto"/>
                <w:right w:val="none" w:sz="0" w:space="0" w:color="auto"/>
              </w:divBdr>
            </w:div>
          </w:divsChild>
        </w:div>
        <w:div w:id="1237857721">
          <w:marLeft w:val="0"/>
          <w:marRight w:val="0"/>
          <w:marTop w:val="0"/>
          <w:marBottom w:val="0"/>
          <w:divBdr>
            <w:top w:val="none" w:sz="0" w:space="0" w:color="auto"/>
            <w:left w:val="none" w:sz="0" w:space="0" w:color="auto"/>
            <w:bottom w:val="none" w:sz="0" w:space="0" w:color="auto"/>
            <w:right w:val="none" w:sz="0" w:space="0" w:color="auto"/>
          </w:divBdr>
          <w:divsChild>
            <w:div w:id="977535338">
              <w:marLeft w:val="0"/>
              <w:marRight w:val="0"/>
              <w:marTop w:val="0"/>
              <w:marBottom w:val="0"/>
              <w:divBdr>
                <w:top w:val="none" w:sz="0" w:space="0" w:color="auto"/>
                <w:left w:val="none" w:sz="0" w:space="0" w:color="auto"/>
                <w:bottom w:val="none" w:sz="0" w:space="0" w:color="auto"/>
                <w:right w:val="none" w:sz="0" w:space="0" w:color="auto"/>
              </w:divBdr>
            </w:div>
          </w:divsChild>
        </w:div>
        <w:div w:id="1243762466">
          <w:marLeft w:val="0"/>
          <w:marRight w:val="0"/>
          <w:marTop w:val="0"/>
          <w:marBottom w:val="0"/>
          <w:divBdr>
            <w:top w:val="none" w:sz="0" w:space="0" w:color="auto"/>
            <w:left w:val="none" w:sz="0" w:space="0" w:color="auto"/>
            <w:bottom w:val="none" w:sz="0" w:space="0" w:color="auto"/>
            <w:right w:val="none" w:sz="0" w:space="0" w:color="auto"/>
          </w:divBdr>
          <w:divsChild>
            <w:div w:id="2033260030">
              <w:marLeft w:val="0"/>
              <w:marRight w:val="0"/>
              <w:marTop w:val="0"/>
              <w:marBottom w:val="0"/>
              <w:divBdr>
                <w:top w:val="none" w:sz="0" w:space="0" w:color="auto"/>
                <w:left w:val="none" w:sz="0" w:space="0" w:color="auto"/>
                <w:bottom w:val="none" w:sz="0" w:space="0" w:color="auto"/>
                <w:right w:val="none" w:sz="0" w:space="0" w:color="auto"/>
              </w:divBdr>
            </w:div>
          </w:divsChild>
        </w:div>
        <w:div w:id="1247422373">
          <w:marLeft w:val="0"/>
          <w:marRight w:val="0"/>
          <w:marTop w:val="0"/>
          <w:marBottom w:val="0"/>
          <w:divBdr>
            <w:top w:val="none" w:sz="0" w:space="0" w:color="auto"/>
            <w:left w:val="none" w:sz="0" w:space="0" w:color="auto"/>
            <w:bottom w:val="none" w:sz="0" w:space="0" w:color="auto"/>
            <w:right w:val="none" w:sz="0" w:space="0" w:color="auto"/>
          </w:divBdr>
          <w:divsChild>
            <w:div w:id="742141500">
              <w:marLeft w:val="0"/>
              <w:marRight w:val="0"/>
              <w:marTop w:val="0"/>
              <w:marBottom w:val="0"/>
              <w:divBdr>
                <w:top w:val="none" w:sz="0" w:space="0" w:color="auto"/>
                <w:left w:val="none" w:sz="0" w:space="0" w:color="auto"/>
                <w:bottom w:val="none" w:sz="0" w:space="0" w:color="auto"/>
                <w:right w:val="none" w:sz="0" w:space="0" w:color="auto"/>
              </w:divBdr>
            </w:div>
          </w:divsChild>
        </w:div>
        <w:div w:id="1251769653">
          <w:marLeft w:val="0"/>
          <w:marRight w:val="0"/>
          <w:marTop w:val="0"/>
          <w:marBottom w:val="0"/>
          <w:divBdr>
            <w:top w:val="none" w:sz="0" w:space="0" w:color="auto"/>
            <w:left w:val="none" w:sz="0" w:space="0" w:color="auto"/>
            <w:bottom w:val="none" w:sz="0" w:space="0" w:color="auto"/>
            <w:right w:val="none" w:sz="0" w:space="0" w:color="auto"/>
          </w:divBdr>
          <w:divsChild>
            <w:div w:id="1607813577">
              <w:marLeft w:val="0"/>
              <w:marRight w:val="0"/>
              <w:marTop w:val="0"/>
              <w:marBottom w:val="0"/>
              <w:divBdr>
                <w:top w:val="none" w:sz="0" w:space="0" w:color="auto"/>
                <w:left w:val="none" w:sz="0" w:space="0" w:color="auto"/>
                <w:bottom w:val="none" w:sz="0" w:space="0" w:color="auto"/>
                <w:right w:val="none" w:sz="0" w:space="0" w:color="auto"/>
              </w:divBdr>
            </w:div>
          </w:divsChild>
        </w:div>
        <w:div w:id="1253315940">
          <w:marLeft w:val="0"/>
          <w:marRight w:val="0"/>
          <w:marTop w:val="0"/>
          <w:marBottom w:val="0"/>
          <w:divBdr>
            <w:top w:val="none" w:sz="0" w:space="0" w:color="auto"/>
            <w:left w:val="none" w:sz="0" w:space="0" w:color="auto"/>
            <w:bottom w:val="none" w:sz="0" w:space="0" w:color="auto"/>
            <w:right w:val="none" w:sz="0" w:space="0" w:color="auto"/>
          </w:divBdr>
          <w:divsChild>
            <w:div w:id="60644520">
              <w:marLeft w:val="0"/>
              <w:marRight w:val="0"/>
              <w:marTop w:val="0"/>
              <w:marBottom w:val="0"/>
              <w:divBdr>
                <w:top w:val="none" w:sz="0" w:space="0" w:color="auto"/>
                <w:left w:val="none" w:sz="0" w:space="0" w:color="auto"/>
                <w:bottom w:val="none" w:sz="0" w:space="0" w:color="auto"/>
                <w:right w:val="none" w:sz="0" w:space="0" w:color="auto"/>
              </w:divBdr>
            </w:div>
          </w:divsChild>
        </w:div>
        <w:div w:id="1254167297">
          <w:marLeft w:val="0"/>
          <w:marRight w:val="0"/>
          <w:marTop w:val="0"/>
          <w:marBottom w:val="0"/>
          <w:divBdr>
            <w:top w:val="none" w:sz="0" w:space="0" w:color="auto"/>
            <w:left w:val="none" w:sz="0" w:space="0" w:color="auto"/>
            <w:bottom w:val="none" w:sz="0" w:space="0" w:color="auto"/>
            <w:right w:val="none" w:sz="0" w:space="0" w:color="auto"/>
          </w:divBdr>
          <w:divsChild>
            <w:div w:id="255209010">
              <w:marLeft w:val="0"/>
              <w:marRight w:val="0"/>
              <w:marTop w:val="0"/>
              <w:marBottom w:val="0"/>
              <w:divBdr>
                <w:top w:val="none" w:sz="0" w:space="0" w:color="auto"/>
                <w:left w:val="none" w:sz="0" w:space="0" w:color="auto"/>
                <w:bottom w:val="none" w:sz="0" w:space="0" w:color="auto"/>
                <w:right w:val="none" w:sz="0" w:space="0" w:color="auto"/>
              </w:divBdr>
            </w:div>
          </w:divsChild>
        </w:div>
        <w:div w:id="1259556983">
          <w:marLeft w:val="0"/>
          <w:marRight w:val="0"/>
          <w:marTop w:val="0"/>
          <w:marBottom w:val="0"/>
          <w:divBdr>
            <w:top w:val="none" w:sz="0" w:space="0" w:color="auto"/>
            <w:left w:val="none" w:sz="0" w:space="0" w:color="auto"/>
            <w:bottom w:val="none" w:sz="0" w:space="0" w:color="auto"/>
            <w:right w:val="none" w:sz="0" w:space="0" w:color="auto"/>
          </w:divBdr>
          <w:divsChild>
            <w:div w:id="1688824735">
              <w:marLeft w:val="0"/>
              <w:marRight w:val="0"/>
              <w:marTop w:val="0"/>
              <w:marBottom w:val="0"/>
              <w:divBdr>
                <w:top w:val="none" w:sz="0" w:space="0" w:color="auto"/>
                <w:left w:val="none" w:sz="0" w:space="0" w:color="auto"/>
                <w:bottom w:val="none" w:sz="0" w:space="0" w:color="auto"/>
                <w:right w:val="none" w:sz="0" w:space="0" w:color="auto"/>
              </w:divBdr>
            </w:div>
          </w:divsChild>
        </w:div>
        <w:div w:id="1265112328">
          <w:marLeft w:val="0"/>
          <w:marRight w:val="0"/>
          <w:marTop w:val="0"/>
          <w:marBottom w:val="0"/>
          <w:divBdr>
            <w:top w:val="none" w:sz="0" w:space="0" w:color="auto"/>
            <w:left w:val="none" w:sz="0" w:space="0" w:color="auto"/>
            <w:bottom w:val="none" w:sz="0" w:space="0" w:color="auto"/>
            <w:right w:val="none" w:sz="0" w:space="0" w:color="auto"/>
          </w:divBdr>
          <w:divsChild>
            <w:div w:id="1160150537">
              <w:marLeft w:val="0"/>
              <w:marRight w:val="0"/>
              <w:marTop w:val="0"/>
              <w:marBottom w:val="0"/>
              <w:divBdr>
                <w:top w:val="none" w:sz="0" w:space="0" w:color="auto"/>
                <w:left w:val="none" w:sz="0" w:space="0" w:color="auto"/>
                <w:bottom w:val="none" w:sz="0" w:space="0" w:color="auto"/>
                <w:right w:val="none" w:sz="0" w:space="0" w:color="auto"/>
              </w:divBdr>
            </w:div>
          </w:divsChild>
        </w:div>
        <w:div w:id="1265532696">
          <w:marLeft w:val="0"/>
          <w:marRight w:val="0"/>
          <w:marTop w:val="0"/>
          <w:marBottom w:val="0"/>
          <w:divBdr>
            <w:top w:val="none" w:sz="0" w:space="0" w:color="auto"/>
            <w:left w:val="none" w:sz="0" w:space="0" w:color="auto"/>
            <w:bottom w:val="none" w:sz="0" w:space="0" w:color="auto"/>
            <w:right w:val="none" w:sz="0" w:space="0" w:color="auto"/>
          </w:divBdr>
          <w:divsChild>
            <w:div w:id="2000768594">
              <w:marLeft w:val="0"/>
              <w:marRight w:val="0"/>
              <w:marTop w:val="0"/>
              <w:marBottom w:val="0"/>
              <w:divBdr>
                <w:top w:val="none" w:sz="0" w:space="0" w:color="auto"/>
                <w:left w:val="none" w:sz="0" w:space="0" w:color="auto"/>
                <w:bottom w:val="none" w:sz="0" w:space="0" w:color="auto"/>
                <w:right w:val="none" w:sz="0" w:space="0" w:color="auto"/>
              </w:divBdr>
            </w:div>
          </w:divsChild>
        </w:div>
        <w:div w:id="1274094274">
          <w:marLeft w:val="0"/>
          <w:marRight w:val="0"/>
          <w:marTop w:val="0"/>
          <w:marBottom w:val="0"/>
          <w:divBdr>
            <w:top w:val="none" w:sz="0" w:space="0" w:color="auto"/>
            <w:left w:val="none" w:sz="0" w:space="0" w:color="auto"/>
            <w:bottom w:val="none" w:sz="0" w:space="0" w:color="auto"/>
            <w:right w:val="none" w:sz="0" w:space="0" w:color="auto"/>
          </w:divBdr>
          <w:divsChild>
            <w:div w:id="199438485">
              <w:marLeft w:val="0"/>
              <w:marRight w:val="0"/>
              <w:marTop w:val="0"/>
              <w:marBottom w:val="0"/>
              <w:divBdr>
                <w:top w:val="none" w:sz="0" w:space="0" w:color="auto"/>
                <w:left w:val="none" w:sz="0" w:space="0" w:color="auto"/>
                <w:bottom w:val="none" w:sz="0" w:space="0" w:color="auto"/>
                <w:right w:val="none" w:sz="0" w:space="0" w:color="auto"/>
              </w:divBdr>
            </w:div>
          </w:divsChild>
        </w:div>
        <w:div w:id="1280338822">
          <w:marLeft w:val="0"/>
          <w:marRight w:val="0"/>
          <w:marTop w:val="0"/>
          <w:marBottom w:val="0"/>
          <w:divBdr>
            <w:top w:val="none" w:sz="0" w:space="0" w:color="auto"/>
            <w:left w:val="none" w:sz="0" w:space="0" w:color="auto"/>
            <w:bottom w:val="none" w:sz="0" w:space="0" w:color="auto"/>
            <w:right w:val="none" w:sz="0" w:space="0" w:color="auto"/>
          </w:divBdr>
          <w:divsChild>
            <w:div w:id="1500847104">
              <w:marLeft w:val="0"/>
              <w:marRight w:val="0"/>
              <w:marTop w:val="0"/>
              <w:marBottom w:val="0"/>
              <w:divBdr>
                <w:top w:val="none" w:sz="0" w:space="0" w:color="auto"/>
                <w:left w:val="none" w:sz="0" w:space="0" w:color="auto"/>
                <w:bottom w:val="none" w:sz="0" w:space="0" w:color="auto"/>
                <w:right w:val="none" w:sz="0" w:space="0" w:color="auto"/>
              </w:divBdr>
            </w:div>
          </w:divsChild>
        </w:div>
        <w:div w:id="1280723647">
          <w:marLeft w:val="0"/>
          <w:marRight w:val="0"/>
          <w:marTop w:val="0"/>
          <w:marBottom w:val="0"/>
          <w:divBdr>
            <w:top w:val="none" w:sz="0" w:space="0" w:color="auto"/>
            <w:left w:val="none" w:sz="0" w:space="0" w:color="auto"/>
            <w:bottom w:val="none" w:sz="0" w:space="0" w:color="auto"/>
            <w:right w:val="none" w:sz="0" w:space="0" w:color="auto"/>
          </w:divBdr>
          <w:divsChild>
            <w:div w:id="1440678931">
              <w:marLeft w:val="0"/>
              <w:marRight w:val="0"/>
              <w:marTop w:val="0"/>
              <w:marBottom w:val="0"/>
              <w:divBdr>
                <w:top w:val="none" w:sz="0" w:space="0" w:color="auto"/>
                <w:left w:val="none" w:sz="0" w:space="0" w:color="auto"/>
                <w:bottom w:val="none" w:sz="0" w:space="0" w:color="auto"/>
                <w:right w:val="none" w:sz="0" w:space="0" w:color="auto"/>
              </w:divBdr>
            </w:div>
          </w:divsChild>
        </w:div>
        <w:div w:id="1283003210">
          <w:marLeft w:val="0"/>
          <w:marRight w:val="0"/>
          <w:marTop w:val="0"/>
          <w:marBottom w:val="0"/>
          <w:divBdr>
            <w:top w:val="none" w:sz="0" w:space="0" w:color="auto"/>
            <w:left w:val="none" w:sz="0" w:space="0" w:color="auto"/>
            <w:bottom w:val="none" w:sz="0" w:space="0" w:color="auto"/>
            <w:right w:val="none" w:sz="0" w:space="0" w:color="auto"/>
          </w:divBdr>
          <w:divsChild>
            <w:div w:id="1480462703">
              <w:marLeft w:val="0"/>
              <w:marRight w:val="0"/>
              <w:marTop w:val="0"/>
              <w:marBottom w:val="0"/>
              <w:divBdr>
                <w:top w:val="none" w:sz="0" w:space="0" w:color="auto"/>
                <w:left w:val="none" w:sz="0" w:space="0" w:color="auto"/>
                <w:bottom w:val="none" w:sz="0" w:space="0" w:color="auto"/>
                <w:right w:val="none" w:sz="0" w:space="0" w:color="auto"/>
              </w:divBdr>
            </w:div>
          </w:divsChild>
        </w:div>
        <w:div w:id="1284118632">
          <w:marLeft w:val="0"/>
          <w:marRight w:val="0"/>
          <w:marTop w:val="0"/>
          <w:marBottom w:val="0"/>
          <w:divBdr>
            <w:top w:val="none" w:sz="0" w:space="0" w:color="auto"/>
            <w:left w:val="none" w:sz="0" w:space="0" w:color="auto"/>
            <w:bottom w:val="none" w:sz="0" w:space="0" w:color="auto"/>
            <w:right w:val="none" w:sz="0" w:space="0" w:color="auto"/>
          </w:divBdr>
          <w:divsChild>
            <w:div w:id="803473284">
              <w:marLeft w:val="0"/>
              <w:marRight w:val="0"/>
              <w:marTop w:val="0"/>
              <w:marBottom w:val="0"/>
              <w:divBdr>
                <w:top w:val="none" w:sz="0" w:space="0" w:color="auto"/>
                <w:left w:val="none" w:sz="0" w:space="0" w:color="auto"/>
                <w:bottom w:val="none" w:sz="0" w:space="0" w:color="auto"/>
                <w:right w:val="none" w:sz="0" w:space="0" w:color="auto"/>
              </w:divBdr>
            </w:div>
          </w:divsChild>
        </w:div>
        <w:div w:id="1284195352">
          <w:marLeft w:val="0"/>
          <w:marRight w:val="0"/>
          <w:marTop w:val="0"/>
          <w:marBottom w:val="0"/>
          <w:divBdr>
            <w:top w:val="none" w:sz="0" w:space="0" w:color="auto"/>
            <w:left w:val="none" w:sz="0" w:space="0" w:color="auto"/>
            <w:bottom w:val="none" w:sz="0" w:space="0" w:color="auto"/>
            <w:right w:val="none" w:sz="0" w:space="0" w:color="auto"/>
          </w:divBdr>
          <w:divsChild>
            <w:div w:id="1615399118">
              <w:marLeft w:val="0"/>
              <w:marRight w:val="0"/>
              <w:marTop w:val="0"/>
              <w:marBottom w:val="0"/>
              <w:divBdr>
                <w:top w:val="none" w:sz="0" w:space="0" w:color="auto"/>
                <w:left w:val="none" w:sz="0" w:space="0" w:color="auto"/>
                <w:bottom w:val="none" w:sz="0" w:space="0" w:color="auto"/>
                <w:right w:val="none" w:sz="0" w:space="0" w:color="auto"/>
              </w:divBdr>
            </w:div>
          </w:divsChild>
        </w:div>
        <w:div w:id="1286085271">
          <w:marLeft w:val="0"/>
          <w:marRight w:val="0"/>
          <w:marTop w:val="0"/>
          <w:marBottom w:val="0"/>
          <w:divBdr>
            <w:top w:val="none" w:sz="0" w:space="0" w:color="auto"/>
            <w:left w:val="none" w:sz="0" w:space="0" w:color="auto"/>
            <w:bottom w:val="none" w:sz="0" w:space="0" w:color="auto"/>
            <w:right w:val="none" w:sz="0" w:space="0" w:color="auto"/>
          </w:divBdr>
          <w:divsChild>
            <w:div w:id="1574658293">
              <w:marLeft w:val="0"/>
              <w:marRight w:val="0"/>
              <w:marTop w:val="0"/>
              <w:marBottom w:val="0"/>
              <w:divBdr>
                <w:top w:val="none" w:sz="0" w:space="0" w:color="auto"/>
                <w:left w:val="none" w:sz="0" w:space="0" w:color="auto"/>
                <w:bottom w:val="none" w:sz="0" w:space="0" w:color="auto"/>
                <w:right w:val="none" w:sz="0" w:space="0" w:color="auto"/>
              </w:divBdr>
            </w:div>
          </w:divsChild>
        </w:div>
        <w:div w:id="1290479050">
          <w:marLeft w:val="0"/>
          <w:marRight w:val="0"/>
          <w:marTop w:val="0"/>
          <w:marBottom w:val="0"/>
          <w:divBdr>
            <w:top w:val="none" w:sz="0" w:space="0" w:color="auto"/>
            <w:left w:val="none" w:sz="0" w:space="0" w:color="auto"/>
            <w:bottom w:val="none" w:sz="0" w:space="0" w:color="auto"/>
            <w:right w:val="none" w:sz="0" w:space="0" w:color="auto"/>
          </w:divBdr>
          <w:divsChild>
            <w:div w:id="468130770">
              <w:marLeft w:val="0"/>
              <w:marRight w:val="0"/>
              <w:marTop w:val="0"/>
              <w:marBottom w:val="0"/>
              <w:divBdr>
                <w:top w:val="none" w:sz="0" w:space="0" w:color="auto"/>
                <w:left w:val="none" w:sz="0" w:space="0" w:color="auto"/>
                <w:bottom w:val="none" w:sz="0" w:space="0" w:color="auto"/>
                <w:right w:val="none" w:sz="0" w:space="0" w:color="auto"/>
              </w:divBdr>
            </w:div>
          </w:divsChild>
        </w:div>
        <w:div w:id="1293904782">
          <w:marLeft w:val="0"/>
          <w:marRight w:val="0"/>
          <w:marTop w:val="0"/>
          <w:marBottom w:val="0"/>
          <w:divBdr>
            <w:top w:val="none" w:sz="0" w:space="0" w:color="auto"/>
            <w:left w:val="none" w:sz="0" w:space="0" w:color="auto"/>
            <w:bottom w:val="none" w:sz="0" w:space="0" w:color="auto"/>
            <w:right w:val="none" w:sz="0" w:space="0" w:color="auto"/>
          </w:divBdr>
          <w:divsChild>
            <w:div w:id="27415980">
              <w:marLeft w:val="0"/>
              <w:marRight w:val="0"/>
              <w:marTop w:val="0"/>
              <w:marBottom w:val="0"/>
              <w:divBdr>
                <w:top w:val="none" w:sz="0" w:space="0" w:color="auto"/>
                <w:left w:val="none" w:sz="0" w:space="0" w:color="auto"/>
                <w:bottom w:val="none" w:sz="0" w:space="0" w:color="auto"/>
                <w:right w:val="none" w:sz="0" w:space="0" w:color="auto"/>
              </w:divBdr>
            </w:div>
          </w:divsChild>
        </w:div>
        <w:div w:id="1301769988">
          <w:marLeft w:val="0"/>
          <w:marRight w:val="0"/>
          <w:marTop w:val="0"/>
          <w:marBottom w:val="0"/>
          <w:divBdr>
            <w:top w:val="none" w:sz="0" w:space="0" w:color="auto"/>
            <w:left w:val="none" w:sz="0" w:space="0" w:color="auto"/>
            <w:bottom w:val="none" w:sz="0" w:space="0" w:color="auto"/>
            <w:right w:val="none" w:sz="0" w:space="0" w:color="auto"/>
          </w:divBdr>
          <w:divsChild>
            <w:div w:id="768430338">
              <w:marLeft w:val="0"/>
              <w:marRight w:val="0"/>
              <w:marTop w:val="0"/>
              <w:marBottom w:val="0"/>
              <w:divBdr>
                <w:top w:val="none" w:sz="0" w:space="0" w:color="auto"/>
                <w:left w:val="none" w:sz="0" w:space="0" w:color="auto"/>
                <w:bottom w:val="none" w:sz="0" w:space="0" w:color="auto"/>
                <w:right w:val="none" w:sz="0" w:space="0" w:color="auto"/>
              </w:divBdr>
            </w:div>
          </w:divsChild>
        </w:div>
        <w:div w:id="1301885543">
          <w:marLeft w:val="0"/>
          <w:marRight w:val="0"/>
          <w:marTop w:val="0"/>
          <w:marBottom w:val="0"/>
          <w:divBdr>
            <w:top w:val="none" w:sz="0" w:space="0" w:color="auto"/>
            <w:left w:val="none" w:sz="0" w:space="0" w:color="auto"/>
            <w:bottom w:val="none" w:sz="0" w:space="0" w:color="auto"/>
            <w:right w:val="none" w:sz="0" w:space="0" w:color="auto"/>
          </w:divBdr>
          <w:divsChild>
            <w:div w:id="1658218068">
              <w:marLeft w:val="0"/>
              <w:marRight w:val="0"/>
              <w:marTop w:val="0"/>
              <w:marBottom w:val="0"/>
              <w:divBdr>
                <w:top w:val="none" w:sz="0" w:space="0" w:color="auto"/>
                <w:left w:val="none" w:sz="0" w:space="0" w:color="auto"/>
                <w:bottom w:val="none" w:sz="0" w:space="0" w:color="auto"/>
                <w:right w:val="none" w:sz="0" w:space="0" w:color="auto"/>
              </w:divBdr>
            </w:div>
          </w:divsChild>
        </w:div>
        <w:div w:id="1303584066">
          <w:marLeft w:val="0"/>
          <w:marRight w:val="0"/>
          <w:marTop w:val="0"/>
          <w:marBottom w:val="0"/>
          <w:divBdr>
            <w:top w:val="none" w:sz="0" w:space="0" w:color="auto"/>
            <w:left w:val="none" w:sz="0" w:space="0" w:color="auto"/>
            <w:bottom w:val="none" w:sz="0" w:space="0" w:color="auto"/>
            <w:right w:val="none" w:sz="0" w:space="0" w:color="auto"/>
          </w:divBdr>
          <w:divsChild>
            <w:div w:id="1327050647">
              <w:marLeft w:val="0"/>
              <w:marRight w:val="0"/>
              <w:marTop w:val="0"/>
              <w:marBottom w:val="0"/>
              <w:divBdr>
                <w:top w:val="none" w:sz="0" w:space="0" w:color="auto"/>
                <w:left w:val="none" w:sz="0" w:space="0" w:color="auto"/>
                <w:bottom w:val="none" w:sz="0" w:space="0" w:color="auto"/>
                <w:right w:val="none" w:sz="0" w:space="0" w:color="auto"/>
              </w:divBdr>
            </w:div>
          </w:divsChild>
        </w:div>
        <w:div w:id="1308171897">
          <w:marLeft w:val="0"/>
          <w:marRight w:val="0"/>
          <w:marTop w:val="0"/>
          <w:marBottom w:val="0"/>
          <w:divBdr>
            <w:top w:val="none" w:sz="0" w:space="0" w:color="auto"/>
            <w:left w:val="none" w:sz="0" w:space="0" w:color="auto"/>
            <w:bottom w:val="none" w:sz="0" w:space="0" w:color="auto"/>
            <w:right w:val="none" w:sz="0" w:space="0" w:color="auto"/>
          </w:divBdr>
          <w:divsChild>
            <w:div w:id="86848771">
              <w:marLeft w:val="0"/>
              <w:marRight w:val="0"/>
              <w:marTop w:val="0"/>
              <w:marBottom w:val="0"/>
              <w:divBdr>
                <w:top w:val="none" w:sz="0" w:space="0" w:color="auto"/>
                <w:left w:val="none" w:sz="0" w:space="0" w:color="auto"/>
                <w:bottom w:val="none" w:sz="0" w:space="0" w:color="auto"/>
                <w:right w:val="none" w:sz="0" w:space="0" w:color="auto"/>
              </w:divBdr>
            </w:div>
          </w:divsChild>
        </w:div>
        <w:div w:id="1309243167">
          <w:marLeft w:val="0"/>
          <w:marRight w:val="0"/>
          <w:marTop w:val="0"/>
          <w:marBottom w:val="0"/>
          <w:divBdr>
            <w:top w:val="none" w:sz="0" w:space="0" w:color="auto"/>
            <w:left w:val="none" w:sz="0" w:space="0" w:color="auto"/>
            <w:bottom w:val="none" w:sz="0" w:space="0" w:color="auto"/>
            <w:right w:val="none" w:sz="0" w:space="0" w:color="auto"/>
          </w:divBdr>
          <w:divsChild>
            <w:div w:id="39669090">
              <w:marLeft w:val="0"/>
              <w:marRight w:val="0"/>
              <w:marTop w:val="0"/>
              <w:marBottom w:val="0"/>
              <w:divBdr>
                <w:top w:val="none" w:sz="0" w:space="0" w:color="auto"/>
                <w:left w:val="none" w:sz="0" w:space="0" w:color="auto"/>
                <w:bottom w:val="none" w:sz="0" w:space="0" w:color="auto"/>
                <w:right w:val="none" w:sz="0" w:space="0" w:color="auto"/>
              </w:divBdr>
            </w:div>
          </w:divsChild>
        </w:div>
        <w:div w:id="1313412563">
          <w:marLeft w:val="0"/>
          <w:marRight w:val="0"/>
          <w:marTop w:val="0"/>
          <w:marBottom w:val="0"/>
          <w:divBdr>
            <w:top w:val="none" w:sz="0" w:space="0" w:color="auto"/>
            <w:left w:val="none" w:sz="0" w:space="0" w:color="auto"/>
            <w:bottom w:val="none" w:sz="0" w:space="0" w:color="auto"/>
            <w:right w:val="none" w:sz="0" w:space="0" w:color="auto"/>
          </w:divBdr>
          <w:divsChild>
            <w:div w:id="2017032830">
              <w:marLeft w:val="0"/>
              <w:marRight w:val="0"/>
              <w:marTop w:val="0"/>
              <w:marBottom w:val="0"/>
              <w:divBdr>
                <w:top w:val="none" w:sz="0" w:space="0" w:color="auto"/>
                <w:left w:val="none" w:sz="0" w:space="0" w:color="auto"/>
                <w:bottom w:val="none" w:sz="0" w:space="0" w:color="auto"/>
                <w:right w:val="none" w:sz="0" w:space="0" w:color="auto"/>
              </w:divBdr>
            </w:div>
          </w:divsChild>
        </w:div>
        <w:div w:id="1315521762">
          <w:marLeft w:val="0"/>
          <w:marRight w:val="0"/>
          <w:marTop w:val="0"/>
          <w:marBottom w:val="0"/>
          <w:divBdr>
            <w:top w:val="none" w:sz="0" w:space="0" w:color="auto"/>
            <w:left w:val="none" w:sz="0" w:space="0" w:color="auto"/>
            <w:bottom w:val="none" w:sz="0" w:space="0" w:color="auto"/>
            <w:right w:val="none" w:sz="0" w:space="0" w:color="auto"/>
          </w:divBdr>
          <w:divsChild>
            <w:div w:id="1816601081">
              <w:marLeft w:val="0"/>
              <w:marRight w:val="0"/>
              <w:marTop w:val="0"/>
              <w:marBottom w:val="0"/>
              <w:divBdr>
                <w:top w:val="none" w:sz="0" w:space="0" w:color="auto"/>
                <w:left w:val="none" w:sz="0" w:space="0" w:color="auto"/>
                <w:bottom w:val="none" w:sz="0" w:space="0" w:color="auto"/>
                <w:right w:val="none" w:sz="0" w:space="0" w:color="auto"/>
              </w:divBdr>
            </w:div>
          </w:divsChild>
        </w:div>
        <w:div w:id="1317757412">
          <w:marLeft w:val="0"/>
          <w:marRight w:val="0"/>
          <w:marTop w:val="0"/>
          <w:marBottom w:val="0"/>
          <w:divBdr>
            <w:top w:val="none" w:sz="0" w:space="0" w:color="auto"/>
            <w:left w:val="none" w:sz="0" w:space="0" w:color="auto"/>
            <w:bottom w:val="none" w:sz="0" w:space="0" w:color="auto"/>
            <w:right w:val="none" w:sz="0" w:space="0" w:color="auto"/>
          </w:divBdr>
          <w:divsChild>
            <w:div w:id="269822464">
              <w:marLeft w:val="0"/>
              <w:marRight w:val="0"/>
              <w:marTop w:val="0"/>
              <w:marBottom w:val="0"/>
              <w:divBdr>
                <w:top w:val="none" w:sz="0" w:space="0" w:color="auto"/>
                <w:left w:val="none" w:sz="0" w:space="0" w:color="auto"/>
                <w:bottom w:val="none" w:sz="0" w:space="0" w:color="auto"/>
                <w:right w:val="none" w:sz="0" w:space="0" w:color="auto"/>
              </w:divBdr>
            </w:div>
          </w:divsChild>
        </w:div>
        <w:div w:id="1329359027">
          <w:marLeft w:val="0"/>
          <w:marRight w:val="0"/>
          <w:marTop w:val="0"/>
          <w:marBottom w:val="0"/>
          <w:divBdr>
            <w:top w:val="none" w:sz="0" w:space="0" w:color="auto"/>
            <w:left w:val="none" w:sz="0" w:space="0" w:color="auto"/>
            <w:bottom w:val="none" w:sz="0" w:space="0" w:color="auto"/>
            <w:right w:val="none" w:sz="0" w:space="0" w:color="auto"/>
          </w:divBdr>
          <w:divsChild>
            <w:div w:id="1358235127">
              <w:marLeft w:val="0"/>
              <w:marRight w:val="0"/>
              <w:marTop w:val="0"/>
              <w:marBottom w:val="0"/>
              <w:divBdr>
                <w:top w:val="none" w:sz="0" w:space="0" w:color="auto"/>
                <w:left w:val="none" w:sz="0" w:space="0" w:color="auto"/>
                <w:bottom w:val="none" w:sz="0" w:space="0" w:color="auto"/>
                <w:right w:val="none" w:sz="0" w:space="0" w:color="auto"/>
              </w:divBdr>
            </w:div>
          </w:divsChild>
        </w:div>
        <w:div w:id="1337489768">
          <w:marLeft w:val="0"/>
          <w:marRight w:val="0"/>
          <w:marTop w:val="0"/>
          <w:marBottom w:val="0"/>
          <w:divBdr>
            <w:top w:val="none" w:sz="0" w:space="0" w:color="auto"/>
            <w:left w:val="none" w:sz="0" w:space="0" w:color="auto"/>
            <w:bottom w:val="none" w:sz="0" w:space="0" w:color="auto"/>
            <w:right w:val="none" w:sz="0" w:space="0" w:color="auto"/>
          </w:divBdr>
          <w:divsChild>
            <w:div w:id="2101830582">
              <w:marLeft w:val="0"/>
              <w:marRight w:val="0"/>
              <w:marTop w:val="0"/>
              <w:marBottom w:val="0"/>
              <w:divBdr>
                <w:top w:val="none" w:sz="0" w:space="0" w:color="auto"/>
                <w:left w:val="none" w:sz="0" w:space="0" w:color="auto"/>
                <w:bottom w:val="none" w:sz="0" w:space="0" w:color="auto"/>
                <w:right w:val="none" w:sz="0" w:space="0" w:color="auto"/>
              </w:divBdr>
            </w:div>
          </w:divsChild>
        </w:div>
        <w:div w:id="1337615895">
          <w:marLeft w:val="0"/>
          <w:marRight w:val="0"/>
          <w:marTop w:val="0"/>
          <w:marBottom w:val="0"/>
          <w:divBdr>
            <w:top w:val="none" w:sz="0" w:space="0" w:color="auto"/>
            <w:left w:val="none" w:sz="0" w:space="0" w:color="auto"/>
            <w:bottom w:val="none" w:sz="0" w:space="0" w:color="auto"/>
            <w:right w:val="none" w:sz="0" w:space="0" w:color="auto"/>
          </w:divBdr>
          <w:divsChild>
            <w:div w:id="603653109">
              <w:marLeft w:val="0"/>
              <w:marRight w:val="0"/>
              <w:marTop w:val="0"/>
              <w:marBottom w:val="0"/>
              <w:divBdr>
                <w:top w:val="none" w:sz="0" w:space="0" w:color="auto"/>
                <w:left w:val="none" w:sz="0" w:space="0" w:color="auto"/>
                <w:bottom w:val="none" w:sz="0" w:space="0" w:color="auto"/>
                <w:right w:val="none" w:sz="0" w:space="0" w:color="auto"/>
              </w:divBdr>
            </w:div>
          </w:divsChild>
        </w:div>
        <w:div w:id="1338577655">
          <w:marLeft w:val="0"/>
          <w:marRight w:val="0"/>
          <w:marTop w:val="0"/>
          <w:marBottom w:val="0"/>
          <w:divBdr>
            <w:top w:val="none" w:sz="0" w:space="0" w:color="auto"/>
            <w:left w:val="none" w:sz="0" w:space="0" w:color="auto"/>
            <w:bottom w:val="none" w:sz="0" w:space="0" w:color="auto"/>
            <w:right w:val="none" w:sz="0" w:space="0" w:color="auto"/>
          </w:divBdr>
          <w:divsChild>
            <w:div w:id="47261991">
              <w:marLeft w:val="0"/>
              <w:marRight w:val="0"/>
              <w:marTop w:val="0"/>
              <w:marBottom w:val="0"/>
              <w:divBdr>
                <w:top w:val="none" w:sz="0" w:space="0" w:color="auto"/>
                <w:left w:val="none" w:sz="0" w:space="0" w:color="auto"/>
                <w:bottom w:val="none" w:sz="0" w:space="0" w:color="auto"/>
                <w:right w:val="none" w:sz="0" w:space="0" w:color="auto"/>
              </w:divBdr>
            </w:div>
          </w:divsChild>
        </w:div>
        <w:div w:id="1349528012">
          <w:marLeft w:val="0"/>
          <w:marRight w:val="0"/>
          <w:marTop w:val="0"/>
          <w:marBottom w:val="0"/>
          <w:divBdr>
            <w:top w:val="none" w:sz="0" w:space="0" w:color="auto"/>
            <w:left w:val="none" w:sz="0" w:space="0" w:color="auto"/>
            <w:bottom w:val="none" w:sz="0" w:space="0" w:color="auto"/>
            <w:right w:val="none" w:sz="0" w:space="0" w:color="auto"/>
          </w:divBdr>
          <w:divsChild>
            <w:div w:id="1561094720">
              <w:marLeft w:val="0"/>
              <w:marRight w:val="0"/>
              <w:marTop w:val="0"/>
              <w:marBottom w:val="0"/>
              <w:divBdr>
                <w:top w:val="none" w:sz="0" w:space="0" w:color="auto"/>
                <w:left w:val="none" w:sz="0" w:space="0" w:color="auto"/>
                <w:bottom w:val="none" w:sz="0" w:space="0" w:color="auto"/>
                <w:right w:val="none" w:sz="0" w:space="0" w:color="auto"/>
              </w:divBdr>
            </w:div>
          </w:divsChild>
        </w:div>
        <w:div w:id="1351222265">
          <w:marLeft w:val="0"/>
          <w:marRight w:val="0"/>
          <w:marTop w:val="0"/>
          <w:marBottom w:val="0"/>
          <w:divBdr>
            <w:top w:val="none" w:sz="0" w:space="0" w:color="auto"/>
            <w:left w:val="none" w:sz="0" w:space="0" w:color="auto"/>
            <w:bottom w:val="none" w:sz="0" w:space="0" w:color="auto"/>
            <w:right w:val="none" w:sz="0" w:space="0" w:color="auto"/>
          </w:divBdr>
          <w:divsChild>
            <w:div w:id="1412972791">
              <w:marLeft w:val="0"/>
              <w:marRight w:val="0"/>
              <w:marTop w:val="0"/>
              <w:marBottom w:val="0"/>
              <w:divBdr>
                <w:top w:val="none" w:sz="0" w:space="0" w:color="auto"/>
                <w:left w:val="none" w:sz="0" w:space="0" w:color="auto"/>
                <w:bottom w:val="none" w:sz="0" w:space="0" w:color="auto"/>
                <w:right w:val="none" w:sz="0" w:space="0" w:color="auto"/>
              </w:divBdr>
            </w:div>
          </w:divsChild>
        </w:div>
        <w:div w:id="1351489425">
          <w:marLeft w:val="0"/>
          <w:marRight w:val="0"/>
          <w:marTop w:val="0"/>
          <w:marBottom w:val="0"/>
          <w:divBdr>
            <w:top w:val="none" w:sz="0" w:space="0" w:color="auto"/>
            <w:left w:val="none" w:sz="0" w:space="0" w:color="auto"/>
            <w:bottom w:val="none" w:sz="0" w:space="0" w:color="auto"/>
            <w:right w:val="none" w:sz="0" w:space="0" w:color="auto"/>
          </w:divBdr>
          <w:divsChild>
            <w:div w:id="1839734341">
              <w:marLeft w:val="0"/>
              <w:marRight w:val="0"/>
              <w:marTop w:val="0"/>
              <w:marBottom w:val="0"/>
              <w:divBdr>
                <w:top w:val="none" w:sz="0" w:space="0" w:color="auto"/>
                <w:left w:val="none" w:sz="0" w:space="0" w:color="auto"/>
                <w:bottom w:val="none" w:sz="0" w:space="0" w:color="auto"/>
                <w:right w:val="none" w:sz="0" w:space="0" w:color="auto"/>
              </w:divBdr>
            </w:div>
          </w:divsChild>
        </w:div>
        <w:div w:id="1352759049">
          <w:marLeft w:val="0"/>
          <w:marRight w:val="0"/>
          <w:marTop w:val="0"/>
          <w:marBottom w:val="0"/>
          <w:divBdr>
            <w:top w:val="none" w:sz="0" w:space="0" w:color="auto"/>
            <w:left w:val="none" w:sz="0" w:space="0" w:color="auto"/>
            <w:bottom w:val="none" w:sz="0" w:space="0" w:color="auto"/>
            <w:right w:val="none" w:sz="0" w:space="0" w:color="auto"/>
          </w:divBdr>
          <w:divsChild>
            <w:div w:id="920523179">
              <w:marLeft w:val="0"/>
              <w:marRight w:val="0"/>
              <w:marTop w:val="0"/>
              <w:marBottom w:val="0"/>
              <w:divBdr>
                <w:top w:val="none" w:sz="0" w:space="0" w:color="auto"/>
                <w:left w:val="none" w:sz="0" w:space="0" w:color="auto"/>
                <w:bottom w:val="none" w:sz="0" w:space="0" w:color="auto"/>
                <w:right w:val="none" w:sz="0" w:space="0" w:color="auto"/>
              </w:divBdr>
            </w:div>
          </w:divsChild>
        </w:div>
        <w:div w:id="1353796795">
          <w:marLeft w:val="0"/>
          <w:marRight w:val="0"/>
          <w:marTop w:val="0"/>
          <w:marBottom w:val="0"/>
          <w:divBdr>
            <w:top w:val="none" w:sz="0" w:space="0" w:color="auto"/>
            <w:left w:val="none" w:sz="0" w:space="0" w:color="auto"/>
            <w:bottom w:val="none" w:sz="0" w:space="0" w:color="auto"/>
            <w:right w:val="none" w:sz="0" w:space="0" w:color="auto"/>
          </w:divBdr>
          <w:divsChild>
            <w:div w:id="570426394">
              <w:marLeft w:val="0"/>
              <w:marRight w:val="0"/>
              <w:marTop w:val="0"/>
              <w:marBottom w:val="0"/>
              <w:divBdr>
                <w:top w:val="none" w:sz="0" w:space="0" w:color="auto"/>
                <w:left w:val="none" w:sz="0" w:space="0" w:color="auto"/>
                <w:bottom w:val="none" w:sz="0" w:space="0" w:color="auto"/>
                <w:right w:val="none" w:sz="0" w:space="0" w:color="auto"/>
              </w:divBdr>
            </w:div>
          </w:divsChild>
        </w:div>
        <w:div w:id="1354265791">
          <w:marLeft w:val="0"/>
          <w:marRight w:val="0"/>
          <w:marTop w:val="0"/>
          <w:marBottom w:val="0"/>
          <w:divBdr>
            <w:top w:val="none" w:sz="0" w:space="0" w:color="auto"/>
            <w:left w:val="none" w:sz="0" w:space="0" w:color="auto"/>
            <w:bottom w:val="none" w:sz="0" w:space="0" w:color="auto"/>
            <w:right w:val="none" w:sz="0" w:space="0" w:color="auto"/>
          </w:divBdr>
          <w:divsChild>
            <w:div w:id="78253299">
              <w:marLeft w:val="0"/>
              <w:marRight w:val="0"/>
              <w:marTop w:val="0"/>
              <w:marBottom w:val="0"/>
              <w:divBdr>
                <w:top w:val="none" w:sz="0" w:space="0" w:color="auto"/>
                <w:left w:val="none" w:sz="0" w:space="0" w:color="auto"/>
                <w:bottom w:val="none" w:sz="0" w:space="0" w:color="auto"/>
                <w:right w:val="none" w:sz="0" w:space="0" w:color="auto"/>
              </w:divBdr>
            </w:div>
          </w:divsChild>
        </w:div>
        <w:div w:id="1357542159">
          <w:marLeft w:val="0"/>
          <w:marRight w:val="0"/>
          <w:marTop w:val="0"/>
          <w:marBottom w:val="0"/>
          <w:divBdr>
            <w:top w:val="none" w:sz="0" w:space="0" w:color="auto"/>
            <w:left w:val="none" w:sz="0" w:space="0" w:color="auto"/>
            <w:bottom w:val="none" w:sz="0" w:space="0" w:color="auto"/>
            <w:right w:val="none" w:sz="0" w:space="0" w:color="auto"/>
          </w:divBdr>
          <w:divsChild>
            <w:div w:id="1179352372">
              <w:marLeft w:val="0"/>
              <w:marRight w:val="0"/>
              <w:marTop w:val="0"/>
              <w:marBottom w:val="0"/>
              <w:divBdr>
                <w:top w:val="none" w:sz="0" w:space="0" w:color="auto"/>
                <w:left w:val="none" w:sz="0" w:space="0" w:color="auto"/>
                <w:bottom w:val="none" w:sz="0" w:space="0" w:color="auto"/>
                <w:right w:val="none" w:sz="0" w:space="0" w:color="auto"/>
              </w:divBdr>
            </w:div>
          </w:divsChild>
        </w:div>
        <w:div w:id="1358652515">
          <w:marLeft w:val="0"/>
          <w:marRight w:val="0"/>
          <w:marTop w:val="0"/>
          <w:marBottom w:val="0"/>
          <w:divBdr>
            <w:top w:val="none" w:sz="0" w:space="0" w:color="auto"/>
            <w:left w:val="none" w:sz="0" w:space="0" w:color="auto"/>
            <w:bottom w:val="none" w:sz="0" w:space="0" w:color="auto"/>
            <w:right w:val="none" w:sz="0" w:space="0" w:color="auto"/>
          </w:divBdr>
          <w:divsChild>
            <w:div w:id="1596939479">
              <w:marLeft w:val="0"/>
              <w:marRight w:val="0"/>
              <w:marTop w:val="0"/>
              <w:marBottom w:val="0"/>
              <w:divBdr>
                <w:top w:val="none" w:sz="0" w:space="0" w:color="auto"/>
                <w:left w:val="none" w:sz="0" w:space="0" w:color="auto"/>
                <w:bottom w:val="none" w:sz="0" w:space="0" w:color="auto"/>
                <w:right w:val="none" w:sz="0" w:space="0" w:color="auto"/>
              </w:divBdr>
            </w:div>
            <w:div w:id="2043628889">
              <w:marLeft w:val="0"/>
              <w:marRight w:val="0"/>
              <w:marTop w:val="0"/>
              <w:marBottom w:val="0"/>
              <w:divBdr>
                <w:top w:val="none" w:sz="0" w:space="0" w:color="auto"/>
                <w:left w:val="none" w:sz="0" w:space="0" w:color="auto"/>
                <w:bottom w:val="none" w:sz="0" w:space="0" w:color="auto"/>
                <w:right w:val="none" w:sz="0" w:space="0" w:color="auto"/>
              </w:divBdr>
            </w:div>
          </w:divsChild>
        </w:div>
        <w:div w:id="1359890546">
          <w:marLeft w:val="0"/>
          <w:marRight w:val="0"/>
          <w:marTop w:val="0"/>
          <w:marBottom w:val="0"/>
          <w:divBdr>
            <w:top w:val="none" w:sz="0" w:space="0" w:color="auto"/>
            <w:left w:val="none" w:sz="0" w:space="0" w:color="auto"/>
            <w:bottom w:val="none" w:sz="0" w:space="0" w:color="auto"/>
            <w:right w:val="none" w:sz="0" w:space="0" w:color="auto"/>
          </w:divBdr>
          <w:divsChild>
            <w:div w:id="249698735">
              <w:marLeft w:val="0"/>
              <w:marRight w:val="0"/>
              <w:marTop w:val="0"/>
              <w:marBottom w:val="0"/>
              <w:divBdr>
                <w:top w:val="none" w:sz="0" w:space="0" w:color="auto"/>
                <w:left w:val="none" w:sz="0" w:space="0" w:color="auto"/>
                <w:bottom w:val="none" w:sz="0" w:space="0" w:color="auto"/>
                <w:right w:val="none" w:sz="0" w:space="0" w:color="auto"/>
              </w:divBdr>
            </w:div>
          </w:divsChild>
        </w:div>
        <w:div w:id="1361124191">
          <w:marLeft w:val="0"/>
          <w:marRight w:val="0"/>
          <w:marTop w:val="0"/>
          <w:marBottom w:val="0"/>
          <w:divBdr>
            <w:top w:val="none" w:sz="0" w:space="0" w:color="auto"/>
            <w:left w:val="none" w:sz="0" w:space="0" w:color="auto"/>
            <w:bottom w:val="none" w:sz="0" w:space="0" w:color="auto"/>
            <w:right w:val="none" w:sz="0" w:space="0" w:color="auto"/>
          </w:divBdr>
          <w:divsChild>
            <w:div w:id="1289093195">
              <w:marLeft w:val="0"/>
              <w:marRight w:val="0"/>
              <w:marTop w:val="0"/>
              <w:marBottom w:val="0"/>
              <w:divBdr>
                <w:top w:val="none" w:sz="0" w:space="0" w:color="auto"/>
                <w:left w:val="none" w:sz="0" w:space="0" w:color="auto"/>
                <w:bottom w:val="none" w:sz="0" w:space="0" w:color="auto"/>
                <w:right w:val="none" w:sz="0" w:space="0" w:color="auto"/>
              </w:divBdr>
            </w:div>
          </w:divsChild>
        </w:div>
        <w:div w:id="1366564245">
          <w:marLeft w:val="0"/>
          <w:marRight w:val="0"/>
          <w:marTop w:val="0"/>
          <w:marBottom w:val="0"/>
          <w:divBdr>
            <w:top w:val="none" w:sz="0" w:space="0" w:color="auto"/>
            <w:left w:val="none" w:sz="0" w:space="0" w:color="auto"/>
            <w:bottom w:val="none" w:sz="0" w:space="0" w:color="auto"/>
            <w:right w:val="none" w:sz="0" w:space="0" w:color="auto"/>
          </w:divBdr>
          <w:divsChild>
            <w:div w:id="451364828">
              <w:marLeft w:val="0"/>
              <w:marRight w:val="0"/>
              <w:marTop w:val="0"/>
              <w:marBottom w:val="0"/>
              <w:divBdr>
                <w:top w:val="none" w:sz="0" w:space="0" w:color="auto"/>
                <w:left w:val="none" w:sz="0" w:space="0" w:color="auto"/>
                <w:bottom w:val="none" w:sz="0" w:space="0" w:color="auto"/>
                <w:right w:val="none" w:sz="0" w:space="0" w:color="auto"/>
              </w:divBdr>
            </w:div>
          </w:divsChild>
        </w:div>
        <w:div w:id="1369527550">
          <w:marLeft w:val="0"/>
          <w:marRight w:val="0"/>
          <w:marTop w:val="0"/>
          <w:marBottom w:val="0"/>
          <w:divBdr>
            <w:top w:val="none" w:sz="0" w:space="0" w:color="auto"/>
            <w:left w:val="none" w:sz="0" w:space="0" w:color="auto"/>
            <w:bottom w:val="none" w:sz="0" w:space="0" w:color="auto"/>
            <w:right w:val="none" w:sz="0" w:space="0" w:color="auto"/>
          </w:divBdr>
          <w:divsChild>
            <w:div w:id="1047756144">
              <w:marLeft w:val="0"/>
              <w:marRight w:val="0"/>
              <w:marTop w:val="0"/>
              <w:marBottom w:val="0"/>
              <w:divBdr>
                <w:top w:val="none" w:sz="0" w:space="0" w:color="auto"/>
                <w:left w:val="none" w:sz="0" w:space="0" w:color="auto"/>
                <w:bottom w:val="none" w:sz="0" w:space="0" w:color="auto"/>
                <w:right w:val="none" w:sz="0" w:space="0" w:color="auto"/>
              </w:divBdr>
            </w:div>
          </w:divsChild>
        </w:div>
        <w:div w:id="1383359717">
          <w:marLeft w:val="0"/>
          <w:marRight w:val="0"/>
          <w:marTop w:val="0"/>
          <w:marBottom w:val="0"/>
          <w:divBdr>
            <w:top w:val="none" w:sz="0" w:space="0" w:color="auto"/>
            <w:left w:val="none" w:sz="0" w:space="0" w:color="auto"/>
            <w:bottom w:val="none" w:sz="0" w:space="0" w:color="auto"/>
            <w:right w:val="none" w:sz="0" w:space="0" w:color="auto"/>
          </w:divBdr>
          <w:divsChild>
            <w:div w:id="2050296044">
              <w:marLeft w:val="0"/>
              <w:marRight w:val="0"/>
              <w:marTop w:val="0"/>
              <w:marBottom w:val="0"/>
              <w:divBdr>
                <w:top w:val="none" w:sz="0" w:space="0" w:color="auto"/>
                <w:left w:val="none" w:sz="0" w:space="0" w:color="auto"/>
                <w:bottom w:val="none" w:sz="0" w:space="0" w:color="auto"/>
                <w:right w:val="none" w:sz="0" w:space="0" w:color="auto"/>
              </w:divBdr>
            </w:div>
          </w:divsChild>
        </w:div>
        <w:div w:id="1384669968">
          <w:marLeft w:val="0"/>
          <w:marRight w:val="0"/>
          <w:marTop w:val="0"/>
          <w:marBottom w:val="0"/>
          <w:divBdr>
            <w:top w:val="none" w:sz="0" w:space="0" w:color="auto"/>
            <w:left w:val="none" w:sz="0" w:space="0" w:color="auto"/>
            <w:bottom w:val="none" w:sz="0" w:space="0" w:color="auto"/>
            <w:right w:val="none" w:sz="0" w:space="0" w:color="auto"/>
          </w:divBdr>
          <w:divsChild>
            <w:div w:id="2030911771">
              <w:marLeft w:val="0"/>
              <w:marRight w:val="0"/>
              <w:marTop w:val="0"/>
              <w:marBottom w:val="0"/>
              <w:divBdr>
                <w:top w:val="none" w:sz="0" w:space="0" w:color="auto"/>
                <w:left w:val="none" w:sz="0" w:space="0" w:color="auto"/>
                <w:bottom w:val="none" w:sz="0" w:space="0" w:color="auto"/>
                <w:right w:val="none" w:sz="0" w:space="0" w:color="auto"/>
              </w:divBdr>
            </w:div>
          </w:divsChild>
        </w:div>
        <w:div w:id="1386174559">
          <w:marLeft w:val="0"/>
          <w:marRight w:val="0"/>
          <w:marTop w:val="0"/>
          <w:marBottom w:val="0"/>
          <w:divBdr>
            <w:top w:val="none" w:sz="0" w:space="0" w:color="auto"/>
            <w:left w:val="none" w:sz="0" w:space="0" w:color="auto"/>
            <w:bottom w:val="none" w:sz="0" w:space="0" w:color="auto"/>
            <w:right w:val="none" w:sz="0" w:space="0" w:color="auto"/>
          </w:divBdr>
          <w:divsChild>
            <w:div w:id="549272732">
              <w:marLeft w:val="0"/>
              <w:marRight w:val="0"/>
              <w:marTop w:val="0"/>
              <w:marBottom w:val="0"/>
              <w:divBdr>
                <w:top w:val="none" w:sz="0" w:space="0" w:color="auto"/>
                <w:left w:val="none" w:sz="0" w:space="0" w:color="auto"/>
                <w:bottom w:val="none" w:sz="0" w:space="0" w:color="auto"/>
                <w:right w:val="none" w:sz="0" w:space="0" w:color="auto"/>
              </w:divBdr>
            </w:div>
          </w:divsChild>
        </w:div>
        <w:div w:id="1392194962">
          <w:marLeft w:val="0"/>
          <w:marRight w:val="0"/>
          <w:marTop w:val="0"/>
          <w:marBottom w:val="0"/>
          <w:divBdr>
            <w:top w:val="none" w:sz="0" w:space="0" w:color="auto"/>
            <w:left w:val="none" w:sz="0" w:space="0" w:color="auto"/>
            <w:bottom w:val="none" w:sz="0" w:space="0" w:color="auto"/>
            <w:right w:val="none" w:sz="0" w:space="0" w:color="auto"/>
          </w:divBdr>
          <w:divsChild>
            <w:div w:id="1200898532">
              <w:marLeft w:val="0"/>
              <w:marRight w:val="0"/>
              <w:marTop w:val="0"/>
              <w:marBottom w:val="0"/>
              <w:divBdr>
                <w:top w:val="none" w:sz="0" w:space="0" w:color="auto"/>
                <w:left w:val="none" w:sz="0" w:space="0" w:color="auto"/>
                <w:bottom w:val="none" w:sz="0" w:space="0" w:color="auto"/>
                <w:right w:val="none" w:sz="0" w:space="0" w:color="auto"/>
              </w:divBdr>
            </w:div>
          </w:divsChild>
        </w:div>
        <w:div w:id="1397970362">
          <w:marLeft w:val="0"/>
          <w:marRight w:val="0"/>
          <w:marTop w:val="0"/>
          <w:marBottom w:val="0"/>
          <w:divBdr>
            <w:top w:val="none" w:sz="0" w:space="0" w:color="auto"/>
            <w:left w:val="none" w:sz="0" w:space="0" w:color="auto"/>
            <w:bottom w:val="none" w:sz="0" w:space="0" w:color="auto"/>
            <w:right w:val="none" w:sz="0" w:space="0" w:color="auto"/>
          </w:divBdr>
          <w:divsChild>
            <w:div w:id="989674235">
              <w:marLeft w:val="0"/>
              <w:marRight w:val="0"/>
              <w:marTop w:val="0"/>
              <w:marBottom w:val="0"/>
              <w:divBdr>
                <w:top w:val="none" w:sz="0" w:space="0" w:color="auto"/>
                <w:left w:val="none" w:sz="0" w:space="0" w:color="auto"/>
                <w:bottom w:val="none" w:sz="0" w:space="0" w:color="auto"/>
                <w:right w:val="none" w:sz="0" w:space="0" w:color="auto"/>
              </w:divBdr>
            </w:div>
          </w:divsChild>
        </w:div>
        <w:div w:id="1400596109">
          <w:marLeft w:val="0"/>
          <w:marRight w:val="0"/>
          <w:marTop w:val="0"/>
          <w:marBottom w:val="0"/>
          <w:divBdr>
            <w:top w:val="none" w:sz="0" w:space="0" w:color="auto"/>
            <w:left w:val="none" w:sz="0" w:space="0" w:color="auto"/>
            <w:bottom w:val="none" w:sz="0" w:space="0" w:color="auto"/>
            <w:right w:val="none" w:sz="0" w:space="0" w:color="auto"/>
          </w:divBdr>
          <w:divsChild>
            <w:div w:id="1680694140">
              <w:marLeft w:val="0"/>
              <w:marRight w:val="0"/>
              <w:marTop w:val="0"/>
              <w:marBottom w:val="0"/>
              <w:divBdr>
                <w:top w:val="none" w:sz="0" w:space="0" w:color="auto"/>
                <w:left w:val="none" w:sz="0" w:space="0" w:color="auto"/>
                <w:bottom w:val="none" w:sz="0" w:space="0" w:color="auto"/>
                <w:right w:val="none" w:sz="0" w:space="0" w:color="auto"/>
              </w:divBdr>
            </w:div>
          </w:divsChild>
        </w:div>
        <w:div w:id="1400783369">
          <w:marLeft w:val="0"/>
          <w:marRight w:val="0"/>
          <w:marTop w:val="0"/>
          <w:marBottom w:val="0"/>
          <w:divBdr>
            <w:top w:val="none" w:sz="0" w:space="0" w:color="auto"/>
            <w:left w:val="none" w:sz="0" w:space="0" w:color="auto"/>
            <w:bottom w:val="none" w:sz="0" w:space="0" w:color="auto"/>
            <w:right w:val="none" w:sz="0" w:space="0" w:color="auto"/>
          </w:divBdr>
          <w:divsChild>
            <w:div w:id="1425226314">
              <w:marLeft w:val="0"/>
              <w:marRight w:val="0"/>
              <w:marTop w:val="0"/>
              <w:marBottom w:val="0"/>
              <w:divBdr>
                <w:top w:val="none" w:sz="0" w:space="0" w:color="auto"/>
                <w:left w:val="none" w:sz="0" w:space="0" w:color="auto"/>
                <w:bottom w:val="none" w:sz="0" w:space="0" w:color="auto"/>
                <w:right w:val="none" w:sz="0" w:space="0" w:color="auto"/>
              </w:divBdr>
            </w:div>
          </w:divsChild>
        </w:div>
        <w:div w:id="1421563105">
          <w:marLeft w:val="0"/>
          <w:marRight w:val="0"/>
          <w:marTop w:val="0"/>
          <w:marBottom w:val="0"/>
          <w:divBdr>
            <w:top w:val="none" w:sz="0" w:space="0" w:color="auto"/>
            <w:left w:val="none" w:sz="0" w:space="0" w:color="auto"/>
            <w:bottom w:val="none" w:sz="0" w:space="0" w:color="auto"/>
            <w:right w:val="none" w:sz="0" w:space="0" w:color="auto"/>
          </w:divBdr>
          <w:divsChild>
            <w:div w:id="296766825">
              <w:marLeft w:val="0"/>
              <w:marRight w:val="0"/>
              <w:marTop w:val="0"/>
              <w:marBottom w:val="0"/>
              <w:divBdr>
                <w:top w:val="none" w:sz="0" w:space="0" w:color="auto"/>
                <w:left w:val="none" w:sz="0" w:space="0" w:color="auto"/>
                <w:bottom w:val="none" w:sz="0" w:space="0" w:color="auto"/>
                <w:right w:val="none" w:sz="0" w:space="0" w:color="auto"/>
              </w:divBdr>
            </w:div>
          </w:divsChild>
        </w:div>
        <w:div w:id="1422220859">
          <w:marLeft w:val="0"/>
          <w:marRight w:val="0"/>
          <w:marTop w:val="0"/>
          <w:marBottom w:val="0"/>
          <w:divBdr>
            <w:top w:val="none" w:sz="0" w:space="0" w:color="auto"/>
            <w:left w:val="none" w:sz="0" w:space="0" w:color="auto"/>
            <w:bottom w:val="none" w:sz="0" w:space="0" w:color="auto"/>
            <w:right w:val="none" w:sz="0" w:space="0" w:color="auto"/>
          </w:divBdr>
          <w:divsChild>
            <w:div w:id="1822653744">
              <w:marLeft w:val="0"/>
              <w:marRight w:val="0"/>
              <w:marTop w:val="0"/>
              <w:marBottom w:val="0"/>
              <w:divBdr>
                <w:top w:val="none" w:sz="0" w:space="0" w:color="auto"/>
                <w:left w:val="none" w:sz="0" w:space="0" w:color="auto"/>
                <w:bottom w:val="none" w:sz="0" w:space="0" w:color="auto"/>
                <w:right w:val="none" w:sz="0" w:space="0" w:color="auto"/>
              </w:divBdr>
            </w:div>
          </w:divsChild>
        </w:div>
        <w:div w:id="1424952536">
          <w:marLeft w:val="0"/>
          <w:marRight w:val="0"/>
          <w:marTop w:val="0"/>
          <w:marBottom w:val="0"/>
          <w:divBdr>
            <w:top w:val="none" w:sz="0" w:space="0" w:color="auto"/>
            <w:left w:val="none" w:sz="0" w:space="0" w:color="auto"/>
            <w:bottom w:val="none" w:sz="0" w:space="0" w:color="auto"/>
            <w:right w:val="none" w:sz="0" w:space="0" w:color="auto"/>
          </w:divBdr>
          <w:divsChild>
            <w:div w:id="1802917643">
              <w:marLeft w:val="0"/>
              <w:marRight w:val="0"/>
              <w:marTop w:val="0"/>
              <w:marBottom w:val="0"/>
              <w:divBdr>
                <w:top w:val="none" w:sz="0" w:space="0" w:color="auto"/>
                <w:left w:val="none" w:sz="0" w:space="0" w:color="auto"/>
                <w:bottom w:val="none" w:sz="0" w:space="0" w:color="auto"/>
                <w:right w:val="none" w:sz="0" w:space="0" w:color="auto"/>
              </w:divBdr>
            </w:div>
          </w:divsChild>
        </w:div>
        <w:div w:id="1426997171">
          <w:marLeft w:val="0"/>
          <w:marRight w:val="0"/>
          <w:marTop w:val="0"/>
          <w:marBottom w:val="0"/>
          <w:divBdr>
            <w:top w:val="none" w:sz="0" w:space="0" w:color="auto"/>
            <w:left w:val="none" w:sz="0" w:space="0" w:color="auto"/>
            <w:bottom w:val="none" w:sz="0" w:space="0" w:color="auto"/>
            <w:right w:val="none" w:sz="0" w:space="0" w:color="auto"/>
          </w:divBdr>
          <w:divsChild>
            <w:div w:id="1661696418">
              <w:marLeft w:val="0"/>
              <w:marRight w:val="0"/>
              <w:marTop w:val="0"/>
              <w:marBottom w:val="0"/>
              <w:divBdr>
                <w:top w:val="none" w:sz="0" w:space="0" w:color="auto"/>
                <w:left w:val="none" w:sz="0" w:space="0" w:color="auto"/>
                <w:bottom w:val="none" w:sz="0" w:space="0" w:color="auto"/>
                <w:right w:val="none" w:sz="0" w:space="0" w:color="auto"/>
              </w:divBdr>
            </w:div>
          </w:divsChild>
        </w:div>
        <w:div w:id="1428161453">
          <w:marLeft w:val="0"/>
          <w:marRight w:val="0"/>
          <w:marTop w:val="0"/>
          <w:marBottom w:val="0"/>
          <w:divBdr>
            <w:top w:val="none" w:sz="0" w:space="0" w:color="auto"/>
            <w:left w:val="none" w:sz="0" w:space="0" w:color="auto"/>
            <w:bottom w:val="none" w:sz="0" w:space="0" w:color="auto"/>
            <w:right w:val="none" w:sz="0" w:space="0" w:color="auto"/>
          </w:divBdr>
          <w:divsChild>
            <w:div w:id="1734960818">
              <w:marLeft w:val="0"/>
              <w:marRight w:val="0"/>
              <w:marTop w:val="0"/>
              <w:marBottom w:val="0"/>
              <w:divBdr>
                <w:top w:val="none" w:sz="0" w:space="0" w:color="auto"/>
                <w:left w:val="none" w:sz="0" w:space="0" w:color="auto"/>
                <w:bottom w:val="none" w:sz="0" w:space="0" w:color="auto"/>
                <w:right w:val="none" w:sz="0" w:space="0" w:color="auto"/>
              </w:divBdr>
            </w:div>
          </w:divsChild>
        </w:div>
        <w:div w:id="1430002152">
          <w:marLeft w:val="0"/>
          <w:marRight w:val="0"/>
          <w:marTop w:val="0"/>
          <w:marBottom w:val="0"/>
          <w:divBdr>
            <w:top w:val="none" w:sz="0" w:space="0" w:color="auto"/>
            <w:left w:val="none" w:sz="0" w:space="0" w:color="auto"/>
            <w:bottom w:val="none" w:sz="0" w:space="0" w:color="auto"/>
            <w:right w:val="none" w:sz="0" w:space="0" w:color="auto"/>
          </w:divBdr>
          <w:divsChild>
            <w:div w:id="734858850">
              <w:marLeft w:val="0"/>
              <w:marRight w:val="0"/>
              <w:marTop w:val="0"/>
              <w:marBottom w:val="0"/>
              <w:divBdr>
                <w:top w:val="none" w:sz="0" w:space="0" w:color="auto"/>
                <w:left w:val="none" w:sz="0" w:space="0" w:color="auto"/>
                <w:bottom w:val="none" w:sz="0" w:space="0" w:color="auto"/>
                <w:right w:val="none" w:sz="0" w:space="0" w:color="auto"/>
              </w:divBdr>
            </w:div>
          </w:divsChild>
        </w:div>
        <w:div w:id="1435663746">
          <w:marLeft w:val="0"/>
          <w:marRight w:val="0"/>
          <w:marTop w:val="0"/>
          <w:marBottom w:val="0"/>
          <w:divBdr>
            <w:top w:val="none" w:sz="0" w:space="0" w:color="auto"/>
            <w:left w:val="none" w:sz="0" w:space="0" w:color="auto"/>
            <w:bottom w:val="none" w:sz="0" w:space="0" w:color="auto"/>
            <w:right w:val="none" w:sz="0" w:space="0" w:color="auto"/>
          </w:divBdr>
          <w:divsChild>
            <w:div w:id="613830300">
              <w:marLeft w:val="0"/>
              <w:marRight w:val="0"/>
              <w:marTop w:val="0"/>
              <w:marBottom w:val="0"/>
              <w:divBdr>
                <w:top w:val="none" w:sz="0" w:space="0" w:color="auto"/>
                <w:left w:val="none" w:sz="0" w:space="0" w:color="auto"/>
                <w:bottom w:val="none" w:sz="0" w:space="0" w:color="auto"/>
                <w:right w:val="none" w:sz="0" w:space="0" w:color="auto"/>
              </w:divBdr>
            </w:div>
          </w:divsChild>
        </w:div>
        <w:div w:id="1436561470">
          <w:marLeft w:val="0"/>
          <w:marRight w:val="0"/>
          <w:marTop w:val="0"/>
          <w:marBottom w:val="0"/>
          <w:divBdr>
            <w:top w:val="none" w:sz="0" w:space="0" w:color="auto"/>
            <w:left w:val="none" w:sz="0" w:space="0" w:color="auto"/>
            <w:bottom w:val="none" w:sz="0" w:space="0" w:color="auto"/>
            <w:right w:val="none" w:sz="0" w:space="0" w:color="auto"/>
          </w:divBdr>
          <w:divsChild>
            <w:div w:id="670060962">
              <w:marLeft w:val="0"/>
              <w:marRight w:val="0"/>
              <w:marTop w:val="0"/>
              <w:marBottom w:val="0"/>
              <w:divBdr>
                <w:top w:val="none" w:sz="0" w:space="0" w:color="auto"/>
                <w:left w:val="none" w:sz="0" w:space="0" w:color="auto"/>
                <w:bottom w:val="none" w:sz="0" w:space="0" w:color="auto"/>
                <w:right w:val="none" w:sz="0" w:space="0" w:color="auto"/>
              </w:divBdr>
            </w:div>
          </w:divsChild>
        </w:div>
        <w:div w:id="1440905040">
          <w:marLeft w:val="0"/>
          <w:marRight w:val="0"/>
          <w:marTop w:val="0"/>
          <w:marBottom w:val="0"/>
          <w:divBdr>
            <w:top w:val="none" w:sz="0" w:space="0" w:color="auto"/>
            <w:left w:val="none" w:sz="0" w:space="0" w:color="auto"/>
            <w:bottom w:val="none" w:sz="0" w:space="0" w:color="auto"/>
            <w:right w:val="none" w:sz="0" w:space="0" w:color="auto"/>
          </w:divBdr>
          <w:divsChild>
            <w:div w:id="1002272195">
              <w:marLeft w:val="0"/>
              <w:marRight w:val="0"/>
              <w:marTop w:val="0"/>
              <w:marBottom w:val="0"/>
              <w:divBdr>
                <w:top w:val="none" w:sz="0" w:space="0" w:color="auto"/>
                <w:left w:val="none" w:sz="0" w:space="0" w:color="auto"/>
                <w:bottom w:val="none" w:sz="0" w:space="0" w:color="auto"/>
                <w:right w:val="none" w:sz="0" w:space="0" w:color="auto"/>
              </w:divBdr>
            </w:div>
          </w:divsChild>
        </w:div>
        <w:div w:id="1447047115">
          <w:marLeft w:val="0"/>
          <w:marRight w:val="0"/>
          <w:marTop w:val="0"/>
          <w:marBottom w:val="0"/>
          <w:divBdr>
            <w:top w:val="none" w:sz="0" w:space="0" w:color="auto"/>
            <w:left w:val="none" w:sz="0" w:space="0" w:color="auto"/>
            <w:bottom w:val="none" w:sz="0" w:space="0" w:color="auto"/>
            <w:right w:val="none" w:sz="0" w:space="0" w:color="auto"/>
          </w:divBdr>
          <w:divsChild>
            <w:div w:id="59793844">
              <w:marLeft w:val="0"/>
              <w:marRight w:val="0"/>
              <w:marTop w:val="0"/>
              <w:marBottom w:val="0"/>
              <w:divBdr>
                <w:top w:val="none" w:sz="0" w:space="0" w:color="auto"/>
                <w:left w:val="none" w:sz="0" w:space="0" w:color="auto"/>
                <w:bottom w:val="none" w:sz="0" w:space="0" w:color="auto"/>
                <w:right w:val="none" w:sz="0" w:space="0" w:color="auto"/>
              </w:divBdr>
            </w:div>
          </w:divsChild>
        </w:div>
        <w:div w:id="1447848000">
          <w:marLeft w:val="0"/>
          <w:marRight w:val="0"/>
          <w:marTop w:val="0"/>
          <w:marBottom w:val="0"/>
          <w:divBdr>
            <w:top w:val="none" w:sz="0" w:space="0" w:color="auto"/>
            <w:left w:val="none" w:sz="0" w:space="0" w:color="auto"/>
            <w:bottom w:val="none" w:sz="0" w:space="0" w:color="auto"/>
            <w:right w:val="none" w:sz="0" w:space="0" w:color="auto"/>
          </w:divBdr>
          <w:divsChild>
            <w:div w:id="610169159">
              <w:marLeft w:val="0"/>
              <w:marRight w:val="0"/>
              <w:marTop w:val="0"/>
              <w:marBottom w:val="0"/>
              <w:divBdr>
                <w:top w:val="none" w:sz="0" w:space="0" w:color="auto"/>
                <w:left w:val="none" w:sz="0" w:space="0" w:color="auto"/>
                <w:bottom w:val="none" w:sz="0" w:space="0" w:color="auto"/>
                <w:right w:val="none" w:sz="0" w:space="0" w:color="auto"/>
              </w:divBdr>
            </w:div>
          </w:divsChild>
        </w:div>
        <w:div w:id="1452092983">
          <w:marLeft w:val="0"/>
          <w:marRight w:val="0"/>
          <w:marTop w:val="0"/>
          <w:marBottom w:val="0"/>
          <w:divBdr>
            <w:top w:val="none" w:sz="0" w:space="0" w:color="auto"/>
            <w:left w:val="none" w:sz="0" w:space="0" w:color="auto"/>
            <w:bottom w:val="none" w:sz="0" w:space="0" w:color="auto"/>
            <w:right w:val="none" w:sz="0" w:space="0" w:color="auto"/>
          </w:divBdr>
          <w:divsChild>
            <w:div w:id="1635940950">
              <w:marLeft w:val="0"/>
              <w:marRight w:val="0"/>
              <w:marTop w:val="0"/>
              <w:marBottom w:val="0"/>
              <w:divBdr>
                <w:top w:val="none" w:sz="0" w:space="0" w:color="auto"/>
                <w:left w:val="none" w:sz="0" w:space="0" w:color="auto"/>
                <w:bottom w:val="none" w:sz="0" w:space="0" w:color="auto"/>
                <w:right w:val="none" w:sz="0" w:space="0" w:color="auto"/>
              </w:divBdr>
            </w:div>
          </w:divsChild>
        </w:div>
        <w:div w:id="1457522193">
          <w:marLeft w:val="0"/>
          <w:marRight w:val="0"/>
          <w:marTop w:val="0"/>
          <w:marBottom w:val="0"/>
          <w:divBdr>
            <w:top w:val="none" w:sz="0" w:space="0" w:color="auto"/>
            <w:left w:val="none" w:sz="0" w:space="0" w:color="auto"/>
            <w:bottom w:val="none" w:sz="0" w:space="0" w:color="auto"/>
            <w:right w:val="none" w:sz="0" w:space="0" w:color="auto"/>
          </w:divBdr>
          <w:divsChild>
            <w:div w:id="1872913607">
              <w:marLeft w:val="0"/>
              <w:marRight w:val="0"/>
              <w:marTop w:val="0"/>
              <w:marBottom w:val="0"/>
              <w:divBdr>
                <w:top w:val="none" w:sz="0" w:space="0" w:color="auto"/>
                <w:left w:val="none" w:sz="0" w:space="0" w:color="auto"/>
                <w:bottom w:val="none" w:sz="0" w:space="0" w:color="auto"/>
                <w:right w:val="none" w:sz="0" w:space="0" w:color="auto"/>
              </w:divBdr>
            </w:div>
          </w:divsChild>
        </w:div>
        <w:div w:id="1463183676">
          <w:marLeft w:val="0"/>
          <w:marRight w:val="0"/>
          <w:marTop w:val="0"/>
          <w:marBottom w:val="0"/>
          <w:divBdr>
            <w:top w:val="none" w:sz="0" w:space="0" w:color="auto"/>
            <w:left w:val="none" w:sz="0" w:space="0" w:color="auto"/>
            <w:bottom w:val="none" w:sz="0" w:space="0" w:color="auto"/>
            <w:right w:val="none" w:sz="0" w:space="0" w:color="auto"/>
          </w:divBdr>
          <w:divsChild>
            <w:div w:id="708577076">
              <w:marLeft w:val="0"/>
              <w:marRight w:val="0"/>
              <w:marTop w:val="0"/>
              <w:marBottom w:val="0"/>
              <w:divBdr>
                <w:top w:val="none" w:sz="0" w:space="0" w:color="auto"/>
                <w:left w:val="none" w:sz="0" w:space="0" w:color="auto"/>
                <w:bottom w:val="none" w:sz="0" w:space="0" w:color="auto"/>
                <w:right w:val="none" w:sz="0" w:space="0" w:color="auto"/>
              </w:divBdr>
            </w:div>
          </w:divsChild>
        </w:div>
        <w:div w:id="1470904750">
          <w:marLeft w:val="0"/>
          <w:marRight w:val="0"/>
          <w:marTop w:val="0"/>
          <w:marBottom w:val="0"/>
          <w:divBdr>
            <w:top w:val="none" w:sz="0" w:space="0" w:color="auto"/>
            <w:left w:val="none" w:sz="0" w:space="0" w:color="auto"/>
            <w:bottom w:val="none" w:sz="0" w:space="0" w:color="auto"/>
            <w:right w:val="none" w:sz="0" w:space="0" w:color="auto"/>
          </w:divBdr>
          <w:divsChild>
            <w:div w:id="1759599588">
              <w:marLeft w:val="0"/>
              <w:marRight w:val="0"/>
              <w:marTop w:val="0"/>
              <w:marBottom w:val="0"/>
              <w:divBdr>
                <w:top w:val="none" w:sz="0" w:space="0" w:color="auto"/>
                <w:left w:val="none" w:sz="0" w:space="0" w:color="auto"/>
                <w:bottom w:val="none" w:sz="0" w:space="0" w:color="auto"/>
                <w:right w:val="none" w:sz="0" w:space="0" w:color="auto"/>
              </w:divBdr>
            </w:div>
          </w:divsChild>
        </w:div>
        <w:div w:id="1471678454">
          <w:marLeft w:val="0"/>
          <w:marRight w:val="0"/>
          <w:marTop w:val="0"/>
          <w:marBottom w:val="0"/>
          <w:divBdr>
            <w:top w:val="none" w:sz="0" w:space="0" w:color="auto"/>
            <w:left w:val="none" w:sz="0" w:space="0" w:color="auto"/>
            <w:bottom w:val="none" w:sz="0" w:space="0" w:color="auto"/>
            <w:right w:val="none" w:sz="0" w:space="0" w:color="auto"/>
          </w:divBdr>
          <w:divsChild>
            <w:div w:id="1045716577">
              <w:marLeft w:val="0"/>
              <w:marRight w:val="0"/>
              <w:marTop w:val="0"/>
              <w:marBottom w:val="0"/>
              <w:divBdr>
                <w:top w:val="none" w:sz="0" w:space="0" w:color="auto"/>
                <w:left w:val="none" w:sz="0" w:space="0" w:color="auto"/>
                <w:bottom w:val="none" w:sz="0" w:space="0" w:color="auto"/>
                <w:right w:val="none" w:sz="0" w:space="0" w:color="auto"/>
              </w:divBdr>
            </w:div>
          </w:divsChild>
        </w:div>
        <w:div w:id="1472020111">
          <w:marLeft w:val="0"/>
          <w:marRight w:val="0"/>
          <w:marTop w:val="0"/>
          <w:marBottom w:val="0"/>
          <w:divBdr>
            <w:top w:val="none" w:sz="0" w:space="0" w:color="auto"/>
            <w:left w:val="none" w:sz="0" w:space="0" w:color="auto"/>
            <w:bottom w:val="none" w:sz="0" w:space="0" w:color="auto"/>
            <w:right w:val="none" w:sz="0" w:space="0" w:color="auto"/>
          </w:divBdr>
          <w:divsChild>
            <w:div w:id="536355768">
              <w:marLeft w:val="0"/>
              <w:marRight w:val="0"/>
              <w:marTop w:val="0"/>
              <w:marBottom w:val="0"/>
              <w:divBdr>
                <w:top w:val="none" w:sz="0" w:space="0" w:color="auto"/>
                <w:left w:val="none" w:sz="0" w:space="0" w:color="auto"/>
                <w:bottom w:val="none" w:sz="0" w:space="0" w:color="auto"/>
                <w:right w:val="none" w:sz="0" w:space="0" w:color="auto"/>
              </w:divBdr>
            </w:div>
          </w:divsChild>
        </w:div>
        <w:div w:id="1473408768">
          <w:marLeft w:val="0"/>
          <w:marRight w:val="0"/>
          <w:marTop w:val="0"/>
          <w:marBottom w:val="0"/>
          <w:divBdr>
            <w:top w:val="none" w:sz="0" w:space="0" w:color="auto"/>
            <w:left w:val="none" w:sz="0" w:space="0" w:color="auto"/>
            <w:bottom w:val="none" w:sz="0" w:space="0" w:color="auto"/>
            <w:right w:val="none" w:sz="0" w:space="0" w:color="auto"/>
          </w:divBdr>
          <w:divsChild>
            <w:div w:id="1578780486">
              <w:marLeft w:val="0"/>
              <w:marRight w:val="0"/>
              <w:marTop w:val="0"/>
              <w:marBottom w:val="0"/>
              <w:divBdr>
                <w:top w:val="none" w:sz="0" w:space="0" w:color="auto"/>
                <w:left w:val="none" w:sz="0" w:space="0" w:color="auto"/>
                <w:bottom w:val="none" w:sz="0" w:space="0" w:color="auto"/>
                <w:right w:val="none" w:sz="0" w:space="0" w:color="auto"/>
              </w:divBdr>
            </w:div>
          </w:divsChild>
        </w:div>
        <w:div w:id="1476070090">
          <w:marLeft w:val="0"/>
          <w:marRight w:val="0"/>
          <w:marTop w:val="0"/>
          <w:marBottom w:val="0"/>
          <w:divBdr>
            <w:top w:val="none" w:sz="0" w:space="0" w:color="auto"/>
            <w:left w:val="none" w:sz="0" w:space="0" w:color="auto"/>
            <w:bottom w:val="none" w:sz="0" w:space="0" w:color="auto"/>
            <w:right w:val="none" w:sz="0" w:space="0" w:color="auto"/>
          </w:divBdr>
          <w:divsChild>
            <w:div w:id="1914192593">
              <w:marLeft w:val="0"/>
              <w:marRight w:val="0"/>
              <w:marTop w:val="0"/>
              <w:marBottom w:val="0"/>
              <w:divBdr>
                <w:top w:val="none" w:sz="0" w:space="0" w:color="auto"/>
                <w:left w:val="none" w:sz="0" w:space="0" w:color="auto"/>
                <w:bottom w:val="none" w:sz="0" w:space="0" w:color="auto"/>
                <w:right w:val="none" w:sz="0" w:space="0" w:color="auto"/>
              </w:divBdr>
            </w:div>
          </w:divsChild>
        </w:div>
        <w:div w:id="1476139284">
          <w:marLeft w:val="0"/>
          <w:marRight w:val="0"/>
          <w:marTop w:val="0"/>
          <w:marBottom w:val="0"/>
          <w:divBdr>
            <w:top w:val="none" w:sz="0" w:space="0" w:color="auto"/>
            <w:left w:val="none" w:sz="0" w:space="0" w:color="auto"/>
            <w:bottom w:val="none" w:sz="0" w:space="0" w:color="auto"/>
            <w:right w:val="none" w:sz="0" w:space="0" w:color="auto"/>
          </w:divBdr>
          <w:divsChild>
            <w:div w:id="1353385286">
              <w:marLeft w:val="0"/>
              <w:marRight w:val="0"/>
              <w:marTop w:val="0"/>
              <w:marBottom w:val="0"/>
              <w:divBdr>
                <w:top w:val="none" w:sz="0" w:space="0" w:color="auto"/>
                <w:left w:val="none" w:sz="0" w:space="0" w:color="auto"/>
                <w:bottom w:val="none" w:sz="0" w:space="0" w:color="auto"/>
                <w:right w:val="none" w:sz="0" w:space="0" w:color="auto"/>
              </w:divBdr>
            </w:div>
          </w:divsChild>
        </w:div>
        <w:div w:id="1492058861">
          <w:marLeft w:val="0"/>
          <w:marRight w:val="0"/>
          <w:marTop w:val="0"/>
          <w:marBottom w:val="0"/>
          <w:divBdr>
            <w:top w:val="none" w:sz="0" w:space="0" w:color="auto"/>
            <w:left w:val="none" w:sz="0" w:space="0" w:color="auto"/>
            <w:bottom w:val="none" w:sz="0" w:space="0" w:color="auto"/>
            <w:right w:val="none" w:sz="0" w:space="0" w:color="auto"/>
          </w:divBdr>
          <w:divsChild>
            <w:div w:id="846559633">
              <w:marLeft w:val="0"/>
              <w:marRight w:val="0"/>
              <w:marTop w:val="0"/>
              <w:marBottom w:val="0"/>
              <w:divBdr>
                <w:top w:val="none" w:sz="0" w:space="0" w:color="auto"/>
                <w:left w:val="none" w:sz="0" w:space="0" w:color="auto"/>
                <w:bottom w:val="none" w:sz="0" w:space="0" w:color="auto"/>
                <w:right w:val="none" w:sz="0" w:space="0" w:color="auto"/>
              </w:divBdr>
            </w:div>
          </w:divsChild>
        </w:div>
        <w:div w:id="1497916231">
          <w:marLeft w:val="0"/>
          <w:marRight w:val="0"/>
          <w:marTop w:val="0"/>
          <w:marBottom w:val="0"/>
          <w:divBdr>
            <w:top w:val="none" w:sz="0" w:space="0" w:color="auto"/>
            <w:left w:val="none" w:sz="0" w:space="0" w:color="auto"/>
            <w:bottom w:val="none" w:sz="0" w:space="0" w:color="auto"/>
            <w:right w:val="none" w:sz="0" w:space="0" w:color="auto"/>
          </w:divBdr>
          <w:divsChild>
            <w:div w:id="1583368987">
              <w:marLeft w:val="0"/>
              <w:marRight w:val="0"/>
              <w:marTop w:val="0"/>
              <w:marBottom w:val="0"/>
              <w:divBdr>
                <w:top w:val="none" w:sz="0" w:space="0" w:color="auto"/>
                <w:left w:val="none" w:sz="0" w:space="0" w:color="auto"/>
                <w:bottom w:val="none" w:sz="0" w:space="0" w:color="auto"/>
                <w:right w:val="none" w:sz="0" w:space="0" w:color="auto"/>
              </w:divBdr>
            </w:div>
          </w:divsChild>
        </w:div>
        <w:div w:id="1505124680">
          <w:marLeft w:val="0"/>
          <w:marRight w:val="0"/>
          <w:marTop w:val="0"/>
          <w:marBottom w:val="0"/>
          <w:divBdr>
            <w:top w:val="none" w:sz="0" w:space="0" w:color="auto"/>
            <w:left w:val="none" w:sz="0" w:space="0" w:color="auto"/>
            <w:bottom w:val="none" w:sz="0" w:space="0" w:color="auto"/>
            <w:right w:val="none" w:sz="0" w:space="0" w:color="auto"/>
          </w:divBdr>
          <w:divsChild>
            <w:div w:id="1648508094">
              <w:marLeft w:val="0"/>
              <w:marRight w:val="0"/>
              <w:marTop w:val="0"/>
              <w:marBottom w:val="0"/>
              <w:divBdr>
                <w:top w:val="none" w:sz="0" w:space="0" w:color="auto"/>
                <w:left w:val="none" w:sz="0" w:space="0" w:color="auto"/>
                <w:bottom w:val="none" w:sz="0" w:space="0" w:color="auto"/>
                <w:right w:val="none" w:sz="0" w:space="0" w:color="auto"/>
              </w:divBdr>
            </w:div>
          </w:divsChild>
        </w:div>
        <w:div w:id="1509447521">
          <w:marLeft w:val="0"/>
          <w:marRight w:val="0"/>
          <w:marTop w:val="0"/>
          <w:marBottom w:val="0"/>
          <w:divBdr>
            <w:top w:val="none" w:sz="0" w:space="0" w:color="auto"/>
            <w:left w:val="none" w:sz="0" w:space="0" w:color="auto"/>
            <w:bottom w:val="none" w:sz="0" w:space="0" w:color="auto"/>
            <w:right w:val="none" w:sz="0" w:space="0" w:color="auto"/>
          </w:divBdr>
          <w:divsChild>
            <w:div w:id="1749423848">
              <w:marLeft w:val="0"/>
              <w:marRight w:val="0"/>
              <w:marTop w:val="0"/>
              <w:marBottom w:val="0"/>
              <w:divBdr>
                <w:top w:val="none" w:sz="0" w:space="0" w:color="auto"/>
                <w:left w:val="none" w:sz="0" w:space="0" w:color="auto"/>
                <w:bottom w:val="none" w:sz="0" w:space="0" w:color="auto"/>
                <w:right w:val="none" w:sz="0" w:space="0" w:color="auto"/>
              </w:divBdr>
            </w:div>
          </w:divsChild>
        </w:div>
        <w:div w:id="1520193681">
          <w:marLeft w:val="0"/>
          <w:marRight w:val="0"/>
          <w:marTop w:val="0"/>
          <w:marBottom w:val="0"/>
          <w:divBdr>
            <w:top w:val="none" w:sz="0" w:space="0" w:color="auto"/>
            <w:left w:val="none" w:sz="0" w:space="0" w:color="auto"/>
            <w:bottom w:val="none" w:sz="0" w:space="0" w:color="auto"/>
            <w:right w:val="none" w:sz="0" w:space="0" w:color="auto"/>
          </w:divBdr>
          <w:divsChild>
            <w:div w:id="208684079">
              <w:marLeft w:val="0"/>
              <w:marRight w:val="0"/>
              <w:marTop w:val="0"/>
              <w:marBottom w:val="0"/>
              <w:divBdr>
                <w:top w:val="none" w:sz="0" w:space="0" w:color="auto"/>
                <w:left w:val="none" w:sz="0" w:space="0" w:color="auto"/>
                <w:bottom w:val="none" w:sz="0" w:space="0" w:color="auto"/>
                <w:right w:val="none" w:sz="0" w:space="0" w:color="auto"/>
              </w:divBdr>
            </w:div>
          </w:divsChild>
        </w:div>
        <w:div w:id="1522360428">
          <w:marLeft w:val="0"/>
          <w:marRight w:val="0"/>
          <w:marTop w:val="0"/>
          <w:marBottom w:val="0"/>
          <w:divBdr>
            <w:top w:val="none" w:sz="0" w:space="0" w:color="auto"/>
            <w:left w:val="none" w:sz="0" w:space="0" w:color="auto"/>
            <w:bottom w:val="none" w:sz="0" w:space="0" w:color="auto"/>
            <w:right w:val="none" w:sz="0" w:space="0" w:color="auto"/>
          </w:divBdr>
          <w:divsChild>
            <w:div w:id="1606156674">
              <w:marLeft w:val="0"/>
              <w:marRight w:val="0"/>
              <w:marTop w:val="0"/>
              <w:marBottom w:val="0"/>
              <w:divBdr>
                <w:top w:val="none" w:sz="0" w:space="0" w:color="auto"/>
                <w:left w:val="none" w:sz="0" w:space="0" w:color="auto"/>
                <w:bottom w:val="none" w:sz="0" w:space="0" w:color="auto"/>
                <w:right w:val="none" w:sz="0" w:space="0" w:color="auto"/>
              </w:divBdr>
            </w:div>
          </w:divsChild>
        </w:div>
        <w:div w:id="1529180003">
          <w:marLeft w:val="0"/>
          <w:marRight w:val="0"/>
          <w:marTop w:val="0"/>
          <w:marBottom w:val="0"/>
          <w:divBdr>
            <w:top w:val="none" w:sz="0" w:space="0" w:color="auto"/>
            <w:left w:val="none" w:sz="0" w:space="0" w:color="auto"/>
            <w:bottom w:val="none" w:sz="0" w:space="0" w:color="auto"/>
            <w:right w:val="none" w:sz="0" w:space="0" w:color="auto"/>
          </w:divBdr>
          <w:divsChild>
            <w:div w:id="1927378865">
              <w:marLeft w:val="0"/>
              <w:marRight w:val="0"/>
              <w:marTop w:val="0"/>
              <w:marBottom w:val="0"/>
              <w:divBdr>
                <w:top w:val="none" w:sz="0" w:space="0" w:color="auto"/>
                <w:left w:val="none" w:sz="0" w:space="0" w:color="auto"/>
                <w:bottom w:val="none" w:sz="0" w:space="0" w:color="auto"/>
                <w:right w:val="none" w:sz="0" w:space="0" w:color="auto"/>
              </w:divBdr>
            </w:div>
          </w:divsChild>
        </w:div>
        <w:div w:id="1529299187">
          <w:marLeft w:val="0"/>
          <w:marRight w:val="0"/>
          <w:marTop w:val="0"/>
          <w:marBottom w:val="0"/>
          <w:divBdr>
            <w:top w:val="none" w:sz="0" w:space="0" w:color="auto"/>
            <w:left w:val="none" w:sz="0" w:space="0" w:color="auto"/>
            <w:bottom w:val="none" w:sz="0" w:space="0" w:color="auto"/>
            <w:right w:val="none" w:sz="0" w:space="0" w:color="auto"/>
          </w:divBdr>
          <w:divsChild>
            <w:div w:id="1187520146">
              <w:marLeft w:val="0"/>
              <w:marRight w:val="0"/>
              <w:marTop w:val="0"/>
              <w:marBottom w:val="0"/>
              <w:divBdr>
                <w:top w:val="none" w:sz="0" w:space="0" w:color="auto"/>
                <w:left w:val="none" w:sz="0" w:space="0" w:color="auto"/>
                <w:bottom w:val="none" w:sz="0" w:space="0" w:color="auto"/>
                <w:right w:val="none" w:sz="0" w:space="0" w:color="auto"/>
              </w:divBdr>
            </w:div>
          </w:divsChild>
        </w:div>
        <w:div w:id="1532642163">
          <w:marLeft w:val="0"/>
          <w:marRight w:val="0"/>
          <w:marTop w:val="0"/>
          <w:marBottom w:val="0"/>
          <w:divBdr>
            <w:top w:val="none" w:sz="0" w:space="0" w:color="auto"/>
            <w:left w:val="none" w:sz="0" w:space="0" w:color="auto"/>
            <w:bottom w:val="none" w:sz="0" w:space="0" w:color="auto"/>
            <w:right w:val="none" w:sz="0" w:space="0" w:color="auto"/>
          </w:divBdr>
          <w:divsChild>
            <w:div w:id="1759862950">
              <w:marLeft w:val="0"/>
              <w:marRight w:val="0"/>
              <w:marTop w:val="0"/>
              <w:marBottom w:val="0"/>
              <w:divBdr>
                <w:top w:val="none" w:sz="0" w:space="0" w:color="auto"/>
                <w:left w:val="none" w:sz="0" w:space="0" w:color="auto"/>
                <w:bottom w:val="none" w:sz="0" w:space="0" w:color="auto"/>
                <w:right w:val="none" w:sz="0" w:space="0" w:color="auto"/>
              </w:divBdr>
            </w:div>
          </w:divsChild>
        </w:div>
        <w:div w:id="1536313870">
          <w:marLeft w:val="0"/>
          <w:marRight w:val="0"/>
          <w:marTop w:val="0"/>
          <w:marBottom w:val="0"/>
          <w:divBdr>
            <w:top w:val="none" w:sz="0" w:space="0" w:color="auto"/>
            <w:left w:val="none" w:sz="0" w:space="0" w:color="auto"/>
            <w:bottom w:val="none" w:sz="0" w:space="0" w:color="auto"/>
            <w:right w:val="none" w:sz="0" w:space="0" w:color="auto"/>
          </w:divBdr>
          <w:divsChild>
            <w:div w:id="1326321250">
              <w:marLeft w:val="0"/>
              <w:marRight w:val="0"/>
              <w:marTop w:val="0"/>
              <w:marBottom w:val="0"/>
              <w:divBdr>
                <w:top w:val="none" w:sz="0" w:space="0" w:color="auto"/>
                <w:left w:val="none" w:sz="0" w:space="0" w:color="auto"/>
                <w:bottom w:val="none" w:sz="0" w:space="0" w:color="auto"/>
                <w:right w:val="none" w:sz="0" w:space="0" w:color="auto"/>
              </w:divBdr>
            </w:div>
          </w:divsChild>
        </w:div>
        <w:div w:id="1544755082">
          <w:marLeft w:val="0"/>
          <w:marRight w:val="0"/>
          <w:marTop w:val="0"/>
          <w:marBottom w:val="0"/>
          <w:divBdr>
            <w:top w:val="none" w:sz="0" w:space="0" w:color="auto"/>
            <w:left w:val="none" w:sz="0" w:space="0" w:color="auto"/>
            <w:bottom w:val="none" w:sz="0" w:space="0" w:color="auto"/>
            <w:right w:val="none" w:sz="0" w:space="0" w:color="auto"/>
          </w:divBdr>
          <w:divsChild>
            <w:div w:id="1860316816">
              <w:marLeft w:val="0"/>
              <w:marRight w:val="0"/>
              <w:marTop w:val="0"/>
              <w:marBottom w:val="0"/>
              <w:divBdr>
                <w:top w:val="none" w:sz="0" w:space="0" w:color="auto"/>
                <w:left w:val="none" w:sz="0" w:space="0" w:color="auto"/>
                <w:bottom w:val="none" w:sz="0" w:space="0" w:color="auto"/>
                <w:right w:val="none" w:sz="0" w:space="0" w:color="auto"/>
              </w:divBdr>
            </w:div>
          </w:divsChild>
        </w:div>
        <w:div w:id="1558977489">
          <w:marLeft w:val="0"/>
          <w:marRight w:val="0"/>
          <w:marTop w:val="0"/>
          <w:marBottom w:val="0"/>
          <w:divBdr>
            <w:top w:val="none" w:sz="0" w:space="0" w:color="auto"/>
            <w:left w:val="none" w:sz="0" w:space="0" w:color="auto"/>
            <w:bottom w:val="none" w:sz="0" w:space="0" w:color="auto"/>
            <w:right w:val="none" w:sz="0" w:space="0" w:color="auto"/>
          </w:divBdr>
          <w:divsChild>
            <w:div w:id="405999669">
              <w:marLeft w:val="0"/>
              <w:marRight w:val="0"/>
              <w:marTop w:val="0"/>
              <w:marBottom w:val="0"/>
              <w:divBdr>
                <w:top w:val="none" w:sz="0" w:space="0" w:color="auto"/>
                <w:left w:val="none" w:sz="0" w:space="0" w:color="auto"/>
                <w:bottom w:val="none" w:sz="0" w:space="0" w:color="auto"/>
                <w:right w:val="none" w:sz="0" w:space="0" w:color="auto"/>
              </w:divBdr>
            </w:div>
          </w:divsChild>
        </w:div>
        <w:div w:id="1568567435">
          <w:marLeft w:val="0"/>
          <w:marRight w:val="0"/>
          <w:marTop w:val="0"/>
          <w:marBottom w:val="0"/>
          <w:divBdr>
            <w:top w:val="none" w:sz="0" w:space="0" w:color="auto"/>
            <w:left w:val="none" w:sz="0" w:space="0" w:color="auto"/>
            <w:bottom w:val="none" w:sz="0" w:space="0" w:color="auto"/>
            <w:right w:val="none" w:sz="0" w:space="0" w:color="auto"/>
          </w:divBdr>
          <w:divsChild>
            <w:div w:id="1507790818">
              <w:marLeft w:val="0"/>
              <w:marRight w:val="0"/>
              <w:marTop w:val="0"/>
              <w:marBottom w:val="0"/>
              <w:divBdr>
                <w:top w:val="none" w:sz="0" w:space="0" w:color="auto"/>
                <w:left w:val="none" w:sz="0" w:space="0" w:color="auto"/>
                <w:bottom w:val="none" w:sz="0" w:space="0" w:color="auto"/>
                <w:right w:val="none" w:sz="0" w:space="0" w:color="auto"/>
              </w:divBdr>
            </w:div>
          </w:divsChild>
        </w:div>
        <w:div w:id="1573657918">
          <w:marLeft w:val="0"/>
          <w:marRight w:val="0"/>
          <w:marTop w:val="0"/>
          <w:marBottom w:val="0"/>
          <w:divBdr>
            <w:top w:val="none" w:sz="0" w:space="0" w:color="auto"/>
            <w:left w:val="none" w:sz="0" w:space="0" w:color="auto"/>
            <w:bottom w:val="none" w:sz="0" w:space="0" w:color="auto"/>
            <w:right w:val="none" w:sz="0" w:space="0" w:color="auto"/>
          </w:divBdr>
          <w:divsChild>
            <w:div w:id="1433041327">
              <w:marLeft w:val="0"/>
              <w:marRight w:val="0"/>
              <w:marTop w:val="0"/>
              <w:marBottom w:val="0"/>
              <w:divBdr>
                <w:top w:val="none" w:sz="0" w:space="0" w:color="auto"/>
                <w:left w:val="none" w:sz="0" w:space="0" w:color="auto"/>
                <w:bottom w:val="none" w:sz="0" w:space="0" w:color="auto"/>
                <w:right w:val="none" w:sz="0" w:space="0" w:color="auto"/>
              </w:divBdr>
            </w:div>
          </w:divsChild>
        </w:div>
        <w:div w:id="1576089874">
          <w:marLeft w:val="0"/>
          <w:marRight w:val="0"/>
          <w:marTop w:val="0"/>
          <w:marBottom w:val="0"/>
          <w:divBdr>
            <w:top w:val="none" w:sz="0" w:space="0" w:color="auto"/>
            <w:left w:val="none" w:sz="0" w:space="0" w:color="auto"/>
            <w:bottom w:val="none" w:sz="0" w:space="0" w:color="auto"/>
            <w:right w:val="none" w:sz="0" w:space="0" w:color="auto"/>
          </w:divBdr>
          <w:divsChild>
            <w:div w:id="91821497">
              <w:marLeft w:val="0"/>
              <w:marRight w:val="0"/>
              <w:marTop w:val="0"/>
              <w:marBottom w:val="0"/>
              <w:divBdr>
                <w:top w:val="none" w:sz="0" w:space="0" w:color="auto"/>
                <w:left w:val="none" w:sz="0" w:space="0" w:color="auto"/>
                <w:bottom w:val="none" w:sz="0" w:space="0" w:color="auto"/>
                <w:right w:val="none" w:sz="0" w:space="0" w:color="auto"/>
              </w:divBdr>
            </w:div>
          </w:divsChild>
        </w:div>
        <w:div w:id="1582107551">
          <w:marLeft w:val="0"/>
          <w:marRight w:val="0"/>
          <w:marTop w:val="0"/>
          <w:marBottom w:val="0"/>
          <w:divBdr>
            <w:top w:val="none" w:sz="0" w:space="0" w:color="auto"/>
            <w:left w:val="none" w:sz="0" w:space="0" w:color="auto"/>
            <w:bottom w:val="none" w:sz="0" w:space="0" w:color="auto"/>
            <w:right w:val="none" w:sz="0" w:space="0" w:color="auto"/>
          </w:divBdr>
          <w:divsChild>
            <w:div w:id="901477653">
              <w:marLeft w:val="0"/>
              <w:marRight w:val="0"/>
              <w:marTop w:val="0"/>
              <w:marBottom w:val="0"/>
              <w:divBdr>
                <w:top w:val="none" w:sz="0" w:space="0" w:color="auto"/>
                <w:left w:val="none" w:sz="0" w:space="0" w:color="auto"/>
                <w:bottom w:val="none" w:sz="0" w:space="0" w:color="auto"/>
                <w:right w:val="none" w:sz="0" w:space="0" w:color="auto"/>
              </w:divBdr>
            </w:div>
          </w:divsChild>
        </w:div>
        <w:div w:id="1582134296">
          <w:marLeft w:val="0"/>
          <w:marRight w:val="0"/>
          <w:marTop w:val="0"/>
          <w:marBottom w:val="0"/>
          <w:divBdr>
            <w:top w:val="none" w:sz="0" w:space="0" w:color="auto"/>
            <w:left w:val="none" w:sz="0" w:space="0" w:color="auto"/>
            <w:bottom w:val="none" w:sz="0" w:space="0" w:color="auto"/>
            <w:right w:val="none" w:sz="0" w:space="0" w:color="auto"/>
          </w:divBdr>
          <w:divsChild>
            <w:div w:id="869800581">
              <w:marLeft w:val="0"/>
              <w:marRight w:val="0"/>
              <w:marTop w:val="0"/>
              <w:marBottom w:val="0"/>
              <w:divBdr>
                <w:top w:val="none" w:sz="0" w:space="0" w:color="auto"/>
                <w:left w:val="none" w:sz="0" w:space="0" w:color="auto"/>
                <w:bottom w:val="none" w:sz="0" w:space="0" w:color="auto"/>
                <w:right w:val="none" w:sz="0" w:space="0" w:color="auto"/>
              </w:divBdr>
            </w:div>
          </w:divsChild>
        </w:div>
        <w:div w:id="1588265236">
          <w:marLeft w:val="0"/>
          <w:marRight w:val="0"/>
          <w:marTop w:val="0"/>
          <w:marBottom w:val="0"/>
          <w:divBdr>
            <w:top w:val="none" w:sz="0" w:space="0" w:color="auto"/>
            <w:left w:val="none" w:sz="0" w:space="0" w:color="auto"/>
            <w:bottom w:val="none" w:sz="0" w:space="0" w:color="auto"/>
            <w:right w:val="none" w:sz="0" w:space="0" w:color="auto"/>
          </w:divBdr>
          <w:divsChild>
            <w:div w:id="385419424">
              <w:marLeft w:val="0"/>
              <w:marRight w:val="0"/>
              <w:marTop w:val="0"/>
              <w:marBottom w:val="0"/>
              <w:divBdr>
                <w:top w:val="none" w:sz="0" w:space="0" w:color="auto"/>
                <w:left w:val="none" w:sz="0" w:space="0" w:color="auto"/>
                <w:bottom w:val="none" w:sz="0" w:space="0" w:color="auto"/>
                <w:right w:val="none" w:sz="0" w:space="0" w:color="auto"/>
              </w:divBdr>
            </w:div>
          </w:divsChild>
        </w:div>
        <w:div w:id="1589927832">
          <w:marLeft w:val="0"/>
          <w:marRight w:val="0"/>
          <w:marTop w:val="0"/>
          <w:marBottom w:val="0"/>
          <w:divBdr>
            <w:top w:val="none" w:sz="0" w:space="0" w:color="auto"/>
            <w:left w:val="none" w:sz="0" w:space="0" w:color="auto"/>
            <w:bottom w:val="none" w:sz="0" w:space="0" w:color="auto"/>
            <w:right w:val="none" w:sz="0" w:space="0" w:color="auto"/>
          </w:divBdr>
          <w:divsChild>
            <w:div w:id="1106576420">
              <w:marLeft w:val="0"/>
              <w:marRight w:val="0"/>
              <w:marTop w:val="0"/>
              <w:marBottom w:val="0"/>
              <w:divBdr>
                <w:top w:val="none" w:sz="0" w:space="0" w:color="auto"/>
                <w:left w:val="none" w:sz="0" w:space="0" w:color="auto"/>
                <w:bottom w:val="none" w:sz="0" w:space="0" w:color="auto"/>
                <w:right w:val="none" w:sz="0" w:space="0" w:color="auto"/>
              </w:divBdr>
            </w:div>
          </w:divsChild>
        </w:div>
        <w:div w:id="1601789088">
          <w:marLeft w:val="0"/>
          <w:marRight w:val="0"/>
          <w:marTop w:val="0"/>
          <w:marBottom w:val="0"/>
          <w:divBdr>
            <w:top w:val="none" w:sz="0" w:space="0" w:color="auto"/>
            <w:left w:val="none" w:sz="0" w:space="0" w:color="auto"/>
            <w:bottom w:val="none" w:sz="0" w:space="0" w:color="auto"/>
            <w:right w:val="none" w:sz="0" w:space="0" w:color="auto"/>
          </w:divBdr>
          <w:divsChild>
            <w:div w:id="231741741">
              <w:marLeft w:val="0"/>
              <w:marRight w:val="0"/>
              <w:marTop w:val="0"/>
              <w:marBottom w:val="0"/>
              <w:divBdr>
                <w:top w:val="none" w:sz="0" w:space="0" w:color="auto"/>
                <w:left w:val="none" w:sz="0" w:space="0" w:color="auto"/>
                <w:bottom w:val="none" w:sz="0" w:space="0" w:color="auto"/>
                <w:right w:val="none" w:sz="0" w:space="0" w:color="auto"/>
              </w:divBdr>
            </w:div>
          </w:divsChild>
        </w:div>
        <w:div w:id="1607075340">
          <w:marLeft w:val="0"/>
          <w:marRight w:val="0"/>
          <w:marTop w:val="0"/>
          <w:marBottom w:val="0"/>
          <w:divBdr>
            <w:top w:val="none" w:sz="0" w:space="0" w:color="auto"/>
            <w:left w:val="none" w:sz="0" w:space="0" w:color="auto"/>
            <w:bottom w:val="none" w:sz="0" w:space="0" w:color="auto"/>
            <w:right w:val="none" w:sz="0" w:space="0" w:color="auto"/>
          </w:divBdr>
          <w:divsChild>
            <w:div w:id="1070466641">
              <w:marLeft w:val="0"/>
              <w:marRight w:val="0"/>
              <w:marTop w:val="0"/>
              <w:marBottom w:val="0"/>
              <w:divBdr>
                <w:top w:val="none" w:sz="0" w:space="0" w:color="auto"/>
                <w:left w:val="none" w:sz="0" w:space="0" w:color="auto"/>
                <w:bottom w:val="none" w:sz="0" w:space="0" w:color="auto"/>
                <w:right w:val="none" w:sz="0" w:space="0" w:color="auto"/>
              </w:divBdr>
            </w:div>
          </w:divsChild>
        </w:div>
        <w:div w:id="1614170002">
          <w:marLeft w:val="0"/>
          <w:marRight w:val="0"/>
          <w:marTop w:val="0"/>
          <w:marBottom w:val="0"/>
          <w:divBdr>
            <w:top w:val="none" w:sz="0" w:space="0" w:color="auto"/>
            <w:left w:val="none" w:sz="0" w:space="0" w:color="auto"/>
            <w:bottom w:val="none" w:sz="0" w:space="0" w:color="auto"/>
            <w:right w:val="none" w:sz="0" w:space="0" w:color="auto"/>
          </w:divBdr>
          <w:divsChild>
            <w:div w:id="1773933702">
              <w:marLeft w:val="0"/>
              <w:marRight w:val="0"/>
              <w:marTop w:val="0"/>
              <w:marBottom w:val="0"/>
              <w:divBdr>
                <w:top w:val="none" w:sz="0" w:space="0" w:color="auto"/>
                <w:left w:val="none" w:sz="0" w:space="0" w:color="auto"/>
                <w:bottom w:val="none" w:sz="0" w:space="0" w:color="auto"/>
                <w:right w:val="none" w:sz="0" w:space="0" w:color="auto"/>
              </w:divBdr>
            </w:div>
          </w:divsChild>
        </w:div>
        <w:div w:id="1615675785">
          <w:marLeft w:val="0"/>
          <w:marRight w:val="0"/>
          <w:marTop w:val="0"/>
          <w:marBottom w:val="0"/>
          <w:divBdr>
            <w:top w:val="none" w:sz="0" w:space="0" w:color="auto"/>
            <w:left w:val="none" w:sz="0" w:space="0" w:color="auto"/>
            <w:bottom w:val="none" w:sz="0" w:space="0" w:color="auto"/>
            <w:right w:val="none" w:sz="0" w:space="0" w:color="auto"/>
          </w:divBdr>
          <w:divsChild>
            <w:div w:id="182062750">
              <w:marLeft w:val="0"/>
              <w:marRight w:val="0"/>
              <w:marTop w:val="0"/>
              <w:marBottom w:val="0"/>
              <w:divBdr>
                <w:top w:val="none" w:sz="0" w:space="0" w:color="auto"/>
                <w:left w:val="none" w:sz="0" w:space="0" w:color="auto"/>
                <w:bottom w:val="none" w:sz="0" w:space="0" w:color="auto"/>
                <w:right w:val="none" w:sz="0" w:space="0" w:color="auto"/>
              </w:divBdr>
            </w:div>
          </w:divsChild>
        </w:div>
        <w:div w:id="1615940746">
          <w:marLeft w:val="0"/>
          <w:marRight w:val="0"/>
          <w:marTop w:val="0"/>
          <w:marBottom w:val="0"/>
          <w:divBdr>
            <w:top w:val="none" w:sz="0" w:space="0" w:color="auto"/>
            <w:left w:val="none" w:sz="0" w:space="0" w:color="auto"/>
            <w:bottom w:val="none" w:sz="0" w:space="0" w:color="auto"/>
            <w:right w:val="none" w:sz="0" w:space="0" w:color="auto"/>
          </w:divBdr>
          <w:divsChild>
            <w:div w:id="291063749">
              <w:marLeft w:val="0"/>
              <w:marRight w:val="0"/>
              <w:marTop w:val="0"/>
              <w:marBottom w:val="0"/>
              <w:divBdr>
                <w:top w:val="none" w:sz="0" w:space="0" w:color="auto"/>
                <w:left w:val="none" w:sz="0" w:space="0" w:color="auto"/>
                <w:bottom w:val="none" w:sz="0" w:space="0" w:color="auto"/>
                <w:right w:val="none" w:sz="0" w:space="0" w:color="auto"/>
              </w:divBdr>
            </w:div>
          </w:divsChild>
        </w:div>
        <w:div w:id="1621522733">
          <w:marLeft w:val="0"/>
          <w:marRight w:val="0"/>
          <w:marTop w:val="0"/>
          <w:marBottom w:val="0"/>
          <w:divBdr>
            <w:top w:val="none" w:sz="0" w:space="0" w:color="auto"/>
            <w:left w:val="none" w:sz="0" w:space="0" w:color="auto"/>
            <w:bottom w:val="none" w:sz="0" w:space="0" w:color="auto"/>
            <w:right w:val="none" w:sz="0" w:space="0" w:color="auto"/>
          </w:divBdr>
          <w:divsChild>
            <w:div w:id="1284383352">
              <w:marLeft w:val="0"/>
              <w:marRight w:val="0"/>
              <w:marTop w:val="0"/>
              <w:marBottom w:val="0"/>
              <w:divBdr>
                <w:top w:val="none" w:sz="0" w:space="0" w:color="auto"/>
                <w:left w:val="none" w:sz="0" w:space="0" w:color="auto"/>
                <w:bottom w:val="none" w:sz="0" w:space="0" w:color="auto"/>
                <w:right w:val="none" w:sz="0" w:space="0" w:color="auto"/>
              </w:divBdr>
            </w:div>
          </w:divsChild>
        </w:div>
        <w:div w:id="1626080246">
          <w:marLeft w:val="0"/>
          <w:marRight w:val="0"/>
          <w:marTop w:val="0"/>
          <w:marBottom w:val="0"/>
          <w:divBdr>
            <w:top w:val="none" w:sz="0" w:space="0" w:color="auto"/>
            <w:left w:val="none" w:sz="0" w:space="0" w:color="auto"/>
            <w:bottom w:val="none" w:sz="0" w:space="0" w:color="auto"/>
            <w:right w:val="none" w:sz="0" w:space="0" w:color="auto"/>
          </w:divBdr>
          <w:divsChild>
            <w:div w:id="1662463772">
              <w:marLeft w:val="0"/>
              <w:marRight w:val="0"/>
              <w:marTop w:val="0"/>
              <w:marBottom w:val="0"/>
              <w:divBdr>
                <w:top w:val="none" w:sz="0" w:space="0" w:color="auto"/>
                <w:left w:val="none" w:sz="0" w:space="0" w:color="auto"/>
                <w:bottom w:val="none" w:sz="0" w:space="0" w:color="auto"/>
                <w:right w:val="none" w:sz="0" w:space="0" w:color="auto"/>
              </w:divBdr>
            </w:div>
          </w:divsChild>
        </w:div>
        <w:div w:id="1630471827">
          <w:marLeft w:val="0"/>
          <w:marRight w:val="0"/>
          <w:marTop w:val="0"/>
          <w:marBottom w:val="0"/>
          <w:divBdr>
            <w:top w:val="none" w:sz="0" w:space="0" w:color="auto"/>
            <w:left w:val="none" w:sz="0" w:space="0" w:color="auto"/>
            <w:bottom w:val="none" w:sz="0" w:space="0" w:color="auto"/>
            <w:right w:val="none" w:sz="0" w:space="0" w:color="auto"/>
          </w:divBdr>
          <w:divsChild>
            <w:div w:id="1818643233">
              <w:marLeft w:val="0"/>
              <w:marRight w:val="0"/>
              <w:marTop w:val="0"/>
              <w:marBottom w:val="0"/>
              <w:divBdr>
                <w:top w:val="none" w:sz="0" w:space="0" w:color="auto"/>
                <w:left w:val="none" w:sz="0" w:space="0" w:color="auto"/>
                <w:bottom w:val="none" w:sz="0" w:space="0" w:color="auto"/>
                <w:right w:val="none" w:sz="0" w:space="0" w:color="auto"/>
              </w:divBdr>
            </w:div>
          </w:divsChild>
        </w:div>
        <w:div w:id="1633320685">
          <w:marLeft w:val="0"/>
          <w:marRight w:val="0"/>
          <w:marTop w:val="0"/>
          <w:marBottom w:val="0"/>
          <w:divBdr>
            <w:top w:val="none" w:sz="0" w:space="0" w:color="auto"/>
            <w:left w:val="none" w:sz="0" w:space="0" w:color="auto"/>
            <w:bottom w:val="none" w:sz="0" w:space="0" w:color="auto"/>
            <w:right w:val="none" w:sz="0" w:space="0" w:color="auto"/>
          </w:divBdr>
          <w:divsChild>
            <w:div w:id="1730034524">
              <w:marLeft w:val="0"/>
              <w:marRight w:val="0"/>
              <w:marTop w:val="0"/>
              <w:marBottom w:val="0"/>
              <w:divBdr>
                <w:top w:val="none" w:sz="0" w:space="0" w:color="auto"/>
                <w:left w:val="none" w:sz="0" w:space="0" w:color="auto"/>
                <w:bottom w:val="none" w:sz="0" w:space="0" w:color="auto"/>
                <w:right w:val="none" w:sz="0" w:space="0" w:color="auto"/>
              </w:divBdr>
            </w:div>
          </w:divsChild>
        </w:div>
        <w:div w:id="1635452804">
          <w:marLeft w:val="0"/>
          <w:marRight w:val="0"/>
          <w:marTop w:val="0"/>
          <w:marBottom w:val="0"/>
          <w:divBdr>
            <w:top w:val="none" w:sz="0" w:space="0" w:color="auto"/>
            <w:left w:val="none" w:sz="0" w:space="0" w:color="auto"/>
            <w:bottom w:val="none" w:sz="0" w:space="0" w:color="auto"/>
            <w:right w:val="none" w:sz="0" w:space="0" w:color="auto"/>
          </w:divBdr>
          <w:divsChild>
            <w:div w:id="854851870">
              <w:marLeft w:val="0"/>
              <w:marRight w:val="0"/>
              <w:marTop w:val="0"/>
              <w:marBottom w:val="0"/>
              <w:divBdr>
                <w:top w:val="none" w:sz="0" w:space="0" w:color="auto"/>
                <w:left w:val="none" w:sz="0" w:space="0" w:color="auto"/>
                <w:bottom w:val="none" w:sz="0" w:space="0" w:color="auto"/>
                <w:right w:val="none" w:sz="0" w:space="0" w:color="auto"/>
              </w:divBdr>
            </w:div>
          </w:divsChild>
        </w:div>
        <w:div w:id="1636988757">
          <w:marLeft w:val="0"/>
          <w:marRight w:val="0"/>
          <w:marTop w:val="0"/>
          <w:marBottom w:val="0"/>
          <w:divBdr>
            <w:top w:val="none" w:sz="0" w:space="0" w:color="auto"/>
            <w:left w:val="none" w:sz="0" w:space="0" w:color="auto"/>
            <w:bottom w:val="none" w:sz="0" w:space="0" w:color="auto"/>
            <w:right w:val="none" w:sz="0" w:space="0" w:color="auto"/>
          </w:divBdr>
          <w:divsChild>
            <w:div w:id="1971010223">
              <w:marLeft w:val="0"/>
              <w:marRight w:val="0"/>
              <w:marTop w:val="0"/>
              <w:marBottom w:val="0"/>
              <w:divBdr>
                <w:top w:val="none" w:sz="0" w:space="0" w:color="auto"/>
                <w:left w:val="none" w:sz="0" w:space="0" w:color="auto"/>
                <w:bottom w:val="none" w:sz="0" w:space="0" w:color="auto"/>
                <w:right w:val="none" w:sz="0" w:space="0" w:color="auto"/>
              </w:divBdr>
            </w:div>
          </w:divsChild>
        </w:div>
        <w:div w:id="1639146663">
          <w:marLeft w:val="0"/>
          <w:marRight w:val="0"/>
          <w:marTop w:val="0"/>
          <w:marBottom w:val="0"/>
          <w:divBdr>
            <w:top w:val="none" w:sz="0" w:space="0" w:color="auto"/>
            <w:left w:val="none" w:sz="0" w:space="0" w:color="auto"/>
            <w:bottom w:val="none" w:sz="0" w:space="0" w:color="auto"/>
            <w:right w:val="none" w:sz="0" w:space="0" w:color="auto"/>
          </w:divBdr>
          <w:divsChild>
            <w:div w:id="538202927">
              <w:marLeft w:val="0"/>
              <w:marRight w:val="0"/>
              <w:marTop w:val="0"/>
              <w:marBottom w:val="0"/>
              <w:divBdr>
                <w:top w:val="none" w:sz="0" w:space="0" w:color="auto"/>
                <w:left w:val="none" w:sz="0" w:space="0" w:color="auto"/>
                <w:bottom w:val="none" w:sz="0" w:space="0" w:color="auto"/>
                <w:right w:val="none" w:sz="0" w:space="0" w:color="auto"/>
              </w:divBdr>
            </w:div>
          </w:divsChild>
        </w:div>
        <w:div w:id="1644383300">
          <w:marLeft w:val="0"/>
          <w:marRight w:val="0"/>
          <w:marTop w:val="0"/>
          <w:marBottom w:val="0"/>
          <w:divBdr>
            <w:top w:val="none" w:sz="0" w:space="0" w:color="auto"/>
            <w:left w:val="none" w:sz="0" w:space="0" w:color="auto"/>
            <w:bottom w:val="none" w:sz="0" w:space="0" w:color="auto"/>
            <w:right w:val="none" w:sz="0" w:space="0" w:color="auto"/>
          </w:divBdr>
          <w:divsChild>
            <w:div w:id="1607806848">
              <w:marLeft w:val="0"/>
              <w:marRight w:val="0"/>
              <w:marTop w:val="0"/>
              <w:marBottom w:val="0"/>
              <w:divBdr>
                <w:top w:val="none" w:sz="0" w:space="0" w:color="auto"/>
                <w:left w:val="none" w:sz="0" w:space="0" w:color="auto"/>
                <w:bottom w:val="none" w:sz="0" w:space="0" w:color="auto"/>
                <w:right w:val="none" w:sz="0" w:space="0" w:color="auto"/>
              </w:divBdr>
            </w:div>
          </w:divsChild>
        </w:div>
        <w:div w:id="1652951789">
          <w:marLeft w:val="0"/>
          <w:marRight w:val="0"/>
          <w:marTop w:val="0"/>
          <w:marBottom w:val="0"/>
          <w:divBdr>
            <w:top w:val="none" w:sz="0" w:space="0" w:color="auto"/>
            <w:left w:val="none" w:sz="0" w:space="0" w:color="auto"/>
            <w:bottom w:val="none" w:sz="0" w:space="0" w:color="auto"/>
            <w:right w:val="none" w:sz="0" w:space="0" w:color="auto"/>
          </w:divBdr>
          <w:divsChild>
            <w:div w:id="1594899489">
              <w:marLeft w:val="0"/>
              <w:marRight w:val="0"/>
              <w:marTop w:val="0"/>
              <w:marBottom w:val="0"/>
              <w:divBdr>
                <w:top w:val="none" w:sz="0" w:space="0" w:color="auto"/>
                <w:left w:val="none" w:sz="0" w:space="0" w:color="auto"/>
                <w:bottom w:val="none" w:sz="0" w:space="0" w:color="auto"/>
                <w:right w:val="none" w:sz="0" w:space="0" w:color="auto"/>
              </w:divBdr>
            </w:div>
          </w:divsChild>
        </w:div>
        <w:div w:id="1655453472">
          <w:marLeft w:val="0"/>
          <w:marRight w:val="0"/>
          <w:marTop w:val="0"/>
          <w:marBottom w:val="0"/>
          <w:divBdr>
            <w:top w:val="none" w:sz="0" w:space="0" w:color="auto"/>
            <w:left w:val="none" w:sz="0" w:space="0" w:color="auto"/>
            <w:bottom w:val="none" w:sz="0" w:space="0" w:color="auto"/>
            <w:right w:val="none" w:sz="0" w:space="0" w:color="auto"/>
          </w:divBdr>
          <w:divsChild>
            <w:div w:id="132479761">
              <w:marLeft w:val="0"/>
              <w:marRight w:val="0"/>
              <w:marTop w:val="0"/>
              <w:marBottom w:val="0"/>
              <w:divBdr>
                <w:top w:val="none" w:sz="0" w:space="0" w:color="auto"/>
                <w:left w:val="none" w:sz="0" w:space="0" w:color="auto"/>
                <w:bottom w:val="none" w:sz="0" w:space="0" w:color="auto"/>
                <w:right w:val="none" w:sz="0" w:space="0" w:color="auto"/>
              </w:divBdr>
            </w:div>
          </w:divsChild>
        </w:div>
        <w:div w:id="1658026853">
          <w:marLeft w:val="0"/>
          <w:marRight w:val="0"/>
          <w:marTop w:val="0"/>
          <w:marBottom w:val="0"/>
          <w:divBdr>
            <w:top w:val="none" w:sz="0" w:space="0" w:color="auto"/>
            <w:left w:val="none" w:sz="0" w:space="0" w:color="auto"/>
            <w:bottom w:val="none" w:sz="0" w:space="0" w:color="auto"/>
            <w:right w:val="none" w:sz="0" w:space="0" w:color="auto"/>
          </w:divBdr>
          <w:divsChild>
            <w:div w:id="592707720">
              <w:marLeft w:val="0"/>
              <w:marRight w:val="0"/>
              <w:marTop w:val="0"/>
              <w:marBottom w:val="0"/>
              <w:divBdr>
                <w:top w:val="none" w:sz="0" w:space="0" w:color="auto"/>
                <w:left w:val="none" w:sz="0" w:space="0" w:color="auto"/>
                <w:bottom w:val="none" w:sz="0" w:space="0" w:color="auto"/>
                <w:right w:val="none" w:sz="0" w:space="0" w:color="auto"/>
              </w:divBdr>
            </w:div>
          </w:divsChild>
        </w:div>
        <w:div w:id="1662539350">
          <w:marLeft w:val="0"/>
          <w:marRight w:val="0"/>
          <w:marTop w:val="0"/>
          <w:marBottom w:val="0"/>
          <w:divBdr>
            <w:top w:val="none" w:sz="0" w:space="0" w:color="auto"/>
            <w:left w:val="none" w:sz="0" w:space="0" w:color="auto"/>
            <w:bottom w:val="none" w:sz="0" w:space="0" w:color="auto"/>
            <w:right w:val="none" w:sz="0" w:space="0" w:color="auto"/>
          </w:divBdr>
          <w:divsChild>
            <w:div w:id="1880435938">
              <w:marLeft w:val="0"/>
              <w:marRight w:val="0"/>
              <w:marTop w:val="0"/>
              <w:marBottom w:val="0"/>
              <w:divBdr>
                <w:top w:val="none" w:sz="0" w:space="0" w:color="auto"/>
                <w:left w:val="none" w:sz="0" w:space="0" w:color="auto"/>
                <w:bottom w:val="none" w:sz="0" w:space="0" w:color="auto"/>
                <w:right w:val="none" w:sz="0" w:space="0" w:color="auto"/>
              </w:divBdr>
            </w:div>
          </w:divsChild>
        </w:div>
        <w:div w:id="1662545285">
          <w:marLeft w:val="0"/>
          <w:marRight w:val="0"/>
          <w:marTop w:val="0"/>
          <w:marBottom w:val="0"/>
          <w:divBdr>
            <w:top w:val="none" w:sz="0" w:space="0" w:color="auto"/>
            <w:left w:val="none" w:sz="0" w:space="0" w:color="auto"/>
            <w:bottom w:val="none" w:sz="0" w:space="0" w:color="auto"/>
            <w:right w:val="none" w:sz="0" w:space="0" w:color="auto"/>
          </w:divBdr>
          <w:divsChild>
            <w:div w:id="1752048491">
              <w:marLeft w:val="0"/>
              <w:marRight w:val="0"/>
              <w:marTop w:val="0"/>
              <w:marBottom w:val="0"/>
              <w:divBdr>
                <w:top w:val="none" w:sz="0" w:space="0" w:color="auto"/>
                <w:left w:val="none" w:sz="0" w:space="0" w:color="auto"/>
                <w:bottom w:val="none" w:sz="0" w:space="0" w:color="auto"/>
                <w:right w:val="none" w:sz="0" w:space="0" w:color="auto"/>
              </w:divBdr>
            </w:div>
          </w:divsChild>
        </w:div>
        <w:div w:id="1664578125">
          <w:marLeft w:val="0"/>
          <w:marRight w:val="0"/>
          <w:marTop w:val="0"/>
          <w:marBottom w:val="0"/>
          <w:divBdr>
            <w:top w:val="none" w:sz="0" w:space="0" w:color="auto"/>
            <w:left w:val="none" w:sz="0" w:space="0" w:color="auto"/>
            <w:bottom w:val="none" w:sz="0" w:space="0" w:color="auto"/>
            <w:right w:val="none" w:sz="0" w:space="0" w:color="auto"/>
          </w:divBdr>
          <w:divsChild>
            <w:div w:id="303825629">
              <w:marLeft w:val="0"/>
              <w:marRight w:val="0"/>
              <w:marTop w:val="0"/>
              <w:marBottom w:val="0"/>
              <w:divBdr>
                <w:top w:val="none" w:sz="0" w:space="0" w:color="auto"/>
                <w:left w:val="none" w:sz="0" w:space="0" w:color="auto"/>
                <w:bottom w:val="none" w:sz="0" w:space="0" w:color="auto"/>
                <w:right w:val="none" w:sz="0" w:space="0" w:color="auto"/>
              </w:divBdr>
            </w:div>
          </w:divsChild>
        </w:div>
        <w:div w:id="1677881204">
          <w:marLeft w:val="0"/>
          <w:marRight w:val="0"/>
          <w:marTop w:val="0"/>
          <w:marBottom w:val="0"/>
          <w:divBdr>
            <w:top w:val="none" w:sz="0" w:space="0" w:color="auto"/>
            <w:left w:val="none" w:sz="0" w:space="0" w:color="auto"/>
            <w:bottom w:val="none" w:sz="0" w:space="0" w:color="auto"/>
            <w:right w:val="none" w:sz="0" w:space="0" w:color="auto"/>
          </w:divBdr>
          <w:divsChild>
            <w:div w:id="1033307052">
              <w:marLeft w:val="0"/>
              <w:marRight w:val="0"/>
              <w:marTop w:val="0"/>
              <w:marBottom w:val="0"/>
              <w:divBdr>
                <w:top w:val="none" w:sz="0" w:space="0" w:color="auto"/>
                <w:left w:val="none" w:sz="0" w:space="0" w:color="auto"/>
                <w:bottom w:val="none" w:sz="0" w:space="0" w:color="auto"/>
                <w:right w:val="none" w:sz="0" w:space="0" w:color="auto"/>
              </w:divBdr>
            </w:div>
          </w:divsChild>
        </w:div>
        <w:div w:id="1679578911">
          <w:marLeft w:val="0"/>
          <w:marRight w:val="0"/>
          <w:marTop w:val="0"/>
          <w:marBottom w:val="0"/>
          <w:divBdr>
            <w:top w:val="none" w:sz="0" w:space="0" w:color="auto"/>
            <w:left w:val="none" w:sz="0" w:space="0" w:color="auto"/>
            <w:bottom w:val="none" w:sz="0" w:space="0" w:color="auto"/>
            <w:right w:val="none" w:sz="0" w:space="0" w:color="auto"/>
          </w:divBdr>
          <w:divsChild>
            <w:div w:id="1702974809">
              <w:marLeft w:val="0"/>
              <w:marRight w:val="0"/>
              <w:marTop w:val="0"/>
              <w:marBottom w:val="0"/>
              <w:divBdr>
                <w:top w:val="none" w:sz="0" w:space="0" w:color="auto"/>
                <w:left w:val="none" w:sz="0" w:space="0" w:color="auto"/>
                <w:bottom w:val="none" w:sz="0" w:space="0" w:color="auto"/>
                <w:right w:val="none" w:sz="0" w:space="0" w:color="auto"/>
              </w:divBdr>
            </w:div>
          </w:divsChild>
        </w:div>
        <w:div w:id="1684890419">
          <w:marLeft w:val="0"/>
          <w:marRight w:val="0"/>
          <w:marTop w:val="0"/>
          <w:marBottom w:val="0"/>
          <w:divBdr>
            <w:top w:val="none" w:sz="0" w:space="0" w:color="auto"/>
            <w:left w:val="none" w:sz="0" w:space="0" w:color="auto"/>
            <w:bottom w:val="none" w:sz="0" w:space="0" w:color="auto"/>
            <w:right w:val="none" w:sz="0" w:space="0" w:color="auto"/>
          </w:divBdr>
          <w:divsChild>
            <w:div w:id="1102648868">
              <w:marLeft w:val="0"/>
              <w:marRight w:val="0"/>
              <w:marTop w:val="0"/>
              <w:marBottom w:val="0"/>
              <w:divBdr>
                <w:top w:val="none" w:sz="0" w:space="0" w:color="auto"/>
                <w:left w:val="none" w:sz="0" w:space="0" w:color="auto"/>
                <w:bottom w:val="none" w:sz="0" w:space="0" w:color="auto"/>
                <w:right w:val="none" w:sz="0" w:space="0" w:color="auto"/>
              </w:divBdr>
            </w:div>
          </w:divsChild>
        </w:div>
        <w:div w:id="1696807043">
          <w:marLeft w:val="0"/>
          <w:marRight w:val="0"/>
          <w:marTop w:val="0"/>
          <w:marBottom w:val="0"/>
          <w:divBdr>
            <w:top w:val="none" w:sz="0" w:space="0" w:color="auto"/>
            <w:left w:val="none" w:sz="0" w:space="0" w:color="auto"/>
            <w:bottom w:val="none" w:sz="0" w:space="0" w:color="auto"/>
            <w:right w:val="none" w:sz="0" w:space="0" w:color="auto"/>
          </w:divBdr>
          <w:divsChild>
            <w:div w:id="1164857976">
              <w:marLeft w:val="0"/>
              <w:marRight w:val="0"/>
              <w:marTop w:val="0"/>
              <w:marBottom w:val="0"/>
              <w:divBdr>
                <w:top w:val="none" w:sz="0" w:space="0" w:color="auto"/>
                <w:left w:val="none" w:sz="0" w:space="0" w:color="auto"/>
                <w:bottom w:val="none" w:sz="0" w:space="0" w:color="auto"/>
                <w:right w:val="none" w:sz="0" w:space="0" w:color="auto"/>
              </w:divBdr>
            </w:div>
          </w:divsChild>
        </w:div>
        <w:div w:id="1697464808">
          <w:marLeft w:val="0"/>
          <w:marRight w:val="0"/>
          <w:marTop w:val="0"/>
          <w:marBottom w:val="0"/>
          <w:divBdr>
            <w:top w:val="none" w:sz="0" w:space="0" w:color="auto"/>
            <w:left w:val="none" w:sz="0" w:space="0" w:color="auto"/>
            <w:bottom w:val="none" w:sz="0" w:space="0" w:color="auto"/>
            <w:right w:val="none" w:sz="0" w:space="0" w:color="auto"/>
          </w:divBdr>
          <w:divsChild>
            <w:div w:id="1892420111">
              <w:marLeft w:val="0"/>
              <w:marRight w:val="0"/>
              <w:marTop w:val="0"/>
              <w:marBottom w:val="0"/>
              <w:divBdr>
                <w:top w:val="none" w:sz="0" w:space="0" w:color="auto"/>
                <w:left w:val="none" w:sz="0" w:space="0" w:color="auto"/>
                <w:bottom w:val="none" w:sz="0" w:space="0" w:color="auto"/>
                <w:right w:val="none" w:sz="0" w:space="0" w:color="auto"/>
              </w:divBdr>
            </w:div>
          </w:divsChild>
        </w:div>
        <w:div w:id="1700617726">
          <w:marLeft w:val="0"/>
          <w:marRight w:val="0"/>
          <w:marTop w:val="0"/>
          <w:marBottom w:val="0"/>
          <w:divBdr>
            <w:top w:val="none" w:sz="0" w:space="0" w:color="auto"/>
            <w:left w:val="none" w:sz="0" w:space="0" w:color="auto"/>
            <w:bottom w:val="none" w:sz="0" w:space="0" w:color="auto"/>
            <w:right w:val="none" w:sz="0" w:space="0" w:color="auto"/>
          </w:divBdr>
          <w:divsChild>
            <w:div w:id="1613435287">
              <w:marLeft w:val="0"/>
              <w:marRight w:val="0"/>
              <w:marTop w:val="0"/>
              <w:marBottom w:val="0"/>
              <w:divBdr>
                <w:top w:val="none" w:sz="0" w:space="0" w:color="auto"/>
                <w:left w:val="none" w:sz="0" w:space="0" w:color="auto"/>
                <w:bottom w:val="none" w:sz="0" w:space="0" w:color="auto"/>
                <w:right w:val="none" w:sz="0" w:space="0" w:color="auto"/>
              </w:divBdr>
            </w:div>
          </w:divsChild>
        </w:div>
        <w:div w:id="1707372368">
          <w:marLeft w:val="0"/>
          <w:marRight w:val="0"/>
          <w:marTop w:val="0"/>
          <w:marBottom w:val="0"/>
          <w:divBdr>
            <w:top w:val="none" w:sz="0" w:space="0" w:color="auto"/>
            <w:left w:val="none" w:sz="0" w:space="0" w:color="auto"/>
            <w:bottom w:val="none" w:sz="0" w:space="0" w:color="auto"/>
            <w:right w:val="none" w:sz="0" w:space="0" w:color="auto"/>
          </w:divBdr>
          <w:divsChild>
            <w:div w:id="1604652005">
              <w:marLeft w:val="0"/>
              <w:marRight w:val="0"/>
              <w:marTop w:val="0"/>
              <w:marBottom w:val="0"/>
              <w:divBdr>
                <w:top w:val="none" w:sz="0" w:space="0" w:color="auto"/>
                <w:left w:val="none" w:sz="0" w:space="0" w:color="auto"/>
                <w:bottom w:val="none" w:sz="0" w:space="0" w:color="auto"/>
                <w:right w:val="none" w:sz="0" w:space="0" w:color="auto"/>
              </w:divBdr>
            </w:div>
          </w:divsChild>
        </w:div>
        <w:div w:id="1711565594">
          <w:marLeft w:val="0"/>
          <w:marRight w:val="0"/>
          <w:marTop w:val="0"/>
          <w:marBottom w:val="0"/>
          <w:divBdr>
            <w:top w:val="none" w:sz="0" w:space="0" w:color="auto"/>
            <w:left w:val="none" w:sz="0" w:space="0" w:color="auto"/>
            <w:bottom w:val="none" w:sz="0" w:space="0" w:color="auto"/>
            <w:right w:val="none" w:sz="0" w:space="0" w:color="auto"/>
          </w:divBdr>
          <w:divsChild>
            <w:div w:id="1999920871">
              <w:marLeft w:val="0"/>
              <w:marRight w:val="0"/>
              <w:marTop w:val="0"/>
              <w:marBottom w:val="0"/>
              <w:divBdr>
                <w:top w:val="none" w:sz="0" w:space="0" w:color="auto"/>
                <w:left w:val="none" w:sz="0" w:space="0" w:color="auto"/>
                <w:bottom w:val="none" w:sz="0" w:space="0" w:color="auto"/>
                <w:right w:val="none" w:sz="0" w:space="0" w:color="auto"/>
              </w:divBdr>
            </w:div>
          </w:divsChild>
        </w:div>
        <w:div w:id="1716807198">
          <w:marLeft w:val="0"/>
          <w:marRight w:val="0"/>
          <w:marTop w:val="0"/>
          <w:marBottom w:val="0"/>
          <w:divBdr>
            <w:top w:val="none" w:sz="0" w:space="0" w:color="auto"/>
            <w:left w:val="none" w:sz="0" w:space="0" w:color="auto"/>
            <w:bottom w:val="none" w:sz="0" w:space="0" w:color="auto"/>
            <w:right w:val="none" w:sz="0" w:space="0" w:color="auto"/>
          </w:divBdr>
          <w:divsChild>
            <w:div w:id="725033539">
              <w:marLeft w:val="0"/>
              <w:marRight w:val="0"/>
              <w:marTop w:val="0"/>
              <w:marBottom w:val="0"/>
              <w:divBdr>
                <w:top w:val="none" w:sz="0" w:space="0" w:color="auto"/>
                <w:left w:val="none" w:sz="0" w:space="0" w:color="auto"/>
                <w:bottom w:val="none" w:sz="0" w:space="0" w:color="auto"/>
                <w:right w:val="none" w:sz="0" w:space="0" w:color="auto"/>
              </w:divBdr>
            </w:div>
          </w:divsChild>
        </w:div>
        <w:div w:id="1719356395">
          <w:marLeft w:val="0"/>
          <w:marRight w:val="0"/>
          <w:marTop w:val="0"/>
          <w:marBottom w:val="0"/>
          <w:divBdr>
            <w:top w:val="none" w:sz="0" w:space="0" w:color="auto"/>
            <w:left w:val="none" w:sz="0" w:space="0" w:color="auto"/>
            <w:bottom w:val="none" w:sz="0" w:space="0" w:color="auto"/>
            <w:right w:val="none" w:sz="0" w:space="0" w:color="auto"/>
          </w:divBdr>
          <w:divsChild>
            <w:div w:id="2132242929">
              <w:marLeft w:val="0"/>
              <w:marRight w:val="0"/>
              <w:marTop w:val="0"/>
              <w:marBottom w:val="0"/>
              <w:divBdr>
                <w:top w:val="none" w:sz="0" w:space="0" w:color="auto"/>
                <w:left w:val="none" w:sz="0" w:space="0" w:color="auto"/>
                <w:bottom w:val="none" w:sz="0" w:space="0" w:color="auto"/>
                <w:right w:val="none" w:sz="0" w:space="0" w:color="auto"/>
              </w:divBdr>
            </w:div>
          </w:divsChild>
        </w:div>
        <w:div w:id="1719890309">
          <w:marLeft w:val="0"/>
          <w:marRight w:val="0"/>
          <w:marTop w:val="0"/>
          <w:marBottom w:val="0"/>
          <w:divBdr>
            <w:top w:val="none" w:sz="0" w:space="0" w:color="auto"/>
            <w:left w:val="none" w:sz="0" w:space="0" w:color="auto"/>
            <w:bottom w:val="none" w:sz="0" w:space="0" w:color="auto"/>
            <w:right w:val="none" w:sz="0" w:space="0" w:color="auto"/>
          </w:divBdr>
          <w:divsChild>
            <w:div w:id="547304297">
              <w:marLeft w:val="0"/>
              <w:marRight w:val="0"/>
              <w:marTop w:val="0"/>
              <w:marBottom w:val="0"/>
              <w:divBdr>
                <w:top w:val="none" w:sz="0" w:space="0" w:color="auto"/>
                <w:left w:val="none" w:sz="0" w:space="0" w:color="auto"/>
                <w:bottom w:val="none" w:sz="0" w:space="0" w:color="auto"/>
                <w:right w:val="none" w:sz="0" w:space="0" w:color="auto"/>
              </w:divBdr>
            </w:div>
          </w:divsChild>
        </w:div>
        <w:div w:id="1730035615">
          <w:marLeft w:val="0"/>
          <w:marRight w:val="0"/>
          <w:marTop w:val="0"/>
          <w:marBottom w:val="0"/>
          <w:divBdr>
            <w:top w:val="none" w:sz="0" w:space="0" w:color="auto"/>
            <w:left w:val="none" w:sz="0" w:space="0" w:color="auto"/>
            <w:bottom w:val="none" w:sz="0" w:space="0" w:color="auto"/>
            <w:right w:val="none" w:sz="0" w:space="0" w:color="auto"/>
          </w:divBdr>
          <w:divsChild>
            <w:div w:id="58525432">
              <w:marLeft w:val="0"/>
              <w:marRight w:val="0"/>
              <w:marTop w:val="0"/>
              <w:marBottom w:val="0"/>
              <w:divBdr>
                <w:top w:val="none" w:sz="0" w:space="0" w:color="auto"/>
                <w:left w:val="none" w:sz="0" w:space="0" w:color="auto"/>
                <w:bottom w:val="none" w:sz="0" w:space="0" w:color="auto"/>
                <w:right w:val="none" w:sz="0" w:space="0" w:color="auto"/>
              </w:divBdr>
            </w:div>
          </w:divsChild>
        </w:div>
        <w:div w:id="1739549254">
          <w:marLeft w:val="0"/>
          <w:marRight w:val="0"/>
          <w:marTop w:val="0"/>
          <w:marBottom w:val="0"/>
          <w:divBdr>
            <w:top w:val="none" w:sz="0" w:space="0" w:color="auto"/>
            <w:left w:val="none" w:sz="0" w:space="0" w:color="auto"/>
            <w:bottom w:val="none" w:sz="0" w:space="0" w:color="auto"/>
            <w:right w:val="none" w:sz="0" w:space="0" w:color="auto"/>
          </w:divBdr>
          <w:divsChild>
            <w:div w:id="614946952">
              <w:marLeft w:val="0"/>
              <w:marRight w:val="0"/>
              <w:marTop w:val="0"/>
              <w:marBottom w:val="0"/>
              <w:divBdr>
                <w:top w:val="none" w:sz="0" w:space="0" w:color="auto"/>
                <w:left w:val="none" w:sz="0" w:space="0" w:color="auto"/>
                <w:bottom w:val="none" w:sz="0" w:space="0" w:color="auto"/>
                <w:right w:val="none" w:sz="0" w:space="0" w:color="auto"/>
              </w:divBdr>
            </w:div>
            <w:div w:id="1851525170">
              <w:marLeft w:val="0"/>
              <w:marRight w:val="0"/>
              <w:marTop w:val="0"/>
              <w:marBottom w:val="0"/>
              <w:divBdr>
                <w:top w:val="none" w:sz="0" w:space="0" w:color="auto"/>
                <w:left w:val="none" w:sz="0" w:space="0" w:color="auto"/>
                <w:bottom w:val="none" w:sz="0" w:space="0" w:color="auto"/>
                <w:right w:val="none" w:sz="0" w:space="0" w:color="auto"/>
              </w:divBdr>
            </w:div>
          </w:divsChild>
        </w:div>
        <w:div w:id="1741631938">
          <w:marLeft w:val="0"/>
          <w:marRight w:val="0"/>
          <w:marTop w:val="0"/>
          <w:marBottom w:val="0"/>
          <w:divBdr>
            <w:top w:val="none" w:sz="0" w:space="0" w:color="auto"/>
            <w:left w:val="none" w:sz="0" w:space="0" w:color="auto"/>
            <w:bottom w:val="none" w:sz="0" w:space="0" w:color="auto"/>
            <w:right w:val="none" w:sz="0" w:space="0" w:color="auto"/>
          </w:divBdr>
          <w:divsChild>
            <w:div w:id="312636950">
              <w:marLeft w:val="0"/>
              <w:marRight w:val="0"/>
              <w:marTop w:val="0"/>
              <w:marBottom w:val="0"/>
              <w:divBdr>
                <w:top w:val="none" w:sz="0" w:space="0" w:color="auto"/>
                <w:left w:val="none" w:sz="0" w:space="0" w:color="auto"/>
                <w:bottom w:val="none" w:sz="0" w:space="0" w:color="auto"/>
                <w:right w:val="none" w:sz="0" w:space="0" w:color="auto"/>
              </w:divBdr>
            </w:div>
          </w:divsChild>
        </w:div>
        <w:div w:id="1745028583">
          <w:marLeft w:val="0"/>
          <w:marRight w:val="0"/>
          <w:marTop w:val="0"/>
          <w:marBottom w:val="0"/>
          <w:divBdr>
            <w:top w:val="none" w:sz="0" w:space="0" w:color="auto"/>
            <w:left w:val="none" w:sz="0" w:space="0" w:color="auto"/>
            <w:bottom w:val="none" w:sz="0" w:space="0" w:color="auto"/>
            <w:right w:val="none" w:sz="0" w:space="0" w:color="auto"/>
          </w:divBdr>
          <w:divsChild>
            <w:div w:id="1770808249">
              <w:marLeft w:val="0"/>
              <w:marRight w:val="0"/>
              <w:marTop w:val="0"/>
              <w:marBottom w:val="0"/>
              <w:divBdr>
                <w:top w:val="none" w:sz="0" w:space="0" w:color="auto"/>
                <w:left w:val="none" w:sz="0" w:space="0" w:color="auto"/>
                <w:bottom w:val="none" w:sz="0" w:space="0" w:color="auto"/>
                <w:right w:val="none" w:sz="0" w:space="0" w:color="auto"/>
              </w:divBdr>
            </w:div>
          </w:divsChild>
        </w:div>
        <w:div w:id="1752703727">
          <w:marLeft w:val="0"/>
          <w:marRight w:val="0"/>
          <w:marTop w:val="0"/>
          <w:marBottom w:val="0"/>
          <w:divBdr>
            <w:top w:val="none" w:sz="0" w:space="0" w:color="auto"/>
            <w:left w:val="none" w:sz="0" w:space="0" w:color="auto"/>
            <w:bottom w:val="none" w:sz="0" w:space="0" w:color="auto"/>
            <w:right w:val="none" w:sz="0" w:space="0" w:color="auto"/>
          </w:divBdr>
          <w:divsChild>
            <w:div w:id="288782367">
              <w:marLeft w:val="0"/>
              <w:marRight w:val="0"/>
              <w:marTop w:val="0"/>
              <w:marBottom w:val="0"/>
              <w:divBdr>
                <w:top w:val="none" w:sz="0" w:space="0" w:color="auto"/>
                <w:left w:val="none" w:sz="0" w:space="0" w:color="auto"/>
                <w:bottom w:val="none" w:sz="0" w:space="0" w:color="auto"/>
                <w:right w:val="none" w:sz="0" w:space="0" w:color="auto"/>
              </w:divBdr>
            </w:div>
            <w:div w:id="1860972498">
              <w:marLeft w:val="0"/>
              <w:marRight w:val="0"/>
              <w:marTop w:val="0"/>
              <w:marBottom w:val="0"/>
              <w:divBdr>
                <w:top w:val="none" w:sz="0" w:space="0" w:color="auto"/>
                <w:left w:val="none" w:sz="0" w:space="0" w:color="auto"/>
                <w:bottom w:val="none" w:sz="0" w:space="0" w:color="auto"/>
                <w:right w:val="none" w:sz="0" w:space="0" w:color="auto"/>
              </w:divBdr>
            </w:div>
          </w:divsChild>
        </w:div>
        <w:div w:id="1754890012">
          <w:marLeft w:val="0"/>
          <w:marRight w:val="0"/>
          <w:marTop w:val="0"/>
          <w:marBottom w:val="0"/>
          <w:divBdr>
            <w:top w:val="none" w:sz="0" w:space="0" w:color="auto"/>
            <w:left w:val="none" w:sz="0" w:space="0" w:color="auto"/>
            <w:bottom w:val="none" w:sz="0" w:space="0" w:color="auto"/>
            <w:right w:val="none" w:sz="0" w:space="0" w:color="auto"/>
          </w:divBdr>
          <w:divsChild>
            <w:div w:id="980891878">
              <w:marLeft w:val="0"/>
              <w:marRight w:val="0"/>
              <w:marTop w:val="0"/>
              <w:marBottom w:val="0"/>
              <w:divBdr>
                <w:top w:val="none" w:sz="0" w:space="0" w:color="auto"/>
                <w:left w:val="none" w:sz="0" w:space="0" w:color="auto"/>
                <w:bottom w:val="none" w:sz="0" w:space="0" w:color="auto"/>
                <w:right w:val="none" w:sz="0" w:space="0" w:color="auto"/>
              </w:divBdr>
            </w:div>
          </w:divsChild>
        </w:div>
        <w:div w:id="1765033835">
          <w:marLeft w:val="0"/>
          <w:marRight w:val="0"/>
          <w:marTop w:val="0"/>
          <w:marBottom w:val="0"/>
          <w:divBdr>
            <w:top w:val="none" w:sz="0" w:space="0" w:color="auto"/>
            <w:left w:val="none" w:sz="0" w:space="0" w:color="auto"/>
            <w:bottom w:val="none" w:sz="0" w:space="0" w:color="auto"/>
            <w:right w:val="none" w:sz="0" w:space="0" w:color="auto"/>
          </w:divBdr>
          <w:divsChild>
            <w:div w:id="1451508516">
              <w:marLeft w:val="0"/>
              <w:marRight w:val="0"/>
              <w:marTop w:val="0"/>
              <w:marBottom w:val="0"/>
              <w:divBdr>
                <w:top w:val="none" w:sz="0" w:space="0" w:color="auto"/>
                <w:left w:val="none" w:sz="0" w:space="0" w:color="auto"/>
                <w:bottom w:val="none" w:sz="0" w:space="0" w:color="auto"/>
                <w:right w:val="none" w:sz="0" w:space="0" w:color="auto"/>
              </w:divBdr>
            </w:div>
          </w:divsChild>
        </w:div>
        <w:div w:id="1767529639">
          <w:marLeft w:val="0"/>
          <w:marRight w:val="0"/>
          <w:marTop w:val="0"/>
          <w:marBottom w:val="0"/>
          <w:divBdr>
            <w:top w:val="none" w:sz="0" w:space="0" w:color="auto"/>
            <w:left w:val="none" w:sz="0" w:space="0" w:color="auto"/>
            <w:bottom w:val="none" w:sz="0" w:space="0" w:color="auto"/>
            <w:right w:val="none" w:sz="0" w:space="0" w:color="auto"/>
          </w:divBdr>
          <w:divsChild>
            <w:div w:id="2072846087">
              <w:marLeft w:val="0"/>
              <w:marRight w:val="0"/>
              <w:marTop w:val="0"/>
              <w:marBottom w:val="0"/>
              <w:divBdr>
                <w:top w:val="none" w:sz="0" w:space="0" w:color="auto"/>
                <w:left w:val="none" w:sz="0" w:space="0" w:color="auto"/>
                <w:bottom w:val="none" w:sz="0" w:space="0" w:color="auto"/>
                <w:right w:val="none" w:sz="0" w:space="0" w:color="auto"/>
              </w:divBdr>
            </w:div>
          </w:divsChild>
        </w:div>
        <w:div w:id="1767655926">
          <w:marLeft w:val="0"/>
          <w:marRight w:val="0"/>
          <w:marTop w:val="0"/>
          <w:marBottom w:val="0"/>
          <w:divBdr>
            <w:top w:val="none" w:sz="0" w:space="0" w:color="auto"/>
            <w:left w:val="none" w:sz="0" w:space="0" w:color="auto"/>
            <w:bottom w:val="none" w:sz="0" w:space="0" w:color="auto"/>
            <w:right w:val="none" w:sz="0" w:space="0" w:color="auto"/>
          </w:divBdr>
          <w:divsChild>
            <w:div w:id="477889379">
              <w:marLeft w:val="0"/>
              <w:marRight w:val="0"/>
              <w:marTop w:val="0"/>
              <w:marBottom w:val="0"/>
              <w:divBdr>
                <w:top w:val="none" w:sz="0" w:space="0" w:color="auto"/>
                <w:left w:val="none" w:sz="0" w:space="0" w:color="auto"/>
                <w:bottom w:val="none" w:sz="0" w:space="0" w:color="auto"/>
                <w:right w:val="none" w:sz="0" w:space="0" w:color="auto"/>
              </w:divBdr>
            </w:div>
          </w:divsChild>
        </w:div>
        <w:div w:id="1774550777">
          <w:marLeft w:val="0"/>
          <w:marRight w:val="0"/>
          <w:marTop w:val="0"/>
          <w:marBottom w:val="0"/>
          <w:divBdr>
            <w:top w:val="none" w:sz="0" w:space="0" w:color="auto"/>
            <w:left w:val="none" w:sz="0" w:space="0" w:color="auto"/>
            <w:bottom w:val="none" w:sz="0" w:space="0" w:color="auto"/>
            <w:right w:val="none" w:sz="0" w:space="0" w:color="auto"/>
          </w:divBdr>
          <w:divsChild>
            <w:div w:id="738869098">
              <w:marLeft w:val="0"/>
              <w:marRight w:val="0"/>
              <w:marTop w:val="0"/>
              <w:marBottom w:val="0"/>
              <w:divBdr>
                <w:top w:val="none" w:sz="0" w:space="0" w:color="auto"/>
                <w:left w:val="none" w:sz="0" w:space="0" w:color="auto"/>
                <w:bottom w:val="none" w:sz="0" w:space="0" w:color="auto"/>
                <w:right w:val="none" w:sz="0" w:space="0" w:color="auto"/>
              </w:divBdr>
            </w:div>
          </w:divsChild>
        </w:div>
        <w:div w:id="1777141293">
          <w:marLeft w:val="0"/>
          <w:marRight w:val="0"/>
          <w:marTop w:val="0"/>
          <w:marBottom w:val="0"/>
          <w:divBdr>
            <w:top w:val="none" w:sz="0" w:space="0" w:color="auto"/>
            <w:left w:val="none" w:sz="0" w:space="0" w:color="auto"/>
            <w:bottom w:val="none" w:sz="0" w:space="0" w:color="auto"/>
            <w:right w:val="none" w:sz="0" w:space="0" w:color="auto"/>
          </w:divBdr>
          <w:divsChild>
            <w:div w:id="1252811776">
              <w:marLeft w:val="0"/>
              <w:marRight w:val="0"/>
              <w:marTop w:val="0"/>
              <w:marBottom w:val="0"/>
              <w:divBdr>
                <w:top w:val="none" w:sz="0" w:space="0" w:color="auto"/>
                <w:left w:val="none" w:sz="0" w:space="0" w:color="auto"/>
                <w:bottom w:val="none" w:sz="0" w:space="0" w:color="auto"/>
                <w:right w:val="none" w:sz="0" w:space="0" w:color="auto"/>
              </w:divBdr>
            </w:div>
          </w:divsChild>
        </w:div>
        <w:div w:id="1778987831">
          <w:marLeft w:val="0"/>
          <w:marRight w:val="0"/>
          <w:marTop w:val="0"/>
          <w:marBottom w:val="0"/>
          <w:divBdr>
            <w:top w:val="none" w:sz="0" w:space="0" w:color="auto"/>
            <w:left w:val="none" w:sz="0" w:space="0" w:color="auto"/>
            <w:bottom w:val="none" w:sz="0" w:space="0" w:color="auto"/>
            <w:right w:val="none" w:sz="0" w:space="0" w:color="auto"/>
          </w:divBdr>
          <w:divsChild>
            <w:div w:id="793984898">
              <w:marLeft w:val="0"/>
              <w:marRight w:val="0"/>
              <w:marTop w:val="0"/>
              <w:marBottom w:val="0"/>
              <w:divBdr>
                <w:top w:val="none" w:sz="0" w:space="0" w:color="auto"/>
                <w:left w:val="none" w:sz="0" w:space="0" w:color="auto"/>
                <w:bottom w:val="none" w:sz="0" w:space="0" w:color="auto"/>
                <w:right w:val="none" w:sz="0" w:space="0" w:color="auto"/>
              </w:divBdr>
            </w:div>
            <w:div w:id="1852335906">
              <w:marLeft w:val="0"/>
              <w:marRight w:val="0"/>
              <w:marTop w:val="0"/>
              <w:marBottom w:val="0"/>
              <w:divBdr>
                <w:top w:val="none" w:sz="0" w:space="0" w:color="auto"/>
                <w:left w:val="none" w:sz="0" w:space="0" w:color="auto"/>
                <w:bottom w:val="none" w:sz="0" w:space="0" w:color="auto"/>
                <w:right w:val="none" w:sz="0" w:space="0" w:color="auto"/>
              </w:divBdr>
            </w:div>
          </w:divsChild>
        </w:div>
        <w:div w:id="1785341271">
          <w:marLeft w:val="0"/>
          <w:marRight w:val="0"/>
          <w:marTop w:val="0"/>
          <w:marBottom w:val="0"/>
          <w:divBdr>
            <w:top w:val="none" w:sz="0" w:space="0" w:color="auto"/>
            <w:left w:val="none" w:sz="0" w:space="0" w:color="auto"/>
            <w:bottom w:val="none" w:sz="0" w:space="0" w:color="auto"/>
            <w:right w:val="none" w:sz="0" w:space="0" w:color="auto"/>
          </w:divBdr>
          <w:divsChild>
            <w:div w:id="1290093142">
              <w:marLeft w:val="0"/>
              <w:marRight w:val="0"/>
              <w:marTop w:val="0"/>
              <w:marBottom w:val="0"/>
              <w:divBdr>
                <w:top w:val="none" w:sz="0" w:space="0" w:color="auto"/>
                <w:left w:val="none" w:sz="0" w:space="0" w:color="auto"/>
                <w:bottom w:val="none" w:sz="0" w:space="0" w:color="auto"/>
                <w:right w:val="none" w:sz="0" w:space="0" w:color="auto"/>
              </w:divBdr>
            </w:div>
          </w:divsChild>
        </w:div>
        <w:div w:id="1788810293">
          <w:marLeft w:val="0"/>
          <w:marRight w:val="0"/>
          <w:marTop w:val="0"/>
          <w:marBottom w:val="0"/>
          <w:divBdr>
            <w:top w:val="none" w:sz="0" w:space="0" w:color="auto"/>
            <w:left w:val="none" w:sz="0" w:space="0" w:color="auto"/>
            <w:bottom w:val="none" w:sz="0" w:space="0" w:color="auto"/>
            <w:right w:val="none" w:sz="0" w:space="0" w:color="auto"/>
          </w:divBdr>
          <w:divsChild>
            <w:div w:id="118843710">
              <w:marLeft w:val="0"/>
              <w:marRight w:val="0"/>
              <w:marTop w:val="0"/>
              <w:marBottom w:val="0"/>
              <w:divBdr>
                <w:top w:val="none" w:sz="0" w:space="0" w:color="auto"/>
                <w:left w:val="none" w:sz="0" w:space="0" w:color="auto"/>
                <w:bottom w:val="none" w:sz="0" w:space="0" w:color="auto"/>
                <w:right w:val="none" w:sz="0" w:space="0" w:color="auto"/>
              </w:divBdr>
            </w:div>
            <w:div w:id="146745026">
              <w:marLeft w:val="0"/>
              <w:marRight w:val="0"/>
              <w:marTop w:val="0"/>
              <w:marBottom w:val="0"/>
              <w:divBdr>
                <w:top w:val="none" w:sz="0" w:space="0" w:color="auto"/>
                <w:left w:val="none" w:sz="0" w:space="0" w:color="auto"/>
                <w:bottom w:val="none" w:sz="0" w:space="0" w:color="auto"/>
                <w:right w:val="none" w:sz="0" w:space="0" w:color="auto"/>
              </w:divBdr>
            </w:div>
          </w:divsChild>
        </w:div>
        <w:div w:id="1792632230">
          <w:marLeft w:val="0"/>
          <w:marRight w:val="0"/>
          <w:marTop w:val="0"/>
          <w:marBottom w:val="0"/>
          <w:divBdr>
            <w:top w:val="none" w:sz="0" w:space="0" w:color="auto"/>
            <w:left w:val="none" w:sz="0" w:space="0" w:color="auto"/>
            <w:bottom w:val="none" w:sz="0" w:space="0" w:color="auto"/>
            <w:right w:val="none" w:sz="0" w:space="0" w:color="auto"/>
          </w:divBdr>
          <w:divsChild>
            <w:div w:id="449594032">
              <w:marLeft w:val="0"/>
              <w:marRight w:val="0"/>
              <w:marTop w:val="0"/>
              <w:marBottom w:val="0"/>
              <w:divBdr>
                <w:top w:val="none" w:sz="0" w:space="0" w:color="auto"/>
                <w:left w:val="none" w:sz="0" w:space="0" w:color="auto"/>
                <w:bottom w:val="none" w:sz="0" w:space="0" w:color="auto"/>
                <w:right w:val="none" w:sz="0" w:space="0" w:color="auto"/>
              </w:divBdr>
            </w:div>
          </w:divsChild>
        </w:div>
        <w:div w:id="1794515937">
          <w:marLeft w:val="0"/>
          <w:marRight w:val="0"/>
          <w:marTop w:val="0"/>
          <w:marBottom w:val="0"/>
          <w:divBdr>
            <w:top w:val="none" w:sz="0" w:space="0" w:color="auto"/>
            <w:left w:val="none" w:sz="0" w:space="0" w:color="auto"/>
            <w:bottom w:val="none" w:sz="0" w:space="0" w:color="auto"/>
            <w:right w:val="none" w:sz="0" w:space="0" w:color="auto"/>
          </w:divBdr>
          <w:divsChild>
            <w:div w:id="435633856">
              <w:marLeft w:val="0"/>
              <w:marRight w:val="0"/>
              <w:marTop w:val="0"/>
              <w:marBottom w:val="0"/>
              <w:divBdr>
                <w:top w:val="none" w:sz="0" w:space="0" w:color="auto"/>
                <w:left w:val="none" w:sz="0" w:space="0" w:color="auto"/>
                <w:bottom w:val="none" w:sz="0" w:space="0" w:color="auto"/>
                <w:right w:val="none" w:sz="0" w:space="0" w:color="auto"/>
              </w:divBdr>
            </w:div>
          </w:divsChild>
        </w:div>
        <w:div w:id="1799839901">
          <w:marLeft w:val="0"/>
          <w:marRight w:val="0"/>
          <w:marTop w:val="0"/>
          <w:marBottom w:val="0"/>
          <w:divBdr>
            <w:top w:val="none" w:sz="0" w:space="0" w:color="auto"/>
            <w:left w:val="none" w:sz="0" w:space="0" w:color="auto"/>
            <w:bottom w:val="none" w:sz="0" w:space="0" w:color="auto"/>
            <w:right w:val="none" w:sz="0" w:space="0" w:color="auto"/>
          </w:divBdr>
          <w:divsChild>
            <w:div w:id="502164073">
              <w:marLeft w:val="0"/>
              <w:marRight w:val="0"/>
              <w:marTop w:val="0"/>
              <w:marBottom w:val="0"/>
              <w:divBdr>
                <w:top w:val="none" w:sz="0" w:space="0" w:color="auto"/>
                <w:left w:val="none" w:sz="0" w:space="0" w:color="auto"/>
                <w:bottom w:val="none" w:sz="0" w:space="0" w:color="auto"/>
                <w:right w:val="none" w:sz="0" w:space="0" w:color="auto"/>
              </w:divBdr>
            </w:div>
          </w:divsChild>
        </w:div>
        <w:div w:id="1804301816">
          <w:marLeft w:val="0"/>
          <w:marRight w:val="0"/>
          <w:marTop w:val="0"/>
          <w:marBottom w:val="0"/>
          <w:divBdr>
            <w:top w:val="none" w:sz="0" w:space="0" w:color="auto"/>
            <w:left w:val="none" w:sz="0" w:space="0" w:color="auto"/>
            <w:bottom w:val="none" w:sz="0" w:space="0" w:color="auto"/>
            <w:right w:val="none" w:sz="0" w:space="0" w:color="auto"/>
          </w:divBdr>
          <w:divsChild>
            <w:div w:id="1729454146">
              <w:marLeft w:val="0"/>
              <w:marRight w:val="0"/>
              <w:marTop w:val="0"/>
              <w:marBottom w:val="0"/>
              <w:divBdr>
                <w:top w:val="none" w:sz="0" w:space="0" w:color="auto"/>
                <w:left w:val="none" w:sz="0" w:space="0" w:color="auto"/>
                <w:bottom w:val="none" w:sz="0" w:space="0" w:color="auto"/>
                <w:right w:val="none" w:sz="0" w:space="0" w:color="auto"/>
              </w:divBdr>
            </w:div>
          </w:divsChild>
        </w:div>
        <w:div w:id="1807114461">
          <w:marLeft w:val="0"/>
          <w:marRight w:val="0"/>
          <w:marTop w:val="0"/>
          <w:marBottom w:val="0"/>
          <w:divBdr>
            <w:top w:val="none" w:sz="0" w:space="0" w:color="auto"/>
            <w:left w:val="none" w:sz="0" w:space="0" w:color="auto"/>
            <w:bottom w:val="none" w:sz="0" w:space="0" w:color="auto"/>
            <w:right w:val="none" w:sz="0" w:space="0" w:color="auto"/>
          </w:divBdr>
          <w:divsChild>
            <w:div w:id="2023587565">
              <w:marLeft w:val="0"/>
              <w:marRight w:val="0"/>
              <w:marTop w:val="0"/>
              <w:marBottom w:val="0"/>
              <w:divBdr>
                <w:top w:val="none" w:sz="0" w:space="0" w:color="auto"/>
                <w:left w:val="none" w:sz="0" w:space="0" w:color="auto"/>
                <w:bottom w:val="none" w:sz="0" w:space="0" w:color="auto"/>
                <w:right w:val="none" w:sz="0" w:space="0" w:color="auto"/>
              </w:divBdr>
            </w:div>
          </w:divsChild>
        </w:div>
        <w:div w:id="1814255075">
          <w:marLeft w:val="0"/>
          <w:marRight w:val="0"/>
          <w:marTop w:val="0"/>
          <w:marBottom w:val="0"/>
          <w:divBdr>
            <w:top w:val="none" w:sz="0" w:space="0" w:color="auto"/>
            <w:left w:val="none" w:sz="0" w:space="0" w:color="auto"/>
            <w:bottom w:val="none" w:sz="0" w:space="0" w:color="auto"/>
            <w:right w:val="none" w:sz="0" w:space="0" w:color="auto"/>
          </w:divBdr>
          <w:divsChild>
            <w:div w:id="2057922647">
              <w:marLeft w:val="0"/>
              <w:marRight w:val="0"/>
              <w:marTop w:val="0"/>
              <w:marBottom w:val="0"/>
              <w:divBdr>
                <w:top w:val="none" w:sz="0" w:space="0" w:color="auto"/>
                <w:left w:val="none" w:sz="0" w:space="0" w:color="auto"/>
                <w:bottom w:val="none" w:sz="0" w:space="0" w:color="auto"/>
                <w:right w:val="none" w:sz="0" w:space="0" w:color="auto"/>
              </w:divBdr>
            </w:div>
          </w:divsChild>
        </w:div>
        <w:div w:id="1817213071">
          <w:marLeft w:val="0"/>
          <w:marRight w:val="0"/>
          <w:marTop w:val="0"/>
          <w:marBottom w:val="0"/>
          <w:divBdr>
            <w:top w:val="none" w:sz="0" w:space="0" w:color="auto"/>
            <w:left w:val="none" w:sz="0" w:space="0" w:color="auto"/>
            <w:bottom w:val="none" w:sz="0" w:space="0" w:color="auto"/>
            <w:right w:val="none" w:sz="0" w:space="0" w:color="auto"/>
          </w:divBdr>
          <w:divsChild>
            <w:div w:id="876431411">
              <w:marLeft w:val="0"/>
              <w:marRight w:val="0"/>
              <w:marTop w:val="0"/>
              <w:marBottom w:val="0"/>
              <w:divBdr>
                <w:top w:val="none" w:sz="0" w:space="0" w:color="auto"/>
                <w:left w:val="none" w:sz="0" w:space="0" w:color="auto"/>
                <w:bottom w:val="none" w:sz="0" w:space="0" w:color="auto"/>
                <w:right w:val="none" w:sz="0" w:space="0" w:color="auto"/>
              </w:divBdr>
            </w:div>
          </w:divsChild>
        </w:div>
        <w:div w:id="1826775085">
          <w:marLeft w:val="0"/>
          <w:marRight w:val="0"/>
          <w:marTop w:val="0"/>
          <w:marBottom w:val="0"/>
          <w:divBdr>
            <w:top w:val="none" w:sz="0" w:space="0" w:color="auto"/>
            <w:left w:val="none" w:sz="0" w:space="0" w:color="auto"/>
            <w:bottom w:val="none" w:sz="0" w:space="0" w:color="auto"/>
            <w:right w:val="none" w:sz="0" w:space="0" w:color="auto"/>
          </w:divBdr>
          <w:divsChild>
            <w:div w:id="609703631">
              <w:marLeft w:val="0"/>
              <w:marRight w:val="0"/>
              <w:marTop w:val="0"/>
              <w:marBottom w:val="0"/>
              <w:divBdr>
                <w:top w:val="none" w:sz="0" w:space="0" w:color="auto"/>
                <w:left w:val="none" w:sz="0" w:space="0" w:color="auto"/>
                <w:bottom w:val="none" w:sz="0" w:space="0" w:color="auto"/>
                <w:right w:val="none" w:sz="0" w:space="0" w:color="auto"/>
              </w:divBdr>
            </w:div>
          </w:divsChild>
        </w:div>
        <w:div w:id="1835603021">
          <w:marLeft w:val="0"/>
          <w:marRight w:val="0"/>
          <w:marTop w:val="0"/>
          <w:marBottom w:val="0"/>
          <w:divBdr>
            <w:top w:val="none" w:sz="0" w:space="0" w:color="auto"/>
            <w:left w:val="none" w:sz="0" w:space="0" w:color="auto"/>
            <w:bottom w:val="none" w:sz="0" w:space="0" w:color="auto"/>
            <w:right w:val="none" w:sz="0" w:space="0" w:color="auto"/>
          </w:divBdr>
          <w:divsChild>
            <w:div w:id="1308391865">
              <w:marLeft w:val="0"/>
              <w:marRight w:val="0"/>
              <w:marTop w:val="0"/>
              <w:marBottom w:val="0"/>
              <w:divBdr>
                <w:top w:val="none" w:sz="0" w:space="0" w:color="auto"/>
                <w:left w:val="none" w:sz="0" w:space="0" w:color="auto"/>
                <w:bottom w:val="none" w:sz="0" w:space="0" w:color="auto"/>
                <w:right w:val="none" w:sz="0" w:space="0" w:color="auto"/>
              </w:divBdr>
            </w:div>
          </w:divsChild>
        </w:div>
        <w:div w:id="1838032521">
          <w:marLeft w:val="0"/>
          <w:marRight w:val="0"/>
          <w:marTop w:val="0"/>
          <w:marBottom w:val="0"/>
          <w:divBdr>
            <w:top w:val="none" w:sz="0" w:space="0" w:color="auto"/>
            <w:left w:val="none" w:sz="0" w:space="0" w:color="auto"/>
            <w:bottom w:val="none" w:sz="0" w:space="0" w:color="auto"/>
            <w:right w:val="none" w:sz="0" w:space="0" w:color="auto"/>
          </w:divBdr>
          <w:divsChild>
            <w:div w:id="707221803">
              <w:marLeft w:val="0"/>
              <w:marRight w:val="0"/>
              <w:marTop w:val="0"/>
              <w:marBottom w:val="0"/>
              <w:divBdr>
                <w:top w:val="none" w:sz="0" w:space="0" w:color="auto"/>
                <w:left w:val="none" w:sz="0" w:space="0" w:color="auto"/>
                <w:bottom w:val="none" w:sz="0" w:space="0" w:color="auto"/>
                <w:right w:val="none" w:sz="0" w:space="0" w:color="auto"/>
              </w:divBdr>
            </w:div>
          </w:divsChild>
        </w:div>
        <w:div w:id="1839078612">
          <w:marLeft w:val="0"/>
          <w:marRight w:val="0"/>
          <w:marTop w:val="0"/>
          <w:marBottom w:val="0"/>
          <w:divBdr>
            <w:top w:val="none" w:sz="0" w:space="0" w:color="auto"/>
            <w:left w:val="none" w:sz="0" w:space="0" w:color="auto"/>
            <w:bottom w:val="none" w:sz="0" w:space="0" w:color="auto"/>
            <w:right w:val="none" w:sz="0" w:space="0" w:color="auto"/>
          </w:divBdr>
          <w:divsChild>
            <w:div w:id="866677227">
              <w:marLeft w:val="0"/>
              <w:marRight w:val="0"/>
              <w:marTop w:val="0"/>
              <w:marBottom w:val="0"/>
              <w:divBdr>
                <w:top w:val="none" w:sz="0" w:space="0" w:color="auto"/>
                <w:left w:val="none" w:sz="0" w:space="0" w:color="auto"/>
                <w:bottom w:val="none" w:sz="0" w:space="0" w:color="auto"/>
                <w:right w:val="none" w:sz="0" w:space="0" w:color="auto"/>
              </w:divBdr>
            </w:div>
          </w:divsChild>
        </w:div>
        <w:div w:id="1841460495">
          <w:marLeft w:val="0"/>
          <w:marRight w:val="0"/>
          <w:marTop w:val="0"/>
          <w:marBottom w:val="0"/>
          <w:divBdr>
            <w:top w:val="none" w:sz="0" w:space="0" w:color="auto"/>
            <w:left w:val="none" w:sz="0" w:space="0" w:color="auto"/>
            <w:bottom w:val="none" w:sz="0" w:space="0" w:color="auto"/>
            <w:right w:val="none" w:sz="0" w:space="0" w:color="auto"/>
          </w:divBdr>
          <w:divsChild>
            <w:div w:id="1942646888">
              <w:marLeft w:val="0"/>
              <w:marRight w:val="0"/>
              <w:marTop w:val="0"/>
              <w:marBottom w:val="0"/>
              <w:divBdr>
                <w:top w:val="none" w:sz="0" w:space="0" w:color="auto"/>
                <w:left w:val="none" w:sz="0" w:space="0" w:color="auto"/>
                <w:bottom w:val="none" w:sz="0" w:space="0" w:color="auto"/>
                <w:right w:val="none" w:sz="0" w:space="0" w:color="auto"/>
              </w:divBdr>
            </w:div>
          </w:divsChild>
        </w:div>
        <w:div w:id="1843277043">
          <w:marLeft w:val="0"/>
          <w:marRight w:val="0"/>
          <w:marTop w:val="0"/>
          <w:marBottom w:val="0"/>
          <w:divBdr>
            <w:top w:val="none" w:sz="0" w:space="0" w:color="auto"/>
            <w:left w:val="none" w:sz="0" w:space="0" w:color="auto"/>
            <w:bottom w:val="none" w:sz="0" w:space="0" w:color="auto"/>
            <w:right w:val="none" w:sz="0" w:space="0" w:color="auto"/>
          </w:divBdr>
          <w:divsChild>
            <w:div w:id="2104953229">
              <w:marLeft w:val="0"/>
              <w:marRight w:val="0"/>
              <w:marTop w:val="0"/>
              <w:marBottom w:val="0"/>
              <w:divBdr>
                <w:top w:val="none" w:sz="0" w:space="0" w:color="auto"/>
                <w:left w:val="none" w:sz="0" w:space="0" w:color="auto"/>
                <w:bottom w:val="none" w:sz="0" w:space="0" w:color="auto"/>
                <w:right w:val="none" w:sz="0" w:space="0" w:color="auto"/>
              </w:divBdr>
            </w:div>
          </w:divsChild>
        </w:div>
        <w:div w:id="1846094804">
          <w:marLeft w:val="0"/>
          <w:marRight w:val="0"/>
          <w:marTop w:val="0"/>
          <w:marBottom w:val="0"/>
          <w:divBdr>
            <w:top w:val="none" w:sz="0" w:space="0" w:color="auto"/>
            <w:left w:val="none" w:sz="0" w:space="0" w:color="auto"/>
            <w:bottom w:val="none" w:sz="0" w:space="0" w:color="auto"/>
            <w:right w:val="none" w:sz="0" w:space="0" w:color="auto"/>
          </w:divBdr>
          <w:divsChild>
            <w:div w:id="1515613858">
              <w:marLeft w:val="0"/>
              <w:marRight w:val="0"/>
              <w:marTop w:val="0"/>
              <w:marBottom w:val="0"/>
              <w:divBdr>
                <w:top w:val="none" w:sz="0" w:space="0" w:color="auto"/>
                <w:left w:val="none" w:sz="0" w:space="0" w:color="auto"/>
                <w:bottom w:val="none" w:sz="0" w:space="0" w:color="auto"/>
                <w:right w:val="none" w:sz="0" w:space="0" w:color="auto"/>
              </w:divBdr>
            </w:div>
          </w:divsChild>
        </w:div>
        <w:div w:id="1847816673">
          <w:marLeft w:val="0"/>
          <w:marRight w:val="0"/>
          <w:marTop w:val="0"/>
          <w:marBottom w:val="0"/>
          <w:divBdr>
            <w:top w:val="none" w:sz="0" w:space="0" w:color="auto"/>
            <w:left w:val="none" w:sz="0" w:space="0" w:color="auto"/>
            <w:bottom w:val="none" w:sz="0" w:space="0" w:color="auto"/>
            <w:right w:val="none" w:sz="0" w:space="0" w:color="auto"/>
          </w:divBdr>
          <w:divsChild>
            <w:div w:id="820075716">
              <w:marLeft w:val="0"/>
              <w:marRight w:val="0"/>
              <w:marTop w:val="0"/>
              <w:marBottom w:val="0"/>
              <w:divBdr>
                <w:top w:val="none" w:sz="0" w:space="0" w:color="auto"/>
                <w:left w:val="none" w:sz="0" w:space="0" w:color="auto"/>
                <w:bottom w:val="none" w:sz="0" w:space="0" w:color="auto"/>
                <w:right w:val="none" w:sz="0" w:space="0" w:color="auto"/>
              </w:divBdr>
            </w:div>
          </w:divsChild>
        </w:div>
        <w:div w:id="1850364245">
          <w:marLeft w:val="0"/>
          <w:marRight w:val="0"/>
          <w:marTop w:val="0"/>
          <w:marBottom w:val="0"/>
          <w:divBdr>
            <w:top w:val="none" w:sz="0" w:space="0" w:color="auto"/>
            <w:left w:val="none" w:sz="0" w:space="0" w:color="auto"/>
            <w:bottom w:val="none" w:sz="0" w:space="0" w:color="auto"/>
            <w:right w:val="none" w:sz="0" w:space="0" w:color="auto"/>
          </w:divBdr>
          <w:divsChild>
            <w:div w:id="1802722056">
              <w:marLeft w:val="0"/>
              <w:marRight w:val="0"/>
              <w:marTop w:val="0"/>
              <w:marBottom w:val="0"/>
              <w:divBdr>
                <w:top w:val="none" w:sz="0" w:space="0" w:color="auto"/>
                <w:left w:val="none" w:sz="0" w:space="0" w:color="auto"/>
                <w:bottom w:val="none" w:sz="0" w:space="0" w:color="auto"/>
                <w:right w:val="none" w:sz="0" w:space="0" w:color="auto"/>
              </w:divBdr>
            </w:div>
          </w:divsChild>
        </w:div>
        <w:div w:id="1852603582">
          <w:marLeft w:val="0"/>
          <w:marRight w:val="0"/>
          <w:marTop w:val="0"/>
          <w:marBottom w:val="0"/>
          <w:divBdr>
            <w:top w:val="none" w:sz="0" w:space="0" w:color="auto"/>
            <w:left w:val="none" w:sz="0" w:space="0" w:color="auto"/>
            <w:bottom w:val="none" w:sz="0" w:space="0" w:color="auto"/>
            <w:right w:val="none" w:sz="0" w:space="0" w:color="auto"/>
          </w:divBdr>
          <w:divsChild>
            <w:div w:id="1782021802">
              <w:marLeft w:val="0"/>
              <w:marRight w:val="0"/>
              <w:marTop w:val="0"/>
              <w:marBottom w:val="0"/>
              <w:divBdr>
                <w:top w:val="none" w:sz="0" w:space="0" w:color="auto"/>
                <w:left w:val="none" w:sz="0" w:space="0" w:color="auto"/>
                <w:bottom w:val="none" w:sz="0" w:space="0" w:color="auto"/>
                <w:right w:val="none" w:sz="0" w:space="0" w:color="auto"/>
              </w:divBdr>
            </w:div>
          </w:divsChild>
        </w:div>
        <w:div w:id="1853179270">
          <w:marLeft w:val="0"/>
          <w:marRight w:val="0"/>
          <w:marTop w:val="0"/>
          <w:marBottom w:val="0"/>
          <w:divBdr>
            <w:top w:val="none" w:sz="0" w:space="0" w:color="auto"/>
            <w:left w:val="none" w:sz="0" w:space="0" w:color="auto"/>
            <w:bottom w:val="none" w:sz="0" w:space="0" w:color="auto"/>
            <w:right w:val="none" w:sz="0" w:space="0" w:color="auto"/>
          </w:divBdr>
          <w:divsChild>
            <w:div w:id="1454515806">
              <w:marLeft w:val="0"/>
              <w:marRight w:val="0"/>
              <w:marTop w:val="0"/>
              <w:marBottom w:val="0"/>
              <w:divBdr>
                <w:top w:val="none" w:sz="0" w:space="0" w:color="auto"/>
                <w:left w:val="none" w:sz="0" w:space="0" w:color="auto"/>
                <w:bottom w:val="none" w:sz="0" w:space="0" w:color="auto"/>
                <w:right w:val="none" w:sz="0" w:space="0" w:color="auto"/>
              </w:divBdr>
            </w:div>
          </w:divsChild>
        </w:div>
        <w:div w:id="1873229493">
          <w:marLeft w:val="0"/>
          <w:marRight w:val="0"/>
          <w:marTop w:val="0"/>
          <w:marBottom w:val="0"/>
          <w:divBdr>
            <w:top w:val="none" w:sz="0" w:space="0" w:color="auto"/>
            <w:left w:val="none" w:sz="0" w:space="0" w:color="auto"/>
            <w:bottom w:val="none" w:sz="0" w:space="0" w:color="auto"/>
            <w:right w:val="none" w:sz="0" w:space="0" w:color="auto"/>
          </w:divBdr>
          <w:divsChild>
            <w:div w:id="1258906817">
              <w:marLeft w:val="0"/>
              <w:marRight w:val="0"/>
              <w:marTop w:val="0"/>
              <w:marBottom w:val="0"/>
              <w:divBdr>
                <w:top w:val="none" w:sz="0" w:space="0" w:color="auto"/>
                <w:left w:val="none" w:sz="0" w:space="0" w:color="auto"/>
                <w:bottom w:val="none" w:sz="0" w:space="0" w:color="auto"/>
                <w:right w:val="none" w:sz="0" w:space="0" w:color="auto"/>
              </w:divBdr>
            </w:div>
          </w:divsChild>
        </w:div>
        <w:div w:id="1883517804">
          <w:marLeft w:val="0"/>
          <w:marRight w:val="0"/>
          <w:marTop w:val="0"/>
          <w:marBottom w:val="0"/>
          <w:divBdr>
            <w:top w:val="none" w:sz="0" w:space="0" w:color="auto"/>
            <w:left w:val="none" w:sz="0" w:space="0" w:color="auto"/>
            <w:bottom w:val="none" w:sz="0" w:space="0" w:color="auto"/>
            <w:right w:val="none" w:sz="0" w:space="0" w:color="auto"/>
          </w:divBdr>
          <w:divsChild>
            <w:div w:id="1314411869">
              <w:marLeft w:val="0"/>
              <w:marRight w:val="0"/>
              <w:marTop w:val="0"/>
              <w:marBottom w:val="0"/>
              <w:divBdr>
                <w:top w:val="none" w:sz="0" w:space="0" w:color="auto"/>
                <w:left w:val="none" w:sz="0" w:space="0" w:color="auto"/>
                <w:bottom w:val="none" w:sz="0" w:space="0" w:color="auto"/>
                <w:right w:val="none" w:sz="0" w:space="0" w:color="auto"/>
              </w:divBdr>
            </w:div>
          </w:divsChild>
        </w:div>
        <w:div w:id="1899365807">
          <w:marLeft w:val="0"/>
          <w:marRight w:val="0"/>
          <w:marTop w:val="0"/>
          <w:marBottom w:val="0"/>
          <w:divBdr>
            <w:top w:val="none" w:sz="0" w:space="0" w:color="auto"/>
            <w:left w:val="none" w:sz="0" w:space="0" w:color="auto"/>
            <w:bottom w:val="none" w:sz="0" w:space="0" w:color="auto"/>
            <w:right w:val="none" w:sz="0" w:space="0" w:color="auto"/>
          </w:divBdr>
          <w:divsChild>
            <w:div w:id="1526795725">
              <w:marLeft w:val="0"/>
              <w:marRight w:val="0"/>
              <w:marTop w:val="0"/>
              <w:marBottom w:val="0"/>
              <w:divBdr>
                <w:top w:val="none" w:sz="0" w:space="0" w:color="auto"/>
                <w:left w:val="none" w:sz="0" w:space="0" w:color="auto"/>
                <w:bottom w:val="none" w:sz="0" w:space="0" w:color="auto"/>
                <w:right w:val="none" w:sz="0" w:space="0" w:color="auto"/>
              </w:divBdr>
            </w:div>
          </w:divsChild>
        </w:div>
        <w:div w:id="1901091232">
          <w:marLeft w:val="0"/>
          <w:marRight w:val="0"/>
          <w:marTop w:val="0"/>
          <w:marBottom w:val="0"/>
          <w:divBdr>
            <w:top w:val="none" w:sz="0" w:space="0" w:color="auto"/>
            <w:left w:val="none" w:sz="0" w:space="0" w:color="auto"/>
            <w:bottom w:val="none" w:sz="0" w:space="0" w:color="auto"/>
            <w:right w:val="none" w:sz="0" w:space="0" w:color="auto"/>
          </w:divBdr>
          <w:divsChild>
            <w:div w:id="1946039372">
              <w:marLeft w:val="0"/>
              <w:marRight w:val="0"/>
              <w:marTop w:val="0"/>
              <w:marBottom w:val="0"/>
              <w:divBdr>
                <w:top w:val="none" w:sz="0" w:space="0" w:color="auto"/>
                <w:left w:val="none" w:sz="0" w:space="0" w:color="auto"/>
                <w:bottom w:val="none" w:sz="0" w:space="0" w:color="auto"/>
                <w:right w:val="none" w:sz="0" w:space="0" w:color="auto"/>
              </w:divBdr>
            </w:div>
          </w:divsChild>
        </w:div>
        <w:div w:id="1903517418">
          <w:marLeft w:val="0"/>
          <w:marRight w:val="0"/>
          <w:marTop w:val="0"/>
          <w:marBottom w:val="0"/>
          <w:divBdr>
            <w:top w:val="none" w:sz="0" w:space="0" w:color="auto"/>
            <w:left w:val="none" w:sz="0" w:space="0" w:color="auto"/>
            <w:bottom w:val="none" w:sz="0" w:space="0" w:color="auto"/>
            <w:right w:val="none" w:sz="0" w:space="0" w:color="auto"/>
          </w:divBdr>
          <w:divsChild>
            <w:div w:id="1670718396">
              <w:marLeft w:val="0"/>
              <w:marRight w:val="0"/>
              <w:marTop w:val="0"/>
              <w:marBottom w:val="0"/>
              <w:divBdr>
                <w:top w:val="none" w:sz="0" w:space="0" w:color="auto"/>
                <w:left w:val="none" w:sz="0" w:space="0" w:color="auto"/>
                <w:bottom w:val="none" w:sz="0" w:space="0" w:color="auto"/>
                <w:right w:val="none" w:sz="0" w:space="0" w:color="auto"/>
              </w:divBdr>
            </w:div>
          </w:divsChild>
        </w:div>
        <w:div w:id="1903981230">
          <w:marLeft w:val="0"/>
          <w:marRight w:val="0"/>
          <w:marTop w:val="0"/>
          <w:marBottom w:val="0"/>
          <w:divBdr>
            <w:top w:val="none" w:sz="0" w:space="0" w:color="auto"/>
            <w:left w:val="none" w:sz="0" w:space="0" w:color="auto"/>
            <w:bottom w:val="none" w:sz="0" w:space="0" w:color="auto"/>
            <w:right w:val="none" w:sz="0" w:space="0" w:color="auto"/>
          </w:divBdr>
          <w:divsChild>
            <w:div w:id="2136869935">
              <w:marLeft w:val="0"/>
              <w:marRight w:val="0"/>
              <w:marTop w:val="0"/>
              <w:marBottom w:val="0"/>
              <w:divBdr>
                <w:top w:val="none" w:sz="0" w:space="0" w:color="auto"/>
                <w:left w:val="none" w:sz="0" w:space="0" w:color="auto"/>
                <w:bottom w:val="none" w:sz="0" w:space="0" w:color="auto"/>
                <w:right w:val="none" w:sz="0" w:space="0" w:color="auto"/>
              </w:divBdr>
            </w:div>
          </w:divsChild>
        </w:div>
        <w:div w:id="1905262892">
          <w:marLeft w:val="0"/>
          <w:marRight w:val="0"/>
          <w:marTop w:val="0"/>
          <w:marBottom w:val="0"/>
          <w:divBdr>
            <w:top w:val="none" w:sz="0" w:space="0" w:color="auto"/>
            <w:left w:val="none" w:sz="0" w:space="0" w:color="auto"/>
            <w:bottom w:val="none" w:sz="0" w:space="0" w:color="auto"/>
            <w:right w:val="none" w:sz="0" w:space="0" w:color="auto"/>
          </w:divBdr>
          <w:divsChild>
            <w:div w:id="354578690">
              <w:marLeft w:val="0"/>
              <w:marRight w:val="0"/>
              <w:marTop w:val="0"/>
              <w:marBottom w:val="0"/>
              <w:divBdr>
                <w:top w:val="none" w:sz="0" w:space="0" w:color="auto"/>
                <w:left w:val="none" w:sz="0" w:space="0" w:color="auto"/>
                <w:bottom w:val="none" w:sz="0" w:space="0" w:color="auto"/>
                <w:right w:val="none" w:sz="0" w:space="0" w:color="auto"/>
              </w:divBdr>
            </w:div>
          </w:divsChild>
        </w:div>
        <w:div w:id="1915043067">
          <w:marLeft w:val="0"/>
          <w:marRight w:val="0"/>
          <w:marTop w:val="0"/>
          <w:marBottom w:val="0"/>
          <w:divBdr>
            <w:top w:val="none" w:sz="0" w:space="0" w:color="auto"/>
            <w:left w:val="none" w:sz="0" w:space="0" w:color="auto"/>
            <w:bottom w:val="none" w:sz="0" w:space="0" w:color="auto"/>
            <w:right w:val="none" w:sz="0" w:space="0" w:color="auto"/>
          </w:divBdr>
          <w:divsChild>
            <w:div w:id="602883190">
              <w:marLeft w:val="0"/>
              <w:marRight w:val="0"/>
              <w:marTop w:val="0"/>
              <w:marBottom w:val="0"/>
              <w:divBdr>
                <w:top w:val="none" w:sz="0" w:space="0" w:color="auto"/>
                <w:left w:val="none" w:sz="0" w:space="0" w:color="auto"/>
                <w:bottom w:val="none" w:sz="0" w:space="0" w:color="auto"/>
                <w:right w:val="none" w:sz="0" w:space="0" w:color="auto"/>
              </w:divBdr>
            </w:div>
          </w:divsChild>
        </w:div>
        <w:div w:id="1921984449">
          <w:marLeft w:val="0"/>
          <w:marRight w:val="0"/>
          <w:marTop w:val="0"/>
          <w:marBottom w:val="0"/>
          <w:divBdr>
            <w:top w:val="none" w:sz="0" w:space="0" w:color="auto"/>
            <w:left w:val="none" w:sz="0" w:space="0" w:color="auto"/>
            <w:bottom w:val="none" w:sz="0" w:space="0" w:color="auto"/>
            <w:right w:val="none" w:sz="0" w:space="0" w:color="auto"/>
          </w:divBdr>
          <w:divsChild>
            <w:div w:id="361591839">
              <w:marLeft w:val="0"/>
              <w:marRight w:val="0"/>
              <w:marTop w:val="0"/>
              <w:marBottom w:val="0"/>
              <w:divBdr>
                <w:top w:val="none" w:sz="0" w:space="0" w:color="auto"/>
                <w:left w:val="none" w:sz="0" w:space="0" w:color="auto"/>
                <w:bottom w:val="none" w:sz="0" w:space="0" w:color="auto"/>
                <w:right w:val="none" w:sz="0" w:space="0" w:color="auto"/>
              </w:divBdr>
            </w:div>
          </w:divsChild>
        </w:div>
        <w:div w:id="1923250777">
          <w:marLeft w:val="0"/>
          <w:marRight w:val="0"/>
          <w:marTop w:val="0"/>
          <w:marBottom w:val="0"/>
          <w:divBdr>
            <w:top w:val="none" w:sz="0" w:space="0" w:color="auto"/>
            <w:left w:val="none" w:sz="0" w:space="0" w:color="auto"/>
            <w:bottom w:val="none" w:sz="0" w:space="0" w:color="auto"/>
            <w:right w:val="none" w:sz="0" w:space="0" w:color="auto"/>
          </w:divBdr>
          <w:divsChild>
            <w:div w:id="810169054">
              <w:marLeft w:val="0"/>
              <w:marRight w:val="0"/>
              <w:marTop w:val="0"/>
              <w:marBottom w:val="0"/>
              <w:divBdr>
                <w:top w:val="none" w:sz="0" w:space="0" w:color="auto"/>
                <w:left w:val="none" w:sz="0" w:space="0" w:color="auto"/>
                <w:bottom w:val="none" w:sz="0" w:space="0" w:color="auto"/>
                <w:right w:val="none" w:sz="0" w:space="0" w:color="auto"/>
              </w:divBdr>
            </w:div>
          </w:divsChild>
        </w:div>
        <w:div w:id="1926839385">
          <w:marLeft w:val="0"/>
          <w:marRight w:val="0"/>
          <w:marTop w:val="0"/>
          <w:marBottom w:val="0"/>
          <w:divBdr>
            <w:top w:val="none" w:sz="0" w:space="0" w:color="auto"/>
            <w:left w:val="none" w:sz="0" w:space="0" w:color="auto"/>
            <w:bottom w:val="none" w:sz="0" w:space="0" w:color="auto"/>
            <w:right w:val="none" w:sz="0" w:space="0" w:color="auto"/>
          </w:divBdr>
          <w:divsChild>
            <w:div w:id="1683049133">
              <w:marLeft w:val="0"/>
              <w:marRight w:val="0"/>
              <w:marTop w:val="0"/>
              <w:marBottom w:val="0"/>
              <w:divBdr>
                <w:top w:val="none" w:sz="0" w:space="0" w:color="auto"/>
                <w:left w:val="none" w:sz="0" w:space="0" w:color="auto"/>
                <w:bottom w:val="none" w:sz="0" w:space="0" w:color="auto"/>
                <w:right w:val="none" w:sz="0" w:space="0" w:color="auto"/>
              </w:divBdr>
            </w:div>
          </w:divsChild>
        </w:div>
        <w:div w:id="1929000609">
          <w:marLeft w:val="0"/>
          <w:marRight w:val="0"/>
          <w:marTop w:val="0"/>
          <w:marBottom w:val="0"/>
          <w:divBdr>
            <w:top w:val="none" w:sz="0" w:space="0" w:color="auto"/>
            <w:left w:val="none" w:sz="0" w:space="0" w:color="auto"/>
            <w:bottom w:val="none" w:sz="0" w:space="0" w:color="auto"/>
            <w:right w:val="none" w:sz="0" w:space="0" w:color="auto"/>
          </w:divBdr>
          <w:divsChild>
            <w:div w:id="742794439">
              <w:marLeft w:val="0"/>
              <w:marRight w:val="0"/>
              <w:marTop w:val="0"/>
              <w:marBottom w:val="0"/>
              <w:divBdr>
                <w:top w:val="none" w:sz="0" w:space="0" w:color="auto"/>
                <w:left w:val="none" w:sz="0" w:space="0" w:color="auto"/>
                <w:bottom w:val="none" w:sz="0" w:space="0" w:color="auto"/>
                <w:right w:val="none" w:sz="0" w:space="0" w:color="auto"/>
              </w:divBdr>
            </w:div>
          </w:divsChild>
        </w:div>
        <w:div w:id="1929801178">
          <w:marLeft w:val="0"/>
          <w:marRight w:val="0"/>
          <w:marTop w:val="0"/>
          <w:marBottom w:val="0"/>
          <w:divBdr>
            <w:top w:val="none" w:sz="0" w:space="0" w:color="auto"/>
            <w:left w:val="none" w:sz="0" w:space="0" w:color="auto"/>
            <w:bottom w:val="none" w:sz="0" w:space="0" w:color="auto"/>
            <w:right w:val="none" w:sz="0" w:space="0" w:color="auto"/>
          </w:divBdr>
          <w:divsChild>
            <w:div w:id="1664510786">
              <w:marLeft w:val="0"/>
              <w:marRight w:val="0"/>
              <w:marTop w:val="0"/>
              <w:marBottom w:val="0"/>
              <w:divBdr>
                <w:top w:val="none" w:sz="0" w:space="0" w:color="auto"/>
                <w:left w:val="none" w:sz="0" w:space="0" w:color="auto"/>
                <w:bottom w:val="none" w:sz="0" w:space="0" w:color="auto"/>
                <w:right w:val="none" w:sz="0" w:space="0" w:color="auto"/>
              </w:divBdr>
            </w:div>
          </w:divsChild>
        </w:div>
        <w:div w:id="1929802891">
          <w:marLeft w:val="0"/>
          <w:marRight w:val="0"/>
          <w:marTop w:val="0"/>
          <w:marBottom w:val="0"/>
          <w:divBdr>
            <w:top w:val="none" w:sz="0" w:space="0" w:color="auto"/>
            <w:left w:val="none" w:sz="0" w:space="0" w:color="auto"/>
            <w:bottom w:val="none" w:sz="0" w:space="0" w:color="auto"/>
            <w:right w:val="none" w:sz="0" w:space="0" w:color="auto"/>
          </w:divBdr>
          <w:divsChild>
            <w:div w:id="1606620194">
              <w:marLeft w:val="0"/>
              <w:marRight w:val="0"/>
              <w:marTop w:val="0"/>
              <w:marBottom w:val="0"/>
              <w:divBdr>
                <w:top w:val="none" w:sz="0" w:space="0" w:color="auto"/>
                <w:left w:val="none" w:sz="0" w:space="0" w:color="auto"/>
                <w:bottom w:val="none" w:sz="0" w:space="0" w:color="auto"/>
                <w:right w:val="none" w:sz="0" w:space="0" w:color="auto"/>
              </w:divBdr>
            </w:div>
          </w:divsChild>
        </w:div>
        <w:div w:id="1945456993">
          <w:marLeft w:val="0"/>
          <w:marRight w:val="0"/>
          <w:marTop w:val="0"/>
          <w:marBottom w:val="0"/>
          <w:divBdr>
            <w:top w:val="none" w:sz="0" w:space="0" w:color="auto"/>
            <w:left w:val="none" w:sz="0" w:space="0" w:color="auto"/>
            <w:bottom w:val="none" w:sz="0" w:space="0" w:color="auto"/>
            <w:right w:val="none" w:sz="0" w:space="0" w:color="auto"/>
          </w:divBdr>
          <w:divsChild>
            <w:div w:id="811869536">
              <w:marLeft w:val="0"/>
              <w:marRight w:val="0"/>
              <w:marTop w:val="0"/>
              <w:marBottom w:val="0"/>
              <w:divBdr>
                <w:top w:val="none" w:sz="0" w:space="0" w:color="auto"/>
                <w:left w:val="none" w:sz="0" w:space="0" w:color="auto"/>
                <w:bottom w:val="none" w:sz="0" w:space="0" w:color="auto"/>
                <w:right w:val="none" w:sz="0" w:space="0" w:color="auto"/>
              </w:divBdr>
            </w:div>
          </w:divsChild>
        </w:div>
        <w:div w:id="1947617575">
          <w:marLeft w:val="0"/>
          <w:marRight w:val="0"/>
          <w:marTop w:val="0"/>
          <w:marBottom w:val="0"/>
          <w:divBdr>
            <w:top w:val="none" w:sz="0" w:space="0" w:color="auto"/>
            <w:left w:val="none" w:sz="0" w:space="0" w:color="auto"/>
            <w:bottom w:val="none" w:sz="0" w:space="0" w:color="auto"/>
            <w:right w:val="none" w:sz="0" w:space="0" w:color="auto"/>
          </w:divBdr>
          <w:divsChild>
            <w:div w:id="1818644398">
              <w:marLeft w:val="0"/>
              <w:marRight w:val="0"/>
              <w:marTop w:val="0"/>
              <w:marBottom w:val="0"/>
              <w:divBdr>
                <w:top w:val="none" w:sz="0" w:space="0" w:color="auto"/>
                <w:left w:val="none" w:sz="0" w:space="0" w:color="auto"/>
                <w:bottom w:val="none" w:sz="0" w:space="0" w:color="auto"/>
                <w:right w:val="none" w:sz="0" w:space="0" w:color="auto"/>
              </w:divBdr>
            </w:div>
          </w:divsChild>
        </w:div>
        <w:div w:id="1958294631">
          <w:marLeft w:val="0"/>
          <w:marRight w:val="0"/>
          <w:marTop w:val="0"/>
          <w:marBottom w:val="0"/>
          <w:divBdr>
            <w:top w:val="none" w:sz="0" w:space="0" w:color="auto"/>
            <w:left w:val="none" w:sz="0" w:space="0" w:color="auto"/>
            <w:bottom w:val="none" w:sz="0" w:space="0" w:color="auto"/>
            <w:right w:val="none" w:sz="0" w:space="0" w:color="auto"/>
          </w:divBdr>
          <w:divsChild>
            <w:div w:id="1798913508">
              <w:marLeft w:val="0"/>
              <w:marRight w:val="0"/>
              <w:marTop w:val="0"/>
              <w:marBottom w:val="0"/>
              <w:divBdr>
                <w:top w:val="none" w:sz="0" w:space="0" w:color="auto"/>
                <w:left w:val="none" w:sz="0" w:space="0" w:color="auto"/>
                <w:bottom w:val="none" w:sz="0" w:space="0" w:color="auto"/>
                <w:right w:val="none" w:sz="0" w:space="0" w:color="auto"/>
              </w:divBdr>
            </w:div>
          </w:divsChild>
        </w:div>
        <w:div w:id="1977177637">
          <w:marLeft w:val="0"/>
          <w:marRight w:val="0"/>
          <w:marTop w:val="0"/>
          <w:marBottom w:val="0"/>
          <w:divBdr>
            <w:top w:val="none" w:sz="0" w:space="0" w:color="auto"/>
            <w:left w:val="none" w:sz="0" w:space="0" w:color="auto"/>
            <w:bottom w:val="none" w:sz="0" w:space="0" w:color="auto"/>
            <w:right w:val="none" w:sz="0" w:space="0" w:color="auto"/>
          </w:divBdr>
          <w:divsChild>
            <w:div w:id="2012828013">
              <w:marLeft w:val="0"/>
              <w:marRight w:val="0"/>
              <w:marTop w:val="0"/>
              <w:marBottom w:val="0"/>
              <w:divBdr>
                <w:top w:val="none" w:sz="0" w:space="0" w:color="auto"/>
                <w:left w:val="none" w:sz="0" w:space="0" w:color="auto"/>
                <w:bottom w:val="none" w:sz="0" w:space="0" w:color="auto"/>
                <w:right w:val="none" w:sz="0" w:space="0" w:color="auto"/>
              </w:divBdr>
            </w:div>
          </w:divsChild>
        </w:div>
        <w:div w:id="1978879624">
          <w:marLeft w:val="0"/>
          <w:marRight w:val="0"/>
          <w:marTop w:val="0"/>
          <w:marBottom w:val="0"/>
          <w:divBdr>
            <w:top w:val="none" w:sz="0" w:space="0" w:color="auto"/>
            <w:left w:val="none" w:sz="0" w:space="0" w:color="auto"/>
            <w:bottom w:val="none" w:sz="0" w:space="0" w:color="auto"/>
            <w:right w:val="none" w:sz="0" w:space="0" w:color="auto"/>
          </w:divBdr>
          <w:divsChild>
            <w:div w:id="51780376">
              <w:marLeft w:val="0"/>
              <w:marRight w:val="0"/>
              <w:marTop w:val="0"/>
              <w:marBottom w:val="0"/>
              <w:divBdr>
                <w:top w:val="none" w:sz="0" w:space="0" w:color="auto"/>
                <w:left w:val="none" w:sz="0" w:space="0" w:color="auto"/>
                <w:bottom w:val="none" w:sz="0" w:space="0" w:color="auto"/>
                <w:right w:val="none" w:sz="0" w:space="0" w:color="auto"/>
              </w:divBdr>
            </w:div>
          </w:divsChild>
        </w:div>
        <w:div w:id="1986426726">
          <w:marLeft w:val="0"/>
          <w:marRight w:val="0"/>
          <w:marTop w:val="0"/>
          <w:marBottom w:val="0"/>
          <w:divBdr>
            <w:top w:val="none" w:sz="0" w:space="0" w:color="auto"/>
            <w:left w:val="none" w:sz="0" w:space="0" w:color="auto"/>
            <w:bottom w:val="none" w:sz="0" w:space="0" w:color="auto"/>
            <w:right w:val="none" w:sz="0" w:space="0" w:color="auto"/>
          </w:divBdr>
          <w:divsChild>
            <w:div w:id="837307197">
              <w:marLeft w:val="0"/>
              <w:marRight w:val="0"/>
              <w:marTop w:val="0"/>
              <w:marBottom w:val="0"/>
              <w:divBdr>
                <w:top w:val="none" w:sz="0" w:space="0" w:color="auto"/>
                <w:left w:val="none" w:sz="0" w:space="0" w:color="auto"/>
                <w:bottom w:val="none" w:sz="0" w:space="0" w:color="auto"/>
                <w:right w:val="none" w:sz="0" w:space="0" w:color="auto"/>
              </w:divBdr>
            </w:div>
          </w:divsChild>
        </w:div>
        <w:div w:id="1988124578">
          <w:marLeft w:val="0"/>
          <w:marRight w:val="0"/>
          <w:marTop w:val="0"/>
          <w:marBottom w:val="0"/>
          <w:divBdr>
            <w:top w:val="none" w:sz="0" w:space="0" w:color="auto"/>
            <w:left w:val="none" w:sz="0" w:space="0" w:color="auto"/>
            <w:bottom w:val="none" w:sz="0" w:space="0" w:color="auto"/>
            <w:right w:val="none" w:sz="0" w:space="0" w:color="auto"/>
          </w:divBdr>
          <w:divsChild>
            <w:div w:id="1454133186">
              <w:marLeft w:val="0"/>
              <w:marRight w:val="0"/>
              <w:marTop w:val="0"/>
              <w:marBottom w:val="0"/>
              <w:divBdr>
                <w:top w:val="none" w:sz="0" w:space="0" w:color="auto"/>
                <w:left w:val="none" w:sz="0" w:space="0" w:color="auto"/>
                <w:bottom w:val="none" w:sz="0" w:space="0" w:color="auto"/>
                <w:right w:val="none" w:sz="0" w:space="0" w:color="auto"/>
              </w:divBdr>
            </w:div>
          </w:divsChild>
        </w:div>
        <w:div w:id="1991131424">
          <w:marLeft w:val="0"/>
          <w:marRight w:val="0"/>
          <w:marTop w:val="0"/>
          <w:marBottom w:val="0"/>
          <w:divBdr>
            <w:top w:val="none" w:sz="0" w:space="0" w:color="auto"/>
            <w:left w:val="none" w:sz="0" w:space="0" w:color="auto"/>
            <w:bottom w:val="none" w:sz="0" w:space="0" w:color="auto"/>
            <w:right w:val="none" w:sz="0" w:space="0" w:color="auto"/>
          </w:divBdr>
          <w:divsChild>
            <w:div w:id="17242874">
              <w:marLeft w:val="0"/>
              <w:marRight w:val="0"/>
              <w:marTop w:val="0"/>
              <w:marBottom w:val="0"/>
              <w:divBdr>
                <w:top w:val="none" w:sz="0" w:space="0" w:color="auto"/>
                <w:left w:val="none" w:sz="0" w:space="0" w:color="auto"/>
                <w:bottom w:val="none" w:sz="0" w:space="0" w:color="auto"/>
                <w:right w:val="none" w:sz="0" w:space="0" w:color="auto"/>
              </w:divBdr>
            </w:div>
          </w:divsChild>
        </w:div>
        <w:div w:id="1992098216">
          <w:marLeft w:val="0"/>
          <w:marRight w:val="0"/>
          <w:marTop w:val="0"/>
          <w:marBottom w:val="0"/>
          <w:divBdr>
            <w:top w:val="none" w:sz="0" w:space="0" w:color="auto"/>
            <w:left w:val="none" w:sz="0" w:space="0" w:color="auto"/>
            <w:bottom w:val="none" w:sz="0" w:space="0" w:color="auto"/>
            <w:right w:val="none" w:sz="0" w:space="0" w:color="auto"/>
          </w:divBdr>
          <w:divsChild>
            <w:div w:id="698287594">
              <w:marLeft w:val="0"/>
              <w:marRight w:val="0"/>
              <w:marTop w:val="0"/>
              <w:marBottom w:val="0"/>
              <w:divBdr>
                <w:top w:val="none" w:sz="0" w:space="0" w:color="auto"/>
                <w:left w:val="none" w:sz="0" w:space="0" w:color="auto"/>
                <w:bottom w:val="none" w:sz="0" w:space="0" w:color="auto"/>
                <w:right w:val="none" w:sz="0" w:space="0" w:color="auto"/>
              </w:divBdr>
            </w:div>
          </w:divsChild>
        </w:div>
        <w:div w:id="2002195113">
          <w:marLeft w:val="0"/>
          <w:marRight w:val="0"/>
          <w:marTop w:val="0"/>
          <w:marBottom w:val="0"/>
          <w:divBdr>
            <w:top w:val="none" w:sz="0" w:space="0" w:color="auto"/>
            <w:left w:val="none" w:sz="0" w:space="0" w:color="auto"/>
            <w:bottom w:val="none" w:sz="0" w:space="0" w:color="auto"/>
            <w:right w:val="none" w:sz="0" w:space="0" w:color="auto"/>
          </w:divBdr>
          <w:divsChild>
            <w:div w:id="1660570372">
              <w:marLeft w:val="0"/>
              <w:marRight w:val="0"/>
              <w:marTop w:val="0"/>
              <w:marBottom w:val="0"/>
              <w:divBdr>
                <w:top w:val="none" w:sz="0" w:space="0" w:color="auto"/>
                <w:left w:val="none" w:sz="0" w:space="0" w:color="auto"/>
                <w:bottom w:val="none" w:sz="0" w:space="0" w:color="auto"/>
                <w:right w:val="none" w:sz="0" w:space="0" w:color="auto"/>
              </w:divBdr>
            </w:div>
          </w:divsChild>
        </w:div>
        <w:div w:id="2004165906">
          <w:marLeft w:val="0"/>
          <w:marRight w:val="0"/>
          <w:marTop w:val="0"/>
          <w:marBottom w:val="0"/>
          <w:divBdr>
            <w:top w:val="none" w:sz="0" w:space="0" w:color="auto"/>
            <w:left w:val="none" w:sz="0" w:space="0" w:color="auto"/>
            <w:bottom w:val="none" w:sz="0" w:space="0" w:color="auto"/>
            <w:right w:val="none" w:sz="0" w:space="0" w:color="auto"/>
          </w:divBdr>
          <w:divsChild>
            <w:div w:id="1709990492">
              <w:marLeft w:val="0"/>
              <w:marRight w:val="0"/>
              <w:marTop w:val="0"/>
              <w:marBottom w:val="0"/>
              <w:divBdr>
                <w:top w:val="none" w:sz="0" w:space="0" w:color="auto"/>
                <w:left w:val="none" w:sz="0" w:space="0" w:color="auto"/>
                <w:bottom w:val="none" w:sz="0" w:space="0" w:color="auto"/>
                <w:right w:val="none" w:sz="0" w:space="0" w:color="auto"/>
              </w:divBdr>
            </w:div>
          </w:divsChild>
        </w:div>
        <w:div w:id="2011564182">
          <w:marLeft w:val="0"/>
          <w:marRight w:val="0"/>
          <w:marTop w:val="0"/>
          <w:marBottom w:val="0"/>
          <w:divBdr>
            <w:top w:val="none" w:sz="0" w:space="0" w:color="auto"/>
            <w:left w:val="none" w:sz="0" w:space="0" w:color="auto"/>
            <w:bottom w:val="none" w:sz="0" w:space="0" w:color="auto"/>
            <w:right w:val="none" w:sz="0" w:space="0" w:color="auto"/>
          </w:divBdr>
          <w:divsChild>
            <w:div w:id="1636719172">
              <w:marLeft w:val="0"/>
              <w:marRight w:val="0"/>
              <w:marTop w:val="0"/>
              <w:marBottom w:val="0"/>
              <w:divBdr>
                <w:top w:val="none" w:sz="0" w:space="0" w:color="auto"/>
                <w:left w:val="none" w:sz="0" w:space="0" w:color="auto"/>
                <w:bottom w:val="none" w:sz="0" w:space="0" w:color="auto"/>
                <w:right w:val="none" w:sz="0" w:space="0" w:color="auto"/>
              </w:divBdr>
            </w:div>
          </w:divsChild>
        </w:div>
        <w:div w:id="2013605425">
          <w:marLeft w:val="0"/>
          <w:marRight w:val="0"/>
          <w:marTop w:val="0"/>
          <w:marBottom w:val="0"/>
          <w:divBdr>
            <w:top w:val="none" w:sz="0" w:space="0" w:color="auto"/>
            <w:left w:val="none" w:sz="0" w:space="0" w:color="auto"/>
            <w:bottom w:val="none" w:sz="0" w:space="0" w:color="auto"/>
            <w:right w:val="none" w:sz="0" w:space="0" w:color="auto"/>
          </w:divBdr>
          <w:divsChild>
            <w:div w:id="1759205759">
              <w:marLeft w:val="0"/>
              <w:marRight w:val="0"/>
              <w:marTop w:val="0"/>
              <w:marBottom w:val="0"/>
              <w:divBdr>
                <w:top w:val="none" w:sz="0" w:space="0" w:color="auto"/>
                <w:left w:val="none" w:sz="0" w:space="0" w:color="auto"/>
                <w:bottom w:val="none" w:sz="0" w:space="0" w:color="auto"/>
                <w:right w:val="none" w:sz="0" w:space="0" w:color="auto"/>
              </w:divBdr>
            </w:div>
          </w:divsChild>
        </w:div>
        <w:div w:id="2029482969">
          <w:marLeft w:val="0"/>
          <w:marRight w:val="0"/>
          <w:marTop w:val="0"/>
          <w:marBottom w:val="0"/>
          <w:divBdr>
            <w:top w:val="none" w:sz="0" w:space="0" w:color="auto"/>
            <w:left w:val="none" w:sz="0" w:space="0" w:color="auto"/>
            <w:bottom w:val="none" w:sz="0" w:space="0" w:color="auto"/>
            <w:right w:val="none" w:sz="0" w:space="0" w:color="auto"/>
          </w:divBdr>
          <w:divsChild>
            <w:div w:id="1551648489">
              <w:marLeft w:val="0"/>
              <w:marRight w:val="0"/>
              <w:marTop w:val="0"/>
              <w:marBottom w:val="0"/>
              <w:divBdr>
                <w:top w:val="none" w:sz="0" w:space="0" w:color="auto"/>
                <w:left w:val="none" w:sz="0" w:space="0" w:color="auto"/>
                <w:bottom w:val="none" w:sz="0" w:space="0" w:color="auto"/>
                <w:right w:val="none" w:sz="0" w:space="0" w:color="auto"/>
              </w:divBdr>
            </w:div>
          </w:divsChild>
        </w:div>
        <w:div w:id="2039310535">
          <w:marLeft w:val="0"/>
          <w:marRight w:val="0"/>
          <w:marTop w:val="0"/>
          <w:marBottom w:val="0"/>
          <w:divBdr>
            <w:top w:val="none" w:sz="0" w:space="0" w:color="auto"/>
            <w:left w:val="none" w:sz="0" w:space="0" w:color="auto"/>
            <w:bottom w:val="none" w:sz="0" w:space="0" w:color="auto"/>
            <w:right w:val="none" w:sz="0" w:space="0" w:color="auto"/>
          </w:divBdr>
          <w:divsChild>
            <w:div w:id="859705992">
              <w:marLeft w:val="0"/>
              <w:marRight w:val="0"/>
              <w:marTop w:val="0"/>
              <w:marBottom w:val="0"/>
              <w:divBdr>
                <w:top w:val="none" w:sz="0" w:space="0" w:color="auto"/>
                <w:left w:val="none" w:sz="0" w:space="0" w:color="auto"/>
                <w:bottom w:val="none" w:sz="0" w:space="0" w:color="auto"/>
                <w:right w:val="none" w:sz="0" w:space="0" w:color="auto"/>
              </w:divBdr>
            </w:div>
          </w:divsChild>
        </w:div>
        <w:div w:id="2044596049">
          <w:marLeft w:val="0"/>
          <w:marRight w:val="0"/>
          <w:marTop w:val="0"/>
          <w:marBottom w:val="0"/>
          <w:divBdr>
            <w:top w:val="none" w:sz="0" w:space="0" w:color="auto"/>
            <w:left w:val="none" w:sz="0" w:space="0" w:color="auto"/>
            <w:bottom w:val="none" w:sz="0" w:space="0" w:color="auto"/>
            <w:right w:val="none" w:sz="0" w:space="0" w:color="auto"/>
          </w:divBdr>
          <w:divsChild>
            <w:div w:id="2031101020">
              <w:marLeft w:val="0"/>
              <w:marRight w:val="0"/>
              <w:marTop w:val="0"/>
              <w:marBottom w:val="0"/>
              <w:divBdr>
                <w:top w:val="none" w:sz="0" w:space="0" w:color="auto"/>
                <w:left w:val="none" w:sz="0" w:space="0" w:color="auto"/>
                <w:bottom w:val="none" w:sz="0" w:space="0" w:color="auto"/>
                <w:right w:val="none" w:sz="0" w:space="0" w:color="auto"/>
              </w:divBdr>
            </w:div>
          </w:divsChild>
        </w:div>
        <w:div w:id="2045517138">
          <w:marLeft w:val="0"/>
          <w:marRight w:val="0"/>
          <w:marTop w:val="0"/>
          <w:marBottom w:val="0"/>
          <w:divBdr>
            <w:top w:val="none" w:sz="0" w:space="0" w:color="auto"/>
            <w:left w:val="none" w:sz="0" w:space="0" w:color="auto"/>
            <w:bottom w:val="none" w:sz="0" w:space="0" w:color="auto"/>
            <w:right w:val="none" w:sz="0" w:space="0" w:color="auto"/>
          </w:divBdr>
          <w:divsChild>
            <w:div w:id="1767768154">
              <w:marLeft w:val="0"/>
              <w:marRight w:val="0"/>
              <w:marTop w:val="0"/>
              <w:marBottom w:val="0"/>
              <w:divBdr>
                <w:top w:val="none" w:sz="0" w:space="0" w:color="auto"/>
                <w:left w:val="none" w:sz="0" w:space="0" w:color="auto"/>
                <w:bottom w:val="none" w:sz="0" w:space="0" w:color="auto"/>
                <w:right w:val="none" w:sz="0" w:space="0" w:color="auto"/>
              </w:divBdr>
            </w:div>
          </w:divsChild>
        </w:div>
        <w:div w:id="2048530819">
          <w:marLeft w:val="0"/>
          <w:marRight w:val="0"/>
          <w:marTop w:val="0"/>
          <w:marBottom w:val="0"/>
          <w:divBdr>
            <w:top w:val="none" w:sz="0" w:space="0" w:color="auto"/>
            <w:left w:val="none" w:sz="0" w:space="0" w:color="auto"/>
            <w:bottom w:val="none" w:sz="0" w:space="0" w:color="auto"/>
            <w:right w:val="none" w:sz="0" w:space="0" w:color="auto"/>
          </w:divBdr>
          <w:divsChild>
            <w:div w:id="1333795455">
              <w:marLeft w:val="0"/>
              <w:marRight w:val="0"/>
              <w:marTop w:val="0"/>
              <w:marBottom w:val="0"/>
              <w:divBdr>
                <w:top w:val="none" w:sz="0" w:space="0" w:color="auto"/>
                <w:left w:val="none" w:sz="0" w:space="0" w:color="auto"/>
                <w:bottom w:val="none" w:sz="0" w:space="0" w:color="auto"/>
                <w:right w:val="none" w:sz="0" w:space="0" w:color="auto"/>
              </w:divBdr>
            </w:div>
          </w:divsChild>
        </w:div>
        <w:div w:id="2061393525">
          <w:marLeft w:val="0"/>
          <w:marRight w:val="0"/>
          <w:marTop w:val="0"/>
          <w:marBottom w:val="0"/>
          <w:divBdr>
            <w:top w:val="none" w:sz="0" w:space="0" w:color="auto"/>
            <w:left w:val="none" w:sz="0" w:space="0" w:color="auto"/>
            <w:bottom w:val="none" w:sz="0" w:space="0" w:color="auto"/>
            <w:right w:val="none" w:sz="0" w:space="0" w:color="auto"/>
          </w:divBdr>
          <w:divsChild>
            <w:div w:id="258410083">
              <w:marLeft w:val="0"/>
              <w:marRight w:val="0"/>
              <w:marTop w:val="0"/>
              <w:marBottom w:val="0"/>
              <w:divBdr>
                <w:top w:val="none" w:sz="0" w:space="0" w:color="auto"/>
                <w:left w:val="none" w:sz="0" w:space="0" w:color="auto"/>
                <w:bottom w:val="none" w:sz="0" w:space="0" w:color="auto"/>
                <w:right w:val="none" w:sz="0" w:space="0" w:color="auto"/>
              </w:divBdr>
            </w:div>
          </w:divsChild>
        </w:div>
        <w:div w:id="2063403870">
          <w:marLeft w:val="0"/>
          <w:marRight w:val="0"/>
          <w:marTop w:val="0"/>
          <w:marBottom w:val="0"/>
          <w:divBdr>
            <w:top w:val="none" w:sz="0" w:space="0" w:color="auto"/>
            <w:left w:val="none" w:sz="0" w:space="0" w:color="auto"/>
            <w:bottom w:val="none" w:sz="0" w:space="0" w:color="auto"/>
            <w:right w:val="none" w:sz="0" w:space="0" w:color="auto"/>
          </w:divBdr>
          <w:divsChild>
            <w:div w:id="718943159">
              <w:marLeft w:val="0"/>
              <w:marRight w:val="0"/>
              <w:marTop w:val="0"/>
              <w:marBottom w:val="0"/>
              <w:divBdr>
                <w:top w:val="none" w:sz="0" w:space="0" w:color="auto"/>
                <w:left w:val="none" w:sz="0" w:space="0" w:color="auto"/>
                <w:bottom w:val="none" w:sz="0" w:space="0" w:color="auto"/>
                <w:right w:val="none" w:sz="0" w:space="0" w:color="auto"/>
              </w:divBdr>
            </w:div>
          </w:divsChild>
        </w:div>
        <w:div w:id="2067217664">
          <w:marLeft w:val="0"/>
          <w:marRight w:val="0"/>
          <w:marTop w:val="0"/>
          <w:marBottom w:val="0"/>
          <w:divBdr>
            <w:top w:val="none" w:sz="0" w:space="0" w:color="auto"/>
            <w:left w:val="none" w:sz="0" w:space="0" w:color="auto"/>
            <w:bottom w:val="none" w:sz="0" w:space="0" w:color="auto"/>
            <w:right w:val="none" w:sz="0" w:space="0" w:color="auto"/>
          </w:divBdr>
          <w:divsChild>
            <w:div w:id="95173426">
              <w:marLeft w:val="0"/>
              <w:marRight w:val="0"/>
              <w:marTop w:val="0"/>
              <w:marBottom w:val="0"/>
              <w:divBdr>
                <w:top w:val="none" w:sz="0" w:space="0" w:color="auto"/>
                <w:left w:val="none" w:sz="0" w:space="0" w:color="auto"/>
                <w:bottom w:val="none" w:sz="0" w:space="0" w:color="auto"/>
                <w:right w:val="none" w:sz="0" w:space="0" w:color="auto"/>
              </w:divBdr>
            </w:div>
          </w:divsChild>
        </w:div>
        <w:div w:id="2079358270">
          <w:marLeft w:val="0"/>
          <w:marRight w:val="0"/>
          <w:marTop w:val="0"/>
          <w:marBottom w:val="0"/>
          <w:divBdr>
            <w:top w:val="none" w:sz="0" w:space="0" w:color="auto"/>
            <w:left w:val="none" w:sz="0" w:space="0" w:color="auto"/>
            <w:bottom w:val="none" w:sz="0" w:space="0" w:color="auto"/>
            <w:right w:val="none" w:sz="0" w:space="0" w:color="auto"/>
          </w:divBdr>
          <w:divsChild>
            <w:div w:id="372535420">
              <w:marLeft w:val="0"/>
              <w:marRight w:val="0"/>
              <w:marTop w:val="0"/>
              <w:marBottom w:val="0"/>
              <w:divBdr>
                <w:top w:val="none" w:sz="0" w:space="0" w:color="auto"/>
                <w:left w:val="none" w:sz="0" w:space="0" w:color="auto"/>
                <w:bottom w:val="none" w:sz="0" w:space="0" w:color="auto"/>
                <w:right w:val="none" w:sz="0" w:space="0" w:color="auto"/>
              </w:divBdr>
            </w:div>
          </w:divsChild>
        </w:div>
        <w:div w:id="2079590783">
          <w:marLeft w:val="0"/>
          <w:marRight w:val="0"/>
          <w:marTop w:val="0"/>
          <w:marBottom w:val="0"/>
          <w:divBdr>
            <w:top w:val="none" w:sz="0" w:space="0" w:color="auto"/>
            <w:left w:val="none" w:sz="0" w:space="0" w:color="auto"/>
            <w:bottom w:val="none" w:sz="0" w:space="0" w:color="auto"/>
            <w:right w:val="none" w:sz="0" w:space="0" w:color="auto"/>
          </w:divBdr>
          <w:divsChild>
            <w:div w:id="443692773">
              <w:marLeft w:val="0"/>
              <w:marRight w:val="0"/>
              <w:marTop w:val="0"/>
              <w:marBottom w:val="0"/>
              <w:divBdr>
                <w:top w:val="none" w:sz="0" w:space="0" w:color="auto"/>
                <w:left w:val="none" w:sz="0" w:space="0" w:color="auto"/>
                <w:bottom w:val="none" w:sz="0" w:space="0" w:color="auto"/>
                <w:right w:val="none" w:sz="0" w:space="0" w:color="auto"/>
              </w:divBdr>
            </w:div>
          </w:divsChild>
        </w:div>
        <w:div w:id="2080131481">
          <w:marLeft w:val="0"/>
          <w:marRight w:val="0"/>
          <w:marTop w:val="0"/>
          <w:marBottom w:val="0"/>
          <w:divBdr>
            <w:top w:val="none" w:sz="0" w:space="0" w:color="auto"/>
            <w:left w:val="none" w:sz="0" w:space="0" w:color="auto"/>
            <w:bottom w:val="none" w:sz="0" w:space="0" w:color="auto"/>
            <w:right w:val="none" w:sz="0" w:space="0" w:color="auto"/>
          </w:divBdr>
          <w:divsChild>
            <w:div w:id="40591340">
              <w:marLeft w:val="0"/>
              <w:marRight w:val="0"/>
              <w:marTop w:val="0"/>
              <w:marBottom w:val="0"/>
              <w:divBdr>
                <w:top w:val="none" w:sz="0" w:space="0" w:color="auto"/>
                <w:left w:val="none" w:sz="0" w:space="0" w:color="auto"/>
                <w:bottom w:val="none" w:sz="0" w:space="0" w:color="auto"/>
                <w:right w:val="none" w:sz="0" w:space="0" w:color="auto"/>
              </w:divBdr>
            </w:div>
          </w:divsChild>
        </w:div>
        <w:div w:id="2085104304">
          <w:marLeft w:val="0"/>
          <w:marRight w:val="0"/>
          <w:marTop w:val="0"/>
          <w:marBottom w:val="0"/>
          <w:divBdr>
            <w:top w:val="none" w:sz="0" w:space="0" w:color="auto"/>
            <w:left w:val="none" w:sz="0" w:space="0" w:color="auto"/>
            <w:bottom w:val="none" w:sz="0" w:space="0" w:color="auto"/>
            <w:right w:val="none" w:sz="0" w:space="0" w:color="auto"/>
          </w:divBdr>
          <w:divsChild>
            <w:div w:id="1371807943">
              <w:marLeft w:val="0"/>
              <w:marRight w:val="0"/>
              <w:marTop w:val="0"/>
              <w:marBottom w:val="0"/>
              <w:divBdr>
                <w:top w:val="none" w:sz="0" w:space="0" w:color="auto"/>
                <w:left w:val="none" w:sz="0" w:space="0" w:color="auto"/>
                <w:bottom w:val="none" w:sz="0" w:space="0" w:color="auto"/>
                <w:right w:val="none" w:sz="0" w:space="0" w:color="auto"/>
              </w:divBdr>
            </w:div>
          </w:divsChild>
        </w:div>
        <w:div w:id="2100128495">
          <w:marLeft w:val="0"/>
          <w:marRight w:val="0"/>
          <w:marTop w:val="0"/>
          <w:marBottom w:val="0"/>
          <w:divBdr>
            <w:top w:val="none" w:sz="0" w:space="0" w:color="auto"/>
            <w:left w:val="none" w:sz="0" w:space="0" w:color="auto"/>
            <w:bottom w:val="none" w:sz="0" w:space="0" w:color="auto"/>
            <w:right w:val="none" w:sz="0" w:space="0" w:color="auto"/>
          </w:divBdr>
          <w:divsChild>
            <w:div w:id="704334296">
              <w:marLeft w:val="0"/>
              <w:marRight w:val="0"/>
              <w:marTop w:val="0"/>
              <w:marBottom w:val="0"/>
              <w:divBdr>
                <w:top w:val="none" w:sz="0" w:space="0" w:color="auto"/>
                <w:left w:val="none" w:sz="0" w:space="0" w:color="auto"/>
                <w:bottom w:val="none" w:sz="0" w:space="0" w:color="auto"/>
                <w:right w:val="none" w:sz="0" w:space="0" w:color="auto"/>
              </w:divBdr>
            </w:div>
          </w:divsChild>
        </w:div>
        <w:div w:id="2101943498">
          <w:marLeft w:val="0"/>
          <w:marRight w:val="0"/>
          <w:marTop w:val="0"/>
          <w:marBottom w:val="0"/>
          <w:divBdr>
            <w:top w:val="none" w:sz="0" w:space="0" w:color="auto"/>
            <w:left w:val="none" w:sz="0" w:space="0" w:color="auto"/>
            <w:bottom w:val="none" w:sz="0" w:space="0" w:color="auto"/>
            <w:right w:val="none" w:sz="0" w:space="0" w:color="auto"/>
          </w:divBdr>
          <w:divsChild>
            <w:div w:id="242377037">
              <w:marLeft w:val="0"/>
              <w:marRight w:val="0"/>
              <w:marTop w:val="0"/>
              <w:marBottom w:val="0"/>
              <w:divBdr>
                <w:top w:val="none" w:sz="0" w:space="0" w:color="auto"/>
                <w:left w:val="none" w:sz="0" w:space="0" w:color="auto"/>
                <w:bottom w:val="none" w:sz="0" w:space="0" w:color="auto"/>
                <w:right w:val="none" w:sz="0" w:space="0" w:color="auto"/>
              </w:divBdr>
            </w:div>
          </w:divsChild>
        </w:div>
        <w:div w:id="2107847661">
          <w:marLeft w:val="0"/>
          <w:marRight w:val="0"/>
          <w:marTop w:val="0"/>
          <w:marBottom w:val="0"/>
          <w:divBdr>
            <w:top w:val="none" w:sz="0" w:space="0" w:color="auto"/>
            <w:left w:val="none" w:sz="0" w:space="0" w:color="auto"/>
            <w:bottom w:val="none" w:sz="0" w:space="0" w:color="auto"/>
            <w:right w:val="none" w:sz="0" w:space="0" w:color="auto"/>
          </w:divBdr>
          <w:divsChild>
            <w:div w:id="888415334">
              <w:marLeft w:val="0"/>
              <w:marRight w:val="0"/>
              <w:marTop w:val="0"/>
              <w:marBottom w:val="0"/>
              <w:divBdr>
                <w:top w:val="none" w:sz="0" w:space="0" w:color="auto"/>
                <w:left w:val="none" w:sz="0" w:space="0" w:color="auto"/>
                <w:bottom w:val="none" w:sz="0" w:space="0" w:color="auto"/>
                <w:right w:val="none" w:sz="0" w:space="0" w:color="auto"/>
              </w:divBdr>
            </w:div>
          </w:divsChild>
        </w:div>
        <w:div w:id="2111966804">
          <w:marLeft w:val="0"/>
          <w:marRight w:val="0"/>
          <w:marTop w:val="0"/>
          <w:marBottom w:val="0"/>
          <w:divBdr>
            <w:top w:val="none" w:sz="0" w:space="0" w:color="auto"/>
            <w:left w:val="none" w:sz="0" w:space="0" w:color="auto"/>
            <w:bottom w:val="none" w:sz="0" w:space="0" w:color="auto"/>
            <w:right w:val="none" w:sz="0" w:space="0" w:color="auto"/>
          </w:divBdr>
          <w:divsChild>
            <w:div w:id="2116628853">
              <w:marLeft w:val="0"/>
              <w:marRight w:val="0"/>
              <w:marTop w:val="0"/>
              <w:marBottom w:val="0"/>
              <w:divBdr>
                <w:top w:val="none" w:sz="0" w:space="0" w:color="auto"/>
                <w:left w:val="none" w:sz="0" w:space="0" w:color="auto"/>
                <w:bottom w:val="none" w:sz="0" w:space="0" w:color="auto"/>
                <w:right w:val="none" w:sz="0" w:space="0" w:color="auto"/>
              </w:divBdr>
            </w:div>
          </w:divsChild>
        </w:div>
        <w:div w:id="2112315670">
          <w:marLeft w:val="0"/>
          <w:marRight w:val="0"/>
          <w:marTop w:val="0"/>
          <w:marBottom w:val="0"/>
          <w:divBdr>
            <w:top w:val="none" w:sz="0" w:space="0" w:color="auto"/>
            <w:left w:val="none" w:sz="0" w:space="0" w:color="auto"/>
            <w:bottom w:val="none" w:sz="0" w:space="0" w:color="auto"/>
            <w:right w:val="none" w:sz="0" w:space="0" w:color="auto"/>
          </w:divBdr>
          <w:divsChild>
            <w:div w:id="572011313">
              <w:marLeft w:val="0"/>
              <w:marRight w:val="0"/>
              <w:marTop w:val="0"/>
              <w:marBottom w:val="0"/>
              <w:divBdr>
                <w:top w:val="none" w:sz="0" w:space="0" w:color="auto"/>
                <w:left w:val="none" w:sz="0" w:space="0" w:color="auto"/>
                <w:bottom w:val="none" w:sz="0" w:space="0" w:color="auto"/>
                <w:right w:val="none" w:sz="0" w:space="0" w:color="auto"/>
              </w:divBdr>
            </w:div>
          </w:divsChild>
        </w:div>
        <w:div w:id="2114785797">
          <w:marLeft w:val="0"/>
          <w:marRight w:val="0"/>
          <w:marTop w:val="0"/>
          <w:marBottom w:val="0"/>
          <w:divBdr>
            <w:top w:val="none" w:sz="0" w:space="0" w:color="auto"/>
            <w:left w:val="none" w:sz="0" w:space="0" w:color="auto"/>
            <w:bottom w:val="none" w:sz="0" w:space="0" w:color="auto"/>
            <w:right w:val="none" w:sz="0" w:space="0" w:color="auto"/>
          </w:divBdr>
          <w:divsChild>
            <w:div w:id="200438385">
              <w:marLeft w:val="0"/>
              <w:marRight w:val="0"/>
              <w:marTop w:val="0"/>
              <w:marBottom w:val="0"/>
              <w:divBdr>
                <w:top w:val="none" w:sz="0" w:space="0" w:color="auto"/>
                <w:left w:val="none" w:sz="0" w:space="0" w:color="auto"/>
                <w:bottom w:val="none" w:sz="0" w:space="0" w:color="auto"/>
                <w:right w:val="none" w:sz="0" w:space="0" w:color="auto"/>
              </w:divBdr>
            </w:div>
          </w:divsChild>
        </w:div>
        <w:div w:id="2115708893">
          <w:marLeft w:val="0"/>
          <w:marRight w:val="0"/>
          <w:marTop w:val="0"/>
          <w:marBottom w:val="0"/>
          <w:divBdr>
            <w:top w:val="none" w:sz="0" w:space="0" w:color="auto"/>
            <w:left w:val="none" w:sz="0" w:space="0" w:color="auto"/>
            <w:bottom w:val="none" w:sz="0" w:space="0" w:color="auto"/>
            <w:right w:val="none" w:sz="0" w:space="0" w:color="auto"/>
          </w:divBdr>
          <w:divsChild>
            <w:div w:id="1283071225">
              <w:marLeft w:val="0"/>
              <w:marRight w:val="0"/>
              <w:marTop w:val="0"/>
              <w:marBottom w:val="0"/>
              <w:divBdr>
                <w:top w:val="none" w:sz="0" w:space="0" w:color="auto"/>
                <w:left w:val="none" w:sz="0" w:space="0" w:color="auto"/>
                <w:bottom w:val="none" w:sz="0" w:space="0" w:color="auto"/>
                <w:right w:val="none" w:sz="0" w:space="0" w:color="auto"/>
              </w:divBdr>
            </w:div>
          </w:divsChild>
        </w:div>
        <w:div w:id="2117403234">
          <w:marLeft w:val="0"/>
          <w:marRight w:val="0"/>
          <w:marTop w:val="0"/>
          <w:marBottom w:val="0"/>
          <w:divBdr>
            <w:top w:val="none" w:sz="0" w:space="0" w:color="auto"/>
            <w:left w:val="none" w:sz="0" w:space="0" w:color="auto"/>
            <w:bottom w:val="none" w:sz="0" w:space="0" w:color="auto"/>
            <w:right w:val="none" w:sz="0" w:space="0" w:color="auto"/>
          </w:divBdr>
          <w:divsChild>
            <w:div w:id="1853834838">
              <w:marLeft w:val="0"/>
              <w:marRight w:val="0"/>
              <w:marTop w:val="0"/>
              <w:marBottom w:val="0"/>
              <w:divBdr>
                <w:top w:val="none" w:sz="0" w:space="0" w:color="auto"/>
                <w:left w:val="none" w:sz="0" w:space="0" w:color="auto"/>
                <w:bottom w:val="none" w:sz="0" w:space="0" w:color="auto"/>
                <w:right w:val="none" w:sz="0" w:space="0" w:color="auto"/>
              </w:divBdr>
            </w:div>
          </w:divsChild>
        </w:div>
        <w:div w:id="2120030185">
          <w:marLeft w:val="0"/>
          <w:marRight w:val="0"/>
          <w:marTop w:val="0"/>
          <w:marBottom w:val="0"/>
          <w:divBdr>
            <w:top w:val="none" w:sz="0" w:space="0" w:color="auto"/>
            <w:left w:val="none" w:sz="0" w:space="0" w:color="auto"/>
            <w:bottom w:val="none" w:sz="0" w:space="0" w:color="auto"/>
            <w:right w:val="none" w:sz="0" w:space="0" w:color="auto"/>
          </w:divBdr>
          <w:divsChild>
            <w:div w:id="205916651">
              <w:marLeft w:val="0"/>
              <w:marRight w:val="0"/>
              <w:marTop w:val="0"/>
              <w:marBottom w:val="0"/>
              <w:divBdr>
                <w:top w:val="none" w:sz="0" w:space="0" w:color="auto"/>
                <w:left w:val="none" w:sz="0" w:space="0" w:color="auto"/>
                <w:bottom w:val="none" w:sz="0" w:space="0" w:color="auto"/>
                <w:right w:val="none" w:sz="0" w:space="0" w:color="auto"/>
              </w:divBdr>
            </w:div>
          </w:divsChild>
        </w:div>
        <w:div w:id="2121535081">
          <w:marLeft w:val="0"/>
          <w:marRight w:val="0"/>
          <w:marTop w:val="0"/>
          <w:marBottom w:val="0"/>
          <w:divBdr>
            <w:top w:val="none" w:sz="0" w:space="0" w:color="auto"/>
            <w:left w:val="none" w:sz="0" w:space="0" w:color="auto"/>
            <w:bottom w:val="none" w:sz="0" w:space="0" w:color="auto"/>
            <w:right w:val="none" w:sz="0" w:space="0" w:color="auto"/>
          </w:divBdr>
          <w:divsChild>
            <w:div w:id="1535312986">
              <w:marLeft w:val="0"/>
              <w:marRight w:val="0"/>
              <w:marTop w:val="0"/>
              <w:marBottom w:val="0"/>
              <w:divBdr>
                <w:top w:val="none" w:sz="0" w:space="0" w:color="auto"/>
                <w:left w:val="none" w:sz="0" w:space="0" w:color="auto"/>
                <w:bottom w:val="none" w:sz="0" w:space="0" w:color="auto"/>
                <w:right w:val="none" w:sz="0" w:space="0" w:color="auto"/>
              </w:divBdr>
            </w:div>
          </w:divsChild>
        </w:div>
        <w:div w:id="2138404501">
          <w:marLeft w:val="0"/>
          <w:marRight w:val="0"/>
          <w:marTop w:val="0"/>
          <w:marBottom w:val="0"/>
          <w:divBdr>
            <w:top w:val="none" w:sz="0" w:space="0" w:color="auto"/>
            <w:left w:val="none" w:sz="0" w:space="0" w:color="auto"/>
            <w:bottom w:val="none" w:sz="0" w:space="0" w:color="auto"/>
            <w:right w:val="none" w:sz="0" w:space="0" w:color="auto"/>
          </w:divBdr>
          <w:divsChild>
            <w:div w:id="526456106">
              <w:marLeft w:val="0"/>
              <w:marRight w:val="0"/>
              <w:marTop w:val="0"/>
              <w:marBottom w:val="0"/>
              <w:divBdr>
                <w:top w:val="none" w:sz="0" w:space="0" w:color="auto"/>
                <w:left w:val="none" w:sz="0" w:space="0" w:color="auto"/>
                <w:bottom w:val="none" w:sz="0" w:space="0" w:color="auto"/>
                <w:right w:val="none" w:sz="0" w:space="0" w:color="auto"/>
              </w:divBdr>
            </w:div>
          </w:divsChild>
        </w:div>
        <w:div w:id="2138791621">
          <w:marLeft w:val="0"/>
          <w:marRight w:val="0"/>
          <w:marTop w:val="0"/>
          <w:marBottom w:val="0"/>
          <w:divBdr>
            <w:top w:val="none" w:sz="0" w:space="0" w:color="auto"/>
            <w:left w:val="none" w:sz="0" w:space="0" w:color="auto"/>
            <w:bottom w:val="none" w:sz="0" w:space="0" w:color="auto"/>
            <w:right w:val="none" w:sz="0" w:space="0" w:color="auto"/>
          </w:divBdr>
          <w:divsChild>
            <w:div w:id="19471772">
              <w:marLeft w:val="0"/>
              <w:marRight w:val="0"/>
              <w:marTop w:val="0"/>
              <w:marBottom w:val="0"/>
              <w:divBdr>
                <w:top w:val="none" w:sz="0" w:space="0" w:color="auto"/>
                <w:left w:val="none" w:sz="0" w:space="0" w:color="auto"/>
                <w:bottom w:val="none" w:sz="0" w:space="0" w:color="auto"/>
                <w:right w:val="none" w:sz="0" w:space="0" w:color="auto"/>
              </w:divBdr>
            </w:div>
          </w:divsChild>
        </w:div>
        <w:div w:id="2141721320">
          <w:marLeft w:val="0"/>
          <w:marRight w:val="0"/>
          <w:marTop w:val="0"/>
          <w:marBottom w:val="0"/>
          <w:divBdr>
            <w:top w:val="none" w:sz="0" w:space="0" w:color="auto"/>
            <w:left w:val="none" w:sz="0" w:space="0" w:color="auto"/>
            <w:bottom w:val="none" w:sz="0" w:space="0" w:color="auto"/>
            <w:right w:val="none" w:sz="0" w:space="0" w:color="auto"/>
          </w:divBdr>
          <w:divsChild>
            <w:div w:id="737089811">
              <w:marLeft w:val="0"/>
              <w:marRight w:val="0"/>
              <w:marTop w:val="0"/>
              <w:marBottom w:val="0"/>
              <w:divBdr>
                <w:top w:val="none" w:sz="0" w:space="0" w:color="auto"/>
                <w:left w:val="none" w:sz="0" w:space="0" w:color="auto"/>
                <w:bottom w:val="none" w:sz="0" w:space="0" w:color="auto"/>
                <w:right w:val="none" w:sz="0" w:space="0" w:color="auto"/>
              </w:divBdr>
            </w:div>
          </w:divsChild>
        </w:div>
        <w:div w:id="2146850927">
          <w:marLeft w:val="0"/>
          <w:marRight w:val="0"/>
          <w:marTop w:val="0"/>
          <w:marBottom w:val="0"/>
          <w:divBdr>
            <w:top w:val="none" w:sz="0" w:space="0" w:color="auto"/>
            <w:left w:val="none" w:sz="0" w:space="0" w:color="auto"/>
            <w:bottom w:val="none" w:sz="0" w:space="0" w:color="auto"/>
            <w:right w:val="none" w:sz="0" w:space="0" w:color="auto"/>
          </w:divBdr>
          <w:divsChild>
            <w:div w:id="19582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44191">
      <w:bodyDiv w:val="1"/>
      <w:marLeft w:val="0"/>
      <w:marRight w:val="0"/>
      <w:marTop w:val="0"/>
      <w:marBottom w:val="0"/>
      <w:divBdr>
        <w:top w:val="none" w:sz="0" w:space="0" w:color="auto"/>
        <w:left w:val="none" w:sz="0" w:space="0" w:color="auto"/>
        <w:bottom w:val="none" w:sz="0" w:space="0" w:color="auto"/>
        <w:right w:val="none" w:sz="0" w:space="0" w:color="auto"/>
      </w:divBdr>
    </w:div>
    <w:div w:id="425005413">
      <w:bodyDiv w:val="1"/>
      <w:marLeft w:val="0"/>
      <w:marRight w:val="0"/>
      <w:marTop w:val="0"/>
      <w:marBottom w:val="0"/>
      <w:divBdr>
        <w:top w:val="none" w:sz="0" w:space="0" w:color="auto"/>
        <w:left w:val="none" w:sz="0" w:space="0" w:color="auto"/>
        <w:bottom w:val="none" w:sz="0" w:space="0" w:color="auto"/>
        <w:right w:val="none" w:sz="0" w:space="0" w:color="auto"/>
      </w:divBdr>
    </w:div>
    <w:div w:id="476924011">
      <w:bodyDiv w:val="1"/>
      <w:marLeft w:val="0"/>
      <w:marRight w:val="0"/>
      <w:marTop w:val="0"/>
      <w:marBottom w:val="0"/>
      <w:divBdr>
        <w:top w:val="none" w:sz="0" w:space="0" w:color="auto"/>
        <w:left w:val="none" w:sz="0" w:space="0" w:color="auto"/>
        <w:bottom w:val="none" w:sz="0" w:space="0" w:color="auto"/>
        <w:right w:val="none" w:sz="0" w:space="0" w:color="auto"/>
      </w:divBdr>
    </w:div>
    <w:div w:id="558976590">
      <w:bodyDiv w:val="1"/>
      <w:marLeft w:val="0"/>
      <w:marRight w:val="0"/>
      <w:marTop w:val="0"/>
      <w:marBottom w:val="0"/>
      <w:divBdr>
        <w:top w:val="none" w:sz="0" w:space="0" w:color="auto"/>
        <w:left w:val="none" w:sz="0" w:space="0" w:color="auto"/>
        <w:bottom w:val="none" w:sz="0" w:space="0" w:color="auto"/>
        <w:right w:val="none" w:sz="0" w:space="0" w:color="auto"/>
      </w:divBdr>
    </w:div>
    <w:div w:id="634289698">
      <w:bodyDiv w:val="1"/>
      <w:marLeft w:val="0"/>
      <w:marRight w:val="0"/>
      <w:marTop w:val="0"/>
      <w:marBottom w:val="0"/>
      <w:divBdr>
        <w:top w:val="none" w:sz="0" w:space="0" w:color="auto"/>
        <w:left w:val="none" w:sz="0" w:space="0" w:color="auto"/>
        <w:bottom w:val="none" w:sz="0" w:space="0" w:color="auto"/>
        <w:right w:val="none" w:sz="0" w:space="0" w:color="auto"/>
      </w:divBdr>
    </w:div>
    <w:div w:id="666173754">
      <w:bodyDiv w:val="1"/>
      <w:marLeft w:val="0"/>
      <w:marRight w:val="0"/>
      <w:marTop w:val="0"/>
      <w:marBottom w:val="0"/>
      <w:divBdr>
        <w:top w:val="none" w:sz="0" w:space="0" w:color="auto"/>
        <w:left w:val="none" w:sz="0" w:space="0" w:color="auto"/>
        <w:bottom w:val="none" w:sz="0" w:space="0" w:color="auto"/>
        <w:right w:val="none" w:sz="0" w:space="0" w:color="auto"/>
      </w:divBdr>
      <w:divsChild>
        <w:div w:id="5795399">
          <w:marLeft w:val="0"/>
          <w:marRight w:val="0"/>
          <w:marTop w:val="0"/>
          <w:marBottom w:val="0"/>
          <w:divBdr>
            <w:top w:val="none" w:sz="0" w:space="0" w:color="auto"/>
            <w:left w:val="none" w:sz="0" w:space="0" w:color="auto"/>
            <w:bottom w:val="none" w:sz="0" w:space="0" w:color="auto"/>
            <w:right w:val="none" w:sz="0" w:space="0" w:color="auto"/>
          </w:divBdr>
        </w:div>
        <w:div w:id="23792207">
          <w:marLeft w:val="0"/>
          <w:marRight w:val="0"/>
          <w:marTop w:val="0"/>
          <w:marBottom w:val="0"/>
          <w:divBdr>
            <w:top w:val="none" w:sz="0" w:space="0" w:color="auto"/>
            <w:left w:val="none" w:sz="0" w:space="0" w:color="auto"/>
            <w:bottom w:val="none" w:sz="0" w:space="0" w:color="auto"/>
            <w:right w:val="none" w:sz="0" w:space="0" w:color="auto"/>
          </w:divBdr>
        </w:div>
        <w:div w:id="176622433">
          <w:marLeft w:val="0"/>
          <w:marRight w:val="0"/>
          <w:marTop w:val="0"/>
          <w:marBottom w:val="0"/>
          <w:divBdr>
            <w:top w:val="none" w:sz="0" w:space="0" w:color="auto"/>
            <w:left w:val="none" w:sz="0" w:space="0" w:color="auto"/>
            <w:bottom w:val="none" w:sz="0" w:space="0" w:color="auto"/>
            <w:right w:val="none" w:sz="0" w:space="0" w:color="auto"/>
          </w:divBdr>
        </w:div>
        <w:div w:id="194855089">
          <w:marLeft w:val="0"/>
          <w:marRight w:val="0"/>
          <w:marTop w:val="0"/>
          <w:marBottom w:val="0"/>
          <w:divBdr>
            <w:top w:val="none" w:sz="0" w:space="0" w:color="auto"/>
            <w:left w:val="none" w:sz="0" w:space="0" w:color="auto"/>
            <w:bottom w:val="none" w:sz="0" w:space="0" w:color="auto"/>
            <w:right w:val="none" w:sz="0" w:space="0" w:color="auto"/>
          </w:divBdr>
        </w:div>
        <w:div w:id="238251223">
          <w:marLeft w:val="0"/>
          <w:marRight w:val="0"/>
          <w:marTop w:val="0"/>
          <w:marBottom w:val="0"/>
          <w:divBdr>
            <w:top w:val="none" w:sz="0" w:space="0" w:color="auto"/>
            <w:left w:val="none" w:sz="0" w:space="0" w:color="auto"/>
            <w:bottom w:val="none" w:sz="0" w:space="0" w:color="auto"/>
            <w:right w:val="none" w:sz="0" w:space="0" w:color="auto"/>
          </w:divBdr>
        </w:div>
        <w:div w:id="270091636">
          <w:marLeft w:val="0"/>
          <w:marRight w:val="0"/>
          <w:marTop w:val="0"/>
          <w:marBottom w:val="0"/>
          <w:divBdr>
            <w:top w:val="none" w:sz="0" w:space="0" w:color="auto"/>
            <w:left w:val="none" w:sz="0" w:space="0" w:color="auto"/>
            <w:bottom w:val="none" w:sz="0" w:space="0" w:color="auto"/>
            <w:right w:val="none" w:sz="0" w:space="0" w:color="auto"/>
          </w:divBdr>
        </w:div>
        <w:div w:id="363017680">
          <w:marLeft w:val="0"/>
          <w:marRight w:val="0"/>
          <w:marTop w:val="0"/>
          <w:marBottom w:val="0"/>
          <w:divBdr>
            <w:top w:val="none" w:sz="0" w:space="0" w:color="auto"/>
            <w:left w:val="none" w:sz="0" w:space="0" w:color="auto"/>
            <w:bottom w:val="none" w:sz="0" w:space="0" w:color="auto"/>
            <w:right w:val="none" w:sz="0" w:space="0" w:color="auto"/>
          </w:divBdr>
        </w:div>
        <w:div w:id="418601668">
          <w:marLeft w:val="0"/>
          <w:marRight w:val="0"/>
          <w:marTop w:val="0"/>
          <w:marBottom w:val="0"/>
          <w:divBdr>
            <w:top w:val="none" w:sz="0" w:space="0" w:color="auto"/>
            <w:left w:val="none" w:sz="0" w:space="0" w:color="auto"/>
            <w:bottom w:val="none" w:sz="0" w:space="0" w:color="auto"/>
            <w:right w:val="none" w:sz="0" w:space="0" w:color="auto"/>
          </w:divBdr>
        </w:div>
        <w:div w:id="454257962">
          <w:marLeft w:val="0"/>
          <w:marRight w:val="0"/>
          <w:marTop w:val="0"/>
          <w:marBottom w:val="0"/>
          <w:divBdr>
            <w:top w:val="none" w:sz="0" w:space="0" w:color="auto"/>
            <w:left w:val="none" w:sz="0" w:space="0" w:color="auto"/>
            <w:bottom w:val="none" w:sz="0" w:space="0" w:color="auto"/>
            <w:right w:val="none" w:sz="0" w:space="0" w:color="auto"/>
          </w:divBdr>
        </w:div>
        <w:div w:id="471215570">
          <w:marLeft w:val="0"/>
          <w:marRight w:val="0"/>
          <w:marTop w:val="0"/>
          <w:marBottom w:val="0"/>
          <w:divBdr>
            <w:top w:val="none" w:sz="0" w:space="0" w:color="auto"/>
            <w:left w:val="none" w:sz="0" w:space="0" w:color="auto"/>
            <w:bottom w:val="none" w:sz="0" w:space="0" w:color="auto"/>
            <w:right w:val="none" w:sz="0" w:space="0" w:color="auto"/>
          </w:divBdr>
        </w:div>
        <w:div w:id="475923233">
          <w:marLeft w:val="0"/>
          <w:marRight w:val="0"/>
          <w:marTop w:val="0"/>
          <w:marBottom w:val="0"/>
          <w:divBdr>
            <w:top w:val="none" w:sz="0" w:space="0" w:color="auto"/>
            <w:left w:val="none" w:sz="0" w:space="0" w:color="auto"/>
            <w:bottom w:val="none" w:sz="0" w:space="0" w:color="auto"/>
            <w:right w:val="none" w:sz="0" w:space="0" w:color="auto"/>
          </w:divBdr>
        </w:div>
        <w:div w:id="503715358">
          <w:marLeft w:val="0"/>
          <w:marRight w:val="0"/>
          <w:marTop w:val="0"/>
          <w:marBottom w:val="0"/>
          <w:divBdr>
            <w:top w:val="none" w:sz="0" w:space="0" w:color="auto"/>
            <w:left w:val="none" w:sz="0" w:space="0" w:color="auto"/>
            <w:bottom w:val="none" w:sz="0" w:space="0" w:color="auto"/>
            <w:right w:val="none" w:sz="0" w:space="0" w:color="auto"/>
          </w:divBdr>
        </w:div>
        <w:div w:id="527839505">
          <w:marLeft w:val="0"/>
          <w:marRight w:val="0"/>
          <w:marTop w:val="0"/>
          <w:marBottom w:val="0"/>
          <w:divBdr>
            <w:top w:val="none" w:sz="0" w:space="0" w:color="auto"/>
            <w:left w:val="none" w:sz="0" w:space="0" w:color="auto"/>
            <w:bottom w:val="none" w:sz="0" w:space="0" w:color="auto"/>
            <w:right w:val="none" w:sz="0" w:space="0" w:color="auto"/>
          </w:divBdr>
        </w:div>
        <w:div w:id="600917364">
          <w:marLeft w:val="0"/>
          <w:marRight w:val="0"/>
          <w:marTop w:val="0"/>
          <w:marBottom w:val="0"/>
          <w:divBdr>
            <w:top w:val="none" w:sz="0" w:space="0" w:color="auto"/>
            <w:left w:val="none" w:sz="0" w:space="0" w:color="auto"/>
            <w:bottom w:val="none" w:sz="0" w:space="0" w:color="auto"/>
            <w:right w:val="none" w:sz="0" w:space="0" w:color="auto"/>
          </w:divBdr>
        </w:div>
        <w:div w:id="615870226">
          <w:marLeft w:val="0"/>
          <w:marRight w:val="0"/>
          <w:marTop w:val="0"/>
          <w:marBottom w:val="0"/>
          <w:divBdr>
            <w:top w:val="none" w:sz="0" w:space="0" w:color="auto"/>
            <w:left w:val="none" w:sz="0" w:space="0" w:color="auto"/>
            <w:bottom w:val="none" w:sz="0" w:space="0" w:color="auto"/>
            <w:right w:val="none" w:sz="0" w:space="0" w:color="auto"/>
          </w:divBdr>
        </w:div>
        <w:div w:id="617102443">
          <w:marLeft w:val="0"/>
          <w:marRight w:val="0"/>
          <w:marTop w:val="0"/>
          <w:marBottom w:val="0"/>
          <w:divBdr>
            <w:top w:val="none" w:sz="0" w:space="0" w:color="auto"/>
            <w:left w:val="none" w:sz="0" w:space="0" w:color="auto"/>
            <w:bottom w:val="none" w:sz="0" w:space="0" w:color="auto"/>
            <w:right w:val="none" w:sz="0" w:space="0" w:color="auto"/>
          </w:divBdr>
        </w:div>
        <w:div w:id="642387003">
          <w:marLeft w:val="0"/>
          <w:marRight w:val="0"/>
          <w:marTop w:val="0"/>
          <w:marBottom w:val="0"/>
          <w:divBdr>
            <w:top w:val="none" w:sz="0" w:space="0" w:color="auto"/>
            <w:left w:val="none" w:sz="0" w:space="0" w:color="auto"/>
            <w:bottom w:val="none" w:sz="0" w:space="0" w:color="auto"/>
            <w:right w:val="none" w:sz="0" w:space="0" w:color="auto"/>
          </w:divBdr>
        </w:div>
        <w:div w:id="674839227">
          <w:marLeft w:val="0"/>
          <w:marRight w:val="0"/>
          <w:marTop w:val="0"/>
          <w:marBottom w:val="0"/>
          <w:divBdr>
            <w:top w:val="none" w:sz="0" w:space="0" w:color="auto"/>
            <w:left w:val="none" w:sz="0" w:space="0" w:color="auto"/>
            <w:bottom w:val="none" w:sz="0" w:space="0" w:color="auto"/>
            <w:right w:val="none" w:sz="0" w:space="0" w:color="auto"/>
          </w:divBdr>
          <w:divsChild>
            <w:div w:id="27726075">
              <w:marLeft w:val="0"/>
              <w:marRight w:val="0"/>
              <w:marTop w:val="0"/>
              <w:marBottom w:val="0"/>
              <w:divBdr>
                <w:top w:val="none" w:sz="0" w:space="0" w:color="auto"/>
                <w:left w:val="none" w:sz="0" w:space="0" w:color="auto"/>
                <w:bottom w:val="none" w:sz="0" w:space="0" w:color="auto"/>
                <w:right w:val="none" w:sz="0" w:space="0" w:color="auto"/>
              </w:divBdr>
            </w:div>
            <w:div w:id="360859045">
              <w:marLeft w:val="0"/>
              <w:marRight w:val="0"/>
              <w:marTop w:val="0"/>
              <w:marBottom w:val="0"/>
              <w:divBdr>
                <w:top w:val="none" w:sz="0" w:space="0" w:color="auto"/>
                <w:left w:val="none" w:sz="0" w:space="0" w:color="auto"/>
                <w:bottom w:val="none" w:sz="0" w:space="0" w:color="auto"/>
                <w:right w:val="none" w:sz="0" w:space="0" w:color="auto"/>
              </w:divBdr>
            </w:div>
            <w:div w:id="742291346">
              <w:marLeft w:val="0"/>
              <w:marRight w:val="0"/>
              <w:marTop w:val="0"/>
              <w:marBottom w:val="0"/>
              <w:divBdr>
                <w:top w:val="none" w:sz="0" w:space="0" w:color="auto"/>
                <w:left w:val="none" w:sz="0" w:space="0" w:color="auto"/>
                <w:bottom w:val="none" w:sz="0" w:space="0" w:color="auto"/>
                <w:right w:val="none" w:sz="0" w:space="0" w:color="auto"/>
              </w:divBdr>
            </w:div>
            <w:div w:id="928151600">
              <w:marLeft w:val="0"/>
              <w:marRight w:val="0"/>
              <w:marTop w:val="0"/>
              <w:marBottom w:val="0"/>
              <w:divBdr>
                <w:top w:val="none" w:sz="0" w:space="0" w:color="auto"/>
                <w:left w:val="none" w:sz="0" w:space="0" w:color="auto"/>
                <w:bottom w:val="none" w:sz="0" w:space="0" w:color="auto"/>
                <w:right w:val="none" w:sz="0" w:space="0" w:color="auto"/>
              </w:divBdr>
            </w:div>
            <w:div w:id="1118985674">
              <w:marLeft w:val="0"/>
              <w:marRight w:val="0"/>
              <w:marTop w:val="0"/>
              <w:marBottom w:val="0"/>
              <w:divBdr>
                <w:top w:val="none" w:sz="0" w:space="0" w:color="auto"/>
                <w:left w:val="none" w:sz="0" w:space="0" w:color="auto"/>
                <w:bottom w:val="none" w:sz="0" w:space="0" w:color="auto"/>
                <w:right w:val="none" w:sz="0" w:space="0" w:color="auto"/>
              </w:divBdr>
            </w:div>
            <w:div w:id="1155609670">
              <w:marLeft w:val="0"/>
              <w:marRight w:val="0"/>
              <w:marTop w:val="0"/>
              <w:marBottom w:val="0"/>
              <w:divBdr>
                <w:top w:val="none" w:sz="0" w:space="0" w:color="auto"/>
                <w:left w:val="none" w:sz="0" w:space="0" w:color="auto"/>
                <w:bottom w:val="none" w:sz="0" w:space="0" w:color="auto"/>
                <w:right w:val="none" w:sz="0" w:space="0" w:color="auto"/>
              </w:divBdr>
            </w:div>
            <w:div w:id="1199120283">
              <w:marLeft w:val="0"/>
              <w:marRight w:val="0"/>
              <w:marTop w:val="0"/>
              <w:marBottom w:val="0"/>
              <w:divBdr>
                <w:top w:val="none" w:sz="0" w:space="0" w:color="auto"/>
                <w:left w:val="none" w:sz="0" w:space="0" w:color="auto"/>
                <w:bottom w:val="none" w:sz="0" w:space="0" w:color="auto"/>
                <w:right w:val="none" w:sz="0" w:space="0" w:color="auto"/>
              </w:divBdr>
            </w:div>
            <w:div w:id="1216820623">
              <w:marLeft w:val="0"/>
              <w:marRight w:val="0"/>
              <w:marTop w:val="0"/>
              <w:marBottom w:val="0"/>
              <w:divBdr>
                <w:top w:val="none" w:sz="0" w:space="0" w:color="auto"/>
                <w:left w:val="none" w:sz="0" w:space="0" w:color="auto"/>
                <w:bottom w:val="none" w:sz="0" w:space="0" w:color="auto"/>
                <w:right w:val="none" w:sz="0" w:space="0" w:color="auto"/>
              </w:divBdr>
            </w:div>
            <w:div w:id="1236551503">
              <w:marLeft w:val="0"/>
              <w:marRight w:val="0"/>
              <w:marTop w:val="0"/>
              <w:marBottom w:val="0"/>
              <w:divBdr>
                <w:top w:val="none" w:sz="0" w:space="0" w:color="auto"/>
                <w:left w:val="none" w:sz="0" w:space="0" w:color="auto"/>
                <w:bottom w:val="none" w:sz="0" w:space="0" w:color="auto"/>
                <w:right w:val="none" w:sz="0" w:space="0" w:color="auto"/>
              </w:divBdr>
            </w:div>
            <w:div w:id="1373068642">
              <w:marLeft w:val="0"/>
              <w:marRight w:val="0"/>
              <w:marTop w:val="0"/>
              <w:marBottom w:val="0"/>
              <w:divBdr>
                <w:top w:val="none" w:sz="0" w:space="0" w:color="auto"/>
                <w:left w:val="none" w:sz="0" w:space="0" w:color="auto"/>
                <w:bottom w:val="none" w:sz="0" w:space="0" w:color="auto"/>
                <w:right w:val="none" w:sz="0" w:space="0" w:color="auto"/>
              </w:divBdr>
            </w:div>
            <w:div w:id="1421953349">
              <w:marLeft w:val="0"/>
              <w:marRight w:val="0"/>
              <w:marTop w:val="0"/>
              <w:marBottom w:val="0"/>
              <w:divBdr>
                <w:top w:val="none" w:sz="0" w:space="0" w:color="auto"/>
                <w:left w:val="none" w:sz="0" w:space="0" w:color="auto"/>
                <w:bottom w:val="none" w:sz="0" w:space="0" w:color="auto"/>
                <w:right w:val="none" w:sz="0" w:space="0" w:color="auto"/>
              </w:divBdr>
            </w:div>
            <w:div w:id="1605647143">
              <w:marLeft w:val="0"/>
              <w:marRight w:val="0"/>
              <w:marTop w:val="0"/>
              <w:marBottom w:val="0"/>
              <w:divBdr>
                <w:top w:val="none" w:sz="0" w:space="0" w:color="auto"/>
                <w:left w:val="none" w:sz="0" w:space="0" w:color="auto"/>
                <w:bottom w:val="none" w:sz="0" w:space="0" w:color="auto"/>
                <w:right w:val="none" w:sz="0" w:space="0" w:color="auto"/>
              </w:divBdr>
            </w:div>
            <w:div w:id="1617977739">
              <w:marLeft w:val="0"/>
              <w:marRight w:val="0"/>
              <w:marTop w:val="0"/>
              <w:marBottom w:val="0"/>
              <w:divBdr>
                <w:top w:val="none" w:sz="0" w:space="0" w:color="auto"/>
                <w:left w:val="none" w:sz="0" w:space="0" w:color="auto"/>
                <w:bottom w:val="none" w:sz="0" w:space="0" w:color="auto"/>
                <w:right w:val="none" w:sz="0" w:space="0" w:color="auto"/>
              </w:divBdr>
            </w:div>
            <w:div w:id="1752850997">
              <w:marLeft w:val="0"/>
              <w:marRight w:val="0"/>
              <w:marTop w:val="0"/>
              <w:marBottom w:val="0"/>
              <w:divBdr>
                <w:top w:val="none" w:sz="0" w:space="0" w:color="auto"/>
                <w:left w:val="none" w:sz="0" w:space="0" w:color="auto"/>
                <w:bottom w:val="none" w:sz="0" w:space="0" w:color="auto"/>
                <w:right w:val="none" w:sz="0" w:space="0" w:color="auto"/>
              </w:divBdr>
            </w:div>
            <w:div w:id="1792478169">
              <w:marLeft w:val="0"/>
              <w:marRight w:val="0"/>
              <w:marTop w:val="0"/>
              <w:marBottom w:val="0"/>
              <w:divBdr>
                <w:top w:val="none" w:sz="0" w:space="0" w:color="auto"/>
                <w:left w:val="none" w:sz="0" w:space="0" w:color="auto"/>
                <w:bottom w:val="none" w:sz="0" w:space="0" w:color="auto"/>
                <w:right w:val="none" w:sz="0" w:space="0" w:color="auto"/>
              </w:divBdr>
            </w:div>
            <w:div w:id="1856335182">
              <w:marLeft w:val="0"/>
              <w:marRight w:val="0"/>
              <w:marTop w:val="0"/>
              <w:marBottom w:val="0"/>
              <w:divBdr>
                <w:top w:val="none" w:sz="0" w:space="0" w:color="auto"/>
                <w:left w:val="none" w:sz="0" w:space="0" w:color="auto"/>
                <w:bottom w:val="none" w:sz="0" w:space="0" w:color="auto"/>
                <w:right w:val="none" w:sz="0" w:space="0" w:color="auto"/>
              </w:divBdr>
            </w:div>
            <w:div w:id="1923026976">
              <w:marLeft w:val="0"/>
              <w:marRight w:val="0"/>
              <w:marTop w:val="0"/>
              <w:marBottom w:val="0"/>
              <w:divBdr>
                <w:top w:val="none" w:sz="0" w:space="0" w:color="auto"/>
                <w:left w:val="none" w:sz="0" w:space="0" w:color="auto"/>
                <w:bottom w:val="none" w:sz="0" w:space="0" w:color="auto"/>
                <w:right w:val="none" w:sz="0" w:space="0" w:color="auto"/>
              </w:divBdr>
            </w:div>
          </w:divsChild>
        </w:div>
        <w:div w:id="769621163">
          <w:marLeft w:val="0"/>
          <w:marRight w:val="0"/>
          <w:marTop w:val="0"/>
          <w:marBottom w:val="0"/>
          <w:divBdr>
            <w:top w:val="none" w:sz="0" w:space="0" w:color="auto"/>
            <w:left w:val="none" w:sz="0" w:space="0" w:color="auto"/>
            <w:bottom w:val="none" w:sz="0" w:space="0" w:color="auto"/>
            <w:right w:val="none" w:sz="0" w:space="0" w:color="auto"/>
          </w:divBdr>
        </w:div>
        <w:div w:id="785583419">
          <w:marLeft w:val="0"/>
          <w:marRight w:val="0"/>
          <w:marTop w:val="0"/>
          <w:marBottom w:val="0"/>
          <w:divBdr>
            <w:top w:val="none" w:sz="0" w:space="0" w:color="auto"/>
            <w:left w:val="none" w:sz="0" w:space="0" w:color="auto"/>
            <w:bottom w:val="none" w:sz="0" w:space="0" w:color="auto"/>
            <w:right w:val="none" w:sz="0" w:space="0" w:color="auto"/>
          </w:divBdr>
        </w:div>
        <w:div w:id="786316667">
          <w:marLeft w:val="0"/>
          <w:marRight w:val="0"/>
          <w:marTop w:val="0"/>
          <w:marBottom w:val="0"/>
          <w:divBdr>
            <w:top w:val="none" w:sz="0" w:space="0" w:color="auto"/>
            <w:left w:val="none" w:sz="0" w:space="0" w:color="auto"/>
            <w:bottom w:val="none" w:sz="0" w:space="0" w:color="auto"/>
            <w:right w:val="none" w:sz="0" w:space="0" w:color="auto"/>
          </w:divBdr>
        </w:div>
        <w:div w:id="829716077">
          <w:marLeft w:val="0"/>
          <w:marRight w:val="0"/>
          <w:marTop w:val="0"/>
          <w:marBottom w:val="0"/>
          <w:divBdr>
            <w:top w:val="none" w:sz="0" w:space="0" w:color="auto"/>
            <w:left w:val="none" w:sz="0" w:space="0" w:color="auto"/>
            <w:bottom w:val="none" w:sz="0" w:space="0" w:color="auto"/>
            <w:right w:val="none" w:sz="0" w:space="0" w:color="auto"/>
          </w:divBdr>
        </w:div>
        <w:div w:id="1029524599">
          <w:marLeft w:val="0"/>
          <w:marRight w:val="0"/>
          <w:marTop w:val="0"/>
          <w:marBottom w:val="0"/>
          <w:divBdr>
            <w:top w:val="none" w:sz="0" w:space="0" w:color="auto"/>
            <w:left w:val="none" w:sz="0" w:space="0" w:color="auto"/>
            <w:bottom w:val="none" w:sz="0" w:space="0" w:color="auto"/>
            <w:right w:val="none" w:sz="0" w:space="0" w:color="auto"/>
          </w:divBdr>
        </w:div>
        <w:div w:id="1041244832">
          <w:marLeft w:val="0"/>
          <w:marRight w:val="0"/>
          <w:marTop w:val="0"/>
          <w:marBottom w:val="0"/>
          <w:divBdr>
            <w:top w:val="none" w:sz="0" w:space="0" w:color="auto"/>
            <w:left w:val="none" w:sz="0" w:space="0" w:color="auto"/>
            <w:bottom w:val="none" w:sz="0" w:space="0" w:color="auto"/>
            <w:right w:val="none" w:sz="0" w:space="0" w:color="auto"/>
          </w:divBdr>
        </w:div>
        <w:div w:id="1128163843">
          <w:marLeft w:val="0"/>
          <w:marRight w:val="0"/>
          <w:marTop w:val="0"/>
          <w:marBottom w:val="0"/>
          <w:divBdr>
            <w:top w:val="none" w:sz="0" w:space="0" w:color="auto"/>
            <w:left w:val="none" w:sz="0" w:space="0" w:color="auto"/>
            <w:bottom w:val="none" w:sz="0" w:space="0" w:color="auto"/>
            <w:right w:val="none" w:sz="0" w:space="0" w:color="auto"/>
          </w:divBdr>
        </w:div>
        <w:div w:id="1170486449">
          <w:marLeft w:val="0"/>
          <w:marRight w:val="0"/>
          <w:marTop w:val="0"/>
          <w:marBottom w:val="0"/>
          <w:divBdr>
            <w:top w:val="none" w:sz="0" w:space="0" w:color="auto"/>
            <w:left w:val="none" w:sz="0" w:space="0" w:color="auto"/>
            <w:bottom w:val="none" w:sz="0" w:space="0" w:color="auto"/>
            <w:right w:val="none" w:sz="0" w:space="0" w:color="auto"/>
          </w:divBdr>
        </w:div>
        <w:div w:id="1354651721">
          <w:marLeft w:val="0"/>
          <w:marRight w:val="0"/>
          <w:marTop w:val="0"/>
          <w:marBottom w:val="0"/>
          <w:divBdr>
            <w:top w:val="none" w:sz="0" w:space="0" w:color="auto"/>
            <w:left w:val="none" w:sz="0" w:space="0" w:color="auto"/>
            <w:bottom w:val="none" w:sz="0" w:space="0" w:color="auto"/>
            <w:right w:val="none" w:sz="0" w:space="0" w:color="auto"/>
          </w:divBdr>
        </w:div>
        <w:div w:id="1380351446">
          <w:marLeft w:val="0"/>
          <w:marRight w:val="0"/>
          <w:marTop w:val="0"/>
          <w:marBottom w:val="0"/>
          <w:divBdr>
            <w:top w:val="none" w:sz="0" w:space="0" w:color="auto"/>
            <w:left w:val="none" w:sz="0" w:space="0" w:color="auto"/>
            <w:bottom w:val="none" w:sz="0" w:space="0" w:color="auto"/>
            <w:right w:val="none" w:sz="0" w:space="0" w:color="auto"/>
          </w:divBdr>
        </w:div>
        <w:div w:id="1516189318">
          <w:marLeft w:val="0"/>
          <w:marRight w:val="0"/>
          <w:marTop w:val="0"/>
          <w:marBottom w:val="0"/>
          <w:divBdr>
            <w:top w:val="none" w:sz="0" w:space="0" w:color="auto"/>
            <w:left w:val="none" w:sz="0" w:space="0" w:color="auto"/>
            <w:bottom w:val="none" w:sz="0" w:space="0" w:color="auto"/>
            <w:right w:val="none" w:sz="0" w:space="0" w:color="auto"/>
          </w:divBdr>
        </w:div>
        <w:div w:id="1527256799">
          <w:marLeft w:val="0"/>
          <w:marRight w:val="0"/>
          <w:marTop w:val="0"/>
          <w:marBottom w:val="0"/>
          <w:divBdr>
            <w:top w:val="none" w:sz="0" w:space="0" w:color="auto"/>
            <w:left w:val="none" w:sz="0" w:space="0" w:color="auto"/>
            <w:bottom w:val="none" w:sz="0" w:space="0" w:color="auto"/>
            <w:right w:val="none" w:sz="0" w:space="0" w:color="auto"/>
          </w:divBdr>
        </w:div>
        <w:div w:id="1540777314">
          <w:marLeft w:val="0"/>
          <w:marRight w:val="0"/>
          <w:marTop w:val="0"/>
          <w:marBottom w:val="0"/>
          <w:divBdr>
            <w:top w:val="none" w:sz="0" w:space="0" w:color="auto"/>
            <w:left w:val="none" w:sz="0" w:space="0" w:color="auto"/>
            <w:bottom w:val="none" w:sz="0" w:space="0" w:color="auto"/>
            <w:right w:val="none" w:sz="0" w:space="0" w:color="auto"/>
          </w:divBdr>
        </w:div>
        <w:div w:id="1579745926">
          <w:marLeft w:val="0"/>
          <w:marRight w:val="0"/>
          <w:marTop w:val="0"/>
          <w:marBottom w:val="0"/>
          <w:divBdr>
            <w:top w:val="none" w:sz="0" w:space="0" w:color="auto"/>
            <w:left w:val="none" w:sz="0" w:space="0" w:color="auto"/>
            <w:bottom w:val="none" w:sz="0" w:space="0" w:color="auto"/>
            <w:right w:val="none" w:sz="0" w:space="0" w:color="auto"/>
          </w:divBdr>
        </w:div>
        <w:div w:id="1668629348">
          <w:marLeft w:val="0"/>
          <w:marRight w:val="0"/>
          <w:marTop w:val="0"/>
          <w:marBottom w:val="0"/>
          <w:divBdr>
            <w:top w:val="none" w:sz="0" w:space="0" w:color="auto"/>
            <w:left w:val="none" w:sz="0" w:space="0" w:color="auto"/>
            <w:bottom w:val="none" w:sz="0" w:space="0" w:color="auto"/>
            <w:right w:val="none" w:sz="0" w:space="0" w:color="auto"/>
          </w:divBdr>
        </w:div>
        <w:div w:id="1751123506">
          <w:marLeft w:val="0"/>
          <w:marRight w:val="0"/>
          <w:marTop w:val="0"/>
          <w:marBottom w:val="0"/>
          <w:divBdr>
            <w:top w:val="none" w:sz="0" w:space="0" w:color="auto"/>
            <w:left w:val="none" w:sz="0" w:space="0" w:color="auto"/>
            <w:bottom w:val="none" w:sz="0" w:space="0" w:color="auto"/>
            <w:right w:val="none" w:sz="0" w:space="0" w:color="auto"/>
          </w:divBdr>
        </w:div>
        <w:div w:id="1798837018">
          <w:marLeft w:val="0"/>
          <w:marRight w:val="0"/>
          <w:marTop w:val="0"/>
          <w:marBottom w:val="0"/>
          <w:divBdr>
            <w:top w:val="none" w:sz="0" w:space="0" w:color="auto"/>
            <w:left w:val="none" w:sz="0" w:space="0" w:color="auto"/>
            <w:bottom w:val="none" w:sz="0" w:space="0" w:color="auto"/>
            <w:right w:val="none" w:sz="0" w:space="0" w:color="auto"/>
          </w:divBdr>
        </w:div>
        <w:div w:id="1857040060">
          <w:marLeft w:val="0"/>
          <w:marRight w:val="0"/>
          <w:marTop w:val="0"/>
          <w:marBottom w:val="0"/>
          <w:divBdr>
            <w:top w:val="none" w:sz="0" w:space="0" w:color="auto"/>
            <w:left w:val="none" w:sz="0" w:space="0" w:color="auto"/>
            <w:bottom w:val="none" w:sz="0" w:space="0" w:color="auto"/>
            <w:right w:val="none" w:sz="0" w:space="0" w:color="auto"/>
          </w:divBdr>
        </w:div>
        <w:div w:id="1892960152">
          <w:marLeft w:val="0"/>
          <w:marRight w:val="0"/>
          <w:marTop w:val="0"/>
          <w:marBottom w:val="0"/>
          <w:divBdr>
            <w:top w:val="none" w:sz="0" w:space="0" w:color="auto"/>
            <w:left w:val="none" w:sz="0" w:space="0" w:color="auto"/>
            <w:bottom w:val="none" w:sz="0" w:space="0" w:color="auto"/>
            <w:right w:val="none" w:sz="0" w:space="0" w:color="auto"/>
          </w:divBdr>
        </w:div>
        <w:div w:id="2033410550">
          <w:marLeft w:val="0"/>
          <w:marRight w:val="0"/>
          <w:marTop w:val="0"/>
          <w:marBottom w:val="0"/>
          <w:divBdr>
            <w:top w:val="none" w:sz="0" w:space="0" w:color="auto"/>
            <w:left w:val="none" w:sz="0" w:space="0" w:color="auto"/>
            <w:bottom w:val="none" w:sz="0" w:space="0" w:color="auto"/>
            <w:right w:val="none" w:sz="0" w:space="0" w:color="auto"/>
          </w:divBdr>
        </w:div>
        <w:div w:id="2060276906">
          <w:marLeft w:val="0"/>
          <w:marRight w:val="0"/>
          <w:marTop w:val="0"/>
          <w:marBottom w:val="0"/>
          <w:divBdr>
            <w:top w:val="none" w:sz="0" w:space="0" w:color="auto"/>
            <w:left w:val="none" w:sz="0" w:space="0" w:color="auto"/>
            <w:bottom w:val="none" w:sz="0" w:space="0" w:color="auto"/>
            <w:right w:val="none" w:sz="0" w:space="0" w:color="auto"/>
          </w:divBdr>
        </w:div>
        <w:div w:id="2086998759">
          <w:marLeft w:val="0"/>
          <w:marRight w:val="0"/>
          <w:marTop w:val="0"/>
          <w:marBottom w:val="0"/>
          <w:divBdr>
            <w:top w:val="none" w:sz="0" w:space="0" w:color="auto"/>
            <w:left w:val="none" w:sz="0" w:space="0" w:color="auto"/>
            <w:bottom w:val="none" w:sz="0" w:space="0" w:color="auto"/>
            <w:right w:val="none" w:sz="0" w:space="0" w:color="auto"/>
          </w:divBdr>
        </w:div>
        <w:div w:id="2126650970">
          <w:marLeft w:val="0"/>
          <w:marRight w:val="0"/>
          <w:marTop w:val="0"/>
          <w:marBottom w:val="0"/>
          <w:divBdr>
            <w:top w:val="none" w:sz="0" w:space="0" w:color="auto"/>
            <w:left w:val="none" w:sz="0" w:space="0" w:color="auto"/>
            <w:bottom w:val="none" w:sz="0" w:space="0" w:color="auto"/>
            <w:right w:val="none" w:sz="0" w:space="0" w:color="auto"/>
          </w:divBdr>
        </w:div>
      </w:divsChild>
    </w:div>
    <w:div w:id="760373390">
      <w:bodyDiv w:val="1"/>
      <w:marLeft w:val="0"/>
      <w:marRight w:val="0"/>
      <w:marTop w:val="0"/>
      <w:marBottom w:val="0"/>
      <w:divBdr>
        <w:top w:val="none" w:sz="0" w:space="0" w:color="auto"/>
        <w:left w:val="none" w:sz="0" w:space="0" w:color="auto"/>
        <w:bottom w:val="none" w:sz="0" w:space="0" w:color="auto"/>
        <w:right w:val="none" w:sz="0" w:space="0" w:color="auto"/>
      </w:divBdr>
    </w:div>
    <w:div w:id="841117515">
      <w:bodyDiv w:val="1"/>
      <w:marLeft w:val="0"/>
      <w:marRight w:val="0"/>
      <w:marTop w:val="0"/>
      <w:marBottom w:val="0"/>
      <w:divBdr>
        <w:top w:val="none" w:sz="0" w:space="0" w:color="auto"/>
        <w:left w:val="none" w:sz="0" w:space="0" w:color="auto"/>
        <w:bottom w:val="none" w:sz="0" w:space="0" w:color="auto"/>
        <w:right w:val="none" w:sz="0" w:space="0" w:color="auto"/>
      </w:divBdr>
      <w:divsChild>
        <w:div w:id="172453107">
          <w:marLeft w:val="0"/>
          <w:marRight w:val="0"/>
          <w:marTop w:val="0"/>
          <w:marBottom w:val="0"/>
          <w:divBdr>
            <w:top w:val="none" w:sz="0" w:space="0" w:color="auto"/>
            <w:left w:val="none" w:sz="0" w:space="0" w:color="auto"/>
            <w:bottom w:val="none" w:sz="0" w:space="0" w:color="auto"/>
            <w:right w:val="none" w:sz="0" w:space="0" w:color="auto"/>
          </w:divBdr>
        </w:div>
        <w:div w:id="218590157">
          <w:marLeft w:val="0"/>
          <w:marRight w:val="0"/>
          <w:marTop w:val="0"/>
          <w:marBottom w:val="0"/>
          <w:divBdr>
            <w:top w:val="none" w:sz="0" w:space="0" w:color="auto"/>
            <w:left w:val="none" w:sz="0" w:space="0" w:color="auto"/>
            <w:bottom w:val="none" w:sz="0" w:space="0" w:color="auto"/>
            <w:right w:val="none" w:sz="0" w:space="0" w:color="auto"/>
          </w:divBdr>
        </w:div>
        <w:div w:id="338965519">
          <w:marLeft w:val="0"/>
          <w:marRight w:val="0"/>
          <w:marTop w:val="0"/>
          <w:marBottom w:val="0"/>
          <w:divBdr>
            <w:top w:val="none" w:sz="0" w:space="0" w:color="auto"/>
            <w:left w:val="none" w:sz="0" w:space="0" w:color="auto"/>
            <w:bottom w:val="none" w:sz="0" w:space="0" w:color="auto"/>
            <w:right w:val="none" w:sz="0" w:space="0" w:color="auto"/>
          </w:divBdr>
          <w:divsChild>
            <w:div w:id="72821464">
              <w:marLeft w:val="0"/>
              <w:marRight w:val="0"/>
              <w:marTop w:val="0"/>
              <w:marBottom w:val="0"/>
              <w:divBdr>
                <w:top w:val="none" w:sz="0" w:space="0" w:color="auto"/>
                <w:left w:val="none" w:sz="0" w:space="0" w:color="auto"/>
                <w:bottom w:val="none" w:sz="0" w:space="0" w:color="auto"/>
                <w:right w:val="none" w:sz="0" w:space="0" w:color="auto"/>
              </w:divBdr>
            </w:div>
            <w:div w:id="843780701">
              <w:marLeft w:val="0"/>
              <w:marRight w:val="0"/>
              <w:marTop w:val="0"/>
              <w:marBottom w:val="0"/>
              <w:divBdr>
                <w:top w:val="none" w:sz="0" w:space="0" w:color="auto"/>
                <w:left w:val="none" w:sz="0" w:space="0" w:color="auto"/>
                <w:bottom w:val="none" w:sz="0" w:space="0" w:color="auto"/>
                <w:right w:val="none" w:sz="0" w:space="0" w:color="auto"/>
              </w:divBdr>
            </w:div>
            <w:div w:id="1114326704">
              <w:marLeft w:val="0"/>
              <w:marRight w:val="0"/>
              <w:marTop w:val="0"/>
              <w:marBottom w:val="0"/>
              <w:divBdr>
                <w:top w:val="none" w:sz="0" w:space="0" w:color="auto"/>
                <w:left w:val="none" w:sz="0" w:space="0" w:color="auto"/>
                <w:bottom w:val="none" w:sz="0" w:space="0" w:color="auto"/>
                <w:right w:val="none" w:sz="0" w:space="0" w:color="auto"/>
              </w:divBdr>
            </w:div>
            <w:div w:id="1435443953">
              <w:marLeft w:val="0"/>
              <w:marRight w:val="0"/>
              <w:marTop w:val="0"/>
              <w:marBottom w:val="0"/>
              <w:divBdr>
                <w:top w:val="none" w:sz="0" w:space="0" w:color="auto"/>
                <w:left w:val="none" w:sz="0" w:space="0" w:color="auto"/>
                <w:bottom w:val="none" w:sz="0" w:space="0" w:color="auto"/>
                <w:right w:val="none" w:sz="0" w:space="0" w:color="auto"/>
              </w:divBdr>
            </w:div>
            <w:div w:id="1516965074">
              <w:marLeft w:val="0"/>
              <w:marRight w:val="0"/>
              <w:marTop w:val="0"/>
              <w:marBottom w:val="0"/>
              <w:divBdr>
                <w:top w:val="none" w:sz="0" w:space="0" w:color="auto"/>
                <w:left w:val="none" w:sz="0" w:space="0" w:color="auto"/>
                <w:bottom w:val="none" w:sz="0" w:space="0" w:color="auto"/>
                <w:right w:val="none" w:sz="0" w:space="0" w:color="auto"/>
              </w:divBdr>
            </w:div>
            <w:div w:id="1635871649">
              <w:marLeft w:val="0"/>
              <w:marRight w:val="0"/>
              <w:marTop w:val="0"/>
              <w:marBottom w:val="0"/>
              <w:divBdr>
                <w:top w:val="none" w:sz="0" w:space="0" w:color="auto"/>
                <w:left w:val="none" w:sz="0" w:space="0" w:color="auto"/>
                <w:bottom w:val="none" w:sz="0" w:space="0" w:color="auto"/>
                <w:right w:val="none" w:sz="0" w:space="0" w:color="auto"/>
              </w:divBdr>
            </w:div>
            <w:div w:id="1650284199">
              <w:marLeft w:val="0"/>
              <w:marRight w:val="0"/>
              <w:marTop w:val="0"/>
              <w:marBottom w:val="0"/>
              <w:divBdr>
                <w:top w:val="none" w:sz="0" w:space="0" w:color="auto"/>
                <w:left w:val="none" w:sz="0" w:space="0" w:color="auto"/>
                <w:bottom w:val="none" w:sz="0" w:space="0" w:color="auto"/>
                <w:right w:val="none" w:sz="0" w:space="0" w:color="auto"/>
              </w:divBdr>
            </w:div>
            <w:div w:id="2030330452">
              <w:marLeft w:val="0"/>
              <w:marRight w:val="0"/>
              <w:marTop w:val="0"/>
              <w:marBottom w:val="0"/>
              <w:divBdr>
                <w:top w:val="none" w:sz="0" w:space="0" w:color="auto"/>
                <w:left w:val="none" w:sz="0" w:space="0" w:color="auto"/>
                <w:bottom w:val="none" w:sz="0" w:space="0" w:color="auto"/>
                <w:right w:val="none" w:sz="0" w:space="0" w:color="auto"/>
              </w:divBdr>
            </w:div>
            <w:div w:id="2108772638">
              <w:marLeft w:val="0"/>
              <w:marRight w:val="0"/>
              <w:marTop w:val="0"/>
              <w:marBottom w:val="0"/>
              <w:divBdr>
                <w:top w:val="none" w:sz="0" w:space="0" w:color="auto"/>
                <w:left w:val="none" w:sz="0" w:space="0" w:color="auto"/>
                <w:bottom w:val="none" w:sz="0" w:space="0" w:color="auto"/>
                <w:right w:val="none" w:sz="0" w:space="0" w:color="auto"/>
              </w:divBdr>
            </w:div>
            <w:div w:id="2137218612">
              <w:marLeft w:val="0"/>
              <w:marRight w:val="0"/>
              <w:marTop w:val="0"/>
              <w:marBottom w:val="0"/>
              <w:divBdr>
                <w:top w:val="none" w:sz="0" w:space="0" w:color="auto"/>
                <w:left w:val="none" w:sz="0" w:space="0" w:color="auto"/>
                <w:bottom w:val="none" w:sz="0" w:space="0" w:color="auto"/>
                <w:right w:val="none" w:sz="0" w:space="0" w:color="auto"/>
              </w:divBdr>
            </w:div>
          </w:divsChild>
        </w:div>
        <w:div w:id="503665044">
          <w:marLeft w:val="0"/>
          <w:marRight w:val="0"/>
          <w:marTop w:val="0"/>
          <w:marBottom w:val="0"/>
          <w:divBdr>
            <w:top w:val="none" w:sz="0" w:space="0" w:color="auto"/>
            <w:left w:val="none" w:sz="0" w:space="0" w:color="auto"/>
            <w:bottom w:val="none" w:sz="0" w:space="0" w:color="auto"/>
            <w:right w:val="none" w:sz="0" w:space="0" w:color="auto"/>
          </w:divBdr>
        </w:div>
        <w:div w:id="624114764">
          <w:marLeft w:val="0"/>
          <w:marRight w:val="0"/>
          <w:marTop w:val="0"/>
          <w:marBottom w:val="0"/>
          <w:divBdr>
            <w:top w:val="none" w:sz="0" w:space="0" w:color="auto"/>
            <w:left w:val="none" w:sz="0" w:space="0" w:color="auto"/>
            <w:bottom w:val="none" w:sz="0" w:space="0" w:color="auto"/>
            <w:right w:val="none" w:sz="0" w:space="0" w:color="auto"/>
          </w:divBdr>
        </w:div>
        <w:div w:id="786235852">
          <w:marLeft w:val="0"/>
          <w:marRight w:val="0"/>
          <w:marTop w:val="0"/>
          <w:marBottom w:val="0"/>
          <w:divBdr>
            <w:top w:val="none" w:sz="0" w:space="0" w:color="auto"/>
            <w:left w:val="none" w:sz="0" w:space="0" w:color="auto"/>
            <w:bottom w:val="none" w:sz="0" w:space="0" w:color="auto"/>
            <w:right w:val="none" w:sz="0" w:space="0" w:color="auto"/>
          </w:divBdr>
        </w:div>
        <w:div w:id="859245306">
          <w:marLeft w:val="0"/>
          <w:marRight w:val="0"/>
          <w:marTop w:val="0"/>
          <w:marBottom w:val="0"/>
          <w:divBdr>
            <w:top w:val="none" w:sz="0" w:space="0" w:color="auto"/>
            <w:left w:val="none" w:sz="0" w:space="0" w:color="auto"/>
            <w:bottom w:val="none" w:sz="0" w:space="0" w:color="auto"/>
            <w:right w:val="none" w:sz="0" w:space="0" w:color="auto"/>
          </w:divBdr>
        </w:div>
        <w:div w:id="994533355">
          <w:marLeft w:val="0"/>
          <w:marRight w:val="0"/>
          <w:marTop w:val="0"/>
          <w:marBottom w:val="0"/>
          <w:divBdr>
            <w:top w:val="none" w:sz="0" w:space="0" w:color="auto"/>
            <w:left w:val="none" w:sz="0" w:space="0" w:color="auto"/>
            <w:bottom w:val="none" w:sz="0" w:space="0" w:color="auto"/>
            <w:right w:val="none" w:sz="0" w:space="0" w:color="auto"/>
          </w:divBdr>
        </w:div>
        <w:div w:id="1036391789">
          <w:marLeft w:val="0"/>
          <w:marRight w:val="0"/>
          <w:marTop w:val="0"/>
          <w:marBottom w:val="0"/>
          <w:divBdr>
            <w:top w:val="none" w:sz="0" w:space="0" w:color="auto"/>
            <w:left w:val="none" w:sz="0" w:space="0" w:color="auto"/>
            <w:bottom w:val="none" w:sz="0" w:space="0" w:color="auto"/>
            <w:right w:val="none" w:sz="0" w:space="0" w:color="auto"/>
          </w:divBdr>
        </w:div>
        <w:div w:id="1042822460">
          <w:marLeft w:val="0"/>
          <w:marRight w:val="0"/>
          <w:marTop w:val="0"/>
          <w:marBottom w:val="0"/>
          <w:divBdr>
            <w:top w:val="none" w:sz="0" w:space="0" w:color="auto"/>
            <w:left w:val="none" w:sz="0" w:space="0" w:color="auto"/>
            <w:bottom w:val="none" w:sz="0" w:space="0" w:color="auto"/>
            <w:right w:val="none" w:sz="0" w:space="0" w:color="auto"/>
          </w:divBdr>
        </w:div>
        <w:div w:id="1043137256">
          <w:marLeft w:val="0"/>
          <w:marRight w:val="0"/>
          <w:marTop w:val="0"/>
          <w:marBottom w:val="0"/>
          <w:divBdr>
            <w:top w:val="none" w:sz="0" w:space="0" w:color="auto"/>
            <w:left w:val="none" w:sz="0" w:space="0" w:color="auto"/>
            <w:bottom w:val="none" w:sz="0" w:space="0" w:color="auto"/>
            <w:right w:val="none" w:sz="0" w:space="0" w:color="auto"/>
          </w:divBdr>
        </w:div>
        <w:div w:id="1099448104">
          <w:marLeft w:val="0"/>
          <w:marRight w:val="0"/>
          <w:marTop w:val="0"/>
          <w:marBottom w:val="0"/>
          <w:divBdr>
            <w:top w:val="none" w:sz="0" w:space="0" w:color="auto"/>
            <w:left w:val="none" w:sz="0" w:space="0" w:color="auto"/>
            <w:bottom w:val="none" w:sz="0" w:space="0" w:color="auto"/>
            <w:right w:val="none" w:sz="0" w:space="0" w:color="auto"/>
          </w:divBdr>
        </w:div>
        <w:div w:id="1203590509">
          <w:marLeft w:val="0"/>
          <w:marRight w:val="0"/>
          <w:marTop w:val="0"/>
          <w:marBottom w:val="0"/>
          <w:divBdr>
            <w:top w:val="none" w:sz="0" w:space="0" w:color="auto"/>
            <w:left w:val="none" w:sz="0" w:space="0" w:color="auto"/>
            <w:bottom w:val="none" w:sz="0" w:space="0" w:color="auto"/>
            <w:right w:val="none" w:sz="0" w:space="0" w:color="auto"/>
          </w:divBdr>
        </w:div>
        <w:div w:id="1260092793">
          <w:marLeft w:val="0"/>
          <w:marRight w:val="0"/>
          <w:marTop w:val="0"/>
          <w:marBottom w:val="0"/>
          <w:divBdr>
            <w:top w:val="none" w:sz="0" w:space="0" w:color="auto"/>
            <w:left w:val="none" w:sz="0" w:space="0" w:color="auto"/>
            <w:bottom w:val="none" w:sz="0" w:space="0" w:color="auto"/>
            <w:right w:val="none" w:sz="0" w:space="0" w:color="auto"/>
          </w:divBdr>
        </w:div>
        <w:div w:id="1274241555">
          <w:marLeft w:val="0"/>
          <w:marRight w:val="0"/>
          <w:marTop w:val="0"/>
          <w:marBottom w:val="0"/>
          <w:divBdr>
            <w:top w:val="none" w:sz="0" w:space="0" w:color="auto"/>
            <w:left w:val="none" w:sz="0" w:space="0" w:color="auto"/>
            <w:bottom w:val="none" w:sz="0" w:space="0" w:color="auto"/>
            <w:right w:val="none" w:sz="0" w:space="0" w:color="auto"/>
          </w:divBdr>
        </w:div>
        <w:div w:id="1448503525">
          <w:marLeft w:val="0"/>
          <w:marRight w:val="0"/>
          <w:marTop w:val="0"/>
          <w:marBottom w:val="0"/>
          <w:divBdr>
            <w:top w:val="none" w:sz="0" w:space="0" w:color="auto"/>
            <w:left w:val="none" w:sz="0" w:space="0" w:color="auto"/>
            <w:bottom w:val="none" w:sz="0" w:space="0" w:color="auto"/>
            <w:right w:val="none" w:sz="0" w:space="0" w:color="auto"/>
          </w:divBdr>
        </w:div>
        <w:div w:id="1539319760">
          <w:marLeft w:val="0"/>
          <w:marRight w:val="0"/>
          <w:marTop w:val="0"/>
          <w:marBottom w:val="0"/>
          <w:divBdr>
            <w:top w:val="none" w:sz="0" w:space="0" w:color="auto"/>
            <w:left w:val="none" w:sz="0" w:space="0" w:color="auto"/>
            <w:bottom w:val="none" w:sz="0" w:space="0" w:color="auto"/>
            <w:right w:val="none" w:sz="0" w:space="0" w:color="auto"/>
          </w:divBdr>
        </w:div>
        <w:div w:id="1587961954">
          <w:marLeft w:val="0"/>
          <w:marRight w:val="0"/>
          <w:marTop w:val="0"/>
          <w:marBottom w:val="0"/>
          <w:divBdr>
            <w:top w:val="none" w:sz="0" w:space="0" w:color="auto"/>
            <w:left w:val="none" w:sz="0" w:space="0" w:color="auto"/>
            <w:bottom w:val="none" w:sz="0" w:space="0" w:color="auto"/>
            <w:right w:val="none" w:sz="0" w:space="0" w:color="auto"/>
          </w:divBdr>
        </w:div>
        <w:div w:id="1766464659">
          <w:marLeft w:val="0"/>
          <w:marRight w:val="0"/>
          <w:marTop w:val="0"/>
          <w:marBottom w:val="0"/>
          <w:divBdr>
            <w:top w:val="none" w:sz="0" w:space="0" w:color="auto"/>
            <w:left w:val="none" w:sz="0" w:space="0" w:color="auto"/>
            <w:bottom w:val="none" w:sz="0" w:space="0" w:color="auto"/>
            <w:right w:val="none" w:sz="0" w:space="0" w:color="auto"/>
          </w:divBdr>
        </w:div>
        <w:div w:id="1848866960">
          <w:marLeft w:val="0"/>
          <w:marRight w:val="0"/>
          <w:marTop w:val="0"/>
          <w:marBottom w:val="0"/>
          <w:divBdr>
            <w:top w:val="none" w:sz="0" w:space="0" w:color="auto"/>
            <w:left w:val="none" w:sz="0" w:space="0" w:color="auto"/>
            <w:bottom w:val="none" w:sz="0" w:space="0" w:color="auto"/>
            <w:right w:val="none" w:sz="0" w:space="0" w:color="auto"/>
          </w:divBdr>
          <w:divsChild>
            <w:div w:id="281889235">
              <w:marLeft w:val="0"/>
              <w:marRight w:val="0"/>
              <w:marTop w:val="0"/>
              <w:marBottom w:val="0"/>
              <w:divBdr>
                <w:top w:val="none" w:sz="0" w:space="0" w:color="auto"/>
                <w:left w:val="none" w:sz="0" w:space="0" w:color="auto"/>
                <w:bottom w:val="none" w:sz="0" w:space="0" w:color="auto"/>
                <w:right w:val="none" w:sz="0" w:space="0" w:color="auto"/>
              </w:divBdr>
            </w:div>
            <w:div w:id="346717985">
              <w:marLeft w:val="0"/>
              <w:marRight w:val="0"/>
              <w:marTop w:val="0"/>
              <w:marBottom w:val="0"/>
              <w:divBdr>
                <w:top w:val="none" w:sz="0" w:space="0" w:color="auto"/>
                <w:left w:val="none" w:sz="0" w:space="0" w:color="auto"/>
                <w:bottom w:val="none" w:sz="0" w:space="0" w:color="auto"/>
                <w:right w:val="none" w:sz="0" w:space="0" w:color="auto"/>
              </w:divBdr>
            </w:div>
            <w:div w:id="379668520">
              <w:marLeft w:val="0"/>
              <w:marRight w:val="0"/>
              <w:marTop w:val="0"/>
              <w:marBottom w:val="0"/>
              <w:divBdr>
                <w:top w:val="none" w:sz="0" w:space="0" w:color="auto"/>
                <w:left w:val="none" w:sz="0" w:space="0" w:color="auto"/>
                <w:bottom w:val="none" w:sz="0" w:space="0" w:color="auto"/>
                <w:right w:val="none" w:sz="0" w:space="0" w:color="auto"/>
              </w:divBdr>
            </w:div>
            <w:div w:id="397746423">
              <w:marLeft w:val="0"/>
              <w:marRight w:val="0"/>
              <w:marTop w:val="0"/>
              <w:marBottom w:val="0"/>
              <w:divBdr>
                <w:top w:val="none" w:sz="0" w:space="0" w:color="auto"/>
                <w:left w:val="none" w:sz="0" w:space="0" w:color="auto"/>
                <w:bottom w:val="none" w:sz="0" w:space="0" w:color="auto"/>
                <w:right w:val="none" w:sz="0" w:space="0" w:color="auto"/>
              </w:divBdr>
            </w:div>
            <w:div w:id="417139873">
              <w:marLeft w:val="0"/>
              <w:marRight w:val="0"/>
              <w:marTop w:val="0"/>
              <w:marBottom w:val="0"/>
              <w:divBdr>
                <w:top w:val="none" w:sz="0" w:space="0" w:color="auto"/>
                <w:left w:val="none" w:sz="0" w:space="0" w:color="auto"/>
                <w:bottom w:val="none" w:sz="0" w:space="0" w:color="auto"/>
                <w:right w:val="none" w:sz="0" w:space="0" w:color="auto"/>
              </w:divBdr>
            </w:div>
            <w:div w:id="420420911">
              <w:marLeft w:val="0"/>
              <w:marRight w:val="0"/>
              <w:marTop w:val="0"/>
              <w:marBottom w:val="0"/>
              <w:divBdr>
                <w:top w:val="none" w:sz="0" w:space="0" w:color="auto"/>
                <w:left w:val="none" w:sz="0" w:space="0" w:color="auto"/>
                <w:bottom w:val="none" w:sz="0" w:space="0" w:color="auto"/>
                <w:right w:val="none" w:sz="0" w:space="0" w:color="auto"/>
              </w:divBdr>
            </w:div>
            <w:div w:id="638077289">
              <w:marLeft w:val="0"/>
              <w:marRight w:val="0"/>
              <w:marTop w:val="0"/>
              <w:marBottom w:val="0"/>
              <w:divBdr>
                <w:top w:val="none" w:sz="0" w:space="0" w:color="auto"/>
                <w:left w:val="none" w:sz="0" w:space="0" w:color="auto"/>
                <w:bottom w:val="none" w:sz="0" w:space="0" w:color="auto"/>
                <w:right w:val="none" w:sz="0" w:space="0" w:color="auto"/>
              </w:divBdr>
            </w:div>
            <w:div w:id="691419340">
              <w:marLeft w:val="0"/>
              <w:marRight w:val="0"/>
              <w:marTop w:val="0"/>
              <w:marBottom w:val="0"/>
              <w:divBdr>
                <w:top w:val="none" w:sz="0" w:space="0" w:color="auto"/>
                <w:left w:val="none" w:sz="0" w:space="0" w:color="auto"/>
                <w:bottom w:val="none" w:sz="0" w:space="0" w:color="auto"/>
                <w:right w:val="none" w:sz="0" w:space="0" w:color="auto"/>
              </w:divBdr>
            </w:div>
            <w:div w:id="741952372">
              <w:marLeft w:val="0"/>
              <w:marRight w:val="0"/>
              <w:marTop w:val="0"/>
              <w:marBottom w:val="0"/>
              <w:divBdr>
                <w:top w:val="none" w:sz="0" w:space="0" w:color="auto"/>
                <w:left w:val="none" w:sz="0" w:space="0" w:color="auto"/>
                <w:bottom w:val="none" w:sz="0" w:space="0" w:color="auto"/>
                <w:right w:val="none" w:sz="0" w:space="0" w:color="auto"/>
              </w:divBdr>
            </w:div>
            <w:div w:id="859322340">
              <w:marLeft w:val="0"/>
              <w:marRight w:val="0"/>
              <w:marTop w:val="0"/>
              <w:marBottom w:val="0"/>
              <w:divBdr>
                <w:top w:val="none" w:sz="0" w:space="0" w:color="auto"/>
                <w:left w:val="none" w:sz="0" w:space="0" w:color="auto"/>
                <w:bottom w:val="none" w:sz="0" w:space="0" w:color="auto"/>
                <w:right w:val="none" w:sz="0" w:space="0" w:color="auto"/>
              </w:divBdr>
            </w:div>
            <w:div w:id="903951409">
              <w:marLeft w:val="0"/>
              <w:marRight w:val="0"/>
              <w:marTop w:val="0"/>
              <w:marBottom w:val="0"/>
              <w:divBdr>
                <w:top w:val="none" w:sz="0" w:space="0" w:color="auto"/>
                <w:left w:val="none" w:sz="0" w:space="0" w:color="auto"/>
                <w:bottom w:val="none" w:sz="0" w:space="0" w:color="auto"/>
                <w:right w:val="none" w:sz="0" w:space="0" w:color="auto"/>
              </w:divBdr>
            </w:div>
            <w:div w:id="907421227">
              <w:marLeft w:val="0"/>
              <w:marRight w:val="0"/>
              <w:marTop w:val="0"/>
              <w:marBottom w:val="0"/>
              <w:divBdr>
                <w:top w:val="none" w:sz="0" w:space="0" w:color="auto"/>
                <w:left w:val="none" w:sz="0" w:space="0" w:color="auto"/>
                <w:bottom w:val="none" w:sz="0" w:space="0" w:color="auto"/>
                <w:right w:val="none" w:sz="0" w:space="0" w:color="auto"/>
              </w:divBdr>
            </w:div>
            <w:div w:id="991523680">
              <w:marLeft w:val="0"/>
              <w:marRight w:val="0"/>
              <w:marTop w:val="0"/>
              <w:marBottom w:val="0"/>
              <w:divBdr>
                <w:top w:val="none" w:sz="0" w:space="0" w:color="auto"/>
                <w:left w:val="none" w:sz="0" w:space="0" w:color="auto"/>
                <w:bottom w:val="none" w:sz="0" w:space="0" w:color="auto"/>
                <w:right w:val="none" w:sz="0" w:space="0" w:color="auto"/>
              </w:divBdr>
            </w:div>
            <w:div w:id="1154174889">
              <w:marLeft w:val="0"/>
              <w:marRight w:val="0"/>
              <w:marTop w:val="0"/>
              <w:marBottom w:val="0"/>
              <w:divBdr>
                <w:top w:val="none" w:sz="0" w:space="0" w:color="auto"/>
                <w:left w:val="none" w:sz="0" w:space="0" w:color="auto"/>
                <w:bottom w:val="none" w:sz="0" w:space="0" w:color="auto"/>
                <w:right w:val="none" w:sz="0" w:space="0" w:color="auto"/>
              </w:divBdr>
            </w:div>
            <w:div w:id="1185440027">
              <w:marLeft w:val="0"/>
              <w:marRight w:val="0"/>
              <w:marTop w:val="0"/>
              <w:marBottom w:val="0"/>
              <w:divBdr>
                <w:top w:val="none" w:sz="0" w:space="0" w:color="auto"/>
                <w:left w:val="none" w:sz="0" w:space="0" w:color="auto"/>
                <w:bottom w:val="none" w:sz="0" w:space="0" w:color="auto"/>
                <w:right w:val="none" w:sz="0" w:space="0" w:color="auto"/>
              </w:divBdr>
            </w:div>
            <w:div w:id="1242450543">
              <w:marLeft w:val="0"/>
              <w:marRight w:val="0"/>
              <w:marTop w:val="0"/>
              <w:marBottom w:val="0"/>
              <w:divBdr>
                <w:top w:val="none" w:sz="0" w:space="0" w:color="auto"/>
                <w:left w:val="none" w:sz="0" w:space="0" w:color="auto"/>
                <w:bottom w:val="none" w:sz="0" w:space="0" w:color="auto"/>
                <w:right w:val="none" w:sz="0" w:space="0" w:color="auto"/>
              </w:divBdr>
            </w:div>
            <w:div w:id="1346319501">
              <w:marLeft w:val="0"/>
              <w:marRight w:val="0"/>
              <w:marTop w:val="0"/>
              <w:marBottom w:val="0"/>
              <w:divBdr>
                <w:top w:val="none" w:sz="0" w:space="0" w:color="auto"/>
                <w:left w:val="none" w:sz="0" w:space="0" w:color="auto"/>
                <w:bottom w:val="none" w:sz="0" w:space="0" w:color="auto"/>
                <w:right w:val="none" w:sz="0" w:space="0" w:color="auto"/>
              </w:divBdr>
            </w:div>
            <w:div w:id="1665165697">
              <w:marLeft w:val="0"/>
              <w:marRight w:val="0"/>
              <w:marTop w:val="0"/>
              <w:marBottom w:val="0"/>
              <w:divBdr>
                <w:top w:val="none" w:sz="0" w:space="0" w:color="auto"/>
                <w:left w:val="none" w:sz="0" w:space="0" w:color="auto"/>
                <w:bottom w:val="none" w:sz="0" w:space="0" w:color="auto"/>
                <w:right w:val="none" w:sz="0" w:space="0" w:color="auto"/>
              </w:divBdr>
            </w:div>
            <w:div w:id="1795558764">
              <w:marLeft w:val="0"/>
              <w:marRight w:val="0"/>
              <w:marTop w:val="0"/>
              <w:marBottom w:val="0"/>
              <w:divBdr>
                <w:top w:val="none" w:sz="0" w:space="0" w:color="auto"/>
                <w:left w:val="none" w:sz="0" w:space="0" w:color="auto"/>
                <w:bottom w:val="none" w:sz="0" w:space="0" w:color="auto"/>
                <w:right w:val="none" w:sz="0" w:space="0" w:color="auto"/>
              </w:divBdr>
            </w:div>
            <w:div w:id="2028292335">
              <w:marLeft w:val="0"/>
              <w:marRight w:val="0"/>
              <w:marTop w:val="0"/>
              <w:marBottom w:val="0"/>
              <w:divBdr>
                <w:top w:val="none" w:sz="0" w:space="0" w:color="auto"/>
                <w:left w:val="none" w:sz="0" w:space="0" w:color="auto"/>
                <w:bottom w:val="none" w:sz="0" w:space="0" w:color="auto"/>
                <w:right w:val="none" w:sz="0" w:space="0" w:color="auto"/>
              </w:divBdr>
            </w:div>
          </w:divsChild>
        </w:div>
        <w:div w:id="1901818997">
          <w:marLeft w:val="0"/>
          <w:marRight w:val="0"/>
          <w:marTop w:val="0"/>
          <w:marBottom w:val="0"/>
          <w:divBdr>
            <w:top w:val="none" w:sz="0" w:space="0" w:color="auto"/>
            <w:left w:val="none" w:sz="0" w:space="0" w:color="auto"/>
            <w:bottom w:val="none" w:sz="0" w:space="0" w:color="auto"/>
            <w:right w:val="none" w:sz="0" w:space="0" w:color="auto"/>
          </w:divBdr>
          <w:divsChild>
            <w:div w:id="37901779">
              <w:marLeft w:val="0"/>
              <w:marRight w:val="0"/>
              <w:marTop w:val="0"/>
              <w:marBottom w:val="0"/>
              <w:divBdr>
                <w:top w:val="none" w:sz="0" w:space="0" w:color="auto"/>
                <w:left w:val="none" w:sz="0" w:space="0" w:color="auto"/>
                <w:bottom w:val="none" w:sz="0" w:space="0" w:color="auto"/>
                <w:right w:val="none" w:sz="0" w:space="0" w:color="auto"/>
              </w:divBdr>
            </w:div>
            <w:div w:id="312221837">
              <w:marLeft w:val="0"/>
              <w:marRight w:val="0"/>
              <w:marTop w:val="0"/>
              <w:marBottom w:val="0"/>
              <w:divBdr>
                <w:top w:val="none" w:sz="0" w:space="0" w:color="auto"/>
                <w:left w:val="none" w:sz="0" w:space="0" w:color="auto"/>
                <w:bottom w:val="none" w:sz="0" w:space="0" w:color="auto"/>
                <w:right w:val="none" w:sz="0" w:space="0" w:color="auto"/>
              </w:divBdr>
            </w:div>
            <w:div w:id="559173438">
              <w:marLeft w:val="0"/>
              <w:marRight w:val="0"/>
              <w:marTop w:val="0"/>
              <w:marBottom w:val="0"/>
              <w:divBdr>
                <w:top w:val="none" w:sz="0" w:space="0" w:color="auto"/>
                <w:left w:val="none" w:sz="0" w:space="0" w:color="auto"/>
                <w:bottom w:val="none" w:sz="0" w:space="0" w:color="auto"/>
                <w:right w:val="none" w:sz="0" w:space="0" w:color="auto"/>
              </w:divBdr>
            </w:div>
            <w:div w:id="620768207">
              <w:marLeft w:val="0"/>
              <w:marRight w:val="0"/>
              <w:marTop w:val="0"/>
              <w:marBottom w:val="0"/>
              <w:divBdr>
                <w:top w:val="none" w:sz="0" w:space="0" w:color="auto"/>
                <w:left w:val="none" w:sz="0" w:space="0" w:color="auto"/>
                <w:bottom w:val="none" w:sz="0" w:space="0" w:color="auto"/>
                <w:right w:val="none" w:sz="0" w:space="0" w:color="auto"/>
              </w:divBdr>
            </w:div>
            <w:div w:id="841048490">
              <w:marLeft w:val="0"/>
              <w:marRight w:val="0"/>
              <w:marTop w:val="0"/>
              <w:marBottom w:val="0"/>
              <w:divBdr>
                <w:top w:val="none" w:sz="0" w:space="0" w:color="auto"/>
                <w:left w:val="none" w:sz="0" w:space="0" w:color="auto"/>
                <w:bottom w:val="none" w:sz="0" w:space="0" w:color="auto"/>
                <w:right w:val="none" w:sz="0" w:space="0" w:color="auto"/>
              </w:divBdr>
            </w:div>
            <w:div w:id="1104424375">
              <w:marLeft w:val="0"/>
              <w:marRight w:val="0"/>
              <w:marTop w:val="0"/>
              <w:marBottom w:val="0"/>
              <w:divBdr>
                <w:top w:val="none" w:sz="0" w:space="0" w:color="auto"/>
                <w:left w:val="none" w:sz="0" w:space="0" w:color="auto"/>
                <w:bottom w:val="none" w:sz="0" w:space="0" w:color="auto"/>
                <w:right w:val="none" w:sz="0" w:space="0" w:color="auto"/>
              </w:divBdr>
            </w:div>
            <w:div w:id="1139961950">
              <w:marLeft w:val="0"/>
              <w:marRight w:val="0"/>
              <w:marTop w:val="0"/>
              <w:marBottom w:val="0"/>
              <w:divBdr>
                <w:top w:val="none" w:sz="0" w:space="0" w:color="auto"/>
                <w:left w:val="none" w:sz="0" w:space="0" w:color="auto"/>
                <w:bottom w:val="none" w:sz="0" w:space="0" w:color="auto"/>
                <w:right w:val="none" w:sz="0" w:space="0" w:color="auto"/>
              </w:divBdr>
            </w:div>
            <w:div w:id="1143278954">
              <w:marLeft w:val="0"/>
              <w:marRight w:val="0"/>
              <w:marTop w:val="0"/>
              <w:marBottom w:val="0"/>
              <w:divBdr>
                <w:top w:val="none" w:sz="0" w:space="0" w:color="auto"/>
                <w:left w:val="none" w:sz="0" w:space="0" w:color="auto"/>
                <w:bottom w:val="none" w:sz="0" w:space="0" w:color="auto"/>
                <w:right w:val="none" w:sz="0" w:space="0" w:color="auto"/>
              </w:divBdr>
            </w:div>
            <w:div w:id="1203790078">
              <w:marLeft w:val="0"/>
              <w:marRight w:val="0"/>
              <w:marTop w:val="0"/>
              <w:marBottom w:val="0"/>
              <w:divBdr>
                <w:top w:val="none" w:sz="0" w:space="0" w:color="auto"/>
                <w:left w:val="none" w:sz="0" w:space="0" w:color="auto"/>
                <w:bottom w:val="none" w:sz="0" w:space="0" w:color="auto"/>
                <w:right w:val="none" w:sz="0" w:space="0" w:color="auto"/>
              </w:divBdr>
            </w:div>
            <w:div w:id="1225027687">
              <w:marLeft w:val="0"/>
              <w:marRight w:val="0"/>
              <w:marTop w:val="0"/>
              <w:marBottom w:val="0"/>
              <w:divBdr>
                <w:top w:val="none" w:sz="0" w:space="0" w:color="auto"/>
                <w:left w:val="none" w:sz="0" w:space="0" w:color="auto"/>
                <w:bottom w:val="none" w:sz="0" w:space="0" w:color="auto"/>
                <w:right w:val="none" w:sz="0" w:space="0" w:color="auto"/>
              </w:divBdr>
            </w:div>
            <w:div w:id="1249388743">
              <w:marLeft w:val="0"/>
              <w:marRight w:val="0"/>
              <w:marTop w:val="0"/>
              <w:marBottom w:val="0"/>
              <w:divBdr>
                <w:top w:val="none" w:sz="0" w:space="0" w:color="auto"/>
                <w:left w:val="none" w:sz="0" w:space="0" w:color="auto"/>
                <w:bottom w:val="none" w:sz="0" w:space="0" w:color="auto"/>
                <w:right w:val="none" w:sz="0" w:space="0" w:color="auto"/>
              </w:divBdr>
            </w:div>
            <w:div w:id="1493717510">
              <w:marLeft w:val="0"/>
              <w:marRight w:val="0"/>
              <w:marTop w:val="0"/>
              <w:marBottom w:val="0"/>
              <w:divBdr>
                <w:top w:val="none" w:sz="0" w:space="0" w:color="auto"/>
                <w:left w:val="none" w:sz="0" w:space="0" w:color="auto"/>
                <w:bottom w:val="none" w:sz="0" w:space="0" w:color="auto"/>
                <w:right w:val="none" w:sz="0" w:space="0" w:color="auto"/>
              </w:divBdr>
            </w:div>
            <w:div w:id="1605573180">
              <w:marLeft w:val="0"/>
              <w:marRight w:val="0"/>
              <w:marTop w:val="0"/>
              <w:marBottom w:val="0"/>
              <w:divBdr>
                <w:top w:val="none" w:sz="0" w:space="0" w:color="auto"/>
                <w:left w:val="none" w:sz="0" w:space="0" w:color="auto"/>
                <w:bottom w:val="none" w:sz="0" w:space="0" w:color="auto"/>
                <w:right w:val="none" w:sz="0" w:space="0" w:color="auto"/>
              </w:divBdr>
            </w:div>
            <w:div w:id="1645116622">
              <w:marLeft w:val="0"/>
              <w:marRight w:val="0"/>
              <w:marTop w:val="0"/>
              <w:marBottom w:val="0"/>
              <w:divBdr>
                <w:top w:val="none" w:sz="0" w:space="0" w:color="auto"/>
                <w:left w:val="none" w:sz="0" w:space="0" w:color="auto"/>
                <w:bottom w:val="none" w:sz="0" w:space="0" w:color="auto"/>
                <w:right w:val="none" w:sz="0" w:space="0" w:color="auto"/>
              </w:divBdr>
            </w:div>
            <w:div w:id="1712267595">
              <w:marLeft w:val="0"/>
              <w:marRight w:val="0"/>
              <w:marTop w:val="0"/>
              <w:marBottom w:val="0"/>
              <w:divBdr>
                <w:top w:val="none" w:sz="0" w:space="0" w:color="auto"/>
                <w:left w:val="none" w:sz="0" w:space="0" w:color="auto"/>
                <w:bottom w:val="none" w:sz="0" w:space="0" w:color="auto"/>
                <w:right w:val="none" w:sz="0" w:space="0" w:color="auto"/>
              </w:divBdr>
            </w:div>
            <w:div w:id="1733847840">
              <w:marLeft w:val="0"/>
              <w:marRight w:val="0"/>
              <w:marTop w:val="0"/>
              <w:marBottom w:val="0"/>
              <w:divBdr>
                <w:top w:val="none" w:sz="0" w:space="0" w:color="auto"/>
                <w:left w:val="none" w:sz="0" w:space="0" w:color="auto"/>
                <w:bottom w:val="none" w:sz="0" w:space="0" w:color="auto"/>
                <w:right w:val="none" w:sz="0" w:space="0" w:color="auto"/>
              </w:divBdr>
            </w:div>
            <w:div w:id="1860049274">
              <w:marLeft w:val="0"/>
              <w:marRight w:val="0"/>
              <w:marTop w:val="0"/>
              <w:marBottom w:val="0"/>
              <w:divBdr>
                <w:top w:val="none" w:sz="0" w:space="0" w:color="auto"/>
                <w:left w:val="none" w:sz="0" w:space="0" w:color="auto"/>
                <w:bottom w:val="none" w:sz="0" w:space="0" w:color="auto"/>
                <w:right w:val="none" w:sz="0" w:space="0" w:color="auto"/>
              </w:divBdr>
            </w:div>
            <w:div w:id="1876966820">
              <w:marLeft w:val="0"/>
              <w:marRight w:val="0"/>
              <w:marTop w:val="0"/>
              <w:marBottom w:val="0"/>
              <w:divBdr>
                <w:top w:val="none" w:sz="0" w:space="0" w:color="auto"/>
                <w:left w:val="none" w:sz="0" w:space="0" w:color="auto"/>
                <w:bottom w:val="none" w:sz="0" w:space="0" w:color="auto"/>
                <w:right w:val="none" w:sz="0" w:space="0" w:color="auto"/>
              </w:divBdr>
            </w:div>
            <w:div w:id="1968000055">
              <w:marLeft w:val="0"/>
              <w:marRight w:val="0"/>
              <w:marTop w:val="0"/>
              <w:marBottom w:val="0"/>
              <w:divBdr>
                <w:top w:val="none" w:sz="0" w:space="0" w:color="auto"/>
                <w:left w:val="none" w:sz="0" w:space="0" w:color="auto"/>
                <w:bottom w:val="none" w:sz="0" w:space="0" w:color="auto"/>
                <w:right w:val="none" w:sz="0" w:space="0" w:color="auto"/>
              </w:divBdr>
            </w:div>
            <w:div w:id="2132698282">
              <w:marLeft w:val="0"/>
              <w:marRight w:val="0"/>
              <w:marTop w:val="0"/>
              <w:marBottom w:val="0"/>
              <w:divBdr>
                <w:top w:val="none" w:sz="0" w:space="0" w:color="auto"/>
                <w:left w:val="none" w:sz="0" w:space="0" w:color="auto"/>
                <w:bottom w:val="none" w:sz="0" w:space="0" w:color="auto"/>
                <w:right w:val="none" w:sz="0" w:space="0" w:color="auto"/>
              </w:divBdr>
            </w:div>
          </w:divsChild>
        </w:div>
        <w:div w:id="2080981326">
          <w:marLeft w:val="0"/>
          <w:marRight w:val="0"/>
          <w:marTop w:val="0"/>
          <w:marBottom w:val="0"/>
          <w:divBdr>
            <w:top w:val="none" w:sz="0" w:space="0" w:color="auto"/>
            <w:left w:val="none" w:sz="0" w:space="0" w:color="auto"/>
            <w:bottom w:val="none" w:sz="0" w:space="0" w:color="auto"/>
            <w:right w:val="none" w:sz="0" w:space="0" w:color="auto"/>
          </w:divBdr>
        </w:div>
        <w:div w:id="2115468717">
          <w:marLeft w:val="0"/>
          <w:marRight w:val="0"/>
          <w:marTop w:val="0"/>
          <w:marBottom w:val="0"/>
          <w:divBdr>
            <w:top w:val="none" w:sz="0" w:space="0" w:color="auto"/>
            <w:left w:val="none" w:sz="0" w:space="0" w:color="auto"/>
            <w:bottom w:val="none" w:sz="0" w:space="0" w:color="auto"/>
            <w:right w:val="none" w:sz="0" w:space="0" w:color="auto"/>
          </w:divBdr>
        </w:div>
      </w:divsChild>
    </w:div>
    <w:div w:id="863792184">
      <w:bodyDiv w:val="1"/>
      <w:marLeft w:val="0"/>
      <w:marRight w:val="0"/>
      <w:marTop w:val="0"/>
      <w:marBottom w:val="0"/>
      <w:divBdr>
        <w:top w:val="none" w:sz="0" w:space="0" w:color="auto"/>
        <w:left w:val="none" w:sz="0" w:space="0" w:color="auto"/>
        <w:bottom w:val="none" w:sz="0" w:space="0" w:color="auto"/>
        <w:right w:val="none" w:sz="0" w:space="0" w:color="auto"/>
      </w:divBdr>
    </w:div>
    <w:div w:id="874730752">
      <w:bodyDiv w:val="1"/>
      <w:marLeft w:val="0"/>
      <w:marRight w:val="0"/>
      <w:marTop w:val="0"/>
      <w:marBottom w:val="0"/>
      <w:divBdr>
        <w:top w:val="none" w:sz="0" w:space="0" w:color="auto"/>
        <w:left w:val="none" w:sz="0" w:space="0" w:color="auto"/>
        <w:bottom w:val="none" w:sz="0" w:space="0" w:color="auto"/>
        <w:right w:val="none" w:sz="0" w:space="0" w:color="auto"/>
      </w:divBdr>
    </w:div>
    <w:div w:id="891499659">
      <w:bodyDiv w:val="1"/>
      <w:marLeft w:val="0"/>
      <w:marRight w:val="0"/>
      <w:marTop w:val="0"/>
      <w:marBottom w:val="0"/>
      <w:divBdr>
        <w:top w:val="none" w:sz="0" w:space="0" w:color="auto"/>
        <w:left w:val="none" w:sz="0" w:space="0" w:color="auto"/>
        <w:bottom w:val="none" w:sz="0" w:space="0" w:color="auto"/>
        <w:right w:val="none" w:sz="0" w:space="0" w:color="auto"/>
      </w:divBdr>
    </w:div>
    <w:div w:id="902758765">
      <w:bodyDiv w:val="1"/>
      <w:marLeft w:val="0"/>
      <w:marRight w:val="0"/>
      <w:marTop w:val="0"/>
      <w:marBottom w:val="0"/>
      <w:divBdr>
        <w:top w:val="none" w:sz="0" w:space="0" w:color="auto"/>
        <w:left w:val="none" w:sz="0" w:space="0" w:color="auto"/>
        <w:bottom w:val="none" w:sz="0" w:space="0" w:color="auto"/>
        <w:right w:val="none" w:sz="0" w:space="0" w:color="auto"/>
      </w:divBdr>
    </w:div>
    <w:div w:id="969172508">
      <w:bodyDiv w:val="1"/>
      <w:marLeft w:val="0"/>
      <w:marRight w:val="0"/>
      <w:marTop w:val="0"/>
      <w:marBottom w:val="0"/>
      <w:divBdr>
        <w:top w:val="none" w:sz="0" w:space="0" w:color="auto"/>
        <w:left w:val="none" w:sz="0" w:space="0" w:color="auto"/>
        <w:bottom w:val="none" w:sz="0" w:space="0" w:color="auto"/>
        <w:right w:val="none" w:sz="0" w:space="0" w:color="auto"/>
      </w:divBdr>
    </w:div>
    <w:div w:id="1001196200">
      <w:bodyDiv w:val="1"/>
      <w:marLeft w:val="0"/>
      <w:marRight w:val="0"/>
      <w:marTop w:val="0"/>
      <w:marBottom w:val="0"/>
      <w:divBdr>
        <w:top w:val="none" w:sz="0" w:space="0" w:color="auto"/>
        <w:left w:val="none" w:sz="0" w:space="0" w:color="auto"/>
        <w:bottom w:val="none" w:sz="0" w:space="0" w:color="auto"/>
        <w:right w:val="none" w:sz="0" w:space="0" w:color="auto"/>
      </w:divBdr>
    </w:div>
    <w:div w:id="1005867430">
      <w:bodyDiv w:val="1"/>
      <w:marLeft w:val="0"/>
      <w:marRight w:val="0"/>
      <w:marTop w:val="0"/>
      <w:marBottom w:val="0"/>
      <w:divBdr>
        <w:top w:val="none" w:sz="0" w:space="0" w:color="auto"/>
        <w:left w:val="none" w:sz="0" w:space="0" w:color="auto"/>
        <w:bottom w:val="none" w:sz="0" w:space="0" w:color="auto"/>
        <w:right w:val="none" w:sz="0" w:space="0" w:color="auto"/>
      </w:divBdr>
    </w:div>
    <w:div w:id="1233471647">
      <w:bodyDiv w:val="1"/>
      <w:marLeft w:val="0"/>
      <w:marRight w:val="0"/>
      <w:marTop w:val="0"/>
      <w:marBottom w:val="0"/>
      <w:divBdr>
        <w:top w:val="none" w:sz="0" w:space="0" w:color="auto"/>
        <w:left w:val="none" w:sz="0" w:space="0" w:color="auto"/>
        <w:bottom w:val="none" w:sz="0" w:space="0" w:color="auto"/>
        <w:right w:val="none" w:sz="0" w:space="0" w:color="auto"/>
      </w:divBdr>
    </w:div>
    <w:div w:id="1338460312">
      <w:bodyDiv w:val="1"/>
      <w:marLeft w:val="0"/>
      <w:marRight w:val="0"/>
      <w:marTop w:val="0"/>
      <w:marBottom w:val="0"/>
      <w:divBdr>
        <w:top w:val="none" w:sz="0" w:space="0" w:color="auto"/>
        <w:left w:val="none" w:sz="0" w:space="0" w:color="auto"/>
        <w:bottom w:val="none" w:sz="0" w:space="0" w:color="auto"/>
        <w:right w:val="none" w:sz="0" w:space="0" w:color="auto"/>
      </w:divBdr>
    </w:div>
    <w:div w:id="1382946019">
      <w:bodyDiv w:val="1"/>
      <w:marLeft w:val="0"/>
      <w:marRight w:val="0"/>
      <w:marTop w:val="0"/>
      <w:marBottom w:val="0"/>
      <w:divBdr>
        <w:top w:val="none" w:sz="0" w:space="0" w:color="auto"/>
        <w:left w:val="none" w:sz="0" w:space="0" w:color="auto"/>
        <w:bottom w:val="none" w:sz="0" w:space="0" w:color="auto"/>
        <w:right w:val="none" w:sz="0" w:space="0" w:color="auto"/>
      </w:divBdr>
    </w:div>
    <w:div w:id="1426151884">
      <w:bodyDiv w:val="1"/>
      <w:marLeft w:val="0"/>
      <w:marRight w:val="0"/>
      <w:marTop w:val="0"/>
      <w:marBottom w:val="0"/>
      <w:divBdr>
        <w:top w:val="none" w:sz="0" w:space="0" w:color="auto"/>
        <w:left w:val="none" w:sz="0" w:space="0" w:color="auto"/>
        <w:bottom w:val="none" w:sz="0" w:space="0" w:color="auto"/>
        <w:right w:val="none" w:sz="0" w:space="0" w:color="auto"/>
      </w:divBdr>
    </w:div>
    <w:div w:id="1437142189">
      <w:bodyDiv w:val="1"/>
      <w:marLeft w:val="0"/>
      <w:marRight w:val="0"/>
      <w:marTop w:val="0"/>
      <w:marBottom w:val="0"/>
      <w:divBdr>
        <w:top w:val="none" w:sz="0" w:space="0" w:color="auto"/>
        <w:left w:val="none" w:sz="0" w:space="0" w:color="auto"/>
        <w:bottom w:val="none" w:sz="0" w:space="0" w:color="auto"/>
        <w:right w:val="none" w:sz="0" w:space="0" w:color="auto"/>
      </w:divBdr>
    </w:div>
    <w:div w:id="1444953787">
      <w:bodyDiv w:val="1"/>
      <w:marLeft w:val="0"/>
      <w:marRight w:val="0"/>
      <w:marTop w:val="0"/>
      <w:marBottom w:val="0"/>
      <w:divBdr>
        <w:top w:val="none" w:sz="0" w:space="0" w:color="auto"/>
        <w:left w:val="none" w:sz="0" w:space="0" w:color="auto"/>
        <w:bottom w:val="none" w:sz="0" w:space="0" w:color="auto"/>
        <w:right w:val="none" w:sz="0" w:space="0" w:color="auto"/>
      </w:divBdr>
    </w:div>
    <w:div w:id="1533306078">
      <w:bodyDiv w:val="1"/>
      <w:marLeft w:val="0"/>
      <w:marRight w:val="0"/>
      <w:marTop w:val="0"/>
      <w:marBottom w:val="0"/>
      <w:divBdr>
        <w:top w:val="none" w:sz="0" w:space="0" w:color="auto"/>
        <w:left w:val="none" w:sz="0" w:space="0" w:color="auto"/>
        <w:bottom w:val="none" w:sz="0" w:space="0" w:color="auto"/>
        <w:right w:val="none" w:sz="0" w:space="0" w:color="auto"/>
      </w:divBdr>
      <w:divsChild>
        <w:div w:id="98990211">
          <w:marLeft w:val="0"/>
          <w:marRight w:val="0"/>
          <w:marTop w:val="0"/>
          <w:marBottom w:val="0"/>
          <w:divBdr>
            <w:top w:val="none" w:sz="0" w:space="0" w:color="auto"/>
            <w:left w:val="none" w:sz="0" w:space="0" w:color="auto"/>
            <w:bottom w:val="none" w:sz="0" w:space="0" w:color="auto"/>
            <w:right w:val="none" w:sz="0" w:space="0" w:color="auto"/>
          </w:divBdr>
        </w:div>
        <w:div w:id="141431918">
          <w:marLeft w:val="0"/>
          <w:marRight w:val="0"/>
          <w:marTop w:val="0"/>
          <w:marBottom w:val="0"/>
          <w:divBdr>
            <w:top w:val="none" w:sz="0" w:space="0" w:color="auto"/>
            <w:left w:val="none" w:sz="0" w:space="0" w:color="auto"/>
            <w:bottom w:val="none" w:sz="0" w:space="0" w:color="auto"/>
            <w:right w:val="none" w:sz="0" w:space="0" w:color="auto"/>
          </w:divBdr>
        </w:div>
        <w:div w:id="148785826">
          <w:marLeft w:val="0"/>
          <w:marRight w:val="0"/>
          <w:marTop w:val="0"/>
          <w:marBottom w:val="0"/>
          <w:divBdr>
            <w:top w:val="none" w:sz="0" w:space="0" w:color="auto"/>
            <w:left w:val="none" w:sz="0" w:space="0" w:color="auto"/>
            <w:bottom w:val="none" w:sz="0" w:space="0" w:color="auto"/>
            <w:right w:val="none" w:sz="0" w:space="0" w:color="auto"/>
          </w:divBdr>
        </w:div>
        <w:div w:id="293798136">
          <w:marLeft w:val="0"/>
          <w:marRight w:val="0"/>
          <w:marTop w:val="0"/>
          <w:marBottom w:val="0"/>
          <w:divBdr>
            <w:top w:val="none" w:sz="0" w:space="0" w:color="auto"/>
            <w:left w:val="none" w:sz="0" w:space="0" w:color="auto"/>
            <w:bottom w:val="none" w:sz="0" w:space="0" w:color="auto"/>
            <w:right w:val="none" w:sz="0" w:space="0" w:color="auto"/>
          </w:divBdr>
        </w:div>
        <w:div w:id="363362412">
          <w:marLeft w:val="0"/>
          <w:marRight w:val="0"/>
          <w:marTop w:val="0"/>
          <w:marBottom w:val="0"/>
          <w:divBdr>
            <w:top w:val="none" w:sz="0" w:space="0" w:color="auto"/>
            <w:left w:val="none" w:sz="0" w:space="0" w:color="auto"/>
            <w:bottom w:val="none" w:sz="0" w:space="0" w:color="auto"/>
            <w:right w:val="none" w:sz="0" w:space="0" w:color="auto"/>
          </w:divBdr>
        </w:div>
        <w:div w:id="432365813">
          <w:marLeft w:val="0"/>
          <w:marRight w:val="0"/>
          <w:marTop w:val="0"/>
          <w:marBottom w:val="0"/>
          <w:divBdr>
            <w:top w:val="none" w:sz="0" w:space="0" w:color="auto"/>
            <w:left w:val="none" w:sz="0" w:space="0" w:color="auto"/>
            <w:bottom w:val="none" w:sz="0" w:space="0" w:color="auto"/>
            <w:right w:val="none" w:sz="0" w:space="0" w:color="auto"/>
          </w:divBdr>
        </w:div>
        <w:div w:id="457603709">
          <w:marLeft w:val="0"/>
          <w:marRight w:val="0"/>
          <w:marTop w:val="0"/>
          <w:marBottom w:val="0"/>
          <w:divBdr>
            <w:top w:val="none" w:sz="0" w:space="0" w:color="auto"/>
            <w:left w:val="none" w:sz="0" w:space="0" w:color="auto"/>
            <w:bottom w:val="none" w:sz="0" w:space="0" w:color="auto"/>
            <w:right w:val="none" w:sz="0" w:space="0" w:color="auto"/>
          </w:divBdr>
        </w:div>
        <w:div w:id="461001665">
          <w:marLeft w:val="0"/>
          <w:marRight w:val="0"/>
          <w:marTop w:val="0"/>
          <w:marBottom w:val="0"/>
          <w:divBdr>
            <w:top w:val="none" w:sz="0" w:space="0" w:color="auto"/>
            <w:left w:val="none" w:sz="0" w:space="0" w:color="auto"/>
            <w:bottom w:val="none" w:sz="0" w:space="0" w:color="auto"/>
            <w:right w:val="none" w:sz="0" w:space="0" w:color="auto"/>
          </w:divBdr>
        </w:div>
        <w:div w:id="471365581">
          <w:marLeft w:val="0"/>
          <w:marRight w:val="0"/>
          <w:marTop w:val="0"/>
          <w:marBottom w:val="0"/>
          <w:divBdr>
            <w:top w:val="none" w:sz="0" w:space="0" w:color="auto"/>
            <w:left w:val="none" w:sz="0" w:space="0" w:color="auto"/>
            <w:bottom w:val="none" w:sz="0" w:space="0" w:color="auto"/>
            <w:right w:val="none" w:sz="0" w:space="0" w:color="auto"/>
          </w:divBdr>
        </w:div>
        <w:div w:id="511526789">
          <w:marLeft w:val="0"/>
          <w:marRight w:val="0"/>
          <w:marTop w:val="0"/>
          <w:marBottom w:val="0"/>
          <w:divBdr>
            <w:top w:val="none" w:sz="0" w:space="0" w:color="auto"/>
            <w:left w:val="none" w:sz="0" w:space="0" w:color="auto"/>
            <w:bottom w:val="none" w:sz="0" w:space="0" w:color="auto"/>
            <w:right w:val="none" w:sz="0" w:space="0" w:color="auto"/>
          </w:divBdr>
        </w:div>
        <w:div w:id="554859049">
          <w:marLeft w:val="0"/>
          <w:marRight w:val="0"/>
          <w:marTop w:val="0"/>
          <w:marBottom w:val="0"/>
          <w:divBdr>
            <w:top w:val="none" w:sz="0" w:space="0" w:color="auto"/>
            <w:left w:val="none" w:sz="0" w:space="0" w:color="auto"/>
            <w:bottom w:val="none" w:sz="0" w:space="0" w:color="auto"/>
            <w:right w:val="none" w:sz="0" w:space="0" w:color="auto"/>
          </w:divBdr>
        </w:div>
        <w:div w:id="573465741">
          <w:marLeft w:val="0"/>
          <w:marRight w:val="0"/>
          <w:marTop w:val="0"/>
          <w:marBottom w:val="0"/>
          <w:divBdr>
            <w:top w:val="none" w:sz="0" w:space="0" w:color="auto"/>
            <w:left w:val="none" w:sz="0" w:space="0" w:color="auto"/>
            <w:bottom w:val="none" w:sz="0" w:space="0" w:color="auto"/>
            <w:right w:val="none" w:sz="0" w:space="0" w:color="auto"/>
          </w:divBdr>
        </w:div>
        <w:div w:id="592395214">
          <w:marLeft w:val="0"/>
          <w:marRight w:val="0"/>
          <w:marTop w:val="0"/>
          <w:marBottom w:val="0"/>
          <w:divBdr>
            <w:top w:val="none" w:sz="0" w:space="0" w:color="auto"/>
            <w:left w:val="none" w:sz="0" w:space="0" w:color="auto"/>
            <w:bottom w:val="none" w:sz="0" w:space="0" w:color="auto"/>
            <w:right w:val="none" w:sz="0" w:space="0" w:color="auto"/>
          </w:divBdr>
        </w:div>
        <w:div w:id="635573524">
          <w:marLeft w:val="0"/>
          <w:marRight w:val="0"/>
          <w:marTop w:val="0"/>
          <w:marBottom w:val="0"/>
          <w:divBdr>
            <w:top w:val="none" w:sz="0" w:space="0" w:color="auto"/>
            <w:left w:val="none" w:sz="0" w:space="0" w:color="auto"/>
            <w:bottom w:val="none" w:sz="0" w:space="0" w:color="auto"/>
            <w:right w:val="none" w:sz="0" w:space="0" w:color="auto"/>
          </w:divBdr>
        </w:div>
        <w:div w:id="673411849">
          <w:marLeft w:val="0"/>
          <w:marRight w:val="0"/>
          <w:marTop w:val="0"/>
          <w:marBottom w:val="0"/>
          <w:divBdr>
            <w:top w:val="none" w:sz="0" w:space="0" w:color="auto"/>
            <w:left w:val="none" w:sz="0" w:space="0" w:color="auto"/>
            <w:bottom w:val="none" w:sz="0" w:space="0" w:color="auto"/>
            <w:right w:val="none" w:sz="0" w:space="0" w:color="auto"/>
          </w:divBdr>
        </w:div>
        <w:div w:id="682972143">
          <w:marLeft w:val="0"/>
          <w:marRight w:val="0"/>
          <w:marTop w:val="0"/>
          <w:marBottom w:val="0"/>
          <w:divBdr>
            <w:top w:val="none" w:sz="0" w:space="0" w:color="auto"/>
            <w:left w:val="none" w:sz="0" w:space="0" w:color="auto"/>
            <w:bottom w:val="none" w:sz="0" w:space="0" w:color="auto"/>
            <w:right w:val="none" w:sz="0" w:space="0" w:color="auto"/>
          </w:divBdr>
          <w:divsChild>
            <w:div w:id="1670520538">
              <w:marLeft w:val="-75"/>
              <w:marRight w:val="0"/>
              <w:marTop w:val="30"/>
              <w:marBottom w:val="30"/>
              <w:divBdr>
                <w:top w:val="none" w:sz="0" w:space="0" w:color="auto"/>
                <w:left w:val="none" w:sz="0" w:space="0" w:color="auto"/>
                <w:bottom w:val="none" w:sz="0" w:space="0" w:color="auto"/>
                <w:right w:val="none" w:sz="0" w:space="0" w:color="auto"/>
              </w:divBdr>
              <w:divsChild>
                <w:div w:id="17048735">
                  <w:marLeft w:val="0"/>
                  <w:marRight w:val="0"/>
                  <w:marTop w:val="0"/>
                  <w:marBottom w:val="0"/>
                  <w:divBdr>
                    <w:top w:val="none" w:sz="0" w:space="0" w:color="auto"/>
                    <w:left w:val="none" w:sz="0" w:space="0" w:color="auto"/>
                    <w:bottom w:val="none" w:sz="0" w:space="0" w:color="auto"/>
                    <w:right w:val="none" w:sz="0" w:space="0" w:color="auto"/>
                  </w:divBdr>
                  <w:divsChild>
                    <w:div w:id="1895239457">
                      <w:marLeft w:val="0"/>
                      <w:marRight w:val="0"/>
                      <w:marTop w:val="0"/>
                      <w:marBottom w:val="0"/>
                      <w:divBdr>
                        <w:top w:val="none" w:sz="0" w:space="0" w:color="auto"/>
                        <w:left w:val="none" w:sz="0" w:space="0" w:color="auto"/>
                        <w:bottom w:val="none" w:sz="0" w:space="0" w:color="auto"/>
                        <w:right w:val="none" w:sz="0" w:space="0" w:color="auto"/>
                      </w:divBdr>
                    </w:div>
                  </w:divsChild>
                </w:div>
                <w:div w:id="126751427">
                  <w:marLeft w:val="0"/>
                  <w:marRight w:val="0"/>
                  <w:marTop w:val="0"/>
                  <w:marBottom w:val="0"/>
                  <w:divBdr>
                    <w:top w:val="none" w:sz="0" w:space="0" w:color="auto"/>
                    <w:left w:val="none" w:sz="0" w:space="0" w:color="auto"/>
                    <w:bottom w:val="none" w:sz="0" w:space="0" w:color="auto"/>
                    <w:right w:val="none" w:sz="0" w:space="0" w:color="auto"/>
                  </w:divBdr>
                  <w:divsChild>
                    <w:div w:id="658658920">
                      <w:marLeft w:val="0"/>
                      <w:marRight w:val="0"/>
                      <w:marTop w:val="0"/>
                      <w:marBottom w:val="0"/>
                      <w:divBdr>
                        <w:top w:val="none" w:sz="0" w:space="0" w:color="auto"/>
                        <w:left w:val="none" w:sz="0" w:space="0" w:color="auto"/>
                        <w:bottom w:val="none" w:sz="0" w:space="0" w:color="auto"/>
                        <w:right w:val="none" w:sz="0" w:space="0" w:color="auto"/>
                      </w:divBdr>
                    </w:div>
                  </w:divsChild>
                </w:div>
                <w:div w:id="130290120">
                  <w:marLeft w:val="0"/>
                  <w:marRight w:val="0"/>
                  <w:marTop w:val="0"/>
                  <w:marBottom w:val="0"/>
                  <w:divBdr>
                    <w:top w:val="none" w:sz="0" w:space="0" w:color="auto"/>
                    <w:left w:val="none" w:sz="0" w:space="0" w:color="auto"/>
                    <w:bottom w:val="none" w:sz="0" w:space="0" w:color="auto"/>
                    <w:right w:val="none" w:sz="0" w:space="0" w:color="auto"/>
                  </w:divBdr>
                  <w:divsChild>
                    <w:div w:id="1147937297">
                      <w:marLeft w:val="0"/>
                      <w:marRight w:val="0"/>
                      <w:marTop w:val="0"/>
                      <w:marBottom w:val="0"/>
                      <w:divBdr>
                        <w:top w:val="none" w:sz="0" w:space="0" w:color="auto"/>
                        <w:left w:val="none" w:sz="0" w:space="0" w:color="auto"/>
                        <w:bottom w:val="none" w:sz="0" w:space="0" w:color="auto"/>
                        <w:right w:val="none" w:sz="0" w:space="0" w:color="auto"/>
                      </w:divBdr>
                    </w:div>
                  </w:divsChild>
                </w:div>
                <w:div w:id="179665652">
                  <w:marLeft w:val="0"/>
                  <w:marRight w:val="0"/>
                  <w:marTop w:val="0"/>
                  <w:marBottom w:val="0"/>
                  <w:divBdr>
                    <w:top w:val="none" w:sz="0" w:space="0" w:color="auto"/>
                    <w:left w:val="none" w:sz="0" w:space="0" w:color="auto"/>
                    <w:bottom w:val="none" w:sz="0" w:space="0" w:color="auto"/>
                    <w:right w:val="none" w:sz="0" w:space="0" w:color="auto"/>
                  </w:divBdr>
                  <w:divsChild>
                    <w:div w:id="1687975284">
                      <w:marLeft w:val="0"/>
                      <w:marRight w:val="0"/>
                      <w:marTop w:val="0"/>
                      <w:marBottom w:val="0"/>
                      <w:divBdr>
                        <w:top w:val="none" w:sz="0" w:space="0" w:color="auto"/>
                        <w:left w:val="none" w:sz="0" w:space="0" w:color="auto"/>
                        <w:bottom w:val="none" w:sz="0" w:space="0" w:color="auto"/>
                        <w:right w:val="none" w:sz="0" w:space="0" w:color="auto"/>
                      </w:divBdr>
                    </w:div>
                  </w:divsChild>
                </w:div>
                <w:div w:id="194123786">
                  <w:marLeft w:val="0"/>
                  <w:marRight w:val="0"/>
                  <w:marTop w:val="0"/>
                  <w:marBottom w:val="0"/>
                  <w:divBdr>
                    <w:top w:val="none" w:sz="0" w:space="0" w:color="auto"/>
                    <w:left w:val="none" w:sz="0" w:space="0" w:color="auto"/>
                    <w:bottom w:val="none" w:sz="0" w:space="0" w:color="auto"/>
                    <w:right w:val="none" w:sz="0" w:space="0" w:color="auto"/>
                  </w:divBdr>
                  <w:divsChild>
                    <w:div w:id="937182170">
                      <w:marLeft w:val="0"/>
                      <w:marRight w:val="0"/>
                      <w:marTop w:val="0"/>
                      <w:marBottom w:val="0"/>
                      <w:divBdr>
                        <w:top w:val="none" w:sz="0" w:space="0" w:color="auto"/>
                        <w:left w:val="none" w:sz="0" w:space="0" w:color="auto"/>
                        <w:bottom w:val="none" w:sz="0" w:space="0" w:color="auto"/>
                        <w:right w:val="none" w:sz="0" w:space="0" w:color="auto"/>
                      </w:divBdr>
                    </w:div>
                  </w:divsChild>
                </w:div>
                <w:div w:id="202209225">
                  <w:marLeft w:val="0"/>
                  <w:marRight w:val="0"/>
                  <w:marTop w:val="0"/>
                  <w:marBottom w:val="0"/>
                  <w:divBdr>
                    <w:top w:val="none" w:sz="0" w:space="0" w:color="auto"/>
                    <w:left w:val="none" w:sz="0" w:space="0" w:color="auto"/>
                    <w:bottom w:val="none" w:sz="0" w:space="0" w:color="auto"/>
                    <w:right w:val="none" w:sz="0" w:space="0" w:color="auto"/>
                  </w:divBdr>
                  <w:divsChild>
                    <w:div w:id="82142222">
                      <w:marLeft w:val="0"/>
                      <w:marRight w:val="0"/>
                      <w:marTop w:val="0"/>
                      <w:marBottom w:val="0"/>
                      <w:divBdr>
                        <w:top w:val="none" w:sz="0" w:space="0" w:color="auto"/>
                        <w:left w:val="none" w:sz="0" w:space="0" w:color="auto"/>
                        <w:bottom w:val="none" w:sz="0" w:space="0" w:color="auto"/>
                        <w:right w:val="none" w:sz="0" w:space="0" w:color="auto"/>
                      </w:divBdr>
                    </w:div>
                  </w:divsChild>
                </w:div>
                <w:div w:id="448620694">
                  <w:marLeft w:val="0"/>
                  <w:marRight w:val="0"/>
                  <w:marTop w:val="0"/>
                  <w:marBottom w:val="0"/>
                  <w:divBdr>
                    <w:top w:val="none" w:sz="0" w:space="0" w:color="auto"/>
                    <w:left w:val="none" w:sz="0" w:space="0" w:color="auto"/>
                    <w:bottom w:val="none" w:sz="0" w:space="0" w:color="auto"/>
                    <w:right w:val="none" w:sz="0" w:space="0" w:color="auto"/>
                  </w:divBdr>
                  <w:divsChild>
                    <w:div w:id="164057601">
                      <w:marLeft w:val="0"/>
                      <w:marRight w:val="0"/>
                      <w:marTop w:val="0"/>
                      <w:marBottom w:val="0"/>
                      <w:divBdr>
                        <w:top w:val="none" w:sz="0" w:space="0" w:color="auto"/>
                        <w:left w:val="none" w:sz="0" w:space="0" w:color="auto"/>
                        <w:bottom w:val="none" w:sz="0" w:space="0" w:color="auto"/>
                        <w:right w:val="none" w:sz="0" w:space="0" w:color="auto"/>
                      </w:divBdr>
                    </w:div>
                  </w:divsChild>
                </w:div>
                <w:div w:id="543567009">
                  <w:marLeft w:val="0"/>
                  <w:marRight w:val="0"/>
                  <w:marTop w:val="0"/>
                  <w:marBottom w:val="0"/>
                  <w:divBdr>
                    <w:top w:val="none" w:sz="0" w:space="0" w:color="auto"/>
                    <w:left w:val="none" w:sz="0" w:space="0" w:color="auto"/>
                    <w:bottom w:val="none" w:sz="0" w:space="0" w:color="auto"/>
                    <w:right w:val="none" w:sz="0" w:space="0" w:color="auto"/>
                  </w:divBdr>
                  <w:divsChild>
                    <w:div w:id="1681271969">
                      <w:marLeft w:val="0"/>
                      <w:marRight w:val="0"/>
                      <w:marTop w:val="0"/>
                      <w:marBottom w:val="0"/>
                      <w:divBdr>
                        <w:top w:val="none" w:sz="0" w:space="0" w:color="auto"/>
                        <w:left w:val="none" w:sz="0" w:space="0" w:color="auto"/>
                        <w:bottom w:val="none" w:sz="0" w:space="0" w:color="auto"/>
                        <w:right w:val="none" w:sz="0" w:space="0" w:color="auto"/>
                      </w:divBdr>
                    </w:div>
                  </w:divsChild>
                </w:div>
                <w:div w:id="597326288">
                  <w:marLeft w:val="0"/>
                  <w:marRight w:val="0"/>
                  <w:marTop w:val="0"/>
                  <w:marBottom w:val="0"/>
                  <w:divBdr>
                    <w:top w:val="none" w:sz="0" w:space="0" w:color="auto"/>
                    <w:left w:val="none" w:sz="0" w:space="0" w:color="auto"/>
                    <w:bottom w:val="none" w:sz="0" w:space="0" w:color="auto"/>
                    <w:right w:val="none" w:sz="0" w:space="0" w:color="auto"/>
                  </w:divBdr>
                  <w:divsChild>
                    <w:div w:id="49698623">
                      <w:marLeft w:val="0"/>
                      <w:marRight w:val="0"/>
                      <w:marTop w:val="0"/>
                      <w:marBottom w:val="0"/>
                      <w:divBdr>
                        <w:top w:val="none" w:sz="0" w:space="0" w:color="auto"/>
                        <w:left w:val="none" w:sz="0" w:space="0" w:color="auto"/>
                        <w:bottom w:val="none" w:sz="0" w:space="0" w:color="auto"/>
                        <w:right w:val="none" w:sz="0" w:space="0" w:color="auto"/>
                      </w:divBdr>
                    </w:div>
                  </w:divsChild>
                </w:div>
                <w:div w:id="730885992">
                  <w:marLeft w:val="0"/>
                  <w:marRight w:val="0"/>
                  <w:marTop w:val="0"/>
                  <w:marBottom w:val="0"/>
                  <w:divBdr>
                    <w:top w:val="none" w:sz="0" w:space="0" w:color="auto"/>
                    <w:left w:val="none" w:sz="0" w:space="0" w:color="auto"/>
                    <w:bottom w:val="none" w:sz="0" w:space="0" w:color="auto"/>
                    <w:right w:val="none" w:sz="0" w:space="0" w:color="auto"/>
                  </w:divBdr>
                  <w:divsChild>
                    <w:div w:id="1428498956">
                      <w:marLeft w:val="0"/>
                      <w:marRight w:val="0"/>
                      <w:marTop w:val="0"/>
                      <w:marBottom w:val="0"/>
                      <w:divBdr>
                        <w:top w:val="none" w:sz="0" w:space="0" w:color="auto"/>
                        <w:left w:val="none" w:sz="0" w:space="0" w:color="auto"/>
                        <w:bottom w:val="none" w:sz="0" w:space="0" w:color="auto"/>
                        <w:right w:val="none" w:sz="0" w:space="0" w:color="auto"/>
                      </w:divBdr>
                    </w:div>
                  </w:divsChild>
                </w:div>
                <w:div w:id="809178605">
                  <w:marLeft w:val="0"/>
                  <w:marRight w:val="0"/>
                  <w:marTop w:val="0"/>
                  <w:marBottom w:val="0"/>
                  <w:divBdr>
                    <w:top w:val="none" w:sz="0" w:space="0" w:color="auto"/>
                    <w:left w:val="none" w:sz="0" w:space="0" w:color="auto"/>
                    <w:bottom w:val="none" w:sz="0" w:space="0" w:color="auto"/>
                    <w:right w:val="none" w:sz="0" w:space="0" w:color="auto"/>
                  </w:divBdr>
                  <w:divsChild>
                    <w:div w:id="1088161076">
                      <w:marLeft w:val="0"/>
                      <w:marRight w:val="0"/>
                      <w:marTop w:val="0"/>
                      <w:marBottom w:val="0"/>
                      <w:divBdr>
                        <w:top w:val="none" w:sz="0" w:space="0" w:color="auto"/>
                        <w:left w:val="none" w:sz="0" w:space="0" w:color="auto"/>
                        <w:bottom w:val="none" w:sz="0" w:space="0" w:color="auto"/>
                        <w:right w:val="none" w:sz="0" w:space="0" w:color="auto"/>
                      </w:divBdr>
                    </w:div>
                  </w:divsChild>
                </w:div>
                <w:div w:id="956450502">
                  <w:marLeft w:val="0"/>
                  <w:marRight w:val="0"/>
                  <w:marTop w:val="0"/>
                  <w:marBottom w:val="0"/>
                  <w:divBdr>
                    <w:top w:val="none" w:sz="0" w:space="0" w:color="auto"/>
                    <w:left w:val="none" w:sz="0" w:space="0" w:color="auto"/>
                    <w:bottom w:val="none" w:sz="0" w:space="0" w:color="auto"/>
                    <w:right w:val="none" w:sz="0" w:space="0" w:color="auto"/>
                  </w:divBdr>
                  <w:divsChild>
                    <w:div w:id="184102880">
                      <w:marLeft w:val="0"/>
                      <w:marRight w:val="0"/>
                      <w:marTop w:val="0"/>
                      <w:marBottom w:val="0"/>
                      <w:divBdr>
                        <w:top w:val="none" w:sz="0" w:space="0" w:color="auto"/>
                        <w:left w:val="none" w:sz="0" w:space="0" w:color="auto"/>
                        <w:bottom w:val="none" w:sz="0" w:space="0" w:color="auto"/>
                        <w:right w:val="none" w:sz="0" w:space="0" w:color="auto"/>
                      </w:divBdr>
                    </w:div>
                  </w:divsChild>
                </w:div>
                <w:div w:id="957957647">
                  <w:marLeft w:val="0"/>
                  <w:marRight w:val="0"/>
                  <w:marTop w:val="0"/>
                  <w:marBottom w:val="0"/>
                  <w:divBdr>
                    <w:top w:val="none" w:sz="0" w:space="0" w:color="auto"/>
                    <w:left w:val="none" w:sz="0" w:space="0" w:color="auto"/>
                    <w:bottom w:val="none" w:sz="0" w:space="0" w:color="auto"/>
                    <w:right w:val="none" w:sz="0" w:space="0" w:color="auto"/>
                  </w:divBdr>
                  <w:divsChild>
                    <w:div w:id="550700397">
                      <w:marLeft w:val="0"/>
                      <w:marRight w:val="0"/>
                      <w:marTop w:val="0"/>
                      <w:marBottom w:val="0"/>
                      <w:divBdr>
                        <w:top w:val="none" w:sz="0" w:space="0" w:color="auto"/>
                        <w:left w:val="none" w:sz="0" w:space="0" w:color="auto"/>
                        <w:bottom w:val="none" w:sz="0" w:space="0" w:color="auto"/>
                        <w:right w:val="none" w:sz="0" w:space="0" w:color="auto"/>
                      </w:divBdr>
                    </w:div>
                  </w:divsChild>
                </w:div>
                <w:div w:id="976909491">
                  <w:marLeft w:val="0"/>
                  <w:marRight w:val="0"/>
                  <w:marTop w:val="0"/>
                  <w:marBottom w:val="0"/>
                  <w:divBdr>
                    <w:top w:val="none" w:sz="0" w:space="0" w:color="auto"/>
                    <w:left w:val="none" w:sz="0" w:space="0" w:color="auto"/>
                    <w:bottom w:val="none" w:sz="0" w:space="0" w:color="auto"/>
                    <w:right w:val="none" w:sz="0" w:space="0" w:color="auto"/>
                  </w:divBdr>
                  <w:divsChild>
                    <w:div w:id="210920103">
                      <w:marLeft w:val="0"/>
                      <w:marRight w:val="0"/>
                      <w:marTop w:val="0"/>
                      <w:marBottom w:val="0"/>
                      <w:divBdr>
                        <w:top w:val="none" w:sz="0" w:space="0" w:color="auto"/>
                        <w:left w:val="none" w:sz="0" w:space="0" w:color="auto"/>
                        <w:bottom w:val="none" w:sz="0" w:space="0" w:color="auto"/>
                        <w:right w:val="none" w:sz="0" w:space="0" w:color="auto"/>
                      </w:divBdr>
                    </w:div>
                  </w:divsChild>
                </w:div>
                <w:div w:id="1008750128">
                  <w:marLeft w:val="0"/>
                  <w:marRight w:val="0"/>
                  <w:marTop w:val="0"/>
                  <w:marBottom w:val="0"/>
                  <w:divBdr>
                    <w:top w:val="none" w:sz="0" w:space="0" w:color="auto"/>
                    <w:left w:val="none" w:sz="0" w:space="0" w:color="auto"/>
                    <w:bottom w:val="none" w:sz="0" w:space="0" w:color="auto"/>
                    <w:right w:val="none" w:sz="0" w:space="0" w:color="auto"/>
                  </w:divBdr>
                  <w:divsChild>
                    <w:div w:id="1074668568">
                      <w:marLeft w:val="0"/>
                      <w:marRight w:val="0"/>
                      <w:marTop w:val="0"/>
                      <w:marBottom w:val="0"/>
                      <w:divBdr>
                        <w:top w:val="none" w:sz="0" w:space="0" w:color="auto"/>
                        <w:left w:val="none" w:sz="0" w:space="0" w:color="auto"/>
                        <w:bottom w:val="none" w:sz="0" w:space="0" w:color="auto"/>
                        <w:right w:val="none" w:sz="0" w:space="0" w:color="auto"/>
                      </w:divBdr>
                    </w:div>
                  </w:divsChild>
                </w:div>
                <w:div w:id="1050765013">
                  <w:marLeft w:val="0"/>
                  <w:marRight w:val="0"/>
                  <w:marTop w:val="0"/>
                  <w:marBottom w:val="0"/>
                  <w:divBdr>
                    <w:top w:val="none" w:sz="0" w:space="0" w:color="auto"/>
                    <w:left w:val="none" w:sz="0" w:space="0" w:color="auto"/>
                    <w:bottom w:val="none" w:sz="0" w:space="0" w:color="auto"/>
                    <w:right w:val="none" w:sz="0" w:space="0" w:color="auto"/>
                  </w:divBdr>
                  <w:divsChild>
                    <w:div w:id="450980229">
                      <w:marLeft w:val="0"/>
                      <w:marRight w:val="0"/>
                      <w:marTop w:val="0"/>
                      <w:marBottom w:val="0"/>
                      <w:divBdr>
                        <w:top w:val="none" w:sz="0" w:space="0" w:color="auto"/>
                        <w:left w:val="none" w:sz="0" w:space="0" w:color="auto"/>
                        <w:bottom w:val="none" w:sz="0" w:space="0" w:color="auto"/>
                        <w:right w:val="none" w:sz="0" w:space="0" w:color="auto"/>
                      </w:divBdr>
                    </w:div>
                  </w:divsChild>
                </w:div>
                <w:div w:id="1054891196">
                  <w:marLeft w:val="0"/>
                  <w:marRight w:val="0"/>
                  <w:marTop w:val="0"/>
                  <w:marBottom w:val="0"/>
                  <w:divBdr>
                    <w:top w:val="none" w:sz="0" w:space="0" w:color="auto"/>
                    <w:left w:val="none" w:sz="0" w:space="0" w:color="auto"/>
                    <w:bottom w:val="none" w:sz="0" w:space="0" w:color="auto"/>
                    <w:right w:val="none" w:sz="0" w:space="0" w:color="auto"/>
                  </w:divBdr>
                  <w:divsChild>
                    <w:div w:id="230117443">
                      <w:marLeft w:val="0"/>
                      <w:marRight w:val="0"/>
                      <w:marTop w:val="0"/>
                      <w:marBottom w:val="0"/>
                      <w:divBdr>
                        <w:top w:val="none" w:sz="0" w:space="0" w:color="auto"/>
                        <w:left w:val="none" w:sz="0" w:space="0" w:color="auto"/>
                        <w:bottom w:val="none" w:sz="0" w:space="0" w:color="auto"/>
                        <w:right w:val="none" w:sz="0" w:space="0" w:color="auto"/>
                      </w:divBdr>
                    </w:div>
                  </w:divsChild>
                </w:div>
                <w:div w:id="1128741398">
                  <w:marLeft w:val="0"/>
                  <w:marRight w:val="0"/>
                  <w:marTop w:val="0"/>
                  <w:marBottom w:val="0"/>
                  <w:divBdr>
                    <w:top w:val="none" w:sz="0" w:space="0" w:color="auto"/>
                    <w:left w:val="none" w:sz="0" w:space="0" w:color="auto"/>
                    <w:bottom w:val="none" w:sz="0" w:space="0" w:color="auto"/>
                    <w:right w:val="none" w:sz="0" w:space="0" w:color="auto"/>
                  </w:divBdr>
                  <w:divsChild>
                    <w:div w:id="241451922">
                      <w:marLeft w:val="0"/>
                      <w:marRight w:val="0"/>
                      <w:marTop w:val="0"/>
                      <w:marBottom w:val="0"/>
                      <w:divBdr>
                        <w:top w:val="none" w:sz="0" w:space="0" w:color="auto"/>
                        <w:left w:val="none" w:sz="0" w:space="0" w:color="auto"/>
                        <w:bottom w:val="none" w:sz="0" w:space="0" w:color="auto"/>
                        <w:right w:val="none" w:sz="0" w:space="0" w:color="auto"/>
                      </w:divBdr>
                    </w:div>
                  </w:divsChild>
                </w:div>
                <w:div w:id="1206061844">
                  <w:marLeft w:val="0"/>
                  <w:marRight w:val="0"/>
                  <w:marTop w:val="0"/>
                  <w:marBottom w:val="0"/>
                  <w:divBdr>
                    <w:top w:val="none" w:sz="0" w:space="0" w:color="auto"/>
                    <w:left w:val="none" w:sz="0" w:space="0" w:color="auto"/>
                    <w:bottom w:val="none" w:sz="0" w:space="0" w:color="auto"/>
                    <w:right w:val="none" w:sz="0" w:space="0" w:color="auto"/>
                  </w:divBdr>
                  <w:divsChild>
                    <w:div w:id="1685014378">
                      <w:marLeft w:val="0"/>
                      <w:marRight w:val="0"/>
                      <w:marTop w:val="0"/>
                      <w:marBottom w:val="0"/>
                      <w:divBdr>
                        <w:top w:val="none" w:sz="0" w:space="0" w:color="auto"/>
                        <w:left w:val="none" w:sz="0" w:space="0" w:color="auto"/>
                        <w:bottom w:val="none" w:sz="0" w:space="0" w:color="auto"/>
                        <w:right w:val="none" w:sz="0" w:space="0" w:color="auto"/>
                      </w:divBdr>
                    </w:div>
                  </w:divsChild>
                </w:div>
                <w:div w:id="1252201314">
                  <w:marLeft w:val="0"/>
                  <w:marRight w:val="0"/>
                  <w:marTop w:val="0"/>
                  <w:marBottom w:val="0"/>
                  <w:divBdr>
                    <w:top w:val="none" w:sz="0" w:space="0" w:color="auto"/>
                    <w:left w:val="none" w:sz="0" w:space="0" w:color="auto"/>
                    <w:bottom w:val="none" w:sz="0" w:space="0" w:color="auto"/>
                    <w:right w:val="none" w:sz="0" w:space="0" w:color="auto"/>
                  </w:divBdr>
                  <w:divsChild>
                    <w:div w:id="321393347">
                      <w:marLeft w:val="0"/>
                      <w:marRight w:val="0"/>
                      <w:marTop w:val="0"/>
                      <w:marBottom w:val="0"/>
                      <w:divBdr>
                        <w:top w:val="none" w:sz="0" w:space="0" w:color="auto"/>
                        <w:left w:val="none" w:sz="0" w:space="0" w:color="auto"/>
                        <w:bottom w:val="none" w:sz="0" w:space="0" w:color="auto"/>
                        <w:right w:val="none" w:sz="0" w:space="0" w:color="auto"/>
                      </w:divBdr>
                    </w:div>
                  </w:divsChild>
                </w:div>
                <w:div w:id="1527789515">
                  <w:marLeft w:val="0"/>
                  <w:marRight w:val="0"/>
                  <w:marTop w:val="0"/>
                  <w:marBottom w:val="0"/>
                  <w:divBdr>
                    <w:top w:val="none" w:sz="0" w:space="0" w:color="auto"/>
                    <w:left w:val="none" w:sz="0" w:space="0" w:color="auto"/>
                    <w:bottom w:val="none" w:sz="0" w:space="0" w:color="auto"/>
                    <w:right w:val="none" w:sz="0" w:space="0" w:color="auto"/>
                  </w:divBdr>
                  <w:divsChild>
                    <w:div w:id="1519075692">
                      <w:marLeft w:val="0"/>
                      <w:marRight w:val="0"/>
                      <w:marTop w:val="0"/>
                      <w:marBottom w:val="0"/>
                      <w:divBdr>
                        <w:top w:val="none" w:sz="0" w:space="0" w:color="auto"/>
                        <w:left w:val="none" w:sz="0" w:space="0" w:color="auto"/>
                        <w:bottom w:val="none" w:sz="0" w:space="0" w:color="auto"/>
                        <w:right w:val="none" w:sz="0" w:space="0" w:color="auto"/>
                      </w:divBdr>
                    </w:div>
                  </w:divsChild>
                </w:div>
                <w:div w:id="1697191970">
                  <w:marLeft w:val="0"/>
                  <w:marRight w:val="0"/>
                  <w:marTop w:val="0"/>
                  <w:marBottom w:val="0"/>
                  <w:divBdr>
                    <w:top w:val="none" w:sz="0" w:space="0" w:color="auto"/>
                    <w:left w:val="none" w:sz="0" w:space="0" w:color="auto"/>
                    <w:bottom w:val="none" w:sz="0" w:space="0" w:color="auto"/>
                    <w:right w:val="none" w:sz="0" w:space="0" w:color="auto"/>
                  </w:divBdr>
                  <w:divsChild>
                    <w:div w:id="669219704">
                      <w:marLeft w:val="0"/>
                      <w:marRight w:val="0"/>
                      <w:marTop w:val="0"/>
                      <w:marBottom w:val="0"/>
                      <w:divBdr>
                        <w:top w:val="none" w:sz="0" w:space="0" w:color="auto"/>
                        <w:left w:val="none" w:sz="0" w:space="0" w:color="auto"/>
                        <w:bottom w:val="none" w:sz="0" w:space="0" w:color="auto"/>
                        <w:right w:val="none" w:sz="0" w:space="0" w:color="auto"/>
                      </w:divBdr>
                    </w:div>
                  </w:divsChild>
                </w:div>
                <w:div w:id="1700357854">
                  <w:marLeft w:val="0"/>
                  <w:marRight w:val="0"/>
                  <w:marTop w:val="0"/>
                  <w:marBottom w:val="0"/>
                  <w:divBdr>
                    <w:top w:val="none" w:sz="0" w:space="0" w:color="auto"/>
                    <w:left w:val="none" w:sz="0" w:space="0" w:color="auto"/>
                    <w:bottom w:val="none" w:sz="0" w:space="0" w:color="auto"/>
                    <w:right w:val="none" w:sz="0" w:space="0" w:color="auto"/>
                  </w:divBdr>
                  <w:divsChild>
                    <w:div w:id="1736002721">
                      <w:marLeft w:val="0"/>
                      <w:marRight w:val="0"/>
                      <w:marTop w:val="0"/>
                      <w:marBottom w:val="0"/>
                      <w:divBdr>
                        <w:top w:val="none" w:sz="0" w:space="0" w:color="auto"/>
                        <w:left w:val="none" w:sz="0" w:space="0" w:color="auto"/>
                        <w:bottom w:val="none" w:sz="0" w:space="0" w:color="auto"/>
                        <w:right w:val="none" w:sz="0" w:space="0" w:color="auto"/>
                      </w:divBdr>
                    </w:div>
                  </w:divsChild>
                </w:div>
                <w:div w:id="1774132666">
                  <w:marLeft w:val="0"/>
                  <w:marRight w:val="0"/>
                  <w:marTop w:val="0"/>
                  <w:marBottom w:val="0"/>
                  <w:divBdr>
                    <w:top w:val="none" w:sz="0" w:space="0" w:color="auto"/>
                    <w:left w:val="none" w:sz="0" w:space="0" w:color="auto"/>
                    <w:bottom w:val="none" w:sz="0" w:space="0" w:color="auto"/>
                    <w:right w:val="none" w:sz="0" w:space="0" w:color="auto"/>
                  </w:divBdr>
                  <w:divsChild>
                    <w:div w:id="782655878">
                      <w:marLeft w:val="0"/>
                      <w:marRight w:val="0"/>
                      <w:marTop w:val="0"/>
                      <w:marBottom w:val="0"/>
                      <w:divBdr>
                        <w:top w:val="none" w:sz="0" w:space="0" w:color="auto"/>
                        <w:left w:val="none" w:sz="0" w:space="0" w:color="auto"/>
                        <w:bottom w:val="none" w:sz="0" w:space="0" w:color="auto"/>
                        <w:right w:val="none" w:sz="0" w:space="0" w:color="auto"/>
                      </w:divBdr>
                    </w:div>
                  </w:divsChild>
                </w:div>
                <w:div w:id="1836334462">
                  <w:marLeft w:val="0"/>
                  <w:marRight w:val="0"/>
                  <w:marTop w:val="0"/>
                  <w:marBottom w:val="0"/>
                  <w:divBdr>
                    <w:top w:val="none" w:sz="0" w:space="0" w:color="auto"/>
                    <w:left w:val="none" w:sz="0" w:space="0" w:color="auto"/>
                    <w:bottom w:val="none" w:sz="0" w:space="0" w:color="auto"/>
                    <w:right w:val="none" w:sz="0" w:space="0" w:color="auto"/>
                  </w:divBdr>
                  <w:divsChild>
                    <w:div w:id="2028555669">
                      <w:marLeft w:val="0"/>
                      <w:marRight w:val="0"/>
                      <w:marTop w:val="0"/>
                      <w:marBottom w:val="0"/>
                      <w:divBdr>
                        <w:top w:val="none" w:sz="0" w:space="0" w:color="auto"/>
                        <w:left w:val="none" w:sz="0" w:space="0" w:color="auto"/>
                        <w:bottom w:val="none" w:sz="0" w:space="0" w:color="auto"/>
                        <w:right w:val="none" w:sz="0" w:space="0" w:color="auto"/>
                      </w:divBdr>
                    </w:div>
                  </w:divsChild>
                </w:div>
                <w:div w:id="1936669516">
                  <w:marLeft w:val="0"/>
                  <w:marRight w:val="0"/>
                  <w:marTop w:val="0"/>
                  <w:marBottom w:val="0"/>
                  <w:divBdr>
                    <w:top w:val="none" w:sz="0" w:space="0" w:color="auto"/>
                    <w:left w:val="none" w:sz="0" w:space="0" w:color="auto"/>
                    <w:bottom w:val="none" w:sz="0" w:space="0" w:color="auto"/>
                    <w:right w:val="none" w:sz="0" w:space="0" w:color="auto"/>
                  </w:divBdr>
                  <w:divsChild>
                    <w:div w:id="578632481">
                      <w:marLeft w:val="0"/>
                      <w:marRight w:val="0"/>
                      <w:marTop w:val="0"/>
                      <w:marBottom w:val="0"/>
                      <w:divBdr>
                        <w:top w:val="none" w:sz="0" w:space="0" w:color="auto"/>
                        <w:left w:val="none" w:sz="0" w:space="0" w:color="auto"/>
                        <w:bottom w:val="none" w:sz="0" w:space="0" w:color="auto"/>
                        <w:right w:val="none" w:sz="0" w:space="0" w:color="auto"/>
                      </w:divBdr>
                    </w:div>
                  </w:divsChild>
                </w:div>
                <w:div w:id="1956785488">
                  <w:marLeft w:val="0"/>
                  <w:marRight w:val="0"/>
                  <w:marTop w:val="0"/>
                  <w:marBottom w:val="0"/>
                  <w:divBdr>
                    <w:top w:val="none" w:sz="0" w:space="0" w:color="auto"/>
                    <w:left w:val="none" w:sz="0" w:space="0" w:color="auto"/>
                    <w:bottom w:val="none" w:sz="0" w:space="0" w:color="auto"/>
                    <w:right w:val="none" w:sz="0" w:space="0" w:color="auto"/>
                  </w:divBdr>
                  <w:divsChild>
                    <w:div w:id="796070589">
                      <w:marLeft w:val="0"/>
                      <w:marRight w:val="0"/>
                      <w:marTop w:val="0"/>
                      <w:marBottom w:val="0"/>
                      <w:divBdr>
                        <w:top w:val="none" w:sz="0" w:space="0" w:color="auto"/>
                        <w:left w:val="none" w:sz="0" w:space="0" w:color="auto"/>
                        <w:bottom w:val="none" w:sz="0" w:space="0" w:color="auto"/>
                        <w:right w:val="none" w:sz="0" w:space="0" w:color="auto"/>
                      </w:divBdr>
                    </w:div>
                  </w:divsChild>
                </w:div>
                <w:div w:id="1973174497">
                  <w:marLeft w:val="0"/>
                  <w:marRight w:val="0"/>
                  <w:marTop w:val="0"/>
                  <w:marBottom w:val="0"/>
                  <w:divBdr>
                    <w:top w:val="none" w:sz="0" w:space="0" w:color="auto"/>
                    <w:left w:val="none" w:sz="0" w:space="0" w:color="auto"/>
                    <w:bottom w:val="none" w:sz="0" w:space="0" w:color="auto"/>
                    <w:right w:val="none" w:sz="0" w:space="0" w:color="auto"/>
                  </w:divBdr>
                  <w:divsChild>
                    <w:div w:id="1833132192">
                      <w:marLeft w:val="0"/>
                      <w:marRight w:val="0"/>
                      <w:marTop w:val="0"/>
                      <w:marBottom w:val="0"/>
                      <w:divBdr>
                        <w:top w:val="none" w:sz="0" w:space="0" w:color="auto"/>
                        <w:left w:val="none" w:sz="0" w:space="0" w:color="auto"/>
                        <w:bottom w:val="none" w:sz="0" w:space="0" w:color="auto"/>
                        <w:right w:val="none" w:sz="0" w:space="0" w:color="auto"/>
                      </w:divBdr>
                    </w:div>
                  </w:divsChild>
                </w:div>
                <w:div w:id="2061054046">
                  <w:marLeft w:val="0"/>
                  <w:marRight w:val="0"/>
                  <w:marTop w:val="0"/>
                  <w:marBottom w:val="0"/>
                  <w:divBdr>
                    <w:top w:val="none" w:sz="0" w:space="0" w:color="auto"/>
                    <w:left w:val="none" w:sz="0" w:space="0" w:color="auto"/>
                    <w:bottom w:val="none" w:sz="0" w:space="0" w:color="auto"/>
                    <w:right w:val="none" w:sz="0" w:space="0" w:color="auto"/>
                  </w:divBdr>
                  <w:divsChild>
                    <w:div w:id="1079599941">
                      <w:marLeft w:val="0"/>
                      <w:marRight w:val="0"/>
                      <w:marTop w:val="0"/>
                      <w:marBottom w:val="0"/>
                      <w:divBdr>
                        <w:top w:val="none" w:sz="0" w:space="0" w:color="auto"/>
                        <w:left w:val="none" w:sz="0" w:space="0" w:color="auto"/>
                        <w:bottom w:val="none" w:sz="0" w:space="0" w:color="auto"/>
                        <w:right w:val="none" w:sz="0" w:space="0" w:color="auto"/>
                      </w:divBdr>
                    </w:div>
                  </w:divsChild>
                </w:div>
                <w:div w:id="2134590141">
                  <w:marLeft w:val="0"/>
                  <w:marRight w:val="0"/>
                  <w:marTop w:val="0"/>
                  <w:marBottom w:val="0"/>
                  <w:divBdr>
                    <w:top w:val="none" w:sz="0" w:space="0" w:color="auto"/>
                    <w:left w:val="none" w:sz="0" w:space="0" w:color="auto"/>
                    <w:bottom w:val="none" w:sz="0" w:space="0" w:color="auto"/>
                    <w:right w:val="none" w:sz="0" w:space="0" w:color="auto"/>
                  </w:divBdr>
                  <w:divsChild>
                    <w:div w:id="2761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48120">
          <w:marLeft w:val="0"/>
          <w:marRight w:val="0"/>
          <w:marTop w:val="0"/>
          <w:marBottom w:val="0"/>
          <w:divBdr>
            <w:top w:val="none" w:sz="0" w:space="0" w:color="auto"/>
            <w:left w:val="none" w:sz="0" w:space="0" w:color="auto"/>
            <w:bottom w:val="none" w:sz="0" w:space="0" w:color="auto"/>
            <w:right w:val="none" w:sz="0" w:space="0" w:color="auto"/>
          </w:divBdr>
        </w:div>
        <w:div w:id="711074105">
          <w:marLeft w:val="0"/>
          <w:marRight w:val="0"/>
          <w:marTop w:val="0"/>
          <w:marBottom w:val="0"/>
          <w:divBdr>
            <w:top w:val="none" w:sz="0" w:space="0" w:color="auto"/>
            <w:left w:val="none" w:sz="0" w:space="0" w:color="auto"/>
            <w:bottom w:val="none" w:sz="0" w:space="0" w:color="auto"/>
            <w:right w:val="none" w:sz="0" w:space="0" w:color="auto"/>
          </w:divBdr>
        </w:div>
        <w:div w:id="711536619">
          <w:marLeft w:val="0"/>
          <w:marRight w:val="0"/>
          <w:marTop w:val="0"/>
          <w:marBottom w:val="0"/>
          <w:divBdr>
            <w:top w:val="none" w:sz="0" w:space="0" w:color="auto"/>
            <w:left w:val="none" w:sz="0" w:space="0" w:color="auto"/>
            <w:bottom w:val="none" w:sz="0" w:space="0" w:color="auto"/>
            <w:right w:val="none" w:sz="0" w:space="0" w:color="auto"/>
          </w:divBdr>
        </w:div>
        <w:div w:id="716974266">
          <w:marLeft w:val="0"/>
          <w:marRight w:val="0"/>
          <w:marTop w:val="0"/>
          <w:marBottom w:val="0"/>
          <w:divBdr>
            <w:top w:val="none" w:sz="0" w:space="0" w:color="auto"/>
            <w:left w:val="none" w:sz="0" w:space="0" w:color="auto"/>
            <w:bottom w:val="none" w:sz="0" w:space="0" w:color="auto"/>
            <w:right w:val="none" w:sz="0" w:space="0" w:color="auto"/>
          </w:divBdr>
        </w:div>
        <w:div w:id="716976764">
          <w:marLeft w:val="0"/>
          <w:marRight w:val="0"/>
          <w:marTop w:val="0"/>
          <w:marBottom w:val="0"/>
          <w:divBdr>
            <w:top w:val="none" w:sz="0" w:space="0" w:color="auto"/>
            <w:left w:val="none" w:sz="0" w:space="0" w:color="auto"/>
            <w:bottom w:val="none" w:sz="0" w:space="0" w:color="auto"/>
            <w:right w:val="none" w:sz="0" w:space="0" w:color="auto"/>
          </w:divBdr>
        </w:div>
        <w:div w:id="734201604">
          <w:marLeft w:val="0"/>
          <w:marRight w:val="0"/>
          <w:marTop w:val="0"/>
          <w:marBottom w:val="0"/>
          <w:divBdr>
            <w:top w:val="none" w:sz="0" w:space="0" w:color="auto"/>
            <w:left w:val="none" w:sz="0" w:space="0" w:color="auto"/>
            <w:bottom w:val="none" w:sz="0" w:space="0" w:color="auto"/>
            <w:right w:val="none" w:sz="0" w:space="0" w:color="auto"/>
          </w:divBdr>
          <w:divsChild>
            <w:div w:id="910192088">
              <w:marLeft w:val="-75"/>
              <w:marRight w:val="0"/>
              <w:marTop w:val="30"/>
              <w:marBottom w:val="30"/>
              <w:divBdr>
                <w:top w:val="none" w:sz="0" w:space="0" w:color="auto"/>
                <w:left w:val="none" w:sz="0" w:space="0" w:color="auto"/>
                <w:bottom w:val="none" w:sz="0" w:space="0" w:color="auto"/>
                <w:right w:val="none" w:sz="0" w:space="0" w:color="auto"/>
              </w:divBdr>
              <w:divsChild>
                <w:div w:id="365567672">
                  <w:marLeft w:val="0"/>
                  <w:marRight w:val="0"/>
                  <w:marTop w:val="0"/>
                  <w:marBottom w:val="0"/>
                  <w:divBdr>
                    <w:top w:val="none" w:sz="0" w:space="0" w:color="auto"/>
                    <w:left w:val="none" w:sz="0" w:space="0" w:color="auto"/>
                    <w:bottom w:val="none" w:sz="0" w:space="0" w:color="auto"/>
                    <w:right w:val="none" w:sz="0" w:space="0" w:color="auto"/>
                  </w:divBdr>
                  <w:divsChild>
                    <w:div w:id="1848014563">
                      <w:marLeft w:val="0"/>
                      <w:marRight w:val="0"/>
                      <w:marTop w:val="0"/>
                      <w:marBottom w:val="0"/>
                      <w:divBdr>
                        <w:top w:val="none" w:sz="0" w:space="0" w:color="auto"/>
                        <w:left w:val="none" w:sz="0" w:space="0" w:color="auto"/>
                        <w:bottom w:val="none" w:sz="0" w:space="0" w:color="auto"/>
                        <w:right w:val="none" w:sz="0" w:space="0" w:color="auto"/>
                      </w:divBdr>
                    </w:div>
                  </w:divsChild>
                </w:div>
                <w:div w:id="669140746">
                  <w:marLeft w:val="0"/>
                  <w:marRight w:val="0"/>
                  <w:marTop w:val="0"/>
                  <w:marBottom w:val="0"/>
                  <w:divBdr>
                    <w:top w:val="none" w:sz="0" w:space="0" w:color="auto"/>
                    <w:left w:val="none" w:sz="0" w:space="0" w:color="auto"/>
                    <w:bottom w:val="none" w:sz="0" w:space="0" w:color="auto"/>
                    <w:right w:val="none" w:sz="0" w:space="0" w:color="auto"/>
                  </w:divBdr>
                  <w:divsChild>
                    <w:div w:id="1075931388">
                      <w:marLeft w:val="0"/>
                      <w:marRight w:val="0"/>
                      <w:marTop w:val="0"/>
                      <w:marBottom w:val="0"/>
                      <w:divBdr>
                        <w:top w:val="none" w:sz="0" w:space="0" w:color="auto"/>
                        <w:left w:val="none" w:sz="0" w:space="0" w:color="auto"/>
                        <w:bottom w:val="none" w:sz="0" w:space="0" w:color="auto"/>
                        <w:right w:val="none" w:sz="0" w:space="0" w:color="auto"/>
                      </w:divBdr>
                    </w:div>
                  </w:divsChild>
                </w:div>
                <w:div w:id="670058925">
                  <w:marLeft w:val="0"/>
                  <w:marRight w:val="0"/>
                  <w:marTop w:val="0"/>
                  <w:marBottom w:val="0"/>
                  <w:divBdr>
                    <w:top w:val="none" w:sz="0" w:space="0" w:color="auto"/>
                    <w:left w:val="none" w:sz="0" w:space="0" w:color="auto"/>
                    <w:bottom w:val="none" w:sz="0" w:space="0" w:color="auto"/>
                    <w:right w:val="none" w:sz="0" w:space="0" w:color="auto"/>
                  </w:divBdr>
                  <w:divsChild>
                    <w:div w:id="389887281">
                      <w:marLeft w:val="0"/>
                      <w:marRight w:val="0"/>
                      <w:marTop w:val="0"/>
                      <w:marBottom w:val="0"/>
                      <w:divBdr>
                        <w:top w:val="none" w:sz="0" w:space="0" w:color="auto"/>
                        <w:left w:val="none" w:sz="0" w:space="0" w:color="auto"/>
                        <w:bottom w:val="none" w:sz="0" w:space="0" w:color="auto"/>
                        <w:right w:val="none" w:sz="0" w:space="0" w:color="auto"/>
                      </w:divBdr>
                    </w:div>
                  </w:divsChild>
                </w:div>
                <w:div w:id="744036123">
                  <w:marLeft w:val="0"/>
                  <w:marRight w:val="0"/>
                  <w:marTop w:val="0"/>
                  <w:marBottom w:val="0"/>
                  <w:divBdr>
                    <w:top w:val="none" w:sz="0" w:space="0" w:color="auto"/>
                    <w:left w:val="none" w:sz="0" w:space="0" w:color="auto"/>
                    <w:bottom w:val="none" w:sz="0" w:space="0" w:color="auto"/>
                    <w:right w:val="none" w:sz="0" w:space="0" w:color="auto"/>
                  </w:divBdr>
                  <w:divsChild>
                    <w:div w:id="1928146058">
                      <w:marLeft w:val="0"/>
                      <w:marRight w:val="0"/>
                      <w:marTop w:val="0"/>
                      <w:marBottom w:val="0"/>
                      <w:divBdr>
                        <w:top w:val="none" w:sz="0" w:space="0" w:color="auto"/>
                        <w:left w:val="none" w:sz="0" w:space="0" w:color="auto"/>
                        <w:bottom w:val="none" w:sz="0" w:space="0" w:color="auto"/>
                        <w:right w:val="none" w:sz="0" w:space="0" w:color="auto"/>
                      </w:divBdr>
                    </w:div>
                  </w:divsChild>
                </w:div>
                <w:div w:id="794445400">
                  <w:marLeft w:val="0"/>
                  <w:marRight w:val="0"/>
                  <w:marTop w:val="0"/>
                  <w:marBottom w:val="0"/>
                  <w:divBdr>
                    <w:top w:val="none" w:sz="0" w:space="0" w:color="auto"/>
                    <w:left w:val="none" w:sz="0" w:space="0" w:color="auto"/>
                    <w:bottom w:val="none" w:sz="0" w:space="0" w:color="auto"/>
                    <w:right w:val="none" w:sz="0" w:space="0" w:color="auto"/>
                  </w:divBdr>
                  <w:divsChild>
                    <w:div w:id="1483738091">
                      <w:marLeft w:val="0"/>
                      <w:marRight w:val="0"/>
                      <w:marTop w:val="0"/>
                      <w:marBottom w:val="0"/>
                      <w:divBdr>
                        <w:top w:val="none" w:sz="0" w:space="0" w:color="auto"/>
                        <w:left w:val="none" w:sz="0" w:space="0" w:color="auto"/>
                        <w:bottom w:val="none" w:sz="0" w:space="0" w:color="auto"/>
                        <w:right w:val="none" w:sz="0" w:space="0" w:color="auto"/>
                      </w:divBdr>
                    </w:div>
                  </w:divsChild>
                </w:div>
                <w:div w:id="800343617">
                  <w:marLeft w:val="0"/>
                  <w:marRight w:val="0"/>
                  <w:marTop w:val="0"/>
                  <w:marBottom w:val="0"/>
                  <w:divBdr>
                    <w:top w:val="none" w:sz="0" w:space="0" w:color="auto"/>
                    <w:left w:val="none" w:sz="0" w:space="0" w:color="auto"/>
                    <w:bottom w:val="none" w:sz="0" w:space="0" w:color="auto"/>
                    <w:right w:val="none" w:sz="0" w:space="0" w:color="auto"/>
                  </w:divBdr>
                  <w:divsChild>
                    <w:div w:id="1056202807">
                      <w:marLeft w:val="0"/>
                      <w:marRight w:val="0"/>
                      <w:marTop w:val="0"/>
                      <w:marBottom w:val="0"/>
                      <w:divBdr>
                        <w:top w:val="none" w:sz="0" w:space="0" w:color="auto"/>
                        <w:left w:val="none" w:sz="0" w:space="0" w:color="auto"/>
                        <w:bottom w:val="none" w:sz="0" w:space="0" w:color="auto"/>
                        <w:right w:val="none" w:sz="0" w:space="0" w:color="auto"/>
                      </w:divBdr>
                    </w:div>
                  </w:divsChild>
                </w:div>
                <w:div w:id="886449140">
                  <w:marLeft w:val="0"/>
                  <w:marRight w:val="0"/>
                  <w:marTop w:val="0"/>
                  <w:marBottom w:val="0"/>
                  <w:divBdr>
                    <w:top w:val="none" w:sz="0" w:space="0" w:color="auto"/>
                    <w:left w:val="none" w:sz="0" w:space="0" w:color="auto"/>
                    <w:bottom w:val="none" w:sz="0" w:space="0" w:color="auto"/>
                    <w:right w:val="none" w:sz="0" w:space="0" w:color="auto"/>
                  </w:divBdr>
                  <w:divsChild>
                    <w:div w:id="1961256101">
                      <w:marLeft w:val="0"/>
                      <w:marRight w:val="0"/>
                      <w:marTop w:val="0"/>
                      <w:marBottom w:val="0"/>
                      <w:divBdr>
                        <w:top w:val="none" w:sz="0" w:space="0" w:color="auto"/>
                        <w:left w:val="none" w:sz="0" w:space="0" w:color="auto"/>
                        <w:bottom w:val="none" w:sz="0" w:space="0" w:color="auto"/>
                        <w:right w:val="none" w:sz="0" w:space="0" w:color="auto"/>
                      </w:divBdr>
                    </w:div>
                  </w:divsChild>
                </w:div>
                <w:div w:id="956909643">
                  <w:marLeft w:val="0"/>
                  <w:marRight w:val="0"/>
                  <w:marTop w:val="0"/>
                  <w:marBottom w:val="0"/>
                  <w:divBdr>
                    <w:top w:val="none" w:sz="0" w:space="0" w:color="auto"/>
                    <w:left w:val="none" w:sz="0" w:space="0" w:color="auto"/>
                    <w:bottom w:val="none" w:sz="0" w:space="0" w:color="auto"/>
                    <w:right w:val="none" w:sz="0" w:space="0" w:color="auto"/>
                  </w:divBdr>
                  <w:divsChild>
                    <w:div w:id="661465219">
                      <w:marLeft w:val="0"/>
                      <w:marRight w:val="0"/>
                      <w:marTop w:val="0"/>
                      <w:marBottom w:val="0"/>
                      <w:divBdr>
                        <w:top w:val="none" w:sz="0" w:space="0" w:color="auto"/>
                        <w:left w:val="none" w:sz="0" w:space="0" w:color="auto"/>
                        <w:bottom w:val="none" w:sz="0" w:space="0" w:color="auto"/>
                        <w:right w:val="none" w:sz="0" w:space="0" w:color="auto"/>
                      </w:divBdr>
                    </w:div>
                  </w:divsChild>
                </w:div>
                <w:div w:id="970982076">
                  <w:marLeft w:val="0"/>
                  <w:marRight w:val="0"/>
                  <w:marTop w:val="0"/>
                  <w:marBottom w:val="0"/>
                  <w:divBdr>
                    <w:top w:val="none" w:sz="0" w:space="0" w:color="auto"/>
                    <w:left w:val="none" w:sz="0" w:space="0" w:color="auto"/>
                    <w:bottom w:val="none" w:sz="0" w:space="0" w:color="auto"/>
                    <w:right w:val="none" w:sz="0" w:space="0" w:color="auto"/>
                  </w:divBdr>
                  <w:divsChild>
                    <w:div w:id="537746066">
                      <w:marLeft w:val="0"/>
                      <w:marRight w:val="0"/>
                      <w:marTop w:val="0"/>
                      <w:marBottom w:val="0"/>
                      <w:divBdr>
                        <w:top w:val="none" w:sz="0" w:space="0" w:color="auto"/>
                        <w:left w:val="none" w:sz="0" w:space="0" w:color="auto"/>
                        <w:bottom w:val="none" w:sz="0" w:space="0" w:color="auto"/>
                        <w:right w:val="none" w:sz="0" w:space="0" w:color="auto"/>
                      </w:divBdr>
                    </w:div>
                  </w:divsChild>
                </w:div>
                <w:div w:id="1037198748">
                  <w:marLeft w:val="0"/>
                  <w:marRight w:val="0"/>
                  <w:marTop w:val="0"/>
                  <w:marBottom w:val="0"/>
                  <w:divBdr>
                    <w:top w:val="none" w:sz="0" w:space="0" w:color="auto"/>
                    <w:left w:val="none" w:sz="0" w:space="0" w:color="auto"/>
                    <w:bottom w:val="none" w:sz="0" w:space="0" w:color="auto"/>
                    <w:right w:val="none" w:sz="0" w:space="0" w:color="auto"/>
                  </w:divBdr>
                  <w:divsChild>
                    <w:div w:id="179438437">
                      <w:marLeft w:val="0"/>
                      <w:marRight w:val="0"/>
                      <w:marTop w:val="0"/>
                      <w:marBottom w:val="0"/>
                      <w:divBdr>
                        <w:top w:val="none" w:sz="0" w:space="0" w:color="auto"/>
                        <w:left w:val="none" w:sz="0" w:space="0" w:color="auto"/>
                        <w:bottom w:val="none" w:sz="0" w:space="0" w:color="auto"/>
                        <w:right w:val="none" w:sz="0" w:space="0" w:color="auto"/>
                      </w:divBdr>
                    </w:div>
                  </w:divsChild>
                </w:div>
                <w:div w:id="1038628017">
                  <w:marLeft w:val="0"/>
                  <w:marRight w:val="0"/>
                  <w:marTop w:val="0"/>
                  <w:marBottom w:val="0"/>
                  <w:divBdr>
                    <w:top w:val="none" w:sz="0" w:space="0" w:color="auto"/>
                    <w:left w:val="none" w:sz="0" w:space="0" w:color="auto"/>
                    <w:bottom w:val="none" w:sz="0" w:space="0" w:color="auto"/>
                    <w:right w:val="none" w:sz="0" w:space="0" w:color="auto"/>
                  </w:divBdr>
                  <w:divsChild>
                    <w:div w:id="561790475">
                      <w:marLeft w:val="0"/>
                      <w:marRight w:val="0"/>
                      <w:marTop w:val="0"/>
                      <w:marBottom w:val="0"/>
                      <w:divBdr>
                        <w:top w:val="none" w:sz="0" w:space="0" w:color="auto"/>
                        <w:left w:val="none" w:sz="0" w:space="0" w:color="auto"/>
                        <w:bottom w:val="none" w:sz="0" w:space="0" w:color="auto"/>
                        <w:right w:val="none" w:sz="0" w:space="0" w:color="auto"/>
                      </w:divBdr>
                    </w:div>
                  </w:divsChild>
                </w:div>
                <w:div w:id="1120606851">
                  <w:marLeft w:val="0"/>
                  <w:marRight w:val="0"/>
                  <w:marTop w:val="0"/>
                  <w:marBottom w:val="0"/>
                  <w:divBdr>
                    <w:top w:val="none" w:sz="0" w:space="0" w:color="auto"/>
                    <w:left w:val="none" w:sz="0" w:space="0" w:color="auto"/>
                    <w:bottom w:val="none" w:sz="0" w:space="0" w:color="auto"/>
                    <w:right w:val="none" w:sz="0" w:space="0" w:color="auto"/>
                  </w:divBdr>
                  <w:divsChild>
                    <w:div w:id="1445078721">
                      <w:marLeft w:val="0"/>
                      <w:marRight w:val="0"/>
                      <w:marTop w:val="0"/>
                      <w:marBottom w:val="0"/>
                      <w:divBdr>
                        <w:top w:val="none" w:sz="0" w:space="0" w:color="auto"/>
                        <w:left w:val="none" w:sz="0" w:space="0" w:color="auto"/>
                        <w:bottom w:val="none" w:sz="0" w:space="0" w:color="auto"/>
                        <w:right w:val="none" w:sz="0" w:space="0" w:color="auto"/>
                      </w:divBdr>
                    </w:div>
                  </w:divsChild>
                </w:div>
                <w:div w:id="1321732513">
                  <w:marLeft w:val="0"/>
                  <w:marRight w:val="0"/>
                  <w:marTop w:val="0"/>
                  <w:marBottom w:val="0"/>
                  <w:divBdr>
                    <w:top w:val="none" w:sz="0" w:space="0" w:color="auto"/>
                    <w:left w:val="none" w:sz="0" w:space="0" w:color="auto"/>
                    <w:bottom w:val="none" w:sz="0" w:space="0" w:color="auto"/>
                    <w:right w:val="none" w:sz="0" w:space="0" w:color="auto"/>
                  </w:divBdr>
                  <w:divsChild>
                    <w:div w:id="134567544">
                      <w:marLeft w:val="0"/>
                      <w:marRight w:val="0"/>
                      <w:marTop w:val="0"/>
                      <w:marBottom w:val="0"/>
                      <w:divBdr>
                        <w:top w:val="none" w:sz="0" w:space="0" w:color="auto"/>
                        <w:left w:val="none" w:sz="0" w:space="0" w:color="auto"/>
                        <w:bottom w:val="none" w:sz="0" w:space="0" w:color="auto"/>
                        <w:right w:val="none" w:sz="0" w:space="0" w:color="auto"/>
                      </w:divBdr>
                    </w:div>
                  </w:divsChild>
                </w:div>
                <w:div w:id="1326783800">
                  <w:marLeft w:val="0"/>
                  <w:marRight w:val="0"/>
                  <w:marTop w:val="0"/>
                  <w:marBottom w:val="0"/>
                  <w:divBdr>
                    <w:top w:val="none" w:sz="0" w:space="0" w:color="auto"/>
                    <w:left w:val="none" w:sz="0" w:space="0" w:color="auto"/>
                    <w:bottom w:val="none" w:sz="0" w:space="0" w:color="auto"/>
                    <w:right w:val="none" w:sz="0" w:space="0" w:color="auto"/>
                  </w:divBdr>
                  <w:divsChild>
                    <w:div w:id="244147492">
                      <w:marLeft w:val="0"/>
                      <w:marRight w:val="0"/>
                      <w:marTop w:val="0"/>
                      <w:marBottom w:val="0"/>
                      <w:divBdr>
                        <w:top w:val="none" w:sz="0" w:space="0" w:color="auto"/>
                        <w:left w:val="none" w:sz="0" w:space="0" w:color="auto"/>
                        <w:bottom w:val="none" w:sz="0" w:space="0" w:color="auto"/>
                        <w:right w:val="none" w:sz="0" w:space="0" w:color="auto"/>
                      </w:divBdr>
                    </w:div>
                  </w:divsChild>
                </w:div>
                <w:div w:id="1347052071">
                  <w:marLeft w:val="0"/>
                  <w:marRight w:val="0"/>
                  <w:marTop w:val="0"/>
                  <w:marBottom w:val="0"/>
                  <w:divBdr>
                    <w:top w:val="none" w:sz="0" w:space="0" w:color="auto"/>
                    <w:left w:val="none" w:sz="0" w:space="0" w:color="auto"/>
                    <w:bottom w:val="none" w:sz="0" w:space="0" w:color="auto"/>
                    <w:right w:val="none" w:sz="0" w:space="0" w:color="auto"/>
                  </w:divBdr>
                  <w:divsChild>
                    <w:div w:id="2113044411">
                      <w:marLeft w:val="0"/>
                      <w:marRight w:val="0"/>
                      <w:marTop w:val="0"/>
                      <w:marBottom w:val="0"/>
                      <w:divBdr>
                        <w:top w:val="none" w:sz="0" w:space="0" w:color="auto"/>
                        <w:left w:val="none" w:sz="0" w:space="0" w:color="auto"/>
                        <w:bottom w:val="none" w:sz="0" w:space="0" w:color="auto"/>
                        <w:right w:val="none" w:sz="0" w:space="0" w:color="auto"/>
                      </w:divBdr>
                    </w:div>
                  </w:divsChild>
                </w:div>
                <w:div w:id="1451704942">
                  <w:marLeft w:val="0"/>
                  <w:marRight w:val="0"/>
                  <w:marTop w:val="0"/>
                  <w:marBottom w:val="0"/>
                  <w:divBdr>
                    <w:top w:val="none" w:sz="0" w:space="0" w:color="auto"/>
                    <w:left w:val="none" w:sz="0" w:space="0" w:color="auto"/>
                    <w:bottom w:val="none" w:sz="0" w:space="0" w:color="auto"/>
                    <w:right w:val="none" w:sz="0" w:space="0" w:color="auto"/>
                  </w:divBdr>
                  <w:divsChild>
                    <w:div w:id="1038550989">
                      <w:marLeft w:val="0"/>
                      <w:marRight w:val="0"/>
                      <w:marTop w:val="0"/>
                      <w:marBottom w:val="0"/>
                      <w:divBdr>
                        <w:top w:val="none" w:sz="0" w:space="0" w:color="auto"/>
                        <w:left w:val="none" w:sz="0" w:space="0" w:color="auto"/>
                        <w:bottom w:val="none" w:sz="0" w:space="0" w:color="auto"/>
                        <w:right w:val="none" w:sz="0" w:space="0" w:color="auto"/>
                      </w:divBdr>
                    </w:div>
                  </w:divsChild>
                </w:div>
                <w:div w:id="1454248206">
                  <w:marLeft w:val="0"/>
                  <w:marRight w:val="0"/>
                  <w:marTop w:val="0"/>
                  <w:marBottom w:val="0"/>
                  <w:divBdr>
                    <w:top w:val="none" w:sz="0" w:space="0" w:color="auto"/>
                    <w:left w:val="none" w:sz="0" w:space="0" w:color="auto"/>
                    <w:bottom w:val="none" w:sz="0" w:space="0" w:color="auto"/>
                    <w:right w:val="none" w:sz="0" w:space="0" w:color="auto"/>
                  </w:divBdr>
                  <w:divsChild>
                    <w:div w:id="813721372">
                      <w:marLeft w:val="0"/>
                      <w:marRight w:val="0"/>
                      <w:marTop w:val="0"/>
                      <w:marBottom w:val="0"/>
                      <w:divBdr>
                        <w:top w:val="none" w:sz="0" w:space="0" w:color="auto"/>
                        <w:left w:val="none" w:sz="0" w:space="0" w:color="auto"/>
                        <w:bottom w:val="none" w:sz="0" w:space="0" w:color="auto"/>
                        <w:right w:val="none" w:sz="0" w:space="0" w:color="auto"/>
                      </w:divBdr>
                    </w:div>
                  </w:divsChild>
                </w:div>
                <w:div w:id="1588728234">
                  <w:marLeft w:val="0"/>
                  <w:marRight w:val="0"/>
                  <w:marTop w:val="0"/>
                  <w:marBottom w:val="0"/>
                  <w:divBdr>
                    <w:top w:val="none" w:sz="0" w:space="0" w:color="auto"/>
                    <w:left w:val="none" w:sz="0" w:space="0" w:color="auto"/>
                    <w:bottom w:val="none" w:sz="0" w:space="0" w:color="auto"/>
                    <w:right w:val="none" w:sz="0" w:space="0" w:color="auto"/>
                  </w:divBdr>
                  <w:divsChild>
                    <w:div w:id="844635904">
                      <w:marLeft w:val="0"/>
                      <w:marRight w:val="0"/>
                      <w:marTop w:val="0"/>
                      <w:marBottom w:val="0"/>
                      <w:divBdr>
                        <w:top w:val="none" w:sz="0" w:space="0" w:color="auto"/>
                        <w:left w:val="none" w:sz="0" w:space="0" w:color="auto"/>
                        <w:bottom w:val="none" w:sz="0" w:space="0" w:color="auto"/>
                        <w:right w:val="none" w:sz="0" w:space="0" w:color="auto"/>
                      </w:divBdr>
                    </w:div>
                  </w:divsChild>
                </w:div>
                <w:div w:id="1699164951">
                  <w:marLeft w:val="0"/>
                  <w:marRight w:val="0"/>
                  <w:marTop w:val="0"/>
                  <w:marBottom w:val="0"/>
                  <w:divBdr>
                    <w:top w:val="none" w:sz="0" w:space="0" w:color="auto"/>
                    <w:left w:val="none" w:sz="0" w:space="0" w:color="auto"/>
                    <w:bottom w:val="none" w:sz="0" w:space="0" w:color="auto"/>
                    <w:right w:val="none" w:sz="0" w:space="0" w:color="auto"/>
                  </w:divBdr>
                  <w:divsChild>
                    <w:div w:id="1676960487">
                      <w:marLeft w:val="0"/>
                      <w:marRight w:val="0"/>
                      <w:marTop w:val="0"/>
                      <w:marBottom w:val="0"/>
                      <w:divBdr>
                        <w:top w:val="none" w:sz="0" w:space="0" w:color="auto"/>
                        <w:left w:val="none" w:sz="0" w:space="0" w:color="auto"/>
                        <w:bottom w:val="none" w:sz="0" w:space="0" w:color="auto"/>
                        <w:right w:val="none" w:sz="0" w:space="0" w:color="auto"/>
                      </w:divBdr>
                    </w:div>
                  </w:divsChild>
                </w:div>
                <w:div w:id="1774863140">
                  <w:marLeft w:val="0"/>
                  <w:marRight w:val="0"/>
                  <w:marTop w:val="0"/>
                  <w:marBottom w:val="0"/>
                  <w:divBdr>
                    <w:top w:val="none" w:sz="0" w:space="0" w:color="auto"/>
                    <w:left w:val="none" w:sz="0" w:space="0" w:color="auto"/>
                    <w:bottom w:val="none" w:sz="0" w:space="0" w:color="auto"/>
                    <w:right w:val="none" w:sz="0" w:space="0" w:color="auto"/>
                  </w:divBdr>
                  <w:divsChild>
                    <w:div w:id="1627735705">
                      <w:marLeft w:val="0"/>
                      <w:marRight w:val="0"/>
                      <w:marTop w:val="0"/>
                      <w:marBottom w:val="0"/>
                      <w:divBdr>
                        <w:top w:val="none" w:sz="0" w:space="0" w:color="auto"/>
                        <w:left w:val="none" w:sz="0" w:space="0" w:color="auto"/>
                        <w:bottom w:val="none" w:sz="0" w:space="0" w:color="auto"/>
                        <w:right w:val="none" w:sz="0" w:space="0" w:color="auto"/>
                      </w:divBdr>
                    </w:div>
                  </w:divsChild>
                </w:div>
                <w:div w:id="1806465881">
                  <w:marLeft w:val="0"/>
                  <w:marRight w:val="0"/>
                  <w:marTop w:val="0"/>
                  <w:marBottom w:val="0"/>
                  <w:divBdr>
                    <w:top w:val="none" w:sz="0" w:space="0" w:color="auto"/>
                    <w:left w:val="none" w:sz="0" w:space="0" w:color="auto"/>
                    <w:bottom w:val="none" w:sz="0" w:space="0" w:color="auto"/>
                    <w:right w:val="none" w:sz="0" w:space="0" w:color="auto"/>
                  </w:divBdr>
                  <w:divsChild>
                    <w:div w:id="1930193356">
                      <w:marLeft w:val="0"/>
                      <w:marRight w:val="0"/>
                      <w:marTop w:val="0"/>
                      <w:marBottom w:val="0"/>
                      <w:divBdr>
                        <w:top w:val="none" w:sz="0" w:space="0" w:color="auto"/>
                        <w:left w:val="none" w:sz="0" w:space="0" w:color="auto"/>
                        <w:bottom w:val="none" w:sz="0" w:space="0" w:color="auto"/>
                        <w:right w:val="none" w:sz="0" w:space="0" w:color="auto"/>
                      </w:divBdr>
                    </w:div>
                  </w:divsChild>
                </w:div>
                <w:div w:id="1833721154">
                  <w:marLeft w:val="0"/>
                  <w:marRight w:val="0"/>
                  <w:marTop w:val="0"/>
                  <w:marBottom w:val="0"/>
                  <w:divBdr>
                    <w:top w:val="none" w:sz="0" w:space="0" w:color="auto"/>
                    <w:left w:val="none" w:sz="0" w:space="0" w:color="auto"/>
                    <w:bottom w:val="none" w:sz="0" w:space="0" w:color="auto"/>
                    <w:right w:val="none" w:sz="0" w:space="0" w:color="auto"/>
                  </w:divBdr>
                  <w:divsChild>
                    <w:div w:id="1127091350">
                      <w:marLeft w:val="0"/>
                      <w:marRight w:val="0"/>
                      <w:marTop w:val="0"/>
                      <w:marBottom w:val="0"/>
                      <w:divBdr>
                        <w:top w:val="none" w:sz="0" w:space="0" w:color="auto"/>
                        <w:left w:val="none" w:sz="0" w:space="0" w:color="auto"/>
                        <w:bottom w:val="none" w:sz="0" w:space="0" w:color="auto"/>
                        <w:right w:val="none" w:sz="0" w:space="0" w:color="auto"/>
                      </w:divBdr>
                    </w:div>
                  </w:divsChild>
                </w:div>
                <w:div w:id="1837568752">
                  <w:marLeft w:val="0"/>
                  <w:marRight w:val="0"/>
                  <w:marTop w:val="0"/>
                  <w:marBottom w:val="0"/>
                  <w:divBdr>
                    <w:top w:val="none" w:sz="0" w:space="0" w:color="auto"/>
                    <w:left w:val="none" w:sz="0" w:space="0" w:color="auto"/>
                    <w:bottom w:val="none" w:sz="0" w:space="0" w:color="auto"/>
                    <w:right w:val="none" w:sz="0" w:space="0" w:color="auto"/>
                  </w:divBdr>
                  <w:divsChild>
                    <w:div w:id="308480544">
                      <w:marLeft w:val="0"/>
                      <w:marRight w:val="0"/>
                      <w:marTop w:val="0"/>
                      <w:marBottom w:val="0"/>
                      <w:divBdr>
                        <w:top w:val="none" w:sz="0" w:space="0" w:color="auto"/>
                        <w:left w:val="none" w:sz="0" w:space="0" w:color="auto"/>
                        <w:bottom w:val="none" w:sz="0" w:space="0" w:color="auto"/>
                        <w:right w:val="none" w:sz="0" w:space="0" w:color="auto"/>
                      </w:divBdr>
                    </w:div>
                  </w:divsChild>
                </w:div>
                <w:div w:id="2059544159">
                  <w:marLeft w:val="0"/>
                  <w:marRight w:val="0"/>
                  <w:marTop w:val="0"/>
                  <w:marBottom w:val="0"/>
                  <w:divBdr>
                    <w:top w:val="none" w:sz="0" w:space="0" w:color="auto"/>
                    <w:left w:val="none" w:sz="0" w:space="0" w:color="auto"/>
                    <w:bottom w:val="none" w:sz="0" w:space="0" w:color="auto"/>
                    <w:right w:val="none" w:sz="0" w:space="0" w:color="auto"/>
                  </w:divBdr>
                  <w:divsChild>
                    <w:div w:id="273707593">
                      <w:marLeft w:val="0"/>
                      <w:marRight w:val="0"/>
                      <w:marTop w:val="0"/>
                      <w:marBottom w:val="0"/>
                      <w:divBdr>
                        <w:top w:val="none" w:sz="0" w:space="0" w:color="auto"/>
                        <w:left w:val="none" w:sz="0" w:space="0" w:color="auto"/>
                        <w:bottom w:val="none" w:sz="0" w:space="0" w:color="auto"/>
                        <w:right w:val="none" w:sz="0" w:space="0" w:color="auto"/>
                      </w:divBdr>
                    </w:div>
                  </w:divsChild>
                </w:div>
                <w:div w:id="2103868556">
                  <w:marLeft w:val="0"/>
                  <w:marRight w:val="0"/>
                  <w:marTop w:val="0"/>
                  <w:marBottom w:val="0"/>
                  <w:divBdr>
                    <w:top w:val="none" w:sz="0" w:space="0" w:color="auto"/>
                    <w:left w:val="none" w:sz="0" w:space="0" w:color="auto"/>
                    <w:bottom w:val="none" w:sz="0" w:space="0" w:color="auto"/>
                    <w:right w:val="none" w:sz="0" w:space="0" w:color="auto"/>
                  </w:divBdr>
                  <w:divsChild>
                    <w:div w:id="626163491">
                      <w:marLeft w:val="0"/>
                      <w:marRight w:val="0"/>
                      <w:marTop w:val="0"/>
                      <w:marBottom w:val="0"/>
                      <w:divBdr>
                        <w:top w:val="none" w:sz="0" w:space="0" w:color="auto"/>
                        <w:left w:val="none" w:sz="0" w:space="0" w:color="auto"/>
                        <w:bottom w:val="none" w:sz="0" w:space="0" w:color="auto"/>
                        <w:right w:val="none" w:sz="0" w:space="0" w:color="auto"/>
                      </w:divBdr>
                    </w:div>
                  </w:divsChild>
                </w:div>
                <w:div w:id="2109541494">
                  <w:marLeft w:val="0"/>
                  <w:marRight w:val="0"/>
                  <w:marTop w:val="0"/>
                  <w:marBottom w:val="0"/>
                  <w:divBdr>
                    <w:top w:val="none" w:sz="0" w:space="0" w:color="auto"/>
                    <w:left w:val="none" w:sz="0" w:space="0" w:color="auto"/>
                    <w:bottom w:val="none" w:sz="0" w:space="0" w:color="auto"/>
                    <w:right w:val="none" w:sz="0" w:space="0" w:color="auto"/>
                  </w:divBdr>
                  <w:divsChild>
                    <w:div w:id="198955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99298">
          <w:marLeft w:val="0"/>
          <w:marRight w:val="0"/>
          <w:marTop w:val="0"/>
          <w:marBottom w:val="0"/>
          <w:divBdr>
            <w:top w:val="none" w:sz="0" w:space="0" w:color="auto"/>
            <w:left w:val="none" w:sz="0" w:space="0" w:color="auto"/>
            <w:bottom w:val="none" w:sz="0" w:space="0" w:color="auto"/>
            <w:right w:val="none" w:sz="0" w:space="0" w:color="auto"/>
          </w:divBdr>
        </w:div>
        <w:div w:id="872771788">
          <w:marLeft w:val="0"/>
          <w:marRight w:val="0"/>
          <w:marTop w:val="0"/>
          <w:marBottom w:val="0"/>
          <w:divBdr>
            <w:top w:val="none" w:sz="0" w:space="0" w:color="auto"/>
            <w:left w:val="none" w:sz="0" w:space="0" w:color="auto"/>
            <w:bottom w:val="none" w:sz="0" w:space="0" w:color="auto"/>
            <w:right w:val="none" w:sz="0" w:space="0" w:color="auto"/>
          </w:divBdr>
        </w:div>
        <w:div w:id="918715078">
          <w:marLeft w:val="0"/>
          <w:marRight w:val="0"/>
          <w:marTop w:val="0"/>
          <w:marBottom w:val="0"/>
          <w:divBdr>
            <w:top w:val="none" w:sz="0" w:space="0" w:color="auto"/>
            <w:left w:val="none" w:sz="0" w:space="0" w:color="auto"/>
            <w:bottom w:val="none" w:sz="0" w:space="0" w:color="auto"/>
            <w:right w:val="none" w:sz="0" w:space="0" w:color="auto"/>
          </w:divBdr>
        </w:div>
        <w:div w:id="939072805">
          <w:marLeft w:val="0"/>
          <w:marRight w:val="0"/>
          <w:marTop w:val="0"/>
          <w:marBottom w:val="0"/>
          <w:divBdr>
            <w:top w:val="none" w:sz="0" w:space="0" w:color="auto"/>
            <w:left w:val="none" w:sz="0" w:space="0" w:color="auto"/>
            <w:bottom w:val="none" w:sz="0" w:space="0" w:color="auto"/>
            <w:right w:val="none" w:sz="0" w:space="0" w:color="auto"/>
          </w:divBdr>
        </w:div>
        <w:div w:id="993029308">
          <w:marLeft w:val="0"/>
          <w:marRight w:val="0"/>
          <w:marTop w:val="0"/>
          <w:marBottom w:val="0"/>
          <w:divBdr>
            <w:top w:val="none" w:sz="0" w:space="0" w:color="auto"/>
            <w:left w:val="none" w:sz="0" w:space="0" w:color="auto"/>
            <w:bottom w:val="none" w:sz="0" w:space="0" w:color="auto"/>
            <w:right w:val="none" w:sz="0" w:space="0" w:color="auto"/>
          </w:divBdr>
        </w:div>
        <w:div w:id="1036852785">
          <w:marLeft w:val="0"/>
          <w:marRight w:val="0"/>
          <w:marTop w:val="0"/>
          <w:marBottom w:val="0"/>
          <w:divBdr>
            <w:top w:val="none" w:sz="0" w:space="0" w:color="auto"/>
            <w:left w:val="none" w:sz="0" w:space="0" w:color="auto"/>
            <w:bottom w:val="none" w:sz="0" w:space="0" w:color="auto"/>
            <w:right w:val="none" w:sz="0" w:space="0" w:color="auto"/>
          </w:divBdr>
        </w:div>
        <w:div w:id="1139954628">
          <w:marLeft w:val="0"/>
          <w:marRight w:val="0"/>
          <w:marTop w:val="0"/>
          <w:marBottom w:val="0"/>
          <w:divBdr>
            <w:top w:val="none" w:sz="0" w:space="0" w:color="auto"/>
            <w:left w:val="none" w:sz="0" w:space="0" w:color="auto"/>
            <w:bottom w:val="none" w:sz="0" w:space="0" w:color="auto"/>
            <w:right w:val="none" w:sz="0" w:space="0" w:color="auto"/>
          </w:divBdr>
        </w:div>
        <w:div w:id="1206060894">
          <w:marLeft w:val="0"/>
          <w:marRight w:val="0"/>
          <w:marTop w:val="0"/>
          <w:marBottom w:val="0"/>
          <w:divBdr>
            <w:top w:val="none" w:sz="0" w:space="0" w:color="auto"/>
            <w:left w:val="none" w:sz="0" w:space="0" w:color="auto"/>
            <w:bottom w:val="none" w:sz="0" w:space="0" w:color="auto"/>
            <w:right w:val="none" w:sz="0" w:space="0" w:color="auto"/>
          </w:divBdr>
        </w:div>
        <w:div w:id="1309700511">
          <w:marLeft w:val="0"/>
          <w:marRight w:val="0"/>
          <w:marTop w:val="0"/>
          <w:marBottom w:val="0"/>
          <w:divBdr>
            <w:top w:val="none" w:sz="0" w:space="0" w:color="auto"/>
            <w:left w:val="none" w:sz="0" w:space="0" w:color="auto"/>
            <w:bottom w:val="none" w:sz="0" w:space="0" w:color="auto"/>
            <w:right w:val="none" w:sz="0" w:space="0" w:color="auto"/>
          </w:divBdr>
        </w:div>
        <w:div w:id="1337348197">
          <w:marLeft w:val="0"/>
          <w:marRight w:val="0"/>
          <w:marTop w:val="0"/>
          <w:marBottom w:val="0"/>
          <w:divBdr>
            <w:top w:val="none" w:sz="0" w:space="0" w:color="auto"/>
            <w:left w:val="none" w:sz="0" w:space="0" w:color="auto"/>
            <w:bottom w:val="none" w:sz="0" w:space="0" w:color="auto"/>
            <w:right w:val="none" w:sz="0" w:space="0" w:color="auto"/>
          </w:divBdr>
        </w:div>
        <w:div w:id="1394232971">
          <w:marLeft w:val="0"/>
          <w:marRight w:val="0"/>
          <w:marTop w:val="0"/>
          <w:marBottom w:val="0"/>
          <w:divBdr>
            <w:top w:val="none" w:sz="0" w:space="0" w:color="auto"/>
            <w:left w:val="none" w:sz="0" w:space="0" w:color="auto"/>
            <w:bottom w:val="none" w:sz="0" w:space="0" w:color="auto"/>
            <w:right w:val="none" w:sz="0" w:space="0" w:color="auto"/>
          </w:divBdr>
        </w:div>
        <w:div w:id="1415320773">
          <w:marLeft w:val="0"/>
          <w:marRight w:val="0"/>
          <w:marTop w:val="0"/>
          <w:marBottom w:val="0"/>
          <w:divBdr>
            <w:top w:val="none" w:sz="0" w:space="0" w:color="auto"/>
            <w:left w:val="none" w:sz="0" w:space="0" w:color="auto"/>
            <w:bottom w:val="none" w:sz="0" w:space="0" w:color="auto"/>
            <w:right w:val="none" w:sz="0" w:space="0" w:color="auto"/>
          </w:divBdr>
        </w:div>
        <w:div w:id="1467236263">
          <w:marLeft w:val="0"/>
          <w:marRight w:val="0"/>
          <w:marTop w:val="0"/>
          <w:marBottom w:val="0"/>
          <w:divBdr>
            <w:top w:val="none" w:sz="0" w:space="0" w:color="auto"/>
            <w:left w:val="none" w:sz="0" w:space="0" w:color="auto"/>
            <w:bottom w:val="none" w:sz="0" w:space="0" w:color="auto"/>
            <w:right w:val="none" w:sz="0" w:space="0" w:color="auto"/>
          </w:divBdr>
          <w:divsChild>
            <w:div w:id="1078942618">
              <w:marLeft w:val="-75"/>
              <w:marRight w:val="0"/>
              <w:marTop w:val="30"/>
              <w:marBottom w:val="30"/>
              <w:divBdr>
                <w:top w:val="none" w:sz="0" w:space="0" w:color="auto"/>
                <w:left w:val="none" w:sz="0" w:space="0" w:color="auto"/>
                <w:bottom w:val="none" w:sz="0" w:space="0" w:color="auto"/>
                <w:right w:val="none" w:sz="0" w:space="0" w:color="auto"/>
              </w:divBdr>
              <w:divsChild>
                <w:div w:id="121777402">
                  <w:marLeft w:val="0"/>
                  <w:marRight w:val="0"/>
                  <w:marTop w:val="0"/>
                  <w:marBottom w:val="0"/>
                  <w:divBdr>
                    <w:top w:val="none" w:sz="0" w:space="0" w:color="auto"/>
                    <w:left w:val="none" w:sz="0" w:space="0" w:color="auto"/>
                    <w:bottom w:val="none" w:sz="0" w:space="0" w:color="auto"/>
                    <w:right w:val="none" w:sz="0" w:space="0" w:color="auto"/>
                  </w:divBdr>
                  <w:divsChild>
                    <w:div w:id="813526761">
                      <w:marLeft w:val="0"/>
                      <w:marRight w:val="0"/>
                      <w:marTop w:val="0"/>
                      <w:marBottom w:val="0"/>
                      <w:divBdr>
                        <w:top w:val="none" w:sz="0" w:space="0" w:color="auto"/>
                        <w:left w:val="none" w:sz="0" w:space="0" w:color="auto"/>
                        <w:bottom w:val="none" w:sz="0" w:space="0" w:color="auto"/>
                        <w:right w:val="none" w:sz="0" w:space="0" w:color="auto"/>
                      </w:divBdr>
                    </w:div>
                  </w:divsChild>
                </w:div>
                <w:div w:id="172841875">
                  <w:marLeft w:val="0"/>
                  <w:marRight w:val="0"/>
                  <w:marTop w:val="0"/>
                  <w:marBottom w:val="0"/>
                  <w:divBdr>
                    <w:top w:val="none" w:sz="0" w:space="0" w:color="auto"/>
                    <w:left w:val="none" w:sz="0" w:space="0" w:color="auto"/>
                    <w:bottom w:val="none" w:sz="0" w:space="0" w:color="auto"/>
                    <w:right w:val="none" w:sz="0" w:space="0" w:color="auto"/>
                  </w:divBdr>
                  <w:divsChild>
                    <w:div w:id="667631327">
                      <w:marLeft w:val="0"/>
                      <w:marRight w:val="0"/>
                      <w:marTop w:val="0"/>
                      <w:marBottom w:val="0"/>
                      <w:divBdr>
                        <w:top w:val="none" w:sz="0" w:space="0" w:color="auto"/>
                        <w:left w:val="none" w:sz="0" w:space="0" w:color="auto"/>
                        <w:bottom w:val="none" w:sz="0" w:space="0" w:color="auto"/>
                        <w:right w:val="none" w:sz="0" w:space="0" w:color="auto"/>
                      </w:divBdr>
                    </w:div>
                  </w:divsChild>
                </w:div>
                <w:div w:id="212666361">
                  <w:marLeft w:val="0"/>
                  <w:marRight w:val="0"/>
                  <w:marTop w:val="0"/>
                  <w:marBottom w:val="0"/>
                  <w:divBdr>
                    <w:top w:val="none" w:sz="0" w:space="0" w:color="auto"/>
                    <w:left w:val="none" w:sz="0" w:space="0" w:color="auto"/>
                    <w:bottom w:val="none" w:sz="0" w:space="0" w:color="auto"/>
                    <w:right w:val="none" w:sz="0" w:space="0" w:color="auto"/>
                  </w:divBdr>
                  <w:divsChild>
                    <w:div w:id="2047100116">
                      <w:marLeft w:val="0"/>
                      <w:marRight w:val="0"/>
                      <w:marTop w:val="0"/>
                      <w:marBottom w:val="0"/>
                      <w:divBdr>
                        <w:top w:val="none" w:sz="0" w:space="0" w:color="auto"/>
                        <w:left w:val="none" w:sz="0" w:space="0" w:color="auto"/>
                        <w:bottom w:val="none" w:sz="0" w:space="0" w:color="auto"/>
                        <w:right w:val="none" w:sz="0" w:space="0" w:color="auto"/>
                      </w:divBdr>
                    </w:div>
                  </w:divsChild>
                </w:div>
                <w:div w:id="242186111">
                  <w:marLeft w:val="0"/>
                  <w:marRight w:val="0"/>
                  <w:marTop w:val="0"/>
                  <w:marBottom w:val="0"/>
                  <w:divBdr>
                    <w:top w:val="none" w:sz="0" w:space="0" w:color="auto"/>
                    <w:left w:val="none" w:sz="0" w:space="0" w:color="auto"/>
                    <w:bottom w:val="none" w:sz="0" w:space="0" w:color="auto"/>
                    <w:right w:val="none" w:sz="0" w:space="0" w:color="auto"/>
                  </w:divBdr>
                  <w:divsChild>
                    <w:div w:id="1883203818">
                      <w:marLeft w:val="0"/>
                      <w:marRight w:val="0"/>
                      <w:marTop w:val="0"/>
                      <w:marBottom w:val="0"/>
                      <w:divBdr>
                        <w:top w:val="none" w:sz="0" w:space="0" w:color="auto"/>
                        <w:left w:val="none" w:sz="0" w:space="0" w:color="auto"/>
                        <w:bottom w:val="none" w:sz="0" w:space="0" w:color="auto"/>
                        <w:right w:val="none" w:sz="0" w:space="0" w:color="auto"/>
                      </w:divBdr>
                    </w:div>
                  </w:divsChild>
                </w:div>
                <w:div w:id="289018909">
                  <w:marLeft w:val="0"/>
                  <w:marRight w:val="0"/>
                  <w:marTop w:val="0"/>
                  <w:marBottom w:val="0"/>
                  <w:divBdr>
                    <w:top w:val="none" w:sz="0" w:space="0" w:color="auto"/>
                    <w:left w:val="none" w:sz="0" w:space="0" w:color="auto"/>
                    <w:bottom w:val="none" w:sz="0" w:space="0" w:color="auto"/>
                    <w:right w:val="none" w:sz="0" w:space="0" w:color="auto"/>
                  </w:divBdr>
                  <w:divsChild>
                    <w:div w:id="158928681">
                      <w:marLeft w:val="0"/>
                      <w:marRight w:val="0"/>
                      <w:marTop w:val="0"/>
                      <w:marBottom w:val="0"/>
                      <w:divBdr>
                        <w:top w:val="none" w:sz="0" w:space="0" w:color="auto"/>
                        <w:left w:val="none" w:sz="0" w:space="0" w:color="auto"/>
                        <w:bottom w:val="none" w:sz="0" w:space="0" w:color="auto"/>
                        <w:right w:val="none" w:sz="0" w:space="0" w:color="auto"/>
                      </w:divBdr>
                    </w:div>
                  </w:divsChild>
                </w:div>
                <w:div w:id="469127614">
                  <w:marLeft w:val="0"/>
                  <w:marRight w:val="0"/>
                  <w:marTop w:val="0"/>
                  <w:marBottom w:val="0"/>
                  <w:divBdr>
                    <w:top w:val="none" w:sz="0" w:space="0" w:color="auto"/>
                    <w:left w:val="none" w:sz="0" w:space="0" w:color="auto"/>
                    <w:bottom w:val="none" w:sz="0" w:space="0" w:color="auto"/>
                    <w:right w:val="none" w:sz="0" w:space="0" w:color="auto"/>
                  </w:divBdr>
                  <w:divsChild>
                    <w:div w:id="708913195">
                      <w:marLeft w:val="0"/>
                      <w:marRight w:val="0"/>
                      <w:marTop w:val="0"/>
                      <w:marBottom w:val="0"/>
                      <w:divBdr>
                        <w:top w:val="none" w:sz="0" w:space="0" w:color="auto"/>
                        <w:left w:val="none" w:sz="0" w:space="0" w:color="auto"/>
                        <w:bottom w:val="none" w:sz="0" w:space="0" w:color="auto"/>
                        <w:right w:val="none" w:sz="0" w:space="0" w:color="auto"/>
                      </w:divBdr>
                    </w:div>
                  </w:divsChild>
                </w:div>
                <w:div w:id="619340909">
                  <w:marLeft w:val="0"/>
                  <w:marRight w:val="0"/>
                  <w:marTop w:val="0"/>
                  <w:marBottom w:val="0"/>
                  <w:divBdr>
                    <w:top w:val="none" w:sz="0" w:space="0" w:color="auto"/>
                    <w:left w:val="none" w:sz="0" w:space="0" w:color="auto"/>
                    <w:bottom w:val="none" w:sz="0" w:space="0" w:color="auto"/>
                    <w:right w:val="none" w:sz="0" w:space="0" w:color="auto"/>
                  </w:divBdr>
                  <w:divsChild>
                    <w:div w:id="1247032471">
                      <w:marLeft w:val="0"/>
                      <w:marRight w:val="0"/>
                      <w:marTop w:val="0"/>
                      <w:marBottom w:val="0"/>
                      <w:divBdr>
                        <w:top w:val="none" w:sz="0" w:space="0" w:color="auto"/>
                        <w:left w:val="none" w:sz="0" w:space="0" w:color="auto"/>
                        <w:bottom w:val="none" w:sz="0" w:space="0" w:color="auto"/>
                        <w:right w:val="none" w:sz="0" w:space="0" w:color="auto"/>
                      </w:divBdr>
                    </w:div>
                  </w:divsChild>
                </w:div>
                <w:div w:id="647439428">
                  <w:marLeft w:val="0"/>
                  <w:marRight w:val="0"/>
                  <w:marTop w:val="0"/>
                  <w:marBottom w:val="0"/>
                  <w:divBdr>
                    <w:top w:val="none" w:sz="0" w:space="0" w:color="auto"/>
                    <w:left w:val="none" w:sz="0" w:space="0" w:color="auto"/>
                    <w:bottom w:val="none" w:sz="0" w:space="0" w:color="auto"/>
                    <w:right w:val="none" w:sz="0" w:space="0" w:color="auto"/>
                  </w:divBdr>
                  <w:divsChild>
                    <w:div w:id="185142207">
                      <w:marLeft w:val="0"/>
                      <w:marRight w:val="0"/>
                      <w:marTop w:val="0"/>
                      <w:marBottom w:val="0"/>
                      <w:divBdr>
                        <w:top w:val="none" w:sz="0" w:space="0" w:color="auto"/>
                        <w:left w:val="none" w:sz="0" w:space="0" w:color="auto"/>
                        <w:bottom w:val="none" w:sz="0" w:space="0" w:color="auto"/>
                        <w:right w:val="none" w:sz="0" w:space="0" w:color="auto"/>
                      </w:divBdr>
                    </w:div>
                  </w:divsChild>
                </w:div>
                <w:div w:id="743991836">
                  <w:marLeft w:val="0"/>
                  <w:marRight w:val="0"/>
                  <w:marTop w:val="0"/>
                  <w:marBottom w:val="0"/>
                  <w:divBdr>
                    <w:top w:val="none" w:sz="0" w:space="0" w:color="auto"/>
                    <w:left w:val="none" w:sz="0" w:space="0" w:color="auto"/>
                    <w:bottom w:val="none" w:sz="0" w:space="0" w:color="auto"/>
                    <w:right w:val="none" w:sz="0" w:space="0" w:color="auto"/>
                  </w:divBdr>
                  <w:divsChild>
                    <w:div w:id="314378455">
                      <w:marLeft w:val="0"/>
                      <w:marRight w:val="0"/>
                      <w:marTop w:val="0"/>
                      <w:marBottom w:val="0"/>
                      <w:divBdr>
                        <w:top w:val="none" w:sz="0" w:space="0" w:color="auto"/>
                        <w:left w:val="none" w:sz="0" w:space="0" w:color="auto"/>
                        <w:bottom w:val="none" w:sz="0" w:space="0" w:color="auto"/>
                        <w:right w:val="none" w:sz="0" w:space="0" w:color="auto"/>
                      </w:divBdr>
                    </w:div>
                  </w:divsChild>
                </w:div>
                <w:div w:id="771363508">
                  <w:marLeft w:val="0"/>
                  <w:marRight w:val="0"/>
                  <w:marTop w:val="0"/>
                  <w:marBottom w:val="0"/>
                  <w:divBdr>
                    <w:top w:val="none" w:sz="0" w:space="0" w:color="auto"/>
                    <w:left w:val="none" w:sz="0" w:space="0" w:color="auto"/>
                    <w:bottom w:val="none" w:sz="0" w:space="0" w:color="auto"/>
                    <w:right w:val="none" w:sz="0" w:space="0" w:color="auto"/>
                  </w:divBdr>
                  <w:divsChild>
                    <w:div w:id="1877039688">
                      <w:marLeft w:val="0"/>
                      <w:marRight w:val="0"/>
                      <w:marTop w:val="0"/>
                      <w:marBottom w:val="0"/>
                      <w:divBdr>
                        <w:top w:val="none" w:sz="0" w:space="0" w:color="auto"/>
                        <w:left w:val="none" w:sz="0" w:space="0" w:color="auto"/>
                        <w:bottom w:val="none" w:sz="0" w:space="0" w:color="auto"/>
                        <w:right w:val="none" w:sz="0" w:space="0" w:color="auto"/>
                      </w:divBdr>
                    </w:div>
                  </w:divsChild>
                </w:div>
                <w:div w:id="851533708">
                  <w:marLeft w:val="0"/>
                  <w:marRight w:val="0"/>
                  <w:marTop w:val="0"/>
                  <w:marBottom w:val="0"/>
                  <w:divBdr>
                    <w:top w:val="none" w:sz="0" w:space="0" w:color="auto"/>
                    <w:left w:val="none" w:sz="0" w:space="0" w:color="auto"/>
                    <w:bottom w:val="none" w:sz="0" w:space="0" w:color="auto"/>
                    <w:right w:val="none" w:sz="0" w:space="0" w:color="auto"/>
                  </w:divBdr>
                  <w:divsChild>
                    <w:div w:id="490947667">
                      <w:marLeft w:val="0"/>
                      <w:marRight w:val="0"/>
                      <w:marTop w:val="0"/>
                      <w:marBottom w:val="0"/>
                      <w:divBdr>
                        <w:top w:val="none" w:sz="0" w:space="0" w:color="auto"/>
                        <w:left w:val="none" w:sz="0" w:space="0" w:color="auto"/>
                        <w:bottom w:val="none" w:sz="0" w:space="0" w:color="auto"/>
                        <w:right w:val="none" w:sz="0" w:space="0" w:color="auto"/>
                      </w:divBdr>
                    </w:div>
                  </w:divsChild>
                </w:div>
                <w:div w:id="1138063328">
                  <w:marLeft w:val="0"/>
                  <w:marRight w:val="0"/>
                  <w:marTop w:val="0"/>
                  <w:marBottom w:val="0"/>
                  <w:divBdr>
                    <w:top w:val="none" w:sz="0" w:space="0" w:color="auto"/>
                    <w:left w:val="none" w:sz="0" w:space="0" w:color="auto"/>
                    <w:bottom w:val="none" w:sz="0" w:space="0" w:color="auto"/>
                    <w:right w:val="none" w:sz="0" w:space="0" w:color="auto"/>
                  </w:divBdr>
                  <w:divsChild>
                    <w:div w:id="1473869964">
                      <w:marLeft w:val="0"/>
                      <w:marRight w:val="0"/>
                      <w:marTop w:val="0"/>
                      <w:marBottom w:val="0"/>
                      <w:divBdr>
                        <w:top w:val="none" w:sz="0" w:space="0" w:color="auto"/>
                        <w:left w:val="none" w:sz="0" w:space="0" w:color="auto"/>
                        <w:bottom w:val="none" w:sz="0" w:space="0" w:color="auto"/>
                        <w:right w:val="none" w:sz="0" w:space="0" w:color="auto"/>
                      </w:divBdr>
                    </w:div>
                  </w:divsChild>
                </w:div>
                <w:div w:id="1272317020">
                  <w:marLeft w:val="0"/>
                  <w:marRight w:val="0"/>
                  <w:marTop w:val="0"/>
                  <w:marBottom w:val="0"/>
                  <w:divBdr>
                    <w:top w:val="none" w:sz="0" w:space="0" w:color="auto"/>
                    <w:left w:val="none" w:sz="0" w:space="0" w:color="auto"/>
                    <w:bottom w:val="none" w:sz="0" w:space="0" w:color="auto"/>
                    <w:right w:val="none" w:sz="0" w:space="0" w:color="auto"/>
                  </w:divBdr>
                  <w:divsChild>
                    <w:div w:id="1241863543">
                      <w:marLeft w:val="0"/>
                      <w:marRight w:val="0"/>
                      <w:marTop w:val="0"/>
                      <w:marBottom w:val="0"/>
                      <w:divBdr>
                        <w:top w:val="none" w:sz="0" w:space="0" w:color="auto"/>
                        <w:left w:val="none" w:sz="0" w:space="0" w:color="auto"/>
                        <w:bottom w:val="none" w:sz="0" w:space="0" w:color="auto"/>
                        <w:right w:val="none" w:sz="0" w:space="0" w:color="auto"/>
                      </w:divBdr>
                    </w:div>
                  </w:divsChild>
                </w:div>
                <w:div w:id="1305547120">
                  <w:marLeft w:val="0"/>
                  <w:marRight w:val="0"/>
                  <w:marTop w:val="0"/>
                  <w:marBottom w:val="0"/>
                  <w:divBdr>
                    <w:top w:val="none" w:sz="0" w:space="0" w:color="auto"/>
                    <w:left w:val="none" w:sz="0" w:space="0" w:color="auto"/>
                    <w:bottom w:val="none" w:sz="0" w:space="0" w:color="auto"/>
                    <w:right w:val="none" w:sz="0" w:space="0" w:color="auto"/>
                  </w:divBdr>
                  <w:divsChild>
                    <w:div w:id="1945263806">
                      <w:marLeft w:val="0"/>
                      <w:marRight w:val="0"/>
                      <w:marTop w:val="0"/>
                      <w:marBottom w:val="0"/>
                      <w:divBdr>
                        <w:top w:val="none" w:sz="0" w:space="0" w:color="auto"/>
                        <w:left w:val="none" w:sz="0" w:space="0" w:color="auto"/>
                        <w:bottom w:val="none" w:sz="0" w:space="0" w:color="auto"/>
                        <w:right w:val="none" w:sz="0" w:space="0" w:color="auto"/>
                      </w:divBdr>
                    </w:div>
                  </w:divsChild>
                </w:div>
                <w:div w:id="1330907762">
                  <w:marLeft w:val="0"/>
                  <w:marRight w:val="0"/>
                  <w:marTop w:val="0"/>
                  <w:marBottom w:val="0"/>
                  <w:divBdr>
                    <w:top w:val="none" w:sz="0" w:space="0" w:color="auto"/>
                    <w:left w:val="none" w:sz="0" w:space="0" w:color="auto"/>
                    <w:bottom w:val="none" w:sz="0" w:space="0" w:color="auto"/>
                    <w:right w:val="none" w:sz="0" w:space="0" w:color="auto"/>
                  </w:divBdr>
                  <w:divsChild>
                    <w:div w:id="678502421">
                      <w:marLeft w:val="0"/>
                      <w:marRight w:val="0"/>
                      <w:marTop w:val="0"/>
                      <w:marBottom w:val="0"/>
                      <w:divBdr>
                        <w:top w:val="none" w:sz="0" w:space="0" w:color="auto"/>
                        <w:left w:val="none" w:sz="0" w:space="0" w:color="auto"/>
                        <w:bottom w:val="none" w:sz="0" w:space="0" w:color="auto"/>
                        <w:right w:val="none" w:sz="0" w:space="0" w:color="auto"/>
                      </w:divBdr>
                    </w:div>
                  </w:divsChild>
                </w:div>
                <w:div w:id="1349260222">
                  <w:marLeft w:val="0"/>
                  <w:marRight w:val="0"/>
                  <w:marTop w:val="0"/>
                  <w:marBottom w:val="0"/>
                  <w:divBdr>
                    <w:top w:val="none" w:sz="0" w:space="0" w:color="auto"/>
                    <w:left w:val="none" w:sz="0" w:space="0" w:color="auto"/>
                    <w:bottom w:val="none" w:sz="0" w:space="0" w:color="auto"/>
                    <w:right w:val="none" w:sz="0" w:space="0" w:color="auto"/>
                  </w:divBdr>
                  <w:divsChild>
                    <w:div w:id="2026398832">
                      <w:marLeft w:val="0"/>
                      <w:marRight w:val="0"/>
                      <w:marTop w:val="0"/>
                      <w:marBottom w:val="0"/>
                      <w:divBdr>
                        <w:top w:val="none" w:sz="0" w:space="0" w:color="auto"/>
                        <w:left w:val="none" w:sz="0" w:space="0" w:color="auto"/>
                        <w:bottom w:val="none" w:sz="0" w:space="0" w:color="auto"/>
                        <w:right w:val="none" w:sz="0" w:space="0" w:color="auto"/>
                      </w:divBdr>
                    </w:div>
                  </w:divsChild>
                </w:div>
                <w:div w:id="1399791674">
                  <w:marLeft w:val="0"/>
                  <w:marRight w:val="0"/>
                  <w:marTop w:val="0"/>
                  <w:marBottom w:val="0"/>
                  <w:divBdr>
                    <w:top w:val="none" w:sz="0" w:space="0" w:color="auto"/>
                    <w:left w:val="none" w:sz="0" w:space="0" w:color="auto"/>
                    <w:bottom w:val="none" w:sz="0" w:space="0" w:color="auto"/>
                    <w:right w:val="none" w:sz="0" w:space="0" w:color="auto"/>
                  </w:divBdr>
                  <w:divsChild>
                    <w:div w:id="2041273279">
                      <w:marLeft w:val="0"/>
                      <w:marRight w:val="0"/>
                      <w:marTop w:val="0"/>
                      <w:marBottom w:val="0"/>
                      <w:divBdr>
                        <w:top w:val="none" w:sz="0" w:space="0" w:color="auto"/>
                        <w:left w:val="none" w:sz="0" w:space="0" w:color="auto"/>
                        <w:bottom w:val="none" w:sz="0" w:space="0" w:color="auto"/>
                        <w:right w:val="none" w:sz="0" w:space="0" w:color="auto"/>
                      </w:divBdr>
                    </w:div>
                  </w:divsChild>
                </w:div>
                <w:div w:id="1500803224">
                  <w:marLeft w:val="0"/>
                  <w:marRight w:val="0"/>
                  <w:marTop w:val="0"/>
                  <w:marBottom w:val="0"/>
                  <w:divBdr>
                    <w:top w:val="none" w:sz="0" w:space="0" w:color="auto"/>
                    <w:left w:val="none" w:sz="0" w:space="0" w:color="auto"/>
                    <w:bottom w:val="none" w:sz="0" w:space="0" w:color="auto"/>
                    <w:right w:val="none" w:sz="0" w:space="0" w:color="auto"/>
                  </w:divBdr>
                  <w:divsChild>
                    <w:div w:id="1552501707">
                      <w:marLeft w:val="0"/>
                      <w:marRight w:val="0"/>
                      <w:marTop w:val="0"/>
                      <w:marBottom w:val="0"/>
                      <w:divBdr>
                        <w:top w:val="none" w:sz="0" w:space="0" w:color="auto"/>
                        <w:left w:val="none" w:sz="0" w:space="0" w:color="auto"/>
                        <w:bottom w:val="none" w:sz="0" w:space="0" w:color="auto"/>
                        <w:right w:val="none" w:sz="0" w:space="0" w:color="auto"/>
                      </w:divBdr>
                    </w:div>
                  </w:divsChild>
                </w:div>
                <w:div w:id="1555507296">
                  <w:marLeft w:val="0"/>
                  <w:marRight w:val="0"/>
                  <w:marTop w:val="0"/>
                  <w:marBottom w:val="0"/>
                  <w:divBdr>
                    <w:top w:val="none" w:sz="0" w:space="0" w:color="auto"/>
                    <w:left w:val="none" w:sz="0" w:space="0" w:color="auto"/>
                    <w:bottom w:val="none" w:sz="0" w:space="0" w:color="auto"/>
                    <w:right w:val="none" w:sz="0" w:space="0" w:color="auto"/>
                  </w:divBdr>
                  <w:divsChild>
                    <w:div w:id="869799830">
                      <w:marLeft w:val="0"/>
                      <w:marRight w:val="0"/>
                      <w:marTop w:val="0"/>
                      <w:marBottom w:val="0"/>
                      <w:divBdr>
                        <w:top w:val="none" w:sz="0" w:space="0" w:color="auto"/>
                        <w:left w:val="none" w:sz="0" w:space="0" w:color="auto"/>
                        <w:bottom w:val="none" w:sz="0" w:space="0" w:color="auto"/>
                        <w:right w:val="none" w:sz="0" w:space="0" w:color="auto"/>
                      </w:divBdr>
                    </w:div>
                  </w:divsChild>
                </w:div>
                <w:div w:id="1720857501">
                  <w:marLeft w:val="0"/>
                  <w:marRight w:val="0"/>
                  <w:marTop w:val="0"/>
                  <w:marBottom w:val="0"/>
                  <w:divBdr>
                    <w:top w:val="none" w:sz="0" w:space="0" w:color="auto"/>
                    <w:left w:val="none" w:sz="0" w:space="0" w:color="auto"/>
                    <w:bottom w:val="none" w:sz="0" w:space="0" w:color="auto"/>
                    <w:right w:val="none" w:sz="0" w:space="0" w:color="auto"/>
                  </w:divBdr>
                  <w:divsChild>
                    <w:div w:id="1190952918">
                      <w:marLeft w:val="0"/>
                      <w:marRight w:val="0"/>
                      <w:marTop w:val="0"/>
                      <w:marBottom w:val="0"/>
                      <w:divBdr>
                        <w:top w:val="none" w:sz="0" w:space="0" w:color="auto"/>
                        <w:left w:val="none" w:sz="0" w:space="0" w:color="auto"/>
                        <w:bottom w:val="none" w:sz="0" w:space="0" w:color="auto"/>
                        <w:right w:val="none" w:sz="0" w:space="0" w:color="auto"/>
                      </w:divBdr>
                    </w:div>
                  </w:divsChild>
                </w:div>
                <w:div w:id="1756319429">
                  <w:marLeft w:val="0"/>
                  <w:marRight w:val="0"/>
                  <w:marTop w:val="0"/>
                  <w:marBottom w:val="0"/>
                  <w:divBdr>
                    <w:top w:val="none" w:sz="0" w:space="0" w:color="auto"/>
                    <w:left w:val="none" w:sz="0" w:space="0" w:color="auto"/>
                    <w:bottom w:val="none" w:sz="0" w:space="0" w:color="auto"/>
                    <w:right w:val="none" w:sz="0" w:space="0" w:color="auto"/>
                  </w:divBdr>
                  <w:divsChild>
                    <w:div w:id="1409115169">
                      <w:marLeft w:val="0"/>
                      <w:marRight w:val="0"/>
                      <w:marTop w:val="0"/>
                      <w:marBottom w:val="0"/>
                      <w:divBdr>
                        <w:top w:val="none" w:sz="0" w:space="0" w:color="auto"/>
                        <w:left w:val="none" w:sz="0" w:space="0" w:color="auto"/>
                        <w:bottom w:val="none" w:sz="0" w:space="0" w:color="auto"/>
                        <w:right w:val="none" w:sz="0" w:space="0" w:color="auto"/>
                      </w:divBdr>
                    </w:div>
                  </w:divsChild>
                </w:div>
                <w:div w:id="1831557012">
                  <w:marLeft w:val="0"/>
                  <w:marRight w:val="0"/>
                  <w:marTop w:val="0"/>
                  <w:marBottom w:val="0"/>
                  <w:divBdr>
                    <w:top w:val="none" w:sz="0" w:space="0" w:color="auto"/>
                    <w:left w:val="none" w:sz="0" w:space="0" w:color="auto"/>
                    <w:bottom w:val="none" w:sz="0" w:space="0" w:color="auto"/>
                    <w:right w:val="none" w:sz="0" w:space="0" w:color="auto"/>
                  </w:divBdr>
                  <w:divsChild>
                    <w:div w:id="1852791524">
                      <w:marLeft w:val="0"/>
                      <w:marRight w:val="0"/>
                      <w:marTop w:val="0"/>
                      <w:marBottom w:val="0"/>
                      <w:divBdr>
                        <w:top w:val="none" w:sz="0" w:space="0" w:color="auto"/>
                        <w:left w:val="none" w:sz="0" w:space="0" w:color="auto"/>
                        <w:bottom w:val="none" w:sz="0" w:space="0" w:color="auto"/>
                        <w:right w:val="none" w:sz="0" w:space="0" w:color="auto"/>
                      </w:divBdr>
                    </w:div>
                  </w:divsChild>
                </w:div>
                <w:div w:id="1937519995">
                  <w:marLeft w:val="0"/>
                  <w:marRight w:val="0"/>
                  <w:marTop w:val="0"/>
                  <w:marBottom w:val="0"/>
                  <w:divBdr>
                    <w:top w:val="none" w:sz="0" w:space="0" w:color="auto"/>
                    <w:left w:val="none" w:sz="0" w:space="0" w:color="auto"/>
                    <w:bottom w:val="none" w:sz="0" w:space="0" w:color="auto"/>
                    <w:right w:val="none" w:sz="0" w:space="0" w:color="auto"/>
                  </w:divBdr>
                  <w:divsChild>
                    <w:div w:id="1495341247">
                      <w:marLeft w:val="0"/>
                      <w:marRight w:val="0"/>
                      <w:marTop w:val="0"/>
                      <w:marBottom w:val="0"/>
                      <w:divBdr>
                        <w:top w:val="none" w:sz="0" w:space="0" w:color="auto"/>
                        <w:left w:val="none" w:sz="0" w:space="0" w:color="auto"/>
                        <w:bottom w:val="none" w:sz="0" w:space="0" w:color="auto"/>
                        <w:right w:val="none" w:sz="0" w:space="0" w:color="auto"/>
                      </w:divBdr>
                    </w:div>
                  </w:divsChild>
                </w:div>
                <w:div w:id="1972049118">
                  <w:marLeft w:val="0"/>
                  <w:marRight w:val="0"/>
                  <w:marTop w:val="0"/>
                  <w:marBottom w:val="0"/>
                  <w:divBdr>
                    <w:top w:val="none" w:sz="0" w:space="0" w:color="auto"/>
                    <w:left w:val="none" w:sz="0" w:space="0" w:color="auto"/>
                    <w:bottom w:val="none" w:sz="0" w:space="0" w:color="auto"/>
                    <w:right w:val="none" w:sz="0" w:space="0" w:color="auto"/>
                  </w:divBdr>
                  <w:divsChild>
                    <w:div w:id="105274110">
                      <w:marLeft w:val="0"/>
                      <w:marRight w:val="0"/>
                      <w:marTop w:val="0"/>
                      <w:marBottom w:val="0"/>
                      <w:divBdr>
                        <w:top w:val="none" w:sz="0" w:space="0" w:color="auto"/>
                        <w:left w:val="none" w:sz="0" w:space="0" w:color="auto"/>
                        <w:bottom w:val="none" w:sz="0" w:space="0" w:color="auto"/>
                        <w:right w:val="none" w:sz="0" w:space="0" w:color="auto"/>
                      </w:divBdr>
                    </w:div>
                  </w:divsChild>
                </w:div>
                <w:div w:id="2048065577">
                  <w:marLeft w:val="0"/>
                  <w:marRight w:val="0"/>
                  <w:marTop w:val="0"/>
                  <w:marBottom w:val="0"/>
                  <w:divBdr>
                    <w:top w:val="none" w:sz="0" w:space="0" w:color="auto"/>
                    <w:left w:val="none" w:sz="0" w:space="0" w:color="auto"/>
                    <w:bottom w:val="none" w:sz="0" w:space="0" w:color="auto"/>
                    <w:right w:val="none" w:sz="0" w:space="0" w:color="auto"/>
                  </w:divBdr>
                  <w:divsChild>
                    <w:div w:id="674112231">
                      <w:marLeft w:val="0"/>
                      <w:marRight w:val="0"/>
                      <w:marTop w:val="0"/>
                      <w:marBottom w:val="0"/>
                      <w:divBdr>
                        <w:top w:val="none" w:sz="0" w:space="0" w:color="auto"/>
                        <w:left w:val="none" w:sz="0" w:space="0" w:color="auto"/>
                        <w:bottom w:val="none" w:sz="0" w:space="0" w:color="auto"/>
                        <w:right w:val="none" w:sz="0" w:space="0" w:color="auto"/>
                      </w:divBdr>
                    </w:div>
                  </w:divsChild>
                </w:div>
                <w:div w:id="2119451034">
                  <w:marLeft w:val="0"/>
                  <w:marRight w:val="0"/>
                  <w:marTop w:val="0"/>
                  <w:marBottom w:val="0"/>
                  <w:divBdr>
                    <w:top w:val="none" w:sz="0" w:space="0" w:color="auto"/>
                    <w:left w:val="none" w:sz="0" w:space="0" w:color="auto"/>
                    <w:bottom w:val="none" w:sz="0" w:space="0" w:color="auto"/>
                    <w:right w:val="none" w:sz="0" w:space="0" w:color="auto"/>
                  </w:divBdr>
                  <w:divsChild>
                    <w:div w:id="11431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7707">
          <w:marLeft w:val="0"/>
          <w:marRight w:val="0"/>
          <w:marTop w:val="0"/>
          <w:marBottom w:val="0"/>
          <w:divBdr>
            <w:top w:val="none" w:sz="0" w:space="0" w:color="auto"/>
            <w:left w:val="none" w:sz="0" w:space="0" w:color="auto"/>
            <w:bottom w:val="none" w:sz="0" w:space="0" w:color="auto"/>
            <w:right w:val="none" w:sz="0" w:space="0" w:color="auto"/>
          </w:divBdr>
        </w:div>
        <w:div w:id="1509949486">
          <w:marLeft w:val="0"/>
          <w:marRight w:val="0"/>
          <w:marTop w:val="0"/>
          <w:marBottom w:val="0"/>
          <w:divBdr>
            <w:top w:val="none" w:sz="0" w:space="0" w:color="auto"/>
            <w:left w:val="none" w:sz="0" w:space="0" w:color="auto"/>
            <w:bottom w:val="none" w:sz="0" w:space="0" w:color="auto"/>
            <w:right w:val="none" w:sz="0" w:space="0" w:color="auto"/>
          </w:divBdr>
        </w:div>
        <w:div w:id="1540437508">
          <w:marLeft w:val="0"/>
          <w:marRight w:val="0"/>
          <w:marTop w:val="0"/>
          <w:marBottom w:val="0"/>
          <w:divBdr>
            <w:top w:val="none" w:sz="0" w:space="0" w:color="auto"/>
            <w:left w:val="none" w:sz="0" w:space="0" w:color="auto"/>
            <w:bottom w:val="none" w:sz="0" w:space="0" w:color="auto"/>
            <w:right w:val="none" w:sz="0" w:space="0" w:color="auto"/>
          </w:divBdr>
        </w:div>
        <w:div w:id="1597981827">
          <w:marLeft w:val="0"/>
          <w:marRight w:val="0"/>
          <w:marTop w:val="0"/>
          <w:marBottom w:val="0"/>
          <w:divBdr>
            <w:top w:val="none" w:sz="0" w:space="0" w:color="auto"/>
            <w:left w:val="none" w:sz="0" w:space="0" w:color="auto"/>
            <w:bottom w:val="none" w:sz="0" w:space="0" w:color="auto"/>
            <w:right w:val="none" w:sz="0" w:space="0" w:color="auto"/>
          </w:divBdr>
        </w:div>
        <w:div w:id="1681545331">
          <w:marLeft w:val="0"/>
          <w:marRight w:val="0"/>
          <w:marTop w:val="0"/>
          <w:marBottom w:val="0"/>
          <w:divBdr>
            <w:top w:val="none" w:sz="0" w:space="0" w:color="auto"/>
            <w:left w:val="none" w:sz="0" w:space="0" w:color="auto"/>
            <w:bottom w:val="none" w:sz="0" w:space="0" w:color="auto"/>
            <w:right w:val="none" w:sz="0" w:space="0" w:color="auto"/>
          </w:divBdr>
        </w:div>
        <w:div w:id="1769496416">
          <w:marLeft w:val="0"/>
          <w:marRight w:val="0"/>
          <w:marTop w:val="0"/>
          <w:marBottom w:val="0"/>
          <w:divBdr>
            <w:top w:val="none" w:sz="0" w:space="0" w:color="auto"/>
            <w:left w:val="none" w:sz="0" w:space="0" w:color="auto"/>
            <w:bottom w:val="none" w:sz="0" w:space="0" w:color="auto"/>
            <w:right w:val="none" w:sz="0" w:space="0" w:color="auto"/>
          </w:divBdr>
        </w:div>
        <w:div w:id="1772820332">
          <w:marLeft w:val="0"/>
          <w:marRight w:val="0"/>
          <w:marTop w:val="0"/>
          <w:marBottom w:val="0"/>
          <w:divBdr>
            <w:top w:val="none" w:sz="0" w:space="0" w:color="auto"/>
            <w:left w:val="none" w:sz="0" w:space="0" w:color="auto"/>
            <w:bottom w:val="none" w:sz="0" w:space="0" w:color="auto"/>
            <w:right w:val="none" w:sz="0" w:space="0" w:color="auto"/>
          </w:divBdr>
        </w:div>
        <w:div w:id="1894122327">
          <w:marLeft w:val="0"/>
          <w:marRight w:val="0"/>
          <w:marTop w:val="0"/>
          <w:marBottom w:val="0"/>
          <w:divBdr>
            <w:top w:val="none" w:sz="0" w:space="0" w:color="auto"/>
            <w:left w:val="none" w:sz="0" w:space="0" w:color="auto"/>
            <w:bottom w:val="none" w:sz="0" w:space="0" w:color="auto"/>
            <w:right w:val="none" w:sz="0" w:space="0" w:color="auto"/>
          </w:divBdr>
        </w:div>
        <w:div w:id="1903522308">
          <w:marLeft w:val="0"/>
          <w:marRight w:val="0"/>
          <w:marTop w:val="0"/>
          <w:marBottom w:val="0"/>
          <w:divBdr>
            <w:top w:val="none" w:sz="0" w:space="0" w:color="auto"/>
            <w:left w:val="none" w:sz="0" w:space="0" w:color="auto"/>
            <w:bottom w:val="none" w:sz="0" w:space="0" w:color="auto"/>
            <w:right w:val="none" w:sz="0" w:space="0" w:color="auto"/>
          </w:divBdr>
        </w:div>
        <w:div w:id="1921594661">
          <w:marLeft w:val="0"/>
          <w:marRight w:val="0"/>
          <w:marTop w:val="0"/>
          <w:marBottom w:val="0"/>
          <w:divBdr>
            <w:top w:val="none" w:sz="0" w:space="0" w:color="auto"/>
            <w:left w:val="none" w:sz="0" w:space="0" w:color="auto"/>
            <w:bottom w:val="none" w:sz="0" w:space="0" w:color="auto"/>
            <w:right w:val="none" w:sz="0" w:space="0" w:color="auto"/>
          </w:divBdr>
        </w:div>
        <w:div w:id="1956135408">
          <w:marLeft w:val="0"/>
          <w:marRight w:val="0"/>
          <w:marTop w:val="0"/>
          <w:marBottom w:val="0"/>
          <w:divBdr>
            <w:top w:val="none" w:sz="0" w:space="0" w:color="auto"/>
            <w:left w:val="none" w:sz="0" w:space="0" w:color="auto"/>
            <w:bottom w:val="none" w:sz="0" w:space="0" w:color="auto"/>
            <w:right w:val="none" w:sz="0" w:space="0" w:color="auto"/>
          </w:divBdr>
        </w:div>
        <w:div w:id="1960798974">
          <w:marLeft w:val="0"/>
          <w:marRight w:val="0"/>
          <w:marTop w:val="0"/>
          <w:marBottom w:val="0"/>
          <w:divBdr>
            <w:top w:val="none" w:sz="0" w:space="0" w:color="auto"/>
            <w:left w:val="none" w:sz="0" w:space="0" w:color="auto"/>
            <w:bottom w:val="none" w:sz="0" w:space="0" w:color="auto"/>
            <w:right w:val="none" w:sz="0" w:space="0" w:color="auto"/>
          </w:divBdr>
          <w:divsChild>
            <w:div w:id="365521964">
              <w:marLeft w:val="-75"/>
              <w:marRight w:val="0"/>
              <w:marTop w:val="30"/>
              <w:marBottom w:val="30"/>
              <w:divBdr>
                <w:top w:val="none" w:sz="0" w:space="0" w:color="auto"/>
                <w:left w:val="none" w:sz="0" w:space="0" w:color="auto"/>
                <w:bottom w:val="none" w:sz="0" w:space="0" w:color="auto"/>
                <w:right w:val="none" w:sz="0" w:space="0" w:color="auto"/>
              </w:divBdr>
              <w:divsChild>
                <w:div w:id="1906545">
                  <w:marLeft w:val="0"/>
                  <w:marRight w:val="0"/>
                  <w:marTop w:val="0"/>
                  <w:marBottom w:val="0"/>
                  <w:divBdr>
                    <w:top w:val="none" w:sz="0" w:space="0" w:color="auto"/>
                    <w:left w:val="none" w:sz="0" w:space="0" w:color="auto"/>
                    <w:bottom w:val="none" w:sz="0" w:space="0" w:color="auto"/>
                    <w:right w:val="none" w:sz="0" w:space="0" w:color="auto"/>
                  </w:divBdr>
                  <w:divsChild>
                    <w:div w:id="2134978290">
                      <w:marLeft w:val="0"/>
                      <w:marRight w:val="0"/>
                      <w:marTop w:val="0"/>
                      <w:marBottom w:val="0"/>
                      <w:divBdr>
                        <w:top w:val="none" w:sz="0" w:space="0" w:color="auto"/>
                        <w:left w:val="none" w:sz="0" w:space="0" w:color="auto"/>
                        <w:bottom w:val="none" w:sz="0" w:space="0" w:color="auto"/>
                        <w:right w:val="none" w:sz="0" w:space="0" w:color="auto"/>
                      </w:divBdr>
                    </w:div>
                  </w:divsChild>
                </w:div>
                <w:div w:id="22481467">
                  <w:marLeft w:val="0"/>
                  <w:marRight w:val="0"/>
                  <w:marTop w:val="0"/>
                  <w:marBottom w:val="0"/>
                  <w:divBdr>
                    <w:top w:val="none" w:sz="0" w:space="0" w:color="auto"/>
                    <w:left w:val="none" w:sz="0" w:space="0" w:color="auto"/>
                    <w:bottom w:val="none" w:sz="0" w:space="0" w:color="auto"/>
                    <w:right w:val="none" w:sz="0" w:space="0" w:color="auto"/>
                  </w:divBdr>
                  <w:divsChild>
                    <w:div w:id="1052969081">
                      <w:marLeft w:val="0"/>
                      <w:marRight w:val="0"/>
                      <w:marTop w:val="0"/>
                      <w:marBottom w:val="0"/>
                      <w:divBdr>
                        <w:top w:val="none" w:sz="0" w:space="0" w:color="auto"/>
                        <w:left w:val="none" w:sz="0" w:space="0" w:color="auto"/>
                        <w:bottom w:val="none" w:sz="0" w:space="0" w:color="auto"/>
                        <w:right w:val="none" w:sz="0" w:space="0" w:color="auto"/>
                      </w:divBdr>
                    </w:div>
                  </w:divsChild>
                </w:div>
                <w:div w:id="74713804">
                  <w:marLeft w:val="0"/>
                  <w:marRight w:val="0"/>
                  <w:marTop w:val="0"/>
                  <w:marBottom w:val="0"/>
                  <w:divBdr>
                    <w:top w:val="none" w:sz="0" w:space="0" w:color="auto"/>
                    <w:left w:val="none" w:sz="0" w:space="0" w:color="auto"/>
                    <w:bottom w:val="none" w:sz="0" w:space="0" w:color="auto"/>
                    <w:right w:val="none" w:sz="0" w:space="0" w:color="auto"/>
                  </w:divBdr>
                  <w:divsChild>
                    <w:div w:id="1260718010">
                      <w:marLeft w:val="0"/>
                      <w:marRight w:val="0"/>
                      <w:marTop w:val="0"/>
                      <w:marBottom w:val="0"/>
                      <w:divBdr>
                        <w:top w:val="none" w:sz="0" w:space="0" w:color="auto"/>
                        <w:left w:val="none" w:sz="0" w:space="0" w:color="auto"/>
                        <w:bottom w:val="none" w:sz="0" w:space="0" w:color="auto"/>
                        <w:right w:val="none" w:sz="0" w:space="0" w:color="auto"/>
                      </w:divBdr>
                    </w:div>
                  </w:divsChild>
                </w:div>
                <w:div w:id="75833652">
                  <w:marLeft w:val="0"/>
                  <w:marRight w:val="0"/>
                  <w:marTop w:val="0"/>
                  <w:marBottom w:val="0"/>
                  <w:divBdr>
                    <w:top w:val="none" w:sz="0" w:space="0" w:color="auto"/>
                    <w:left w:val="none" w:sz="0" w:space="0" w:color="auto"/>
                    <w:bottom w:val="none" w:sz="0" w:space="0" w:color="auto"/>
                    <w:right w:val="none" w:sz="0" w:space="0" w:color="auto"/>
                  </w:divBdr>
                  <w:divsChild>
                    <w:div w:id="1151098947">
                      <w:marLeft w:val="0"/>
                      <w:marRight w:val="0"/>
                      <w:marTop w:val="0"/>
                      <w:marBottom w:val="0"/>
                      <w:divBdr>
                        <w:top w:val="none" w:sz="0" w:space="0" w:color="auto"/>
                        <w:left w:val="none" w:sz="0" w:space="0" w:color="auto"/>
                        <w:bottom w:val="none" w:sz="0" w:space="0" w:color="auto"/>
                        <w:right w:val="none" w:sz="0" w:space="0" w:color="auto"/>
                      </w:divBdr>
                    </w:div>
                  </w:divsChild>
                </w:div>
                <w:div w:id="155614593">
                  <w:marLeft w:val="0"/>
                  <w:marRight w:val="0"/>
                  <w:marTop w:val="0"/>
                  <w:marBottom w:val="0"/>
                  <w:divBdr>
                    <w:top w:val="none" w:sz="0" w:space="0" w:color="auto"/>
                    <w:left w:val="none" w:sz="0" w:space="0" w:color="auto"/>
                    <w:bottom w:val="none" w:sz="0" w:space="0" w:color="auto"/>
                    <w:right w:val="none" w:sz="0" w:space="0" w:color="auto"/>
                  </w:divBdr>
                  <w:divsChild>
                    <w:div w:id="1731928590">
                      <w:marLeft w:val="0"/>
                      <w:marRight w:val="0"/>
                      <w:marTop w:val="0"/>
                      <w:marBottom w:val="0"/>
                      <w:divBdr>
                        <w:top w:val="none" w:sz="0" w:space="0" w:color="auto"/>
                        <w:left w:val="none" w:sz="0" w:space="0" w:color="auto"/>
                        <w:bottom w:val="none" w:sz="0" w:space="0" w:color="auto"/>
                        <w:right w:val="none" w:sz="0" w:space="0" w:color="auto"/>
                      </w:divBdr>
                    </w:div>
                  </w:divsChild>
                </w:div>
                <w:div w:id="196048483">
                  <w:marLeft w:val="0"/>
                  <w:marRight w:val="0"/>
                  <w:marTop w:val="0"/>
                  <w:marBottom w:val="0"/>
                  <w:divBdr>
                    <w:top w:val="none" w:sz="0" w:space="0" w:color="auto"/>
                    <w:left w:val="none" w:sz="0" w:space="0" w:color="auto"/>
                    <w:bottom w:val="none" w:sz="0" w:space="0" w:color="auto"/>
                    <w:right w:val="none" w:sz="0" w:space="0" w:color="auto"/>
                  </w:divBdr>
                  <w:divsChild>
                    <w:div w:id="112868550">
                      <w:marLeft w:val="0"/>
                      <w:marRight w:val="0"/>
                      <w:marTop w:val="0"/>
                      <w:marBottom w:val="0"/>
                      <w:divBdr>
                        <w:top w:val="none" w:sz="0" w:space="0" w:color="auto"/>
                        <w:left w:val="none" w:sz="0" w:space="0" w:color="auto"/>
                        <w:bottom w:val="none" w:sz="0" w:space="0" w:color="auto"/>
                        <w:right w:val="none" w:sz="0" w:space="0" w:color="auto"/>
                      </w:divBdr>
                    </w:div>
                  </w:divsChild>
                </w:div>
                <w:div w:id="207835770">
                  <w:marLeft w:val="0"/>
                  <w:marRight w:val="0"/>
                  <w:marTop w:val="0"/>
                  <w:marBottom w:val="0"/>
                  <w:divBdr>
                    <w:top w:val="none" w:sz="0" w:space="0" w:color="auto"/>
                    <w:left w:val="none" w:sz="0" w:space="0" w:color="auto"/>
                    <w:bottom w:val="none" w:sz="0" w:space="0" w:color="auto"/>
                    <w:right w:val="none" w:sz="0" w:space="0" w:color="auto"/>
                  </w:divBdr>
                  <w:divsChild>
                    <w:div w:id="1817794526">
                      <w:marLeft w:val="0"/>
                      <w:marRight w:val="0"/>
                      <w:marTop w:val="0"/>
                      <w:marBottom w:val="0"/>
                      <w:divBdr>
                        <w:top w:val="none" w:sz="0" w:space="0" w:color="auto"/>
                        <w:left w:val="none" w:sz="0" w:space="0" w:color="auto"/>
                        <w:bottom w:val="none" w:sz="0" w:space="0" w:color="auto"/>
                        <w:right w:val="none" w:sz="0" w:space="0" w:color="auto"/>
                      </w:divBdr>
                    </w:div>
                  </w:divsChild>
                </w:div>
                <w:div w:id="231159766">
                  <w:marLeft w:val="0"/>
                  <w:marRight w:val="0"/>
                  <w:marTop w:val="0"/>
                  <w:marBottom w:val="0"/>
                  <w:divBdr>
                    <w:top w:val="none" w:sz="0" w:space="0" w:color="auto"/>
                    <w:left w:val="none" w:sz="0" w:space="0" w:color="auto"/>
                    <w:bottom w:val="none" w:sz="0" w:space="0" w:color="auto"/>
                    <w:right w:val="none" w:sz="0" w:space="0" w:color="auto"/>
                  </w:divBdr>
                  <w:divsChild>
                    <w:div w:id="1337536759">
                      <w:marLeft w:val="0"/>
                      <w:marRight w:val="0"/>
                      <w:marTop w:val="0"/>
                      <w:marBottom w:val="0"/>
                      <w:divBdr>
                        <w:top w:val="none" w:sz="0" w:space="0" w:color="auto"/>
                        <w:left w:val="none" w:sz="0" w:space="0" w:color="auto"/>
                        <w:bottom w:val="none" w:sz="0" w:space="0" w:color="auto"/>
                        <w:right w:val="none" w:sz="0" w:space="0" w:color="auto"/>
                      </w:divBdr>
                    </w:div>
                  </w:divsChild>
                </w:div>
                <w:div w:id="274018842">
                  <w:marLeft w:val="0"/>
                  <w:marRight w:val="0"/>
                  <w:marTop w:val="0"/>
                  <w:marBottom w:val="0"/>
                  <w:divBdr>
                    <w:top w:val="none" w:sz="0" w:space="0" w:color="auto"/>
                    <w:left w:val="none" w:sz="0" w:space="0" w:color="auto"/>
                    <w:bottom w:val="none" w:sz="0" w:space="0" w:color="auto"/>
                    <w:right w:val="none" w:sz="0" w:space="0" w:color="auto"/>
                  </w:divBdr>
                  <w:divsChild>
                    <w:div w:id="1082794590">
                      <w:marLeft w:val="0"/>
                      <w:marRight w:val="0"/>
                      <w:marTop w:val="0"/>
                      <w:marBottom w:val="0"/>
                      <w:divBdr>
                        <w:top w:val="none" w:sz="0" w:space="0" w:color="auto"/>
                        <w:left w:val="none" w:sz="0" w:space="0" w:color="auto"/>
                        <w:bottom w:val="none" w:sz="0" w:space="0" w:color="auto"/>
                        <w:right w:val="none" w:sz="0" w:space="0" w:color="auto"/>
                      </w:divBdr>
                    </w:div>
                  </w:divsChild>
                </w:div>
                <w:div w:id="342443465">
                  <w:marLeft w:val="0"/>
                  <w:marRight w:val="0"/>
                  <w:marTop w:val="0"/>
                  <w:marBottom w:val="0"/>
                  <w:divBdr>
                    <w:top w:val="none" w:sz="0" w:space="0" w:color="auto"/>
                    <w:left w:val="none" w:sz="0" w:space="0" w:color="auto"/>
                    <w:bottom w:val="none" w:sz="0" w:space="0" w:color="auto"/>
                    <w:right w:val="none" w:sz="0" w:space="0" w:color="auto"/>
                  </w:divBdr>
                  <w:divsChild>
                    <w:div w:id="1752659710">
                      <w:marLeft w:val="0"/>
                      <w:marRight w:val="0"/>
                      <w:marTop w:val="0"/>
                      <w:marBottom w:val="0"/>
                      <w:divBdr>
                        <w:top w:val="none" w:sz="0" w:space="0" w:color="auto"/>
                        <w:left w:val="none" w:sz="0" w:space="0" w:color="auto"/>
                        <w:bottom w:val="none" w:sz="0" w:space="0" w:color="auto"/>
                        <w:right w:val="none" w:sz="0" w:space="0" w:color="auto"/>
                      </w:divBdr>
                    </w:div>
                  </w:divsChild>
                </w:div>
                <w:div w:id="357632005">
                  <w:marLeft w:val="0"/>
                  <w:marRight w:val="0"/>
                  <w:marTop w:val="0"/>
                  <w:marBottom w:val="0"/>
                  <w:divBdr>
                    <w:top w:val="none" w:sz="0" w:space="0" w:color="auto"/>
                    <w:left w:val="none" w:sz="0" w:space="0" w:color="auto"/>
                    <w:bottom w:val="none" w:sz="0" w:space="0" w:color="auto"/>
                    <w:right w:val="none" w:sz="0" w:space="0" w:color="auto"/>
                  </w:divBdr>
                  <w:divsChild>
                    <w:div w:id="624431045">
                      <w:marLeft w:val="0"/>
                      <w:marRight w:val="0"/>
                      <w:marTop w:val="0"/>
                      <w:marBottom w:val="0"/>
                      <w:divBdr>
                        <w:top w:val="none" w:sz="0" w:space="0" w:color="auto"/>
                        <w:left w:val="none" w:sz="0" w:space="0" w:color="auto"/>
                        <w:bottom w:val="none" w:sz="0" w:space="0" w:color="auto"/>
                        <w:right w:val="none" w:sz="0" w:space="0" w:color="auto"/>
                      </w:divBdr>
                    </w:div>
                  </w:divsChild>
                </w:div>
                <w:div w:id="397746655">
                  <w:marLeft w:val="0"/>
                  <w:marRight w:val="0"/>
                  <w:marTop w:val="0"/>
                  <w:marBottom w:val="0"/>
                  <w:divBdr>
                    <w:top w:val="none" w:sz="0" w:space="0" w:color="auto"/>
                    <w:left w:val="none" w:sz="0" w:space="0" w:color="auto"/>
                    <w:bottom w:val="none" w:sz="0" w:space="0" w:color="auto"/>
                    <w:right w:val="none" w:sz="0" w:space="0" w:color="auto"/>
                  </w:divBdr>
                  <w:divsChild>
                    <w:div w:id="304969020">
                      <w:marLeft w:val="0"/>
                      <w:marRight w:val="0"/>
                      <w:marTop w:val="0"/>
                      <w:marBottom w:val="0"/>
                      <w:divBdr>
                        <w:top w:val="none" w:sz="0" w:space="0" w:color="auto"/>
                        <w:left w:val="none" w:sz="0" w:space="0" w:color="auto"/>
                        <w:bottom w:val="none" w:sz="0" w:space="0" w:color="auto"/>
                        <w:right w:val="none" w:sz="0" w:space="0" w:color="auto"/>
                      </w:divBdr>
                    </w:div>
                  </w:divsChild>
                </w:div>
                <w:div w:id="414206395">
                  <w:marLeft w:val="0"/>
                  <w:marRight w:val="0"/>
                  <w:marTop w:val="0"/>
                  <w:marBottom w:val="0"/>
                  <w:divBdr>
                    <w:top w:val="none" w:sz="0" w:space="0" w:color="auto"/>
                    <w:left w:val="none" w:sz="0" w:space="0" w:color="auto"/>
                    <w:bottom w:val="none" w:sz="0" w:space="0" w:color="auto"/>
                    <w:right w:val="none" w:sz="0" w:space="0" w:color="auto"/>
                  </w:divBdr>
                  <w:divsChild>
                    <w:div w:id="639186551">
                      <w:marLeft w:val="0"/>
                      <w:marRight w:val="0"/>
                      <w:marTop w:val="0"/>
                      <w:marBottom w:val="0"/>
                      <w:divBdr>
                        <w:top w:val="none" w:sz="0" w:space="0" w:color="auto"/>
                        <w:left w:val="none" w:sz="0" w:space="0" w:color="auto"/>
                        <w:bottom w:val="none" w:sz="0" w:space="0" w:color="auto"/>
                        <w:right w:val="none" w:sz="0" w:space="0" w:color="auto"/>
                      </w:divBdr>
                    </w:div>
                  </w:divsChild>
                </w:div>
                <w:div w:id="424805040">
                  <w:marLeft w:val="0"/>
                  <w:marRight w:val="0"/>
                  <w:marTop w:val="0"/>
                  <w:marBottom w:val="0"/>
                  <w:divBdr>
                    <w:top w:val="none" w:sz="0" w:space="0" w:color="auto"/>
                    <w:left w:val="none" w:sz="0" w:space="0" w:color="auto"/>
                    <w:bottom w:val="none" w:sz="0" w:space="0" w:color="auto"/>
                    <w:right w:val="none" w:sz="0" w:space="0" w:color="auto"/>
                  </w:divBdr>
                  <w:divsChild>
                    <w:div w:id="866917215">
                      <w:marLeft w:val="0"/>
                      <w:marRight w:val="0"/>
                      <w:marTop w:val="0"/>
                      <w:marBottom w:val="0"/>
                      <w:divBdr>
                        <w:top w:val="none" w:sz="0" w:space="0" w:color="auto"/>
                        <w:left w:val="none" w:sz="0" w:space="0" w:color="auto"/>
                        <w:bottom w:val="none" w:sz="0" w:space="0" w:color="auto"/>
                        <w:right w:val="none" w:sz="0" w:space="0" w:color="auto"/>
                      </w:divBdr>
                    </w:div>
                  </w:divsChild>
                </w:div>
                <w:div w:id="457262402">
                  <w:marLeft w:val="0"/>
                  <w:marRight w:val="0"/>
                  <w:marTop w:val="0"/>
                  <w:marBottom w:val="0"/>
                  <w:divBdr>
                    <w:top w:val="none" w:sz="0" w:space="0" w:color="auto"/>
                    <w:left w:val="none" w:sz="0" w:space="0" w:color="auto"/>
                    <w:bottom w:val="none" w:sz="0" w:space="0" w:color="auto"/>
                    <w:right w:val="none" w:sz="0" w:space="0" w:color="auto"/>
                  </w:divBdr>
                  <w:divsChild>
                    <w:div w:id="313684193">
                      <w:marLeft w:val="0"/>
                      <w:marRight w:val="0"/>
                      <w:marTop w:val="0"/>
                      <w:marBottom w:val="0"/>
                      <w:divBdr>
                        <w:top w:val="none" w:sz="0" w:space="0" w:color="auto"/>
                        <w:left w:val="none" w:sz="0" w:space="0" w:color="auto"/>
                        <w:bottom w:val="none" w:sz="0" w:space="0" w:color="auto"/>
                        <w:right w:val="none" w:sz="0" w:space="0" w:color="auto"/>
                      </w:divBdr>
                    </w:div>
                  </w:divsChild>
                </w:div>
                <w:div w:id="590553847">
                  <w:marLeft w:val="0"/>
                  <w:marRight w:val="0"/>
                  <w:marTop w:val="0"/>
                  <w:marBottom w:val="0"/>
                  <w:divBdr>
                    <w:top w:val="none" w:sz="0" w:space="0" w:color="auto"/>
                    <w:left w:val="none" w:sz="0" w:space="0" w:color="auto"/>
                    <w:bottom w:val="none" w:sz="0" w:space="0" w:color="auto"/>
                    <w:right w:val="none" w:sz="0" w:space="0" w:color="auto"/>
                  </w:divBdr>
                  <w:divsChild>
                    <w:div w:id="610892950">
                      <w:marLeft w:val="0"/>
                      <w:marRight w:val="0"/>
                      <w:marTop w:val="0"/>
                      <w:marBottom w:val="0"/>
                      <w:divBdr>
                        <w:top w:val="none" w:sz="0" w:space="0" w:color="auto"/>
                        <w:left w:val="none" w:sz="0" w:space="0" w:color="auto"/>
                        <w:bottom w:val="none" w:sz="0" w:space="0" w:color="auto"/>
                        <w:right w:val="none" w:sz="0" w:space="0" w:color="auto"/>
                      </w:divBdr>
                    </w:div>
                  </w:divsChild>
                </w:div>
                <w:div w:id="640581402">
                  <w:marLeft w:val="0"/>
                  <w:marRight w:val="0"/>
                  <w:marTop w:val="0"/>
                  <w:marBottom w:val="0"/>
                  <w:divBdr>
                    <w:top w:val="none" w:sz="0" w:space="0" w:color="auto"/>
                    <w:left w:val="none" w:sz="0" w:space="0" w:color="auto"/>
                    <w:bottom w:val="none" w:sz="0" w:space="0" w:color="auto"/>
                    <w:right w:val="none" w:sz="0" w:space="0" w:color="auto"/>
                  </w:divBdr>
                  <w:divsChild>
                    <w:div w:id="578557914">
                      <w:marLeft w:val="0"/>
                      <w:marRight w:val="0"/>
                      <w:marTop w:val="0"/>
                      <w:marBottom w:val="0"/>
                      <w:divBdr>
                        <w:top w:val="none" w:sz="0" w:space="0" w:color="auto"/>
                        <w:left w:val="none" w:sz="0" w:space="0" w:color="auto"/>
                        <w:bottom w:val="none" w:sz="0" w:space="0" w:color="auto"/>
                        <w:right w:val="none" w:sz="0" w:space="0" w:color="auto"/>
                      </w:divBdr>
                    </w:div>
                  </w:divsChild>
                </w:div>
                <w:div w:id="653290785">
                  <w:marLeft w:val="0"/>
                  <w:marRight w:val="0"/>
                  <w:marTop w:val="0"/>
                  <w:marBottom w:val="0"/>
                  <w:divBdr>
                    <w:top w:val="none" w:sz="0" w:space="0" w:color="auto"/>
                    <w:left w:val="none" w:sz="0" w:space="0" w:color="auto"/>
                    <w:bottom w:val="none" w:sz="0" w:space="0" w:color="auto"/>
                    <w:right w:val="none" w:sz="0" w:space="0" w:color="auto"/>
                  </w:divBdr>
                  <w:divsChild>
                    <w:div w:id="20591460">
                      <w:marLeft w:val="0"/>
                      <w:marRight w:val="0"/>
                      <w:marTop w:val="0"/>
                      <w:marBottom w:val="0"/>
                      <w:divBdr>
                        <w:top w:val="none" w:sz="0" w:space="0" w:color="auto"/>
                        <w:left w:val="none" w:sz="0" w:space="0" w:color="auto"/>
                        <w:bottom w:val="none" w:sz="0" w:space="0" w:color="auto"/>
                        <w:right w:val="none" w:sz="0" w:space="0" w:color="auto"/>
                      </w:divBdr>
                    </w:div>
                  </w:divsChild>
                </w:div>
                <w:div w:id="703100038">
                  <w:marLeft w:val="0"/>
                  <w:marRight w:val="0"/>
                  <w:marTop w:val="0"/>
                  <w:marBottom w:val="0"/>
                  <w:divBdr>
                    <w:top w:val="none" w:sz="0" w:space="0" w:color="auto"/>
                    <w:left w:val="none" w:sz="0" w:space="0" w:color="auto"/>
                    <w:bottom w:val="none" w:sz="0" w:space="0" w:color="auto"/>
                    <w:right w:val="none" w:sz="0" w:space="0" w:color="auto"/>
                  </w:divBdr>
                  <w:divsChild>
                    <w:div w:id="1675914789">
                      <w:marLeft w:val="0"/>
                      <w:marRight w:val="0"/>
                      <w:marTop w:val="0"/>
                      <w:marBottom w:val="0"/>
                      <w:divBdr>
                        <w:top w:val="none" w:sz="0" w:space="0" w:color="auto"/>
                        <w:left w:val="none" w:sz="0" w:space="0" w:color="auto"/>
                        <w:bottom w:val="none" w:sz="0" w:space="0" w:color="auto"/>
                        <w:right w:val="none" w:sz="0" w:space="0" w:color="auto"/>
                      </w:divBdr>
                    </w:div>
                  </w:divsChild>
                </w:div>
                <w:div w:id="703554834">
                  <w:marLeft w:val="0"/>
                  <w:marRight w:val="0"/>
                  <w:marTop w:val="0"/>
                  <w:marBottom w:val="0"/>
                  <w:divBdr>
                    <w:top w:val="none" w:sz="0" w:space="0" w:color="auto"/>
                    <w:left w:val="none" w:sz="0" w:space="0" w:color="auto"/>
                    <w:bottom w:val="none" w:sz="0" w:space="0" w:color="auto"/>
                    <w:right w:val="none" w:sz="0" w:space="0" w:color="auto"/>
                  </w:divBdr>
                  <w:divsChild>
                    <w:div w:id="1518697051">
                      <w:marLeft w:val="0"/>
                      <w:marRight w:val="0"/>
                      <w:marTop w:val="0"/>
                      <w:marBottom w:val="0"/>
                      <w:divBdr>
                        <w:top w:val="none" w:sz="0" w:space="0" w:color="auto"/>
                        <w:left w:val="none" w:sz="0" w:space="0" w:color="auto"/>
                        <w:bottom w:val="none" w:sz="0" w:space="0" w:color="auto"/>
                        <w:right w:val="none" w:sz="0" w:space="0" w:color="auto"/>
                      </w:divBdr>
                    </w:div>
                  </w:divsChild>
                </w:div>
                <w:div w:id="751200002">
                  <w:marLeft w:val="0"/>
                  <w:marRight w:val="0"/>
                  <w:marTop w:val="0"/>
                  <w:marBottom w:val="0"/>
                  <w:divBdr>
                    <w:top w:val="none" w:sz="0" w:space="0" w:color="auto"/>
                    <w:left w:val="none" w:sz="0" w:space="0" w:color="auto"/>
                    <w:bottom w:val="none" w:sz="0" w:space="0" w:color="auto"/>
                    <w:right w:val="none" w:sz="0" w:space="0" w:color="auto"/>
                  </w:divBdr>
                  <w:divsChild>
                    <w:div w:id="777943493">
                      <w:marLeft w:val="0"/>
                      <w:marRight w:val="0"/>
                      <w:marTop w:val="0"/>
                      <w:marBottom w:val="0"/>
                      <w:divBdr>
                        <w:top w:val="none" w:sz="0" w:space="0" w:color="auto"/>
                        <w:left w:val="none" w:sz="0" w:space="0" w:color="auto"/>
                        <w:bottom w:val="none" w:sz="0" w:space="0" w:color="auto"/>
                        <w:right w:val="none" w:sz="0" w:space="0" w:color="auto"/>
                      </w:divBdr>
                    </w:div>
                  </w:divsChild>
                </w:div>
                <w:div w:id="769083893">
                  <w:marLeft w:val="0"/>
                  <w:marRight w:val="0"/>
                  <w:marTop w:val="0"/>
                  <w:marBottom w:val="0"/>
                  <w:divBdr>
                    <w:top w:val="none" w:sz="0" w:space="0" w:color="auto"/>
                    <w:left w:val="none" w:sz="0" w:space="0" w:color="auto"/>
                    <w:bottom w:val="none" w:sz="0" w:space="0" w:color="auto"/>
                    <w:right w:val="none" w:sz="0" w:space="0" w:color="auto"/>
                  </w:divBdr>
                  <w:divsChild>
                    <w:div w:id="1781366090">
                      <w:marLeft w:val="0"/>
                      <w:marRight w:val="0"/>
                      <w:marTop w:val="0"/>
                      <w:marBottom w:val="0"/>
                      <w:divBdr>
                        <w:top w:val="none" w:sz="0" w:space="0" w:color="auto"/>
                        <w:left w:val="none" w:sz="0" w:space="0" w:color="auto"/>
                        <w:bottom w:val="none" w:sz="0" w:space="0" w:color="auto"/>
                        <w:right w:val="none" w:sz="0" w:space="0" w:color="auto"/>
                      </w:divBdr>
                    </w:div>
                  </w:divsChild>
                </w:div>
                <w:div w:id="808981467">
                  <w:marLeft w:val="0"/>
                  <w:marRight w:val="0"/>
                  <w:marTop w:val="0"/>
                  <w:marBottom w:val="0"/>
                  <w:divBdr>
                    <w:top w:val="none" w:sz="0" w:space="0" w:color="auto"/>
                    <w:left w:val="none" w:sz="0" w:space="0" w:color="auto"/>
                    <w:bottom w:val="none" w:sz="0" w:space="0" w:color="auto"/>
                    <w:right w:val="none" w:sz="0" w:space="0" w:color="auto"/>
                  </w:divBdr>
                  <w:divsChild>
                    <w:div w:id="26302131">
                      <w:marLeft w:val="0"/>
                      <w:marRight w:val="0"/>
                      <w:marTop w:val="0"/>
                      <w:marBottom w:val="0"/>
                      <w:divBdr>
                        <w:top w:val="none" w:sz="0" w:space="0" w:color="auto"/>
                        <w:left w:val="none" w:sz="0" w:space="0" w:color="auto"/>
                        <w:bottom w:val="none" w:sz="0" w:space="0" w:color="auto"/>
                        <w:right w:val="none" w:sz="0" w:space="0" w:color="auto"/>
                      </w:divBdr>
                    </w:div>
                  </w:divsChild>
                </w:div>
                <w:div w:id="853501095">
                  <w:marLeft w:val="0"/>
                  <w:marRight w:val="0"/>
                  <w:marTop w:val="0"/>
                  <w:marBottom w:val="0"/>
                  <w:divBdr>
                    <w:top w:val="none" w:sz="0" w:space="0" w:color="auto"/>
                    <w:left w:val="none" w:sz="0" w:space="0" w:color="auto"/>
                    <w:bottom w:val="none" w:sz="0" w:space="0" w:color="auto"/>
                    <w:right w:val="none" w:sz="0" w:space="0" w:color="auto"/>
                  </w:divBdr>
                  <w:divsChild>
                    <w:div w:id="984235220">
                      <w:marLeft w:val="0"/>
                      <w:marRight w:val="0"/>
                      <w:marTop w:val="0"/>
                      <w:marBottom w:val="0"/>
                      <w:divBdr>
                        <w:top w:val="none" w:sz="0" w:space="0" w:color="auto"/>
                        <w:left w:val="none" w:sz="0" w:space="0" w:color="auto"/>
                        <w:bottom w:val="none" w:sz="0" w:space="0" w:color="auto"/>
                        <w:right w:val="none" w:sz="0" w:space="0" w:color="auto"/>
                      </w:divBdr>
                    </w:div>
                  </w:divsChild>
                </w:div>
                <w:div w:id="857963870">
                  <w:marLeft w:val="0"/>
                  <w:marRight w:val="0"/>
                  <w:marTop w:val="0"/>
                  <w:marBottom w:val="0"/>
                  <w:divBdr>
                    <w:top w:val="none" w:sz="0" w:space="0" w:color="auto"/>
                    <w:left w:val="none" w:sz="0" w:space="0" w:color="auto"/>
                    <w:bottom w:val="none" w:sz="0" w:space="0" w:color="auto"/>
                    <w:right w:val="none" w:sz="0" w:space="0" w:color="auto"/>
                  </w:divBdr>
                  <w:divsChild>
                    <w:div w:id="500899877">
                      <w:marLeft w:val="0"/>
                      <w:marRight w:val="0"/>
                      <w:marTop w:val="0"/>
                      <w:marBottom w:val="0"/>
                      <w:divBdr>
                        <w:top w:val="none" w:sz="0" w:space="0" w:color="auto"/>
                        <w:left w:val="none" w:sz="0" w:space="0" w:color="auto"/>
                        <w:bottom w:val="none" w:sz="0" w:space="0" w:color="auto"/>
                        <w:right w:val="none" w:sz="0" w:space="0" w:color="auto"/>
                      </w:divBdr>
                    </w:div>
                  </w:divsChild>
                </w:div>
                <w:div w:id="868570997">
                  <w:marLeft w:val="0"/>
                  <w:marRight w:val="0"/>
                  <w:marTop w:val="0"/>
                  <w:marBottom w:val="0"/>
                  <w:divBdr>
                    <w:top w:val="none" w:sz="0" w:space="0" w:color="auto"/>
                    <w:left w:val="none" w:sz="0" w:space="0" w:color="auto"/>
                    <w:bottom w:val="none" w:sz="0" w:space="0" w:color="auto"/>
                    <w:right w:val="none" w:sz="0" w:space="0" w:color="auto"/>
                  </w:divBdr>
                  <w:divsChild>
                    <w:div w:id="2042121826">
                      <w:marLeft w:val="0"/>
                      <w:marRight w:val="0"/>
                      <w:marTop w:val="0"/>
                      <w:marBottom w:val="0"/>
                      <w:divBdr>
                        <w:top w:val="none" w:sz="0" w:space="0" w:color="auto"/>
                        <w:left w:val="none" w:sz="0" w:space="0" w:color="auto"/>
                        <w:bottom w:val="none" w:sz="0" w:space="0" w:color="auto"/>
                        <w:right w:val="none" w:sz="0" w:space="0" w:color="auto"/>
                      </w:divBdr>
                    </w:div>
                  </w:divsChild>
                </w:div>
                <w:div w:id="895240997">
                  <w:marLeft w:val="0"/>
                  <w:marRight w:val="0"/>
                  <w:marTop w:val="0"/>
                  <w:marBottom w:val="0"/>
                  <w:divBdr>
                    <w:top w:val="none" w:sz="0" w:space="0" w:color="auto"/>
                    <w:left w:val="none" w:sz="0" w:space="0" w:color="auto"/>
                    <w:bottom w:val="none" w:sz="0" w:space="0" w:color="auto"/>
                    <w:right w:val="none" w:sz="0" w:space="0" w:color="auto"/>
                  </w:divBdr>
                  <w:divsChild>
                    <w:div w:id="1365906638">
                      <w:marLeft w:val="0"/>
                      <w:marRight w:val="0"/>
                      <w:marTop w:val="0"/>
                      <w:marBottom w:val="0"/>
                      <w:divBdr>
                        <w:top w:val="none" w:sz="0" w:space="0" w:color="auto"/>
                        <w:left w:val="none" w:sz="0" w:space="0" w:color="auto"/>
                        <w:bottom w:val="none" w:sz="0" w:space="0" w:color="auto"/>
                        <w:right w:val="none" w:sz="0" w:space="0" w:color="auto"/>
                      </w:divBdr>
                    </w:div>
                  </w:divsChild>
                </w:div>
                <w:div w:id="913469353">
                  <w:marLeft w:val="0"/>
                  <w:marRight w:val="0"/>
                  <w:marTop w:val="0"/>
                  <w:marBottom w:val="0"/>
                  <w:divBdr>
                    <w:top w:val="none" w:sz="0" w:space="0" w:color="auto"/>
                    <w:left w:val="none" w:sz="0" w:space="0" w:color="auto"/>
                    <w:bottom w:val="none" w:sz="0" w:space="0" w:color="auto"/>
                    <w:right w:val="none" w:sz="0" w:space="0" w:color="auto"/>
                  </w:divBdr>
                  <w:divsChild>
                    <w:div w:id="2114858105">
                      <w:marLeft w:val="0"/>
                      <w:marRight w:val="0"/>
                      <w:marTop w:val="0"/>
                      <w:marBottom w:val="0"/>
                      <w:divBdr>
                        <w:top w:val="none" w:sz="0" w:space="0" w:color="auto"/>
                        <w:left w:val="none" w:sz="0" w:space="0" w:color="auto"/>
                        <w:bottom w:val="none" w:sz="0" w:space="0" w:color="auto"/>
                        <w:right w:val="none" w:sz="0" w:space="0" w:color="auto"/>
                      </w:divBdr>
                    </w:div>
                  </w:divsChild>
                </w:div>
                <w:div w:id="960652244">
                  <w:marLeft w:val="0"/>
                  <w:marRight w:val="0"/>
                  <w:marTop w:val="0"/>
                  <w:marBottom w:val="0"/>
                  <w:divBdr>
                    <w:top w:val="none" w:sz="0" w:space="0" w:color="auto"/>
                    <w:left w:val="none" w:sz="0" w:space="0" w:color="auto"/>
                    <w:bottom w:val="none" w:sz="0" w:space="0" w:color="auto"/>
                    <w:right w:val="none" w:sz="0" w:space="0" w:color="auto"/>
                  </w:divBdr>
                  <w:divsChild>
                    <w:div w:id="428282669">
                      <w:marLeft w:val="0"/>
                      <w:marRight w:val="0"/>
                      <w:marTop w:val="0"/>
                      <w:marBottom w:val="0"/>
                      <w:divBdr>
                        <w:top w:val="none" w:sz="0" w:space="0" w:color="auto"/>
                        <w:left w:val="none" w:sz="0" w:space="0" w:color="auto"/>
                        <w:bottom w:val="none" w:sz="0" w:space="0" w:color="auto"/>
                        <w:right w:val="none" w:sz="0" w:space="0" w:color="auto"/>
                      </w:divBdr>
                    </w:div>
                  </w:divsChild>
                </w:div>
                <w:div w:id="992415625">
                  <w:marLeft w:val="0"/>
                  <w:marRight w:val="0"/>
                  <w:marTop w:val="0"/>
                  <w:marBottom w:val="0"/>
                  <w:divBdr>
                    <w:top w:val="none" w:sz="0" w:space="0" w:color="auto"/>
                    <w:left w:val="none" w:sz="0" w:space="0" w:color="auto"/>
                    <w:bottom w:val="none" w:sz="0" w:space="0" w:color="auto"/>
                    <w:right w:val="none" w:sz="0" w:space="0" w:color="auto"/>
                  </w:divBdr>
                  <w:divsChild>
                    <w:div w:id="1427849919">
                      <w:marLeft w:val="0"/>
                      <w:marRight w:val="0"/>
                      <w:marTop w:val="0"/>
                      <w:marBottom w:val="0"/>
                      <w:divBdr>
                        <w:top w:val="none" w:sz="0" w:space="0" w:color="auto"/>
                        <w:left w:val="none" w:sz="0" w:space="0" w:color="auto"/>
                        <w:bottom w:val="none" w:sz="0" w:space="0" w:color="auto"/>
                        <w:right w:val="none" w:sz="0" w:space="0" w:color="auto"/>
                      </w:divBdr>
                    </w:div>
                  </w:divsChild>
                </w:div>
                <w:div w:id="996540813">
                  <w:marLeft w:val="0"/>
                  <w:marRight w:val="0"/>
                  <w:marTop w:val="0"/>
                  <w:marBottom w:val="0"/>
                  <w:divBdr>
                    <w:top w:val="none" w:sz="0" w:space="0" w:color="auto"/>
                    <w:left w:val="none" w:sz="0" w:space="0" w:color="auto"/>
                    <w:bottom w:val="none" w:sz="0" w:space="0" w:color="auto"/>
                    <w:right w:val="none" w:sz="0" w:space="0" w:color="auto"/>
                  </w:divBdr>
                  <w:divsChild>
                    <w:div w:id="644823562">
                      <w:marLeft w:val="0"/>
                      <w:marRight w:val="0"/>
                      <w:marTop w:val="0"/>
                      <w:marBottom w:val="0"/>
                      <w:divBdr>
                        <w:top w:val="none" w:sz="0" w:space="0" w:color="auto"/>
                        <w:left w:val="none" w:sz="0" w:space="0" w:color="auto"/>
                        <w:bottom w:val="none" w:sz="0" w:space="0" w:color="auto"/>
                        <w:right w:val="none" w:sz="0" w:space="0" w:color="auto"/>
                      </w:divBdr>
                    </w:div>
                  </w:divsChild>
                </w:div>
                <w:div w:id="997000372">
                  <w:marLeft w:val="0"/>
                  <w:marRight w:val="0"/>
                  <w:marTop w:val="0"/>
                  <w:marBottom w:val="0"/>
                  <w:divBdr>
                    <w:top w:val="none" w:sz="0" w:space="0" w:color="auto"/>
                    <w:left w:val="none" w:sz="0" w:space="0" w:color="auto"/>
                    <w:bottom w:val="none" w:sz="0" w:space="0" w:color="auto"/>
                    <w:right w:val="none" w:sz="0" w:space="0" w:color="auto"/>
                  </w:divBdr>
                  <w:divsChild>
                    <w:div w:id="1446384733">
                      <w:marLeft w:val="0"/>
                      <w:marRight w:val="0"/>
                      <w:marTop w:val="0"/>
                      <w:marBottom w:val="0"/>
                      <w:divBdr>
                        <w:top w:val="none" w:sz="0" w:space="0" w:color="auto"/>
                        <w:left w:val="none" w:sz="0" w:space="0" w:color="auto"/>
                        <w:bottom w:val="none" w:sz="0" w:space="0" w:color="auto"/>
                        <w:right w:val="none" w:sz="0" w:space="0" w:color="auto"/>
                      </w:divBdr>
                    </w:div>
                  </w:divsChild>
                </w:div>
                <w:div w:id="1028719570">
                  <w:marLeft w:val="0"/>
                  <w:marRight w:val="0"/>
                  <w:marTop w:val="0"/>
                  <w:marBottom w:val="0"/>
                  <w:divBdr>
                    <w:top w:val="none" w:sz="0" w:space="0" w:color="auto"/>
                    <w:left w:val="none" w:sz="0" w:space="0" w:color="auto"/>
                    <w:bottom w:val="none" w:sz="0" w:space="0" w:color="auto"/>
                    <w:right w:val="none" w:sz="0" w:space="0" w:color="auto"/>
                  </w:divBdr>
                  <w:divsChild>
                    <w:div w:id="1606183021">
                      <w:marLeft w:val="0"/>
                      <w:marRight w:val="0"/>
                      <w:marTop w:val="0"/>
                      <w:marBottom w:val="0"/>
                      <w:divBdr>
                        <w:top w:val="none" w:sz="0" w:space="0" w:color="auto"/>
                        <w:left w:val="none" w:sz="0" w:space="0" w:color="auto"/>
                        <w:bottom w:val="none" w:sz="0" w:space="0" w:color="auto"/>
                        <w:right w:val="none" w:sz="0" w:space="0" w:color="auto"/>
                      </w:divBdr>
                    </w:div>
                  </w:divsChild>
                </w:div>
                <w:div w:id="1036272021">
                  <w:marLeft w:val="0"/>
                  <w:marRight w:val="0"/>
                  <w:marTop w:val="0"/>
                  <w:marBottom w:val="0"/>
                  <w:divBdr>
                    <w:top w:val="none" w:sz="0" w:space="0" w:color="auto"/>
                    <w:left w:val="none" w:sz="0" w:space="0" w:color="auto"/>
                    <w:bottom w:val="none" w:sz="0" w:space="0" w:color="auto"/>
                    <w:right w:val="none" w:sz="0" w:space="0" w:color="auto"/>
                  </w:divBdr>
                  <w:divsChild>
                    <w:div w:id="1350983161">
                      <w:marLeft w:val="0"/>
                      <w:marRight w:val="0"/>
                      <w:marTop w:val="0"/>
                      <w:marBottom w:val="0"/>
                      <w:divBdr>
                        <w:top w:val="none" w:sz="0" w:space="0" w:color="auto"/>
                        <w:left w:val="none" w:sz="0" w:space="0" w:color="auto"/>
                        <w:bottom w:val="none" w:sz="0" w:space="0" w:color="auto"/>
                        <w:right w:val="none" w:sz="0" w:space="0" w:color="auto"/>
                      </w:divBdr>
                    </w:div>
                  </w:divsChild>
                </w:div>
                <w:div w:id="1040781329">
                  <w:marLeft w:val="0"/>
                  <w:marRight w:val="0"/>
                  <w:marTop w:val="0"/>
                  <w:marBottom w:val="0"/>
                  <w:divBdr>
                    <w:top w:val="none" w:sz="0" w:space="0" w:color="auto"/>
                    <w:left w:val="none" w:sz="0" w:space="0" w:color="auto"/>
                    <w:bottom w:val="none" w:sz="0" w:space="0" w:color="auto"/>
                    <w:right w:val="none" w:sz="0" w:space="0" w:color="auto"/>
                  </w:divBdr>
                  <w:divsChild>
                    <w:div w:id="917978335">
                      <w:marLeft w:val="0"/>
                      <w:marRight w:val="0"/>
                      <w:marTop w:val="0"/>
                      <w:marBottom w:val="0"/>
                      <w:divBdr>
                        <w:top w:val="none" w:sz="0" w:space="0" w:color="auto"/>
                        <w:left w:val="none" w:sz="0" w:space="0" w:color="auto"/>
                        <w:bottom w:val="none" w:sz="0" w:space="0" w:color="auto"/>
                        <w:right w:val="none" w:sz="0" w:space="0" w:color="auto"/>
                      </w:divBdr>
                    </w:div>
                  </w:divsChild>
                </w:div>
                <w:div w:id="1088965212">
                  <w:marLeft w:val="0"/>
                  <w:marRight w:val="0"/>
                  <w:marTop w:val="0"/>
                  <w:marBottom w:val="0"/>
                  <w:divBdr>
                    <w:top w:val="none" w:sz="0" w:space="0" w:color="auto"/>
                    <w:left w:val="none" w:sz="0" w:space="0" w:color="auto"/>
                    <w:bottom w:val="none" w:sz="0" w:space="0" w:color="auto"/>
                    <w:right w:val="none" w:sz="0" w:space="0" w:color="auto"/>
                  </w:divBdr>
                  <w:divsChild>
                    <w:div w:id="1820415801">
                      <w:marLeft w:val="0"/>
                      <w:marRight w:val="0"/>
                      <w:marTop w:val="0"/>
                      <w:marBottom w:val="0"/>
                      <w:divBdr>
                        <w:top w:val="none" w:sz="0" w:space="0" w:color="auto"/>
                        <w:left w:val="none" w:sz="0" w:space="0" w:color="auto"/>
                        <w:bottom w:val="none" w:sz="0" w:space="0" w:color="auto"/>
                        <w:right w:val="none" w:sz="0" w:space="0" w:color="auto"/>
                      </w:divBdr>
                    </w:div>
                  </w:divsChild>
                </w:div>
                <w:div w:id="1137409473">
                  <w:marLeft w:val="0"/>
                  <w:marRight w:val="0"/>
                  <w:marTop w:val="0"/>
                  <w:marBottom w:val="0"/>
                  <w:divBdr>
                    <w:top w:val="none" w:sz="0" w:space="0" w:color="auto"/>
                    <w:left w:val="none" w:sz="0" w:space="0" w:color="auto"/>
                    <w:bottom w:val="none" w:sz="0" w:space="0" w:color="auto"/>
                    <w:right w:val="none" w:sz="0" w:space="0" w:color="auto"/>
                  </w:divBdr>
                  <w:divsChild>
                    <w:div w:id="1801222264">
                      <w:marLeft w:val="0"/>
                      <w:marRight w:val="0"/>
                      <w:marTop w:val="0"/>
                      <w:marBottom w:val="0"/>
                      <w:divBdr>
                        <w:top w:val="none" w:sz="0" w:space="0" w:color="auto"/>
                        <w:left w:val="none" w:sz="0" w:space="0" w:color="auto"/>
                        <w:bottom w:val="none" w:sz="0" w:space="0" w:color="auto"/>
                        <w:right w:val="none" w:sz="0" w:space="0" w:color="auto"/>
                      </w:divBdr>
                    </w:div>
                  </w:divsChild>
                </w:div>
                <w:div w:id="1146968657">
                  <w:marLeft w:val="0"/>
                  <w:marRight w:val="0"/>
                  <w:marTop w:val="0"/>
                  <w:marBottom w:val="0"/>
                  <w:divBdr>
                    <w:top w:val="none" w:sz="0" w:space="0" w:color="auto"/>
                    <w:left w:val="none" w:sz="0" w:space="0" w:color="auto"/>
                    <w:bottom w:val="none" w:sz="0" w:space="0" w:color="auto"/>
                    <w:right w:val="none" w:sz="0" w:space="0" w:color="auto"/>
                  </w:divBdr>
                  <w:divsChild>
                    <w:div w:id="848836410">
                      <w:marLeft w:val="0"/>
                      <w:marRight w:val="0"/>
                      <w:marTop w:val="0"/>
                      <w:marBottom w:val="0"/>
                      <w:divBdr>
                        <w:top w:val="none" w:sz="0" w:space="0" w:color="auto"/>
                        <w:left w:val="none" w:sz="0" w:space="0" w:color="auto"/>
                        <w:bottom w:val="none" w:sz="0" w:space="0" w:color="auto"/>
                        <w:right w:val="none" w:sz="0" w:space="0" w:color="auto"/>
                      </w:divBdr>
                    </w:div>
                  </w:divsChild>
                </w:div>
                <w:div w:id="1214271677">
                  <w:marLeft w:val="0"/>
                  <w:marRight w:val="0"/>
                  <w:marTop w:val="0"/>
                  <w:marBottom w:val="0"/>
                  <w:divBdr>
                    <w:top w:val="none" w:sz="0" w:space="0" w:color="auto"/>
                    <w:left w:val="none" w:sz="0" w:space="0" w:color="auto"/>
                    <w:bottom w:val="none" w:sz="0" w:space="0" w:color="auto"/>
                    <w:right w:val="none" w:sz="0" w:space="0" w:color="auto"/>
                  </w:divBdr>
                  <w:divsChild>
                    <w:div w:id="1727990653">
                      <w:marLeft w:val="0"/>
                      <w:marRight w:val="0"/>
                      <w:marTop w:val="0"/>
                      <w:marBottom w:val="0"/>
                      <w:divBdr>
                        <w:top w:val="none" w:sz="0" w:space="0" w:color="auto"/>
                        <w:left w:val="none" w:sz="0" w:space="0" w:color="auto"/>
                        <w:bottom w:val="none" w:sz="0" w:space="0" w:color="auto"/>
                        <w:right w:val="none" w:sz="0" w:space="0" w:color="auto"/>
                      </w:divBdr>
                    </w:div>
                  </w:divsChild>
                </w:div>
                <w:div w:id="1236283248">
                  <w:marLeft w:val="0"/>
                  <w:marRight w:val="0"/>
                  <w:marTop w:val="0"/>
                  <w:marBottom w:val="0"/>
                  <w:divBdr>
                    <w:top w:val="none" w:sz="0" w:space="0" w:color="auto"/>
                    <w:left w:val="none" w:sz="0" w:space="0" w:color="auto"/>
                    <w:bottom w:val="none" w:sz="0" w:space="0" w:color="auto"/>
                    <w:right w:val="none" w:sz="0" w:space="0" w:color="auto"/>
                  </w:divBdr>
                  <w:divsChild>
                    <w:div w:id="77756943">
                      <w:marLeft w:val="0"/>
                      <w:marRight w:val="0"/>
                      <w:marTop w:val="0"/>
                      <w:marBottom w:val="0"/>
                      <w:divBdr>
                        <w:top w:val="none" w:sz="0" w:space="0" w:color="auto"/>
                        <w:left w:val="none" w:sz="0" w:space="0" w:color="auto"/>
                        <w:bottom w:val="none" w:sz="0" w:space="0" w:color="auto"/>
                        <w:right w:val="none" w:sz="0" w:space="0" w:color="auto"/>
                      </w:divBdr>
                    </w:div>
                  </w:divsChild>
                </w:div>
                <w:div w:id="1243755676">
                  <w:marLeft w:val="0"/>
                  <w:marRight w:val="0"/>
                  <w:marTop w:val="0"/>
                  <w:marBottom w:val="0"/>
                  <w:divBdr>
                    <w:top w:val="none" w:sz="0" w:space="0" w:color="auto"/>
                    <w:left w:val="none" w:sz="0" w:space="0" w:color="auto"/>
                    <w:bottom w:val="none" w:sz="0" w:space="0" w:color="auto"/>
                    <w:right w:val="none" w:sz="0" w:space="0" w:color="auto"/>
                  </w:divBdr>
                  <w:divsChild>
                    <w:div w:id="1507162663">
                      <w:marLeft w:val="0"/>
                      <w:marRight w:val="0"/>
                      <w:marTop w:val="0"/>
                      <w:marBottom w:val="0"/>
                      <w:divBdr>
                        <w:top w:val="none" w:sz="0" w:space="0" w:color="auto"/>
                        <w:left w:val="none" w:sz="0" w:space="0" w:color="auto"/>
                        <w:bottom w:val="none" w:sz="0" w:space="0" w:color="auto"/>
                        <w:right w:val="none" w:sz="0" w:space="0" w:color="auto"/>
                      </w:divBdr>
                    </w:div>
                  </w:divsChild>
                </w:div>
                <w:div w:id="1292326190">
                  <w:marLeft w:val="0"/>
                  <w:marRight w:val="0"/>
                  <w:marTop w:val="0"/>
                  <w:marBottom w:val="0"/>
                  <w:divBdr>
                    <w:top w:val="none" w:sz="0" w:space="0" w:color="auto"/>
                    <w:left w:val="none" w:sz="0" w:space="0" w:color="auto"/>
                    <w:bottom w:val="none" w:sz="0" w:space="0" w:color="auto"/>
                    <w:right w:val="none" w:sz="0" w:space="0" w:color="auto"/>
                  </w:divBdr>
                  <w:divsChild>
                    <w:div w:id="1879581243">
                      <w:marLeft w:val="0"/>
                      <w:marRight w:val="0"/>
                      <w:marTop w:val="0"/>
                      <w:marBottom w:val="0"/>
                      <w:divBdr>
                        <w:top w:val="none" w:sz="0" w:space="0" w:color="auto"/>
                        <w:left w:val="none" w:sz="0" w:space="0" w:color="auto"/>
                        <w:bottom w:val="none" w:sz="0" w:space="0" w:color="auto"/>
                        <w:right w:val="none" w:sz="0" w:space="0" w:color="auto"/>
                      </w:divBdr>
                    </w:div>
                  </w:divsChild>
                </w:div>
                <w:div w:id="1343125303">
                  <w:marLeft w:val="0"/>
                  <w:marRight w:val="0"/>
                  <w:marTop w:val="0"/>
                  <w:marBottom w:val="0"/>
                  <w:divBdr>
                    <w:top w:val="none" w:sz="0" w:space="0" w:color="auto"/>
                    <w:left w:val="none" w:sz="0" w:space="0" w:color="auto"/>
                    <w:bottom w:val="none" w:sz="0" w:space="0" w:color="auto"/>
                    <w:right w:val="none" w:sz="0" w:space="0" w:color="auto"/>
                  </w:divBdr>
                  <w:divsChild>
                    <w:div w:id="2034574454">
                      <w:marLeft w:val="0"/>
                      <w:marRight w:val="0"/>
                      <w:marTop w:val="0"/>
                      <w:marBottom w:val="0"/>
                      <w:divBdr>
                        <w:top w:val="none" w:sz="0" w:space="0" w:color="auto"/>
                        <w:left w:val="none" w:sz="0" w:space="0" w:color="auto"/>
                        <w:bottom w:val="none" w:sz="0" w:space="0" w:color="auto"/>
                        <w:right w:val="none" w:sz="0" w:space="0" w:color="auto"/>
                      </w:divBdr>
                    </w:div>
                  </w:divsChild>
                </w:div>
                <w:div w:id="1420954397">
                  <w:marLeft w:val="0"/>
                  <w:marRight w:val="0"/>
                  <w:marTop w:val="0"/>
                  <w:marBottom w:val="0"/>
                  <w:divBdr>
                    <w:top w:val="none" w:sz="0" w:space="0" w:color="auto"/>
                    <w:left w:val="none" w:sz="0" w:space="0" w:color="auto"/>
                    <w:bottom w:val="none" w:sz="0" w:space="0" w:color="auto"/>
                    <w:right w:val="none" w:sz="0" w:space="0" w:color="auto"/>
                  </w:divBdr>
                  <w:divsChild>
                    <w:div w:id="1516269625">
                      <w:marLeft w:val="0"/>
                      <w:marRight w:val="0"/>
                      <w:marTop w:val="0"/>
                      <w:marBottom w:val="0"/>
                      <w:divBdr>
                        <w:top w:val="none" w:sz="0" w:space="0" w:color="auto"/>
                        <w:left w:val="none" w:sz="0" w:space="0" w:color="auto"/>
                        <w:bottom w:val="none" w:sz="0" w:space="0" w:color="auto"/>
                        <w:right w:val="none" w:sz="0" w:space="0" w:color="auto"/>
                      </w:divBdr>
                    </w:div>
                  </w:divsChild>
                </w:div>
                <w:div w:id="1455248152">
                  <w:marLeft w:val="0"/>
                  <w:marRight w:val="0"/>
                  <w:marTop w:val="0"/>
                  <w:marBottom w:val="0"/>
                  <w:divBdr>
                    <w:top w:val="none" w:sz="0" w:space="0" w:color="auto"/>
                    <w:left w:val="none" w:sz="0" w:space="0" w:color="auto"/>
                    <w:bottom w:val="none" w:sz="0" w:space="0" w:color="auto"/>
                    <w:right w:val="none" w:sz="0" w:space="0" w:color="auto"/>
                  </w:divBdr>
                  <w:divsChild>
                    <w:div w:id="1432819929">
                      <w:marLeft w:val="0"/>
                      <w:marRight w:val="0"/>
                      <w:marTop w:val="0"/>
                      <w:marBottom w:val="0"/>
                      <w:divBdr>
                        <w:top w:val="none" w:sz="0" w:space="0" w:color="auto"/>
                        <w:left w:val="none" w:sz="0" w:space="0" w:color="auto"/>
                        <w:bottom w:val="none" w:sz="0" w:space="0" w:color="auto"/>
                        <w:right w:val="none" w:sz="0" w:space="0" w:color="auto"/>
                      </w:divBdr>
                    </w:div>
                  </w:divsChild>
                </w:div>
                <w:div w:id="1481314584">
                  <w:marLeft w:val="0"/>
                  <w:marRight w:val="0"/>
                  <w:marTop w:val="0"/>
                  <w:marBottom w:val="0"/>
                  <w:divBdr>
                    <w:top w:val="none" w:sz="0" w:space="0" w:color="auto"/>
                    <w:left w:val="none" w:sz="0" w:space="0" w:color="auto"/>
                    <w:bottom w:val="none" w:sz="0" w:space="0" w:color="auto"/>
                    <w:right w:val="none" w:sz="0" w:space="0" w:color="auto"/>
                  </w:divBdr>
                  <w:divsChild>
                    <w:div w:id="685905860">
                      <w:marLeft w:val="0"/>
                      <w:marRight w:val="0"/>
                      <w:marTop w:val="0"/>
                      <w:marBottom w:val="0"/>
                      <w:divBdr>
                        <w:top w:val="none" w:sz="0" w:space="0" w:color="auto"/>
                        <w:left w:val="none" w:sz="0" w:space="0" w:color="auto"/>
                        <w:bottom w:val="none" w:sz="0" w:space="0" w:color="auto"/>
                        <w:right w:val="none" w:sz="0" w:space="0" w:color="auto"/>
                      </w:divBdr>
                    </w:div>
                  </w:divsChild>
                </w:div>
                <w:div w:id="1553348644">
                  <w:marLeft w:val="0"/>
                  <w:marRight w:val="0"/>
                  <w:marTop w:val="0"/>
                  <w:marBottom w:val="0"/>
                  <w:divBdr>
                    <w:top w:val="none" w:sz="0" w:space="0" w:color="auto"/>
                    <w:left w:val="none" w:sz="0" w:space="0" w:color="auto"/>
                    <w:bottom w:val="none" w:sz="0" w:space="0" w:color="auto"/>
                    <w:right w:val="none" w:sz="0" w:space="0" w:color="auto"/>
                  </w:divBdr>
                  <w:divsChild>
                    <w:div w:id="1674380728">
                      <w:marLeft w:val="0"/>
                      <w:marRight w:val="0"/>
                      <w:marTop w:val="0"/>
                      <w:marBottom w:val="0"/>
                      <w:divBdr>
                        <w:top w:val="none" w:sz="0" w:space="0" w:color="auto"/>
                        <w:left w:val="none" w:sz="0" w:space="0" w:color="auto"/>
                        <w:bottom w:val="none" w:sz="0" w:space="0" w:color="auto"/>
                        <w:right w:val="none" w:sz="0" w:space="0" w:color="auto"/>
                      </w:divBdr>
                    </w:div>
                  </w:divsChild>
                </w:div>
                <w:div w:id="1560283921">
                  <w:marLeft w:val="0"/>
                  <w:marRight w:val="0"/>
                  <w:marTop w:val="0"/>
                  <w:marBottom w:val="0"/>
                  <w:divBdr>
                    <w:top w:val="none" w:sz="0" w:space="0" w:color="auto"/>
                    <w:left w:val="none" w:sz="0" w:space="0" w:color="auto"/>
                    <w:bottom w:val="none" w:sz="0" w:space="0" w:color="auto"/>
                    <w:right w:val="none" w:sz="0" w:space="0" w:color="auto"/>
                  </w:divBdr>
                  <w:divsChild>
                    <w:div w:id="897321166">
                      <w:marLeft w:val="0"/>
                      <w:marRight w:val="0"/>
                      <w:marTop w:val="0"/>
                      <w:marBottom w:val="0"/>
                      <w:divBdr>
                        <w:top w:val="none" w:sz="0" w:space="0" w:color="auto"/>
                        <w:left w:val="none" w:sz="0" w:space="0" w:color="auto"/>
                        <w:bottom w:val="none" w:sz="0" w:space="0" w:color="auto"/>
                        <w:right w:val="none" w:sz="0" w:space="0" w:color="auto"/>
                      </w:divBdr>
                    </w:div>
                  </w:divsChild>
                </w:div>
                <w:div w:id="1718551953">
                  <w:marLeft w:val="0"/>
                  <w:marRight w:val="0"/>
                  <w:marTop w:val="0"/>
                  <w:marBottom w:val="0"/>
                  <w:divBdr>
                    <w:top w:val="none" w:sz="0" w:space="0" w:color="auto"/>
                    <w:left w:val="none" w:sz="0" w:space="0" w:color="auto"/>
                    <w:bottom w:val="none" w:sz="0" w:space="0" w:color="auto"/>
                    <w:right w:val="none" w:sz="0" w:space="0" w:color="auto"/>
                  </w:divBdr>
                  <w:divsChild>
                    <w:div w:id="518202109">
                      <w:marLeft w:val="0"/>
                      <w:marRight w:val="0"/>
                      <w:marTop w:val="0"/>
                      <w:marBottom w:val="0"/>
                      <w:divBdr>
                        <w:top w:val="none" w:sz="0" w:space="0" w:color="auto"/>
                        <w:left w:val="none" w:sz="0" w:space="0" w:color="auto"/>
                        <w:bottom w:val="none" w:sz="0" w:space="0" w:color="auto"/>
                        <w:right w:val="none" w:sz="0" w:space="0" w:color="auto"/>
                      </w:divBdr>
                    </w:div>
                  </w:divsChild>
                </w:div>
                <w:div w:id="1796289369">
                  <w:marLeft w:val="0"/>
                  <w:marRight w:val="0"/>
                  <w:marTop w:val="0"/>
                  <w:marBottom w:val="0"/>
                  <w:divBdr>
                    <w:top w:val="none" w:sz="0" w:space="0" w:color="auto"/>
                    <w:left w:val="none" w:sz="0" w:space="0" w:color="auto"/>
                    <w:bottom w:val="none" w:sz="0" w:space="0" w:color="auto"/>
                    <w:right w:val="none" w:sz="0" w:space="0" w:color="auto"/>
                  </w:divBdr>
                  <w:divsChild>
                    <w:div w:id="2131119479">
                      <w:marLeft w:val="0"/>
                      <w:marRight w:val="0"/>
                      <w:marTop w:val="0"/>
                      <w:marBottom w:val="0"/>
                      <w:divBdr>
                        <w:top w:val="none" w:sz="0" w:space="0" w:color="auto"/>
                        <w:left w:val="none" w:sz="0" w:space="0" w:color="auto"/>
                        <w:bottom w:val="none" w:sz="0" w:space="0" w:color="auto"/>
                        <w:right w:val="none" w:sz="0" w:space="0" w:color="auto"/>
                      </w:divBdr>
                    </w:div>
                  </w:divsChild>
                </w:div>
                <w:div w:id="1810126797">
                  <w:marLeft w:val="0"/>
                  <w:marRight w:val="0"/>
                  <w:marTop w:val="0"/>
                  <w:marBottom w:val="0"/>
                  <w:divBdr>
                    <w:top w:val="none" w:sz="0" w:space="0" w:color="auto"/>
                    <w:left w:val="none" w:sz="0" w:space="0" w:color="auto"/>
                    <w:bottom w:val="none" w:sz="0" w:space="0" w:color="auto"/>
                    <w:right w:val="none" w:sz="0" w:space="0" w:color="auto"/>
                  </w:divBdr>
                  <w:divsChild>
                    <w:div w:id="1640111539">
                      <w:marLeft w:val="0"/>
                      <w:marRight w:val="0"/>
                      <w:marTop w:val="0"/>
                      <w:marBottom w:val="0"/>
                      <w:divBdr>
                        <w:top w:val="none" w:sz="0" w:space="0" w:color="auto"/>
                        <w:left w:val="none" w:sz="0" w:space="0" w:color="auto"/>
                        <w:bottom w:val="none" w:sz="0" w:space="0" w:color="auto"/>
                        <w:right w:val="none" w:sz="0" w:space="0" w:color="auto"/>
                      </w:divBdr>
                    </w:div>
                  </w:divsChild>
                </w:div>
                <w:div w:id="1916161802">
                  <w:marLeft w:val="0"/>
                  <w:marRight w:val="0"/>
                  <w:marTop w:val="0"/>
                  <w:marBottom w:val="0"/>
                  <w:divBdr>
                    <w:top w:val="none" w:sz="0" w:space="0" w:color="auto"/>
                    <w:left w:val="none" w:sz="0" w:space="0" w:color="auto"/>
                    <w:bottom w:val="none" w:sz="0" w:space="0" w:color="auto"/>
                    <w:right w:val="none" w:sz="0" w:space="0" w:color="auto"/>
                  </w:divBdr>
                  <w:divsChild>
                    <w:div w:id="1867861697">
                      <w:marLeft w:val="0"/>
                      <w:marRight w:val="0"/>
                      <w:marTop w:val="0"/>
                      <w:marBottom w:val="0"/>
                      <w:divBdr>
                        <w:top w:val="none" w:sz="0" w:space="0" w:color="auto"/>
                        <w:left w:val="none" w:sz="0" w:space="0" w:color="auto"/>
                        <w:bottom w:val="none" w:sz="0" w:space="0" w:color="auto"/>
                        <w:right w:val="none" w:sz="0" w:space="0" w:color="auto"/>
                      </w:divBdr>
                    </w:div>
                  </w:divsChild>
                </w:div>
                <w:div w:id="1930845453">
                  <w:marLeft w:val="0"/>
                  <w:marRight w:val="0"/>
                  <w:marTop w:val="0"/>
                  <w:marBottom w:val="0"/>
                  <w:divBdr>
                    <w:top w:val="none" w:sz="0" w:space="0" w:color="auto"/>
                    <w:left w:val="none" w:sz="0" w:space="0" w:color="auto"/>
                    <w:bottom w:val="none" w:sz="0" w:space="0" w:color="auto"/>
                    <w:right w:val="none" w:sz="0" w:space="0" w:color="auto"/>
                  </w:divBdr>
                  <w:divsChild>
                    <w:div w:id="1160534729">
                      <w:marLeft w:val="0"/>
                      <w:marRight w:val="0"/>
                      <w:marTop w:val="0"/>
                      <w:marBottom w:val="0"/>
                      <w:divBdr>
                        <w:top w:val="none" w:sz="0" w:space="0" w:color="auto"/>
                        <w:left w:val="none" w:sz="0" w:space="0" w:color="auto"/>
                        <w:bottom w:val="none" w:sz="0" w:space="0" w:color="auto"/>
                        <w:right w:val="none" w:sz="0" w:space="0" w:color="auto"/>
                      </w:divBdr>
                    </w:div>
                  </w:divsChild>
                </w:div>
                <w:div w:id="1964385408">
                  <w:marLeft w:val="0"/>
                  <w:marRight w:val="0"/>
                  <w:marTop w:val="0"/>
                  <w:marBottom w:val="0"/>
                  <w:divBdr>
                    <w:top w:val="none" w:sz="0" w:space="0" w:color="auto"/>
                    <w:left w:val="none" w:sz="0" w:space="0" w:color="auto"/>
                    <w:bottom w:val="none" w:sz="0" w:space="0" w:color="auto"/>
                    <w:right w:val="none" w:sz="0" w:space="0" w:color="auto"/>
                  </w:divBdr>
                  <w:divsChild>
                    <w:div w:id="1300576456">
                      <w:marLeft w:val="0"/>
                      <w:marRight w:val="0"/>
                      <w:marTop w:val="0"/>
                      <w:marBottom w:val="0"/>
                      <w:divBdr>
                        <w:top w:val="none" w:sz="0" w:space="0" w:color="auto"/>
                        <w:left w:val="none" w:sz="0" w:space="0" w:color="auto"/>
                        <w:bottom w:val="none" w:sz="0" w:space="0" w:color="auto"/>
                        <w:right w:val="none" w:sz="0" w:space="0" w:color="auto"/>
                      </w:divBdr>
                    </w:div>
                  </w:divsChild>
                </w:div>
                <w:div w:id="2029062486">
                  <w:marLeft w:val="0"/>
                  <w:marRight w:val="0"/>
                  <w:marTop w:val="0"/>
                  <w:marBottom w:val="0"/>
                  <w:divBdr>
                    <w:top w:val="none" w:sz="0" w:space="0" w:color="auto"/>
                    <w:left w:val="none" w:sz="0" w:space="0" w:color="auto"/>
                    <w:bottom w:val="none" w:sz="0" w:space="0" w:color="auto"/>
                    <w:right w:val="none" w:sz="0" w:space="0" w:color="auto"/>
                  </w:divBdr>
                  <w:divsChild>
                    <w:div w:id="1010521254">
                      <w:marLeft w:val="0"/>
                      <w:marRight w:val="0"/>
                      <w:marTop w:val="0"/>
                      <w:marBottom w:val="0"/>
                      <w:divBdr>
                        <w:top w:val="none" w:sz="0" w:space="0" w:color="auto"/>
                        <w:left w:val="none" w:sz="0" w:space="0" w:color="auto"/>
                        <w:bottom w:val="none" w:sz="0" w:space="0" w:color="auto"/>
                        <w:right w:val="none" w:sz="0" w:space="0" w:color="auto"/>
                      </w:divBdr>
                    </w:div>
                  </w:divsChild>
                </w:div>
                <w:div w:id="2055156638">
                  <w:marLeft w:val="0"/>
                  <w:marRight w:val="0"/>
                  <w:marTop w:val="0"/>
                  <w:marBottom w:val="0"/>
                  <w:divBdr>
                    <w:top w:val="none" w:sz="0" w:space="0" w:color="auto"/>
                    <w:left w:val="none" w:sz="0" w:space="0" w:color="auto"/>
                    <w:bottom w:val="none" w:sz="0" w:space="0" w:color="auto"/>
                    <w:right w:val="none" w:sz="0" w:space="0" w:color="auto"/>
                  </w:divBdr>
                  <w:divsChild>
                    <w:div w:id="2082749077">
                      <w:marLeft w:val="0"/>
                      <w:marRight w:val="0"/>
                      <w:marTop w:val="0"/>
                      <w:marBottom w:val="0"/>
                      <w:divBdr>
                        <w:top w:val="none" w:sz="0" w:space="0" w:color="auto"/>
                        <w:left w:val="none" w:sz="0" w:space="0" w:color="auto"/>
                        <w:bottom w:val="none" w:sz="0" w:space="0" w:color="auto"/>
                        <w:right w:val="none" w:sz="0" w:space="0" w:color="auto"/>
                      </w:divBdr>
                    </w:div>
                  </w:divsChild>
                </w:div>
                <w:div w:id="2064786850">
                  <w:marLeft w:val="0"/>
                  <w:marRight w:val="0"/>
                  <w:marTop w:val="0"/>
                  <w:marBottom w:val="0"/>
                  <w:divBdr>
                    <w:top w:val="none" w:sz="0" w:space="0" w:color="auto"/>
                    <w:left w:val="none" w:sz="0" w:space="0" w:color="auto"/>
                    <w:bottom w:val="none" w:sz="0" w:space="0" w:color="auto"/>
                    <w:right w:val="none" w:sz="0" w:space="0" w:color="auto"/>
                  </w:divBdr>
                  <w:divsChild>
                    <w:div w:id="1768689955">
                      <w:marLeft w:val="0"/>
                      <w:marRight w:val="0"/>
                      <w:marTop w:val="0"/>
                      <w:marBottom w:val="0"/>
                      <w:divBdr>
                        <w:top w:val="none" w:sz="0" w:space="0" w:color="auto"/>
                        <w:left w:val="none" w:sz="0" w:space="0" w:color="auto"/>
                        <w:bottom w:val="none" w:sz="0" w:space="0" w:color="auto"/>
                        <w:right w:val="none" w:sz="0" w:space="0" w:color="auto"/>
                      </w:divBdr>
                    </w:div>
                  </w:divsChild>
                </w:div>
                <w:div w:id="2073460409">
                  <w:marLeft w:val="0"/>
                  <w:marRight w:val="0"/>
                  <w:marTop w:val="0"/>
                  <w:marBottom w:val="0"/>
                  <w:divBdr>
                    <w:top w:val="none" w:sz="0" w:space="0" w:color="auto"/>
                    <w:left w:val="none" w:sz="0" w:space="0" w:color="auto"/>
                    <w:bottom w:val="none" w:sz="0" w:space="0" w:color="auto"/>
                    <w:right w:val="none" w:sz="0" w:space="0" w:color="auto"/>
                  </w:divBdr>
                  <w:divsChild>
                    <w:div w:id="2039314230">
                      <w:marLeft w:val="0"/>
                      <w:marRight w:val="0"/>
                      <w:marTop w:val="0"/>
                      <w:marBottom w:val="0"/>
                      <w:divBdr>
                        <w:top w:val="none" w:sz="0" w:space="0" w:color="auto"/>
                        <w:left w:val="none" w:sz="0" w:space="0" w:color="auto"/>
                        <w:bottom w:val="none" w:sz="0" w:space="0" w:color="auto"/>
                        <w:right w:val="none" w:sz="0" w:space="0" w:color="auto"/>
                      </w:divBdr>
                    </w:div>
                  </w:divsChild>
                </w:div>
                <w:div w:id="2080441051">
                  <w:marLeft w:val="0"/>
                  <w:marRight w:val="0"/>
                  <w:marTop w:val="0"/>
                  <w:marBottom w:val="0"/>
                  <w:divBdr>
                    <w:top w:val="none" w:sz="0" w:space="0" w:color="auto"/>
                    <w:left w:val="none" w:sz="0" w:space="0" w:color="auto"/>
                    <w:bottom w:val="none" w:sz="0" w:space="0" w:color="auto"/>
                    <w:right w:val="none" w:sz="0" w:space="0" w:color="auto"/>
                  </w:divBdr>
                  <w:divsChild>
                    <w:div w:id="707266180">
                      <w:marLeft w:val="0"/>
                      <w:marRight w:val="0"/>
                      <w:marTop w:val="0"/>
                      <w:marBottom w:val="0"/>
                      <w:divBdr>
                        <w:top w:val="none" w:sz="0" w:space="0" w:color="auto"/>
                        <w:left w:val="none" w:sz="0" w:space="0" w:color="auto"/>
                        <w:bottom w:val="none" w:sz="0" w:space="0" w:color="auto"/>
                        <w:right w:val="none" w:sz="0" w:space="0" w:color="auto"/>
                      </w:divBdr>
                    </w:div>
                  </w:divsChild>
                </w:div>
                <w:div w:id="2139060805">
                  <w:marLeft w:val="0"/>
                  <w:marRight w:val="0"/>
                  <w:marTop w:val="0"/>
                  <w:marBottom w:val="0"/>
                  <w:divBdr>
                    <w:top w:val="none" w:sz="0" w:space="0" w:color="auto"/>
                    <w:left w:val="none" w:sz="0" w:space="0" w:color="auto"/>
                    <w:bottom w:val="none" w:sz="0" w:space="0" w:color="auto"/>
                    <w:right w:val="none" w:sz="0" w:space="0" w:color="auto"/>
                  </w:divBdr>
                  <w:divsChild>
                    <w:div w:id="27020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68620">
          <w:marLeft w:val="0"/>
          <w:marRight w:val="0"/>
          <w:marTop w:val="0"/>
          <w:marBottom w:val="0"/>
          <w:divBdr>
            <w:top w:val="none" w:sz="0" w:space="0" w:color="auto"/>
            <w:left w:val="none" w:sz="0" w:space="0" w:color="auto"/>
            <w:bottom w:val="none" w:sz="0" w:space="0" w:color="auto"/>
            <w:right w:val="none" w:sz="0" w:space="0" w:color="auto"/>
          </w:divBdr>
        </w:div>
      </w:divsChild>
    </w:div>
    <w:div w:id="1547988184">
      <w:bodyDiv w:val="1"/>
      <w:marLeft w:val="0"/>
      <w:marRight w:val="0"/>
      <w:marTop w:val="0"/>
      <w:marBottom w:val="0"/>
      <w:divBdr>
        <w:top w:val="none" w:sz="0" w:space="0" w:color="auto"/>
        <w:left w:val="none" w:sz="0" w:space="0" w:color="auto"/>
        <w:bottom w:val="none" w:sz="0" w:space="0" w:color="auto"/>
        <w:right w:val="none" w:sz="0" w:space="0" w:color="auto"/>
      </w:divBdr>
      <w:divsChild>
        <w:div w:id="14888530">
          <w:marLeft w:val="0"/>
          <w:marRight w:val="0"/>
          <w:marTop w:val="0"/>
          <w:marBottom w:val="0"/>
          <w:divBdr>
            <w:top w:val="none" w:sz="0" w:space="0" w:color="auto"/>
            <w:left w:val="none" w:sz="0" w:space="0" w:color="auto"/>
            <w:bottom w:val="none" w:sz="0" w:space="0" w:color="auto"/>
            <w:right w:val="none" w:sz="0" w:space="0" w:color="auto"/>
          </w:divBdr>
        </w:div>
        <w:div w:id="48918502">
          <w:marLeft w:val="0"/>
          <w:marRight w:val="0"/>
          <w:marTop w:val="0"/>
          <w:marBottom w:val="0"/>
          <w:divBdr>
            <w:top w:val="none" w:sz="0" w:space="0" w:color="auto"/>
            <w:left w:val="none" w:sz="0" w:space="0" w:color="auto"/>
            <w:bottom w:val="none" w:sz="0" w:space="0" w:color="auto"/>
            <w:right w:val="none" w:sz="0" w:space="0" w:color="auto"/>
          </w:divBdr>
        </w:div>
        <w:div w:id="58401945">
          <w:marLeft w:val="0"/>
          <w:marRight w:val="0"/>
          <w:marTop w:val="0"/>
          <w:marBottom w:val="0"/>
          <w:divBdr>
            <w:top w:val="none" w:sz="0" w:space="0" w:color="auto"/>
            <w:left w:val="none" w:sz="0" w:space="0" w:color="auto"/>
            <w:bottom w:val="none" w:sz="0" w:space="0" w:color="auto"/>
            <w:right w:val="none" w:sz="0" w:space="0" w:color="auto"/>
          </w:divBdr>
        </w:div>
        <w:div w:id="64493353">
          <w:marLeft w:val="0"/>
          <w:marRight w:val="0"/>
          <w:marTop w:val="0"/>
          <w:marBottom w:val="0"/>
          <w:divBdr>
            <w:top w:val="none" w:sz="0" w:space="0" w:color="auto"/>
            <w:left w:val="none" w:sz="0" w:space="0" w:color="auto"/>
            <w:bottom w:val="none" w:sz="0" w:space="0" w:color="auto"/>
            <w:right w:val="none" w:sz="0" w:space="0" w:color="auto"/>
          </w:divBdr>
        </w:div>
        <w:div w:id="79495782">
          <w:marLeft w:val="0"/>
          <w:marRight w:val="0"/>
          <w:marTop w:val="0"/>
          <w:marBottom w:val="0"/>
          <w:divBdr>
            <w:top w:val="none" w:sz="0" w:space="0" w:color="auto"/>
            <w:left w:val="none" w:sz="0" w:space="0" w:color="auto"/>
            <w:bottom w:val="none" w:sz="0" w:space="0" w:color="auto"/>
            <w:right w:val="none" w:sz="0" w:space="0" w:color="auto"/>
          </w:divBdr>
        </w:div>
        <w:div w:id="116532851">
          <w:marLeft w:val="0"/>
          <w:marRight w:val="0"/>
          <w:marTop w:val="0"/>
          <w:marBottom w:val="0"/>
          <w:divBdr>
            <w:top w:val="none" w:sz="0" w:space="0" w:color="auto"/>
            <w:left w:val="none" w:sz="0" w:space="0" w:color="auto"/>
            <w:bottom w:val="none" w:sz="0" w:space="0" w:color="auto"/>
            <w:right w:val="none" w:sz="0" w:space="0" w:color="auto"/>
          </w:divBdr>
        </w:div>
        <w:div w:id="122843966">
          <w:marLeft w:val="0"/>
          <w:marRight w:val="0"/>
          <w:marTop w:val="0"/>
          <w:marBottom w:val="0"/>
          <w:divBdr>
            <w:top w:val="none" w:sz="0" w:space="0" w:color="auto"/>
            <w:left w:val="none" w:sz="0" w:space="0" w:color="auto"/>
            <w:bottom w:val="none" w:sz="0" w:space="0" w:color="auto"/>
            <w:right w:val="none" w:sz="0" w:space="0" w:color="auto"/>
          </w:divBdr>
        </w:div>
        <w:div w:id="142477066">
          <w:marLeft w:val="0"/>
          <w:marRight w:val="0"/>
          <w:marTop w:val="0"/>
          <w:marBottom w:val="0"/>
          <w:divBdr>
            <w:top w:val="none" w:sz="0" w:space="0" w:color="auto"/>
            <w:left w:val="none" w:sz="0" w:space="0" w:color="auto"/>
            <w:bottom w:val="none" w:sz="0" w:space="0" w:color="auto"/>
            <w:right w:val="none" w:sz="0" w:space="0" w:color="auto"/>
          </w:divBdr>
        </w:div>
        <w:div w:id="158082153">
          <w:marLeft w:val="0"/>
          <w:marRight w:val="0"/>
          <w:marTop w:val="0"/>
          <w:marBottom w:val="0"/>
          <w:divBdr>
            <w:top w:val="none" w:sz="0" w:space="0" w:color="auto"/>
            <w:left w:val="none" w:sz="0" w:space="0" w:color="auto"/>
            <w:bottom w:val="none" w:sz="0" w:space="0" w:color="auto"/>
            <w:right w:val="none" w:sz="0" w:space="0" w:color="auto"/>
          </w:divBdr>
        </w:div>
        <w:div w:id="159125638">
          <w:marLeft w:val="0"/>
          <w:marRight w:val="0"/>
          <w:marTop w:val="0"/>
          <w:marBottom w:val="0"/>
          <w:divBdr>
            <w:top w:val="none" w:sz="0" w:space="0" w:color="auto"/>
            <w:left w:val="none" w:sz="0" w:space="0" w:color="auto"/>
            <w:bottom w:val="none" w:sz="0" w:space="0" w:color="auto"/>
            <w:right w:val="none" w:sz="0" w:space="0" w:color="auto"/>
          </w:divBdr>
        </w:div>
        <w:div w:id="190607806">
          <w:marLeft w:val="0"/>
          <w:marRight w:val="0"/>
          <w:marTop w:val="0"/>
          <w:marBottom w:val="0"/>
          <w:divBdr>
            <w:top w:val="none" w:sz="0" w:space="0" w:color="auto"/>
            <w:left w:val="none" w:sz="0" w:space="0" w:color="auto"/>
            <w:bottom w:val="none" w:sz="0" w:space="0" w:color="auto"/>
            <w:right w:val="none" w:sz="0" w:space="0" w:color="auto"/>
          </w:divBdr>
        </w:div>
        <w:div w:id="212927000">
          <w:marLeft w:val="0"/>
          <w:marRight w:val="0"/>
          <w:marTop w:val="0"/>
          <w:marBottom w:val="0"/>
          <w:divBdr>
            <w:top w:val="none" w:sz="0" w:space="0" w:color="auto"/>
            <w:left w:val="none" w:sz="0" w:space="0" w:color="auto"/>
            <w:bottom w:val="none" w:sz="0" w:space="0" w:color="auto"/>
            <w:right w:val="none" w:sz="0" w:space="0" w:color="auto"/>
          </w:divBdr>
        </w:div>
        <w:div w:id="221908652">
          <w:marLeft w:val="0"/>
          <w:marRight w:val="0"/>
          <w:marTop w:val="0"/>
          <w:marBottom w:val="0"/>
          <w:divBdr>
            <w:top w:val="none" w:sz="0" w:space="0" w:color="auto"/>
            <w:left w:val="none" w:sz="0" w:space="0" w:color="auto"/>
            <w:bottom w:val="none" w:sz="0" w:space="0" w:color="auto"/>
            <w:right w:val="none" w:sz="0" w:space="0" w:color="auto"/>
          </w:divBdr>
        </w:div>
        <w:div w:id="223030707">
          <w:marLeft w:val="0"/>
          <w:marRight w:val="0"/>
          <w:marTop w:val="0"/>
          <w:marBottom w:val="0"/>
          <w:divBdr>
            <w:top w:val="none" w:sz="0" w:space="0" w:color="auto"/>
            <w:left w:val="none" w:sz="0" w:space="0" w:color="auto"/>
            <w:bottom w:val="none" w:sz="0" w:space="0" w:color="auto"/>
            <w:right w:val="none" w:sz="0" w:space="0" w:color="auto"/>
          </w:divBdr>
        </w:div>
        <w:div w:id="224797902">
          <w:marLeft w:val="0"/>
          <w:marRight w:val="0"/>
          <w:marTop w:val="0"/>
          <w:marBottom w:val="0"/>
          <w:divBdr>
            <w:top w:val="none" w:sz="0" w:space="0" w:color="auto"/>
            <w:left w:val="none" w:sz="0" w:space="0" w:color="auto"/>
            <w:bottom w:val="none" w:sz="0" w:space="0" w:color="auto"/>
            <w:right w:val="none" w:sz="0" w:space="0" w:color="auto"/>
          </w:divBdr>
        </w:div>
        <w:div w:id="257491049">
          <w:marLeft w:val="0"/>
          <w:marRight w:val="0"/>
          <w:marTop w:val="0"/>
          <w:marBottom w:val="0"/>
          <w:divBdr>
            <w:top w:val="none" w:sz="0" w:space="0" w:color="auto"/>
            <w:left w:val="none" w:sz="0" w:space="0" w:color="auto"/>
            <w:bottom w:val="none" w:sz="0" w:space="0" w:color="auto"/>
            <w:right w:val="none" w:sz="0" w:space="0" w:color="auto"/>
          </w:divBdr>
        </w:div>
        <w:div w:id="269431491">
          <w:marLeft w:val="0"/>
          <w:marRight w:val="0"/>
          <w:marTop w:val="0"/>
          <w:marBottom w:val="0"/>
          <w:divBdr>
            <w:top w:val="none" w:sz="0" w:space="0" w:color="auto"/>
            <w:left w:val="none" w:sz="0" w:space="0" w:color="auto"/>
            <w:bottom w:val="none" w:sz="0" w:space="0" w:color="auto"/>
            <w:right w:val="none" w:sz="0" w:space="0" w:color="auto"/>
          </w:divBdr>
        </w:div>
        <w:div w:id="289171643">
          <w:marLeft w:val="0"/>
          <w:marRight w:val="0"/>
          <w:marTop w:val="0"/>
          <w:marBottom w:val="0"/>
          <w:divBdr>
            <w:top w:val="none" w:sz="0" w:space="0" w:color="auto"/>
            <w:left w:val="none" w:sz="0" w:space="0" w:color="auto"/>
            <w:bottom w:val="none" w:sz="0" w:space="0" w:color="auto"/>
            <w:right w:val="none" w:sz="0" w:space="0" w:color="auto"/>
          </w:divBdr>
        </w:div>
        <w:div w:id="307713971">
          <w:marLeft w:val="0"/>
          <w:marRight w:val="0"/>
          <w:marTop w:val="0"/>
          <w:marBottom w:val="0"/>
          <w:divBdr>
            <w:top w:val="none" w:sz="0" w:space="0" w:color="auto"/>
            <w:left w:val="none" w:sz="0" w:space="0" w:color="auto"/>
            <w:bottom w:val="none" w:sz="0" w:space="0" w:color="auto"/>
            <w:right w:val="none" w:sz="0" w:space="0" w:color="auto"/>
          </w:divBdr>
        </w:div>
        <w:div w:id="357968445">
          <w:marLeft w:val="0"/>
          <w:marRight w:val="0"/>
          <w:marTop w:val="0"/>
          <w:marBottom w:val="0"/>
          <w:divBdr>
            <w:top w:val="none" w:sz="0" w:space="0" w:color="auto"/>
            <w:left w:val="none" w:sz="0" w:space="0" w:color="auto"/>
            <w:bottom w:val="none" w:sz="0" w:space="0" w:color="auto"/>
            <w:right w:val="none" w:sz="0" w:space="0" w:color="auto"/>
          </w:divBdr>
        </w:div>
        <w:div w:id="363600791">
          <w:marLeft w:val="0"/>
          <w:marRight w:val="0"/>
          <w:marTop w:val="0"/>
          <w:marBottom w:val="0"/>
          <w:divBdr>
            <w:top w:val="none" w:sz="0" w:space="0" w:color="auto"/>
            <w:left w:val="none" w:sz="0" w:space="0" w:color="auto"/>
            <w:bottom w:val="none" w:sz="0" w:space="0" w:color="auto"/>
            <w:right w:val="none" w:sz="0" w:space="0" w:color="auto"/>
          </w:divBdr>
          <w:divsChild>
            <w:div w:id="242569137">
              <w:marLeft w:val="0"/>
              <w:marRight w:val="0"/>
              <w:marTop w:val="0"/>
              <w:marBottom w:val="0"/>
              <w:divBdr>
                <w:top w:val="none" w:sz="0" w:space="0" w:color="auto"/>
                <w:left w:val="none" w:sz="0" w:space="0" w:color="auto"/>
                <w:bottom w:val="none" w:sz="0" w:space="0" w:color="auto"/>
                <w:right w:val="none" w:sz="0" w:space="0" w:color="auto"/>
              </w:divBdr>
            </w:div>
            <w:div w:id="244654110">
              <w:marLeft w:val="0"/>
              <w:marRight w:val="0"/>
              <w:marTop w:val="0"/>
              <w:marBottom w:val="0"/>
              <w:divBdr>
                <w:top w:val="none" w:sz="0" w:space="0" w:color="auto"/>
                <w:left w:val="none" w:sz="0" w:space="0" w:color="auto"/>
                <w:bottom w:val="none" w:sz="0" w:space="0" w:color="auto"/>
                <w:right w:val="none" w:sz="0" w:space="0" w:color="auto"/>
              </w:divBdr>
            </w:div>
            <w:div w:id="255212648">
              <w:marLeft w:val="0"/>
              <w:marRight w:val="0"/>
              <w:marTop w:val="0"/>
              <w:marBottom w:val="0"/>
              <w:divBdr>
                <w:top w:val="none" w:sz="0" w:space="0" w:color="auto"/>
                <w:left w:val="none" w:sz="0" w:space="0" w:color="auto"/>
                <w:bottom w:val="none" w:sz="0" w:space="0" w:color="auto"/>
                <w:right w:val="none" w:sz="0" w:space="0" w:color="auto"/>
              </w:divBdr>
            </w:div>
            <w:div w:id="287322108">
              <w:marLeft w:val="0"/>
              <w:marRight w:val="0"/>
              <w:marTop w:val="0"/>
              <w:marBottom w:val="0"/>
              <w:divBdr>
                <w:top w:val="none" w:sz="0" w:space="0" w:color="auto"/>
                <w:left w:val="none" w:sz="0" w:space="0" w:color="auto"/>
                <w:bottom w:val="none" w:sz="0" w:space="0" w:color="auto"/>
                <w:right w:val="none" w:sz="0" w:space="0" w:color="auto"/>
              </w:divBdr>
            </w:div>
            <w:div w:id="861093068">
              <w:marLeft w:val="0"/>
              <w:marRight w:val="0"/>
              <w:marTop w:val="0"/>
              <w:marBottom w:val="0"/>
              <w:divBdr>
                <w:top w:val="none" w:sz="0" w:space="0" w:color="auto"/>
                <w:left w:val="none" w:sz="0" w:space="0" w:color="auto"/>
                <w:bottom w:val="none" w:sz="0" w:space="0" w:color="auto"/>
                <w:right w:val="none" w:sz="0" w:space="0" w:color="auto"/>
              </w:divBdr>
            </w:div>
            <w:div w:id="862748430">
              <w:marLeft w:val="0"/>
              <w:marRight w:val="0"/>
              <w:marTop w:val="0"/>
              <w:marBottom w:val="0"/>
              <w:divBdr>
                <w:top w:val="none" w:sz="0" w:space="0" w:color="auto"/>
                <w:left w:val="none" w:sz="0" w:space="0" w:color="auto"/>
                <w:bottom w:val="none" w:sz="0" w:space="0" w:color="auto"/>
                <w:right w:val="none" w:sz="0" w:space="0" w:color="auto"/>
              </w:divBdr>
            </w:div>
            <w:div w:id="955600636">
              <w:marLeft w:val="0"/>
              <w:marRight w:val="0"/>
              <w:marTop w:val="0"/>
              <w:marBottom w:val="0"/>
              <w:divBdr>
                <w:top w:val="none" w:sz="0" w:space="0" w:color="auto"/>
                <w:left w:val="none" w:sz="0" w:space="0" w:color="auto"/>
                <w:bottom w:val="none" w:sz="0" w:space="0" w:color="auto"/>
                <w:right w:val="none" w:sz="0" w:space="0" w:color="auto"/>
              </w:divBdr>
            </w:div>
            <w:div w:id="1027566314">
              <w:marLeft w:val="0"/>
              <w:marRight w:val="0"/>
              <w:marTop w:val="0"/>
              <w:marBottom w:val="0"/>
              <w:divBdr>
                <w:top w:val="none" w:sz="0" w:space="0" w:color="auto"/>
                <w:left w:val="none" w:sz="0" w:space="0" w:color="auto"/>
                <w:bottom w:val="none" w:sz="0" w:space="0" w:color="auto"/>
                <w:right w:val="none" w:sz="0" w:space="0" w:color="auto"/>
              </w:divBdr>
            </w:div>
            <w:div w:id="1154881907">
              <w:marLeft w:val="0"/>
              <w:marRight w:val="0"/>
              <w:marTop w:val="0"/>
              <w:marBottom w:val="0"/>
              <w:divBdr>
                <w:top w:val="none" w:sz="0" w:space="0" w:color="auto"/>
                <w:left w:val="none" w:sz="0" w:space="0" w:color="auto"/>
                <w:bottom w:val="none" w:sz="0" w:space="0" w:color="auto"/>
                <w:right w:val="none" w:sz="0" w:space="0" w:color="auto"/>
              </w:divBdr>
            </w:div>
            <w:div w:id="1258249619">
              <w:marLeft w:val="0"/>
              <w:marRight w:val="0"/>
              <w:marTop w:val="0"/>
              <w:marBottom w:val="0"/>
              <w:divBdr>
                <w:top w:val="none" w:sz="0" w:space="0" w:color="auto"/>
                <w:left w:val="none" w:sz="0" w:space="0" w:color="auto"/>
                <w:bottom w:val="none" w:sz="0" w:space="0" w:color="auto"/>
                <w:right w:val="none" w:sz="0" w:space="0" w:color="auto"/>
              </w:divBdr>
            </w:div>
            <w:div w:id="1327709035">
              <w:marLeft w:val="0"/>
              <w:marRight w:val="0"/>
              <w:marTop w:val="0"/>
              <w:marBottom w:val="0"/>
              <w:divBdr>
                <w:top w:val="none" w:sz="0" w:space="0" w:color="auto"/>
                <w:left w:val="none" w:sz="0" w:space="0" w:color="auto"/>
                <w:bottom w:val="none" w:sz="0" w:space="0" w:color="auto"/>
                <w:right w:val="none" w:sz="0" w:space="0" w:color="auto"/>
              </w:divBdr>
            </w:div>
            <w:div w:id="1742756343">
              <w:marLeft w:val="0"/>
              <w:marRight w:val="0"/>
              <w:marTop w:val="0"/>
              <w:marBottom w:val="0"/>
              <w:divBdr>
                <w:top w:val="none" w:sz="0" w:space="0" w:color="auto"/>
                <w:left w:val="none" w:sz="0" w:space="0" w:color="auto"/>
                <w:bottom w:val="none" w:sz="0" w:space="0" w:color="auto"/>
                <w:right w:val="none" w:sz="0" w:space="0" w:color="auto"/>
              </w:divBdr>
            </w:div>
            <w:div w:id="1783111309">
              <w:marLeft w:val="0"/>
              <w:marRight w:val="0"/>
              <w:marTop w:val="0"/>
              <w:marBottom w:val="0"/>
              <w:divBdr>
                <w:top w:val="none" w:sz="0" w:space="0" w:color="auto"/>
                <w:left w:val="none" w:sz="0" w:space="0" w:color="auto"/>
                <w:bottom w:val="none" w:sz="0" w:space="0" w:color="auto"/>
                <w:right w:val="none" w:sz="0" w:space="0" w:color="auto"/>
              </w:divBdr>
            </w:div>
            <w:div w:id="1791587658">
              <w:marLeft w:val="0"/>
              <w:marRight w:val="0"/>
              <w:marTop w:val="0"/>
              <w:marBottom w:val="0"/>
              <w:divBdr>
                <w:top w:val="none" w:sz="0" w:space="0" w:color="auto"/>
                <w:left w:val="none" w:sz="0" w:space="0" w:color="auto"/>
                <w:bottom w:val="none" w:sz="0" w:space="0" w:color="auto"/>
                <w:right w:val="none" w:sz="0" w:space="0" w:color="auto"/>
              </w:divBdr>
            </w:div>
            <w:div w:id="1795634400">
              <w:marLeft w:val="0"/>
              <w:marRight w:val="0"/>
              <w:marTop w:val="0"/>
              <w:marBottom w:val="0"/>
              <w:divBdr>
                <w:top w:val="none" w:sz="0" w:space="0" w:color="auto"/>
                <w:left w:val="none" w:sz="0" w:space="0" w:color="auto"/>
                <w:bottom w:val="none" w:sz="0" w:space="0" w:color="auto"/>
                <w:right w:val="none" w:sz="0" w:space="0" w:color="auto"/>
              </w:divBdr>
            </w:div>
            <w:div w:id="1863780084">
              <w:marLeft w:val="0"/>
              <w:marRight w:val="0"/>
              <w:marTop w:val="0"/>
              <w:marBottom w:val="0"/>
              <w:divBdr>
                <w:top w:val="none" w:sz="0" w:space="0" w:color="auto"/>
                <w:left w:val="none" w:sz="0" w:space="0" w:color="auto"/>
                <w:bottom w:val="none" w:sz="0" w:space="0" w:color="auto"/>
                <w:right w:val="none" w:sz="0" w:space="0" w:color="auto"/>
              </w:divBdr>
            </w:div>
            <w:div w:id="1956206189">
              <w:marLeft w:val="0"/>
              <w:marRight w:val="0"/>
              <w:marTop w:val="0"/>
              <w:marBottom w:val="0"/>
              <w:divBdr>
                <w:top w:val="none" w:sz="0" w:space="0" w:color="auto"/>
                <w:left w:val="none" w:sz="0" w:space="0" w:color="auto"/>
                <w:bottom w:val="none" w:sz="0" w:space="0" w:color="auto"/>
                <w:right w:val="none" w:sz="0" w:space="0" w:color="auto"/>
              </w:divBdr>
            </w:div>
            <w:div w:id="2004047840">
              <w:marLeft w:val="0"/>
              <w:marRight w:val="0"/>
              <w:marTop w:val="0"/>
              <w:marBottom w:val="0"/>
              <w:divBdr>
                <w:top w:val="none" w:sz="0" w:space="0" w:color="auto"/>
                <w:left w:val="none" w:sz="0" w:space="0" w:color="auto"/>
                <w:bottom w:val="none" w:sz="0" w:space="0" w:color="auto"/>
                <w:right w:val="none" w:sz="0" w:space="0" w:color="auto"/>
              </w:divBdr>
            </w:div>
          </w:divsChild>
        </w:div>
        <w:div w:id="381633957">
          <w:marLeft w:val="0"/>
          <w:marRight w:val="0"/>
          <w:marTop w:val="0"/>
          <w:marBottom w:val="0"/>
          <w:divBdr>
            <w:top w:val="none" w:sz="0" w:space="0" w:color="auto"/>
            <w:left w:val="none" w:sz="0" w:space="0" w:color="auto"/>
            <w:bottom w:val="none" w:sz="0" w:space="0" w:color="auto"/>
            <w:right w:val="none" w:sz="0" w:space="0" w:color="auto"/>
          </w:divBdr>
        </w:div>
        <w:div w:id="381711527">
          <w:marLeft w:val="0"/>
          <w:marRight w:val="0"/>
          <w:marTop w:val="0"/>
          <w:marBottom w:val="0"/>
          <w:divBdr>
            <w:top w:val="none" w:sz="0" w:space="0" w:color="auto"/>
            <w:left w:val="none" w:sz="0" w:space="0" w:color="auto"/>
            <w:bottom w:val="none" w:sz="0" w:space="0" w:color="auto"/>
            <w:right w:val="none" w:sz="0" w:space="0" w:color="auto"/>
          </w:divBdr>
        </w:div>
        <w:div w:id="427776601">
          <w:marLeft w:val="0"/>
          <w:marRight w:val="0"/>
          <w:marTop w:val="0"/>
          <w:marBottom w:val="0"/>
          <w:divBdr>
            <w:top w:val="none" w:sz="0" w:space="0" w:color="auto"/>
            <w:left w:val="none" w:sz="0" w:space="0" w:color="auto"/>
            <w:bottom w:val="none" w:sz="0" w:space="0" w:color="auto"/>
            <w:right w:val="none" w:sz="0" w:space="0" w:color="auto"/>
          </w:divBdr>
        </w:div>
        <w:div w:id="462356650">
          <w:marLeft w:val="0"/>
          <w:marRight w:val="0"/>
          <w:marTop w:val="0"/>
          <w:marBottom w:val="0"/>
          <w:divBdr>
            <w:top w:val="none" w:sz="0" w:space="0" w:color="auto"/>
            <w:left w:val="none" w:sz="0" w:space="0" w:color="auto"/>
            <w:bottom w:val="none" w:sz="0" w:space="0" w:color="auto"/>
            <w:right w:val="none" w:sz="0" w:space="0" w:color="auto"/>
          </w:divBdr>
        </w:div>
        <w:div w:id="492453674">
          <w:marLeft w:val="0"/>
          <w:marRight w:val="0"/>
          <w:marTop w:val="0"/>
          <w:marBottom w:val="0"/>
          <w:divBdr>
            <w:top w:val="none" w:sz="0" w:space="0" w:color="auto"/>
            <w:left w:val="none" w:sz="0" w:space="0" w:color="auto"/>
            <w:bottom w:val="none" w:sz="0" w:space="0" w:color="auto"/>
            <w:right w:val="none" w:sz="0" w:space="0" w:color="auto"/>
          </w:divBdr>
        </w:div>
        <w:div w:id="564335403">
          <w:marLeft w:val="0"/>
          <w:marRight w:val="0"/>
          <w:marTop w:val="0"/>
          <w:marBottom w:val="0"/>
          <w:divBdr>
            <w:top w:val="none" w:sz="0" w:space="0" w:color="auto"/>
            <w:left w:val="none" w:sz="0" w:space="0" w:color="auto"/>
            <w:bottom w:val="none" w:sz="0" w:space="0" w:color="auto"/>
            <w:right w:val="none" w:sz="0" w:space="0" w:color="auto"/>
          </w:divBdr>
        </w:div>
        <w:div w:id="583761553">
          <w:marLeft w:val="0"/>
          <w:marRight w:val="0"/>
          <w:marTop w:val="0"/>
          <w:marBottom w:val="0"/>
          <w:divBdr>
            <w:top w:val="none" w:sz="0" w:space="0" w:color="auto"/>
            <w:left w:val="none" w:sz="0" w:space="0" w:color="auto"/>
            <w:bottom w:val="none" w:sz="0" w:space="0" w:color="auto"/>
            <w:right w:val="none" w:sz="0" w:space="0" w:color="auto"/>
          </w:divBdr>
        </w:div>
        <w:div w:id="642851542">
          <w:marLeft w:val="0"/>
          <w:marRight w:val="0"/>
          <w:marTop w:val="0"/>
          <w:marBottom w:val="0"/>
          <w:divBdr>
            <w:top w:val="none" w:sz="0" w:space="0" w:color="auto"/>
            <w:left w:val="none" w:sz="0" w:space="0" w:color="auto"/>
            <w:bottom w:val="none" w:sz="0" w:space="0" w:color="auto"/>
            <w:right w:val="none" w:sz="0" w:space="0" w:color="auto"/>
          </w:divBdr>
        </w:div>
        <w:div w:id="649284775">
          <w:marLeft w:val="0"/>
          <w:marRight w:val="0"/>
          <w:marTop w:val="0"/>
          <w:marBottom w:val="0"/>
          <w:divBdr>
            <w:top w:val="none" w:sz="0" w:space="0" w:color="auto"/>
            <w:left w:val="none" w:sz="0" w:space="0" w:color="auto"/>
            <w:bottom w:val="none" w:sz="0" w:space="0" w:color="auto"/>
            <w:right w:val="none" w:sz="0" w:space="0" w:color="auto"/>
          </w:divBdr>
        </w:div>
        <w:div w:id="684786602">
          <w:marLeft w:val="0"/>
          <w:marRight w:val="0"/>
          <w:marTop w:val="0"/>
          <w:marBottom w:val="0"/>
          <w:divBdr>
            <w:top w:val="none" w:sz="0" w:space="0" w:color="auto"/>
            <w:left w:val="none" w:sz="0" w:space="0" w:color="auto"/>
            <w:bottom w:val="none" w:sz="0" w:space="0" w:color="auto"/>
            <w:right w:val="none" w:sz="0" w:space="0" w:color="auto"/>
          </w:divBdr>
        </w:div>
        <w:div w:id="691686084">
          <w:marLeft w:val="0"/>
          <w:marRight w:val="0"/>
          <w:marTop w:val="0"/>
          <w:marBottom w:val="0"/>
          <w:divBdr>
            <w:top w:val="none" w:sz="0" w:space="0" w:color="auto"/>
            <w:left w:val="none" w:sz="0" w:space="0" w:color="auto"/>
            <w:bottom w:val="none" w:sz="0" w:space="0" w:color="auto"/>
            <w:right w:val="none" w:sz="0" w:space="0" w:color="auto"/>
          </w:divBdr>
        </w:div>
        <w:div w:id="701629695">
          <w:marLeft w:val="0"/>
          <w:marRight w:val="0"/>
          <w:marTop w:val="0"/>
          <w:marBottom w:val="0"/>
          <w:divBdr>
            <w:top w:val="none" w:sz="0" w:space="0" w:color="auto"/>
            <w:left w:val="none" w:sz="0" w:space="0" w:color="auto"/>
            <w:bottom w:val="none" w:sz="0" w:space="0" w:color="auto"/>
            <w:right w:val="none" w:sz="0" w:space="0" w:color="auto"/>
          </w:divBdr>
          <w:divsChild>
            <w:div w:id="84344975">
              <w:marLeft w:val="0"/>
              <w:marRight w:val="0"/>
              <w:marTop w:val="0"/>
              <w:marBottom w:val="0"/>
              <w:divBdr>
                <w:top w:val="none" w:sz="0" w:space="0" w:color="auto"/>
                <w:left w:val="none" w:sz="0" w:space="0" w:color="auto"/>
                <w:bottom w:val="none" w:sz="0" w:space="0" w:color="auto"/>
                <w:right w:val="none" w:sz="0" w:space="0" w:color="auto"/>
              </w:divBdr>
            </w:div>
            <w:div w:id="344551466">
              <w:marLeft w:val="0"/>
              <w:marRight w:val="0"/>
              <w:marTop w:val="0"/>
              <w:marBottom w:val="0"/>
              <w:divBdr>
                <w:top w:val="none" w:sz="0" w:space="0" w:color="auto"/>
                <w:left w:val="none" w:sz="0" w:space="0" w:color="auto"/>
                <w:bottom w:val="none" w:sz="0" w:space="0" w:color="auto"/>
                <w:right w:val="none" w:sz="0" w:space="0" w:color="auto"/>
              </w:divBdr>
            </w:div>
            <w:div w:id="787316339">
              <w:marLeft w:val="0"/>
              <w:marRight w:val="0"/>
              <w:marTop w:val="0"/>
              <w:marBottom w:val="0"/>
              <w:divBdr>
                <w:top w:val="none" w:sz="0" w:space="0" w:color="auto"/>
                <w:left w:val="none" w:sz="0" w:space="0" w:color="auto"/>
                <w:bottom w:val="none" w:sz="0" w:space="0" w:color="auto"/>
                <w:right w:val="none" w:sz="0" w:space="0" w:color="auto"/>
              </w:divBdr>
            </w:div>
            <w:div w:id="863401508">
              <w:marLeft w:val="0"/>
              <w:marRight w:val="0"/>
              <w:marTop w:val="0"/>
              <w:marBottom w:val="0"/>
              <w:divBdr>
                <w:top w:val="none" w:sz="0" w:space="0" w:color="auto"/>
                <w:left w:val="none" w:sz="0" w:space="0" w:color="auto"/>
                <w:bottom w:val="none" w:sz="0" w:space="0" w:color="auto"/>
                <w:right w:val="none" w:sz="0" w:space="0" w:color="auto"/>
              </w:divBdr>
            </w:div>
            <w:div w:id="958758301">
              <w:marLeft w:val="0"/>
              <w:marRight w:val="0"/>
              <w:marTop w:val="0"/>
              <w:marBottom w:val="0"/>
              <w:divBdr>
                <w:top w:val="none" w:sz="0" w:space="0" w:color="auto"/>
                <w:left w:val="none" w:sz="0" w:space="0" w:color="auto"/>
                <w:bottom w:val="none" w:sz="0" w:space="0" w:color="auto"/>
                <w:right w:val="none" w:sz="0" w:space="0" w:color="auto"/>
              </w:divBdr>
            </w:div>
            <w:div w:id="1213888148">
              <w:marLeft w:val="0"/>
              <w:marRight w:val="0"/>
              <w:marTop w:val="0"/>
              <w:marBottom w:val="0"/>
              <w:divBdr>
                <w:top w:val="none" w:sz="0" w:space="0" w:color="auto"/>
                <w:left w:val="none" w:sz="0" w:space="0" w:color="auto"/>
                <w:bottom w:val="none" w:sz="0" w:space="0" w:color="auto"/>
                <w:right w:val="none" w:sz="0" w:space="0" w:color="auto"/>
              </w:divBdr>
            </w:div>
            <w:div w:id="1221019565">
              <w:marLeft w:val="0"/>
              <w:marRight w:val="0"/>
              <w:marTop w:val="0"/>
              <w:marBottom w:val="0"/>
              <w:divBdr>
                <w:top w:val="none" w:sz="0" w:space="0" w:color="auto"/>
                <w:left w:val="none" w:sz="0" w:space="0" w:color="auto"/>
                <w:bottom w:val="none" w:sz="0" w:space="0" w:color="auto"/>
                <w:right w:val="none" w:sz="0" w:space="0" w:color="auto"/>
              </w:divBdr>
            </w:div>
            <w:div w:id="1282298578">
              <w:marLeft w:val="0"/>
              <w:marRight w:val="0"/>
              <w:marTop w:val="0"/>
              <w:marBottom w:val="0"/>
              <w:divBdr>
                <w:top w:val="none" w:sz="0" w:space="0" w:color="auto"/>
                <w:left w:val="none" w:sz="0" w:space="0" w:color="auto"/>
                <w:bottom w:val="none" w:sz="0" w:space="0" w:color="auto"/>
                <w:right w:val="none" w:sz="0" w:space="0" w:color="auto"/>
              </w:divBdr>
            </w:div>
            <w:div w:id="1373921264">
              <w:marLeft w:val="0"/>
              <w:marRight w:val="0"/>
              <w:marTop w:val="0"/>
              <w:marBottom w:val="0"/>
              <w:divBdr>
                <w:top w:val="none" w:sz="0" w:space="0" w:color="auto"/>
                <w:left w:val="none" w:sz="0" w:space="0" w:color="auto"/>
                <w:bottom w:val="none" w:sz="0" w:space="0" w:color="auto"/>
                <w:right w:val="none" w:sz="0" w:space="0" w:color="auto"/>
              </w:divBdr>
            </w:div>
            <w:div w:id="1519075758">
              <w:marLeft w:val="0"/>
              <w:marRight w:val="0"/>
              <w:marTop w:val="0"/>
              <w:marBottom w:val="0"/>
              <w:divBdr>
                <w:top w:val="none" w:sz="0" w:space="0" w:color="auto"/>
                <w:left w:val="none" w:sz="0" w:space="0" w:color="auto"/>
                <w:bottom w:val="none" w:sz="0" w:space="0" w:color="auto"/>
                <w:right w:val="none" w:sz="0" w:space="0" w:color="auto"/>
              </w:divBdr>
            </w:div>
            <w:div w:id="1520925978">
              <w:marLeft w:val="0"/>
              <w:marRight w:val="0"/>
              <w:marTop w:val="0"/>
              <w:marBottom w:val="0"/>
              <w:divBdr>
                <w:top w:val="none" w:sz="0" w:space="0" w:color="auto"/>
                <w:left w:val="none" w:sz="0" w:space="0" w:color="auto"/>
                <w:bottom w:val="none" w:sz="0" w:space="0" w:color="auto"/>
                <w:right w:val="none" w:sz="0" w:space="0" w:color="auto"/>
              </w:divBdr>
            </w:div>
            <w:div w:id="1986473022">
              <w:marLeft w:val="0"/>
              <w:marRight w:val="0"/>
              <w:marTop w:val="0"/>
              <w:marBottom w:val="0"/>
              <w:divBdr>
                <w:top w:val="none" w:sz="0" w:space="0" w:color="auto"/>
                <w:left w:val="none" w:sz="0" w:space="0" w:color="auto"/>
                <w:bottom w:val="none" w:sz="0" w:space="0" w:color="auto"/>
                <w:right w:val="none" w:sz="0" w:space="0" w:color="auto"/>
              </w:divBdr>
            </w:div>
            <w:div w:id="2036151475">
              <w:marLeft w:val="0"/>
              <w:marRight w:val="0"/>
              <w:marTop w:val="0"/>
              <w:marBottom w:val="0"/>
              <w:divBdr>
                <w:top w:val="none" w:sz="0" w:space="0" w:color="auto"/>
                <w:left w:val="none" w:sz="0" w:space="0" w:color="auto"/>
                <w:bottom w:val="none" w:sz="0" w:space="0" w:color="auto"/>
                <w:right w:val="none" w:sz="0" w:space="0" w:color="auto"/>
              </w:divBdr>
            </w:div>
            <w:div w:id="2060201853">
              <w:marLeft w:val="0"/>
              <w:marRight w:val="0"/>
              <w:marTop w:val="0"/>
              <w:marBottom w:val="0"/>
              <w:divBdr>
                <w:top w:val="none" w:sz="0" w:space="0" w:color="auto"/>
                <w:left w:val="none" w:sz="0" w:space="0" w:color="auto"/>
                <w:bottom w:val="none" w:sz="0" w:space="0" w:color="auto"/>
                <w:right w:val="none" w:sz="0" w:space="0" w:color="auto"/>
              </w:divBdr>
            </w:div>
            <w:div w:id="2082482816">
              <w:marLeft w:val="0"/>
              <w:marRight w:val="0"/>
              <w:marTop w:val="0"/>
              <w:marBottom w:val="0"/>
              <w:divBdr>
                <w:top w:val="none" w:sz="0" w:space="0" w:color="auto"/>
                <w:left w:val="none" w:sz="0" w:space="0" w:color="auto"/>
                <w:bottom w:val="none" w:sz="0" w:space="0" w:color="auto"/>
                <w:right w:val="none" w:sz="0" w:space="0" w:color="auto"/>
              </w:divBdr>
            </w:div>
            <w:div w:id="2083944586">
              <w:marLeft w:val="0"/>
              <w:marRight w:val="0"/>
              <w:marTop w:val="0"/>
              <w:marBottom w:val="0"/>
              <w:divBdr>
                <w:top w:val="none" w:sz="0" w:space="0" w:color="auto"/>
                <w:left w:val="none" w:sz="0" w:space="0" w:color="auto"/>
                <w:bottom w:val="none" w:sz="0" w:space="0" w:color="auto"/>
                <w:right w:val="none" w:sz="0" w:space="0" w:color="auto"/>
              </w:divBdr>
            </w:div>
          </w:divsChild>
        </w:div>
        <w:div w:id="701829522">
          <w:marLeft w:val="0"/>
          <w:marRight w:val="0"/>
          <w:marTop w:val="0"/>
          <w:marBottom w:val="0"/>
          <w:divBdr>
            <w:top w:val="none" w:sz="0" w:space="0" w:color="auto"/>
            <w:left w:val="none" w:sz="0" w:space="0" w:color="auto"/>
            <w:bottom w:val="none" w:sz="0" w:space="0" w:color="auto"/>
            <w:right w:val="none" w:sz="0" w:space="0" w:color="auto"/>
          </w:divBdr>
        </w:div>
        <w:div w:id="716320234">
          <w:marLeft w:val="0"/>
          <w:marRight w:val="0"/>
          <w:marTop w:val="0"/>
          <w:marBottom w:val="0"/>
          <w:divBdr>
            <w:top w:val="none" w:sz="0" w:space="0" w:color="auto"/>
            <w:left w:val="none" w:sz="0" w:space="0" w:color="auto"/>
            <w:bottom w:val="none" w:sz="0" w:space="0" w:color="auto"/>
            <w:right w:val="none" w:sz="0" w:space="0" w:color="auto"/>
          </w:divBdr>
        </w:div>
        <w:div w:id="750808507">
          <w:marLeft w:val="0"/>
          <w:marRight w:val="0"/>
          <w:marTop w:val="0"/>
          <w:marBottom w:val="0"/>
          <w:divBdr>
            <w:top w:val="none" w:sz="0" w:space="0" w:color="auto"/>
            <w:left w:val="none" w:sz="0" w:space="0" w:color="auto"/>
            <w:bottom w:val="none" w:sz="0" w:space="0" w:color="auto"/>
            <w:right w:val="none" w:sz="0" w:space="0" w:color="auto"/>
          </w:divBdr>
        </w:div>
        <w:div w:id="756638318">
          <w:marLeft w:val="0"/>
          <w:marRight w:val="0"/>
          <w:marTop w:val="0"/>
          <w:marBottom w:val="0"/>
          <w:divBdr>
            <w:top w:val="none" w:sz="0" w:space="0" w:color="auto"/>
            <w:left w:val="none" w:sz="0" w:space="0" w:color="auto"/>
            <w:bottom w:val="none" w:sz="0" w:space="0" w:color="auto"/>
            <w:right w:val="none" w:sz="0" w:space="0" w:color="auto"/>
          </w:divBdr>
        </w:div>
        <w:div w:id="813251869">
          <w:marLeft w:val="0"/>
          <w:marRight w:val="0"/>
          <w:marTop w:val="0"/>
          <w:marBottom w:val="0"/>
          <w:divBdr>
            <w:top w:val="none" w:sz="0" w:space="0" w:color="auto"/>
            <w:left w:val="none" w:sz="0" w:space="0" w:color="auto"/>
            <w:bottom w:val="none" w:sz="0" w:space="0" w:color="auto"/>
            <w:right w:val="none" w:sz="0" w:space="0" w:color="auto"/>
          </w:divBdr>
        </w:div>
        <w:div w:id="860750750">
          <w:marLeft w:val="0"/>
          <w:marRight w:val="0"/>
          <w:marTop w:val="0"/>
          <w:marBottom w:val="0"/>
          <w:divBdr>
            <w:top w:val="none" w:sz="0" w:space="0" w:color="auto"/>
            <w:left w:val="none" w:sz="0" w:space="0" w:color="auto"/>
            <w:bottom w:val="none" w:sz="0" w:space="0" w:color="auto"/>
            <w:right w:val="none" w:sz="0" w:space="0" w:color="auto"/>
          </w:divBdr>
        </w:div>
        <w:div w:id="865607311">
          <w:marLeft w:val="0"/>
          <w:marRight w:val="0"/>
          <w:marTop w:val="0"/>
          <w:marBottom w:val="0"/>
          <w:divBdr>
            <w:top w:val="none" w:sz="0" w:space="0" w:color="auto"/>
            <w:left w:val="none" w:sz="0" w:space="0" w:color="auto"/>
            <w:bottom w:val="none" w:sz="0" w:space="0" w:color="auto"/>
            <w:right w:val="none" w:sz="0" w:space="0" w:color="auto"/>
          </w:divBdr>
        </w:div>
        <w:div w:id="900553886">
          <w:marLeft w:val="0"/>
          <w:marRight w:val="0"/>
          <w:marTop w:val="0"/>
          <w:marBottom w:val="0"/>
          <w:divBdr>
            <w:top w:val="none" w:sz="0" w:space="0" w:color="auto"/>
            <w:left w:val="none" w:sz="0" w:space="0" w:color="auto"/>
            <w:bottom w:val="none" w:sz="0" w:space="0" w:color="auto"/>
            <w:right w:val="none" w:sz="0" w:space="0" w:color="auto"/>
          </w:divBdr>
        </w:div>
        <w:div w:id="919868431">
          <w:marLeft w:val="0"/>
          <w:marRight w:val="0"/>
          <w:marTop w:val="0"/>
          <w:marBottom w:val="0"/>
          <w:divBdr>
            <w:top w:val="none" w:sz="0" w:space="0" w:color="auto"/>
            <w:left w:val="none" w:sz="0" w:space="0" w:color="auto"/>
            <w:bottom w:val="none" w:sz="0" w:space="0" w:color="auto"/>
            <w:right w:val="none" w:sz="0" w:space="0" w:color="auto"/>
          </w:divBdr>
        </w:div>
        <w:div w:id="976648803">
          <w:marLeft w:val="0"/>
          <w:marRight w:val="0"/>
          <w:marTop w:val="0"/>
          <w:marBottom w:val="0"/>
          <w:divBdr>
            <w:top w:val="none" w:sz="0" w:space="0" w:color="auto"/>
            <w:left w:val="none" w:sz="0" w:space="0" w:color="auto"/>
            <w:bottom w:val="none" w:sz="0" w:space="0" w:color="auto"/>
            <w:right w:val="none" w:sz="0" w:space="0" w:color="auto"/>
          </w:divBdr>
        </w:div>
        <w:div w:id="984549944">
          <w:marLeft w:val="0"/>
          <w:marRight w:val="0"/>
          <w:marTop w:val="0"/>
          <w:marBottom w:val="0"/>
          <w:divBdr>
            <w:top w:val="none" w:sz="0" w:space="0" w:color="auto"/>
            <w:left w:val="none" w:sz="0" w:space="0" w:color="auto"/>
            <w:bottom w:val="none" w:sz="0" w:space="0" w:color="auto"/>
            <w:right w:val="none" w:sz="0" w:space="0" w:color="auto"/>
          </w:divBdr>
        </w:div>
        <w:div w:id="1031566491">
          <w:marLeft w:val="0"/>
          <w:marRight w:val="0"/>
          <w:marTop w:val="0"/>
          <w:marBottom w:val="0"/>
          <w:divBdr>
            <w:top w:val="none" w:sz="0" w:space="0" w:color="auto"/>
            <w:left w:val="none" w:sz="0" w:space="0" w:color="auto"/>
            <w:bottom w:val="none" w:sz="0" w:space="0" w:color="auto"/>
            <w:right w:val="none" w:sz="0" w:space="0" w:color="auto"/>
          </w:divBdr>
        </w:div>
        <w:div w:id="1099058723">
          <w:marLeft w:val="0"/>
          <w:marRight w:val="0"/>
          <w:marTop w:val="0"/>
          <w:marBottom w:val="0"/>
          <w:divBdr>
            <w:top w:val="none" w:sz="0" w:space="0" w:color="auto"/>
            <w:left w:val="none" w:sz="0" w:space="0" w:color="auto"/>
            <w:bottom w:val="none" w:sz="0" w:space="0" w:color="auto"/>
            <w:right w:val="none" w:sz="0" w:space="0" w:color="auto"/>
          </w:divBdr>
        </w:div>
        <w:div w:id="1100293536">
          <w:marLeft w:val="0"/>
          <w:marRight w:val="0"/>
          <w:marTop w:val="0"/>
          <w:marBottom w:val="0"/>
          <w:divBdr>
            <w:top w:val="none" w:sz="0" w:space="0" w:color="auto"/>
            <w:left w:val="none" w:sz="0" w:space="0" w:color="auto"/>
            <w:bottom w:val="none" w:sz="0" w:space="0" w:color="auto"/>
            <w:right w:val="none" w:sz="0" w:space="0" w:color="auto"/>
          </w:divBdr>
        </w:div>
        <w:div w:id="1113357487">
          <w:marLeft w:val="0"/>
          <w:marRight w:val="0"/>
          <w:marTop w:val="0"/>
          <w:marBottom w:val="0"/>
          <w:divBdr>
            <w:top w:val="none" w:sz="0" w:space="0" w:color="auto"/>
            <w:left w:val="none" w:sz="0" w:space="0" w:color="auto"/>
            <w:bottom w:val="none" w:sz="0" w:space="0" w:color="auto"/>
            <w:right w:val="none" w:sz="0" w:space="0" w:color="auto"/>
          </w:divBdr>
        </w:div>
        <w:div w:id="1141268243">
          <w:marLeft w:val="0"/>
          <w:marRight w:val="0"/>
          <w:marTop w:val="0"/>
          <w:marBottom w:val="0"/>
          <w:divBdr>
            <w:top w:val="none" w:sz="0" w:space="0" w:color="auto"/>
            <w:left w:val="none" w:sz="0" w:space="0" w:color="auto"/>
            <w:bottom w:val="none" w:sz="0" w:space="0" w:color="auto"/>
            <w:right w:val="none" w:sz="0" w:space="0" w:color="auto"/>
          </w:divBdr>
        </w:div>
        <w:div w:id="1165239262">
          <w:marLeft w:val="0"/>
          <w:marRight w:val="0"/>
          <w:marTop w:val="0"/>
          <w:marBottom w:val="0"/>
          <w:divBdr>
            <w:top w:val="none" w:sz="0" w:space="0" w:color="auto"/>
            <w:left w:val="none" w:sz="0" w:space="0" w:color="auto"/>
            <w:bottom w:val="none" w:sz="0" w:space="0" w:color="auto"/>
            <w:right w:val="none" w:sz="0" w:space="0" w:color="auto"/>
          </w:divBdr>
          <w:divsChild>
            <w:div w:id="1764720194">
              <w:marLeft w:val="-75"/>
              <w:marRight w:val="0"/>
              <w:marTop w:val="30"/>
              <w:marBottom w:val="30"/>
              <w:divBdr>
                <w:top w:val="none" w:sz="0" w:space="0" w:color="auto"/>
                <w:left w:val="none" w:sz="0" w:space="0" w:color="auto"/>
                <w:bottom w:val="none" w:sz="0" w:space="0" w:color="auto"/>
                <w:right w:val="none" w:sz="0" w:space="0" w:color="auto"/>
              </w:divBdr>
              <w:divsChild>
                <w:div w:id="109322250">
                  <w:marLeft w:val="0"/>
                  <w:marRight w:val="0"/>
                  <w:marTop w:val="0"/>
                  <w:marBottom w:val="0"/>
                  <w:divBdr>
                    <w:top w:val="none" w:sz="0" w:space="0" w:color="auto"/>
                    <w:left w:val="none" w:sz="0" w:space="0" w:color="auto"/>
                    <w:bottom w:val="none" w:sz="0" w:space="0" w:color="auto"/>
                    <w:right w:val="none" w:sz="0" w:space="0" w:color="auto"/>
                  </w:divBdr>
                  <w:divsChild>
                    <w:div w:id="2027511755">
                      <w:marLeft w:val="0"/>
                      <w:marRight w:val="0"/>
                      <w:marTop w:val="0"/>
                      <w:marBottom w:val="0"/>
                      <w:divBdr>
                        <w:top w:val="none" w:sz="0" w:space="0" w:color="auto"/>
                        <w:left w:val="none" w:sz="0" w:space="0" w:color="auto"/>
                        <w:bottom w:val="none" w:sz="0" w:space="0" w:color="auto"/>
                        <w:right w:val="none" w:sz="0" w:space="0" w:color="auto"/>
                      </w:divBdr>
                    </w:div>
                  </w:divsChild>
                </w:div>
                <w:div w:id="578372345">
                  <w:marLeft w:val="0"/>
                  <w:marRight w:val="0"/>
                  <w:marTop w:val="0"/>
                  <w:marBottom w:val="0"/>
                  <w:divBdr>
                    <w:top w:val="none" w:sz="0" w:space="0" w:color="auto"/>
                    <w:left w:val="none" w:sz="0" w:space="0" w:color="auto"/>
                    <w:bottom w:val="none" w:sz="0" w:space="0" w:color="auto"/>
                    <w:right w:val="none" w:sz="0" w:space="0" w:color="auto"/>
                  </w:divBdr>
                  <w:divsChild>
                    <w:div w:id="232593312">
                      <w:marLeft w:val="0"/>
                      <w:marRight w:val="0"/>
                      <w:marTop w:val="0"/>
                      <w:marBottom w:val="0"/>
                      <w:divBdr>
                        <w:top w:val="none" w:sz="0" w:space="0" w:color="auto"/>
                        <w:left w:val="none" w:sz="0" w:space="0" w:color="auto"/>
                        <w:bottom w:val="none" w:sz="0" w:space="0" w:color="auto"/>
                        <w:right w:val="none" w:sz="0" w:space="0" w:color="auto"/>
                      </w:divBdr>
                    </w:div>
                    <w:div w:id="245963370">
                      <w:marLeft w:val="0"/>
                      <w:marRight w:val="0"/>
                      <w:marTop w:val="0"/>
                      <w:marBottom w:val="0"/>
                      <w:divBdr>
                        <w:top w:val="none" w:sz="0" w:space="0" w:color="auto"/>
                        <w:left w:val="none" w:sz="0" w:space="0" w:color="auto"/>
                        <w:bottom w:val="none" w:sz="0" w:space="0" w:color="auto"/>
                        <w:right w:val="none" w:sz="0" w:space="0" w:color="auto"/>
                      </w:divBdr>
                    </w:div>
                    <w:div w:id="381442960">
                      <w:marLeft w:val="0"/>
                      <w:marRight w:val="0"/>
                      <w:marTop w:val="0"/>
                      <w:marBottom w:val="0"/>
                      <w:divBdr>
                        <w:top w:val="none" w:sz="0" w:space="0" w:color="auto"/>
                        <w:left w:val="none" w:sz="0" w:space="0" w:color="auto"/>
                        <w:bottom w:val="none" w:sz="0" w:space="0" w:color="auto"/>
                        <w:right w:val="none" w:sz="0" w:space="0" w:color="auto"/>
                      </w:divBdr>
                    </w:div>
                    <w:div w:id="539241417">
                      <w:marLeft w:val="0"/>
                      <w:marRight w:val="0"/>
                      <w:marTop w:val="0"/>
                      <w:marBottom w:val="0"/>
                      <w:divBdr>
                        <w:top w:val="none" w:sz="0" w:space="0" w:color="auto"/>
                        <w:left w:val="none" w:sz="0" w:space="0" w:color="auto"/>
                        <w:bottom w:val="none" w:sz="0" w:space="0" w:color="auto"/>
                        <w:right w:val="none" w:sz="0" w:space="0" w:color="auto"/>
                      </w:divBdr>
                    </w:div>
                    <w:div w:id="541669386">
                      <w:marLeft w:val="0"/>
                      <w:marRight w:val="0"/>
                      <w:marTop w:val="0"/>
                      <w:marBottom w:val="0"/>
                      <w:divBdr>
                        <w:top w:val="none" w:sz="0" w:space="0" w:color="auto"/>
                        <w:left w:val="none" w:sz="0" w:space="0" w:color="auto"/>
                        <w:bottom w:val="none" w:sz="0" w:space="0" w:color="auto"/>
                        <w:right w:val="none" w:sz="0" w:space="0" w:color="auto"/>
                      </w:divBdr>
                    </w:div>
                    <w:div w:id="559557185">
                      <w:marLeft w:val="0"/>
                      <w:marRight w:val="0"/>
                      <w:marTop w:val="0"/>
                      <w:marBottom w:val="0"/>
                      <w:divBdr>
                        <w:top w:val="none" w:sz="0" w:space="0" w:color="auto"/>
                        <w:left w:val="none" w:sz="0" w:space="0" w:color="auto"/>
                        <w:bottom w:val="none" w:sz="0" w:space="0" w:color="auto"/>
                        <w:right w:val="none" w:sz="0" w:space="0" w:color="auto"/>
                      </w:divBdr>
                    </w:div>
                    <w:div w:id="582639820">
                      <w:marLeft w:val="0"/>
                      <w:marRight w:val="0"/>
                      <w:marTop w:val="0"/>
                      <w:marBottom w:val="0"/>
                      <w:divBdr>
                        <w:top w:val="none" w:sz="0" w:space="0" w:color="auto"/>
                        <w:left w:val="none" w:sz="0" w:space="0" w:color="auto"/>
                        <w:bottom w:val="none" w:sz="0" w:space="0" w:color="auto"/>
                        <w:right w:val="none" w:sz="0" w:space="0" w:color="auto"/>
                      </w:divBdr>
                    </w:div>
                    <w:div w:id="610744151">
                      <w:marLeft w:val="0"/>
                      <w:marRight w:val="0"/>
                      <w:marTop w:val="0"/>
                      <w:marBottom w:val="0"/>
                      <w:divBdr>
                        <w:top w:val="none" w:sz="0" w:space="0" w:color="auto"/>
                        <w:left w:val="none" w:sz="0" w:space="0" w:color="auto"/>
                        <w:bottom w:val="none" w:sz="0" w:space="0" w:color="auto"/>
                        <w:right w:val="none" w:sz="0" w:space="0" w:color="auto"/>
                      </w:divBdr>
                    </w:div>
                    <w:div w:id="957222116">
                      <w:marLeft w:val="0"/>
                      <w:marRight w:val="0"/>
                      <w:marTop w:val="0"/>
                      <w:marBottom w:val="0"/>
                      <w:divBdr>
                        <w:top w:val="none" w:sz="0" w:space="0" w:color="auto"/>
                        <w:left w:val="none" w:sz="0" w:space="0" w:color="auto"/>
                        <w:bottom w:val="none" w:sz="0" w:space="0" w:color="auto"/>
                        <w:right w:val="none" w:sz="0" w:space="0" w:color="auto"/>
                      </w:divBdr>
                    </w:div>
                    <w:div w:id="974603819">
                      <w:marLeft w:val="0"/>
                      <w:marRight w:val="0"/>
                      <w:marTop w:val="0"/>
                      <w:marBottom w:val="0"/>
                      <w:divBdr>
                        <w:top w:val="none" w:sz="0" w:space="0" w:color="auto"/>
                        <w:left w:val="none" w:sz="0" w:space="0" w:color="auto"/>
                        <w:bottom w:val="none" w:sz="0" w:space="0" w:color="auto"/>
                        <w:right w:val="none" w:sz="0" w:space="0" w:color="auto"/>
                      </w:divBdr>
                    </w:div>
                    <w:div w:id="1048188013">
                      <w:marLeft w:val="0"/>
                      <w:marRight w:val="0"/>
                      <w:marTop w:val="0"/>
                      <w:marBottom w:val="0"/>
                      <w:divBdr>
                        <w:top w:val="none" w:sz="0" w:space="0" w:color="auto"/>
                        <w:left w:val="none" w:sz="0" w:space="0" w:color="auto"/>
                        <w:bottom w:val="none" w:sz="0" w:space="0" w:color="auto"/>
                        <w:right w:val="none" w:sz="0" w:space="0" w:color="auto"/>
                      </w:divBdr>
                    </w:div>
                    <w:div w:id="1697004095">
                      <w:marLeft w:val="0"/>
                      <w:marRight w:val="0"/>
                      <w:marTop w:val="0"/>
                      <w:marBottom w:val="0"/>
                      <w:divBdr>
                        <w:top w:val="none" w:sz="0" w:space="0" w:color="auto"/>
                        <w:left w:val="none" w:sz="0" w:space="0" w:color="auto"/>
                        <w:bottom w:val="none" w:sz="0" w:space="0" w:color="auto"/>
                        <w:right w:val="none" w:sz="0" w:space="0" w:color="auto"/>
                      </w:divBdr>
                    </w:div>
                    <w:div w:id="1733457429">
                      <w:marLeft w:val="0"/>
                      <w:marRight w:val="0"/>
                      <w:marTop w:val="0"/>
                      <w:marBottom w:val="0"/>
                      <w:divBdr>
                        <w:top w:val="none" w:sz="0" w:space="0" w:color="auto"/>
                        <w:left w:val="none" w:sz="0" w:space="0" w:color="auto"/>
                        <w:bottom w:val="none" w:sz="0" w:space="0" w:color="auto"/>
                        <w:right w:val="none" w:sz="0" w:space="0" w:color="auto"/>
                      </w:divBdr>
                    </w:div>
                    <w:div w:id="1772431173">
                      <w:marLeft w:val="0"/>
                      <w:marRight w:val="0"/>
                      <w:marTop w:val="0"/>
                      <w:marBottom w:val="0"/>
                      <w:divBdr>
                        <w:top w:val="none" w:sz="0" w:space="0" w:color="auto"/>
                        <w:left w:val="none" w:sz="0" w:space="0" w:color="auto"/>
                        <w:bottom w:val="none" w:sz="0" w:space="0" w:color="auto"/>
                        <w:right w:val="none" w:sz="0" w:space="0" w:color="auto"/>
                      </w:divBdr>
                    </w:div>
                    <w:div w:id="1774397136">
                      <w:marLeft w:val="0"/>
                      <w:marRight w:val="0"/>
                      <w:marTop w:val="0"/>
                      <w:marBottom w:val="0"/>
                      <w:divBdr>
                        <w:top w:val="none" w:sz="0" w:space="0" w:color="auto"/>
                        <w:left w:val="none" w:sz="0" w:space="0" w:color="auto"/>
                        <w:bottom w:val="none" w:sz="0" w:space="0" w:color="auto"/>
                        <w:right w:val="none" w:sz="0" w:space="0" w:color="auto"/>
                      </w:divBdr>
                    </w:div>
                    <w:div w:id="1850632146">
                      <w:marLeft w:val="0"/>
                      <w:marRight w:val="0"/>
                      <w:marTop w:val="0"/>
                      <w:marBottom w:val="0"/>
                      <w:divBdr>
                        <w:top w:val="none" w:sz="0" w:space="0" w:color="auto"/>
                        <w:left w:val="none" w:sz="0" w:space="0" w:color="auto"/>
                        <w:bottom w:val="none" w:sz="0" w:space="0" w:color="auto"/>
                        <w:right w:val="none" w:sz="0" w:space="0" w:color="auto"/>
                      </w:divBdr>
                    </w:div>
                    <w:div w:id="1860698428">
                      <w:marLeft w:val="0"/>
                      <w:marRight w:val="0"/>
                      <w:marTop w:val="0"/>
                      <w:marBottom w:val="0"/>
                      <w:divBdr>
                        <w:top w:val="none" w:sz="0" w:space="0" w:color="auto"/>
                        <w:left w:val="none" w:sz="0" w:space="0" w:color="auto"/>
                        <w:bottom w:val="none" w:sz="0" w:space="0" w:color="auto"/>
                        <w:right w:val="none" w:sz="0" w:space="0" w:color="auto"/>
                      </w:divBdr>
                    </w:div>
                    <w:div w:id="1979605464">
                      <w:marLeft w:val="0"/>
                      <w:marRight w:val="0"/>
                      <w:marTop w:val="0"/>
                      <w:marBottom w:val="0"/>
                      <w:divBdr>
                        <w:top w:val="none" w:sz="0" w:space="0" w:color="auto"/>
                        <w:left w:val="none" w:sz="0" w:space="0" w:color="auto"/>
                        <w:bottom w:val="none" w:sz="0" w:space="0" w:color="auto"/>
                        <w:right w:val="none" w:sz="0" w:space="0" w:color="auto"/>
                      </w:divBdr>
                    </w:div>
                    <w:div w:id="2094622119">
                      <w:marLeft w:val="0"/>
                      <w:marRight w:val="0"/>
                      <w:marTop w:val="0"/>
                      <w:marBottom w:val="0"/>
                      <w:divBdr>
                        <w:top w:val="none" w:sz="0" w:space="0" w:color="auto"/>
                        <w:left w:val="none" w:sz="0" w:space="0" w:color="auto"/>
                        <w:bottom w:val="none" w:sz="0" w:space="0" w:color="auto"/>
                        <w:right w:val="none" w:sz="0" w:space="0" w:color="auto"/>
                      </w:divBdr>
                    </w:div>
                  </w:divsChild>
                </w:div>
                <w:div w:id="824511625">
                  <w:marLeft w:val="0"/>
                  <w:marRight w:val="0"/>
                  <w:marTop w:val="0"/>
                  <w:marBottom w:val="0"/>
                  <w:divBdr>
                    <w:top w:val="none" w:sz="0" w:space="0" w:color="auto"/>
                    <w:left w:val="none" w:sz="0" w:space="0" w:color="auto"/>
                    <w:bottom w:val="none" w:sz="0" w:space="0" w:color="auto"/>
                    <w:right w:val="none" w:sz="0" w:space="0" w:color="auto"/>
                  </w:divBdr>
                  <w:divsChild>
                    <w:div w:id="1108309355">
                      <w:marLeft w:val="0"/>
                      <w:marRight w:val="0"/>
                      <w:marTop w:val="0"/>
                      <w:marBottom w:val="0"/>
                      <w:divBdr>
                        <w:top w:val="none" w:sz="0" w:space="0" w:color="auto"/>
                        <w:left w:val="none" w:sz="0" w:space="0" w:color="auto"/>
                        <w:bottom w:val="none" w:sz="0" w:space="0" w:color="auto"/>
                        <w:right w:val="none" w:sz="0" w:space="0" w:color="auto"/>
                      </w:divBdr>
                    </w:div>
                    <w:div w:id="1175994317">
                      <w:marLeft w:val="0"/>
                      <w:marRight w:val="0"/>
                      <w:marTop w:val="0"/>
                      <w:marBottom w:val="0"/>
                      <w:divBdr>
                        <w:top w:val="none" w:sz="0" w:space="0" w:color="auto"/>
                        <w:left w:val="none" w:sz="0" w:space="0" w:color="auto"/>
                        <w:bottom w:val="none" w:sz="0" w:space="0" w:color="auto"/>
                        <w:right w:val="none" w:sz="0" w:space="0" w:color="auto"/>
                      </w:divBdr>
                    </w:div>
                    <w:div w:id="2097555484">
                      <w:marLeft w:val="0"/>
                      <w:marRight w:val="0"/>
                      <w:marTop w:val="0"/>
                      <w:marBottom w:val="0"/>
                      <w:divBdr>
                        <w:top w:val="none" w:sz="0" w:space="0" w:color="auto"/>
                        <w:left w:val="none" w:sz="0" w:space="0" w:color="auto"/>
                        <w:bottom w:val="none" w:sz="0" w:space="0" w:color="auto"/>
                        <w:right w:val="none" w:sz="0" w:space="0" w:color="auto"/>
                      </w:divBdr>
                    </w:div>
                  </w:divsChild>
                </w:div>
                <w:div w:id="1090472641">
                  <w:marLeft w:val="0"/>
                  <w:marRight w:val="0"/>
                  <w:marTop w:val="0"/>
                  <w:marBottom w:val="0"/>
                  <w:divBdr>
                    <w:top w:val="none" w:sz="0" w:space="0" w:color="auto"/>
                    <w:left w:val="none" w:sz="0" w:space="0" w:color="auto"/>
                    <w:bottom w:val="none" w:sz="0" w:space="0" w:color="auto"/>
                    <w:right w:val="none" w:sz="0" w:space="0" w:color="auto"/>
                  </w:divBdr>
                  <w:divsChild>
                    <w:div w:id="939143433">
                      <w:marLeft w:val="0"/>
                      <w:marRight w:val="0"/>
                      <w:marTop w:val="0"/>
                      <w:marBottom w:val="0"/>
                      <w:divBdr>
                        <w:top w:val="none" w:sz="0" w:space="0" w:color="auto"/>
                        <w:left w:val="none" w:sz="0" w:space="0" w:color="auto"/>
                        <w:bottom w:val="none" w:sz="0" w:space="0" w:color="auto"/>
                        <w:right w:val="none" w:sz="0" w:space="0" w:color="auto"/>
                      </w:divBdr>
                    </w:div>
                  </w:divsChild>
                </w:div>
                <w:div w:id="1647053598">
                  <w:marLeft w:val="0"/>
                  <w:marRight w:val="0"/>
                  <w:marTop w:val="0"/>
                  <w:marBottom w:val="0"/>
                  <w:divBdr>
                    <w:top w:val="none" w:sz="0" w:space="0" w:color="auto"/>
                    <w:left w:val="none" w:sz="0" w:space="0" w:color="auto"/>
                    <w:bottom w:val="none" w:sz="0" w:space="0" w:color="auto"/>
                    <w:right w:val="none" w:sz="0" w:space="0" w:color="auto"/>
                  </w:divBdr>
                  <w:divsChild>
                    <w:div w:id="1308431848">
                      <w:marLeft w:val="0"/>
                      <w:marRight w:val="0"/>
                      <w:marTop w:val="0"/>
                      <w:marBottom w:val="0"/>
                      <w:divBdr>
                        <w:top w:val="none" w:sz="0" w:space="0" w:color="auto"/>
                        <w:left w:val="none" w:sz="0" w:space="0" w:color="auto"/>
                        <w:bottom w:val="none" w:sz="0" w:space="0" w:color="auto"/>
                        <w:right w:val="none" w:sz="0" w:space="0" w:color="auto"/>
                      </w:divBdr>
                    </w:div>
                  </w:divsChild>
                </w:div>
                <w:div w:id="1712534903">
                  <w:marLeft w:val="0"/>
                  <w:marRight w:val="0"/>
                  <w:marTop w:val="0"/>
                  <w:marBottom w:val="0"/>
                  <w:divBdr>
                    <w:top w:val="none" w:sz="0" w:space="0" w:color="auto"/>
                    <w:left w:val="none" w:sz="0" w:space="0" w:color="auto"/>
                    <w:bottom w:val="none" w:sz="0" w:space="0" w:color="auto"/>
                    <w:right w:val="none" w:sz="0" w:space="0" w:color="auto"/>
                  </w:divBdr>
                  <w:divsChild>
                    <w:div w:id="69010705">
                      <w:marLeft w:val="0"/>
                      <w:marRight w:val="0"/>
                      <w:marTop w:val="0"/>
                      <w:marBottom w:val="0"/>
                      <w:divBdr>
                        <w:top w:val="none" w:sz="0" w:space="0" w:color="auto"/>
                        <w:left w:val="none" w:sz="0" w:space="0" w:color="auto"/>
                        <w:bottom w:val="none" w:sz="0" w:space="0" w:color="auto"/>
                        <w:right w:val="none" w:sz="0" w:space="0" w:color="auto"/>
                      </w:divBdr>
                    </w:div>
                    <w:div w:id="1103068385">
                      <w:marLeft w:val="0"/>
                      <w:marRight w:val="0"/>
                      <w:marTop w:val="0"/>
                      <w:marBottom w:val="0"/>
                      <w:divBdr>
                        <w:top w:val="none" w:sz="0" w:space="0" w:color="auto"/>
                        <w:left w:val="none" w:sz="0" w:space="0" w:color="auto"/>
                        <w:bottom w:val="none" w:sz="0" w:space="0" w:color="auto"/>
                        <w:right w:val="none" w:sz="0" w:space="0" w:color="auto"/>
                      </w:divBdr>
                    </w:div>
                    <w:div w:id="1457017406">
                      <w:marLeft w:val="0"/>
                      <w:marRight w:val="0"/>
                      <w:marTop w:val="0"/>
                      <w:marBottom w:val="0"/>
                      <w:divBdr>
                        <w:top w:val="none" w:sz="0" w:space="0" w:color="auto"/>
                        <w:left w:val="none" w:sz="0" w:space="0" w:color="auto"/>
                        <w:bottom w:val="none" w:sz="0" w:space="0" w:color="auto"/>
                        <w:right w:val="none" w:sz="0" w:space="0" w:color="auto"/>
                      </w:divBdr>
                    </w:div>
                  </w:divsChild>
                </w:div>
                <w:div w:id="1734424143">
                  <w:marLeft w:val="0"/>
                  <w:marRight w:val="0"/>
                  <w:marTop w:val="0"/>
                  <w:marBottom w:val="0"/>
                  <w:divBdr>
                    <w:top w:val="none" w:sz="0" w:space="0" w:color="auto"/>
                    <w:left w:val="none" w:sz="0" w:space="0" w:color="auto"/>
                    <w:bottom w:val="none" w:sz="0" w:space="0" w:color="auto"/>
                    <w:right w:val="none" w:sz="0" w:space="0" w:color="auto"/>
                  </w:divBdr>
                  <w:divsChild>
                    <w:div w:id="1968124601">
                      <w:marLeft w:val="0"/>
                      <w:marRight w:val="0"/>
                      <w:marTop w:val="0"/>
                      <w:marBottom w:val="0"/>
                      <w:divBdr>
                        <w:top w:val="none" w:sz="0" w:space="0" w:color="auto"/>
                        <w:left w:val="none" w:sz="0" w:space="0" w:color="auto"/>
                        <w:bottom w:val="none" w:sz="0" w:space="0" w:color="auto"/>
                        <w:right w:val="none" w:sz="0" w:space="0" w:color="auto"/>
                      </w:divBdr>
                    </w:div>
                  </w:divsChild>
                </w:div>
                <w:div w:id="1928953624">
                  <w:marLeft w:val="0"/>
                  <w:marRight w:val="0"/>
                  <w:marTop w:val="0"/>
                  <w:marBottom w:val="0"/>
                  <w:divBdr>
                    <w:top w:val="none" w:sz="0" w:space="0" w:color="auto"/>
                    <w:left w:val="none" w:sz="0" w:space="0" w:color="auto"/>
                    <w:bottom w:val="none" w:sz="0" w:space="0" w:color="auto"/>
                    <w:right w:val="none" w:sz="0" w:space="0" w:color="auto"/>
                  </w:divBdr>
                  <w:divsChild>
                    <w:div w:id="101844093">
                      <w:marLeft w:val="0"/>
                      <w:marRight w:val="0"/>
                      <w:marTop w:val="0"/>
                      <w:marBottom w:val="0"/>
                      <w:divBdr>
                        <w:top w:val="none" w:sz="0" w:space="0" w:color="auto"/>
                        <w:left w:val="none" w:sz="0" w:space="0" w:color="auto"/>
                        <w:bottom w:val="none" w:sz="0" w:space="0" w:color="auto"/>
                        <w:right w:val="none" w:sz="0" w:space="0" w:color="auto"/>
                      </w:divBdr>
                    </w:div>
                    <w:div w:id="260067324">
                      <w:marLeft w:val="0"/>
                      <w:marRight w:val="0"/>
                      <w:marTop w:val="0"/>
                      <w:marBottom w:val="0"/>
                      <w:divBdr>
                        <w:top w:val="none" w:sz="0" w:space="0" w:color="auto"/>
                        <w:left w:val="none" w:sz="0" w:space="0" w:color="auto"/>
                        <w:bottom w:val="none" w:sz="0" w:space="0" w:color="auto"/>
                        <w:right w:val="none" w:sz="0" w:space="0" w:color="auto"/>
                      </w:divBdr>
                    </w:div>
                    <w:div w:id="473764091">
                      <w:marLeft w:val="0"/>
                      <w:marRight w:val="0"/>
                      <w:marTop w:val="0"/>
                      <w:marBottom w:val="0"/>
                      <w:divBdr>
                        <w:top w:val="none" w:sz="0" w:space="0" w:color="auto"/>
                        <w:left w:val="none" w:sz="0" w:space="0" w:color="auto"/>
                        <w:bottom w:val="none" w:sz="0" w:space="0" w:color="auto"/>
                        <w:right w:val="none" w:sz="0" w:space="0" w:color="auto"/>
                      </w:divBdr>
                    </w:div>
                    <w:div w:id="643974508">
                      <w:marLeft w:val="0"/>
                      <w:marRight w:val="0"/>
                      <w:marTop w:val="0"/>
                      <w:marBottom w:val="0"/>
                      <w:divBdr>
                        <w:top w:val="none" w:sz="0" w:space="0" w:color="auto"/>
                        <w:left w:val="none" w:sz="0" w:space="0" w:color="auto"/>
                        <w:bottom w:val="none" w:sz="0" w:space="0" w:color="auto"/>
                        <w:right w:val="none" w:sz="0" w:space="0" w:color="auto"/>
                      </w:divBdr>
                    </w:div>
                    <w:div w:id="660307580">
                      <w:marLeft w:val="0"/>
                      <w:marRight w:val="0"/>
                      <w:marTop w:val="0"/>
                      <w:marBottom w:val="0"/>
                      <w:divBdr>
                        <w:top w:val="none" w:sz="0" w:space="0" w:color="auto"/>
                        <w:left w:val="none" w:sz="0" w:space="0" w:color="auto"/>
                        <w:bottom w:val="none" w:sz="0" w:space="0" w:color="auto"/>
                        <w:right w:val="none" w:sz="0" w:space="0" w:color="auto"/>
                      </w:divBdr>
                    </w:div>
                    <w:div w:id="677191693">
                      <w:marLeft w:val="0"/>
                      <w:marRight w:val="0"/>
                      <w:marTop w:val="0"/>
                      <w:marBottom w:val="0"/>
                      <w:divBdr>
                        <w:top w:val="none" w:sz="0" w:space="0" w:color="auto"/>
                        <w:left w:val="none" w:sz="0" w:space="0" w:color="auto"/>
                        <w:bottom w:val="none" w:sz="0" w:space="0" w:color="auto"/>
                        <w:right w:val="none" w:sz="0" w:space="0" w:color="auto"/>
                      </w:divBdr>
                    </w:div>
                    <w:div w:id="695545432">
                      <w:marLeft w:val="0"/>
                      <w:marRight w:val="0"/>
                      <w:marTop w:val="0"/>
                      <w:marBottom w:val="0"/>
                      <w:divBdr>
                        <w:top w:val="none" w:sz="0" w:space="0" w:color="auto"/>
                        <w:left w:val="none" w:sz="0" w:space="0" w:color="auto"/>
                        <w:bottom w:val="none" w:sz="0" w:space="0" w:color="auto"/>
                        <w:right w:val="none" w:sz="0" w:space="0" w:color="auto"/>
                      </w:divBdr>
                    </w:div>
                    <w:div w:id="1088696350">
                      <w:marLeft w:val="0"/>
                      <w:marRight w:val="0"/>
                      <w:marTop w:val="0"/>
                      <w:marBottom w:val="0"/>
                      <w:divBdr>
                        <w:top w:val="none" w:sz="0" w:space="0" w:color="auto"/>
                        <w:left w:val="none" w:sz="0" w:space="0" w:color="auto"/>
                        <w:bottom w:val="none" w:sz="0" w:space="0" w:color="auto"/>
                        <w:right w:val="none" w:sz="0" w:space="0" w:color="auto"/>
                      </w:divBdr>
                    </w:div>
                    <w:div w:id="1154029023">
                      <w:marLeft w:val="0"/>
                      <w:marRight w:val="0"/>
                      <w:marTop w:val="0"/>
                      <w:marBottom w:val="0"/>
                      <w:divBdr>
                        <w:top w:val="none" w:sz="0" w:space="0" w:color="auto"/>
                        <w:left w:val="none" w:sz="0" w:space="0" w:color="auto"/>
                        <w:bottom w:val="none" w:sz="0" w:space="0" w:color="auto"/>
                        <w:right w:val="none" w:sz="0" w:space="0" w:color="auto"/>
                      </w:divBdr>
                    </w:div>
                    <w:div w:id="1347757373">
                      <w:marLeft w:val="0"/>
                      <w:marRight w:val="0"/>
                      <w:marTop w:val="0"/>
                      <w:marBottom w:val="0"/>
                      <w:divBdr>
                        <w:top w:val="none" w:sz="0" w:space="0" w:color="auto"/>
                        <w:left w:val="none" w:sz="0" w:space="0" w:color="auto"/>
                        <w:bottom w:val="none" w:sz="0" w:space="0" w:color="auto"/>
                        <w:right w:val="none" w:sz="0" w:space="0" w:color="auto"/>
                      </w:divBdr>
                    </w:div>
                    <w:div w:id="1877966482">
                      <w:marLeft w:val="0"/>
                      <w:marRight w:val="0"/>
                      <w:marTop w:val="0"/>
                      <w:marBottom w:val="0"/>
                      <w:divBdr>
                        <w:top w:val="none" w:sz="0" w:space="0" w:color="auto"/>
                        <w:left w:val="none" w:sz="0" w:space="0" w:color="auto"/>
                        <w:bottom w:val="none" w:sz="0" w:space="0" w:color="auto"/>
                        <w:right w:val="none" w:sz="0" w:space="0" w:color="auto"/>
                      </w:divBdr>
                    </w:div>
                    <w:div w:id="2064526655">
                      <w:marLeft w:val="0"/>
                      <w:marRight w:val="0"/>
                      <w:marTop w:val="0"/>
                      <w:marBottom w:val="0"/>
                      <w:divBdr>
                        <w:top w:val="none" w:sz="0" w:space="0" w:color="auto"/>
                        <w:left w:val="none" w:sz="0" w:space="0" w:color="auto"/>
                        <w:bottom w:val="none" w:sz="0" w:space="0" w:color="auto"/>
                        <w:right w:val="none" w:sz="0" w:space="0" w:color="auto"/>
                      </w:divBdr>
                    </w:div>
                    <w:div w:id="2120177120">
                      <w:marLeft w:val="0"/>
                      <w:marRight w:val="0"/>
                      <w:marTop w:val="0"/>
                      <w:marBottom w:val="0"/>
                      <w:divBdr>
                        <w:top w:val="none" w:sz="0" w:space="0" w:color="auto"/>
                        <w:left w:val="none" w:sz="0" w:space="0" w:color="auto"/>
                        <w:bottom w:val="none" w:sz="0" w:space="0" w:color="auto"/>
                        <w:right w:val="none" w:sz="0" w:space="0" w:color="auto"/>
                      </w:divBdr>
                    </w:div>
                    <w:div w:id="2130775372">
                      <w:marLeft w:val="0"/>
                      <w:marRight w:val="0"/>
                      <w:marTop w:val="0"/>
                      <w:marBottom w:val="0"/>
                      <w:divBdr>
                        <w:top w:val="none" w:sz="0" w:space="0" w:color="auto"/>
                        <w:left w:val="none" w:sz="0" w:space="0" w:color="auto"/>
                        <w:bottom w:val="none" w:sz="0" w:space="0" w:color="auto"/>
                        <w:right w:val="none" w:sz="0" w:space="0" w:color="auto"/>
                      </w:divBdr>
                    </w:div>
                  </w:divsChild>
                </w:div>
                <w:div w:id="1952273665">
                  <w:marLeft w:val="0"/>
                  <w:marRight w:val="0"/>
                  <w:marTop w:val="0"/>
                  <w:marBottom w:val="0"/>
                  <w:divBdr>
                    <w:top w:val="none" w:sz="0" w:space="0" w:color="auto"/>
                    <w:left w:val="none" w:sz="0" w:space="0" w:color="auto"/>
                    <w:bottom w:val="none" w:sz="0" w:space="0" w:color="auto"/>
                    <w:right w:val="none" w:sz="0" w:space="0" w:color="auto"/>
                  </w:divBdr>
                  <w:divsChild>
                    <w:div w:id="466968719">
                      <w:marLeft w:val="0"/>
                      <w:marRight w:val="0"/>
                      <w:marTop w:val="0"/>
                      <w:marBottom w:val="0"/>
                      <w:divBdr>
                        <w:top w:val="none" w:sz="0" w:space="0" w:color="auto"/>
                        <w:left w:val="none" w:sz="0" w:space="0" w:color="auto"/>
                        <w:bottom w:val="none" w:sz="0" w:space="0" w:color="auto"/>
                        <w:right w:val="none" w:sz="0" w:space="0" w:color="auto"/>
                      </w:divBdr>
                    </w:div>
                    <w:div w:id="533268218">
                      <w:marLeft w:val="0"/>
                      <w:marRight w:val="0"/>
                      <w:marTop w:val="0"/>
                      <w:marBottom w:val="0"/>
                      <w:divBdr>
                        <w:top w:val="none" w:sz="0" w:space="0" w:color="auto"/>
                        <w:left w:val="none" w:sz="0" w:space="0" w:color="auto"/>
                        <w:bottom w:val="none" w:sz="0" w:space="0" w:color="auto"/>
                        <w:right w:val="none" w:sz="0" w:space="0" w:color="auto"/>
                      </w:divBdr>
                    </w:div>
                    <w:div w:id="587884072">
                      <w:marLeft w:val="0"/>
                      <w:marRight w:val="0"/>
                      <w:marTop w:val="0"/>
                      <w:marBottom w:val="0"/>
                      <w:divBdr>
                        <w:top w:val="none" w:sz="0" w:space="0" w:color="auto"/>
                        <w:left w:val="none" w:sz="0" w:space="0" w:color="auto"/>
                        <w:bottom w:val="none" w:sz="0" w:space="0" w:color="auto"/>
                        <w:right w:val="none" w:sz="0" w:space="0" w:color="auto"/>
                      </w:divBdr>
                    </w:div>
                    <w:div w:id="712538131">
                      <w:marLeft w:val="0"/>
                      <w:marRight w:val="0"/>
                      <w:marTop w:val="0"/>
                      <w:marBottom w:val="0"/>
                      <w:divBdr>
                        <w:top w:val="none" w:sz="0" w:space="0" w:color="auto"/>
                        <w:left w:val="none" w:sz="0" w:space="0" w:color="auto"/>
                        <w:bottom w:val="none" w:sz="0" w:space="0" w:color="auto"/>
                        <w:right w:val="none" w:sz="0" w:space="0" w:color="auto"/>
                      </w:divBdr>
                    </w:div>
                    <w:div w:id="732897559">
                      <w:marLeft w:val="0"/>
                      <w:marRight w:val="0"/>
                      <w:marTop w:val="0"/>
                      <w:marBottom w:val="0"/>
                      <w:divBdr>
                        <w:top w:val="none" w:sz="0" w:space="0" w:color="auto"/>
                        <w:left w:val="none" w:sz="0" w:space="0" w:color="auto"/>
                        <w:bottom w:val="none" w:sz="0" w:space="0" w:color="auto"/>
                        <w:right w:val="none" w:sz="0" w:space="0" w:color="auto"/>
                      </w:divBdr>
                    </w:div>
                    <w:div w:id="764304963">
                      <w:marLeft w:val="0"/>
                      <w:marRight w:val="0"/>
                      <w:marTop w:val="0"/>
                      <w:marBottom w:val="0"/>
                      <w:divBdr>
                        <w:top w:val="none" w:sz="0" w:space="0" w:color="auto"/>
                        <w:left w:val="none" w:sz="0" w:space="0" w:color="auto"/>
                        <w:bottom w:val="none" w:sz="0" w:space="0" w:color="auto"/>
                        <w:right w:val="none" w:sz="0" w:space="0" w:color="auto"/>
                      </w:divBdr>
                    </w:div>
                    <w:div w:id="778642970">
                      <w:marLeft w:val="0"/>
                      <w:marRight w:val="0"/>
                      <w:marTop w:val="0"/>
                      <w:marBottom w:val="0"/>
                      <w:divBdr>
                        <w:top w:val="none" w:sz="0" w:space="0" w:color="auto"/>
                        <w:left w:val="none" w:sz="0" w:space="0" w:color="auto"/>
                        <w:bottom w:val="none" w:sz="0" w:space="0" w:color="auto"/>
                        <w:right w:val="none" w:sz="0" w:space="0" w:color="auto"/>
                      </w:divBdr>
                    </w:div>
                    <w:div w:id="838085014">
                      <w:marLeft w:val="0"/>
                      <w:marRight w:val="0"/>
                      <w:marTop w:val="0"/>
                      <w:marBottom w:val="0"/>
                      <w:divBdr>
                        <w:top w:val="none" w:sz="0" w:space="0" w:color="auto"/>
                        <w:left w:val="none" w:sz="0" w:space="0" w:color="auto"/>
                        <w:bottom w:val="none" w:sz="0" w:space="0" w:color="auto"/>
                        <w:right w:val="none" w:sz="0" w:space="0" w:color="auto"/>
                      </w:divBdr>
                    </w:div>
                    <w:div w:id="1350527308">
                      <w:marLeft w:val="0"/>
                      <w:marRight w:val="0"/>
                      <w:marTop w:val="0"/>
                      <w:marBottom w:val="0"/>
                      <w:divBdr>
                        <w:top w:val="none" w:sz="0" w:space="0" w:color="auto"/>
                        <w:left w:val="none" w:sz="0" w:space="0" w:color="auto"/>
                        <w:bottom w:val="none" w:sz="0" w:space="0" w:color="auto"/>
                        <w:right w:val="none" w:sz="0" w:space="0" w:color="auto"/>
                      </w:divBdr>
                    </w:div>
                    <w:div w:id="1440030591">
                      <w:marLeft w:val="0"/>
                      <w:marRight w:val="0"/>
                      <w:marTop w:val="0"/>
                      <w:marBottom w:val="0"/>
                      <w:divBdr>
                        <w:top w:val="none" w:sz="0" w:space="0" w:color="auto"/>
                        <w:left w:val="none" w:sz="0" w:space="0" w:color="auto"/>
                        <w:bottom w:val="none" w:sz="0" w:space="0" w:color="auto"/>
                        <w:right w:val="none" w:sz="0" w:space="0" w:color="auto"/>
                      </w:divBdr>
                    </w:div>
                    <w:div w:id="1663659303">
                      <w:marLeft w:val="0"/>
                      <w:marRight w:val="0"/>
                      <w:marTop w:val="0"/>
                      <w:marBottom w:val="0"/>
                      <w:divBdr>
                        <w:top w:val="none" w:sz="0" w:space="0" w:color="auto"/>
                        <w:left w:val="none" w:sz="0" w:space="0" w:color="auto"/>
                        <w:bottom w:val="none" w:sz="0" w:space="0" w:color="auto"/>
                        <w:right w:val="none" w:sz="0" w:space="0" w:color="auto"/>
                      </w:divBdr>
                    </w:div>
                    <w:div w:id="1903129886">
                      <w:marLeft w:val="0"/>
                      <w:marRight w:val="0"/>
                      <w:marTop w:val="0"/>
                      <w:marBottom w:val="0"/>
                      <w:divBdr>
                        <w:top w:val="none" w:sz="0" w:space="0" w:color="auto"/>
                        <w:left w:val="none" w:sz="0" w:space="0" w:color="auto"/>
                        <w:bottom w:val="none" w:sz="0" w:space="0" w:color="auto"/>
                        <w:right w:val="none" w:sz="0" w:space="0" w:color="auto"/>
                      </w:divBdr>
                    </w:div>
                    <w:div w:id="1965037046">
                      <w:marLeft w:val="0"/>
                      <w:marRight w:val="0"/>
                      <w:marTop w:val="0"/>
                      <w:marBottom w:val="0"/>
                      <w:divBdr>
                        <w:top w:val="none" w:sz="0" w:space="0" w:color="auto"/>
                        <w:left w:val="none" w:sz="0" w:space="0" w:color="auto"/>
                        <w:bottom w:val="none" w:sz="0" w:space="0" w:color="auto"/>
                        <w:right w:val="none" w:sz="0" w:space="0" w:color="auto"/>
                      </w:divBdr>
                    </w:div>
                  </w:divsChild>
                </w:div>
                <w:div w:id="2045444679">
                  <w:marLeft w:val="0"/>
                  <w:marRight w:val="0"/>
                  <w:marTop w:val="0"/>
                  <w:marBottom w:val="0"/>
                  <w:divBdr>
                    <w:top w:val="none" w:sz="0" w:space="0" w:color="auto"/>
                    <w:left w:val="none" w:sz="0" w:space="0" w:color="auto"/>
                    <w:bottom w:val="none" w:sz="0" w:space="0" w:color="auto"/>
                    <w:right w:val="none" w:sz="0" w:space="0" w:color="auto"/>
                  </w:divBdr>
                  <w:divsChild>
                    <w:div w:id="197351700">
                      <w:marLeft w:val="0"/>
                      <w:marRight w:val="0"/>
                      <w:marTop w:val="0"/>
                      <w:marBottom w:val="0"/>
                      <w:divBdr>
                        <w:top w:val="none" w:sz="0" w:space="0" w:color="auto"/>
                        <w:left w:val="none" w:sz="0" w:space="0" w:color="auto"/>
                        <w:bottom w:val="none" w:sz="0" w:space="0" w:color="auto"/>
                        <w:right w:val="none" w:sz="0" w:space="0" w:color="auto"/>
                      </w:divBdr>
                    </w:div>
                    <w:div w:id="325012676">
                      <w:marLeft w:val="0"/>
                      <w:marRight w:val="0"/>
                      <w:marTop w:val="0"/>
                      <w:marBottom w:val="0"/>
                      <w:divBdr>
                        <w:top w:val="none" w:sz="0" w:space="0" w:color="auto"/>
                        <w:left w:val="none" w:sz="0" w:space="0" w:color="auto"/>
                        <w:bottom w:val="none" w:sz="0" w:space="0" w:color="auto"/>
                        <w:right w:val="none" w:sz="0" w:space="0" w:color="auto"/>
                      </w:divBdr>
                    </w:div>
                    <w:div w:id="371927627">
                      <w:marLeft w:val="0"/>
                      <w:marRight w:val="0"/>
                      <w:marTop w:val="0"/>
                      <w:marBottom w:val="0"/>
                      <w:divBdr>
                        <w:top w:val="none" w:sz="0" w:space="0" w:color="auto"/>
                        <w:left w:val="none" w:sz="0" w:space="0" w:color="auto"/>
                        <w:bottom w:val="none" w:sz="0" w:space="0" w:color="auto"/>
                        <w:right w:val="none" w:sz="0" w:space="0" w:color="auto"/>
                      </w:divBdr>
                    </w:div>
                    <w:div w:id="418521454">
                      <w:marLeft w:val="0"/>
                      <w:marRight w:val="0"/>
                      <w:marTop w:val="0"/>
                      <w:marBottom w:val="0"/>
                      <w:divBdr>
                        <w:top w:val="none" w:sz="0" w:space="0" w:color="auto"/>
                        <w:left w:val="none" w:sz="0" w:space="0" w:color="auto"/>
                        <w:bottom w:val="none" w:sz="0" w:space="0" w:color="auto"/>
                        <w:right w:val="none" w:sz="0" w:space="0" w:color="auto"/>
                      </w:divBdr>
                    </w:div>
                    <w:div w:id="474638009">
                      <w:marLeft w:val="0"/>
                      <w:marRight w:val="0"/>
                      <w:marTop w:val="0"/>
                      <w:marBottom w:val="0"/>
                      <w:divBdr>
                        <w:top w:val="none" w:sz="0" w:space="0" w:color="auto"/>
                        <w:left w:val="none" w:sz="0" w:space="0" w:color="auto"/>
                        <w:bottom w:val="none" w:sz="0" w:space="0" w:color="auto"/>
                        <w:right w:val="none" w:sz="0" w:space="0" w:color="auto"/>
                      </w:divBdr>
                    </w:div>
                    <w:div w:id="644360808">
                      <w:marLeft w:val="0"/>
                      <w:marRight w:val="0"/>
                      <w:marTop w:val="0"/>
                      <w:marBottom w:val="0"/>
                      <w:divBdr>
                        <w:top w:val="none" w:sz="0" w:space="0" w:color="auto"/>
                        <w:left w:val="none" w:sz="0" w:space="0" w:color="auto"/>
                        <w:bottom w:val="none" w:sz="0" w:space="0" w:color="auto"/>
                        <w:right w:val="none" w:sz="0" w:space="0" w:color="auto"/>
                      </w:divBdr>
                    </w:div>
                    <w:div w:id="1149244482">
                      <w:marLeft w:val="0"/>
                      <w:marRight w:val="0"/>
                      <w:marTop w:val="0"/>
                      <w:marBottom w:val="0"/>
                      <w:divBdr>
                        <w:top w:val="none" w:sz="0" w:space="0" w:color="auto"/>
                        <w:left w:val="none" w:sz="0" w:space="0" w:color="auto"/>
                        <w:bottom w:val="none" w:sz="0" w:space="0" w:color="auto"/>
                        <w:right w:val="none" w:sz="0" w:space="0" w:color="auto"/>
                      </w:divBdr>
                    </w:div>
                    <w:div w:id="1171529016">
                      <w:marLeft w:val="0"/>
                      <w:marRight w:val="0"/>
                      <w:marTop w:val="0"/>
                      <w:marBottom w:val="0"/>
                      <w:divBdr>
                        <w:top w:val="none" w:sz="0" w:space="0" w:color="auto"/>
                        <w:left w:val="none" w:sz="0" w:space="0" w:color="auto"/>
                        <w:bottom w:val="none" w:sz="0" w:space="0" w:color="auto"/>
                        <w:right w:val="none" w:sz="0" w:space="0" w:color="auto"/>
                      </w:divBdr>
                    </w:div>
                    <w:div w:id="1613903424">
                      <w:marLeft w:val="0"/>
                      <w:marRight w:val="0"/>
                      <w:marTop w:val="0"/>
                      <w:marBottom w:val="0"/>
                      <w:divBdr>
                        <w:top w:val="none" w:sz="0" w:space="0" w:color="auto"/>
                        <w:left w:val="none" w:sz="0" w:space="0" w:color="auto"/>
                        <w:bottom w:val="none" w:sz="0" w:space="0" w:color="auto"/>
                        <w:right w:val="none" w:sz="0" w:space="0" w:color="auto"/>
                      </w:divBdr>
                    </w:div>
                    <w:div w:id="1728262014">
                      <w:marLeft w:val="0"/>
                      <w:marRight w:val="0"/>
                      <w:marTop w:val="0"/>
                      <w:marBottom w:val="0"/>
                      <w:divBdr>
                        <w:top w:val="none" w:sz="0" w:space="0" w:color="auto"/>
                        <w:left w:val="none" w:sz="0" w:space="0" w:color="auto"/>
                        <w:bottom w:val="none" w:sz="0" w:space="0" w:color="auto"/>
                        <w:right w:val="none" w:sz="0" w:space="0" w:color="auto"/>
                      </w:divBdr>
                    </w:div>
                    <w:div w:id="20296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2944">
          <w:marLeft w:val="0"/>
          <w:marRight w:val="0"/>
          <w:marTop w:val="0"/>
          <w:marBottom w:val="0"/>
          <w:divBdr>
            <w:top w:val="none" w:sz="0" w:space="0" w:color="auto"/>
            <w:left w:val="none" w:sz="0" w:space="0" w:color="auto"/>
            <w:bottom w:val="none" w:sz="0" w:space="0" w:color="auto"/>
            <w:right w:val="none" w:sz="0" w:space="0" w:color="auto"/>
          </w:divBdr>
        </w:div>
        <w:div w:id="1262181452">
          <w:marLeft w:val="0"/>
          <w:marRight w:val="0"/>
          <w:marTop w:val="0"/>
          <w:marBottom w:val="0"/>
          <w:divBdr>
            <w:top w:val="none" w:sz="0" w:space="0" w:color="auto"/>
            <w:left w:val="none" w:sz="0" w:space="0" w:color="auto"/>
            <w:bottom w:val="none" w:sz="0" w:space="0" w:color="auto"/>
            <w:right w:val="none" w:sz="0" w:space="0" w:color="auto"/>
          </w:divBdr>
          <w:divsChild>
            <w:div w:id="405494515">
              <w:marLeft w:val="-75"/>
              <w:marRight w:val="0"/>
              <w:marTop w:val="30"/>
              <w:marBottom w:val="30"/>
              <w:divBdr>
                <w:top w:val="none" w:sz="0" w:space="0" w:color="auto"/>
                <w:left w:val="none" w:sz="0" w:space="0" w:color="auto"/>
                <w:bottom w:val="none" w:sz="0" w:space="0" w:color="auto"/>
                <w:right w:val="none" w:sz="0" w:space="0" w:color="auto"/>
              </w:divBdr>
              <w:divsChild>
                <w:div w:id="200703151">
                  <w:marLeft w:val="0"/>
                  <w:marRight w:val="0"/>
                  <w:marTop w:val="0"/>
                  <w:marBottom w:val="0"/>
                  <w:divBdr>
                    <w:top w:val="none" w:sz="0" w:space="0" w:color="auto"/>
                    <w:left w:val="none" w:sz="0" w:space="0" w:color="auto"/>
                    <w:bottom w:val="none" w:sz="0" w:space="0" w:color="auto"/>
                    <w:right w:val="none" w:sz="0" w:space="0" w:color="auto"/>
                  </w:divBdr>
                  <w:divsChild>
                    <w:div w:id="749354203">
                      <w:marLeft w:val="0"/>
                      <w:marRight w:val="0"/>
                      <w:marTop w:val="0"/>
                      <w:marBottom w:val="0"/>
                      <w:divBdr>
                        <w:top w:val="none" w:sz="0" w:space="0" w:color="auto"/>
                        <w:left w:val="none" w:sz="0" w:space="0" w:color="auto"/>
                        <w:bottom w:val="none" w:sz="0" w:space="0" w:color="auto"/>
                        <w:right w:val="none" w:sz="0" w:space="0" w:color="auto"/>
                      </w:divBdr>
                    </w:div>
                    <w:div w:id="1239635184">
                      <w:marLeft w:val="0"/>
                      <w:marRight w:val="0"/>
                      <w:marTop w:val="0"/>
                      <w:marBottom w:val="0"/>
                      <w:divBdr>
                        <w:top w:val="none" w:sz="0" w:space="0" w:color="auto"/>
                        <w:left w:val="none" w:sz="0" w:space="0" w:color="auto"/>
                        <w:bottom w:val="none" w:sz="0" w:space="0" w:color="auto"/>
                        <w:right w:val="none" w:sz="0" w:space="0" w:color="auto"/>
                      </w:divBdr>
                    </w:div>
                    <w:div w:id="1347443666">
                      <w:marLeft w:val="0"/>
                      <w:marRight w:val="0"/>
                      <w:marTop w:val="0"/>
                      <w:marBottom w:val="0"/>
                      <w:divBdr>
                        <w:top w:val="none" w:sz="0" w:space="0" w:color="auto"/>
                        <w:left w:val="none" w:sz="0" w:space="0" w:color="auto"/>
                        <w:bottom w:val="none" w:sz="0" w:space="0" w:color="auto"/>
                        <w:right w:val="none" w:sz="0" w:space="0" w:color="auto"/>
                      </w:divBdr>
                    </w:div>
                  </w:divsChild>
                </w:div>
                <w:div w:id="323824982">
                  <w:marLeft w:val="0"/>
                  <w:marRight w:val="0"/>
                  <w:marTop w:val="0"/>
                  <w:marBottom w:val="0"/>
                  <w:divBdr>
                    <w:top w:val="none" w:sz="0" w:space="0" w:color="auto"/>
                    <w:left w:val="none" w:sz="0" w:space="0" w:color="auto"/>
                    <w:bottom w:val="none" w:sz="0" w:space="0" w:color="auto"/>
                    <w:right w:val="none" w:sz="0" w:space="0" w:color="auto"/>
                  </w:divBdr>
                  <w:divsChild>
                    <w:div w:id="221643093">
                      <w:marLeft w:val="0"/>
                      <w:marRight w:val="0"/>
                      <w:marTop w:val="0"/>
                      <w:marBottom w:val="0"/>
                      <w:divBdr>
                        <w:top w:val="none" w:sz="0" w:space="0" w:color="auto"/>
                        <w:left w:val="none" w:sz="0" w:space="0" w:color="auto"/>
                        <w:bottom w:val="none" w:sz="0" w:space="0" w:color="auto"/>
                        <w:right w:val="none" w:sz="0" w:space="0" w:color="auto"/>
                      </w:divBdr>
                    </w:div>
                    <w:div w:id="655885506">
                      <w:marLeft w:val="0"/>
                      <w:marRight w:val="0"/>
                      <w:marTop w:val="0"/>
                      <w:marBottom w:val="0"/>
                      <w:divBdr>
                        <w:top w:val="none" w:sz="0" w:space="0" w:color="auto"/>
                        <w:left w:val="none" w:sz="0" w:space="0" w:color="auto"/>
                        <w:bottom w:val="none" w:sz="0" w:space="0" w:color="auto"/>
                        <w:right w:val="none" w:sz="0" w:space="0" w:color="auto"/>
                      </w:divBdr>
                    </w:div>
                    <w:div w:id="1536775241">
                      <w:marLeft w:val="0"/>
                      <w:marRight w:val="0"/>
                      <w:marTop w:val="0"/>
                      <w:marBottom w:val="0"/>
                      <w:divBdr>
                        <w:top w:val="none" w:sz="0" w:space="0" w:color="auto"/>
                        <w:left w:val="none" w:sz="0" w:space="0" w:color="auto"/>
                        <w:bottom w:val="none" w:sz="0" w:space="0" w:color="auto"/>
                        <w:right w:val="none" w:sz="0" w:space="0" w:color="auto"/>
                      </w:divBdr>
                    </w:div>
                  </w:divsChild>
                </w:div>
                <w:div w:id="678392610">
                  <w:marLeft w:val="0"/>
                  <w:marRight w:val="0"/>
                  <w:marTop w:val="0"/>
                  <w:marBottom w:val="0"/>
                  <w:divBdr>
                    <w:top w:val="none" w:sz="0" w:space="0" w:color="auto"/>
                    <w:left w:val="none" w:sz="0" w:space="0" w:color="auto"/>
                    <w:bottom w:val="none" w:sz="0" w:space="0" w:color="auto"/>
                    <w:right w:val="none" w:sz="0" w:space="0" w:color="auto"/>
                  </w:divBdr>
                  <w:divsChild>
                    <w:div w:id="1266815175">
                      <w:marLeft w:val="0"/>
                      <w:marRight w:val="0"/>
                      <w:marTop w:val="0"/>
                      <w:marBottom w:val="0"/>
                      <w:divBdr>
                        <w:top w:val="none" w:sz="0" w:space="0" w:color="auto"/>
                        <w:left w:val="none" w:sz="0" w:space="0" w:color="auto"/>
                        <w:bottom w:val="none" w:sz="0" w:space="0" w:color="auto"/>
                        <w:right w:val="none" w:sz="0" w:space="0" w:color="auto"/>
                      </w:divBdr>
                    </w:div>
                  </w:divsChild>
                </w:div>
                <w:div w:id="869495985">
                  <w:marLeft w:val="0"/>
                  <w:marRight w:val="0"/>
                  <w:marTop w:val="0"/>
                  <w:marBottom w:val="0"/>
                  <w:divBdr>
                    <w:top w:val="none" w:sz="0" w:space="0" w:color="auto"/>
                    <w:left w:val="none" w:sz="0" w:space="0" w:color="auto"/>
                    <w:bottom w:val="none" w:sz="0" w:space="0" w:color="auto"/>
                    <w:right w:val="none" w:sz="0" w:space="0" w:color="auto"/>
                  </w:divBdr>
                  <w:divsChild>
                    <w:div w:id="1435398587">
                      <w:marLeft w:val="0"/>
                      <w:marRight w:val="0"/>
                      <w:marTop w:val="0"/>
                      <w:marBottom w:val="0"/>
                      <w:divBdr>
                        <w:top w:val="none" w:sz="0" w:space="0" w:color="auto"/>
                        <w:left w:val="none" w:sz="0" w:space="0" w:color="auto"/>
                        <w:bottom w:val="none" w:sz="0" w:space="0" w:color="auto"/>
                        <w:right w:val="none" w:sz="0" w:space="0" w:color="auto"/>
                      </w:divBdr>
                    </w:div>
                  </w:divsChild>
                </w:div>
                <w:div w:id="1188719218">
                  <w:marLeft w:val="0"/>
                  <w:marRight w:val="0"/>
                  <w:marTop w:val="0"/>
                  <w:marBottom w:val="0"/>
                  <w:divBdr>
                    <w:top w:val="none" w:sz="0" w:space="0" w:color="auto"/>
                    <w:left w:val="none" w:sz="0" w:space="0" w:color="auto"/>
                    <w:bottom w:val="none" w:sz="0" w:space="0" w:color="auto"/>
                    <w:right w:val="none" w:sz="0" w:space="0" w:color="auto"/>
                  </w:divBdr>
                  <w:divsChild>
                    <w:div w:id="782269430">
                      <w:marLeft w:val="0"/>
                      <w:marRight w:val="0"/>
                      <w:marTop w:val="0"/>
                      <w:marBottom w:val="0"/>
                      <w:divBdr>
                        <w:top w:val="none" w:sz="0" w:space="0" w:color="auto"/>
                        <w:left w:val="none" w:sz="0" w:space="0" w:color="auto"/>
                        <w:bottom w:val="none" w:sz="0" w:space="0" w:color="auto"/>
                        <w:right w:val="none" w:sz="0" w:space="0" w:color="auto"/>
                      </w:divBdr>
                    </w:div>
                    <w:div w:id="1091244927">
                      <w:marLeft w:val="0"/>
                      <w:marRight w:val="0"/>
                      <w:marTop w:val="0"/>
                      <w:marBottom w:val="0"/>
                      <w:divBdr>
                        <w:top w:val="none" w:sz="0" w:space="0" w:color="auto"/>
                        <w:left w:val="none" w:sz="0" w:space="0" w:color="auto"/>
                        <w:bottom w:val="none" w:sz="0" w:space="0" w:color="auto"/>
                        <w:right w:val="none" w:sz="0" w:space="0" w:color="auto"/>
                      </w:divBdr>
                    </w:div>
                    <w:div w:id="2062483764">
                      <w:marLeft w:val="0"/>
                      <w:marRight w:val="0"/>
                      <w:marTop w:val="0"/>
                      <w:marBottom w:val="0"/>
                      <w:divBdr>
                        <w:top w:val="none" w:sz="0" w:space="0" w:color="auto"/>
                        <w:left w:val="none" w:sz="0" w:space="0" w:color="auto"/>
                        <w:bottom w:val="none" w:sz="0" w:space="0" w:color="auto"/>
                        <w:right w:val="none" w:sz="0" w:space="0" w:color="auto"/>
                      </w:divBdr>
                    </w:div>
                  </w:divsChild>
                </w:div>
                <w:div w:id="1450051693">
                  <w:marLeft w:val="0"/>
                  <w:marRight w:val="0"/>
                  <w:marTop w:val="0"/>
                  <w:marBottom w:val="0"/>
                  <w:divBdr>
                    <w:top w:val="none" w:sz="0" w:space="0" w:color="auto"/>
                    <w:left w:val="none" w:sz="0" w:space="0" w:color="auto"/>
                    <w:bottom w:val="none" w:sz="0" w:space="0" w:color="auto"/>
                    <w:right w:val="none" w:sz="0" w:space="0" w:color="auto"/>
                  </w:divBdr>
                  <w:divsChild>
                    <w:div w:id="184172464">
                      <w:marLeft w:val="0"/>
                      <w:marRight w:val="0"/>
                      <w:marTop w:val="0"/>
                      <w:marBottom w:val="0"/>
                      <w:divBdr>
                        <w:top w:val="none" w:sz="0" w:space="0" w:color="auto"/>
                        <w:left w:val="none" w:sz="0" w:space="0" w:color="auto"/>
                        <w:bottom w:val="none" w:sz="0" w:space="0" w:color="auto"/>
                        <w:right w:val="none" w:sz="0" w:space="0" w:color="auto"/>
                      </w:divBdr>
                    </w:div>
                    <w:div w:id="1614240426">
                      <w:marLeft w:val="0"/>
                      <w:marRight w:val="0"/>
                      <w:marTop w:val="0"/>
                      <w:marBottom w:val="0"/>
                      <w:divBdr>
                        <w:top w:val="none" w:sz="0" w:space="0" w:color="auto"/>
                        <w:left w:val="none" w:sz="0" w:space="0" w:color="auto"/>
                        <w:bottom w:val="none" w:sz="0" w:space="0" w:color="auto"/>
                        <w:right w:val="none" w:sz="0" w:space="0" w:color="auto"/>
                      </w:divBdr>
                    </w:div>
                  </w:divsChild>
                </w:div>
                <w:div w:id="1550190465">
                  <w:marLeft w:val="0"/>
                  <w:marRight w:val="0"/>
                  <w:marTop w:val="0"/>
                  <w:marBottom w:val="0"/>
                  <w:divBdr>
                    <w:top w:val="none" w:sz="0" w:space="0" w:color="auto"/>
                    <w:left w:val="none" w:sz="0" w:space="0" w:color="auto"/>
                    <w:bottom w:val="none" w:sz="0" w:space="0" w:color="auto"/>
                    <w:right w:val="none" w:sz="0" w:space="0" w:color="auto"/>
                  </w:divBdr>
                  <w:divsChild>
                    <w:div w:id="9913271">
                      <w:marLeft w:val="0"/>
                      <w:marRight w:val="0"/>
                      <w:marTop w:val="0"/>
                      <w:marBottom w:val="0"/>
                      <w:divBdr>
                        <w:top w:val="none" w:sz="0" w:space="0" w:color="auto"/>
                        <w:left w:val="none" w:sz="0" w:space="0" w:color="auto"/>
                        <w:bottom w:val="none" w:sz="0" w:space="0" w:color="auto"/>
                        <w:right w:val="none" w:sz="0" w:space="0" w:color="auto"/>
                      </w:divBdr>
                    </w:div>
                  </w:divsChild>
                </w:div>
                <w:div w:id="1743022733">
                  <w:marLeft w:val="0"/>
                  <w:marRight w:val="0"/>
                  <w:marTop w:val="0"/>
                  <w:marBottom w:val="0"/>
                  <w:divBdr>
                    <w:top w:val="none" w:sz="0" w:space="0" w:color="auto"/>
                    <w:left w:val="none" w:sz="0" w:space="0" w:color="auto"/>
                    <w:bottom w:val="none" w:sz="0" w:space="0" w:color="auto"/>
                    <w:right w:val="none" w:sz="0" w:space="0" w:color="auto"/>
                  </w:divBdr>
                  <w:divsChild>
                    <w:div w:id="11437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7127">
          <w:marLeft w:val="0"/>
          <w:marRight w:val="0"/>
          <w:marTop w:val="0"/>
          <w:marBottom w:val="0"/>
          <w:divBdr>
            <w:top w:val="none" w:sz="0" w:space="0" w:color="auto"/>
            <w:left w:val="none" w:sz="0" w:space="0" w:color="auto"/>
            <w:bottom w:val="none" w:sz="0" w:space="0" w:color="auto"/>
            <w:right w:val="none" w:sz="0" w:space="0" w:color="auto"/>
          </w:divBdr>
        </w:div>
        <w:div w:id="1275213800">
          <w:marLeft w:val="0"/>
          <w:marRight w:val="0"/>
          <w:marTop w:val="0"/>
          <w:marBottom w:val="0"/>
          <w:divBdr>
            <w:top w:val="none" w:sz="0" w:space="0" w:color="auto"/>
            <w:left w:val="none" w:sz="0" w:space="0" w:color="auto"/>
            <w:bottom w:val="none" w:sz="0" w:space="0" w:color="auto"/>
            <w:right w:val="none" w:sz="0" w:space="0" w:color="auto"/>
          </w:divBdr>
        </w:div>
        <w:div w:id="1285039192">
          <w:marLeft w:val="0"/>
          <w:marRight w:val="0"/>
          <w:marTop w:val="0"/>
          <w:marBottom w:val="0"/>
          <w:divBdr>
            <w:top w:val="none" w:sz="0" w:space="0" w:color="auto"/>
            <w:left w:val="none" w:sz="0" w:space="0" w:color="auto"/>
            <w:bottom w:val="none" w:sz="0" w:space="0" w:color="auto"/>
            <w:right w:val="none" w:sz="0" w:space="0" w:color="auto"/>
          </w:divBdr>
        </w:div>
        <w:div w:id="1286345866">
          <w:marLeft w:val="0"/>
          <w:marRight w:val="0"/>
          <w:marTop w:val="0"/>
          <w:marBottom w:val="0"/>
          <w:divBdr>
            <w:top w:val="none" w:sz="0" w:space="0" w:color="auto"/>
            <w:left w:val="none" w:sz="0" w:space="0" w:color="auto"/>
            <w:bottom w:val="none" w:sz="0" w:space="0" w:color="auto"/>
            <w:right w:val="none" w:sz="0" w:space="0" w:color="auto"/>
          </w:divBdr>
        </w:div>
        <w:div w:id="1345665256">
          <w:marLeft w:val="0"/>
          <w:marRight w:val="0"/>
          <w:marTop w:val="0"/>
          <w:marBottom w:val="0"/>
          <w:divBdr>
            <w:top w:val="none" w:sz="0" w:space="0" w:color="auto"/>
            <w:left w:val="none" w:sz="0" w:space="0" w:color="auto"/>
            <w:bottom w:val="none" w:sz="0" w:space="0" w:color="auto"/>
            <w:right w:val="none" w:sz="0" w:space="0" w:color="auto"/>
          </w:divBdr>
        </w:div>
        <w:div w:id="1419522664">
          <w:marLeft w:val="0"/>
          <w:marRight w:val="0"/>
          <w:marTop w:val="0"/>
          <w:marBottom w:val="0"/>
          <w:divBdr>
            <w:top w:val="none" w:sz="0" w:space="0" w:color="auto"/>
            <w:left w:val="none" w:sz="0" w:space="0" w:color="auto"/>
            <w:bottom w:val="none" w:sz="0" w:space="0" w:color="auto"/>
            <w:right w:val="none" w:sz="0" w:space="0" w:color="auto"/>
          </w:divBdr>
        </w:div>
        <w:div w:id="1447311994">
          <w:marLeft w:val="0"/>
          <w:marRight w:val="0"/>
          <w:marTop w:val="0"/>
          <w:marBottom w:val="0"/>
          <w:divBdr>
            <w:top w:val="none" w:sz="0" w:space="0" w:color="auto"/>
            <w:left w:val="none" w:sz="0" w:space="0" w:color="auto"/>
            <w:bottom w:val="none" w:sz="0" w:space="0" w:color="auto"/>
            <w:right w:val="none" w:sz="0" w:space="0" w:color="auto"/>
          </w:divBdr>
        </w:div>
        <w:div w:id="1456634239">
          <w:marLeft w:val="0"/>
          <w:marRight w:val="0"/>
          <w:marTop w:val="0"/>
          <w:marBottom w:val="0"/>
          <w:divBdr>
            <w:top w:val="none" w:sz="0" w:space="0" w:color="auto"/>
            <w:left w:val="none" w:sz="0" w:space="0" w:color="auto"/>
            <w:bottom w:val="none" w:sz="0" w:space="0" w:color="auto"/>
            <w:right w:val="none" w:sz="0" w:space="0" w:color="auto"/>
          </w:divBdr>
        </w:div>
        <w:div w:id="1493644647">
          <w:marLeft w:val="0"/>
          <w:marRight w:val="0"/>
          <w:marTop w:val="0"/>
          <w:marBottom w:val="0"/>
          <w:divBdr>
            <w:top w:val="none" w:sz="0" w:space="0" w:color="auto"/>
            <w:left w:val="none" w:sz="0" w:space="0" w:color="auto"/>
            <w:bottom w:val="none" w:sz="0" w:space="0" w:color="auto"/>
            <w:right w:val="none" w:sz="0" w:space="0" w:color="auto"/>
          </w:divBdr>
        </w:div>
        <w:div w:id="1525360775">
          <w:marLeft w:val="0"/>
          <w:marRight w:val="0"/>
          <w:marTop w:val="0"/>
          <w:marBottom w:val="0"/>
          <w:divBdr>
            <w:top w:val="none" w:sz="0" w:space="0" w:color="auto"/>
            <w:left w:val="none" w:sz="0" w:space="0" w:color="auto"/>
            <w:bottom w:val="none" w:sz="0" w:space="0" w:color="auto"/>
            <w:right w:val="none" w:sz="0" w:space="0" w:color="auto"/>
          </w:divBdr>
        </w:div>
        <w:div w:id="1549106180">
          <w:marLeft w:val="0"/>
          <w:marRight w:val="0"/>
          <w:marTop w:val="0"/>
          <w:marBottom w:val="0"/>
          <w:divBdr>
            <w:top w:val="none" w:sz="0" w:space="0" w:color="auto"/>
            <w:left w:val="none" w:sz="0" w:space="0" w:color="auto"/>
            <w:bottom w:val="none" w:sz="0" w:space="0" w:color="auto"/>
            <w:right w:val="none" w:sz="0" w:space="0" w:color="auto"/>
          </w:divBdr>
        </w:div>
        <w:div w:id="1552382992">
          <w:marLeft w:val="0"/>
          <w:marRight w:val="0"/>
          <w:marTop w:val="0"/>
          <w:marBottom w:val="0"/>
          <w:divBdr>
            <w:top w:val="none" w:sz="0" w:space="0" w:color="auto"/>
            <w:left w:val="none" w:sz="0" w:space="0" w:color="auto"/>
            <w:bottom w:val="none" w:sz="0" w:space="0" w:color="auto"/>
            <w:right w:val="none" w:sz="0" w:space="0" w:color="auto"/>
          </w:divBdr>
        </w:div>
        <w:div w:id="1553465958">
          <w:marLeft w:val="0"/>
          <w:marRight w:val="0"/>
          <w:marTop w:val="0"/>
          <w:marBottom w:val="0"/>
          <w:divBdr>
            <w:top w:val="none" w:sz="0" w:space="0" w:color="auto"/>
            <w:left w:val="none" w:sz="0" w:space="0" w:color="auto"/>
            <w:bottom w:val="none" w:sz="0" w:space="0" w:color="auto"/>
            <w:right w:val="none" w:sz="0" w:space="0" w:color="auto"/>
          </w:divBdr>
          <w:divsChild>
            <w:div w:id="56439802">
              <w:marLeft w:val="0"/>
              <w:marRight w:val="0"/>
              <w:marTop w:val="0"/>
              <w:marBottom w:val="0"/>
              <w:divBdr>
                <w:top w:val="none" w:sz="0" w:space="0" w:color="auto"/>
                <w:left w:val="none" w:sz="0" w:space="0" w:color="auto"/>
                <w:bottom w:val="none" w:sz="0" w:space="0" w:color="auto"/>
                <w:right w:val="none" w:sz="0" w:space="0" w:color="auto"/>
              </w:divBdr>
            </w:div>
            <w:div w:id="392192657">
              <w:marLeft w:val="0"/>
              <w:marRight w:val="0"/>
              <w:marTop w:val="0"/>
              <w:marBottom w:val="0"/>
              <w:divBdr>
                <w:top w:val="none" w:sz="0" w:space="0" w:color="auto"/>
                <w:left w:val="none" w:sz="0" w:space="0" w:color="auto"/>
                <w:bottom w:val="none" w:sz="0" w:space="0" w:color="auto"/>
                <w:right w:val="none" w:sz="0" w:space="0" w:color="auto"/>
              </w:divBdr>
            </w:div>
            <w:div w:id="452097651">
              <w:marLeft w:val="0"/>
              <w:marRight w:val="0"/>
              <w:marTop w:val="0"/>
              <w:marBottom w:val="0"/>
              <w:divBdr>
                <w:top w:val="none" w:sz="0" w:space="0" w:color="auto"/>
                <w:left w:val="none" w:sz="0" w:space="0" w:color="auto"/>
                <w:bottom w:val="none" w:sz="0" w:space="0" w:color="auto"/>
                <w:right w:val="none" w:sz="0" w:space="0" w:color="auto"/>
              </w:divBdr>
            </w:div>
            <w:div w:id="482815715">
              <w:marLeft w:val="0"/>
              <w:marRight w:val="0"/>
              <w:marTop w:val="0"/>
              <w:marBottom w:val="0"/>
              <w:divBdr>
                <w:top w:val="none" w:sz="0" w:space="0" w:color="auto"/>
                <w:left w:val="none" w:sz="0" w:space="0" w:color="auto"/>
                <w:bottom w:val="none" w:sz="0" w:space="0" w:color="auto"/>
                <w:right w:val="none" w:sz="0" w:space="0" w:color="auto"/>
              </w:divBdr>
            </w:div>
            <w:div w:id="635531093">
              <w:marLeft w:val="0"/>
              <w:marRight w:val="0"/>
              <w:marTop w:val="0"/>
              <w:marBottom w:val="0"/>
              <w:divBdr>
                <w:top w:val="none" w:sz="0" w:space="0" w:color="auto"/>
                <w:left w:val="none" w:sz="0" w:space="0" w:color="auto"/>
                <w:bottom w:val="none" w:sz="0" w:space="0" w:color="auto"/>
                <w:right w:val="none" w:sz="0" w:space="0" w:color="auto"/>
              </w:divBdr>
            </w:div>
            <w:div w:id="638148358">
              <w:marLeft w:val="0"/>
              <w:marRight w:val="0"/>
              <w:marTop w:val="0"/>
              <w:marBottom w:val="0"/>
              <w:divBdr>
                <w:top w:val="none" w:sz="0" w:space="0" w:color="auto"/>
                <w:left w:val="none" w:sz="0" w:space="0" w:color="auto"/>
                <w:bottom w:val="none" w:sz="0" w:space="0" w:color="auto"/>
                <w:right w:val="none" w:sz="0" w:space="0" w:color="auto"/>
              </w:divBdr>
            </w:div>
            <w:div w:id="851146659">
              <w:marLeft w:val="0"/>
              <w:marRight w:val="0"/>
              <w:marTop w:val="0"/>
              <w:marBottom w:val="0"/>
              <w:divBdr>
                <w:top w:val="none" w:sz="0" w:space="0" w:color="auto"/>
                <w:left w:val="none" w:sz="0" w:space="0" w:color="auto"/>
                <w:bottom w:val="none" w:sz="0" w:space="0" w:color="auto"/>
                <w:right w:val="none" w:sz="0" w:space="0" w:color="auto"/>
              </w:divBdr>
            </w:div>
            <w:div w:id="855192562">
              <w:marLeft w:val="0"/>
              <w:marRight w:val="0"/>
              <w:marTop w:val="0"/>
              <w:marBottom w:val="0"/>
              <w:divBdr>
                <w:top w:val="none" w:sz="0" w:space="0" w:color="auto"/>
                <w:left w:val="none" w:sz="0" w:space="0" w:color="auto"/>
                <w:bottom w:val="none" w:sz="0" w:space="0" w:color="auto"/>
                <w:right w:val="none" w:sz="0" w:space="0" w:color="auto"/>
              </w:divBdr>
            </w:div>
            <w:div w:id="1124929349">
              <w:marLeft w:val="0"/>
              <w:marRight w:val="0"/>
              <w:marTop w:val="0"/>
              <w:marBottom w:val="0"/>
              <w:divBdr>
                <w:top w:val="none" w:sz="0" w:space="0" w:color="auto"/>
                <w:left w:val="none" w:sz="0" w:space="0" w:color="auto"/>
                <w:bottom w:val="none" w:sz="0" w:space="0" w:color="auto"/>
                <w:right w:val="none" w:sz="0" w:space="0" w:color="auto"/>
              </w:divBdr>
            </w:div>
            <w:div w:id="1180464639">
              <w:marLeft w:val="0"/>
              <w:marRight w:val="0"/>
              <w:marTop w:val="0"/>
              <w:marBottom w:val="0"/>
              <w:divBdr>
                <w:top w:val="none" w:sz="0" w:space="0" w:color="auto"/>
                <w:left w:val="none" w:sz="0" w:space="0" w:color="auto"/>
                <w:bottom w:val="none" w:sz="0" w:space="0" w:color="auto"/>
                <w:right w:val="none" w:sz="0" w:space="0" w:color="auto"/>
              </w:divBdr>
            </w:div>
            <w:div w:id="1245409416">
              <w:marLeft w:val="0"/>
              <w:marRight w:val="0"/>
              <w:marTop w:val="0"/>
              <w:marBottom w:val="0"/>
              <w:divBdr>
                <w:top w:val="none" w:sz="0" w:space="0" w:color="auto"/>
                <w:left w:val="none" w:sz="0" w:space="0" w:color="auto"/>
                <w:bottom w:val="none" w:sz="0" w:space="0" w:color="auto"/>
                <w:right w:val="none" w:sz="0" w:space="0" w:color="auto"/>
              </w:divBdr>
            </w:div>
            <w:div w:id="1409961910">
              <w:marLeft w:val="0"/>
              <w:marRight w:val="0"/>
              <w:marTop w:val="0"/>
              <w:marBottom w:val="0"/>
              <w:divBdr>
                <w:top w:val="none" w:sz="0" w:space="0" w:color="auto"/>
                <w:left w:val="none" w:sz="0" w:space="0" w:color="auto"/>
                <w:bottom w:val="none" w:sz="0" w:space="0" w:color="auto"/>
                <w:right w:val="none" w:sz="0" w:space="0" w:color="auto"/>
              </w:divBdr>
            </w:div>
            <w:div w:id="1436905963">
              <w:marLeft w:val="0"/>
              <w:marRight w:val="0"/>
              <w:marTop w:val="0"/>
              <w:marBottom w:val="0"/>
              <w:divBdr>
                <w:top w:val="none" w:sz="0" w:space="0" w:color="auto"/>
                <w:left w:val="none" w:sz="0" w:space="0" w:color="auto"/>
                <w:bottom w:val="none" w:sz="0" w:space="0" w:color="auto"/>
                <w:right w:val="none" w:sz="0" w:space="0" w:color="auto"/>
              </w:divBdr>
            </w:div>
            <w:div w:id="1509515388">
              <w:marLeft w:val="0"/>
              <w:marRight w:val="0"/>
              <w:marTop w:val="0"/>
              <w:marBottom w:val="0"/>
              <w:divBdr>
                <w:top w:val="none" w:sz="0" w:space="0" w:color="auto"/>
                <w:left w:val="none" w:sz="0" w:space="0" w:color="auto"/>
                <w:bottom w:val="none" w:sz="0" w:space="0" w:color="auto"/>
                <w:right w:val="none" w:sz="0" w:space="0" w:color="auto"/>
              </w:divBdr>
            </w:div>
            <w:div w:id="1547060104">
              <w:marLeft w:val="0"/>
              <w:marRight w:val="0"/>
              <w:marTop w:val="0"/>
              <w:marBottom w:val="0"/>
              <w:divBdr>
                <w:top w:val="none" w:sz="0" w:space="0" w:color="auto"/>
                <w:left w:val="none" w:sz="0" w:space="0" w:color="auto"/>
                <w:bottom w:val="none" w:sz="0" w:space="0" w:color="auto"/>
                <w:right w:val="none" w:sz="0" w:space="0" w:color="auto"/>
              </w:divBdr>
            </w:div>
            <w:div w:id="1799908892">
              <w:marLeft w:val="0"/>
              <w:marRight w:val="0"/>
              <w:marTop w:val="0"/>
              <w:marBottom w:val="0"/>
              <w:divBdr>
                <w:top w:val="none" w:sz="0" w:space="0" w:color="auto"/>
                <w:left w:val="none" w:sz="0" w:space="0" w:color="auto"/>
                <w:bottom w:val="none" w:sz="0" w:space="0" w:color="auto"/>
                <w:right w:val="none" w:sz="0" w:space="0" w:color="auto"/>
              </w:divBdr>
            </w:div>
            <w:div w:id="1888953020">
              <w:marLeft w:val="0"/>
              <w:marRight w:val="0"/>
              <w:marTop w:val="0"/>
              <w:marBottom w:val="0"/>
              <w:divBdr>
                <w:top w:val="none" w:sz="0" w:space="0" w:color="auto"/>
                <w:left w:val="none" w:sz="0" w:space="0" w:color="auto"/>
                <w:bottom w:val="none" w:sz="0" w:space="0" w:color="auto"/>
                <w:right w:val="none" w:sz="0" w:space="0" w:color="auto"/>
              </w:divBdr>
            </w:div>
            <w:div w:id="2097360210">
              <w:marLeft w:val="0"/>
              <w:marRight w:val="0"/>
              <w:marTop w:val="0"/>
              <w:marBottom w:val="0"/>
              <w:divBdr>
                <w:top w:val="none" w:sz="0" w:space="0" w:color="auto"/>
                <w:left w:val="none" w:sz="0" w:space="0" w:color="auto"/>
                <w:bottom w:val="none" w:sz="0" w:space="0" w:color="auto"/>
                <w:right w:val="none" w:sz="0" w:space="0" w:color="auto"/>
              </w:divBdr>
            </w:div>
            <w:div w:id="2124297679">
              <w:marLeft w:val="0"/>
              <w:marRight w:val="0"/>
              <w:marTop w:val="0"/>
              <w:marBottom w:val="0"/>
              <w:divBdr>
                <w:top w:val="none" w:sz="0" w:space="0" w:color="auto"/>
                <w:left w:val="none" w:sz="0" w:space="0" w:color="auto"/>
                <w:bottom w:val="none" w:sz="0" w:space="0" w:color="auto"/>
                <w:right w:val="none" w:sz="0" w:space="0" w:color="auto"/>
              </w:divBdr>
            </w:div>
          </w:divsChild>
        </w:div>
        <w:div w:id="1646665535">
          <w:marLeft w:val="0"/>
          <w:marRight w:val="0"/>
          <w:marTop w:val="0"/>
          <w:marBottom w:val="0"/>
          <w:divBdr>
            <w:top w:val="none" w:sz="0" w:space="0" w:color="auto"/>
            <w:left w:val="none" w:sz="0" w:space="0" w:color="auto"/>
            <w:bottom w:val="none" w:sz="0" w:space="0" w:color="auto"/>
            <w:right w:val="none" w:sz="0" w:space="0" w:color="auto"/>
          </w:divBdr>
          <w:divsChild>
            <w:div w:id="6102145">
              <w:marLeft w:val="0"/>
              <w:marRight w:val="0"/>
              <w:marTop w:val="0"/>
              <w:marBottom w:val="0"/>
              <w:divBdr>
                <w:top w:val="none" w:sz="0" w:space="0" w:color="auto"/>
                <w:left w:val="none" w:sz="0" w:space="0" w:color="auto"/>
                <w:bottom w:val="none" w:sz="0" w:space="0" w:color="auto"/>
                <w:right w:val="none" w:sz="0" w:space="0" w:color="auto"/>
              </w:divBdr>
            </w:div>
            <w:div w:id="38870881">
              <w:marLeft w:val="0"/>
              <w:marRight w:val="0"/>
              <w:marTop w:val="0"/>
              <w:marBottom w:val="0"/>
              <w:divBdr>
                <w:top w:val="none" w:sz="0" w:space="0" w:color="auto"/>
                <w:left w:val="none" w:sz="0" w:space="0" w:color="auto"/>
                <w:bottom w:val="none" w:sz="0" w:space="0" w:color="auto"/>
                <w:right w:val="none" w:sz="0" w:space="0" w:color="auto"/>
              </w:divBdr>
            </w:div>
            <w:div w:id="175731243">
              <w:marLeft w:val="0"/>
              <w:marRight w:val="0"/>
              <w:marTop w:val="0"/>
              <w:marBottom w:val="0"/>
              <w:divBdr>
                <w:top w:val="none" w:sz="0" w:space="0" w:color="auto"/>
                <w:left w:val="none" w:sz="0" w:space="0" w:color="auto"/>
                <w:bottom w:val="none" w:sz="0" w:space="0" w:color="auto"/>
                <w:right w:val="none" w:sz="0" w:space="0" w:color="auto"/>
              </w:divBdr>
            </w:div>
            <w:div w:id="199830040">
              <w:marLeft w:val="0"/>
              <w:marRight w:val="0"/>
              <w:marTop w:val="0"/>
              <w:marBottom w:val="0"/>
              <w:divBdr>
                <w:top w:val="none" w:sz="0" w:space="0" w:color="auto"/>
                <w:left w:val="none" w:sz="0" w:space="0" w:color="auto"/>
                <w:bottom w:val="none" w:sz="0" w:space="0" w:color="auto"/>
                <w:right w:val="none" w:sz="0" w:space="0" w:color="auto"/>
              </w:divBdr>
            </w:div>
            <w:div w:id="239217301">
              <w:marLeft w:val="0"/>
              <w:marRight w:val="0"/>
              <w:marTop w:val="0"/>
              <w:marBottom w:val="0"/>
              <w:divBdr>
                <w:top w:val="none" w:sz="0" w:space="0" w:color="auto"/>
                <w:left w:val="none" w:sz="0" w:space="0" w:color="auto"/>
                <w:bottom w:val="none" w:sz="0" w:space="0" w:color="auto"/>
                <w:right w:val="none" w:sz="0" w:space="0" w:color="auto"/>
              </w:divBdr>
            </w:div>
            <w:div w:id="286932259">
              <w:marLeft w:val="0"/>
              <w:marRight w:val="0"/>
              <w:marTop w:val="0"/>
              <w:marBottom w:val="0"/>
              <w:divBdr>
                <w:top w:val="none" w:sz="0" w:space="0" w:color="auto"/>
                <w:left w:val="none" w:sz="0" w:space="0" w:color="auto"/>
                <w:bottom w:val="none" w:sz="0" w:space="0" w:color="auto"/>
                <w:right w:val="none" w:sz="0" w:space="0" w:color="auto"/>
              </w:divBdr>
            </w:div>
            <w:div w:id="317073790">
              <w:marLeft w:val="0"/>
              <w:marRight w:val="0"/>
              <w:marTop w:val="0"/>
              <w:marBottom w:val="0"/>
              <w:divBdr>
                <w:top w:val="none" w:sz="0" w:space="0" w:color="auto"/>
                <w:left w:val="none" w:sz="0" w:space="0" w:color="auto"/>
                <w:bottom w:val="none" w:sz="0" w:space="0" w:color="auto"/>
                <w:right w:val="none" w:sz="0" w:space="0" w:color="auto"/>
              </w:divBdr>
            </w:div>
            <w:div w:id="334773884">
              <w:marLeft w:val="0"/>
              <w:marRight w:val="0"/>
              <w:marTop w:val="0"/>
              <w:marBottom w:val="0"/>
              <w:divBdr>
                <w:top w:val="none" w:sz="0" w:space="0" w:color="auto"/>
                <w:left w:val="none" w:sz="0" w:space="0" w:color="auto"/>
                <w:bottom w:val="none" w:sz="0" w:space="0" w:color="auto"/>
                <w:right w:val="none" w:sz="0" w:space="0" w:color="auto"/>
              </w:divBdr>
            </w:div>
            <w:div w:id="409549867">
              <w:marLeft w:val="0"/>
              <w:marRight w:val="0"/>
              <w:marTop w:val="0"/>
              <w:marBottom w:val="0"/>
              <w:divBdr>
                <w:top w:val="none" w:sz="0" w:space="0" w:color="auto"/>
                <w:left w:val="none" w:sz="0" w:space="0" w:color="auto"/>
                <w:bottom w:val="none" w:sz="0" w:space="0" w:color="auto"/>
                <w:right w:val="none" w:sz="0" w:space="0" w:color="auto"/>
              </w:divBdr>
            </w:div>
            <w:div w:id="448282568">
              <w:marLeft w:val="0"/>
              <w:marRight w:val="0"/>
              <w:marTop w:val="0"/>
              <w:marBottom w:val="0"/>
              <w:divBdr>
                <w:top w:val="none" w:sz="0" w:space="0" w:color="auto"/>
                <w:left w:val="none" w:sz="0" w:space="0" w:color="auto"/>
                <w:bottom w:val="none" w:sz="0" w:space="0" w:color="auto"/>
                <w:right w:val="none" w:sz="0" w:space="0" w:color="auto"/>
              </w:divBdr>
            </w:div>
            <w:div w:id="462503777">
              <w:marLeft w:val="0"/>
              <w:marRight w:val="0"/>
              <w:marTop w:val="0"/>
              <w:marBottom w:val="0"/>
              <w:divBdr>
                <w:top w:val="none" w:sz="0" w:space="0" w:color="auto"/>
                <w:left w:val="none" w:sz="0" w:space="0" w:color="auto"/>
                <w:bottom w:val="none" w:sz="0" w:space="0" w:color="auto"/>
                <w:right w:val="none" w:sz="0" w:space="0" w:color="auto"/>
              </w:divBdr>
            </w:div>
            <w:div w:id="628167825">
              <w:marLeft w:val="0"/>
              <w:marRight w:val="0"/>
              <w:marTop w:val="0"/>
              <w:marBottom w:val="0"/>
              <w:divBdr>
                <w:top w:val="none" w:sz="0" w:space="0" w:color="auto"/>
                <w:left w:val="none" w:sz="0" w:space="0" w:color="auto"/>
                <w:bottom w:val="none" w:sz="0" w:space="0" w:color="auto"/>
                <w:right w:val="none" w:sz="0" w:space="0" w:color="auto"/>
              </w:divBdr>
            </w:div>
            <w:div w:id="638612193">
              <w:marLeft w:val="0"/>
              <w:marRight w:val="0"/>
              <w:marTop w:val="0"/>
              <w:marBottom w:val="0"/>
              <w:divBdr>
                <w:top w:val="none" w:sz="0" w:space="0" w:color="auto"/>
                <w:left w:val="none" w:sz="0" w:space="0" w:color="auto"/>
                <w:bottom w:val="none" w:sz="0" w:space="0" w:color="auto"/>
                <w:right w:val="none" w:sz="0" w:space="0" w:color="auto"/>
              </w:divBdr>
            </w:div>
            <w:div w:id="723869464">
              <w:marLeft w:val="0"/>
              <w:marRight w:val="0"/>
              <w:marTop w:val="0"/>
              <w:marBottom w:val="0"/>
              <w:divBdr>
                <w:top w:val="none" w:sz="0" w:space="0" w:color="auto"/>
                <w:left w:val="none" w:sz="0" w:space="0" w:color="auto"/>
                <w:bottom w:val="none" w:sz="0" w:space="0" w:color="auto"/>
                <w:right w:val="none" w:sz="0" w:space="0" w:color="auto"/>
              </w:divBdr>
            </w:div>
            <w:div w:id="753359069">
              <w:marLeft w:val="0"/>
              <w:marRight w:val="0"/>
              <w:marTop w:val="0"/>
              <w:marBottom w:val="0"/>
              <w:divBdr>
                <w:top w:val="none" w:sz="0" w:space="0" w:color="auto"/>
                <w:left w:val="none" w:sz="0" w:space="0" w:color="auto"/>
                <w:bottom w:val="none" w:sz="0" w:space="0" w:color="auto"/>
                <w:right w:val="none" w:sz="0" w:space="0" w:color="auto"/>
              </w:divBdr>
            </w:div>
            <w:div w:id="859390649">
              <w:marLeft w:val="0"/>
              <w:marRight w:val="0"/>
              <w:marTop w:val="0"/>
              <w:marBottom w:val="0"/>
              <w:divBdr>
                <w:top w:val="none" w:sz="0" w:space="0" w:color="auto"/>
                <w:left w:val="none" w:sz="0" w:space="0" w:color="auto"/>
                <w:bottom w:val="none" w:sz="0" w:space="0" w:color="auto"/>
                <w:right w:val="none" w:sz="0" w:space="0" w:color="auto"/>
              </w:divBdr>
            </w:div>
            <w:div w:id="945425553">
              <w:marLeft w:val="0"/>
              <w:marRight w:val="0"/>
              <w:marTop w:val="0"/>
              <w:marBottom w:val="0"/>
              <w:divBdr>
                <w:top w:val="none" w:sz="0" w:space="0" w:color="auto"/>
                <w:left w:val="none" w:sz="0" w:space="0" w:color="auto"/>
                <w:bottom w:val="none" w:sz="0" w:space="0" w:color="auto"/>
                <w:right w:val="none" w:sz="0" w:space="0" w:color="auto"/>
              </w:divBdr>
            </w:div>
            <w:div w:id="960769675">
              <w:marLeft w:val="0"/>
              <w:marRight w:val="0"/>
              <w:marTop w:val="0"/>
              <w:marBottom w:val="0"/>
              <w:divBdr>
                <w:top w:val="none" w:sz="0" w:space="0" w:color="auto"/>
                <w:left w:val="none" w:sz="0" w:space="0" w:color="auto"/>
                <w:bottom w:val="none" w:sz="0" w:space="0" w:color="auto"/>
                <w:right w:val="none" w:sz="0" w:space="0" w:color="auto"/>
              </w:divBdr>
            </w:div>
            <w:div w:id="1042678953">
              <w:marLeft w:val="0"/>
              <w:marRight w:val="0"/>
              <w:marTop w:val="0"/>
              <w:marBottom w:val="0"/>
              <w:divBdr>
                <w:top w:val="none" w:sz="0" w:space="0" w:color="auto"/>
                <w:left w:val="none" w:sz="0" w:space="0" w:color="auto"/>
                <w:bottom w:val="none" w:sz="0" w:space="0" w:color="auto"/>
                <w:right w:val="none" w:sz="0" w:space="0" w:color="auto"/>
              </w:divBdr>
            </w:div>
            <w:div w:id="1075861391">
              <w:marLeft w:val="0"/>
              <w:marRight w:val="0"/>
              <w:marTop w:val="0"/>
              <w:marBottom w:val="0"/>
              <w:divBdr>
                <w:top w:val="none" w:sz="0" w:space="0" w:color="auto"/>
                <w:left w:val="none" w:sz="0" w:space="0" w:color="auto"/>
                <w:bottom w:val="none" w:sz="0" w:space="0" w:color="auto"/>
                <w:right w:val="none" w:sz="0" w:space="0" w:color="auto"/>
              </w:divBdr>
            </w:div>
            <w:div w:id="1089037502">
              <w:marLeft w:val="0"/>
              <w:marRight w:val="0"/>
              <w:marTop w:val="0"/>
              <w:marBottom w:val="0"/>
              <w:divBdr>
                <w:top w:val="none" w:sz="0" w:space="0" w:color="auto"/>
                <w:left w:val="none" w:sz="0" w:space="0" w:color="auto"/>
                <w:bottom w:val="none" w:sz="0" w:space="0" w:color="auto"/>
                <w:right w:val="none" w:sz="0" w:space="0" w:color="auto"/>
              </w:divBdr>
            </w:div>
            <w:div w:id="1103643929">
              <w:marLeft w:val="0"/>
              <w:marRight w:val="0"/>
              <w:marTop w:val="0"/>
              <w:marBottom w:val="0"/>
              <w:divBdr>
                <w:top w:val="none" w:sz="0" w:space="0" w:color="auto"/>
                <w:left w:val="none" w:sz="0" w:space="0" w:color="auto"/>
                <w:bottom w:val="none" w:sz="0" w:space="0" w:color="auto"/>
                <w:right w:val="none" w:sz="0" w:space="0" w:color="auto"/>
              </w:divBdr>
            </w:div>
            <w:div w:id="1136678657">
              <w:marLeft w:val="0"/>
              <w:marRight w:val="0"/>
              <w:marTop w:val="0"/>
              <w:marBottom w:val="0"/>
              <w:divBdr>
                <w:top w:val="none" w:sz="0" w:space="0" w:color="auto"/>
                <w:left w:val="none" w:sz="0" w:space="0" w:color="auto"/>
                <w:bottom w:val="none" w:sz="0" w:space="0" w:color="auto"/>
                <w:right w:val="none" w:sz="0" w:space="0" w:color="auto"/>
              </w:divBdr>
            </w:div>
            <w:div w:id="1181551727">
              <w:marLeft w:val="0"/>
              <w:marRight w:val="0"/>
              <w:marTop w:val="0"/>
              <w:marBottom w:val="0"/>
              <w:divBdr>
                <w:top w:val="none" w:sz="0" w:space="0" w:color="auto"/>
                <w:left w:val="none" w:sz="0" w:space="0" w:color="auto"/>
                <w:bottom w:val="none" w:sz="0" w:space="0" w:color="auto"/>
                <w:right w:val="none" w:sz="0" w:space="0" w:color="auto"/>
              </w:divBdr>
            </w:div>
            <w:div w:id="1225025461">
              <w:marLeft w:val="0"/>
              <w:marRight w:val="0"/>
              <w:marTop w:val="0"/>
              <w:marBottom w:val="0"/>
              <w:divBdr>
                <w:top w:val="none" w:sz="0" w:space="0" w:color="auto"/>
                <w:left w:val="none" w:sz="0" w:space="0" w:color="auto"/>
                <w:bottom w:val="none" w:sz="0" w:space="0" w:color="auto"/>
                <w:right w:val="none" w:sz="0" w:space="0" w:color="auto"/>
              </w:divBdr>
            </w:div>
            <w:div w:id="1236017202">
              <w:marLeft w:val="0"/>
              <w:marRight w:val="0"/>
              <w:marTop w:val="0"/>
              <w:marBottom w:val="0"/>
              <w:divBdr>
                <w:top w:val="none" w:sz="0" w:space="0" w:color="auto"/>
                <w:left w:val="none" w:sz="0" w:space="0" w:color="auto"/>
                <w:bottom w:val="none" w:sz="0" w:space="0" w:color="auto"/>
                <w:right w:val="none" w:sz="0" w:space="0" w:color="auto"/>
              </w:divBdr>
            </w:div>
            <w:div w:id="1261328986">
              <w:marLeft w:val="0"/>
              <w:marRight w:val="0"/>
              <w:marTop w:val="0"/>
              <w:marBottom w:val="0"/>
              <w:divBdr>
                <w:top w:val="none" w:sz="0" w:space="0" w:color="auto"/>
                <w:left w:val="none" w:sz="0" w:space="0" w:color="auto"/>
                <w:bottom w:val="none" w:sz="0" w:space="0" w:color="auto"/>
                <w:right w:val="none" w:sz="0" w:space="0" w:color="auto"/>
              </w:divBdr>
            </w:div>
            <w:div w:id="1294944333">
              <w:marLeft w:val="0"/>
              <w:marRight w:val="0"/>
              <w:marTop w:val="0"/>
              <w:marBottom w:val="0"/>
              <w:divBdr>
                <w:top w:val="none" w:sz="0" w:space="0" w:color="auto"/>
                <w:left w:val="none" w:sz="0" w:space="0" w:color="auto"/>
                <w:bottom w:val="none" w:sz="0" w:space="0" w:color="auto"/>
                <w:right w:val="none" w:sz="0" w:space="0" w:color="auto"/>
              </w:divBdr>
            </w:div>
            <w:div w:id="1301839086">
              <w:marLeft w:val="0"/>
              <w:marRight w:val="0"/>
              <w:marTop w:val="0"/>
              <w:marBottom w:val="0"/>
              <w:divBdr>
                <w:top w:val="none" w:sz="0" w:space="0" w:color="auto"/>
                <w:left w:val="none" w:sz="0" w:space="0" w:color="auto"/>
                <w:bottom w:val="none" w:sz="0" w:space="0" w:color="auto"/>
                <w:right w:val="none" w:sz="0" w:space="0" w:color="auto"/>
              </w:divBdr>
            </w:div>
            <w:div w:id="1394423311">
              <w:marLeft w:val="0"/>
              <w:marRight w:val="0"/>
              <w:marTop w:val="0"/>
              <w:marBottom w:val="0"/>
              <w:divBdr>
                <w:top w:val="none" w:sz="0" w:space="0" w:color="auto"/>
                <w:left w:val="none" w:sz="0" w:space="0" w:color="auto"/>
                <w:bottom w:val="none" w:sz="0" w:space="0" w:color="auto"/>
                <w:right w:val="none" w:sz="0" w:space="0" w:color="auto"/>
              </w:divBdr>
            </w:div>
            <w:div w:id="1437288166">
              <w:marLeft w:val="0"/>
              <w:marRight w:val="0"/>
              <w:marTop w:val="0"/>
              <w:marBottom w:val="0"/>
              <w:divBdr>
                <w:top w:val="none" w:sz="0" w:space="0" w:color="auto"/>
                <w:left w:val="none" w:sz="0" w:space="0" w:color="auto"/>
                <w:bottom w:val="none" w:sz="0" w:space="0" w:color="auto"/>
                <w:right w:val="none" w:sz="0" w:space="0" w:color="auto"/>
              </w:divBdr>
            </w:div>
            <w:div w:id="1517310352">
              <w:marLeft w:val="0"/>
              <w:marRight w:val="0"/>
              <w:marTop w:val="0"/>
              <w:marBottom w:val="0"/>
              <w:divBdr>
                <w:top w:val="none" w:sz="0" w:space="0" w:color="auto"/>
                <w:left w:val="none" w:sz="0" w:space="0" w:color="auto"/>
                <w:bottom w:val="none" w:sz="0" w:space="0" w:color="auto"/>
                <w:right w:val="none" w:sz="0" w:space="0" w:color="auto"/>
              </w:divBdr>
            </w:div>
            <w:div w:id="1574852800">
              <w:marLeft w:val="0"/>
              <w:marRight w:val="0"/>
              <w:marTop w:val="0"/>
              <w:marBottom w:val="0"/>
              <w:divBdr>
                <w:top w:val="none" w:sz="0" w:space="0" w:color="auto"/>
                <w:left w:val="none" w:sz="0" w:space="0" w:color="auto"/>
                <w:bottom w:val="none" w:sz="0" w:space="0" w:color="auto"/>
                <w:right w:val="none" w:sz="0" w:space="0" w:color="auto"/>
              </w:divBdr>
            </w:div>
            <w:div w:id="1581450393">
              <w:marLeft w:val="0"/>
              <w:marRight w:val="0"/>
              <w:marTop w:val="0"/>
              <w:marBottom w:val="0"/>
              <w:divBdr>
                <w:top w:val="none" w:sz="0" w:space="0" w:color="auto"/>
                <w:left w:val="none" w:sz="0" w:space="0" w:color="auto"/>
                <w:bottom w:val="none" w:sz="0" w:space="0" w:color="auto"/>
                <w:right w:val="none" w:sz="0" w:space="0" w:color="auto"/>
              </w:divBdr>
            </w:div>
            <w:div w:id="1654868341">
              <w:marLeft w:val="0"/>
              <w:marRight w:val="0"/>
              <w:marTop w:val="0"/>
              <w:marBottom w:val="0"/>
              <w:divBdr>
                <w:top w:val="none" w:sz="0" w:space="0" w:color="auto"/>
                <w:left w:val="none" w:sz="0" w:space="0" w:color="auto"/>
                <w:bottom w:val="none" w:sz="0" w:space="0" w:color="auto"/>
                <w:right w:val="none" w:sz="0" w:space="0" w:color="auto"/>
              </w:divBdr>
            </w:div>
            <w:div w:id="1686708785">
              <w:marLeft w:val="0"/>
              <w:marRight w:val="0"/>
              <w:marTop w:val="0"/>
              <w:marBottom w:val="0"/>
              <w:divBdr>
                <w:top w:val="none" w:sz="0" w:space="0" w:color="auto"/>
                <w:left w:val="none" w:sz="0" w:space="0" w:color="auto"/>
                <w:bottom w:val="none" w:sz="0" w:space="0" w:color="auto"/>
                <w:right w:val="none" w:sz="0" w:space="0" w:color="auto"/>
              </w:divBdr>
            </w:div>
            <w:div w:id="1700356309">
              <w:marLeft w:val="0"/>
              <w:marRight w:val="0"/>
              <w:marTop w:val="0"/>
              <w:marBottom w:val="0"/>
              <w:divBdr>
                <w:top w:val="none" w:sz="0" w:space="0" w:color="auto"/>
                <w:left w:val="none" w:sz="0" w:space="0" w:color="auto"/>
                <w:bottom w:val="none" w:sz="0" w:space="0" w:color="auto"/>
                <w:right w:val="none" w:sz="0" w:space="0" w:color="auto"/>
              </w:divBdr>
            </w:div>
            <w:div w:id="1712263916">
              <w:marLeft w:val="0"/>
              <w:marRight w:val="0"/>
              <w:marTop w:val="0"/>
              <w:marBottom w:val="0"/>
              <w:divBdr>
                <w:top w:val="none" w:sz="0" w:space="0" w:color="auto"/>
                <w:left w:val="none" w:sz="0" w:space="0" w:color="auto"/>
                <w:bottom w:val="none" w:sz="0" w:space="0" w:color="auto"/>
                <w:right w:val="none" w:sz="0" w:space="0" w:color="auto"/>
              </w:divBdr>
            </w:div>
            <w:div w:id="1764303716">
              <w:marLeft w:val="0"/>
              <w:marRight w:val="0"/>
              <w:marTop w:val="0"/>
              <w:marBottom w:val="0"/>
              <w:divBdr>
                <w:top w:val="none" w:sz="0" w:space="0" w:color="auto"/>
                <w:left w:val="none" w:sz="0" w:space="0" w:color="auto"/>
                <w:bottom w:val="none" w:sz="0" w:space="0" w:color="auto"/>
                <w:right w:val="none" w:sz="0" w:space="0" w:color="auto"/>
              </w:divBdr>
            </w:div>
            <w:div w:id="1950165855">
              <w:marLeft w:val="0"/>
              <w:marRight w:val="0"/>
              <w:marTop w:val="0"/>
              <w:marBottom w:val="0"/>
              <w:divBdr>
                <w:top w:val="none" w:sz="0" w:space="0" w:color="auto"/>
                <w:left w:val="none" w:sz="0" w:space="0" w:color="auto"/>
                <w:bottom w:val="none" w:sz="0" w:space="0" w:color="auto"/>
                <w:right w:val="none" w:sz="0" w:space="0" w:color="auto"/>
              </w:divBdr>
            </w:div>
            <w:div w:id="1950505633">
              <w:marLeft w:val="0"/>
              <w:marRight w:val="0"/>
              <w:marTop w:val="0"/>
              <w:marBottom w:val="0"/>
              <w:divBdr>
                <w:top w:val="none" w:sz="0" w:space="0" w:color="auto"/>
                <w:left w:val="none" w:sz="0" w:space="0" w:color="auto"/>
                <w:bottom w:val="none" w:sz="0" w:space="0" w:color="auto"/>
                <w:right w:val="none" w:sz="0" w:space="0" w:color="auto"/>
              </w:divBdr>
              <w:divsChild>
                <w:div w:id="280839362">
                  <w:marLeft w:val="-75"/>
                  <w:marRight w:val="0"/>
                  <w:marTop w:val="30"/>
                  <w:marBottom w:val="30"/>
                  <w:divBdr>
                    <w:top w:val="none" w:sz="0" w:space="0" w:color="auto"/>
                    <w:left w:val="none" w:sz="0" w:space="0" w:color="auto"/>
                    <w:bottom w:val="none" w:sz="0" w:space="0" w:color="auto"/>
                    <w:right w:val="none" w:sz="0" w:space="0" w:color="auto"/>
                  </w:divBdr>
                  <w:divsChild>
                    <w:div w:id="127284234">
                      <w:marLeft w:val="0"/>
                      <w:marRight w:val="0"/>
                      <w:marTop w:val="0"/>
                      <w:marBottom w:val="0"/>
                      <w:divBdr>
                        <w:top w:val="none" w:sz="0" w:space="0" w:color="auto"/>
                        <w:left w:val="none" w:sz="0" w:space="0" w:color="auto"/>
                        <w:bottom w:val="none" w:sz="0" w:space="0" w:color="auto"/>
                        <w:right w:val="none" w:sz="0" w:space="0" w:color="auto"/>
                      </w:divBdr>
                      <w:divsChild>
                        <w:div w:id="845559942">
                          <w:marLeft w:val="0"/>
                          <w:marRight w:val="0"/>
                          <w:marTop w:val="0"/>
                          <w:marBottom w:val="0"/>
                          <w:divBdr>
                            <w:top w:val="none" w:sz="0" w:space="0" w:color="auto"/>
                            <w:left w:val="none" w:sz="0" w:space="0" w:color="auto"/>
                            <w:bottom w:val="none" w:sz="0" w:space="0" w:color="auto"/>
                            <w:right w:val="none" w:sz="0" w:space="0" w:color="auto"/>
                          </w:divBdr>
                        </w:div>
                        <w:div w:id="1976909678">
                          <w:marLeft w:val="0"/>
                          <w:marRight w:val="0"/>
                          <w:marTop w:val="0"/>
                          <w:marBottom w:val="0"/>
                          <w:divBdr>
                            <w:top w:val="none" w:sz="0" w:space="0" w:color="auto"/>
                            <w:left w:val="none" w:sz="0" w:space="0" w:color="auto"/>
                            <w:bottom w:val="none" w:sz="0" w:space="0" w:color="auto"/>
                            <w:right w:val="none" w:sz="0" w:space="0" w:color="auto"/>
                          </w:divBdr>
                        </w:div>
                      </w:divsChild>
                    </w:div>
                    <w:div w:id="302932397">
                      <w:marLeft w:val="0"/>
                      <w:marRight w:val="0"/>
                      <w:marTop w:val="0"/>
                      <w:marBottom w:val="0"/>
                      <w:divBdr>
                        <w:top w:val="none" w:sz="0" w:space="0" w:color="auto"/>
                        <w:left w:val="none" w:sz="0" w:space="0" w:color="auto"/>
                        <w:bottom w:val="none" w:sz="0" w:space="0" w:color="auto"/>
                        <w:right w:val="none" w:sz="0" w:space="0" w:color="auto"/>
                      </w:divBdr>
                      <w:divsChild>
                        <w:div w:id="61102647">
                          <w:marLeft w:val="0"/>
                          <w:marRight w:val="0"/>
                          <w:marTop w:val="0"/>
                          <w:marBottom w:val="0"/>
                          <w:divBdr>
                            <w:top w:val="none" w:sz="0" w:space="0" w:color="auto"/>
                            <w:left w:val="none" w:sz="0" w:space="0" w:color="auto"/>
                            <w:bottom w:val="none" w:sz="0" w:space="0" w:color="auto"/>
                            <w:right w:val="none" w:sz="0" w:space="0" w:color="auto"/>
                          </w:divBdr>
                        </w:div>
                      </w:divsChild>
                    </w:div>
                    <w:div w:id="371803452">
                      <w:marLeft w:val="0"/>
                      <w:marRight w:val="0"/>
                      <w:marTop w:val="0"/>
                      <w:marBottom w:val="0"/>
                      <w:divBdr>
                        <w:top w:val="none" w:sz="0" w:space="0" w:color="auto"/>
                        <w:left w:val="none" w:sz="0" w:space="0" w:color="auto"/>
                        <w:bottom w:val="none" w:sz="0" w:space="0" w:color="auto"/>
                        <w:right w:val="none" w:sz="0" w:space="0" w:color="auto"/>
                      </w:divBdr>
                      <w:divsChild>
                        <w:div w:id="987711734">
                          <w:marLeft w:val="0"/>
                          <w:marRight w:val="0"/>
                          <w:marTop w:val="0"/>
                          <w:marBottom w:val="0"/>
                          <w:divBdr>
                            <w:top w:val="none" w:sz="0" w:space="0" w:color="auto"/>
                            <w:left w:val="none" w:sz="0" w:space="0" w:color="auto"/>
                            <w:bottom w:val="none" w:sz="0" w:space="0" w:color="auto"/>
                            <w:right w:val="none" w:sz="0" w:space="0" w:color="auto"/>
                          </w:divBdr>
                        </w:div>
                      </w:divsChild>
                    </w:div>
                    <w:div w:id="441728226">
                      <w:marLeft w:val="0"/>
                      <w:marRight w:val="0"/>
                      <w:marTop w:val="0"/>
                      <w:marBottom w:val="0"/>
                      <w:divBdr>
                        <w:top w:val="none" w:sz="0" w:space="0" w:color="auto"/>
                        <w:left w:val="none" w:sz="0" w:space="0" w:color="auto"/>
                        <w:bottom w:val="none" w:sz="0" w:space="0" w:color="auto"/>
                        <w:right w:val="none" w:sz="0" w:space="0" w:color="auto"/>
                      </w:divBdr>
                      <w:divsChild>
                        <w:div w:id="854079029">
                          <w:marLeft w:val="0"/>
                          <w:marRight w:val="0"/>
                          <w:marTop w:val="0"/>
                          <w:marBottom w:val="0"/>
                          <w:divBdr>
                            <w:top w:val="none" w:sz="0" w:space="0" w:color="auto"/>
                            <w:left w:val="none" w:sz="0" w:space="0" w:color="auto"/>
                            <w:bottom w:val="none" w:sz="0" w:space="0" w:color="auto"/>
                            <w:right w:val="none" w:sz="0" w:space="0" w:color="auto"/>
                          </w:divBdr>
                        </w:div>
                      </w:divsChild>
                    </w:div>
                    <w:div w:id="562370953">
                      <w:marLeft w:val="0"/>
                      <w:marRight w:val="0"/>
                      <w:marTop w:val="0"/>
                      <w:marBottom w:val="0"/>
                      <w:divBdr>
                        <w:top w:val="none" w:sz="0" w:space="0" w:color="auto"/>
                        <w:left w:val="none" w:sz="0" w:space="0" w:color="auto"/>
                        <w:bottom w:val="none" w:sz="0" w:space="0" w:color="auto"/>
                        <w:right w:val="none" w:sz="0" w:space="0" w:color="auto"/>
                      </w:divBdr>
                      <w:divsChild>
                        <w:div w:id="1578631549">
                          <w:marLeft w:val="0"/>
                          <w:marRight w:val="0"/>
                          <w:marTop w:val="0"/>
                          <w:marBottom w:val="0"/>
                          <w:divBdr>
                            <w:top w:val="none" w:sz="0" w:space="0" w:color="auto"/>
                            <w:left w:val="none" w:sz="0" w:space="0" w:color="auto"/>
                            <w:bottom w:val="none" w:sz="0" w:space="0" w:color="auto"/>
                            <w:right w:val="none" w:sz="0" w:space="0" w:color="auto"/>
                          </w:divBdr>
                        </w:div>
                      </w:divsChild>
                    </w:div>
                    <w:div w:id="1105610598">
                      <w:marLeft w:val="0"/>
                      <w:marRight w:val="0"/>
                      <w:marTop w:val="0"/>
                      <w:marBottom w:val="0"/>
                      <w:divBdr>
                        <w:top w:val="none" w:sz="0" w:space="0" w:color="auto"/>
                        <w:left w:val="none" w:sz="0" w:space="0" w:color="auto"/>
                        <w:bottom w:val="none" w:sz="0" w:space="0" w:color="auto"/>
                        <w:right w:val="none" w:sz="0" w:space="0" w:color="auto"/>
                      </w:divBdr>
                      <w:divsChild>
                        <w:div w:id="895820130">
                          <w:marLeft w:val="0"/>
                          <w:marRight w:val="0"/>
                          <w:marTop w:val="0"/>
                          <w:marBottom w:val="0"/>
                          <w:divBdr>
                            <w:top w:val="none" w:sz="0" w:space="0" w:color="auto"/>
                            <w:left w:val="none" w:sz="0" w:space="0" w:color="auto"/>
                            <w:bottom w:val="none" w:sz="0" w:space="0" w:color="auto"/>
                            <w:right w:val="none" w:sz="0" w:space="0" w:color="auto"/>
                          </w:divBdr>
                        </w:div>
                        <w:div w:id="1577276270">
                          <w:marLeft w:val="0"/>
                          <w:marRight w:val="0"/>
                          <w:marTop w:val="0"/>
                          <w:marBottom w:val="0"/>
                          <w:divBdr>
                            <w:top w:val="none" w:sz="0" w:space="0" w:color="auto"/>
                            <w:left w:val="none" w:sz="0" w:space="0" w:color="auto"/>
                            <w:bottom w:val="none" w:sz="0" w:space="0" w:color="auto"/>
                            <w:right w:val="none" w:sz="0" w:space="0" w:color="auto"/>
                          </w:divBdr>
                        </w:div>
                      </w:divsChild>
                    </w:div>
                    <w:div w:id="1487623891">
                      <w:marLeft w:val="0"/>
                      <w:marRight w:val="0"/>
                      <w:marTop w:val="0"/>
                      <w:marBottom w:val="0"/>
                      <w:divBdr>
                        <w:top w:val="none" w:sz="0" w:space="0" w:color="auto"/>
                        <w:left w:val="none" w:sz="0" w:space="0" w:color="auto"/>
                        <w:bottom w:val="none" w:sz="0" w:space="0" w:color="auto"/>
                        <w:right w:val="none" w:sz="0" w:space="0" w:color="auto"/>
                      </w:divBdr>
                      <w:divsChild>
                        <w:div w:id="701172182">
                          <w:marLeft w:val="0"/>
                          <w:marRight w:val="0"/>
                          <w:marTop w:val="0"/>
                          <w:marBottom w:val="0"/>
                          <w:divBdr>
                            <w:top w:val="none" w:sz="0" w:space="0" w:color="auto"/>
                            <w:left w:val="none" w:sz="0" w:space="0" w:color="auto"/>
                            <w:bottom w:val="none" w:sz="0" w:space="0" w:color="auto"/>
                            <w:right w:val="none" w:sz="0" w:space="0" w:color="auto"/>
                          </w:divBdr>
                        </w:div>
                        <w:div w:id="1420367669">
                          <w:marLeft w:val="0"/>
                          <w:marRight w:val="0"/>
                          <w:marTop w:val="0"/>
                          <w:marBottom w:val="0"/>
                          <w:divBdr>
                            <w:top w:val="none" w:sz="0" w:space="0" w:color="auto"/>
                            <w:left w:val="none" w:sz="0" w:space="0" w:color="auto"/>
                            <w:bottom w:val="none" w:sz="0" w:space="0" w:color="auto"/>
                            <w:right w:val="none" w:sz="0" w:space="0" w:color="auto"/>
                          </w:divBdr>
                        </w:div>
                        <w:div w:id="1539275850">
                          <w:marLeft w:val="0"/>
                          <w:marRight w:val="0"/>
                          <w:marTop w:val="0"/>
                          <w:marBottom w:val="0"/>
                          <w:divBdr>
                            <w:top w:val="none" w:sz="0" w:space="0" w:color="auto"/>
                            <w:left w:val="none" w:sz="0" w:space="0" w:color="auto"/>
                            <w:bottom w:val="none" w:sz="0" w:space="0" w:color="auto"/>
                            <w:right w:val="none" w:sz="0" w:space="0" w:color="auto"/>
                          </w:divBdr>
                        </w:div>
                      </w:divsChild>
                    </w:div>
                    <w:div w:id="1527668781">
                      <w:marLeft w:val="0"/>
                      <w:marRight w:val="0"/>
                      <w:marTop w:val="0"/>
                      <w:marBottom w:val="0"/>
                      <w:divBdr>
                        <w:top w:val="none" w:sz="0" w:space="0" w:color="auto"/>
                        <w:left w:val="none" w:sz="0" w:space="0" w:color="auto"/>
                        <w:bottom w:val="none" w:sz="0" w:space="0" w:color="auto"/>
                        <w:right w:val="none" w:sz="0" w:space="0" w:color="auto"/>
                      </w:divBdr>
                      <w:divsChild>
                        <w:div w:id="1968507697">
                          <w:marLeft w:val="0"/>
                          <w:marRight w:val="0"/>
                          <w:marTop w:val="0"/>
                          <w:marBottom w:val="0"/>
                          <w:divBdr>
                            <w:top w:val="none" w:sz="0" w:space="0" w:color="auto"/>
                            <w:left w:val="none" w:sz="0" w:space="0" w:color="auto"/>
                            <w:bottom w:val="none" w:sz="0" w:space="0" w:color="auto"/>
                            <w:right w:val="none" w:sz="0" w:space="0" w:color="auto"/>
                          </w:divBdr>
                        </w:div>
                      </w:divsChild>
                    </w:div>
                    <w:div w:id="1634215572">
                      <w:marLeft w:val="0"/>
                      <w:marRight w:val="0"/>
                      <w:marTop w:val="0"/>
                      <w:marBottom w:val="0"/>
                      <w:divBdr>
                        <w:top w:val="none" w:sz="0" w:space="0" w:color="auto"/>
                        <w:left w:val="none" w:sz="0" w:space="0" w:color="auto"/>
                        <w:bottom w:val="none" w:sz="0" w:space="0" w:color="auto"/>
                        <w:right w:val="none" w:sz="0" w:space="0" w:color="auto"/>
                      </w:divBdr>
                      <w:divsChild>
                        <w:div w:id="236596626">
                          <w:marLeft w:val="0"/>
                          <w:marRight w:val="0"/>
                          <w:marTop w:val="0"/>
                          <w:marBottom w:val="0"/>
                          <w:divBdr>
                            <w:top w:val="none" w:sz="0" w:space="0" w:color="auto"/>
                            <w:left w:val="none" w:sz="0" w:space="0" w:color="auto"/>
                            <w:bottom w:val="none" w:sz="0" w:space="0" w:color="auto"/>
                            <w:right w:val="none" w:sz="0" w:space="0" w:color="auto"/>
                          </w:divBdr>
                        </w:div>
                      </w:divsChild>
                    </w:div>
                    <w:div w:id="1909149322">
                      <w:marLeft w:val="0"/>
                      <w:marRight w:val="0"/>
                      <w:marTop w:val="0"/>
                      <w:marBottom w:val="0"/>
                      <w:divBdr>
                        <w:top w:val="none" w:sz="0" w:space="0" w:color="auto"/>
                        <w:left w:val="none" w:sz="0" w:space="0" w:color="auto"/>
                        <w:bottom w:val="none" w:sz="0" w:space="0" w:color="auto"/>
                        <w:right w:val="none" w:sz="0" w:space="0" w:color="auto"/>
                      </w:divBdr>
                      <w:divsChild>
                        <w:div w:id="1428963369">
                          <w:marLeft w:val="0"/>
                          <w:marRight w:val="0"/>
                          <w:marTop w:val="0"/>
                          <w:marBottom w:val="0"/>
                          <w:divBdr>
                            <w:top w:val="none" w:sz="0" w:space="0" w:color="auto"/>
                            <w:left w:val="none" w:sz="0" w:space="0" w:color="auto"/>
                            <w:bottom w:val="none" w:sz="0" w:space="0" w:color="auto"/>
                            <w:right w:val="none" w:sz="0" w:space="0" w:color="auto"/>
                          </w:divBdr>
                        </w:div>
                      </w:divsChild>
                    </w:div>
                    <w:div w:id="2038696644">
                      <w:marLeft w:val="0"/>
                      <w:marRight w:val="0"/>
                      <w:marTop w:val="0"/>
                      <w:marBottom w:val="0"/>
                      <w:divBdr>
                        <w:top w:val="none" w:sz="0" w:space="0" w:color="auto"/>
                        <w:left w:val="none" w:sz="0" w:space="0" w:color="auto"/>
                        <w:bottom w:val="none" w:sz="0" w:space="0" w:color="auto"/>
                        <w:right w:val="none" w:sz="0" w:space="0" w:color="auto"/>
                      </w:divBdr>
                      <w:divsChild>
                        <w:div w:id="1101336924">
                          <w:marLeft w:val="0"/>
                          <w:marRight w:val="0"/>
                          <w:marTop w:val="0"/>
                          <w:marBottom w:val="0"/>
                          <w:divBdr>
                            <w:top w:val="none" w:sz="0" w:space="0" w:color="auto"/>
                            <w:left w:val="none" w:sz="0" w:space="0" w:color="auto"/>
                            <w:bottom w:val="none" w:sz="0" w:space="0" w:color="auto"/>
                            <w:right w:val="none" w:sz="0" w:space="0" w:color="auto"/>
                          </w:divBdr>
                        </w:div>
                      </w:divsChild>
                    </w:div>
                    <w:div w:id="2126728940">
                      <w:marLeft w:val="0"/>
                      <w:marRight w:val="0"/>
                      <w:marTop w:val="0"/>
                      <w:marBottom w:val="0"/>
                      <w:divBdr>
                        <w:top w:val="none" w:sz="0" w:space="0" w:color="auto"/>
                        <w:left w:val="none" w:sz="0" w:space="0" w:color="auto"/>
                        <w:bottom w:val="none" w:sz="0" w:space="0" w:color="auto"/>
                        <w:right w:val="none" w:sz="0" w:space="0" w:color="auto"/>
                      </w:divBdr>
                      <w:divsChild>
                        <w:div w:id="38059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48356">
              <w:marLeft w:val="0"/>
              <w:marRight w:val="0"/>
              <w:marTop w:val="0"/>
              <w:marBottom w:val="0"/>
              <w:divBdr>
                <w:top w:val="none" w:sz="0" w:space="0" w:color="auto"/>
                <w:left w:val="none" w:sz="0" w:space="0" w:color="auto"/>
                <w:bottom w:val="none" w:sz="0" w:space="0" w:color="auto"/>
                <w:right w:val="none" w:sz="0" w:space="0" w:color="auto"/>
              </w:divBdr>
            </w:div>
            <w:div w:id="2058845817">
              <w:marLeft w:val="0"/>
              <w:marRight w:val="0"/>
              <w:marTop w:val="0"/>
              <w:marBottom w:val="0"/>
              <w:divBdr>
                <w:top w:val="none" w:sz="0" w:space="0" w:color="auto"/>
                <w:left w:val="none" w:sz="0" w:space="0" w:color="auto"/>
                <w:bottom w:val="none" w:sz="0" w:space="0" w:color="auto"/>
                <w:right w:val="none" w:sz="0" w:space="0" w:color="auto"/>
              </w:divBdr>
            </w:div>
            <w:div w:id="2071538981">
              <w:marLeft w:val="0"/>
              <w:marRight w:val="0"/>
              <w:marTop w:val="0"/>
              <w:marBottom w:val="0"/>
              <w:divBdr>
                <w:top w:val="none" w:sz="0" w:space="0" w:color="auto"/>
                <w:left w:val="none" w:sz="0" w:space="0" w:color="auto"/>
                <w:bottom w:val="none" w:sz="0" w:space="0" w:color="auto"/>
                <w:right w:val="none" w:sz="0" w:space="0" w:color="auto"/>
              </w:divBdr>
            </w:div>
            <w:div w:id="2081051368">
              <w:marLeft w:val="0"/>
              <w:marRight w:val="0"/>
              <w:marTop w:val="0"/>
              <w:marBottom w:val="0"/>
              <w:divBdr>
                <w:top w:val="none" w:sz="0" w:space="0" w:color="auto"/>
                <w:left w:val="none" w:sz="0" w:space="0" w:color="auto"/>
                <w:bottom w:val="none" w:sz="0" w:space="0" w:color="auto"/>
                <w:right w:val="none" w:sz="0" w:space="0" w:color="auto"/>
              </w:divBdr>
            </w:div>
            <w:div w:id="2084907821">
              <w:marLeft w:val="0"/>
              <w:marRight w:val="0"/>
              <w:marTop w:val="0"/>
              <w:marBottom w:val="0"/>
              <w:divBdr>
                <w:top w:val="none" w:sz="0" w:space="0" w:color="auto"/>
                <w:left w:val="none" w:sz="0" w:space="0" w:color="auto"/>
                <w:bottom w:val="none" w:sz="0" w:space="0" w:color="auto"/>
                <w:right w:val="none" w:sz="0" w:space="0" w:color="auto"/>
              </w:divBdr>
            </w:div>
            <w:div w:id="2110928483">
              <w:marLeft w:val="0"/>
              <w:marRight w:val="0"/>
              <w:marTop w:val="0"/>
              <w:marBottom w:val="0"/>
              <w:divBdr>
                <w:top w:val="none" w:sz="0" w:space="0" w:color="auto"/>
                <w:left w:val="none" w:sz="0" w:space="0" w:color="auto"/>
                <w:bottom w:val="none" w:sz="0" w:space="0" w:color="auto"/>
                <w:right w:val="none" w:sz="0" w:space="0" w:color="auto"/>
              </w:divBdr>
            </w:div>
            <w:div w:id="2121758417">
              <w:marLeft w:val="0"/>
              <w:marRight w:val="0"/>
              <w:marTop w:val="0"/>
              <w:marBottom w:val="0"/>
              <w:divBdr>
                <w:top w:val="none" w:sz="0" w:space="0" w:color="auto"/>
                <w:left w:val="none" w:sz="0" w:space="0" w:color="auto"/>
                <w:bottom w:val="none" w:sz="0" w:space="0" w:color="auto"/>
                <w:right w:val="none" w:sz="0" w:space="0" w:color="auto"/>
              </w:divBdr>
            </w:div>
            <w:div w:id="2136168755">
              <w:marLeft w:val="0"/>
              <w:marRight w:val="0"/>
              <w:marTop w:val="0"/>
              <w:marBottom w:val="0"/>
              <w:divBdr>
                <w:top w:val="none" w:sz="0" w:space="0" w:color="auto"/>
                <w:left w:val="none" w:sz="0" w:space="0" w:color="auto"/>
                <w:bottom w:val="none" w:sz="0" w:space="0" w:color="auto"/>
                <w:right w:val="none" w:sz="0" w:space="0" w:color="auto"/>
              </w:divBdr>
            </w:div>
          </w:divsChild>
        </w:div>
        <w:div w:id="1667049532">
          <w:marLeft w:val="0"/>
          <w:marRight w:val="0"/>
          <w:marTop w:val="0"/>
          <w:marBottom w:val="0"/>
          <w:divBdr>
            <w:top w:val="none" w:sz="0" w:space="0" w:color="auto"/>
            <w:left w:val="none" w:sz="0" w:space="0" w:color="auto"/>
            <w:bottom w:val="none" w:sz="0" w:space="0" w:color="auto"/>
            <w:right w:val="none" w:sz="0" w:space="0" w:color="auto"/>
          </w:divBdr>
        </w:div>
        <w:div w:id="1703944401">
          <w:marLeft w:val="0"/>
          <w:marRight w:val="0"/>
          <w:marTop w:val="0"/>
          <w:marBottom w:val="0"/>
          <w:divBdr>
            <w:top w:val="none" w:sz="0" w:space="0" w:color="auto"/>
            <w:left w:val="none" w:sz="0" w:space="0" w:color="auto"/>
            <w:bottom w:val="none" w:sz="0" w:space="0" w:color="auto"/>
            <w:right w:val="none" w:sz="0" w:space="0" w:color="auto"/>
          </w:divBdr>
        </w:div>
        <w:div w:id="1757705783">
          <w:marLeft w:val="0"/>
          <w:marRight w:val="0"/>
          <w:marTop w:val="0"/>
          <w:marBottom w:val="0"/>
          <w:divBdr>
            <w:top w:val="none" w:sz="0" w:space="0" w:color="auto"/>
            <w:left w:val="none" w:sz="0" w:space="0" w:color="auto"/>
            <w:bottom w:val="none" w:sz="0" w:space="0" w:color="auto"/>
            <w:right w:val="none" w:sz="0" w:space="0" w:color="auto"/>
          </w:divBdr>
        </w:div>
        <w:div w:id="1774743073">
          <w:marLeft w:val="0"/>
          <w:marRight w:val="0"/>
          <w:marTop w:val="0"/>
          <w:marBottom w:val="0"/>
          <w:divBdr>
            <w:top w:val="none" w:sz="0" w:space="0" w:color="auto"/>
            <w:left w:val="none" w:sz="0" w:space="0" w:color="auto"/>
            <w:bottom w:val="none" w:sz="0" w:space="0" w:color="auto"/>
            <w:right w:val="none" w:sz="0" w:space="0" w:color="auto"/>
          </w:divBdr>
        </w:div>
        <w:div w:id="1781291805">
          <w:marLeft w:val="0"/>
          <w:marRight w:val="0"/>
          <w:marTop w:val="0"/>
          <w:marBottom w:val="0"/>
          <w:divBdr>
            <w:top w:val="none" w:sz="0" w:space="0" w:color="auto"/>
            <w:left w:val="none" w:sz="0" w:space="0" w:color="auto"/>
            <w:bottom w:val="none" w:sz="0" w:space="0" w:color="auto"/>
            <w:right w:val="none" w:sz="0" w:space="0" w:color="auto"/>
          </w:divBdr>
        </w:div>
        <w:div w:id="1801339917">
          <w:marLeft w:val="0"/>
          <w:marRight w:val="0"/>
          <w:marTop w:val="0"/>
          <w:marBottom w:val="0"/>
          <w:divBdr>
            <w:top w:val="none" w:sz="0" w:space="0" w:color="auto"/>
            <w:left w:val="none" w:sz="0" w:space="0" w:color="auto"/>
            <w:bottom w:val="none" w:sz="0" w:space="0" w:color="auto"/>
            <w:right w:val="none" w:sz="0" w:space="0" w:color="auto"/>
          </w:divBdr>
        </w:div>
        <w:div w:id="1903831393">
          <w:marLeft w:val="0"/>
          <w:marRight w:val="0"/>
          <w:marTop w:val="0"/>
          <w:marBottom w:val="0"/>
          <w:divBdr>
            <w:top w:val="none" w:sz="0" w:space="0" w:color="auto"/>
            <w:left w:val="none" w:sz="0" w:space="0" w:color="auto"/>
            <w:bottom w:val="none" w:sz="0" w:space="0" w:color="auto"/>
            <w:right w:val="none" w:sz="0" w:space="0" w:color="auto"/>
          </w:divBdr>
        </w:div>
        <w:div w:id="1912619381">
          <w:marLeft w:val="0"/>
          <w:marRight w:val="0"/>
          <w:marTop w:val="0"/>
          <w:marBottom w:val="0"/>
          <w:divBdr>
            <w:top w:val="none" w:sz="0" w:space="0" w:color="auto"/>
            <w:left w:val="none" w:sz="0" w:space="0" w:color="auto"/>
            <w:bottom w:val="none" w:sz="0" w:space="0" w:color="auto"/>
            <w:right w:val="none" w:sz="0" w:space="0" w:color="auto"/>
          </w:divBdr>
        </w:div>
        <w:div w:id="1996565361">
          <w:marLeft w:val="0"/>
          <w:marRight w:val="0"/>
          <w:marTop w:val="0"/>
          <w:marBottom w:val="0"/>
          <w:divBdr>
            <w:top w:val="none" w:sz="0" w:space="0" w:color="auto"/>
            <w:left w:val="none" w:sz="0" w:space="0" w:color="auto"/>
            <w:bottom w:val="none" w:sz="0" w:space="0" w:color="auto"/>
            <w:right w:val="none" w:sz="0" w:space="0" w:color="auto"/>
          </w:divBdr>
        </w:div>
        <w:div w:id="2029288635">
          <w:marLeft w:val="0"/>
          <w:marRight w:val="0"/>
          <w:marTop w:val="0"/>
          <w:marBottom w:val="0"/>
          <w:divBdr>
            <w:top w:val="none" w:sz="0" w:space="0" w:color="auto"/>
            <w:left w:val="none" w:sz="0" w:space="0" w:color="auto"/>
            <w:bottom w:val="none" w:sz="0" w:space="0" w:color="auto"/>
            <w:right w:val="none" w:sz="0" w:space="0" w:color="auto"/>
          </w:divBdr>
        </w:div>
        <w:div w:id="2041857500">
          <w:marLeft w:val="0"/>
          <w:marRight w:val="0"/>
          <w:marTop w:val="0"/>
          <w:marBottom w:val="0"/>
          <w:divBdr>
            <w:top w:val="none" w:sz="0" w:space="0" w:color="auto"/>
            <w:left w:val="none" w:sz="0" w:space="0" w:color="auto"/>
            <w:bottom w:val="none" w:sz="0" w:space="0" w:color="auto"/>
            <w:right w:val="none" w:sz="0" w:space="0" w:color="auto"/>
          </w:divBdr>
        </w:div>
        <w:div w:id="2049603644">
          <w:marLeft w:val="0"/>
          <w:marRight w:val="0"/>
          <w:marTop w:val="0"/>
          <w:marBottom w:val="0"/>
          <w:divBdr>
            <w:top w:val="none" w:sz="0" w:space="0" w:color="auto"/>
            <w:left w:val="none" w:sz="0" w:space="0" w:color="auto"/>
            <w:bottom w:val="none" w:sz="0" w:space="0" w:color="auto"/>
            <w:right w:val="none" w:sz="0" w:space="0" w:color="auto"/>
          </w:divBdr>
        </w:div>
        <w:div w:id="2093551084">
          <w:marLeft w:val="0"/>
          <w:marRight w:val="0"/>
          <w:marTop w:val="0"/>
          <w:marBottom w:val="0"/>
          <w:divBdr>
            <w:top w:val="none" w:sz="0" w:space="0" w:color="auto"/>
            <w:left w:val="none" w:sz="0" w:space="0" w:color="auto"/>
            <w:bottom w:val="none" w:sz="0" w:space="0" w:color="auto"/>
            <w:right w:val="none" w:sz="0" w:space="0" w:color="auto"/>
          </w:divBdr>
        </w:div>
        <w:div w:id="2112973554">
          <w:marLeft w:val="0"/>
          <w:marRight w:val="0"/>
          <w:marTop w:val="0"/>
          <w:marBottom w:val="0"/>
          <w:divBdr>
            <w:top w:val="none" w:sz="0" w:space="0" w:color="auto"/>
            <w:left w:val="none" w:sz="0" w:space="0" w:color="auto"/>
            <w:bottom w:val="none" w:sz="0" w:space="0" w:color="auto"/>
            <w:right w:val="none" w:sz="0" w:space="0" w:color="auto"/>
          </w:divBdr>
        </w:div>
        <w:div w:id="2123380797">
          <w:marLeft w:val="0"/>
          <w:marRight w:val="0"/>
          <w:marTop w:val="0"/>
          <w:marBottom w:val="0"/>
          <w:divBdr>
            <w:top w:val="none" w:sz="0" w:space="0" w:color="auto"/>
            <w:left w:val="none" w:sz="0" w:space="0" w:color="auto"/>
            <w:bottom w:val="none" w:sz="0" w:space="0" w:color="auto"/>
            <w:right w:val="none" w:sz="0" w:space="0" w:color="auto"/>
          </w:divBdr>
        </w:div>
        <w:div w:id="2128767677">
          <w:marLeft w:val="0"/>
          <w:marRight w:val="0"/>
          <w:marTop w:val="0"/>
          <w:marBottom w:val="0"/>
          <w:divBdr>
            <w:top w:val="none" w:sz="0" w:space="0" w:color="auto"/>
            <w:left w:val="none" w:sz="0" w:space="0" w:color="auto"/>
            <w:bottom w:val="none" w:sz="0" w:space="0" w:color="auto"/>
            <w:right w:val="none" w:sz="0" w:space="0" w:color="auto"/>
          </w:divBdr>
        </w:div>
        <w:div w:id="2132162309">
          <w:marLeft w:val="0"/>
          <w:marRight w:val="0"/>
          <w:marTop w:val="0"/>
          <w:marBottom w:val="0"/>
          <w:divBdr>
            <w:top w:val="none" w:sz="0" w:space="0" w:color="auto"/>
            <w:left w:val="none" w:sz="0" w:space="0" w:color="auto"/>
            <w:bottom w:val="none" w:sz="0" w:space="0" w:color="auto"/>
            <w:right w:val="none" w:sz="0" w:space="0" w:color="auto"/>
          </w:divBdr>
        </w:div>
      </w:divsChild>
    </w:div>
    <w:div w:id="1556745416">
      <w:bodyDiv w:val="1"/>
      <w:marLeft w:val="0"/>
      <w:marRight w:val="0"/>
      <w:marTop w:val="0"/>
      <w:marBottom w:val="0"/>
      <w:divBdr>
        <w:top w:val="none" w:sz="0" w:space="0" w:color="auto"/>
        <w:left w:val="none" w:sz="0" w:space="0" w:color="auto"/>
        <w:bottom w:val="none" w:sz="0" w:space="0" w:color="auto"/>
        <w:right w:val="none" w:sz="0" w:space="0" w:color="auto"/>
      </w:divBdr>
      <w:divsChild>
        <w:div w:id="50465438">
          <w:marLeft w:val="0"/>
          <w:marRight w:val="0"/>
          <w:marTop w:val="0"/>
          <w:marBottom w:val="0"/>
          <w:divBdr>
            <w:top w:val="none" w:sz="0" w:space="0" w:color="auto"/>
            <w:left w:val="none" w:sz="0" w:space="0" w:color="auto"/>
            <w:bottom w:val="none" w:sz="0" w:space="0" w:color="auto"/>
            <w:right w:val="none" w:sz="0" w:space="0" w:color="auto"/>
          </w:divBdr>
        </w:div>
        <w:div w:id="145513040">
          <w:marLeft w:val="0"/>
          <w:marRight w:val="0"/>
          <w:marTop w:val="0"/>
          <w:marBottom w:val="0"/>
          <w:divBdr>
            <w:top w:val="none" w:sz="0" w:space="0" w:color="auto"/>
            <w:left w:val="none" w:sz="0" w:space="0" w:color="auto"/>
            <w:bottom w:val="none" w:sz="0" w:space="0" w:color="auto"/>
            <w:right w:val="none" w:sz="0" w:space="0" w:color="auto"/>
          </w:divBdr>
        </w:div>
        <w:div w:id="146939392">
          <w:marLeft w:val="0"/>
          <w:marRight w:val="0"/>
          <w:marTop w:val="0"/>
          <w:marBottom w:val="0"/>
          <w:divBdr>
            <w:top w:val="none" w:sz="0" w:space="0" w:color="auto"/>
            <w:left w:val="none" w:sz="0" w:space="0" w:color="auto"/>
            <w:bottom w:val="none" w:sz="0" w:space="0" w:color="auto"/>
            <w:right w:val="none" w:sz="0" w:space="0" w:color="auto"/>
          </w:divBdr>
        </w:div>
        <w:div w:id="272440013">
          <w:marLeft w:val="0"/>
          <w:marRight w:val="0"/>
          <w:marTop w:val="0"/>
          <w:marBottom w:val="0"/>
          <w:divBdr>
            <w:top w:val="none" w:sz="0" w:space="0" w:color="auto"/>
            <w:left w:val="none" w:sz="0" w:space="0" w:color="auto"/>
            <w:bottom w:val="none" w:sz="0" w:space="0" w:color="auto"/>
            <w:right w:val="none" w:sz="0" w:space="0" w:color="auto"/>
          </w:divBdr>
        </w:div>
        <w:div w:id="294527499">
          <w:marLeft w:val="0"/>
          <w:marRight w:val="0"/>
          <w:marTop w:val="0"/>
          <w:marBottom w:val="0"/>
          <w:divBdr>
            <w:top w:val="none" w:sz="0" w:space="0" w:color="auto"/>
            <w:left w:val="none" w:sz="0" w:space="0" w:color="auto"/>
            <w:bottom w:val="none" w:sz="0" w:space="0" w:color="auto"/>
            <w:right w:val="none" w:sz="0" w:space="0" w:color="auto"/>
          </w:divBdr>
        </w:div>
        <w:div w:id="372778619">
          <w:marLeft w:val="0"/>
          <w:marRight w:val="0"/>
          <w:marTop w:val="0"/>
          <w:marBottom w:val="0"/>
          <w:divBdr>
            <w:top w:val="none" w:sz="0" w:space="0" w:color="auto"/>
            <w:left w:val="none" w:sz="0" w:space="0" w:color="auto"/>
            <w:bottom w:val="none" w:sz="0" w:space="0" w:color="auto"/>
            <w:right w:val="none" w:sz="0" w:space="0" w:color="auto"/>
          </w:divBdr>
        </w:div>
        <w:div w:id="515313451">
          <w:marLeft w:val="0"/>
          <w:marRight w:val="0"/>
          <w:marTop w:val="0"/>
          <w:marBottom w:val="0"/>
          <w:divBdr>
            <w:top w:val="none" w:sz="0" w:space="0" w:color="auto"/>
            <w:left w:val="none" w:sz="0" w:space="0" w:color="auto"/>
            <w:bottom w:val="none" w:sz="0" w:space="0" w:color="auto"/>
            <w:right w:val="none" w:sz="0" w:space="0" w:color="auto"/>
          </w:divBdr>
        </w:div>
        <w:div w:id="525488182">
          <w:marLeft w:val="0"/>
          <w:marRight w:val="0"/>
          <w:marTop w:val="0"/>
          <w:marBottom w:val="0"/>
          <w:divBdr>
            <w:top w:val="none" w:sz="0" w:space="0" w:color="auto"/>
            <w:left w:val="none" w:sz="0" w:space="0" w:color="auto"/>
            <w:bottom w:val="none" w:sz="0" w:space="0" w:color="auto"/>
            <w:right w:val="none" w:sz="0" w:space="0" w:color="auto"/>
          </w:divBdr>
        </w:div>
        <w:div w:id="603653412">
          <w:marLeft w:val="0"/>
          <w:marRight w:val="0"/>
          <w:marTop w:val="0"/>
          <w:marBottom w:val="0"/>
          <w:divBdr>
            <w:top w:val="none" w:sz="0" w:space="0" w:color="auto"/>
            <w:left w:val="none" w:sz="0" w:space="0" w:color="auto"/>
            <w:bottom w:val="none" w:sz="0" w:space="0" w:color="auto"/>
            <w:right w:val="none" w:sz="0" w:space="0" w:color="auto"/>
          </w:divBdr>
        </w:div>
        <w:div w:id="616910195">
          <w:marLeft w:val="0"/>
          <w:marRight w:val="0"/>
          <w:marTop w:val="0"/>
          <w:marBottom w:val="0"/>
          <w:divBdr>
            <w:top w:val="none" w:sz="0" w:space="0" w:color="auto"/>
            <w:left w:val="none" w:sz="0" w:space="0" w:color="auto"/>
            <w:bottom w:val="none" w:sz="0" w:space="0" w:color="auto"/>
            <w:right w:val="none" w:sz="0" w:space="0" w:color="auto"/>
          </w:divBdr>
        </w:div>
        <w:div w:id="682240756">
          <w:marLeft w:val="0"/>
          <w:marRight w:val="0"/>
          <w:marTop w:val="0"/>
          <w:marBottom w:val="0"/>
          <w:divBdr>
            <w:top w:val="none" w:sz="0" w:space="0" w:color="auto"/>
            <w:left w:val="none" w:sz="0" w:space="0" w:color="auto"/>
            <w:bottom w:val="none" w:sz="0" w:space="0" w:color="auto"/>
            <w:right w:val="none" w:sz="0" w:space="0" w:color="auto"/>
          </w:divBdr>
        </w:div>
        <w:div w:id="764884638">
          <w:marLeft w:val="0"/>
          <w:marRight w:val="0"/>
          <w:marTop w:val="0"/>
          <w:marBottom w:val="0"/>
          <w:divBdr>
            <w:top w:val="none" w:sz="0" w:space="0" w:color="auto"/>
            <w:left w:val="none" w:sz="0" w:space="0" w:color="auto"/>
            <w:bottom w:val="none" w:sz="0" w:space="0" w:color="auto"/>
            <w:right w:val="none" w:sz="0" w:space="0" w:color="auto"/>
          </w:divBdr>
        </w:div>
        <w:div w:id="814758419">
          <w:marLeft w:val="0"/>
          <w:marRight w:val="0"/>
          <w:marTop w:val="0"/>
          <w:marBottom w:val="0"/>
          <w:divBdr>
            <w:top w:val="none" w:sz="0" w:space="0" w:color="auto"/>
            <w:left w:val="none" w:sz="0" w:space="0" w:color="auto"/>
            <w:bottom w:val="none" w:sz="0" w:space="0" w:color="auto"/>
            <w:right w:val="none" w:sz="0" w:space="0" w:color="auto"/>
          </w:divBdr>
        </w:div>
        <w:div w:id="959799253">
          <w:marLeft w:val="0"/>
          <w:marRight w:val="0"/>
          <w:marTop w:val="0"/>
          <w:marBottom w:val="0"/>
          <w:divBdr>
            <w:top w:val="none" w:sz="0" w:space="0" w:color="auto"/>
            <w:left w:val="none" w:sz="0" w:space="0" w:color="auto"/>
            <w:bottom w:val="none" w:sz="0" w:space="0" w:color="auto"/>
            <w:right w:val="none" w:sz="0" w:space="0" w:color="auto"/>
          </w:divBdr>
        </w:div>
        <w:div w:id="1054960717">
          <w:marLeft w:val="0"/>
          <w:marRight w:val="0"/>
          <w:marTop w:val="0"/>
          <w:marBottom w:val="0"/>
          <w:divBdr>
            <w:top w:val="none" w:sz="0" w:space="0" w:color="auto"/>
            <w:left w:val="none" w:sz="0" w:space="0" w:color="auto"/>
            <w:bottom w:val="none" w:sz="0" w:space="0" w:color="auto"/>
            <w:right w:val="none" w:sz="0" w:space="0" w:color="auto"/>
          </w:divBdr>
        </w:div>
        <w:div w:id="1087194151">
          <w:marLeft w:val="0"/>
          <w:marRight w:val="0"/>
          <w:marTop w:val="0"/>
          <w:marBottom w:val="0"/>
          <w:divBdr>
            <w:top w:val="none" w:sz="0" w:space="0" w:color="auto"/>
            <w:left w:val="none" w:sz="0" w:space="0" w:color="auto"/>
            <w:bottom w:val="none" w:sz="0" w:space="0" w:color="auto"/>
            <w:right w:val="none" w:sz="0" w:space="0" w:color="auto"/>
          </w:divBdr>
        </w:div>
        <w:div w:id="1135874744">
          <w:marLeft w:val="0"/>
          <w:marRight w:val="0"/>
          <w:marTop w:val="0"/>
          <w:marBottom w:val="0"/>
          <w:divBdr>
            <w:top w:val="none" w:sz="0" w:space="0" w:color="auto"/>
            <w:left w:val="none" w:sz="0" w:space="0" w:color="auto"/>
            <w:bottom w:val="none" w:sz="0" w:space="0" w:color="auto"/>
            <w:right w:val="none" w:sz="0" w:space="0" w:color="auto"/>
          </w:divBdr>
        </w:div>
        <w:div w:id="1145199058">
          <w:marLeft w:val="0"/>
          <w:marRight w:val="0"/>
          <w:marTop w:val="0"/>
          <w:marBottom w:val="0"/>
          <w:divBdr>
            <w:top w:val="none" w:sz="0" w:space="0" w:color="auto"/>
            <w:left w:val="none" w:sz="0" w:space="0" w:color="auto"/>
            <w:bottom w:val="none" w:sz="0" w:space="0" w:color="auto"/>
            <w:right w:val="none" w:sz="0" w:space="0" w:color="auto"/>
          </w:divBdr>
        </w:div>
        <w:div w:id="1171456294">
          <w:marLeft w:val="0"/>
          <w:marRight w:val="0"/>
          <w:marTop w:val="0"/>
          <w:marBottom w:val="0"/>
          <w:divBdr>
            <w:top w:val="none" w:sz="0" w:space="0" w:color="auto"/>
            <w:left w:val="none" w:sz="0" w:space="0" w:color="auto"/>
            <w:bottom w:val="none" w:sz="0" w:space="0" w:color="auto"/>
            <w:right w:val="none" w:sz="0" w:space="0" w:color="auto"/>
          </w:divBdr>
        </w:div>
        <w:div w:id="1178933826">
          <w:marLeft w:val="0"/>
          <w:marRight w:val="0"/>
          <w:marTop w:val="0"/>
          <w:marBottom w:val="0"/>
          <w:divBdr>
            <w:top w:val="none" w:sz="0" w:space="0" w:color="auto"/>
            <w:left w:val="none" w:sz="0" w:space="0" w:color="auto"/>
            <w:bottom w:val="none" w:sz="0" w:space="0" w:color="auto"/>
            <w:right w:val="none" w:sz="0" w:space="0" w:color="auto"/>
          </w:divBdr>
        </w:div>
        <w:div w:id="1305695633">
          <w:marLeft w:val="0"/>
          <w:marRight w:val="0"/>
          <w:marTop w:val="0"/>
          <w:marBottom w:val="0"/>
          <w:divBdr>
            <w:top w:val="none" w:sz="0" w:space="0" w:color="auto"/>
            <w:left w:val="none" w:sz="0" w:space="0" w:color="auto"/>
            <w:bottom w:val="none" w:sz="0" w:space="0" w:color="auto"/>
            <w:right w:val="none" w:sz="0" w:space="0" w:color="auto"/>
          </w:divBdr>
        </w:div>
        <w:div w:id="1336494585">
          <w:marLeft w:val="0"/>
          <w:marRight w:val="0"/>
          <w:marTop w:val="0"/>
          <w:marBottom w:val="0"/>
          <w:divBdr>
            <w:top w:val="none" w:sz="0" w:space="0" w:color="auto"/>
            <w:left w:val="none" w:sz="0" w:space="0" w:color="auto"/>
            <w:bottom w:val="none" w:sz="0" w:space="0" w:color="auto"/>
            <w:right w:val="none" w:sz="0" w:space="0" w:color="auto"/>
          </w:divBdr>
        </w:div>
        <w:div w:id="1365599683">
          <w:marLeft w:val="0"/>
          <w:marRight w:val="0"/>
          <w:marTop w:val="0"/>
          <w:marBottom w:val="0"/>
          <w:divBdr>
            <w:top w:val="none" w:sz="0" w:space="0" w:color="auto"/>
            <w:left w:val="none" w:sz="0" w:space="0" w:color="auto"/>
            <w:bottom w:val="none" w:sz="0" w:space="0" w:color="auto"/>
            <w:right w:val="none" w:sz="0" w:space="0" w:color="auto"/>
          </w:divBdr>
        </w:div>
        <w:div w:id="1367754202">
          <w:marLeft w:val="0"/>
          <w:marRight w:val="0"/>
          <w:marTop w:val="0"/>
          <w:marBottom w:val="0"/>
          <w:divBdr>
            <w:top w:val="none" w:sz="0" w:space="0" w:color="auto"/>
            <w:left w:val="none" w:sz="0" w:space="0" w:color="auto"/>
            <w:bottom w:val="none" w:sz="0" w:space="0" w:color="auto"/>
            <w:right w:val="none" w:sz="0" w:space="0" w:color="auto"/>
          </w:divBdr>
        </w:div>
        <w:div w:id="1418483085">
          <w:marLeft w:val="0"/>
          <w:marRight w:val="0"/>
          <w:marTop w:val="0"/>
          <w:marBottom w:val="0"/>
          <w:divBdr>
            <w:top w:val="none" w:sz="0" w:space="0" w:color="auto"/>
            <w:left w:val="none" w:sz="0" w:space="0" w:color="auto"/>
            <w:bottom w:val="none" w:sz="0" w:space="0" w:color="auto"/>
            <w:right w:val="none" w:sz="0" w:space="0" w:color="auto"/>
          </w:divBdr>
        </w:div>
        <w:div w:id="1421096020">
          <w:marLeft w:val="0"/>
          <w:marRight w:val="0"/>
          <w:marTop w:val="0"/>
          <w:marBottom w:val="0"/>
          <w:divBdr>
            <w:top w:val="none" w:sz="0" w:space="0" w:color="auto"/>
            <w:left w:val="none" w:sz="0" w:space="0" w:color="auto"/>
            <w:bottom w:val="none" w:sz="0" w:space="0" w:color="auto"/>
            <w:right w:val="none" w:sz="0" w:space="0" w:color="auto"/>
          </w:divBdr>
        </w:div>
        <w:div w:id="1467166252">
          <w:marLeft w:val="0"/>
          <w:marRight w:val="0"/>
          <w:marTop w:val="0"/>
          <w:marBottom w:val="0"/>
          <w:divBdr>
            <w:top w:val="none" w:sz="0" w:space="0" w:color="auto"/>
            <w:left w:val="none" w:sz="0" w:space="0" w:color="auto"/>
            <w:bottom w:val="none" w:sz="0" w:space="0" w:color="auto"/>
            <w:right w:val="none" w:sz="0" w:space="0" w:color="auto"/>
          </w:divBdr>
        </w:div>
        <w:div w:id="1489790276">
          <w:marLeft w:val="0"/>
          <w:marRight w:val="0"/>
          <w:marTop w:val="0"/>
          <w:marBottom w:val="0"/>
          <w:divBdr>
            <w:top w:val="none" w:sz="0" w:space="0" w:color="auto"/>
            <w:left w:val="none" w:sz="0" w:space="0" w:color="auto"/>
            <w:bottom w:val="none" w:sz="0" w:space="0" w:color="auto"/>
            <w:right w:val="none" w:sz="0" w:space="0" w:color="auto"/>
          </w:divBdr>
        </w:div>
        <w:div w:id="1543901811">
          <w:marLeft w:val="0"/>
          <w:marRight w:val="0"/>
          <w:marTop w:val="0"/>
          <w:marBottom w:val="0"/>
          <w:divBdr>
            <w:top w:val="none" w:sz="0" w:space="0" w:color="auto"/>
            <w:left w:val="none" w:sz="0" w:space="0" w:color="auto"/>
            <w:bottom w:val="none" w:sz="0" w:space="0" w:color="auto"/>
            <w:right w:val="none" w:sz="0" w:space="0" w:color="auto"/>
          </w:divBdr>
        </w:div>
        <w:div w:id="1595627073">
          <w:marLeft w:val="0"/>
          <w:marRight w:val="0"/>
          <w:marTop w:val="0"/>
          <w:marBottom w:val="0"/>
          <w:divBdr>
            <w:top w:val="none" w:sz="0" w:space="0" w:color="auto"/>
            <w:left w:val="none" w:sz="0" w:space="0" w:color="auto"/>
            <w:bottom w:val="none" w:sz="0" w:space="0" w:color="auto"/>
            <w:right w:val="none" w:sz="0" w:space="0" w:color="auto"/>
          </w:divBdr>
        </w:div>
        <w:div w:id="1641421449">
          <w:marLeft w:val="0"/>
          <w:marRight w:val="0"/>
          <w:marTop w:val="0"/>
          <w:marBottom w:val="0"/>
          <w:divBdr>
            <w:top w:val="none" w:sz="0" w:space="0" w:color="auto"/>
            <w:left w:val="none" w:sz="0" w:space="0" w:color="auto"/>
            <w:bottom w:val="none" w:sz="0" w:space="0" w:color="auto"/>
            <w:right w:val="none" w:sz="0" w:space="0" w:color="auto"/>
          </w:divBdr>
        </w:div>
        <w:div w:id="1663925243">
          <w:marLeft w:val="0"/>
          <w:marRight w:val="0"/>
          <w:marTop w:val="0"/>
          <w:marBottom w:val="0"/>
          <w:divBdr>
            <w:top w:val="none" w:sz="0" w:space="0" w:color="auto"/>
            <w:left w:val="none" w:sz="0" w:space="0" w:color="auto"/>
            <w:bottom w:val="none" w:sz="0" w:space="0" w:color="auto"/>
            <w:right w:val="none" w:sz="0" w:space="0" w:color="auto"/>
          </w:divBdr>
        </w:div>
        <w:div w:id="1887133187">
          <w:marLeft w:val="0"/>
          <w:marRight w:val="0"/>
          <w:marTop w:val="0"/>
          <w:marBottom w:val="0"/>
          <w:divBdr>
            <w:top w:val="none" w:sz="0" w:space="0" w:color="auto"/>
            <w:left w:val="none" w:sz="0" w:space="0" w:color="auto"/>
            <w:bottom w:val="none" w:sz="0" w:space="0" w:color="auto"/>
            <w:right w:val="none" w:sz="0" w:space="0" w:color="auto"/>
          </w:divBdr>
        </w:div>
        <w:div w:id="1940091693">
          <w:marLeft w:val="0"/>
          <w:marRight w:val="0"/>
          <w:marTop w:val="0"/>
          <w:marBottom w:val="0"/>
          <w:divBdr>
            <w:top w:val="none" w:sz="0" w:space="0" w:color="auto"/>
            <w:left w:val="none" w:sz="0" w:space="0" w:color="auto"/>
            <w:bottom w:val="none" w:sz="0" w:space="0" w:color="auto"/>
            <w:right w:val="none" w:sz="0" w:space="0" w:color="auto"/>
          </w:divBdr>
        </w:div>
        <w:div w:id="1951424304">
          <w:marLeft w:val="0"/>
          <w:marRight w:val="0"/>
          <w:marTop w:val="0"/>
          <w:marBottom w:val="0"/>
          <w:divBdr>
            <w:top w:val="none" w:sz="0" w:space="0" w:color="auto"/>
            <w:left w:val="none" w:sz="0" w:space="0" w:color="auto"/>
            <w:bottom w:val="none" w:sz="0" w:space="0" w:color="auto"/>
            <w:right w:val="none" w:sz="0" w:space="0" w:color="auto"/>
          </w:divBdr>
          <w:divsChild>
            <w:div w:id="167794617">
              <w:marLeft w:val="0"/>
              <w:marRight w:val="0"/>
              <w:marTop w:val="0"/>
              <w:marBottom w:val="0"/>
              <w:divBdr>
                <w:top w:val="none" w:sz="0" w:space="0" w:color="auto"/>
                <w:left w:val="none" w:sz="0" w:space="0" w:color="auto"/>
                <w:bottom w:val="none" w:sz="0" w:space="0" w:color="auto"/>
                <w:right w:val="none" w:sz="0" w:space="0" w:color="auto"/>
              </w:divBdr>
            </w:div>
            <w:div w:id="261301097">
              <w:marLeft w:val="0"/>
              <w:marRight w:val="0"/>
              <w:marTop w:val="0"/>
              <w:marBottom w:val="0"/>
              <w:divBdr>
                <w:top w:val="none" w:sz="0" w:space="0" w:color="auto"/>
                <w:left w:val="none" w:sz="0" w:space="0" w:color="auto"/>
                <w:bottom w:val="none" w:sz="0" w:space="0" w:color="auto"/>
                <w:right w:val="none" w:sz="0" w:space="0" w:color="auto"/>
              </w:divBdr>
            </w:div>
            <w:div w:id="557209120">
              <w:marLeft w:val="0"/>
              <w:marRight w:val="0"/>
              <w:marTop w:val="0"/>
              <w:marBottom w:val="0"/>
              <w:divBdr>
                <w:top w:val="none" w:sz="0" w:space="0" w:color="auto"/>
                <w:left w:val="none" w:sz="0" w:space="0" w:color="auto"/>
                <w:bottom w:val="none" w:sz="0" w:space="0" w:color="auto"/>
                <w:right w:val="none" w:sz="0" w:space="0" w:color="auto"/>
              </w:divBdr>
            </w:div>
            <w:div w:id="591937200">
              <w:marLeft w:val="0"/>
              <w:marRight w:val="0"/>
              <w:marTop w:val="0"/>
              <w:marBottom w:val="0"/>
              <w:divBdr>
                <w:top w:val="none" w:sz="0" w:space="0" w:color="auto"/>
                <w:left w:val="none" w:sz="0" w:space="0" w:color="auto"/>
                <w:bottom w:val="none" w:sz="0" w:space="0" w:color="auto"/>
                <w:right w:val="none" w:sz="0" w:space="0" w:color="auto"/>
              </w:divBdr>
            </w:div>
            <w:div w:id="682780635">
              <w:marLeft w:val="0"/>
              <w:marRight w:val="0"/>
              <w:marTop w:val="0"/>
              <w:marBottom w:val="0"/>
              <w:divBdr>
                <w:top w:val="none" w:sz="0" w:space="0" w:color="auto"/>
                <w:left w:val="none" w:sz="0" w:space="0" w:color="auto"/>
                <w:bottom w:val="none" w:sz="0" w:space="0" w:color="auto"/>
                <w:right w:val="none" w:sz="0" w:space="0" w:color="auto"/>
              </w:divBdr>
            </w:div>
            <w:div w:id="909929602">
              <w:marLeft w:val="0"/>
              <w:marRight w:val="0"/>
              <w:marTop w:val="0"/>
              <w:marBottom w:val="0"/>
              <w:divBdr>
                <w:top w:val="none" w:sz="0" w:space="0" w:color="auto"/>
                <w:left w:val="none" w:sz="0" w:space="0" w:color="auto"/>
                <w:bottom w:val="none" w:sz="0" w:space="0" w:color="auto"/>
                <w:right w:val="none" w:sz="0" w:space="0" w:color="auto"/>
              </w:divBdr>
            </w:div>
            <w:div w:id="916747987">
              <w:marLeft w:val="0"/>
              <w:marRight w:val="0"/>
              <w:marTop w:val="0"/>
              <w:marBottom w:val="0"/>
              <w:divBdr>
                <w:top w:val="none" w:sz="0" w:space="0" w:color="auto"/>
                <w:left w:val="none" w:sz="0" w:space="0" w:color="auto"/>
                <w:bottom w:val="none" w:sz="0" w:space="0" w:color="auto"/>
                <w:right w:val="none" w:sz="0" w:space="0" w:color="auto"/>
              </w:divBdr>
            </w:div>
            <w:div w:id="963123162">
              <w:marLeft w:val="0"/>
              <w:marRight w:val="0"/>
              <w:marTop w:val="0"/>
              <w:marBottom w:val="0"/>
              <w:divBdr>
                <w:top w:val="none" w:sz="0" w:space="0" w:color="auto"/>
                <w:left w:val="none" w:sz="0" w:space="0" w:color="auto"/>
                <w:bottom w:val="none" w:sz="0" w:space="0" w:color="auto"/>
                <w:right w:val="none" w:sz="0" w:space="0" w:color="auto"/>
              </w:divBdr>
            </w:div>
            <w:div w:id="1062295684">
              <w:marLeft w:val="0"/>
              <w:marRight w:val="0"/>
              <w:marTop w:val="0"/>
              <w:marBottom w:val="0"/>
              <w:divBdr>
                <w:top w:val="none" w:sz="0" w:space="0" w:color="auto"/>
                <w:left w:val="none" w:sz="0" w:space="0" w:color="auto"/>
                <w:bottom w:val="none" w:sz="0" w:space="0" w:color="auto"/>
                <w:right w:val="none" w:sz="0" w:space="0" w:color="auto"/>
              </w:divBdr>
            </w:div>
            <w:div w:id="1127897522">
              <w:marLeft w:val="0"/>
              <w:marRight w:val="0"/>
              <w:marTop w:val="0"/>
              <w:marBottom w:val="0"/>
              <w:divBdr>
                <w:top w:val="none" w:sz="0" w:space="0" w:color="auto"/>
                <w:left w:val="none" w:sz="0" w:space="0" w:color="auto"/>
                <w:bottom w:val="none" w:sz="0" w:space="0" w:color="auto"/>
                <w:right w:val="none" w:sz="0" w:space="0" w:color="auto"/>
              </w:divBdr>
            </w:div>
            <w:div w:id="1314945072">
              <w:marLeft w:val="0"/>
              <w:marRight w:val="0"/>
              <w:marTop w:val="0"/>
              <w:marBottom w:val="0"/>
              <w:divBdr>
                <w:top w:val="none" w:sz="0" w:space="0" w:color="auto"/>
                <w:left w:val="none" w:sz="0" w:space="0" w:color="auto"/>
                <w:bottom w:val="none" w:sz="0" w:space="0" w:color="auto"/>
                <w:right w:val="none" w:sz="0" w:space="0" w:color="auto"/>
              </w:divBdr>
            </w:div>
            <w:div w:id="1477914404">
              <w:marLeft w:val="0"/>
              <w:marRight w:val="0"/>
              <w:marTop w:val="0"/>
              <w:marBottom w:val="0"/>
              <w:divBdr>
                <w:top w:val="none" w:sz="0" w:space="0" w:color="auto"/>
                <w:left w:val="none" w:sz="0" w:space="0" w:color="auto"/>
                <w:bottom w:val="none" w:sz="0" w:space="0" w:color="auto"/>
                <w:right w:val="none" w:sz="0" w:space="0" w:color="auto"/>
              </w:divBdr>
            </w:div>
            <w:div w:id="1560283882">
              <w:marLeft w:val="0"/>
              <w:marRight w:val="0"/>
              <w:marTop w:val="0"/>
              <w:marBottom w:val="0"/>
              <w:divBdr>
                <w:top w:val="none" w:sz="0" w:space="0" w:color="auto"/>
                <w:left w:val="none" w:sz="0" w:space="0" w:color="auto"/>
                <w:bottom w:val="none" w:sz="0" w:space="0" w:color="auto"/>
                <w:right w:val="none" w:sz="0" w:space="0" w:color="auto"/>
              </w:divBdr>
            </w:div>
            <w:div w:id="1685788939">
              <w:marLeft w:val="0"/>
              <w:marRight w:val="0"/>
              <w:marTop w:val="0"/>
              <w:marBottom w:val="0"/>
              <w:divBdr>
                <w:top w:val="none" w:sz="0" w:space="0" w:color="auto"/>
                <w:left w:val="none" w:sz="0" w:space="0" w:color="auto"/>
                <w:bottom w:val="none" w:sz="0" w:space="0" w:color="auto"/>
                <w:right w:val="none" w:sz="0" w:space="0" w:color="auto"/>
              </w:divBdr>
            </w:div>
            <w:div w:id="1934850494">
              <w:marLeft w:val="0"/>
              <w:marRight w:val="0"/>
              <w:marTop w:val="0"/>
              <w:marBottom w:val="0"/>
              <w:divBdr>
                <w:top w:val="none" w:sz="0" w:space="0" w:color="auto"/>
                <w:left w:val="none" w:sz="0" w:space="0" w:color="auto"/>
                <w:bottom w:val="none" w:sz="0" w:space="0" w:color="auto"/>
                <w:right w:val="none" w:sz="0" w:space="0" w:color="auto"/>
              </w:divBdr>
            </w:div>
            <w:div w:id="1954094375">
              <w:marLeft w:val="0"/>
              <w:marRight w:val="0"/>
              <w:marTop w:val="0"/>
              <w:marBottom w:val="0"/>
              <w:divBdr>
                <w:top w:val="none" w:sz="0" w:space="0" w:color="auto"/>
                <w:left w:val="none" w:sz="0" w:space="0" w:color="auto"/>
                <w:bottom w:val="none" w:sz="0" w:space="0" w:color="auto"/>
                <w:right w:val="none" w:sz="0" w:space="0" w:color="auto"/>
              </w:divBdr>
            </w:div>
            <w:div w:id="2030837457">
              <w:marLeft w:val="0"/>
              <w:marRight w:val="0"/>
              <w:marTop w:val="0"/>
              <w:marBottom w:val="0"/>
              <w:divBdr>
                <w:top w:val="none" w:sz="0" w:space="0" w:color="auto"/>
                <w:left w:val="none" w:sz="0" w:space="0" w:color="auto"/>
                <w:bottom w:val="none" w:sz="0" w:space="0" w:color="auto"/>
                <w:right w:val="none" w:sz="0" w:space="0" w:color="auto"/>
              </w:divBdr>
            </w:div>
          </w:divsChild>
        </w:div>
        <w:div w:id="2001737677">
          <w:marLeft w:val="0"/>
          <w:marRight w:val="0"/>
          <w:marTop w:val="0"/>
          <w:marBottom w:val="0"/>
          <w:divBdr>
            <w:top w:val="none" w:sz="0" w:space="0" w:color="auto"/>
            <w:left w:val="none" w:sz="0" w:space="0" w:color="auto"/>
            <w:bottom w:val="none" w:sz="0" w:space="0" w:color="auto"/>
            <w:right w:val="none" w:sz="0" w:space="0" w:color="auto"/>
          </w:divBdr>
        </w:div>
        <w:div w:id="2027903810">
          <w:marLeft w:val="0"/>
          <w:marRight w:val="0"/>
          <w:marTop w:val="0"/>
          <w:marBottom w:val="0"/>
          <w:divBdr>
            <w:top w:val="none" w:sz="0" w:space="0" w:color="auto"/>
            <w:left w:val="none" w:sz="0" w:space="0" w:color="auto"/>
            <w:bottom w:val="none" w:sz="0" w:space="0" w:color="auto"/>
            <w:right w:val="none" w:sz="0" w:space="0" w:color="auto"/>
          </w:divBdr>
        </w:div>
        <w:div w:id="2031372877">
          <w:marLeft w:val="0"/>
          <w:marRight w:val="0"/>
          <w:marTop w:val="0"/>
          <w:marBottom w:val="0"/>
          <w:divBdr>
            <w:top w:val="none" w:sz="0" w:space="0" w:color="auto"/>
            <w:left w:val="none" w:sz="0" w:space="0" w:color="auto"/>
            <w:bottom w:val="none" w:sz="0" w:space="0" w:color="auto"/>
            <w:right w:val="none" w:sz="0" w:space="0" w:color="auto"/>
          </w:divBdr>
        </w:div>
        <w:div w:id="2084981281">
          <w:marLeft w:val="0"/>
          <w:marRight w:val="0"/>
          <w:marTop w:val="0"/>
          <w:marBottom w:val="0"/>
          <w:divBdr>
            <w:top w:val="none" w:sz="0" w:space="0" w:color="auto"/>
            <w:left w:val="none" w:sz="0" w:space="0" w:color="auto"/>
            <w:bottom w:val="none" w:sz="0" w:space="0" w:color="auto"/>
            <w:right w:val="none" w:sz="0" w:space="0" w:color="auto"/>
          </w:divBdr>
        </w:div>
        <w:div w:id="2129856978">
          <w:marLeft w:val="0"/>
          <w:marRight w:val="0"/>
          <w:marTop w:val="0"/>
          <w:marBottom w:val="0"/>
          <w:divBdr>
            <w:top w:val="none" w:sz="0" w:space="0" w:color="auto"/>
            <w:left w:val="none" w:sz="0" w:space="0" w:color="auto"/>
            <w:bottom w:val="none" w:sz="0" w:space="0" w:color="auto"/>
            <w:right w:val="none" w:sz="0" w:space="0" w:color="auto"/>
          </w:divBdr>
        </w:div>
        <w:div w:id="2143033607">
          <w:marLeft w:val="0"/>
          <w:marRight w:val="0"/>
          <w:marTop w:val="0"/>
          <w:marBottom w:val="0"/>
          <w:divBdr>
            <w:top w:val="none" w:sz="0" w:space="0" w:color="auto"/>
            <w:left w:val="none" w:sz="0" w:space="0" w:color="auto"/>
            <w:bottom w:val="none" w:sz="0" w:space="0" w:color="auto"/>
            <w:right w:val="none" w:sz="0" w:space="0" w:color="auto"/>
          </w:divBdr>
        </w:div>
      </w:divsChild>
    </w:div>
    <w:div w:id="1567035114">
      <w:bodyDiv w:val="1"/>
      <w:marLeft w:val="0"/>
      <w:marRight w:val="0"/>
      <w:marTop w:val="0"/>
      <w:marBottom w:val="0"/>
      <w:divBdr>
        <w:top w:val="none" w:sz="0" w:space="0" w:color="auto"/>
        <w:left w:val="none" w:sz="0" w:space="0" w:color="auto"/>
        <w:bottom w:val="none" w:sz="0" w:space="0" w:color="auto"/>
        <w:right w:val="none" w:sz="0" w:space="0" w:color="auto"/>
      </w:divBdr>
    </w:div>
    <w:div w:id="1573613945">
      <w:bodyDiv w:val="1"/>
      <w:marLeft w:val="0"/>
      <w:marRight w:val="0"/>
      <w:marTop w:val="0"/>
      <w:marBottom w:val="0"/>
      <w:divBdr>
        <w:top w:val="none" w:sz="0" w:space="0" w:color="auto"/>
        <w:left w:val="none" w:sz="0" w:space="0" w:color="auto"/>
        <w:bottom w:val="none" w:sz="0" w:space="0" w:color="auto"/>
        <w:right w:val="none" w:sz="0" w:space="0" w:color="auto"/>
      </w:divBdr>
    </w:div>
    <w:div w:id="1653948206">
      <w:bodyDiv w:val="1"/>
      <w:marLeft w:val="0"/>
      <w:marRight w:val="0"/>
      <w:marTop w:val="0"/>
      <w:marBottom w:val="0"/>
      <w:divBdr>
        <w:top w:val="none" w:sz="0" w:space="0" w:color="auto"/>
        <w:left w:val="none" w:sz="0" w:space="0" w:color="auto"/>
        <w:bottom w:val="none" w:sz="0" w:space="0" w:color="auto"/>
        <w:right w:val="none" w:sz="0" w:space="0" w:color="auto"/>
      </w:divBdr>
    </w:div>
    <w:div w:id="1690568974">
      <w:bodyDiv w:val="1"/>
      <w:marLeft w:val="0"/>
      <w:marRight w:val="0"/>
      <w:marTop w:val="0"/>
      <w:marBottom w:val="0"/>
      <w:divBdr>
        <w:top w:val="none" w:sz="0" w:space="0" w:color="auto"/>
        <w:left w:val="none" w:sz="0" w:space="0" w:color="auto"/>
        <w:bottom w:val="none" w:sz="0" w:space="0" w:color="auto"/>
        <w:right w:val="none" w:sz="0" w:space="0" w:color="auto"/>
      </w:divBdr>
      <w:divsChild>
        <w:div w:id="663316">
          <w:marLeft w:val="0"/>
          <w:marRight w:val="0"/>
          <w:marTop w:val="0"/>
          <w:marBottom w:val="0"/>
          <w:divBdr>
            <w:top w:val="none" w:sz="0" w:space="0" w:color="auto"/>
            <w:left w:val="none" w:sz="0" w:space="0" w:color="auto"/>
            <w:bottom w:val="none" w:sz="0" w:space="0" w:color="auto"/>
            <w:right w:val="none" w:sz="0" w:space="0" w:color="auto"/>
          </w:divBdr>
        </w:div>
        <w:div w:id="3212246">
          <w:marLeft w:val="0"/>
          <w:marRight w:val="0"/>
          <w:marTop w:val="0"/>
          <w:marBottom w:val="0"/>
          <w:divBdr>
            <w:top w:val="none" w:sz="0" w:space="0" w:color="auto"/>
            <w:left w:val="none" w:sz="0" w:space="0" w:color="auto"/>
            <w:bottom w:val="none" w:sz="0" w:space="0" w:color="auto"/>
            <w:right w:val="none" w:sz="0" w:space="0" w:color="auto"/>
          </w:divBdr>
        </w:div>
        <w:div w:id="3628277">
          <w:marLeft w:val="0"/>
          <w:marRight w:val="0"/>
          <w:marTop w:val="0"/>
          <w:marBottom w:val="0"/>
          <w:divBdr>
            <w:top w:val="none" w:sz="0" w:space="0" w:color="auto"/>
            <w:left w:val="none" w:sz="0" w:space="0" w:color="auto"/>
            <w:bottom w:val="none" w:sz="0" w:space="0" w:color="auto"/>
            <w:right w:val="none" w:sz="0" w:space="0" w:color="auto"/>
          </w:divBdr>
        </w:div>
        <w:div w:id="4328296">
          <w:marLeft w:val="0"/>
          <w:marRight w:val="0"/>
          <w:marTop w:val="0"/>
          <w:marBottom w:val="0"/>
          <w:divBdr>
            <w:top w:val="none" w:sz="0" w:space="0" w:color="auto"/>
            <w:left w:val="none" w:sz="0" w:space="0" w:color="auto"/>
            <w:bottom w:val="none" w:sz="0" w:space="0" w:color="auto"/>
            <w:right w:val="none" w:sz="0" w:space="0" w:color="auto"/>
          </w:divBdr>
        </w:div>
        <w:div w:id="5250697">
          <w:marLeft w:val="0"/>
          <w:marRight w:val="0"/>
          <w:marTop w:val="0"/>
          <w:marBottom w:val="0"/>
          <w:divBdr>
            <w:top w:val="none" w:sz="0" w:space="0" w:color="auto"/>
            <w:left w:val="none" w:sz="0" w:space="0" w:color="auto"/>
            <w:bottom w:val="none" w:sz="0" w:space="0" w:color="auto"/>
            <w:right w:val="none" w:sz="0" w:space="0" w:color="auto"/>
          </w:divBdr>
        </w:div>
        <w:div w:id="6829492">
          <w:marLeft w:val="0"/>
          <w:marRight w:val="0"/>
          <w:marTop w:val="0"/>
          <w:marBottom w:val="0"/>
          <w:divBdr>
            <w:top w:val="none" w:sz="0" w:space="0" w:color="auto"/>
            <w:left w:val="none" w:sz="0" w:space="0" w:color="auto"/>
            <w:bottom w:val="none" w:sz="0" w:space="0" w:color="auto"/>
            <w:right w:val="none" w:sz="0" w:space="0" w:color="auto"/>
          </w:divBdr>
        </w:div>
        <w:div w:id="8795808">
          <w:marLeft w:val="0"/>
          <w:marRight w:val="0"/>
          <w:marTop w:val="0"/>
          <w:marBottom w:val="0"/>
          <w:divBdr>
            <w:top w:val="none" w:sz="0" w:space="0" w:color="auto"/>
            <w:left w:val="none" w:sz="0" w:space="0" w:color="auto"/>
            <w:bottom w:val="none" w:sz="0" w:space="0" w:color="auto"/>
            <w:right w:val="none" w:sz="0" w:space="0" w:color="auto"/>
          </w:divBdr>
        </w:div>
        <w:div w:id="10688475">
          <w:marLeft w:val="0"/>
          <w:marRight w:val="0"/>
          <w:marTop w:val="0"/>
          <w:marBottom w:val="0"/>
          <w:divBdr>
            <w:top w:val="none" w:sz="0" w:space="0" w:color="auto"/>
            <w:left w:val="none" w:sz="0" w:space="0" w:color="auto"/>
            <w:bottom w:val="none" w:sz="0" w:space="0" w:color="auto"/>
            <w:right w:val="none" w:sz="0" w:space="0" w:color="auto"/>
          </w:divBdr>
        </w:div>
        <w:div w:id="11230914">
          <w:marLeft w:val="0"/>
          <w:marRight w:val="0"/>
          <w:marTop w:val="0"/>
          <w:marBottom w:val="0"/>
          <w:divBdr>
            <w:top w:val="none" w:sz="0" w:space="0" w:color="auto"/>
            <w:left w:val="none" w:sz="0" w:space="0" w:color="auto"/>
            <w:bottom w:val="none" w:sz="0" w:space="0" w:color="auto"/>
            <w:right w:val="none" w:sz="0" w:space="0" w:color="auto"/>
          </w:divBdr>
        </w:div>
        <w:div w:id="13269508">
          <w:marLeft w:val="0"/>
          <w:marRight w:val="0"/>
          <w:marTop w:val="0"/>
          <w:marBottom w:val="0"/>
          <w:divBdr>
            <w:top w:val="none" w:sz="0" w:space="0" w:color="auto"/>
            <w:left w:val="none" w:sz="0" w:space="0" w:color="auto"/>
            <w:bottom w:val="none" w:sz="0" w:space="0" w:color="auto"/>
            <w:right w:val="none" w:sz="0" w:space="0" w:color="auto"/>
          </w:divBdr>
        </w:div>
        <w:div w:id="13581175">
          <w:marLeft w:val="0"/>
          <w:marRight w:val="0"/>
          <w:marTop w:val="0"/>
          <w:marBottom w:val="0"/>
          <w:divBdr>
            <w:top w:val="none" w:sz="0" w:space="0" w:color="auto"/>
            <w:left w:val="none" w:sz="0" w:space="0" w:color="auto"/>
            <w:bottom w:val="none" w:sz="0" w:space="0" w:color="auto"/>
            <w:right w:val="none" w:sz="0" w:space="0" w:color="auto"/>
          </w:divBdr>
        </w:div>
        <w:div w:id="13966954">
          <w:marLeft w:val="0"/>
          <w:marRight w:val="0"/>
          <w:marTop w:val="0"/>
          <w:marBottom w:val="0"/>
          <w:divBdr>
            <w:top w:val="none" w:sz="0" w:space="0" w:color="auto"/>
            <w:left w:val="none" w:sz="0" w:space="0" w:color="auto"/>
            <w:bottom w:val="none" w:sz="0" w:space="0" w:color="auto"/>
            <w:right w:val="none" w:sz="0" w:space="0" w:color="auto"/>
          </w:divBdr>
        </w:div>
        <w:div w:id="17394545">
          <w:marLeft w:val="0"/>
          <w:marRight w:val="0"/>
          <w:marTop w:val="0"/>
          <w:marBottom w:val="0"/>
          <w:divBdr>
            <w:top w:val="none" w:sz="0" w:space="0" w:color="auto"/>
            <w:left w:val="none" w:sz="0" w:space="0" w:color="auto"/>
            <w:bottom w:val="none" w:sz="0" w:space="0" w:color="auto"/>
            <w:right w:val="none" w:sz="0" w:space="0" w:color="auto"/>
          </w:divBdr>
        </w:div>
        <w:div w:id="17582319">
          <w:marLeft w:val="0"/>
          <w:marRight w:val="0"/>
          <w:marTop w:val="0"/>
          <w:marBottom w:val="0"/>
          <w:divBdr>
            <w:top w:val="none" w:sz="0" w:space="0" w:color="auto"/>
            <w:left w:val="none" w:sz="0" w:space="0" w:color="auto"/>
            <w:bottom w:val="none" w:sz="0" w:space="0" w:color="auto"/>
            <w:right w:val="none" w:sz="0" w:space="0" w:color="auto"/>
          </w:divBdr>
        </w:div>
        <w:div w:id="19475785">
          <w:marLeft w:val="0"/>
          <w:marRight w:val="0"/>
          <w:marTop w:val="0"/>
          <w:marBottom w:val="0"/>
          <w:divBdr>
            <w:top w:val="none" w:sz="0" w:space="0" w:color="auto"/>
            <w:left w:val="none" w:sz="0" w:space="0" w:color="auto"/>
            <w:bottom w:val="none" w:sz="0" w:space="0" w:color="auto"/>
            <w:right w:val="none" w:sz="0" w:space="0" w:color="auto"/>
          </w:divBdr>
        </w:div>
        <w:div w:id="19477511">
          <w:marLeft w:val="0"/>
          <w:marRight w:val="0"/>
          <w:marTop w:val="0"/>
          <w:marBottom w:val="0"/>
          <w:divBdr>
            <w:top w:val="none" w:sz="0" w:space="0" w:color="auto"/>
            <w:left w:val="none" w:sz="0" w:space="0" w:color="auto"/>
            <w:bottom w:val="none" w:sz="0" w:space="0" w:color="auto"/>
            <w:right w:val="none" w:sz="0" w:space="0" w:color="auto"/>
          </w:divBdr>
        </w:div>
        <w:div w:id="20589984">
          <w:marLeft w:val="0"/>
          <w:marRight w:val="0"/>
          <w:marTop w:val="0"/>
          <w:marBottom w:val="0"/>
          <w:divBdr>
            <w:top w:val="none" w:sz="0" w:space="0" w:color="auto"/>
            <w:left w:val="none" w:sz="0" w:space="0" w:color="auto"/>
            <w:bottom w:val="none" w:sz="0" w:space="0" w:color="auto"/>
            <w:right w:val="none" w:sz="0" w:space="0" w:color="auto"/>
          </w:divBdr>
        </w:div>
        <w:div w:id="21244353">
          <w:marLeft w:val="0"/>
          <w:marRight w:val="0"/>
          <w:marTop w:val="0"/>
          <w:marBottom w:val="0"/>
          <w:divBdr>
            <w:top w:val="none" w:sz="0" w:space="0" w:color="auto"/>
            <w:left w:val="none" w:sz="0" w:space="0" w:color="auto"/>
            <w:bottom w:val="none" w:sz="0" w:space="0" w:color="auto"/>
            <w:right w:val="none" w:sz="0" w:space="0" w:color="auto"/>
          </w:divBdr>
        </w:div>
        <w:div w:id="22631670">
          <w:marLeft w:val="0"/>
          <w:marRight w:val="0"/>
          <w:marTop w:val="0"/>
          <w:marBottom w:val="0"/>
          <w:divBdr>
            <w:top w:val="none" w:sz="0" w:space="0" w:color="auto"/>
            <w:left w:val="none" w:sz="0" w:space="0" w:color="auto"/>
            <w:bottom w:val="none" w:sz="0" w:space="0" w:color="auto"/>
            <w:right w:val="none" w:sz="0" w:space="0" w:color="auto"/>
          </w:divBdr>
        </w:div>
        <w:div w:id="22748266">
          <w:marLeft w:val="0"/>
          <w:marRight w:val="0"/>
          <w:marTop w:val="0"/>
          <w:marBottom w:val="0"/>
          <w:divBdr>
            <w:top w:val="none" w:sz="0" w:space="0" w:color="auto"/>
            <w:left w:val="none" w:sz="0" w:space="0" w:color="auto"/>
            <w:bottom w:val="none" w:sz="0" w:space="0" w:color="auto"/>
            <w:right w:val="none" w:sz="0" w:space="0" w:color="auto"/>
          </w:divBdr>
        </w:div>
        <w:div w:id="23095714">
          <w:marLeft w:val="0"/>
          <w:marRight w:val="0"/>
          <w:marTop w:val="0"/>
          <w:marBottom w:val="0"/>
          <w:divBdr>
            <w:top w:val="none" w:sz="0" w:space="0" w:color="auto"/>
            <w:left w:val="none" w:sz="0" w:space="0" w:color="auto"/>
            <w:bottom w:val="none" w:sz="0" w:space="0" w:color="auto"/>
            <w:right w:val="none" w:sz="0" w:space="0" w:color="auto"/>
          </w:divBdr>
        </w:div>
        <w:div w:id="24404725">
          <w:marLeft w:val="0"/>
          <w:marRight w:val="0"/>
          <w:marTop w:val="0"/>
          <w:marBottom w:val="0"/>
          <w:divBdr>
            <w:top w:val="none" w:sz="0" w:space="0" w:color="auto"/>
            <w:left w:val="none" w:sz="0" w:space="0" w:color="auto"/>
            <w:bottom w:val="none" w:sz="0" w:space="0" w:color="auto"/>
            <w:right w:val="none" w:sz="0" w:space="0" w:color="auto"/>
          </w:divBdr>
        </w:div>
        <w:div w:id="28531873">
          <w:marLeft w:val="0"/>
          <w:marRight w:val="0"/>
          <w:marTop w:val="0"/>
          <w:marBottom w:val="0"/>
          <w:divBdr>
            <w:top w:val="none" w:sz="0" w:space="0" w:color="auto"/>
            <w:left w:val="none" w:sz="0" w:space="0" w:color="auto"/>
            <w:bottom w:val="none" w:sz="0" w:space="0" w:color="auto"/>
            <w:right w:val="none" w:sz="0" w:space="0" w:color="auto"/>
          </w:divBdr>
        </w:div>
        <w:div w:id="30613089">
          <w:marLeft w:val="0"/>
          <w:marRight w:val="0"/>
          <w:marTop w:val="0"/>
          <w:marBottom w:val="0"/>
          <w:divBdr>
            <w:top w:val="none" w:sz="0" w:space="0" w:color="auto"/>
            <w:left w:val="none" w:sz="0" w:space="0" w:color="auto"/>
            <w:bottom w:val="none" w:sz="0" w:space="0" w:color="auto"/>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 w:id="31541775">
          <w:marLeft w:val="0"/>
          <w:marRight w:val="0"/>
          <w:marTop w:val="0"/>
          <w:marBottom w:val="0"/>
          <w:divBdr>
            <w:top w:val="none" w:sz="0" w:space="0" w:color="auto"/>
            <w:left w:val="none" w:sz="0" w:space="0" w:color="auto"/>
            <w:bottom w:val="none" w:sz="0" w:space="0" w:color="auto"/>
            <w:right w:val="none" w:sz="0" w:space="0" w:color="auto"/>
          </w:divBdr>
        </w:div>
        <w:div w:id="33388384">
          <w:marLeft w:val="0"/>
          <w:marRight w:val="0"/>
          <w:marTop w:val="0"/>
          <w:marBottom w:val="0"/>
          <w:divBdr>
            <w:top w:val="none" w:sz="0" w:space="0" w:color="auto"/>
            <w:left w:val="none" w:sz="0" w:space="0" w:color="auto"/>
            <w:bottom w:val="none" w:sz="0" w:space="0" w:color="auto"/>
            <w:right w:val="none" w:sz="0" w:space="0" w:color="auto"/>
          </w:divBdr>
        </w:div>
        <w:div w:id="36664313">
          <w:marLeft w:val="0"/>
          <w:marRight w:val="0"/>
          <w:marTop w:val="0"/>
          <w:marBottom w:val="0"/>
          <w:divBdr>
            <w:top w:val="none" w:sz="0" w:space="0" w:color="auto"/>
            <w:left w:val="none" w:sz="0" w:space="0" w:color="auto"/>
            <w:bottom w:val="none" w:sz="0" w:space="0" w:color="auto"/>
            <w:right w:val="none" w:sz="0" w:space="0" w:color="auto"/>
          </w:divBdr>
        </w:div>
        <w:div w:id="37702482">
          <w:marLeft w:val="0"/>
          <w:marRight w:val="0"/>
          <w:marTop w:val="0"/>
          <w:marBottom w:val="0"/>
          <w:divBdr>
            <w:top w:val="none" w:sz="0" w:space="0" w:color="auto"/>
            <w:left w:val="none" w:sz="0" w:space="0" w:color="auto"/>
            <w:bottom w:val="none" w:sz="0" w:space="0" w:color="auto"/>
            <w:right w:val="none" w:sz="0" w:space="0" w:color="auto"/>
          </w:divBdr>
        </w:div>
        <w:div w:id="37776723">
          <w:marLeft w:val="0"/>
          <w:marRight w:val="0"/>
          <w:marTop w:val="0"/>
          <w:marBottom w:val="0"/>
          <w:divBdr>
            <w:top w:val="none" w:sz="0" w:space="0" w:color="auto"/>
            <w:left w:val="none" w:sz="0" w:space="0" w:color="auto"/>
            <w:bottom w:val="none" w:sz="0" w:space="0" w:color="auto"/>
            <w:right w:val="none" w:sz="0" w:space="0" w:color="auto"/>
          </w:divBdr>
        </w:div>
        <w:div w:id="39210333">
          <w:marLeft w:val="0"/>
          <w:marRight w:val="0"/>
          <w:marTop w:val="0"/>
          <w:marBottom w:val="0"/>
          <w:divBdr>
            <w:top w:val="none" w:sz="0" w:space="0" w:color="auto"/>
            <w:left w:val="none" w:sz="0" w:space="0" w:color="auto"/>
            <w:bottom w:val="none" w:sz="0" w:space="0" w:color="auto"/>
            <w:right w:val="none" w:sz="0" w:space="0" w:color="auto"/>
          </w:divBdr>
        </w:div>
        <w:div w:id="40371793">
          <w:marLeft w:val="0"/>
          <w:marRight w:val="0"/>
          <w:marTop w:val="0"/>
          <w:marBottom w:val="0"/>
          <w:divBdr>
            <w:top w:val="none" w:sz="0" w:space="0" w:color="auto"/>
            <w:left w:val="none" w:sz="0" w:space="0" w:color="auto"/>
            <w:bottom w:val="none" w:sz="0" w:space="0" w:color="auto"/>
            <w:right w:val="none" w:sz="0" w:space="0" w:color="auto"/>
          </w:divBdr>
        </w:div>
        <w:div w:id="40567385">
          <w:marLeft w:val="0"/>
          <w:marRight w:val="0"/>
          <w:marTop w:val="0"/>
          <w:marBottom w:val="0"/>
          <w:divBdr>
            <w:top w:val="none" w:sz="0" w:space="0" w:color="auto"/>
            <w:left w:val="none" w:sz="0" w:space="0" w:color="auto"/>
            <w:bottom w:val="none" w:sz="0" w:space="0" w:color="auto"/>
            <w:right w:val="none" w:sz="0" w:space="0" w:color="auto"/>
          </w:divBdr>
        </w:div>
        <w:div w:id="44137218">
          <w:marLeft w:val="0"/>
          <w:marRight w:val="0"/>
          <w:marTop w:val="0"/>
          <w:marBottom w:val="0"/>
          <w:divBdr>
            <w:top w:val="none" w:sz="0" w:space="0" w:color="auto"/>
            <w:left w:val="none" w:sz="0" w:space="0" w:color="auto"/>
            <w:bottom w:val="none" w:sz="0" w:space="0" w:color="auto"/>
            <w:right w:val="none" w:sz="0" w:space="0" w:color="auto"/>
          </w:divBdr>
        </w:div>
        <w:div w:id="46270217">
          <w:marLeft w:val="0"/>
          <w:marRight w:val="0"/>
          <w:marTop w:val="0"/>
          <w:marBottom w:val="0"/>
          <w:divBdr>
            <w:top w:val="none" w:sz="0" w:space="0" w:color="auto"/>
            <w:left w:val="none" w:sz="0" w:space="0" w:color="auto"/>
            <w:bottom w:val="none" w:sz="0" w:space="0" w:color="auto"/>
            <w:right w:val="none" w:sz="0" w:space="0" w:color="auto"/>
          </w:divBdr>
        </w:div>
        <w:div w:id="48379980">
          <w:marLeft w:val="0"/>
          <w:marRight w:val="0"/>
          <w:marTop w:val="0"/>
          <w:marBottom w:val="0"/>
          <w:divBdr>
            <w:top w:val="none" w:sz="0" w:space="0" w:color="auto"/>
            <w:left w:val="none" w:sz="0" w:space="0" w:color="auto"/>
            <w:bottom w:val="none" w:sz="0" w:space="0" w:color="auto"/>
            <w:right w:val="none" w:sz="0" w:space="0" w:color="auto"/>
          </w:divBdr>
        </w:div>
        <w:div w:id="49772189">
          <w:marLeft w:val="0"/>
          <w:marRight w:val="0"/>
          <w:marTop w:val="0"/>
          <w:marBottom w:val="0"/>
          <w:divBdr>
            <w:top w:val="none" w:sz="0" w:space="0" w:color="auto"/>
            <w:left w:val="none" w:sz="0" w:space="0" w:color="auto"/>
            <w:bottom w:val="none" w:sz="0" w:space="0" w:color="auto"/>
            <w:right w:val="none" w:sz="0" w:space="0" w:color="auto"/>
          </w:divBdr>
        </w:div>
        <w:div w:id="50278856">
          <w:marLeft w:val="0"/>
          <w:marRight w:val="0"/>
          <w:marTop w:val="0"/>
          <w:marBottom w:val="0"/>
          <w:divBdr>
            <w:top w:val="none" w:sz="0" w:space="0" w:color="auto"/>
            <w:left w:val="none" w:sz="0" w:space="0" w:color="auto"/>
            <w:bottom w:val="none" w:sz="0" w:space="0" w:color="auto"/>
            <w:right w:val="none" w:sz="0" w:space="0" w:color="auto"/>
          </w:divBdr>
        </w:div>
        <w:div w:id="50858594">
          <w:marLeft w:val="0"/>
          <w:marRight w:val="0"/>
          <w:marTop w:val="0"/>
          <w:marBottom w:val="0"/>
          <w:divBdr>
            <w:top w:val="none" w:sz="0" w:space="0" w:color="auto"/>
            <w:left w:val="none" w:sz="0" w:space="0" w:color="auto"/>
            <w:bottom w:val="none" w:sz="0" w:space="0" w:color="auto"/>
            <w:right w:val="none" w:sz="0" w:space="0" w:color="auto"/>
          </w:divBdr>
        </w:div>
        <w:div w:id="53167102">
          <w:marLeft w:val="0"/>
          <w:marRight w:val="0"/>
          <w:marTop w:val="0"/>
          <w:marBottom w:val="0"/>
          <w:divBdr>
            <w:top w:val="none" w:sz="0" w:space="0" w:color="auto"/>
            <w:left w:val="none" w:sz="0" w:space="0" w:color="auto"/>
            <w:bottom w:val="none" w:sz="0" w:space="0" w:color="auto"/>
            <w:right w:val="none" w:sz="0" w:space="0" w:color="auto"/>
          </w:divBdr>
        </w:div>
        <w:div w:id="53967037">
          <w:marLeft w:val="0"/>
          <w:marRight w:val="0"/>
          <w:marTop w:val="0"/>
          <w:marBottom w:val="0"/>
          <w:divBdr>
            <w:top w:val="none" w:sz="0" w:space="0" w:color="auto"/>
            <w:left w:val="none" w:sz="0" w:space="0" w:color="auto"/>
            <w:bottom w:val="none" w:sz="0" w:space="0" w:color="auto"/>
            <w:right w:val="none" w:sz="0" w:space="0" w:color="auto"/>
          </w:divBdr>
        </w:div>
        <w:div w:id="56131553">
          <w:marLeft w:val="0"/>
          <w:marRight w:val="0"/>
          <w:marTop w:val="0"/>
          <w:marBottom w:val="0"/>
          <w:divBdr>
            <w:top w:val="none" w:sz="0" w:space="0" w:color="auto"/>
            <w:left w:val="none" w:sz="0" w:space="0" w:color="auto"/>
            <w:bottom w:val="none" w:sz="0" w:space="0" w:color="auto"/>
            <w:right w:val="none" w:sz="0" w:space="0" w:color="auto"/>
          </w:divBdr>
        </w:div>
        <w:div w:id="57870248">
          <w:marLeft w:val="0"/>
          <w:marRight w:val="0"/>
          <w:marTop w:val="0"/>
          <w:marBottom w:val="0"/>
          <w:divBdr>
            <w:top w:val="none" w:sz="0" w:space="0" w:color="auto"/>
            <w:left w:val="none" w:sz="0" w:space="0" w:color="auto"/>
            <w:bottom w:val="none" w:sz="0" w:space="0" w:color="auto"/>
            <w:right w:val="none" w:sz="0" w:space="0" w:color="auto"/>
          </w:divBdr>
        </w:div>
        <w:div w:id="58527706">
          <w:marLeft w:val="0"/>
          <w:marRight w:val="0"/>
          <w:marTop w:val="0"/>
          <w:marBottom w:val="0"/>
          <w:divBdr>
            <w:top w:val="none" w:sz="0" w:space="0" w:color="auto"/>
            <w:left w:val="none" w:sz="0" w:space="0" w:color="auto"/>
            <w:bottom w:val="none" w:sz="0" w:space="0" w:color="auto"/>
            <w:right w:val="none" w:sz="0" w:space="0" w:color="auto"/>
          </w:divBdr>
        </w:div>
        <w:div w:id="59332036">
          <w:marLeft w:val="0"/>
          <w:marRight w:val="0"/>
          <w:marTop w:val="0"/>
          <w:marBottom w:val="0"/>
          <w:divBdr>
            <w:top w:val="none" w:sz="0" w:space="0" w:color="auto"/>
            <w:left w:val="none" w:sz="0" w:space="0" w:color="auto"/>
            <w:bottom w:val="none" w:sz="0" w:space="0" w:color="auto"/>
            <w:right w:val="none" w:sz="0" w:space="0" w:color="auto"/>
          </w:divBdr>
        </w:div>
        <w:div w:id="59637807">
          <w:marLeft w:val="0"/>
          <w:marRight w:val="0"/>
          <w:marTop w:val="0"/>
          <w:marBottom w:val="0"/>
          <w:divBdr>
            <w:top w:val="none" w:sz="0" w:space="0" w:color="auto"/>
            <w:left w:val="none" w:sz="0" w:space="0" w:color="auto"/>
            <w:bottom w:val="none" w:sz="0" w:space="0" w:color="auto"/>
            <w:right w:val="none" w:sz="0" w:space="0" w:color="auto"/>
          </w:divBdr>
        </w:div>
        <w:div w:id="62027645">
          <w:marLeft w:val="0"/>
          <w:marRight w:val="0"/>
          <w:marTop w:val="0"/>
          <w:marBottom w:val="0"/>
          <w:divBdr>
            <w:top w:val="none" w:sz="0" w:space="0" w:color="auto"/>
            <w:left w:val="none" w:sz="0" w:space="0" w:color="auto"/>
            <w:bottom w:val="none" w:sz="0" w:space="0" w:color="auto"/>
            <w:right w:val="none" w:sz="0" w:space="0" w:color="auto"/>
          </w:divBdr>
        </w:div>
        <w:div w:id="62148519">
          <w:marLeft w:val="0"/>
          <w:marRight w:val="0"/>
          <w:marTop w:val="0"/>
          <w:marBottom w:val="0"/>
          <w:divBdr>
            <w:top w:val="none" w:sz="0" w:space="0" w:color="auto"/>
            <w:left w:val="none" w:sz="0" w:space="0" w:color="auto"/>
            <w:bottom w:val="none" w:sz="0" w:space="0" w:color="auto"/>
            <w:right w:val="none" w:sz="0" w:space="0" w:color="auto"/>
          </w:divBdr>
        </w:div>
        <w:div w:id="68774330">
          <w:marLeft w:val="0"/>
          <w:marRight w:val="0"/>
          <w:marTop w:val="0"/>
          <w:marBottom w:val="0"/>
          <w:divBdr>
            <w:top w:val="none" w:sz="0" w:space="0" w:color="auto"/>
            <w:left w:val="none" w:sz="0" w:space="0" w:color="auto"/>
            <w:bottom w:val="none" w:sz="0" w:space="0" w:color="auto"/>
            <w:right w:val="none" w:sz="0" w:space="0" w:color="auto"/>
          </w:divBdr>
          <w:divsChild>
            <w:div w:id="834537776">
              <w:marLeft w:val="-75"/>
              <w:marRight w:val="0"/>
              <w:marTop w:val="30"/>
              <w:marBottom w:val="30"/>
              <w:divBdr>
                <w:top w:val="none" w:sz="0" w:space="0" w:color="auto"/>
                <w:left w:val="none" w:sz="0" w:space="0" w:color="auto"/>
                <w:bottom w:val="none" w:sz="0" w:space="0" w:color="auto"/>
                <w:right w:val="none" w:sz="0" w:space="0" w:color="auto"/>
              </w:divBdr>
              <w:divsChild>
                <w:div w:id="57755425">
                  <w:marLeft w:val="0"/>
                  <w:marRight w:val="0"/>
                  <w:marTop w:val="0"/>
                  <w:marBottom w:val="0"/>
                  <w:divBdr>
                    <w:top w:val="none" w:sz="0" w:space="0" w:color="auto"/>
                    <w:left w:val="none" w:sz="0" w:space="0" w:color="auto"/>
                    <w:bottom w:val="none" w:sz="0" w:space="0" w:color="auto"/>
                    <w:right w:val="none" w:sz="0" w:space="0" w:color="auto"/>
                  </w:divBdr>
                  <w:divsChild>
                    <w:div w:id="389497771">
                      <w:marLeft w:val="0"/>
                      <w:marRight w:val="0"/>
                      <w:marTop w:val="0"/>
                      <w:marBottom w:val="0"/>
                      <w:divBdr>
                        <w:top w:val="none" w:sz="0" w:space="0" w:color="auto"/>
                        <w:left w:val="none" w:sz="0" w:space="0" w:color="auto"/>
                        <w:bottom w:val="none" w:sz="0" w:space="0" w:color="auto"/>
                        <w:right w:val="none" w:sz="0" w:space="0" w:color="auto"/>
                      </w:divBdr>
                    </w:div>
                  </w:divsChild>
                </w:div>
                <w:div w:id="205531418">
                  <w:marLeft w:val="0"/>
                  <w:marRight w:val="0"/>
                  <w:marTop w:val="0"/>
                  <w:marBottom w:val="0"/>
                  <w:divBdr>
                    <w:top w:val="none" w:sz="0" w:space="0" w:color="auto"/>
                    <w:left w:val="none" w:sz="0" w:space="0" w:color="auto"/>
                    <w:bottom w:val="none" w:sz="0" w:space="0" w:color="auto"/>
                    <w:right w:val="none" w:sz="0" w:space="0" w:color="auto"/>
                  </w:divBdr>
                  <w:divsChild>
                    <w:div w:id="751463115">
                      <w:marLeft w:val="0"/>
                      <w:marRight w:val="0"/>
                      <w:marTop w:val="0"/>
                      <w:marBottom w:val="0"/>
                      <w:divBdr>
                        <w:top w:val="none" w:sz="0" w:space="0" w:color="auto"/>
                        <w:left w:val="none" w:sz="0" w:space="0" w:color="auto"/>
                        <w:bottom w:val="none" w:sz="0" w:space="0" w:color="auto"/>
                        <w:right w:val="none" w:sz="0" w:space="0" w:color="auto"/>
                      </w:divBdr>
                    </w:div>
                  </w:divsChild>
                </w:div>
                <w:div w:id="236743667">
                  <w:marLeft w:val="0"/>
                  <w:marRight w:val="0"/>
                  <w:marTop w:val="0"/>
                  <w:marBottom w:val="0"/>
                  <w:divBdr>
                    <w:top w:val="none" w:sz="0" w:space="0" w:color="auto"/>
                    <w:left w:val="none" w:sz="0" w:space="0" w:color="auto"/>
                    <w:bottom w:val="none" w:sz="0" w:space="0" w:color="auto"/>
                    <w:right w:val="none" w:sz="0" w:space="0" w:color="auto"/>
                  </w:divBdr>
                  <w:divsChild>
                    <w:div w:id="1906139463">
                      <w:marLeft w:val="0"/>
                      <w:marRight w:val="0"/>
                      <w:marTop w:val="0"/>
                      <w:marBottom w:val="0"/>
                      <w:divBdr>
                        <w:top w:val="none" w:sz="0" w:space="0" w:color="auto"/>
                        <w:left w:val="none" w:sz="0" w:space="0" w:color="auto"/>
                        <w:bottom w:val="none" w:sz="0" w:space="0" w:color="auto"/>
                        <w:right w:val="none" w:sz="0" w:space="0" w:color="auto"/>
                      </w:divBdr>
                    </w:div>
                  </w:divsChild>
                </w:div>
                <w:div w:id="279339311">
                  <w:marLeft w:val="0"/>
                  <w:marRight w:val="0"/>
                  <w:marTop w:val="0"/>
                  <w:marBottom w:val="0"/>
                  <w:divBdr>
                    <w:top w:val="none" w:sz="0" w:space="0" w:color="auto"/>
                    <w:left w:val="none" w:sz="0" w:space="0" w:color="auto"/>
                    <w:bottom w:val="none" w:sz="0" w:space="0" w:color="auto"/>
                    <w:right w:val="none" w:sz="0" w:space="0" w:color="auto"/>
                  </w:divBdr>
                  <w:divsChild>
                    <w:div w:id="1239098347">
                      <w:marLeft w:val="0"/>
                      <w:marRight w:val="0"/>
                      <w:marTop w:val="0"/>
                      <w:marBottom w:val="0"/>
                      <w:divBdr>
                        <w:top w:val="none" w:sz="0" w:space="0" w:color="auto"/>
                        <w:left w:val="none" w:sz="0" w:space="0" w:color="auto"/>
                        <w:bottom w:val="none" w:sz="0" w:space="0" w:color="auto"/>
                        <w:right w:val="none" w:sz="0" w:space="0" w:color="auto"/>
                      </w:divBdr>
                    </w:div>
                  </w:divsChild>
                </w:div>
                <w:div w:id="304356389">
                  <w:marLeft w:val="0"/>
                  <w:marRight w:val="0"/>
                  <w:marTop w:val="0"/>
                  <w:marBottom w:val="0"/>
                  <w:divBdr>
                    <w:top w:val="none" w:sz="0" w:space="0" w:color="auto"/>
                    <w:left w:val="none" w:sz="0" w:space="0" w:color="auto"/>
                    <w:bottom w:val="none" w:sz="0" w:space="0" w:color="auto"/>
                    <w:right w:val="none" w:sz="0" w:space="0" w:color="auto"/>
                  </w:divBdr>
                  <w:divsChild>
                    <w:div w:id="1799689918">
                      <w:marLeft w:val="0"/>
                      <w:marRight w:val="0"/>
                      <w:marTop w:val="0"/>
                      <w:marBottom w:val="0"/>
                      <w:divBdr>
                        <w:top w:val="none" w:sz="0" w:space="0" w:color="auto"/>
                        <w:left w:val="none" w:sz="0" w:space="0" w:color="auto"/>
                        <w:bottom w:val="none" w:sz="0" w:space="0" w:color="auto"/>
                        <w:right w:val="none" w:sz="0" w:space="0" w:color="auto"/>
                      </w:divBdr>
                    </w:div>
                  </w:divsChild>
                </w:div>
                <w:div w:id="459614694">
                  <w:marLeft w:val="0"/>
                  <w:marRight w:val="0"/>
                  <w:marTop w:val="0"/>
                  <w:marBottom w:val="0"/>
                  <w:divBdr>
                    <w:top w:val="none" w:sz="0" w:space="0" w:color="auto"/>
                    <w:left w:val="none" w:sz="0" w:space="0" w:color="auto"/>
                    <w:bottom w:val="none" w:sz="0" w:space="0" w:color="auto"/>
                    <w:right w:val="none" w:sz="0" w:space="0" w:color="auto"/>
                  </w:divBdr>
                  <w:divsChild>
                    <w:div w:id="1505515540">
                      <w:marLeft w:val="0"/>
                      <w:marRight w:val="0"/>
                      <w:marTop w:val="0"/>
                      <w:marBottom w:val="0"/>
                      <w:divBdr>
                        <w:top w:val="none" w:sz="0" w:space="0" w:color="auto"/>
                        <w:left w:val="none" w:sz="0" w:space="0" w:color="auto"/>
                        <w:bottom w:val="none" w:sz="0" w:space="0" w:color="auto"/>
                        <w:right w:val="none" w:sz="0" w:space="0" w:color="auto"/>
                      </w:divBdr>
                    </w:div>
                  </w:divsChild>
                </w:div>
                <w:div w:id="463356192">
                  <w:marLeft w:val="0"/>
                  <w:marRight w:val="0"/>
                  <w:marTop w:val="0"/>
                  <w:marBottom w:val="0"/>
                  <w:divBdr>
                    <w:top w:val="none" w:sz="0" w:space="0" w:color="auto"/>
                    <w:left w:val="none" w:sz="0" w:space="0" w:color="auto"/>
                    <w:bottom w:val="none" w:sz="0" w:space="0" w:color="auto"/>
                    <w:right w:val="none" w:sz="0" w:space="0" w:color="auto"/>
                  </w:divBdr>
                  <w:divsChild>
                    <w:div w:id="1949238316">
                      <w:marLeft w:val="0"/>
                      <w:marRight w:val="0"/>
                      <w:marTop w:val="0"/>
                      <w:marBottom w:val="0"/>
                      <w:divBdr>
                        <w:top w:val="none" w:sz="0" w:space="0" w:color="auto"/>
                        <w:left w:val="none" w:sz="0" w:space="0" w:color="auto"/>
                        <w:bottom w:val="none" w:sz="0" w:space="0" w:color="auto"/>
                        <w:right w:val="none" w:sz="0" w:space="0" w:color="auto"/>
                      </w:divBdr>
                    </w:div>
                  </w:divsChild>
                </w:div>
                <w:div w:id="575210421">
                  <w:marLeft w:val="0"/>
                  <w:marRight w:val="0"/>
                  <w:marTop w:val="0"/>
                  <w:marBottom w:val="0"/>
                  <w:divBdr>
                    <w:top w:val="none" w:sz="0" w:space="0" w:color="auto"/>
                    <w:left w:val="none" w:sz="0" w:space="0" w:color="auto"/>
                    <w:bottom w:val="none" w:sz="0" w:space="0" w:color="auto"/>
                    <w:right w:val="none" w:sz="0" w:space="0" w:color="auto"/>
                  </w:divBdr>
                  <w:divsChild>
                    <w:div w:id="1925606545">
                      <w:marLeft w:val="0"/>
                      <w:marRight w:val="0"/>
                      <w:marTop w:val="0"/>
                      <w:marBottom w:val="0"/>
                      <w:divBdr>
                        <w:top w:val="none" w:sz="0" w:space="0" w:color="auto"/>
                        <w:left w:val="none" w:sz="0" w:space="0" w:color="auto"/>
                        <w:bottom w:val="none" w:sz="0" w:space="0" w:color="auto"/>
                        <w:right w:val="none" w:sz="0" w:space="0" w:color="auto"/>
                      </w:divBdr>
                    </w:div>
                  </w:divsChild>
                </w:div>
                <w:div w:id="647979976">
                  <w:marLeft w:val="0"/>
                  <w:marRight w:val="0"/>
                  <w:marTop w:val="0"/>
                  <w:marBottom w:val="0"/>
                  <w:divBdr>
                    <w:top w:val="none" w:sz="0" w:space="0" w:color="auto"/>
                    <w:left w:val="none" w:sz="0" w:space="0" w:color="auto"/>
                    <w:bottom w:val="none" w:sz="0" w:space="0" w:color="auto"/>
                    <w:right w:val="none" w:sz="0" w:space="0" w:color="auto"/>
                  </w:divBdr>
                  <w:divsChild>
                    <w:div w:id="499541700">
                      <w:marLeft w:val="0"/>
                      <w:marRight w:val="0"/>
                      <w:marTop w:val="0"/>
                      <w:marBottom w:val="0"/>
                      <w:divBdr>
                        <w:top w:val="none" w:sz="0" w:space="0" w:color="auto"/>
                        <w:left w:val="none" w:sz="0" w:space="0" w:color="auto"/>
                        <w:bottom w:val="none" w:sz="0" w:space="0" w:color="auto"/>
                        <w:right w:val="none" w:sz="0" w:space="0" w:color="auto"/>
                      </w:divBdr>
                    </w:div>
                  </w:divsChild>
                </w:div>
                <w:div w:id="708650527">
                  <w:marLeft w:val="0"/>
                  <w:marRight w:val="0"/>
                  <w:marTop w:val="0"/>
                  <w:marBottom w:val="0"/>
                  <w:divBdr>
                    <w:top w:val="none" w:sz="0" w:space="0" w:color="auto"/>
                    <w:left w:val="none" w:sz="0" w:space="0" w:color="auto"/>
                    <w:bottom w:val="none" w:sz="0" w:space="0" w:color="auto"/>
                    <w:right w:val="none" w:sz="0" w:space="0" w:color="auto"/>
                  </w:divBdr>
                  <w:divsChild>
                    <w:div w:id="1719737610">
                      <w:marLeft w:val="0"/>
                      <w:marRight w:val="0"/>
                      <w:marTop w:val="0"/>
                      <w:marBottom w:val="0"/>
                      <w:divBdr>
                        <w:top w:val="none" w:sz="0" w:space="0" w:color="auto"/>
                        <w:left w:val="none" w:sz="0" w:space="0" w:color="auto"/>
                        <w:bottom w:val="none" w:sz="0" w:space="0" w:color="auto"/>
                        <w:right w:val="none" w:sz="0" w:space="0" w:color="auto"/>
                      </w:divBdr>
                    </w:div>
                  </w:divsChild>
                </w:div>
                <w:div w:id="745807556">
                  <w:marLeft w:val="0"/>
                  <w:marRight w:val="0"/>
                  <w:marTop w:val="0"/>
                  <w:marBottom w:val="0"/>
                  <w:divBdr>
                    <w:top w:val="none" w:sz="0" w:space="0" w:color="auto"/>
                    <w:left w:val="none" w:sz="0" w:space="0" w:color="auto"/>
                    <w:bottom w:val="none" w:sz="0" w:space="0" w:color="auto"/>
                    <w:right w:val="none" w:sz="0" w:space="0" w:color="auto"/>
                  </w:divBdr>
                  <w:divsChild>
                    <w:div w:id="480998182">
                      <w:marLeft w:val="0"/>
                      <w:marRight w:val="0"/>
                      <w:marTop w:val="0"/>
                      <w:marBottom w:val="0"/>
                      <w:divBdr>
                        <w:top w:val="none" w:sz="0" w:space="0" w:color="auto"/>
                        <w:left w:val="none" w:sz="0" w:space="0" w:color="auto"/>
                        <w:bottom w:val="none" w:sz="0" w:space="0" w:color="auto"/>
                        <w:right w:val="none" w:sz="0" w:space="0" w:color="auto"/>
                      </w:divBdr>
                    </w:div>
                  </w:divsChild>
                </w:div>
                <w:div w:id="772897641">
                  <w:marLeft w:val="0"/>
                  <w:marRight w:val="0"/>
                  <w:marTop w:val="0"/>
                  <w:marBottom w:val="0"/>
                  <w:divBdr>
                    <w:top w:val="none" w:sz="0" w:space="0" w:color="auto"/>
                    <w:left w:val="none" w:sz="0" w:space="0" w:color="auto"/>
                    <w:bottom w:val="none" w:sz="0" w:space="0" w:color="auto"/>
                    <w:right w:val="none" w:sz="0" w:space="0" w:color="auto"/>
                  </w:divBdr>
                  <w:divsChild>
                    <w:div w:id="1059129586">
                      <w:marLeft w:val="0"/>
                      <w:marRight w:val="0"/>
                      <w:marTop w:val="0"/>
                      <w:marBottom w:val="0"/>
                      <w:divBdr>
                        <w:top w:val="none" w:sz="0" w:space="0" w:color="auto"/>
                        <w:left w:val="none" w:sz="0" w:space="0" w:color="auto"/>
                        <w:bottom w:val="none" w:sz="0" w:space="0" w:color="auto"/>
                        <w:right w:val="none" w:sz="0" w:space="0" w:color="auto"/>
                      </w:divBdr>
                    </w:div>
                  </w:divsChild>
                </w:div>
                <w:div w:id="807548764">
                  <w:marLeft w:val="0"/>
                  <w:marRight w:val="0"/>
                  <w:marTop w:val="0"/>
                  <w:marBottom w:val="0"/>
                  <w:divBdr>
                    <w:top w:val="none" w:sz="0" w:space="0" w:color="auto"/>
                    <w:left w:val="none" w:sz="0" w:space="0" w:color="auto"/>
                    <w:bottom w:val="none" w:sz="0" w:space="0" w:color="auto"/>
                    <w:right w:val="none" w:sz="0" w:space="0" w:color="auto"/>
                  </w:divBdr>
                  <w:divsChild>
                    <w:div w:id="1975137695">
                      <w:marLeft w:val="0"/>
                      <w:marRight w:val="0"/>
                      <w:marTop w:val="0"/>
                      <w:marBottom w:val="0"/>
                      <w:divBdr>
                        <w:top w:val="none" w:sz="0" w:space="0" w:color="auto"/>
                        <w:left w:val="none" w:sz="0" w:space="0" w:color="auto"/>
                        <w:bottom w:val="none" w:sz="0" w:space="0" w:color="auto"/>
                        <w:right w:val="none" w:sz="0" w:space="0" w:color="auto"/>
                      </w:divBdr>
                    </w:div>
                  </w:divsChild>
                </w:div>
                <w:div w:id="835878777">
                  <w:marLeft w:val="0"/>
                  <w:marRight w:val="0"/>
                  <w:marTop w:val="0"/>
                  <w:marBottom w:val="0"/>
                  <w:divBdr>
                    <w:top w:val="none" w:sz="0" w:space="0" w:color="auto"/>
                    <w:left w:val="none" w:sz="0" w:space="0" w:color="auto"/>
                    <w:bottom w:val="none" w:sz="0" w:space="0" w:color="auto"/>
                    <w:right w:val="none" w:sz="0" w:space="0" w:color="auto"/>
                  </w:divBdr>
                  <w:divsChild>
                    <w:div w:id="365377004">
                      <w:marLeft w:val="0"/>
                      <w:marRight w:val="0"/>
                      <w:marTop w:val="0"/>
                      <w:marBottom w:val="0"/>
                      <w:divBdr>
                        <w:top w:val="none" w:sz="0" w:space="0" w:color="auto"/>
                        <w:left w:val="none" w:sz="0" w:space="0" w:color="auto"/>
                        <w:bottom w:val="none" w:sz="0" w:space="0" w:color="auto"/>
                        <w:right w:val="none" w:sz="0" w:space="0" w:color="auto"/>
                      </w:divBdr>
                    </w:div>
                  </w:divsChild>
                </w:div>
                <w:div w:id="992879689">
                  <w:marLeft w:val="0"/>
                  <w:marRight w:val="0"/>
                  <w:marTop w:val="0"/>
                  <w:marBottom w:val="0"/>
                  <w:divBdr>
                    <w:top w:val="none" w:sz="0" w:space="0" w:color="auto"/>
                    <w:left w:val="none" w:sz="0" w:space="0" w:color="auto"/>
                    <w:bottom w:val="none" w:sz="0" w:space="0" w:color="auto"/>
                    <w:right w:val="none" w:sz="0" w:space="0" w:color="auto"/>
                  </w:divBdr>
                  <w:divsChild>
                    <w:div w:id="267587286">
                      <w:marLeft w:val="0"/>
                      <w:marRight w:val="0"/>
                      <w:marTop w:val="0"/>
                      <w:marBottom w:val="0"/>
                      <w:divBdr>
                        <w:top w:val="none" w:sz="0" w:space="0" w:color="auto"/>
                        <w:left w:val="none" w:sz="0" w:space="0" w:color="auto"/>
                        <w:bottom w:val="none" w:sz="0" w:space="0" w:color="auto"/>
                        <w:right w:val="none" w:sz="0" w:space="0" w:color="auto"/>
                      </w:divBdr>
                    </w:div>
                  </w:divsChild>
                </w:div>
                <w:div w:id="1035034887">
                  <w:marLeft w:val="0"/>
                  <w:marRight w:val="0"/>
                  <w:marTop w:val="0"/>
                  <w:marBottom w:val="0"/>
                  <w:divBdr>
                    <w:top w:val="none" w:sz="0" w:space="0" w:color="auto"/>
                    <w:left w:val="none" w:sz="0" w:space="0" w:color="auto"/>
                    <w:bottom w:val="none" w:sz="0" w:space="0" w:color="auto"/>
                    <w:right w:val="none" w:sz="0" w:space="0" w:color="auto"/>
                  </w:divBdr>
                  <w:divsChild>
                    <w:div w:id="581721540">
                      <w:marLeft w:val="0"/>
                      <w:marRight w:val="0"/>
                      <w:marTop w:val="0"/>
                      <w:marBottom w:val="0"/>
                      <w:divBdr>
                        <w:top w:val="none" w:sz="0" w:space="0" w:color="auto"/>
                        <w:left w:val="none" w:sz="0" w:space="0" w:color="auto"/>
                        <w:bottom w:val="none" w:sz="0" w:space="0" w:color="auto"/>
                        <w:right w:val="none" w:sz="0" w:space="0" w:color="auto"/>
                      </w:divBdr>
                    </w:div>
                  </w:divsChild>
                </w:div>
                <w:div w:id="1097602719">
                  <w:marLeft w:val="0"/>
                  <w:marRight w:val="0"/>
                  <w:marTop w:val="0"/>
                  <w:marBottom w:val="0"/>
                  <w:divBdr>
                    <w:top w:val="none" w:sz="0" w:space="0" w:color="auto"/>
                    <w:left w:val="none" w:sz="0" w:space="0" w:color="auto"/>
                    <w:bottom w:val="none" w:sz="0" w:space="0" w:color="auto"/>
                    <w:right w:val="none" w:sz="0" w:space="0" w:color="auto"/>
                  </w:divBdr>
                  <w:divsChild>
                    <w:div w:id="477959968">
                      <w:marLeft w:val="0"/>
                      <w:marRight w:val="0"/>
                      <w:marTop w:val="0"/>
                      <w:marBottom w:val="0"/>
                      <w:divBdr>
                        <w:top w:val="none" w:sz="0" w:space="0" w:color="auto"/>
                        <w:left w:val="none" w:sz="0" w:space="0" w:color="auto"/>
                        <w:bottom w:val="none" w:sz="0" w:space="0" w:color="auto"/>
                        <w:right w:val="none" w:sz="0" w:space="0" w:color="auto"/>
                      </w:divBdr>
                    </w:div>
                  </w:divsChild>
                </w:div>
                <w:div w:id="1099326044">
                  <w:marLeft w:val="0"/>
                  <w:marRight w:val="0"/>
                  <w:marTop w:val="0"/>
                  <w:marBottom w:val="0"/>
                  <w:divBdr>
                    <w:top w:val="none" w:sz="0" w:space="0" w:color="auto"/>
                    <w:left w:val="none" w:sz="0" w:space="0" w:color="auto"/>
                    <w:bottom w:val="none" w:sz="0" w:space="0" w:color="auto"/>
                    <w:right w:val="none" w:sz="0" w:space="0" w:color="auto"/>
                  </w:divBdr>
                  <w:divsChild>
                    <w:div w:id="1688435522">
                      <w:marLeft w:val="0"/>
                      <w:marRight w:val="0"/>
                      <w:marTop w:val="0"/>
                      <w:marBottom w:val="0"/>
                      <w:divBdr>
                        <w:top w:val="none" w:sz="0" w:space="0" w:color="auto"/>
                        <w:left w:val="none" w:sz="0" w:space="0" w:color="auto"/>
                        <w:bottom w:val="none" w:sz="0" w:space="0" w:color="auto"/>
                        <w:right w:val="none" w:sz="0" w:space="0" w:color="auto"/>
                      </w:divBdr>
                    </w:div>
                  </w:divsChild>
                </w:div>
                <w:div w:id="1163161475">
                  <w:marLeft w:val="0"/>
                  <w:marRight w:val="0"/>
                  <w:marTop w:val="0"/>
                  <w:marBottom w:val="0"/>
                  <w:divBdr>
                    <w:top w:val="none" w:sz="0" w:space="0" w:color="auto"/>
                    <w:left w:val="none" w:sz="0" w:space="0" w:color="auto"/>
                    <w:bottom w:val="none" w:sz="0" w:space="0" w:color="auto"/>
                    <w:right w:val="none" w:sz="0" w:space="0" w:color="auto"/>
                  </w:divBdr>
                  <w:divsChild>
                    <w:div w:id="108748108">
                      <w:marLeft w:val="0"/>
                      <w:marRight w:val="0"/>
                      <w:marTop w:val="0"/>
                      <w:marBottom w:val="0"/>
                      <w:divBdr>
                        <w:top w:val="none" w:sz="0" w:space="0" w:color="auto"/>
                        <w:left w:val="none" w:sz="0" w:space="0" w:color="auto"/>
                        <w:bottom w:val="none" w:sz="0" w:space="0" w:color="auto"/>
                        <w:right w:val="none" w:sz="0" w:space="0" w:color="auto"/>
                      </w:divBdr>
                    </w:div>
                  </w:divsChild>
                </w:div>
                <w:div w:id="1167477915">
                  <w:marLeft w:val="0"/>
                  <w:marRight w:val="0"/>
                  <w:marTop w:val="0"/>
                  <w:marBottom w:val="0"/>
                  <w:divBdr>
                    <w:top w:val="none" w:sz="0" w:space="0" w:color="auto"/>
                    <w:left w:val="none" w:sz="0" w:space="0" w:color="auto"/>
                    <w:bottom w:val="none" w:sz="0" w:space="0" w:color="auto"/>
                    <w:right w:val="none" w:sz="0" w:space="0" w:color="auto"/>
                  </w:divBdr>
                  <w:divsChild>
                    <w:div w:id="1381858368">
                      <w:marLeft w:val="0"/>
                      <w:marRight w:val="0"/>
                      <w:marTop w:val="0"/>
                      <w:marBottom w:val="0"/>
                      <w:divBdr>
                        <w:top w:val="none" w:sz="0" w:space="0" w:color="auto"/>
                        <w:left w:val="none" w:sz="0" w:space="0" w:color="auto"/>
                        <w:bottom w:val="none" w:sz="0" w:space="0" w:color="auto"/>
                        <w:right w:val="none" w:sz="0" w:space="0" w:color="auto"/>
                      </w:divBdr>
                    </w:div>
                  </w:divsChild>
                </w:div>
                <w:div w:id="1188370225">
                  <w:marLeft w:val="0"/>
                  <w:marRight w:val="0"/>
                  <w:marTop w:val="0"/>
                  <w:marBottom w:val="0"/>
                  <w:divBdr>
                    <w:top w:val="none" w:sz="0" w:space="0" w:color="auto"/>
                    <w:left w:val="none" w:sz="0" w:space="0" w:color="auto"/>
                    <w:bottom w:val="none" w:sz="0" w:space="0" w:color="auto"/>
                    <w:right w:val="none" w:sz="0" w:space="0" w:color="auto"/>
                  </w:divBdr>
                  <w:divsChild>
                    <w:div w:id="1532106929">
                      <w:marLeft w:val="0"/>
                      <w:marRight w:val="0"/>
                      <w:marTop w:val="0"/>
                      <w:marBottom w:val="0"/>
                      <w:divBdr>
                        <w:top w:val="none" w:sz="0" w:space="0" w:color="auto"/>
                        <w:left w:val="none" w:sz="0" w:space="0" w:color="auto"/>
                        <w:bottom w:val="none" w:sz="0" w:space="0" w:color="auto"/>
                        <w:right w:val="none" w:sz="0" w:space="0" w:color="auto"/>
                      </w:divBdr>
                    </w:div>
                  </w:divsChild>
                </w:div>
                <w:div w:id="1210074907">
                  <w:marLeft w:val="0"/>
                  <w:marRight w:val="0"/>
                  <w:marTop w:val="0"/>
                  <w:marBottom w:val="0"/>
                  <w:divBdr>
                    <w:top w:val="none" w:sz="0" w:space="0" w:color="auto"/>
                    <w:left w:val="none" w:sz="0" w:space="0" w:color="auto"/>
                    <w:bottom w:val="none" w:sz="0" w:space="0" w:color="auto"/>
                    <w:right w:val="none" w:sz="0" w:space="0" w:color="auto"/>
                  </w:divBdr>
                  <w:divsChild>
                    <w:div w:id="945423282">
                      <w:marLeft w:val="0"/>
                      <w:marRight w:val="0"/>
                      <w:marTop w:val="0"/>
                      <w:marBottom w:val="0"/>
                      <w:divBdr>
                        <w:top w:val="none" w:sz="0" w:space="0" w:color="auto"/>
                        <w:left w:val="none" w:sz="0" w:space="0" w:color="auto"/>
                        <w:bottom w:val="none" w:sz="0" w:space="0" w:color="auto"/>
                        <w:right w:val="none" w:sz="0" w:space="0" w:color="auto"/>
                      </w:divBdr>
                    </w:div>
                  </w:divsChild>
                </w:div>
                <w:div w:id="1259752564">
                  <w:marLeft w:val="0"/>
                  <w:marRight w:val="0"/>
                  <w:marTop w:val="0"/>
                  <w:marBottom w:val="0"/>
                  <w:divBdr>
                    <w:top w:val="none" w:sz="0" w:space="0" w:color="auto"/>
                    <w:left w:val="none" w:sz="0" w:space="0" w:color="auto"/>
                    <w:bottom w:val="none" w:sz="0" w:space="0" w:color="auto"/>
                    <w:right w:val="none" w:sz="0" w:space="0" w:color="auto"/>
                  </w:divBdr>
                  <w:divsChild>
                    <w:div w:id="2144034478">
                      <w:marLeft w:val="0"/>
                      <w:marRight w:val="0"/>
                      <w:marTop w:val="0"/>
                      <w:marBottom w:val="0"/>
                      <w:divBdr>
                        <w:top w:val="none" w:sz="0" w:space="0" w:color="auto"/>
                        <w:left w:val="none" w:sz="0" w:space="0" w:color="auto"/>
                        <w:bottom w:val="none" w:sz="0" w:space="0" w:color="auto"/>
                        <w:right w:val="none" w:sz="0" w:space="0" w:color="auto"/>
                      </w:divBdr>
                    </w:div>
                  </w:divsChild>
                </w:div>
                <w:div w:id="1318069668">
                  <w:marLeft w:val="0"/>
                  <w:marRight w:val="0"/>
                  <w:marTop w:val="0"/>
                  <w:marBottom w:val="0"/>
                  <w:divBdr>
                    <w:top w:val="none" w:sz="0" w:space="0" w:color="auto"/>
                    <w:left w:val="none" w:sz="0" w:space="0" w:color="auto"/>
                    <w:bottom w:val="none" w:sz="0" w:space="0" w:color="auto"/>
                    <w:right w:val="none" w:sz="0" w:space="0" w:color="auto"/>
                  </w:divBdr>
                  <w:divsChild>
                    <w:div w:id="1733428159">
                      <w:marLeft w:val="0"/>
                      <w:marRight w:val="0"/>
                      <w:marTop w:val="0"/>
                      <w:marBottom w:val="0"/>
                      <w:divBdr>
                        <w:top w:val="none" w:sz="0" w:space="0" w:color="auto"/>
                        <w:left w:val="none" w:sz="0" w:space="0" w:color="auto"/>
                        <w:bottom w:val="none" w:sz="0" w:space="0" w:color="auto"/>
                        <w:right w:val="none" w:sz="0" w:space="0" w:color="auto"/>
                      </w:divBdr>
                    </w:div>
                  </w:divsChild>
                </w:div>
                <w:div w:id="1347321486">
                  <w:marLeft w:val="0"/>
                  <w:marRight w:val="0"/>
                  <w:marTop w:val="0"/>
                  <w:marBottom w:val="0"/>
                  <w:divBdr>
                    <w:top w:val="none" w:sz="0" w:space="0" w:color="auto"/>
                    <w:left w:val="none" w:sz="0" w:space="0" w:color="auto"/>
                    <w:bottom w:val="none" w:sz="0" w:space="0" w:color="auto"/>
                    <w:right w:val="none" w:sz="0" w:space="0" w:color="auto"/>
                  </w:divBdr>
                  <w:divsChild>
                    <w:div w:id="131290106">
                      <w:marLeft w:val="0"/>
                      <w:marRight w:val="0"/>
                      <w:marTop w:val="0"/>
                      <w:marBottom w:val="0"/>
                      <w:divBdr>
                        <w:top w:val="none" w:sz="0" w:space="0" w:color="auto"/>
                        <w:left w:val="none" w:sz="0" w:space="0" w:color="auto"/>
                        <w:bottom w:val="none" w:sz="0" w:space="0" w:color="auto"/>
                        <w:right w:val="none" w:sz="0" w:space="0" w:color="auto"/>
                      </w:divBdr>
                    </w:div>
                  </w:divsChild>
                </w:div>
                <w:div w:id="1395855755">
                  <w:marLeft w:val="0"/>
                  <w:marRight w:val="0"/>
                  <w:marTop w:val="0"/>
                  <w:marBottom w:val="0"/>
                  <w:divBdr>
                    <w:top w:val="none" w:sz="0" w:space="0" w:color="auto"/>
                    <w:left w:val="none" w:sz="0" w:space="0" w:color="auto"/>
                    <w:bottom w:val="none" w:sz="0" w:space="0" w:color="auto"/>
                    <w:right w:val="none" w:sz="0" w:space="0" w:color="auto"/>
                  </w:divBdr>
                  <w:divsChild>
                    <w:div w:id="1865440702">
                      <w:marLeft w:val="0"/>
                      <w:marRight w:val="0"/>
                      <w:marTop w:val="0"/>
                      <w:marBottom w:val="0"/>
                      <w:divBdr>
                        <w:top w:val="none" w:sz="0" w:space="0" w:color="auto"/>
                        <w:left w:val="none" w:sz="0" w:space="0" w:color="auto"/>
                        <w:bottom w:val="none" w:sz="0" w:space="0" w:color="auto"/>
                        <w:right w:val="none" w:sz="0" w:space="0" w:color="auto"/>
                      </w:divBdr>
                    </w:div>
                  </w:divsChild>
                </w:div>
                <w:div w:id="1436754359">
                  <w:marLeft w:val="0"/>
                  <w:marRight w:val="0"/>
                  <w:marTop w:val="0"/>
                  <w:marBottom w:val="0"/>
                  <w:divBdr>
                    <w:top w:val="none" w:sz="0" w:space="0" w:color="auto"/>
                    <w:left w:val="none" w:sz="0" w:space="0" w:color="auto"/>
                    <w:bottom w:val="none" w:sz="0" w:space="0" w:color="auto"/>
                    <w:right w:val="none" w:sz="0" w:space="0" w:color="auto"/>
                  </w:divBdr>
                  <w:divsChild>
                    <w:div w:id="657423841">
                      <w:marLeft w:val="0"/>
                      <w:marRight w:val="0"/>
                      <w:marTop w:val="0"/>
                      <w:marBottom w:val="0"/>
                      <w:divBdr>
                        <w:top w:val="none" w:sz="0" w:space="0" w:color="auto"/>
                        <w:left w:val="none" w:sz="0" w:space="0" w:color="auto"/>
                        <w:bottom w:val="none" w:sz="0" w:space="0" w:color="auto"/>
                        <w:right w:val="none" w:sz="0" w:space="0" w:color="auto"/>
                      </w:divBdr>
                    </w:div>
                  </w:divsChild>
                </w:div>
                <w:div w:id="1482379617">
                  <w:marLeft w:val="0"/>
                  <w:marRight w:val="0"/>
                  <w:marTop w:val="0"/>
                  <w:marBottom w:val="0"/>
                  <w:divBdr>
                    <w:top w:val="none" w:sz="0" w:space="0" w:color="auto"/>
                    <w:left w:val="none" w:sz="0" w:space="0" w:color="auto"/>
                    <w:bottom w:val="none" w:sz="0" w:space="0" w:color="auto"/>
                    <w:right w:val="none" w:sz="0" w:space="0" w:color="auto"/>
                  </w:divBdr>
                  <w:divsChild>
                    <w:div w:id="104925574">
                      <w:marLeft w:val="0"/>
                      <w:marRight w:val="0"/>
                      <w:marTop w:val="0"/>
                      <w:marBottom w:val="0"/>
                      <w:divBdr>
                        <w:top w:val="none" w:sz="0" w:space="0" w:color="auto"/>
                        <w:left w:val="none" w:sz="0" w:space="0" w:color="auto"/>
                        <w:bottom w:val="none" w:sz="0" w:space="0" w:color="auto"/>
                        <w:right w:val="none" w:sz="0" w:space="0" w:color="auto"/>
                      </w:divBdr>
                    </w:div>
                  </w:divsChild>
                </w:div>
                <w:div w:id="1510876600">
                  <w:marLeft w:val="0"/>
                  <w:marRight w:val="0"/>
                  <w:marTop w:val="0"/>
                  <w:marBottom w:val="0"/>
                  <w:divBdr>
                    <w:top w:val="none" w:sz="0" w:space="0" w:color="auto"/>
                    <w:left w:val="none" w:sz="0" w:space="0" w:color="auto"/>
                    <w:bottom w:val="none" w:sz="0" w:space="0" w:color="auto"/>
                    <w:right w:val="none" w:sz="0" w:space="0" w:color="auto"/>
                  </w:divBdr>
                  <w:divsChild>
                    <w:div w:id="1358434124">
                      <w:marLeft w:val="0"/>
                      <w:marRight w:val="0"/>
                      <w:marTop w:val="0"/>
                      <w:marBottom w:val="0"/>
                      <w:divBdr>
                        <w:top w:val="none" w:sz="0" w:space="0" w:color="auto"/>
                        <w:left w:val="none" w:sz="0" w:space="0" w:color="auto"/>
                        <w:bottom w:val="none" w:sz="0" w:space="0" w:color="auto"/>
                        <w:right w:val="none" w:sz="0" w:space="0" w:color="auto"/>
                      </w:divBdr>
                    </w:div>
                  </w:divsChild>
                </w:div>
                <w:div w:id="1523544695">
                  <w:marLeft w:val="0"/>
                  <w:marRight w:val="0"/>
                  <w:marTop w:val="0"/>
                  <w:marBottom w:val="0"/>
                  <w:divBdr>
                    <w:top w:val="none" w:sz="0" w:space="0" w:color="auto"/>
                    <w:left w:val="none" w:sz="0" w:space="0" w:color="auto"/>
                    <w:bottom w:val="none" w:sz="0" w:space="0" w:color="auto"/>
                    <w:right w:val="none" w:sz="0" w:space="0" w:color="auto"/>
                  </w:divBdr>
                  <w:divsChild>
                    <w:div w:id="344601009">
                      <w:marLeft w:val="0"/>
                      <w:marRight w:val="0"/>
                      <w:marTop w:val="0"/>
                      <w:marBottom w:val="0"/>
                      <w:divBdr>
                        <w:top w:val="none" w:sz="0" w:space="0" w:color="auto"/>
                        <w:left w:val="none" w:sz="0" w:space="0" w:color="auto"/>
                        <w:bottom w:val="none" w:sz="0" w:space="0" w:color="auto"/>
                        <w:right w:val="none" w:sz="0" w:space="0" w:color="auto"/>
                      </w:divBdr>
                    </w:div>
                  </w:divsChild>
                </w:div>
                <w:div w:id="1580747213">
                  <w:marLeft w:val="0"/>
                  <w:marRight w:val="0"/>
                  <w:marTop w:val="0"/>
                  <w:marBottom w:val="0"/>
                  <w:divBdr>
                    <w:top w:val="none" w:sz="0" w:space="0" w:color="auto"/>
                    <w:left w:val="none" w:sz="0" w:space="0" w:color="auto"/>
                    <w:bottom w:val="none" w:sz="0" w:space="0" w:color="auto"/>
                    <w:right w:val="none" w:sz="0" w:space="0" w:color="auto"/>
                  </w:divBdr>
                  <w:divsChild>
                    <w:div w:id="242103138">
                      <w:marLeft w:val="0"/>
                      <w:marRight w:val="0"/>
                      <w:marTop w:val="0"/>
                      <w:marBottom w:val="0"/>
                      <w:divBdr>
                        <w:top w:val="none" w:sz="0" w:space="0" w:color="auto"/>
                        <w:left w:val="none" w:sz="0" w:space="0" w:color="auto"/>
                        <w:bottom w:val="none" w:sz="0" w:space="0" w:color="auto"/>
                        <w:right w:val="none" w:sz="0" w:space="0" w:color="auto"/>
                      </w:divBdr>
                    </w:div>
                  </w:divsChild>
                </w:div>
                <w:div w:id="1636568579">
                  <w:marLeft w:val="0"/>
                  <w:marRight w:val="0"/>
                  <w:marTop w:val="0"/>
                  <w:marBottom w:val="0"/>
                  <w:divBdr>
                    <w:top w:val="none" w:sz="0" w:space="0" w:color="auto"/>
                    <w:left w:val="none" w:sz="0" w:space="0" w:color="auto"/>
                    <w:bottom w:val="none" w:sz="0" w:space="0" w:color="auto"/>
                    <w:right w:val="none" w:sz="0" w:space="0" w:color="auto"/>
                  </w:divBdr>
                  <w:divsChild>
                    <w:div w:id="101389045">
                      <w:marLeft w:val="0"/>
                      <w:marRight w:val="0"/>
                      <w:marTop w:val="0"/>
                      <w:marBottom w:val="0"/>
                      <w:divBdr>
                        <w:top w:val="none" w:sz="0" w:space="0" w:color="auto"/>
                        <w:left w:val="none" w:sz="0" w:space="0" w:color="auto"/>
                        <w:bottom w:val="none" w:sz="0" w:space="0" w:color="auto"/>
                        <w:right w:val="none" w:sz="0" w:space="0" w:color="auto"/>
                      </w:divBdr>
                    </w:div>
                  </w:divsChild>
                </w:div>
                <w:div w:id="1683817753">
                  <w:marLeft w:val="0"/>
                  <w:marRight w:val="0"/>
                  <w:marTop w:val="0"/>
                  <w:marBottom w:val="0"/>
                  <w:divBdr>
                    <w:top w:val="none" w:sz="0" w:space="0" w:color="auto"/>
                    <w:left w:val="none" w:sz="0" w:space="0" w:color="auto"/>
                    <w:bottom w:val="none" w:sz="0" w:space="0" w:color="auto"/>
                    <w:right w:val="none" w:sz="0" w:space="0" w:color="auto"/>
                  </w:divBdr>
                  <w:divsChild>
                    <w:div w:id="1790586582">
                      <w:marLeft w:val="0"/>
                      <w:marRight w:val="0"/>
                      <w:marTop w:val="0"/>
                      <w:marBottom w:val="0"/>
                      <w:divBdr>
                        <w:top w:val="none" w:sz="0" w:space="0" w:color="auto"/>
                        <w:left w:val="none" w:sz="0" w:space="0" w:color="auto"/>
                        <w:bottom w:val="none" w:sz="0" w:space="0" w:color="auto"/>
                        <w:right w:val="none" w:sz="0" w:space="0" w:color="auto"/>
                      </w:divBdr>
                    </w:div>
                  </w:divsChild>
                </w:div>
                <w:div w:id="1701393298">
                  <w:marLeft w:val="0"/>
                  <w:marRight w:val="0"/>
                  <w:marTop w:val="0"/>
                  <w:marBottom w:val="0"/>
                  <w:divBdr>
                    <w:top w:val="none" w:sz="0" w:space="0" w:color="auto"/>
                    <w:left w:val="none" w:sz="0" w:space="0" w:color="auto"/>
                    <w:bottom w:val="none" w:sz="0" w:space="0" w:color="auto"/>
                    <w:right w:val="none" w:sz="0" w:space="0" w:color="auto"/>
                  </w:divBdr>
                  <w:divsChild>
                    <w:div w:id="1672030584">
                      <w:marLeft w:val="0"/>
                      <w:marRight w:val="0"/>
                      <w:marTop w:val="0"/>
                      <w:marBottom w:val="0"/>
                      <w:divBdr>
                        <w:top w:val="none" w:sz="0" w:space="0" w:color="auto"/>
                        <w:left w:val="none" w:sz="0" w:space="0" w:color="auto"/>
                        <w:bottom w:val="none" w:sz="0" w:space="0" w:color="auto"/>
                        <w:right w:val="none" w:sz="0" w:space="0" w:color="auto"/>
                      </w:divBdr>
                    </w:div>
                  </w:divsChild>
                </w:div>
                <w:div w:id="1743405647">
                  <w:marLeft w:val="0"/>
                  <w:marRight w:val="0"/>
                  <w:marTop w:val="0"/>
                  <w:marBottom w:val="0"/>
                  <w:divBdr>
                    <w:top w:val="none" w:sz="0" w:space="0" w:color="auto"/>
                    <w:left w:val="none" w:sz="0" w:space="0" w:color="auto"/>
                    <w:bottom w:val="none" w:sz="0" w:space="0" w:color="auto"/>
                    <w:right w:val="none" w:sz="0" w:space="0" w:color="auto"/>
                  </w:divBdr>
                  <w:divsChild>
                    <w:div w:id="219903984">
                      <w:marLeft w:val="0"/>
                      <w:marRight w:val="0"/>
                      <w:marTop w:val="0"/>
                      <w:marBottom w:val="0"/>
                      <w:divBdr>
                        <w:top w:val="none" w:sz="0" w:space="0" w:color="auto"/>
                        <w:left w:val="none" w:sz="0" w:space="0" w:color="auto"/>
                        <w:bottom w:val="none" w:sz="0" w:space="0" w:color="auto"/>
                        <w:right w:val="none" w:sz="0" w:space="0" w:color="auto"/>
                      </w:divBdr>
                    </w:div>
                  </w:divsChild>
                </w:div>
                <w:div w:id="1765954899">
                  <w:marLeft w:val="0"/>
                  <w:marRight w:val="0"/>
                  <w:marTop w:val="0"/>
                  <w:marBottom w:val="0"/>
                  <w:divBdr>
                    <w:top w:val="none" w:sz="0" w:space="0" w:color="auto"/>
                    <w:left w:val="none" w:sz="0" w:space="0" w:color="auto"/>
                    <w:bottom w:val="none" w:sz="0" w:space="0" w:color="auto"/>
                    <w:right w:val="none" w:sz="0" w:space="0" w:color="auto"/>
                  </w:divBdr>
                  <w:divsChild>
                    <w:div w:id="1661036250">
                      <w:marLeft w:val="0"/>
                      <w:marRight w:val="0"/>
                      <w:marTop w:val="0"/>
                      <w:marBottom w:val="0"/>
                      <w:divBdr>
                        <w:top w:val="none" w:sz="0" w:space="0" w:color="auto"/>
                        <w:left w:val="none" w:sz="0" w:space="0" w:color="auto"/>
                        <w:bottom w:val="none" w:sz="0" w:space="0" w:color="auto"/>
                        <w:right w:val="none" w:sz="0" w:space="0" w:color="auto"/>
                      </w:divBdr>
                    </w:div>
                  </w:divsChild>
                </w:div>
                <w:div w:id="1774013046">
                  <w:marLeft w:val="0"/>
                  <w:marRight w:val="0"/>
                  <w:marTop w:val="0"/>
                  <w:marBottom w:val="0"/>
                  <w:divBdr>
                    <w:top w:val="none" w:sz="0" w:space="0" w:color="auto"/>
                    <w:left w:val="none" w:sz="0" w:space="0" w:color="auto"/>
                    <w:bottom w:val="none" w:sz="0" w:space="0" w:color="auto"/>
                    <w:right w:val="none" w:sz="0" w:space="0" w:color="auto"/>
                  </w:divBdr>
                  <w:divsChild>
                    <w:div w:id="1782261782">
                      <w:marLeft w:val="0"/>
                      <w:marRight w:val="0"/>
                      <w:marTop w:val="0"/>
                      <w:marBottom w:val="0"/>
                      <w:divBdr>
                        <w:top w:val="none" w:sz="0" w:space="0" w:color="auto"/>
                        <w:left w:val="none" w:sz="0" w:space="0" w:color="auto"/>
                        <w:bottom w:val="none" w:sz="0" w:space="0" w:color="auto"/>
                        <w:right w:val="none" w:sz="0" w:space="0" w:color="auto"/>
                      </w:divBdr>
                    </w:div>
                  </w:divsChild>
                </w:div>
                <w:div w:id="1810778523">
                  <w:marLeft w:val="0"/>
                  <w:marRight w:val="0"/>
                  <w:marTop w:val="0"/>
                  <w:marBottom w:val="0"/>
                  <w:divBdr>
                    <w:top w:val="none" w:sz="0" w:space="0" w:color="auto"/>
                    <w:left w:val="none" w:sz="0" w:space="0" w:color="auto"/>
                    <w:bottom w:val="none" w:sz="0" w:space="0" w:color="auto"/>
                    <w:right w:val="none" w:sz="0" w:space="0" w:color="auto"/>
                  </w:divBdr>
                  <w:divsChild>
                    <w:div w:id="1775899132">
                      <w:marLeft w:val="0"/>
                      <w:marRight w:val="0"/>
                      <w:marTop w:val="0"/>
                      <w:marBottom w:val="0"/>
                      <w:divBdr>
                        <w:top w:val="none" w:sz="0" w:space="0" w:color="auto"/>
                        <w:left w:val="none" w:sz="0" w:space="0" w:color="auto"/>
                        <w:bottom w:val="none" w:sz="0" w:space="0" w:color="auto"/>
                        <w:right w:val="none" w:sz="0" w:space="0" w:color="auto"/>
                      </w:divBdr>
                    </w:div>
                  </w:divsChild>
                </w:div>
                <w:div w:id="1998067927">
                  <w:marLeft w:val="0"/>
                  <w:marRight w:val="0"/>
                  <w:marTop w:val="0"/>
                  <w:marBottom w:val="0"/>
                  <w:divBdr>
                    <w:top w:val="none" w:sz="0" w:space="0" w:color="auto"/>
                    <w:left w:val="none" w:sz="0" w:space="0" w:color="auto"/>
                    <w:bottom w:val="none" w:sz="0" w:space="0" w:color="auto"/>
                    <w:right w:val="none" w:sz="0" w:space="0" w:color="auto"/>
                  </w:divBdr>
                  <w:divsChild>
                    <w:div w:id="1734623743">
                      <w:marLeft w:val="0"/>
                      <w:marRight w:val="0"/>
                      <w:marTop w:val="0"/>
                      <w:marBottom w:val="0"/>
                      <w:divBdr>
                        <w:top w:val="none" w:sz="0" w:space="0" w:color="auto"/>
                        <w:left w:val="none" w:sz="0" w:space="0" w:color="auto"/>
                        <w:bottom w:val="none" w:sz="0" w:space="0" w:color="auto"/>
                        <w:right w:val="none" w:sz="0" w:space="0" w:color="auto"/>
                      </w:divBdr>
                    </w:div>
                  </w:divsChild>
                </w:div>
                <w:div w:id="2074111307">
                  <w:marLeft w:val="0"/>
                  <w:marRight w:val="0"/>
                  <w:marTop w:val="0"/>
                  <w:marBottom w:val="0"/>
                  <w:divBdr>
                    <w:top w:val="none" w:sz="0" w:space="0" w:color="auto"/>
                    <w:left w:val="none" w:sz="0" w:space="0" w:color="auto"/>
                    <w:bottom w:val="none" w:sz="0" w:space="0" w:color="auto"/>
                    <w:right w:val="none" w:sz="0" w:space="0" w:color="auto"/>
                  </w:divBdr>
                  <w:divsChild>
                    <w:div w:id="1933776360">
                      <w:marLeft w:val="0"/>
                      <w:marRight w:val="0"/>
                      <w:marTop w:val="0"/>
                      <w:marBottom w:val="0"/>
                      <w:divBdr>
                        <w:top w:val="none" w:sz="0" w:space="0" w:color="auto"/>
                        <w:left w:val="none" w:sz="0" w:space="0" w:color="auto"/>
                        <w:bottom w:val="none" w:sz="0" w:space="0" w:color="auto"/>
                        <w:right w:val="none" w:sz="0" w:space="0" w:color="auto"/>
                      </w:divBdr>
                    </w:div>
                  </w:divsChild>
                </w:div>
                <w:div w:id="2083327581">
                  <w:marLeft w:val="0"/>
                  <w:marRight w:val="0"/>
                  <w:marTop w:val="0"/>
                  <w:marBottom w:val="0"/>
                  <w:divBdr>
                    <w:top w:val="none" w:sz="0" w:space="0" w:color="auto"/>
                    <w:left w:val="none" w:sz="0" w:space="0" w:color="auto"/>
                    <w:bottom w:val="none" w:sz="0" w:space="0" w:color="auto"/>
                    <w:right w:val="none" w:sz="0" w:space="0" w:color="auto"/>
                  </w:divBdr>
                  <w:divsChild>
                    <w:div w:id="3154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9115">
          <w:marLeft w:val="0"/>
          <w:marRight w:val="0"/>
          <w:marTop w:val="0"/>
          <w:marBottom w:val="0"/>
          <w:divBdr>
            <w:top w:val="none" w:sz="0" w:space="0" w:color="auto"/>
            <w:left w:val="none" w:sz="0" w:space="0" w:color="auto"/>
            <w:bottom w:val="none" w:sz="0" w:space="0" w:color="auto"/>
            <w:right w:val="none" w:sz="0" w:space="0" w:color="auto"/>
          </w:divBdr>
        </w:div>
        <w:div w:id="73205795">
          <w:marLeft w:val="0"/>
          <w:marRight w:val="0"/>
          <w:marTop w:val="0"/>
          <w:marBottom w:val="0"/>
          <w:divBdr>
            <w:top w:val="none" w:sz="0" w:space="0" w:color="auto"/>
            <w:left w:val="none" w:sz="0" w:space="0" w:color="auto"/>
            <w:bottom w:val="none" w:sz="0" w:space="0" w:color="auto"/>
            <w:right w:val="none" w:sz="0" w:space="0" w:color="auto"/>
          </w:divBdr>
        </w:div>
        <w:div w:id="74515924">
          <w:marLeft w:val="0"/>
          <w:marRight w:val="0"/>
          <w:marTop w:val="0"/>
          <w:marBottom w:val="0"/>
          <w:divBdr>
            <w:top w:val="none" w:sz="0" w:space="0" w:color="auto"/>
            <w:left w:val="none" w:sz="0" w:space="0" w:color="auto"/>
            <w:bottom w:val="none" w:sz="0" w:space="0" w:color="auto"/>
            <w:right w:val="none" w:sz="0" w:space="0" w:color="auto"/>
          </w:divBdr>
        </w:div>
        <w:div w:id="76828225">
          <w:marLeft w:val="0"/>
          <w:marRight w:val="0"/>
          <w:marTop w:val="0"/>
          <w:marBottom w:val="0"/>
          <w:divBdr>
            <w:top w:val="none" w:sz="0" w:space="0" w:color="auto"/>
            <w:left w:val="none" w:sz="0" w:space="0" w:color="auto"/>
            <w:bottom w:val="none" w:sz="0" w:space="0" w:color="auto"/>
            <w:right w:val="none" w:sz="0" w:space="0" w:color="auto"/>
          </w:divBdr>
        </w:div>
        <w:div w:id="77100965">
          <w:marLeft w:val="0"/>
          <w:marRight w:val="0"/>
          <w:marTop w:val="0"/>
          <w:marBottom w:val="0"/>
          <w:divBdr>
            <w:top w:val="none" w:sz="0" w:space="0" w:color="auto"/>
            <w:left w:val="none" w:sz="0" w:space="0" w:color="auto"/>
            <w:bottom w:val="none" w:sz="0" w:space="0" w:color="auto"/>
            <w:right w:val="none" w:sz="0" w:space="0" w:color="auto"/>
          </w:divBdr>
        </w:div>
        <w:div w:id="77139099">
          <w:marLeft w:val="0"/>
          <w:marRight w:val="0"/>
          <w:marTop w:val="0"/>
          <w:marBottom w:val="0"/>
          <w:divBdr>
            <w:top w:val="none" w:sz="0" w:space="0" w:color="auto"/>
            <w:left w:val="none" w:sz="0" w:space="0" w:color="auto"/>
            <w:bottom w:val="none" w:sz="0" w:space="0" w:color="auto"/>
            <w:right w:val="none" w:sz="0" w:space="0" w:color="auto"/>
          </w:divBdr>
        </w:div>
        <w:div w:id="77557152">
          <w:marLeft w:val="0"/>
          <w:marRight w:val="0"/>
          <w:marTop w:val="0"/>
          <w:marBottom w:val="0"/>
          <w:divBdr>
            <w:top w:val="none" w:sz="0" w:space="0" w:color="auto"/>
            <w:left w:val="none" w:sz="0" w:space="0" w:color="auto"/>
            <w:bottom w:val="none" w:sz="0" w:space="0" w:color="auto"/>
            <w:right w:val="none" w:sz="0" w:space="0" w:color="auto"/>
          </w:divBdr>
        </w:div>
        <w:div w:id="78411297">
          <w:marLeft w:val="0"/>
          <w:marRight w:val="0"/>
          <w:marTop w:val="0"/>
          <w:marBottom w:val="0"/>
          <w:divBdr>
            <w:top w:val="none" w:sz="0" w:space="0" w:color="auto"/>
            <w:left w:val="none" w:sz="0" w:space="0" w:color="auto"/>
            <w:bottom w:val="none" w:sz="0" w:space="0" w:color="auto"/>
            <w:right w:val="none" w:sz="0" w:space="0" w:color="auto"/>
          </w:divBdr>
        </w:div>
        <w:div w:id="81490120">
          <w:marLeft w:val="0"/>
          <w:marRight w:val="0"/>
          <w:marTop w:val="0"/>
          <w:marBottom w:val="0"/>
          <w:divBdr>
            <w:top w:val="none" w:sz="0" w:space="0" w:color="auto"/>
            <w:left w:val="none" w:sz="0" w:space="0" w:color="auto"/>
            <w:bottom w:val="none" w:sz="0" w:space="0" w:color="auto"/>
            <w:right w:val="none" w:sz="0" w:space="0" w:color="auto"/>
          </w:divBdr>
        </w:div>
        <w:div w:id="83498365">
          <w:marLeft w:val="0"/>
          <w:marRight w:val="0"/>
          <w:marTop w:val="0"/>
          <w:marBottom w:val="0"/>
          <w:divBdr>
            <w:top w:val="none" w:sz="0" w:space="0" w:color="auto"/>
            <w:left w:val="none" w:sz="0" w:space="0" w:color="auto"/>
            <w:bottom w:val="none" w:sz="0" w:space="0" w:color="auto"/>
            <w:right w:val="none" w:sz="0" w:space="0" w:color="auto"/>
          </w:divBdr>
        </w:div>
        <w:div w:id="84301853">
          <w:marLeft w:val="0"/>
          <w:marRight w:val="0"/>
          <w:marTop w:val="0"/>
          <w:marBottom w:val="0"/>
          <w:divBdr>
            <w:top w:val="none" w:sz="0" w:space="0" w:color="auto"/>
            <w:left w:val="none" w:sz="0" w:space="0" w:color="auto"/>
            <w:bottom w:val="none" w:sz="0" w:space="0" w:color="auto"/>
            <w:right w:val="none" w:sz="0" w:space="0" w:color="auto"/>
          </w:divBdr>
        </w:div>
        <w:div w:id="84960268">
          <w:marLeft w:val="0"/>
          <w:marRight w:val="0"/>
          <w:marTop w:val="0"/>
          <w:marBottom w:val="0"/>
          <w:divBdr>
            <w:top w:val="none" w:sz="0" w:space="0" w:color="auto"/>
            <w:left w:val="none" w:sz="0" w:space="0" w:color="auto"/>
            <w:bottom w:val="none" w:sz="0" w:space="0" w:color="auto"/>
            <w:right w:val="none" w:sz="0" w:space="0" w:color="auto"/>
          </w:divBdr>
        </w:div>
        <w:div w:id="89083202">
          <w:marLeft w:val="0"/>
          <w:marRight w:val="0"/>
          <w:marTop w:val="0"/>
          <w:marBottom w:val="0"/>
          <w:divBdr>
            <w:top w:val="none" w:sz="0" w:space="0" w:color="auto"/>
            <w:left w:val="none" w:sz="0" w:space="0" w:color="auto"/>
            <w:bottom w:val="none" w:sz="0" w:space="0" w:color="auto"/>
            <w:right w:val="none" w:sz="0" w:space="0" w:color="auto"/>
          </w:divBdr>
        </w:div>
        <w:div w:id="90051562">
          <w:marLeft w:val="0"/>
          <w:marRight w:val="0"/>
          <w:marTop w:val="0"/>
          <w:marBottom w:val="0"/>
          <w:divBdr>
            <w:top w:val="none" w:sz="0" w:space="0" w:color="auto"/>
            <w:left w:val="none" w:sz="0" w:space="0" w:color="auto"/>
            <w:bottom w:val="none" w:sz="0" w:space="0" w:color="auto"/>
            <w:right w:val="none" w:sz="0" w:space="0" w:color="auto"/>
          </w:divBdr>
        </w:div>
        <w:div w:id="90249442">
          <w:marLeft w:val="0"/>
          <w:marRight w:val="0"/>
          <w:marTop w:val="0"/>
          <w:marBottom w:val="0"/>
          <w:divBdr>
            <w:top w:val="none" w:sz="0" w:space="0" w:color="auto"/>
            <w:left w:val="none" w:sz="0" w:space="0" w:color="auto"/>
            <w:bottom w:val="none" w:sz="0" w:space="0" w:color="auto"/>
            <w:right w:val="none" w:sz="0" w:space="0" w:color="auto"/>
          </w:divBdr>
        </w:div>
        <w:div w:id="92165979">
          <w:marLeft w:val="0"/>
          <w:marRight w:val="0"/>
          <w:marTop w:val="0"/>
          <w:marBottom w:val="0"/>
          <w:divBdr>
            <w:top w:val="none" w:sz="0" w:space="0" w:color="auto"/>
            <w:left w:val="none" w:sz="0" w:space="0" w:color="auto"/>
            <w:bottom w:val="none" w:sz="0" w:space="0" w:color="auto"/>
            <w:right w:val="none" w:sz="0" w:space="0" w:color="auto"/>
          </w:divBdr>
        </w:div>
        <w:div w:id="92819422">
          <w:marLeft w:val="0"/>
          <w:marRight w:val="0"/>
          <w:marTop w:val="0"/>
          <w:marBottom w:val="0"/>
          <w:divBdr>
            <w:top w:val="none" w:sz="0" w:space="0" w:color="auto"/>
            <w:left w:val="none" w:sz="0" w:space="0" w:color="auto"/>
            <w:bottom w:val="none" w:sz="0" w:space="0" w:color="auto"/>
            <w:right w:val="none" w:sz="0" w:space="0" w:color="auto"/>
          </w:divBdr>
        </w:div>
        <w:div w:id="100733979">
          <w:marLeft w:val="0"/>
          <w:marRight w:val="0"/>
          <w:marTop w:val="0"/>
          <w:marBottom w:val="0"/>
          <w:divBdr>
            <w:top w:val="none" w:sz="0" w:space="0" w:color="auto"/>
            <w:left w:val="none" w:sz="0" w:space="0" w:color="auto"/>
            <w:bottom w:val="none" w:sz="0" w:space="0" w:color="auto"/>
            <w:right w:val="none" w:sz="0" w:space="0" w:color="auto"/>
          </w:divBdr>
        </w:div>
        <w:div w:id="100800645">
          <w:marLeft w:val="0"/>
          <w:marRight w:val="0"/>
          <w:marTop w:val="0"/>
          <w:marBottom w:val="0"/>
          <w:divBdr>
            <w:top w:val="none" w:sz="0" w:space="0" w:color="auto"/>
            <w:left w:val="none" w:sz="0" w:space="0" w:color="auto"/>
            <w:bottom w:val="none" w:sz="0" w:space="0" w:color="auto"/>
            <w:right w:val="none" w:sz="0" w:space="0" w:color="auto"/>
          </w:divBdr>
        </w:div>
        <w:div w:id="100997146">
          <w:marLeft w:val="0"/>
          <w:marRight w:val="0"/>
          <w:marTop w:val="0"/>
          <w:marBottom w:val="0"/>
          <w:divBdr>
            <w:top w:val="none" w:sz="0" w:space="0" w:color="auto"/>
            <w:left w:val="none" w:sz="0" w:space="0" w:color="auto"/>
            <w:bottom w:val="none" w:sz="0" w:space="0" w:color="auto"/>
            <w:right w:val="none" w:sz="0" w:space="0" w:color="auto"/>
          </w:divBdr>
        </w:div>
        <w:div w:id="101144862">
          <w:marLeft w:val="0"/>
          <w:marRight w:val="0"/>
          <w:marTop w:val="0"/>
          <w:marBottom w:val="0"/>
          <w:divBdr>
            <w:top w:val="none" w:sz="0" w:space="0" w:color="auto"/>
            <w:left w:val="none" w:sz="0" w:space="0" w:color="auto"/>
            <w:bottom w:val="none" w:sz="0" w:space="0" w:color="auto"/>
            <w:right w:val="none" w:sz="0" w:space="0" w:color="auto"/>
          </w:divBdr>
        </w:div>
        <w:div w:id="101464668">
          <w:marLeft w:val="0"/>
          <w:marRight w:val="0"/>
          <w:marTop w:val="0"/>
          <w:marBottom w:val="0"/>
          <w:divBdr>
            <w:top w:val="none" w:sz="0" w:space="0" w:color="auto"/>
            <w:left w:val="none" w:sz="0" w:space="0" w:color="auto"/>
            <w:bottom w:val="none" w:sz="0" w:space="0" w:color="auto"/>
            <w:right w:val="none" w:sz="0" w:space="0" w:color="auto"/>
          </w:divBdr>
        </w:div>
        <w:div w:id="101724816">
          <w:marLeft w:val="0"/>
          <w:marRight w:val="0"/>
          <w:marTop w:val="0"/>
          <w:marBottom w:val="0"/>
          <w:divBdr>
            <w:top w:val="none" w:sz="0" w:space="0" w:color="auto"/>
            <w:left w:val="none" w:sz="0" w:space="0" w:color="auto"/>
            <w:bottom w:val="none" w:sz="0" w:space="0" w:color="auto"/>
            <w:right w:val="none" w:sz="0" w:space="0" w:color="auto"/>
          </w:divBdr>
        </w:div>
        <w:div w:id="101727669">
          <w:marLeft w:val="0"/>
          <w:marRight w:val="0"/>
          <w:marTop w:val="0"/>
          <w:marBottom w:val="0"/>
          <w:divBdr>
            <w:top w:val="none" w:sz="0" w:space="0" w:color="auto"/>
            <w:left w:val="none" w:sz="0" w:space="0" w:color="auto"/>
            <w:bottom w:val="none" w:sz="0" w:space="0" w:color="auto"/>
            <w:right w:val="none" w:sz="0" w:space="0" w:color="auto"/>
          </w:divBdr>
        </w:div>
        <w:div w:id="101923616">
          <w:marLeft w:val="0"/>
          <w:marRight w:val="0"/>
          <w:marTop w:val="0"/>
          <w:marBottom w:val="0"/>
          <w:divBdr>
            <w:top w:val="none" w:sz="0" w:space="0" w:color="auto"/>
            <w:left w:val="none" w:sz="0" w:space="0" w:color="auto"/>
            <w:bottom w:val="none" w:sz="0" w:space="0" w:color="auto"/>
            <w:right w:val="none" w:sz="0" w:space="0" w:color="auto"/>
          </w:divBdr>
        </w:div>
        <w:div w:id="103236570">
          <w:marLeft w:val="0"/>
          <w:marRight w:val="0"/>
          <w:marTop w:val="0"/>
          <w:marBottom w:val="0"/>
          <w:divBdr>
            <w:top w:val="none" w:sz="0" w:space="0" w:color="auto"/>
            <w:left w:val="none" w:sz="0" w:space="0" w:color="auto"/>
            <w:bottom w:val="none" w:sz="0" w:space="0" w:color="auto"/>
            <w:right w:val="none" w:sz="0" w:space="0" w:color="auto"/>
          </w:divBdr>
        </w:div>
        <w:div w:id="103424797">
          <w:marLeft w:val="0"/>
          <w:marRight w:val="0"/>
          <w:marTop w:val="0"/>
          <w:marBottom w:val="0"/>
          <w:divBdr>
            <w:top w:val="none" w:sz="0" w:space="0" w:color="auto"/>
            <w:left w:val="none" w:sz="0" w:space="0" w:color="auto"/>
            <w:bottom w:val="none" w:sz="0" w:space="0" w:color="auto"/>
            <w:right w:val="none" w:sz="0" w:space="0" w:color="auto"/>
          </w:divBdr>
        </w:div>
        <w:div w:id="105853928">
          <w:marLeft w:val="0"/>
          <w:marRight w:val="0"/>
          <w:marTop w:val="0"/>
          <w:marBottom w:val="0"/>
          <w:divBdr>
            <w:top w:val="none" w:sz="0" w:space="0" w:color="auto"/>
            <w:left w:val="none" w:sz="0" w:space="0" w:color="auto"/>
            <w:bottom w:val="none" w:sz="0" w:space="0" w:color="auto"/>
            <w:right w:val="none" w:sz="0" w:space="0" w:color="auto"/>
          </w:divBdr>
        </w:div>
        <w:div w:id="106048706">
          <w:marLeft w:val="0"/>
          <w:marRight w:val="0"/>
          <w:marTop w:val="0"/>
          <w:marBottom w:val="0"/>
          <w:divBdr>
            <w:top w:val="none" w:sz="0" w:space="0" w:color="auto"/>
            <w:left w:val="none" w:sz="0" w:space="0" w:color="auto"/>
            <w:bottom w:val="none" w:sz="0" w:space="0" w:color="auto"/>
            <w:right w:val="none" w:sz="0" w:space="0" w:color="auto"/>
          </w:divBdr>
        </w:div>
        <w:div w:id="107625831">
          <w:marLeft w:val="0"/>
          <w:marRight w:val="0"/>
          <w:marTop w:val="0"/>
          <w:marBottom w:val="0"/>
          <w:divBdr>
            <w:top w:val="none" w:sz="0" w:space="0" w:color="auto"/>
            <w:left w:val="none" w:sz="0" w:space="0" w:color="auto"/>
            <w:bottom w:val="none" w:sz="0" w:space="0" w:color="auto"/>
            <w:right w:val="none" w:sz="0" w:space="0" w:color="auto"/>
          </w:divBdr>
          <w:divsChild>
            <w:div w:id="237135700">
              <w:marLeft w:val="0"/>
              <w:marRight w:val="0"/>
              <w:marTop w:val="0"/>
              <w:marBottom w:val="0"/>
              <w:divBdr>
                <w:top w:val="none" w:sz="0" w:space="0" w:color="auto"/>
                <w:left w:val="none" w:sz="0" w:space="0" w:color="auto"/>
                <w:bottom w:val="none" w:sz="0" w:space="0" w:color="auto"/>
                <w:right w:val="none" w:sz="0" w:space="0" w:color="auto"/>
              </w:divBdr>
            </w:div>
            <w:div w:id="275059986">
              <w:marLeft w:val="0"/>
              <w:marRight w:val="0"/>
              <w:marTop w:val="0"/>
              <w:marBottom w:val="0"/>
              <w:divBdr>
                <w:top w:val="none" w:sz="0" w:space="0" w:color="auto"/>
                <w:left w:val="none" w:sz="0" w:space="0" w:color="auto"/>
                <w:bottom w:val="none" w:sz="0" w:space="0" w:color="auto"/>
                <w:right w:val="none" w:sz="0" w:space="0" w:color="auto"/>
              </w:divBdr>
            </w:div>
            <w:div w:id="735661808">
              <w:marLeft w:val="0"/>
              <w:marRight w:val="0"/>
              <w:marTop w:val="0"/>
              <w:marBottom w:val="0"/>
              <w:divBdr>
                <w:top w:val="none" w:sz="0" w:space="0" w:color="auto"/>
                <w:left w:val="none" w:sz="0" w:space="0" w:color="auto"/>
                <w:bottom w:val="none" w:sz="0" w:space="0" w:color="auto"/>
                <w:right w:val="none" w:sz="0" w:space="0" w:color="auto"/>
              </w:divBdr>
            </w:div>
            <w:div w:id="973832171">
              <w:marLeft w:val="0"/>
              <w:marRight w:val="0"/>
              <w:marTop w:val="0"/>
              <w:marBottom w:val="0"/>
              <w:divBdr>
                <w:top w:val="none" w:sz="0" w:space="0" w:color="auto"/>
                <w:left w:val="none" w:sz="0" w:space="0" w:color="auto"/>
                <w:bottom w:val="none" w:sz="0" w:space="0" w:color="auto"/>
                <w:right w:val="none" w:sz="0" w:space="0" w:color="auto"/>
              </w:divBdr>
            </w:div>
            <w:div w:id="1071543392">
              <w:marLeft w:val="0"/>
              <w:marRight w:val="0"/>
              <w:marTop w:val="0"/>
              <w:marBottom w:val="0"/>
              <w:divBdr>
                <w:top w:val="none" w:sz="0" w:space="0" w:color="auto"/>
                <w:left w:val="none" w:sz="0" w:space="0" w:color="auto"/>
                <w:bottom w:val="none" w:sz="0" w:space="0" w:color="auto"/>
                <w:right w:val="none" w:sz="0" w:space="0" w:color="auto"/>
              </w:divBdr>
            </w:div>
            <w:div w:id="1078600834">
              <w:marLeft w:val="0"/>
              <w:marRight w:val="0"/>
              <w:marTop w:val="0"/>
              <w:marBottom w:val="0"/>
              <w:divBdr>
                <w:top w:val="none" w:sz="0" w:space="0" w:color="auto"/>
                <w:left w:val="none" w:sz="0" w:space="0" w:color="auto"/>
                <w:bottom w:val="none" w:sz="0" w:space="0" w:color="auto"/>
                <w:right w:val="none" w:sz="0" w:space="0" w:color="auto"/>
              </w:divBdr>
            </w:div>
            <w:div w:id="1127744996">
              <w:marLeft w:val="0"/>
              <w:marRight w:val="0"/>
              <w:marTop w:val="0"/>
              <w:marBottom w:val="0"/>
              <w:divBdr>
                <w:top w:val="none" w:sz="0" w:space="0" w:color="auto"/>
                <w:left w:val="none" w:sz="0" w:space="0" w:color="auto"/>
                <w:bottom w:val="none" w:sz="0" w:space="0" w:color="auto"/>
                <w:right w:val="none" w:sz="0" w:space="0" w:color="auto"/>
              </w:divBdr>
            </w:div>
            <w:div w:id="1298417289">
              <w:marLeft w:val="0"/>
              <w:marRight w:val="0"/>
              <w:marTop w:val="0"/>
              <w:marBottom w:val="0"/>
              <w:divBdr>
                <w:top w:val="none" w:sz="0" w:space="0" w:color="auto"/>
                <w:left w:val="none" w:sz="0" w:space="0" w:color="auto"/>
                <w:bottom w:val="none" w:sz="0" w:space="0" w:color="auto"/>
                <w:right w:val="none" w:sz="0" w:space="0" w:color="auto"/>
              </w:divBdr>
            </w:div>
            <w:div w:id="1680355412">
              <w:marLeft w:val="0"/>
              <w:marRight w:val="0"/>
              <w:marTop w:val="0"/>
              <w:marBottom w:val="0"/>
              <w:divBdr>
                <w:top w:val="none" w:sz="0" w:space="0" w:color="auto"/>
                <w:left w:val="none" w:sz="0" w:space="0" w:color="auto"/>
                <w:bottom w:val="none" w:sz="0" w:space="0" w:color="auto"/>
                <w:right w:val="none" w:sz="0" w:space="0" w:color="auto"/>
              </w:divBdr>
            </w:div>
            <w:div w:id="1696072588">
              <w:marLeft w:val="0"/>
              <w:marRight w:val="0"/>
              <w:marTop w:val="0"/>
              <w:marBottom w:val="0"/>
              <w:divBdr>
                <w:top w:val="none" w:sz="0" w:space="0" w:color="auto"/>
                <w:left w:val="none" w:sz="0" w:space="0" w:color="auto"/>
                <w:bottom w:val="none" w:sz="0" w:space="0" w:color="auto"/>
                <w:right w:val="none" w:sz="0" w:space="0" w:color="auto"/>
              </w:divBdr>
            </w:div>
            <w:div w:id="1758483431">
              <w:marLeft w:val="0"/>
              <w:marRight w:val="0"/>
              <w:marTop w:val="0"/>
              <w:marBottom w:val="0"/>
              <w:divBdr>
                <w:top w:val="none" w:sz="0" w:space="0" w:color="auto"/>
                <w:left w:val="none" w:sz="0" w:space="0" w:color="auto"/>
                <w:bottom w:val="none" w:sz="0" w:space="0" w:color="auto"/>
                <w:right w:val="none" w:sz="0" w:space="0" w:color="auto"/>
              </w:divBdr>
            </w:div>
            <w:div w:id="1924215751">
              <w:marLeft w:val="0"/>
              <w:marRight w:val="0"/>
              <w:marTop w:val="0"/>
              <w:marBottom w:val="0"/>
              <w:divBdr>
                <w:top w:val="none" w:sz="0" w:space="0" w:color="auto"/>
                <w:left w:val="none" w:sz="0" w:space="0" w:color="auto"/>
                <w:bottom w:val="none" w:sz="0" w:space="0" w:color="auto"/>
                <w:right w:val="none" w:sz="0" w:space="0" w:color="auto"/>
              </w:divBdr>
            </w:div>
            <w:div w:id="1924488244">
              <w:marLeft w:val="0"/>
              <w:marRight w:val="0"/>
              <w:marTop w:val="0"/>
              <w:marBottom w:val="0"/>
              <w:divBdr>
                <w:top w:val="none" w:sz="0" w:space="0" w:color="auto"/>
                <w:left w:val="none" w:sz="0" w:space="0" w:color="auto"/>
                <w:bottom w:val="none" w:sz="0" w:space="0" w:color="auto"/>
                <w:right w:val="none" w:sz="0" w:space="0" w:color="auto"/>
              </w:divBdr>
            </w:div>
            <w:div w:id="1981230963">
              <w:marLeft w:val="0"/>
              <w:marRight w:val="0"/>
              <w:marTop w:val="0"/>
              <w:marBottom w:val="0"/>
              <w:divBdr>
                <w:top w:val="none" w:sz="0" w:space="0" w:color="auto"/>
                <w:left w:val="none" w:sz="0" w:space="0" w:color="auto"/>
                <w:bottom w:val="none" w:sz="0" w:space="0" w:color="auto"/>
                <w:right w:val="none" w:sz="0" w:space="0" w:color="auto"/>
              </w:divBdr>
            </w:div>
          </w:divsChild>
        </w:div>
        <w:div w:id="111024995">
          <w:marLeft w:val="0"/>
          <w:marRight w:val="0"/>
          <w:marTop w:val="0"/>
          <w:marBottom w:val="0"/>
          <w:divBdr>
            <w:top w:val="none" w:sz="0" w:space="0" w:color="auto"/>
            <w:left w:val="none" w:sz="0" w:space="0" w:color="auto"/>
            <w:bottom w:val="none" w:sz="0" w:space="0" w:color="auto"/>
            <w:right w:val="none" w:sz="0" w:space="0" w:color="auto"/>
          </w:divBdr>
        </w:div>
        <w:div w:id="112526452">
          <w:marLeft w:val="0"/>
          <w:marRight w:val="0"/>
          <w:marTop w:val="0"/>
          <w:marBottom w:val="0"/>
          <w:divBdr>
            <w:top w:val="none" w:sz="0" w:space="0" w:color="auto"/>
            <w:left w:val="none" w:sz="0" w:space="0" w:color="auto"/>
            <w:bottom w:val="none" w:sz="0" w:space="0" w:color="auto"/>
            <w:right w:val="none" w:sz="0" w:space="0" w:color="auto"/>
          </w:divBdr>
        </w:div>
        <w:div w:id="112797699">
          <w:marLeft w:val="0"/>
          <w:marRight w:val="0"/>
          <w:marTop w:val="0"/>
          <w:marBottom w:val="0"/>
          <w:divBdr>
            <w:top w:val="none" w:sz="0" w:space="0" w:color="auto"/>
            <w:left w:val="none" w:sz="0" w:space="0" w:color="auto"/>
            <w:bottom w:val="none" w:sz="0" w:space="0" w:color="auto"/>
            <w:right w:val="none" w:sz="0" w:space="0" w:color="auto"/>
          </w:divBdr>
        </w:div>
        <w:div w:id="117072782">
          <w:marLeft w:val="0"/>
          <w:marRight w:val="0"/>
          <w:marTop w:val="0"/>
          <w:marBottom w:val="0"/>
          <w:divBdr>
            <w:top w:val="none" w:sz="0" w:space="0" w:color="auto"/>
            <w:left w:val="none" w:sz="0" w:space="0" w:color="auto"/>
            <w:bottom w:val="none" w:sz="0" w:space="0" w:color="auto"/>
            <w:right w:val="none" w:sz="0" w:space="0" w:color="auto"/>
          </w:divBdr>
        </w:div>
        <w:div w:id="120651885">
          <w:marLeft w:val="0"/>
          <w:marRight w:val="0"/>
          <w:marTop w:val="0"/>
          <w:marBottom w:val="0"/>
          <w:divBdr>
            <w:top w:val="none" w:sz="0" w:space="0" w:color="auto"/>
            <w:left w:val="none" w:sz="0" w:space="0" w:color="auto"/>
            <w:bottom w:val="none" w:sz="0" w:space="0" w:color="auto"/>
            <w:right w:val="none" w:sz="0" w:space="0" w:color="auto"/>
          </w:divBdr>
        </w:div>
        <w:div w:id="121117118">
          <w:marLeft w:val="0"/>
          <w:marRight w:val="0"/>
          <w:marTop w:val="0"/>
          <w:marBottom w:val="0"/>
          <w:divBdr>
            <w:top w:val="none" w:sz="0" w:space="0" w:color="auto"/>
            <w:left w:val="none" w:sz="0" w:space="0" w:color="auto"/>
            <w:bottom w:val="none" w:sz="0" w:space="0" w:color="auto"/>
            <w:right w:val="none" w:sz="0" w:space="0" w:color="auto"/>
          </w:divBdr>
        </w:div>
        <w:div w:id="125466715">
          <w:marLeft w:val="0"/>
          <w:marRight w:val="0"/>
          <w:marTop w:val="0"/>
          <w:marBottom w:val="0"/>
          <w:divBdr>
            <w:top w:val="none" w:sz="0" w:space="0" w:color="auto"/>
            <w:left w:val="none" w:sz="0" w:space="0" w:color="auto"/>
            <w:bottom w:val="none" w:sz="0" w:space="0" w:color="auto"/>
            <w:right w:val="none" w:sz="0" w:space="0" w:color="auto"/>
          </w:divBdr>
        </w:div>
        <w:div w:id="125507664">
          <w:marLeft w:val="0"/>
          <w:marRight w:val="0"/>
          <w:marTop w:val="0"/>
          <w:marBottom w:val="0"/>
          <w:divBdr>
            <w:top w:val="none" w:sz="0" w:space="0" w:color="auto"/>
            <w:left w:val="none" w:sz="0" w:space="0" w:color="auto"/>
            <w:bottom w:val="none" w:sz="0" w:space="0" w:color="auto"/>
            <w:right w:val="none" w:sz="0" w:space="0" w:color="auto"/>
          </w:divBdr>
        </w:div>
        <w:div w:id="127094225">
          <w:marLeft w:val="0"/>
          <w:marRight w:val="0"/>
          <w:marTop w:val="0"/>
          <w:marBottom w:val="0"/>
          <w:divBdr>
            <w:top w:val="none" w:sz="0" w:space="0" w:color="auto"/>
            <w:left w:val="none" w:sz="0" w:space="0" w:color="auto"/>
            <w:bottom w:val="none" w:sz="0" w:space="0" w:color="auto"/>
            <w:right w:val="none" w:sz="0" w:space="0" w:color="auto"/>
          </w:divBdr>
        </w:div>
        <w:div w:id="128863247">
          <w:marLeft w:val="0"/>
          <w:marRight w:val="0"/>
          <w:marTop w:val="0"/>
          <w:marBottom w:val="0"/>
          <w:divBdr>
            <w:top w:val="none" w:sz="0" w:space="0" w:color="auto"/>
            <w:left w:val="none" w:sz="0" w:space="0" w:color="auto"/>
            <w:bottom w:val="none" w:sz="0" w:space="0" w:color="auto"/>
            <w:right w:val="none" w:sz="0" w:space="0" w:color="auto"/>
          </w:divBdr>
        </w:div>
        <w:div w:id="129592145">
          <w:marLeft w:val="0"/>
          <w:marRight w:val="0"/>
          <w:marTop w:val="0"/>
          <w:marBottom w:val="0"/>
          <w:divBdr>
            <w:top w:val="none" w:sz="0" w:space="0" w:color="auto"/>
            <w:left w:val="none" w:sz="0" w:space="0" w:color="auto"/>
            <w:bottom w:val="none" w:sz="0" w:space="0" w:color="auto"/>
            <w:right w:val="none" w:sz="0" w:space="0" w:color="auto"/>
          </w:divBdr>
          <w:divsChild>
            <w:div w:id="61028066">
              <w:marLeft w:val="0"/>
              <w:marRight w:val="0"/>
              <w:marTop w:val="0"/>
              <w:marBottom w:val="0"/>
              <w:divBdr>
                <w:top w:val="none" w:sz="0" w:space="0" w:color="auto"/>
                <w:left w:val="none" w:sz="0" w:space="0" w:color="auto"/>
                <w:bottom w:val="none" w:sz="0" w:space="0" w:color="auto"/>
                <w:right w:val="none" w:sz="0" w:space="0" w:color="auto"/>
              </w:divBdr>
            </w:div>
            <w:div w:id="65226723">
              <w:marLeft w:val="0"/>
              <w:marRight w:val="0"/>
              <w:marTop w:val="0"/>
              <w:marBottom w:val="0"/>
              <w:divBdr>
                <w:top w:val="none" w:sz="0" w:space="0" w:color="auto"/>
                <w:left w:val="none" w:sz="0" w:space="0" w:color="auto"/>
                <w:bottom w:val="none" w:sz="0" w:space="0" w:color="auto"/>
                <w:right w:val="none" w:sz="0" w:space="0" w:color="auto"/>
              </w:divBdr>
            </w:div>
            <w:div w:id="97530601">
              <w:marLeft w:val="0"/>
              <w:marRight w:val="0"/>
              <w:marTop w:val="0"/>
              <w:marBottom w:val="0"/>
              <w:divBdr>
                <w:top w:val="none" w:sz="0" w:space="0" w:color="auto"/>
                <w:left w:val="none" w:sz="0" w:space="0" w:color="auto"/>
                <w:bottom w:val="none" w:sz="0" w:space="0" w:color="auto"/>
                <w:right w:val="none" w:sz="0" w:space="0" w:color="auto"/>
              </w:divBdr>
            </w:div>
            <w:div w:id="158277418">
              <w:marLeft w:val="0"/>
              <w:marRight w:val="0"/>
              <w:marTop w:val="0"/>
              <w:marBottom w:val="0"/>
              <w:divBdr>
                <w:top w:val="none" w:sz="0" w:space="0" w:color="auto"/>
                <w:left w:val="none" w:sz="0" w:space="0" w:color="auto"/>
                <w:bottom w:val="none" w:sz="0" w:space="0" w:color="auto"/>
                <w:right w:val="none" w:sz="0" w:space="0" w:color="auto"/>
              </w:divBdr>
            </w:div>
            <w:div w:id="332073572">
              <w:marLeft w:val="0"/>
              <w:marRight w:val="0"/>
              <w:marTop w:val="0"/>
              <w:marBottom w:val="0"/>
              <w:divBdr>
                <w:top w:val="none" w:sz="0" w:space="0" w:color="auto"/>
                <w:left w:val="none" w:sz="0" w:space="0" w:color="auto"/>
                <w:bottom w:val="none" w:sz="0" w:space="0" w:color="auto"/>
                <w:right w:val="none" w:sz="0" w:space="0" w:color="auto"/>
              </w:divBdr>
            </w:div>
            <w:div w:id="537398315">
              <w:marLeft w:val="0"/>
              <w:marRight w:val="0"/>
              <w:marTop w:val="0"/>
              <w:marBottom w:val="0"/>
              <w:divBdr>
                <w:top w:val="none" w:sz="0" w:space="0" w:color="auto"/>
                <w:left w:val="none" w:sz="0" w:space="0" w:color="auto"/>
                <w:bottom w:val="none" w:sz="0" w:space="0" w:color="auto"/>
                <w:right w:val="none" w:sz="0" w:space="0" w:color="auto"/>
              </w:divBdr>
            </w:div>
            <w:div w:id="630327461">
              <w:marLeft w:val="0"/>
              <w:marRight w:val="0"/>
              <w:marTop w:val="0"/>
              <w:marBottom w:val="0"/>
              <w:divBdr>
                <w:top w:val="none" w:sz="0" w:space="0" w:color="auto"/>
                <w:left w:val="none" w:sz="0" w:space="0" w:color="auto"/>
                <w:bottom w:val="none" w:sz="0" w:space="0" w:color="auto"/>
                <w:right w:val="none" w:sz="0" w:space="0" w:color="auto"/>
              </w:divBdr>
            </w:div>
            <w:div w:id="683632060">
              <w:marLeft w:val="0"/>
              <w:marRight w:val="0"/>
              <w:marTop w:val="0"/>
              <w:marBottom w:val="0"/>
              <w:divBdr>
                <w:top w:val="none" w:sz="0" w:space="0" w:color="auto"/>
                <w:left w:val="none" w:sz="0" w:space="0" w:color="auto"/>
                <w:bottom w:val="none" w:sz="0" w:space="0" w:color="auto"/>
                <w:right w:val="none" w:sz="0" w:space="0" w:color="auto"/>
              </w:divBdr>
            </w:div>
            <w:div w:id="782310309">
              <w:marLeft w:val="0"/>
              <w:marRight w:val="0"/>
              <w:marTop w:val="0"/>
              <w:marBottom w:val="0"/>
              <w:divBdr>
                <w:top w:val="none" w:sz="0" w:space="0" w:color="auto"/>
                <w:left w:val="none" w:sz="0" w:space="0" w:color="auto"/>
                <w:bottom w:val="none" w:sz="0" w:space="0" w:color="auto"/>
                <w:right w:val="none" w:sz="0" w:space="0" w:color="auto"/>
              </w:divBdr>
            </w:div>
            <w:div w:id="1036388653">
              <w:marLeft w:val="0"/>
              <w:marRight w:val="0"/>
              <w:marTop w:val="0"/>
              <w:marBottom w:val="0"/>
              <w:divBdr>
                <w:top w:val="none" w:sz="0" w:space="0" w:color="auto"/>
                <w:left w:val="none" w:sz="0" w:space="0" w:color="auto"/>
                <w:bottom w:val="none" w:sz="0" w:space="0" w:color="auto"/>
                <w:right w:val="none" w:sz="0" w:space="0" w:color="auto"/>
              </w:divBdr>
            </w:div>
            <w:div w:id="1458715683">
              <w:marLeft w:val="0"/>
              <w:marRight w:val="0"/>
              <w:marTop w:val="0"/>
              <w:marBottom w:val="0"/>
              <w:divBdr>
                <w:top w:val="none" w:sz="0" w:space="0" w:color="auto"/>
                <w:left w:val="none" w:sz="0" w:space="0" w:color="auto"/>
                <w:bottom w:val="none" w:sz="0" w:space="0" w:color="auto"/>
                <w:right w:val="none" w:sz="0" w:space="0" w:color="auto"/>
              </w:divBdr>
            </w:div>
            <w:div w:id="1665553257">
              <w:marLeft w:val="0"/>
              <w:marRight w:val="0"/>
              <w:marTop w:val="0"/>
              <w:marBottom w:val="0"/>
              <w:divBdr>
                <w:top w:val="none" w:sz="0" w:space="0" w:color="auto"/>
                <w:left w:val="none" w:sz="0" w:space="0" w:color="auto"/>
                <w:bottom w:val="none" w:sz="0" w:space="0" w:color="auto"/>
                <w:right w:val="none" w:sz="0" w:space="0" w:color="auto"/>
              </w:divBdr>
            </w:div>
            <w:div w:id="2028602829">
              <w:marLeft w:val="0"/>
              <w:marRight w:val="0"/>
              <w:marTop w:val="0"/>
              <w:marBottom w:val="0"/>
              <w:divBdr>
                <w:top w:val="none" w:sz="0" w:space="0" w:color="auto"/>
                <w:left w:val="none" w:sz="0" w:space="0" w:color="auto"/>
                <w:bottom w:val="none" w:sz="0" w:space="0" w:color="auto"/>
                <w:right w:val="none" w:sz="0" w:space="0" w:color="auto"/>
              </w:divBdr>
            </w:div>
            <w:div w:id="2094430494">
              <w:marLeft w:val="0"/>
              <w:marRight w:val="0"/>
              <w:marTop w:val="0"/>
              <w:marBottom w:val="0"/>
              <w:divBdr>
                <w:top w:val="none" w:sz="0" w:space="0" w:color="auto"/>
                <w:left w:val="none" w:sz="0" w:space="0" w:color="auto"/>
                <w:bottom w:val="none" w:sz="0" w:space="0" w:color="auto"/>
                <w:right w:val="none" w:sz="0" w:space="0" w:color="auto"/>
              </w:divBdr>
            </w:div>
            <w:div w:id="2113817105">
              <w:marLeft w:val="0"/>
              <w:marRight w:val="0"/>
              <w:marTop w:val="0"/>
              <w:marBottom w:val="0"/>
              <w:divBdr>
                <w:top w:val="none" w:sz="0" w:space="0" w:color="auto"/>
                <w:left w:val="none" w:sz="0" w:space="0" w:color="auto"/>
                <w:bottom w:val="none" w:sz="0" w:space="0" w:color="auto"/>
                <w:right w:val="none" w:sz="0" w:space="0" w:color="auto"/>
              </w:divBdr>
            </w:div>
          </w:divsChild>
        </w:div>
        <w:div w:id="129980458">
          <w:marLeft w:val="0"/>
          <w:marRight w:val="0"/>
          <w:marTop w:val="0"/>
          <w:marBottom w:val="0"/>
          <w:divBdr>
            <w:top w:val="none" w:sz="0" w:space="0" w:color="auto"/>
            <w:left w:val="none" w:sz="0" w:space="0" w:color="auto"/>
            <w:bottom w:val="none" w:sz="0" w:space="0" w:color="auto"/>
            <w:right w:val="none" w:sz="0" w:space="0" w:color="auto"/>
          </w:divBdr>
        </w:div>
        <w:div w:id="133913787">
          <w:marLeft w:val="0"/>
          <w:marRight w:val="0"/>
          <w:marTop w:val="0"/>
          <w:marBottom w:val="0"/>
          <w:divBdr>
            <w:top w:val="none" w:sz="0" w:space="0" w:color="auto"/>
            <w:left w:val="none" w:sz="0" w:space="0" w:color="auto"/>
            <w:bottom w:val="none" w:sz="0" w:space="0" w:color="auto"/>
            <w:right w:val="none" w:sz="0" w:space="0" w:color="auto"/>
          </w:divBdr>
          <w:divsChild>
            <w:div w:id="2243179">
              <w:marLeft w:val="0"/>
              <w:marRight w:val="0"/>
              <w:marTop w:val="0"/>
              <w:marBottom w:val="0"/>
              <w:divBdr>
                <w:top w:val="none" w:sz="0" w:space="0" w:color="auto"/>
                <w:left w:val="none" w:sz="0" w:space="0" w:color="auto"/>
                <w:bottom w:val="none" w:sz="0" w:space="0" w:color="auto"/>
                <w:right w:val="none" w:sz="0" w:space="0" w:color="auto"/>
              </w:divBdr>
            </w:div>
            <w:div w:id="120921004">
              <w:marLeft w:val="0"/>
              <w:marRight w:val="0"/>
              <w:marTop w:val="0"/>
              <w:marBottom w:val="0"/>
              <w:divBdr>
                <w:top w:val="none" w:sz="0" w:space="0" w:color="auto"/>
                <w:left w:val="none" w:sz="0" w:space="0" w:color="auto"/>
                <w:bottom w:val="none" w:sz="0" w:space="0" w:color="auto"/>
                <w:right w:val="none" w:sz="0" w:space="0" w:color="auto"/>
              </w:divBdr>
            </w:div>
            <w:div w:id="411854882">
              <w:marLeft w:val="0"/>
              <w:marRight w:val="0"/>
              <w:marTop w:val="0"/>
              <w:marBottom w:val="0"/>
              <w:divBdr>
                <w:top w:val="none" w:sz="0" w:space="0" w:color="auto"/>
                <w:left w:val="none" w:sz="0" w:space="0" w:color="auto"/>
                <w:bottom w:val="none" w:sz="0" w:space="0" w:color="auto"/>
                <w:right w:val="none" w:sz="0" w:space="0" w:color="auto"/>
              </w:divBdr>
            </w:div>
            <w:div w:id="429667108">
              <w:marLeft w:val="0"/>
              <w:marRight w:val="0"/>
              <w:marTop w:val="0"/>
              <w:marBottom w:val="0"/>
              <w:divBdr>
                <w:top w:val="none" w:sz="0" w:space="0" w:color="auto"/>
                <w:left w:val="none" w:sz="0" w:space="0" w:color="auto"/>
                <w:bottom w:val="none" w:sz="0" w:space="0" w:color="auto"/>
                <w:right w:val="none" w:sz="0" w:space="0" w:color="auto"/>
              </w:divBdr>
            </w:div>
            <w:div w:id="504325376">
              <w:marLeft w:val="0"/>
              <w:marRight w:val="0"/>
              <w:marTop w:val="0"/>
              <w:marBottom w:val="0"/>
              <w:divBdr>
                <w:top w:val="none" w:sz="0" w:space="0" w:color="auto"/>
                <w:left w:val="none" w:sz="0" w:space="0" w:color="auto"/>
                <w:bottom w:val="none" w:sz="0" w:space="0" w:color="auto"/>
                <w:right w:val="none" w:sz="0" w:space="0" w:color="auto"/>
              </w:divBdr>
            </w:div>
            <w:div w:id="795296734">
              <w:marLeft w:val="0"/>
              <w:marRight w:val="0"/>
              <w:marTop w:val="0"/>
              <w:marBottom w:val="0"/>
              <w:divBdr>
                <w:top w:val="none" w:sz="0" w:space="0" w:color="auto"/>
                <w:left w:val="none" w:sz="0" w:space="0" w:color="auto"/>
                <w:bottom w:val="none" w:sz="0" w:space="0" w:color="auto"/>
                <w:right w:val="none" w:sz="0" w:space="0" w:color="auto"/>
              </w:divBdr>
            </w:div>
            <w:div w:id="949163780">
              <w:marLeft w:val="0"/>
              <w:marRight w:val="0"/>
              <w:marTop w:val="0"/>
              <w:marBottom w:val="0"/>
              <w:divBdr>
                <w:top w:val="none" w:sz="0" w:space="0" w:color="auto"/>
                <w:left w:val="none" w:sz="0" w:space="0" w:color="auto"/>
                <w:bottom w:val="none" w:sz="0" w:space="0" w:color="auto"/>
                <w:right w:val="none" w:sz="0" w:space="0" w:color="auto"/>
              </w:divBdr>
            </w:div>
            <w:div w:id="971400861">
              <w:marLeft w:val="0"/>
              <w:marRight w:val="0"/>
              <w:marTop w:val="0"/>
              <w:marBottom w:val="0"/>
              <w:divBdr>
                <w:top w:val="none" w:sz="0" w:space="0" w:color="auto"/>
                <w:left w:val="none" w:sz="0" w:space="0" w:color="auto"/>
                <w:bottom w:val="none" w:sz="0" w:space="0" w:color="auto"/>
                <w:right w:val="none" w:sz="0" w:space="0" w:color="auto"/>
              </w:divBdr>
            </w:div>
            <w:div w:id="1018049194">
              <w:marLeft w:val="0"/>
              <w:marRight w:val="0"/>
              <w:marTop w:val="0"/>
              <w:marBottom w:val="0"/>
              <w:divBdr>
                <w:top w:val="none" w:sz="0" w:space="0" w:color="auto"/>
                <w:left w:val="none" w:sz="0" w:space="0" w:color="auto"/>
                <w:bottom w:val="none" w:sz="0" w:space="0" w:color="auto"/>
                <w:right w:val="none" w:sz="0" w:space="0" w:color="auto"/>
              </w:divBdr>
            </w:div>
            <w:div w:id="1020356010">
              <w:marLeft w:val="0"/>
              <w:marRight w:val="0"/>
              <w:marTop w:val="0"/>
              <w:marBottom w:val="0"/>
              <w:divBdr>
                <w:top w:val="none" w:sz="0" w:space="0" w:color="auto"/>
                <w:left w:val="none" w:sz="0" w:space="0" w:color="auto"/>
                <w:bottom w:val="none" w:sz="0" w:space="0" w:color="auto"/>
                <w:right w:val="none" w:sz="0" w:space="0" w:color="auto"/>
              </w:divBdr>
            </w:div>
            <w:div w:id="1032075290">
              <w:marLeft w:val="0"/>
              <w:marRight w:val="0"/>
              <w:marTop w:val="0"/>
              <w:marBottom w:val="0"/>
              <w:divBdr>
                <w:top w:val="none" w:sz="0" w:space="0" w:color="auto"/>
                <w:left w:val="none" w:sz="0" w:space="0" w:color="auto"/>
                <w:bottom w:val="none" w:sz="0" w:space="0" w:color="auto"/>
                <w:right w:val="none" w:sz="0" w:space="0" w:color="auto"/>
              </w:divBdr>
            </w:div>
            <w:div w:id="1433477139">
              <w:marLeft w:val="0"/>
              <w:marRight w:val="0"/>
              <w:marTop w:val="0"/>
              <w:marBottom w:val="0"/>
              <w:divBdr>
                <w:top w:val="none" w:sz="0" w:space="0" w:color="auto"/>
                <w:left w:val="none" w:sz="0" w:space="0" w:color="auto"/>
                <w:bottom w:val="none" w:sz="0" w:space="0" w:color="auto"/>
                <w:right w:val="none" w:sz="0" w:space="0" w:color="auto"/>
              </w:divBdr>
            </w:div>
            <w:div w:id="1448887031">
              <w:marLeft w:val="0"/>
              <w:marRight w:val="0"/>
              <w:marTop w:val="0"/>
              <w:marBottom w:val="0"/>
              <w:divBdr>
                <w:top w:val="none" w:sz="0" w:space="0" w:color="auto"/>
                <w:left w:val="none" w:sz="0" w:space="0" w:color="auto"/>
                <w:bottom w:val="none" w:sz="0" w:space="0" w:color="auto"/>
                <w:right w:val="none" w:sz="0" w:space="0" w:color="auto"/>
              </w:divBdr>
            </w:div>
            <w:div w:id="1590582612">
              <w:marLeft w:val="0"/>
              <w:marRight w:val="0"/>
              <w:marTop w:val="0"/>
              <w:marBottom w:val="0"/>
              <w:divBdr>
                <w:top w:val="none" w:sz="0" w:space="0" w:color="auto"/>
                <w:left w:val="none" w:sz="0" w:space="0" w:color="auto"/>
                <w:bottom w:val="none" w:sz="0" w:space="0" w:color="auto"/>
                <w:right w:val="none" w:sz="0" w:space="0" w:color="auto"/>
              </w:divBdr>
            </w:div>
            <w:div w:id="1602644182">
              <w:marLeft w:val="0"/>
              <w:marRight w:val="0"/>
              <w:marTop w:val="0"/>
              <w:marBottom w:val="0"/>
              <w:divBdr>
                <w:top w:val="none" w:sz="0" w:space="0" w:color="auto"/>
                <w:left w:val="none" w:sz="0" w:space="0" w:color="auto"/>
                <w:bottom w:val="none" w:sz="0" w:space="0" w:color="auto"/>
                <w:right w:val="none" w:sz="0" w:space="0" w:color="auto"/>
              </w:divBdr>
            </w:div>
            <w:div w:id="1702438947">
              <w:marLeft w:val="0"/>
              <w:marRight w:val="0"/>
              <w:marTop w:val="0"/>
              <w:marBottom w:val="0"/>
              <w:divBdr>
                <w:top w:val="none" w:sz="0" w:space="0" w:color="auto"/>
                <w:left w:val="none" w:sz="0" w:space="0" w:color="auto"/>
                <w:bottom w:val="none" w:sz="0" w:space="0" w:color="auto"/>
                <w:right w:val="none" w:sz="0" w:space="0" w:color="auto"/>
              </w:divBdr>
            </w:div>
            <w:div w:id="1777486255">
              <w:marLeft w:val="0"/>
              <w:marRight w:val="0"/>
              <w:marTop w:val="0"/>
              <w:marBottom w:val="0"/>
              <w:divBdr>
                <w:top w:val="none" w:sz="0" w:space="0" w:color="auto"/>
                <w:left w:val="none" w:sz="0" w:space="0" w:color="auto"/>
                <w:bottom w:val="none" w:sz="0" w:space="0" w:color="auto"/>
                <w:right w:val="none" w:sz="0" w:space="0" w:color="auto"/>
              </w:divBdr>
            </w:div>
            <w:div w:id="1908875174">
              <w:marLeft w:val="0"/>
              <w:marRight w:val="0"/>
              <w:marTop w:val="0"/>
              <w:marBottom w:val="0"/>
              <w:divBdr>
                <w:top w:val="none" w:sz="0" w:space="0" w:color="auto"/>
                <w:left w:val="none" w:sz="0" w:space="0" w:color="auto"/>
                <w:bottom w:val="none" w:sz="0" w:space="0" w:color="auto"/>
                <w:right w:val="none" w:sz="0" w:space="0" w:color="auto"/>
              </w:divBdr>
            </w:div>
            <w:div w:id="2032143576">
              <w:marLeft w:val="0"/>
              <w:marRight w:val="0"/>
              <w:marTop w:val="0"/>
              <w:marBottom w:val="0"/>
              <w:divBdr>
                <w:top w:val="none" w:sz="0" w:space="0" w:color="auto"/>
                <w:left w:val="none" w:sz="0" w:space="0" w:color="auto"/>
                <w:bottom w:val="none" w:sz="0" w:space="0" w:color="auto"/>
                <w:right w:val="none" w:sz="0" w:space="0" w:color="auto"/>
              </w:divBdr>
            </w:div>
          </w:divsChild>
        </w:div>
        <w:div w:id="134182816">
          <w:marLeft w:val="0"/>
          <w:marRight w:val="0"/>
          <w:marTop w:val="0"/>
          <w:marBottom w:val="0"/>
          <w:divBdr>
            <w:top w:val="none" w:sz="0" w:space="0" w:color="auto"/>
            <w:left w:val="none" w:sz="0" w:space="0" w:color="auto"/>
            <w:bottom w:val="none" w:sz="0" w:space="0" w:color="auto"/>
            <w:right w:val="none" w:sz="0" w:space="0" w:color="auto"/>
          </w:divBdr>
        </w:div>
        <w:div w:id="138113851">
          <w:marLeft w:val="0"/>
          <w:marRight w:val="0"/>
          <w:marTop w:val="0"/>
          <w:marBottom w:val="0"/>
          <w:divBdr>
            <w:top w:val="none" w:sz="0" w:space="0" w:color="auto"/>
            <w:left w:val="none" w:sz="0" w:space="0" w:color="auto"/>
            <w:bottom w:val="none" w:sz="0" w:space="0" w:color="auto"/>
            <w:right w:val="none" w:sz="0" w:space="0" w:color="auto"/>
          </w:divBdr>
          <w:divsChild>
            <w:div w:id="153882725">
              <w:marLeft w:val="0"/>
              <w:marRight w:val="0"/>
              <w:marTop w:val="0"/>
              <w:marBottom w:val="0"/>
              <w:divBdr>
                <w:top w:val="none" w:sz="0" w:space="0" w:color="auto"/>
                <w:left w:val="none" w:sz="0" w:space="0" w:color="auto"/>
                <w:bottom w:val="none" w:sz="0" w:space="0" w:color="auto"/>
                <w:right w:val="none" w:sz="0" w:space="0" w:color="auto"/>
              </w:divBdr>
            </w:div>
            <w:div w:id="217782787">
              <w:marLeft w:val="0"/>
              <w:marRight w:val="0"/>
              <w:marTop w:val="0"/>
              <w:marBottom w:val="0"/>
              <w:divBdr>
                <w:top w:val="none" w:sz="0" w:space="0" w:color="auto"/>
                <w:left w:val="none" w:sz="0" w:space="0" w:color="auto"/>
                <w:bottom w:val="none" w:sz="0" w:space="0" w:color="auto"/>
                <w:right w:val="none" w:sz="0" w:space="0" w:color="auto"/>
              </w:divBdr>
            </w:div>
            <w:div w:id="538973204">
              <w:marLeft w:val="0"/>
              <w:marRight w:val="0"/>
              <w:marTop w:val="0"/>
              <w:marBottom w:val="0"/>
              <w:divBdr>
                <w:top w:val="none" w:sz="0" w:space="0" w:color="auto"/>
                <w:left w:val="none" w:sz="0" w:space="0" w:color="auto"/>
                <w:bottom w:val="none" w:sz="0" w:space="0" w:color="auto"/>
                <w:right w:val="none" w:sz="0" w:space="0" w:color="auto"/>
              </w:divBdr>
            </w:div>
            <w:div w:id="658269140">
              <w:marLeft w:val="0"/>
              <w:marRight w:val="0"/>
              <w:marTop w:val="0"/>
              <w:marBottom w:val="0"/>
              <w:divBdr>
                <w:top w:val="none" w:sz="0" w:space="0" w:color="auto"/>
                <w:left w:val="none" w:sz="0" w:space="0" w:color="auto"/>
                <w:bottom w:val="none" w:sz="0" w:space="0" w:color="auto"/>
                <w:right w:val="none" w:sz="0" w:space="0" w:color="auto"/>
              </w:divBdr>
            </w:div>
            <w:div w:id="740832761">
              <w:marLeft w:val="0"/>
              <w:marRight w:val="0"/>
              <w:marTop w:val="0"/>
              <w:marBottom w:val="0"/>
              <w:divBdr>
                <w:top w:val="none" w:sz="0" w:space="0" w:color="auto"/>
                <w:left w:val="none" w:sz="0" w:space="0" w:color="auto"/>
                <w:bottom w:val="none" w:sz="0" w:space="0" w:color="auto"/>
                <w:right w:val="none" w:sz="0" w:space="0" w:color="auto"/>
              </w:divBdr>
            </w:div>
            <w:div w:id="773212542">
              <w:marLeft w:val="0"/>
              <w:marRight w:val="0"/>
              <w:marTop w:val="0"/>
              <w:marBottom w:val="0"/>
              <w:divBdr>
                <w:top w:val="none" w:sz="0" w:space="0" w:color="auto"/>
                <w:left w:val="none" w:sz="0" w:space="0" w:color="auto"/>
                <w:bottom w:val="none" w:sz="0" w:space="0" w:color="auto"/>
                <w:right w:val="none" w:sz="0" w:space="0" w:color="auto"/>
              </w:divBdr>
            </w:div>
            <w:div w:id="785857397">
              <w:marLeft w:val="0"/>
              <w:marRight w:val="0"/>
              <w:marTop w:val="0"/>
              <w:marBottom w:val="0"/>
              <w:divBdr>
                <w:top w:val="none" w:sz="0" w:space="0" w:color="auto"/>
                <w:left w:val="none" w:sz="0" w:space="0" w:color="auto"/>
                <w:bottom w:val="none" w:sz="0" w:space="0" w:color="auto"/>
                <w:right w:val="none" w:sz="0" w:space="0" w:color="auto"/>
              </w:divBdr>
            </w:div>
            <w:div w:id="905262916">
              <w:marLeft w:val="0"/>
              <w:marRight w:val="0"/>
              <w:marTop w:val="0"/>
              <w:marBottom w:val="0"/>
              <w:divBdr>
                <w:top w:val="none" w:sz="0" w:space="0" w:color="auto"/>
                <w:left w:val="none" w:sz="0" w:space="0" w:color="auto"/>
                <w:bottom w:val="none" w:sz="0" w:space="0" w:color="auto"/>
                <w:right w:val="none" w:sz="0" w:space="0" w:color="auto"/>
              </w:divBdr>
            </w:div>
            <w:div w:id="1003313931">
              <w:marLeft w:val="0"/>
              <w:marRight w:val="0"/>
              <w:marTop w:val="0"/>
              <w:marBottom w:val="0"/>
              <w:divBdr>
                <w:top w:val="none" w:sz="0" w:space="0" w:color="auto"/>
                <w:left w:val="none" w:sz="0" w:space="0" w:color="auto"/>
                <w:bottom w:val="none" w:sz="0" w:space="0" w:color="auto"/>
                <w:right w:val="none" w:sz="0" w:space="0" w:color="auto"/>
              </w:divBdr>
            </w:div>
            <w:div w:id="1051923617">
              <w:marLeft w:val="0"/>
              <w:marRight w:val="0"/>
              <w:marTop w:val="0"/>
              <w:marBottom w:val="0"/>
              <w:divBdr>
                <w:top w:val="none" w:sz="0" w:space="0" w:color="auto"/>
                <w:left w:val="none" w:sz="0" w:space="0" w:color="auto"/>
                <w:bottom w:val="none" w:sz="0" w:space="0" w:color="auto"/>
                <w:right w:val="none" w:sz="0" w:space="0" w:color="auto"/>
              </w:divBdr>
            </w:div>
            <w:div w:id="1305936059">
              <w:marLeft w:val="0"/>
              <w:marRight w:val="0"/>
              <w:marTop w:val="0"/>
              <w:marBottom w:val="0"/>
              <w:divBdr>
                <w:top w:val="none" w:sz="0" w:space="0" w:color="auto"/>
                <w:left w:val="none" w:sz="0" w:space="0" w:color="auto"/>
                <w:bottom w:val="none" w:sz="0" w:space="0" w:color="auto"/>
                <w:right w:val="none" w:sz="0" w:space="0" w:color="auto"/>
              </w:divBdr>
            </w:div>
            <w:div w:id="1349525432">
              <w:marLeft w:val="0"/>
              <w:marRight w:val="0"/>
              <w:marTop w:val="0"/>
              <w:marBottom w:val="0"/>
              <w:divBdr>
                <w:top w:val="none" w:sz="0" w:space="0" w:color="auto"/>
                <w:left w:val="none" w:sz="0" w:space="0" w:color="auto"/>
                <w:bottom w:val="none" w:sz="0" w:space="0" w:color="auto"/>
                <w:right w:val="none" w:sz="0" w:space="0" w:color="auto"/>
              </w:divBdr>
            </w:div>
            <w:div w:id="1419327779">
              <w:marLeft w:val="0"/>
              <w:marRight w:val="0"/>
              <w:marTop w:val="0"/>
              <w:marBottom w:val="0"/>
              <w:divBdr>
                <w:top w:val="none" w:sz="0" w:space="0" w:color="auto"/>
                <w:left w:val="none" w:sz="0" w:space="0" w:color="auto"/>
                <w:bottom w:val="none" w:sz="0" w:space="0" w:color="auto"/>
                <w:right w:val="none" w:sz="0" w:space="0" w:color="auto"/>
              </w:divBdr>
            </w:div>
            <w:div w:id="1469929924">
              <w:marLeft w:val="0"/>
              <w:marRight w:val="0"/>
              <w:marTop w:val="0"/>
              <w:marBottom w:val="0"/>
              <w:divBdr>
                <w:top w:val="none" w:sz="0" w:space="0" w:color="auto"/>
                <w:left w:val="none" w:sz="0" w:space="0" w:color="auto"/>
                <w:bottom w:val="none" w:sz="0" w:space="0" w:color="auto"/>
                <w:right w:val="none" w:sz="0" w:space="0" w:color="auto"/>
              </w:divBdr>
            </w:div>
            <w:div w:id="1613592982">
              <w:marLeft w:val="0"/>
              <w:marRight w:val="0"/>
              <w:marTop w:val="0"/>
              <w:marBottom w:val="0"/>
              <w:divBdr>
                <w:top w:val="none" w:sz="0" w:space="0" w:color="auto"/>
                <w:left w:val="none" w:sz="0" w:space="0" w:color="auto"/>
                <w:bottom w:val="none" w:sz="0" w:space="0" w:color="auto"/>
                <w:right w:val="none" w:sz="0" w:space="0" w:color="auto"/>
              </w:divBdr>
            </w:div>
            <w:div w:id="1622802869">
              <w:marLeft w:val="0"/>
              <w:marRight w:val="0"/>
              <w:marTop w:val="0"/>
              <w:marBottom w:val="0"/>
              <w:divBdr>
                <w:top w:val="none" w:sz="0" w:space="0" w:color="auto"/>
                <w:left w:val="none" w:sz="0" w:space="0" w:color="auto"/>
                <w:bottom w:val="none" w:sz="0" w:space="0" w:color="auto"/>
                <w:right w:val="none" w:sz="0" w:space="0" w:color="auto"/>
              </w:divBdr>
            </w:div>
            <w:div w:id="1755317713">
              <w:marLeft w:val="0"/>
              <w:marRight w:val="0"/>
              <w:marTop w:val="0"/>
              <w:marBottom w:val="0"/>
              <w:divBdr>
                <w:top w:val="none" w:sz="0" w:space="0" w:color="auto"/>
                <w:left w:val="none" w:sz="0" w:space="0" w:color="auto"/>
                <w:bottom w:val="none" w:sz="0" w:space="0" w:color="auto"/>
                <w:right w:val="none" w:sz="0" w:space="0" w:color="auto"/>
              </w:divBdr>
            </w:div>
            <w:div w:id="1901288701">
              <w:marLeft w:val="0"/>
              <w:marRight w:val="0"/>
              <w:marTop w:val="0"/>
              <w:marBottom w:val="0"/>
              <w:divBdr>
                <w:top w:val="none" w:sz="0" w:space="0" w:color="auto"/>
                <w:left w:val="none" w:sz="0" w:space="0" w:color="auto"/>
                <w:bottom w:val="none" w:sz="0" w:space="0" w:color="auto"/>
                <w:right w:val="none" w:sz="0" w:space="0" w:color="auto"/>
              </w:divBdr>
            </w:div>
            <w:div w:id="1902862961">
              <w:marLeft w:val="0"/>
              <w:marRight w:val="0"/>
              <w:marTop w:val="0"/>
              <w:marBottom w:val="0"/>
              <w:divBdr>
                <w:top w:val="none" w:sz="0" w:space="0" w:color="auto"/>
                <w:left w:val="none" w:sz="0" w:space="0" w:color="auto"/>
                <w:bottom w:val="none" w:sz="0" w:space="0" w:color="auto"/>
                <w:right w:val="none" w:sz="0" w:space="0" w:color="auto"/>
              </w:divBdr>
            </w:div>
            <w:div w:id="2040742326">
              <w:marLeft w:val="0"/>
              <w:marRight w:val="0"/>
              <w:marTop w:val="0"/>
              <w:marBottom w:val="0"/>
              <w:divBdr>
                <w:top w:val="none" w:sz="0" w:space="0" w:color="auto"/>
                <w:left w:val="none" w:sz="0" w:space="0" w:color="auto"/>
                <w:bottom w:val="none" w:sz="0" w:space="0" w:color="auto"/>
                <w:right w:val="none" w:sz="0" w:space="0" w:color="auto"/>
              </w:divBdr>
            </w:div>
          </w:divsChild>
        </w:div>
        <w:div w:id="140853379">
          <w:marLeft w:val="0"/>
          <w:marRight w:val="0"/>
          <w:marTop w:val="0"/>
          <w:marBottom w:val="0"/>
          <w:divBdr>
            <w:top w:val="none" w:sz="0" w:space="0" w:color="auto"/>
            <w:left w:val="none" w:sz="0" w:space="0" w:color="auto"/>
            <w:bottom w:val="none" w:sz="0" w:space="0" w:color="auto"/>
            <w:right w:val="none" w:sz="0" w:space="0" w:color="auto"/>
          </w:divBdr>
        </w:div>
        <w:div w:id="142281361">
          <w:marLeft w:val="0"/>
          <w:marRight w:val="0"/>
          <w:marTop w:val="0"/>
          <w:marBottom w:val="0"/>
          <w:divBdr>
            <w:top w:val="none" w:sz="0" w:space="0" w:color="auto"/>
            <w:left w:val="none" w:sz="0" w:space="0" w:color="auto"/>
            <w:bottom w:val="none" w:sz="0" w:space="0" w:color="auto"/>
            <w:right w:val="none" w:sz="0" w:space="0" w:color="auto"/>
          </w:divBdr>
        </w:div>
        <w:div w:id="144444248">
          <w:marLeft w:val="0"/>
          <w:marRight w:val="0"/>
          <w:marTop w:val="0"/>
          <w:marBottom w:val="0"/>
          <w:divBdr>
            <w:top w:val="none" w:sz="0" w:space="0" w:color="auto"/>
            <w:left w:val="none" w:sz="0" w:space="0" w:color="auto"/>
            <w:bottom w:val="none" w:sz="0" w:space="0" w:color="auto"/>
            <w:right w:val="none" w:sz="0" w:space="0" w:color="auto"/>
          </w:divBdr>
        </w:div>
        <w:div w:id="144708529">
          <w:marLeft w:val="0"/>
          <w:marRight w:val="0"/>
          <w:marTop w:val="0"/>
          <w:marBottom w:val="0"/>
          <w:divBdr>
            <w:top w:val="none" w:sz="0" w:space="0" w:color="auto"/>
            <w:left w:val="none" w:sz="0" w:space="0" w:color="auto"/>
            <w:bottom w:val="none" w:sz="0" w:space="0" w:color="auto"/>
            <w:right w:val="none" w:sz="0" w:space="0" w:color="auto"/>
          </w:divBdr>
        </w:div>
        <w:div w:id="145825750">
          <w:marLeft w:val="0"/>
          <w:marRight w:val="0"/>
          <w:marTop w:val="0"/>
          <w:marBottom w:val="0"/>
          <w:divBdr>
            <w:top w:val="none" w:sz="0" w:space="0" w:color="auto"/>
            <w:left w:val="none" w:sz="0" w:space="0" w:color="auto"/>
            <w:bottom w:val="none" w:sz="0" w:space="0" w:color="auto"/>
            <w:right w:val="none" w:sz="0" w:space="0" w:color="auto"/>
          </w:divBdr>
        </w:div>
        <w:div w:id="146434534">
          <w:marLeft w:val="0"/>
          <w:marRight w:val="0"/>
          <w:marTop w:val="0"/>
          <w:marBottom w:val="0"/>
          <w:divBdr>
            <w:top w:val="none" w:sz="0" w:space="0" w:color="auto"/>
            <w:left w:val="none" w:sz="0" w:space="0" w:color="auto"/>
            <w:bottom w:val="none" w:sz="0" w:space="0" w:color="auto"/>
            <w:right w:val="none" w:sz="0" w:space="0" w:color="auto"/>
          </w:divBdr>
        </w:div>
        <w:div w:id="147409043">
          <w:marLeft w:val="0"/>
          <w:marRight w:val="0"/>
          <w:marTop w:val="0"/>
          <w:marBottom w:val="0"/>
          <w:divBdr>
            <w:top w:val="none" w:sz="0" w:space="0" w:color="auto"/>
            <w:left w:val="none" w:sz="0" w:space="0" w:color="auto"/>
            <w:bottom w:val="none" w:sz="0" w:space="0" w:color="auto"/>
            <w:right w:val="none" w:sz="0" w:space="0" w:color="auto"/>
          </w:divBdr>
        </w:div>
        <w:div w:id="148449106">
          <w:marLeft w:val="0"/>
          <w:marRight w:val="0"/>
          <w:marTop w:val="0"/>
          <w:marBottom w:val="0"/>
          <w:divBdr>
            <w:top w:val="none" w:sz="0" w:space="0" w:color="auto"/>
            <w:left w:val="none" w:sz="0" w:space="0" w:color="auto"/>
            <w:bottom w:val="none" w:sz="0" w:space="0" w:color="auto"/>
            <w:right w:val="none" w:sz="0" w:space="0" w:color="auto"/>
          </w:divBdr>
        </w:div>
        <w:div w:id="149444088">
          <w:marLeft w:val="0"/>
          <w:marRight w:val="0"/>
          <w:marTop w:val="0"/>
          <w:marBottom w:val="0"/>
          <w:divBdr>
            <w:top w:val="none" w:sz="0" w:space="0" w:color="auto"/>
            <w:left w:val="none" w:sz="0" w:space="0" w:color="auto"/>
            <w:bottom w:val="none" w:sz="0" w:space="0" w:color="auto"/>
            <w:right w:val="none" w:sz="0" w:space="0" w:color="auto"/>
          </w:divBdr>
        </w:div>
        <w:div w:id="151259496">
          <w:marLeft w:val="0"/>
          <w:marRight w:val="0"/>
          <w:marTop w:val="0"/>
          <w:marBottom w:val="0"/>
          <w:divBdr>
            <w:top w:val="none" w:sz="0" w:space="0" w:color="auto"/>
            <w:left w:val="none" w:sz="0" w:space="0" w:color="auto"/>
            <w:bottom w:val="none" w:sz="0" w:space="0" w:color="auto"/>
            <w:right w:val="none" w:sz="0" w:space="0" w:color="auto"/>
          </w:divBdr>
        </w:div>
        <w:div w:id="151411697">
          <w:marLeft w:val="0"/>
          <w:marRight w:val="0"/>
          <w:marTop w:val="0"/>
          <w:marBottom w:val="0"/>
          <w:divBdr>
            <w:top w:val="none" w:sz="0" w:space="0" w:color="auto"/>
            <w:left w:val="none" w:sz="0" w:space="0" w:color="auto"/>
            <w:bottom w:val="none" w:sz="0" w:space="0" w:color="auto"/>
            <w:right w:val="none" w:sz="0" w:space="0" w:color="auto"/>
          </w:divBdr>
        </w:div>
        <w:div w:id="151917774">
          <w:marLeft w:val="0"/>
          <w:marRight w:val="0"/>
          <w:marTop w:val="0"/>
          <w:marBottom w:val="0"/>
          <w:divBdr>
            <w:top w:val="none" w:sz="0" w:space="0" w:color="auto"/>
            <w:left w:val="none" w:sz="0" w:space="0" w:color="auto"/>
            <w:bottom w:val="none" w:sz="0" w:space="0" w:color="auto"/>
            <w:right w:val="none" w:sz="0" w:space="0" w:color="auto"/>
          </w:divBdr>
        </w:div>
        <w:div w:id="154876529">
          <w:marLeft w:val="0"/>
          <w:marRight w:val="0"/>
          <w:marTop w:val="0"/>
          <w:marBottom w:val="0"/>
          <w:divBdr>
            <w:top w:val="none" w:sz="0" w:space="0" w:color="auto"/>
            <w:left w:val="none" w:sz="0" w:space="0" w:color="auto"/>
            <w:bottom w:val="none" w:sz="0" w:space="0" w:color="auto"/>
            <w:right w:val="none" w:sz="0" w:space="0" w:color="auto"/>
          </w:divBdr>
        </w:div>
        <w:div w:id="155807988">
          <w:marLeft w:val="0"/>
          <w:marRight w:val="0"/>
          <w:marTop w:val="0"/>
          <w:marBottom w:val="0"/>
          <w:divBdr>
            <w:top w:val="none" w:sz="0" w:space="0" w:color="auto"/>
            <w:left w:val="none" w:sz="0" w:space="0" w:color="auto"/>
            <w:bottom w:val="none" w:sz="0" w:space="0" w:color="auto"/>
            <w:right w:val="none" w:sz="0" w:space="0" w:color="auto"/>
          </w:divBdr>
        </w:div>
        <w:div w:id="157890740">
          <w:marLeft w:val="0"/>
          <w:marRight w:val="0"/>
          <w:marTop w:val="0"/>
          <w:marBottom w:val="0"/>
          <w:divBdr>
            <w:top w:val="none" w:sz="0" w:space="0" w:color="auto"/>
            <w:left w:val="none" w:sz="0" w:space="0" w:color="auto"/>
            <w:bottom w:val="none" w:sz="0" w:space="0" w:color="auto"/>
            <w:right w:val="none" w:sz="0" w:space="0" w:color="auto"/>
          </w:divBdr>
        </w:div>
        <w:div w:id="158543931">
          <w:marLeft w:val="0"/>
          <w:marRight w:val="0"/>
          <w:marTop w:val="0"/>
          <w:marBottom w:val="0"/>
          <w:divBdr>
            <w:top w:val="none" w:sz="0" w:space="0" w:color="auto"/>
            <w:left w:val="none" w:sz="0" w:space="0" w:color="auto"/>
            <w:bottom w:val="none" w:sz="0" w:space="0" w:color="auto"/>
            <w:right w:val="none" w:sz="0" w:space="0" w:color="auto"/>
          </w:divBdr>
        </w:div>
        <w:div w:id="160049336">
          <w:marLeft w:val="0"/>
          <w:marRight w:val="0"/>
          <w:marTop w:val="0"/>
          <w:marBottom w:val="0"/>
          <w:divBdr>
            <w:top w:val="none" w:sz="0" w:space="0" w:color="auto"/>
            <w:left w:val="none" w:sz="0" w:space="0" w:color="auto"/>
            <w:bottom w:val="none" w:sz="0" w:space="0" w:color="auto"/>
            <w:right w:val="none" w:sz="0" w:space="0" w:color="auto"/>
          </w:divBdr>
        </w:div>
        <w:div w:id="161628169">
          <w:marLeft w:val="0"/>
          <w:marRight w:val="0"/>
          <w:marTop w:val="0"/>
          <w:marBottom w:val="0"/>
          <w:divBdr>
            <w:top w:val="none" w:sz="0" w:space="0" w:color="auto"/>
            <w:left w:val="none" w:sz="0" w:space="0" w:color="auto"/>
            <w:bottom w:val="none" w:sz="0" w:space="0" w:color="auto"/>
            <w:right w:val="none" w:sz="0" w:space="0" w:color="auto"/>
          </w:divBdr>
        </w:div>
        <w:div w:id="161775168">
          <w:marLeft w:val="0"/>
          <w:marRight w:val="0"/>
          <w:marTop w:val="0"/>
          <w:marBottom w:val="0"/>
          <w:divBdr>
            <w:top w:val="none" w:sz="0" w:space="0" w:color="auto"/>
            <w:left w:val="none" w:sz="0" w:space="0" w:color="auto"/>
            <w:bottom w:val="none" w:sz="0" w:space="0" w:color="auto"/>
            <w:right w:val="none" w:sz="0" w:space="0" w:color="auto"/>
          </w:divBdr>
        </w:div>
        <w:div w:id="163980483">
          <w:marLeft w:val="0"/>
          <w:marRight w:val="0"/>
          <w:marTop w:val="0"/>
          <w:marBottom w:val="0"/>
          <w:divBdr>
            <w:top w:val="none" w:sz="0" w:space="0" w:color="auto"/>
            <w:left w:val="none" w:sz="0" w:space="0" w:color="auto"/>
            <w:bottom w:val="none" w:sz="0" w:space="0" w:color="auto"/>
            <w:right w:val="none" w:sz="0" w:space="0" w:color="auto"/>
          </w:divBdr>
        </w:div>
        <w:div w:id="165555407">
          <w:marLeft w:val="0"/>
          <w:marRight w:val="0"/>
          <w:marTop w:val="0"/>
          <w:marBottom w:val="0"/>
          <w:divBdr>
            <w:top w:val="none" w:sz="0" w:space="0" w:color="auto"/>
            <w:left w:val="none" w:sz="0" w:space="0" w:color="auto"/>
            <w:bottom w:val="none" w:sz="0" w:space="0" w:color="auto"/>
            <w:right w:val="none" w:sz="0" w:space="0" w:color="auto"/>
          </w:divBdr>
          <w:divsChild>
            <w:div w:id="119570133">
              <w:marLeft w:val="0"/>
              <w:marRight w:val="0"/>
              <w:marTop w:val="0"/>
              <w:marBottom w:val="0"/>
              <w:divBdr>
                <w:top w:val="none" w:sz="0" w:space="0" w:color="auto"/>
                <w:left w:val="none" w:sz="0" w:space="0" w:color="auto"/>
                <w:bottom w:val="none" w:sz="0" w:space="0" w:color="auto"/>
                <w:right w:val="none" w:sz="0" w:space="0" w:color="auto"/>
              </w:divBdr>
            </w:div>
            <w:div w:id="228535956">
              <w:marLeft w:val="0"/>
              <w:marRight w:val="0"/>
              <w:marTop w:val="0"/>
              <w:marBottom w:val="0"/>
              <w:divBdr>
                <w:top w:val="none" w:sz="0" w:space="0" w:color="auto"/>
                <w:left w:val="none" w:sz="0" w:space="0" w:color="auto"/>
                <w:bottom w:val="none" w:sz="0" w:space="0" w:color="auto"/>
                <w:right w:val="none" w:sz="0" w:space="0" w:color="auto"/>
              </w:divBdr>
            </w:div>
            <w:div w:id="318508537">
              <w:marLeft w:val="0"/>
              <w:marRight w:val="0"/>
              <w:marTop w:val="0"/>
              <w:marBottom w:val="0"/>
              <w:divBdr>
                <w:top w:val="none" w:sz="0" w:space="0" w:color="auto"/>
                <w:left w:val="none" w:sz="0" w:space="0" w:color="auto"/>
                <w:bottom w:val="none" w:sz="0" w:space="0" w:color="auto"/>
                <w:right w:val="none" w:sz="0" w:space="0" w:color="auto"/>
              </w:divBdr>
            </w:div>
            <w:div w:id="332805858">
              <w:marLeft w:val="0"/>
              <w:marRight w:val="0"/>
              <w:marTop w:val="0"/>
              <w:marBottom w:val="0"/>
              <w:divBdr>
                <w:top w:val="none" w:sz="0" w:space="0" w:color="auto"/>
                <w:left w:val="none" w:sz="0" w:space="0" w:color="auto"/>
                <w:bottom w:val="none" w:sz="0" w:space="0" w:color="auto"/>
                <w:right w:val="none" w:sz="0" w:space="0" w:color="auto"/>
              </w:divBdr>
            </w:div>
            <w:div w:id="715351957">
              <w:marLeft w:val="0"/>
              <w:marRight w:val="0"/>
              <w:marTop w:val="0"/>
              <w:marBottom w:val="0"/>
              <w:divBdr>
                <w:top w:val="none" w:sz="0" w:space="0" w:color="auto"/>
                <w:left w:val="none" w:sz="0" w:space="0" w:color="auto"/>
                <w:bottom w:val="none" w:sz="0" w:space="0" w:color="auto"/>
                <w:right w:val="none" w:sz="0" w:space="0" w:color="auto"/>
              </w:divBdr>
            </w:div>
            <w:div w:id="836964849">
              <w:marLeft w:val="0"/>
              <w:marRight w:val="0"/>
              <w:marTop w:val="0"/>
              <w:marBottom w:val="0"/>
              <w:divBdr>
                <w:top w:val="none" w:sz="0" w:space="0" w:color="auto"/>
                <w:left w:val="none" w:sz="0" w:space="0" w:color="auto"/>
                <w:bottom w:val="none" w:sz="0" w:space="0" w:color="auto"/>
                <w:right w:val="none" w:sz="0" w:space="0" w:color="auto"/>
              </w:divBdr>
            </w:div>
            <w:div w:id="1057123669">
              <w:marLeft w:val="0"/>
              <w:marRight w:val="0"/>
              <w:marTop w:val="0"/>
              <w:marBottom w:val="0"/>
              <w:divBdr>
                <w:top w:val="none" w:sz="0" w:space="0" w:color="auto"/>
                <w:left w:val="none" w:sz="0" w:space="0" w:color="auto"/>
                <w:bottom w:val="none" w:sz="0" w:space="0" w:color="auto"/>
                <w:right w:val="none" w:sz="0" w:space="0" w:color="auto"/>
              </w:divBdr>
            </w:div>
            <w:div w:id="1106924007">
              <w:marLeft w:val="0"/>
              <w:marRight w:val="0"/>
              <w:marTop w:val="0"/>
              <w:marBottom w:val="0"/>
              <w:divBdr>
                <w:top w:val="none" w:sz="0" w:space="0" w:color="auto"/>
                <w:left w:val="none" w:sz="0" w:space="0" w:color="auto"/>
                <w:bottom w:val="none" w:sz="0" w:space="0" w:color="auto"/>
                <w:right w:val="none" w:sz="0" w:space="0" w:color="auto"/>
              </w:divBdr>
            </w:div>
            <w:div w:id="1475098880">
              <w:marLeft w:val="0"/>
              <w:marRight w:val="0"/>
              <w:marTop w:val="0"/>
              <w:marBottom w:val="0"/>
              <w:divBdr>
                <w:top w:val="none" w:sz="0" w:space="0" w:color="auto"/>
                <w:left w:val="none" w:sz="0" w:space="0" w:color="auto"/>
                <w:bottom w:val="none" w:sz="0" w:space="0" w:color="auto"/>
                <w:right w:val="none" w:sz="0" w:space="0" w:color="auto"/>
              </w:divBdr>
            </w:div>
            <w:div w:id="1490512352">
              <w:marLeft w:val="0"/>
              <w:marRight w:val="0"/>
              <w:marTop w:val="0"/>
              <w:marBottom w:val="0"/>
              <w:divBdr>
                <w:top w:val="none" w:sz="0" w:space="0" w:color="auto"/>
                <w:left w:val="none" w:sz="0" w:space="0" w:color="auto"/>
                <w:bottom w:val="none" w:sz="0" w:space="0" w:color="auto"/>
                <w:right w:val="none" w:sz="0" w:space="0" w:color="auto"/>
              </w:divBdr>
            </w:div>
            <w:div w:id="1523664912">
              <w:marLeft w:val="0"/>
              <w:marRight w:val="0"/>
              <w:marTop w:val="0"/>
              <w:marBottom w:val="0"/>
              <w:divBdr>
                <w:top w:val="none" w:sz="0" w:space="0" w:color="auto"/>
                <w:left w:val="none" w:sz="0" w:space="0" w:color="auto"/>
                <w:bottom w:val="none" w:sz="0" w:space="0" w:color="auto"/>
                <w:right w:val="none" w:sz="0" w:space="0" w:color="auto"/>
              </w:divBdr>
            </w:div>
            <w:div w:id="1623145930">
              <w:marLeft w:val="0"/>
              <w:marRight w:val="0"/>
              <w:marTop w:val="0"/>
              <w:marBottom w:val="0"/>
              <w:divBdr>
                <w:top w:val="none" w:sz="0" w:space="0" w:color="auto"/>
                <w:left w:val="none" w:sz="0" w:space="0" w:color="auto"/>
                <w:bottom w:val="none" w:sz="0" w:space="0" w:color="auto"/>
                <w:right w:val="none" w:sz="0" w:space="0" w:color="auto"/>
              </w:divBdr>
            </w:div>
            <w:div w:id="1724793676">
              <w:marLeft w:val="0"/>
              <w:marRight w:val="0"/>
              <w:marTop w:val="0"/>
              <w:marBottom w:val="0"/>
              <w:divBdr>
                <w:top w:val="none" w:sz="0" w:space="0" w:color="auto"/>
                <w:left w:val="none" w:sz="0" w:space="0" w:color="auto"/>
                <w:bottom w:val="none" w:sz="0" w:space="0" w:color="auto"/>
                <w:right w:val="none" w:sz="0" w:space="0" w:color="auto"/>
              </w:divBdr>
            </w:div>
            <w:div w:id="1877809671">
              <w:marLeft w:val="0"/>
              <w:marRight w:val="0"/>
              <w:marTop w:val="0"/>
              <w:marBottom w:val="0"/>
              <w:divBdr>
                <w:top w:val="none" w:sz="0" w:space="0" w:color="auto"/>
                <w:left w:val="none" w:sz="0" w:space="0" w:color="auto"/>
                <w:bottom w:val="none" w:sz="0" w:space="0" w:color="auto"/>
                <w:right w:val="none" w:sz="0" w:space="0" w:color="auto"/>
              </w:divBdr>
            </w:div>
            <w:div w:id="1887184908">
              <w:marLeft w:val="0"/>
              <w:marRight w:val="0"/>
              <w:marTop w:val="0"/>
              <w:marBottom w:val="0"/>
              <w:divBdr>
                <w:top w:val="none" w:sz="0" w:space="0" w:color="auto"/>
                <w:left w:val="none" w:sz="0" w:space="0" w:color="auto"/>
                <w:bottom w:val="none" w:sz="0" w:space="0" w:color="auto"/>
                <w:right w:val="none" w:sz="0" w:space="0" w:color="auto"/>
              </w:divBdr>
            </w:div>
            <w:div w:id="2047094258">
              <w:marLeft w:val="0"/>
              <w:marRight w:val="0"/>
              <w:marTop w:val="0"/>
              <w:marBottom w:val="0"/>
              <w:divBdr>
                <w:top w:val="none" w:sz="0" w:space="0" w:color="auto"/>
                <w:left w:val="none" w:sz="0" w:space="0" w:color="auto"/>
                <w:bottom w:val="none" w:sz="0" w:space="0" w:color="auto"/>
                <w:right w:val="none" w:sz="0" w:space="0" w:color="auto"/>
              </w:divBdr>
            </w:div>
            <w:div w:id="2048917903">
              <w:marLeft w:val="0"/>
              <w:marRight w:val="0"/>
              <w:marTop w:val="0"/>
              <w:marBottom w:val="0"/>
              <w:divBdr>
                <w:top w:val="none" w:sz="0" w:space="0" w:color="auto"/>
                <w:left w:val="none" w:sz="0" w:space="0" w:color="auto"/>
                <w:bottom w:val="none" w:sz="0" w:space="0" w:color="auto"/>
                <w:right w:val="none" w:sz="0" w:space="0" w:color="auto"/>
              </w:divBdr>
            </w:div>
            <w:div w:id="2061853941">
              <w:marLeft w:val="0"/>
              <w:marRight w:val="0"/>
              <w:marTop w:val="0"/>
              <w:marBottom w:val="0"/>
              <w:divBdr>
                <w:top w:val="none" w:sz="0" w:space="0" w:color="auto"/>
                <w:left w:val="none" w:sz="0" w:space="0" w:color="auto"/>
                <w:bottom w:val="none" w:sz="0" w:space="0" w:color="auto"/>
                <w:right w:val="none" w:sz="0" w:space="0" w:color="auto"/>
              </w:divBdr>
            </w:div>
            <w:div w:id="2112388127">
              <w:marLeft w:val="0"/>
              <w:marRight w:val="0"/>
              <w:marTop w:val="0"/>
              <w:marBottom w:val="0"/>
              <w:divBdr>
                <w:top w:val="none" w:sz="0" w:space="0" w:color="auto"/>
                <w:left w:val="none" w:sz="0" w:space="0" w:color="auto"/>
                <w:bottom w:val="none" w:sz="0" w:space="0" w:color="auto"/>
                <w:right w:val="none" w:sz="0" w:space="0" w:color="auto"/>
              </w:divBdr>
            </w:div>
          </w:divsChild>
        </w:div>
        <w:div w:id="165681499">
          <w:marLeft w:val="0"/>
          <w:marRight w:val="0"/>
          <w:marTop w:val="0"/>
          <w:marBottom w:val="0"/>
          <w:divBdr>
            <w:top w:val="none" w:sz="0" w:space="0" w:color="auto"/>
            <w:left w:val="none" w:sz="0" w:space="0" w:color="auto"/>
            <w:bottom w:val="none" w:sz="0" w:space="0" w:color="auto"/>
            <w:right w:val="none" w:sz="0" w:space="0" w:color="auto"/>
          </w:divBdr>
        </w:div>
        <w:div w:id="166527491">
          <w:marLeft w:val="0"/>
          <w:marRight w:val="0"/>
          <w:marTop w:val="0"/>
          <w:marBottom w:val="0"/>
          <w:divBdr>
            <w:top w:val="none" w:sz="0" w:space="0" w:color="auto"/>
            <w:left w:val="none" w:sz="0" w:space="0" w:color="auto"/>
            <w:bottom w:val="none" w:sz="0" w:space="0" w:color="auto"/>
            <w:right w:val="none" w:sz="0" w:space="0" w:color="auto"/>
          </w:divBdr>
        </w:div>
        <w:div w:id="167328785">
          <w:marLeft w:val="0"/>
          <w:marRight w:val="0"/>
          <w:marTop w:val="0"/>
          <w:marBottom w:val="0"/>
          <w:divBdr>
            <w:top w:val="none" w:sz="0" w:space="0" w:color="auto"/>
            <w:left w:val="none" w:sz="0" w:space="0" w:color="auto"/>
            <w:bottom w:val="none" w:sz="0" w:space="0" w:color="auto"/>
            <w:right w:val="none" w:sz="0" w:space="0" w:color="auto"/>
          </w:divBdr>
        </w:div>
        <w:div w:id="167791963">
          <w:marLeft w:val="0"/>
          <w:marRight w:val="0"/>
          <w:marTop w:val="0"/>
          <w:marBottom w:val="0"/>
          <w:divBdr>
            <w:top w:val="none" w:sz="0" w:space="0" w:color="auto"/>
            <w:left w:val="none" w:sz="0" w:space="0" w:color="auto"/>
            <w:bottom w:val="none" w:sz="0" w:space="0" w:color="auto"/>
            <w:right w:val="none" w:sz="0" w:space="0" w:color="auto"/>
          </w:divBdr>
        </w:div>
        <w:div w:id="168759212">
          <w:marLeft w:val="0"/>
          <w:marRight w:val="0"/>
          <w:marTop w:val="0"/>
          <w:marBottom w:val="0"/>
          <w:divBdr>
            <w:top w:val="none" w:sz="0" w:space="0" w:color="auto"/>
            <w:left w:val="none" w:sz="0" w:space="0" w:color="auto"/>
            <w:bottom w:val="none" w:sz="0" w:space="0" w:color="auto"/>
            <w:right w:val="none" w:sz="0" w:space="0" w:color="auto"/>
          </w:divBdr>
        </w:div>
        <w:div w:id="173346868">
          <w:marLeft w:val="0"/>
          <w:marRight w:val="0"/>
          <w:marTop w:val="0"/>
          <w:marBottom w:val="0"/>
          <w:divBdr>
            <w:top w:val="none" w:sz="0" w:space="0" w:color="auto"/>
            <w:left w:val="none" w:sz="0" w:space="0" w:color="auto"/>
            <w:bottom w:val="none" w:sz="0" w:space="0" w:color="auto"/>
            <w:right w:val="none" w:sz="0" w:space="0" w:color="auto"/>
          </w:divBdr>
        </w:div>
        <w:div w:id="173689663">
          <w:marLeft w:val="0"/>
          <w:marRight w:val="0"/>
          <w:marTop w:val="0"/>
          <w:marBottom w:val="0"/>
          <w:divBdr>
            <w:top w:val="none" w:sz="0" w:space="0" w:color="auto"/>
            <w:left w:val="none" w:sz="0" w:space="0" w:color="auto"/>
            <w:bottom w:val="none" w:sz="0" w:space="0" w:color="auto"/>
            <w:right w:val="none" w:sz="0" w:space="0" w:color="auto"/>
          </w:divBdr>
        </w:div>
        <w:div w:id="174030054">
          <w:marLeft w:val="0"/>
          <w:marRight w:val="0"/>
          <w:marTop w:val="0"/>
          <w:marBottom w:val="0"/>
          <w:divBdr>
            <w:top w:val="none" w:sz="0" w:space="0" w:color="auto"/>
            <w:left w:val="none" w:sz="0" w:space="0" w:color="auto"/>
            <w:bottom w:val="none" w:sz="0" w:space="0" w:color="auto"/>
            <w:right w:val="none" w:sz="0" w:space="0" w:color="auto"/>
          </w:divBdr>
        </w:div>
        <w:div w:id="175459269">
          <w:marLeft w:val="0"/>
          <w:marRight w:val="0"/>
          <w:marTop w:val="0"/>
          <w:marBottom w:val="0"/>
          <w:divBdr>
            <w:top w:val="none" w:sz="0" w:space="0" w:color="auto"/>
            <w:left w:val="none" w:sz="0" w:space="0" w:color="auto"/>
            <w:bottom w:val="none" w:sz="0" w:space="0" w:color="auto"/>
            <w:right w:val="none" w:sz="0" w:space="0" w:color="auto"/>
          </w:divBdr>
        </w:div>
        <w:div w:id="177038024">
          <w:marLeft w:val="0"/>
          <w:marRight w:val="0"/>
          <w:marTop w:val="0"/>
          <w:marBottom w:val="0"/>
          <w:divBdr>
            <w:top w:val="none" w:sz="0" w:space="0" w:color="auto"/>
            <w:left w:val="none" w:sz="0" w:space="0" w:color="auto"/>
            <w:bottom w:val="none" w:sz="0" w:space="0" w:color="auto"/>
            <w:right w:val="none" w:sz="0" w:space="0" w:color="auto"/>
          </w:divBdr>
        </w:div>
        <w:div w:id="179047360">
          <w:marLeft w:val="0"/>
          <w:marRight w:val="0"/>
          <w:marTop w:val="0"/>
          <w:marBottom w:val="0"/>
          <w:divBdr>
            <w:top w:val="none" w:sz="0" w:space="0" w:color="auto"/>
            <w:left w:val="none" w:sz="0" w:space="0" w:color="auto"/>
            <w:bottom w:val="none" w:sz="0" w:space="0" w:color="auto"/>
            <w:right w:val="none" w:sz="0" w:space="0" w:color="auto"/>
          </w:divBdr>
        </w:div>
        <w:div w:id="180319531">
          <w:marLeft w:val="0"/>
          <w:marRight w:val="0"/>
          <w:marTop w:val="0"/>
          <w:marBottom w:val="0"/>
          <w:divBdr>
            <w:top w:val="none" w:sz="0" w:space="0" w:color="auto"/>
            <w:left w:val="none" w:sz="0" w:space="0" w:color="auto"/>
            <w:bottom w:val="none" w:sz="0" w:space="0" w:color="auto"/>
            <w:right w:val="none" w:sz="0" w:space="0" w:color="auto"/>
          </w:divBdr>
        </w:div>
        <w:div w:id="182941727">
          <w:marLeft w:val="0"/>
          <w:marRight w:val="0"/>
          <w:marTop w:val="0"/>
          <w:marBottom w:val="0"/>
          <w:divBdr>
            <w:top w:val="none" w:sz="0" w:space="0" w:color="auto"/>
            <w:left w:val="none" w:sz="0" w:space="0" w:color="auto"/>
            <w:bottom w:val="none" w:sz="0" w:space="0" w:color="auto"/>
            <w:right w:val="none" w:sz="0" w:space="0" w:color="auto"/>
          </w:divBdr>
        </w:div>
        <w:div w:id="183327161">
          <w:marLeft w:val="0"/>
          <w:marRight w:val="0"/>
          <w:marTop w:val="0"/>
          <w:marBottom w:val="0"/>
          <w:divBdr>
            <w:top w:val="none" w:sz="0" w:space="0" w:color="auto"/>
            <w:left w:val="none" w:sz="0" w:space="0" w:color="auto"/>
            <w:bottom w:val="none" w:sz="0" w:space="0" w:color="auto"/>
            <w:right w:val="none" w:sz="0" w:space="0" w:color="auto"/>
          </w:divBdr>
        </w:div>
        <w:div w:id="183904480">
          <w:marLeft w:val="0"/>
          <w:marRight w:val="0"/>
          <w:marTop w:val="0"/>
          <w:marBottom w:val="0"/>
          <w:divBdr>
            <w:top w:val="none" w:sz="0" w:space="0" w:color="auto"/>
            <w:left w:val="none" w:sz="0" w:space="0" w:color="auto"/>
            <w:bottom w:val="none" w:sz="0" w:space="0" w:color="auto"/>
            <w:right w:val="none" w:sz="0" w:space="0" w:color="auto"/>
          </w:divBdr>
        </w:div>
        <w:div w:id="184103662">
          <w:marLeft w:val="0"/>
          <w:marRight w:val="0"/>
          <w:marTop w:val="0"/>
          <w:marBottom w:val="0"/>
          <w:divBdr>
            <w:top w:val="none" w:sz="0" w:space="0" w:color="auto"/>
            <w:left w:val="none" w:sz="0" w:space="0" w:color="auto"/>
            <w:bottom w:val="none" w:sz="0" w:space="0" w:color="auto"/>
            <w:right w:val="none" w:sz="0" w:space="0" w:color="auto"/>
          </w:divBdr>
        </w:div>
        <w:div w:id="184639169">
          <w:marLeft w:val="0"/>
          <w:marRight w:val="0"/>
          <w:marTop w:val="0"/>
          <w:marBottom w:val="0"/>
          <w:divBdr>
            <w:top w:val="none" w:sz="0" w:space="0" w:color="auto"/>
            <w:left w:val="none" w:sz="0" w:space="0" w:color="auto"/>
            <w:bottom w:val="none" w:sz="0" w:space="0" w:color="auto"/>
            <w:right w:val="none" w:sz="0" w:space="0" w:color="auto"/>
          </w:divBdr>
        </w:div>
        <w:div w:id="185021361">
          <w:marLeft w:val="0"/>
          <w:marRight w:val="0"/>
          <w:marTop w:val="0"/>
          <w:marBottom w:val="0"/>
          <w:divBdr>
            <w:top w:val="none" w:sz="0" w:space="0" w:color="auto"/>
            <w:left w:val="none" w:sz="0" w:space="0" w:color="auto"/>
            <w:bottom w:val="none" w:sz="0" w:space="0" w:color="auto"/>
            <w:right w:val="none" w:sz="0" w:space="0" w:color="auto"/>
          </w:divBdr>
        </w:div>
        <w:div w:id="185408292">
          <w:marLeft w:val="0"/>
          <w:marRight w:val="0"/>
          <w:marTop w:val="0"/>
          <w:marBottom w:val="0"/>
          <w:divBdr>
            <w:top w:val="none" w:sz="0" w:space="0" w:color="auto"/>
            <w:left w:val="none" w:sz="0" w:space="0" w:color="auto"/>
            <w:bottom w:val="none" w:sz="0" w:space="0" w:color="auto"/>
            <w:right w:val="none" w:sz="0" w:space="0" w:color="auto"/>
          </w:divBdr>
        </w:div>
        <w:div w:id="186455309">
          <w:marLeft w:val="0"/>
          <w:marRight w:val="0"/>
          <w:marTop w:val="0"/>
          <w:marBottom w:val="0"/>
          <w:divBdr>
            <w:top w:val="none" w:sz="0" w:space="0" w:color="auto"/>
            <w:left w:val="none" w:sz="0" w:space="0" w:color="auto"/>
            <w:bottom w:val="none" w:sz="0" w:space="0" w:color="auto"/>
            <w:right w:val="none" w:sz="0" w:space="0" w:color="auto"/>
          </w:divBdr>
        </w:div>
        <w:div w:id="186649904">
          <w:marLeft w:val="0"/>
          <w:marRight w:val="0"/>
          <w:marTop w:val="0"/>
          <w:marBottom w:val="0"/>
          <w:divBdr>
            <w:top w:val="none" w:sz="0" w:space="0" w:color="auto"/>
            <w:left w:val="none" w:sz="0" w:space="0" w:color="auto"/>
            <w:bottom w:val="none" w:sz="0" w:space="0" w:color="auto"/>
            <w:right w:val="none" w:sz="0" w:space="0" w:color="auto"/>
          </w:divBdr>
        </w:div>
        <w:div w:id="188300321">
          <w:marLeft w:val="0"/>
          <w:marRight w:val="0"/>
          <w:marTop w:val="0"/>
          <w:marBottom w:val="0"/>
          <w:divBdr>
            <w:top w:val="none" w:sz="0" w:space="0" w:color="auto"/>
            <w:left w:val="none" w:sz="0" w:space="0" w:color="auto"/>
            <w:bottom w:val="none" w:sz="0" w:space="0" w:color="auto"/>
            <w:right w:val="none" w:sz="0" w:space="0" w:color="auto"/>
          </w:divBdr>
        </w:div>
        <w:div w:id="192546320">
          <w:marLeft w:val="0"/>
          <w:marRight w:val="0"/>
          <w:marTop w:val="0"/>
          <w:marBottom w:val="0"/>
          <w:divBdr>
            <w:top w:val="none" w:sz="0" w:space="0" w:color="auto"/>
            <w:left w:val="none" w:sz="0" w:space="0" w:color="auto"/>
            <w:bottom w:val="none" w:sz="0" w:space="0" w:color="auto"/>
            <w:right w:val="none" w:sz="0" w:space="0" w:color="auto"/>
          </w:divBdr>
        </w:div>
        <w:div w:id="193926076">
          <w:marLeft w:val="0"/>
          <w:marRight w:val="0"/>
          <w:marTop w:val="0"/>
          <w:marBottom w:val="0"/>
          <w:divBdr>
            <w:top w:val="none" w:sz="0" w:space="0" w:color="auto"/>
            <w:left w:val="none" w:sz="0" w:space="0" w:color="auto"/>
            <w:bottom w:val="none" w:sz="0" w:space="0" w:color="auto"/>
            <w:right w:val="none" w:sz="0" w:space="0" w:color="auto"/>
          </w:divBdr>
        </w:div>
        <w:div w:id="194387410">
          <w:marLeft w:val="0"/>
          <w:marRight w:val="0"/>
          <w:marTop w:val="0"/>
          <w:marBottom w:val="0"/>
          <w:divBdr>
            <w:top w:val="none" w:sz="0" w:space="0" w:color="auto"/>
            <w:left w:val="none" w:sz="0" w:space="0" w:color="auto"/>
            <w:bottom w:val="none" w:sz="0" w:space="0" w:color="auto"/>
            <w:right w:val="none" w:sz="0" w:space="0" w:color="auto"/>
          </w:divBdr>
        </w:div>
        <w:div w:id="195125244">
          <w:marLeft w:val="0"/>
          <w:marRight w:val="0"/>
          <w:marTop w:val="0"/>
          <w:marBottom w:val="0"/>
          <w:divBdr>
            <w:top w:val="none" w:sz="0" w:space="0" w:color="auto"/>
            <w:left w:val="none" w:sz="0" w:space="0" w:color="auto"/>
            <w:bottom w:val="none" w:sz="0" w:space="0" w:color="auto"/>
            <w:right w:val="none" w:sz="0" w:space="0" w:color="auto"/>
          </w:divBdr>
        </w:div>
        <w:div w:id="196353457">
          <w:marLeft w:val="0"/>
          <w:marRight w:val="0"/>
          <w:marTop w:val="0"/>
          <w:marBottom w:val="0"/>
          <w:divBdr>
            <w:top w:val="none" w:sz="0" w:space="0" w:color="auto"/>
            <w:left w:val="none" w:sz="0" w:space="0" w:color="auto"/>
            <w:bottom w:val="none" w:sz="0" w:space="0" w:color="auto"/>
            <w:right w:val="none" w:sz="0" w:space="0" w:color="auto"/>
          </w:divBdr>
        </w:div>
        <w:div w:id="196625814">
          <w:marLeft w:val="0"/>
          <w:marRight w:val="0"/>
          <w:marTop w:val="0"/>
          <w:marBottom w:val="0"/>
          <w:divBdr>
            <w:top w:val="none" w:sz="0" w:space="0" w:color="auto"/>
            <w:left w:val="none" w:sz="0" w:space="0" w:color="auto"/>
            <w:bottom w:val="none" w:sz="0" w:space="0" w:color="auto"/>
            <w:right w:val="none" w:sz="0" w:space="0" w:color="auto"/>
          </w:divBdr>
        </w:div>
        <w:div w:id="197016169">
          <w:marLeft w:val="0"/>
          <w:marRight w:val="0"/>
          <w:marTop w:val="0"/>
          <w:marBottom w:val="0"/>
          <w:divBdr>
            <w:top w:val="none" w:sz="0" w:space="0" w:color="auto"/>
            <w:left w:val="none" w:sz="0" w:space="0" w:color="auto"/>
            <w:bottom w:val="none" w:sz="0" w:space="0" w:color="auto"/>
            <w:right w:val="none" w:sz="0" w:space="0" w:color="auto"/>
          </w:divBdr>
        </w:div>
        <w:div w:id="197670597">
          <w:marLeft w:val="0"/>
          <w:marRight w:val="0"/>
          <w:marTop w:val="0"/>
          <w:marBottom w:val="0"/>
          <w:divBdr>
            <w:top w:val="none" w:sz="0" w:space="0" w:color="auto"/>
            <w:left w:val="none" w:sz="0" w:space="0" w:color="auto"/>
            <w:bottom w:val="none" w:sz="0" w:space="0" w:color="auto"/>
            <w:right w:val="none" w:sz="0" w:space="0" w:color="auto"/>
          </w:divBdr>
        </w:div>
        <w:div w:id="199976403">
          <w:marLeft w:val="0"/>
          <w:marRight w:val="0"/>
          <w:marTop w:val="0"/>
          <w:marBottom w:val="0"/>
          <w:divBdr>
            <w:top w:val="none" w:sz="0" w:space="0" w:color="auto"/>
            <w:left w:val="none" w:sz="0" w:space="0" w:color="auto"/>
            <w:bottom w:val="none" w:sz="0" w:space="0" w:color="auto"/>
            <w:right w:val="none" w:sz="0" w:space="0" w:color="auto"/>
          </w:divBdr>
          <w:divsChild>
            <w:div w:id="1160850192">
              <w:marLeft w:val="-75"/>
              <w:marRight w:val="0"/>
              <w:marTop w:val="30"/>
              <w:marBottom w:val="30"/>
              <w:divBdr>
                <w:top w:val="none" w:sz="0" w:space="0" w:color="auto"/>
                <w:left w:val="none" w:sz="0" w:space="0" w:color="auto"/>
                <w:bottom w:val="none" w:sz="0" w:space="0" w:color="auto"/>
                <w:right w:val="none" w:sz="0" w:space="0" w:color="auto"/>
              </w:divBdr>
              <w:divsChild>
                <w:div w:id="4750372">
                  <w:marLeft w:val="0"/>
                  <w:marRight w:val="0"/>
                  <w:marTop w:val="0"/>
                  <w:marBottom w:val="0"/>
                  <w:divBdr>
                    <w:top w:val="none" w:sz="0" w:space="0" w:color="auto"/>
                    <w:left w:val="none" w:sz="0" w:space="0" w:color="auto"/>
                    <w:bottom w:val="none" w:sz="0" w:space="0" w:color="auto"/>
                    <w:right w:val="none" w:sz="0" w:space="0" w:color="auto"/>
                  </w:divBdr>
                  <w:divsChild>
                    <w:div w:id="254017749">
                      <w:marLeft w:val="0"/>
                      <w:marRight w:val="0"/>
                      <w:marTop w:val="0"/>
                      <w:marBottom w:val="0"/>
                      <w:divBdr>
                        <w:top w:val="none" w:sz="0" w:space="0" w:color="auto"/>
                        <w:left w:val="none" w:sz="0" w:space="0" w:color="auto"/>
                        <w:bottom w:val="none" w:sz="0" w:space="0" w:color="auto"/>
                        <w:right w:val="none" w:sz="0" w:space="0" w:color="auto"/>
                      </w:divBdr>
                    </w:div>
                  </w:divsChild>
                </w:div>
                <w:div w:id="10766984">
                  <w:marLeft w:val="0"/>
                  <w:marRight w:val="0"/>
                  <w:marTop w:val="0"/>
                  <w:marBottom w:val="0"/>
                  <w:divBdr>
                    <w:top w:val="none" w:sz="0" w:space="0" w:color="auto"/>
                    <w:left w:val="none" w:sz="0" w:space="0" w:color="auto"/>
                    <w:bottom w:val="none" w:sz="0" w:space="0" w:color="auto"/>
                    <w:right w:val="none" w:sz="0" w:space="0" w:color="auto"/>
                  </w:divBdr>
                  <w:divsChild>
                    <w:div w:id="1605992000">
                      <w:marLeft w:val="0"/>
                      <w:marRight w:val="0"/>
                      <w:marTop w:val="0"/>
                      <w:marBottom w:val="0"/>
                      <w:divBdr>
                        <w:top w:val="none" w:sz="0" w:space="0" w:color="auto"/>
                        <w:left w:val="none" w:sz="0" w:space="0" w:color="auto"/>
                        <w:bottom w:val="none" w:sz="0" w:space="0" w:color="auto"/>
                        <w:right w:val="none" w:sz="0" w:space="0" w:color="auto"/>
                      </w:divBdr>
                    </w:div>
                  </w:divsChild>
                </w:div>
                <w:div w:id="24447826">
                  <w:marLeft w:val="0"/>
                  <w:marRight w:val="0"/>
                  <w:marTop w:val="0"/>
                  <w:marBottom w:val="0"/>
                  <w:divBdr>
                    <w:top w:val="none" w:sz="0" w:space="0" w:color="auto"/>
                    <w:left w:val="none" w:sz="0" w:space="0" w:color="auto"/>
                    <w:bottom w:val="none" w:sz="0" w:space="0" w:color="auto"/>
                    <w:right w:val="none" w:sz="0" w:space="0" w:color="auto"/>
                  </w:divBdr>
                  <w:divsChild>
                    <w:div w:id="106197654">
                      <w:marLeft w:val="0"/>
                      <w:marRight w:val="0"/>
                      <w:marTop w:val="0"/>
                      <w:marBottom w:val="0"/>
                      <w:divBdr>
                        <w:top w:val="none" w:sz="0" w:space="0" w:color="auto"/>
                        <w:left w:val="none" w:sz="0" w:space="0" w:color="auto"/>
                        <w:bottom w:val="none" w:sz="0" w:space="0" w:color="auto"/>
                        <w:right w:val="none" w:sz="0" w:space="0" w:color="auto"/>
                      </w:divBdr>
                    </w:div>
                  </w:divsChild>
                </w:div>
                <w:div w:id="38938270">
                  <w:marLeft w:val="0"/>
                  <w:marRight w:val="0"/>
                  <w:marTop w:val="0"/>
                  <w:marBottom w:val="0"/>
                  <w:divBdr>
                    <w:top w:val="none" w:sz="0" w:space="0" w:color="auto"/>
                    <w:left w:val="none" w:sz="0" w:space="0" w:color="auto"/>
                    <w:bottom w:val="none" w:sz="0" w:space="0" w:color="auto"/>
                    <w:right w:val="none" w:sz="0" w:space="0" w:color="auto"/>
                  </w:divBdr>
                  <w:divsChild>
                    <w:div w:id="325521356">
                      <w:marLeft w:val="0"/>
                      <w:marRight w:val="0"/>
                      <w:marTop w:val="0"/>
                      <w:marBottom w:val="0"/>
                      <w:divBdr>
                        <w:top w:val="none" w:sz="0" w:space="0" w:color="auto"/>
                        <w:left w:val="none" w:sz="0" w:space="0" w:color="auto"/>
                        <w:bottom w:val="none" w:sz="0" w:space="0" w:color="auto"/>
                        <w:right w:val="none" w:sz="0" w:space="0" w:color="auto"/>
                      </w:divBdr>
                    </w:div>
                  </w:divsChild>
                </w:div>
                <w:div w:id="60832964">
                  <w:marLeft w:val="0"/>
                  <w:marRight w:val="0"/>
                  <w:marTop w:val="0"/>
                  <w:marBottom w:val="0"/>
                  <w:divBdr>
                    <w:top w:val="none" w:sz="0" w:space="0" w:color="auto"/>
                    <w:left w:val="none" w:sz="0" w:space="0" w:color="auto"/>
                    <w:bottom w:val="none" w:sz="0" w:space="0" w:color="auto"/>
                    <w:right w:val="none" w:sz="0" w:space="0" w:color="auto"/>
                  </w:divBdr>
                  <w:divsChild>
                    <w:div w:id="1580358883">
                      <w:marLeft w:val="0"/>
                      <w:marRight w:val="0"/>
                      <w:marTop w:val="0"/>
                      <w:marBottom w:val="0"/>
                      <w:divBdr>
                        <w:top w:val="none" w:sz="0" w:space="0" w:color="auto"/>
                        <w:left w:val="none" w:sz="0" w:space="0" w:color="auto"/>
                        <w:bottom w:val="none" w:sz="0" w:space="0" w:color="auto"/>
                        <w:right w:val="none" w:sz="0" w:space="0" w:color="auto"/>
                      </w:divBdr>
                    </w:div>
                  </w:divsChild>
                </w:div>
                <w:div w:id="71583719">
                  <w:marLeft w:val="0"/>
                  <w:marRight w:val="0"/>
                  <w:marTop w:val="0"/>
                  <w:marBottom w:val="0"/>
                  <w:divBdr>
                    <w:top w:val="none" w:sz="0" w:space="0" w:color="auto"/>
                    <w:left w:val="none" w:sz="0" w:space="0" w:color="auto"/>
                    <w:bottom w:val="none" w:sz="0" w:space="0" w:color="auto"/>
                    <w:right w:val="none" w:sz="0" w:space="0" w:color="auto"/>
                  </w:divBdr>
                  <w:divsChild>
                    <w:div w:id="1068259538">
                      <w:marLeft w:val="0"/>
                      <w:marRight w:val="0"/>
                      <w:marTop w:val="0"/>
                      <w:marBottom w:val="0"/>
                      <w:divBdr>
                        <w:top w:val="none" w:sz="0" w:space="0" w:color="auto"/>
                        <w:left w:val="none" w:sz="0" w:space="0" w:color="auto"/>
                        <w:bottom w:val="none" w:sz="0" w:space="0" w:color="auto"/>
                        <w:right w:val="none" w:sz="0" w:space="0" w:color="auto"/>
                      </w:divBdr>
                    </w:div>
                  </w:divsChild>
                </w:div>
                <w:div w:id="82726844">
                  <w:marLeft w:val="0"/>
                  <w:marRight w:val="0"/>
                  <w:marTop w:val="0"/>
                  <w:marBottom w:val="0"/>
                  <w:divBdr>
                    <w:top w:val="none" w:sz="0" w:space="0" w:color="auto"/>
                    <w:left w:val="none" w:sz="0" w:space="0" w:color="auto"/>
                    <w:bottom w:val="none" w:sz="0" w:space="0" w:color="auto"/>
                    <w:right w:val="none" w:sz="0" w:space="0" w:color="auto"/>
                  </w:divBdr>
                  <w:divsChild>
                    <w:div w:id="1946039480">
                      <w:marLeft w:val="0"/>
                      <w:marRight w:val="0"/>
                      <w:marTop w:val="0"/>
                      <w:marBottom w:val="0"/>
                      <w:divBdr>
                        <w:top w:val="none" w:sz="0" w:space="0" w:color="auto"/>
                        <w:left w:val="none" w:sz="0" w:space="0" w:color="auto"/>
                        <w:bottom w:val="none" w:sz="0" w:space="0" w:color="auto"/>
                        <w:right w:val="none" w:sz="0" w:space="0" w:color="auto"/>
                      </w:divBdr>
                    </w:div>
                  </w:divsChild>
                </w:div>
                <w:div w:id="83961816">
                  <w:marLeft w:val="0"/>
                  <w:marRight w:val="0"/>
                  <w:marTop w:val="0"/>
                  <w:marBottom w:val="0"/>
                  <w:divBdr>
                    <w:top w:val="none" w:sz="0" w:space="0" w:color="auto"/>
                    <w:left w:val="none" w:sz="0" w:space="0" w:color="auto"/>
                    <w:bottom w:val="none" w:sz="0" w:space="0" w:color="auto"/>
                    <w:right w:val="none" w:sz="0" w:space="0" w:color="auto"/>
                  </w:divBdr>
                  <w:divsChild>
                    <w:div w:id="838348533">
                      <w:marLeft w:val="0"/>
                      <w:marRight w:val="0"/>
                      <w:marTop w:val="0"/>
                      <w:marBottom w:val="0"/>
                      <w:divBdr>
                        <w:top w:val="none" w:sz="0" w:space="0" w:color="auto"/>
                        <w:left w:val="none" w:sz="0" w:space="0" w:color="auto"/>
                        <w:bottom w:val="none" w:sz="0" w:space="0" w:color="auto"/>
                        <w:right w:val="none" w:sz="0" w:space="0" w:color="auto"/>
                      </w:divBdr>
                    </w:div>
                  </w:divsChild>
                </w:div>
                <w:div w:id="95441745">
                  <w:marLeft w:val="0"/>
                  <w:marRight w:val="0"/>
                  <w:marTop w:val="0"/>
                  <w:marBottom w:val="0"/>
                  <w:divBdr>
                    <w:top w:val="none" w:sz="0" w:space="0" w:color="auto"/>
                    <w:left w:val="none" w:sz="0" w:space="0" w:color="auto"/>
                    <w:bottom w:val="none" w:sz="0" w:space="0" w:color="auto"/>
                    <w:right w:val="none" w:sz="0" w:space="0" w:color="auto"/>
                  </w:divBdr>
                  <w:divsChild>
                    <w:div w:id="795374734">
                      <w:marLeft w:val="0"/>
                      <w:marRight w:val="0"/>
                      <w:marTop w:val="0"/>
                      <w:marBottom w:val="0"/>
                      <w:divBdr>
                        <w:top w:val="none" w:sz="0" w:space="0" w:color="auto"/>
                        <w:left w:val="none" w:sz="0" w:space="0" w:color="auto"/>
                        <w:bottom w:val="none" w:sz="0" w:space="0" w:color="auto"/>
                        <w:right w:val="none" w:sz="0" w:space="0" w:color="auto"/>
                      </w:divBdr>
                    </w:div>
                  </w:divsChild>
                </w:div>
                <w:div w:id="104690445">
                  <w:marLeft w:val="0"/>
                  <w:marRight w:val="0"/>
                  <w:marTop w:val="0"/>
                  <w:marBottom w:val="0"/>
                  <w:divBdr>
                    <w:top w:val="none" w:sz="0" w:space="0" w:color="auto"/>
                    <w:left w:val="none" w:sz="0" w:space="0" w:color="auto"/>
                    <w:bottom w:val="none" w:sz="0" w:space="0" w:color="auto"/>
                    <w:right w:val="none" w:sz="0" w:space="0" w:color="auto"/>
                  </w:divBdr>
                  <w:divsChild>
                    <w:div w:id="1264874511">
                      <w:marLeft w:val="0"/>
                      <w:marRight w:val="0"/>
                      <w:marTop w:val="0"/>
                      <w:marBottom w:val="0"/>
                      <w:divBdr>
                        <w:top w:val="none" w:sz="0" w:space="0" w:color="auto"/>
                        <w:left w:val="none" w:sz="0" w:space="0" w:color="auto"/>
                        <w:bottom w:val="none" w:sz="0" w:space="0" w:color="auto"/>
                        <w:right w:val="none" w:sz="0" w:space="0" w:color="auto"/>
                      </w:divBdr>
                    </w:div>
                  </w:divsChild>
                </w:div>
                <w:div w:id="117185716">
                  <w:marLeft w:val="0"/>
                  <w:marRight w:val="0"/>
                  <w:marTop w:val="0"/>
                  <w:marBottom w:val="0"/>
                  <w:divBdr>
                    <w:top w:val="none" w:sz="0" w:space="0" w:color="auto"/>
                    <w:left w:val="none" w:sz="0" w:space="0" w:color="auto"/>
                    <w:bottom w:val="none" w:sz="0" w:space="0" w:color="auto"/>
                    <w:right w:val="none" w:sz="0" w:space="0" w:color="auto"/>
                  </w:divBdr>
                  <w:divsChild>
                    <w:div w:id="802845741">
                      <w:marLeft w:val="0"/>
                      <w:marRight w:val="0"/>
                      <w:marTop w:val="0"/>
                      <w:marBottom w:val="0"/>
                      <w:divBdr>
                        <w:top w:val="none" w:sz="0" w:space="0" w:color="auto"/>
                        <w:left w:val="none" w:sz="0" w:space="0" w:color="auto"/>
                        <w:bottom w:val="none" w:sz="0" w:space="0" w:color="auto"/>
                        <w:right w:val="none" w:sz="0" w:space="0" w:color="auto"/>
                      </w:divBdr>
                    </w:div>
                  </w:divsChild>
                </w:div>
                <w:div w:id="136722978">
                  <w:marLeft w:val="0"/>
                  <w:marRight w:val="0"/>
                  <w:marTop w:val="0"/>
                  <w:marBottom w:val="0"/>
                  <w:divBdr>
                    <w:top w:val="none" w:sz="0" w:space="0" w:color="auto"/>
                    <w:left w:val="none" w:sz="0" w:space="0" w:color="auto"/>
                    <w:bottom w:val="none" w:sz="0" w:space="0" w:color="auto"/>
                    <w:right w:val="none" w:sz="0" w:space="0" w:color="auto"/>
                  </w:divBdr>
                  <w:divsChild>
                    <w:div w:id="134760637">
                      <w:marLeft w:val="0"/>
                      <w:marRight w:val="0"/>
                      <w:marTop w:val="0"/>
                      <w:marBottom w:val="0"/>
                      <w:divBdr>
                        <w:top w:val="none" w:sz="0" w:space="0" w:color="auto"/>
                        <w:left w:val="none" w:sz="0" w:space="0" w:color="auto"/>
                        <w:bottom w:val="none" w:sz="0" w:space="0" w:color="auto"/>
                        <w:right w:val="none" w:sz="0" w:space="0" w:color="auto"/>
                      </w:divBdr>
                    </w:div>
                  </w:divsChild>
                </w:div>
                <w:div w:id="157502470">
                  <w:marLeft w:val="0"/>
                  <w:marRight w:val="0"/>
                  <w:marTop w:val="0"/>
                  <w:marBottom w:val="0"/>
                  <w:divBdr>
                    <w:top w:val="none" w:sz="0" w:space="0" w:color="auto"/>
                    <w:left w:val="none" w:sz="0" w:space="0" w:color="auto"/>
                    <w:bottom w:val="none" w:sz="0" w:space="0" w:color="auto"/>
                    <w:right w:val="none" w:sz="0" w:space="0" w:color="auto"/>
                  </w:divBdr>
                  <w:divsChild>
                    <w:div w:id="467475702">
                      <w:marLeft w:val="0"/>
                      <w:marRight w:val="0"/>
                      <w:marTop w:val="0"/>
                      <w:marBottom w:val="0"/>
                      <w:divBdr>
                        <w:top w:val="none" w:sz="0" w:space="0" w:color="auto"/>
                        <w:left w:val="none" w:sz="0" w:space="0" w:color="auto"/>
                        <w:bottom w:val="none" w:sz="0" w:space="0" w:color="auto"/>
                        <w:right w:val="none" w:sz="0" w:space="0" w:color="auto"/>
                      </w:divBdr>
                    </w:div>
                  </w:divsChild>
                </w:div>
                <w:div w:id="168100471">
                  <w:marLeft w:val="0"/>
                  <w:marRight w:val="0"/>
                  <w:marTop w:val="0"/>
                  <w:marBottom w:val="0"/>
                  <w:divBdr>
                    <w:top w:val="none" w:sz="0" w:space="0" w:color="auto"/>
                    <w:left w:val="none" w:sz="0" w:space="0" w:color="auto"/>
                    <w:bottom w:val="none" w:sz="0" w:space="0" w:color="auto"/>
                    <w:right w:val="none" w:sz="0" w:space="0" w:color="auto"/>
                  </w:divBdr>
                  <w:divsChild>
                    <w:div w:id="1923488583">
                      <w:marLeft w:val="0"/>
                      <w:marRight w:val="0"/>
                      <w:marTop w:val="0"/>
                      <w:marBottom w:val="0"/>
                      <w:divBdr>
                        <w:top w:val="none" w:sz="0" w:space="0" w:color="auto"/>
                        <w:left w:val="none" w:sz="0" w:space="0" w:color="auto"/>
                        <w:bottom w:val="none" w:sz="0" w:space="0" w:color="auto"/>
                        <w:right w:val="none" w:sz="0" w:space="0" w:color="auto"/>
                      </w:divBdr>
                    </w:div>
                  </w:divsChild>
                </w:div>
                <w:div w:id="168721981">
                  <w:marLeft w:val="0"/>
                  <w:marRight w:val="0"/>
                  <w:marTop w:val="0"/>
                  <w:marBottom w:val="0"/>
                  <w:divBdr>
                    <w:top w:val="none" w:sz="0" w:space="0" w:color="auto"/>
                    <w:left w:val="none" w:sz="0" w:space="0" w:color="auto"/>
                    <w:bottom w:val="none" w:sz="0" w:space="0" w:color="auto"/>
                    <w:right w:val="none" w:sz="0" w:space="0" w:color="auto"/>
                  </w:divBdr>
                  <w:divsChild>
                    <w:div w:id="28383738">
                      <w:marLeft w:val="0"/>
                      <w:marRight w:val="0"/>
                      <w:marTop w:val="0"/>
                      <w:marBottom w:val="0"/>
                      <w:divBdr>
                        <w:top w:val="none" w:sz="0" w:space="0" w:color="auto"/>
                        <w:left w:val="none" w:sz="0" w:space="0" w:color="auto"/>
                        <w:bottom w:val="none" w:sz="0" w:space="0" w:color="auto"/>
                        <w:right w:val="none" w:sz="0" w:space="0" w:color="auto"/>
                      </w:divBdr>
                    </w:div>
                  </w:divsChild>
                </w:div>
                <w:div w:id="175192449">
                  <w:marLeft w:val="0"/>
                  <w:marRight w:val="0"/>
                  <w:marTop w:val="0"/>
                  <w:marBottom w:val="0"/>
                  <w:divBdr>
                    <w:top w:val="none" w:sz="0" w:space="0" w:color="auto"/>
                    <w:left w:val="none" w:sz="0" w:space="0" w:color="auto"/>
                    <w:bottom w:val="none" w:sz="0" w:space="0" w:color="auto"/>
                    <w:right w:val="none" w:sz="0" w:space="0" w:color="auto"/>
                  </w:divBdr>
                  <w:divsChild>
                    <w:div w:id="1988582860">
                      <w:marLeft w:val="0"/>
                      <w:marRight w:val="0"/>
                      <w:marTop w:val="0"/>
                      <w:marBottom w:val="0"/>
                      <w:divBdr>
                        <w:top w:val="none" w:sz="0" w:space="0" w:color="auto"/>
                        <w:left w:val="none" w:sz="0" w:space="0" w:color="auto"/>
                        <w:bottom w:val="none" w:sz="0" w:space="0" w:color="auto"/>
                        <w:right w:val="none" w:sz="0" w:space="0" w:color="auto"/>
                      </w:divBdr>
                    </w:div>
                  </w:divsChild>
                </w:div>
                <w:div w:id="186260915">
                  <w:marLeft w:val="0"/>
                  <w:marRight w:val="0"/>
                  <w:marTop w:val="0"/>
                  <w:marBottom w:val="0"/>
                  <w:divBdr>
                    <w:top w:val="none" w:sz="0" w:space="0" w:color="auto"/>
                    <w:left w:val="none" w:sz="0" w:space="0" w:color="auto"/>
                    <w:bottom w:val="none" w:sz="0" w:space="0" w:color="auto"/>
                    <w:right w:val="none" w:sz="0" w:space="0" w:color="auto"/>
                  </w:divBdr>
                  <w:divsChild>
                    <w:div w:id="604580106">
                      <w:marLeft w:val="0"/>
                      <w:marRight w:val="0"/>
                      <w:marTop w:val="0"/>
                      <w:marBottom w:val="0"/>
                      <w:divBdr>
                        <w:top w:val="none" w:sz="0" w:space="0" w:color="auto"/>
                        <w:left w:val="none" w:sz="0" w:space="0" w:color="auto"/>
                        <w:bottom w:val="none" w:sz="0" w:space="0" w:color="auto"/>
                        <w:right w:val="none" w:sz="0" w:space="0" w:color="auto"/>
                      </w:divBdr>
                    </w:div>
                  </w:divsChild>
                </w:div>
                <w:div w:id="187378768">
                  <w:marLeft w:val="0"/>
                  <w:marRight w:val="0"/>
                  <w:marTop w:val="0"/>
                  <w:marBottom w:val="0"/>
                  <w:divBdr>
                    <w:top w:val="none" w:sz="0" w:space="0" w:color="auto"/>
                    <w:left w:val="none" w:sz="0" w:space="0" w:color="auto"/>
                    <w:bottom w:val="none" w:sz="0" w:space="0" w:color="auto"/>
                    <w:right w:val="none" w:sz="0" w:space="0" w:color="auto"/>
                  </w:divBdr>
                  <w:divsChild>
                    <w:div w:id="647980623">
                      <w:marLeft w:val="0"/>
                      <w:marRight w:val="0"/>
                      <w:marTop w:val="0"/>
                      <w:marBottom w:val="0"/>
                      <w:divBdr>
                        <w:top w:val="none" w:sz="0" w:space="0" w:color="auto"/>
                        <w:left w:val="none" w:sz="0" w:space="0" w:color="auto"/>
                        <w:bottom w:val="none" w:sz="0" w:space="0" w:color="auto"/>
                        <w:right w:val="none" w:sz="0" w:space="0" w:color="auto"/>
                      </w:divBdr>
                    </w:div>
                  </w:divsChild>
                </w:div>
                <w:div w:id="197591125">
                  <w:marLeft w:val="0"/>
                  <w:marRight w:val="0"/>
                  <w:marTop w:val="0"/>
                  <w:marBottom w:val="0"/>
                  <w:divBdr>
                    <w:top w:val="none" w:sz="0" w:space="0" w:color="auto"/>
                    <w:left w:val="none" w:sz="0" w:space="0" w:color="auto"/>
                    <w:bottom w:val="none" w:sz="0" w:space="0" w:color="auto"/>
                    <w:right w:val="none" w:sz="0" w:space="0" w:color="auto"/>
                  </w:divBdr>
                  <w:divsChild>
                    <w:div w:id="965159015">
                      <w:marLeft w:val="0"/>
                      <w:marRight w:val="0"/>
                      <w:marTop w:val="0"/>
                      <w:marBottom w:val="0"/>
                      <w:divBdr>
                        <w:top w:val="none" w:sz="0" w:space="0" w:color="auto"/>
                        <w:left w:val="none" w:sz="0" w:space="0" w:color="auto"/>
                        <w:bottom w:val="none" w:sz="0" w:space="0" w:color="auto"/>
                        <w:right w:val="none" w:sz="0" w:space="0" w:color="auto"/>
                      </w:divBdr>
                    </w:div>
                  </w:divsChild>
                </w:div>
                <w:div w:id="204023299">
                  <w:marLeft w:val="0"/>
                  <w:marRight w:val="0"/>
                  <w:marTop w:val="0"/>
                  <w:marBottom w:val="0"/>
                  <w:divBdr>
                    <w:top w:val="none" w:sz="0" w:space="0" w:color="auto"/>
                    <w:left w:val="none" w:sz="0" w:space="0" w:color="auto"/>
                    <w:bottom w:val="none" w:sz="0" w:space="0" w:color="auto"/>
                    <w:right w:val="none" w:sz="0" w:space="0" w:color="auto"/>
                  </w:divBdr>
                  <w:divsChild>
                    <w:div w:id="1778721478">
                      <w:marLeft w:val="0"/>
                      <w:marRight w:val="0"/>
                      <w:marTop w:val="0"/>
                      <w:marBottom w:val="0"/>
                      <w:divBdr>
                        <w:top w:val="none" w:sz="0" w:space="0" w:color="auto"/>
                        <w:left w:val="none" w:sz="0" w:space="0" w:color="auto"/>
                        <w:bottom w:val="none" w:sz="0" w:space="0" w:color="auto"/>
                        <w:right w:val="none" w:sz="0" w:space="0" w:color="auto"/>
                      </w:divBdr>
                    </w:div>
                  </w:divsChild>
                </w:div>
                <w:div w:id="209731907">
                  <w:marLeft w:val="0"/>
                  <w:marRight w:val="0"/>
                  <w:marTop w:val="0"/>
                  <w:marBottom w:val="0"/>
                  <w:divBdr>
                    <w:top w:val="none" w:sz="0" w:space="0" w:color="auto"/>
                    <w:left w:val="none" w:sz="0" w:space="0" w:color="auto"/>
                    <w:bottom w:val="none" w:sz="0" w:space="0" w:color="auto"/>
                    <w:right w:val="none" w:sz="0" w:space="0" w:color="auto"/>
                  </w:divBdr>
                  <w:divsChild>
                    <w:div w:id="1294091906">
                      <w:marLeft w:val="0"/>
                      <w:marRight w:val="0"/>
                      <w:marTop w:val="0"/>
                      <w:marBottom w:val="0"/>
                      <w:divBdr>
                        <w:top w:val="none" w:sz="0" w:space="0" w:color="auto"/>
                        <w:left w:val="none" w:sz="0" w:space="0" w:color="auto"/>
                        <w:bottom w:val="none" w:sz="0" w:space="0" w:color="auto"/>
                        <w:right w:val="none" w:sz="0" w:space="0" w:color="auto"/>
                      </w:divBdr>
                    </w:div>
                  </w:divsChild>
                </w:div>
                <w:div w:id="214122542">
                  <w:marLeft w:val="0"/>
                  <w:marRight w:val="0"/>
                  <w:marTop w:val="0"/>
                  <w:marBottom w:val="0"/>
                  <w:divBdr>
                    <w:top w:val="none" w:sz="0" w:space="0" w:color="auto"/>
                    <w:left w:val="none" w:sz="0" w:space="0" w:color="auto"/>
                    <w:bottom w:val="none" w:sz="0" w:space="0" w:color="auto"/>
                    <w:right w:val="none" w:sz="0" w:space="0" w:color="auto"/>
                  </w:divBdr>
                  <w:divsChild>
                    <w:div w:id="1831209084">
                      <w:marLeft w:val="0"/>
                      <w:marRight w:val="0"/>
                      <w:marTop w:val="0"/>
                      <w:marBottom w:val="0"/>
                      <w:divBdr>
                        <w:top w:val="none" w:sz="0" w:space="0" w:color="auto"/>
                        <w:left w:val="none" w:sz="0" w:space="0" w:color="auto"/>
                        <w:bottom w:val="none" w:sz="0" w:space="0" w:color="auto"/>
                        <w:right w:val="none" w:sz="0" w:space="0" w:color="auto"/>
                      </w:divBdr>
                    </w:div>
                  </w:divsChild>
                </w:div>
                <w:div w:id="263928705">
                  <w:marLeft w:val="0"/>
                  <w:marRight w:val="0"/>
                  <w:marTop w:val="0"/>
                  <w:marBottom w:val="0"/>
                  <w:divBdr>
                    <w:top w:val="none" w:sz="0" w:space="0" w:color="auto"/>
                    <w:left w:val="none" w:sz="0" w:space="0" w:color="auto"/>
                    <w:bottom w:val="none" w:sz="0" w:space="0" w:color="auto"/>
                    <w:right w:val="none" w:sz="0" w:space="0" w:color="auto"/>
                  </w:divBdr>
                  <w:divsChild>
                    <w:div w:id="318585584">
                      <w:marLeft w:val="0"/>
                      <w:marRight w:val="0"/>
                      <w:marTop w:val="0"/>
                      <w:marBottom w:val="0"/>
                      <w:divBdr>
                        <w:top w:val="none" w:sz="0" w:space="0" w:color="auto"/>
                        <w:left w:val="none" w:sz="0" w:space="0" w:color="auto"/>
                        <w:bottom w:val="none" w:sz="0" w:space="0" w:color="auto"/>
                        <w:right w:val="none" w:sz="0" w:space="0" w:color="auto"/>
                      </w:divBdr>
                    </w:div>
                  </w:divsChild>
                </w:div>
                <w:div w:id="274753418">
                  <w:marLeft w:val="0"/>
                  <w:marRight w:val="0"/>
                  <w:marTop w:val="0"/>
                  <w:marBottom w:val="0"/>
                  <w:divBdr>
                    <w:top w:val="none" w:sz="0" w:space="0" w:color="auto"/>
                    <w:left w:val="none" w:sz="0" w:space="0" w:color="auto"/>
                    <w:bottom w:val="none" w:sz="0" w:space="0" w:color="auto"/>
                    <w:right w:val="none" w:sz="0" w:space="0" w:color="auto"/>
                  </w:divBdr>
                  <w:divsChild>
                    <w:div w:id="2071995989">
                      <w:marLeft w:val="0"/>
                      <w:marRight w:val="0"/>
                      <w:marTop w:val="0"/>
                      <w:marBottom w:val="0"/>
                      <w:divBdr>
                        <w:top w:val="none" w:sz="0" w:space="0" w:color="auto"/>
                        <w:left w:val="none" w:sz="0" w:space="0" w:color="auto"/>
                        <w:bottom w:val="none" w:sz="0" w:space="0" w:color="auto"/>
                        <w:right w:val="none" w:sz="0" w:space="0" w:color="auto"/>
                      </w:divBdr>
                    </w:div>
                  </w:divsChild>
                </w:div>
                <w:div w:id="281159255">
                  <w:marLeft w:val="0"/>
                  <w:marRight w:val="0"/>
                  <w:marTop w:val="0"/>
                  <w:marBottom w:val="0"/>
                  <w:divBdr>
                    <w:top w:val="none" w:sz="0" w:space="0" w:color="auto"/>
                    <w:left w:val="none" w:sz="0" w:space="0" w:color="auto"/>
                    <w:bottom w:val="none" w:sz="0" w:space="0" w:color="auto"/>
                    <w:right w:val="none" w:sz="0" w:space="0" w:color="auto"/>
                  </w:divBdr>
                  <w:divsChild>
                    <w:div w:id="629408832">
                      <w:marLeft w:val="0"/>
                      <w:marRight w:val="0"/>
                      <w:marTop w:val="0"/>
                      <w:marBottom w:val="0"/>
                      <w:divBdr>
                        <w:top w:val="none" w:sz="0" w:space="0" w:color="auto"/>
                        <w:left w:val="none" w:sz="0" w:space="0" w:color="auto"/>
                        <w:bottom w:val="none" w:sz="0" w:space="0" w:color="auto"/>
                        <w:right w:val="none" w:sz="0" w:space="0" w:color="auto"/>
                      </w:divBdr>
                    </w:div>
                  </w:divsChild>
                </w:div>
                <w:div w:id="287324623">
                  <w:marLeft w:val="0"/>
                  <w:marRight w:val="0"/>
                  <w:marTop w:val="0"/>
                  <w:marBottom w:val="0"/>
                  <w:divBdr>
                    <w:top w:val="none" w:sz="0" w:space="0" w:color="auto"/>
                    <w:left w:val="none" w:sz="0" w:space="0" w:color="auto"/>
                    <w:bottom w:val="none" w:sz="0" w:space="0" w:color="auto"/>
                    <w:right w:val="none" w:sz="0" w:space="0" w:color="auto"/>
                  </w:divBdr>
                  <w:divsChild>
                    <w:div w:id="740982273">
                      <w:marLeft w:val="0"/>
                      <w:marRight w:val="0"/>
                      <w:marTop w:val="0"/>
                      <w:marBottom w:val="0"/>
                      <w:divBdr>
                        <w:top w:val="none" w:sz="0" w:space="0" w:color="auto"/>
                        <w:left w:val="none" w:sz="0" w:space="0" w:color="auto"/>
                        <w:bottom w:val="none" w:sz="0" w:space="0" w:color="auto"/>
                        <w:right w:val="none" w:sz="0" w:space="0" w:color="auto"/>
                      </w:divBdr>
                    </w:div>
                  </w:divsChild>
                </w:div>
                <w:div w:id="302198339">
                  <w:marLeft w:val="0"/>
                  <w:marRight w:val="0"/>
                  <w:marTop w:val="0"/>
                  <w:marBottom w:val="0"/>
                  <w:divBdr>
                    <w:top w:val="none" w:sz="0" w:space="0" w:color="auto"/>
                    <w:left w:val="none" w:sz="0" w:space="0" w:color="auto"/>
                    <w:bottom w:val="none" w:sz="0" w:space="0" w:color="auto"/>
                    <w:right w:val="none" w:sz="0" w:space="0" w:color="auto"/>
                  </w:divBdr>
                  <w:divsChild>
                    <w:div w:id="1673297452">
                      <w:marLeft w:val="0"/>
                      <w:marRight w:val="0"/>
                      <w:marTop w:val="0"/>
                      <w:marBottom w:val="0"/>
                      <w:divBdr>
                        <w:top w:val="none" w:sz="0" w:space="0" w:color="auto"/>
                        <w:left w:val="none" w:sz="0" w:space="0" w:color="auto"/>
                        <w:bottom w:val="none" w:sz="0" w:space="0" w:color="auto"/>
                        <w:right w:val="none" w:sz="0" w:space="0" w:color="auto"/>
                      </w:divBdr>
                    </w:div>
                  </w:divsChild>
                </w:div>
                <w:div w:id="326174126">
                  <w:marLeft w:val="0"/>
                  <w:marRight w:val="0"/>
                  <w:marTop w:val="0"/>
                  <w:marBottom w:val="0"/>
                  <w:divBdr>
                    <w:top w:val="none" w:sz="0" w:space="0" w:color="auto"/>
                    <w:left w:val="none" w:sz="0" w:space="0" w:color="auto"/>
                    <w:bottom w:val="none" w:sz="0" w:space="0" w:color="auto"/>
                    <w:right w:val="none" w:sz="0" w:space="0" w:color="auto"/>
                  </w:divBdr>
                  <w:divsChild>
                    <w:div w:id="1410233072">
                      <w:marLeft w:val="0"/>
                      <w:marRight w:val="0"/>
                      <w:marTop w:val="0"/>
                      <w:marBottom w:val="0"/>
                      <w:divBdr>
                        <w:top w:val="none" w:sz="0" w:space="0" w:color="auto"/>
                        <w:left w:val="none" w:sz="0" w:space="0" w:color="auto"/>
                        <w:bottom w:val="none" w:sz="0" w:space="0" w:color="auto"/>
                        <w:right w:val="none" w:sz="0" w:space="0" w:color="auto"/>
                      </w:divBdr>
                    </w:div>
                  </w:divsChild>
                </w:div>
                <w:div w:id="326247613">
                  <w:marLeft w:val="0"/>
                  <w:marRight w:val="0"/>
                  <w:marTop w:val="0"/>
                  <w:marBottom w:val="0"/>
                  <w:divBdr>
                    <w:top w:val="none" w:sz="0" w:space="0" w:color="auto"/>
                    <w:left w:val="none" w:sz="0" w:space="0" w:color="auto"/>
                    <w:bottom w:val="none" w:sz="0" w:space="0" w:color="auto"/>
                    <w:right w:val="none" w:sz="0" w:space="0" w:color="auto"/>
                  </w:divBdr>
                  <w:divsChild>
                    <w:div w:id="317805551">
                      <w:marLeft w:val="0"/>
                      <w:marRight w:val="0"/>
                      <w:marTop w:val="0"/>
                      <w:marBottom w:val="0"/>
                      <w:divBdr>
                        <w:top w:val="none" w:sz="0" w:space="0" w:color="auto"/>
                        <w:left w:val="none" w:sz="0" w:space="0" w:color="auto"/>
                        <w:bottom w:val="none" w:sz="0" w:space="0" w:color="auto"/>
                        <w:right w:val="none" w:sz="0" w:space="0" w:color="auto"/>
                      </w:divBdr>
                    </w:div>
                  </w:divsChild>
                </w:div>
                <w:div w:id="332074843">
                  <w:marLeft w:val="0"/>
                  <w:marRight w:val="0"/>
                  <w:marTop w:val="0"/>
                  <w:marBottom w:val="0"/>
                  <w:divBdr>
                    <w:top w:val="none" w:sz="0" w:space="0" w:color="auto"/>
                    <w:left w:val="none" w:sz="0" w:space="0" w:color="auto"/>
                    <w:bottom w:val="none" w:sz="0" w:space="0" w:color="auto"/>
                    <w:right w:val="none" w:sz="0" w:space="0" w:color="auto"/>
                  </w:divBdr>
                  <w:divsChild>
                    <w:div w:id="812793801">
                      <w:marLeft w:val="0"/>
                      <w:marRight w:val="0"/>
                      <w:marTop w:val="0"/>
                      <w:marBottom w:val="0"/>
                      <w:divBdr>
                        <w:top w:val="none" w:sz="0" w:space="0" w:color="auto"/>
                        <w:left w:val="none" w:sz="0" w:space="0" w:color="auto"/>
                        <w:bottom w:val="none" w:sz="0" w:space="0" w:color="auto"/>
                        <w:right w:val="none" w:sz="0" w:space="0" w:color="auto"/>
                      </w:divBdr>
                    </w:div>
                  </w:divsChild>
                </w:div>
                <w:div w:id="388190080">
                  <w:marLeft w:val="0"/>
                  <w:marRight w:val="0"/>
                  <w:marTop w:val="0"/>
                  <w:marBottom w:val="0"/>
                  <w:divBdr>
                    <w:top w:val="none" w:sz="0" w:space="0" w:color="auto"/>
                    <w:left w:val="none" w:sz="0" w:space="0" w:color="auto"/>
                    <w:bottom w:val="none" w:sz="0" w:space="0" w:color="auto"/>
                    <w:right w:val="none" w:sz="0" w:space="0" w:color="auto"/>
                  </w:divBdr>
                  <w:divsChild>
                    <w:div w:id="1638148736">
                      <w:marLeft w:val="0"/>
                      <w:marRight w:val="0"/>
                      <w:marTop w:val="0"/>
                      <w:marBottom w:val="0"/>
                      <w:divBdr>
                        <w:top w:val="none" w:sz="0" w:space="0" w:color="auto"/>
                        <w:left w:val="none" w:sz="0" w:space="0" w:color="auto"/>
                        <w:bottom w:val="none" w:sz="0" w:space="0" w:color="auto"/>
                        <w:right w:val="none" w:sz="0" w:space="0" w:color="auto"/>
                      </w:divBdr>
                    </w:div>
                  </w:divsChild>
                </w:div>
                <w:div w:id="406417783">
                  <w:marLeft w:val="0"/>
                  <w:marRight w:val="0"/>
                  <w:marTop w:val="0"/>
                  <w:marBottom w:val="0"/>
                  <w:divBdr>
                    <w:top w:val="none" w:sz="0" w:space="0" w:color="auto"/>
                    <w:left w:val="none" w:sz="0" w:space="0" w:color="auto"/>
                    <w:bottom w:val="none" w:sz="0" w:space="0" w:color="auto"/>
                    <w:right w:val="none" w:sz="0" w:space="0" w:color="auto"/>
                  </w:divBdr>
                  <w:divsChild>
                    <w:div w:id="519390527">
                      <w:marLeft w:val="0"/>
                      <w:marRight w:val="0"/>
                      <w:marTop w:val="0"/>
                      <w:marBottom w:val="0"/>
                      <w:divBdr>
                        <w:top w:val="none" w:sz="0" w:space="0" w:color="auto"/>
                        <w:left w:val="none" w:sz="0" w:space="0" w:color="auto"/>
                        <w:bottom w:val="none" w:sz="0" w:space="0" w:color="auto"/>
                        <w:right w:val="none" w:sz="0" w:space="0" w:color="auto"/>
                      </w:divBdr>
                    </w:div>
                  </w:divsChild>
                </w:div>
                <w:div w:id="438724498">
                  <w:marLeft w:val="0"/>
                  <w:marRight w:val="0"/>
                  <w:marTop w:val="0"/>
                  <w:marBottom w:val="0"/>
                  <w:divBdr>
                    <w:top w:val="none" w:sz="0" w:space="0" w:color="auto"/>
                    <w:left w:val="none" w:sz="0" w:space="0" w:color="auto"/>
                    <w:bottom w:val="none" w:sz="0" w:space="0" w:color="auto"/>
                    <w:right w:val="none" w:sz="0" w:space="0" w:color="auto"/>
                  </w:divBdr>
                  <w:divsChild>
                    <w:div w:id="1497917244">
                      <w:marLeft w:val="0"/>
                      <w:marRight w:val="0"/>
                      <w:marTop w:val="0"/>
                      <w:marBottom w:val="0"/>
                      <w:divBdr>
                        <w:top w:val="none" w:sz="0" w:space="0" w:color="auto"/>
                        <w:left w:val="none" w:sz="0" w:space="0" w:color="auto"/>
                        <w:bottom w:val="none" w:sz="0" w:space="0" w:color="auto"/>
                        <w:right w:val="none" w:sz="0" w:space="0" w:color="auto"/>
                      </w:divBdr>
                    </w:div>
                  </w:divsChild>
                </w:div>
                <w:div w:id="446316970">
                  <w:marLeft w:val="0"/>
                  <w:marRight w:val="0"/>
                  <w:marTop w:val="0"/>
                  <w:marBottom w:val="0"/>
                  <w:divBdr>
                    <w:top w:val="none" w:sz="0" w:space="0" w:color="auto"/>
                    <w:left w:val="none" w:sz="0" w:space="0" w:color="auto"/>
                    <w:bottom w:val="none" w:sz="0" w:space="0" w:color="auto"/>
                    <w:right w:val="none" w:sz="0" w:space="0" w:color="auto"/>
                  </w:divBdr>
                  <w:divsChild>
                    <w:div w:id="691959433">
                      <w:marLeft w:val="0"/>
                      <w:marRight w:val="0"/>
                      <w:marTop w:val="0"/>
                      <w:marBottom w:val="0"/>
                      <w:divBdr>
                        <w:top w:val="none" w:sz="0" w:space="0" w:color="auto"/>
                        <w:left w:val="none" w:sz="0" w:space="0" w:color="auto"/>
                        <w:bottom w:val="none" w:sz="0" w:space="0" w:color="auto"/>
                        <w:right w:val="none" w:sz="0" w:space="0" w:color="auto"/>
                      </w:divBdr>
                    </w:div>
                  </w:divsChild>
                </w:div>
                <w:div w:id="449739137">
                  <w:marLeft w:val="0"/>
                  <w:marRight w:val="0"/>
                  <w:marTop w:val="0"/>
                  <w:marBottom w:val="0"/>
                  <w:divBdr>
                    <w:top w:val="none" w:sz="0" w:space="0" w:color="auto"/>
                    <w:left w:val="none" w:sz="0" w:space="0" w:color="auto"/>
                    <w:bottom w:val="none" w:sz="0" w:space="0" w:color="auto"/>
                    <w:right w:val="none" w:sz="0" w:space="0" w:color="auto"/>
                  </w:divBdr>
                  <w:divsChild>
                    <w:div w:id="1018045216">
                      <w:marLeft w:val="0"/>
                      <w:marRight w:val="0"/>
                      <w:marTop w:val="0"/>
                      <w:marBottom w:val="0"/>
                      <w:divBdr>
                        <w:top w:val="none" w:sz="0" w:space="0" w:color="auto"/>
                        <w:left w:val="none" w:sz="0" w:space="0" w:color="auto"/>
                        <w:bottom w:val="none" w:sz="0" w:space="0" w:color="auto"/>
                        <w:right w:val="none" w:sz="0" w:space="0" w:color="auto"/>
                      </w:divBdr>
                    </w:div>
                  </w:divsChild>
                </w:div>
                <w:div w:id="455758640">
                  <w:marLeft w:val="0"/>
                  <w:marRight w:val="0"/>
                  <w:marTop w:val="0"/>
                  <w:marBottom w:val="0"/>
                  <w:divBdr>
                    <w:top w:val="none" w:sz="0" w:space="0" w:color="auto"/>
                    <w:left w:val="none" w:sz="0" w:space="0" w:color="auto"/>
                    <w:bottom w:val="none" w:sz="0" w:space="0" w:color="auto"/>
                    <w:right w:val="none" w:sz="0" w:space="0" w:color="auto"/>
                  </w:divBdr>
                  <w:divsChild>
                    <w:div w:id="348214152">
                      <w:marLeft w:val="0"/>
                      <w:marRight w:val="0"/>
                      <w:marTop w:val="0"/>
                      <w:marBottom w:val="0"/>
                      <w:divBdr>
                        <w:top w:val="none" w:sz="0" w:space="0" w:color="auto"/>
                        <w:left w:val="none" w:sz="0" w:space="0" w:color="auto"/>
                        <w:bottom w:val="none" w:sz="0" w:space="0" w:color="auto"/>
                        <w:right w:val="none" w:sz="0" w:space="0" w:color="auto"/>
                      </w:divBdr>
                    </w:div>
                  </w:divsChild>
                </w:div>
                <w:div w:id="469254106">
                  <w:marLeft w:val="0"/>
                  <w:marRight w:val="0"/>
                  <w:marTop w:val="0"/>
                  <w:marBottom w:val="0"/>
                  <w:divBdr>
                    <w:top w:val="none" w:sz="0" w:space="0" w:color="auto"/>
                    <w:left w:val="none" w:sz="0" w:space="0" w:color="auto"/>
                    <w:bottom w:val="none" w:sz="0" w:space="0" w:color="auto"/>
                    <w:right w:val="none" w:sz="0" w:space="0" w:color="auto"/>
                  </w:divBdr>
                  <w:divsChild>
                    <w:div w:id="938637768">
                      <w:marLeft w:val="0"/>
                      <w:marRight w:val="0"/>
                      <w:marTop w:val="0"/>
                      <w:marBottom w:val="0"/>
                      <w:divBdr>
                        <w:top w:val="none" w:sz="0" w:space="0" w:color="auto"/>
                        <w:left w:val="none" w:sz="0" w:space="0" w:color="auto"/>
                        <w:bottom w:val="none" w:sz="0" w:space="0" w:color="auto"/>
                        <w:right w:val="none" w:sz="0" w:space="0" w:color="auto"/>
                      </w:divBdr>
                    </w:div>
                  </w:divsChild>
                </w:div>
                <w:div w:id="483276965">
                  <w:marLeft w:val="0"/>
                  <w:marRight w:val="0"/>
                  <w:marTop w:val="0"/>
                  <w:marBottom w:val="0"/>
                  <w:divBdr>
                    <w:top w:val="none" w:sz="0" w:space="0" w:color="auto"/>
                    <w:left w:val="none" w:sz="0" w:space="0" w:color="auto"/>
                    <w:bottom w:val="none" w:sz="0" w:space="0" w:color="auto"/>
                    <w:right w:val="none" w:sz="0" w:space="0" w:color="auto"/>
                  </w:divBdr>
                  <w:divsChild>
                    <w:div w:id="1947955932">
                      <w:marLeft w:val="0"/>
                      <w:marRight w:val="0"/>
                      <w:marTop w:val="0"/>
                      <w:marBottom w:val="0"/>
                      <w:divBdr>
                        <w:top w:val="none" w:sz="0" w:space="0" w:color="auto"/>
                        <w:left w:val="none" w:sz="0" w:space="0" w:color="auto"/>
                        <w:bottom w:val="none" w:sz="0" w:space="0" w:color="auto"/>
                        <w:right w:val="none" w:sz="0" w:space="0" w:color="auto"/>
                      </w:divBdr>
                    </w:div>
                  </w:divsChild>
                </w:div>
                <w:div w:id="502664431">
                  <w:marLeft w:val="0"/>
                  <w:marRight w:val="0"/>
                  <w:marTop w:val="0"/>
                  <w:marBottom w:val="0"/>
                  <w:divBdr>
                    <w:top w:val="none" w:sz="0" w:space="0" w:color="auto"/>
                    <w:left w:val="none" w:sz="0" w:space="0" w:color="auto"/>
                    <w:bottom w:val="none" w:sz="0" w:space="0" w:color="auto"/>
                    <w:right w:val="none" w:sz="0" w:space="0" w:color="auto"/>
                  </w:divBdr>
                  <w:divsChild>
                    <w:div w:id="1523284074">
                      <w:marLeft w:val="0"/>
                      <w:marRight w:val="0"/>
                      <w:marTop w:val="0"/>
                      <w:marBottom w:val="0"/>
                      <w:divBdr>
                        <w:top w:val="none" w:sz="0" w:space="0" w:color="auto"/>
                        <w:left w:val="none" w:sz="0" w:space="0" w:color="auto"/>
                        <w:bottom w:val="none" w:sz="0" w:space="0" w:color="auto"/>
                        <w:right w:val="none" w:sz="0" w:space="0" w:color="auto"/>
                      </w:divBdr>
                    </w:div>
                  </w:divsChild>
                </w:div>
                <w:div w:id="514149134">
                  <w:marLeft w:val="0"/>
                  <w:marRight w:val="0"/>
                  <w:marTop w:val="0"/>
                  <w:marBottom w:val="0"/>
                  <w:divBdr>
                    <w:top w:val="none" w:sz="0" w:space="0" w:color="auto"/>
                    <w:left w:val="none" w:sz="0" w:space="0" w:color="auto"/>
                    <w:bottom w:val="none" w:sz="0" w:space="0" w:color="auto"/>
                    <w:right w:val="none" w:sz="0" w:space="0" w:color="auto"/>
                  </w:divBdr>
                  <w:divsChild>
                    <w:div w:id="379132764">
                      <w:marLeft w:val="0"/>
                      <w:marRight w:val="0"/>
                      <w:marTop w:val="0"/>
                      <w:marBottom w:val="0"/>
                      <w:divBdr>
                        <w:top w:val="none" w:sz="0" w:space="0" w:color="auto"/>
                        <w:left w:val="none" w:sz="0" w:space="0" w:color="auto"/>
                        <w:bottom w:val="none" w:sz="0" w:space="0" w:color="auto"/>
                        <w:right w:val="none" w:sz="0" w:space="0" w:color="auto"/>
                      </w:divBdr>
                    </w:div>
                  </w:divsChild>
                </w:div>
                <w:div w:id="524058404">
                  <w:marLeft w:val="0"/>
                  <w:marRight w:val="0"/>
                  <w:marTop w:val="0"/>
                  <w:marBottom w:val="0"/>
                  <w:divBdr>
                    <w:top w:val="none" w:sz="0" w:space="0" w:color="auto"/>
                    <w:left w:val="none" w:sz="0" w:space="0" w:color="auto"/>
                    <w:bottom w:val="none" w:sz="0" w:space="0" w:color="auto"/>
                    <w:right w:val="none" w:sz="0" w:space="0" w:color="auto"/>
                  </w:divBdr>
                  <w:divsChild>
                    <w:div w:id="1232080327">
                      <w:marLeft w:val="0"/>
                      <w:marRight w:val="0"/>
                      <w:marTop w:val="0"/>
                      <w:marBottom w:val="0"/>
                      <w:divBdr>
                        <w:top w:val="none" w:sz="0" w:space="0" w:color="auto"/>
                        <w:left w:val="none" w:sz="0" w:space="0" w:color="auto"/>
                        <w:bottom w:val="none" w:sz="0" w:space="0" w:color="auto"/>
                        <w:right w:val="none" w:sz="0" w:space="0" w:color="auto"/>
                      </w:divBdr>
                    </w:div>
                  </w:divsChild>
                </w:div>
                <w:div w:id="538393839">
                  <w:marLeft w:val="0"/>
                  <w:marRight w:val="0"/>
                  <w:marTop w:val="0"/>
                  <w:marBottom w:val="0"/>
                  <w:divBdr>
                    <w:top w:val="none" w:sz="0" w:space="0" w:color="auto"/>
                    <w:left w:val="none" w:sz="0" w:space="0" w:color="auto"/>
                    <w:bottom w:val="none" w:sz="0" w:space="0" w:color="auto"/>
                    <w:right w:val="none" w:sz="0" w:space="0" w:color="auto"/>
                  </w:divBdr>
                  <w:divsChild>
                    <w:div w:id="919607685">
                      <w:marLeft w:val="0"/>
                      <w:marRight w:val="0"/>
                      <w:marTop w:val="0"/>
                      <w:marBottom w:val="0"/>
                      <w:divBdr>
                        <w:top w:val="none" w:sz="0" w:space="0" w:color="auto"/>
                        <w:left w:val="none" w:sz="0" w:space="0" w:color="auto"/>
                        <w:bottom w:val="none" w:sz="0" w:space="0" w:color="auto"/>
                        <w:right w:val="none" w:sz="0" w:space="0" w:color="auto"/>
                      </w:divBdr>
                    </w:div>
                  </w:divsChild>
                </w:div>
                <w:div w:id="549415434">
                  <w:marLeft w:val="0"/>
                  <w:marRight w:val="0"/>
                  <w:marTop w:val="0"/>
                  <w:marBottom w:val="0"/>
                  <w:divBdr>
                    <w:top w:val="none" w:sz="0" w:space="0" w:color="auto"/>
                    <w:left w:val="none" w:sz="0" w:space="0" w:color="auto"/>
                    <w:bottom w:val="none" w:sz="0" w:space="0" w:color="auto"/>
                    <w:right w:val="none" w:sz="0" w:space="0" w:color="auto"/>
                  </w:divBdr>
                  <w:divsChild>
                    <w:div w:id="1818573222">
                      <w:marLeft w:val="0"/>
                      <w:marRight w:val="0"/>
                      <w:marTop w:val="0"/>
                      <w:marBottom w:val="0"/>
                      <w:divBdr>
                        <w:top w:val="none" w:sz="0" w:space="0" w:color="auto"/>
                        <w:left w:val="none" w:sz="0" w:space="0" w:color="auto"/>
                        <w:bottom w:val="none" w:sz="0" w:space="0" w:color="auto"/>
                        <w:right w:val="none" w:sz="0" w:space="0" w:color="auto"/>
                      </w:divBdr>
                    </w:div>
                  </w:divsChild>
                </w:div>
                <w:div w:id="558632483">
                  <w:marLeft w:val="0"/>
                  <w:marRight w:val="0"/>
                  <w:marTop w:val="0"/>
                  <w:marBottom w:val="0"/>
                  <w:divBdr>
                    <w:top w:val="none" w:sz="0" w:space="0" w:color="auto"/>
                    <w:left w:val="none" w:sz="0" w:space="0" w:color="auto"/>
                    <w:bottom w:val="none" w:sz="0" w:space="0" w:color="auto"/>
                    <w:right w:val="none" w:sz="0" w:space="0" w:color="auto"/>
                  </w:divBdr>
                  <w:divsChild>
                    <w:div w:id="458651113">
                      <w:marLeft w:val="0"/>
                      <w:marRight w:val="0"/>
                      <w:marTop w:val="0"/>
                      <w:marBottom w:val="0"/>
                      <w:divBdr>
                        <w:top w:val="none" w:sz="0" w:space="0" w:color="auto"/>
                        <w:left w:val="none" w:sz="0" w:space="0" w:color="auto"/>
                        <w:bottom w:val="none" w:sz="0" w:space="0" w:color="auto"/>
                        <w:right w:val="none" w:sz="0" w:space="0" w:color="auto"/>
                      </w:divBdr>
                    </w:div>
                  </w:divsChild>
                </w:div>
                <w:div w:id="588538547">
                  <w:marLeft w:val="0"/>
                  <w:marRight w:val="0"/>
                  <w:marTop w:val="0"/>
                  <w:marBottom w:val="0"/>
                  <w:divBdr>
                    <w:top w:val="none" w:sz="0" w:space="0" w:color="auto"/>
                    <w:left w:val="none" w:sz="0" w:space="0" w:color="auto"/>
                    <w:bottom w:val="none" w:sz="0" w:space="0" w:color="auto"/>
                    <w:right w:val="none" w:sz="0" w:space="0" w:color="auto"/>
                  </w:divBdr>
                  <w:divsChild>
                    <w:div w:id="707533199">
                      <w:marLeft w:val="0"/>
                      <w:marRight w:val="0"/>
                      <w:marTop w:val="0"/>
                      <w:marBottom w:val="0"/>
                      <w:divBdr>
                        <w:top w:val="none" w:sz="0" w:space="0" w:color="auto"/>
                        <w:left w:val="none" w:sz="0" w:space="0" w:color="auto"/>
                        <w:bottom w:val="none" w:sz="0" w:space="0" w:color="auto"/>
                        <w:right w:val="none" w:sz="0" w:space="0" w:color="auto"/>
                      </w:divBdr>
                    </w:div>
                  </w:divsChild>
                </w:div>
                <w:div w:id="639848932">
                  <w:marLeft w:val="0"/>
                  <w:marRight w:val="0"/>
                  <w:marTop w:val="0"/>
                  <w:marBottom w:val="0"/>
                  <w:divBdr>
                    <w:top w:val="none" w:sz="0" w:space="0" w:color="auto"/>
                    <w:left w:val="none" w:sz="0" w:space="0" w:color="auto"/>
                    <w:bottom w:val="none" w:sz="0" w:space="0" w:color="auto"/>
                    <w:right w:val="none" w:sz="0" w:space="0" w:color="auto"/>
                  </w:divBdr>
                  <w:divsChild>
                    <w:div w:id="152184292">
                      <w:marLeft w:val="0"/>
                      <w:marRight w:val="0"/>
                      <w:marTop w:val="0"/>
                      <w:marBottom w:val="0"/>
                      <w:divBdr>
                        <w:top w:val="none" w:sz="0" w:space="0" w:color="auto"/>
                        <w:left w:val="none" w:sz="0" w:space="0" w:color="auto"/>
                        <w:bottom w:val="none" w:sz="0" w:space="0" w:color="auto"/>
                        <w:right w:val="none" w:sz="0" w:space="0" w:color="auto"/>
                      </w:divBdr>
                    </w:div>
                  </w:divsChild>
                </w:div>
                <w:div w:id="642733884">
                  <w:marLeft w:val="0"/>
                  <w:marRight w:val="0"/>
                  <w:marTop w:val="0"/>
                  <w:marBottom w:val="0"/>
                  <w:divBdr>
                    <w:top w:val="none" w:sz="0" w:space="0" w:color="auto"/>
                    <w:left w:val="none" w:sz="0" w:space="0" w:color="auto"/>
                    <w:bottom w:val="none" w:sz="0" w:space="0" w:color="auto"/>
                    <w:right w:val="none" w:sz="0" w:space="0" w:color="auto"/>
                  </w:divBdr>
                  <w:divsChild>
                    <w:div w:id="549463494">
                      <w:marLeft w:val="0"/>
                      <w:marRight w:val="0"/>
                      <w:marTop w:val="0"/>
                      <w:marBottom w:val="0"/>
                      <w:divBdr>
                        <w:top w:val="none" w:sz="0" w:space="0" w:color="auto"/>
                        <w:left w:val="none" w:sz="0" w:space="0" w:color="auto"/>
                        <w:bottom w:val="none" w:sz="0" w:space="0" w:color="auto"/>
                        <w:right w:val="none" w:sz="0" w:space="0" w:color="auto"/>
                      </w:divBdr>
                    </w:div>
                  </w:divsChild>
                </w:div>
                <w:div w:id="649600969">
                  <w:marLeft w:val="0"/>
                  <w:marRight w:val="0"/>
                  <w:marTop w:val="0"/>
                  <w:marBottom w:val="0"/>
                  <w:divBdr>
                    <w:top w:val="none" w:sz="0" w:space="0" w:color="auto"/>
                    <w:left w:val="none" w:sz="0" w:space="0" w:color="auto"/>
                    <w:bottom w:val="none" w:sz="0" w:space="0" w:color="auto"/>
                    <w:right w:val="none" w:sz="0" w:space="0" w:color="auto"/>
                  </w:divBdr>
                  <w:divsChild>
                    <w:div w:id="1880048012">
                      <w:marLeft w:val="0"/>
                      <w:marRight w:val="0"/>
                      <w:marTop w:val="0"/>
                      <w:marBottom w:val="0"/>
                      <w:divBdr>
                        <w:top w:val="none" w:sz="0" w:space="0" w:color="auto"/>
                        <w:left w:val="none" w:sz="0" w:space="0" w:color="auto"/>
                        <w:bottom w:val="none" w:sz="0" w:space="0" w:color="auto"/>
                        <w:right w:val="none" w:sz="0" w:space="0" w:color="auto"/>
                      </w:divBdr>
                    </w:div>
                  </w:divsChild>
                </w:div>
                <w:div w:id="661782896">
                  <w:marLeft w:val="0"/>
                  <w:marRight w:val="0"/>
                  <w:marTop w:val="0"/>
                  <w:marBottom w:val="0"/>
                  <w:divBdr>
                    <w:top w:val="none" w:sz="0" w:space="0" w:color="auto"/>
                    <w:left w:val="none" w:sz="0" w:space="0" w:color="auto"/>
                    <w:bottom w:val="none" w:sz="0" w:space="0" w:color="auto"/>
                    <w:right w:val="none" w:sz="0" w:space="0" w:color="auto"/>
                  </w:divBdr>
                  <w:divsChild>
                    <w:div w:id="1172178822">
                      <w:marLeft w:val="0"/>
                      <w:marRight w:val="0"/>
                      <w:marTop w:val="0"/>
                      <w:marBottom w:val="0"/>
                      <w:divBdr>
                        <w:top w:val="none" w:sz="0" w:space="0" w:color="auto"/>
                        <w:left w:val="none" w:sz="0" w:space="0" w:color="auto"/>
                        <w:bottom w:val="none" w:sz="0" w:space="0" w:color="auto"/>
                        <w:right w:val="none" w:sz="0" w:space="0" w:color="auto"/>
                      </w:divBdr>
                    </w:div>
                  </w:divsChild>
                </w:div>
                <w:div w:id="665062141">
                  <w:marLeft w:val="0"/>
                  <w:marRight w:val="0"/>
                  <w:marTop w:val="0"/>
                  <w:marBottom w:val="0"/>
                  <w:divBdr>
                    <w:top w:val="none" w:sz="0" w:space="0" w:color="auto"/>
                    <w:left w:val="none" w:sz="0" w:space="0" w:color="auto"/>
                    <w:bottom w:val="none" w:sz="0" w:space="0" w:color="auto"/>
                    <w:right w:val="none" w:sz="0" w:space="0" w:color="auto"/>
                  </w:divBdr>
                  <w:divsChild>
                    <w:div w:id="1520779863">
                      <w:marLeft w:val="0"/>
                      <w:marRight w:val="0"/>
                      <w:marTop w:val="0"/>
                      <w:marBottom w:val="0"/>
                      <w:divBdr>
                        <w:top w:val="none" w:sz="0" w:space="0" w:color="auto"/>
                        <w:left w:val="none" w:sz="0" w:space="0" w:color="auto"/>
                        <w:bottom w:val="none" w:sz="0" w:space="0" w:color="auto"/>
                        <w:right w:val="none" w:sz="0" w:space="0" w:color="auto"/>
                      </w:divBdr>
                    </w:div>
                  </w:divsChild>
                </w:div>
                <w:div w:id="676419761">
                  <w:marLeft w:val="0"/>
                  <w:marRight w:val="0"/>
                  <w:marTop w:val="0"/>
                  <w:marBottom w:val="0"/>
                  <w:divBdr>
                    <w:top w:val="none" w:sz="0" w:space="0" w:color="auto"/>
                    <w:left w:val="none" w:sz="0" w:space="0" w:color="auto"/>
                    <w:bottom w:val="none" w:sz="0" w:space="0" w:color="auto"/>
                    <w:right w:val="none" w:sz="0" w:space="0" w:color="auto"/>
                  </w:divBdr>
                  <w:divsChild>
                    <w:div w:id="1791585809">
                      <w:marLeft w:val="0"/>
                      <w:marRight w:val="0"/>
                      <w:marTop w:val="0"/>
                      <w:marBottom w:val="0"/>
                      <w:divBdr>
                        <w:top w:val="none" w:sz="0" w:space="0" w:color="auto"/>
                        <w:left w:val="none" w:sz="0" w:space="0" w:color="auto"/>
                        <w:bottom w:val="none" w:sz="0" w:space="0" w:color="auto"/>
                        <w:right w:val="none" w:sz="0" w:space="0" w:color="auto"/>
                      </w:divBdr>
                    </w:div>
                  </w:divsChild>
                </w:div>
                <w:div w:id="678002328">
                  <w:marLeft w:val="0"/>
                  <w:marRight w:val="0"/>
                  <w:marTop w:val="0"/>
                  <w:marBottom w:val="0"/>
                  <w:divBdr>
                    <w:top w:val="none" w:sz="0" w:space="0" w:color="auto"/>
                    <w:left w:val="none" w:sz="0" w:space="0" w:color="auto"/>
                    <w:bottom w:val="none" w:sz="0" w:space="0" w:color="auto"/>
                    <w:right w:val="none" w:sz="0" w:space="0" w:color="auto"/>
                  </w:divBdr>
                  <w:divsChild>
                    <w:div w:id="2031879373">
                      <w:marLeft w:val="0"/>
                      <w:marRight w:val="0"/>
                      <w:marTop w:val="0"/>
                      <w:marBottom w:val="0"/>
                      <w:divBdr>
                        <w:top w:val="none" w:sz="0" w:space="0" w:color="auto"/>
                        <w:left w:val="none" w:sz="0" w:space="0" w:color="auto"/>
                        <w:bottom w:val="none" w:sz="0" w:space="0" w:color="auto"/>
                        <w:right w:val="none" w:sz="0" w:space="0" w:color="auto"/>
                      </w:divBdr>
                    </w:div>
                  </w:divsChild>
                </w:div>
                <w:div w:id="694766955">
                  <w:marLeft w:val="0"/>
                  <w:marRight w:val="0"/>
                  <w:marTop w:val="0"/>
                  <w:marBottom w:val="0"/>
                  <w:divBdr>
                    <w:top w:val="none" w:sz="0" w:space="0" w:color="auto"/>
                    <w:left w:val="none" w:sz="0" w:space="0" w:color="auto"/>
                    <w:bottom w:val="none" w:sz="0" w:space="0" w:color="auto"/>
                    <w:right w:val="none" w:sz="0" w:space="0" w:color="auto"/>
                  </w:divBdr>
                  <w:divsChild>
                    <w:div w:id="220866480">
                      <w:marLeft w:val="0"/>
                      <w:marRight w:val="0"/>
                      <w:marTop w:val="0"/>
                      <w:marBottom w:val="0"/>
                      <w:divBdr>
                        <w:top w:val="none" w:sz="0" w:space="0" w:color="auto"/>
                        <w:left w:val="none" w:sz="0" w:space="0" w:color="auto"/>
                        <w:bottom w:val="none" w:sz="0" w:space="0" w:color="auto"/>
                        <w:right w:val="none" w:sz="0" w:space="0" w:color="auto"/>
                      </w:divBdr>
                    </w:div>
                  </w:divsChild>
                </w:div>
                <w:div w:id="735738487">
                  <w:marLeft w:val="0"/>
                  <w:marRight w:val="0"/>
                  <w:marTop w:val="0"/>
                  <w:marBottom w:val="0"/>
                  <w:divBdr>
                    <w:top w:val="none" w:sz="0" w:space="0" w:color="auto"/>
                    <w:left w:val="none" w:sz="0" w:space="0" w:color="auto"/>
                    <w:bottom w:val="none" w:sz="0" w:space="0" w:color="auto"/>
                    <w:right w:val="none" w:sz="0" w:space="0" w:color="auto"/>
                  </w:divBdr>
                  <w:divsChild>
                    <w:div w:id="1101801179">
                      <w:marLeft w:val="0"/>
                      <w:marRight w:val="0"/>
                      <w:marTop w:val="0"/>
                      <w:marBottom w:val="0"/>
                      <w:divBdr>
                        <w:top w:val="none" w:sz="0" w:space="0" w:color="auto"/>
                        <w:left w:val="none" w:sz="0" w:space="0" w:color="auto"/>
                        <w:bottom w:val="none" w:sz="0" w:space="0" w:color="auto"/>
                        <w:right w:val="none" w:sz="0" w:space="0" w:color="auto"/>
                      </w:divBdr>
                    </w:div>
                  </w:divsChild>
                </w:div>
                <w:div w:id="739249310">
                  <w:marLeft w:val="0"/>
                  <w:marRight w:val="0"/>
                  <w:marTop w:val="0"/>
                  <w:marBottom w:val="0"/>
                  <w:divBdr>
                    <w:top w:val="none" w:sz="0" w:space="0" w:color="auto"/>
                    <w:left w:val="none" w:sz="0" w:space="0" w:color="auto"/>
                    <w:bottom w:val="none" w:sz="0" w:space="0" w:color="auto"/>
                    <w:right w:val="none" w:sz="0" w:space="0" w:color="auto"/>
                  </w:divBdr>
                  <w:divsChild>
                    <w:div w:id="490563025">
                      <w:marLeft w:val="0"/>
                      <w:marRight w:val="0"/>
                      <w:marTop w:val="0"/>
                      <w:marBottom w:val="0"/>
                      <w:divBdr>
                        <w:top w:val="none" w:sz="0" w:space="0" w:color="auto"/>
                        <w:left w:val="none" w:sz="0" w:space="0" w:color="auto"/>
                        <w:bottom w:val="none" w:sz="0" w:space="0" w:color="auto"/>
                        <w:right w:val="none" w:sz="0" w:space="0" w:color="auto"/>
                      </w:divBdr>
                    </w:div>
                  </w:divsChild>
                </w:div>
                <w:div w:id="769470868">
                  <w:marLeft w:val="0"/>
                  <w:marRight w:val="0"/>
                  <w:marTop w:val="0"/>
                  <w:marBottom w:val="0"/>
                  <w:divBdr>
                    <w:top w:val="none" w:sz="0" w:space="0" w:color="auto"/>
                    <w:left w:val="none" w:sz="0" w:space="0" w:color="auto"/>
                    <w:bottom w:val="none" w:sz="0" w:space="0" w:color="auto"/>
                    <w:right w:val="none" w:sz="0" w:space="0" w:color="auto"/>
                  </w:divBdr>
                  <w:divsChild>
                    <w:div w:id="20327615">
                      <w:marLeft w:val="0"/>
                      <w:marRight w:val="0"/>
                      <w:marTop w:val="0"/>
                      <w:marBottom w:val="0"/>
                      <w:divBdr>
                        <w:top w:val="none" w:sz="0" w:space="0" w:color="auto"/>
                        <w:left w:val="none" w:sz="0" w:space="0" w:color="auto"/>
                        <w:bottom w:val="none" w:sz="0" w:space="0" w:color="auto"/>
                        <w:right w:val="none" w:sz="0" w:space="0" w:color="auto"/>
                      </w:divBdr>
                    </w:div>
                  </w:divsChild>
                </w:div>
                <w:div w:id="770927774">
                  <w:marLeft w:val="0"/>
                  <w:marRight w:val="0"/>
                  <w:marTop w:val="0"/>
                  <w:marBottom w:val="0"/>
                  <w:divBdr>
                    <w:top w:val="none" w:sz="0" w:space="0" w:color="auto"/>
                    <w:left w:val="none" w:sz="0" w:space="0" w:color="auto"/>
                    <w:bottom w:val="none" w:sz="0" w:space="0" w:color="auto"/>
                    <w:right w:val="none" w:sz="0" w:space="0" w:color="auto"/>
                  </w:divBdr>
                  <w:divsChild>
                    <w:div w:id="744455234">
                      <w:marLeft w:val="0"/>
                      <w:marRight w:val="0"/>
                      <w:marTop w:val="0"/>
                      <w:marBottom w:val="0"/>
                      <w:divBdr>
                        <w:top w:val="none" w:sz="0" w:space="0" w:color="auto"/>
                        <w:left w:val="none" w:sz="0" w:space="0" w:color="auto"/>
                        <w:bottom w:val="none" w:sz="0" w:space="0" w:color="auto"/>
                        <w:right w:val="none" w:sz="0" w:space="0" w:color="auto"/>
                      </w:divBdr>
                    </w:div>
                  </w:divsChild>
                </w:div>
                <w:div w:id="789665787">
                  <w:marLeft w:val="0"/>
                  <w:marRight w:val="0"/>
                  <w:marTop w:val="0"/>
                  <w:marBottom w:val="0"/>
                  <w:divBdr>
                    <w:top w:val="none" w:sz="0" w:space="0" w:color="auto"/>
                    <w:left w:val="none" w:sz="0" w:space="0" w:color="auto"/>
                    <w:bottom w:val="none" w:sz="0" w:space="0" w:color="auto"/>
                    <w:right w:val="none" w:sz="0" w:space="0" w:color="auto"/>
                  </w:divBdr>
                  <w:divsChild>
                    <w:div w:id="1389836894">
                      <w:marLeft w:val="0"/>
                      <w:marRight w:val="0"/>
                      <w:marTop w:val="0"/>
                      <w:marBottom w:val="0"/>
                      <w:divBdr>
                        <w:top w:val="none" w:sz="0" w:space="0" w:color="auto"/>
                        <w:left w:val="none" w:sz="0" w:space="0" w:color="auto"/>
                        <w:bottom w:val="none" w:sz="0" w:space="0" w:color="auto"/>
                        <w:right w:val="none" w:sz="0" w:space="0" w:color="auto"/>
                      </w:divBdr>
                    </w:div>
                  </w:divsChild>
                </w:div>
                <w:div w:id="812261551">
                  <w:marLeft w:val="0"/>
                  <w:marRight w:val="0"/>
                  <w:marTop w:val="0"/>
                  <w:marBottom w:val="0"/>
                  <w:divBdr>
                    <w:top w:val="none" w:sz="0" w:space="0" w:color="auto"/>
                    <w:left w:val="none" w:sz="0" w:space="0" w:color="auto"/>
                    <w:bottom w:val="none" w:sz="0" w:space="0" w:color="auto"/>
                    <w:right w:val="none" w:sz="0" w:space="0" w:color="auto"/>
                  </w:divBdr>
                  <w:divsChild>
                    <w:div w:id="980965553">
                      <w:marLeft w:val="0"/>
                      <w:marRight w:val="0"/>
                      <w:marTop w:val="0"/>
                      <w:marBottom w:val="0"/>
                      <w:divBdr>
                        <w:top w:val="none" w:sz="0" w:space="0" w:color="auto"/>
                        <w:left w:val="none" w:sz="0" w:space="0" w:color="auto"/>
                        <w:bottom w:val="none" w:sz="0" w:space="0" w:color="auto"/>
                        <w:right w:val="none" w:sz="0" w:space="0" w:color="auto"/>
                      </w:divBdr>
                    </w:div>
                  </w:divsChild>
                </w:div>
                <w:div w:id="815101763">
                  <w:marLeft w:val="0"/>
                  <w:marRight w:val="0"/>
                  <w:marTop w:val="0"/>
                  <w:marBottom w:val="0"/>
                  <w:divBdr>
                    <w:top w:val="none" w:sz="0" w:space="0" w:color="auto"/>
                    <w:left w:val="none" w:sz="0" w:space="0" w:color="auto"/>
                    <w:bottom w:val="none" w:sz="0" w:space="0" w:color="auto"/>
                    <w:right w:val="none" w:sz="0" w:space="0" w:color="auto"/>
                  </w:divBdr>
                  <w:divsChild>
                    <w:div w:id="2073697997">
                      <w:marLeft w:val="0"/>
                      <w:marRight w:val="0"/>
                      <w:marTop w:val="0"/>
                      <w:marBottom w:val="0"/>
                      <w:divBdr>
                        <w:top w:val="none" w:sz="0" w:space="0" w:color="auto"/>
                        <w:left w:val="none" w:sz="0" w:space="0" w:color="auto"/>
                        <w:bottom w:val="none" w:sz="0" w:space="0" w:color="auto"/>
                        <w:right w:val="none" w:sz="0" w:space="0" w:color="auto"/>
                      </w:divBdr>
                    </w:div>
                  </w:divsChild>
                </w:div>
                <w:div w:id="833881036">
                  <w:marLeft w:val="0"/>
                  <w:marRight w:val="0"/>
                  <w:marTop w:val="0"/>
                  <w:marBottom w:val="0"/>
                  <w:divBdr>
                    <w:top w:val="none" w:sz="0" w:space="0" w:color="auto"/>
                    <w:left w:val="none" w:sz="0" w:space="0" w:color="auto"/>
                    <w:bottom w:val="none" w:sz="0" w:space="0" w:color="auto"/>
                    <w:right w:val="none" w:sz="0" w:space="0" w:color="auto"/>
                  </w:divBdr>
                  <w:divsChild>
                    <w:div w:id="129902085">
                      <w:marLeft w:val="0"/>
                      <w:marRight w:val="0"/>
                      <w:marTop w:val="0"/>
                      <w:marBottom w:val="0"/>
                      <w:divBdr>
                        <w:top w:val="none" w:sz="0" w:space="0" w:color="auto"/>
                        <w:left w:val="none" w:sz="0" w:space="0" w:color="auto"/>
                        <w:bottom w:val="none" w:sz="0" w:space="0" w:color="auto"/>
                        <w:right w:val="none" w:sz="0" w:space="0" w:color="auto"/>
                      </w:divBdr>
                    </w:div>
                  </w:divsChild>
                </w:div>
                <w:div w:id="839809140">
                  <w:marLeft w:val="0"/>
                  <w:marRight w:val="0"/>
                  <w:marTop w:val="0"/>
                  <w:marBottom w:val="0"/>
                  <w:divBdr>
                    <w:top w:val="none" w:sz="0" w:space="0" w:color="auto"/>
                    <w:left w:val="none" w:sz="0" w:space="0" w:color="auto"/>
                    <w:bottom w:val="none" w:sz="0" w:space="0" w:color="auto"/>
                    <w:right w:val="none" w:sz="0" w:space="0" w:color="auto"/>
                  </w:divBdr>
                  <w:divsChild>
                    <w:div w:id="615256410">
                      <w:marLeft w:val="0"/>
                      <w:marRight w:val="0"/>
                      <w:marTop w:val="0"/>
                      <w:marBottom w:val="0"/>
                      <w:divBdr>
                        <w:top w:val="none" w:sz="0" w:space="0" w:color="auto"/>
                        <w:left w:val="none" w:sz="0" w:space="0" w:color="auto"/>
                        <w:bottom w:val="none" w:sz="0" w:space="0" w:color="auto"/>
                        <w:right w:val="none" w:sz="0" w:space="0" w:color="auto"/>
                      </w:divBdr>
                    </w:div>
                  </w:divsChild>
                </w:div>
                <w:div w:id="849104473">
                  <w:marLeft w:val="0"/>
                  <w:marRight w:val="0"/>
                  <w:marTop w:val="0"/>
                  <w:marBottom w:val="0"/>
                  <w:divBdr>
                    <w:top w:val="none" w:sz="0" w:space="0" w:color="auto"/>
                    <w:left w:val="none" w:sz="0" w:space="0" w:color="auto"/>
                    <w:bottom w:val="none" w:sz="0" w:space="0" w:color="auto"/>
                    <w:right w:val="none" w:sz="0" w:space="0" w:color="auto"/>
                  </w:divBdr>
                  <w:divsChild>
                    <w:div w:id="1663242166">
                      <w:marLeft w:val="0"/>
                      <w:marRight w:val="0"/>
                      <w:marTop w:val="0"/>
                      <w:marBottom w:val="0"/>
                      <w:divBdr>
                        <w:top w:val="none" w:sz="0" w:space="0" w:color="auto"/>
                        <w:left w:val="none" w:sz="0" w:space="0" w:color="auto"/>
                        <w:bottom w:val="none" w:sz="0" w:space="0" w:color="auto"/>
                        <w:right w:val="none" w:sz="0" w:space="0" w:color="auto"/>
                      </w:divBdr>
                    </w:div>
                  </w:divsChild>
                </w:div>
                <w:div w:id="863329070">
                  <w:marLeft w:val="0"/>
                  <w:marRight w:val="0"/>
                  <w:marTop w:val="0"/>
                  <w:marBottom w:val="0"/>
                  <w:divBdr>
                    <w:top w:val="none" w:sz="0" w:space="0" w:color="auto"/>
                    <w:left w:val="none" w:sz="0" w:space="0" w:color="auto"/>
                    <w:bottom w:val="none" w:sz="0" w:space="0" w:color="auto"/>
                    <w:right w:val="none" w:sz="0" w:space="0" w:color="auto"/>
                  </w:divBdr>
                  <w:divsChild>
                    <w:div w:id="1122269567">
                      <w:marLeft w:val="0"/>
                      <w:marRight w:val="0"/>
                      <w:marTop w:val="0"/>
                      <w:marBottom w:val="0"/>
                      <w:divBdr>
                        <w:top w:val="none" w:sz="0" w:space="0" w:color="auto"/>
                        <w:left w:val="none" w:sz="0" w:space="0" w:color="auto"/>
                        <w:bottom w:val="none" w:sz="0" w:space="0" w:color="auto"/>
                        <w:right w:val="none" w:sz="0" w:space="0" w:color="auto"/>
                      </w:divBdr>
                    </w:div>
                  </w:divsChild>
                </w:div>
                <w:div w:id="875891718">
                  <w:marLeft w:val="0"/>
                  <w:marRight w:val="0"/>
                  <w:marTop w:val="0"/>
                  <w:marBottom w:val="0"/>
                  <w:divBdr>
                    <w:top w:val="none" w:sz="0" w:space="0" w:color="auto"/>
                    <w:left w:val="none" w:sz="0" w:space="0" w:color="auto"/>
                    <w:bottom w:val="none" w:sz="0" w:space="0" w:color="auto"/>
                    <w:right w:val="none" w:sz="0" w:space="0" w:color="auto"/>
                  </w:divBdr>
                  <w:divsChild>
                    <w:div w:id="220409787">
                      <w:marLeft w:val="0"/>
                      <w:marRight w:val="0"/>
                      <w:marTop w:val="0"/>
                      <w:marBottom w:val="0"/>
                      <w:divBdr>
                        <w:top w:val="none" w:sz="0" w:space="0" w:color="auto"/>
                        <w:left w:val="none" w:sz="0" w:space="0" w:color="auto"/>
                        <w:bottom w:val="none" w:sz="0" w:space="0" w:color="auto"/>
                        <w:right w:val="none" w:sz="0" w:space="0" w:color="auto"/>
                      </w:divBdr>
                    </w:div>
                  </w:divsChild>
                </w:div>
                <w:div w:id="880172367">
                  <w:marLeft w:val="0"/>
                  <w:marRight w:val="0"/>
                  <w:marTop w:val="0"/>
                  <w:marBottom w:val="0"/>
                  <w:divBdr>
                    <w:top w:val="none" w:sz="0" w:space="0" w:color="auto"/>
                    <w:left w:val="none" w:sz="0" w:space="0" w:color="auto"/>
                    <w:bottom w:val="none" w:sz="0" w:space="0" w:color="auto"/>
                    <w:right w:val="none" w:sz="0" w:space="0" w:color="auto"/>
                  </w:divBdr>
                  <w:divsChild>
                    <w:div w:id="1541437980">
                      <w:marLeft w:val="0"/>
                      <w:marRight w:val="0"/>
                      <w:marTop w:val="0"/>
                      <w:marBottom w:val="0"/>
                      <w:divBdr>
                        <w:top w:val="none" w:sz="0" w:space="0" w:color="auto"/>
                        <w:left w:val="none" w:sz="0" w:space="0" w:color="auto"/>
                        <w:bottom w:val="none" w:sz="0" w:space="0" w:color="auto"/>
                        <w:right w:val="none" w:sz="0" w:space="0" w:color="auto"/>
                      </w:divBdr>
                    </w:div>
                  </w:divsChild>
                </w:div>
                <w:div w:id="889921594">
                  <w:marLeft w:val="0"/>
                  <w:marRight w:val="0"/>
                  <w:marTop w:val="0"/>
                  <w:marBottom w:val="0"/>
                  <w:divBdr>
                    <w:top w:val="none" w:sz="0" w:space="0" w:color="auto"/>
                    <w:left w:val="none" w:sz="0" w:space="0" w:color="auto"/>
                    <w:bottom w:val="none" w:sz="0" w:space="0" w:color="auto"/>
                    <w:right w:val="none" w:sz="0" w:space="0" w:color="auto"/>
                  </w:divBdr>
                  <w:divsChild>
                    <w:div w:id="1650941263">
                      <w:marLeft w:val="0"/>
                      <w:marRight w:val="0"/>
                      <w:marTop w:val="0"/>
                      <w:marBottom w:val="0"/>
                      <w:divBdr>
                        <w:top w:val="none" w:sz="0" w:space="0" w:color="auto"/>
                        <w:left w:val="none" w:sz="0" w:space="0" w:color="auto"/>
                        <w:bottom w:val="none" w:sz="0" w:space="0" w:color="auto"/>
                        <w:right w:val="none" w:sz="0" w:space="0" w:color="auto"/>
                      </w:divBdr>
                    </w:div>
                  </w:divsChild>
                </w:div>
                <w:div w:id="904339261">
                  <w:marLeft w:val="0"/>
                  <w:marRight w:val="0"/>
                  <w:marTop w:val="0"/>
                  <w:marBottom w:val="0"/>
                  <w:divBdr>
                    <w:top w:val="none" w:sz="0" w:space="0" w:color="auto"/>
                    <w:left w:val="none" w:sz="0" w:space="0" w:color="auto"/>
                    <w:bottom w:val="none" w:sz="0" w:space="0" w:color="auto"/>
                    <w:right w:val="none" w:sz="0" w:space="0" w:color="auto"/>
                  </w:divBdr>
                  <w:divsChild>
                    <w:div w:id="1475488005">
                      <w:marLeft w:val="0"/>
                      <w:marRight w:val="0"/>
                      <w:marTop w:val="0"/>
                      <w:marBottom w:val="0"/>
                      <w:divBdr>
                        <w:top w:val="none" w:sz="0" w:space="0" w:color="auto"/>
                        <w:left w:val="none" w:sz="0" w:space="0" w:color="auto"/>
                        <w:bottom w:val="none" w:sz="0" w:space="0" w:color="auto"/>
                        <w:right w:val="none" w:sz="0" w:space="0" w:color="auto"/>
                      </w:divBdr>
                    </w:div>
                  </w:divsChild>
                </w:div>
                <w:div w:id="912617859">
                  <w:marLeft w:val="0"/>
                  <w:marRight w:val="0"/>
                  <w:marTop w:val="0"/>
                  <w:marBottom w:val="0"/>
                  <w:divBdr>
                    <w:top w:val="none" w:sz="0" w:space="0" w:color="auto"/>
                    <w:left w:val="none" w:sz="0" w:space="0" w:color="auto"/>
                    <w:bottom w:val="none" w:sz="0" w:space="0" w:color="auto"/>
                    <w:right w:val="none" w:sz="0" w:space="0" w:color="auto"/>
                  </w:divBdr>
                  <w:divsChild>
                    <w:div w:id="148324478">
                      <w:marLeft w:val="0"/>
                      <w:marRight w:val="0"/>
                      <w:marTop w:val="0"/>
                      <w:marBottom w:val="0"/>
                      <w:divBdr>
                        <w:top w:val="none" w:sz="0" w:space="0" w:color="auto"/>
                        <w:left w:val="none" w:sz="0" w:space="0" w:color="auto"/>
                        <w:bottom w:val="none" w:sz="0" w:space="0" w:color="auto"/>
                        <w:right w:val="none" w:sz="0" w:space="0" w:color="auto"/>
                      </w:divBdr>
                    </w:div>
                  </w:divsChild>
                </w:div>
                <w:div w:id="951403071">
                  <w:marLeft w:val="0"/>
                  <w:marRight w:val="0"/>
                  <w:marTop w:val="0"/>
                  <w:marBottom w:val="0"/>
                  <w:divBdr>
                    <w:top w:val="none" w:sz="0" w:space="0" w:color="auto"/>
                    <w:left w:val="none" w:sz="0" w:space="0" w:color="auto"/>
                    <w:bottom w:val="none" w:sz="0" w:space="0" w:color="auto"/>
                    <w:right w:val="none" w:sz="0" w:space="0" w:color="auto"/>
                  </w:divBdr>
                  <w:divsChild>
                    <w:div w:id="1190992599">
                      <w:marLeft w:val="0"/>
                      <w:marRight w:val="0"/>
                      <w:marTop w:val="0"/>
                      <w:marBottom w:val="0"/>
                      <w:divBdr>
                        <w:top w:val="none" w:sz="0" w:space="0" w:color="auto"/>
                        <w:left w:val="none" w:sz="0" w:space="0" w:color="auto"/>
                        <w:bottom w:val="none" w:sz="0" w:space="0" w:color="auto"/>
                        <w:right w:val="none" w:sz="0" w:space="0" w:color="auto"/>
                      </w:divBdr>
                    </w:div>
                  </w:divsChild>
                </w:div>
                <w:div w:id="954681165">
                  <w:marLeft w:val="0"/>
                  <w:marRight w:val="0"/>
                  <w:marTop w:val="0"/>
                  <w:marBottom w:val="0"/>
                  <w:divBdr>
                    <w:top w:val="none" w:sz="0" w:space="0" w:color="auto"/>
                    <w:left w:val="none" w:sz="0" w:space="0" w:color="auto"/>
                    <w:bottom w:val="none" w:sz="0" w:space="0" w:color="auto"/>
                    <w:right w:val="none" w:sz="0" w:space="0" w:color="auto"/>
                  </w:divBdr>
                  <w:divsChild>
                    <w:div w:id="1604535943">
                      <w:marLeft w:val="0"/>
                      <w:marRight w:val="0"/>
                      <w:marTop w:val="0"/>
                      <w:marBottom w:val="0"/>
                      <w:divBdr>
                        <w:top w:val="none" w:sz="0" w:space="0" w:color="auto"/>
                        <w:left w:val="none" w:sz="0" w:space="0" w:color="auto"/>
                        <w:bottom w:val="none" w:sz="0" w:space="0" w:color="auto"/>
                        <w:right w:val="none" w:sz="0" w:space="0" w:color="auto"/>
                      </w:divBdr>
                    </w:div>
                  </w:divsChild>
                </w:div>
                <w:div w:id="957639179">
                  <w:marLeft w:val="0"/>
                  <w:marRight w:val="0"/>
                  <w:marTop w:val="0"/>
                  <w:marBottom w:val="0"/>
                  <w:divBdr>
                    <w:top w:val="none" w:sz="0" w:space="0" w:color="auto"/>
                    <w:left w:val="none" w:sz="0" w:space="0" w:color="auto"/>
                    <w:bottom w:val="none" w:sz="0" w:space="0" w:color="auto"/>
                    <w:right w:val="none" w:sz="0" w:space="0" w:color="auto"/>
                  </w:divBdr>
                  <w:divsChild>
                    <w:div w:id="1990358993">
                      <w:marLeft w:val="0"/>
                      <w:marRight w:val="0"/>
                      <w:marTop w:val="0"/>
                      <w:marBottom w:val="0"/>
                      <w:divBdr>
                        <w:top w:val="none" w:sz="0" w:space="0" w:color="auto"/>
                        <w:left w:val="none" w:sz="0" w:space="0" w:color="auto"/>
                        <w:bottom w:val="none" w:sz="0" w:space="0" w:color="auto"/>
                        <w:right w:val="none" w:sz="0" w:space="0" w:color="auto"/>
                      </w:divBdr>
                    </w:div>
                  </w:divsChild>
                </w:div>
                <w:div w:id="1023363266">
                  <w:marLeft w:val="0"/>
                  <w:marRight w:val="0"/>
                  <w:marTop w:val="0"/>
                  <w:marBottom w:val="0"/>
                  <w:divBdr>
                    <w:top w:val="none" w:sz="0" w:space="0" w:color="auto"/>
                    <w:left w:val="none" w:sz="0" w:space="0" w:color="auto"/>
                    <w:bottom w:val="none" w:sz="0" w:space="0" w:color="auto"/>
                    <w:right w:val="none" w:sz="0" w:space="0" w:color="auto"/>
                  </w:divBdr>
                  <w:divsChild>
                    <w:div w:id="1118834660">
                      <w:marLeft w:val="0"/>
                      <w:marRight w:val="0"/>
                      <w:marTop w:val="0"/>
                      <w:marBottom w:val="0"/>
                      <w:divBdr>
                        <w:top w:val="none" w:sz="0" w:space="0" w:color="auto"/>
                        <w:left w:val="none" w:sz="0" w:space="0" w:color="auto"/>
                        <w:bottom w:val="none" w:sz="0" w:space="0" w:color="auto"/>
                        <w:right w:val="none" w:sz="0" w:space="0" w:color="auto"/>
                      </w:divBdr>
                    </w:div>
                  </w:divsChild>
                </w:div>
                <w:div w:id="1025911219">
                  <w:marLeft w:val="0"/>
                  <w:marRight w:val="0"/>
                  <w:marTop w:val="0"/>
                  <w:marBottom w:val="0"/>
                  <w:divBdr>
                    <w:top w:val="none" w:sz="0" w:space="0" w:color="auto"/>
                    <w:left w:val="none" w:sz="0" w:space="0" w:color="auto"/>
                    <w:bottom w:val="none" w:sz="0" w:space="0" w:color="auto"/>
                    <w:right w:val="none" w:sz="0" w:space="0" w:color="auto"/>
                  </w:divBdr>
                  <w:divsChild>
                    <w:div w:id="90126071">
                      <w:marLeft w:val="0"/>
                      <w:marRight w:val="0"/>
                      <w:marTop w:val="0"/>
                      <w:marBottom w:val="0"/>
                      <w:divBdr>
                        <w:top w:val="none" w:sz="0" w:space="0" w:color="auto"/>
                        <w:left w:val="none" w:sz="0" w:space="0" w:color="auto"/>
                        <w:bottom w:val="none" w:sz="0" w:space="0" w:color="auto"/>
                        <w:right w:val="none" w:sz="0" w:space="0" w:color="auto"/>
                      </w:divBdr>
                    </w:div>
                  </w:divsChild>
                </w:div>
                <w:div w:id="1043288910">
                  <w:marLeft w:val="0"/>
                  <w:marRight w:val="0"/>
                  <w:marTop w:val="0"/>
                  <w:marBottom w:val="0"/>
                  <w:divBdr>
                    <w:top w:val="none" w:sz="0" w:space="0" w:color="auto"/>
                    <w:left w:val="none" w:sz="0" w:space="0" w:color="auto"/>
                    <w:bottom w:val="none" w:sz="0" w:space="0" w:color="auto"/>
                    <w:right w:val="none" w:sz="0" w:space="0" w:color="auto"/>
                  </w:divBdr>
                  <w:divsChild>
                    <w:div w:id="1650480075">
                      <w:marLeft w:val="0"/>
                      <w:marRight w:val="0"/>
                      <w:marTop w:val="0"/>
                      <w:marBottom w:val="0"/>
                      <w:divBdr>
                        <w:top w:val="none" w:sz="0" w:space="0" w:color="auto"/>
                        <w:left w:val="none" w:sz="0" w:space="0" w:color="auto"/>
                        <w:bottom w:val="none" w:sz="0" w:space="0" w:color="auto"/>
                        <w:right w:val="none" w:sz="0" w:space="0" w:color="auto"/>
                      </w:divBdr>
                    </w:div>
                  </w:divsChild>
                </w:div>
                <w:div w:id="1054887310">
                  <w:marLeft w:val="0"/>
                  <w:marRight w:val="0"/>
                  <w:marTop w:val="0"/>
                  <w:marBottom w:val="0"/>
                  <w:divBdr>
                    <w:top w:val="none" w:sz="0" w:space="0" w:color="auto"/>
                    <w:left w:val="none" w:sz="0" w:space="0" w:color="auto"/>
                    <w:bottom w:val="none" w:sz="0" w:space="0" w:color="auto"/>
                    <w:right w:val="none" w:sz="0" w:space="0" w:color="auto"/>
                  </w:divBdr>
                  <w:divsChild>
                    <w:div w:id="1721129592">
                      <w:marLeft w:val="0"/>
                      <w:marRight w:val="0"/>
                      <w:marTop w:val="0"/>
                      <w:marBottom w:val="0"/>
                      <w:divBdr>
                        <w:top w:val="none" w:sz="0" w:space="0" w:color="auto"/>
                        <w:left w:val="none" w:sz="0" w:space="0" w:color="auto"/>
                        <w:bottom w:val="none" w:sz="0" w:space="0" w:color="auto"/>
                        <w:right w:val="none" w:sz="0" w:space="0" w:color="auto"/>
                      </w:divBdr>
                    </w:div>
                  </w:divsChild>
                </w:div>
                <w:div w:id="1055271898">
                  <w:marLeft w:val="0"/>
                  <w:marRight w:val="0"/>
                  <w:marTop w:val="0"/>
                  <w:marBottom w:val="0"/>
                  <w:divBdr>
                    <w:top w:val="none" w:sz="0" w:space="0" w:color="auto"/>
                    <w:left w:val="none" w:sz="0" w:space="0" w:color="auto"/>
                    <w:bottom w:val="none" w:sz="0" w:space="0" w:color="auto"/>
                    <w:right w:val="none" w:sz="0" w:space="0" w:color="auto"/>
                  </w:divBdr>
                  <w:divsChild>
                    <w:div w:id="518930254">
                      <w:marLeft w:val="0"/>
                      <w:marRight w:val="0"/>
                      <w:marTop w:val="0"/>
                      <w:marBottom w:val="0"/>
                      <w:divBdr>
                        <w:top w:val="none" w:sz="0" w:space="0" w:color="auto"/>
                        <w:left w:val="none" w:sz="0" w:space="0" w:color="auto"/>
                        <w:bottom w:val="none" w:sz="0" w:space="0" w:color="auto"/>
                        <w:right w:val="none" w:sz="0" w:space="0" w:color="auto"/>
                      </w:divBdr>
                    </w:div>
                  </w:divsChild>
                </w:div>
                <w:div w:id="1063991848">
                  <w:marLeft w:val="0"/>
                  <w:marRight w:val="0"/>
                  <w:marTop w:val="0"/>
                  <w:marBottom w:val="0"/>
                  <w:divBdr>
                    <w:top w:val="none" w:sz="0" w:space="0" w:color="auto"/>
                    <w:left w:val="none" w:sz="0" w:space="0" w:color="auto"/>
                    <w:bottom w:val="none" w:sz="0" w:space="0" w:color="auto"/>
                    <w:right w:val="none" w:sz="0" w:space="0" w:color="auto"/>
                  </w:divBdr>
                  <w:divsChild>
                    <w:div w:id="1350790256">
                      <w:marLeft w:val="0"/>
                      <w:marRight w:val="0"/>
                      <w:marTop w:val="0"/>
                      <w:marBottom w:val="0"/>
                      <w:divBdr>
                        <w:top w:val="none" w:sz="0" w:space="0" w:color="auto"/>
                        <w:left w:val="none" w:sz="0" w:space="0" w:color="auto"/>
                        <w:bottom w:val="none" w:sz="0" w:space="0" w:color="auto"/>
                        <w:right w:val="none" w:sz="0" w:space="0" w:color="auto"/>
                      </w:divBdr>
                    </w:div>
                  </w:divsChild>
                </w:div>
                <w:div w:id="1070231035">
                  <w:marLeft w:val="0"/>
                  <w:marRight w:val="0"/>
                  <w:marTop w:val="0"/>
                  <w:marBottom w:val="0"/>
                  <w:divBdr>
                    <w:top w:val="none" w:sz="0" w:space="0" w:color="auto"/>
                    <w:left w:val="none" w:sz="0" w:space="0" w:color="auto"/>
                    <w:bottom w:val="none" w:sz="0" w:space="0" w:color="auto"/>
                    <w:right w:val="none" w:sz="0" w:space="0" w:color="auto"/>
                  </w:divBdr>
                  <w:divsChild>
                    <w:div w:id="982081257">
                      <w:marLeft w:val="0"/>
                      <w:marRight w:val="0"/>
                      <w:marTop w:val="0"/>
                      <w:marBottom w:val="0"/>
                      <w:divBdr>
                        <w:top w:val="none" w:sz="0" w:space="0" w:color="auto"/>
                        <w:left w:val="none" w:sz="0" w:space="0" w:color="auto"/>
                        <w:bottom w:val="none" w:sz="0" w:space="0" w:color="auto"/>
                        <w:right w:val="none" w:sz="0" w:space="0" w:color="auto"/>
                      </w:divBdr>
                    </w:div>
                  </w:divsChild>
                </w:div>
                <w:div w:id="1100756416">
                  <w:marLeft w:val="0"/>
                  <w:marRight w:val="0"/>
                  <w:marTop w:val="0"/>
                  <w:marBottom w:val="0"/>
                  <w:divBdr>
                    <w:top w:val="none" w:sz="0" w:space="0" w:color="auto"/>
                    <w:left w:val="none" w:sz="0" w:space="0" w:color="auto"/>
                    <w:bottom w:val="none" w:sz="0" w:space="0" w:color="auto"/>
                    <w:right w:val="none" w:sz="0" w:space="0" w:color="auto"/>
                  </w:divBdr>
                  <w:divsChild>
                    <w:div w:id="1818762744">
                      <w:marLeft w:val="0"/>
                      <w:marRight w:val="0"/>
                      <w:marTop w:val="0"/>
                      <w:marBottom w:val="0"/>
                      <w:divBdr>
                        <w:top w:val="none" w:sz="0" w:space="0" w:color="auto"/>
                        <w:left w:val="none" w:sz="0" w:space="0" w:color="auto"/>
                        <w:bottom w:val="none" w:sz="0" w:space="0" w:color="auto"/>
                        <w:right w:val="none" w:sz="0" w:space="0" w:color="auto"/>
                      </w:divBdr>
                    </w:div>
                  </w:divsChild>
                </w:div>
                <w:div w:id="1121337584">
                  <w:marLeft w:val="0"/>
                  <w:marRight w:val="0"/>
                  <w:marTop w:val="0"/>
                  <w:marBottom w:val="0"/>
                  <w:divBdr>
                    <w:top w:val="none" w:sz="0" w:space="0" w:color="auto"/>
                    <w:left w:val="none" w:sz="0" w:space="0" w:color="auto"/>
                    <w:bottom w:val="none" w:sz="0" w:space="0" w:color="auto"/>
                    <w:right w:val="none" w:sz="0" w:space="0" w:color="auto"/>
                  </w:divBdr>
                  <w:divsChild>
                    <w:div w:id="953562815">
                      <w:marLeft w:val="0"/>
                      <w:marRight w:val="0"/>
                      <w:marTop w:val="0"/>
                      <w:marBottom w:val="0"/>
                      <w:divBdr>
                        <w:top w:val="none" w:sz="0" w:space="0" w:color="auto"/>
                        <w:left w:val="none" w:sz="0" w:space="0" w:color="auto"/>
                        <w:bottom w:val="none" w:sz="0" w:space="0" w:color="auto"/>
                        <w:right w:val="none" w:sz="0" w:space="0" w:color="auto"/>
                      </w:divBdr>
                    </w:div>
                  </w:divsChild>
                </w:div>
                <w:div w:id="1133519711">
                  <w:marLeft w:val="0"/>
                  <w:marRight w:val="0"/>
                  <w:marTop w:val="0"/>
                  <w:marBottom w:val="0"/>
                  <w:divBdr>
                    <w:top w:val="none" w:sz="0" w:space="0" w:color="auto"/>
                    <w:left w:val="none" w:sz="0" w:space="0" w:color="auto"/>
                    <w:bottom w:val="none" w:sz="0" w:space="0" w:color="auto"/>
                    <w:right w:val="none" w:sz="0" w:space="0" w:color="auto"/>
                  </w:divBdr>
                  <w:divsChild>
                    <w:div w:id="1771583894">
                      <w:marLeft w:val="0"/>
                      <w:marRight w:val="0"/>
                      <w:marTop w:val="0"/>
                      <w:marBottom w:val="0"/>
                      <w:divBdr>
                        <w:top w:val="none" w:sz="0" w:space="0" w:color="auto"/>
                        <w:left w:val="none" w:sz="0" w:space="0" w:color="auto"/>
                        <w:bottom w:val="none" w:sz="0" w:space="0" w:color="auto"/>
                        <w:right w:val="none" w:sz="0" w:space="0" w:color="auto"/>
                      </w:divBdr>
                    </w:div>
                  </w:divsChild>
                </w:div>
                <w:div w:id="1141578772">
                  <w:marLeft w:val="0"/>
                  <w:marRight w:val="0"/>
                  <w:marTop w:val="0"/>
                  <w:marBottom w:val="0"/>
                  <w:divBdr>
                    <w:top w:val="none" w:sz="0" w:space="0" w:color="auto"/>
                    <w:left w:val="none" w:sz="0" w:space="0" w:color="auto"/>
                    <w:bottom w:val="none" w:sz="0" w:space="0" w:color="auto"/>
                    <w:right w:val="none" w:sz="0" w:space="0" w:color="auto"/>
                  </w:divBdr>
                  <w:divsChild>
                    <w:div w:id="1509566121">
                      <w:marLeft w:val="0"/>
                      <w:marRight w:val="0"/>
                      <w:marTop w:val="0"/>
                      <w:marBottom w:val="0"/>
                      <w:divBdr>
                        <w:top w:val="none" w:sz="0" w:space="0" w:color="auto"/>
                        <w:left w:val="none" w:sz="0" w:space="0" w:color="auto"/>
                        <w:bottom w:val="none" w:sz="0" w:space="0" w:color="auto"/>
                        <w:right w:val="none" w:sz="0" w:space="0" w:color="auto"/>
                      </w:divBdr>
                    </w:div>
                  </w:divsChild>
                </w:div>
                <w:div w:id="1157840682">
                  <w:marLeft w:val="0"/>
                  <w:marRight w:val="0"/>
                  <w:marTop w:val="0"/>
                  <w:marBottom w:val="0"/>
                  <w:divBdr>
                    <w:top w:val="none" w:sz="0" w:space="0" w:color="auto"/>
                    <w:left w:val="none" w:sz="0" w:space="0" w:color="auto"/>
                    <w:bottom w:val="none" w:sz="0" w:space="0" w:color="auto"/>
                    <w:right w:val="none" w:sz="0" w:space="0" w:color="auto"/>
                  </w:divBdr>
                  <w:divsChild>
                    <w:div w:id="966931908">
                      <w:marLeft w:val="0"/>
                      <w:marRight w:val="0"/>
                      <w:marTop w:val="0"/>
                      <w:marBottom w:val="0"/>
                      <w:divBdr>
                        <w:top w:val="none" w:sz="0" w:space="0" w:color="auto"/>
                        <w:left w:val="none" w:sz="0" w:space="0" w:color="auto"/>
                        <w:bottom w:val="none" w:sz="0" w:space="0" w:color="auto"/>
                        <w:right w:val="none" w:sz="0" w:space="0" w:color="auto"/>
                      </w:divBdr>
                    </w:div>
                  </w:divsChild>
                </w:div>
                <w:div w:id="1169827466">
                  <w:marLeft w:val="0"/>
                  <w:marRight w:val="0"/>
                  <w:marTop w:val="0"/>
                  <w:marBottom w:val="0"/>
                  <w:divBdr>
                    <w:top w:val="none" w:sz="0" w:space="0" w:color="auto"/>
                    <w:left w:val="none" w:sz="0" w:space="0" w:color="auto"/>
                    <w:bottom w:val="none" w:sz="0" w:space="0" w:color="auto"/>
                    <w:right w:val="none" w:sz="0" w:space="0" w:color="auto"/>
                  </w:divBdr>
                  <w:divsChild>
                    <w:div w:id="724330385">
                      <w:marLeft w:val="0"/>
                      <w:marRight w:val="0"/>
                      <w:marTop w:val="0"/>
                      <w:marBottom w:val="0"/>
                      <w:divBdr>
                        <w:top w:val="none" w:sz="0" w:space="0" w:color="auto"/>
                        <w:left w:val="none" w:sz="0" w:space="0" w:color="auto"/>
                        <w:bottom w:val="none" w:sz="0" w:space="0" w:color="auto"/>
                        <w:right w:val="none" w:sz="0" w:space="0" w:color="auto"/>
                      </w:divBdr>
                    </w:div>
                  </w:divsChild>
                </w:div>
                <w:div w:id="1176310398">
                  <w:marLeft w:val="0"/>
                  <w:marRight w:val="0"/>
                  <w:marTop w:val="0"/>
                  <w:marBottom w:val="0"/>
                  <w:divBdr>
                    <w:top w:val="none" w:sz="0" w:space="0" w:color="auto"/>
                    <w:left w:val="none" w:sz="0" w:space="0" w:color="auto"/>
                    <w:bottom w:val="none" w:sz="0" w:space="0" w:color="auto"/>
                    <w:right w:val="none" w:sz="0" w:space="0" w:color="auto"/>
                  </w:divBdr>
                  <w:divsChild>
                    <w:div w:id="40445159">
                      <w:marLeft w:val="0"/>
                      <w:marRight w:val="0"/>
                      <w:marTop w:val="0"/>
                      <w:marBottom w:val="0"/>
                      <w:divBdr>
                        <w:top w:val="none" w:sz="0" w:space="0" w:color="auto"/>
                        <w:left w:val="none" w:sz="0" w:space="0" w:color="auto"/>
                        <w:bottom w:val="none" w:sz="0" w:space="0" w:color="auto"/>
                        <w:right w:val="none" w:sz="0" w:space="0" w:color="auto"/>
                      </w:divBdr>
                    </w:div>
                  </w:divsChild>
                </w:div>
                <w:div w:id="1179344700">
                  <w:marLeft w:val="0"/>
                  <w:marRight w:val="0"/>
                  <w:marTop w:val="0"/>
                  <w:marBottom w:val="0"/>
                  <w:divBdr>
                    <w:top w:val="none" w:sz="0" w:space="0" w:color="auto"/>
                    <w:left w:val="none" w:sz="0" w:space="0" w:color="auto"/>
                    <w:bottom w:val="none" w:sz="0" w:space="0" w:color="auto"/>
                    <w:right w:val="none" w:sz="0" w:space="0" w:color="auto"/>
                  </w:divBdr>
                  <w:divsChild>
                    <w:div w:id="1412309129">
                      <w:marLeft w:val="0"/>
                      <w:marRight w:val="0"/>
                      <w:marTop w:val="0"/>
                      <w:marBottom w:val="0"/>
                      <w:divBdr>
                        <w:top w:val="none" w:sz="0" w:space="0" w:color="auto"/>
                        <w:left w:val="none" w:sz="0" w:space="0" w:color="auto"/>
                        <w:bottom w:val="none" w:sz="0" w:space="0" w:color="auto"/>
                        <w:right w:val="none" w:sz="0" w:space="0" w:color="auto"/>
                      </w:divBdr>
                    </w:div>
                  </w:divsChild>
                </w:div>
                <w:div w:id="1189565677">
                  <w:marLeft w:val="0"/>
                  <w:marRight w:val="0"/>
                  <w:marTop w:val="0"/>
                  <w:marBottom w:val="0"/>
                  <w:divBdr>
                    <w:top w:val="none" w:sz="0" w:space="0" w:color="auto"/>
                    <w:left w:val="none" w:sz="0" w:space="0" w:color="auto"/>
                    <w:bottom w:val="none" w:sz="0" w:space="0" w:color="auto"/>
                    <w:right w:val="none" w:sz="0" w:space="0" w:color="auto"/>
                  </w:divBdr>
                  <w:divsChild>
                    <w:div w:id="710806097">
                      <w:marLeft w:val="0"/>
                      <w:marRight w:val="0"/>
                      <w:marTop w:val="0"/>
                      <w:marBottom w:val="0"/>
                      <w:divBdr>
                        <w:top w:val="none" w:sz="0" w:space="0" w:color="auto"/>
                        <w:left w:val="none" w:sz="0" w:space="0" w:color="auto"/>
                        <w:bottom w:val="none" w:sz="0" w:space="0" w:color="auto"/>
                        <w:right w:val="none" w:sz="0" w:space="0" w:color="auto"/>
                      </w:divBdr>
                    </w:div>
                  </w:divsChild>
                </w:div>
                <w:div w:id="1211654037">
                  <w:marLeft w:val="0"/>
                  <w:marRight w:val="0"/>
                  <w:marTop w:val="0"/>
                  <w:marBottom w:val="0"/>
                  <w:divBdr>
                    <w:top w:val="none" w:sz="0" w:space="0" w:color="auto"/>
                    <w:left w:val="none" w:sz="0" w:space="0" w:color="auto"/>
                    <w:bottom w:val="none" w:sz="0" w:space="0" w:color="auto"/>
                    <w:right w:val="none" w:sz="0" w:space="0" w:color="auto"/>
                  </w:divBdr>
                  <w:divsChild>
                    <w:div w:id="400443402">
                      <w:marLeft w:val="0"/>
                      <w:marRight w:val="0"/>
                      <w:marTop w:val="0"/>
                      <w:marBottom w:val="0"/>
                      <w:divBdr>
                        <w:top w:val="none" w:sz="0" w:space="0" w:color="auto"/>
                        <w:left w:val="none" w:sz="0" w:space="0" w:color="auto"/>
                        <w:bottom w:val="none" w:sz="0" w:space="0" w:color="auto"/>
                        <w:right w:val="none" w:sz="0" w:space="0" w:color="auto"/>
                      </w:divBdr>
                    </w:div>
                  </w:divsChild>
                </w:div>
                <w:div w:id="1219516270">
                  <w:marLeft w:val="0"/>
                  <w:marRight w:val="0"/>
                  <w:marTop w:val="0"/>
                  <w:marBottom w:val="0"/>
                  <w:divBdr>
                    <w:top w:val="none" w:sz="0" w:space="0" w:color="auto"/>
                    <w:left w:val="none" w:sz="0" w:space="0" w:color="auto"/>
                    <w:bottom w:val="none" w:sz="0" w:space="0" w:color="auto"/>
                    <w:right w:val="none" w:sz="0" w:space="0" w:color="auto"/>
                  </w:divBdr>
                  <w:divsChild>
                    <w:div w:id="2054578275">
                      <w:marLeft w:val="0"/>
                      <w:marRight w:val="0"/>
                      <w:marTop w:val="0"/>
                      <w:marBottom w:val="0"/>
                      <w:divBdr>
                        <w:top w:val="none" w:sz="0" w:space="0" w:color="auto"/>
                        <w:left w:val="none" w:sz="0" w:space="0" w:color="auto"/>
                        <w:bottom w:val="none" w:sz="0" w:space="0" w:color="auto"/>
                        <w:right w:val="none" w:sz="0" w:space="0" w:color="auto"/>
                      </w:divBdr>
                    </w:div>
                  </w:divsChild>
                </w:div>
                <w:div w:id="1230455855">
                  <w:marLeft w:val="0"/>
                  <w:marRight w:val="0"/>
                  <w:marTop w:val="0"/>
                  <w:marBottom w:val="0"/>
                  <w:divBdr>
                    <w:top w:val="none" w:sz="0" w:space="0" w:color="auto"/>
                    <w:left w:val="none" w:sz="0" w:space="0" w:color="auto"/>
                    <w:bottom w:val="none" w:sz="0" w:space="0" w:color="auto"/>
                    <w:right w:val="none" w:sz="0" w:space="0" w:color="auto"/>
                  </w:divBdr>
                  <w:divsChild>
                    <w:div w:id="475492772">
                      <w:marLeft w:val="0"/>
                      <w:marRight w:val="0"/>
                      <w:marTop w:val="0"/>
                      <w:marBottom w:val="0"/>
                      <w:divBdr>
                        <w:top w:val="none" w:sz="0" w:space="0" w:color="auto"/>
                        <w:left w:val="none" w:sz="0" w:space="0" w:color="auto"/>
                        <w:bottom w:val="none" w:sz="0" w:space="0" w:color="auto"/>
                        <w:right w:val="none" w:sz="0" w:space="0" w:color="auto"/>
                      </w:divBdr>
                    </w:div>
                  </w:divsChild>
                </w:div>
                <w:div w:id="1240948727">
                  <w:marLeft w:val="0"/>
                  <w:marRight w:val="0"/>
                  <w:marTop w:val="0"/>
                  <w:marBottom w:val="0"/>
                  <w:divBdr>
                    <w:top w:val="none" w:sz="0" w:space="0" w:color="auto"/>
                    <w:left w:val="none" w:sz="0" w:space="0" w:color="auto"/>
                    <w:bottom w:val="none" w:sz="0" w:space="0" w:color="auto"/>
                    <w:right w:val="none" w:sz="0" w:space="0" w:color="auto"/>
                  </w:divBdr>
                  <w:divsChild>
                    <w:div w:id="1313758483">
                      <w:marLeft w:val="0"/>
                      <w:marRight w:val="0"/>
                      <w:marTop w:val="0"/>
                      <w:marBottom w:val="0"/>
                      <w:divBdr>
                        <w:top w:val="none" w:sz="0" w:space="0" w:color="auto"/>
                        <w:left w:val="none" w:sz="0" w:space="0" w:color="auto"/>
                        <w:bottom w:val="none" w:sz="0" w:space="0" w:color="auto"/>
                        <w:right w:val="none" w:sz="0" w:space="0" w:color="auto"/>
                      </w:divBdr>
                    </w:div>
                  </w:divsChild>
                </w:div>
                <w:div w:id="1247501263">
                  <w:marLeft w:val="0"/>
                  <w:marRight w:val="0"/>
                  <w:marTop w:val="0"/>
                  <w:marBottom w:val="0"/>
                  <w:divBdr>
                    <w:top w:val="none" w:sz="0" w:space="0" w:color="auto"/>
                    <w:left w:val="none" w:sz="0" w:space="0" w:color="auto"/>
                    <w:bottom w:val="none" w:sz="0" w:space="0" w:color="auto"/>
                    <w:right w:val="none" w:sz="0" w:space="0" w:color="auto"/>
                  </w:divBdr>
                  <w:divsChild>
                    <w:div w:id="805859181">
                      <w:marLeft w:val="0"/>
                      <w:marRight w:val="0"/>
                      <w:marTop w:val="0"/>
                      <w:marBottom w:val="0"/>
                      <w:divBdr>
                        <w:top w:val="none" w:sz="0" w:space="0" w:color="auto"/>
                        <w:left w:val="none" w:sz="0" w:space="0" w:color="auto"/>
                        <w:bottom w:val="none" w:sz="0" w:space="0" w:color="auto"/>
                        <w:right w:val="none" w:sz="0" w:space="0" w:color="auto"/>
                      </w:divBdr>
                    </w:div>
                  </w:divsChild>
                </w:div>
                <w:div w:id="1252087942">
                  <w:marLeft w:val="0"/>
                  <w:marRight w:val="0"/>
                  <w:marTop w:val="0"/>
                  <w:marBottom w:val="0"/>
                  <w:divBdr>
                    <w:top w:val="none" w:sz="0" w:space="0" w:color="auto"/>
                    <w:left w:val="none" w:sz="0" w:space="0" w:color="auto"/>
                    <w:bottom w:val="none" w:sz="0" w:space="0" w:color="auto"/>
                    <w:right w:val="none" w:sz="0" w:space="0" w:color="auto"/>
                  </w:divBdr>
                  <w:divsChild>
                    <w:div w:id="2145461319">
                      <w:marLeft w:val="0"/>
                      <w:marRight w:val="0"/>
                      <w:marTop w:val="0"/>
                      <w:marBottom w:val="0"/>
                      <w:divBdr>
                        <w:top w:val="none" w:sz="0" w:space="0" w:color="auto"/>
                        <w:left w:val="none" w:sz="0" w:space="0" w:color="auto"/>
                        <w:bottom w:val="none" w:sz="0" w:space="0" w:color="auto"/>
                        <w:right w:val="none" w:sz="0" w:space="0" w:color="auto"/>
                      </w:divBdr>
                    </w:div>
                  </w:divsChild>
                </w:div>
                <w:div w:id="1269195071">
                  <w:marLeft w:val="0"/>
                  <w:marRight w:val="0"/>
                  <w:marTop w:val="0"/>
                  <w:marBottom w:val="0"/>
                  <w:divBdr>
                    <w:top w:val="none" w:sz="0" w:space="0" w:color="auto"/>
                    <w:left w:val="none" w:sz="0" w:space="0" w:color="auto"/>
                    <w:bottom w:val="none" w:sz="0" w:space="0" w:color="auto"/>
                    <w:right w:val="none" w:sz="0" w:space="0" w:color="auto"/>
                  </w:divBdr>
                  <w:divsChild>
                    <w:div w:id="942689934">
                      <w:marLeft w:val="0"/>
                      <w:marRight w:val="0"/>
                      <w:marTop w:val="0"/>
                      <w:marBottom w:val="0"/>
                      <w:divBdr>
                        <w:top w:val="none" w:sz="0" w:space="0" w:color="auto"/>
                        <w:left w:val="none" w:sz="0" w:space="0" w:color="auto"/>
                        <w:bottom w:val="none" w:sz="0" w:space="0" w:color="auto"/>
                        <w:right w:val="none" w:sz="0" w:space="0" w:color="auto"/>
                      </w:divBdr>
                    </w:div>
                  </w:divsChild>
                </w:div>
                <w:div w:id="1274898707">
                  <w:marLeft w:val="0"/>
                  <w:marRight w:val="0"/>
                  <w:marTop w:val="0"/>
                  <w:marBottom w:val="0"/>
                  <w:divBdr>
                    <w:top w:val="none" w:sz="0" w:space="0" w:color="auto"/>
                    <w:left w:val="none" w:sz="0" w:space="0" w:color="auto"/>
                    <w:bottom w:val="none" w:sz="0" w:space="0" w:color="auto"/>
                    <w:right w:val="none" w:sz="0" w:space="0" w:color="auto"/>
                  </w:divBdr>
                  <w:divsChild>
                    <w:div w:id="518934582">
                      <w:marLeft w:val="0"/>
                      <w:marRight w:val="0"/>
                      <w:marTop w:val="0"/>
                      <w:marBottom w:val="0"/>
                      <w:divBdr>
                        <w:top w:val="none" w:sz="0" w:space="0" w:color="auto"/>
                        <w:left w:val="none" w:sz="0" w:space="0" w:color="auto"/>
                        <w:bottom w:val="none" w:sz="0" w:space="0" w:color="auto"/>
                        <w:right w:val="none" w:sz="0" w:space="0" w:color="auto"/>
                      </w:divBdr>
                    </w:div>
                  </w:divsChild>
                </w:div>
                <w:div w:id="1274899297">
                  <w:marLeft w:val="0"/>
                  <w:marRight w:val="0"/>
                  <w:marTop w:val="0"/>
                  <w:marBottom w:val="0"/>
                  <w:divBdr>
                    <w:top w:val="none" w:sz="0" w:space="0" w:color="auto"/>
                    <w:left w:val="none" w:sz="0" w:space="0" w:color="auto"/>
                    <w:bottom w:val="none" w:sz="0" w:space="0" w:color="auto"/>
                    <w:right w:val="none" w:sz="0" w:space="0" w:color="auto"/>
                  </w:divBdr>
                  <w:divsChild>
                    <w:div w:id="1956985885">
                      <w:marLeft w:val="0"/>
                      <w:marRight w:val="0"/>
                      <w:marTop w:val="0"/>
                      <w:marBottom w:val="0"/>
                      <w:divBdr>
                        <w:top w:val="none" w:sz="0" w:space="0" w:color="auto"/>
                        <w:left w:val="none" w:sz="0" w:space="0" w:color="auto"/>
                        <w:bottom w:val="none" w:sz="0" w:space="0" w:color="auto"/>
                        <w:right w:val="none" w:sz="0" w:space="0" w:color="auto"/>
                      </w:divBdr>
                    </w:div>
                  </w:divsChild>
                </w:div>
                <w:div w:id="1316447154">
                  <w:marLeft w:val="0"/>
                  <w:marRight w:val="0"/>
                  <w:marTop w:val="0"/>
                  <w:marBottom w:val="0"/>
                  <w:divBdr>
                    <w:top w:val="none" w:sz="0" w:space="0" w:color="auto"/>
                    <w:left w:val="none" w:sz="0" w:space="0" w:color="auto"/>
                    <w:bottom w:val="none" w:sz="0" w:space="0" w:color="auto"/>
                    <w:right w:val="none" w:sz="0" w:space="0" w:color="auto"/>
                  </w:divBdr>
                  <w:divsChild>
                    <w:div w:id="1839538897">
                      <w:marLeft w:val="0"/>
                      <w:marRight w:val="0"/>
                      <w:marTop w:val="0"/>
                      <w:marBottom w:val="0"/>
                      <w:divBdr>
                        <w:top w:val="none" w:sz="0" w:space="0" w:color="auto"/>
                        <w:left w:val="none" w:sz="0" w:space="0" w:color="auto"/>
                        <w:bottom w:val="none" w:sz="0" w:space="0" w:color="auto"/>
                        <w:right w:val="none" w:sz="0" w:space="0" w:color="auto"/>
                      </w:divBdr>
                    </w:div>
                  </w:divsChild>
                </w:div>
                <w:div w:id="1338389829">
                  <w:marLeft w:val="0"/>
                  <w:marRight w:val="0"/>
                  <w:marTop w:val="0"/>
                  <w:marBottom w:val="0"/>
                  <w:divBdr>
                    <w:top w:val="none" w:sz="0" w:space="0" w:color="auto"/>
                    <w:left w:val="none" w:sz="0" w:space="0" w:color="auto"/>
                    <w:bottom w:val="none" w:sz="0" w:space="0" w:color="auto"/>
                    <w:right w:val="none" w:sz="0" w:space="0" w:color="auto"/>
                  </w:divBdr>
                  <w:divsChild>
                    <w:div w:id="21320802">
                      <w:marLeft w:val="0"/>
                      <w:marRight w:val="0"/>
                      <w:marTop w:val="0"/>
                      <w:marBottom w:val="0"/>
                      <w:divBdr>
                        <w:top w:val="none" w:sz="0" w:space="0" w:color="auto"/>
                        <w:left w:val="none" w:sz="0" w:space="0" w:color="auto"/>
                        <w:bottom w:val="none" w:sz="0" w:space="0" w:color="auto"/>
                        <w:right w:val="none" w:sz="0" w:space="0" w:color="auto"/>
                      </w:divBdr>
                    </w:div>
                  </w:divsChild>
                </w:div>
                <w:div w:id="1338725469">
                  <w:marLeft w:val="0"/>
                  <w:marRight w:val="0"/>
                  <w:marTop w:val="0"/>
                  <w:marBottom w:val="0"/>
                  <w:divBdr>
                    <w:top w:val="none" w:sz="0" w:space="0" w:color="auto"/>
                    <w:left w:val="none" w:sz="0" w:space="0" w:color="auto"/>
                    <w:bottom w:val="none" w:sz="0" w:space="0" w:color="auto"/>
                    <w:right w:val="none" w:sz="0" w:space="0" w:color="auto"/>
                  </w:divBdr>
                  <w:divsChild>
                    <w:div w:id="2021470854">
                      <w:marLeft w:val="0"/>
                      <w:marRight w:val="0"/>
                      <w:marTop w:val="0"/>
                      <w:marBottom w:val="0"/>
                      <w:divBdr>
                        <w:top w:val="none" w:sz="0" w:space="0" w:color="auto"/>
                        <w:left w:val="none" w:sz="0" w:space="0" w:color="auto"/>
                        <w:bottom w:val="none" w:sz="0" w:space="0" w:color="auto"/>
                        <w:right w:val="none" w:sz="0" w:space="0" w:color="auto"/>
                      </w:divBdr>
                    </w:div>
                  </w:divsChild>
                </w:div>
                <w:div w:id="1345399415">
                  <w:marLeft w:val="0"/>
                  <w:marRight w:val="0"/>
                  <w:marTop w:val="0"/>
                  <w:marBottom w:val="0"/>
                  <w:divBdr>
                    <w:top w:val="none" w:sz="0" w:space="0" w:color="auto"/>
                    <w:left w:val="none" w:sz="0" w:space="0" w:color="auto"/>
                    <w:bottom w:val="none" w:sz="0" w:space="0" w:color="auto"/>
                    <w:right w:val="none" w:sz="0" w:space="0" w:color="auto"/>
                  </w:divBdr>
                  <w:divsChild>
                    <w:div w:id="1209342189">
                      <w:marLeft w:val="0"/>
                      <w:marRight w:val="0"/>
                      <w:marTop w:val="0"/>
                      <w:marBottom w:val="0"/>
                      <w:divBdr>
                        <w:top w:val="none" w:sz="0" w:space="0" w:color="auto"/>
                        <w:left w:val="none" w:sz="0" w:space="0" w:color="auto"/>
                        <w:bottom w:val="none" w:sz="0" w:space="0" w:color="auto"/>
                        <w:right w:val="none" w:sz="0" w:space="0" w:color="auto"/>
                      </w:divBdr>
                    </w:div>
                  </w:divsChild>
                </w:div>
                <w:div w:id="1363167076">
                  <w:marLeft w:val="0"/>
                  <w:marRight w:val="0"/>
                  <w:marTop w:val="0"/>
                  <w:marBottom w:val="0"/>
                  <w:divBdr>
                    <w:top w:val="none" w:sz="0" w:space="0" w:color="auto"/>
                    <w:left w:val="none" w:sz="0" w:space="0" w:color="auto"/>
                    <w:bottom w:val="none" w:sz="0" w:space="0" w:color="auto"/>
                    <w:right w:val="none" w:sz="0" w:space="0" w:color="auto"/>
                  </w:divBdr>
                  <w:divsChild>
                    <w:div w:id="120266279">
                      <w:marLeft w:val="0"/>
                      <w:marRight w:val="0"/>
                      <w:marTop w:val="0"/>
                      <w:marBottom w:val="0"/>
                      <w:divBdr>
                        <w:top w:val="none" w:sz="0" w:space="0" w:color="auto"/>
                        <w:left w:val="none" w:sz="0" w:space="0" w:color="auto"/>
                        <w:bottom w:val="none" w:sz="0" w:space="0" w:color="auto"/>
                        <w:right w:val="none" w:sz="0" w:space="0" w:color="auto"/>
                      </w:divBdr>
                    </w:div>
                  </w:divsChild>
                </w:div>
                <w:div w:id="1364138212">
                  <w:marLeft w:val="0"/>
                  <w:marRight w:val="0"/>
                  <w:marTop w:val="0"/>
                  <w:marBottom w:val="0"/>
                  <w:divBdr>
                    <w:top w:val="none" w:sz="0" w:space="0" w:color="auto"/>
                    <w:left w:val="none" w:sz="0" w:space="0" w:color="auto"/>
                    <w:bottom w:val="none" w:sz="0" w:space="0" w:color="auto"/>
                    <w:right w:val="none" w:sz="0" w:space="0" w:color="auto"/>
                  </w:divBdr>
                  <w:divsChild>
                    <w:div w:id="405811679">
                      <w:marLeft w:val="0"/>
                      <w:marRight w:val="0"/>
                      <w:marTop w:val="0"/>
                      <w:marBottom w:val="0"/>
                      <w:divBdr>
                        <w:top w:val="none" w:sz="0" w:space="0" w:color="auto"/>
                        <w:left w:val="none" w:sz="0" w:space="0" w:color="auto"/>
                        <w:bottom w:val="none" w:sz="0" w:space="0" w:color="auto"/>
                        <w:right w:val="none" w:sz="0" w:space="0" w:color="auto"/>
                      </w:divBdr>
                    </w:div>
                  </w:divsChild>
                </w:div>
                <w:div w:id="1390500194">
                  <w:marLeft w:val="0"/>
                  <w:marRight w:val="0"/>
                  <w:marTop w:val="0"/>
                  <w:marBottom w:val="0"/>
                  <w:divBdr>
                    <w:top w:val="none" w:sz="0" w:space="0" w:color="auto"/>
                    <w:left w:val="none" w:sz="0" w:space="0" w:color="auto"/>
                    <w:bottom w:val="none" w:sz="0" w:space="0" w:color="auto"/>
                    <w:right w:val="none" w:sz="0" w:space="0" w:color="auto"/>
                  </w:divBdr>
                  <w:divsChild>
                    <w:div w:id="560138666">
                      <w:marLeft w:val="0"/>
                      <w:marRight w:val="0"/>
                      <w:marTop w:val="0"/>
                      <w:marBottom w:val="0"/>
                      <w:divBdr>
                        <w:top w:val="none" w:sz="0" w:space="0" w:color="auto"/>
                        <w:left w:val="none" w:sz="0" w:space="0" w:color="auto"/>
                        <w:bottom w:val="none" w:sz="0" w:space="0" w:color="auto"/>
                        <w:right w:val="none" w:sz="0" w:space="0" w:color="auto"/>
                      </w:divBdr>
                    </w:div>
                  </w:divsChild>
                </w:div>
                <w:div w:id="1406956697">
                  <w:marLeft w:val="0"/>
                  <w:marRight w:val="0"/>
                  <w:marTop w:val="0"/>
                  <w:marBottom w:val="0"/>
                  <w:divBdr>
                    <w:top w:val="none" w:sz="0" w:space="0" w:color="auto"/>
                    <w:left w:val="none" w:sz="0" w:space="0" w:color="auto"/>
                    <w:bottom w:val="none" w:sz="0" w:space="0" w:color="auto"/>
                    <w:right w:val="none" w:sz="0" w:space="0" w:color="auto"/>
                  </w:divBdr>
                  <w:divsChild>
                    <w:div w:id="1439333744">
                      <w:marLeft w:val="0"/>
                      <w:marRight w:val="0"/>
                      <w:marTop w:val="0"/>
                      <w:marBottom w:val="0"/>
                      <w:divBdr>
                        <w:top w:val="none" w:sz="0" w:space="0" w:color="auto"/>
                        <w:left w:val="none" w:sz="0" w:space="0" w:color="auto"/>
                        <w:bottom w:val="none" w:sz="0" w:space="0" w:color="auto"/>
                        <w:right w:val="none" w:sz="0" w:space="0" w:color="auto"/>
                      </w:divBdr>
                    </w:div>
                  </w:divsChild>
                </w:div>
                <w:div w:id="1429078131">
                  <w:marLeft w:val="0"/>
                  <w:marRight w:val="0"/>
                  <w:marTop w:val="0"/>
                  <w:marBottom w:val="0"/>
                  <w:divBdr>
                    <w:top w:val="none" w:sz="0" w:space="0" w:color="auto"/>
                    <w:left w:val="none" w:sz="0" w:space="0" w:color="auto"/>
                    <w:bottom w:val="none" w:sz="0" w:space="0" w:color="auto"/>
                    <w:right w:val="none" w:sz="0" w:space="0" w:color="auto"/>
                  </w:divBdr>
                  <w:divsChild>
                    <w:div w:id="229854142">
                      <w:marLeft w:val="0"/>
                      <w:marRight w:val="0"/>
                      <w:marTop w:val="0"/>
                      <w:marBottom w:val="0"/>
                      <w:divBdr>
                        <w:top w:val="none" w:sz="0" w:space="0" w:color="auto"/>
                        <w:left w:val="none" w:sz="0" w:space="0" w:color="auto"/>
                        <w:bottom w:val="none" w:sz="0" w:space="0" w:color="auto"/>
                        <w:right w:val="none" w:sz="0" w:space="0" w:color="auto"/>
                      </w:divBdr>
                    </w:div>
                  </w:divsChild>
                </w:div>
                <w:div w:id="1433821603">
                  <w:marLeft w:val="0"/>
                  <w:marRight w:val="0"/>
                  <w:marTop w:val="0"/>
                  <w:marBottom w:val="0"/>
                  <w:divBdr>
                    <w:top w:val="none" w:sz="0" w:space="0" w:color="auto"/>
                    <w:left w:val="none" w:sz="0" w:space="0" w:color="auto"/>
                    <w:bottom w:val="none" w:sz="0" w:space="0" w:color="auto"/>
                    <w:right w:val="none" w:sz="0" w:space="0" w:color="auto"/>
                  </w:divBdr>
                  <w:divsChild>
                    <w:div w:id="1649506344">
                      <w:marLeft w:val="0"/>
                      <w:marRight w:val="0"/>
                      <w:marTop w:val="0"/>
                      <w:marBottom w:val="0"/>
                      <w:divBdr>
                        <w:top w:val="none" w:sz="0" w:space="0" w:color="auto"/>
                        <w:left w:val="none" w:sz="0" w:space="0" w:color="auto"/>
                        <w:bottom w:val="none" w:sz="0" w:space="0" w:color="auto"/>
                        <w:right w:val="none" w:sz="0" w:space="0" w:color="auto"/>
                      </w:divBdr>
                    </w:div>
                  </w:divsChild>
                </w:div>
                <w:div w:id="1436050839">
                  <w:marLeft w:val="0"/>
                  <w:marRight w:val="0"/>
                  <w:marTop w:val="0"/>
                  <w:marBottom w:val="0"/>
                  <w:divBdr>
                    <w:top w:val="none" w:sz="0" w:space="0" w:color="auto"/>
                    <w:left w:val="none" w:sz="0" w:space="0" w:color="auto"/>
                    <w:bottom w:val="none" w:sz="0" w:space="0" w:color="auto"/>
                    <w:right w:val="none" w:sz="0" w:space="0" w:color="auto"/>
                  </w:divBdr>
                  <w:divsChild>
                    <w:div w:id="1803108926">
                      <w:marLeft w:val="0"/>
                      <w:marRight w:val="0"/>
                      <w:marTop w:val="0"/>
                      <w:marBottom w:val="0"/>
                      <w:divBdr>
                        <w:top w:val="none" w:sz="0" w:space="0" w:color="auto"/>
                        <w:left w:val="none" w:sz="0" w:space="0" w:color="auto"/>
                        <w:bottom w:val="none" w:sz="0" w:space="0" w:color="auto"/>
                        <w:right w:val="none" w:sz="0" w:space="0" w:color="auto"/>
                      </w:divBdr>
                    </w:div>
                  </w:divsChild>
                </w:div>
                <w:div w:id="1485316582">
                  <w:marLeft w:val="0"/>
                  <w:marRight w:val="0"/>
                  <w:marTop w:val="0"/>
                  <w:marBottom w:val="0"/>
                  <w:divBdr>
                    <w:top w:val="none" w:sz="0" w:space="0" w:color="auto"/>
                    <w:left w:val="none" w:sz="0" w:space="0" w:color="auto"/>
                    <w:bottom w:val="none" w:sz="0" w:space="0" w:color="auto"/>
                    <w:right w:val="none" w:sz="0" w:space="0" w:color="auto"/>
                  </w:divBdr>
                  <w:divsChild>
                    <w:div w:id="691104221">
                      <w:marLeft w:val="0"/>
                      <w:marRight w:val="0"/>
                      <w:marTop w:val="0"/>
                      <w:marBottom w:val="0"/>
                      <w:divBdr>
                        <w:top w:val="none" w:sz="0" w:space="0" w:color="auto"/>
                        <w:left w:val="none" w:sz="0" w:space="0" w:color="auto"/>
                        <w:bottom w:val="none" w:sz="0" w:space="0" w:color="auto"/>
                        <w:right w:val="none" w:sz="0" w:space="0" w:color="auto"/>
                      </w:divBdr>
                    </w:div>
                  </w:divsChild>
                </w:div>
                <w:div w:id="1489516038">
                  <w:marLeft w:val="0"/>
                  <w:marRight w:val="0"/>
                  <w:marTop w:val="0"/>
                  <w:marBottom w:val="0"/>
                  <w:divBdr>
                    <w:top w:val="none" w:sz="0" w:space="0" w:color="auto"/>
                    <w:left w:val="none" w:sz="0" w:space="0" w:color="auto"/>
                    <w:bottom w:val="none" w:sz="0" w:space="0" w:color="auto"/>
                    <w:right w:val="none" w:sz="0" w:space="0" w:color="auto"/>
                  </w:divBdr>
                  <w:divsChild>
                    <w:div w:id="1589802231">
                      <w:marLeft w:val="0"/>
                      <w:marRight w:val="0"/>
                      <w:marTop w:val="0"/>
                      <w:marBottom w:val="0"/>
                      <w:divBdr>
                        <w:top w:val="none" w:sz="0" w:space="0" w:color="auto"/>
                        <w:left w:val="none" w:sz="0" w:space="0" w:color="auto"/>
                        <w:bottom w:val="none" w:sz="0" w:space="0" w:color="auto"/>
                        <w:right w:val="none" w:sz="0" w:space="0" w:color="auto"/>
                      </w:divBdr>
                    </w:div>
                  </w:divsChild>
                </w:div>
                <w:div w:id="1521435393">
                  <w:marLeft w:val="0"/>
                  <w:marRight w:val="0"/>
                  <w:marTop w:val="0"/>
                  <w:marBottom w:val="0"/>
                  <w:divBdr>
                    <w:top w:val="none" w:sz="0" w:space="0" w:color="auto"/>
                    <w:left w:val="none" w:sz="0" w:space="0" w:color="auto"/>
                    <w:bottom w:val="none" w:sz="0" w:space="0" w:color="auto"/>
                    <w:right w:val="none" w:sz="0" w:space="0" w:color="auto"/>
                  </w:divBdr>
                  <w:divsChild>
                    <w:div w:id="1236822019">
                      <w:marLeft w:val="0"/>
                      <w:marRight w:val="0"/>
                      <w:marTop w:val="0"/>
                      <w:marBottom w:val="0"/>
                      <w:divBdr>
                        <w:top w:val="none" w:sz="0" w:space="0" w:color="auto"/>
                        <w:left w:val="none" w:sz="0" w:space="0" w:color="auto"/>
                        <w:bottom w:val="none" w:sz="0" w:space="0" w:color="auto"/>
                        <w:right w:val="none" w:sz="0" w:space="0" w:color="auto"/>
                      </w:divBdr>
                    </w:div>
                  </w:divsChild>
                </w:div>
                <w:div w:id="1526677649">
                  <w:marLeft w:val="0"/>
                  <w:marRight w:val="0"/>
                  <w:marTop w:val="0"/>
                  <w:marBottom w:val="0"/>
                  <w:divBdr>
                    <w:top w:val="none" w:sz="0" w:space="0" w:color="auto"/>
                    <w:left w:val="none" w:sz="0" w:space="0" w:color="auto"/>
                    <w:bottom w:val="none" w:sz="0" w:space="0" w:color="auto"/>
                    <w:right w:val="none" w:sz="0" w:space="0" w:color="auto"/>
                  </w:divBdr>
                  <w:divsChild>
                    <w:div w:id="879629082">
                      <w:marLeft w:val="0"/>
                      <w:marRight w:val="0"/>
                      <w:marTop w:val="0"/>
                      <w:marBottom w:val="0"/>
                      <w:divBdr>
                        <w:top w:val="none" w:sz="0" w:space="0" w:color="auto"/>
                        <w:left w:val="none" w:sz="0" w:space="0" w:color="auto"/>
                        <w:bottom w:val="none" w:sz="0" w:space="0" w:color="auto"/>
                        <w:right w:val="none" w:sz="0" w:space="0" w:color="auto"/>
                      </w:divBdr>
                    </w:div>
                  </w:divsChild>
                </w:div>
                <w:div w:id="1530530278">
                  <w:marLeft w:val="0"/>
                  <w:marRight w:val="0"/>
                  <w:marTop w:val="0"/>
                  <w:marBottom w:val="0"/>
                  <w:divBdr>
                    <w:top w:val="none" w:sz="0" w:space="0" w:color="auto"/>
                    <w:left w:val="none" w:sz="0" w:space="0" w:color="auto"/>
                    <w:bottom w:val="none" w:sz="0" w:space="0" w:color="auto"/>
                    <w:right w:val="none" w:sz="0" w:space="0" w:color="auto"/>
                  </w:divBdr>
                  <w:divsChild>
                    <w:div w:id="967933459">
                      <w:marLeft w:val="0"/>
                      <w:marRight w:val="0"/>
                      <w:marTop w:val="0"/>
                      <w:marBottom w:val="0"/>
                      <w:divBdr>
                        <w:top w:val="none" w:sz="0" w:space="0" w:color="auto"/>
                        <w:left w:val="none" w:sz="0" w:space="0" w:color="auto"/>
                        <w:bottom w:val="none" w:sz="0" w:space="0" w:color="auto"/>
                        <w:right w:val="none" w:sz="0" w:space="0" w:color="auto"/>
                      </w:divBdr>
                    </w:div>
                  </w:divsChild>
                </w:div>
                <w:div w:id="1532691783">
                  <w:marLeft w:val="0"/>
                  <w:marRight w:val="0"/>
                  <w:marTop w:val="0"/>
                  <w:marBottom w:val="0"/>
                  <w:divBdr>
                    <w:top w:val="none" w:sz="0" w:space="0" w:color="auto"/>
                    <w:left w:val="none" w:sz="0" w:space="0" w:color="auto"/>
                    <w:bottom w:val="none" w:sz="0" w:space="0" w:color="auto"/>
                    <w:right w:val="none" w:sz="0" w:space="0" w:color="auto"/>
                  </w:divBdr>
                  <w:divsChild>
                    <w:div w:id="641547057">
                      <w:marLeft w:val="0"/>
                      <w:marRight w:val="0"/>
                      <w:marTop w:val="0"/>
                      <w:marBottom w:val="0"/>
                      <w:divBdr>
                        <w:top w:val="none" w:sz="0" w:space="0" w:color="auto"/>
                        <w:left w:val="none" w:sz="0" w:space="0" w:color="auto"/>
                        <w:bottom w:val="none" w:sz="0" w:space="0" w:color="auto"/>
                        <w:right w:val="none" w:sz="0" w:space="0" w:color="auto"/>
                      </w:divBdr>
                    </w:div>
                  </w:divsChild>
                </w:div>
                <w:div w:id="1538469060">
                  <w:marLeft w:val="0"/>
                  <w:marRight w:val="0"/>
                  <w:marTop w:val="0"/>
                  <w:marBottom w:val="0"/>
                  <w:divBdr>
                    <w:top w:val="none" w:sz="0" w:space="0" w:color="auto"/>
                    <w:left w:val="none" w:sz="0" w:space="0" w:color="auto"/>
                    <w:bottom w:val="none" w:sz="0" w:space="0" w:color="auto"/>
                    <w:right w:val="none" w:sz="0" w:space="0" w:color="auto"/>
                  </w:divBdr>
                  <w:divsChild>
                    <w:div w:id="577445726">
                      <w:marLeft w:val="0"/>
                      <w:marRight w:val="0"/>
                      <w:marTop w:val="0"/>
                      <w:marBottom w:val="0"/>
                      <w:divBdr>
                        <w:top w:val="none" w:sz="0" w:space="0" w:color="auto"/>
                        <w:left w:val="none" w:sz="0" w:space="0" w:color="auto"/>
                        <w:bottom w:val="none" w:sz="0" w:space="0" w:color="auto"/>
                        <w:right w:val="none" w:sz="0" w:space="0" w:color="auto"/>
                      </w:divBdr>
                    </w:div>
                  </w:divsChild>
                </w:div>
                <w:div w:id="1559588973">
                  <w:marLeft w:val="0"/>
                  <w:marRight w:val="0"/>
                  <w:marTop w:val="0"/>
                  <w:marBottom w:val="0"/>
                  <w:divBdr>
                    <w:top w:val="none" w:sz="0" w:space="0" w:color="auto"/>
                    <w:left w:val="none" w:sz="0" w:space="0" w:color="auto"/>
                    <w:bottom w:val="none" w:sz="0" w:space="0" w:color="auto"/>
                    <w:right w:val="none" w:sz="0" w:space="0" w:color="auto"/>
                  </w:divBdr>
                  <w:divsChild>
                    <w:div w:id="1709791948">
                      <w:marLeft w:val="0"/>
                      <w:marRight w:val="0"/>
                      <w:marTop w:val="0"/>
                      <w:marBottom w:val="0"/>
                      <w:divBdr>
                        <w:top w:val="none" w:sz="0" w:space="0" w:color="auto"/>
                        <w:left w:val="none" w:sz="0" w:space="0" w:color="auto"/>
                        <w:bottom w:val="none" w:sz="0" w:space="0" w:color="auto"/>
                        <w:right w:val="none" w:sz="0" w:space="0" w:color="auto"/>
                      </w:divBdr>
                    </w:div>
                  </w:divsChild>
                </w:div>
                <w:div w:id="1583760968">
                  <w:marLeft w:val="0"/>
                  <w:marRight w:val="0"/>
                  <w:marTop w:val="0"/>
                  <w:marBottom w:val="0"/>
                  <w:divBdr>
                    <w:top w:val="none" w:sz="0" w:space="0" w:color="auto"/>
                    <w:left w:val="none" w:sz="0" w:space="0" w:color="auto"/>
                    <w:bottom w:val="none" w:sz="0" w:space="0" w:color="auto"/>
                    <w:right w:val="none" w:sz="0" w:space="0" w:color="auto"/>
                  </w:divBdr>
                  <w:divsChild>
                    <w:div w:id="705985634">
                      <w:marLeft w:val="0"/>
                      <w:marRight w:val="0"/>
                      <w:marTop w:val="0"/>
                      <w:marBottom w:val="0"/>
                      <w:divBdr>
                        <w:top w:val="none" w:sz="0" w:space="0" w:color="auto"/>
                        <w:left w:val="none" w:sz="0" w:space="0" w:color="auto"/>
                        <w:bottom w:val="none" w:sz="0" w:space="0" w:color="auto"/>
                        <w:right w:val="none" w:sz="0" w:space="0" w:color="auto"/>
                      </w:divBdr>
                    </w:div>
                  </w:divsChild>
                </w:div>
                <w:div w:id="1606887511">
                  <w:marLeft w:val="0"/>
                  <w:marRight w:val="0"/>
                  <w:marTop w:val="0"/>
                  <w:marBottom w:val="0"/>
                  <w:divBdr>
                    <w:top w:val="none" w:sz="0" w:space="0" w:color="auto"/>
                    <w:left w:val="none" w:sz="0" w:space="0" w:color="auto"/>
                    <w:bottom w:val="none" w:sz="0" w:space="0" w:color="auto"/>
                    <w:right w:val="none" w:sz="0" w:space="0" w:color="auto"/>
                  </w:divBdr>
                  <w:divsChild>
                    <w:div w:id="1439180471">
                      <w:marLeft w:val="0"/>
                      <w:marRight w:val="0"/>
                      <w:marTop w:val="0"/>
                      <w:marBottom w:val="0"/>
                      <w:divBdr>
                        <w:top w:val="none" w:sz="0" w:space="0" w:color="auto"/>
                        <w:left w:val="none" w:sz="0" w:space="0" w:color="auto"/>
                        <w:bottom w:val="none" w:sz="0" w:space="0" w:color="auto"/>
                        <w:right w:val="none" w:sz="0" w:space="0" w:color="auto"/>
                      </w:divBdr>
                    </w:div>
                  </w:divsChild>
                </w:div>
                <w:div w:id="1611858993">
                  <w:marLeft w:val="0"/>
                  <w:marRight w:val="0"/>
                  <w:marTop w:val="0"/>
                  <w:marBottom w:val="0"/>
                  <w:divBdr>
                    <w:top w:val="none" w:sz="0" w:space="0" w:color="auto"/>
                    <w:left w:val="none" w:sz="0" w:space="0" w:color="auto"/>
                    <w:bottom w:val="none" w:sz="0" w:space="0" w:color="auto"/>
                    <w:right w:val="none" w:sz="0" w:space="0" w:color="auto"/>
                  </w:divBdr>
                  <w:divsChild>
                    <w:div w:id="277832089">
                      <w:marLeft w:val="0"/>
                      <w:marRight w:val="0"/>
                      <w:marTop w:val="0"/>
                      <w:marBottom w:val="0"/>
                      <w:divBdr>
                        <w:top w:val="none" w:sz="0" w:space="0" w:color="auto"/>
                        <w:left w:val="none" w:sz="0" w:space="0" w:color="auto"/>
                        <w:bottom w:val="none" w:sz="0" w:space="0" w:color="auto"/>
                        <w:right w:val="none" w:sz="0" w:space="0" w:color="auto"/>
                      </w:divBdr>
                    </w:div>
                  </w:divsChild>
                </w:div>
                <w:div w:id="1638414910">
                  <w:marLeft w:val="0"/>
                  <w:marRight w:val="0"/>
                  <w:marTop w:val="0"/>
                  <w:marBottom w:val="0"/>
                  <w:divBdr>
                    <w:top w:val="none" w:sz="0" w:space="0" w:color="auto"/>
                    <w:left w:val="none" w:sz="0" w:space="0" w:color="auto"/>
                    <w:bottom w:val="none" w:sz="0" w:space="0" w:color="auto"/>
                    <w:right w:val="none" w:sz="0" w:space="0" w:color="auto"/>
                  </w:divBdr>
                  <w:divsChild>
                    <w:div w:id="2006400497">
                      <w:marLeft w:val="0"/>
                      <w:marRight w:val="0"/>
                      <w:marTop w:val="0"/>
                      <w:marBottom w:val="0"/>
                      <w:divBdr>
                        <w:top w:val="none" w:sz="0" w:space="0" w:color="auto"/>
                        <w:left w:val="none" w:sz="0" w:space="0" w:color="auto"/>
                        <w:bottom w:val="none" w:sz="0" w:space="0" w:color="auto"/>
                        <w:right w:val="none" w:sz="0" w:space="0" w:color="auto"/>
                      </w:divBdr>
                    </w:div>
                  </w:divsChild>
                </w:div>
                <w:div w:id="1643342408">
                  <w:marLeft w:val="0"/>
                  <w:marRight w:val="0"/>
                  <w:marTop w:val="0"/>
                  <w:marBottom w:val="0"/>
                  <w:divBdr>
                    <w:top w:val="none" w:sz="0" w:space="0" w:color="auto"/>
                    <w:left w:val="none" w:sz="0" w:space="0" w:color="auto"/>
                    <w:bottom w:val="none" w:sz="0" w:space="0" w:color="auto"/>
                    <w:right w:val="none" w:sz="0" w:space="0" w:color="auto"/>
                  </w:divBdr>
                  <w:divsChild>
                    <w:div w:id="676613988">
                      <w:marLeft w:val="0"/>
                      <w:marRight w:val="0"/>
                      <w:marTop w:val="0"/>
                      <w:marBottom w:val="0"/>
                      <w:divBdr>
                        <w:top w:val="none" w:sz="0" w:space="0" w:color="auto"/>
                        <w:left w:val="none" w:sz="0" w:space="0" w:color="auto"/>
                        <w:bottom w:val="none" w:sz="0" w:space="0" w:color="auto"/>
                        <w:right w:val="none" w:sz="0" w:space="0" w:color="auto"/>
                      </w:divBdr>
                    </w:div>
                  </w:divsChild>
                </w:div>
                <w:div w:id="1645433165">
                  <w:marLeft w:val="0"/>
                  <w:marRight w:val="0"/>
                  <w:marTop w:val="0"/>
                  <w:marBottom w:val="0"/>
                  <w:divBdr>
                    <w:top w:val="none" w:sz="0" w:space="0" w:color="auto"/>
                    <w:left w:val="none" w:sz="0" w:space="0" w:color="auto"/>
                    <w:bottom w:val="none" w:sz="0" w:space="0" w:color="auto"/>
                    <w:right w:val="none" w:sz="0" w:space="0" w:color="auto"/>
                  </w:divBdr>
                  <w:divsChild>
                    <w:div w:id="999308602">
                      <w:marLeft w:val="0"/>
                      <w:marRight w:val="0"/>
                      <w:marTop w:val="0"/>
                      <w:marBottom w:val="0"/>
                      <w:divBdr>
                        <w:top w:val="none" w:sz="0" w:space="0" w:color="auto"/>
                        <w:left w:val="none" w:sz="0" w:space="0" w:color="auto"/>
                        <w:bottom w:val="none" w:sz="0" w:space="0" w:color="auto"/>
                        <w:right w:val="none" w:sz="0" w:space="0" w:color="auto"/>
                      </w:divBdr>
                    </w:div>
                  </w:divsChild>
                </w:div>
                <w:div w:id="1645767541">
                  <w:marLeft w:val="0"/>
                  <w:marRight w:val="0"/>
                  <w:marTop w:val="0"/>
                  <w:marBottom w:val="0"/>
                  <w:divBdr>
                    <w:top w:val="none" w:sz="0" w:space="0" w:color="auto"/>
                    <w:left w:val="none" w:sz="0" w:space="0" w:color="auto"/>
                    <w:bottom w:val="none" w:sz="0" w:space="0" w:color="auto"/>
                    <w:right w:val="none" w:sz="0" w:space="0" w:color="auto"/>
                  </w:divBdr>
                  <w:divsChild>
                    <w:div w:id="1416315301">
                      <w:marLeft w:val="0"/>
                      <w:marRight w:val="0"/>
                      <w:marTop w:val="0"/>
                      <w:marBottom w:val="0"/>
                      <w:divBdr>
                        <w:top w:val="none" w:sz="0" w:space="0" w:color="auto"/>
                        <w:left w:val="none" w:sz="0" w:space="0" w:color="auto"/>
                        <w:bottom w:val="none" w:sz="0" w:space="0" w:color="auto"/>
                        <w:right w:val="none" w:sz="0" w:space="0" w:color="auto"/>
                      </w:divBdr>
                    </w:div>
                  </w:divsChild>
                </w:div>
                <w:div w:id="1648121262">
                  <w:marLeft w:val="0"/>
                  <w:marRight w:val="0"/>
                  <w:marTop w:val="0"/>
                  <w:marBottom w:val="0"/>
                  <w:divBdr>
                    <w:top w:val="none" w:sz="0" w:space="0" w:color="auto"/>
                    <w:left w:val="none" w:sz="0" w:space="0" w:color="auto"/>
                    <w:bottom w:val="none" w:sz="0" w:space="0" w:color="auto"/>
                    <w:right w:val="none" w:sz="0" w:space="0" w:color="auto"/>
                  </w:divBdr>
                  <w:divsChild>
                    <w:div w:id="699010825">
                      <w:marLeft w:val="0"/>
                      <w:marRight w:val="0"/>
                      <w:marTop w:val="0"/>
                      <w:marBottom w:val="0"/>
                      <w:divBdr>
                        <w:top w:val="none" w:sz="0" w:space="0" w:color="auto"/>
                        <w:left w:val="none" w:sz="0" w:space="0" w:color="auto"/>
                        <w:bottom w:val="none" w:sz="0" w:space="0" w:color="auto"/>
                        <w:right w:val="none" w:sz="0" w:space="0" w:color="auto"/>
                      </w:divBdr>
                    </w:div>
                  </w:divsChild>
                </w:div>
                <w:div w:id="1662271190">
                  <w:marLeft w:val="0"/>
                  <w:marRight w:val="0"/>
                  <w:marTop w:val="0"/>
                  <w:marBottom w:val="0"/>
                  <w:divBdr>
                    <w:top w:val="none" w:sz="0" w:space="0" w:color="auto"/>
                    <w:left w:val="none" w:sz="0" w:space="0" w:color="auto"/>
                    <w:bottom w:val="none" w:sz="0" w:space="0" w:color="auto"/>
                    <w:right w:val="none" w:sz="0" w:space="0" w:color="auto"/>
                  </w:divBdr>
                  <w:divsChild>
                    <w:div w:id="92020180">
                      <w:marLeft w:val="0"/>
                      <w:marRight w:val="0"/>
                      <w:marTop w:val="0"/>
                      <w:marBottom w:val="0"/>
                      <w:divBdr>
                        <w:top w:val="none" w:sz="0" w:space="0" w:color="auto"/>
                        <w:left w:val="none" w:sz="0" w:space="0" w:color="auto"/>
                        <w:bottom w:val="none" w:sz="0" w:space="0" w:color="auto"/>
                        <w:right w:val="none" w:sz="0" w:space="0" w:color="auto"/>
                      </w:divBdr>
                    </w:div>
                  </w:divsChild>
                </w:div>
                <w:div w:id="1678460583">
                  <w:marLeft w:val="0"/>
                  <w:marRight w:val="0"/>
                  <w:marTop w:val="0"/>
                  <w:marBottom w:val="0"/>
                  <w:divBdr>
                    <w:top w:val="none" w:sz="0" w:space="0" w:color="auto"/>
                    <w:left w:val="none" w:sz="0" w:space="0" w:color="auto"/>
                    <w:bottom w:val="none" w:sz="0" w:space="0" w:color="auto"/>
                    <w:right w:val="none" w:sz="0" w:space="0" w:color="auto"/>
                  </w:divBdr>
                  <w:divsChild>
                    <w:div w:id="1371145602">
                      <w:marLeft w:val="0"/>
                      <w:marRight w:val="0"/>
                      <w:marTop w:val="0"/>
                      <w:marBottom w:val="0"/>
                      <w:divBdr>
                        <w:top w:val="none" w:sz="0" w:space="0" w:color="auto"/>
                        <w:left w:val="none" w:sz="0" w:space="0" w:color="auto"/>
                        <w:bottom w:val="none" w:sz="0" w:space="0" w:color="auto"/>
                        <w:right w:val="none" w:sz="0" w:space="0" w:color="auto"/>
                      </w:divBdr>
                    </w:div>
                  </w:divsChild>
                </w:div>
                <w:div w:id="1710761704">
                  <w:marLeft w:val="0"/>
                  <w:marRight w:val="0"/>
                  <w:marTop w:val="0"/>
                  <w:marBottom w:val="0"/>
                  <w:divBdr>
                    <w:top w:val="none" w:sz="0" w:space="0" w:color="auto"/>
                    <w:left w:val="none" w:sz="0" w:space="0" w:color="auto"/>
                    <w:bottom w:val="none" w:sz="0" w:space="0" w:color="auto"/>
                    <w:right w:val="none" w:sz="0" w:space="0" w:color="auto"/>
                  </w:divBdr>
                  <w:divsChild>
                    <w:div w:id="320156598">
                      <w:marLeft w:val="0"/>
                      <w:marRight w:val="0"/>
                      <w:marTop w:val="0"/>
                      <w:marBottom w:val="0"/>
                      <w:divBdr>
                        <w:top w:val="none" w:sz="0" w:space="0" w:color="auto"/>
                        <w:left w:val="none" w:sz="0" w:space="0" w:color="auto"/>
                        <w:bottom w:val="none" w:sz="0" w:space="0" w:color="auto"/>
                        <w:right w:val="none" w:sz="0" w:space="0" w:color="auto"/>
                      </w:divBdr>
                    </w:div>
                  </w:divsChild>
                </w:div>
                <w:div w:id="1747142416">
                  <w:marLeft w:val="0"/>
                  <w:marRight w:val="0"/>
                  <w:marTop w:val="0"/>
                  <w:marBottom w:val="0"/>
                  <w:divBdr>
                    <w:top w:val="none" w:sz="0" w:space="0" w:color="auto"/>
                    <w:left w:val="none" w:sz="0" w:space="0" w:color="auto"/>
                    <w:bottom w:val="none" w:sz="0" w:space="0" w:color="auto"/>
                    <w:right w:val="none" w:sz="0" w:space="0" w:color="auto"/>
                  </w:divBdr>
                  <w:divsChild>
                    <w:div w:id="403644965">
                      <w:marLeft w:val="0"/>
                      <w:marRight w:val="0"/>
                      <w:marTop w:val="0"/>
                      <w:marBottom w:val="0"/>
                      <w:divBdr>
                        <w:top w:val="none" w:sz="0" w:space="0" w:color="auto"/>
                        <w:left w:val="none" w:sz="0" w:space="0" w:color="auto"/>
                        <w:bottom w:val="none" w:sz="0" w:space="0" w:color="auto"/>
                        <w:right w:val="none" w:sz="0" w:space="0" w:color="auto"/>
                      </w:divBdr>
                    </w:div>
                  </w:divsChild>
                </w:div>
                <w:div w:id="1748065404">
                  <w:marLeft w:val="0"/>
                  <w:marRight w:val="0"/>
                  <w:marTop w:val="0"/>
                  <w:marBottom w:val="0"/>
                  <w:divBdr>
                    <w:top w:val="none" w:sz="0" w:space="0" w:color="auto"/>
                    <w:left w:val="none" w:sz="0" w:space="0" w:color="auto"/>
                    <w:bottom w:val="none" w:sz="0" w:space="0" w:color="auto"/>
                    <w:right w:val="none" w:sz="0" w:space="0" w:color="auto"/>
                  </w:divBdr>
                  <w:divsChild>
                    <w:div w:id="1320233843">
                      <w:marLeft w:val="0"/>
                      <w:marRight w:val="0"/>
                      <w:marTop w:val="0"/>
                      <w:marBottom w:val="0"/>
                      <w:divBdr>
                        <w:top w:val="none" w:sz="0" w:space="0" w:color="auto"/>
                        <w:left w:val="none" w:sz="0" w:space="0" w:color="auto"/>
                        <w:bottom w:val="none" w:sz="0" w:space="0" w:color="auto"/>
                        <w:right w:val="none" w:sz="0" w:space="0" w:color="auto"/>
                      </w:divBdr>
                    </w:div>
                  </w:divsChild>
                </w:div>
                <w:div w:id="1764840543">
                  <w:marLeft w:val="0"/>
                  <w:marRight w:val="0"/>
                  <w:marTop w:val="0"/>
                  <w:marBottom w:val="0"/>
                  <w:divBdr>
                    <w:top w:val="none" w:sz="0" w:space="0" w:color="auto"/>
                    <w:left w:val="none" w:sz="0" w:space="0" w:color="auto"/>
                    <w:bottom w:val="none" w:sz="0" w:space="0" w:color="auto"/>
                    <w:right w:val="none" w:sz="0" w:space="0" w:color="auto"/>
                  </w:divBdr>
                  <w:divsChild>
                    <w:div w:id="1595473936">
                      <w:marLeft w:val="0"/>
                      <w:marRight w:val="0"/>
                      <w:marTop w:val="0"/>
                      <w:marBottom w:val="0"/>
                      <w:divBdr>
                        <w:top w:val="none" w:sz="0" w:space="0" w:color="auto"/>
                        <w:left w:val="none" w:sz="0" w:space="0" w:color="auto"/>
                        <w:bottom w:val="none" w:sz="0" w:space="0" w:color="auto"/>
                        <w:right w:val="none" w:sz="0" w:space="0" w:color="auto"/>
                      </w:divBdr>
                    </w:div>
                  </w:divsChild>
                </w:div>
                <w:div w:id="1785152718">
                  <w:marLeft w:val="0"/>
                  <w:marRight w:val="0"/>
                  <w:marTop w:val="0"/>
                  <w:marBottom w:val="0"/>
                  <w:divBdr>
                    <w:top w:val="none" w:sz="0" w:space="0" w:color="auto"/>
                    <w:left w:val="none" w:sz="0" w:space="0" w:color="auto"/>
                    <w:bottom w:val="none" w:sz="0" w:space="0" w:color="auto"/>
                    <w:right w:val="none" w:sz="0" w:space="0" w:color="auto"/>
                  </w:divBdr>
                  <w:divsChild>
                    <w:div w:id="1384212677">
                      <w:marLeft w:val="0"/>
                      <w:marRight w:val="0"/>
                      <w:marTop w:val="0"/>
                      <w:marBottom w:val="0"/>
                      <w:divBdr>
                        <w:top w:val="none" w:sz="0" w:space="0" w:color="auto"/>
                        <w:left w:val="none" w:sz="0" w:space="0" w:color="auto"/>
                        <w:bottom w:val="none" w:sz="0" w:space="0" w:color="auto"/>
                        <w:right w:val="none" w:sz="0" w:space="0" w:color="auto"/>
                      </w:divBdr>
                    </w:div>
                  </w:divsChild>
                </w:div>
                <w:div w:id="1795441135">
                  <w:marLeft w:val="0"/>
                  <w:marRight w:val="0"/>
                  <w:marTop w:val="0"/>
                  <w:marBottom w:val="0"/>
                  <w:divBdr>
                    <w:top w:val="none" w:sz="0" w:space="0" w:color="auto"/>
                    <w:left w:val="none" w:sz="0" w:space="0" w:color="auto"/>
                    <w:bottom w:val="none" w:sz="0" w:space="0" w:color="auto"/>
                    <w:right w:val="none" w:sz="0" w:space="0" w:color="auto"/>
                  </w:divBdr>
                  <w:divsChild>
                    <w:div w:id="1137601960">
                      <w:marLeft w:val="0"/>
                      <w:marRight w:val="0"/>
                      <w:marTop w:val="0"/>
                      <w:marBottom w:val="0"/>
                      <w:divBdr>
                        <w:top w:val="none" w:sz="0" w:space="0" w:color="auto"/>
                        <w:left w:val="none" w:sz="0" w:space="0" w:color="auto"/>
                        <w:bottom w:val="none" w:sz="0" w:space="0" w:color="auto"/>
                        <w:right w:val="none" w:sz="0" w:space="0" w:color="auto"/>
                      </w:divBdr>
                    </w:div>
                  </w:divsChild>
                </w:div>
                <w:div w:id="1799950735">
                  <w:marLeft w:val="0"/>
                  <w:marRight w:val="0"/>
                  <w:marTop w:val="0"/>
                  <w:marBottom w:val="0"/>
                  <w:divBdr>
                    <w:top w:val="none" w:sz="0" w:space="0" w:color="auto"/>
                    <w:left w:val="none" w:sz="0" w:space="0" w:color="auto"/>
                    <w:bottom w:val="none" w:sz="0" w:space="0" w:color="auto"/>
                    <w:right w:val="none" w:sz="0" w:space="0" w:color="auto"/>
                  </w:divBdr>
                  <w:divsChild>
                    <w:div w:id="2003072838">
                      <w:marLeft w:val="0"/>
                      <w:marRight w:val="0"/>
                      <w:marTop w:val="0"/>
                      <w:marBottom w:val="0"/>
                      <w:divBdr>
                        <w:top w:val="none" w:sz="0" w:space="0" w:color="auto"/>
                        <w:left w:val="none" w:sz="0" w:space="0" w:color="auto"/>
                        <w:bottom w:val="none" w:sz="0" w:space="0" w:color="auto"/>
                        <w:right w:val="none" w:sz="0" w:space="0" w:color="auto"/>
                      </w:divBdr>
                    </w:div>
                  </w:divsChild>
                </w:div>
                <w:div w:id="1803420985">
                  <w:marLeft w:val="0"/>
                  <w:marRight w:val="0"/>
                  <w:marTop w:val="0"/>
                  <w:marBottom w:val="0"/>
                  <w:divBdr>
                    <w:top w:val="none" w:sz="0" w:space="0" w:color="auto"/>
                    <w:left w:val="none" w:sz="0" w:space="0" w:color="auto"/>
                    <w:bottom w:val="none" w:sz="0" w:space="0" w:color="auto"/>
                    <w:right w:val="none" w:sz="0" w:space="0" w:color="auto"/>
                  </w:divBdr>
                  <w:divsChild>
                    <w:div w:id="1287807763">
                      <w:marLeft w:val="0"/>
                      <w:marRight w:val="0"/>
                      <w:marTop w:val="0"/>
                      <w:marBottom w:val="0"/>
                      <w:divBdr>
                        <w:top w:val="none" w:sz="0" w:space="0" w:color="auto"/>
                        <w:left w:val="none" w:sz="0" w:space="0" w:color="auto"/>
                        <w:bottom w:val="none" w:sz="0" w:space="0" w:color="auto"/>
                        <w:right w:val="none" w:sz="0" w:space="0" w:color="auto"/>
                      </w:divBdr>
                    </w:div>
                  </w:divsChild>
                </w:div>
                <w:div w:id="1822312828">
                  <w:marLeft w:val="0"/>
                  <w:marRight w:val="0"/>
                  <w:marTop w:val="0"/>
                  <w:marBottom w:val="0"/>
                  <w:divBdr>
                    <w:top w:val="none" w:sz="0" w:space="0" w:color="auto"/>
                    <w:left w:val="none" w:sz="0" w:space="0" w:color="auto"/>
                    <w:bottom w:val="none" w:sz="0" w:space="0" w:color="auto"/>
                    <w:right w:val="none" w:sz="0" w:space="0" w:color="auto"/>
                  </w:divBdr>
                  <w:divsChild>
                    <w:div w:id="1612009627">
                      <w:marLeft w:val="0"/>
                      <w:marRight w:val="0"/>
                      <w:marTop w:val="0"/>
                      <w:marBottom w:val="0"/>
                      <w:divBdr>
                        <w:top w:val="none" w:sz="0" w:space="0" w:color="auto"/>
                        <w:left w:val="none" w:sz="0" w:space="0" w:color="auto"/>
                        <w:bottom w:val="none" w:sz="0" w:space="0" w:color="auto"/>
                        <w:right w:val="none" w:sz="0" w:space="0" w:color="auto"/>
                      </w:divBdr>
                    </w:div>
                  </w:divsChild>
                </w:div>
                <w:div w:id="1826507716">
                  <w:marLeft w:val="0"/>
                  <w:marRight w:val="0"/>
                  <w:marTop w:val="0"/>
                  <w:marBottom w:val="0"/>
                  <w:divBdr>
                    <w:top w:val="none" w:sz="0" w:space="0" w:color="auto"/>
                    <w:left w:val="none" w:sz="0" w:space="0" w:color="auto"/>
                    <w:bottom w:val="none" w:sz="0" w:space="0" w:color="auto"/>
                    <w:right w:val="none" w:sz="0" w:space="0" w:color="auto"/>
                  </w:divBdr>
                  <w:divsChild>
                    <w:div w:id="1627733896">
                      <w:marLeft w:val="0"/>
                      <w:marRight w:val="0"/>
                      <w:marTop w:val="0"/>
                      <w:marBottom w:val="0"/>
                      <w:divBdr>
                        <w:top w:val="none" w:sz="0" w:space="0" w:color="auto"/>
                        <w:left w:val="none" w:sz="0" w:space="0" w:color="auto"/>
                        <w:bottom w:val="none" w:sz="0" w:space="0" w:color="auto"/>
                        <w:right w:val="none" w:sz="0" w:space="0" w:color="auto"/>
                      </w:divBdr>
                    </w:div>
                  </w:divsChild>
                </w:div>
                <w:div w:id="1827893380">
                  <w:marLeft w:val="0"/>
                  <w:marRight w:val="0"/>
                  <w:marTop w:val="0"/>
                  <w:marBottom w:val="0"/>
                  <w:divBdr>
                    <w:top w:val="none" w:sz="0" w:space="0" w:color="auto"/>
                    <w:left w:val="none" w:sz="0" w:space="0" w:color="auto"/>
                    <w:bottom w:val="none" w:sz="0" w:space="0" w:color="auto"/>
                    <w:right w:val="none" w:sz="0" w:space="0" w:color="auto"/>
                  </w:divBdr>
                  <w:divsChild>
                    <w:div w:id="1493178686">
                      <w:marLeft w:val="0"/>
                      <w:marRight w:val="0"/>
                      <w:marTop w:val="0"/>
                      <w:marBottom w:val="0"/>
                      <w:divBdr>
                        <w:top w:val="none" w:sz="0" w:space="0" w:color="auto"/>
                        <w:left w:val="none" w:sz="0" w:space="0" w:color="auto"/>
                        <w:bottom w:val="none" w:sz="0" w:space="0" w:color="auto"/>
                        <w:right w:val="none" w:sz="0" w:space="0" w:color="auto"/>
                      </w:divBdr>
                    </w:div>
                  </w:divsChild>
                </w:div>
                <w:div w:id="1878658935">
                  <w:marLeft w:val="0"/>
                  <w:marRight w:val="0"/>
                  <w:marTop w:val="0"/>
                  <w:marBottom w:val="0"/>
                  <w:divBdr>
                    <w:top w:val="none" w:sz="0" w:space="0" w:color="auto"/>
                    <w:left w:val="none" w:sz="0" w:space="0" w:color="auto"/>
                    <w:bottom w:val="none" w:sz="0" w:space="0" w:color="auto"/>
                    <w:right w:val="none" w:sz="0" w:space="0" w:color="auto"/>
                  </w:divBdr>
                  <w:divsChild>
                    <w:div w:id="476918143">
                      <w:marLeft w:val="0"/>
                      <w:marRight w:val="0"/>
                      <w:marTop w:val="0"/>
                      <w:marBottom w:val="0"/>
                      <w:divBdr>
                        <w:top w:val="none" w:sz="0" w:space="0" w:color="auto"/>
                        <w:left w:val="none" w:sz="0" w:space="0" w:color="auto"/>
                        <w:bottom w:val="none" w:sz="0" w:space="0" w:color="auto"/>
                        <w:right w:val="none" w:sz="0" w:space="0" w:color="auto"/>
                      </w:divBdr>
                    </w:div>
                  </w:divsChild>
                </w:div>
                <w:div w:id="1901480092">
                  <w:marLeft w:val="0"/>
                  <w:marRight w:val="0"/>
                  <w:marTop w:val="0"/>
                  <w:marBottom w:val="0"/>
                  <w:divBdr>
                    <w:top w:val="none" w:sz="0" w:space="0" w:color="auto"/>
                    <w:left w:val="none" w:sz="0" w:space="0" w:color="auto"/>
                    <w:bottom w:val="none" w:sz="0" w:space="0" w:color="auto"/>
                    <w:right w:val="none" w:sz="0" w:space="0" w:color="auto"/>
                  </w:divBdr>
                  <w:divsChild>
                    <w:div w:id="1989940912">
                      <w:marLeft w:val="0"/>
                      <w:marRight w:val="0"/>
                      <w:marTop w:val="0"/>
                      <w:marBottom w:val="0"/>
                      <w:divBdr>
                        <w:top w:val="none" w:sz="0" w:space="0" w:color="auto"/>
                        <w:left w:val="none" w:sz="0" w:space="0" w:color="auto"/>
                        <w:bottom w:val="none" w:sz="0" w:space="0" w:color="auto"/>
                        <w:right w:val="none" w:sz="0" w:space="0" w:color="auto"/>
                      </w:divBdr>
                    </w:div>
                  </w:divsChild>
                </w:div>
                <w:div w:id="1958104095">
                  <w:marLeft w:val="0"/>
                  <w:marRight w:val="0"/>
                  <w:marTop w:val="0"/>
                  <w:marBottom w:val="0"/>
                  <w:divBdr>
                    <w:top w:val="none" w:sz="0" w:space="0" w:color="auto"/>
                    <w:left w:val="none" w:sz="0" w:space="0" w:color="auto"/>
                    <w:bottom w:val="none" w:sz="0" w:space="0" w:color="auto"/>
                    <w:right w:val="none" w:sz="0" w:space="0" w:color="auto"/>
                  </w:divBdr>
                  <w:divsChild>
                    <w:div w:id="709767725">
                      <w:marLeft w:val="0"/>
                      <w:marRight w:val="0"/>
                      <w:marTop w:val="0"/>
                      <w:marBottom w:val="0"/>
                      <w:divBdr>
                        <w:top w:val="none" w:sz="0" w:space="0" w:color="auto"/>
                        <w:left w:val="none" w:sz="0" w:space="0" w:color="auto"/>
                        <w:bottom w:val="none" w:sz="0" w:space="0" w:color="auto"/>
                        <w:right w:val="none" w:sz="0" w:space="0" w:color="auto"/>
                      </w:divBdr>
                    </w:div>
                  </w:divsChild>
                </w:div>
                <w:div w:id="1971354681">
                  <w:marLeft w:val="0"/>
                  <w:marRight w:val="0"/>
                  <w:marTop w:val="0"/>
                  <w:marBottom w:val="0"/>
                  <w:divBdr>
                    <w:top w:val="none" w:sz="0" w:space="0" w:color="auto"/>
                    <w:left w:val="none" w:sz="0" w:space="0" w:color="auto"/>
                    <w:bottom w:val="none" w:sz="0" w:space="0" w:color="auto"/>
                    <w:right w:val="none" w:sz="0" w:space="0" w:color="auto"/>
                  </w:divBdr>
                  <w:divsChild>
                    <w:div w:id="1558475237">
                      <w:marLeft w:val="0"/>
                      <w:marRight w:val="0"/>
                      <w:marTop w:val="0"/>
                      <w:marBottom w:val="0"/>
                      <w:divBdr>
                        <w:top w:val="none" w:sz="0" w:space="0" w:color="auto"/>
                        <w:left w:val="none" w:sz="0" w:space="0" w:color="auto"/>
                        <w:bottom w:val="none" w:sz="0" w:space="0" w:color="auto"/>
                        <w:right w:val="none" w:sz="0" w:space="0" w:color="auto"/>
                      </w:divBdr>
                    </w:div>
                  </w:divsChild>
                </w:div>
                <w:div w:id="1978408496">
                  <w:marLeft w:val="0"/>
                  <w:marRight w:val="0"/>
                  <w:marTop w:val="0"/>
                  <w:marBottom w:val="0"/>
                  <w:divBdr>
                    <w:top w:val="none" w:sz="0" w:space="0" w:color="auto"/>
                    <w:left w:val="none" w:sz="0" w:space="0" w:color="auto"/>
                    <w:bottom w:val="none" w:sz="0" w:space="0" w:color="auto"/>
                    <w:right w:val="none" w:sz="0" w:space="0" w:color="auto"/>
                  </w:divBdr>
                  <w:divsChild>
                    <w:div w:id="1307665101">
                      <w:marLeft w:val="0"/>
                      <w:marRight w:val="0"/>
                      <w:marTop w:val="0"/>
                      <w:marBottom w:val="0"/>
                      <w:divBdr>
                        <w:top w:val="none" w:sz="0" w:space="0" w:color="auto"/>
                        <w:left w:val="none" w:sz="0" w:space="0" w:color="auto"/>
                        <w:bottom w:val="none" w:sz="0" w:space="0" w:color="auto"/>
                        <w:right w:val="none" w:sz="0" w:space="0" w:color="auto"/>
                      </w:divBdr>
                    </w:div>
                  </w:divsChild>
                </w:div>
                <w:div w:id="1982074671">
                  <w:marLeft w:val="0"/>
                  <w:marRight w:val="0"/>
                  <w:marTop w:val="0"/>
                  <w:marBottom w:val="0"/>
                  <w:divBdr>
                    <w:top w:val="none" w:sz="0" w:space="0" w:color="auto"/>
                    <w:left w:val="none" w:sz="0" w:space="0" w:color="auto"/>
                    <w:bottom w:val="none" w:sz="0" w:space="0" w:color="auto"/>
                    <w:right w:val="none" w:sz="0" w:space="0" w:color="auto"/>
                  </w:divBdr>
                  <w:divsChild>
                    <w:div w:id="881405321">
                      <w:marLeft w:val="0"/>
                      <w:marRight w:val="0"/>
                      <w:marTop w:val="0"/>
                      <w:marBottom w:val="0"/>
                      <w:divBdr>
                        <w:top w:val="none" w:sz="0" w:space="0" w:color="auto"/>
                        <w:left w:val="none" w:sz="0" w:space="0" w:color="auto"/>
                        <w:bottom w:val="none" w:sz="0" w:space="0" w:color="auto"/>
                        <w:right w:val="none" w:sz="0" w:space="0" w:color="auto"/>
                      </w:divBdr>
                    </w:div>
                  </w:divsChild>
                </w:div>
                <w:div w:id="1994481703">
                  <w:marLeft w:val="0"/>
                  <w:marRight w:val="0"/>
                  <w:marTop w:val="0"/>
                  <w:marBottom w:val="0"/>
                  <w:divBdr>
                    <w:top w:val="none" w:sz="0" w:space="0" w:color="auto"/>
                    <w:left w:val="none" w:sz="0" w:space="0" w:color="auto"/>
                    <w:bottom w:val="none" w:sz="0" w:space="0" w:color="auto"/>
                    <w:right w:val="none" w:sz="0" w:space="0" w:color="auto"/>
                  </w:divBdr>
                  <w:divsChild>
                    <w:div w:id="286394258">
                      <w:marLeft w:val="0"/>
                      <w:marRight w:val="0"/>
                      <w:marTop w:val="0"/>
                      <w:marBottom w:val="0"/>
                      <w:divBdr>
                        <w:top w:val="none" w:sz="0" w:space="0" w:color="auto"/>
                        <w:left w:val="none" w:sz="0" w:space="0" w:color="auto"/>
                        <w:bottom w:val="none" w:sz="0" w:space="0" w:color="auto"/>
                        <w:right w:val="none" w:sz="0" w:space="0" w:color="auto"/>
                      </w:divBdr>
                    </w:div>
                  </w:divsChild>
                </w:div>
                <w:div w:id="1997606299">
                  <w:marLeft w:val="0"/>
                  <w:marRight w:val="0"/>
                  <w:marTop w:val="0"/>
                  <w:marBottom w:val="0"/>
                  <w:divBdr>
                    <w:top w:val="none" w:sz="0" w:space="0" w:color="auto"/>
                    <w:left w:val="none" w:sz="0" w:space="0" w:color="auto"/>
                    <w:bottom w:val="none" w:sz="0" w:space="0" w:color="auto"/>
                    <w:right w:val="none" w:sz="0" w:space="0" w:color="auto"/>
                  </w:divBdr>
                  <w:divsChild>
                    <w:div w:id="2060400046">
                      <w:marLeft w:val="0"/>
                      <w:marRight w:val="0"/>
                      <w:marTop w:val="0"/>
                      <w:marBottom w:val="0"/>
                      <w:divBdr>
                        <w:top w:val="none" w:sz="0" w:space="0" w:color="auto"/>
                        <w:left w:val="none" w:sz="0" w:space="0" w:color="auto"/>
                        <w:bottom w:val="none" w:sz="0" w:space="0" w:color="auto"/>
                        <w:right w:val="none" w:sz="0" w:space="0" w:color="auto"/>
                      </w:divBdr>
                    </w:div>
                  </w:divsChild>
                </w:div>
                <w:div w:id="2004233971">
                  <w:marLeft w:val="0"/>
                  <w:marRight w:val="0"/>
                  <w:marTop w:val="0"/>
                  <w:marBottom w:val="0"/>
                  <w:divBdr>
                    <w:top w:val="none" w:sz="0" w:space="0" w:color="auto"/>
                    <w:left w:val="none" w:sz="0" w:space="0" w:color="auto"/>
                    <w:bottom w:val="none" w:sz="0" w:space="0" w:color="auto"/>
                    <w:right w:val="none" w:sz="0" w:space="0" w:color="auto"/>
                  </w:divBdr>
                  <w:divsChild>
                    <w:div w:id="241528282">
                      <w:marLeft w:val="0"/>
                      <w:marRight w:val="0"/>
                      <w:marTop w:val="0"/>
                      <w:marBottom w:val="0"/>
                      <w:divBdr>
                        <w:top w:val="none" w:sz="0" w:space="0" w:color="auto"/>
                        <w:left w:val="none" w:sz="0" w:space="0" w:color="auto"/>
                        <w:bottom w:val="none" w:sz="0" w:space="0" w:color="auto"/>
                        <w:right w:val="none" w:sz="0" w:space="0" w:color="auto"/>
                      </w:divBdr>
                    </w:div>
                  </w:divsChild>
                </w:div>
                <w:div w:id="2009399526">
                  <w:marLeft w:val="0"/>
                  <w:marRight w:val="0"/>
                  <w:marTop w:val="0"/>
                  <w:marBottom w:val="0"/>
                  <w:divBdr>
                    <w:top w:val="none" w:sz="0" w:space="0" w:color="auto"/>
                    <w:left w:val="none" w:sz="0" w:space="0" w:color="auto"/>
                    <w:bottom w:val="none" w:sz="0" w:space="0" w:color="auto"/>
                    <w:right w:val="none" w:sz="0" w:space="0" w:color="auto"/>
                  </w:divBdr>
                  <w:divsChild>
                    <w:div w:id="31804768">
                      <w:marLeft w:val="0"/>
                      <w:marRight w:val="0"/>
                      <w:marTop w:val="0"/>
                      <w:marBottom w:val="0"/>
                      <w:divBdr>
                        <w:top w:val="none" w:sz="0" w:space="0" w:color="auto"/>
                        <w:left w:val="none" w:sz="0" w:space="0" w:color="auto"/>
                        <w:bottom w:val="none" w:sz="0" w:space="0" w:color="auto"/>
                        <w:right w:val="none" w:sz="0" w:space="0" w:color="auto"/>
                      </w:divBdr>
                    </w:div>
                  </w:divsChild>
                </w:div>
                <w:div w:id="2017345597">
                  <w:marLeft w:val="0"/>
                  <w:marRight w:val="0"/>
                  <w:marTop w:val="0"/>
                  <w:marBottom w:val="0"/>
                  <w:divBdr>
                    <w:top w:val="none" w:sz="0" w:space="0" w:color="auto"/>
                    <w:left w:val="none" w:sz="0" w:space="0" w:color="auto"/>
                    <w:bottom w:val="none" w:sz="0" w:space="0" w:color="auto"/>
                    <w:right w:val="none" w:sz="0" w:space="0" w:color="auto"/>
                  </w:divBdr>
                  <w:divsChild>
                    <w:div w:id="489323555">
                      <w:marLeft w:val="0"/>
                      <w:marRight w:val="0"/>
                      <w:marTop w:val="0"/>
                      <w:marBottom w:val="0"/>
                      <w:divBdr>
                        <w:top w:val="none" w:sz="0" w:space="0" w:color="auto"/>
                        <w:left w:val="none" w:sz="0" w:space="0" w:color="auto"/>
                        <w:bottom w:val="none" w:sz="0" w:space="0" w:color="auto"/>
                        <w:right w:val="none" w:sz="0" w:space="0" w:color="auto"/>
                      </w:divBdr>
                    </w:div>
                  </w:divsChild>
                </w:div>
                <w:div w:id="2020621421">
                  <w:marLeft w:val="0"/>
                  <w:marRight w:val="0"/>
                  <w:marTop w:val="0"/>
                  <w:marBottom w:val="0"/>
                  <w:divBdr>
                    <w:top w:val="none" w:sz="0" w:space="0" w:color="auto"/>
                    <w:left w:val="none" w:sz="0" w:space="0" w:color="auto"/>
                    <w:bottom w:val="none" w:sz="0" w:space="0" w:color="auto"/>
                    <w:right w:val="none" w:sz="0" w:space="0" w:color="auto"/>
                  </w:divBdr>
                  <w:divsChild>
                    <w:div w:id="186793574">
                      <w:marLeft w:val="0"/>
                      <w:marRight w:val="0"/>
                      <w:marTop w:val="0"/>
                      <w:marBottom w:val="0"/>
                      <w:divBdr>
                        <w:top w:val="none" w:sz="0" w:space="0" w:color="auto"/>
                        <w:left w:val="none" w:sz="0" w:space="0" w:color="auto"/>
                        <w:bottom w:val="none" w:sz="0" w:space="0" w:color="auto"/>
                        <w:right w:val="none" w:sz="0" w:space="0" w:color="auto"/>
                      </w:divBdr>
                    </w:div>
                  </w:divsChild>
                </w:div>
                <w:div w:id="2028091155">
                  <w:marLeft w:val="0"/>
                  <w:marRight w:val="0"/>
                  <w:marTop w:val="0"/>
                  <w:marBottom w:val="0"/>
                  <w:divBdr>
                    <w:top w:val="none" w:sz="0" w:space="0" w:color="auto"/>
                    <w:left w:val="none" w:sz="0" w:space="0" w:color="auto"/>
                    <w:bottom w:val="none" w:sz="0" w:space="0" w:color="auto"/>
                    <w:right w:val="none" w:sz="0" w:space="0" w:color="auto"/>
                  </w:divBdr>
                  <w:divsChild>
                    <w:div w:id="1457144102">
                      <w:marLeft w:val="0"/>
                      <w:marRight w:val="0"/>
                      <w:marTop w:val="0"/>
                      <w:marBottom w:val="0"/>
                      <w:divBdr>
                        <w:top w:val="none" w:sz="0" w:space="0" w:color="auto"/>
                        <w:left w:val="none" w:sz="0" w:space="0" w:color="auto"/>
                        <w:bottom w:val="none" w:sz="0" w:space="0" w:color="auto"/>
                        <w:right w:val="none" w:sz="0" w:space="0" w:color="auto"/>
                      </w:divBdr>
                    </w:div>
                  </w:divsChild>
                </w:div>
                <w:div w:id="2047752863">
                  <w:marLeft w:val="0"/>
                  <w:marRight w:val="0"/>
                  <w:marTop w:val="0"/>
                  <w:marBottom w:val="0"/>
                  <w:divBdr>
                    <w:top w:val="none" w:sz="0" w:space="0" w:color="auto"/>
                    <w:left w:val="none" w:sz="0" w:space="0" w:color="auto"/>
                    <w:bottom w:val="none" w:sz="0" w:space="0" w:color="auto"/>
                    <w:right w:val="none" w:sz="0" w:space="0" w:color="auto"/>
                  </w:divBdr>
                  <w:divsChild>
                    <w:div w:id="1359813353">
                      <w:marLeft w:val="0"/>
                      <w:marRight w:val="0"/>
                      <w:marTop w:val="0"/>
                      <w:marBottom w:val="0"/>
                      <w:divBdr>
                        <w:top w:val="none" w:sz="0" w:space="0" w:color="auto"/>
                        <w:left w:val="none" w:sz="0" w:space="0" w:color="auto"/>
                        <w:bottom w:val="none" w:sz="0" w:space="0" w:color="auto"/>
                        <w:right w:val="none" w:sz="0" w:space="0" w:color="auto"/>
                      </w:divBdr>
                    </w:div>
                  </w:divsChild>
                </w:div>
                <w:div w:id="2051301829">
                  <w:marLeft w:val="0"/>
                  <w:marRight w:val="0"/>
                  <w:marTop w:val="0"/>
                  <w:marBottom w:val="0"/>
                  <w:divBdr>
                    <w:top w:val="none" w:sz="0" w:space="0" w:color="auto"/>
                    <w:left w:val="none" w:sz="0" w:space="0" w:color="auto"/>
                    <w:bottom w:val="none" w:sz="0" w:space="0" w:color="auto"/>
                    <w:right w:val="none" w:sz="0" w:space="0" w:color="auto"/>
                  </w:divBdr>
                  <w:divsChild>
                    <w:div w:id="1127317056">
                      <w:marLeft w:val="0"/>
                      <w:marRight w:val="0"/>
                      <w:marTop w:val="0"/>
                      <w:marBottom w:val="0"/>
                      <w:divBdr>
                        <w:top w:val="none" w:sz="0" w:space="0" w:color="auto"/>
                        <w:left w:val="none" w:sz="0" w:space="0" w:color="auto"/>
                        <w:bottom w:val="none" w:sz="0" w:space="0" w:color="auto"/>
                        <w:right w:val="none" w:sz="0" w:space="0" w:color="auto"/>
                      </w:divBdr>
                    </w:div>
                  </w:divsChild>
                </w:div>
                <w:div w:id="2062242702">
                  <w:marLeft w:val="0"/>
                  <w:marRight w:val="0"/>
                  <w:marTop w:val="0"/>
                  <w:marBottom w:val="0"/>
                  <w:divBdr>
                    <w:top w:val="none" w:sz="0" w:space="0" w:color="auto"/>
                    <w:left w:val="none" w:sz="0" w:space="0" w:color="auto"/>
                    <w:bottom w:val="none" w:sz="0" w:space="0" w:color="auto"/>
                    <w:right w:val="none" w:sz="0" w:space="0" w:color="auto"/>
                  </w:divBdr>
                  <w:divsChild>
                    <w:div w:id="789007332">
                      <w:marLeft w:val="0"/>
                      <w:marRight w:val="0"/>
                      <w:marTop w:val="0"/>
                      <w:marBottom w:val="0"/>
                      <w:divBdr>
                        <w:top w:val="none" w:sz="0" w:space="0" w:color="auto"/>
                        <w:left w:val="none" w:sz="0" w:space="0" w:color="auto"/>
                        <w:bottom w:val="none" w:sz="0" w:space="0" w:color="auto"/>
                        <w:right w:val="none" w:sz="0" w:space="0" w:color="auto"/>
                      </w:divBdr>
                    </w:div>
                  </w:divsChild>
                </w:div>
                <w:div w:id="2067677172">
                  <w:marLeft w:val="0"/>
                  <w:marRight w:val="0"/>
                  <w:marTop w:val="0"/>
                  <w:marBottom w:val="0"/>
                  <w:divBdr>
                    <w:top w:val="none" w:sz="0" w:space="0" w:color="auto"/>
                    <w:left w:val="none" w:sz="0" w:space="0" w:color="auto"/>
                    <w:bottom w:val="none" w:sz="0" w:space="0" w:color="auto"/>
                    <w:right w:val="none" w:sz="0" w:space="0" w:color="auto"/>
                  </w:divBdr>
                  <w:divsChild>
                    <w:div w:id="987244370">
                      <w:marLeft w:val="0"/>
                      <w:marRight w:val="0"/>
                      <w:marTop w:val="0"/>
                      <w:marBottom w:val="0"/>
                      <w:divBdr>
                        <w:top w:val="none" w:sz="0" w:space="0" w:color="auto"/>
                        <w:left w:val="none" w:sz="0" w:space="0" w:color="auto"/>
                        <w:bottom w:val="none" w:sz="0" w:space="0" w:color="auto"/>
                        <w:right w:val="none" w:sz="0" w:space="0" w:color="auto"/>
                      </w:divBdr>
                    </w:div>
                  </w:divsChild>
                </w:div>
                <w:div w:id="2074962092">
                  <w:marLeft w:val="0"/>
                  <w:marRight w:val="0"/>
                  <w:marTop w:val="0"/>
                  <w:marBottom w:val="0"/>
                  <w:divBdr>
                    <w:top w:val="none" w:sz="0" w:space="0" w:color="auto"/>
                    <w:left w:val="none" w:sz="0" w:space="0" w:color="auto"/>
                    <w:bottom w:val="none" w:sz="0" w:space="0" w:color="auto"/>
                    <w:right w:val="none" w:sz="0" w:space="0" w:color="auto"/>
                  </w:divBdr>
                  <w:divsChild>
                    <w:div w:id="733048573">
                      <w:marLeft w:val="0"/>
                      <w:marRight w:val="0"/>
                      <w:marTop w:val="0"/>
                      <w:marBottom w:val="0"/>
                      <w:divBdr>
                        <w:top w:val="none" w:sz="0" w:space="0" w:color="auto"/>
                        <w:left w:val="none" w:sz="0" w:space="0" w:color="auto"/>
                        <w:bottom w:val="none" w:sz="0" w:space="0" w:color="auto"/>
                        <w:right w:val="none" w:sz="0" w:space="0" w:color="auto"/>
                      </w:divBdr>
                    </w:div>
                  </w:divsChild>
                </w:div>
                <w:div w:id="2094735581">
                  <w:marLeft w:val="0"/>
                  <w:marRight w:val="0"/>
                  <w:marTop w:val="0"/>
                  <w:marBottom w:val="0"/>
                  <w:divBdr>
                    <w:top w:val="none" w:sz="0" w:space="0" w:color="auto"/>
                    <w:left w:val="none" w:sz="0" w:space="0" w:color="auto"/>
                    <w:bottom w:val="none" w:sz="0" w:space="0" w:color="auto"/>
                    <w:right w:val="none" w:sz="0" w:space="0" w:color="auto"/>
                  </w:divBdr>
                  <w:divsChild>
                    <w:div w:id="112486904">
                      <w:marLeft w:val="0"/>
                      <w:marRight w:val="0"/>
                      <w:marTop w:val="0"/>
                      <w:marBottom w:val="0"/>
                      <w:divBdr>
                        <w:top w:val="none" w:sz="0" w:space="0" w:color="auto"/>
                        <w:left w:val="none" w:sz="0" w:space="0" w:color="auto"/>
                        <w:bottom w:val="none" w:sz="0" w:space="0" w:color="auto"/>
                        <w:right w:val="none" w:sz="0" w:space="0" w:color="auto"/>
                      </w:divBdr>
                    </w:div>
                  </w:divsChild>
                </w:div>
                <w:div w:id="2119324611">
                  <w:marLeft w:val="0"/>
                  <w:marRight w:val="0"/>
                  <w:marTop w:val="0"/>
                  <w:marBottom w:val="0"/>
                  <w:divBdr>
                    <w:top w:val="none" w:sz="0" w:space="0" w:color="auto"/>
                    <w:left w:val="none" w:sz="0" w:space="0" w:color="auto"/>
                    <w:bottom w:val="none" w:sz="0" w:space="0" w:color="auto"/>
                    <w:right w:val="none" w:sz="0" w:space="0" w:color="auto"/>
                  </w:divBdr>
                  <w:divsChild>
                    <w:div w:id="1405293736">
                      <w:marLeft w:val="0"/>
                      <w:marRight w:val="0"/>
                      <w:marTop w:val="0"/>
                      <w:marBottom w:val="0"/>
                      <w:divBdr>
                        <w:top w:val="none" w:sz="0" w:space="0" w:color="auto"/>
                        <w:left w:val="none" w:sz="0" w:space="0" w:color="auto"/>
                        <w:bottom w:val="none" w:sz="0" w:space="0" w:color="auto"/>
                        <w:right w:val="none" w:sz="0" w:space="0" w:color="auto"/>
                      </w:divBdr>
                    </w:div>
                  </w:divsChild>
                </w:div>
                <w:div w:id="2136672692">
                  <w:marLeft w:val="0"/>
                  <w:marRight w:val="0"/>
                  <w:marTop w:val="0"/>
                  <w:marBottom w:val="0"/>
                  <w:divBdr>
                    <w:top w:val="none" w:sz="0" w:space="0" w:color="auto"/>
                    <w:left w:val="none" w:sz="0" w:space="0" w:color="auto"/>
                    <w:bottom w:val="none" w:sz="0" w:space="0" w:color="auto"/>
                    <w:right w:val="none" w:sz="0" w:space="0" w:color="auto"/>
                  </w:divBdr>
                  <w:divsChild>
                    <w:div w:id="558982228">
                      <w:marLeft w:val="0"/>
                      <w:marRight w:val="0"/>
                      <w:marTop w:val="0"/>
                      <w:marBottom w:val="0"/>
                      <w:divBdr>
                        <w:top w:val="none" w:sz="0" w:space="0" w:color="auto"/>
                        <w:left w:val="none" w:sz="0" w:space="0" w:color="auto"/>
                        <w:bottom w:val="none" w:sz="0" w:space="0" w:color="auto"/>
                        <w:right w:val="none" w:sz="0" w:space="0" w:color="auto"/>
                      </w:divBdr>
                    </w:div>
                  </w:divsChild>
                </w:div>
                <w:div w:id="2146197982">
                  <w:marLeft w:val="0"/>
                  <w:marRight w:val="0"/>
                  <w:marTop w:val="0"/>
                  <w:marBottom w:val="0"/>
                  <w:divBdr>
                    <w:top w:val="none" w:sz="0" w:space="0" w:color="auto"/>
                    <w:left w:val="none" w:sz="0" w:space="0" w:color="auto"/>
                    <w:bottom w:val="none" w:sz="0" w:space="0" w:color="auto"/>
                    <w:right w:val="none" w:sz="0" w:space="0" w:color="auto"/>
                  </w:divBdr>
                  <w:divsChild>
                    <w:div w:id="1084837670">
                      <w:marLeft w:val="0"/>
                      <w:marRight w:val="0"/>
                      <w:marTop w:val="0"/>
                      <w:marBottom w:val="0"/>
                      <w:divBdr>
                        <w:top w:val="none" w:sz="0" w:space="0" w:color="auto"/>
                        <w:left w:val="none" w:sz="0" w:space="0" w:color="auto"/>
                        <w:bottom w:val="none" w:sz="0" w:space="0" w:color="auto"/>
                        <w:right w:val="none" w:sz="0" w:space="0" w:color="auto"/>
                      </w:divBdr>
                    </w:div>
                  </w:divsChild>
                </w:div>
                <w:div w:id="2146267609">
                  <w:marLeft w:val="0"/>
                  <w:marRight w:val="0"/>
                  <w:marTop w:val="0"/>
                  <w:marBottom w:val="0"/>
                  <w:divBdr>
                    <w:top w:val="none" w:sz="0" w:space="0" w:color="auto"/>
                    <w:left w:val="none" w:sz="0" w:space="0" w:color="auto"/>
                    <w:bottom w:val="none" w:sz="0" w:space="0" w:color="auto"/>
                    <w:right w:val="none" w:sz="0" w:space="0" w:color="auto"/>
                  </w:divBdr>
                  <w:divsChild>
                    <w:div w:id="13765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2734">
          <w:marLeft w:val="0"/>
          <w:marRight w:val="0"/>
          <w:marTop w:val="0"/>
          <w:marBottom w:val="0"/>
          <w:divBdr>
            <w:top w:val="none" w:sz="0" w:space="0" w:color="auto"/>
            <w:left w:val="none" w:sz="0" w:space="0" w:color="auto"/>
            <w:bottom w:val="none" w:sz="0" w:space="0" w:color="auto"/>
            <w:right w:val="none" w:sz="0" w:space="0" w:color="auto"/>
          </w:divBdr>
        </w:div>
        <w:div w:id="202014342">
          <w:marLeft w:val="0"/>
          <w:marRight w:val="0"/>
          <w:marTop w:val="0"/>
          <w:marBottom w:val="0"/>
          <w:divBdr>
            <w:top w:val="none" w:sz="0" w:space="0" w:color="auto"/>
            <w:left w:val="none" w:sz="0" w:space="0" w:color="auto"/>
            <w:bottom w:val="none" w:sz="0" w:space="0" w:color="auto"/>
            <w:right w:val="none" w:sz="0" w:space="0" w:color="auto"/>
          </w:divBdr>
        </w:div>
        <w:div w:id="205026791">
          <w:marLeft w:val="0"/>
          <w:marRight w:val="0"/>
          <w:marTop w:val="0"/>
          <w:marBottom w:val="0"/>
          <w:divBdr>
            <w:top w:val="none" w:sz="0" w:space="0" w:color="auto"/>
            <w:left w:val="none" w:sz="0" w:space="0" w:color="auto"/>
            <w:bottom w:val="none" w:sz="0" w:space="0" w:color="auto"/>
            <w:right w:val="none" w:sz="0" w:space="0" w:color="auto"/>
          </w:divBdr>
        </w:div>
        <w:div w:id="206727303">
          <w:marLeft w:val="0"/>
          <w:marRight w:val="0"/>
          <w:marTop w:val="0"/>
          <w:marBottom w:val="0"/>
          <w:divBdr>
            <w:top w:val="none" w:sz="0" w:space="0" w:color="auto"/>
            <w:left w:val="none" w:sz="0" w:space="0" w:color="auto"/>
            <w:bottom w:val="none" w:sz="0" w:space="0" w:color="auto"/>
            <w:right w:val="none" w:sz="0" w:space="0" w:color="auto"/>
          </w:divBdr>
        </w:div>
        <w:div w:id="206727401">
          <w:marLeft w:val="0"/>
          <w:marRight w:val="0"/>
          <w:marTop w:val="0"/>
          <w:marBottom w:val="0"/>
          <w:divBdr>
            <w:top w:val="none" w:sz="0" w:space="0" w:color="auto"/>
            <w:left w:val="none" w:sz="0" w:space="0" w:color="auto"/>
            <w:bottom w:val="none" w:sz="0" w:space="0" w:color="auto"/>
            <w:right w:val="none" w:sz="0" w:space="0" w:color="auto"/>
          </w:divBdr>
        </w:div>
        <w:div w:id="206797703">
          <w:marLeft w:val="0"/>
          <w:marRight w:val="0"/>
          <w:marTop w:val="0"/>
          <w:marBottom w:val="0"/>
          <w:divBdr>
            <w:top w:val="none" w:sz="0" w:space="0" w:color="auto"/>
            <w:left w:val="none" w:sz="0" w:space="0" w:color="auto"/>
            <w:bottom w:val="none" w:sz="0" w:space="0" w:color="auto"/>
            <w:right w:val="none" w:sz="0" w:space="0" w:color="auto"/>
          </w:divBdr>
        </w:div>
        <w:div w:id="206840555">
          <w:marLeft w:val="0"/>
          <w:marRight w:val="0"/>
          <w:marTop w:val="0"/>
          <w:marBottom w:val="0"/>
          <w:divBdr>
            <w:top w:val="none" w:sz="0" w:space="0" w:color="auto"/>
            <w:left w:val="none" w:sz="0" w:space="0" w:color="auto"/>
            <w:bottom w:val="none" w:sz="0" w:space="0" w:color="auto"/>
            <w:right w:val="none" w:sz="0" w:space="0" w:color="auto"/>
          </w:divBdr>
        </w:div>
        <w:div w:id="210268406">
          <w:marLeft w:val="0"/>
          <w:marRight w:val="0"/>
          <w:marTop w:val="0"/>
          <w:marBottom w:val="0"/>
          <w:divBdr>
            <w:top w:val="none" w:sz="0" w:space="0" w:color="auto"/>
            <w:left w:val="none" w:sz="0" w:space="0" w:color="auto"/>
            <w:bottom w:val="none" w:sz="0" w:space="0" w:color="auto"/>
            <w:right w:val="none" w:sz="0" w:space="0" w:color="auto"/>
          </w:divBdr>
        </w:div>
        <w:div w:id="211382028">
          <w:marLeft w:val="0"/>
          <w:marRight w:val="0"/>
          <w:marTop w:val="0"/>
          <w:marBottom w:val="0"/>
          <w:divBdr>
            <w:top w:val="none" w:sz="0" w:space="0" w:color="auto"/>
            <w:left w:val="none" w:sz="0" w:space="0" w:color="auto"/>
            <w:bottom w:val="none" w:sz="0" w:space="0" w:color="auto"/>
            <w:right w:val="none" w:sz="0" w:space="0" w:color="auto"/>
          </w:divBdr>
        </w:div>
        <w:div w:id="211430524">
          <w:marLeft w:val="0"/>
          <w:marRight w:val="0"/>
          <w:marTop w:val="0"/>
          <w:marBottom w:val="0"/>
          <w:divBdr>
            <w:top w:val="none" w:sz="0" w:space="0" w:color="auto"/>
            <w:left w:val="none" w:sz="0" w:space="0" w:color="auto"/>
            <w:bottom w:val="none" w:sz="0" w:space="0" w:color="auto"/>
            <w:right w:val="none" w:sz="0" w:space="0" w:color="auto"/>
          </w:divBdr>
        </w:div>
        <w:div w:id="212809607">
          <w:marLeft w:val="0"/>
          <w:marRight w:val="0"/>
          <w:marTop w:val="0"/>
          <w:marBottom w:val="0"/>
          <w:divBdr>
            <w:top w:val="none" w:sz="0" w:space="0" w:color="auto"/>
            <w:left w:val="none" w:sz="0" w:space="0" w:color="auto"/>
            <w:bottom w:val="none" w:sz="0" w:space="0" w:color="auto"/>
            <w:right w:val="none" w:sz="0" w:space="0" w:color="auto"/>
          </w:divBdr>
        </w:div>
        <w:div w:id="214122331">
          <w:marLeft w:val="0"/>
          <w:marRight w:val="0"/>
          <w:marTop w:val="0"/>
          <w:marBottom w:val="0"/>
          <w:divBdr>
            <w:top w:val="none" w:sz="0" w:space="0" w:color="auto"/>
            <w:left w:val="none" w:sz="0" w:space="0" w:color="auto"/>
            <w:bottom w:val="none" w:sz="0" w:space="0" w:color="auto"/>
            <w:right w:val="none" w:sz="0" w:space="0" w:color="auto"/>
          </w:divBdr>
        </w:div>
        <w:div w:id="215356242">
          <w:marLeft w:val="0"/>
          <w:marRight w:val="0"/>
          <w:marTop w:val="0"/>
          <w:marBottom w:val="0"/>
          <w:divBdr>
            <w:top w:val="none" w:sz="0" w:space="0" w:color="auto"/>
            <w:left w:val="none" w:sz="0" w:space="0" w:color="auto"/>
            <w:bottom w:val="none" w:sz="0" w:space="0" w:color="auto"/>
            <w:right w:val="none" w:sz="0" w:space="0" w:color="auto"/>
          </w:divBdr>
        </w:div>
        <w:div w:id="219050411">
          <w:marLeft w:val="0"/>
          <w:marRight w:val="0"/>
          <w:marTop w:val="0"/>
          <w:marBottom w:val="0"/>
          <w:divBdr>
            <w:top w:val="none" w:sz="0" w:space="0" w:color="auto"/>
            <w:left w:val="none" w:sz="0" w:space="0" w:color="auto"/>
            <w:bottom w:val="none" w:sz="0" w:space="0" w:color="auto"/>
            <w:right w:val="none" w:sz="0" w:space="0" w:color="auto"/>
          </w:divBdr>
        </w:div>
        <w:div w:id="220337455">
          <w:marLeft w:val="0"/>
          <w:marRight w:val="0"/>
          <w:marTop w:val="0"/>
          <w:marBottom w:val="0"/>
          <w:divBdr>
            <w:top w:val="none" w:sz="0" w:space="0" w:color="auto"/>
            <w:left w:val="none" w:sz="0" w:space="0" w:color="auto"/>
            <w:bottom w:val="none" w:sz="0" w:space="0" w:color="auto"/>
            <w:right w:val="none" w:sz="0" w:space="0" w:color="auto"/>
          </w:divBdr>
        </w:div>
        <w:div w:id="222954968">
          <w:marLeft w:val="0"/>
          <w:marRight w:val="0"/>
          <w:marTop w:val="0"/>
          <w:marBottom w:val="0"/>
          <w:divBdr>
            <w:top w:val="none" w:sz="0" w:space="0" w:color="auto"/>
            <w:left w:val="none" w:sz="0" w:space="0" w:color="auto"/>
            <w:bottom w:val="none" w:sz="0" w:space="0" w:color="auto"/>
            <w:right w:val="none" w:sz="0" w:space="0" w:color="auto"/>
          </w:divBdr>
        </w:div>
        <w:div w:id="226190476">
          <w:marLeft w:val="0"/>
          <w:marRight w:val="0"/>
          <w:marTop w:val="0"/>
          <w:marBottom w:val="0"/>
          <w:divBdr>
            <w:top w:val="none" w:sz="0" w:space="0" w:color="auto"/>
            <w:left w:val="none" w:sz="0" w:space="0" w:color="auto"/>
            <w:bottom w:val="none" w:sz="0" w:space="0" w:color="auto"/>
            <w:right w:val="none" w:sz="0" w:space="0" w:color="auto"/>
          </w:divBdr>
        </w:div>
        <w:div w:id="232083559">
          <w:marLeft w:val="0"/>
          <w:marRight w:val="0"/>
          <w:marTop w:val="0"/>
          <w:marBottom w:val="0"/>
          <w:divBdr>
            <w:top w:val="none" w:sz="0" w:space="0" w:color="auto"/>
            <w:left w:val="none" w:sz="0" w:space="0" w:color="auto"/>
            <w:bottom w:val="none" w:sz="0" w:space="0" w:color="auto"/>
            <w:right w:val="none" w:sz="0" w:space="0" w:color="auto"/>
          </w:divBdr>
        </w:div>
        <w:div w:id="233665436">
          <w:marLeft w:val="0"/>
          <w:marRight w:val="0"/>
          <w:marTop w:val="0"/>
          <w:marBottom w:val="0"/>
          <w:divBdr>
            <w:top w:val="none" w:sz="0" w:space="0" w:color="auto"/>
            <w:left w:val="none" w:sz="0" w:space="0" w:color="auto"/>
            <w:bottom w:val="none" w:sz="0" w:space="0" w:color="auto"/>
            <w:right w:val="none" w:sz="0" w:space="0" w:color="auto"/>
          </w:divBdr>
        </w:div>
        <w:div w:id="235172956">
          <w:marLeft w:val="0"/>
          <w:marRight w:val="0"/>
          <w:marTop w:val="0"/>
          <w:marBottom w:val="0"/>
          <w:divBdr>
            <w:top w:val="none" w:sz="0" w:space="0" w:color="auto"/>
            <w:left w:val="none" w:sz="0" w:space="0" w:color="auto"/>
            <w:bottom w:val="none" w:sz="0" w:space="0" w:color="auto"/>
            <w:right w:val="none" w:sz="0" w:space="0" w:color="auto"/>
          </w:divBdr>
        </w:div>
        <w:div w:id="235284076">
          <w:marLeft w:val="0"/>
          <w:marRight w:val="0"/>
          <w:marTop w:val="0"/>
          <w:marBottom w:val="0"/>
          <w:divBdr>
            <w:top w:val="none" w:sz="0" w:space="0" w:color="auto"/>
            <w:left w:val="none" w:sz="0" w:space="0" w:color="auto"/>
            <w:bottom w:val="none" w:sz="0" w:space="0" w:color="auto"/>
            <w:right w:val="none" w:sz="0" w:space="0" w:color="auto"/>
          </w:divBdr>
        </w:div>
        <w:div w:id="237711907">
          <w:marLeft w:val="0"/>
          <w:marRight w:val="0"/>
          <w:marTop w:val="0"/>
          <w:marBottom w:val="0"/>
          <w:divBdr>
            <w:top w:val="none" w:sz="0" w:space="0" w:color="auto"/>
            <w:left w:val="none" w:sz="0" w:space="0" w:color="auto"/>
            <w:bottom w:val="none" w:sz="0" w:space="0" w:color="auto"/>
            <w:right w:val="none" w:sz="0" w:space="0" w:color="auto"/>
          </w:divBdr>
        </w:div>
        <w:div w:id="241372420">
          <w:marLeft w:val="0"/>
          <w:marRight w:val="0"/>
          <w:marTop w:val="0"/>
          <w:marBottom w:val="0"/>
          <w:divBdr>
            <w:top w:val="none" w:sz="0" w:space="0" w:color="auto"/>
            <w:left w:val="none" w:sz="0" w:space="0" w:color="auto"/>
            <w:bottom w:val="none" w:sz="0" w:space="0" w:color="auto"/>
            <w:right w:val="none" w:sz="0" w:space="0" w:color="auto"/>
          </w:divBdr>
        </w:div>
        <w:div w:id="246773691">
          <w:marLeft w:val="0"/>
          <w:marRight w:val="0"/>
          <w:marTop w:val="0"/>
          <w:marBottom w:val="0"/>
          <w:divBdr>
            <w:top w:val="none" w:sz="0" w:space="0" w:color="auto"/>
            <w:left w:val="none" w:sz="0" w:space="0" w:color="auto"/>
            <w:bottom w:val="none" w:sz="0" w:space="0" w:color="auto"/>
            <w:right w:val="none" w:sz="0" w:space="0" w:color="auto"/>
          </w:divBdr>
          <w:divsChild>
            <w:div w:id="77875566">
              <w:marLeft w:val="0"/>
              <w:marRight w:val="0"/>
              <w:marTop w:val="0"/>
              <w:marBottom w:val="0"/>
              <w:divBdr>
                <w:top w:val="none" w:sz="0" w:space="0" w:color="auto"/>
                <w:left w:val="none" w:sz="0" w:space="0" w:color="auto"/>
                <w:bottom w:val="none" w:sz="0" w:space="0" w:color="auto"/>
                <w:right w:val="none" w:sz="0" w:space="0" w:color="auto"/>
              </w:divBdr>
            </w:div>
            <w:div w:id="228464950">
              <w:marLeft w:val="0"/>
              <w:marRight w:val="0"/>
              <w:marTop w:val="0"/>
              <w:marBottom w:val="0"/>
              <w:divBdr>
                <w:top w:val="none" w:sz="0" w:space="0" w:color="auto"/>
                <w:left w:val="none" w:sz="0" w:space="0" w:color="auto"/>
                <w:bottom w:val="none" w:sz="0" w:space="0" w:color="auto"/>
                <w:right w:val="none" w:sz="0" w:space="0" w:color="auto"/>
              </w:divBdr>
            </w:div>
            <w:div w:id="239559978">
              <w:marLeft w:val="0"/>
              <w:marRight w:val="0"/>
              <w:marTop w:val="0"/>
              <w:marBottom w:val="0"/>
              <w:divBdr>
                <w:top w:val="none" w:sz="0" w:space="0" w:color="auto"/>
                <w:left w:val="none" w:sz="0" w:space="0" w:color="auto"/>
                <w:bottom w:val="none" w:sz="0" w:space="0" w:color="auto"/>
                <w:right w:val="none" w:sz="0" w:space="0" w:color="auto"/>
              </w:divBdr>
            </w:div>
            <w:div w:id="245380828">
              <w:marLeft w:val="0"/>
              <w:marRight w:val="0"/>
              <w:marTop w:val="0"/>
              <w:marBottom w:val="0"/>
              <w:divBdr>
                <w:top w:val="none" w:sz="0" w:space="0" w:color="auto"/>
                <w:left w:val="none" w:sz="0" w:space="0" w:color="auto"/>
                <w:bottom w:val="none" w:sz="0" w:space="0" w:color="auto"/>
                <w:right w:val="none" w:sz="0" w:space="0" w:color="auto"/>
              </w:divBdr>
            </w:div>
            <w:div w:id="514269671">
              <w:marLeft w:val="0"/>
              <w:marRight w:val="0"/>
              <w:marTop w:val="0"/>
              <w:marBottom w:val="0"/>
              <w:divBdr>
                <w:top w:val="none" w:sz="0" w:space="0" w:color="auto"/>
                <w:left w:val="none" w:sz="0" w:space="0" w:color="auto"/>
                <w:bottom w:val="none" w:sz="0" w:space="0" w:color="auto"/>
                <w:right w:val="none" w:sz="0" w:space="0" w:color="auto"/>
              </w:divBdr>
            </w:div>
            <w:div w:id="540435567">
              <w:marLeft w:val="0"/>
              <w:marRight w:val="0"/>
              <w:marTop w:val="0"/>
              <w:marBottom w:val="0"/>
              <w:divBdr>
                <w:top w:val="none" w:sz="0" w:space="0" w:color="auto"/>
                <w:left w:val="none" w:sz="0" w:space="0" w:color="auto"/>
                <w:bottom w:val="none" w:sz="0" w:space="0" w:color="auto"/>
                <w:right w:val="none" w:sz="0" w:space="0" w:color="auto"/>
              </w:divBdr>
            </w:div>
            <w:div w:id="595796900">
              <w:marLeft w:val="0"/>
              <w:marRight w:val="0"/>
              <w:marTop w:val="0"/>
              <w:marBottom w:val="0"/>
              <w:divBdr>
                <w:top w:val="none" w:sz="0" w:space="0" w:color="auto"/>
                <w:left w:val="none" w:sz="0" w:space="0" w:color="auto"/>
                <w:bottom w:val="none" w:sz="0" w:space="0" w:color="auto"/>
                <w:right w:val="none" w:sz="0" w:space="0" w:color="auto"/>
              </w:divBdr>
            </w:div>
            <w:div w:id="627972072">
              <w:marLeft w:val="0"/>
              <w:marRight w:val="0"/>
              <w:marTop w:val="0"/>
              <w:marBottom w:val="0"/>
              <w:divBdr>
                <w:top w:val="none" w:sz="0" w:space="0" w:color="auto"/>
                <w:left w:val="none" w:sz="0" w:space="0" w:color="auto"/>
                <w:bottom w:val="none" w:sz="0" w:space="0" w:color="auto"/>
                <w:right w:val="none" w:sz="0" w:space="0" w:color="auto"/>
              </w:divBdr>
            </w:div>
            <w:div w:id="692656006">
              <w:marLeft w:val="0"/>
              <w:marRight w:val="0"/>
              <w:marTop w:val="0"/>
              <w:marBottom w:val="0"/>
              <w:divBdr>
                <w:top w:val="none" w:sz="0" w:space="0" w:color="auto"/>
                <w:left w:val="none" w:sz="0" w:space="0" w:color="auto"/>
                <w:bottom w:val="none" w:sz="0" w:space="0" w:color="auto"/>
                <w:right w:val="none" w:sz="0" w:space="0" w:color="auto"/>
              </w:divBdr>
            </w:div>
            <w:div w:id="768354321">
              <w:marLeft w:val="0"/>
              <w:marRight w:val="0"/>
              <w:marTop w:val="0"/>
              <w:marBottom w:val="0"/>
              <w:divBdr>
                <w:top w:val="none" w:sz="0" w:space="0" w:color="auto"/>
                <w:left w:val="none" w:sz="0" w:space="0" w:color="auto"/>
                <w:bottom w:val="none" w:sz="0" w:space="0" w:color="auto"/>
                <w:right w:val="none" w:sz="0" w:space="0" w:color="auto"/>
              </w:divBdr>
            </w:div>
            <w:div w:id="778835059">
              <w:marLeft w:val="0"/>
              <w:marRight w:val="0"/>
              <w:marTop w:val="0"/>
              <w:marBottom w:val="0"/>
              <w:divBdr>
                <w:top w:val="none" w:sz="0" w:space="0" w:color="auto"/>
                <w:left w:val="none" w:sz="0" w:space="0" w:color="auto"/>
                <w:bottom w:val="none" w:sz="0" w:space="0" w:color="auto"/>
                <w:right w:val="none" w:sz="0" w:space="0" w:color="auto"/>
              </w:divBdr>
            </w:div>
            <w:div w:id="853029750">
              <w:marLeft w:val="0"/>
              <w:marRight w:val="0"/>
              <w:marTop w:val="0"/>
              <w:marBottom w:val="0"/>
              <w:divBdr>
                <w:top w:val="none" w:sz="0" w:space="0" w:color="auto"/>
                <w:left w:val="none" w:sz="0" w:space="0" w:color="auto"/>
                <w:bottom w:val="none" w:sz="0" w:space="0" w:color="auto"/>
                <w:right w:val="none" w:sz="0" w:space="0" w:color="auto"/>
              </w:divBdr>
            </w:div>
            <w:div w:id="870921192">
              <w:marLeft w:val="0"/>
              <w:marRight w:val="0"/>
              <w:marTop w:val="0"/>
              <w:marBottom w:val="0"/>
              <w:divBdr>
                <w:top w:val="none" w:sz="0" w:space="0" w:color="auto"/>
                <w:left w:val="none" w:sz="0" w:space="0" w:color="auto"/>
                <w:bottom w:val="none" w:sz="0" w:space="0" w:color="auto"/>
                <w:right w:val="none" w:sz="0" w:space="0" w:color="auto"/>
              </w:divBdr>
            </w:div>
            <w:div w:id="1351104913">
              <w:marLeft w:val="0"/>
              <w:marRight w:val="0"/>
              <w:marTop w:val="0"/>
              <w:marBottom w:val="0"/>
              <w:divBdr>
                <w:top w:val="none" w:sz="0" w:space="0" w:color="auto"/>
                <w:left w:val="none" w:sz="0" w:space="0" w:color="auto"/>
                <w:bottom w:val="none" w:sz="0" w:space="0" w:color="auto"/>
                <w:right w:val="none" w:sz="0" w:space="0" w:color="auto"/>
              </w:divBdr>
            </w:div>
            <w:div w:id="1473710873">
              <w:marLeft w:val="0"/>
              <w:marRight w:val="0"/>
              <w:marTop w:val="0"/>
              <w:marBottom w:val="0"/>
              <w:divBdr>
                <w:top w:val="none" w:sz="0" w:space="0" w:color="auto"/>
                <w:left w:val="none" w:sz="0" w:space="0" w:color="auto"/>
                <w:bottom w:val="none" w:sz="0" w:space="0" w:color="auto"/>
                <w:right w:val="none" w:sz="0" w:space="0" w:color="auto"/>
              </w:divBdr>
            </w:div>
            <w:div w:id="1505320986">
              <w:marLeft w:val="0"/>
              <w:marRight w:val="0"/>
              <w:marTop w:val="0"/>
              <w:marBottom w:val="0"/>
              <w:divBdr>
                <w:top w:val="none" w:sz="0" w:space="0" w:color="auto"/>
                <w:left w:val="none" w:sz="0" w:space="0" w:color="auto"/>
                <w:bottom w:val="none" w:sz="0" w:space="0" w:color="auto"/>
                <w:right w:val="none" w:sz="0" w:space="0" w:color="auto"/>
              </w:divBdr>
            </w:div>
            <w:div w:id="1641612119">
              <w:marLeft w:val="0"/>
              <w:marRight w:val="0"/>
              <w:marTop w:val="0"/>
              <w:marBottom w:val="0"/>
              <w:divBdr>
                <w:top w:val="none" w:sz="0" w:space="0" w:color="auto"/>
                <w:left w:val="none" w:sz="0" w:space="0" w:color="auto"/>
                <w:bottom w:val="none" w:sz="0" w:space="0" w:color="auto"/>
                <w:right w:val="none" w:sz="0" w:space="0" w:color="auto"/>
              </w:divBdr>
            </w:div>
            <w:div w:id="1716352152">
              <w:marLeft w:val="0"/>
              <w:marRight w:val="0"/>
              <w:marTop w:val="0"/>
              <w:marBottom w:val="0"/>
              <w:divBdr>
                <w:top w:val="none" w:sz="0" w:space="0" w:color="auto"/>
                <w:left w:val="none" w:sz="0" w:space="0" w:color="auto"/>
                <w:bottom w:val="none" w:sz="0" w:space="0" w:color="auto"/>
                <w:right w:val="none" w:sz="0" w:space="0" w:color="auto"/>
              </w:divBdr>
            </w:div>
            <w:div w:id="1861434882">
              <w:marLeft w:val="0"/>
              <w:marRight w:val="0"/>
              <w:marTop w:val="0"/>
              <w:marBottom w:val="0"/>
              <w:divBdr>
                <w:top w:val="none" w:sz="0" w:space="0" w:color="auto"/>
                <w:left w:val="none" w:sz="0" w:space="0" w:color="auto"/>
                <w:bottom w:val="none" w:sz="0" w:space="0" w:color="auto"/>
                <w:right w:val="none" w:sz="0" w:space="0" w:color="auto"/>
              </w:divBdr>
            </w:div>
            <w:div w:id="1915041895">
              <w:marLeft w:val="0"/>
              <w:marRight w:val="0"/>
              <w:marTop w:val="0"/>
              <w:marBottom w:val="0"/>
              <w:divBdr>
                <w:top w:val="none" w:sz="0" w:space="0" w:color="auto"/>
                <w:left w:val="none" w:sz="0" w:space="0" w:color="auto"/>
                <w:bottom w:val="none" w:sz="0" w:space="0" w:color="auto"/>
                <w:right w:val="none" w:sz="0" w:space="0" w:color="auto"/>
              </w:divBdr>
            </w:div>
          </w:divsChild>
        </w:div>
        <w:div w:id="248346626">
          <w:marLeft w:val="0"/>
          <w:marRight w:val="0"/>
          <w:marTop w:val="0"/>
          <w:marBottom w:val="0"/>
          <w:divBdr>
            <w:top w:val="none" w:sz="0" w:space="0" w:color="auto"/>
            <w:left w:val="none" w:sz="0" w:space="0" w:color="auto"/>
            <w:bottom w:val="none" w:sz="0" w:space="0" w:color="auto"/>
            <w:right w:val="none" w:sz="0" w:space="0" w:color="auto"/>
          </w:divBdr>
        </w:div>
        <w:div w:id="248585420">
          <w:marLeft w:val="0"/>
          <w:marRight w:val="0"/>
          <w:marTop w:val="0"/>
          <w:marBottom w:val="0"/>
          <w:divBdr>
            <w:top w:val="none" w:sz="0" w:space="0" w:color="auto"/>
            <w:left w:val="none" w:sz="0" w:space="0" w:color="auto"/>
            <w:bottom w:val="none" w:sz="0" w:space="0" w:color="auto"/>
            <w:right w:val="none" w:sz="0" w:space="0" w:color="auto"/>
          </w:divBdr>
        </w:div>
        <w:div w:id="248928305">
          <w:marLeft w:val="0"/>
          <w:marRight w:val="0"/>
          <w:marTop w:val="0"/>
          <w:marBottom w:val="0"/>
          <w:divBdr>
            <w:top w:val="none" w:sz="0" w:space="0" w:color="auto"/>
            <w:left w:val="none" w:sz="0" w:space="0" w:color="auto"/>
            <w:bottom w:val="none" w:sz="0" w:space="0" w:color="auto"/>
            <w:right w:val="none" w:sz="0" w:space="0" w:color="auto"/>
          </w:divBdr>
        </w:div>
        <w:div w:id="249120143">
          <w:marLeft w:val="0"/>
          <w:marRight w:val="0"/>
          <w:marTop w:val="0"/>
          <w:marBottom w:val="0"/>
          <w:divBdr>
            <w:top w:val="none" w:sz="0" w:space="0" w:color="auto"/>
            <w:left w:val="none" w:sz="0" w:space="0" w:color="auto"/>
            <w:bottom w:val="none" w:sz="0" w:space="0" w:color="auto"/>
            <w:right w:val="none" w:sz="0" w:space="0" w:color="auto"/>
          </w:divBdr>
        </w:div>
        <w:div w:id="250548832">
          <w:marLeft w:val="0"/>
          <w:marRight w:val="0"/>
          <w:marTop w:val="0"/>
          <w:marBottom w:val="0"/>
          <w:divBdr>
            <w:top w:val="none" w:sz="0" w:space="0" w:color="auto"/>
            <w:left w:val="none" w:sz="0" w:space="0" w:color="auto"/>
            <w:bottom w:val="none" w:sz="0" w:space="0" w:color="auto"/>
            <w:right w:val="none" w:sz="0" w:space="0" w:color="auto"/>
          </w:divBdr>
        </w:div>
        <w:div w:id="251474688">
          <w:marLeft w:val="0"/>
          <w:marRight w:val="0"/>
          <w:marTop w:val="0"/>
          <w:marBottom w:val="0"/>
          <w:divBdr>
            <w:top w:val="none" w:sz="0" w:space="0" w:color="auto"/>
            <w:left w:val="none" w:sz="0" w:space="0" w:color="auto"/>
            <w:bottom w:val="none" w:sz="0" w:space="0" w:color="auto"/>
            <w:right w:val="none" w:sz="0" w:space="0" w:color="auto"/>
          </w:divBdr>
        </w:div>
        <w:div w:id="252395212">
          <w:marLeft w:val="0"/>
          <w:marRight w:val="0"/>
          <w:marTop w:val="0"/>
          <w:marBottom w:val="0"/>
          <w:divBdr>
            <w:top w:val="none" w:sz="0" w:space="0" w:color="auto"/>
            <w:left w:val="none" w:sz="0" w:space="0" w:color="auto"/>
            <w:bottom w:val="none" w:sz="0" w:space="0" w:color="auto"/>
            <w:right w:val="none" w:sz="0" w:space="0" w:color="auto"/>
          </w:divBdr>
        </w:div>
        <w:div w:id="252905697">
          <w:marLeft w:val="0"/>
          <w:marRight w:val="0"/>
          <w:marTop w:val="0"/>
          <w:marBottom w:val="0"/>
          <w:divBdr>
            <w:top w:val="none" w:sz="0" w:space="0" w:color="auto"/>
            <w:left w:val="none" w:sz="0" w:space="0" w:color="auto"/>
            <w:bottom w:val="none" w:sz="0" w:space="0" w:color="auto"/>
            <w:right w:val="none" w:sz="0" w:space="0" w:color="auto"/>
          </w:divBdr>
        </w:div>
        <w:div w:id="254293773">
          <w:marLeft w:val="0"/>
          <w:marRight w:val="0"/>
          <w:marTop w:val="0"/>
          <w:marBottom w:val="0"/>
          <w:divBdr>
            <w:top w:val="none" w:sz="0" w:space="0" w:color="auto"/>
            <w:left w:val="none" w:sz="0" w:space="0" w:color="auto"/>
            <w:bottom w:val="none" w:sz="0" w:space="0" w:color="auto"/>
            <w:right w:val="none" w:sz="0" w:space="0" w:color="auto"/>
          </w:divBdr>
        </w:div>
        <w:div w:id="256520326">
          <w:marLeft w:val="0"/>
          <w:marRight w:val="0"/>
          <w:marTop w:val="0"/>
          <w:marBottom w:val="0"/>
          <w:divBdr>
            <w:top w:val="none" w:sz="0" w:space="0" w:color="auto"/>
            <w:left w:val="none" w:sz="0" w:space="0" w:color="auto"/>
            <w:bottom w:val="none" w:sz="0" w:space="0" w:color="auto"/>
            <w:right w:val="none" w:sz="0" w:space="0" w:color="auto"/>
          </w:divBdr>
        </w:div>
        <w:div w:id="258224153">
          <w:marLeft w:val="0"/>
          <w:marRight w:val="0"/>
          <w:marTop w:val="0"/>
          <w:marBottom w:val="0"/>
          <w:divBdr>
            <w:top w:val="none" w:sz="0" w:space="0" w:color="auto"/>
            <w:left w:val="none" w:sz="0" w:space="0" w:color="auto"/>
            <w:bottom w:val="none" w:sz="0" w:space="0" w:color="auto"/>
            <w:right w:val="none" w:sz="0" w:space="0" w:color="auto"/>
          </w:divBdr>
        </w:div>
        <w:div w:id="260144767">
          <w:marLeft w:val="0"/>
          <w:marRight w:val="0"/>
          <w:marTop w:val="0"/>
          <w:marBottom w:val="0"/>
          <w:divBdr>
            <w:top w:val="none" w:sz="0" w:space="0" w:color="auto"/>
            <w:left w:val="none" w:sz="0" w:space="0" w:color="auto"/>
            <w:bottom w:val="none" w:sz="0" w:space="0" w:color="auto"/>
            <w:right w:val="none" w:sz="0" w:space="0" w:color="auto"/>
          </w:divBdr>
          <w:divsChild>
            <w:div w:id="14037996">
              <w:marLeft w:val="0"/>
              <w:marRight w:val="0"/>
              <w:marTop w:val="0"/>
              <w:marBottom w:val="0"/>
              <w:divBdr>
                <w:top w:val="none" w:sz="0" w:space="0" w:color="auto"/>
                <w:left w:val="none" w:sz="0" w:space="0" w:color="auto"/>
                <w:bottom w:val="none" w:sz="0" w:space="0" w:color="auto"/>
                <w:right w:val="none" w:sz="0" w:space="0" w:color="auto"/>
              </w:divBdr>
            </w:div>
            <w:div w:id="31391931">
              <w:marLeft w:val="0"/>
              <w:marRight w:val="0"/>
              <w:marTop w:val="0"/>
              <w:marBottom w:val="0"/>
              <w:divBdr>
                <w:top w:val="none" w:sz="0" w:space="0" w:color="auto"/>
                <w:left w:val="none" w:sz="0" w:space="0" w:color="auto"/>
                <w:bottom w:val="none" w:sz="0" w:space="0" w:color="auto"/>
                <w:right w:val="none" w:sz="0" w:space="0" w:color="auto"/>
              </w:divBdr>
            </w:div>
            <w:div w:id="164059207">
              <w:marLeft w:val="0"/>
              <w:marRight w:val="0"/>
              <w:marTop w:val="0"/>
              <w:marBottom w:val="0"/>
              <w:divBdr>
                <w:top w:val="none" w:sz="0" w:space="0" w:color="auto"/>
                <w:left w:val="none" w:sz="0" w:space="0" w:color="auto"/>
                <w:bottom w:val="none" w:sz="0" w:space="0" w:color="auto"/>
                <w:right w:val="none" w:sz="0" w:space="0" w:color="auto"/>
              </w:divBdr>
            </w:div>
            <w:div w:id="283393435">
              <w:marLeft w:val="0"/>
              <w:marRight w:val="0"/>
              <w:marTop w:val="0"/>
              <w:marBottom w:val="0"/>
              <w:divBdr>
                <w:top w:val="none" w:sz="0" w:space="0" w:color="auto"/>
                <w:left w:val="none" w:sz="0" w:space="0" w:color="auto"/>
                <w:bottom w:val="none" w:sz="0" w:space="0" w:color="auto"/>
                <w:right w:val="none" w:sz="0" w:space="0" w:color="auto"/>
              </w:divBdr>
            </w:div>
            <w:div w:id="323093029">
              <w:marLeft w:val="0"/>
              <w:marRight w:val="0"/>
              <w:marTop w:val="0"/>
              <w:marBottom w:val="0"/>
              <w:divBdr>
                <w:top w:val="none" w:sz="0" w:space="0" w:color="auto"/>
                <w:left w:val="none" w:sz="0" w:space="0" w:color="auto"/>
                <w:bottom w:val="none" w:sz="0" w:space="0" w:color="auto"/>
                <w:right w:val="none" w:sz="0" w:space="0" w:color="auto"/>
              </w:divBdr>
            </w:div>
            <w:div w:id="352538481">
              <w:marLeft w:val="0"/>
              <w:marRight w:val="0"/>
              <w:marTop w:val="0"/>
              <w:marBottom w:val="0"/>
              <w:divBdr>
                <w:top w:val="none" w:sz="0" w:space="0" w:color="auto"/>
                <w:left w:val="none" w:sz="0" w:space="0" w:color="auto"/>
                <w:bottom w:val="none" w:sz="0" w:space="0" w:color="auto"/>
                <w:right w:val="none" w:sz="0" w:space="0" w:color="auto"/>
              </w:divBdr>
            </w:div>
            <w:div w:id="367410594">
              <w:marLeft w:val="0"/>
              <w:marRight w:val="0"/>
              <w:marTop w:val="0"/>
              <w:marBottom w:val="0"/>
              <w:divBdr>
                <w:top w:val="none" w:sz="0" w:space="0" w:color="auto"/>
                <w:left w:val="none" w:sz="0" w:space="0" w:color="auto"/>
                <w:bottom w:val="none" w:sz="0" w:space="0" w:color="auto"/>
                <w:right w:val="none" w:sz="0" w:space="0" w:color="auto"/>
              </w:divBdr>
            </w:div>
            <w:div w:id="553853648">
              <w:marLeft w:val="0"/>
              <w:marRight w:val="0"/>
              <w:marTop w:val="0"/>
              <w:marBottom w:val="0"/>
              <w:divBdr>
                <w:top w:val="none" w:sz="0" w:space="0" w:color="auto"/>
                <w:left w:val="none" w:sz="0" w:space="0" w:color="auto"/>
                <w:bottom w:val="none" w:sz="0" w:space="0" w:color="auto"/>
                <w:right w:val="none" w:sz="0" w:space="0" w:color="auto"/>
              </w:divBdr>
            </w:div>
            <w:div w:id="596981594">
              <w:marLeft w:val="0"/>
              <w:marRight w:val="0"/>
              <w:marTop w:val="0"/>
              <w:marBottom w:val="0"/>
              <w:divBdr>
                <w:top w:val="none" w:sz="0" w:space="0" w:color="auto"/>
                <w:left w:val="none" w:sz="0" w:space="0" w:color="auto"/>
                <w:bottom w:val="none" w:sz="0" w:space="0" w:color="auto"/>
                <w:right w:val="none" w:sz="0" w:space="0" w:color="auto"/>
              </w:divBdr>
            </w:div>
            <w:div w:id="836194335">
              <w:marLeft w:val="0"/>
              <w:marRight w:val="0"/>
              <w:marTop w:val="0"/>
              <w:marBottom w:val="0"/>
              <w:divBdr>
                <w:top w:val="none" w:sz="0" w:space="0" w:color="auto"/>
                <w:left w:val="none" w:sz="0" w:space="0" w:color="auto"/>
                <w:bottom w:val="none" w:sz="0" w:space="0" w:color="auto"/>
                <w:right w:val="none" w:sz="0" w:space="0" w:color="auto"/>
              </w:divBdr>
            </w:div>
            <w:div w:id="978462032">
              <w:marLeft w:val="0"/>
              <w:marRight w:val="0"/>
              <w:marTop w:val="0"/>
              <w:marBottom w:val="0"/>
              <w:divBdr>
                <w:top w:val="none" w:sz="0" w:space="0" w:color="auto"/>
                <w:left w:val="none" w:sz="0" w:space="0" w:color="auto"/>
                <w:bottom w:val="none" w:sz="0" w:space="0" w:color="auto"/>
                <w:right w:val="none" w:sz="0" w:space="0" w:color="auto"/>
              </w:divBdr>
            </w:div>
            <w:div w:id="1075781916">
              <w:marLeft w:val="0"/>
              <w:marRight w:val="0"/>
              <w:marTop w:val="0"/>
              <w:marBottom w:val="0"/>
              <w:divBdr>
                <w:top w:val="none" w:sz="0" w:space="0" w:color="auto"/>
                <w:left w:val="none" w:sz="0" w:space="0" w:color="auto"/>
                <w:bottom w:val="none" w:sz="0" w:space="0" w:color="auto"/>
                <w:right w:val="none" w:sz="0" w:space="0" w:color="auto"/>
              </w:divBdr>
            </w:div>
            <w:div w:id="1137796057">
              <w:marLeft w:val="0"/>
              <w:marRight w:val="0"/>
              <w:marTop w:val="0"/>
              <w:marBottom w:val="0"/>
              <w:divBdr>
                <w:top w:val="none" w:sz="0" w:space="0" w:color="auto"/>
                <w:left w:val="none" w:sz="0" w:space="0" w:color="auto"/>
                <w:bottom w:val="none" w:sz="0" w:space="0" w:color="auto"/>
                <w:right w:val="none" w:sz="0" w:space="0" w:color="auto"/>
              </w:divBdr>
            </w:div>
            <w:div w:id="1481575680">
              <w:marLeft w:val="0"/>
              <w:marRight w:val="0"/>
              <w:marTop w:val="0"/>
              <w:marBottom w:val="0"/>
              <w:divBdr>
                <w:top w:val="none" w:sz="0" w:space="0" w:color="auto"/>
                <w:left w:val="none" w:sz="0" w:space="0" w:color="auto"/>
                <w:bottom w:val="none" w:sz="0" w:space="0" w:color="auto"/>
                <w:right w:val="none" w:sz="0" w:space="0" w:color="auto"/>
              </w:divBdr>
            </w:div>
            <w:div w:id="1858805938">
              <w:marLeft w:val="0"/>
              <w:marRight w:val="0"/>
              <w:marTop w:val="0"/>
              <w:marBottom w:val="0"/>
              <w:divBdr>
                <w:top w:val="none" w:sz="0" w:space="0" w:color="auto"/>
                <w:left w:val="none" w:sz="0" w:space="0" w:color="auto"/>
                <w:bottom w:val="none" w:sz="0" w:space="0" w:color="auto"/>
                <w:right w:val="none" w:sz="0" w:space="0" w:color="auto"/>
              </w:divBdr>
            </w:div>
            <w:div w:id="1899130179">
              <w:marLeft w:val="0"/>
              <w:marRight w:val="0"/>
              <w:marTop w:val="0"/>
              <w:marBottom w:val="0"/>
              <w:divBdr>
                <w:top w:val="none" w:sz="0" w:space="0" w:color="auto"/>
                <w:left w:val="none" w:sz="0" w:space="0" w:color="auto"/>
                <w:bottom w:val="none" w:sz="0" w:space="0" w:color="auto"/>
                <w:right w:val="none" w:sz="0" w:space="0" w:color="auto"/>
              </w:divBdr>
            </w:div>
            <w:div w:id="2010058506">
              <w:marLeft w:val="0"/>
              <w:marRight w:val="0"/>
              <w:marTop w:val="0"/>
              <w:marBottom w:val="0"/>
              <w:divBdr>
                <w:top w:val="none" w:sz="0" w:space="0" w:color="auto"/>
                <w:left w:val="none" w:sz="0" w:space="0" w:color="auto"/>
                <w:bottom w:val="none" w:sz="0" w:space="0" w:color="auto"/>
                <w:right w:val="none" w:sz="0" w:space="0" w:color="auto"/>
              </w:divBdr>
            </w:div>
          </w:divsChild>
        </w:div>
        <w:div w:id="260798324">
          <w:marLeft w:val="0"/>
          <w:marRight w:val="0"/>
          <w:marTop w:val="0"/>
          <w:marBottom w:val="0"/>
          <w:divBdr>
            <w:top w:val="none" w:sz="0" w:space="0" w:color="auto"/>
            <w:left w:val="none" w:sz="0" w:space="0" w:color="auto"/>
            <w:bottom w:val="none" w:sz="0" w:space="0" w:color="auto"/>
            <w:right w:val="none" w:sz="0" w:space="0" w:color="auto"/>
          </w:divBdr>
        </w:div>
        <w:div w:id="261108287">
          <w:marLeft w:val="0"/>
          <w:marRight w:val="0"/>
          <w:marTop w:val="0"/>
          <w:marBottom w:val="0"/>
          <w:divBdr>
            <w:top w:val="none" w:sz="0" w:space="0" w:color="auto"/>
            <w:left w:val="none" w:sz="0" w:space="0" w:color="auto"/>
            <w:bottom w:val="none" w:sz="0" w:space="0" w:color="auto"/>
            <w:right w:val="none" w:sz="0" w:space="0" w:color="auto"/>
          </w:divBdr>
        </w:div>
        <w:div w:id="261651747">
          <w:marLeft w:val="0"/>
          <w:marRight w:val="0"/>
          <w:marTop w:val="0"/>
          <w:marBottom w:val="0"/>
          <w:divBdr>
            <w:top w:val="none" w:sz="0" w:space="0" w:color="auto"/>
            <w:left w:val="none" w:sz="0" w:space="0" w:color="auto"/>
            <w:bottom w:val="none" w:sz="0" w:space="0" w:color="auto"/>
            <w:right w:val="none" w:sz="0" w:space="0" w:color="auto"/>
          </w:divBdr>
        </w:div>
        <w:div w:id="261693431">
          <w:marLeft w:val="0"/>
          <w:marRight w:val="0"/>
          <w:marTop w:val="0"/>
          <w:marBottom w:val="0"/>
          <w:divBdr>
            <w:top w:val="none" w:sz="0" w:space="0" w:color="auto"/>
            <w:left w:val="none" w:sz="0" w:space="0" w:color="auto"/>
            <w:bottom w:val="none" w:sz="0" w:space="0" w:color="auto"/>
            <w:right w:val="none" w:sz="0" w:space="0" w:color="auto"/>
          </w:divBdr>
        </w:div>
        <w:div w:id="262957542">
          <w:marLeft w:val="0"/>
          <w:marRight w:val="0"/>
          <w:marTop w:val="0"/>
          <w:marBottom w:val="0"/>
          <w:divBdr>
            <w:top w:val="none" w:sz="0" w:space="0" w:color="auto"/>
            <w:left w:val="none" w:sz="0" w:space="0" w:color="auto"/>
            <w:bottom w:val="none" w:sz="0" w:space="0" w:color="auto"/>
            <w:right w:val="none" w:sz="0" w:space="0" w:color="auto"/>
          </w:divBdr>
        </w:div>
        <w:div w:id="263345150">
          <w:marLeft w:val="0"/>
          <w:marRight w:val="0"/>
          <w:marTop w:val="0"/>
          <w:marBottom w:val="0"/>
          <w:divBdr>
            <w:top w:val="none" w:sz="0" w:space="0" w:color="auto"/>
            <w:left w:val="none" w:sz="0" w:space="0" w:color="auto"/>
            <w:bottom w:val="none" w:sz="0" w:space="0" w:color="auto"/>
            <w:right w:val="none" w:sz="0" w:space="0" w:color="auto"/>
          </w:divBdr>
        </w:div>
        <w:div w:id="268467488">
          <w:marLeft w:val="0"/>
          <w:marRight w:val="0"/>
          <w:marTop w:val="0"/>
          <w:marBottom w:val="0"/>
          <w:divBdr>
            <w:top w:val="none" w:sz="0" w:space="0" w:color="auto"/>
            <w:left w:val="none" w:sz="0" w:space="0" w:color="auto"/>
            <w:bottom w:val="none" w:sz="0" w:space="0" w:color="auto"/>
            <w:right w:val="none" w:sz="0" w:space="0" w:color="auto"/>
          </w:divBdr>
          <w:divsChild>
            <w:div w:id="197134560">
              <w:marLeft w:val="-75"/>
              <w:marRight w:val="0"/>
              <w:marTop w:val="30"/>
              <w:marBottom w:val="30"/>
              <w:divBdr>
                <w:top w:val="none" w:sz="0" w:space="0" w:color="auto"/>
                <w:left w:val="none" w:sz="0" w:space="0" w:color="auto"/>
                <w:bottom w:val="none" w:sz="0" w:space="0" w:color="auto"/>
                <w:right w:val="none" w:sz="0" w:space="0" w:color="auto"/>
              </w:divBdr>
              <w:divsChild>
                <w:div w:id="293415058">
                  <w:marLeft w:val="0"/>
                  <w:marRight w:val="0"/>
                  <w:marTop w:val="0"/>
                  <w:marBottom w:val="0"/>
                  <w:divBdr>
                    <w:top w:val="none" w:sz="0" w:space="0" w:color="auto"/>
                    <w:left w:val="none" w:sz="0" w:space="0" w:color="auto"/>
                    <w:bottom w:val="none" w:sz="0" w:space="0" w:color="auto"/>
                    <w:right w:val="none" w:sz="0" w:space="0" w:color="auto"/>
                  </w:divBdr>
                  <w:divsChild>
                    <w:div w:id="1814910832">
                      <w:marLeft w:val="0"/>
                      <w:marRight w:val="0"/>
                      <w:marTop w:val="0"/>
                      <w:marBottom w:val="0"/>
                      <w:divBdr>
                        <w:top w:val="none" w:sz="0" w:space="0" w:color="auto"/>
                        <w:left w:val="none" w:sz="0" w:space="0" w:color="auto"/>
                        <w:bottom w:val="none" w:sz="0" w:space="0" w:color="auto"/>
                        <w:right w:val="none" w:sz="0" w:space="0" w:color="auto"/>
                      </w:divBdr>
                    </w:div>
                  </w:divsChild>
                </w:div>
                <w:div w:id="368989648">
                  <w:marLeft w:val="0"/>
                  <w:marRight w:val="0"/>
                  <w:marTop w:val="0"/>
                  <w:marBottom w:val="0"/>
                  <w:divBdr>
                    <w:top w:val="none" w:sz="0" w:space="0" w:color="auto"/>
                    <w:left w:val="none" w:sz="0" w:space="0" w:color="auto"/>
                    <w:bottom w:val="none" w:sz="0" w:space="0" w:color="auto"/>
                    <w:right w:val="none" w:sz="0" w:space="0" w:color="auto"/>
                  </w:divBdr>
                  <w:divsChild>
                    <w:div w:id="171800798">
                      <w:marLeft w:val="0"/>
                      <w:marRight w:val="0"/>
                      <w:marTop w:val="0"/>
                      <w:marBottom w:val="0"/>
                      <w:divBdr>
                        <w:top w:val="none" w:sz="0" w:space="0" w:color="auto"/>
                        <w:left w:val="none" w:sz="0" w:space="0" w:color="auto"/>
                        <w:bottom w:val="none" w:sz="0" w:space="0" w:color="auto"/>
                        <w:right w:val="none" w:sz="0" w:space="0" w:color="auto"/>
                      </w:divBdr>
                    </w:div>
                  </w:divsChild>
                </w:div>
                <w:div w:id="578249496">
                  <w:marLeft w:val="0"/>
                  <w:marRight w:val="0"/>
                  <w:marTop w:val="0"/>
                  <w:marBottom w:val="0"/>
                  <w:divBdr>
                    <w:top w:val="none" w:sz="0" w:space="0" w:color="auto"/>
                    <w:left w:val="none" w:sz="0" w:space="0" w:color="auto"/>
                    <w:bottom w:val="none" w:sz="0" w:space="0" w:color="auto"/>
                    <w:right w:val="none" w:sz="0" w:space="0" w:color="auto"/>
                  </w:divBdr>
                  <w:divsChild>
                    <w:div w:id="1337078511">
                      <w:marLeft w:val="0"/>
                      <w:marRight w:val="0"/>
                      <w:marTop w:val="0"/>
                      <w:marBottom w:val="0"/>
                      <w:divBdr>
                        <w:top w:val="none" w:sz="0" w:space="0" w:color="auto"/>
                        <w:left w:val="none" w:sz="0" w:space="0" w:color="auto"/>
                        <w:bottom w:val="none" w:sz="0" w:space="0" w:color="auto"/>
                        <w:right w:val="none" w:sz="0" w:space="0" w:color="auto"/>
                      </w:divBdr>
                    </w:div>
                  </w:divsChild>
                </w:div>
                <w:div w:id="831455970">
                  <w:marLeft w:val="0"/>
                  <w:marRight w:val="0"/>
                  <w:marTop w:val="0"/>
                  <w:marBottom w:val="0"/>
                  <w:divBdr>
                    <w:top w:val="none" w:sz="0" w:space="0" w:color="auto"/>
                    <w:left w:val="none" w:sz="0" w:space="0" w:color="auto"/>
                    <w:bottom w:val="none" w:sz="0" w:space="0" w:color="auto"/>
                    <w:right w:val="none" w:sz="0" w:space="0" w:color="auto"/>
                  </w:divBdr>
                  <w:divsChild>
                    <w:div w:id="933902381">
                      <w:marLeft w:val="0"/>
                      <w:marRight w:val="0"/>
                      <w:marTop w:val="0"/>
                      <w:marBottom w:val="0"/>
                      <w:divBdr>
                        <w:top w:val="none" w:sz="0" w:space="0" w:color="auto"/>
                        <w:left w:val="none" w:sz="0" w:space="0" w:color="auto"/>
                        <w:bottom w:val="none" w:sz="0" w:space="0" w:color="auto"/>
                        <w:right w:val="none" w:sz="0" w:space="0" w:color="auto"/>
                      </w:divBdr>
                    </w:div>
                  </w:divsChild>
                </w:div>
                <w:div w:id="1228539409">
                  <w:marLeft w:val="0"/>
                  <w:marRight w:val="0"/>
                  <w:marTop w:val="0"/>
                  <w:marBottom w:val="0"/>
                  <w:divBdr>
                    <w:top w:val="none" w:sz="0" w:space="0" w:color="auto"/>
                    <w:left w:val="none" w:sz="0" w:space="0" w:color="auto"/>
                    <w:bottom w:val="none" w:sz="0" w:space="0" w:color="auto"/>
                    <w:right w:val="none" w:sz="0" w:space="0" w:color="auto"/>
                  </w:divBdr>
                  <w:divsChild>
                    <w:div w:id="673190375">
                      <w:marLeft w:val="0"/>
                      <w:marRight w:val="0"/>
                      <w:marTop w:val="0"/>
                      <w:marBottom w:val="0"/>
                      <w:divBdr>
                        <w:top w:val="none" w:sz="0" w:space="0" w:color="auto"/>
                        <w:left w:val="none" w:sz="0" w:space="0" w:color="auto"/>
                        <w:bottom w:val="none" w:sz="0" w:space="0" w:color="auto"/>
                        <w:right w:val="none" w:sz="0" w:space="0" w:color="auto"/>
                      </w:divBdr>
                    </w:div>
                  </w:divsChild>
                </w:div>
                <w:div w:id="1501971379">
                  <w:marLeft w:val="0"/>
                  <w:marRight w:val="0"/>
                  <w:marTop w:val="0"/>
                  <w:marBottom w:val="0"/>
                  <w:divBdr>
                    <w:top w:val="none" w:sz="0" w:space="0" w:color="auto"/>
                    <w:left w:val="none" w:sz="0" w:space="0" w:color="auto"/>
                    <w:bottom w:val="none" w:sz="0" w:space="0" w:color="auto"/>
                    <w:right w:val="none" w:sz="0" w:space="0" w:color="auto"/>
                  </w:divBdr>
                  <w:divsChild>
                    <w:div w:id="506019269">
                      <w:marLeft w:val="0"/>
                      <w:marRight w:val="0"/>
                      <w:marTop w:val="0"/>
                      <w:marBottom w:val="0"/>
                      <w:divBdr>
                        <w:top w:val="none" w:sz="0" w:space="0" w:color="auto"/>
                        <w:left w:val="none" w:sz="0" w:space="0" w:color="auto"/>
                        <w:bottom w:val="none" w:sz="0" w:space="0" w:color="auto"/>
                        <w:right w:val="none" w:sz="0" w:space="0" w:color="auto"/>
                      </w:divBdr>
                    </w:div>
                  </w:divsChild>
                </w:div>
                <w:div w:id="1705328534">
                  <w:marLeft w:val="0"/>
                  <w:marRight w:val="0"/>
                  <w:marTop w:val="0"/>
                  <w:marBottom w:val="0"/>
                  <w:divBdr>
                    <w:top w:val="none" w:sz="0" w:space="0" w:color="auto"/>
                    <w:left w:val="none" w:sz="0" w:space="0" w:color="auto"/>
                    <w:bottom w:val="none" w:sz="0" w:space="0" w:color="auto"/>
                    <w:right w:val="none" w:sz="0" w:space="0" w:color="auto"/>
                  </w:divBdr>
                  <w:divsChild>
                    <w:div w:id="1054739696">
                      <w:marLeft w:val="0"/>
                      <w:marRight w:val="0"/>
                      <w:marTop w:val="0"/>
                      <w:marBottom w:val="0"/>
                      <w:divBdr>
                        <w:top w:val="none" w:sz="0" w:space="0" w:color="auto"/>
                        <w:left w:val="none" w:sz="0" w:space="0" w:color="auto"/>
                        <w:bottom w:val="none" w:sz="0" w:space="0" w:color="auto"/>
                        <w:right w:val="none" w:sz="0" w:space="0" w:color="auto"/>
                      </w:divBdr>
                    </w:div>
                  </w:divsChild>
                </w:div>
                <w:div w:id="1899435064">
                  <w:marLeft w:val="0"/>
                  <w:marRight w:val="0"/>
                  <w:marTop w:val="0"/>
                  <w:marBottom w:val="0"/>
                  <w:divBdr>
                    <w:top w:val="none" w:sz="0" w:space="0" w:color="auto"/>
                    <w:left w:val="none" w:sz="0" w:space="0" w:color="auto"/>
                    <w:bottom w:val="none" w:sz="0" w:space="0" w:color="auto"/>
                    <w:right w:val="none" w:sz="0" w:space="0" w:color="auto"/>
                  </w:divBdr>
                  <w:divsChild>
                    <w:div w:id="629752292">
                      <w:marLeft w:val="0"/>
                      <w:marRight w:val="0"/>
                      <w:marTop w:val="0"/>
                      <w:marBottom w:val="0"/>
                      <w:divBdr>
                        <w:top w:val="none" w:sz="0" w:space="0" w:color="auto"/>
                        <w:left w:val="none" w:sz="0" w:space="0" w:color="auto"/>
                        <w:bottom w:val="none" w:sz="0" w:space="0" w:color="auto"/>
                        <w:right w:val="none" w:sz="0" w:space="0" w:color="auto"/>
                      </w:divBdr>
                    </w:div>
                  </w:divsChild>
                </w:div>
                <w:div w:id="2055301414">
                  <w:marLeft w:val="0"/>
                  <w:marRight w:val="0"/>
                  <w:marTop w:val="0"/>
                  <w:marBottom w:val="0"/>
                  <w:divBdr>
                    <w:top w:val="none" w:sz="0" w:space="0" w:color="auto"/>
                    <w:left w:val="none" w:sz="0" w:space="0" w:color="auto"/>
                    <w:bottom w:val="none" w:sz="0" w:space="0" w:color="auto"/>
                    <w:right w:val="none" w:sz="0" w:space="0" w:color="auto"/>
                  </w:divBdr>
                  <w:divsChild>
                    <w:div w:id="563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75411">
          <w:marLeft w:val="0"/>
          <w:marRight w:val="0"/>
          <w:marTop w:val="0"/>
          <w:marBottom w:val="0"/>
          <w:divBdr>
            <w:top w:val="none" w:sz="0" w:space="0" w:color="auto"/>
            <w:left w:val="none" w:sz="0" w:space="0" w:color="auto"/>
            <w:bottom w:val="none" w:sz="0" w:space="0" w:color="auto"/>
            <w:right w:val="none" w:sz="0" w:space="0" w:color="auto"/>
          </w:divBdr>
        </w:div>
        <w:div w:id="268897800">
          <w:marLeft w:val="0"/>
          <w:marRight w:val="0"/>
          <w:marTop w:val="0"/>
          <w:marBottom w:val="0"/>
          <w:divBdr>
            <w:top w:val="none" w:sz="0" w:space="0" w:color="auto"/>
            <w:left w:val="none" w:sz="0" w:space="0" w:color="auto"/>
            <w:bottom w:val="none" w:sz="0" w:space="0" w:color="auto"/>
            <w:right w:val="none" w:sz="0" w:space="0" w:color="auto"/>
          </w:divBdr>
        </w:div>
        <w:div w:id="272638424">
          <w:marLeft w:val="0"/>
          <w:marRight w:val="0"/>
          <w:marTop w:val="0"/>
          <w:marBottom w:val="0"/>
          <w:divBdr>
            <w:top w:val="none" w:sz="0" w:space="0" w:color="auto"/>
            <w:left w:val="none" w:sz="0" w:space="0" w:color="auto"/>
            <w:bottom w:val="none" w:sz="0" w:space="0" w:color="auto"/>
            <w:right w:val="none" w:sz="0" w:space="0" w:color="auto"/>
          </w:divBdr>
        </w:div>
        <w:div w:id="272640151">
          <w:marLeft w:val="0"/>
          <w:marRight w:val="0"/>
          <w:marTop w:val="0"/>
          <w:marBottom w:val="0"/>
          <w:divBdr>
            <w:top w:val="none" w:sz="0" w:space="0" w:color="auto"/>
            <w:left w:val="none" w:sz="0" w:space="0" w:color="auto"/>
            <w:bottom w:val="none" w:sz="0" w:space="0" w:color="auto"/>
            <w:right w:val="none" w:sz="0" w:space="0" w:color="auto"/>
          </w:divBdr>
        </w:div>
        <w:div w:id="275600556">
          <w:marLeft w:val="0"/>
          <w:marRight w:val="0"/>
          <w:marTop w:val="0"/>
          <w:marBottom w:val="0"/>
          <w:divBdr>
            <w:top w:val="none" w:sz="0" w:space="0" w:color="auto"/>
            <w:left w:val="none" w:sz="0" w:space="0" w:color="auto"/>
            <w:bottom w:val="none" w:sz="0" w:space="0" w:color="auto"/>
            <w:right w:val="none" w:sz="0" w:space="0" w:color="auto"/>
          </w:divBdr>
        </w:div>
        <w:div w:id="276525583">
          <w:marLeft w:val="0"/>
          <w:marRight w:val="0"/>
          <w:marTop w:val="0"/>
          <w:marBottom w:val="0"/>
          <w:divBdr>
            <w:top w:val="none" w:sz="0" w:space="0" w:color="auto"/>
            <w:left w:val="none" w:sz="0" w:space="0" w:color="auto"/>
            <w:bottom w:val="none" w:sz="0" w:space="0" w:color="auto"/>
            <w:right w:val="none" w:sz="0" w:space="0" w:color="auto"/>
          </w:divBdr>
        </w:div>
        <w:div w:id="277611007">
          <w:marLeft w:val="0"/>
          <w:marRight w:val="0"/>
          <w:marTop w:val="0"/>
          <w:marBottom w:val="0"/>
          <w:divBdr>
            <w:top w:val="none" w:sz="0" w:space="0" w:color="auto"/>
            <w:left w:val="none" w:sz="0" w:space="0" w:color="auto"/>
            <w:bottom w:val="none" w:sz="0" w:space="0" w:color="auto"/>
            <w:right w:val="none" w:sz="0" w:space="0" w:color="auto"/>
          </w:divBdr>
        </w:div>
        <w:div w:id="277953693">
          <w:marLeft w:val="0"/>
          <w:marRight w:val="0"/>
          <w:marTop w:val="0"/>
          <w:marBottom w:val="0"/>
          <w:divBdr>
            <w:top w:val="none" w:sz="0" w:space="0" w:color="auto"/>
            <w:left w:val="none" w:sz="0" w:space="0" w:color="auto"/>
            <w:bottom w:val="none" w:sz="0" w:space="0" w:color="auto"/>
            <w:right w:val="none" w:sz="0" w:space="0" w:color="auto"/>
          </w:divBdr>
        </w:div>
        <w:div w:id="279842828">
          <w:marLeft w:val="0"/>
          <w:marRight w:val="0"/>
          <w:marTop w:val="0"/>
          <w:marBottom w:val="0"/>
          <w:divBdr>
            <w:top w:val="none" w:sz="0" w:space="0" w:color="auto"/>
            <w:left w:val="none" w:sz="0" w:space="0" w:color="auto"/>
            <w:bottom w:val="none" w:sz="0" w:space="0" w:color="auto"/>
            <w:right w:val="none" w:sz="0" w:space="0" w:color="auto"/>
          </w:divBdr>
        </w:div>
        <w:div w:id="282467346">
          <w:marLeft w:val="0"/>
          <w:marRight w:val="0"/>
          <w:marTop w:val="0"/>
          <w:marBottom w:val="0"/>
          <w:divBdr>
            <w:top w:val="none" w:sz="0" w:space="0" w:color="auto"/>
            <w:left w:val="none" w:sz="0" w:space="0" w:color="auto"/>
            <w:bottom w:val="none" w:sz="0" w:space="0" w:color="auto"/>
            <w:right w:val="none" w:sz="0" w:space="0" w:color="auto"/>
          </w:divBdr>
        </w:div>
        <w:div w:id="283585369">
          <w:marLeft w:val="0"/>
          <w:marRight w:val="0"/>
          <w:marTop w:val="0"/>
          <w:marBottom w:val="0"/>
          <w:divBdr>
            <w:top w:val="none" w:sz="0" w:space="0" w:color="auto"/>
            <w:left w:val="none" w:sz="0" w:space="0" w:color="auto"/>
            <w:bottom w:val="none" w:sz="0" w:space="0" w:color="auto"/>
            <w:right w:val="none" w:sz="0" w:space="0" w:color="auto"/>
          </w:divBdr>
        </w:div>
        <w:div w:id="286160638">
          <w:marLeft w:val="0"/>
          <w:marRight w:val="0"/>
          <w:marTop w:val="0"/>
          <w:marBottom w:val="0"/>
          <w:divBdr>
            <w:top w:val="none" w:sz="0" w:space="0" w:color="auto"/>
            <w:left w:val="none" w:sz="0" w:space="0" w:color="auto"/>
            <w:bottom w:val="none" w:sz="0" w:space="0" w:color="auto"/>
            <w:right w:val="none" w:sz="0" w:space="0" w:color="auto"/>
          </w:divBdr>
        </w:div>
        <w:div w:id="286591201">
          <w:marLeft w:val="0"/>
          <w:marRight w:val="0"/>
          <w:marTop w:val="0"/>
          <w:marBottom w:val="0"/>
          <w:divBdr>
            <w:top w:val="none" w:sz="0" w:space="0" w:color="auto"/>
            <w:left w:val="none" w:sz="0" w:space="0" w:color="auto"/>
            <w:bottom w:val="none" w:sz="0" w:space="0" w:color="auto"/>
            <w:right w:val="none" w:sz="0" w:space="0" w:color="auto"/>
          </w:divBdr>
        </w:div>
        <w:div w:id="289552921">
          <w:marLeft w:val="0"/>
          <w:marRight w:val="0"/>
          <w:marTop w:val="0"/>
          <w:marBottom w:val="0"/>
          <w:divBdr>
            <w:top w:val="none" w:sz="0" w:space="0" w:color="auto"/>
            <w:left w:val="none" w:sz="0" w:space="0" w:color="auto"/>
            <w:bottom w:val="none" w:sz="0" w:space="0" w:color="auto"/>
            <w:right w:val="none" w:sz="0" w:space="0" w:color="auto"/>
          </w:divBdr>
        </w:div>
        <w:div w:id="290981228">
          <w:marLeft w:val="0"/>
          <w:marRight w:val="0"/>
          <w:marTop w:val="0"/>
          <w:marBottom w:val="0"/>
          <w:divBdr>
            <w:top w:val="none" w:sz="0" w:space="0" w:color="auto"/>
            <w:left w:val="none" w:sz="0" w:space="0" w:color="auto"/>
            <w:bottom w:val="none" w:sz="0" w:space="0" w:color="auto"/>
            <w:right w:val="none" w:sz="0" w:space="0" w:color="auto"/>
          </w:divBdr>
        </w:div>
        <w:div w:id="292096881">
          <w:marLeft w:val="0"/>
          <w:marRight w:val="0"/>
          <w:marTop w:val="0"/>
          <w:marBottom w:val="0"/>
          <w:divBdr>
            <w:top w:val="none" w:sz="0" w:space="0" w:color="auto"/>
            <w:left w:val="none" w:sz="0" w:space="0" w:color="auto"/>
            <w:bottom w:val="none" w:sz="0" w:space="0" w:color="auto"/>
            <w:right w:val="none" w:sz="0" w:space="0" w:color="auto"/>
          </w:divBdr>
          <w:divsChild>
            <w:div w:id="35081079">
              <w:marLeft w:val="0"/>
              <w:marRight w:val="0"/>
              <w:marTop w:val="0"/>
              <w:marBottom w:val="0"/>
              <w:divBdr>
                <w:top w:val="none" w:sz="0" w:space="0" w:color="auto"/>
                <w:left w:val="none" w:sz="0" w:space="0" w:color="auto"/>
                <w:bottom w:val="none" w:sz="0" w:space="0" w:color="auto"/>
                <w:right w:val="none" w:sz="0" w:space="0" w:color="auto"/>
              </w:divBdr>
            </w:div>
            <w:div w:id="37584688">
              <w:marLeft w:val="0"/>
              <w:marRight w:val="0"/>
              <w:marTop w:val="0"/>
              <w:marBottom w:val="0"/>
              <w:divBdr>
                <w:top w:val="none" w:sz="0" w:space="0" w:color="auto"/>
                <w:left w:val="none" w:sz="0" w:space="0" w:color="auto"/>
                <w:bottom w:val="none" w:sz="0" w:space="0" w:color="auto"/>
                <w:right w:val="none" w:sz="0" w:space="0" w:color="auto"/>
              </w:divBdr>
            </w:div>
            <w:div w:id="182133030">
              <w:marLeft w:val="0"/>
              <w:marRight w:val="0"/>
              <w:marTop w:val="0"/>
              <w:marBottom w:val="0"/>
              <w:divBdr>
                <w:top w:val="none" w:sz="0" w:space="0" w:color="auto"/>
                <w:left w:val="none" w:sz="0" w:space="0" w:color="auto"/>
                <w:bottom w:val="none" w:sz="0" w:space="0" w:color="auto"/>
                <w:right w:val="none" w:sz="0" w:space="0" w:color="auto"/>
              </w:divBdr>
            </w:div>
            <w:div w:id="515197273">
              <w:marLeft w:val="0"/>
              <w:marRight w:val="0"/>
              <w:marTop w:val="0"/>
              <w:marBottom w:val="0"/>
              <w:divBdr>
                <w:top w:val="none" w:sz="0" w:space="0" w:color="auto"/>
                <w:left w:val="none" w:sz="0" w:space="0" w:color="auto"/>
                <w:bottom w:val="none" w:sz="0" w:space="0" w:color="auto"/>
                <w:right w:val="none" w:sz="0" w:space="0" w:color="auto"/>
              </w:divBdr>
            </w:div>
            <w:div w:id="522475202">
              <w:marLeft w:val="0"/>
              <w:marRight w:val="0"/>
              <w:marTop w:val="0"/>
              <w:marBottom w:val="0"/>
              <w:divBdr>
                <w:top w:val="none" w:sz="0" w:space="0" w:color="auto"/>
                <w:left w:val="none" w:sz="0" w:space="0" w:color="auto"/>
                <w:bottom w:val="none" w:sz="0" w:space="0" w:color="auto"/>
                <w:right w:val="none" w:sz="0" w:space="0" w:color="auto"/>
              </w:divBdr>
            </w:div>
            <w:div w:id="574127783">
              <w:marLeft w:val="0"/>
              <w:marRight w:val="0"/>
              <w:marTop w:val="0"/>
              <w:marBottom w:val="0"/>
              <w:divBdr>
                <w:top w:val="none" w:sz="0" w:space="0" w:color="auto"/>
                <w:left w:val="none" w:sz="0" w:space="0" w:color="auto"/>
                <w:bottom w:val="none" w:sz="0" w:space="0" w:color="auto"/>
                <w:right w:val="none" w:sz="0" w:space="0" w:color="auto"/>
              </w:divBdr>
            </w:div>
            <w:div w:id="613638538">
              <w:marLeft w:val="0"/>
              <w:marRight w:val="0"/>
              <w:marTop w:val="0"/>
              <w:marBottom w:val="0"/>
              <w:divBdr>
                <w:top w:val="none" w:sz="0" w:space="0" w:color="auto"/>
                <w:left w:val="none" w:sz="0" w:space="0" w:color="auto"/>
                <w:bottom w:val="none" w:sz="0" w:space="0" w:color="auto"/>
                <w:right w:val="none" w:sz="0" w:space="0" w:color="auto"/>
              </w:divBdr>
            </w:div>
            <w:div w:id="711072759">
              <w:marLeft w:val="0"/>
              <w:marRight w:val="0"/>
              <w:marTop w:val="0"/>
              <w:marBottom w:val="0"/>
              <w:divBdr>
                <w:top w:val="none" w:sz="0" w:space="0" w:color="auto"/>
                <w:left w:val="none" w:sz="0" w:space="0" w:color="auto"/>
                <w:bottom w:val="none" w:sz="0" w:space="0" w:color="auto"/>
                <w:right w:val="none" w:sz="0" w:space="0" w:color="auto"/>
              </w:divBdr>
            </w:div>
            <w:div w:id="958224936">
              <w:marLeft w:val="0"/>
              <w:marRight w:val="0"/>
              <w:marTop w:val="0"/>
              <w:marBottom w:val="0"/>
              <w:divBdr>
                <w:top w:val="none" w:sz="0" w:space="0" w:color="auto"/>
                <w:left w:val="none" w:sz="0" w:space="0" w:color="auto"/>
                <w:bottom w:val="none" w:sz="0" w:space="0" w:color="auto"/>
                <w:right w:val="none" w:sz="0" w:space="0" w:color="auto"/>
              </w:divBdr>
            </w:div>
            <w:div w:id="1131020989">
              <w:marLeft w:val="0"/>
              <w:marRight w:val="0"/>
              <w:marTop w:val="0"/>
              <w:marBottom w:val="0"/>
              <w:divBdr>
                <w:top w:val="none" w:sz="0" w:space="0" w:color="auto"/>
                <w:left w:val="none" w:sz="0" w:space="0" w:color="auto"/>
                <w:bottom w:val="none" w:sz="0" w:space="0" w:color="auto"/>
                <w:right w:val="none" w:sz="0" w:space="0" w:color="auto"/>
              </w:divBdr>
            </w:div>
            <w:div w:id="1447847984">
              <w:marLeft w:val="0"/>
              <w:marRight w:val="0"/>
              <w:marTop w:val="0"/>
              <w:marBottom w:val="0"/>
              <w:divBdr>
                <w:top w:val="none" w:sz="0" w:space="0" w:color="auto"/>
                <w:left w:val="none" w:sz="0" w:space="0" w:color="auto"/>
                <w:bottom w:val="none" w:sz="0" w:space="0" w:color="auto"/>
                <w:right w:val="none" w:sz="0" w:space="0" w:color="auto"/>
              </w:divBdr>
            </w:div>
            <w:div w:id="1463379507">
              <w:marLeft w:val="0"/>
              <w:marRight w:val="0"/>
              <w:marTop w:val="0"/>
              <w:marBottom w:val="0"/>
              <w:divBdr>
                <w:top w:val="none" w:sz="0" w:space="0" w:color="auto"/>
                <w:left w:val="none" w:sz="0" w:space="0" w:color="auto"/>
                <w:bottom w:val="none" w:sz="0" w:space="0" w:color="auto"/>
                <w:right w:val="none" w:sz="0" w:space="0" w:color="auto"/>
              </w:divBdr>
            </w:div>
            <w:div w:id="1575818918">
              <w:marLeft w:val="0"/>
              <w:marRight w:val="0"/>
              <w:marTop w:val="0"/>
              <w:marBottom w:val="0"/>
              <w:divBdr>
                <w:top w:val="none" w:sz="0" w:space="0" w:color="auto"/>
                <w:left w:val="none" w:sz="0" w:space="0" w:color="auto"/>
                <w:bottom w:val="none" w:sz="0" w:space="0" w:color="auto"/>
                <w:right w:val="none" w:sz="0" w:space="0" w:color="auto"/>
              </w:divBdr>
            </w:div>
            <w:div w:id="1609849185">
              <w:marLeft w:val="0"/>
              <w:marRight w:val="0"/>
              <w:marTop w:val="0"/>
              <w:marBottom w:val="0"/>
              <w:divBdr>
                <w:top w:val="none" w:sz="0" w:space="0" w:color="auto"/>
                <w:left w:val="none" w:sz="0" w:space="0" w:color="auto"/>
                <w:bottom w:val="none" w:sz="0" w:space="0" w:color="auto"/>
                <w:right w:val="none" w:sz="0" w:space="0" w:color="auto"/>
              </w:divBdr>
            </w:div>
            <w:div w:id="1624193173">
              <w:marLeft w:val="0"/>
              <w:marRight w:val="0"/>
              <w:marTop w:val="0"/>
              <w:marBottom w:val="0"/>
              <w:divBdr>
                <w:top w:val="none" w:sz="0" w:space="0" w:color="auto"/>
                <w:left w:val="none" w:sz="0" w:space="0" w:color="auto"/>
                <w:bottom w:val="none" w:sz="0" w:space="0" w:color="auto"/>
                <w:right w:val="none" w:sz="0" w:space="0" w:color="auto"/>
              </w:divBdr>
            </w:div>
            <w:div w:id="1709724872">
              <w:marLeft w:val="0"/>
              <w:marRight w:val="0"/>
              <w:marTop w:val="0"/>
              <w:marBottom w:val="0"/>
              <w:divBdr>
                <w:top w:val="none" w:sz="0" w:space="0" w:color="auto"/>
                <w:left w:val="none" w:sz="0" w:space="0" w:color="auto"/>
                <w:bottom w:val="none" w:sz="0" w:space="0" w:color="auto"/>
                <w:right w:val="none" w:sz="0" w:space="0" w:color="auto"/>
              </w:divBdr>
            </w:div>
            <w:div w:id="1791434433">
              <w:marLeft w:val="0"/>
              <w:marRight w:val="0"/>
              <w:marTop w:val="0"/>
              <w:marBottom w:val="0"/>
              <w:divBdr>
                <w:top w:val="none" w:sz="0" w:space="0" w:color="auto"/>
                <w:left w:val="none" w:sz="0" w:space="0" w:color="auto"/>
                <w:bottom w:val="none" w:sz="0" w:space="0" w:color="auto"/>
                <w:right w:val="none" w:sz="0" w:space="0" w:color="auto"/>
              </w:divBdr>
            </w:div>
            <w:div w:id="1942910264">
              <w:marLeft w:val="0"/>
              <w:marRight w:val="0"/>
              <w:marTop w:val="0"/>
              <w:marBottom w:val="0"/>
              <w:divBdr>
                <w:top w:val="none" w:sz="0" w:space="0" w:color="auto"/>
                <w:left w:val="none" w:sz="0" w:space="0" w:color="auto"/>
                <w:bottom w:val="none" w:sz="0" w:space="0" w:color="auto"/>
                <w:right w:val="none" w:sz="0" w:space="0" w:color="auto"/>
              </w:divBdr>
            </w:div>
            <w:div w:id="2083091580">
              <w:marLeft w:val="0"/>
              <w:marRight w:val="0"/>
              <w:marTop w:val="0"/>
              <w:marBottom w:val="0"/>
              <w:divBdr>
                <w:top w:val="none" w:sz="0" w:space="0" w:color="auto"/>
                <w:left w:val="none" w:sz="0" w:space="0" w:color="auto"/>
                <w:bottom w:val="none" w:sz="0" w:space="0" w:color="auto"/>
                <w:right w:val="none" w:sz="0" w:space="0" w:color="auto"/>
              </w:divBdr>
            </w:div>
          </w:divsChild>
        </w:div>
        <w:div w:id="292558745">
          <w:marLeft w:val="0"/>
          <w:marRight w:val="0"/>
          <w:marTop w:val="0"/>
          <w:marBottom w:val="0"/>
          <w:divBdr>
            <w:top w:val="none" w:sz="0" w:space="0" w:color="auto"/>
            <w:left w:val="none" w:sz="0" w:space="0" w:color="auto"/>
            <w:bottom w:val="none" w:sz="0" w:space="0" w:color="auto"/>
            <w:right w:val="none" w:sz="0" w:space="0" w:color="auto"/>
          </w:divBdr>
        </w:div>
        <w:div w:id="292905995">
          <w:marLeft w:val="0"/>
          <w:marRight w:val="0"/>
          <w:marTop w:val="0"/>
          <w:marBottom w:val="0"/>
          <w:divBdr>
            <w:top w:val="none" w:sz="0" w:space="0" w:color="auto"/>
            <w:left w:val="none" w:sz="0" w:space="0" w:color="auto"/>
            <w:bottom w:val="none" w:sz="0" w:space="0" w:color="auto"/>
            <w:right w:val="none" w:sz="0" w:space="0" w:color="auto"/>
          </w:divBdr>
        </w:div>
        <w:div w:id="294678887">
          <w:marLeft w:val="0"/>
          <w:marRight w:val="0"/>
          <w:marTop w:val="0"/>
          <w:marBottom w:val="0"/>
          <w:divBdr>
            <w:top w:val="none" w:sz="0" w:space="0" w:color="auto"/>
            <w:left w:val="none" w:sz="0" w:space="0" w:color="auto"/>
            <w:bottom w:val="none" w:sz="0" w:space="0" w:color="auto"/>
            <w:right w:val="none" w:sz="0" w:space="0" w:color="auto"/>
          </w:divBdr>
        </w:div>
        <w:div w:id="297228791">
          <w:marLeft w:val="0"/>
          <w:marRight w:val="0"/>
          <w:marTop w:val="0"/>
          <w:marBottom w:val="0"/>
          <w:divBdr>
            <w:top w:val="none" w:sz="0" w:space="0" w:color="auto"/>
            <w:left w:val="none" w:sz="0" w:space="0" w:color="auto"/>
            <w:bottom w:val="none" w:sz="0" w:space="0" w:color="auto"/>
            <w:right w:val="none" w:sz="0" w:space="0" w:color="auto"/>
          </w:divBdr>
        </w:div>
        <w:div w:id="298609066">
          <w:marLeft w:val="0"/>
          <w:marRight w:val="0"/>
          <w:marTop w:val="0"/>
          <w:marBottom w:val="0"/>
          <w:divBdr>
            <w:top w:val="none" w:sz="0" w:space="0" w:color="auto"/>
            <w:left w:val="none" w:sz="0" w:space="0" w:color="auto"/>
            <w:bottom w:val="none" w:sz="0" w:space="0" w:color="auto"/>
            <w:right w:val="none" w:sz="0" w:space="0" w:color="auto"/>
          </w:divBdr>
        </w:div>
        <w:div w:id="299267325">
          <w:marLeft w:val="0"/>
          <w:marRight w:val="0"/>
          <w:marTop w:val="0"/>
          <w:marBottom w:val="0"/>
          <w:divBdr>
            <w:top w:val="none" w:sz="0" w:space="0" w:color="auto"/>
            <w:left w:val="none" w:sz="0" w:space="0" w:color="auto"/>
            <w:bottom w:val="none" w:sz="0" w:space="0" w:color="auto"/>
            <w:right w:val="none" w:sz="0" w:space="0" w:color="auto"/>
          </w:divBdr>
        </w:div>
        <w:div w:id="305861918">
          <w:marLeft w:val="0"/>
          <w:marRight w:val="0"/>
          <w:marTop w:val="0"/>
          <w:marBottom w:val="0"/>
          <w:divBdr>
            <w:top w:val="none" w:sz="0" w:space="0" w:color="auto"/>
            <w:left w:val="none" w:sz="0" w:space="0" w:color="auto"/>
            <w:bottom w:val="none" w:sz="0" w:space="0" w:color="auto"/>
            <w:right w:val="none" w:sz="0" w:space="0" w:color="auto"/>
          </w:divBdr>
        </w:div>
        <w:div w:id="306478868">
          <w:marLeft w:val="0"/>
          <w:marRight w:val="0"/>
          <w:marTop w:val="0"/>
          <w:marBottom w:val="0"/>
          <w:divBdr>
            <w:top w:val="none" w:sz="0" w:space="0" w:color="auto"/>
            <w:left w:val="none" w:sz="0" w:space="0" w:color="auto"/>
            <w:bottom w:val="none" w:sz="0" w:space="0" w:color="auto"/>
            <w:right w:val="none" w:sz="0" w:space="0" w:color="auto"/>
          </w:divBdr>
        </w:div>
        <w:div w:id="306861735">
          <w:marLeft w:val="0"/>
          <w:marRight w:val="0"/>
          <w:marTop w:val="0"/>
          <w:marBottom w:val="0"/>
          <w:divBdr>
            <w:top w:val="none" w:sz="0" w:space="0" w:color="auto"/>
            <w:left w:val="none" w:sz="0" w:space="0" w:color="auto"/>
            <w:bottom w:val="none" w:sz="0" w:space="0" w:color="auto"/>
            <w:right w:val="none" w:sz="0" w:space="0" w:color="auto"/>
          </w:divBdr>
        </w:div>
        <w:div w:id="308216800">
          <w:marLeft w:val="0"/>
          <w:marRight w:val="0"/>
          <w:marTop w:val="0"/>
          <w:marBottom w:val="0"/>
          <w:divBdr>
            <w:top w:val="none" w:sz="0" w:space="0" w:color="auto"/>
            <w:left w:val="none" w:sz="0" w:space="0" w:color="auto"/>
            <w:bottom w:val="none" w:sz="0" w:space="0" w:color="auto"/>
            <w:right w:val="none" w:sz="0" w:space="0" w:color="auto"/>
          </w:divBdr>
        </w:div>
        <w:div w:id="310062401">
          <w:marLeft w:val="0"/>
          <w:marRight w:val="0"/>
          <w:marTop w:val="0"/>
          <w:marBottom w:val="0"/>
          <w:divBdr>
            <w:top w:val="none" w:sz="0" w:space="0" w:color="auto"/>
            <w:left w:val="none" w:sz="0" w:space="0" w:color="auto"/>
            <w:bottom w:val="none" w:sz="0" w:space="0" w:color="auto"/>
            <w:right w:val="none" w:sz="0" w:space="0" w:color="auto"/>
          </w:divBdr>
        </w:div>
        <w:div w:id="313145046">
          <w:marLeft w:val="0"/>
          <w:marRight w:val="0"/>
          <w:marTop w:val="0"/>
          <w:marBottom w:val="0"/>
          <w:divBdr>
            <w:top w:val="none" w:sz="0" w:space="0" w:color="auto"/>
            <w:left w:val="none" w:sz="0" w:space="0" w:color="auto"/>
            <w:bottom w:val="none" w:sz="0" w:space="0" w:color="auto"/>
            <w:right w:val="none" w:sz="0" w:space="0" w:color="auto"/>
          </w:divBdr>
        </w:div>
        <w:div w:id="315229964">
          <w:marLeft w:val="0"/>
          <w:marRight w:val="0"/>
          <w:marTop w:val="0"/>
          <w:marBottom w:val="0"/>
          <w:divBdr>
            <w:top w:val="none" w:sz="0" w:space="0" w:color="auto"/>
            <w:left w:val="none" w:sz="0" w:space="0" w:color="auto"/>
            <w:bottom w:val="none" w:sz="0" w:space="0" w:color="auto"/>
            <w:right w:val="none" w:sz="0" w:space="0" w:color="auto"/>
          </w:divBdr>
        </w:div>
        <w:div w:id="318969703">
          <w:marLeft w:val="0"/>
          <w:marRight w:val="0"/>
          <w:marTop w:val="0"/>
          <w:marBottom w:val="0"/>
          <w:divBdr>
            <w:top w:val="none" w:sz="0" w:space="0" w:color="auto"/>
            <w:left w:val="none" w:sz="0" w:space="0" w:color="auto"/>
            <w:bottom w:val="none" w:sz="0" w:space="0" w:color="auto"/>
            <w:right w:val="none" w:sz="0" w:space="0" w:color="auto"/>
          </w:divBdr>
        </w:div>
        <w:div w:id="321398781">
          <w:marLeft w:val="0"/>
          <w:marRight w:val="0"/>
          <w:marTop w:val="0"/>
          <w:marBottom w:val="0"/>
          <w:divBdr>
            <w:top w:val="none" w:sz="0" w:space="0" w:color="auto"/>
            <w:left w:val="none" w:sz="0" w:space="0" w:color="auto"/>
            <w:bottom w:val="none" w:sz="0" w:space="0" w:color="auto"/>
            <w:right w:val="none" w:sz="0" w:space="0" w:color="auto"/>
          </w:divBdr>
          <w:divsChild>
            <w:div w:id="2825209">
              <w:marLeft w:val="0"/>
              <w:marRight w:val="0"/>
              <w:marTop w:val="0"/>
              <w:marBottom w:val="0"/>
              <w:divBdr>
                <w:top w:val="none" w:sz="0" w:space="0" w:color="auto"/>
                <w:left w:val="none" w:sz="0" w:space="0" w:color="auto"/>
                <w:bottom w:val="none" w:sz="0" w:space="0" w:color="auto"/>
                <w:right w:val="none" w:sz="0" w:space="0" w:color="auto"/>
              </w:divBdr>
            </w:div>
            <w:div w:id="20059057">
              <w:marLeft w:val="0"/>
              <w:marRight w:val="0"/>
              <w:marTop w:val="0"/>
              <w:marBottom w:val="0"/>
              <w:divBdr>
                <w:top w:val="none" w:sz="0" w:space="0" w:color="auto"/>
                <w:left w:val="none" w:sz="0" w:space="0" w:color="auto"/>
                <w:bottom w:val="none" w:sz="0" w:space="0" w:color="auto"/>
                <w:right w:val="none" w:sz="0" w:space="0" w:color="auto"/>
              </w:divBdr>
            </w:div>
            <w:div w:id="61876273">
              <w:marLeft w:val="0"/>
              <w:marRight w:val="0"/>
              <w:marTop w:val="0"/>
              <w:marBottom w:val="0"/>
              <w:divBdr>
                <w:top w:val="none" w:sz="0" w:space="0" w:color="auto"/>
                <w:left w:val="none" w:sz="0" w:space="0" w:color="auto"/>
                <w:bottom w:val="none" w:sz="0" w:space="0" w:color="auto"/>
                <w:right w:val="none" w:sz="0" w:space="0" w:color="auto"/>
              </w:divBdr>
            </w:div>
            <w:div w:id="96292049">
              <w:marLeft w:val="0"/>
              <w:marRight w:val="0"/>
              <w:marTop w:val="0"/>
              <w:marBottom w:val="0"/>
              <w:divBdr>
                <w:top w:val="none" w:sz="0" w:space="0" w:color="auto"/>
                <w:left w:val="none" w:sz="0" w:space="0" w:color="auto"/>
                <w:bottom w:val="none" w:sz="0" w:space="0" w:color="auto"/>
                <w:right w:val="none" w:sz="0" w:space="0" w:color="auto"/>
              </w:divBdr>
            </w:div>
            <w:div w:id="201791707">
              <w:marLeft w:val="0"/>
              <w:marRight w:val="0"/>
              <w:marTop w:val="0"/>
              <w:marBottom w:val="0"/>
              <w:divBdr>
                <w:top w:val="none" w:sz="0" w:space="0" w:color="auto"/>
                <w:left w:val="none" w:sz="0" w:space="0" w:color="auto"/>
                <w:bottom w:val="none" w:sz="0" w:space="0" w:color="auto"/>
                <w:right w:val="none" w:sz="0" w:space="0" w:color="auto"/>
              </w:divBdr>
            </w:div>
            <w:div w:id="255864661">
              <w:marLeft w:val="0"/>
              <w:marRight w:val="0"/>
              <w:marTop w:val="0"/>
              <w:marBottom w:val="0"/>
              <w:divBdr>
                <w:top w:val="none" w:sz="0" w:space="0" w:color="auto"/>
                <w:left w:val="none" w:sz="0" w:space="0" w:color="auto"/>
                <w:bottom w:val="none" w:sz="0" w:space="0" w:color="auto"/>
                <w:right w:val="none" w:sz="0" w:space="0" w:color="auto"/>
              </w:divBdr>
            </w:div>
            <w:div w:id="352808455">
              <w:marLeft w:val="0"/>
              <w:marRight w:val="0"/>
              <w:marTop w:val="0"/>
              <w:marBottom w:val="0"/>
              <w:divBdr>
                <w:top w:val="none" w:sz="0" w:space="0" w:color="auto"/>
                <w:left w:val="none" w:sz="0" w:space="0" w:color="auto"/>
                <w:bottom w:val="none" w:sz="0" w:space="0" w:color="auto"/>
                <w:right w:val="none" w:sz="0" w:space="0" w:color="auto"/>
              </w:divBdr>
            </w:div>
            <w:div w:id="541669780">
              <w:marLeft w:val="0"/>
              <w:marRight w:val="0"/>
              <w:marTop w:val="0"/>
              <w:marBottom w:val="0"/>
              <w:divBdr>
                <w:top w:val="none" w:sz="0" w:space="0" w:color="auto"/>
                <w:left w:val="none" w:sz="0" w:space="0" w:color="auto"/>
                <w:bottom w:val="none" w:sz="0" w:space="0" w:color="auto"/>
                <w:right w:val="none" w:sz="0" w:space="0" w:color="auto"/>
              </w:divBdr>
            </w:div>
            <w:div w:id="601643425">
              <w:marLeft w:val="0"/>
              <w:marRight w:val="0"/>
              <w:marTop w:val="0"/>
              <w:marBottom w:val="0"/>
              <w:divBdr>
                <w:top w:val="none" w:sz="0" w:space="0" w:color="auto"/>
                <w:left w:val="none" w:sz="0" w:space="0" w:color="auto"/>
                <w:bottom w:val="none" w:sz="0" w:space="0" w:color="auto"/>
                <w:right w:val="none" w:sz="0" w:space="0" w:color="auto"/>
              </w:divBdr>
            </w:div>
            <w:div w:id="692462719">
              <w:marLeft w:val="0"/>
              <w:marRight w:val="0"/>
              <w:marTop w:val="0"/>
              <w:marBottom w:val="0"/>
              <w:divBdr>
                <w:top w:val="none" w:sz="0" w:space="0" w:color="auto"/>
                <w:left w:val="none" w:sz="0" w:space="0" w:color="auto"/>
                <w:bottom w:val="none" w:sz="0" w:space="0" w:color="auto"/>
                <w:right w:val="none" w:sz="0" w:space="0" w:color="auto"/>
              </w:divBdr>
            </w:div>
            <w:div w:id="863136002">
              <w:marLeft w:val="0"/>
              <w:marRight w:val="0"/>
              <w:marTop w:val="0"/>
              <w:marBottom w:val="0"/>
              <w:divBdr>
                <w:top w:val="none" w:sz="0" w:space="0" w:color="auto"/>
                <w:left w:val="none" w:sz="0" w:space="0" w:color="auto"/>
                <w:bottom w:val="none" w:sz="0" w:space="0" w:color="auto"/>
                <w:right w:val="none" w:sz="0" w:space="0" w:color="auto"/>
              </w:divBdr>
            </w:div>
            <w:div w:id="1006398301">
              <w:marLeft w:val="0"/>
              <w:marRight w:val="0"/>
              <w:marTop w:val="0"/>
              <w:marBottom w:val="0"/>
              <w:divBdr>
                <w:top w:val="none" w:sz="0" w:space="0" w:color="auto"/>
                <w:left w:val="none" w:sz="0" w:space="0" w:color="auto"/>
                <w:bottom w:val="none" w:sz="0" w:space="0" w:color="auto"/>
                <w:right w:val="none" w:sz="0" w:space="0" w:color="auto"/>
              </w:divBdr>
            </w:div>
            <w:div w:id="1070037741">
              <w:marLeft w:val="0"/>
              <w:marRight w:val="0"/>
              <w:marTop w:val="0"/>
              <w:marBottom w:val="0"/>
              <w:divBdr>
                <w:top w:val="none" w:sz="0" w:space="0" w:color="auto"/>
                <w:left w:val="none" w:sz="0" w:space="0" w:color="auto"/>
                <w:bottom w:val="none" w:sz="0" w:space="0" w:color="auto"/>
                <w:right w:val="none" w:sz="0" w:space="0" w:color="auto"/>
              </w:divBdr>
            </w:div>
            <w:div w:id="1165121349">
              <w:marLeft w:val="0"/>
              <w:marRight w:val="0"/>
              <w:marTop w:val="0"/>
              <w:marBottom w:val="0"/>
              <w:divBdr>
                <w:top w:val="none" w:sz="0" w:space="0" w:color="auto"/>
                <w:left w:val="none" w:sz="0" w:space="0" w:color="auto"/>
                <w:bottom w:val="none" w:sz="0" w:space="0" w:color="auto"/>
                <w:right w:val="none" w:sz="0" w:space="0" w:color="auto"/>
              </w:divBdr>
            </w:div>
            <w:div w:id="1496458404">
              <w:marLeft w:val="0"/>
              <w:marRight w:val="0"/>
              <w:marTop w:val="0"/>
              <w:marBottom w:val="0"/>
              <w:divBdr>
                <w:top w:val="none" w:sz="0" w:space="0" w:color="auto"/>
                <w:left w:val="none" w:sz="0" w:space="0" w:color="auto"/>
                <w:bottom w:val="none" w:sz="0" w:space="0" w:color="auto"/>
                <w:right w:val="none" w:sz="0" w:space="0" w:color="auto"/>
              </w:divBdr>
            </w:div>
            <w:div w:id="1820611564">
              <w:marLeft w:val="0"/>
              <w:marRight w:val="0"/>
              <w:marTop w:val="0"/>
              <w:marBottom w:val="0"/>
              <w:divBdr>
                <w:top w:val="none" w:sz="0" w:space="0" w:color="auto"/>
                <w:left w:val="none" w:sz="0" w:space="0" w:color="auto"/>
                <w:bottom w:val="none" w:sz="0" w:space="0" w:color="auto"/>
                <w:right w:val="none" w:sz="0" w:space="0" w:color="auto"/>
              </w:divBdr>
            </w:div>
            <w:div w:id="2011450027">
              <w:marLeft w:val="0"/>
              <w:marRight w:val="0"/>
              <w:marTop w:val="0"/>
              <w:marBottom w:val="0"/>
              <w:divBdr>
                <w:top w:val="none" w:sz="0" w:space="0" w:color="auto"/>
                <w:left w:val="none" w:sz="0" w:space="0" w:color="auto"/>
                <w:bottom w:val="none" w:sz="0" w:space="0" w:color="auto"/>
                <w:right w:val="none" w:sz="0" w:space="0" w:color="auto"/>
              </w:divBdr>
            </w:div>
            <w:div w:id="2085836304">
              <w:marLeft w:val="0"/>
              <w:marRight w:val="0"/>
              <w:marTop w:val="0"/>
              <w:marBottom w:val="0"/>
              <w:divBdr>
                <w:top w:val="none" w:sz="0" w:space="0" w:color="auto"/>
                <w:left w:val="none" w:sz="0" w:space="0" w:color="auto"/>
                <w:bottom w:val="none" w:sz="0" w:space="0" w:color="auto"/>
                <w:right w:val="none" w:sz="0" w:space="0" w:color="auto"/>
              </w:divBdr>
            </w:div>
            <w:div w:id="2087069978">
              <w:marLeft w:val="0"/>
              <w:marRight w:val="0"/>
              <w:marTop w:val="0"/>
              <w:marBottom w:val="0"/>
              <w:divBdr>
                <w:top w:val="none" w:sz="0" w:space="0" w:color="auto"/>
                <w:left w:val="none" w:sz="0" w:space="0" w:color="auto"/>
                <w:bottom w:val="none" w:sz="0" w:space="0" w:color="auto"/>
                <w:right w:val="none" w:sz="0" w:space="0" w:color="auto"/>
              </w:divBdr>
            </w:div>
          </w:divsChild>
        </w:div>
        <w:div w:id="322050231">
          <w:marLeft w:val="0"/>
          <w:marRight w:val="0"/>
          <w:marTop w:val="0"/>
          <w:marBottom w:val="0"/>
          <w:divBdr>
            <w:top w:val="none" w:sz="0" w:space="0" w:color="auto"/>
            <w:left w:val="none" w:sz="0" w:space="0" w:color="auto"/>
            <w:bottom w:val="none" w:sz="0" w:space="0" w:color="auto"/>
            <w:right w:val="none" w:sz="0" w:space="0" w:color="auto"/>
          </w:divBdr>
        </w:div>
        <w:div w:id="323318193">
          <w:marLeft w:val="0"/>
          <w:marRight w:val="0"/>
          <w:marTop w:val="0"/>
          <w:marBottom w:val="0"/>
          <w:divBdr>
            <w:top w:val="none" w:sz="0" w:space="0" w:color="auto"/>
            <w:left w:val="none" w:sz="0" w:space="0" w:color="auto"/>
            <w:bottom w:val="none" w:sz="0" w:space="0" w:color="auto"/>
            <w:right w:val="none" w:sz="0" w:space="0" w:color="auto"/>
          </w:divBdr>
        </w:div>
        <w:div w:id="327100640">
          <w:marLeft w:val="0"/>
          <w:marRight w:val="0"/>
          <w:marTop w:val="0"/>
          <w:marBottom w:val="0"/>
          <w:divBdr>
            <w:top w:val="none" w:sz="0" w:space="0" w:color="auto"/>
            <w:left w:val="none" w:sz="0" w:space="0" w:color="auto"/>
            <w:bottom w:val="none" w:sz="0" w:space="0" w:color="auto"/>
            <w:right w:val="none" w:sz="0" w:space="0" w:color="auto"/>
          </w:divBdr>
        </w:div>
        <w:div w:id="328757258">
          <w:marLeft w:val="0"/>
          <w:marRight w:val="0"/>
          <w:marTop w:val="0"/>
          <w:marBottom w:val="0"/>
          <w:divBdr>
            <w:top w:val="none" w:sz="0" w:space="0" w:color="auto"/>
            <w:left w:val="none" w:sz="0" w:space="0" w:color="auto"/>
            <w:bottom w:val="none" w:sz="0" w:space="0" w:color="auto"/>
            <w:right w:val="none" w:sz="0" w:space="0" w:color="auto"/>
          </w:divBdr>
        </w:div>
        <w:div w:id="330060620">
          <w:marLeft w:val="0"/>
          <w:marRight w:val="0"/>
          <w:marTop w:val="0"/>
          <w:marBottom w:val="0"/>
          <w:divBdr>
            <w:top w:val="none" w:sz="0" w:space="0" w:color="auto"/>
            <w:left w:val="none" w:sz="0" w:space="0" w:color="auto"/>
            <w:bottom w:val="none" w:sz="0" w:space="0" w:color="auto"/>
            <w:right w:val="none" w:sz="0" w:space="0" w:color="auto"/>
          </w:divBdr>
        </w:div>
        <w:div w:id="331488146">
          <w:marLeft w:val="0"/>
          <w:marRight w:val="0"/>
          <w:marTop w:val="0"/>
          <w:marBottom w:val="0"/>
          <w:divBdr>
            <w:top w:val="none" w:sz="0" w:space="0" w:color="auto"/>
            <w:left w:val="none" w:sz="0" w:space="0" w:color="auto"/>
            <w:bottom w:val="none" w:sz="0" w:space="0" w:color="auto"/>
            <w:right w:val="none" w:sz="0" w:space="0" w:color="auto"/>
          </w:divBdr>
        </w:div>
        <w:div w:id="332147152">
          <w:marLeft w:val="0"/>
          <w:marRight w:val="0"/>
          <w:marTop w:val="0"/>
          <w:marBottom w:val="0"/>
          <w:divBdr>
            <w:top w:val="none" w:sz="0" w:space="0" w:color="auto"/>
            <w:left w:val="none" w:sz="0" w:space="0" w:color="auto"/>
            <w:bottom w:val="none" w:sz="0" w:space="0" w:color="auto"/>
            <w:right w:val="none" w:sz="0" w:space="0" w:color="auto"/>
          </w:divBdr>
        </w:div>
        <w:div w:id="332535176">
          <w:marLeft w:val="0"/>
          <w:marRight w:val="0"/>
          <w:marTop w:val="0"/>
          <w:marBottom w:val="0"/>
          <w:divBdr>
            <w:top w:val="none" w:sz="0" w:space="0" w:color="auto"/>
            <w:left w:val="none" w:sz="0" w:space="0" w:color="auto"/>
            <w:bottom w:val="none" w:sz="0" w:space="0" w:color="auto"/>
            <w:right w:val="none" w:sz="0" w:space="0" w:color="auto"/>
          </w:divBdr>
        </w:div>
        <w:div w:id="332612731">
          <w:marLeft w:val="0"/>
          <w:marRight w:val="0"/>
          <w:marTop w:val="0"/>
          <w:marBottom w:val="0"/>
          <w:divBdr>
            <w:top w:val="none" w:sz="0" w:space="0" w:color="auto"/>
            <w:left w:val="none" w:sz="0" w:space="0" w:color="auto"/>
            <w:bottom w:val="none" w:sz="0" w:space="0" w:color="auto"/>
            <w:right w:val="none" w:sz="0" w:space="0" w:color="auto"/>
          </w:divBdr>
        </w:div>
        <w:div w:id="333191925">
          <w:marLeft w:val="0"/>
          <w:marRight w:val="0"/>
          <w:marTop w:val="0"/>
          <w:marBottom w:val="0"/>
          <w:divBdr>
            <w:top w:val="none" w:sz="0" w:space="0" w:color="auto"/>
            <w:left w:val="none" w:sz="0" w:space="0" w:color="auto"/>
            <w:bottom w:val="none" w:sz="0" w:space="0" w:color="auto"/>
            <w:right w:val="none" w:sz="0" w:space="0" w:color="auto"/>
          </w:divBdr>
        </w:div>
        <w:div w:id="333919415">
          <w:marLeft w:val="0"/>
          <w:marRight w:val="0"/>
          <w:marTop w:val="0"/>
          <w:marBottom w:val="0"/>
          <w:divBdr>
            <w:top w:val="none" w:sz="0" w:space="0" w:color="auto"/>
            <w:left w:val="none" w:sz="0" w:space="0" w:color="auto"/>
            <w:bottom w:val="none" w:sz="0" w:space="0" w:color="auto"/>
            <w:right w:val="none" w:sz="0" w:space="0" w:color="auto"/>
          </w:divBdr>
          <w:divsChild>
            <w:div w:id="40594272">
              <w:marLeft w:val="0"/>
              <w:marRight w:val="0"/>
              <w:marTop w:val="0"/>
              <w:marBottom w:val="0"/>
              <w:divBdr>
                <w:top w:val="none" w:sz="0" w:space="0" w:color="auto"/>
                <w:left w:val="none" w:sz="0" w:space="0" w:color="auto"/>
                <w:bottom w:val="none" w:sz="0" w:space="0" w:color="auto"/>
                <w:right w:val="none" w:sz="0" w:space="0" w:color="auto"/>
              </w:divBdr>
            </w:div>
            <w:div w:id="139739173">
              <w:marLeft w:val="0"/>
              <w:marRight w:val="0"/>
              <w:marTop w:val="0"/>
              <w:marBottom w:val="0"/>
              <w:divBdr>
                <w:top w:val="none" w:sz="0" w:space="0" w:color="auto"/>
                <w:left w:val="none" w:sz="0" w:space="0" w:color="auto"/>
                <w:bottom w:val="none" w:sz="0" w:space="0" w:color="auto"/>
                <w:right w:val="none" w:sz="0" w:space="0" w:color="auto"/>
              </w:divBdr>
            </w:div>
            <w:div w:id="281349817">
              <w:marLeft w:val="0"/>
              <w:marRight w:val="0"/>
              <w:marTop w:val="0"/>
              <w:marBottom w:val="0"/>
              <w:divBdr>
                <w:top w:val="none" w:sz="0" w:space="0" w:color="auto"/>
                <w:left w:val="none" w:sz="0" w:space="0" w:color="auto"/>
                <w:bottom w:val="none" w:sz="0" w:space="0" w:color="auto"/>
                <w:right w:val="none" w:sz="0" w:space="0" w:color="auto"/>
              </w:divBdr>
            </w:div>
            <w:div w:id="302539046">
              <w:marLeft w:val="0"/>
              <w:marRight w:val="0"/>
              <w:marTop w:val="0"/>
              <w:marBottom w:val="0"/>
              <w:divBdr>
                <w:top w:val="none" w:sz="0" w:space="0" w:color="auto"/>
                <w:left w:val="none" w:sz="0" w:space="0" w:color="auto"/>
                <w:bottom w:val="none" w:sz="0" w:space="0" w:color="auto"/>
                <w:right w:val="none" w:sz="0" w:space="0" w:color="auto"/>
              </w:divBdr>
            </w:div>
            <w:div w:id="835026570">
              <w:marLeft w:val="0"/>
              <w:marRight w:val="0"/>
              <w:marTop w:val="0"/>
              <w:marBottom w:val="0"/>
              <w:divBdr>
                <w:top w:val="none" w:sz="0" w:space="0" w:color="auto"/>
                <w:left w:val="none" w:sz="0" w:space="0" w:color="auto"/>
                <w:bottom w:val="none" w:sz="0" w:space="0" w:color="auto"/>
                <w:right w:val="none" w:sz="0" w:space="0" w:color="auto"/>
              </w:divBdr>
            </w:div>
            <w:div w:id="840004610">
              <w:marLeft w:val="0"/>
              <w:marRight w:val="0"/>
              <w:marTop w:val="0"/>
              <w:marBottom w:val="0"/>
              <w:divBdr>
                <w:top w:val="none" w:sz="0" w:space="0" w:color="auto"/>
                <w:left w:val="none" w:sz="0" w:space="0" w:color="auto"/>
                <w:bottom w:val="none" w:sz="0" w:space="0" w:color="auto"/>
                <w:right w:val="none" w:sz="0" w:space="0" w:color="auto"/>
              </w:divBdr>
            </w:div>
            <w:div w:id="843979967">
              <w:marLeft w:val="0"/>
              <w:marRight w:val="0"/>
              <w:marTop w:val="0"/>
              <w:marBottom w:val="0"/>
              <w:divBdr>
                <w:top w:val="none" w:sz="0" w:space="0" w:color="auto"/>
                <w:left w:val="none" w:sz="0" w:space="0" w:color="auto"/>
                <w:bottom w:val="none" w:sz="0" w:space="0" w:color="auto"/>
                <w:right w:val="none" w:sz="0" w:space="0" w:color="auto"/>
              </w:divBdr>
            </w:div>
            <w:div w:id="992176130">
              <w:marLeft w:val="0"/>
              <w:marRight w:val="0"/>
              <w:marTop w:val="0"/>
              <w:marBottom w:val="0"/>
              <w:divBdr>
                <w:top w:val="none" w:sz="0" w:space="0" w:color="auto"/>
                <w:left w:val="none" w:sz="0" w:space="0" w:color="auto"/>
                <w:bottom w:val="none" w:sz="0" w:space="0" w:color="auto"/>
                <w:right w:val="none" w:sz="0" w:space="0" w:color="auto"/>
              </w:divBdr>
            </w:div>
            <w:div w:id="1469593558">
              <w:marLeft w:val="0"/>
              <w:marRight w:val="0"/>
              <w:marTop w:val="0"/>
              <w:marBottom w:val="0"/>
              <w:divBdr>
                <w:top w:val="none" w:sz="0" w:space="0" w:color="auto"/>
                <w:left w:val="none" w:sz="0" w:space="0" w:color="auto"/>
                <w:bottom w:val="none" w:sz="0" w:space="0" w:color="auto"/>
                <w:right w:val="none" w:sz="0" w:space="0" w:color="auto"/>
              </w:divBdr>
            </w:div>
            <w:div w:id="1539202401">
              <w:marLeft w:val="0"/>
              <w:marRight w:val="0"/>
              <w:marTop w:val="0"/>
              <w:marBottom w:val="0"/>
              <w:divBdr>
                <w:top w:val="none" w:sz="0" w:space="0" w:color="auto"/>
                <w:left w:val="none" w:sz="0" w:space="0" w:color="auto"/>
                <w:bottom w:val="none" w:sz="0" w:space="0" w:color="auto"/>
                <w:right w:val="none" w:sz="0" w:space="0" w:color="auto"/>
              </w:divBdr>
            </w:div>
            <w:div w:id="1606039116">
              <w:marLeft w:val="0"/>
              <w:marRight w:val="0"/>
              <w:marTop w:val="0"/>
              <w:marBottom w:val="0"/>
              <w:divBdr>
                <w:top w:val="none" w:sz="0" w:space="0" w:color="auto"/>
                <w:left w:val="none" w:sz="0" w:space="0" w:color="auto"/>
                <w:bottom w:val="none" w:sz="0" w:space="0" w:color="auto"/>
                <w:right w:val="none" w:sz="0" w:space="0" w:color="auto"/>
              </w:divBdr>
            </w:div>
            <w:div w:id="1755935555">
              <w:marLeft w:val="0"/>
              <w:marRight w:val="0"/>
              <w:marTop w:val="0"/>
              <w:marBottom w:val="0"/>
              <w:divBdr>
                <w:top w:val="none" w:sz="0" w:space="0" w:color="auto"/>
                <w:left w:val="none" w:sz="0" w:space="0" w:color="auto"/>
                <w:bottom w:val="none" w:sz="0" w:space="0" w:color="auto"/>
                <w:right w:val="none" w:sz="0" w:space="0" w:color="auto"/>
              </w:divBdr>
            </w:div>
            <w:div w:id="1777679451">
              <w:marLeft w:val="0"/>
              <w:marRight w:val="0"/>
              <w:marTop w:val="0"/>
              <w:marBottom w:val="0"/>
              <w:divBdr>
                <w:top w:val="none" w:sz="0" w:space="0" w:color="auto"/>
                <w:left w:val="none" w:sz="0" w:space="0" w:color="auto"/>
                <w:bottom w:val="none" w:sz="0" w:space="0" w:color="auto"/>
                <w:right w:val="none" w:sz="0" w:space="0" w:color="auto"/>
              </w:divBdr>
            </w:div>
            <w:div w:id="1877572710">
              <w:marLeft w:val="0"/>
              <w:marRight w:val="0"/>
              <w:marTop w:val="0"/>
              <w:marBottom w:val="0"/>
              <w:divBdr>
                <w:top w:val="none" w:sz="0" w:space="0" w:color="auto"/>
                <w:left w:val="none" w:sz="0" w:space="0" w:color="auto"/>
                <w:bottom w:val="none" w:sz="0" w:space="0" w:color="auto"/>
                <w:right w:val="none" w:sz="0" w:space="0" w:color="auto"/>
              </w:divBdr>
            </w:div>
            <w:div w:id="2087917159">
              <w:marLeft w:val="0"/>
              <w:marRight w:val="0"/>
              <w:marTop w:val="0"/>
              <w:marBottom w:val="0"/>
              <w:divBdr>
                <w:top w:val="none" w:sz="0" w:space="0" w:color="auto"/>
                <w:left w:val="none" w:sz="0" w:space="0" w:color="auto"/>
                <w:bottom w:val="none" w:sz="0" w:space="0" w:color="auto"/>
                <w:right w:val="none" w:sz="0" w:space="0" w:color="auto"/>
              </w:divBdr>
            </w:div>
            <w:div w:id="2111315204">
              <w:marLeft w:val="0"/>
              <w:marRight w:val="0"/>
              <w:marTop w:val="0"/>
              <w:marBottom w:val="0"/>
              <w:divBdr>
                <w:top w:val="none" w:sz="0" w:space="0" w:color="auto"/>
                <w:left w:val="none" w:sz="0" w:space="0" w:color="auto"/>
                <w:bottom w:val="none" w:sz="0" w:space="0" w:color="auto"/>
                <w:right w:val="none" w:sz="0" w:space="0" w:color="auto"/>
              </w:divBdr>
            </w:div>
          </w:divsChild>
        </w:div>
        <w:div w:id="334961538">
          <w:marLeft w:val="0"/>
          <w:marRight w:val="0"/>
          <w:marTop w:val="0"/>
          <w:marBottom w:val="0"/>
          <w:divBdr>
            <w:top w:val="none" w:sz="0" w:space="0" w:color="auto"/>
            <w:left w:val="none" w:sz="0" w:space="0" w:color="auto"/>
            <w:bottom w:val="none" w:sz="0" w:space="0" w:color="auto"/>
            <w:right w:val="none" w:sz="0" w:space="0" w:color="auto"/>
          </w:divBdr>
        </w:div>
        <w:div w:id="335423722">
          <w:marLeft w:val="0"/>
          <w:marRight w:val="0"/>
          <w:marTop w:val="0"/>
          <w:marBottom w:val="0"/>
          <w:divBdr>
            <w:top w:val="none" w:sz="0" w:space="0" w:color="auto"/>
            <w:left w:val="none" w:sz="0" w:space="0" w:color="auto"/>
            <w:bottom w:val="none" w:sz="0" w:space="0" w:color="auto"/>
            <w:right w:val="none" w:sz="0" w:space="0" w:color="auto"/>
          </w:divBdr>
        </w:div>
        <w:div w:id="336080186">
          <w:marLeft w:val="0"/>
          <w:marRight w:val="0"/>
          <w:marTop w:val="0"/>
          <w:marBottom w:val="0"/>
          <w:divBdr>
            <w:top w:val="none" w:sz="0" w:space="0" w:color="auto"/>
            <w:left w:val="none" w:sz="0" w:space="0" w:color="auto"/>
            <w:bottom w:val="none" w:sz="0" w:space="0" w:color="auto"/>
            <w:right w:val="none" w:sz="0" w:space="0" w:color="auto"/>
          </w:divBdr>
        </w:div>
        <w:div w:id="337124597">
          <w:marLeft w:val="0"/>
          <w:marRight w:val="0"/>
          <w:marTop w:val="0"/>
          <w:marBottom w:val="0"/>
          <w:divBdr>
            <w:top w:val="none" w:sz="0" w:space="0" w:color="auto"/>
            <w:left w:val="none" w:sz="0" w:space="0" w:color="auto"/>
            <w:bottom w:val="none" w:sz="0" w:space="0" w:color="auto"/>
            <w:right w:val="none" w:sz="0" w:space="0" w:color="auto"/>
          </w:divBdr>
        </w:div>
        <w:div w:id="339701371">
          <w:marLeft w:val="0"/>
          <w:marRight w:val="0"/>
          <w:marTop w:val="0"/>
          <w:marBottom w:val="0"/>
          <w:divBdr>
            <w:top w:val="none" w:sz="0" w:space="0" w:color="auto"/>
            <w:left w:val="none" w:sz="0" w:space="0" w:color="auto"/>
            <w:bottom w:val="none" w:sz="0" w:space="0" w:color="auto"/>
            <w:right w:val="none" w:sz="0" w:space="0" w:color="auto"/>
          </w:divBdr>
        </w:div>
        <w:div w:id="340352549">
          <w:marLeft w:val="0"/>
          <w:marRight w:val="0"/>
          <w:marTop w:val="0"/>
          <w:marBottom w:val="0"/>
          <w:divBdr>
            <w:top w:val="none" w:sz="0" w:space="0" w:color="auto"/>
            <w:left w:val="none" w:sz="0" w:space="0" w:color="auto"/>
            <w:bottom w:val="none" w:sz="0" w:space="0" w:color="auto"/>
            <w:right w:val="none" w:sz="0" w:space="0" w:color="auto"/>
          </w:divBdr>
          <w:divsChild>
            <w:div w:id="10839087">
              <w:marLeft w:val="0"/>
              <w:marRight w:val="0"/>
              <w:marTop w:val="0"/>
              <w:marBottom w:val="0"/>
              <w:divBdr>
                <w:top w:val="none" w:sz="0" w:space="0" w:color="auto"/>
                <w:left w:val="none" w:sz="0" w:space="0" w:color="auto"/>
                <w:bottom w:val="none" w:sz="0" w:space="0" w:color="auto"/>
                <w:right w:val="none" w:sz="0" w:space="0" w:color="auto"/>
              </w:divBdr>
            </w:div>
            <w:div w:id="91895812">
              <w:marLeft w:val="0"/>
              <w:marRight w:val="0"/>
              <w:marTop w:val="0"/>
              <w:marBottom w:val="0"/>
              <w:divBdr>
                <w:top w:val="none" w:sz="0" w:space="0" w:color="auto"/>
                <w:left w:val="none" w:sz="0" w:space="0" w:color="auto"/>
                <w:bottom w:val="none" w:sz="0" w:space="0" w:color="auto"/>
                <w:right w:val="none" w:sz="0" w:space="0" w:color="auto"/>
              </w:divBdr>
            </w:div>
            <w:div w:id="124003791">
              <w:marLeft w:val="0"/>
              <w:marRight w:val="0"/>
              <w:marTop w:val="0"/>
              <w:marBottom w:val="0"/>
              <w:divBdr>
                <w:top w:val="none" w:sz="0" w:space="0" w:color="auto"/>
                <w:left w:val="none" w:sz="0" w:space="0" w:color="auto"/>
                <w:bottom w:val="none" w:sz="0" w:space="0" w:color="auto"/>
                <w:right w:val="none" w:sz="0" w:space="0" w:color="auto"/>
              </w:divBdr>
            </w:div>
            <w:div w:id="321550057">
              <w:marLeft w:val="0"/>
              <w:marRight w:val="0"/>
              <w:marTop w:val="0"/>
              <w:marBottom w:val="0"/>
              <w:divBdr>
                <w:top w:val="none" w:sz="0" w:space="0" w:color="auto"/>
                <w:left w:val="none" w:sz="0" w:space="0" w:color="auto"/>
                <w:bottom w:val="none" w:sz="0" w:space="0" w:color="auto"/>
                <w:right w:val="none" w:sz="0" w:space="0" w:color="auto"/>
              </w:divBdr>
            </w:div>
            <w:div w:id="518355438">
              <w:marLeft w:val="0"/>
              <w:marRight w:val="0"/>
              <w:marTop w:val="0"/>
              <w:marBottom w:val="0"/>
              <w:divBdr>
                <w:top w:val="none" w:sz="0" w:space="0" w:color="auto"/>
                <w:left w:val="none" w:sz="0" w:space="0" w:color="auto"/>
                <w:bottom w:val="none" w:sz="0" w:space="0" w:color="auto"/>
                <w:right w:val="none" w:sz="0" w:space="0" w:color="auto"/>
              </w:divBdr>
            </w:div>
            <w:div w:id="529757896">
              <w:marLeft w:val="0"/>
              <w:marRight w:val="0"/>
              <w:marTop w:val="0"/>
              <w:marBottom w:val="0"/>
              <w:divBdr>
                <w:top w:val="none" w:sz="0" w:space="0" w:color="auto"/>
                <w:left w:val="none" w:sz="0" w:space="0" w:color="auto"/>
                <w:bottom w:val="none" w:sz="0" w:space="0" w:color="auto"/>
                <w:right w:val="none" w:sz="0" w:space="0" w:color="auto"/>
              </w:divBdr>
            </w:div>
            <w:div w:id="680936269">
              <w:marLeft w:val="0"/>
              <w:marRight w:val="0"/>
              <w:marTop w:val="0"/>
              <w:marBottom w:val="0"/>
              <w:divBdr>
                <w:top w:val="none" w:sz="0" w:space="0" w:color="auto"/>
                <w:left w:val="none" w:sz="0" w:space="0" w:color="auto"/>
                <w:bottom w:val="none" w:sz="0" w:space="0" w:color="auto"/>
                <w:right w:val="none" w:sz="0" w:space="0" w:color="auto"/>
              </w:divBdr>
            </w:div>
            <w:div w:id="798573444">
              <w:marLeft w:val="0"/>
              <w:marRight w:val="0"/>
              <w:marTop w:val="0"/>
              <w:marBottom w:val="0"/>
              <w:divBdr>
                <w:top w:val="none" w:sz="0" w:space="0" w:color="auto"/>
                <w:left w:val="none" w:sz="0" w:space="0" w:color="auto"/>
                <w:bottom w:val="none" w:sz="0" w:space="0" w:color="auto"/>
                <w:right w:val="none" w:sz="0" w:space="0" w:color="auto"/>
              </w:divBdr>
            </w:div>
            <w:div w:id="880946898">
              <w:marLeft w:val="0"/>
              <w:marRight w:val="0"/>
              <w:marTop w:val="0"/>
              <w:marBottom w:val="0"/>
              <w:divBdr>
                <w:top w:val="none" w:sz="0" w:space="0" w:color="auto"/>
                <w:left w:val="none" w:sz="0" w:space="0" w:color="auto"/>
                <w:bottom w:val="none" w:sz="0" w:space="0" w:color="auto"/>
                <w:right w:val="none" w:sz="0" w:space="0" w:color="auto"/>
              </w:divBdr>
            </w:div>
            <w:div w:id="1023437957">
              <w:marLeft w:val="0"/>
              <w:marRight w:val="0"/>
              <w:marTop w:val="0"/>
              <w:marBottom w:val="0"/>
              <w:divBdr>
                <w:top w:val="none" w:sz="0" w:space="0" w:color="auto"/>
                <w:left w:val="none" w:sz="0" w:space="0" w:color="auto"/>
                <w:bottom w:val="none" w:sz="0" w:space="0" w:color="auto"/>
                <w:right w:val="none" w:sz="0" w:space="0" w:color="auto"/>
              </w:divBdr>
            </w:div>
            <w:div w:id="1071854283">
              <w:marLeft w:val="0"/>
              <w:marRight w:val="0"/>
              <w:marTop w:val="0"/>
              <w:marBottom w:val="0"/>
              <w:divBdr>
                <w:top w:val="none" w:sz="0" w:space="0" w:color="auto"/>
                <w:left w:val="none" w:sz="0" w:space="0" w:color="auto"/>
                <w:bottom w:val="none" w:sz="0" w:space="0" w:color="auto"/>
                <w:right w:val="none" w:sz="0" w:space="0" w:color="auto"/>
              </w:divBdr>
            </w:div>
            <w:div w:id="1219320859">
              <w:marLeft w:val="0"/>
              <w:marRight w:val="0"/>
              <w:marTop w:val="0"/>
              <w:marBottom w:val="0"/>
              <w:divBdr>
                <w:top w:val="none" w:sz="0" w:space="0" w:color="auto"/>
                <w:left w:val="none" w:sz="0" w:space="0" w:color="auto"/>
                <w:bottom w:val="none" w:sz="0" w:space="0" w:color="auto"/>
                <w:right w:val="none" w:sz="0" w:space="0" w:color="auto"/>
              </w:divBdr>
            </w:div>
            <w:div w:id="1571577863">
              <w:marLeft w:val="0"/>
              <w:marRight w:val="0"/>
              <w:marTop w:val="0"/>
              <w:marBottom w:val="0"/>
              <w:divBdr>
                <w:top w:val="none" w:sz="0" w:space="0" w:color="auto"/>
                <w:left w:val="none" w:sz="0" w:space="0" w:color="auto"/>
                <w:bottom w:val="none" w:sz="0" w:space="0" w:color="auto"/>
                <w:right w:val="none" w:sz="0" w:space="0" w:color="auto"/>
              </w:divBdr>
            </w:div>
            <w:div w:id="1781413220">
              <w:marLeft w:val="0"/>
              <w:marRight w:val="0"/>
              <w:marTop w:val="0"/>
              <w:marBottom w:val="0"/>
              <w:divBdr>
                <w:top w:val="none" w:sz="0" w:space="0" w:color="auto"/>
                <w:left w:val="none" w:sz="0" w:space="0" w:color="auto"/>
                <w:bottom w:val="none" w:sz="0" w:space="0" w:color="auto"/>
                <w:right w:val="none" w:sz="0" w:space="0" w:color="auto"/>
              </w:divBdr>
            </w:div>
            <w:div w:id="1921286049">
              <w:marLeft w:val="0"/>
              <w:marRight w:val="0"/>
              <w:marTop w:val="0"/>
              <w:marBottom w:val="0"/>
              <w:divBdr>
                <w:top w:val="none" w:sz="0" w:space="0" w:color="auto"/>
                <w:left w:val="none" w:sz="0" w:space="0" w:color="auto"/>
                <w:bottom w:val="none" w:sz="0" w:space="0" w:color="auto"/>
                <w:right w:val="none" w:sz="0" w:space="0" w:color="auto"/>
              </w:divBdr>
            </w:div>
            <w:div w:id="2034115386">
              <w:marLeft w:val="0"/>
              <w:marRight w:val="0"/>
              <w:marTop w:val="0"/>
              <w:marBottom w:val="0"/>
              <w:divBdr>
                <w:top w:val="none" w:sz="0" w:space="0" w:color="auto"/>
                <w:left w:val="none" w:sz="0" w:space="0" w:color="auto"/>
                <w:bottom w:val="none" w:sz="0" w:space="0" w:color="auto"/>
                <w:right w:val="none" w:sz="0" w:space="0" w:color="auto"/>
              </w:divBdr>
            </w:div>
            <w:div w:id="2089770104">
              <w:marLeft w:val="0"/>
              <w:marRight w:val="0"/>
              <w:marTop w:val="0"/>
              <w:marBottom w:val="0"/>
              <w:divBdr>
                <w:top w:val="none" w:sz="0" w:space="0" w:color="auto"/>
                <w:left w:val="none" w:sz="0" w:space="0" w:color="auto"/>
                <w:bottom w:val="none" w:sz="0" w:space="0" w:color="auto"/>
                <w:right w:val="none" w:sz="0" w:space="0" w:color="auto"/>
              </w:divBdr>
            </w:div>
          </w:divsChild>
        </w:div>
        <w:div w:id="340426230">
          <w:marLeft w:val="0"/>
          <w:marRight w:val="0"/>
          <w:marTop w:val="0"/>
          <w:marBottom w:val="0"/>
          <w:divBdr>
            <w:top w:val="none" w:sz="0" w:space="0" w:color="auto"/>
            <w:left w:val="none" w:sz="0" w:space="0" w:color="auto"/>
            <w:bottom w:val="none" w:sz="0" w:space="0" w:color="auto"/>
            <w:right w:val="none" w:sz="0" w:space="0" w:color="auto"/>
          </w:divBdr>
        </w:div>
        <w:div w:id="341855340">
          <w:marLeft w:val="0"/>
          <w:marRight w:val="0"/>
          <w:marTop w:val="0"/>
          <w:marBottom w:val="0"/>
          <w:divBdr>
            <w:top w:val="none" w:sz="0" w:space="0" w:color="auto"/>
            <w:left w:val="none" w:sz="0" w:space="0" w:color="auto"/>
            <w:bottom w:val="none" w:sz="0" w:space="0" w:color="auto"/>
            <w:right w:val="none" w:sz="0" w:space="0" w:color="auto"/>
          </w:divBdr>
        </w:div>
        <w:div w:id="344406360">
          <w:marLeft w:val="0"/>
          <w:marRight w:val="0"/>
          <w:marTop w:val="0"/>
          <w:marBottom w:val="0"/>
          <w:divBdr>
            <w:top w:val="none" w:sz="0" w:space="0" w:color="auto"/>
            <w:left w:val="none" w:sz="0" w:space="0" w:color="auto"/>
            <w:bottom w:val="none" w:sz="0" w:space="0" w:color="auto"/>
            <w:right w:val="none" w:sz="0" w:space="0" w:color="auto"/>
          </w:divBdr>
        </w:div>
        <w:div w:id="345138309">
          <w:marLeft w:val="0"/>
          <w:marRight w:val="0"/>
          <w:marTop w:val="0"/>
          <w:marBottom w:val="0"/>
          <w:divBdr>
            <w:top w:val="none" w:sz="0" w:space="0" w:color="auto"/>
            <w:left w:val="none" w:sz="0" w:space="0" w:color="auto"/>
            <w:bottom w:val="none" w:sz="0" w:space="0" w:color="auto"/>
            <w:right w:val="none" w:sz="0" w:space="0" w:color="auto"/>
          </w:divBdr>
        </w:div>
        <w:div w:id="345710550">
          <w:marLeft w:val="0"/>
          <w:marRight w:val="0"/>
          <w:marTop w:val="0"/>
          <w:marBottom w:val="0"/>
          <w:divBdr>
            <w:top w:val="none" w:sz="0" w:space="0" w:color="auto"/>
            <w:left w:val="none" w:sz="0" w:space="0" w:color="auto"/>
            <w:bottom w:val="none" w:sz="0" w:space="0" w:color="auto"/>
            <w:right w:val="none" w:sz="0" w:space="0" w:color="auto"/>
          </w:divBdr>
        </w:div>
        <w:div w:id="348289684">
          <w:marLeft w:val="0"/>
          <w:marRight w:val="0"/>
          <w:marTop w:val="0"/>
          <w:marBottom w:val="0"/>
          <w:divBdr>
            <w:top w:val="none" w:sz="0" w:space="0" w:color="auto"/>
            <w:left w:val="none" w:sz="0" w:space="0" w:color="auto"/>
            <w:bottom w:val="none" w:sz="0" w:space="0" w:color="auto"/>
            <w:right w:val="none" w:sz="0" w:space="0" w:color="auto"/>
          </w:divBdr>
        </w:div>
        <w:div w:id="348992883">
          <w:marLeft w:val="0"/>
          <w:marRight w:val="0"/>
          <w:marTop w:val="0"/>
          <w:marBottom w:val="0"/>
          <w:divBdr>
            <w:top w:val="none" w:sz="0" w:space="0" w:color="auto"/>
            <w:left w:val="none" w:sz="0" w:space="0" w:color="auto"/>
            <w:bottom w:val="none" w:sz="0" w:space="0" w:color="auto"/>
            <w:right w:val="none" w:sz="0" w:space="0" w:color="auto"/>
          </w:divBdr>
        </w:div>
        <w:div w:id="350495889">
          <w:marLeft w:val="0"/>
          <w:marRight w:val="0"/>
          <w:marTop w:val="0"/>
          <w:marBottom w:val="0"/>
          <w:divBdr>
            <w:top w:val="none" w:sz="0" w:space="0" w:color="auto"/>
            <w:left w:val="none" w:sz="0" w:space="0" w:color="auto"/>
            <w:bottom w:val="none" w:sz="0" w:space="0" w:color="auto"/>
            <w:right w:val="none" w:sz="0" w:space="0" w:color="auto"/>
          </w:divBdr>
        </w:div>
        <w:div w:id="350573401">
          <w:marLeft w:val="0"/>
          <w:marRight w:val="0"/>
          <w:marTop w:val="0"/>
          <w:marBottom w:val="0"/>
          <w:divBdr>
            <w:top w:val="none" w:sz="0" w:space="0" w:color="auto"/>
            <w:left w:val="none" w:sz="0" w:space="0" w:color="auto"/>
            <w:bottom w:val="none" w:sz="0" w:space="0" w:color="auto"/>
            <w:right w:val="none" w:sz="0" w:space="0" w:color="auto"/>
          </w:divBdr>
        </w:div>
        <w:div w:id="352152281">
          <w:marLeft w:val="0"/>
          <w:marRight w:val="0"/>
          <w:marTop w:val="0"/>
          <w:marBottom w:val="0"/>
          <w:divBdr>
            <w:top w:val="none" w:sz="0" w:space="0" w:color="auto"/>
            <w:left w:val="none" w:sz="0" w:space="0" w:color="auto"/>
            <w:bottom w:val="none" w:sz="0" w:space="0" w:color="auto"/>
            <w:right w:val="none" w:sz="0" w:space="0" w:color="auto"/>
          </w:divBdr>
        </w:div>
        <w:div w:id="354892476">
          <w:marLeft w:val="0"/>
          <w:marRight w:val="0"/>
          <w:marTop w:val="0"/>
          <w:marBottom w:val="0"/>
          <w:divBdr>
            <w:top w:val="none" w:sz="0" w:space="0" w:color="auto"/>
            <w:left w:val="none" w:sz="0" w:space="0" w:color="auto"/>
            <w:bottom w:val="none" w:sz="0" w:space="0" w:color="auto"/>
            <w:right w:val="none" w:sz="0" w:space="0" w:color="auto"/>
          </w:divBdr>
        </w:div>
        <w:div w:id="355615363">
          <w:marLeft w:val="0"/>
          <w:marRight w:val="0"/>
          <w:marTop w:val="0"/>
          <w:marBottom w:val="0"/>
          <w:divBdr>
            <w:top w:val="none" w:sz="0" w:space="0" w:color="auto"/>
            <w:left w:val="none" w:sz="0" w:space="0" w:color="auto"/>
            <w:bottom w:val="none" w:sz="0" w:space="0" w:color="auto"/>
            <w:right w:val="none" w:sz="0" w:space="0" w:color="auto"/>
          </w:divBdr>
        </w:div>
        <w:div w:id="357244839">
          <w:marLeft w:val="0"/>
          <w:marRight w:val="0"/>
          <w:marTop w:val="0"/>
          <w:marBottom w:val="0"/>
          <w:divBdr>
            <w:top w:val="none" w:sz="0" w:space="0" w:color="auto"/>
            <w:left w:val="none" w:sz="0" w:space="0" w:color="auto"/>
            <w:bottom w:val="none" w:sz="0" w:space="0" w:color="auto"/>
            <w:right w:val="none" w:sz="0" w:space="0" w:color="auto"/>
          </w:divBdr>
          <w:divsChild>
            <w:div w:id="39398922">
              <w:marLeft w:val="0"/>
              <w:marRight w:val="0"/>
              <w:marTop w:val="0"/>
              <w:marBottom w:val="0"/>
              <w:divBdr>
                <w:top w:val="none" w:sz="0" w:space="0" w:color="auto"/>
                <w:left w:val="none" w:sz="0" w:space="0" w:color="auto"/>
                <w:bottom w:val="none" w:sz="0" w:space="0" w:color="auto"/>
                <w:right w:val="none" w:sz="0" w:space="0" w:color="auto"/>
              </w:divBdr>
            </w:div>
            <w:div w:id="97259928">
              <w:marLeft w:val="0"/>
              <w:marRight w:val="0"/>
              <w:marTop w:val="0"/>
              <w:marBottom w:val="0"/>
              <w:divBdr>
                <w:top w:val="none" w:sz="0" w:space="0" w:color="auto"/>
                <w:left w:val="none" w:sz="0" w:space="0" w:color="auto"/>
                <w:bottom w:val="none" w:sz="0" w:space="0" w:color="auto"/>
                <w:right w:val="none" w:sz="0" w:space="0" w:color="auto"/>
              </w:divBdr>
            </w:div>
            <w:div w:id="378018532">
              <w:marLeft w:val="0"/>
              <w:marRight w:val="0"/>
              <w:marTop w:val="0"/>
              <w:marBottom w:val="0"/>
              <w:divBdr>
                <w:top w:val="none" w:sz="0" w:space="0" w:color="auto"/>
                <w:left w:val="none" w:sz="0" w:space="0" w:color="auto"/>
                <w:bottom w:val="none" w:sz="0" w:space="0" w:color="auto"/>
                <w:right w:val="none" w:sz="0" w:space="0" w:color="auto"/>
              </w:divBdr>
            </w:div>
            <w:div w:id="430395307">
              <w:marLeft w:val="0"/>
              <w:marRight w:val="0"/>
              <w:marTop w:val="0"/>
              <w:marBottom w:val="0"/>
              <w:divBdr>
                <w:top w:val="none" w:sz="0" w:space="0" w:color="auto"/>
                <w:left w:val="none" w:sz="0" w:space="0" w:color="auto"/>
                <w:bottom w:val="none" w:sz="0" w:space="0" w:color="auto"/>
                <w:right w:val="none" w:sz="0" w:space="0" w:color="auto"/>
              </w:divBdr>
            </w:div>
            <w:div w:id="679284850">
              <w:marLeft w:val="0"/>
              <w:marRight w:val="0"/>
              <w:marTop w:val="0"/>
              <w:marBottom w:val="0"/>
              <w:divBdr>
                <w:top w:val="none" w:sz="0" w:space="0" w:color="auto"/>
                <w:left w:val="none" w:sz="0" w:space="0" w:color="auto"/>
                <w:bottom w:val="none" w:sz="0" w:space="0" w:color="auto"/>
                <w:right w:val="none" w:sz="0" w:space="0" w:color="auto"/>
              </w:divBdr>
            </w:div>
            <w:div w:id="697050086">
              <w:marLeft w:val="0"/>
              <w:marRight w:val="0"/>
              <w:marTop w:val="0"/>
              <w:marBottom w:val="0"/>
              <w:divBdr>
                <w:top w:val="none" w:sz="0" w:space="0" w:color="auto"/>
                <w:left w:val="none" w:sz="0" w:space="0" w:color="auto"/>
                <w:bottom w:val="none" w:sz="0" w:space="0" w:color="auto"/>
                <w:right w:val="none" w:sz="0" w:space="0" w:color="auto"/>
              </w:divBdr>
            </w:div>
            <w:div w:id="715737245">
              <w:marLeft w:val="0"/>
              <w:marRight w:val="0"/>
              <w:marTop w:val="0"/>
              <w:marBottom w:val="0"/>
              <w:divBdr>
                <w:top w:val="none" w:sz="0" w:space="0" w:color="auto"/>
                <w:left w:val="none" w:sz="0" w:space="0" w:color="auto"/>
                <w:bottom w:val="none" w:sz="0" w:space="0" w:color="auto"/>
                <w:right w:val="none" w:sz="0" w:space="0" w:color="auto"/>
              </w:divBdr>
            </w:div>
            <w:div w:id="805243356">
              <w:marLeft w:val="0"/>
              <w:marRight w:val="0"/>
              <w:marTop w:val="0"/>
              <w:marBottom w:val="0"/>
              <w:divBdr>
                <w:top w:val="none" w:sz="0" w:space="0" w:color="auto"/>
                <w:left w:val="none" w:sz="0" w:space="0" w:color="auto"/>
                <w:bottom w:val="none" w:sz="0" w:space="0" w:color="auto"/>
                <w:right w:val="none" w:sz="0" w:space="0" w:color="auto"/>
              </w:divBdr>
            </w:div>
            <w:div w:id="872574818">
              <w:marLeft w:val="0"/>
              <w:marRight w:val="0"/>
              <w:marTop w:val="0"/>
              <w:marBottom w:val="0"/>
              <w:divBdr>
                <w:top w:val="none" w:sz="0" w:space="0" w:color="auto"/>
                <w:left w:val="none" w:sz="0" w:space="0" w:color="auto"/>
                <w:bottom w:val="none" w:sz="0" w:space="0" w:color="auto"/>
                <w:right w:val="none" w:sz="0" w:space="0" w:color="auto"/>
              </w:divBdr>
            </w:div>
            <w:div w:id="1119445887">
              <w:marLeft w:val="0"/>
              <w:marRight w:val="0"/>
              <w:marTop w:val="0"/>
              <w:marBottom w:val="0"/>
              <w:divBdr>
                <w:top w:val="none" w:sz="0" w:space="0" w:color="auto"/>
                <w:left w:val="none" w:sz="0" w:space="0" w:color="auto"/>
                <w:bottom w:val="none" w:sz="0" w:space="0" w:color="auto"/>
                <w:right w:val="none" w:sz="0" w:space="0" w:color="auto"/>
              </w:divBdr>
            </w:div>
            <w:div w:id="1211310376">
              <w:marLeft w:val="0"/>
              <w:marRight w:val="0"/>
              <w:marTop w:val="0"/>
              <w:marBottom w:val="0"/>
              <w:divBdr>
                <w:top w:val="none" w:sz="0" w:space="0" w:color="auto"/>
                <w:left w:val="none" w:sz="0" w:space="0" w:color="auto"/>
                <w:bottom w:val="none" w:sz="0" w:space="0" w:color="auto"/>
                <w:right w:val="none" w:sz="0" w:space="0" w:color="auto"/>
              </w:divBdr>
            </w:div>
            <w:div w:id="1256986373">
              <w:marLeft w:val="0"/>
              <w:marRight w:val="0"/>
              <w:marTop w:val="0"/>
              <w:marBottom w:val="0"/>
              <w:divBdr>
                <w:top w:val="none" w:sz="0" w:space="0" w:color="auto"/>
                <w:left w:val="none" w:sz="0" w:space="0" w:color="auto"/>
                <w:bottom w:val="none" w:sz="0" w:space="0" w:color="auto"/>
                <w:right w:val="none" w:sz="0" w:space="0" w:color="auto"/>
              </w:divBdr>
            </w:div>
            <w:div w:id="1317344042">
              <w:marLeft w:val="0"/>
              <w:marRight w:val="0"/>
              <w:marTop w:val="0"/>
              <w:marBottom w:val="0"/>
              <w:divBdr>
                <w:top w:val="none" w:sz="0" w:space="0" w:color="auto"/>
                <w:left w:val="none" w:sz="0" w:space="0" w:color="auto"/>
                <w:bottom w:val="none" w:sz="0" w:space="0" w:color="auto"/>
                <w:right w:val="none" w:sz="0" w:space="0" w:color="auto"/>
              </w:divBdr>
            </w:div>
            <w:div w:id="1551570601">
              <w:marLeft w:val="0"/>
              <w:marRight w:val="0"/>
              <w:marTop w:val="0"/>
              <w:marBottom w:val="0"/>
              <w:divBdr>
                <w:top w:val="none" w:sz="0" w:space="0" w:color="auto"/>
                <w:left w:val="none" w:sz="0" w:space="0" w:color="auto"/>
                <w:bottom w:val="none" w:sz="0" w:space="0" w:color="auto"/>
                <w:right w:val="none" w:sz="0" w:space="0" w:color="auto"/>
              </w:divBdr>
            </w:div>
            <w:div w:id="1642539965">
              <w:marLeft w:val="0"/>
              <w:marRight w:val="0"/>
              <w:marTop w:val="0"/>
              <w:marBottom w:val="0"/>
              <w:divBdr>
                <w:top w:val="none" w:sz="0" w:space="0" w:color="auto"/>
                <w:left w:val="none" w:sz="0" w:space="0" w:color="auto"/>
                <w:bottom w:val="none" w:sz="0" w:space="0" w:color="auto"/>
                <w:right w:val="none" w:sz="0" w:space="0" w:color="auto"/>
              </w:divBdr>
            </w:div>
            <w:div w:id="1736851537">
              <w:marLeft w:val="0"/>
              <w:marRight w:val="0"/>
              <w:marTop w:val="0"/>
              <w:marBottom w:val="0"/>
              <w:divBdr>
                <w:top w:val="none" w:sz="0" w:space="0" w:color="auto"/>
                <w:left w:val="none" w:sz="0" w:space="0" w:color="auto"/>
                <w:bottom w:val="none" w:sz="0" w:space="0" w:color="auto"/>
                <w:right w:val="none" w:sz="0" w:space="0" w:color="auto"/>
              </w:divBdr>
            </w:div>
            <w:div w:id="1826357509">
              <w:marLeft w:val="0"/>
              <w:marRight w:val="0"/>
              <w:marTop w:val="0"/>
              <w:marBottom w:val="0"/>
              <w:divBdr>
                <w:top w:val="none" w:sz="0" w:space="0" w:color="auto"/>
                <w:left w:val="none" w:sz="0" w:space="0" w:color="auto"/>
                <w:bottom w:val="none" w:sz="0" w:space="0" w:color="auto"/>
                <w:right w:val="none" w:sz="0" w:space="0" w:color="auto"/>
              </w:divBdr>
            </w:div>
            <w:div w:id="2145082251">
              <w:marLeft w:val="0"/>
              <w:marRight w:val="0"/>
              <w:marTop w:val="0"/>
              <w:marBottom w:val="0"/>
              <w:divBdr>
                <w:top w:val="none" w:sz="0" w:space="0" w:color="auto"/>
                <w:left w:val="none" w:sz="0" w:space="0" w:color="auto"/>
                <w:bottom w:val="none" w:sz="0" w:space="0" w:color="auto"/>
                <w:right w:val="none" w:sz="0" w:space="0" w:color="auto"/>
              </w:divBdr>
            </w:div>
          </w:divsChild>
        </w:div>
        <w:div w:id="358052402">
          <w:marLeft w:val="0"/>
          <w:marRight w:val="0"/>
          <w:marTop w:val="0"/>
          <w:marBottom w:val="0"/>
          <w:divBdr>
            <w:top w:val="none" w:sz="0" w:space="0" w:color="auto"/>
            <w:left w:val="none" w:sz="0" w:space="0" w:color="auto"/>
            <w:bottom w:val="none" w:sz="0" w:space="0" w:color="auto"/>
            <w:right w:val="none" w:sz="0" w:space="0" w:color="auto"/>
          </w:divBdr>
        </w:div>
        <w:div w:id="360474005">
          <w:marLeft w:val="0"/>
          <w:marRight w:val="0"/>
          <w:marTop w:val="0"/>
          <w:marBottom w:val="0"/>
          <w:divBdr>
            <w:top w:val="none" w:sz="0" w:space="0" w:color="auto"/>
            <w:left w:val="none" w:sz="0" w:space="0" w:color="auto"/>
            <w:bottom w:val="none" w:sz="0" w:space="0" w:color="auto"/>
            <w:right w:val="none" w:sz="0" w:space="0" w:color="auto"/>
          </w:divBdr>
        </w:div>
        <w:div w:id="362369683">
          <w:marLeft w:val="0"/>
          <w:marRight w:val="0"/>
          <w:marTop w:val="0"/>
          <w:marBottom w:val="0"/>
          <w:divBdr>
            <w:top w:val="none" w:sz="0" w:space="0" w:color="auto"/>
            <w:left w:val="none" w:sz="0" w:space="0" w:color="auto"/>
            <w:bottom w:val="none" w:sz="0" w:space="0" w:color="auto"/>
            <w:right w:val="none" w:sz="0" w:space="0" w:color="auto"/>
          </w:divBdr>
        </w:div>
        <w:div w:id="363016797">
          <w:marLeft w:val="0"/>
          <w:marRight w:val="0"/>
          <w:marTop w:val="0"/>
          <w:marBottom w:val="0"/>
          <w:divBdr>
            <w:top w:val="none" w:sz="0" w:space="0" w:color="auto"/>
            <w:left w:val="none" w:sz="0" w:space="0" w:color="auto"/>
            <w:bottom w:val="none" w:sz="0" w:space="0" w:color="auto"/>
            <w:right w:val="none" w:sz="0" w:space="0" w:color="auto"/>
          </w:divBdr>
        </w:div>
        <w:div w:id="363291698">
          <w:marLeft w:val="0"/>
          <w:marRight w:val="0"/>
          <w:marTop w:val="0"/>
          <w:marBottom w:val="0"/>
          <w:divBdr>
            <w:top w:val="none" w:sz="0" w:space="0" w:color="auto"/>
            <w:left w:val="none" w:sz="0" w:space="0" w:color="auto"/>
            <w:bottom w:val="none" w:sz="0" w:space="0" w:color="auto"/>
            <w:right w:val="none" w:sz="0" w:space="0" w:color="auto"/>
          </w:divBdr>
        </w:div>
        <w:div w:id="364062727">
          <w:marLeft w:val="0"/>
          <w:marRight w:val="0"/>
          <w:marTop w:val="0"/>
          <w:marBottom w:val="0"/>
          <w:divBdr>
            <w:top w:val="none" w:sz="0" w:space="0" w:color="auto"/>
            <w:left w:val="none" w:sz="0" w:space="0" w:color="auto"/>
            <w:bottom w:val="none" w:sz="0" w:space="0" w:color="auto"/>
            <w:right w:val="none" w:sz="0" w:space="0" w:color="auto"/>
          </w:divBdr>
        </w:div>
        <w:div w:id="364912277">
          <w:marLeft w:val="0"/>
          <w:marRight w:val="0"/>
          <w:marTop w:val="0"/>
          <w:marBottom w:val="0"/>
          <w:divBdr>
            <w:top w:val="none" w:sz="0" w:space="0" w:color="auto"/>
            <w:left w:val="none" w:sz="0" w:space="0" w:color="auto"/>
            <w:bottom w:val="none" w:sz="0" w:space="0" w:color="auto"/>
            <w:right w:val="none" w:sz="0" w:space="0" w:color="auto"/>
          </w:divBdr>
        </w:div>
        <w:div w:id="366105257">
          <w:marLeft w:val="0"/>
          <w:marRight w:val="0"/>
          <w:marTop w:val="0"/>
          <w:marBottom w:val="0"/>
          <w:divBdr>
            <w:top w:val="none" w:sz="0" w:space="0" w:color="auto"/>
            <w:left w:val="none" w:sz="0" w:space="0" w:color="auto"/>
            <w:bottom w:val="none" w:sz="0" w:space="0" w:color="auto"/>
            <w:right w:val="none" w:sz="0" w:space="0" w:color="auto"/>
          </w:divBdr>
        </w:div>
        <w:div w:id="367485662">
          <w:marLeft w:val="0"/>
          <w:marRight w:val="0"/>
          <w:marTop w:val="0"/>
          <w:marBottom w:val="0"/>
          <w:divBdr>
            <w:top w:val="none" w:sz="0" w:space="0" w:color="auto"/>
            <w:left w:val="none" w:sz="0" w:space="0" w:color="auto"/>
            <w:bottom w:val="none" w:sz="0" w:space="0" w:color="auto"/>
            <w:right w:val="none" w:sz="0" w:space="0" w:color="auto"/>
          </w:divBdr>
        </w:div>
        <w:div w:id="367491930">
          <w:marLeft w:val="0"/>
          <w:marRight w:val="0"/>
          <w:marTop w:val="0"/>
          <w:marBottom w:val="0"/>
          <w:divBdr>
            <w:top w:val="none" w:sz="0" w:space="0" w:color="auto"/>
            <w:left w:val="none" w:sz="0" w:space="0" w:color="auto"/>
            <w:bottom w:val="none" w:sz="0" w:space="0" w:color="auto"/>
            <w:right w:val="none" w:sz="0" w:space="0" w:color="auto"/>
          </w:divBdr>
        </w:div>
        <w:div w:id="367920446">
          <w:marLeft w:val="0"/>
          <w:marRight w:val="0"/>
          <w:marTop w:val="0"/>
          <w:marBottom w:val="0"/>
          <w:divBdr>
            <w:top w:val="none" w:sz="0" w:space="0" w:color="auto"/>
            <w:left w:val="none" w:sz="0" w:space="0" w:color="auto"/>
            <w:bottom w:val="none" w:sz="0" w:space="0" w:color="auto"/>
            <w:right w:val="none" w:sz="0" w:space="0" w:color="auto"/>
          </w:divBdr>
        </w:div>
        <w:div w:id="371655554">
          <w:marLeft w:val="0"/>
          <w:marRight w:val="0"/>
          <w:marTop w:val="0"/>
          <w:marBottom w:val="0"/>
          <w:divBdr>
            <w:top w:val="none" w:sz="0" w:space="0" w:color="auto"/>
            <w:left w:val="none" w:sz="0" w:space="0" w:color="auto"/>
            <w:bottom w:val="none" w:sz="0" w:space="0" w:color="auto"/>
            <w:right w:val="none" w:sz="0" w:space="0" w:color="auto"/>
          </w:divBdr>
        </w:div>
        <w:div w:id="372317611">
          <w:marLeft w:val="0"/>
          <w:marRight w:val="0"/>
          <w:marTop w:val="0"/>
          <w:marBottom w:val="0"/>
          <w:divBdr>
            <w:top w:val="none" w:sz="0" w:space="0" w:color="auto"/>
            <w:left w:val="none" w:sz="0" w:space="0" w:color="auto"/>
            <w:bottom w:val="none" w:sz="0" w:space="0" w:color="auto"/>
            <w:right w:val="none" w:sz="0" w:space="0" w:color="auto"/>
          </w:divBdr>
        </w:div>
        <w:div w:id="376391940">
          <w:marLeft w:val="0"/>
          <w:marRight w:val="0"/>
          <w:marTop w:val="0"/>
          <w:marBottom w:val="0"/>
          <w:divBdr>
            <w:top w:val="none" w:sz="0" w:space="0" w:color="auto"/>
            <w:left w:val="none" w:sz="0" w:space="0" w:color="auto"/>
            <w:bottom w:val="none" w:sz="0" w:space="0" w:color="auto"/>
            <w:right w:val="none" w:sz="0" w:space="0" w:color="auto"/>
          </w:divBdr>
        </w:div>
        <w:div w:id="377777656">
          <w:marLeft w:val="0"/>
          <w:marRight w:val="0"/>
          <w:marTop w:val="0"/>
          <w:marBottom w:val="0"/>
          <w:divBdr>
            <w:top w:val="none" w:sz="0" w:space="0" w:color="auto"/>
            <w:left w:val="none" w:sz="0" w:space="0" w:color="auto"/>
            <w:bottom w:val="none" w:sz="0" w:space="0" w:color="auto"/>
            <w:right w:val="none" w:sz="0" w:space="0" w:color="auto"/>
          </w:divBdr>
        </w:div>
        <w:div w:id="378479797">
          <w:marLeft w:val="0"/>
          <w:marRight w:val="0"/>
          <w:marTop w:val="0"/>
          <w:marBottom w:val="0"/>
          <w:divBdr>
            <w:top w:val="none" w:sz="0" w:space="0" w:color="auto"/>
            <w:left w:val="none" w:sz="0" w:space="0" w:color="auto"/>
            <w:bottom w:val="none" w:sz="0" w:space="0" w:color="auto"/>
            <w:right w:val="none" w:sz="0" w:space="0" w:color="auto"/>
          </w:divBdr>
        </w:div>
        <w:div w:id="378818927">
          <w:marLeft w:val="0"/>
          <w:marRight w:val="0"/>
          <w:marTop w:val="0"/>
          <w:marBottom w:val="0"/>
          <w:divBdr>
            <w:top w:val="none" w:sz="0" w:space="0" w:color="auto"/>
            <w:left w:val="none" w:sz="0" w:space="0" w:color="auto"/>
            <w:bottom w:val="none" w:sz="0" w:space="0" w:color="auto"/>
            <w:right w:val="none" w:sz="0" w:space="0" w:color="auto"/>
          </w:divBdr>
        </w:div>
        <w:div w:id="378894335">
          <w:marLeft w:val="0"/>
          <w:marRight w:val="0"/>
          <w:marTop w:val="0"/>
          <w:marBottom w:val="0"/>
          <w:divBdr>
            <w:top w:val="none" w:sz="0" w:space="0" w:color="auto"/>
            <w:left w:val="none" w:sz="0" w:space="0" w:color="auto"/>
            <w:bottom w:val="none" w:sz="0" w:space="0" w:color="auto"/>
            <w:right w:val="none" w:sz="0" w:space="0" w:color="auto"/>
          </w:divBdr>
        </w:div>
        <w:div w:id="379479824">
          <w:marLeft w:val="0"/>
          <w:marRight w:val="0"/>
          <w:marTop w:val="0"/>
          <w:marBottom w:val="0"/>
          <w:divBdr>
            <w:top w:val="none" w:sz="0" w:space="0" w:color="auto"/>
            <w:left w:val="none" w:sz="0" w:space="0" w:color="auto"/>
            <w:bottom w:val="none" w:sz="0" w:space="0" w:color="auto"/>
            <w:right w:val="none" w:sz="0" w:space="0" w:color="auto"/>
          </w:divBdr>
        </w:div>
        <w:div w:id="379936739">
          <w:marLeft w:val="0"/>
          <w:marRight w:val="0"/>
          <w:marTop w:val="0"/>
          <w:marBottom w:val="0"/>
          <w:divBdr>
            <w:top w:val="none" w:sz="0" w:space="0" w:color="auto"/>
            <w:left w:val="none" w:sz="0" w:space="0" w:color="auto"/>
            <w:bottom w:val="none" w:sz="0" w:space="0" w:color="auto"/>
            <w:right w:val="none" w:sz="0" w:space="0" w:color="auto"/>
          </w:divBdr>
        </w:div>
        <w:div w:id="380596510">
          <w:marLeft w:val="0"/>
          <w:marRight w:val="0"/>
          <w:marTop w:val="0"/>
          <w:marBottom w:val="0"/>
          <w:divBdr>
            <w:top w:val="none" w:sz="0" w:space="0" w:color="auto"/>
            <w:left w:val="none" w:sz="0" w:space="0" w:color="auto"/>
            <w:bottom w:val="none" w:sz="0" w:space="0" w:color="auto"/>
            <w:right w:val="none" w:sz="0" w:space="0" w:color="auto"/>
          </w:divBdr>
        </w:div>
        <w:div w:id="381755522">
          <w:marLeft w:val="0"/>
          <w:marRight w:val="0"/>
          <w:marTop w:val="0"/>
          <w:marBottom w:val="0"/>
          <w:divBdr>
            <w:top w:val="none" w:sz="0" w:space="0" w:color="auto"/>
            <w:left w:val="none" w:sz="0" w:space="0" w:color="auto"/>
            <w:bottom w:val="none" w:sz="0" w:space="0" w:color="auto"/>
            <w:right w:val="none" w:sz="0" w:space="0" w:color="auto"/>
          </w:divBdr>
        </w:div>
        <w:div w:id="382173148">
          <w:marLeft w:val="0"/>
          <w:marRight w:val="0"/>
          <w:marTop w:val="0"/>
          <w:marBottom w:val="0"/>
          <w:divBdr>
            <w:top w:val="none" w:sz="0" w:space="0" w:color="auto"/>
            <w:left w:val="none" w:sz="0" w:space="0" w:color="auto"/>
            <w:bottom w:val="none" w:sz="0" w:space="0" w:color="auto"/>
            <w:right w:val="none" w:sz="0" w:space="0" w:color="auto"/>
          </w:divBdr>
        </w:div>
        <w:div w:id="382369372">
          <w:marLeft w:val="0"/>
          <w:marRight w:val="0"/>
          <w:marTop w:val="0"/>
          <w:marBottom w:val="0"/>
          <w:divBdr>
            <w:top w:val="none" w:sz="0" w:space="0" w:color="auto"/>
            <w:left w:val="none" w:sz="0" w:space="0" w:color="auto"/>
            <w:bottom w:val="none" w:sz="0" w:space="0" w:color="auto"/>
            <w:right w:val="none" w:sz="0" w:space="0" w:color="auto"/>
          </w:divBdr>
        </w:div>
        <w:div w:id="383482178">
          <w:marLeft w:val="0"/>
          <w:marRight w:val="0"/>
          <w:marTop w:val="0"/>
          <w:marBottom w:val="0"/>
          <w:divBdr>
            <w:top w:val="none" w:sz="0" w:space="0" w:color="auto"/>
            <w:left w:val="none" w:sz="0" w:space="0" w:color="auto"/>
            <w:bottom w:val="none" w:sz="0" w:space="0" w:color="auto"/>
            <w:right w:val="none" w:sz="0" w:space="0" w:color="auto"/>
          </w:divBdr>
        </w:div>
        <w:div w:id="383986215">
          <w:marLeft w:val="0"/>
          <w:marRight w:val="0"/>
          <w:marTop w:val="0"/>
          <w:marBottom w:val="0"/>
          <w:divBdr>
            <w:top w:val="none" w:sz="0" w:space="0" w:color="auto"/>
            <w:left w:val="none" w:sz="0" w:space="0" w:color="auto"/>
            <w:bottom w:val="none" w:sz="0" w:space="0" w:color="auto"/>
            <w:right w:val="none" w:sz="0" w:space="0" w:color="auto"/>
          </w:divBdr>
        </w:div>
        <w:div w:id="386150192">
          <w:marLeft w:val="0"/>
          <w:marRight w:val="0"/>
          <w:marTop w:val="0"/>
          <w:marBottom w:val="0"/>
          <w:divBdr>
            <w:top w:val="none" w:sz="0" w:space="0" w:color="auto"/>
            <w:left w:val="none" w:sz="0" w:space="0" w:color="auto"/>
            <w:bottom w:val="none" w:sz="0" w:space="0" w:color="auto"/>
            <w:right w:val="none" w:sz="0" w:space="0" w:color="auto"/>
          </w:divBdr>
        </w:div>
        <w:div w:id="386221290">
          <w:marLeft w:val="0"/>
          <w:marRight w:val="0"/>
          <w:marTop w:val="0"/>
          <w:marBottom w:val="0"/>
          <w:divBdr>
            <w:top w:val="none" w:sz="0" w:space="0" w:color="auto"/>
            <w:left w:val="none" w:sz="0" w:space="0" w:color="auto"/>
            <w:bottom w:val="none" w:sz="0" w:space="0" w:color="auto"/>
            <w:right w:val="none" w:sz="0" w:space="0" w:color="auto"/>
          </w:divBdr>
        </w:div>
        <w:div w:id="387539545">
          <w:marLeft w:val="0"/>
          <w:marRight w:val="0"/>
          <w:marTop w:val="0"/>
          <w:marBottom w:val="0"/>
          <w:divBdr>
            <w:top w:val="none" w:sz="0" w:space="0" w:color="auto"/>
            <w:left w:val="none" w:sz="0" w:space="0" w:color="auto"/>
            <w:bottom w:val="none" w:sz="0" w:space="0" w:color="auto"/>
            <w:right w:val="none" w:sz="0" w:space="0" w:color="auto"/>
          </w:divBdr>
        </w:div>
        <w:div w:id="388918354">
          <w:marLeft w:val="0"/>
          <w:marRight w:val="0"/>
          <w:marTop w:val="0"/>
          <w:marBottom w:val="0"/>
          <w:divBdr>
            <w:top w:val="none" w:sz="0" w:space="0" w:color="auto"/>
            <w:left w:val="none" w:sz="0" w:space="0" w:color="auto"/>
            <w:bottom w:val="none" w:sz="0" w:space="0" w:color="auto"/>
            <w:right w:val="none" w:sz="0" w:space="0" w:color="auto"/>
          </w:divBdr>
        </w:div>
        <w:div w:id="391269700">
          <w:marLeft w:val="0"/>
          <w:marRight w:val="0"/>
          <w:marTop w:val="0"/>
          <w:marBottom w:val="0"/>
          <w:divBdr>
            <w:top w:val="none" w:sz="0" w:space="0" w:color="auto"/>
            <w:left w:val="none" w:sz="0" w:space="0" w:color="auto"/>
            <w:bottom w:val="none" w:sz="0" w:space="0" w:color="auto"/>
            <w:right w:val="none" w:sz="0" w:space="0" w:color="auto"/>
          </w:divBdr>
        </w:div>
        <w:div w:id="392003412">
          <w:marLeft w:val="0"/>
          <w:marRight w:val="0"/>
          <w:marTop w:val="0"/>
          <w:marBottom w:val="0"/>
          <w:divBdr>
            <w:top w:val="none" w:sz="0" w:space="0" w:color="auto"/>
            <w:left w:val="none" w:sz="0" w:space="0" w:color="auto"/>
            <w:bottom w:val="none" w:sz="0" w:space="0" w:color="auto"/>
            <w:right w:val="none" w:sz="0" w:space="0" w:color="auto"/>
          </w:divBdr>
        </w:div>
        <w:div w:id="393704195">
          <w:marLeft w:val="0"/>
          <w:marRight w:val="0"/>
          <w:marTop w:val="0"/>
          <w:marBottom w:val="0"/>
          <w:divBdr>
            <w:top w:val="none" w:sz="0" w:space="0" w:color="auto"/>
            <w:left w:val="none" w:sz="0" w:space="0" w:color="auto"/>
            <w:bottom w:val="none" w:sz="0" w:space="0" w:color="auto"/>
            <w:right w:val="none" w:sz="0" w:space="0" w:color="auto"/>
          </w:divBdr>
        </w:div>
        <w:div w:id="395206192">
          <w:marLeft w:val="0"/>
          <w:marRight w:val="0"/>
          <w:marTop w:val="0"/>
          <w:marBottom w:val="0"/>
          <w:divBdr>
            <w:top w:val="none" w:sz="0" w:space="0" w:color="auto"/>
            <w:left w:val="none" w:sz="0" w:space="0" w:color="auto"/>
            <w:bottom w:val="none" w:sz="0" w:space="0" w:color="auto"/>
            <w:right w:val="none" w:sz="0" w:space="0" w:color="auto"/>
          </w:divBdr>
        </w:div>
        <w:div w:id="395781031">
          <w:marLeft w:val="0"/>
          <w:marRight w:val="0"/>
          <w:marTop w:val="0"/>
          <w:marBottom w:val="0"/>
          <w:divBdr>
            <w:top w:val="none" w:sz="0" w:space="0" w:color="auto"/>
            <w:left w:val="none" w:sz="0" w:space="0" w:color="auto"/>
            <w:bottom w:val="none" w:sz="0" w:space="0" w:color="auto"/>
            <w:right w:val="none" w:sz="0" w:space="0" w:color="auto"/>
          </w:divBdr>
        </w:div>
        <w:div w:id="395977966">
          <w:marLeft w:val="0"/>
          <w:marRight w:val="0"/>
          <w:marTop w:val="0"/>
          <w:marBottom w:val="0"/>
          <w:divBdr>
            <w:top w:val="none" w:sz="0" w:space="0" w:color="auto"/>
            <w:left w:val="none" w:sz="0" w:space="0" w:color="auto"/>
            <w:bottom w:val="none" w:sz="0" w:space="0" w:color="auto"/>
            <w:right w:val="none" w:sz="0" w:space="0" w:color="auto"/>
          </w:divBdr>
        </w:div>
        <w:div w:id="396589631">
          <w:marLeft w:val="0"/>
          <w:marRight w:val="0"/>
          <w:marTop w:val="0"/>
          <w:marBottom w:val="0"/>
          <w:divBdr>
            <w:top w:val="none" w:sz="0" w:space="0" w:color="auto"/>
            <w:left w:val="none" w:sz="0" w:space="0" w:color="auto"/>
            <w:bottom w:val="none" w:sz="0" w:space="0" w:color="auto"/>
            <w:right w:val="none" w:sz="0" w:space="0" w:color="auto"/>
          </w:divBdr>
        </w:div>
        <w:div w:id="396979104">
          <w:marLeft w:val="0"/>
          <w:marRight w:val="0"/>
          <w:marTop w:val="0"/>
          <w:marBottom w:val="0"/>
          <w:divBdr>
            <w:top w:val="none" w:sz="0" w:space="0" w:color="auto"/>
            <w:left w:val="none" w:sz="0" w:space="0" w:color="auto"/>
            <w:bottom w:val="none" w:sz="0" w:space="0" w:color="auto"/>
            <w:right w:val="none" w:sz="0" w:space="0" w:color="auto"/>
          </w:divBdr>
        </w:div>
        <w:div w:id="397292351">
          <w:marLeft w:val="0"/>
          <w:marRight w:val="0"/>
          <w:marTop w:val="0"/>
          <w:marBottom w:val="0"/>
          <w:divBdr>
            <w:top w:val="none" w:sz="0" w:space="0" w:color="auto"/>
            <w:left w:val="none" w:sz="0" w:space="0" w:color="auto"/>
            <w:bottom w:val="none" w:sz="0" w:space="0" w:color="auto"/>
            <w:right w:val="none" w:sz="0" w:space="0" w:color="auto"/>
          </w:divBdr>
        </w:div>
        <w:div w:id="397441715">
          <w:marLeft w:val="0"/>
          <w:marRight w:val="0"/>
          <w:marTop w:val="0"/>
          <w:marBottom w:val="0"/>
          <w:divBdr>
            <w:top w:val="none" w:sz="0" w:space="0" w:color="auto"/>
            <w:left w:val="none" w:sz="0" w:space="0" w:color="auto"/>
            <w:bottom w:val="none" w:sz="0" w:space="0" w:color="auto"/>
            <w:right w:val="none" w:sz="0" w:space="0" w:color="auto"/>
          </w:divBdr>
        </w:div>
        <w:div w:id="398134988">
          <w:marLeft w:val="0"/>
          <w:marRight w:val="0"/>
          <w:marTop w:val="0"/>
          <w:marBottom w:val="0"/>
          <w:divBdr>
            <w:top w:val="none" w:sz="0" w:space="0" w:color="auto"/>
            <w:left w:val="none" w:sz="0" w:space="0" w:color="auto"/>
            <w:bottom w:val="none" w:sz="0" w:space="0" w:color="auto"/>
            <w:right w:val="none" w:sz="0" w:space="0" w:color="auto"/>
          </w:divBdr>
        </w:div>
        <w:div w:id="398402084">
          <w:marLeft w:val="0"/>
          <w:marRight w:val="0"/>
          <w:marTop w:val="0"/>
          <w:marBottom w:val="0"/>
          <w:divBdr>
            <w:top w:val="none" w:sz="0" w:space="0" w:color="auto"/>
            <w:left w:val="none" w:sz="0" w:space="0" w:color="auto"/>
            <w:bottom w:val="none" w:sz="0" w:space="0" w:color="auto"/>
            <w:right w:val="none" w:sz="0" w:space="0" w:color="auto"/>
          </w:divBdr>
        </w:div>
        <w:div w:id="398750609">
          <w:marLeft w:val="0"/>
          <w:marRight w:val="0"/>
          <w:marTop w:val="0"/>
          <w:marBottom w:val="0"/>
          <w:divBdr>
            <w:top w:val="none" w:sz="0" w:space="0" w:color="auto"/>
            <w:left w:val="none" w:sz="0" w:space="0" w:color="auto"/>
            <w:bottom w:val="none" w:sz="0" w:space="0" w:color="auto"/>
            <w:right w:val="none" w:sz="0" w:space="0" w:color="auto"/>
          </w:divBdr>
        </w:div>
        <w:div w:id="399250390">
          <w:marLeft w:val="0"/>
          <w:marRight w:val="0"/>
          <w:marTop w:val="0"/>
          <w:marBottom w:val="0"/>
          <w:divBdr>
            <w:top w:val="none" w:sz="0" w:space="0" w:color="auto"/>
            <w:left w:val="none" w:sz="0" w:space="0" w:color="auto"/>
            <w:bottom w:val="none" w:sz="0" w:space="0" w:color="auto"/>
            <w:right w:val="none" w:sz="0" w:space="0" w:color="auto"/>
          </w:divBdr>
        </w:div>
        <w:div w:id="400059905">
          <w:marLeft w:val="0"/>
          <w:marRight w:val="0"/>
          <w:marTop w:val="0"/>
          <w:marBottom w:val="0"/>
          <w:divBdr>
            <w:top w:val="none" w:sz="0" w:space="0" w:color="auto"/>
            <w:left w:val="none" w:sz="0" w:space="0" w:color="auto"/>
            <w:bottom w:val="none" w:sz="0" w:space="0" w:color="auto"/>
            <w:right w:val="none" w:sz="0" w:space="0" w:color="auto"/>
          </w:divBdr>
        </w:div>
        <w:div w:id="405149290">
          <w:marLeft w:val="0"/>
          <w:marRight w:val="0"/>
          <w:marTop w:val="0"/>
          <w:marBottom w:val="0"/>
          <w:divBdr>
            <w:top w:val="none" w:sz="0" w:space="0" w:color="auto"/>
            <w:left w:val="none" w:sz="0" w:space="0" w:color="auto"/>
            <w:bottom w:val="none" w:sz="0" w:space="0" w:color="auto"/>
            <w:right w:val="none" w:sz="0" w:space="0" w:color="auto"/>
          </w:divBdr>
        </w:div>
        <w:div w:id="405423073">
          <w:marLeft w:val="0"/>
          <w:marRight w:val="0"/>
          <w:marTop w:val="0"/>
          <w:marBottom w:val="0"/>
          <w:divBdr>
            <w:top w:val="none" w:sz="0" w:space="0" w:color="auto"/>
            <w:left w:val="none" w:sz="0" w:space="0" w:color="auto"/>
            <w:bottom w:val="none" w:sz="0" w:space="0" w:color="auto"/>
            <w:right w:val="none" w:sz="0" w:space="0" w:color="auto"/>
          </w:divBdr>
        </w:div>
        <w:div w:id="409424864">
          <w:marLeft w:val="0"/>
          <w:marRight w:val="0"/>
          <w:marTop w:val="0"/>
          <w:marBottom w:val="0"/>
          <w:divBdr>
            <w:top w:val="none" w:sz="0" w:space="0" w:color="auto"/>
            <w:left w:val="none" w:sz="0" w:space="0" w:color="auto"/>
            <w:bottom w:val="none" w:sz="0" w:space="0" w:color="auto"/>
            <w:right w:val="none" w:sz="0" w:space="0" w:color="auto"/>
          </w:divBdr>
        </w:div>
        <w:div w:id="410349341">
          <w:marLeft w:val="0"/>
          <w:marRight w:val="0"/>
          <w:marTop w:val="0"/>
          <w:marBottom w:val="0"/>
          <w:divBdr>
            <w:top w:val="none" w:sz="0" w:space="0" w:color="auto"/>
            <w:left w:val="none" w:sz="0" w:space="0" w:color="auto"/>
            <w:bottom w:val="none" w:sz="0" w:space="0" w:color="auto"/>
            <w:right w:val="none" w:sz="0" w:space="0" w:color="auto"/>
          </w:divBdr>
        </w:div>
        <w:div w:id="410398506">
          <w:marLeft w:val="0"/>
          <w:marRight w:val="0"/>
          <w:marTop w:val="0"/>
          <w:marBottom w:val="0"/>
          <w:divBdr>
            <w:top w:val="none" w:sz="0" w:space="0" w:color="auto"/>
            <w:left w:val="none" w:sz="0" w:space="0" w:color="auto"/>
            <w:bottom w:val="none" w:sz="0" w:space="0" w:color="auto"/>
            <w:right w:val="none" w:sz="0" w:space="0" w:color="auto"/>
          </w:divBdr>
        </w:div>
        <w:div w:id="411583989">
          <w:marLeft w:val="0"/>
          <w:marRight w:val="0"/>
          <w:marTop w:val="0"/>
          <w:marBottom w:val="0"/>
          <w:divBdr>
            <w:top w:val="none" w:sz="0" w:space="0" w:color="auto"/>
            <w:left w:val="none" w:sz="0" w:space="0" w:color="auto"/>
            <w:bottom w:val="none" w:sz="0" w:space="0" w:color="auto"/>
            <w:right w:val="none" w:sz="0" w:space="0" w:color="auto"/>
          </w:divBdr>
        </w:div>
        <w:div w:id="411977605">
          <w:marLeft w:val="0"/>
          <w:marRight w:val="0"/>
          <w:marTop w:val="0"/>
          <w:marBottom w:val="0"/>
          <w:divBdr>
            <w:top w:val="none" w:sz="0" w:space="0" w:color="auto"/>
            <w:left w:val="none" w:sz="0" w:space="0" w:color="auto"/>
            <w:bottom w:val="none" w:sz="0" w:space="0" w:color="auto"/>
            <w:right w:val="none" w:sz="0" w:space="0" w:color="auto"/>
          </w:divBdr>
        </w:div>
        <w:div w:id="413937394">
          <w:marLeft w:val="0"/>
          <w:marRight w:val="0"/>
          <w:marTop w:val="0"/>
          <w:marBottom w:val="0"/>
          <w:divBdr>
            <w:top w:val="none" w:sz="0" w:space="0" w:color="auto"/>
            <w:left w:val="none" w:sz="0" w:space="0" w:color="auto"/>
            <w:bottom w:val="none" w:sz="0" w:space="0" w:color="auto"/>
            <w:right w:val="none" w:sz="0" w:space="0" w:color="auto"/>
          </w:divBdr>
        </w:div>
        <w:div w:id="414254144">
          <w:marLeft w:val="0"/>
          <w:marRight w:val="0"/>
          <w:marTop w:val="0"/>
          <w:marBottom w:val="0"/>
          <w:divBdr>
            <w:top w:val="none" w:sz="0" w:space="0" w:color="auto"/>
            <w:left w:val="none" w:sz="0" w:space="0" w:color="auto"/>
            <w:bottom w:val="none" w:sz="0" w:space="0" w:color="auto"/>
            <w:right w:val="none" w:sz="0" w:space="0" w:color="auto"/>
          </w:divBdr>
        </w:div>
        <w:div w:id="415133000">
          <w:marLeft w:val="0"/>
          <w:marRight w:val="0"/>
          <w:marTop w:val="0"/>
          <w:marBottom w:val="0"/>
          <w:divBdr>
            <w:top w:val="none" w:sz="0" w:space="0" w:color="auto"/>
            <w:left w:val="none" w:sz="0" w:space="0" w:color="auto"/>
            <w:bottom w:val="none" w:sz="0" w:space="0" w:color="auto"/>
            <w:right w:val="none" w:sz="0" w:space="0" w:color="auto"/>
          </w:divBdr>
        </w:div>
        <w:div w:id="416555034">
          <w:marLeft w:val="0"/>
          <w:marRight w:val="0"/>
          <w:marTop w:val="0"/>
          <w:marBottom w:val="0"/>
          <w:divBdr>
            <w:top w:val="none" w:sz="0" w:space="0" w:color="auto"/>
            <w:left w:val="none" w:sz="0" w:space="0" w:color="auto"/>
            <w:bottom w:val="none" w:sz="0" w:space="0" w:color="auto"/>
            <w:right w:val="none" w:sz="0" w:space="0" w:color="auto"/>
          </w:divBdr>
        </w:div>
        <w:div w:id="417211817">
          <w:marLeft w:val="0"/>
          <w:marRight w:val="0"/>
          <w:marTop w:val="0"/>
          <w:marBottom w:val="0"/>
          <w:divBdr>
            <w:top w:val="none" w:sz="0" w:space="0" w:color="auto"/>
            <w:left w:val="none" w:sz="0" w:space="0" w:color="auto"/>
            <w:bottom w:val="none" w:sz="0" w:space="0" w:color="auto"/>
            <w:right w:val="none" w:sz="0" w:space="0" w:color="auto"/>
          </w:divBdr>
        </w:div>
        <w:div w:id="419177692">
          <w:marLeft w:val="0"/>
          <w:marRight w:val="0"/>
          <w:marTop w:val="0"/>
          <w:marBottom w:val="0"/>
          <w:divBdr>
            <w:top w:val="none" w:sz="0" w:space="0" w:color="auto"/>
            <w:left w:val="none" w:sz="0" w:space="0" w:color="auto"/>
            <w:bottom w:val="none" w:sz="0" w:space="0" w:color="auto"/>
            <w:right w:val="none" w:sz="0" w:space="0" w:color="auto"/>
          </w:divBdr>
        </w:div>
        <w:div w:id="419446028">
          <w:marLeft w:val="0"/>
          <w:marRight w:val="0"/>
          <w:marTop w:val="0"/>
          <w:marBottom w:val="0"/>
          <w:divBdr>
            <w:top w:val="none" w:sz="0" w:space="0" w:color="auto"/>
            <w:left w:val="none" w:sz="0" w:space="0" w:color="auto"/>
            <w:bottom w:val="none" w:sz="0" w:space="0" w:color="auto"/>
            <w:right w:val="none" w:sz="0" w:space="0" w:color="auto"/>
          </w:divBdr>
        </w:div>
        <w:div w:id="420415578">
          <w:marLeft w:val="0"/>
          <w:marRight w:val="0"/>
          <w:marTop w:val="0"/>
          <w:marBottom w:val="0"/>
          <w:divBdr>
            <w:top w:val="none" w:sz="0" w:space="0" w:color="auto"/>
            <w:left w:val="none" w:sz="0" w:space="0" w:color="auto"/>
            <w:bottom w:val="none" w:sz="0" w:space="0" w:color="auto"/>
            <w:right w:val="none" w:sz="0" w:space="0" w:color="auto"/>
          </w:divBdr>
        </w:div>
        <w:div w:id="421685807">
          <w:marLeft w:val="0"/>
          <w:marRight w:val="0"/>
          <w:marTop w:val="0"/>
          <w:marBottom w:val="0"/>
          <w:divBdr>
            <w:top w:val="none" w:sz="0" w:space="0" w:color="auto"/>
            <w:left w:val="none" w:sz="0" w:space="0" w:color="auto"/>
            <w:bottom w:val="none" w:sz="0" w:space="0" w:color="auto"/>
            <w:right w:val="none" w:sz="0" w:space="0" w:color="auto"/>
          </w:divBdr>
        </w:div>
        <w:div w:id="423694340">
          <w:marLeft w:val="0"/>
          <w:marRight w:val="0"/>
          <w:marTop w:val="0"/>
          <w:marBottom w:val="0"/>
          <w:divBdr>
            <w:top w:val="none" w:sz="0" w:space="0" w:color="auto"/>
            <w:left w:val="none" w:sz="0" w:space="0" w:color="auto"/>
            <w:bottom w:val="none" w:sz="0" w:space="0" w:color="auto"/>
            <w:right w:val="none" w:sz="0" w:space="0" w:color="auto"/>
          </w:divBdr>
        </w:div>
        <w:div w:id="424694061">
          <w:marLeft w:val="0"/>
          <w:marRight w:val="0"/>
          <w:marTop w:val="0"/>
          <w:marBottom w:val="0"/>
          <w:divBdr>
            <w:top w:val="none" w:sz="0" w:space="0" w:color="auto"/>
            <w:left w:val="none" w:sz="0" w:space="0" w:color="auto"/>
            <w:bottom w:val="none" w:sz="0" w:space="0" w:color="auto"/>
            <w:right w:val="none" w:sz="0" w:space="0" w:color="auto"/>
          </w:divBdr>
        </w:div>
        <w:div w:id="425227724">
          <w:marLeft w:val="0"/>
          <w:marRight w:val="0"/>
          <w:marTop w:val="0"/>
          <w:marBottom w:val="0"/>
          <w:divBdr>
            <w:top w:val="none" w:sz="0" w:space="0" w:color="auto"/>
            <w:left w:val="none" w:sz="0" w:space="0" w:color="auto"/>
            <w:bottom w:val="none" w:sz="0" w:space="0" w:color="auto"/>
            <w:right w:val="none" w:sz="0" w:space="0" w:color="auto"/>
          </w:divBdr>
        </w:div>
        <w:div w:id="426780274">
          <w:marLeft w:val="0"/>
          <w:marRight w:val="0"/>
          <w:marTop w:val="0"/>
          <w:marBottom w:val="0"/>
          <w:divBdr>
            <w:top w:val="none" w:sz="0" w:space="0" w:color="auto"/>
            <w:left w:val="none" w:sz="0" w:space="0" w:color="auto"/>
            <w:bottom w:val="none" w:sz="0" w:space="0" w:color="auto"/>
            <w:right w:val="none" w:sz="0" w:space="0" w:color="auto"/>
          </w:divBdr>
        </w:div>
        <w:div w:id="427193205">
          <w:marLeft w:val="0"/>
          <w:marRight w:val="0"/>
          <w:marTop w:val="0"/>
          <w:marBottom w:val="0"/>
          <w:divBdr>
            <w:top w:val="none" w:sz="0" w:space="0" w:color="auto"/>
            <w:left w:val="none" w:sz="0" w:space="0" w:color="auto"/>
            <w:bottom w:val="none" w:sz="0" w:space="0" w:color="auto"/>
            <w:right w:val="none" w:sz="0" w:space="0" w:color="auto"/>
          </w:divBdr>
        </w:div>
        <w:div w:id="427236702">
          <w:marLeft w:val="0"/>
          <w:marRight w:val="0"/>
          <w:marTop w:val="0"/>
          <w:marBottom w:val="0"/>
          <w:divBdr>
            <w:top w:val="none" w:sz="0" w:space="0" w:color="auto"/>
            <w:left w:val="none" w:sz="0" w:space="0" w:color="auto"/>
            <w:bottom w:val="none" w:sz="0" w:space="0" w:color="auto"/>
            <w:right w:val="none" w:sz="0" w:space="0" w:color="auto"/>
          </w:divBdr>
        </w:div>
        <w:div w:id="427849717">
          <w:marLeft w:val="0"/>
          <w:marRight w:val="0"/>
          <w:marTop w:val="0"/>
          <w:marBottom w:val="0"/>
          <w:divBdr>
            <w:top w:val="none" w:sz="0" w:space="0" w:color="auto"/>
            <w:left w:val="none" w:sz="0" w:space="0" w:color="auto"/>
            <w:bottom w:val="none" w:sz="0" w:space="0" w:color="auto"/>
            <w:right w:val="none" w:sz="0" w:space="0" w:color="auto"/>
          </w:divBdr>
        </w:div>
        <w:div w:id="427895941">
          <w:marLeft w:val="0"/>
          <w:marRight w:val="0"/>
          <w:marTop w:val="0"/>
          <w:marBottom w:val="0"/>
          <w:divBdr>
            <w:top w:val="none" w:sz="0" w:space="0" w:color="auto"/>
            <w:left w:val="none" w:sz="0" w:space="0" w:color="auto"/>
            <w:bottom w:val="none" w:sz="0" w:space="0" w:color="auto"/>
            <w:right w:val="none" w:sz="0" w:space="0" w:color="auto"/>
          </w:divBdr>
        </w:div>
        <w:div w:id="428431340">
          <w:marLeft w:val="0"/>
          <w:marRight w:val="0"/>
          <w:marTop w:val="0"/>
          <w:marBottom w:val="0"/>
          <w:divBdr>
            <w:top w:val="none" w:sz="0" w:space="0" w:color="auto"/>
            <w:left w:val="none" w:sz="0" w:space="0" w:color="auto"/>
            <w:bottom w:val="none" w:sz="0" w:space="0" w:color="auto"/>
            <w:right w:val="none" w:sz="0" w:space="0" w:color="auto"/>
          </w:divBdr>
        </w:div>
        <w:div w:id="431509307">
          <w:marLeft w:val="0"/>
          <w:marRight w:val="0"/>
          <w:marTop w:val="0"/>
          <w:marBottom w:val="0"/>
          <w:divBdr>
            <w:top w:val="none" w:sz="0" w:space="0" w:color="auto"/>
            <w:left w:val="none" w:sz="0" w:space="0" w:color="auto"/>
            <w:bottom w:val="none" w:sz="0" w:space="0" w:color="auto"/>
            <w:right w:val="none" w:sz="0" w:space="0" w:color="auto"/>
          </w:divBdr>
        </w:div>
        <w:div w:id="433598461">
          <w:marLeft w:val="0"/>
          <w:marRight w:val="0"/>
          <w:marTop w:val="0"/>
          <w:marBottom w:val="0"/>
          <w:divBdr>
            <w:top w:val="none" w:sz="0" w:space="0" w:color="auto"/>
            <w:left w:val="none" w:sz="0" w:space="0" w:color="auto"/>
            <w:bottom w:val="none" w:sz="0" w:space="0" w:color="auto"/>
            <w:right w:val="none" w:sz="0" w:space="0" w:color="auto"/>
          </w:divBdr>
        </w:div>
        <w:div w:id="433867465">
          <w:marLeft w:val="0"/>
          <w:marRight w:val="0"/>
          <w:marTop w:val="0"/>
          <w:marBottom w:val="0"/>
          <w:divBdr>
            <w:top w:val="none" w:sz="0" w:space="0" w:color="auto"/>
            <w:left w:val="none" w:sz="0" w:space="0" w:color="auto"/>
            <w:bottom w:val="none" w:sz="0" w:space="0" w:color="auto"/>
            <w:right w:val="none" w:sz="0" w:space="0" w:color="auto"/>
          </w:divBdr>
        </w:div>
        <w:div w:id="433938335">
          <w:marLeft w:val="0"/>
          <w:marRight w:val="0"/>
          <w:marTop w:val="0"/>
          <w:marBottom w:val="0"/>
          <w:divBdr>
            <w:top w:val="none" w:sz="0" w:space="0" w:color="auto"/>
            <w:left w:val="none" w:sz="0" w:space="0" w:color="auto"/>
            <w:bottom w:val="none" w:sz="0" w:space="0" w:color="auto"/>
            <w:right w:val="none" w:sz="0" w:space="0" w:color="auto"/>
          </w:divBdr>
        </w:div>
        <w:div w:id="434449885">
          <w:marLeft w:val="0"/>
          <w:marRight w:val="0"/>
          <w:marTop w:val="0"/>
          <w:marBottom w:val="0"/>
          <w:divBdr>
            <w:top w:val="none" w:sz="0" w:space="0" w:color="auto"/>
            <w:left w:val="none" w:sz="0" w:space="0" w:color="auto"/>
            <w:bottom w:val="none" w:sz="0" w:space="0" w:color="auto"/>
            <w:right w:val="none" w:sz="0" w:space="0" w:color="auto"/>
          </w:divBdr>
        </w:div>
        <w:div w:id="437989589">
          <w:marLeft w:val="0"/>
          <w:marRight w:val="0"/>
          <w:marTop w:val="0"/>
          <w:marBottom w:val="0"/>
          <w:divBdr>
            <w:top w:val="none" w:sz="0" w:space="0" w:color="auto"/>
            <w:left w:val="none" w:sz="0" w:space="0" w:color="auto"/>
            <w:bottom w:val="none" w:sz="0" w:space="0" w:color="auto"/>
            <w:right w:val="none" w:sz="0" w:space="0" w:color="auto"/>
          </w:divBdr>
        </w:div>
        <w:div w:id="438644687">
          <w:marLeft w:val="0"/>
          <w:marRight w:val="0"/>
          <w:marTop w:val="0"/>
          <w:marBottom w:val="0"/>
          <w:divBdr>
            <w:top w:val="none" w:sz="0" w:space="0" w:color="auto"/>
            <w:left w:val="none" w:sz="0" w:space="0" w:color="auto"/>
            <w:bottom w:val="none" w:sz="0" w:space="0" w:color="auto"/>
            <w:right w:val="none" w:sz="0" w:space="0" w:color="auto"/>
          </w:divBdr>
        </w:div>
        <w:div w:id="441219480">
          <w:marLeft w:val="0"/>
          <w:marRight w:val="0"/>
          <w:marTop w:val="0"/>
          <w:marBottom w:val="0"/>
          <w:divBdr>
            <w:top w:val="none" w:sz="0" w:space="0" w:color="auto"/>
            <w:left w:val="none" w:sz="0" w:space="0" w:color="auto"/>
            <w:bottom w:val="none" w:sz="0" w:space="0" w:color="auto"/>
            <w:right w:val="none" w:sz="0" w:space="0" w:color="auto"/>
          </w:divBdr>
        </w:div>
        <w:div w:id="441608078">
          <w:marLeft w:val="0"/>
          <w:marRight w:val="0"/>
          <w:marTop w:val="0"/>
          <w:marBottom w:val="0"/>
          <w:divBdr>
            <w:top w:val="none" w:sz="0" w:space="0" w:color="auto"/>
            <w:left w:val="none" w:sz="0" w:space="0" w:color="auto"/>
            <w:bottom w:val="none" w:sz="0" w:space="0" w:color="auto"/>
            <w:right w:val="none" w:sz="0" w:space="0" w:color="auto"/>
          </w:divBdr>
          <w:divsChild>
            <w:div w:id="46270219">
              <w:marLeft w:val="0"/>
              <w:marRight w:val="0"/>
              <w:marTop w:val="0"/>
              <w:marBottom w:val="0"/>
              <w:divBdr>
                <w:top w:val="none" w:sz="0" w:space="0" w:color="auto"/>
                <w:left w:val="none" w:sz="0" w:space="0" w:color="auto"/>
                <w:bottom w:val="none" w:sz="0" w:space="0" w:color="auto"/>
                <w:right w:val="none" w:sz="0" w:space="0" w:color="auto"/>
              </w:divBdr>
            </w:div>
            <w:div w:id="95290022">
              <w:marLeft w:val="0"/>
              <w:marRight w:val="0"/>
              <w:marTop w:val="0"/>
              <w:marBottom w:val="0"/>
              <w:divBdr>
                <w:top w:val="none" w:sz="0" w:space="0" w:color="auto"/>
                <w:left w:val="none" w:sz="0" w:space="0" w:color="auto"/>
                <w:bottom w:val="none" w:sz="0" w:space="0" w:color="auto"/>
                <w:right w:val="none" w:sz="0" w:space="0" w:color="auto"/>
              </w:divBdr>
            </w:div>
            <w:div w:id="457722594">
              <w:marLeft w:val="0"/>
              <w:marRight w:val="0"/>
              <w:marTop w:val="0"/>
              <w:marBottom w:val="0"/>
              <w:divBdr>
                <w:top w:val="none" w:sz="0" w:space="0" w:color="auto"/>
                <w:left w:val="none" w:sz="0" w:space="0" w:color="auto"/>
                <w:bottom w:val="none" w:sz="0" w:space="0" w:color="auto"/>
                <w:right w:val="none" w:sz="0" w:space="0" w:color="auto"/>
              </w:divBdr>
            </w:div>
            <w:div w:id="499740867">
              <w:marLeft w:val="0"/>
              <w:marRight w:val="0"/>
              <w:marTop w:val="0"/>
              <w:marBottom w:val="0"/>
              <w:divBdr>
                <w:top w:val="none" w:sz="0" w:space="0" w:color="auto"/>
                <w:left w:val="none" w:sz="0" w:space="0" w:color="auto"/>
                <w:bottom w:val="none" w:sz="0" w:space="0" w:color="auto"/>
                <w:right w:val="none" w:sz="0" w:space="0" w:color="auto"/>
              </w:divBdr>
            </w:div>
            <w:div w:id="766313564">
              <w:marLeft w:val="0"/>
              <w:marRight w:val="0"/>
              <w:marTop w:val="0"/>
              <w:marBottom w:val="0"/>
              <w:divBdr>
                <w:top w:val="none" w:sz="0" w:space="0" w:color="auto"/>
                <w:left w:val="none" w:sz="0" w:space="0" w:color="auto"/>
                <w:bottom w:val="none" w:sz="0" w:space="0" w:color="auto"/>
                <w:right w:val="none" w:sz="0" w:space="0" w:color="auto"/>
              </w:divBdr>
            </w:div>
            <w:div w:id="768888546">
              <w:marLeft w:val="0"/>
              <w:marRight w:val="0"/>
              <w:marTop w:val="0"/>
              <w:marBottom w:val="0"/>
              <w:divBdr>
                <w:top w:val="none" w:sz="0" w:space="0" w:color="auto"/>
                <w:left w:val="none" w:sz="0" w:space="0" w:color="auto"/>
                <w:bottom w:val="none" w:sz="0" w:space="0" w:color="auto"/>
                <w:right w:val="none" w:sz="0" w:space="0" w:color="auto"/>
              </w:divBdr>
            </w:div>
            <w:div w:id="815103106">
              <w:marLeft w:val="0"/>
              <w:marRight w:val="0"/>
              <w:marTop w:val="0"/>
              <w:marBottom w:val="0"/>
              <w:divBdr>
                <w:top w:val="none" w:sz="0" w:space="0" w:color="auto"/>
                <w:left w:val="none" w:sz="0" w:space="0" w:color="auto"/>
                <w:bottom w:val="none" w:sz="0" w:space="0" w:color="auto"/>
                <w:right w:val="none" w:sz="0" w:space="0" w:color="auto"/>
              </w:divBdr>
            </w:div>
            <w:div w:id="908920957">
              <w:marLeft w:val="0"/>
              <w:marRight w:val="0"/>
              <w:marTop w:val="0"/>
              <w:marBottom w:val="0"/>
              <w:divBdr>
                <w:top w:val="none" w:sz="0" w:space="0" w:color="auto"/>
                <w:left w:val="none" w:sz="0" w:space="0" w:color="auto"/>
                <w:bottom w:val="none" w:sz="0" w:space="0" w:color="auto"/>
                <w:right w:val="none" w:sz="0" w:space="0" w:color="auto"/>
              </w:divBdr>
            </w:div>
            <w:div w:id="1001196702">
              <w:marLeft w:val="0"/>
              <w:marRight w:val="0"/>
              <w:marTop w:val="0"/>
              <w:marBottom w:val="0"/>
              <w:divBdr>
                <w:top w:val="none" w:sz="0" w:space="0" w:color="auto"/>
                <w:left w:val="none" w:sz="0" w:space="0" w:color="auto"/>
                <w:bottom w:val="none" w:sz="0" w:space="0" w:color="auto"/>
                <w:right w:val="none" w:sz="0" w:space="0" w:color="auto"/>
              </w:divBdr>
            </w:div>
            <w:div w:id="1144195214">
              <w:marLeft w:val="0"/>
              <w:marRight w:val="0"/>
              <w:marTop w:val="0"/>
              <w:marBottom w:val="0"/>
              <w:divBdr>
                <w:top w:val="none" w:sz="0" w:space="0" w:color="auto"/>
                <w:left w:val="none" w:sz="0" w:space="0" w:color="auto"/>
                <w:bottom w:val="none" w:sz="0" w:space="0" w:color="auto"/>
                <w:right w:val="none" w:sz="0" w:space="0" w:color="auto"/>
              </w:divBdr>
            </w:div>
            <w:div w:id="1180392907">
              <w:marLeft w:val="0"/>
              <w:marRight w:val="0"/>
              <w:marTop w:val="0"/>
              <w:marBottom w:val="0"/>
              <w:divBdr>
                <w:top w:val="none" w:sz="0" w:space="0" w:color="auto"/>
                <w:left w:val="none" w:sz="0" w:space="0" w:color="auto"/>
                <w:bottom w:val="none" w:sz="0" w:space="0" w:color="auto"/>
                <w:right w:val="none" w:sz="0" w:space="0" w:color="auto"/>
              </w:divBdr>
            </w:div>
            <w:div w:id="1192575320">
              <w:marLeft w:val="0"/>
              <w:marRight w:val="0"/>
              <w:marTop w:val="0"/>
              <w:marBottom w:val="0"/>
              <w:divBdr>
                <w:top w:val="none" w:sz="0" w:space="0" w:color="auto"/>
                <w:left w:val="none" w:sz="0" w:space="0" w:color="auto"/>
                <w:bottom w:val="none" w:sz="0" w:space="0" w:color="auto"/>
                <w:right w:val="none" w:sz="0" w:space="0" w:color="auto"/>
              </w:divBdr>
            </w:div>
            <w:div w:id="1308168626">
              <w:marLeft w:val="0"/>
              <w:marRight w:val="0"/>
              <w:marTop w:val="0"/>
              <w:marBottom w:val="0"/>
              <w:divBdr>
                <w:top w:val="none" w:sz="0" w:space="0" w:color="auto"/>
                <w:left w:val="none" w:sz="0" w:space="0" w:color="auto"/>
                <w:bottom w:val="none" w:sz="0" w:space="0" w:color="auto"/>
                <w:right w:val="none" w:sz="0" w:space="0" w:color="auto"/>
              </w:divBdr>
            </w:div>
            <w:div w:id="1530100121">
              <w:marLeft w:val="0"/>
              <w:marRight w:val="0"/>
              <w:marTop w:val="0"/>
              <w:marBottom w:val="0"/>
              <w:divBdr>
                <w:top w:val="none" w:sz="0" w:space="0" w:color="auto"/>
                <w:left w:val="none" w:sz="0" w:space="0" w:color="auto"/>
                <w:bottom w:val="none" w:sz="0" w:space="0" w:color="auto"/>
                <w:right w:val="none" w:sz="0" w:space="0" w:color="auto"/>
              </w:divBdr>
            </w:div>
            <w:div w:id="1581406203">
              <w:marLeft w:val="0"/>
              <w:marRight w:val="0"/>
              <w:marTop w:val="0"/>
              <w:marBottom w:val="0"/>
              <w:divBdr>
                <w:top w:val="none" w:sz="0" w:space="0" w:color="auto"/>
                <w:left w:val="none" w:sz="0" w:space="0" w:color="auto"/>
                <w:bottom w:val="none" w:sz="0" w:space="0" w:color="auto"/>
                <w:right w:val="none" w:sz="0" w:space="0" w:color="auto"/>
              </w:divBdr>
            </w:div>
            <w:div w:id="1633898506">
              <w:marLeft w:val="0"/>
              <w:marRight w:val="0"/>
              <w:marTop w:val="0"/>
              <w:marBottom w:val="0"/>
              <w:divBdr>
                <w:top w:val="none" w:sz="0" w:space="0" w:color="auto"/>
                <w:left w:val="none" w:sz="0" w:space="0" w:color="auto"/>
                <w:bottom w:val="none" w:sz="0" w:space="0" w:color="auto"/>
                <w:right w:val="none" w:sz="0" w:space="0" w:color="auto"/>
              </w:divBdr>
            </w:div>
            <w:div w:id="1692992829">
              <w:marLeft w:val="0"/>
              <w:marRight w:val="0"/>
              <w:marTop w:val="0"/>
              <w:marBottom w:val="0"/>
              <w:divBdr>
                <w:top w:val="none" w:sz="0" w:space="0" w:color="auto"/>
                <w:left w:val="none" w:sz="0" w:space="0" w:color="auto"/>
                <w:bottom w:val="none" w:sz="0" w:space="0" w:color="auto"/>
                <w:right w:val="none" w:sz="0" w:space="0" w:color="auto"/>
              </w:divBdr>
            </w:div>
            <w:div w:id="1956667853">
              <w:marLeft w:val="0"/>
              <w:marRight w:val="0"/>
              <w:marTop w:val="0"/>
              <w:marBottom w:val="0"/>
              <w:divBdr>
                <w:top w:val="none" w:sz="0" w:space="0" w:color="auto"/>
                <w:left w:val="none" w:sz="0" w:space="0" w:color="auto"/>
                <w:bottom w:val="none" w:sz="0" w:space="0" w:color="auto"/>
                <w:right w:val="none" w:sz="0" w:space="0" w:color="auto"/>
              </w:divBdr>
            </w:div>
            <w:div w:id="2119983993">
              <w:marLeft w:val="0"/>
              <w:marRight w:val="0"/>
              <w:marTop w:val="0"/>
              <w:marBottom w:val="0"/>
              <w:divBdr>
                <w:top w:val="none" w:sz="0" w:space="0" w:color="auto"/>
                <w:left w:val="none" w:sz="0" w:space="0" w:color="auto"/>
                <w:bottom w:val="none" w:sz="0" w:space="0" w:color="auto"/>
                <w:right w:val="none" w:sz="0" w:space="0" w:color="auto"/>
              </w:divBdr>
            </w:div>
          </w:divsChild>
        </w:div>
        <w:div w:id="442306201">
          <w:marLeft w:val="0"/>
          <w:marRight w:val="0"/>
          <w:marTop w:val="0"/>
          <w:marBottom w:val="0"/>
          <w:divBdr>
            <w:top w:val="none" w:sz="0" w:space="0" w:color="auto"/>
            <w:left w:val="none" w:sz="0" w:space="0" w:color="auto"/>
            <w:bottom w:val="none" w:sz="0" w:space="0" w:color="auto"/>
            <w:right w:val="none" w:sz="0" w:space="0" w:color="auto"/>
          </w:divBdr>
        </w:div>
        <w:div w:id="442461933">
          <w:marLeft w:val="0"/>
          <w:marRight w:val="0"/>
          <w:marTop w:val="0"/>
          <w:marBottom w:val="0"/>
          <w:divBdr>
            <w:top w:val="none" w:sz="0" w:space="0" w:color="auto"/>
            <w:left w:val="none" w:sz="0" w:space="0" w:color="auto"/>
            <w:bottom w:val="none" w:sz="0" w:space="0" w:color="auto"/>
            <w:right w:val="none" w:sz="0" w:space="0" w:color="auto"/>
          </w:divBdr>
        </w:div>
        <w:div w:id="444077552">
          <w:marLeft w:val="0"/>
          <w:marRight w:val="0"/>
          <w:marTop w:val="0"/>
          <w:marBottom w:val="0"/>
          <w:divBdr>
            <w:top w:val="none" w:sz="0" w:space="0" w:color="auto"/>
            <w:left w:val="none" w:sz="0" w:space="0" w:color="auto"/>
            <w:bottom w:val="none" w:sz="0" w:space="0" w:color="auto"/>
            <w:right w:val="none" w:sz="0" w:space="0" w:color="auto"/>
          </w:divBdr>
        </w:div>
        <w:div w:id="444159527">
          <w:marLeft w:val="0"/>
          <w:marRight w:val="0"/>
          <w:marTop w:val="0"/>
          <w:marBottom w:val="0"/>
          <w:divBdr>
            <w:top w:val="none" w:sz="0" w:space="0" w:color="auto"/>
            <w:left w:val="none" w:sz="0" w:space="0" w:color="auto"/>
            <w:bottom w:val="none" w:sz="0" w:space="0" w:color="auto"/>
            <w:right w:val="none" w:sz="0" w:space="0" w:color="auto"/>
          </w:divBdr>
        </w:div>
        <w:div w:id="444540772">
          <w:marLeft w:val="0"/>
          <w:marRight w:val="0"/>
          <w:marTop w:val="0"/>
          <w:marBottom w:val="0"/>
          <w:divBdr>
            <w:top w:val="none" w:sz="0" w:space="0" w:color="auto"/>
            <w:left w:val="none" w:sz="0" w:space="0" w:color="auto"/>
            <w:bottom w:val="none" w:sz="0" w:space="0" w:color="auto"/>
            <w:right w:val="none" w:sz="0" w:space="0" w:color="auto"/>
          </w:divBdr>
        </w:div>
        <w:div w:id="446042189">
          <w:marLeft w:val="0"/>
          <w:marRight w:val="0"/>
          <w:marTop w:val="0"/>
          <w:marBottom w:val="0"/>
          <w:divBdr>
            <w:top w:val="none" w:sz="0" w:space="0" w:color="auto"/>
            <w:left w:val="none" w:sz="0" w:space="0" w:color="auto"/>
            <w:bottom w:val="none" w:sz="0" w:space="0" w:color="auto"/>
            <w:right w:val="none" w:sz="0" w:space="0" w:color="auto"/>
          </w:divBdr>
        </w:div>
        <w:div w:id="447965222">
          <w:marLeft w:val="0"/>
          <w:marRight w:val="0"/>
          <w:marTop w:val="0"/>
          <w:marBottom w:val="0"/>
          <w:divBdr>
            <w:top w:val="none" w:sz="0" w:space="0" w:color="auto"/>
            <w:left w:val="none" w:sz="0" w:space="0" w:color="auto"/>
            <w:bottom w:val="none" w:sz="0" w:space="0" w:color="auto"/>
            <w:right w:val="none" w:sz="0" w:space="0" w:color="auto"/>
          </w:divBdr>
        </w:div>
        <w:div w:id="448546499">
          <w:marLeft w:val="0"/>
          <w:marRight w:val="0"/>
          <w:marTop w:val="0"/>
          <w:marBottom w:val="0"/>
          <w:divBdr>
            <w:top w:val="none" w:sz="0" w:space="0" w:color="auto"/>
            <w:left w:val="none" w:sz="0" w:space="0" w:color="auto"/>
            <w:bottom w:val="none" w:sz="0" w:space="0" w:color="auto"/>
            <w:right w:val="none" w:sz="0" w:space="0" w:color="auto"/>
          </w:divBdr>
        </w:div>
        <w:div w:id="450058292">
          <w:marLeft w:val="0"/>
          <w:marRight w:val="0"/>
          <w:marTop w:val="0"/>
          <w:marBottom w:val="0"/>
          <w:divBdr>
            <w:top w:val="none" w:sz="0" w:space="0" w:color="auto"/>
            <w:left w:val="none" w:sz="0" w:space="0" w:color="auto"/>
            <w:bottom w:val="none" w:sz="0" w:space="0" w:color="auto"/>
            <w:right w:val="none" w:sz="0" w:space="0" w:color="auto"/>
          </w:divBdr>
        </w:div>
        <w:div w:id="452213321">
          <w:marLeft w:val="0"/>
          <w:marRight w:val="0"/>
          <w:marTop w:val="0"/>
          <w:marBottom w:val="0"/>
          <w:divBdr>
            <w:top w:val="none" w:sz="0" w:space="0" w:color="auto"/>
            <w:left w:val="none" w:sz="0" w:space="0" w:color="auto"/>
            <w:bottom w:val="none" w:sz="0" w:space="0" w:color="auto"/>
            <w:right w:val="none" w:sz="0" w:space="0" w:color="auto"/>
          </w:divBdr>
        </w:div>
        <w:div w:id="452408154">
          <w:marLeft w:val="0"/>
          <w:marRight w:val="0"/>
          <w:marTop w:val="0"/>
          <w:marBottom w:val="0"/>
          <w:divBdr>
            <w:top w:val="none" w:sz="0" w:space="0" w:color="auto"/>
            <w:left w:val="none" w:sz="0" w:space="0" w:color="auto"/>
            <w:bottom w:val="none" w:sz="0" w:space="0" w:color="auto"/>
            <w:right w:val="none" w:sz="0" w:space="0" w:color="auto"/>
          </w:divBdr>
        </w:div>
        <w:div w:id="453212273">
          <w:marLeft w:val="0"/>
          <w:marRight w:val="0"/>
          <w:marTop w:val="0"/>
          <w:marBottom w:val="0"/>
          <w:divBdr>
            <w:top w:val="none" w:sz="0" w:space="0" w:color="auto"/>
            <w:left w:val="none" w:sz="0" w:space="0" w:color="auto"/>
            <w:bottom w:val="none" w:sz="0" w:space="0" w:color="auto"/>
            <w:right w:val="none" w:sz="0" w:space="0" w:color="auto"/>
          </w:divBdr>
        </w:div>
        <w:div w:id="453868709">
          <w:marLeft w:val="0"/>
          <w:marRight w:val="0"/>
          <w:marTop w:val="0"/>
          <w:marBottom w:val="0"/>
          <w:divBdr>
            <w:top w:val="none" w:sz="0" w:space="0" w:color="auto"/>
            <w:left w:val="none" w:sz="0" w:space="0" w:color="auto"/>
            <w:bottom w:val="none" w:sz="0" w:space="0" w:color="auto"/>
            <w:right w:val="none" w:sz="0" w:space="0" w:color="auto"/>
          </w:divBdr>
          <w:divsChild>
            <w:div w:id="74405786">
              <w:marLeft w:val="0"/>
              <w:marRight w:val="0"/>
              <w:marTop w:val="0"/>
              <w:marBottom w:val="0"/>
              <w:divBdr>
                <w:top w:val="none" w:sz="0" w:space="0" w:color="auto"/>
                <w:left w:val="none" w:sz="0" w:space="0" w:color="auto"/>
                <w:bottom w:val="none" w:sz="0" w:space="0" w:color="auto"/>
                <w:right w:val="none" w:sz="0" w:space="0" w:color="auto"/>
              </w:divBdr>
            </w:div>
            <w:div w:id="136187620">
              <w:marLeft w:val="0"/>
              <w:marRight w:val="0"/>
              <w:marTop w:val="0"/>
              <w:marBottom w:val="0"/>
              <w:divBdr>
                <w:top w:val="none" w:sz="0" w:space="0" w:color="auto"/>
                <w:left w:val="none" w:sz="0" w:space="0" w:color="auto"/>
                <w:bottom w:val="none" w:sz="0" w:space="0" w:color="auto"/>
                <w:right w:val="none" w:sz="0" w:space="0" w:color="auto"/>
              </w:divBdr>
            </w:div>
            <w:div w:id="408430489">
              <w:marLeft w:val="0"/>
              <w:marRight w:val="0"/>
              <w:marTop w:val="0"/>
              <w:marBottom w:val="0"/>
              <w:divBdr>
                <w:top w:val="none" w:sz="0" w:space="0" w:color="auto"/>
                <w:left w:val="none" w:sz="0" w:space="0" w:color="auto"/>
                <w:bottom w:val="none" w:sz="0" w:space="0" w:color="auto"/>
                <w:right w:val="none" w:sz="0" w:space="0" w:color="auto"/>
              </w:divBdr>
            </w:div>
            <w:div w:id="479082927">
              <w:marLeft w:val="0"/>
              <w:marRight w:val="0"/>
              <w:marTop w:val="0"/>
              <w:marBottom w:val="0"/>
              <w:divBdr>
                <w:top w:val="none" w:sz="0" w:space="0" w:color="auto"/>
                <w:left w:val="none" w:sz="0" w:space="0" w:color="auto"/>
                <w:bottom w:val="none" w:sz="0" w:space="0" w:color="auto"/>
                <w:right w:val="none" w:sz="0" w:space="0" w:color="auto"/>
              </w:divBdr>
            </w:div>
            <w:div w:id="597055703">
              <w:marLeft w:val="0"/>
              <w:marRight w:val="0"/>
              <w:marTop w:val="0"/>
              <w:marBottom w:val="0"/>
              <w:divBdr>
                <w:top w:val="none" w:sz="0" w:space="0" w:color="auto"/>
                <w:left w:val="none" w:sz="0" w:space="0" w:color="auto"/>
                <w:bottom w:val="none" w:sz="0" w:space="0" w:color="auto"/>
                <w:right w:val="none" w:sz="0" w:space="0" w:color="auto"/>
              </w:divBdr>
            </w:div>
            <w:div w:id="986397969">
              <w:marLeft w:val="0"/>
              <w:marRight w:val="0"/>
              <w:marTop w:val="0"/>
              <w:marBottom w:val="0"/>
              <w:divBdr>
                <w:top w:val="none" w:sz="0" w:space="0" w:color="auto"/>
                <w:left w:val="none" w:sz="0" w:space="0" w:color="auto"/>
                <w:bottom w:val="none" w:sz="0" w:space="0" w:color="auto"/>
                <w:right w:val="none" w:sz="0" w:space="0" w:color="auto"/>
              </w:divBdr>
            </w:div>
            <w:div w:id="1229224718">
              <w:marLeft w:val="0"/>
              <w:marRight w:val="0"/>
              <w:marTop w:val="0"/>
              <w:marBottom w:val="0"/>
              <w:divBdr>
                <w:top w:val="none" w:sz="0" w:space="0" w:color="auto"/>
                <w:left w:val="none" w:sz="0" w:space="0" w:color="auto"/>
                <w:bottom w:val="none" w:sz="0" w:space="0" w:color="auto"/>
                <w:right w:val="none" w:sz="0" w:space="0" w:color="auto"/>
              </w:divBdr>
            </w:div>
            <w:div w:id="1435974492">
              <w:marLeft w:val="0"/>
              <w:marRight w:val="0"/>
              <w:marTop w:val="0"/>
              <w:marBottom w:val="0"/>
              <w:divBdr>
                <w:top w:val="none" w:sz="0" w:space="0" w:color="auto"/>
                <w:left w:val="none" w:sz="0" w:space="0" w:color="auto"/>
                <w:bottom w:val="none" w:sz="0" w:space="0" w:color="auto"/>
                <w:right w:val="none" w:sz="0" w:space="0" w:color="auto"/>
              </w:divBdr>
            </w:div>
            <w:div w:id="1464301303">
              <w:marLeft w:val="0"/>
              <w:marRight w:val="0"/>
              <w:marTop w:val="0"/>
              <w:marBottom w:val="0"/>
              <w:divBdr>
                <w:top w:val="none" w:sz="0" w:space="0" w:color="auto"/>
                <w:left w:val="none" w:sz="0" w:space="0" w:color="auto"/>
                <w:bottom w:val="none" w:sz="0" w:space="0" w:color="auto"/>
                <w:right w:val="none" w:sz="0" w:space="0" w:color="auto"/>
              </w:divBdr>
            </w:div>
            <w:div w:id="1476338520">
              <w:marLeft w:val="0"/>
              <w:marRight w:val="0"/>
              <w:marTop w:val="0"/>
              <w:marBottom w:val="0"/>
              <w:divBdr>
                <w:top w:val="none" w:sz="0" w:space="0" w:color="auto"/>
                <w:left w:val="none" w:sz="0" w:space="0" w:color="auto"/>
                <w:bottom w:val="none" w:sz="0" w:space="0" w:color="auto"/>
                <w:right w:val="none" w:sz="0" w:space="0" w:color="auto"/>
              </w:divBdr>
            </w:div>
            <w:div w:id="1495025535">
              <w:marLeft w:val="0"/>
              <w:marRight w:val="0"/>
              <w:marTop w:val="0"/>
              <w:marBottom w:val="0"/>
              <w:divBdr>
                <w:top w:val="none" w:sz="0" w:space="0" w:color="auto"/>
                <w:left w:val="none" w:sz="0" w:space="0" w:color="auto"/>
                <w:bottom w:val="none" w:sz="0" w:space="0" w:color="auto"/>
                <w:right w:val="none" w:sz="0" w:space="0" w:color="auto"/>
              </w:divBdr>
            </w:div>
            <w:div w:id="1546915354">
              <w:marLeft w:val="0"/>
              <w:marRight w:val="0"/>
              <w:marTop w:val="0"/>
              <w:marBottom w:val="0"/>
              <w:divBdr>
                <w:top w:val="none" w:sz="0" w:space="0" w:color="auto"/>
                <w:left w:val="none" w:sz="0" w:space="0" w:color="auto"/>
                <w:bottom w:val="none" w:sz="0" w:space="0" w:color="auto"/>
                <w:right w:val="none" w:sz="0" w:space="0" w:color="auto"/>
              </w:divBdr>
            </w:div>
            <w:div w:id="1656686002">
              <w:marLeft w:val="0"/>
              <w:marRight w:val="0"/>
              <w:marTop w:val="0"/>
              <w:marBottom w:val="0"/>
              <w:divBdr>
                <w:top w:val="none" w:sz="0" w:space="0" w:color="auto"/>
                <w:left w:val="none" w:sz="0" w:space="0" w:color="auto"/>
                <w:bottom w:val="none" w:sz="0" w:space="0" w:color="auto"/>
                <w:right w:val="none" w:sz="0" w:space="0" w:color="auto"/>
              </w:divBdr>
            </w:div>
            <w:div w:id="1702239927">
              <w:marLeft w:val="0"/>
              <w:marRight w:val="0"/>
              <w:marTop w:val="0"/>
              <w:marBottom w:val="0"/>
              <w:divBdr>
                <w:top w:val="none" w:sz="0" w:space="0" w:color="auto"/>
                <w:left w:val="none" w:sz="0" w:space="0" w:color="auto"/>
                <w:bottom w:val="none" w:sz="0" w:space="0" w:color="auto"/>
                <w:right w:val="none" w:sz="0" w:space="0" w:color="auto"/>
              </w:divBdr>
            </w:div>
            <w:div w:id="1712996456">
              <w:marLeft w:val="0"/>
              <w:marRight w:val="0"/>
              <w:marTop w:val="0"/>
              <w:marBottom w:val="0"/>
              <w:divBdr>
                <w:top w:val="none" w:sz="0" w:space="0" w:color="auto"/>
                <w:left w:val="none" w:sz="0" w:space="0" w:color="auto"/>
                <w:bottom w:val="none" w:sz="0" w:space="0" w:color="auto"/>
                <w:right w:val="none" w:sz="0" w:space="0" w:color="auto"/>
              </w:divBdr>
            </w:div>
            <w:div w:id="1828202943">
              <w:marLeft w:val="0"/>
              <w:marRight w:val="0"/>
              <w:marTop w:val="0"/>
              <w:marBottom w:val="0"/>
              <w:divBdr>
                <w:top w:val="none" w:sz="0" w:space="0" w:color="auto"/>
                <w:left w:val="none" w:sz="0" w:space="0" w:color="auto"/>
                <w:bottom w:val="none" w:sz="0" w:space="0" w:color="auto"/>
                <w:right w:val="none" w:sz="0" w:space="0" w:color="auto"/>
              </w:divBdr>
            </w:div>
            <w:div w:id="1949046556">
              <w:marLeft w:val="0"/>
              <w:marRight w:val="0"/>
              <w:marTop w:val="0"/>
              <w:marBottom w:val="0"/>
              <w:divBdr>
                <w:top w:val="none" w:sz="0" w:space="0" w:color="auto"/>
                <w:left w:val="none" w:sz="0" w:space="0" w:color="auto"/>
                <w:bottom w:val="none" w:sz="0" w:space="0" w:color="auto"/>
                <w:right w:val="none" w:sz="0" w:space="0" w:color="auto"/>
              </w:divBdr>
            </w:div>
          </w:divsChild>
        </w:div>
        <w:div w:id="454836120">
          <w:marLeft w:val="0"/>
          <w:marRight w:val="0"/>
          <w:marTop w:val="0"/>
          <w:marBottom w:val="0"/>
          <w:divBdr>
            <w:top w:val="none" w:sz="0" w:space="0" w:color="auto"/>
            <w:left w:val="none" w:sz="0" w:space="0" w:color="auto"/>
            <w:bottom w:val="none" w:sz="0" w:space="0" w:color="auto"/>
            <w:right w:val="none" w:sz="0" w:space="0" w:color="auto"/>
          </w:divBdr>
        </w:div>
        <w:div w:id="455679657">
          <w:marLeft w:val="0"/>
          <w:marRight w:val="0"/>
          <w:marTop w:val="0"/>
          <w:marBottom w:val="0"/>
          <w:divBdr>
            <w:top w:val="none" w:sz="0" w:space="0" w:color="auto"/>
            <w:left w:val="none" w:sz="0" w:space="0" w:color="auto"/>
            <w:bottom w:val="none" w:sz="0" w:space="0" w:color="auto"/>
            <w:right w:val="none" w:sz="0" w:space="0" w:color="auto"/>
          </w:divBdr>
        </w:div>
        <w:div w:id="456677526">
          <w:marLeft w:val="0"/>
          <w:marRight w:val="0"/>
          <w:marTop w:val="0"/>
          <w:marBottom w:val="0"/>
          <w:divBdr>
            <w:top w:val="none" w:sz="0" w:space="0" w:color="auto"/>
            <w:left w:val="none" w:sz="0" w:space="0" w:color="auto"/>
            <w:bottom w:val="none" w:sz="0" w:space="0" w:color="auto"/>
            <w:right w:val="none" w:sz="0" w:space="0" w:color="auto"/>
          </w:divBdr>
        </w:div>
        <w:div w:id="456992931">
          <w:marLeft w:val="0"/>
          <w:marRight w:val="0"/>
          <w:marTop w:val="0"/>
          <w:marBottom w:val="0"/>
          <w:divBdr>
            <w:top w:val="none" w:sz="0" w:space="0" w:color="auto"/>
            <w:left w:val="none" w:sz="0" w:space="0" w:color="auto"/>
            <w:bottom w:val="none" w:sz="0" w:space="0" w:color="auto"/>
            <w:right w:val="none" w:sz="0" w:space="0" w:color="auto"/>
          </w:divBdr>
        </w:div>
        <w:div w:id="457380027">
          <w:marLeft w:val="0"/>
          <w:marRight w:val="0"/>
          <w:marTop w:val="0"/>
          <w:marBottom w:val="0"/>
          <w:divBdr>
            <w:top w:val="none" w:sz="0" w:space="0" w:color="auto"/>
            <w:left w:val="none" w:sz="0" w:space="0" w:color="auto"/>
            <w:bottom w:val="none" w:sz="0" w:space="0" w:color="auto"/>
            <w:right w:val="none" w:sz="0" w:space="0" w:color="auto"/>
          </w:divBdr>
        </w:div>
        <w:div w:id="458189502">
          <w:marLeft w:val="0"/>
          <w:marRight w:val="0"/>
          <w:marTop w:val="0"/>
          <w:marBottom w:val="0"/>
          <w:divBdr>
            <w:top w:val="none" w:sz="0" w:space="0" w:color="auto"/>
            <w:left w:val="none" w:sz="0" w:space="0" w:color="auto"/>
            <w:bottom w:val="none" w:sz="0" w:space="0" w:color="auto"/>
            <w:right w:val="none" w:sz="0" w:space="0" w:color="auto"/>
          </w:divBdr>
        </w:div>
        <w:div w:id="458648833">
          <w:marLeft w:val="0"/>
          <w:marRight w:val="0"/>
          <w:marTop w:val="0"/>
          <w:marBottom w:val="0"/>
          <w:divBdr>
            <w:top w:val="none" w:sz="0" w:space="0" w:color="auto"/>
            <w:left w:val="none" w:sz="0" w:space="0" w:color="auto"/>
            <w:bottom w:val="none" w:sz="0" w:space="0" w:color="auto"/>
            <w:right w:val="none" w:sz="0" w:space="0" w:color="auto"/>
          </w:divBdr>
        </w:div>
        <w:div w:id="460390654">
          <w:marLeft w:val="0"/>
          <w:marRight w:val="0"/>
          <w:marTop w:val="0"/>
          <w:marBottom w:val="0"/>
          <w:divBdr>
            <w:top w:val="none" w:sz="0" w:space="0" w:color="auto"/>
            <w:left w:val="none" w:sz="0" w:space="0" w:color="auto"/>
            <w:bottom w:val="none" w:sz="0" w:space="0" w:color="auto"/>
            <w:right w:val="none" w:sz="0" w:space="0" w:color="auto"/>
          </w:divBdr>
        </w:div>
        <w:div w:id="461308547">
          <w:marLeft w:val="0"/>
          <w:marRight w:val="0"/>
          <w:marTop w:val="0"/>
          <w:marBottom w:val="0"/>
          <w:divBdr>
            <w:top w:val="none" w:sz="0" w:space="0" w:color="auto"/>
            <w:left w:val="none" w:sz="0" w:space="0" w:color="auto"/>
            <w:bottom w:val="none" w:sz="0" w:space="0" w:color="auto"/>
            <w:right w:val="none" w:sz="0" w:space="0" w:color="auto"/>
          </w:divBdr>
        </w:div>
        <w:div w:id="462776883">
          <w:marLeft w:val="0"/>
          <w:marRight w:val="0"/>
          <w:marTop w:val="0"/>
          <w:marBottom w:val="0"/>
          <w:divBdr>
            <w:top w:val="none" w:sz="0" w:space="0" w:color="auto"/>
            <w:left w:val="none" w:sz="0" w:space="0" w:color="auto"/>
            <w:bottom w:val="none" w:sz="0" w:space="0" w:color="auto"/>
            <w:right w:val="none" w:sz="0" w:space="0" w:color="auto"/>
          </w:divBdr>
        </w:div>
        <w:div w:id="464322833">
          <w:marLeft w:val="0"/>
          <w:marRight w:val="0"/>
          <w:marTop w:val="0"/>
          <w:marBottom w:val="0"/>
          <w:divBdr>
            <w:top w:val="none" w:sz="0" w:space="0" w:color="auto"/>
            <w:left w:val="none" w:sz="0" w:space="0" w:color="auto"/>
            <w:bottom w:val="none" w:sz="0" w:space="0" w:color="auto"/>
            <w:right w:val="none" w:sz="0" w:space="0" w:color="auto"/>
          </w:divBdr>
          <w:divsChild>
            <w:div w:id="473336">
              <w:marLeft w:val="0"/>
              <w:marRight w:val="0"/>
              <w:marTop w:val="0"/>
              <w:marBottom w:val="0"/>
              <w:divBdr>
                <w:top w:val="none" w:sz="0" w:space="0" w:color="auto"/>
                <w:left w:val="none" w:sz="0" w:space="0" w:color="auto"/>
                <w:bottom w:val="none" w:sz="0" w:space="0" w:color="auto"/>
                <w:right w:val="none" w:sz="0" w:space="0" w:color="auto"/>
              </w:divBdr>
            </w:div>
            <w:div w:id="31423589">
              <w:marLeft w:val="0"/>
              <w:marRight w:val="0"/>
              <w:marTop w:val="0"/>
              <w:marBottom w:val="0"/>
              <w:divBdr>
                <w:top w:val="none" w:sz="0" w:space="0" w:color="auto"/>
                <w:left w:val="none" w:sz="0" w:space="0" w:color="auto"/>
                <w:bottom w:val="none" w:sz="0" w:space="0" w:color="auto"/>
                <w:right w:val="none" w:sz="0" w:space="0" w:color="auto"/>
              </w:divBdr>
            </w:div>
            <w:div w:id="169954882">
              <w:marLeft w:val="0"/>
              <w:marRight w:val="0"/>
              <w:marTop w:val="0"/>
              <w:marBottom w:val="0"/>
              <w:divBdr>
                <w:top w:val="none" w:sz="0" w:space="0" w:color="auto"/>
                <w:left w:val="none" w:sz="0" w:space="0" w:color="auto"/>
                <w:bottom w:val="none" w:sz="0" w:space="0" w:color="auto"/>
                <w:right w:val="none" w:sz="0" w:space="0" w:color="auto"/>
              </w:divBdr>
            </w:div>
            <w:div w:id="179899966">
              <w:marLeft w:val="0"/>
              <w:marRight w:val="0"/>
              <w:marTop w:val="0"/>
              <w:marBottom w:val="0"/>
              <w:divBdr>
                <w:top w:val="none" w:sz="0" w:space="0" w:color="auto"/>
                <w:left w:val="none" w:sz="0" w:space="0" w:color="auto"/>
                <w:bottom w:val="none" w:sz="0" w:space="0" w:color="auto"/>
                <w:right w:val="none" w:sz="0" w:space="0" w:color="auto"/>
              </w:divBdr>
            </w:div>
            <w:div w:id="379549475">
              <w:marLeft w:val="0"/>
              <w:marRight w:val="0"/>
              <w:marTop w:val="0"/>
              <w:marBottom w:val="0"/>
              <w:divBdr>
                <w:top w:val="none" w:sz="0" w:space="0" w:color="auto"/>
                <w:left w:val="none" w:sz="0" w:space="0" w:color="auto"/>
                <w:bottom w:val="none" w:sz="0" w:space="0" w:color="auto"/>
                <w:right w:val="none" w:sz="0" w:space="0" w:color="auto"/>
              </w:divBdr>
            </w:div>
            <w:div w:id="501311802">
              <w:marLeft w:val="0"/>
              <w:marRight w:val="0"/>
              <w:marTop w:val="0"/>
              <w:marBottom w:val="0"/>
              <w:divBdr>
                <w:top w:val="none" w:sz="0" w:space="0" w:color="auto"/>
                <w:left w:val="none" w:sz="0" w:space="0" w:color="auto"/>
                <w:bottom w:val="none" w:sz="0" w:space="0" w:color="auto"/>
                <w:right w:val="none" w:sz="0" w:space="0" w:color="auto"/>
              </w:divBdr>
            </w:div>
            <w:div w:id="558323375">
              <w:marLeft w:val="0"/>
              <w:marRight w:val="0"/>
              <w:marTop w:val="0"/>
              <w:marBottom w:val="0"/>
              <w:divBdr>
                <w:top w:val="none" w:sz="0" w:space="0" w:color="auto"/>
                <w:left w:val="none" w:sz="0" w:space="0" w:color="auto"/>
                <w:bottom w:val="none" w:sz="0" w:space="0" w:color="auto"/>
                <w:right w:val="none" w:sz="0" w:space="0" w:color="auto"/>
              </w:divBdr>
            </w:div>
            <w:div w:id="604508258">
              <w:marLeft w:val="0"/>
              <w:marRight w:val="0"/>
              <w:marTop w:val="0"/>
              <w:marBottom w:val="0"/>
              <w:divBdr>
                <w:top w:val="none" w:sz="0" w:space="0" w:color="auto"/>
                <w:left w:val="none" w:sz="0" w:space="0" w:color="auto"/>
                <w:bottom w:val="none" w:sz="0" w:space="0" w:color="auto"/>
                <w:right w:val="none" w:sz="0" w:space="0" w:color="auto"/>
              </w:divBdr>
            </w:div>
            <w:div w:id="621693527">
              <w:marLeft w:val="0"/>
              <w:marRight w:val="0"/>
              <w:marTop w:val="0"/>
              <w:marBottom w:val="0"/>
              <w:divBdr>
                <w:top w:val="none" w:sz="0" w:space="0" w:color="auto"/>
                <w:left w:val="none" w:sz="0" w:space="0" w:color="auto"/>
                <w:bottom w:val="none" w:sz="0" w:space="0" w:color="auto"/>
                <w:right w:val="none" w:sz="0" w:space="0" w:color="auto"/>
              </w:divBdr>
            </w:div>
            <w:div w:id="686833216">
              <w:marLeft w:val="0"/>
              <w:marRight w:val="0"/>
              <w:marTop w:val="0"/>
              <w:marBottom w:val="0"/>
              <w:divBdr>
                <w:top w:val="none" w:sz="0" w:space="0" w:color="auto"/>
                <w:left w:val="none" w:sz="0" w:space="0" w:color="auto"/>
                <w:bottom w:val="none" w:sz="0" w:space="0" w:color="auto"/>
                <w:right w:val="none" w:sz="0" w:space="0" w:color="auto"/>
              </w:divBdr>
            </w:div>
            <w:div w:id="1232737299">
              <w:marLeft w:val="0"/>
              <w:marRight w:val="0"/>
              <w:marTop w:val="0"/>
              <w:marBottom w:val="0"/>
              <w:divBdr>
                <w:top w:val="none" w:sz="0" w:space="0" w:color="auto"/>
                <w:left w:val="none" w:sz="0" w:space="0" w:color="auto"/>
                <w:bottom w:val="none" w:sz="0" w:space="0" w:color="auto"/>
                <w:right w:val="none" w:sz="0" w:space="0" w:color="auto"/>
              </w:divBdr>
            </w:div>
            <w:div w:id="1246500609">
              <w:marLeft w:val="0"/>
              <w:marRight w:val="0"/>
              <w:marTop w:val="0"/>
              <w:marBottom w:val="0"/>
              <w:divBdr>
                <w:top w:val="none" w:sz="0" w:space="0" w:color="auto"/>
                <w:left w:val="none" w:sz="0" w:space="0" w:color="auto"/>
                <w:bottom w:val="none" w:sz="0" w:space="0" w:color="auto"/>
                <w:right w:val="none" w:sz="0" w:space="0" w:color="auto"/>
              </w:divBdr>
            </w:div>
            <w:div w:id="1272861508">
              <w:marLeft w:val="0"/>
              <w:marRight w:val="0"/>
              <w:marTop w:val="0"/>
              <w:marBottom w:val="0"/>
              <w:divBdr>
                <w:top w:val="none" w:sz="0" w:space="0" w:color="auto"/>
                <w:left w:val="none" w:sz="0" w:space="0" w:color="auto"/>
                <w:bottom w:val="none" w:sz="0" w:space="0" w:color="auto"/>
                <w:right w:val="none" w:sz="0" w:space="0" w:color="auto"/>
              </w:divBdr>
            </w:div>
            <w:div w:id="1429734044">
              <w:marLeft w:val="0"/>
              <w:marRight w:val="0"/>
              <w:marTop w:val="0"/>
              <w:marBottom w:val="0"/>
              <w:divBdr>
                <w:top w:val="none" w:sz="0" w:space="0" w:color="auto"/>
                <w:left w:val="none" w:sz="0" w:space="0" w:color="auto"/>
                <w:bottom w:val="none" w:sz="0" w:space="0" w:color="auto"/>
                <w:right w:val="none" w:sz="0" w:space="0" w:color="auto"/>
              </w:divBdr>
            </w:div>
            <w:div w:id="1440100962">
              <w:marLeft w:val="0"/>
              <w:marRight w:val="0"/>
              <w:marTop w:val="0"/>
              <w:marBottom w:val="0"/>
              <w:divBdr>
                <w:top w:val="none" w:sz="0" w:space="0" w:color="auto"/>
                <w:left w:val="none" w:sz="0" w:space="0" w:color="auto"/>
                <w:bottom w:val="none" w:sz="0" w:space="0" w:color="auto"/>
                <w:right w:val="none" w:sz="0" w:space="0" w:color="auto"/>
              </w:divBdr>
            </w:div>
            <w:div w:id="1461654785">
              <w:marLeft w:val="0"/>
              <w:marRight w:val="0"/>
              <w:marTop w:val="0"/>
              <w:marBottom w:val="0"/>
              <w:divBdr>
                <w:top w:val="none" w:sz="0" w:space="0" w:color="auto"/>
                <w:left w:val="none" w:sz="0" w:space="0" w:color="auto"/>
                <w:bottom w:val="none" w:sz="0" w:space="0" w:color="auto"/>
                <w:right w:val="none" w:sz="0" w:space="0" w:color="auto"/>
              </w:divBdr>
            </w:div>
            <w:div w:id="1626352764">
              <w:marLeft w:val="0"/>
              <w:marRight w:val="0"/>
              <w:marTop w:val="0"/>
              <w:marBottom w:val="0"/>
              <w:divBdr>
                <w:top w:val="none" w:sz="0" w:space="0" w:color="auto"/>
                <w:left w:val="none" w:sz="0" w:space="0" w:color="auto"/>
                <w:bottom w:val="none" w:sz="0" w:space="0" w:color="auto"/>
                <w:right w:val="none" w:sz="0" w:space="0" w:color="auto"/>
              </w:divBdr>
            </w:div>
            <w:div w:id="1759673202">
              <w:marLeft w:val="0"/>
              <w:marRight w:val="0"/>
              <w:marTop w:val="0"/>
              <w:marBottom w:val="0"/>
              <w:divBdr>
                <w:top w:val="none" w:sz="0" w:space="0" w:color="auto"/>
                <w:left w:val="none" w:sz="0" w:space="0" w:color="auto"/>
                <w:bottom w:val="none" w:sz="0" w:space="0" w:color="auto"/>
                <w:right w:val="none" w:sz="0" w:space="0" w:color="auto"/>
              </w:divBdr>
            </w:div>
            <w:div w:id="1762796996">
              <w:marLeft w:val="0"/>
              <w:marRight w:val="0"/>
              <w:marTop w:val="0"/>
              <w:marBottom w:val="0"/>
              <w:divBdr>
                <w:top w:val="none" w:sz="0" w:space="0" w:color="auto"/>
                <w:left w:val="none" w:sz="0" w:space="0" w:color="auto"/>
                <w:bottom w:val="none" w:sz="0" w:space="0" w:color="auto"/>
                <w:right w:val="none" w:sz="0" w:space="0" w:color="auto"/>
              </w:divBdr>
            </w:div>
            <w:div w:id="1816794137">
              <w:marLeft w:val="0"/>
              <w:marRight w:val="0"/>
              <w:marTop w:val="0"/>
              <w:marBottom w:val="0"/>
              <w:divBdr>
                <w:top w:val="none" w:sz="0" w:space="0" w:color="auto"/>
                <w:left w:val="none" w:sz="0" w:space="0" w:color="auto"/>
                <w:bottom w:val="none" w:sz="0" w:space="0" w:color="auto"/>
                <w:right w:val="none" w:sz="0" w:space="0" w:color="auto"/>
              </w:divBdr>
            </w:div>
            <w:div w:id="2142072792">
              <w:marLeft w:val="0"/>
              <w:marRight w:val="0"/>
              <w:marTop w:val="0"/>
              <w:marBottom w:val="0"/>
              <w:divBdr>
                <w:top w:val="none" w:sz="0" w:space="0" w:color="auto"/>
                <w:left w:val="none" w:sz="0" w:space="0" w:color="auto"/>
                <w:bottom w:val="none" w:sz="0" w:space="0" w:color="auto"/>
                <w:right w:val="none" w:sz="0" w:space="0" w:color="auto"/>
              </w:divBdr>
            </w:div>
          </w:divsChild>
        </w:div>
        <w:div w:id="464809815">
          <w:marLeft w:val="0"/>
          <w:marRight w:val="0"/>
          <w:marTop w:val="0"/>
          <w:marBottom w:val="0"/>
          <w:divBdr>
            <w:top w:val="none" w:sz="0" w:space="0" w:color="auto"/>
            <w:left w:val="none" w:sz="0" w:space="0" w:color="auto"/>
            <w:bottom w:val="none" w:sz="0" w:space="0" w:color="auto"/>
            <w:right w:val="none" w:sz="0" w:space="0" w:color="auto"/>
          </w:divBdr>
        </w:div>
        <w:div w:id="465009963">
          <w:marLeft w:val="0"/>
          <w:marRight w:val="0"/>
          <w:marTop w:val="0"/>
          <w:marBottom w:val="0"/>
          <w:divBdr>
            <w:top w:val="none" w:sz="0" w:space="0" w:color="auto"/>
            <w:left w:val="none" w:sz="0" w:space="0" w:color="auto"/>
            <w:bottom w:val="none" w:sz="0" w:space="0" w:color="auto"/>
            <w:right w:val="none" w:sz="0" w:space="0" w:color="auto"/>
          </w:divBdr>
        </w:div>
        <w:div w:id="468398509">
          <w:marLeft w:val="0"/>
          <w:marRight w:val="0"/>
          <w:marTop w:val="0"/>
          <w:marBottom w:val="0"/>
          <w:divBdr>
            <w:top w:val="none" w:sz="0" w:space="0" w:color="auto"/>
            <w:left w:val="none" w:sz="0" w:space="0" w:color="auto"/>
            <w:bottom w:val="none" w:sz="0" w:space="0" w:color="auto"/>
            <w:right w:val="none" w:sz="0" w:space="0" w:color="auto"/>
          </w:divBdr>
        </w:div>
        <w:div w:id="468935728">
          <w:marLeft w:val="0"/>
          <w:marRight w:val="0"/>
          <w:marTop w:val="0"/>
          <w:marBottom w:val="0"/>
          <w:divBdr>
            <w:top w:val="none" w:sz="0" w:space="0" w:color="auto"/>
            <w:left w:val="none" w:sz="0" w:space="0" w:color="auto"/>
            <w:bottom w:val="none" w:sz="0" w:space="0" w:color="auto"/>
            <w:right w:val="none" w:sz="0" w:space="0" w:color="auto"/>
          </w:divBdr>
        </w:div>
        <w:div w:id="469136476">
          <w:marLeft w:val="0"/>
          <w:marRight w:val="0"/>
          <w:marTop w:val="0"/>
          <w:marBottom w:val="0"/>
          <w:divBdr>
            <w:top w:val="none" w:sz="0" w:space="0" w:color="auto"/>
            <w:left w:val="none" w:sz="0" w:space="0" w:color="auto"/>
            <w:bottom w:val="none" w:sz="0" w:space="0" w:color="auto"/>
            <w:right w:val="none" w:sz="0" w:space="0" w:color="auto"/>
          </w:divBdr>
        </w:div>
        <w:div w:id="470447222">
          <w:marLeft w:val="0"/>
          <w:marRight w:val="0"/>
          <w:marTop w:val="0"/>
          <w:marBottom w:val="0"/>
          <w:divBdr>
            <w:top w:val="none" w:sz="0" w:space="0" w:color="auto"/>
            <w:left w:val="none" w:sz="0" w:space="0" w:color="auto"/>
            <w:bottom w:val="none" w:sz="0" w:space="0" w:color="auto"/>
            <w:right w:val="none" w:sz="0" w:space="0" w:color="auto"/>
          </w:divBdr>
        </w:div>
        <w:div w:id="470563031">
          <w:marLeft w:val="0"/>
          <w:marRight w:val="0"/>
          <w:marTop w:val="0"/>
          <w:marBottom w:val="0"/>
          <w:divBdr>
            <w:top w:val="none" w:sz="0" w:space="0" w:color="auto"/>
            <w:left w:val="none" w:sz="0" w:space="0" w:color="auto"/>
            <w:bottom w:val="none" w:sz="0" w:space="0" w:color="auto"/>
            <w:right w:val="none" w:sz="0" w:space="0" w:color="auto"/>
          </w:divBdr>
        </w:div>
        <w:div w:id="471947884">
          <w:marLeft w:val="0"/>
          <w:marRight w:val="0"/>
          <w:marTop w:val="0"/>
          <w:marBottom w:val="0"/>
          <w:divBdr>
            <w:top w:val="none" w:sz="0" w:space="0" w:color="auto"/>
            <w:left w:val="none" w:sz="0" w:space="0" w:color="auto"/>
            <w:bottom w:val="none" w:sz="0" w:space="0" w:color="auto"/>
            <w:right w:val="none" w:sz="0" w:space="0" w:color="auto"/>
          </w:divBdr>
        </w:div>
        <w:div w:id="473912934">
          <w:marLeft w:val="0"/>
          <w:marRight w:val="0"/>
          <w:marTop w:val="0"/>
          <w:marBottom w:val="0"/>
          <w:divBdr>
            <w:top w:val="none" w:sz="0" w:space="0" w:color="auto"/>
            <w:left w:val="none" w:sz="0" w:space="0" w:color="auto"/>
            <w:bottom w:val="none" w:sz="0" w:space="0" w:color="auto"/>
            <w:right w:val="none" w:sz="0" w:space="0" w:color="auto"/>
          </w:divBdr>
        </w:div>
        <w:div w:id="474564036">
          <w:marLeft w:val="0"/>
          <w:marRight w:val="0"/>
          <w:marTop w:val="0"/>
          <w:marBottom w:val="0"/>
          <w:divBdr>
            <w:top w:val="none" w:sz="0" w:space="0" w:color="auto"/>
            <w:left w:val="none" w:sz="0" w:space="0" w:color="auto"/>
            <w:bottom w:val="none" w:sz="0" w:space="0" w:color="auto"/>
            <w:right w:val="none" w:sz="0" w:space="0" w:color="auto"/>
          </w:divBdr>
        </w:div>
        <w:div w:id="474684439">
          <w:marLeft w:val="0"/>
          <w:marRight w:val="0"/>
          <w:marTop w:val="0"/>
          <w:marBottom w:val="0"/>
          <w:divBdr>
            <w:top w:val="none" w:sz="0" w:space="0" w:color="auto"/>
            <w:left w:val="none" w:sz="0" w:space="0" w:color="auto"/>
            <w:bottom w:val="none" w:sz="0" w:space="0" w:color="auto"/>
            <w:right w:val="none" w:sz="0" w:space="0" w:color="auto"/>
          </w:divBdr>
        </w:div>
        <w:div w:id="475294617">
          <w:marLeft w:val="0"/>
          <w:marRight w:val="0"/>
          <w:marTop w:val="0"/>
          <w:marBottom w:val="0"/>
          <w:divBdr>
            <w:top w:val="none" w:sz="0" w:space="0" w:color="auto"/>
            <w:left w:val="none" w:sz="0" w:space="0" w:color="auto"/>
            <w:bottom w:val="none" w:sz="0" w:space="0" w:color="auto"/>
            <w:right w:val="none" w:sz="0" w:space="0" w:color="auto"/>
          </w:divBdr>
        </w:div>
        <w:div w:id="475993244">
          <w:marLeft w:val="0"/>
          <w:marRight w:val="0"/>
          <w:marTop w:val="0"/>
          <w:marBottom w:val="0"/>
          <w:divBdr>
            <w:top w:val="none" w:sz="0" w:space="0" w:color="auto"/>
            <w:left w:val="none" w:sz="0" w:space="0" w:color="auto"/>
            <w:bottom w:val="none" w:sz="0" w:space="0" w:color="auto"/>
            <w:right w:val="none" w:sz="0" w:space="0" w:color="auto"/>
          </w:divBdr>
        </w:div>
        <w:div w:id="476336918">
          <w:marLeft w:val="0"/>
          <w:marRight w:val="0"/>
          <w:marTop w:val="0"/>
          <w:marBottom w:val="0"/>
          <w:divBdr>
            <w:top w:val="none" w:sz="0" w:space="0" w:color="auto"/>
            <w:left w:val="none" w:sz="0" w:space="0" w:color="auto"/>
            <w:bottom w:val="none" w:sz="0" w:space="0" w:color="auto"/>
            <w:right w:val="none" w:sz="0" w:space="0" w:color="auto"/>
          </w:divBdr>
        </w:div>
        <w:div w:id="476342859">
          <w:marLeft w:val="0"/>
          <w:marRight w:val="0"/>
          <w:marTop w:val="0"/>
          <w:marBottom w:val="0"/>
          <w:divBdr>
            <w:top w:val="none" w:sz="0" w:space="0" w:color="auto"/>
            <w:left w:val="none" w:sz="0" w:space="0" w:color="auto"/>
            <w:bottom w:val="none" w:sz="0" w:space="0" w:color="auto"/>
            <w:right w:val="none" w:sz="0" w:space="0" w:color="auto"/>
          </w:divBdr>
        </w:div>
        <w:div w:id="477307565">
          <w:marLeft w:val="0"/>
          <w:marRight w:val="0"/>
          <w:marTop w:val="0"/>
          <w:marBottom w:val="0"/>
          <w:divBdr>
            <w:top w:val="none" w:sz="0" w:space="0" w:color="auto"/>
            <w:left w:val="none" w:sz="0" w:space="0" w:color="auto"/>
            <w:bottom w:val="none" w:sz="0" w:space="0" w:color="auto"/>
            <w:right w:val="none" w:sz="0" w:space="0" w:color="auto"/>
          </w:divBdr>
        </w:div>
        <w:div w:id="477653002">
          <w:marLeft w:val="0"/>
          <w:marRight w:val="0"/>
          <w:marTop w:val="0"/>
          <w:marBottom w:val="0"/>
          <w:divBdr>
            <w:top w:val="none" w:sz="0" w:space="0" w:color="auto"/>
            <w:left w:val="none" w:sz="0" w:space="0" w:color="auto"/>
            <w:bottom w:val="none" w:sz="0" w:space="0" w:color="auto"/>
            <w:right w:val="none" w:sz="0" w:space="0" w:color="auto"/>
          </w:divBdr>
        </w:div>
        <w:div w:id="477959548">
          <w:marLeft w:val="0"/>
          <w:marRight w:val="0"/>
          <w:marTop w:val="0"/>
          <w:marBottom w:val="0"/>
          <w:divBdr>
            <w:top w:val="none" w:sz="0" w:space="0" w:color="auto"/>
            <w:left w:val="none" w:sz="0" w:space="0" w:color="auto"/>
            <w:bottom w:val="none" w:sz="0" w:space="0" w:color="auto"/>
            <w:right w:val="none" w:sz="0" w:space="0" w:color="auto"/>
          </w:divBdr>
          <w:divsChild>
            <w:div w:id="258373879">
              <w:marLeft w:val="0"/>
              <w:marRight w:val="0"/>
              <w:marTop w:val="0"/>
              <w:marBottom w:val="0"/>
              <w:divBdr>
                <w:top w:val="none" w:sz="0" w:space="0" w:color="auto"/>
                <w:left w:val="none" w:sz="0" w:space="0" w:color="auto"/>
                <w:bottom w:val="none" w:sz="0" w:space="0" w:color="auto"/>
                <w:right w:val="none" w:sz="0" w:space="0" w:color="auto"/>
              </w:divBdr>
            </w:div>
            <w:div w:id="407313555">
              <w:marLeft w:val="0"/>
              <w:marRight w:val="0"/>
              <w:marTop w:val="0"/>
              <w:marBottom w:val="0"/>
              <w:divBdr>
                <w:top w:val="none" w:sz="0" w:space="0" w:color="auto"/>
                <w:left w:val="none" w:sz="0" w:space="0" w:color="auto"/>
                <w:bottom w:val="none" w:sz="0" w:space="0" w:color="auto"/>
                <w:right w:val="none" w:sz="0" w:space="0" w:color="auto"/>
              </w:divBdr>
            </w:div>
            <w:div w:id="506746678">
              <w:marLeft w:val="0"/>
              <w:marRight w:val="0"/>
              <w:marTop w:val="0"/>
              <w:marBottom w:val="0"/>
              <w:divBdr>
                <w:top w:val="none" w:sz="0" w:space="0" w:color="auto"/>
                <w:left w:val="none" w:sz="0" w:space="0" w:color="auto"/>
                <w:bottom w:val="none" w:sz="0" w:space="0" w:color="auto"/>
                <w:right w:val="none" w:sz="0" w:space="0" w:color="auto"/>
              </w:divBdr>
            </w:div>
            <w:div w:id="630330664">
              <w:marLeft w:val="0"/>
              <w:marRight w:val="0"/>
              <w:marTop w:val="0"/>
              <w:marBottom w:val="0"/>
              <w:divBdr>
                <w:top w:val="none" w:sz="0" w:space="0" w:color="auto"/>
                <w:left w:val="none" w:sz="0" w:space="0" w:color="auto"/>
                <w:bottom w:val="none" w:sz="0" w:space="0" w:color="auto"/>
                <w:right w:val="none" w:sz="0" w:space="0" w:color="auto"/>
              </w:divBdr>
            </w:div>
            <w:div w:id="761994102">
              <w:marLeft w:val="0"/>
              <w:marRight w:val="0"/>
              <w:marTop w:val="0"/>
              <w:marBottom w:val="0"/>
              <w:divBdr>
                <w:top w:val="none" w:sz="0" w:space="0" w:color="auto"/>
                <w:left w:val="none" w:sz="0" w:space="0" w:color="auto"/>
                <w:bottom w:val="none" w:sz="0" w:space="0" w:color="auto"/>
                <w:right w:val="none" w:sz="0" w:space="0" w:color="auto"/>
              </w:divBdr>
            </w:div>
            <w:div w:id="886793320">
              <w:marLeft w:val="0"/>
              <w:marRight w:val="0"/>
              <w:marTop w:val="0"/>
              <w:marBottom w:val="0"/>
              <w:divBdr>
                <w:top w:val="none" w:sz="0" w:space="0" w:color="auto"/>
                <w:left w:val="none" w:sz="0" w:space="0" w:color="auto"/>
                <w:bottom w:val="none" w:sz="0" w:space="0" w:color="auto"/>
                <w:right w:val="none" w:sz="0" w:space="0" w:color="auto"/>
              </w:divBdr>
            </w:div>
            <w:div w:id="949433836">
              <w:marLeft w:val="0"/>
              <w:marRight w:val="0"/>
              <w:marTop w:val="0"/>
              <w:marBottom w:val="0"/>
              <w:divBdr>
                <w:top w:val="none" w:sz="0" w:space="0" w:color="auto"/>
                <w:left w:val="none" w:sz="0" w:space="0" w:color="auto"/>
                <w:bottom w:val="none" w:sz="0" w:space="0" w:color="auto"/>
                <w:right w:val="none" w:sz="0" w:space="0" w:color="auto"/>
              </w:divBdr>
            </w:div>
            <w:div w:id="997877816">
              <w:marLeft w:val="0"/>
              <w:marRight w:val="0"/>
              <w:marTop w:val="0"/>
              <w:marBottom w:val="0"/>
              <w:divBdr>
                <w:top w:val="none" w:sz="0" w:space="0" w:color="auto"/>
                <w:left w:val="none" w:sz="0" w:space="0" w:color="auto"/>
                <w:bottom w:val="none" w:sz="0" w:space="0" w:color="auto"/>
                <w:right w:val="none" w:sz="0" w:space="0" w:color="auto"/>
              </w:divBdr>
            </w:div>
            <w:div w:id="1012803028">
              <w:marLeft w:val="0"/>
              <w:marRight w:val="0"/>
              <w:marTop w:val="0"/>
              <w:marBottom w:val="0"/>
              <w:divBdr>
                <w:top w:val="none" w:sz="0" w:space="0" w:color="auto"/>
                <w:left w:val="none" w:sz="0" w:space="0" w:color="auto"/>
                <w:bottom w:val="none" w:sz="0" w:space="0" w:color="auto"/>
                <w:right w:val="none" w:sz="0" w:space="0" w:color="auto"/>
              </w:divBdr>
            </w:div>
            <w:div w:id="1030646418">
              <w:marLeft w:val="0"/>
              <w:marRight w:val="0"/>
              <w:marTop w:val="0"/>
              <w:marBottom w:val="0"/>
              <w:divBdr>
                <w:top w:val="none" w:sz="0" w:space="0" w:color="auto"/>
                <w:left w:val="none" w:sz="0" w:space="0" w:color="auto"/>
                <w:bottom w:val="none" w:sz="0" w:space="0" w:color="auto"/>
                <w:right w:val="none" w:sz="0" w:space="0" w:color="auto"/>
              </w:divBdr>
            </w:div>
            <w:div w:id="1031759134">
              <w:marLeft w:val="0"/>
              <w:marRight w:val="0"/>
              <w:marTop w:val="0"/>
              <w:marBottom w:val="0"/>
              <w:divBdr>
                <w:top w:val="none" w:sz="0" w:space="0" w:color="auto"/>
                <w:left w:val="none" w:sz="0" w:space="0" w:color="auto"/>
                <w:bottom w:val="none" w:sz="0" w:space="0" w:color="auto"/>
                <w:right w:val="none" w:sz="0" w:space="0" w:color="auto"/>
              </w:divBdr>
            </w:div>
            <w:div w:id="1097795539">
              <w:marLeft w:val="0"/>
              <w:marRight w:val="0"/>
              <w:marTop w:val="0"/>
              <w:marBottom w:val="0"/>
              <w:divBdr>
                <w:top w:val="none" w:sz="0" w:space="0" w:color="auto"/>
                <w:left w:val="none" w:sz="0" w:space="0" w:color="auto"/>
                <w:bottom w:val="none" w:sz="0" w:space="0" w:color="auto"/>
                <w:right w:val="none" w:sz="0" w:space="0" w:color="auto"/>
              </w:divBdr>
            </w:div>
            <w:div w:id="1132749340">
              <w:marLeft w:val="0"/>
              <w:marRight w:val="0"/>
              <w:marTop w:val="0"/>
              <w:marBottom w:val="0"/>
              <w:divBdr>
                <w:top w:val="none" w:sz="0" w:space="0" w:color="auto"/>
                <w:left w:val="none" w:sz="0" w:space="0" w:color="auto"/>
                <w:bottom w:val="none" w:sz="0" w:space="0" w:color="auto"/>
                <w:right w:val="none" w:sz="0" w:space="0" w:color="auto"/>
              </w:divBdr>
            </w:div>
            <w:div w:id="1236819764">
              <w:marLeft w:val="0"/>
              <w:marRight w:val="0"/>
              <w:marTop w:val="0"/>
              <w:marBottom w:val="0"/>
              <w:divBdr>
                <w:top w:val="none" w:sz="0" w:space="0" w:color="auto"/>
                <w:left w:val="none" w:sz="0" w:space="0" w:color="auto"/>
                <w:bottom w:val="none" w:sz="0" w:space="0" w:color="auto"/>
                <w:right w:val="none" w:sz="0" w:space="0" w:color="auto"/>
              </w:divBdr>
            </w:div>
            <w:div w:id="1302272195">
              <w:marLeft w:val="0"/>
              <w:marRight w:val="0"/>
              <w:marTop w:val="0"/>
              <w:marBottom w:val="0"/>
              <w:divBdr>
                <w:top w:val="none" w:sz="0" w:space="0" w:color="auto"/>
                <w:left w:val="none" w:sz="0" w:space="0" w:color="auto"/>
                <w:bottom w:val="none" w:sz="0" w:space="0" w:color="auto"/>
                <w:right w:val="none" w:sz="0" w:space="0" w:color="auto"/>
              </w:divBdr>
            </w:div>
            <w:div w:id="1384404741">
              <w:marLeft w:val="0"/>
              <w:marRight w:val="0"/>
              <w:marTop w:val="0"/>
              <w:marBottom w:val="0"/>
              <w:divBdr>
                <w:top w:val="none" w:sz="0" w:space="0" w:color="auto"/>
                <w:left w:val="none" w:sz="0" w:space="0" w:color="auto"/>
                <w:bottom w:val="none" w:sz="0" w:space="0" w:color="auto"/>
                <w:right w:val="none" w:sz="0" w:space="0" w:color="auto"/>
              </w:divBdr>
            </w:div>
            <w:div w:id="1429889759">
              <w:marLeft w:val="0"/>
              <w:marRight w:val="0"/>
              <w:marTop w:val="0"/>
              <w:marBottom w:val="0"/>
              <w:divBdr>
                <w:top w:val="none" w:sz="0" w:space="0" w:color="auto"/>
                <w:left w:val="none" w:sz="0" w:space="0" w:color="auto"/>
                <w:bottom w:val="none" w:sz="0" w:space="0" w:color="auto"/>
                <w:right w:val="none" w:sz="0" w:space="0" w:color="auto"/>
              </w:divBdr>
            </w:div>
            <w:div w:id="1794054672">
              <w:marLeft w:val="0"/>
              <w:marRight w:val="0"/>
              <w:marTop w:val="0"/>
              <w:marBottom w:val="0"/>
              <w:divBdr>
                <w:top w:val="none" w:sz="0" w:space="0" w:color="auto"/>
                <w:left w:val="none" w:sz="0" w:space="0" w:color="auto"/>
                <w:bottom w:val="none" w:sz="0" w:space="0" w:color="auto"/>
                <w:right w:val="none" w:sz="0" w:space="0" w:color="auto"/>
              </w:divBdr>
            </w:div>
            <w:div w:id="1797019893">
              <w:marLeft w:val="0"/>
              <w:marRight w:val="0"/>
              <w:marTop w:val="0"/>
              <w:marBottom w:val="0"/>
              <w:divBdr>
                <w:top w:val="none" w:sz="0" w:space="0" w:color="auto"/>
                <w:left w:val="none" w:sz="0" w:space="0" w:color="auto"/>
                <w:bottom w:val="none" w:sz="0" w:space="0" w:color="auto"/>
                <w:right w:val="none" w:sz="0" w:space="0" w:color="auto"/>
              </w:divBdr>
            </w:div>
            <w:div w:id="1961955040">
              <w:marLeft w:val="0"/>
              <w:marRight w:val="0"/>
              <w:marTop w:val="0"/>
              <w:marBottom w:val="0"/>
              <w:divBdr>
                <w:top w:val="none" w:sz="0" w:space="0" w:color="auto"/>
                <w:left w:val="none" w:sz="0" w:space="0" w:color="auto"/>
                <w:bottom w:val="none" w:sz="0" w:space="0" w:color="auto"/>
                <w:right w:val="none" w:sz="0" w:space="0" w:color="auto"/>
              </w:divBdr>
            </w:div>
            <w:div w:id="2117677414">
              <w:marLeft w:val="0"/>
              <w:marRight w:val="0"/>
              <w:marTop w:val="0"/>
              <w:marBottom w:val="0"/>
              <w:divBdr>
                <w:top w:val="none" w:sz="0" w:space="0" w:color="auto"/>
                <w:left w:val="none" w:sz="0" w:space="0" w:color="auto"/>
                <w:bottom w:val="none" w:sz="0" w:space="0" w:color="auto"/>
                <w:right w:val="none" w:sz="0" w:space="0" w:color="auto"/>
              </w:divBdr>
            </w:div>
          </w:divsChild>
        </w:div>
        <w:div w:id="477960907">
          <w:marLeft w:val="0"/>
          <w:marRight w:val="0"/>
          <w:marTop w:val="0"/>
          <w:marBottom w:val="0"/>
          <w:divBdr>
            <w:top w:val="none" w:sz="0" w:space="0" w:color="auto"/>
            <w:left w:val="none" w:sz="0" w:space="0" w:color="auto"/>
            <w:bottom w:val="none" w:sz="0" w:space="0" w:color="auto"/>
            <w:right w:val="none" w:sz="0" w:space="0" w:color="auto"/>
          </w:divBdr>
        </w:div>
        <w:div w:id="479156335">
          <w:marLeft w:val="0"/>
          <w:marRight w:val="0"/>
          <w:marTop w:val="0"/>
          <w:marBottom w:val="0"/>
          <w:divBdr>
            <w:top w:val="none" w:sz="0" w:space="0" w:color="auto"/>
            <w:left w:val="none" w:sz="0" w:space="0" w:color="auto"/>
            <w:bottom w:val="none" w:sz="0" w:space="0" w:color="auto"/>
            <w:right w:val="none" w:sz="0" w:space="0" w:color="auto"/>
          </w:divBdr>
        </w:div>
        <w:div w:id="479689958">
          <w:marLeft w:val="0"/>
          <w:marRight w:val="0"/>
          <w:marTop w:val="0"/>
          <w:marBottom w:val="0"/>
          <w:divBdr>
            <w:top w:val="none" w:sz="0" w:space="0" w:color="auto"/>
            <w:left w:val="none" w:sz="0" w:space="0" w:color="auto"/>
            <w:bottom w:val="none" w:sz="0" w:space="0" w:color="auto"/>
            <w:right w:val="none" w:sz="0" w:space="0" w:color="auto"/>
          </w:divBdr>
        </w:div>
        <w:div w:id="482429238">
          <w:marLeft w:val="0"/>
          <w:marRight w:val="0"/>
          <w:marTop w:val="0"/>
          <w:marBottom w:val="0"/>
          <w:divBdr>
            <w:top w:val="none" w:sz="0" w:space="0" w:color="auto"/>
            <w:left w:val="none" w:sz="0" w:space="0" w:color="auto"/>
            <w:bottom w:val="none" w:sz="0" w:space="0" w:color="auto"/>
            <w:right w:val="none" w:sz="0" w:space="0" w:color="auto"/>
          </w:divBdr>
          <w:divsChild>
            <w:div w:id="202597590">
              <w:marLeft w:val="0"/>
              <w:marRight w:val="0"/>
              <w:marTop w:val="0"/>
              <w:marBottom w:val="0"/>
              <w:divBdr>
                <w:top w:val="none" w:sz="0" w:space="0" w:color="auto"/>
                <w:left w:val="none" w:sz="0" w:space="0" w:color="auto"/>
                <w:bottom w:val="none" w:sz="0" w:space="0" w:color="auto"/>
                <w:right w:val="none" w:sz="0" w:space="0" w:color="auto"/>
              </w:divBdr>
            </w:div>
            <w:div w:id="399207553">
              <w:marLeft w:val="0"/>
              <w:marRight w:val="0"/>
              <w:marTop w:val="0"/>
              <w:marBottom w:val="0"/>
              <w:divBdr>
                <w:top w:val="none" w:sz="0" w:space="0" w:color="auto"/>
                <w:left w:val="none" w:sz="0" w:space="0" w:color="auto"/>
                <w:bottom w:val="none" w:sz="0" w:space="0" w:color="auto"/>
                <w:right w:val="none" w:sz="0" w:space="0" w:color="auto"/>
              </w:divBdr>
            </w:div>
            <w:div w:id="408886967">
              <w:marLeft w:val="0"/>
              <w:marRight w:val="0"/>
              <w:marTop w:val="0"/>
              <w:marBottom w:val="0"/>
              <w:divBdr>
                <w:top w:val="none" w:sz="0" w:space="0" w:color="auto"/>
                <w:left w:val="none" w:sz="0" w:space="0" w:color="auto"/>
                <w:bottom w:val="none" w:sz="0" w:space="0" w:color="auto"/>
                <w:right w:val="none" w:sz="0" w:space="0" w:color="auto"/>
              </w:divBdr>
            </w:div>
            <w:div w:id="484206570">
              <w:marLeft w:val="0"/>
              <w:marRight w:val="0"/>
              <w:marTop w:val="0"/>
              <w:marBottom w:val="0"/>
              <w:divBdr>
                <w:top w:val="none" w:sz="0" w:space="0" w:color="auto"/>
                <w:left w:val="none" w:sz="0" w:space="0" w:color="auto"/>
                <w:bottom w:val="none" w:sz="0" w:space="0" w:color="auto"/>
                <w:right w:val="none" w:sz="0" w:space="0" w:color="auto"/>
              </w:divBdr>
            </w:div>
            <w:div w:id="590314738">
              <w:marLeft w:val="0"/>
              <w:marRight w:val="0"/>
              <w:marTop w:val="0"/>
              <w:marBottom w:val="0"/>
              <w:divBdr>
                <w:top w:val="none" w:sz="0" w:space="0" w:color="auto"/>
                <w:left w:val="none" w:sz="0" w:space="0" w:color="auto"/>
                <w:bottom w:val="none" w:sz="0" w:space="0" w:color="auto"/>
                <w:right w:val="none" w:sz="0" w:space="0" w:color="auto"/>
              </w:divBdr>
            </w:div>
            <w:div w:id="869338553">
              <w:marLeft w:val="0"/>
              <w:marRight w:val="0"/>
              <w:marTop w:val="0"/>
              <w:marBottom w:val="0"/>
              <w:divBdr>
                <w:top w:val="none" w:sz="0" w:space="0" w:color="auto"/>
                <w:left w:val="none" w:sz="0" w:space="0" w:color="auto"/>
                <w:bottom w:val="none" w:sz="0" w:space="0" w:color="auto"/>
                <w:right w:val="none" w:sz="0" w:space="0" w:color="auto"/>
              </w:divBdr>
            </w:div>
            <w:div w:id="1041710411">
              <w:marLeft w:val="0"/>
              <w:marRight w:val="0"/>
              <w:marTop w:val="0"/>
              <w:marBottom w:val="0"/>
              <w:divBdr>
                <w:top w:val="none" w:sz="0" w:space="0" w:color="auto"/>
                <w:left w:val="none" w:sz="0" w:space="0" w:color="auto"/>
                <w:bottom w:val="none" w:sz="0" w:space="0" w:color="auto"/>
                <w:right w:val="none" w:sz="0" w:space="0" w:color="auto"/>
              </w:divBdr>
            </w:div>
            <w:div w:id="1376082306">
              <w:marLeft w:val="0"/>
              <w:marRight w:val="0"/>
              <w:marTop w:val="0"/>
              <w:marBottom w:val="0"/>
              <w:divBdr>
                <w:top w:val="none" w:sz="0" w:space="0" w:color="auto"/>
                <w:left w:val="none" w:sz="0" w:space="0" w:color="auto"/>
                <w:bottom w:val="none" w:sz="0" w:space="0" w:color="auto"/>
                <w:right w:val="none" w:sz="0" w:space="0" w:color="auto"/>
              </w:divBdr>
            </w:div>
            <w:div w:id="1398017796">
              <w:marLeft w:val="0"/>
              <w:marRight w:val="0"/>
              <w:marTop w:val="0"/>
              <w:marBottom w:val="0"/>
              <w:divBdr>
                <w:top w:val="none" w:sz="0" w:space="0" w:color="auto"/>
                <w:left w:val="none" w:sz="0" w:space="0" w:color="auto"/>
                <w:bottom w:val="none" w:sz="0" w:space="0" w:color="auto"/>
                <w:right w:val="none" w:sz="0" w:space="0" w:color="auto"/>
              </w:divBdr>
            </w:div>
            <w:div w:id="1550218834">
              <w:marLeft w:val="0"/>
              <w:marRight w:val="0"/>
              <w:marTop w:val="0"/>
              <w:marBottom w:val="0"/>
              <w:divBdr>
                <w:top w:val="none" w:sz="0" w:space="0" w:color="auto"/>
                <w:left w:val="none" w:sz="0" w:space="0" w:color="auto"/>
                <w:bottom w:val="none" w:sz="0" w:space="0" w:color="auto"/>
                <w:right w:val="none" w:sz="0" w:space="0" w:color="auto"/>
              </w:divBdr>
            </w:div>
            <w:div w:id="1607343422">
              <w:marLeft w:val="0"/>
              <w:marRight w:val="0"/>
              <w:marTop w:val="0"/>
              <w:marBottom w:val="0"/>
              <w:divBdr>
                <w:top w:val="none" w:sz="0" w:space="0" w:color="auto"/>
                <w:left w:val="none" w:sz="0" w:space="0" w:color="auto"/>
                <w:bottom w:val="none" w:sz="0" w:space="0" w:color="auto"/>
                <w:right w:val="none" w:sz="0" w:space="0" w:color="auto"/>
              </w:divBdr>
            </w:div>
            <w:div w:id="1617327608">
              <w:marLeft w:val="0"/>
              <w:marRight w:val="0"/>
              <w:marTop w:val="0"/>
              <w:marBottom w:val="0"/>
              <w:divBdr>
                <w:top w:val="none" w:sz="0" w:space="0" w:color="auto"/>
                <w:left w:val="none" w:sz="0" w:space="0" w:color="auto"/>
                <w:bottom w:val="none" w:sz="0" w:space="0" w:color="auto"/>
                <w:right w:val="none" w:sz="0" w:space="0" w:color="auto"/>
              </w:divBdr>
            </w:div>
            <w:div w:id="1845432871">
              <w:marLeft w:val="0"/>
              <w:marRight w:val="0"/>
              <w:marTop w:val="0"/>
              <w:marBottom w:val="0"/>
              <w:divBdr>
                <w:top w:val="none" w:sz="0" w:space="0" w:color="auto"/>
                <w:left w:val="none" w:sz="0" w:space="0" w:color="auto"/>
                <w:bottom w:val="none" w:sz="0" w:space="0" w:color="auto"/>
                <w:right w:val="none" w:sz="0" w:space="0" w:color="auto"/>
              </w:divBdr>
            </w:div>
            <w:div w:id="1877739294">
              <w:marLeft w:val="0"/>
              <w:marRight w:val="0"/>
              <w:marTop w:val="0"/>
              <w:marBottom w:val="0"/>
              <w:divBdr>
                <w:top w:val="none" w:sz="0" w:space="0" w:color="auto"/>
                <w:left w:val="none" w:sz="0" w:space="0" w:color="auto"/>
                <w:bottom w:val="none" w:sz="0" w:space="0" w:color="auto"/>
                <w:right w:val="none" w:sz="0" w:space="0" w:color="auto"/>
              </w:divBdr>
            </w:div>
            <w:div w:id="1916548215">
              <w:marLeft w:val="0"/>
              <w:marRight w:val="0"/>
              <w:marTop w:val="0"/>
              <w:marBottom w:val="0"/>
              <w:divBdr>
                <w:top w:val="none" w:sz="0" w:space="0" w:color="auto"/>
                <w:left w:val="none" w:sz="0" w:space="0" w:color="auto"/>
                <w:bottom w:val="none" w:sz="0" w:space="0" w:color="auto"/>
                <w:right w:val="none" w:sz="0" w:space="0" w:color="auto"/>
              </w:divBdr>
            </w:div>
            <w:div w:id="1956012960">
              <w:marLeft w:val="0"/>
              <w:marRight w:val="0"/>
              <w:marTop w:val="0"/>
              <w:marBottom w:val="0"/>
              <w:divBdr>
                <w:top w:val="none" w:sz="0" w:space="0" w:color="auto"/>
                <w:left w:val="none" w:sz="0" w:space="0" w:color="auto"/>
                <w:bottom w:val="none" w:sz="0" w:space="0" w:color="auto"/>
                <w:right w:val="none" w:sz="0" w:space="0" w:color="auto"/>
              </w:divBdr>
            </w:div>
            <w:div w:id="2022245088">
              <w:marLeft w:val="0"/>
              <w:marRight w:val="0"/>
              <w:marTop w:val="0"/>
              <w:marBottom w:val="0"/>
              <w:divBdr>
                <w:top w:val="none" w:sz="0" w:space="0" w:color="auto"/>
                <w:left w:val="none" w:sz="0" w:space="0" w:color="auto"/>
                <w:bottom w:val="none" w:sz="0" w:space="0" w:color="auto"/>
                <w:right w:val="none" w:sz="0" w:space="0" w:color="auto"/>
              </w:divBdr>
            </w:div>
            <w:div w:id="2055421632">
              <w:marLeft w:val="0"/>
              <w:marRight w:val="0"/>
              <w:marTop w:val="0"/>
              <w:marBottom w:val="0"/>
              <w:divBdr>
                <w:top w:val="none" w:sz="0" w:space="0" w:color="auto"/>
                <w:left w:val="none" w:sz="0" w:space="0" w:color="auto"/>
                <w:bottom w:val="none" w:sz="0" w:space="0" w:color="auto"/>
                <w:right w:val="none" w:sz="0" w:space="0" w:color="auto"/>
              </w:divBdr>
            </w:div>
            <w:div w:id="2076736990">
              <w:marLeft w:val="0"/>
              <w:marRight w:val="0"/>
              <w:marTop w:val="0"/>
              <w:marBottom w:val="0"/>
              <w:divBdr>
                <w:top w:val="none" w:sz="0" w:space="0" w:color="auto"/>
                <w:left w:val="none" w:sz="0" w:space="0" w:color="auto"/>
                <w:bottom w:val="none" w:sz="0" w:space="0" w:color="auto"/>
                <w:right w:val="none" w:sz="0" w:space="0" w:color="auto"/>
              </w:divBdr>
            </w:div>
            <w:div w:id="2107538525">
              <w:marLeft w:val="0"/>
              <w:marRight w:val="0"/>
              <w:marTop w:val="0"/>
              <w:marBottom w:val="0"/>
              <w:divBdr>
                <w:top w:val="none" w:sz="0" w:space="0" w:color="auto"/>
                <w:left w:val="none" w:sz="0" w:space="0" w:color="auto"/>
                <w:bottom w:val="none" w:sz="0" w:space="0" w:color="auto"/>
                <w:right w:val="none" w:sz="0" w:space="0" w:color="auto"/>
              </w:divBdr>
            </w:div>
          </w:divsChild>
        </w:div>
        <w:div w:id="483011979">
          <w:marLeft w:val="0"/>
          <w:marRight w:val="0"/>
          <w:marTop w:val="0"/>
          <w:marBottom w:val="0"/>
          <w:divBdr>
            <w:top w:val="none" w:sz="0" w:space="0" w:color="auto"/>
            <w:left w:val="none" w:sz="0" w:space="0" w:color="auto"/>
            <w:bottom w:val="none" w:sz="0" w:space="0" w:color="auto"/>
            <w:right w:val="none" w:sz="0" w:space="0" w:color="auto"/>
          </w:divBdr>
          <w:divsChild>
            <w:div w:id="291903524">
              <w:marLeft w:val="0"/>
              <w:marRight w:val="0"/>
              <w:marTop w:val="0"/>
              <w:marBottom w:val="0"/>
              <w:divBdr>
                <w:top w:val="none" w:sz="0" w:space="0" w:color="auto"/>
                <w:left w:val="none" w:sz="0" w:space="0" w:color="auto"/>
                <w:bottom w:val="none" w:sz="0" w:space="0" w:color="auto"/>
                <w:right w:val="none" w:sz="0" w:space="0" w:color="auto"/>
              </w:divBdr>
            </w:div>
            <w:div w:id="294601992">
              <w:marLeft w:val="0"/>
              <w:marRight w:val="0"/>
              <w:marTop w:val="0"/>
              <w:marBottom w:val="0"/>
              <w:divBdr>
                <w:top w:val="none" w:sz="0" w:space="0" w:color="auto"/>
                <w:left w:val="none" w:sz="0" w:space="0" w:color="auto"/>
                <w:bottom w:val="none" w:sz="0" w:space="0" w:color="auto"/>
                <w:right w:val="none" w:sz="0" w:space="0" w:color="auto"/>
              </w:divBdr>
            </w:div>
            <w:div w:id="419834291">
              <w:marLeft w:val="0"/>
              <w:marRight w:val="0"/>
              <w:marTop w:val="0"/>
              <w:marBottom w:val="0"/>
              <w:divBdr>
                <w:top w:val="none" w:sz="0" w:space="0" w:color="auto"/>
                <w:left w:val="none" w:sz="0" w:space="0" w:color="auto"/>
                <w:bottom w:val="none" w:sz="0" w:space="0" w:color="auto"/>
                <w:right w:val="none" w:sz="0" w:space="0" w:color="auto"/>
              </w:divBdr>
            </w:div>
            <w:div w:id="457263006">
              <w:marLeft w:val="0"/>
              <w:marRight w:val="0"/>
              <w:marTop w:val="0"/>
              <w:marBottom w:val="0"/>
              <w:divBdr>
                <w:top w:val="none" w:sz="0" w:space="0" w:color="auto"/>
                <w:left w:val="none" w:sz="0" w:space="0" w:color="auto"/>
                <w:bottom w:val="none" w:sz="0" w:space="0" w:color="auto"/>
                <w:right w:val="none" w:sz="0" w:space="0" w:color="auto"/>
              </w:divBdr>
            </w:div>
            <w:div w:id="518392346">
              <w:marLeft w:val="0"/>
              <w:marRight w:val="0"/>
              <w:marTop w:val="0"/>
              <w:marBottom w:val="0"/>
              <w:divBdr>
                <w:top w:val="none" w:sz="0" w:space="0" w:color="auto"/>
                <w:left w:val="none" w:sz="0" w:space="0" w:color="auto"/>
                <w:bottom w:val="none" w:sz="0" w:space="0" w:color="auto"/>
                <w:right w:val="none" w:sz="0" w:space="0" w:color="auto"/>
              </w:divBdr>
            </w:div>
            <w:div w:id="708456976">
              <w:marLeft w:val="0"/>
              <w:marRight w:val="0"/>
              <w:marTop w:val="0"/>
              <w:marBottom w:val="0"/>
              <w:divBdr>
                <w:top w:val="none" w:sz="0" w:space="0" w:color="auto"/>
                <w:left w:val="none" w:sz="0" w:space="0" w:color="auto"/>
                <w:bottom w:val="none" w:sz="0" w:space="0" w:color="auto"/>
                <w:right w:val="none" w:sz="0" w:space="0" w:color="auto"/>
              </w:divBdr>
            </w:div>
            <w:div w:id="754979784">
              <w:marLeft w:val="0"/>
              <w:marRight w:val="0"/>
              <w:marTop w:val="0"/>
              <w:marBottom w:val="0"/>
              <w:divBdr>
                <w:top w:val="none" w:sz="0" w:space="0" w:color="auto"/>
                <w:left w:val="none" w:sz="0" w:space="0" w:color="auto"/>
                <w:bottom w:val="none" w:sz="0" w:space="0" w:color="auto"/>
                <w:right w:val="none" w:sz="0" w:space="0" w:color="auto"/>
              </w:divBdr>
            </w:div>
            <w:div w:id="807479744">
              <w:marLeft w:val="0"/>
              <w:marRight w:val="0"/>
              <w:marTop w:val="0"/>
              <w:marBottom w:val="0"/>
              <w:divBdr>
                <w:top w:val="none" w:sz="0" w:space="0" w:color="auto"/>
                <w:left w:val="none" w:sz="0" w:space="0" w:color="auto"/>
                <w:bottom w:val="none" w:sz="0" w:space="0" w:color="auto"/>
                <w:right w:val="none" w:sz="0" w:space="0" w:color="auto"/>
              </w:divBdr>
            </w:div>
            <w:div w:id="959802944">
              <w:marLeft w:val="0"/>
              <w:marRight w:val="0"/>
              <w:marTop w:val="0"/>
              <w:marBottom w:val="0"/>
              <w:divBdr>
                <w:top w:val="none" w:sz="0" w:space="0" w:color="auto"/>
                <w:left w:val="none" w:sz="0" w:space="0" w:color="auto"/>
                <w:bottom w:val="none" w:sz="0" w:space="0" w:color="auto"/>
                <w:right w:val="none" w:sz="0" w:space="0" w:color="auto"/>
              </w:divBdr>
            </w:div>
            <w:div w:id="1139229897">
              <w:marLeft w:val="0"/>
              <w:marRight w:val="0"/>
              <w:marTop w:val="0"/>
              <w:marBottom w:val="0"/>
              <w:divBdr>
                <w:top w:val="none" w:sz="0" w:space="0" w:color="auto"/>
                <w:left w:val="none" w:sz="0" w:space="0" w:color="auto"/>
                <w:bottom w:val="none" w:sz="0" w:space="0" w:color="auto"/>
                <w:right w:val="none" w:sz="0" w:space="0" w:color="auto"/>
              </w:divBdr>
            </w:div>
            <w:div w:id="1189904135">
              <w:marLeft w:val="0"/>
              <w:marRight w:val="0"/>
              <w:marTop w:val="0"/>
              <w:marBottom w:val="0"/>
              <w:divBdr>
                <w:top w:val="none" w:sz="0" w:space="0" w:color="auto"/>
                <w:left w:val="none" w:sz="0" w:space="0" w:color="auto"/>
                <w:bottom w:val="none" w:sz="0" w:space="0" w:color="auto"/>
                <w:right w:val="none" w:sz="0" w:space="0" w:color="auto"/>
              </w:divBdr>
            </w:div>
            <w:div w:id="1228108616">
              <w:marLeft w:val="0"/>
              <w:marRight w:val="0"/>
              <w:marTop w:val="0"/>
              <w:marBottom w:val="0"/>
              <w:divBdr>
                <w:top w:val="none" w:sz="0" w:space="0" w:color="auto"/>
                <w:left w:val="none" w:sz="0" w:space="0" w:color="auto"/>
                <w:bottom w:val="none" w:sz="0" w:space="0" w:color="auto"/>
                <w:right w:val="none" w:sz="0" w:space="0" w:color="auto"/>
              </w:divBdr>
            </w:div>
            <w:div w:id="1272318391">
              <w:marLeft w:val="0"/>
              <w:marRight w:val="0"/>
              <w:marTop w:val="0"/>
              <w:marBottom w:val="0"/>
              <w:divBdr>
                <w:top w:val="none" w:sz="0" w:space="0" w:color="auto"/>
                <w:left w:val="none" w:sz="0" w:space="0" w:color="auto"/>
                <w:bottom w:val="none" w:sz="0" w:space="0" w:color="auto"/>
                <w:right w:val="none" w:sz="0" w:space="0" w:color="auto"/>
              </w:divBdr>
            </w:div>
            <w:div w:id="1470324380">
              <w:marLeft w:val="0"/>
              <w:marRight w:val="0"/>
              <w:marTop w:val="0"/>
              <w:marBottom w:val="0"/>
              <w:divBdr>
                <w:top w:val="none" w:sz="0" w:space="0" w:color="auto"/>
                <w:left w:val="none" w:sz="0" w:space="0" w:color="auto"/>
                <w:bottom w:val="none" w:sz="0" w:space="0" w:color="auto"/>
                <w:right w:val="none" w:sz="0" w:space="0" w:color="auto"/>
              </w:divBdr>
            </w:div>
            <w:div w:id="1599486457">
              <w:marLeft w:val="0"/>
              <w:marRight w:val="0"/>
              <w:marTop w:val="0"/>
              <w:marBottom w:val="0"/>
              <w:divBdr>
                <w:top w:val="none" w:sz="0" w:space="0" w:color="auto"/>
                <w:left w:val="none" w:sz="0" w:space="0" w:color="auto"/>
                <w:bottom w:val="none" w:sz="0" w:space="0" w:color="auto"/>
                <w:right w:val="none" w:sz="0" w:space="0" w:color="auto"/>
              </w:divBdr>
            </w:div>
            <w:div w:id="1645086158">
              <w:marLeft w:val="0"/>
              <w:marRight w:val="0"/>
              <w:marTop w:val="0"/>
              <w:marBottom w:val="0"/>
              <w:divBdr>
                <w:top w:val="none" w:sz="0" w:space="0" w:color="auto"/>
                <w:left w:val="none" w:sz="0" w:space="0" w:color="auto"/>
                <w:bottom w:val="none" w:sz="0" w:space="0" w:color="auto"/>
                <w:right w:val="none" w:sz="0" w:space="0" w:color="auto"/>
              </w:divBdr>
            </w:div>
            <w:div w:id="1739355744">
              <w:marLeft w:val="0"/>
              <w:marRight w:val="0"/>
              <w:marTop w:val="0"/>
              <w:marBottom w:val="0"/>
              <w:divBdr>
                <w:top w:val="none" w:sz="0" w:space="0" w:color="auto"/>
                <w:left w:val="none" w:sz="0" w:space="0" w:color="auto"/>
                <w:bottom w:val="none" w:sz="0" w:space="0" w:color="auto"/>
                <w:right w:val="none" w:sz="0" w:space="0" w:color="auto"/>
              </w:divBdr>
            </w:div>
            <w:div w:id="1854831397">
              <w:marLeft w:val="0"/>
              <w:marRight w:val="0"/>
              <w:marTop w:val="0"/>
              <w:marBottom w:val="0"/>
              <w:divBdr>
                <w:top w:val="none" w:sz="0" w:space="0" w:color="auto"/>
                <w:left w:val="none" w:sz="0" w:space="0" w:color="auto"/>
                <w:bottom w:val="none" w:sz="0" w:space="0" w:color="auto"/>
                <w:right w:val="none" w:sz="0" w:space="0" w:color="auto"/>
              </w:divBdr>
            </w:div>
            <w:div w:id="1901479451">
              <w:marLeft w:val="0"/>
              <w:marRight w:val="0"/>
              <w:marTop w:val="0"/>
              <w:marBottom w:val="0"/>
              <w:divBdr>
                <w:top w:val="none" w:sz="0" w:space="0" w:color="auto"/>
                <w:left w:val="none" w:sz="0" w:space="0" w:color="auto"/>
                <w:bottom w:val="none" w:sz="0" w:space="0" w:color="auto"/>
                <w:right w:val="none" w:sz="0" w:space="0" w:color="auto"/>
              </w:divBdr>
            </w:div>
          </w:divsChild>
        </w:div>
        <w:div w:id="485247290">
          <w:marLeft w:val="0"/>
          <w:marRight w:val="0"/>
          <w:marTop w:val="0"/>
          <w:marBottom w:val="0"/>
          <w:divBdr>
            <w:top w:val="none" w:sz="0" w:space="0" w:color="auto"/>
            <w:left w:val="none" w:sz="0" w:space="0" w:color="auto"/>
            <w:bottom w:val="none" w:sz="0" w:space="0" w:color="auto"/>
            <w:right w:val="none" w:sz="0" w:space="0" w:color="auto"/>
          </w:divBdr>
        </w:div>
        <w:div w:id="490563389">
          <w:marLeft w:val="0"/>
          <w:marRight w:val="0"/>
          <w:marTop w:val="0"/>
          <w:marBottom w:val="0"/>
          <w:divBdr>
            <w:top w:val="none" w:sz="0" w:space="0" w:color="auto"/>
            <w:left w:val="none" w:sz="0" w:space="0" w:color="auto"/>
            <w:bottom w:val="none" w:sz="0" w:space="0" w:color="auto"/>
            <w:right w:val="none" w:sz="0" w:space="0" w:color="auto"/>
          </w:divBdr>
          <w:divsChild>
            <w:div w:id="167260846">
              <w:marLeft w:val="0"/>
              <w:marRight w:val="0"/>
              <w:marTop w:val="0"/>
              <w:marBottom w:val="0"/>
              <w:divBdr>
                <w:top w:val="none" w:sz="0" w:space="0" w:color="auto"/>
                <w:left w:val="none" w:sz="0" w:space="0" w:color="auto"/>
                <w:bottom w:val="none" w:sz="0" w:space="0" w:color="auto"/>
                <w:right w:val="none" w:sz="0" w:space="0" w:color="auto"/>
              </w:divBdr>
            </w:div>
            <w:div w:id="170879567">
              <w:marLeft w:val="0"/>
              <w:marRight w:val="0"/>
              <w:marTop w:val="0"/>
              <w:marBottom w:val="0"/>
              <w:divBdr>
                <w:top w:val="none" w:sz="0" w:space="0" w:color="auto"/>
                <w:left w:val="none" w:sz="0" w:space="0" w:color="auto"/>
                <w:bottom w:val="none" w:sz="0" w:space="0" w:color="auto"/>
                <w:right w:val="none" w:sz="0" w:space="0" w:color="auto"/>
              </w:divBdr>
            </w:div>
            <w:div w:id="209922020">
              <w:marLeft w:val="0"/>
              <w:marRight w:val="0"/>
              <w:marTop w:val="0"/>
              <w:marBottom w:val="0"/>
              <w:divBdr>
                <w:top w:val="none" w:sz="0" w:space="0" w:color="auto"/>
                <w:left w:val="none" w:sz="0" w:space="0" w:color="auto"/>
                <w:bottom w:val="none" w:sz="0" w:space="0" w:color="auto"/>
                <w:right w:val="none" w:sz="0" w:space="0" w:color="auto"/>
              </w:divBdr>
            </w:div>
            <w:div w:id="244850044">
              <w:marLeft w:val="0"/>
              <w:marRight w:val="0"/>
              <w:marTop w:val="0"/>
              <w:marBottom w:val="0"/>
              <w:divBdr>
                <w:top w:val="none" w:sz="0" w:space="0" w:color="auto"/>
                <w:left w:val="none" w:sz="0" w:space="0" w:color="auto"/>
                <w:bottom w:val="none" w:sz="0" w:space="0" w:color="auto"/>
                <w:right w:val="none" w:sz="0" w:space="0" w:color="auto"/>
              </w:divBdr>
            </w:div>
            <w:div w:id="303587468">
              <w:marLeft w:val="0"/>
              <w:marRight w:val="0"/>
              <w:marTop w:val="0"/>
              <w:marBottom w:val="0"/>
              <w:divBdr>
                <w:top w:val="none" w:sz="0" w:space="0" w:color="auto"/>
                <w:left w:val="none" w:sz="0" w:space="0" w:color="auto"/>
                <w:bottom w:val="none" w:sz="0" w:space="0" w:color="auto"/>
                <w:right w:val="none" w:sz="0" w:space="0" w:color="auto"/>
              </w:divBdr>
            </w:div>
            <w:div w:id="412244067">
              <w:marLeft w:val="0"/>
              <w:marRight w:val="0"/>
              <w:marTop w:val="0"/>
              <w:marBottom w:val="0"/>
              <w:divBdr>
                <w:top w:val="none" w:sz="0" w:space="0" w:color="auto"/>
                <w:left w:val="none" w:sz="0" w:space="0" w:color="auto"/>
                <w:bottom w:val="none" w:sz="0" w:space="0" w:color="auto"/>
                <w:right w:val="none" w:sz="0" w:space="0" w:color="auto"/>
              </w:divBdr>
            </w:div>
            <w:div w:id="669674527">
              <w:marLeft w:val="0"/>
              <w:marRight w:val="0"/>
              <w:marTop w:val="0"/>
              <w:marBottom w:val="0"/>
              <w:divBdr>
                <w:top w:val="none" w:sz="0" w:space="0" w:color="auto"/>
                <w:left w:val="none" w:sz="0" w:space="0" w:color="auto"/>
                <w:bottom w:val="none" w:sz="0" w:space="0" w:color="auto"/>
                <w:right w:val="none" w:sz="0" w:space="0" w:color="auto"/>
              </w:divBdr>
            </w:div>
            <w:div w:id="793644173">
              <w:marLeft w:val="0"/>
              <w:marRight w:val="0"/>
              <w:marTop w:val="0"/>
              <w:marBottom w:val="0"/>
              <w:divBdr>
                <w:top w:val="none" w:sz="0" w:space="0" w:color="auto"/>
                <w:left w:val="none" w:sz="0" w:space="0" w:color="auto"/>
                <w:bottom w:val="none" w:sz="0" w:space="0" w:color="auto"/>
                <w:right w:val="none" w:sz="0" w:space="0" w:color="auto"/>
              </w:divBdr>
            </w:div>
            <w:div w:id="1133136891">
              <w:marLeft w:val="0"/>
              <w:marRight w:val="0"/>
              <w:marTop w:val="0"/>
              <w:marBottom w:val="0"/>
              <w:divBdr>
                <w:top w:val="none" w:sz="0" w:space="0" w:color="auto"/>
                <w:left w:val="none" w:sz="0" w:space="0" w:color="auto"/>
                <w:bottom w:val="none" w:sz="0" w:space="0" w:color="auto"/>
                <w:right w:val="none" w:sz="0" w:space="0" w:color="auto"/>
              </w:divBdr>
            </w:div>
            <w:div w:id="1944921687">
              <w:marLeft w:val="0"/>
              <w:marRight w:val="0"/>
              <w:marTop w:val="0"/>
              <w:marBottom w:val="0"/>
              <w:divBdr>
                <w:top w:val="none" w:sz="0" w:space="0" w:color="auto"/>
                <w:left w:val="none" w:sz="0" w:space="0" w:color="auto"/>
                <w:bottom w:val="none" w:sz="0" w:space="0" w:color="auto"/>
                <w:right w:val="none" w:sz="0" w:space="0" w:color="auto"/>
              </w:divBdr>
            </w:div>
            <w:div w:id="1950509931">
              <w:marLeft w:val="0"/>
              <w:marRight w:val="0"/>
              <w:marTop w:val="0"/>
              <w:marBottom w:val="0"/>
              <w:divBdr>
                <w:top w:val="none" w:sz="0" w:space="0" w:color="auto"/>
                <w:left w:val="none" w:sz="0" w:space="0" w:color="auto"/>
                <w:bottom w:val="none" w:sz="0" w:space="0" w:color="auto"/>
                <w:right w:val="none" w:sz="0" w:space="0" w:color="auto"/>
              </w:divBdr>
            </w:div>
            <w:div w:id="2016837060">
              <w:marLeft w:val="0"/>
              <w:marRight w:val="0"/>
              <w:marTop w:val="0"/>
              <w:marBottom w:val="0"/>
              <w:divBdr>
                <w:top w:val="none" w:sz="0" w:space="0" w:color="auto"/>
                <w:left w:val="none" w:sz="0" w:space="0" w:color="auto"/>
                <w:bottom w:val="none" w:sz="0" w:space="0" w:color="auto"/>
                <w:right w:val="none" w:sz="0" w:space="0" w:color="auto"/>
              </w:divBdr>
            </w:div>
            <w:div w:id="2043313602">
              <w:marLeft w:val="0"/>
              <w:marRight w:val="0"/>
              <w:marTop w:val="0"/>
              <w:marBottom w:val="0"/>
              <w:divBdr>
                <w:top w:val="none" w:sz="0" w:space="0" w:color="auto"/>
                <w:left w:val="none" w:sz="0" w:space="0" w:color="auto"/>
                <w:bottom w:val="none" w:sz="0" w:space="0" w:color="auto"/>
                <w:right w:val="none" w:sz="0" w:space="0" w:color="auto"/>
              </w:divBdr>
            </w:div>
            <w:div w:id="2050255387">
              <w:marLeft w:val="0"/>
              <w:marRight w:val="0"/>
              <w:marTop w:val="0"/>
              <w:marBottom w:val="0"/>
              <w:divBdr>
                <w:top w:val="none" w:sz="0" w:space="0" w:color="auto"/>
                <w:left w:val="none" w:sz="0" w:space="0" w:color="auto"/>
                <w:bottom w:val="none" w:sz="0" w:space="0" w:color="auto"/>
                <w:right w:val="none" w:sz="0" w:space="0" w:color="auto"/>
              </w:divBdr>
            </w:div>
            <w:div w:id="2073036671">
              <w:marLeft w:val="0"/>
              <w:marRight w:val="0"/>
              <w:marTop w:val="0"/>
              <w:marBottom w:val="0"/>
              <w:divBdr>
                <w:top w:val="none" w:sz="0" w:space="0" w:color="auto"/>
                <w:left w:val="none" w:sz="0" w:space="0" w:color="auto"/>
                <w:bottom w:val="none" w:sz="0" w:space="0" w:color="auto"/>
                <w:right w:val="none" w:sz="0" w:space="0" w:color="auto"/>
              </w:divBdr>
            </w:div>
            <w:div w:id="2114737463">
              <w:marLeft w:val="0"/>
              <w:marRight w:val="0"/>
              <w:marTop w:val="0"/>
              <w:marBottom w:val="0"/>
              <w:divBdr>
                <w:top w:val="none" w:sz="0" w:space="0" w:color="auto"/>
                <w:left w:val="none" w:sz="0" w:space="0" w:color="auto"/>
                <w:bottom w:val="none" w:sz="0" w:space="0" w:color="auto"/>
                <w:right w:val="none" w:sz="0" w:space="0" w:color="auto"/>
              </w:divBdr>
            </w:div>
          </w:divsChild>
        </w:div>
        <w:div w:id="490679191">
          <w:marLeft w:val="0"/>
          <w:marRight w:val="0"/>
          <w:marTop w:val="0"/>
          <w:marBottom w:val="0"/>
          <w:divBdr>
            <w:top w:val="none" w:sz="0" w:space="0" w:color="auto"/>
            <w:left w:val="none" w:sz="0" w:space="0" w:color="auto"/>
            <w:bottom w:val="none" w:sz="0" w:space="0" w:color="auto"/>
            <w:right w:val="none" w:sz="0" w:space="0" w:color="auto"/>
          </w:divBdr>
        </w:div>
        <w:div w:id="491943761">
          <w:marLeft w:val="0"/>
          <w:marRight w:val="0"/>
          <w:marTop w:val="0"/>
          <w:marBottom w:val="0"/>
          <w:divBdr>
            <w:top w:val="none" w:sz="0" w:space="0" w:color="auto"/>
            <w:left w:val="none" w:sz="0" w:space="0" w:color="auto"/>
            <w:bottom w:val="none" w:sz="0" w:space="0" w:color="auto"/>
            <w:right w:val="none" w:sz="0" w:space="0" w:color="auto"/>
          </w:divBdr>
        </w:div>
        <w:div w:id="494342734">
          <w:marLeft w:val="0"/>
          <w:marRight w:val="0"/>
          <w:marTop w:val="0"/>
          <w:marBottom w:val="0"/>
          <w:divBdr>
            <w:top w:val="none" w:sz="0" w:space="0" w:color="auto"/>
            <w:left w:val="none" w:sz="0" w:space="0" w:color="auto"/>
            <w:bottom w:val="none" w:sz="0" w:space="0" w:color="auto"/>
            <w:right w:val="none" w:sz="0" w:space="0" w:color="auto"/>
          </w:divBdr>
        </w:div>
        <w:div w:id="494734694">
          <w:marLeft w:val="0"/>
          <w:marRight w:val="0"/>
          <w:marTop w:val="0"/>
          <w:marBottom w:val="0"/>
          <w:divBdr>
            <w:top w:val="none" w:sz="0" w:space="0" w:color="auto"/>
            <w:left w:val="none" w:sz="0" w:space="0" w:color="auto"/>
            <w:bottom w:val="none" w:sz="0" w:space="0" w:color="auto"/>
            <w:right w:val="none" w:sz="0" w:space="0" w:color="auto"/>
          </w:divBdr>
        </w:div>
        <w:div w:id="495650595">
          <w:marLeft w:val="0"/>
          <w:marRight w:val="0"/>
          <w:marTop w:val="0"/>
          <w:marBottom w:val="0"/>
          <w:divBdr>
            <w:top w:val="none" w:sz="0" w:space="0" w:color="auto"/>
            <w:left w:val="none" w:sz="0" w:space="0" w:color="auto"/>
            <w:bottom w:val="none" w:sz="0" w:space="0" w:color="auto"/>
            <w:right w:val="none" w:sz="0" w:space="0" w:color="auto"/>
          </w:divBdr>
        </w:div>
        <w:div w:id="495808580">
          <w:marLeft w:val="0"/>
          <w:marRight w:val="0"/>
          <w:marTop w:val="0"/>
          <w:marBottom w:val="0"/>
          <w:divBdr>
            <w:top w:val="none" w:sz="0" w:space="0" w:color="auto"/>
            <w:left w:val="none" w:sz="0" w:space="0" w:color="auto"/>
            <w:bottom w:val="none" w:sz="0" w:space="0" w:color="auto"/>
            <w:right w:val="none" w:sz="0" w:space="0" w:color="auto"/>
          </w:divBdr>
        </w:div>
        <w:div w:id="496917836">
          <w:marLeft w:val="0"/>
          <w:marRight w:val="0"/>
          <w:marTop w:val="0"/>
          <w:marBottom w:val="0"/>
          <w:divBdr>
            <w:top w:val="none" w:sz="0" w:space="0" w:color="auto"/>
            <w:left w:val="none" w:sz="0" w:space="0" w:color="auto"/>
            <w:bottom w:val="none" w:sz="0" w:space="0" w:color="auto"/>
            <w:right w:val="none" w:sz="0" w:space="0" w:color="auto"/>
          </w:divBdr>
        </w:div>
        <w:div w:id="499855140">
          <w:marLeft w:val="0"/>
          <w:marRight w:val="0"/>
          <w:marTop w:val="0"/>
          <w:marBottom w:val="0"/>
          <w:divBdr>
            <w:top w:val="none" w:sz="0" w:space="0" w:color="auto"/>
            <w:left w:val="none" w:sz="0" w:space="0" w:color="auto"/>
            <w:bottom w:val="none" w:sz="0" w:space="0" w:color="auto"/>
            <w:right w:val="none" w:sz="0" w:space="0" w:color="auto"/>
          </w:divBdr>
        </w:div>
        <w:div w:id="500971956">
          <w:marLeft w:val="0"/>
          <w:marRight w:val="0"/>
          <w:marTop w:val="0"/>
          <w:marBottom w:val="0"/>
          <w:divBdr>
            <w:top w:val="none" w:sz="0" w:space="0" w:color="auto"/>
            <w:left w:val="none" w:sz="0" w:space="0" w:color="auto"/>
            <w:bottom w:val="none" w:sz="0" w:space="0" w:color="auto"/>
            <w:right w:val="none" w:sz="0" w:space="0" w:color="auto"/>
          </w:divBdr>
        </w:div>
        <w:div w:id="501091504">
          <w:marLeft w:val="0"/>
          <w:marRight w:val="0"/>
          <w:marTop w:val="0"/>
          <w:marBottom w:val="0"/>
          <w:divBdr>
            <w:top w:val="none" w:sz="0" w:space="0" w:color="auto"/>
            <w:left w:val="none" w:sz="0" w:space="0" w:color="auto"/>
            <w:bottom w:val="none" w:sz="0" w:space="0" w:color="auto"/>
            <w:right w:val="none" w:sz="0" w:space="0" w:color="auto"/>
          </w:divBdr>
        </w:div>
        <w:div w:id="501631379">
          <w:marLeft w:val="0"/>
          <w:marRight w:val="0"/>
          <w:marTop w:val="0"/>
          <w:marBottom w:val="0"/>
          <w:divBdr>
            <w:top w:val="none" w:sz="0" w:space="0" w:color="auto"/>
            <w:left w:val="none" w:sz="0" w:space="0" w:color="auto"/>
            <w:bottom w:val="none" w:sz="0" w:space="0" w:color="auto"/>
            <w:right w:val="none" w:sz="0" w:space="0" w:color="auto"/>
          </w:divBdr>
        </w:div>
        <w:div w:id="502747686">
          <w:marLeft w:val="0"/>
          <w:marRight w:val="0"/>
          <w:marTop w:val="0"/>
          <w:marBottom w:val="0"/>
          <w:divBdr>
            <w:top w:val="none" w:sz="0" w:space="0" w:color="auto"/>
            <w:left w:val="none" w:sz="0" w:space="0" w:color="auto"/>
            <w:bottom w:val="none" w:sz="0" w:space="0" w:color="auto"/>
            <w:right w:val="none" w:sz="0" w:space="0" w:color="auto"/>
          </w:divBdr>
        </w:div>
        <w:div w:id="503252306">
          <w:marLeft w:val="0"/>
          <w:marRight w:val="0"/>
          <w:marTop w:val="0"/>
          <w:marBottom w:val="0"/>
          <w:divBdr>
            <w:top w:val="none" w:sz="0" w:space="0" w:color="auto"/>
            <w:left w:val="none" w:sz="0" w:space="0" w:color="auto"/>
            <w:bottom w:val="none" w:sz="0" w:space="0" w:color="auto"/>
            <w:right w:val="none" w:sz="0" w:space="0" w:color="auto"/>
          </w:divBdr>
        </w:div>
        <w:div w:id="505636348">
          <w:marLeft w:val="0"/>
          <w:marRight w:val="0"/>
          <w:marTop w:val="0"/>
          <w:marBottom w:val="0"/>
          <w:divBdr>
            <w:top w:val="none" w:sz="0" w:space="0" w:color="auto"/>
            <w:left w:val="none" w:sz="0" w:space="0" w:color="auto"/>
            <w:bottom w:val="none" w:sz="0" w:space="0" w:color="auto"/>
            <w:right w:val="none" w:sz="0" w:space="0" w:color="auto"/>
          </w:divBdr>
        </w:div>
        <w:div w:id="509175678">
          <w:marLeft w:val="0"/>
          <w:marRight w:val="0"/>
          <w:marTop w:val="0"/>
          <w:marBottom w:val="0"/>
          <w:divBdr>
            <w:top w:val="none" w:sz="0" w:space="0" w:color="auto"/>
            <w:left w:val="none" w:sz="0" w:space="0" w:color="auto"/>
            <w:bottom w:val="none" w:sz="0" w:space="0" w:color="auto"/>
            <w:right w:val="none" w:sz="0" w:space="0" w:color="auto"/>
          </w:divBdr>
          <w:divsChild>
            <w:div w:id="7831369">
              <w:marLeft w:val="0"/>
              <w:marRight w:val="0"/>
              <w:marTop w:val="0"/>
              <w:marBottom w:val="0"/>
              <w:divBdr>
                <w:top w:val="none" w:sz="0" w:space="0" w:color="auto"/>
                <w:left w:val="none" w:sz="0" w:space="0" w:color="auto"/>
                <w:bottom w:val="none" w:sz="0" w:space="0" w:color="auto"/>
                <w:right w:val="none" w:sz="0" w:space="0" w:color="auto"/>
              </w:divBdr>
            </w:div>
            <w:div w:id="58597070">
              <w:marLeft w:val="0"/>
              <w:marRight w:val="0"/>
              <w:marTop w:val="0"/>
              <w:marBottom w:val="0"/>
              <w:divBdr>
                <w:top w:val="none" w:sz="0" w:space="0" w:color="auto"/>
                <w:left w:val="none" w:sz="0" w:space="0" w:color="auto"/>
                <w:bottom w:val="none" w:sz="0" w:space="0" w:color="auto"/>
                <w:right w:val="none" w:sz="0" w:space="0" w:color="auto"/>
              </w:divBdr>
            </w:div>
            <w:div w:id="272135559">
              <w:marLeft w:val="0"/>
              <w:marRight w:val="0"/>
              <w:marTop w:val="0"/>
              <w:marBottom w:val="0"/>
              <w:divBdr>
                <w:top w:val="none" w:sz="0" w:space="0" w:color="auto"/>
                <w:left w:val="none" w:sz="0" w:space="0" w:color="auto"/>
                <w:bottom w:val="none" w:sz="0" w:space="0" w:color="auto"/>
                <w:right w:val="none" w:sz="0" w:space="0" w:color="auto"/>
              </w:divBdr>
            </w:div>
            <w:div w:id="356539005">
              <w:marLeft w:val="0"/>
              <w:marRight w:val="0"/>
              <w:marTop w:val="0"/>
              <w:marBottom w:val="0"/>
              <w:divBdr>
                <w:top w:val="none" w:sz="0" w:space="0" w:color="auto"/>
                <w:left w:val="none" w:sz="0" w:space="0" w:color="auto"/>
                <w:bottom w:val="none" w:sz="0" w:space="0" w:color="auto"/>
                <w:right w:val="none" w:sz="0" w:space="0" w:color="auto"/>
              </w:divBdr>
            </w:div>
            <w:div w:id="810832325">
              <w:marLeft w:val="0"/>
              <w:marRight w:val="0"/>
              <w:marTop w:val="0"/>
              <w:marBottom w:val="0"/>
              <w:divBdr>
                <w:top w:val="none" w:sz="0" w:space="0" w:color="auto"/>
                <w:left w:val="none" w:sz="0" w:space="0" w:color="auto"/>
                <w:bottom w:val="none" w:sz="0" w:space="0" w:color="auto"/>
                <w:right w:val="none" w:sz="0" w:space="0" w:color="auto"/>
              </w:divBdr>
            </w:div>
            <w:div w:id="890195600">
              <w:marLeft w:val="0"/>
              <w:marRight w:val="0"/>
              <w:marTop w:val="0"/>
              <w:marBottom w:val="0"/>
              <w:divBdr>
                <w:top w:val="none" w:sz="0" w:space="0" w:color="auto"/>
                <w:left w:val="none" w:sz="0" w:space="0" w:color="auto"/>
                <w:bottom w:val="none" w:sz="0" w:space="0" w:color="auto"/>
                <w:right w:val="none" w:sz="0" w:space="0" w:color="auto"/>
              </w:divBdr>
            </w:div>
            <w:div w:id="894197678">
              <w:marLeft w:val="0"/>
              <w:marRight w:val="0"/>
              <w:marTop w:val="0"/>
              <w:marBottom w:val="0"/>
              <w:divBdr>
                <w:top w:val="none" w:sz="0" w:space="0" w:color="auto"/>
                <w:left w:val="none" w:sz="0" w:space="0" w:color="auto"/>
                <w:bottom w:val="none" w:sz="0" w:space="0" w:color="auto"/>
                <w:right w:val="none" w:sz="0" w:space="0" w:color="auto"/>
              </w:divBdr>
            </w:div>
            <w:div w:id="1012299421">
              <w:marLeft w:val="0"/>
              <w:marRight w:val="0"/>
              <w:marTop w:val="0"/>
              <w:marBottom w:val="0"/>
              <w:divBdr>
                <w:top w:val="none" w:sz="0" w:space="0" w:color="auto"/>
                <w:left w:val="none" w:sz="0" w:space="0" w:color="auto"/>
                <w:bottom w:val="none" w:sz="0" w:space="0" w:color="auto"/>
                <w:right w:val="none" w:sz="0" w:space="0" w:color="auto"/>
              </w:divBdr>
            </w:div>
            <w:div w:id="1164510342">
              <w:marLeft w:val="0"/>
              <w:marRight w:val="0"/>
              <w:marTop w:val="0"/>
              <w:marBottom w:val="0"/>
              <w:divBdr>
                <w:top w:val="none" w:sz="0" w:space="0" w:color="auto"/>
                <w:left w:val="none" w:sz="0" w:space="0" w:color="auto"/>
                <w:bottom w:val="none" w:sz="0" w:space="0" w:color="auto"/>
                <w:right w:val="none" w:sz="0" w:space="0" w:color="auto"/>
              </w:divBdr>
            </w:div>
            <w:div w:id="1168205876">
              <w:marLeft w:val="0"/>
              <w:marRight w:val="0"/>
              <w:marTop w:val="0"/>
              <w:marBottom w:val="0"/>
              <w:divBdr>
                <w:top w:val="none" w:sz="0" w:space="0" w:color="auto"/>
                <w:left w:val="none" w:sz="0" w:space="0" w:color="auto"/>
                <w:bottom w:val="none" w:sz="0" w:space="0" w:color="auto"/>
                <w:right w:val="none" w:sz="0" w:space="0" w:color="auto"/>
              </w:divBdr>
            </w:div>
            <w:div w:id="1302155585">
              <w:marLeft w:val="0"/>
              <w:marRight w:val="0"/>
              <w:marTop w:val="0"/>
              <w:marBottom w:val="0"/>
              <w:divBdr>
                <w:top w:val="none" w:sz="0" w:space="0" w:color="auto"/>
                <w:left w:val="none" w:sz="0" w:space="0" w:color="auto"/>
                <w:bottom w:val="none" w:sz="0" w:space="0" w:color="auto"/>
                <w:right w:val="none" w:sz="0" w:space="0" w:color="auto"/>
              </w:divBdr>
            </w:div>
            <w:div w:id="1376663158">
              <w:marLeft w:val="0"/>
              <w:marRight w:val="0"/>
              <w:marTop w:val="0"/>
              <w:marBottom w:val="0"/>
              <w:divBdr>
                <w:top w:val="none" w:sz="0" w:space="0" w:color="auto"/>
                <w:left w:val="none" w:sz="0" w:space="0" w:color="auto"/>
                <w:bottom w:val="none" w:sz="0" w:space="0" w:color="auto"/>
                <w:right w:val="none" w:sz="0" w:space="0" w:color="auto"/>
              </w:divBdr>
            </w:div>
            <w:div w:id="1504248007">
              <w:marLeft w:val="0"/>
              <w:marRight w:val="0"/>
              <w:marTop w:val="0"/>
              <w:marBottom w:val="0"/>
              <w:divBdr>
                <w:top w:val="none" w:sz="0" w:space="0" w:color="auto"/>
                <w:left w:val="none" w:sz="0" w:space="0" w:color="auto"/>
                <w:bottom w:val="none" w:sz="0" w:space="0" w:color="auto"/>
                <w:right w:val="none" w:sz="0" w:space="0" w:color="auto"/>
              </w:divBdr>
            </w:div>
            <w:div w:id="1561818643">
              <w:marLeft w:val="0"/>
              <w:marRight w:val="0"/>
              <w:marTop w:val="0"/>
              <w:marBottom w:val="0"/>
              <w:divBdr>
                <w:top w:val="none" w:sz="0" w:space="0" w:color="auto"/>
                <w:left w:val="none" w:sz="0" w:space="0" w:color="auto"/>
                <w:bottom w:val="none" w:sz="0" w:space="0" w:color="auto"/>
                <w:right w:val="none" w:sz="0" w:space="0" w:color="auto"/>
              </w:divBdr>
            </w:div>
            <w:div w:id="1619486895">
              <w:marLeft w:val="0"/>
              <w:marRight w:val="0"/>
              <w:marTop w:val="0"/>
              <w:marBottom w:val="0"/>
              <w:divBdr>
                <w:top w:val="none" w:sz="0" w:space="0" w:color="auto"/>
                <w:left w:val="none" w:sz="0" w:space="0" w:color="auto"/>
                <w:bottom w:val="none" w:sz="0" w:space="0" w:color="auto"/>
                <w:right w:val="none" w:sz="0" w:space="0" w:color="auto"/>
              </w:divBdr>
            </w:div>
            <w:div w:id="1785346497">
              <w:marLeft w:val="0"/>
              <w:marRight w:val="0"/>
              <w:marTop w:val="0"/>
              <w:marBottom w:val="0"/>
              <w:divBdr>
                <w:top w:val="none" w:sz="0" w:space="0" w:color="auto"/>
                <w:left w:val="none" w:sz="0" w:space="0" w:color="auto"/>
                <w:bottom w:val="none" w:sz="0" w:space="0" w:color="auto"/>
                <w:right w:val="none" w:sz="0" w:space="0" w:color="auto"/>
              </w:divBdr>
            </w:div>
            <w:div w:id="1799029904">
              <w:marLeft w:val="0"/>
              <w:marRight w:val="0"/>
              <w:marTop w:val="0"/>
              <w:marBottom w:val="0"/>
              <w:divBdr>
                <w:top w:val="none" w:sz="0" w:space="0" w:color="auto"/>
                <w:left w:val="none" w:sz="0" w:space="0" w:color="auto"/>
                <w:bottom w:val="none" w:sz="0" w:space="0" w:color="auto"/>
                <w:right w:val="none" w:sz="0" w:space="0" w:color="auto"/>
              </w:divBdr>
            </w:div>
            <w:div w:id="2052799433">
              <w:marLeft w:val="0"/>
              <w:marRight w:val="0"/>
              <w:marTop w:val="0"/>
              <w:marBottom w:val="0"/>
              <w:divBdr>
                <w:top w:val="none" w:sz="0" w:space="0" w:color="auto"/>
                <w:left w:val="none" w:sz="0" w:space="0" w:color="auto"/>
                <w:bottom w:val="none" w:sz="0" w:space="0" w:color="auto"/>
                <w:right w:val="none" w:sz="0" w:space="0" w:color="auto"/>
              </w:divBdr>
            </w:div>
          </w:divsChild>
        </w:div>
        <w:div w:id="509611366">
          <w:marLeft w:val="0"/>
          <w:marRight w:val="0"/>
          <w:marTop w:val="0"/>
          <w:marBottom w:val="0"/>
          <w:divBdr>
            <w:top w:val="none" w:sz="0" w:space="0" w:color="auto"/>
            <w:left w:val="none" w:sz="0" w:space="0" w:color="auto"/>
            <w:bottom w:val="none" w:sz="0" w:space="0" w:color="auto"/>
            <w:right w:val="none" w:sz="0" w:space="0" w:color="auto"/>
          </w:divBdr>
        </w:div>
        <w:div w:id="515854329">
          <w:marLeft w:val="0"/>
          <w:marRight w:val="0"/>
          <w:marTop w:val="0"/>
          <w:marBottom w:val="0"/>
          <w:divBdr>
            <w:top w:val="none" w:sz="0" w:space="0" w:color="auto"/>
            <w:left w:val="none" w:sz="0" w:space="0" w:color="auto"/>
            <w:bottom w:val="none" w:sz="0" w:space="0" w:color="auto"/>
            <w:right w:val="none" w:sz="0" w:space="0" w:color="auto"/>
          </w:divBdr>
        </w:div>
        <w:div w:id="518128870">
          <w:marLeft w:val="0"/>
          <w:marRight w:val="0"/>
          <w:marTop w:val="0"/>
          <w:marBottom w:val="0"/>
          <w:divBdr>
            <w:top w:val="none" w:sz="0" w:space="0" w:color="auto"/>
            <w:left w:val="none" w:sz="0" w:space="0" w:color="auto"/>
            <w:bottom w:val="none" w:sz="0" w:space="0" w:color="auto"/>
            <w:right w:val="none" w:sz="0" w:space="0" w:color="auto"/>
          </w:divBdr>
        </w:div>
        <w:div w:id="520045206">
          <w:marLeft w:val="0"/>
          <w:marRight w:val="0"/>
          <w:marTop w:val="0"/>
          <w:marBottom w:val="0"/>
          <w:divBdr>
            <w:top w:val="none" w:sz="0" w:space="0" w:color="auto"/>
            <w:left w:val="none" w:sz="0" w:space="0" w:color="auto"/>
            <w:bottom w:val="none" w:sz="0" w:space="0" w:color="auto"/>
            <w:right w:val="none" w:sz="0" w:space="0" w:color="auto"/>
          </w:divBdr>
          <w:divsChild>
            <w:div w:id="64845591">
              <w:marLeft w:val="0"/>
              <w:marRight w:val="0"/>
              <w:marTop w:val="0"/>
              <w:marBottom w:val="0"/>
              <w:divBdr>
                <w:top w:val="none" w:sz="0" w:space="0" w:color="auto"/>
                <w:left w:val="none" w:sz="0" w:space="0" w:color="auto"/>
                <w:bottom w:val="none" w:sz="0" w:space="0" w:color="auto"/>
                <w:right w:val="none" w:sz="0" w:space="0" w:color="auto"/>
              </w:divBdr>
            </w:div>
            <w:div w:id="111244123">
              <w:marLeft w:val="0"/>
              <w:marRight w:val="0"/>
              <w:marTop w:val="0"/>
              <w:marBottom w:val="0"/>
              <w:divBdr>
                <w:top w:val="none" w:sz="0" w:space="0" w:color="auto"/>
                <w:left w:val="none" w:sz="0" w:space="0" w:color="auto"/>
                <w:bottom w:val="none" w:sz="0" w:space="0" w:color="auto"/>
                <w:right w:val="none" w:sz="0" w:space="0" w:color="auto"/>
              </w:divBdr>
            </w:div>
            <w:div w:id="122503691">
              <w:marLeft w:val="0"/>
              <w:marRight w:val="0"/>
              <w:marTop w:val="0"/>
              <w:marBottom w:val="0"/>
              <w:divBdr>
                <w:top w:val="none" w:sz="0" w:space="0" w:color="auto"/>
                <w:left w:val="none" w:sz="0" w:space="0" w:color="auto"/>
                <w:bottom w:val="none" w:sz="0" w:space="0" w:color="auto"/>
                <w:right w:val="none" w:sz="0" w:space="0" w:color="auto"/>
              </w:divBdr>
            </w:div>
            <w:div w:id="351495440">
              <w:marLeft w:val="0"/>
              <w:marRight w:val="0"/>
              <w:marTop w:val="0"/>
              <w:marBottom w:val="0"/>
              <w:divBdr>
                <w:top w:val="none" w:sz="0" w:space="0" w:color="auto"/>
                <w:left w:val="none" w:sz="0" w:space="0" w:color="auto"/>
                <w:bottom w:val="none" w:sz="0" w:space="0" w:color="auto"/>
                <w:right w:val="none" w:sz="0" w:space="0" w:color="auto"/>
              </w:divBdr>
            </w:div>
            <w:div w:id="477117275">
              <w:marLeft w:val="0"/>
              <w:marRight w:val="0"/>
              <w:marTop w:val="0"/>
              <w:marBottom w:val="0"/>
              <w:divBdr>
                <w:top w:val="none" w:sz="0" w:space="0" w:color="auto"/>
                <w:left w:val="none" w:sz="0" w:space="0" w:color="auto"/>
                <w:bottom w:val="none" w:sz="0" w:space="0" w:color="auto"/>
                <w:right w:val="none" w:sz="0" w:space="0" w:color="auto"/>
              </w:divBdr>
            </w:div>
            <w:div w:id="567423035">
              <w:marLeft w:val="0"/>
              <w:marRight w:val="0"/>
              <w:marTop w:val="0"/>
              <w:marBottom w:val="0"/>
              <w:divBdr>
                <w:top w:val="none" w:sz="0" w:space="0" w:color="auto"/>
                <w:left w:val="none" w:sz="0" w:space="0" w:color="auto"/>
                <w:bottom w:val="none" w:sz="0" w:space="0" w:color="auto"/>
                <w:right w:val="none" w:sz="0" w:space="0" w:color="auto"/>
              </w:divBdr>
            </w:div>
            <w:div w:id="575481958">
              <w:marLeft w:val="0"/>
              <w:marRight w:val="0"/>
              <w:marTop w:val="0"/>
              <w:marBottom w:val="0"/>
              <w:divBdr>
                <w:top w:val="none" w:sz="0" w:space="0" w:color="auto"/>
                <w:left w:val="none" w:sz="0" w:space="0" w:color="auto"/>
                <w:bottom w:val="none" w:sz="0" w:space="0" w:color="auto"/>
                <w:right w:val="none" w:sz="0" w:space="0" w:color="auto"/>
              </w:divBdr>
            </w:div>
            <w:div w:id="898906638">
              <w:marLeft w:val="0"/>
              <w:marRight w:val="0"/>
              <w:marTop w:val="0"/>
              <w:marBottom w:val="0"/>
              <w:divBdr>
                <w:top w:val="none" w:sz="0" w:space="0" w:color="auto"/>
                <w:left w:val="none" w:sz="0" w:space="0" w:color="auto"/>
                <w:bottom w:val="none" w:sz="0" w:space="0" w:color="auto"/>
                <w:right w:val="none" w:sz="0" w:space="0" w:color="auto"/>
              </w:divBdr>
            </w:div>
            <w:div w:id="1115759084">
              <w:marLeft w:val="0"/>
              <w:marRight w:val="0"/>
              <w:marTop w:val="0"/>
              <w:marBottom w:val="0"/>
              <w:divBdr>
                <w:top w:val="none" w:sz="0" w:space="0" w:color="auto"/>
                <w:left w:val="none" w:sz="0" w:space="0" w:color="auto"/>
                <w:bottom w:val="none" w:sz="0" w:space="0" w:color="auto"/>
                <w:right w:val="none" w:sz="0" w:space="0" w:color="auto"/>
              </w:divBdr>
            </w:div>
            <w:div w:id="1137378764">
              <w:marLeft w:val="0"/>
              <w:marRight w:val="0"/>
              <w:marTop w:val="0"/>
              <w:marBottom w:val="0"/>
              <w:divBdr>
                <w:top w:val="none" w:sz="0" w:space="0" w:color="auto"/>
                <w:left w:val="none" w:sz="0" w:space="0" w:color="auto"/>
                <w:bottom w:val="none" w:sz="0" w:space="0" w:color="auto"/>
                <w:right w:val="none" w:sz="0" w:space="0" w:color="auto"/>
              </w:divBdr>
            </w:div>
            <w:div w:id="1202398576">
              <w:marLeft w:val="0"/>
              <w:marRight w:val="0"/>
              <w:marTop w:val="0"/>
              <w:marBottom w:val="0"/>
              <w:divBdr>
                <w:top w:val="none" w:sz="0" w:space="0" w:color="auto"/>
                <w:left w:val="none" w:sz="0" w:space="0" w:color="auto"/>
                <w:bottom w:val="none" w:sz="0" w:space="0" w:color="auto"/>
                <w:right w:val="none" w:sz="0" w:space="0" w:color="auto"/>
              </w:divBdr>
            </w:div>
            <w:div w:id="1460339339">
              <w:marLeft w:val="0"/>
              <w:marRight w:val="0"/>
              <w:marTop w:val="0"/>
              <w:marBottom w:val="0"/>
              <w:divBdr>
                <w:top w:val="none" w:sz="0" w:space="0" w:color="auto"/>
                <w:left w:val="none" w:sz="0" w:space="0" w:color="auto"/>
                <w:bottom w:val="none" w:sz="0" w:space="0" w:color="auto"/>
                <w:right w:val="none" w:sz="0" w:space="0" w:color="auto"/>
              </w:divBdr>
            </w:div>
            <w:div w:id="1470126848">
              <w:marLeft w:val="0"/>
              <w:marRight w:val="0"/>
              <w:marTop w:val="0"/>
              <w:marBottom w:val="0"/>
              <w:divBdr>
                <w:top w:val="none" w:sz="0" w:space="0" w:color="auto"/>
                <w:left w:val="none" w:sz="0" w:space="0" w:color="auto"/>
                <w:bottom w:val="none" w:sz="0" w:space="0" w:color="auto"/>
                <w:right w:val="none" w:sz="0" w:space="0" w:color="auto"/>
              </w:divBdr>
            </w:div>
            <w:div w:id="1508406560">
              <w:marLeft w:val="0"/>
              <w:marRight w:val="0"/>
              <w:marTop w:val="0"/>
              <w:marBottom w:val="0"/>
              <w:divBdr>
                <w:top w:val="none" w:sz="0" w:space="0" w:color="auto"/>
                <w:left w:val="none" w:sz="0" w:space="0" w:color="auto"/>
                <w:bottom w:val="none" w:sz="0" w:space="0" w:color="auto"/>
                <w:right w:val="none" w:sz="0" w:space="0" w:color="auto"/>
              </w:divBdr>
            </w:div>
            <w:div w:id="1512135296">
              <w:marLeft w:val="0"/>
              <w:marRight w:val="0"/>
              <w:marTop w:val="0"/>
              <w:marBottom w:val="0"/>
              <w:divBdr>
                <w:top w:val="none" w:sz="0" w:space="0" w:color="auto"/>
                <w:left w:val="none" w:sz="0" w:space="0" w:color="auto"/>
                <w:bottom w:val="none" w:sz="0" w:space="0" w:color="auto"/>
                <w:right w:val="none" w:sz="0" w:space="0" w:color="auto"/>
              </w:divBdr>
            </w:div>
            <w:div w:id="1778938221">
              <w:marLeft w:val="0"/>
              <w:marRight w:val="0"/>
              <w:marTop w:val="0"/>
              <w:marBottom w:val="0"/>
              <w:divBdr>
                <w:top w:val="none" w:sz="0" w:space="0" w:color="auto"/>
                <w:left w:val="none" w:sz="0" w:space="0" w:color="auto"/>
                <w:bottom w:val="none" w:sz="0" w:space="0" w:color="auto"/>
                <w:right w:val="none" w:sz="0" w:space="0" w:color="auto"/>
              </w:divBdr>
            </w:div>
            <w:div w:id="1907642484">
              <w:marLeft w:val="0"/>
              <w:marRight w:val="0"/>
              <w:marTop w:val="0"/>
              <w:marBottom w:val="0"/>
              <w:divBdr>
                <w:top w:val="none" w:sz="0" w:space="0" w:color="auto"/>
                <w:left w:val="none" w:sz="0" w:space="0" w:color="auto"/>
                <w:bottom w:val="none" w:sz="0" w:space="0" w:color="auto"/>
                <w:right w:val="none" w:sz="0" w:space="0" w:color="auto"/>
              </w:divBdr>
            </w:div>
          </w:divsChild>
        </w:div>
        <w:div w:id="521820470">
          <w:marLeft w:val="0"/>
          <w:marRight w:val="0"/>
          <w:marTop w:val="0"/>
          <w:marBottom w:val="0"/>
          <w:divBdr>
            <w:top w:val="none" w:sz="0" w:space="0" w:color="auto"/>
            <w:left w:val="none" w:sz="0" w:space="0" w:color="auto"/>
            <w:bottom w:val="none" w:sz="0" w:space="0" w:color="auto"/>
            <w:right w:val="none" w:sz="0" w:space="0" w:color="auto"/>
          </w:divBdr>
        </w:div>
        <w:div w:id="521936816">
          <w:marLeft w:val="0"/>
          <w:marRight w:val="0"/>
          <w:marTop w:val="0"/>
          <w:marBottom w:val="0"/>
          <w:divBdr>
            <w:top w:val="none" w:sz="0" w:space="0" w:color="auto"/>
            <w:left w:val="none" w:sz="0" w:space="0" w:color="auto"/>
            <w:bottom w:val="none" w:sz="0" w:space="0" w:color="auto"/>
            <w:right w:val="none" w:sz="0" w:space="0" w:color="auto"/>
          </w:divBdr>
        </w:div>
        <w:div w:id="523591973">
          <w:marLeft w:val="0"/>
          <w:marRight w:val="0"/>
          <w:marTop w:val="0"/>
          <w:marBottom w:val="0"/>
          <w:divBdr>
            <w:top w:val="none" w:sz="0" w:space="0" w:color="auto"/>
            <w:left w:val="none" w:sz="0" w:space="0" w:color="auto"/>
            <w:bottom w:val="none" w:sz="0" w:space="0" w:color="auto"/>
            <w:right w:val="none" w:sz="0" w:space="0" w:color="auto"/>
          </w:divBdr>
        </w:div>
        <w:div w:id="523982923">
          <w:marLeft w:val="0"/>
          <w:marRight w:val="0"/>
          <w:marTop w:val="0"/>
          <w:marBottom w:val="0"/>
          <w:divBdr>
            <w:top w:val="none" w:sz="0" w:space="0" w:color="auto"/>
            <w:left w:val="none" w:sz="0" w:space="0" w:color="auto"/>
            <w:bottom w:val="none" w:sz="0" w:space="0" w:color="auto"/>
            <w:right w:val="none" w:sz="0" w:space="0" w:color="auto"/>
          </w:divBdr>
        </w:div>
        <w:div w:id="527958580">
          <w:marLeft w:val="0"/>
          <w:marRight w:val="0"/>
          <w:marTop w:val="0"/>
          <w:marBottom w:val="0"/>
          <w:divBdr>
            <w:top w:val="none" w:sz="0" w:space="0" w:color="auto"/>
            <w:left w:val="none" w:sz="0" w:space="0" w:color="auto"/>
            <w:bottom w:val="none" w:sz="0" w:space="0" w:color="auto"/>
            <w:right w:val="none" w:sz="0" w:space="0" w:color="auto"/>
          </w:divBdr>
        </w:div>
        <w:div w:id="528764068">
          <w:marLeft w:val="0"/>
          <w:marRight w:val="0"/>
          <w:marTop w:val="0"/>
          <w:marBottom w:val="0"/>
          <w:divBdr>
            <w:top w:val="none" w:sz="0" w:space="0" w:color="auto"/>
            <w:left w:val="none" w:sz="0" w:space="0" w:color="auto"/>
            <w:bottom w:val="none" w:sz="0" w:space="0" w:color="auto"/>
            <w:right w:val="none" w:sz="0" w:space="0" w:color="auto"/>
          </w:divBdr>
        </w:div>
        <w:div w:id="529420804">
          <w:marLeft w:val="0"/>
          <w:marRight w:val="0"/>
          <w:marTop w:val="0"/>
          <w:marBottom w:val="0"/>
          <w:divBdr>
            <w:top w:val="none" w:sz="0" w:space="0" w:color="auto"/>
            <w:left w:val="none" w:sz="0" w:space="0" w:color="auto"/>
            <w:bottom w:val="none" w:sz="0" w:space="0" w:color="auto"/>
            <w:right w:val="none" w:sz="0" w:space="0" w:color="auto"/>
          </w:divBdr>
        </w:div>
        <w:div w:id="529682663">
          <w:marLeft w:val="0"/>
          <w:marRight w:val="0"/>
          <w:marTop w:val="0"/>
          <w:marBottom w:val="0"/>
          <w:divBdr>
            <w:top w:val="none" w:sz="0" w:space="0" w:color="auto"/>
            <w:left w:val="none" w:sz="0" w:space="0" w:color="auto"/>
            <w:bottom w:val="none" w:sz="0" w:space="0" w:color="auto"/>
            <w:right w:val="none" w:sz="0" w:space="0" w:color="auto"/>
          </w:divBdr>
        </w:div>
        <w:div w:id="530217953">
          <w:marLeft w:val="0"/>
          <w:marRight w:val="0"/>
          <w:marTop w:val="0"/>
          <w:marBottom w:val="0"/>
          <w:divBdr>
            <w:top w:val="none" w:sz="0" w:space="0" w:color="auto"/>
            <w:left w:val="none" w:sz="0" w:space="0" w:color="auto"/>
            <w:bottom w:val="none" w:sz="0" w:space="0" w:color="auto"/>
            <w:right w:val="none" w:sz="0" w:space="0" w:color="auto"/>
          </w:divBdr>
        </w:div>
        <w:div w:id="531916795">
          <w:marLeft w:val="0"/>
          <w:marRight w:val="0"/>
          <w:marTop w:val="0"/>
          <w:marBottom w:val="0"/>
          <w:divBdr>
            <w:top w:val="none" w:sz="0" w:space="0" w:color="auto"/>
            <w:left w:val="none" w:sz="0" w:space="0" w:color="auto"/>
            <w:bottom w:val="none" w:sz="0" w:space="0" w:color="auto"/>
            <w:right w:val="none" w:sz="0" w:space="0" w:color="auto"/>
          </w:divBdr>
        </w:div>
        <w:div w:id="533229991">
          <w:marLeft w:val="0"/>
          <w:marRight w:val="0"/>
          <w:marTop w:val="0"/>
          <w:marBottom w:val="0"/>
          <w:divBdr>
            <w:top w:val="none" w:sz="0" w:space="0" w:color="auto"/>
            <w:left w:val="none" w:sz="0" w:space="0" w:color="auto"/>
            <w:bottom w:val="none" w:sz="0" w:space="0" w:color="auto"/>
            <w:right w:val="none" w:sz="0" w:space="0" w:color="auto"/>
          </w:divBdr>
        </w:div>
        <w:div w:id="533812838">
          <w:marLeft w:val="0"/>
          <w:marRight w:val="0"/>
          <w:marTop w:val="0"/>
          <w:marBottom w:val="0"/>
          <w:divBdr>
            <w:top w:val="none" w:sz="0" w:space="0" w:color="auto"/>
            <w:left w:val="none" w:sz="0" w:space="0" w:color="auto"/>
            <w:bottom w:val="none" w:sz="0" w:space="0" w:color="auto"/>
            <w:right w:val="none" w:sz="0" w:space="0" w:color="auto"/>
          </w:divBdr>
        </w:div>
        <w:div w:id="534737376">
          <w:marLeft w:val="0"/>
          <w:marRight w:val="0"/>
          <w:marTop w:val="0"/>
          <w:marBottom w:val="0"/>
          <w:divBdr>
            <w:top w:val="none" w:sz="0" w:space="0" w:color="auto"/>
            <w:left w:val="none" w:sz="0" w:space="0" w:color="auto"/>
            <w:bottom w:val="none" w:sz="0" w:space="0" w:color="auto"/>
            <w:right w:val="none" w:sz="0" w:space="0" w:color="auto"/>
          </w:divBdr>
        </w:div>
        <w:div w:id="537547300">
          <w:marLeft w:val="0"/>
          <w:marRight w:val="0"/>
          <w:marTop w:val="0"/>
          <w:marBottom w:val="0"/>
          <w:divBdr>
            <w:top w:val="none" w:sz="0" w:space="0" w:color="auto"/>
            <w:left w:val="none" w:sz="0" w:space="0" w:color="auto"/>
            <w:bottom w:val="none" w:sz="0" w:space="0" w:color="auto"/>
            <w:right w:val="none" w:sz="0" w:space="0" w:color="auto"/>
          </w:divBdr>
        </w:div>
        <w:div w:id="537931150">
          <w:marLeft w:val="0"/>
          <w:marRight w:val="0"/>
          <w:marTop w:val="0"/>
          <w:marBottom w:val="0"/>
          <w:divBdr>
            <w:top w:val="none" w:sz="0" w:space="0" w:color="auto"/>
            <w:left w:val="none" w:sz="0" w:space="0" w:color="auto"/>
            <w:bottom w:val="none" w:sz="0" w:space="0" w:color="auto"/>
            <w:right w:val="none" w:sz="0" w:space="0" w:color="auto"/>
          </w:divBdr>
        </w:div>
        <w:div w:id="538974471">
          <w:marLeft w:val="0"/>
          <w:marRight w:val="0"/>
          <w:marTop w:val="0"/>
          <w:marBottom w:val="0"/>
          <w:divBdr>
            <w:top w:val="none" w:sz="0" w:space="0" w:color="auto"/>
            <w:left w:val="none" w:sz="0" w:space="0" w:color="auto"/>
            <w:bottom w:val="none" w:sz="0" w:space="0" w:color="auto"/>
            <w:right w:val="none" w:sz="0" w:space="0" w:color="auto"/>
          </w:divBdr>
        </w:div>
        <w:div w:id="541553216">
          <w:marLeft w:val="0"/>
          <w:marRight w:val="0"/>
          <w:marTop w:val="0"/>
          <w:marBottom w:val="0"/>
          <w:divBdr>
            <w:top w:val="none" w:sz="0" w:space="0" w:color="auto"/>
            <w:left w:val="none" w:sz="0" w:space="0" w:color="auto"/>
            <w:bottom w:val="none" w:sz="0" w:space="0" w:color="auto"/>
            <w:right w:val="none" w:sz="0" w:space="0" w:color="auto"/>
          </w:divBdr>
        </w:div>
        <w:div w:id="541983888">
          <w:marLeft w:val="0"/>
          <w:marRight w:val="0"/>
          <w:marTop w:val="0"/>
          <w:marBottom w:val="0"/>
          <w:divBdr>
            <w:top w:val="none" w:sz="0" w:space="0" w:color="auto"/>
            <w:left w:val="none" w:sz="0" w:space="0" w:color="auto"/>
            <w:bottom w:val="none" w:sz="0" w:space="0" w:color="auto"/>
            <w:right w:val="none" w:sz="0" w:space="0" w:color="auto"/>
          </w:divBdr>
        </w:div>
        <w:div w:id="542715439">
          <w:marLeft w:val="0"/>
          <w:marRight w:val="0"/>
          <w:marTop w:val="0"/>
          <w:marBottom w:val="0"/>
          <w:divBdr>
            <w:top w:val="none" w:sz="0" w:space="0" w:color="auto"/>
            <w:left w:val="none" w:sz="0" w:space="0" w:color="auto"/>
            <w:bottom w:val="none" w:sz="0" w:space="0" w:color="auto"/>
            <w:right w:val="none" w:sz="0" w:space="0" w:color="auto"/>
          </w:divBdr>
        </w:div>
        <w:div w:id="544177901">
          <w:marLeft w:val="0"/>
          <w:marRight w:val="0"/>
          <w:marTop w:val="0"/>
          <w:marBottom w:val="0"/>
          <w:divBdr>
            <w:top w:val="none" w:sz="0" w:space="0" w:color="auto"/>
            <w:left w:val="none" w:sz="0" w:space="0" w:color="auto"/>
            <w:bottom w:val="none" w:sz="0" w:space="0" w:color="auto"/>
            <w:right w:val="none" w:sz="0" w:space="0" w:color="auto"/>
          </w:divBdr>
        </w:div>
        <w:div w:id="544374562">
          <w:marLeft w:val="0"/>
          <w:marRight w:val="0"/>
          <w:marTop w:val="0"/>
          <w:marBottom w:val="0"/>
          <w:divBdr>
            <w:top w:val="none" w:sz="0" w:space="0" w:color="auto"/>
            <w:left w:val="none" w:sz="0" w:space="0" w:color="auto"/>
            <w:bottom w:val="none" w:sz="0" w:space="0" w:color="auto"/>
            <w:right w:val="none" w:sz="0" w:space="0" w:color="auto"/>
          </w:divBdr>
        </w:div>
        <w:div w:id="544416642">
          <w:marLeft w:val="0"/>
          <w:marRight w:val="0"/>
          <w:marTop w:val="0"/>
          <w:marBottom w:val="0"/>
          <w:divBdr>
            <w:top w:val="none" w:sz="0" w:space="0" w:color="auto"/>
            <w:left w:val="none" w:sz="0" w:space="0" w:color="auto"/>
            <w:bottom w:val="none" w:sz="0" w:space="0" w:color="auto"/>
            <w:right w:val="none" w:sz="0" w:space="0" w:color="auto"/>
          </w:divBdr>
        </w:div>
        <w:div w:id="546457561">
          <w:marLeft w:val="0"/>
          <w:marRight w:val="0"/>
          <w:marTop w:val="0"/>
          <w:marBottom w:val="0"/>
          <w:divBdr>
            <w:top w:val="none" w:sz="0" w:space="0" w:color="auto"/>
            <w:left w:val="none" w:sz="0" w:space="0" w:color="auto"/>
            <w:bottom w:val="none" w:sz="0" w:space="0" w:color="auto"/>
            <w:right w:val="none" w:sz="0" w:space="0" w:color="auto"/>
          </w:divBdr>
        </w:div>
        <w:div w:id="547184635">
          <w:marLeft w:val="0"/>
          <w:marRight w:val="0"/>
          <w:marTop w:val="0"/>
          <w:marBottom w:val="0"/>
          <w:divBdr>
            <w:top w:val="none" w:sz="0" w:space="0" w:color="auto"/>
            <w:left w:val="none" w:sz="0" w:space="0" w:color="auto"/>
            <w:bottom w:val="none" w:sz="0" w:space="0" w:color="auto"/>
            <w:right w:val="none" w:sz="0" w:space="0" w:color="auto"/>
          </w:divBdr>
        </w:div>
        <w:div w:id="547645580">
          <w:marLeft w:val="0"/>
          <w:marRight w:val="0"/>
          <w:marTop w:val="0"/>
          <w:marBottom w:val="0"/>
          <w:divBdr>
            <w:top w:val="none" w:sz="0" w:space="0" w:color="auto"/>
            <w:left w:val="none" w:sz="0" w:space="0" w:color="auto"/>
            <w:bottom w:val="none" w:sz="0" w:space="0" w:color="auto"/>
            <w:right w:val="none" w:sz="0" w:space="0" w:color="auto"/>
          </w:divBdr>
        </w:div>
        <w:div w:id="547839924">
          <w:marLeft w:val="0"/>
          <w:marRight w:val="0"/>
          <w:marTop w:val="0"/>
          <w:marBottom w:val="0"/>
          <w:divBdr>
            <w:top w:val="none" w:sz="0" w:space="0" w:color="auto"/>
            <w:left w:val="none" w:sz="0" w:space="0" w:color="auto"/>
            <w:bottom w:val="none" w:sz="0" w:space="0" w:color="auto"/>
            <w:right w:val="none" w:sz="0" w:space="0" w:color="auto"/>
          </w:divBdr>
        </w:div>
        <w:div w:id="548106449">
          <w:marLeft w:val="0"/>
          <w:marRight w:val="0"/>
          <w:marTop w:val="0"/>
          <w:marBottom w:val="0"/>
          <w:divBdr>
            <w:top w:val="none" w:sz="0" w:space="0" w:color="auto"/>
            <w:left w:val="none" w:sz="0" w:space="0" w:color="auto"/>
            <w:bottom w:val="none" w:sz="0" w:space="0" w:color="auto"/>
            <w:right w:val="none" w:sz="0" w:space="0" w:color="auto"/>
          </w:divBdr>
        </w:div>
        <w:div w:id="548734086">
          <w:marLeft w:val="0"/>
          <w:marRight w:val="0"/>
          <w:marTop w:val="0"/>
          <w:marBottom w:val="0"/>
          <w:divBdr>
            <w:top w:val="none" w:sz="0" w:space="0" w:color="auto"/>
            <w:left w:val="none" w:sz="0" w:space="0" w:color="auto"/>
            <w:bottom w:val="none" w:sz="0" w:space="0" w:color="auto"/>
            <w:right w:val="none" w:sz="0" w:space="0" w:color="auto"/>
          </w:divBdr>
        </w:div>
        <w:div w:id="548877652">
          <w:marLeft w:val="0"/>
          <w:marRight w:val="0"/>
          <w:marTop w:val="0"/>
          <w:marBottom w:val="0"/>
          <w:divBdr>
            <w:top w:val="none" w:sz="0" w:space="0" w:color="auto"/>
            <w:left w:val="none" w:sz="0" w:space="0" w:color="auto"/>
            <w:bottom w:val="none" w:sz="0" w:space="0" w:color="auto"/>
            <w:right w:val="none" w:sz="0" w:space="0" w:color="auto"/>
          </w:divBdr>
        </w:div>
        <w:div w:id="548882931">
          <w:marLeft w:val="0"/>
          <w:marRight w:val="0"/>
          <w:marTop w:val="0"/>
          <w:marBottom w:val="0"/>
          <w:divBdr>
            <w:top w:val="none" w:sz="0" w:space="0" w:color="auto"/>
            <w:left w:val="none" w:sz="0" w:space="0" w:color="auto"/>
            <w:bottom w:val="none" w:sz="0" w:space="0" w:color="auto"/>
            <w:right w:val="none" w:sz="0" w:space="0" w:color="auto"/>
          </w:divBdr>
        </w:div>
        <w:div w:id="553006441">
          <w:marLeft w:val="0"/>
          <w:marRight w:val="0"/>
          <w:marTop w:val="0"/>
          <w:marBottom w:val="0"/>
          <w:divBdr>
            <w:top w:val="none" w:sz="0" w:space="0" w:color="auto"/>
            <w:left w:val="none" w:sz="0" w:space="0" w:color="auto"/>
            <w:bottom w:val="none" w:sz="0" w:space="0" w:color="auto"/>
            <w:right w:val="none" w:sz="0" w:space="0" w:color="auto"/>
          </w:divBdr>
        </w:div>
        <w:div w:id="554006499">
          <w:marLeft w:val="0"/>
          <w:marRight w:val="0"/>
          <w:marTop w:val="0"/>
          <w:marBottom w:val="0"/>
          <w:divBdr>
            <w:top w:val="none" w:sz="0" w:space="0" w:color="auto"/>
            <w:left w:val="none" w:sz="0" w:space="0" w:color="auto"/>
            <w:bottom w:val="none" w:sz="0" w:space="0" w:color="auto"/>
            <w:right w:val="none" w:sz="0" w:space="0" w:color="auto"/>
          </w:divBdr>
          <w:divsChild>
            <w:div w:id="26494251">
              <w:marLeft w:val="0"/>
              <w:marRight w:val="0"/>
              <w:marTop w:val="0"/>
              <w:marBottom w:val="0"/>
              <w:divBdr>
                <w:top w:val="none" w:sz="0" w:space="0" w:color="auto"/>
                <w:left w:val="none" w:sz="0" w:space="0" w:color="auto"/>
                <w:bottom w:val="none" w:sz="0" w:space="0" w:color="auto"/>
                <w:right w:val="none" w:sz="0" w:space="0" w:color="auto"/>
              </w:divBdr>
            </w:div>
            <w:div w:id="185368512">
              <w:marLeft w:val="0"/>
              <w:marRight w:val="0"/>
              <w:marTop w:val="0"/>
              <w:marBottom w:val="0"/>
              <w:divBdr>
                <w:top w:val="none" w:sz="0" w:space="0" w:color="auto"/>
                <w:left w:val="none" w:sz="0" w:space="0" w:color="auto"/>
                <w:bottom w:val="none" w:sz="0" w:space="0" w:color="auto"/>
                <w:right w:val="none" w:sz="0" w:space="0" w:color="auto"/>
              </w:divBdr>
            </w:div>
            <w:div w:id="380903546">
              <w:marLeft w:val="0"/>
              <w:marRight w:val="0"/>
              <w:marTop w:val="0"/>
              <w:marBottom w:val="0"/>
              <w:divBdr>
                <w:top w:val="none" w:sz="0" w:space="0" w:color="auto"/>
                <w:left w:val="none" w:sz="0" w:space="0" w:color="auto"/>
                <w:bottom w:val="none" w:sz="0" w:space="0" w:color="auto"/>
                <w:right w:val="none" w:sz="0" w:space="0" w:color="auto"/>
              </w:divBdr>
            </w:div>
            <w:div w:id="450133748">
              <w:marLeft w:val="0"/>
              <w:marRight w:val="0"/>
              <w:marTop w:val="0"/>
              <w:marBottom w:val="0"/>
              <w:divBdr>
                <w:top w:val="none" w:sz="0" w:space="0" w:color="auto"/>
                <w:left w:val="none" w:sz="0" w:space="0" w:color="auto"/>
                <w:bottom w:val="none" w:sz="0" w:space="0" w:color="auto"/>
                <w:right w:val="none" w:sz="0" w:space="0" w:color="auto"/>
              </w:divBdr>
            </w:div>
            <w:div w:id="482358183">
              <w:marLeft w:val="0"/>
              <w:marRight w:val="0"/>
              <w:marTop w:val="0"/>
              <w:marBottom w:val="0"/>
              <w:divBdr>
                <w:top w:val="none" w:sz="0" w:space="0" w:color="auto"/>
                <w:left w:val="none" w:sz="0" w:space="0" w:color="auto"/>
                <w:bottom w:val="none" w:sz="0" w:space="0" w:color="auto"/>
                <w:right w:val="none" w:sz="0" w:space="0" w:color="auto"/>
              </w:divBdr>
            </w:div>
            <w:div w:id="573785256">
              <w:marLeft w:val="0"/>
              <w:marRight w:val="0"/>
              <w:marTop w:val="0"/>
              <w:marBottom w:val="0"/>
              <w:divBdr>
                <w:top w:val="none" w:sz="0" w:space="0" w:color="auto"/>
                <w:left w:val="none" w:sz="0" w:space="0" w:color="auto"/>
                <w:bottom w:val="none" w:sz="0" w:space="0" w:color="auto"/>
                <w:right w:val="none" w:sz="0" w:space="0" w:color="auto"/>
              </w:divBdr>
            </w:div>
            <w:div w:id="616332096">
              <w:marLeft w:val="0"/>
              <w:marRight w:val="0"/>
              <w:marTop w:val="0"/>
              <w:marBottom w:val="0"/>
              <w:divBdr>
                <w:top w:val="none" w:sz="0" w:space="0" w:color="auto"/>
                <w:left w:val="none" w:sz="0" w:space="0" w:color="auto"/>
                <w:bottom w:val="none" w:sz="0" w:space="0" w:color="auto"/>
                <w:right w:val="none" w:sz="0" w:space="0" w:color="auto"/>
              </w:divBdr>
            </w:div>
            <w:div w:id="1063915208">
              <w:marLeft w:val="0"/>
              <w:marRight w:val="0"/>
              <w:marTop w:val="0"/>
              <w:marBottom w:val="0"/>
              <w:divBdr>
                <w:top w:val="none" w:sz="0" w:space="0" w:color="auto"/>
                <w:left w:val="none" w:sz="0" w:space="0" w:color="auto"/>
                <w:bottom w:val="none" w:sz="0" w:space="0" w:color="auto"/>
                <w:right w:val="none" w:sz="0" w:space="0" w:color="auto"/>
              </w:divBdr>
            </w:div>
            <w:div w:id="1200554941">
              <w:marLeft w:val="0"/>
              <w:marRight w:val="0"/>
              <w:marTop w:val="0"/>
              <w:marBottom w:val="0"/>
              <w:divBdr>
                <w:top w:val="none" w:sz="0" w:space="0" w:color="auto"/>
                <w:left w:val="none" w:sz="0" w:space="0" w:color="auto"/>
                <w:bottom w:val="none" w:sz="0" w:space="0" w:color="auto"/>
                <w:right w:val="none" w:sz="0" w:space="0" w:color="auto"/>
              </w:divBdr>
            </w:div>
            <w:div w:id="1311596025">
              <w:marLeft w:val="0"/>
              <w:marRight w:val="0"/>
              <w:marTop w:val="0"/>
              <w:marBottom w:val="0"/>
              <w:divBdr>
                <w:top w:val="none" w:sz="0" w:space="0" w:color="auto"/>
                <w:left w:val="none" w:sz="0" w:space="0" w:color="auto"/>
                <w:bottom w:val="none" w:sz="0" w:space="0" w:color="auto"/>
                <w:right w:val="none" w:sz="0" w:space="0" w:color="auto"/>
              </w:divBdr>
            </w:div>
            <w:div w:id="1313825535">
              <w:marLeft w:val="0"/>
              <w:marRight w:val="0"/>
              <w:marTop w:val="0"/>
              <w:marBottom w:val="0"/>
              <w:divBdr>
                <w:top w:val="none" w:sz="0" w:space="0" w:color="auto"/>
                <w:left w:val="none" w:sz="0" w:space="0" w:color="auto"/>
                <w:bottom w:val="none" w:sz="0" w:space="0" w:color="auto"/>
                <w:right w:val="none" w:sz="0" w:space="0" w:color="auto"/>
              </w:divBdr>
            </w:div>
            <w:div w:id="1489514885">
              <w:marLeft w:val="0"/>
              <w:marRight w:val="0"/>
              <w:marTop w:val="0"/>
              <w:marBottom w:val="0"/>
              <w:divBdr>
                <w:top w:val="none" w:sz="0" w:space="0" w:color="auto"/>
                <w:left w:val="none" w:sz="0" w:space="0" w:color="auto"/>
                <w:bottom w:val="none" w:sz="0" w:space="0" w:color="auto"/>
                <w:right w:val="none" w:sz="0" w:space="0" w:color="auto"/>
              </w:divBdr>
            </w:div>
            <w:div w:id="1662197559">
              <w:marLeft w:val="0"/>
              <w:marRight w:val="0"/>
              <w:marTop w:val="0"/>
              <w:marBottom w:val="0"/>
              <w:divBdr>
                <w:top w:val="none" w:sz="0" w:space="0" w:color="auto"/>
                <w:left w:val="none" w:sz="0" w:space="0" w:color="auto"/>
                <w:bottom w:val="none" w:sz="0" w:space="0" w:color="auto"/>
                <w:right w:val="none" w:sz="0" w:space="0" w:color="auto"/>
              </w:divBdr>
            </w:div>
            <w:div w:id="1711416245">
              <w:marLeft w:val="0"/>
              <w:marRight w:val="0"/>
              <w:marTop w:val="0"/>
              <w:marBottom w:val="0"/>
              <w:divBdr>
                <w:top w:val="none" w:sz="0" w:space="0" w:color="auto"/>
                <w:left w:val="none" w:sz="0" w:space="0" w:color="auto"/>
                <w:bottom w:val="none" w:sz="0" w:space="0" w:color="auto"/>
                <w:right w:val="none" w:sz="0" w:space="0" w:color="auto"/>
              </w:divBdr>
            </w:div>
            <w:div w:id="1923834570">
              <w:marLeft w:val="0"/>
              <w:marRight w:val="0"/>
              <w:marTop w:val="0"/>
              <w:marBottom w:val="0"/>
              <w:divBdr>
                <w:top w:val="none" w:sz="0" w:space="0" w:color="auto"/>
                <w:left w:val="none" w:sz="0" w:space="0" w:color="auto"/>
                <w:bottom w:val="none" w:sz="0" w:space="0" w:color="auto"/>
                <w:right w:val="none" w:sz="0" w:space="0" w:color="auto"/>
              </w:divBdr>
            </w:div>
            <w:div w:id="1972519224">
              <w:marLeft w:val="0"/>
              <w:marRight w:val="0"/>
              <w:marTop w:val="0"/>
              <w:marBottom w:val="0"/>
              <w:divBdr>
                <w:top w:val="none" w:sz="0" w:space="0" w:color="auto"/>
                <w:left w:val="none" w:sz="0" w:space="0" w:color="auto"/>
                <w:bottom w:val="none" w:sz="0" w:space="0" w:color="auto"/>
                <w:right w:val="none" w:sz="0" w:space="0" w:color="auto"/>
              </w:divBdr>
            </w:div>
            <w:div w:id="2105958779">
              <w:marLeft w:val="0"/>
              <w:marRight w:val="0"/>
              <w:marTop w:val="0"/>
              <w:marBottom w:val="0"/>
              <w:divBdr>
                <w:top w:val="none" w:sz="0" w:space="0" w:color="auto"/>
                <w:left w:val="none" w:sz="0" w:space="0" w:color="auto"/>
                <w:bottom w:val="none" w:sz="0" w:space="0" w:color="auto"/>
                <w:right w:val="none" w:sz="0" w:space="0" w:color="auto"/>
              </w:divBdr>
            </w:div>
          </w:divsChild>
        </w:div>
        <w:div w:id="556161362">
          <w:marLeft w:val="0"/>
          <w:marRight w:val="0"/>
          <w:marTop w:val="0"/>
          <w:marBottom w:val="0"/>
          <w:divBdr>
            <w:top w:val="none" w:sz="0" w:space="0" w:color="auto"/>
            <w:left w:val="none" w:sz="0" w:space="0" w:color="auto"/>
            <w:bottom w:val="none" w:sz="0" w:space="0" w:color="auto"/>
            <w:right w:val="none" w:sz="0" w:space="0" w:color="auto"/>
          </w:divBdr>
        </w:div>
        <w:div w:id="556672018">
          <w:marLeft w:val="0"/>
          <w:marRight w:val="0"/>
          <w:marTop w:val="0"/>
          <w:marBottom w:val="0"/>
          <w:divBdr>
            <w:top w:val="none" w:sz="0" w:space="0" w:color="auto"/>
            <w:left w:val="none" w:sz="0" w:space="0" w:color="auto"/>
            <w:bottom w:val="none" w:sz="0" w:space="0" w:color="auto"/>
            <w:right w:val="none" w:sz="0" w:space="0" w:color="auto"/>
          </w:divBdr>
        </w:div>
        <w:div w:id="557126914">
          <w:marLeft w:val="0"/>
          <w:marRight w:val="0"/>
          <w:marTop w:val="0"/>
          <w:marBottom w:val="0"/>
          <w:divBdr>
            <w:top w:val="none" w:sz="0" w:space="0" w:color="auto"/>
            <w:left w:val="none" w:sz="0" w:space="0" w:color="auto"/>
            <w:bottom w:val="none" w:sz="0" w:space="0" w:color="auto"/>
            <w:right w:val="none" w:sz="0" w:space="0" w:color="auto"/>
          </w:divBdr>
        </w:div>
        <w:div w:id="559559483">
          <w:marLeft w:val="0"/>
          <w:marRight w:val="0"/>
          <w:marTop w:val="0"/>
          <w:marBottom w:val="0"/>
          <w:divBdr>
            <w:top w:val="none" w:sz="0" w:space="0" w:color="auto"/>
            <w:left w:val="none" w:sz="0" w:space="0" w:color="auto"/>
            <w:bottom w:val="none" w:sz="0" w:space="0" w:color="auto"/>
            <w:right w:val="none" w:sz="0" w:space="0" w:color="auto"/>
          </w:divBdr>
        </w:div>
        <w:div w:id="563491812">
          <w:marLeft w:val="0"/>
          <w:marRight w:val="0"/>
          <w:marTop w:val="0"/>
          <w:marBottom w:val="0"/>
          <w:divBdr>
            <w:top w:val="none" w:sz="0" w:space="0" w:color="auto"/>
            <w:left w:val="none" w:sz="0" w:space="0" w:color="auto"/>
            <w:bottom w:val="none" w:sz="0" w:space="0" w:color="auto"/>
            <w:right w:val="none" w:sz="0" w:space="0" w:color="auto"/>
          </w:divBdr>
        </w:div>
        <w:div w:id="563495330">
          <w:marLeft w:val="0"/>
          <w:marRight w:val="0"/>
          <w:marTop w:val="0"/>
          <w:marBottom w:val="0"/>
          <w:divBdr>
            <w:top w:val="none" w:sz="0" w:space="0" w:color="auto"/>
            <w:left w:val="none" w:sz="0" w:space="0" w:color="auto"/>
            <w:bottom w:val="none" w:sz="0" w:space="0" w:color="auto"/>
            <w:right w:val="none" w:sz="0" w:space="0" w:color="auto"/>
          </w:divBdr>
          <w:divsChild>
            <w:div w:id="439908693">
              <w:marLeft w:val="0"/>
              <w:marRight w:val="0"/>
              <w:marTop w:val="0"/>
              <w:marBottom w:val="0"/>
              <w:divBdr>
                <w:top w:val="none" w:sz="0" w:space="0" w:color="auto"/>
                <w:left w:val="none" w:sz="0" w:space="0" w:color="auto"/>
                <w:bottom w:val="none" w:sz="0" w:space="0" w:color="auto"/>
                <w:right w:val="none" w:sz="0" w:space="0" w:color="auto"/>
              </w:divBdr>
            </w:div>
            <w:div w:id="830557488">
              <w:marLeft w:val="0"/>
              <w:marRight w:val="0"/>
              <w:marTop w:val="0"/>
              <w:marBottom w:val="0"/>
              <w:divBdr>
                <w:top w:val="none" w:sz="0" w:space="0" w:color="auto"/>
                <w:left w:val="none" w:sz="0" w:space="0" w:color="auto"/>
                <w:bottom w:val="none" w:sz="0" w:space="0" w:color="auto"/>
                <w:right w:val="none" w:sz="0" w:space="0" w:color="auto"/>
              </w:divBdr>
            </w:div>
            <w:div w:id="1072309879">
              <w:marLeft w:val="0"/>
              <w:marRight w:val="0"/>
              <w:marTop w:val="0"/>
              <w:marBottom w:val="0"/>
              <w:divBdr>
                <w:top w:val="none" w:sz="0" w:space="0" w:color="auto"/>
                <w:left w:val="none" w:sz="0" w:space="0" w:color="auto"/>
                <w:bottom w:val="none" w:sz="0" w:space="0" w:color="auto"/>
                <w:right w:val="none" w:sz="0" w:space="0" w:color="auto"/>
              </w:divBdr>
            </w:div>
            <w:div w:id="1156072436">
              <w:marLeft w:val="0"/>
              <w:marRight w:val="0"/>
              <w:marTop w:val="0"/>
              <w:marBottom w:val="0"/>
              <w:divBdr>
                <w:top w:val="none" w:sz="0" w:space="0" w:color="auto"/>
                <w:left w:val="none" w:sz="0" w:space="0" w:color="auto"/>
                <w:bottom w:val="none" w:sz="0" w:space="0" w:color="auto"/>
                <w:right w:val="none" w:sz="0" w:space="0" w:color="auto"/>
              </w:divBdr>
            </w:div>
            <w:div w:id="1194882903">
              <w:marLeft w:val="0"/>
              <w:marRight w:val="0"/>
              <w:marTop w:val="0"/>
              <w:marBottom w:val="0"/>
              <w:divBdr>
                <w:top w:val="none" w:sz="0" w:space="0" w:color="auto"/>
                <w:left w:val="none" w:sz="0" w:space="0" w:color="auto"/>
                <w:bottom w:val="none" w:sz="0" w:space="0" w:color="auto"/>
                <w:right w:val="none" w:sz="0" w:space="0" w:color="auto"/>
              </w:divBdr>
            </w:div>
            <w:div w:id="1410732949">
              <w:marLeft w:val="0"/>
              <w:marRight w:val="0"/>
              <w:marTop w:val="0"/>
              <w:marBottom w:val="0"/>
              <w:divBdr>
                <w:top w:val="none" w:sz="0" w:space="0" w:color="auto"/>
                <w:left w:val="none" w:sz="0" w:space="0" w:color="auto"/>
                <w:bottom w:val="none" w:sz="0" w:space="0" w:color="auto"/>
                <w:right w:val="none" w:sz="0" w:space="0" w:color="auto"/>
              </w:divBdr>
            </w:div>
            <w:div w:id="1481993418">
              <w:marLeft w:val="0"/>
              <w:marRight w:val="0"/>
              <w:marTop w:val="0"/>
              <w:marBottom w:val="0"/>
              <w:divBdr>
                <w:top w:val="none" w:sz="0" w:space="0" w:color="auto"/>
                <w:left w:val="none" w:sz="0" w:space="0" w:color="auto"/>
                <w:bottom w:val="none" w:sz="0" w:space="0" w:color="auto"/>
                <w:right w:val="none" w:sz="0" w:space="0" w:color="auto"/>
              </w:divBdr>
            </w:div>
            <w:div w:id="1710910608">
              <w:marLeft w:val="0"/>
              <w:marRight w:val="0"/>
              <w:marTop w:val="0"/>
              <w:marBottom w:val="0"/>
              <w:divBdr>
                <w:top w:val="none" w:sz="0" w:space="0" w:color="auto"/>
                <w:left w:val="none" w:sz="0" w:space="0" w:color="auto"/>
                <w:bottom w:val="none" w:sz="0" w:space="0" w:color="auto"/>
                <w:right w:val="none" w:sz="0" w:space="0" w:color="auto"/>
              </w:divBdr>
            </w:div>
            <w:div w:id="1837763602">
              <w:marLeft w:val="0"/>
              <w:marRight w:val="0"/>
              <w:marTop w:val="0"/>
              <w:marBottom w:val="0"/>
              <w:divBdr>
                <w:top w:val="none" w:sz="0" w:space="0" w:color="auto"/>
                <w:left w:val="none" w:sz="0" w:space="0" w:color="auto"/>
                <w:bottom w:val="none" w:sz="0" w:space="0" w:color="auto"/>
                <w:right w:val="none" w:sz="0" w:space="0" w:color="auto"/>
              </w:divBdr>
            </w:div>
            <w:div w:id="2063018171">
              <w:marLeft w:val="0"/>
              <w:marRight w:val="0"/>
              <w:marTop w:val="0"/>
              <w:marBottom w:val="0"/>
              <w:divBdr>
                <w:top w:val="none" w:sz="0" w:space="0" w:color="auto"/>
                <w:left w:val="none" w:sz="0" w:space="0" w:color="auto"/>
                <w:bottom w:val="none" w:sz="0" w:space="0" w:color="auto"/>
                <w:right w:val="none" w:sz="0" w:space="0" w:color="auto"/>
              </w:divBdr>
            </w:div>
            <w:div w:id="2095199862">
              <w:marLeft w:val="0"/>
              <w:marRight w:val="0"/>
              <w:marTop w:val="0"/>
              <w:marBottom w:val="0"/>
              <w:divBdr>
                <w:top w:val="none" w:sz="0" w:space="0" w:color="auto"/>
                <w:left w:val="none" w:sz="0" w:space="0" w:color="auto"/>
                <w:bottom w:val="none" w:sz="0" w:space="0" w:color="auto"/>
                <w:right w:val="none" w:sz="0" w:space="0" w:color="auto"/>
              </w:divBdr>
            </w:div>
            <w:div w:id="2096054156">
              <w:marLeft w:val="0"/>
              <w:marRight w:val="0"/>
              <w:marTop w:val="0"/>
              <w:marBottom w:val="0"/>
              <w:divBdr>
                <w:top w:val="none" w:sz="0" w:space="0" w:color="auto"/>
                <w:left w:val="none" w:sz="0" w:space="0" w:color="auto"/>
                <w:bottom w:val="none" w:sz="0" w:space="0" w:color="auto"/>
                <w:right w:val="none" w:sz="0" w:space="0" w:color="auto"/>
              </w:divBdr>
            </w:div>
          </w:divsChild>
        </w:div>
        <w:div w:id="564026062">
          <w:marLeft w:val="0"/>
          <w:marRight w:val="0"/>
          <w:marTop w:val="0"/>
          <w:marBottom w:val="0"/>
          <w:divBdr>
            <w:top w:val="none" w:sz="0" w:space="0" w:color="auto"/>
            <w:left w:val="none" w:sz="0" w:space="0" w:color="auto"/>
            <w:bottom w:val="none" w:sz="0" w:space="0" w:color="auto"/>
            <w:right w:val="none" w:sz="0" w:space="0" w:color="auto"/>
          </w:divBdr>
          <w:divsChild>
            <w:div w:id="239489294">
              <w:marLeft w:val="0"/>
              <w:marRight w:val="0"/>
              <w:marTop w:val="0"/>
              <w:marBottom w:val="0"/>
              <w:divBdr>
                <w:top w:val="none" w:sz="0" w:space="0" w:color="auto"/>
                <w:left w:val="none" w:sz="0" w:space="0" w:color="auto"/>
                <w:bottom w:val="none" w:sz="0" w:space="0" w:color="auto"/>
                <w:right w:val="none" w:sz="0" w:space="0" w:color="auto"/>
              </w:divBdr>
            </w:div>
            <w:div w:id="305553697">
              <w:marLeft w:val="0"/>
              <w:marRight w:val="0"/>
              <w:marTop w:val="0"/>
              <w:marBottom w:val="0"/>
              <w:divBdr>
                <w:top w:val="none" w:sz="0" w:space="0" w:color="auto"/>
                <w:left w:val="none" w:sz="0" w:space="0" w:color="auto"/>
                <w:bottom w:val="none" w:sz="0" w:space="0" w:color="auto"/>
                <w:right w:val="none" w:sz="0" w:space="0" w:color="auto"/>
              </w:divBdr>
            </w:div>
            <w:div w:id="842815841">
              <w:marLeft w:val="0"/>
              <w:marRight w:val="0"/>
              <w:marTop w:val="0"/>
              <w:marBottom w:val="0"/>
              <w:divBdr>
                <w:top w:val="none" w:sz="0" w:space="0" w:color="auto"/>
                <w:left w:val="none" w:sz="0" w:space="0" w:color="auto"/>
                <w:bottom w:val="none" w:sz="0" w:space="0" w:color="auto"/>
                <w:right w:val="none" w:sz="0" w:space="0" w:color="auto"/>
              </w:divBdr>
            </w:div>
            <w:div w:id="1009334271">
              <w:marLeft w:val="0"/>
              <w:marRight w:val="0"/>
              <w:marTop w:val="0"/>
              <w:marBottom w:val="0"/>
              <w:divBdr>
                <w:top w:val="none" w:sz="0" w:space="0" w:color="auto"/>
                <w:left w:val="none" w:sz="0" w:space="0" w:color="auto"/>
                <w:bottom w:val="none" w:sz="0" w:space="0" w:color="auto"/>
                <w:right w:val="none" w:sz="0" w:space="0" w:color="auto"/>
              </w:divBdr>
            </w:div>
            <w:div w:id="1097484790">
              <w:marLeft w:val="0"/>
              <w:marRight w:val="0"/>
              <w:marTop w:val="0"/>
              <w:marBottom w:val="0"/>
              <w:divBdr>
                <w:top w:val="none" w:sz="0" w:space="0" w:color="auto"/>
                <w:left w:val="none" w:sz="0" w:space="0" w:color="auto"/>
                <w:bottom w:val="none" w:sz="0" w:space="0" w:color="auto"/>
                <w:right w:val="none" w:sz="0" w:space="0" w:color="auto"/>
              </w:divBdr>
            </w:div>
            <w:div w:id="1326087932">
              <w:marLeft w:val="0"/>
              <w:marRight w:val="0"/>
              <w:marTop w:val="0"/>
              <w:marBottom w:val="0"/>
              <w:divBdr>
                <w:top w:val="none" w:sz="0" w:space="0" w:color="auto"/>
                <w:left w:val="none" w:sz="0" w:space="0" w:color="auto"/>
                <w:bottom w:val="none" w:sz="0" w:space="0" w:color="auto"/>
                <w:right w:val="none" w:sz="0" w:space="0" w:color="auto"/>
              </w:divBdr>
            </w:div>
            <w:div w:id="1420713242">
              <w:marLeft w:val="0"/>
              <w:marRight w:val="0"/>
              <w:marTop w:val="0"/>
              <w:marBottom w:val="0"/>
              <w:divBdr>
                <w:top w:val="none" w:sz="0" w:space="0" w:color="auto"/>
                <w:left w:val="none" w:sz="0" w:space="0" w:color="auto"/>
                <w:bottom w:val="none" w:sz="0" w:space="0" w:color="auto"/>
                <w:right w:val="none" w:sz="0" w:space="0" w:color="auto"/>
              </w:divBdr>
            </w:div>
            <w:div w:id="1723022009">
              <w:marLeft w:val="0"/>
              <w:marRight w:val="0"/>
              <w:marTop w:val="0"/>
              <w:marBottom w:val="0"/>
              <w:divBdr>
                <w:top w:val="none" w:sz="0" w:space="0" w:color="auto"/>
                <w:left w:val="none" w:sz="0" w:space="0" w:color="auto"/>
                <w:bottom w:val="none" w:sz="0" w:space="0" w:color="auto"/>
                <w:right w:val="none" w:sz="0" w:space="0" w:color="auto"/>
              </w:divBdr>
            </w:div>
            <w:div w:id="2087991798">
              <w:marLeft w:val="0"/>
              <w:marRight w:val="0"/>
              <w:marTop w:val="0"/>
              <w:marBottom w:val="0"/>
              <w:divBdr>
                <w:top w:val="none" w:sz="0" w:space="0" w:color="auto"/>
                <w:left w:val="none" w:sz="0" w:space="0" w:color="auto"/>
                <w:bottom w:val="none" w:sz="0" w:space="0" w:color="auto"/>
                <w:right w:val="none" w:sz="0" w:space="0" w:color="auto"/>
              </w:divBdr>
            </w:div>
          </w:divsChild>
        </w:div>
        <w:div w:id="564030024">
          <w:marLeft w:val="0"/>
          <w:marRight w:val="0"/>
          <w:marTop w:val="0"/>
          <w:marBottom w:val="0"/>
          <w:divBdr>
            <w:top w:val="none" w:sz="0" w:space="0" w:color="auto"/>
            <w:left w:val="none" w:sz="0" w:space="0" w:color="auto"/>
            <w:bottom w:val="none" w:sz="0" w:space="0" w:color="auto"/>
            <w:right w:val="none" w:sz="0" w:space="0" w:color="auto"/>
          </w:divBdr>
        </w:div>
        <w:div w:id="565454362">
          <w:marLeft w:val="0"/>
          <w:marRight w:val="0"/>
          <w:marTop w:val="0"/>
          <w:marBottom w:val="0"/>
          <w:divBdr>
            <w:top w:val="none" w:sz="0" w:space="0" w:color="auto"/>
            <w:left w:val="none" w:sz="0" w:space="0" w:color="auto"/>
            <w:bottom w:val="none" w:sz="0" w:space="0" w:color="auto"/>
            <w:right w:val="none" w:sz="0" w:space="0" w:color="auto"/>
          </w:divBdr>
        </w:div>
        <w:div w:id="565727708">
          <w:marLeft w:val="0"/>
          <w:marRight w:val="0"/>
          <w:marTop w:val="0"/>
          <w:marBottom w:val="0"/>
          <w:divBdr>
            <w:top w:val="none" w:sz="0" w:space="0" w:color="auto"/>
            <w:left w:val="none" w:sz="0" w:space="0" w:color="auto"/>
            <w:bottom w:val="none" w:sz="0" w:space="0" w:color="auto"/>
            <w:right w:val="none" w:sz="0" w:space="0" w:color="auto"/>
          </w:divBdr>
          <w:divsChild>
            <w:div w:id="20985070">
              <w:marLeft w:val="0"/>
              <w:marRight w:val="0"/>
              <w:marTop w:val="0"/>
              <w:marBottom w:val="0"/>
              <w:divBdr>
                <w:top w:val="none" w:sz="0" w:space="0" w:color="auto"/>
                <w:left w:val="none" w:sz="0" w:space="0" w:color="auto"/>
                <w:bottom w:val="none" w:sz="0" w:space="0" w:color="auto"/>
                <w:right w:val="none" w:sz="0" w:space="0" w:color="auto"/>
              </w:divBdr>
            </w:div>
            <w:div w:id="52126442">
              <w:marLeft w:val="0"/>
              <w:marRight w:val="0"/>
              <w:marTop w:val="0"/>
              <w:marBottom w:val="0"/>
              <w:divBdr>
                <w:top w:val="none" w:sz="0" w:space="0" w:color="auto"/>
                <w:left w:val="none" w:sz="0" w:space="0" w:color="auto"/>
                <w:bottom w:val="none" w:sz="0" w:space="0" w:color="auto"/>
                <w:right w:val="none" w:sz="0" w:space="0" w:color="auto"/>
              </w:divBdr>
            </w:div>
            <w:div w:id="178662449">
              <w:marLeft w:val="0"/>
              <w:marRight w:val="0"/>
              <w:marTop w:val="0"/>
              <w:marBottom w:val="0"/>
              <w:divBdr>
                <w:top w:val="none" w:sz="0" w:space="0" w:color="auto"/>
                <w:left w:val="none" w:sz="0" w:space="0" w:color="auto"/>
                <w:bottom w:val="none" w:sz="0" w:space="0" w:color="auto"/>
                <w:right w:val="none" w:sz="0" w:space="0" w:color="auto"/>
              </w:divBdr>
            </w:div>
            <w:div w:id="212156341">
              <w:marLeft w:val="0"/>
              <w:marRight w:val="0"/>
              <w:marTop w:val="0"/>
              <w:marBottom w:val="0"/>
              <w:divBdr>
                <w:top w:val="none" w:sz="0" w:space="0" w:color="auto"/>
                <w:left w:val="none" w:sz="0" w:space="0" w:color="auto"/>
                <w:bottom w:val="none" w:sz="0" w:space="0" w:color="auto"/>
                <w:right w:val="none" w:sz="0" w:space="0" w:color="auto"/>
              </w:divBdr>
            </w:div>
            <w:div w:id="515850353">
              <w:marLeft w:val="0"/>
              <w:marRight w:val="0"/>
              <w:marTop w:val="0"/>
              <w:marBottom w:val="0"/>
              <w:divBdr>
                <w:top w:val="none" w:sz="0" w:space="0" w:color="auto"/>
                <w:left w:val="none" w:sz="0" w:space="0" w:color="auto"/>
                <w:bottom w:val="none" w:sz="0" w:space="0" w:color="auto"/>
                <w:right w:val="none" w:sz="0" w:space="0" w:color="auto"/>
              </w:divBdr>
            </w:div>
            <w:div w:id="554975840">
              <w:marLeft w:val="0"/>
              <w:marRight w:val="0"/>
              <w:marTop w:val="0"/>
              <w:marBottom w:val="0"/>
              <w:divBdr>
                <w:top w:val="none" w:sz="0" w:space="0" w:color="auto"/>
                <w:left w:val="none" w:sz="0" w:space="0" w:color="auto"/>
                <w:bottom w:val="none" w:sz="0" w:space="0" w:color="auto"/>
                <w:right w:val="none" w:sz="0" w:space="0" w:color="auto"/>
              </w:divBdr>
            </w:div>
            <w:div w:id="563686328">
              <w:marLeft w:val="0"/>
              <w:marRight w:val="0"/>
              <w:marTop w:val="0"/>
              <w:marBottom w:val="0"/>
              <w:divBdr>
                <w:top w:val="none" w:sz="0" w:space="0" w:color="auto"/>
                <w:left w:val="none" w:sz="0" w:space="0" w:color="auto"/>
                <w:bottom w:val="none" w:sz="0" w:space="0" w:color="auto"/>
                <w:right w:val="none" w:sz="0" w:space="0" w:color="auto"/>
              </w:divBdr>
            </w:div>
            <w:div w:id="642389239">
              <w:marLeft w:val="0"/>
              <w:marRight w:val="0"/>
              <w:marTop w:val="0"/>
              <w:marBottom w:val="0"/>
              <w:divBdr>
                <w:top w:val="none" w:sz="0" w:space="0" w:color="auto"/>
                <w:left w:val="none" w:sz="0" w:space="0" w:color="auto"/>
                <w:bottom w:val="none" w:sz="0" w:space="0" w:color="auto"/>
                <w:right w:val="none" w:sz="0" w:space="0" w:color="auto"/>
              </w:divBdr>
            </w:div>
            <w:div w:id="941187302">
              <w:marLeft w:val="0"/>
              <w:marRight w:val="0"/>
              <w:marTop w:val="0"/>
              <w:marBottom w:val="0"/>
              <w:divBdr>
                <w:top w:val="none" w:sz="0" w:space="0" w:color="auto"/>
                <w:left w:val="none" w:sz="0" w:space="0" w:color="auto"/>
                <w:bottom w:val="none" w:sz="0" w:space="0" w:color="auto"/>
                <w:right w:val="none" w:sz="0" w:space="0" w:color="auto"/>
              </w:divBdr>
            </w:div>
            <w:div w:id="1061294608">
              <w:marLeft w:val="0"/>
              <w:marRight w:val="0"/>
              <w:marTop w:val="0"/>
              <w:marBottom w:val="0"/>
              <w:divBdr>
                <w:top w:val="none" w:sz="0" w:space="0" w:color="auto"/>
                <w:left w:val="none" w:sz="0" w:space="0" w:color="auto"/>
                <w:bottom w:val="none" w:sz="0" w:space="0" w:color="auto"/>
                <w:right w:val="none" w:sz="0" w:space="0" w:color="auto"/>
              </w:divBdr>
            </w:div>
            <w:div w:id="1202013356">
              <w:marLeft w:val="0"/>
              <w:marRight w:val="0"/>
              <w:marTop w:val="0"/>
              <w:marBottom w:val="0"/>
              <w:divBdr>
                <w:top w:val="none" w:sz="0" w:space="0" w:color="auto"/>
                <w:left w:val="none" w:sz="0" w:space="0" w:color="auto"/>
                <w:bottom w:val="none" w:sz="0" w:space="0" w:color="auto"/>
                <w:right w:val="none" w:sz="0" w:space="0" w:color="auto"/>
              </w:divBdr>
            </w:div>
            <w:div w:id="1401323452">
              <w:marLeft w:val="0"/>
              <w:marRight w:val="0"/>
              <w:marTop w:val="0"/>
              <w:marBottom w:val="0"/>
              <w:divBdr>
                <w:top w:val="none" w:sz="0" w:space="0" w:color="auto"/>
                <w:left w:val="none" w:sz="0" w:space="0" w:color="auto"/>
                <w:bottom w:val="none" w:sz="0" w:space="0" w:color="auto"/>
                <w:right w:val="none" w:sz="0" w:space="0" w:color="auto"/>
              </w:divBdr>
            </w:div>
            <w:div w:id="1425300360">
              <w:marLeft w:val="0"/>
              <w:marRight w:val="0"/>
              <w:marTop w:val="0"/>
              <w:marBottom w:val="0"/>
              <w:divBdr>
                <w:top w:val="none" w:sz="0" w:space="0" w:color="auto"/>
                <w:left w:val="none" w:sz="0" w:space="0" w:color="auto"/>
                <w:bottom w:val="none" w:sz="0" w:space="0" w:color="auto"/>
                <w:right w:val="none" w:sz="0" w:space="0" w:color="auto"/>
              </w:divBdr>
            </w:div>
            <w:div w:id="1434015946">
              <w:marLeft w:val="0"/>
              <w:marRight w:val="0"/>
              <w:marTop w:val="0"/>
              <w:marBottom w:val="0"/>
              <w:divBdr>
                <w:top w:val="none" w:sz="0" w:space="0" w:color="auto"/>
                <w:left w:val="none" w:sz="0" w:space="0" w:color="auto"/>
                <w:bottom w:val="none" w:sz="0" w:space="0" w:color="auto"/>
                <w:right w:val="none" w:sz="0" w:space="0" w:color="auto"/>
              </w:divBdr>
            </w:div>
            <w:div w:id="1552112030">
              <w:marLeft w:val="0"/>
              <w:marRight w:val="0"/>
              <w:marTop w:val="0"/>
              <w:marBottom w:val="0"/>
              <w:divBdr>
                <w:top w:val="none" w:sz="0" w:space="0" w:color="auto"/>
                <w:left w:val="none" w:sz="0" w:space="0" w:color="auto"/>
                <w:bottom w:val="none" w:sz="0" w:space="0" w:color="auto"/>
                <w:right w:val="none" w:sz="0" w:space="0" w:color="auto"/>
              </w:divBdr>
            </w:div>
            <w:div w:id="1687630423">
              <w:marLeft w:val="0"/>
              <w:marRight w:val="0"/>
              <w:marTop w:val="0"/>
              <w:marBottom w:val="0"/>
              <w:divBdr>
                <w:top w:val="none" w:sz="0" w:space="0" w:color="auto"/>
                <w:left w:val="none" w:sz="0" w:space="0" w:color="auto"/>
                <w:bottom w:val="none" w:sz="0" w:space="0" w:color="auto"/>
                <w:right w:val="none" w:sz="0" w:space="0" w:color="auto"/>
              </w:divBdr>
            </w:div>
            <w:div w:id="1760639677">
              <w:marLeft w:val="0"/>
              <w:marRight w:val="0"/>
              <w:marTop w:val="0"/>
              <w:marBottom w:val="0"/>
              <w:divBdr>
                <w:top w:val="none" w:sz="0" w:space="0" w:color="auto"/>
                <w:left w:val="none" w:sz="0" w:space="0" w:color="auto"/>
                <w:bottom w:val="none" w:sz="0" w:space="0" w:color="auto"/>
                <w:right w:val="none" w:sz="0" w:space="0" w:color="auto"/>
              </w:divBdr>
            </w:div>
            <w:div w:id="1895651634">
              <w:marLeft w:val="0"/>
              <w:marRight w:val="0"/>
              <w:marTop w:val="0"/>
              <w:marBottom w:val="0"/>
              <w:divBdr>
                <w:top w:val="none" w:sz="0" w:space="0" w:color="auto"/>
                <w:left w:val="none" w:sz="0" w:space="0" w:color="auto"/>
                <w:bottom w:val="none" w:sz="0" w:space="0" w:color="auto"/>
                <w:right w:val="none" w:sz="0" w:space="0" w:color="auto"/>
              </w:divBdr>
            </w:div>
            <w:div w:id="2062898059">
              <w:marLeft w:val="0"/>
              <w:marRight w:val="0"/>
              <w:marTop w:val="0"/>
              <w:marBottom w:val="0"/>
              <w:divBdr>
                <w:top w:val="none" w:sz="0" w:space="0" w:color="auto"/>
                <w:left w:val="none" w:sz="0" w:space="0" w:color="auto"/>
                <w:bottom w:val="none" w:sz="0" w:space="0" w:color="auto"/>
                <w:right w:val="none" w:sz="0" w:space="0" w:color="auto"/>
              </w:divBdr>
            </w:div>
            <w:div w:id="2088068377">
              <w:marLeft w:val="0"/>
              <w:marRight w:val="0"/>
              <w:marTop w:val="0"/>
              <w:marBottom w:val="0"/>
              <w:divBdr>
                <w:top w:val="none" w:sz="0" w:space="0" w:color="auto"/>
                <w:left w:val="none" w:sz="0" w:space="0" w:color="auto"/>
                <w:bottom w:val="none" w:sz="0" w:space="0" w:color="auto"/>
                <w:right w:val="none" w:sz="0" w:space="0" w:color="auto"/>
              </w:divBdr>
            </w:div>
          </w:divsChild>
        </w:div>
        <w:div w:id="565803911">
          <w:marLeft w:val="0"/>
          <w:marRight w:val="0"/>
          <w:marTop w:val="0"/>
          <w:marBottom w:val="0"/>
          <w:divBdr>
            <w:top w:val="none" w:sz="0" w:space="0" w:color="auto"/>
            <w:left w:val="none" w:sz="0" w:space="0" w:color="auto"/>
            <w:bottom w:val="none" w:sz="0" w:space="0" w:color="auto"/>
            <w:right w:val="none" w:sz="0" w:space="0" w:color="auto"/>
          </w:divBdr>
        </w:div>
        <w:div w:id="567886032">
          <w:marLeft w:val="0"/>
          <w:marRight w:val="0"/>
          <w:marTop w:val="0"/>
          <w:marBottom w:val="0"/>
          <w:divBdr>
            <w:top w:val="none" w:sz="0" w:space="0" w:color="auto"/>
            <w:left w:val="none" w:sz="0" w:space="0" w:color="auto"/>
            <w:bottom w:val="none" w:sz="0" w:space="0" w:color="auto"/>
            <w:right w:val="none" w:sz="0" w:space="0" w:color="auto"/>
          </w:divBdr>
        </w:div>
        <w:div w:id="568080257">
          <w:marLeft w:val="0"/>
          <w:marRight w:val="0"/>
          <w:marTop w:val="0"/>
          <w:marBottom w:val="0"/>
          <w:divBdr>
            <w:top w:val="none" w:sz="0" w:space="0" w:color="auto"/>
            <w:left w:val="none" w:sz="0" w:space="0" w:color="auto"/>
            <w:bottom w:val="none" w:sz="0" w:space="0" w:color="auto"/>
            <w:right w:val="none" w:sz="0" w:space="0" w:color="auto"/>
          </w:divBdr>
        </w:div>
        <w:div w:id="569317069">
          <w:marLeft w:val="0"/>
          <w:marRight w:val="0"/>
          <w:marTop w:val="0"/>
          <w:marBottom w:val="0"/>
          <w:divBdr>
            <w:top w:val="none" w:sz="0" w:space="0" w:color="auto"/>
            <w:left w:val="none" w:sz="0" w:space="0" w:color="auto"/>
            <w:bottom w:val="none" w:sz="0" w:space="0" w:color="auto"/>
            <w:right w:val="none" w:sz="0" w:space="0" w:color="auto"/>
          </w:divBdr>
        </w:div>
        <w:div w:id="570313790">
          <w:marLeft w:val="0"/>
          <w:marRight w:val="0"/>
          <w:marTop w:val="0"/>
          <w:marBottom w:val="0"/>
          <w:divBdr>
            <w:top w:val="none" w:sz="0" w:space="0" w:color="auto"/>
            <w:left w:val="none" w:sz="0" w:space="0" w:color="auto"/>
            <w:bottom w:val="none" w:sz="0" w:space="0" w:color="auto"/>
            <w:right w:val="none" w:sz="0" w:space="0" w:color="auto"/>
          </w:divBdr>
        </w:div>
        <w:div w:id="574781535">
          <w:marLeft w:val="0"/>
          <w:marRight w:val="0"/>
          <w:marTop w:val="0"/>
          <w:marBottom w:val="0"/>
          <w:divBdr>
            <w:top w:val="none" w:sz="0" w:space="0" w:color="auto"/>
            <w:left w:val="none" w:sz="0" w:space="0" w:color="auto"/>
            <w:bottom w:val="none" w:sz="0" w:space="0" w:color="auto"/>
            <w:right w:val="none" w:sz="0" w:space="0" w:color="auto"/>
          </w:divBdr>
        </w:div>
        <w:div w:id="576138660">
          <w:marLeft w:val="0"/>
          <w:marRight w:val="0"/>
          <w:marTop w:val="0"/>
          <w:marBottom w:val="0"/>
          <w:divBdr>
            <w:top w:val="none" w:sz="0" w:space="0" w:color="auto"/>
            <w:left w:val="none" w:sz="0" w:space="0" w:color="auto"/>
            <w:bottom w:val="none" w:sz="0" w:space="0" w:color="auto"/>
            <w:right w:val="none" w:sz="0" w:space="0" w:color="auto"/>
          </w:divBdr>
        </w:div>
        <w:div w:id="576789646">
          <w:marLeft w:val="0"/>
          <w:marRight w:val="0"/>
          <w:marTop w:val="0"/>
          <w:marBottom w:val="0"/>
          <w:divBdr>
            <w:top w:val="none" w:sz="0" w:space="0" w:color="auto"/>
            <w:left w:val="none" w:sz="0" w:space="0" w:color="auto"/>
            <w:bottom w:val="none" w:sz="0" w:space="0" w:color="auto"/>
            <w:right w:val="none" w:sz="0" w:space="0" w:color="auto"/>
          </w:divBdr>
        </w:div>
        <w:div w:id="577180862">
          <w:marLeft w:val="0"/>
          <w:marRight w:val="0"/>
          <w:marTop w:val="0"/>
          <w:marBottom w:val="0"/>
          <w:divBdr>
            <w:top w:val="none" w:sz="0" w:space="0" w:color="auto"/>
            <w:left w:val="none" w:sz="0" w:space="0" w:color="auto"/>
            <w:bottom w:val="none" w:sz="0" w:space="0" w:color="auto"/>
            <w:right w:val="none" w:sz="0" w:space="0" w:color="auto"/>
          </w:divBdr>
        </w:div>
        <w:div w:id="580917423">
          <w:marLeft w:val="0"/>
          <w:marRight w:val="0"/>
          <w:marTop w:val="0"/>
          <w:marBottom w:val="0"/>
          <w:divBdr>
            <w:top w:val="none" w:sz="0" w:space="0" w:color="auto"/>
            <w:left w:val="none" w:sz="0" w:space="0" w:color="auto"/>
            <w:bottom w:val="none" w:sz="0" w:space="0" w:color="auto"/>
            <w:right w:val="none" w:sz="0" w:space="0" w:color="auto"/>
          </w:divBdr>
        </w:div>
        <w:div w:id="584534261">
          <w:marLeft w:val="0"/>
          <w:marRight w:val="0"/>
          <w:marTop w:val="0"/>
          <w:marBottom w:val="0"/>
          <w:divBdr>
            <w:top w:val="none" w:sz="0" w:space="0" w:color="auto"/>
            <w:left w:val="none" w:sz="0" w:space="0" w:color="auto"/>
            <w:bottom w:val="none" w:sz="0" w:space="0" w:color="auto"/>
            <w:right w:val="none" w:sz="0" w:space="0" w:color="auto"/>
          </w:divBdr>
        </w:div>
        <w:div w:id="585306505">
          <w:marLeft w:val="0"/>
          <w:marRight w:val="0"/>
          <w:marTop w:val="0"/>
          <w:marBottom w:val="0"/>
          <w:divBdr>
            <w:top w:val="none" w:sz="0" w:space="0" w:color="auto"/>
            <w:left w:val="none" w:sz="0" w:space="0" w:color="auto"/>
            <w:bottom w:val="none" w:sz="0" w:space="0" w:color="auto"/>
            <w:right w:val="none" w:sz="0" w:space="0" w:color="auto"/>
          </w:divBdr>
        </w:div>
        <w:div w:id="585769920">
          <w:marLeft w:val="0"/>
          <w:marRight w:val="0"/>
          <w:marTop w:val="0"/>
          <w:marBottom w:val="0"/>
          <w:divBdr>
            <w:top w:val="none" w:sz="0" w:space="0" w:color="auto"/>
            <w:left w:val="none" w:sz="0" w:space="0" w:color="auto"/>
            <w:bottom w:val="none" w:sz="0" w:space="0" w:color="auto"/>
            <w:right w:val="none" w:sz="0" w:space="0" w:color="auto"/>
          </w:divBdr>
        </w:div>
        <w:div w:id="586885818">
          <w:marLeft w:val="0"/>
          <w:marRight w:val="0"/>
          <w:marTop w:val="0"/>
          <w:marBottom w:val="0"/>
          <w:divBdr>
            <w:top w:val="none" w:sz="0" w:space="0" w:color="auto"/>
            <w:left w:val="none" w:sz="0" w:space="0" w:color="auto"/>
            <w:bottom w:val="none" w:sz="0" w:space="0" w:color="auto"/>
            <w:right w:val="none" w:sz="0" w:space="0" w:color="auto"/>
          </w:divBdr>
        </w:div>
        <w:div w:id="588394322">
          <w:marLeft w:val="0"/>
          <w:marRight w:val="0"/>
          <w:marTop w:val="0"/>
          <w:marBottom w:val="0"/>
          <w:divBdr>
            <w:top w:val="none" w:sz="0" w:space="0" w:color="auto"/>
            <w:left w:val="none" w:sz="0" w:space="0" w:color="auto"/>
            <w:bottom w:val="none" w:sz="0" w:space="0" w:color="auto"/>
            <w:right w:val="none" w:sz="0" w:space="0" w:color="auto"/>
          </w:divBdr>
        </w:div>
        <w:div w:id="589194684">
          <w:marLeft w:val="0"/>
          <w:marRight w:val="0"/>
          <w:marTop w:val="0"/>
          <w:marBottom w:val="0"/>
          <w:divBdr>
            <w:top w:val="none" w:sz="0" w:space="0" w:color="auto"/>
            <w:left w:val="none" w:sz="0" w:space="0" w:color="auto"/>
            <w:bottom w:val="none" w:sz="0" w:space="0" w:color="auto"/>
            <w:right w:val="none" w:sz="0" w:space="0" w:color="auto"/>
          </w:divBdr>
        </w:div>
        <w:div w:id="591856464">
          <w:marLeft w:val="0"/>
          <w:marRight w:val="0"/>
          <w:marTop w:val="0"/>
          <w:marBottom w:val="0"/>
          <w:divBdr>
            <w:top w:val="none" w:sz="0" w:space="0" w:color="auto"/>
            <w:left w:val="none" w:sz="0" w:space="0" w:color="auto"/>
            <w:bottom w:val="none" w:sz="0" w:space="0" w:color="auto"/>
            <w:right w:val="none" w:sz="0" w:space="0" w:color="auto"/>
          </w:divBdr>
        </w:div>
        <w:div w:id="593441498">
          <w:marLeft w:val="0"/>
          <w:marRight w:val="0"/>
          <w:marTop w:val="0"/>
          <w:marBottom w:val="0"/>
          <w:divBdr>
            <w:top w:val="none" w:sz="0" w:space="0" w:color="auto"/>
            <w:left w:val="none" w:sz="0" w:space="0" w:color="auto"/>
            <w:bottom w:val="none" w:sz="0" w:space="0" w:color="auto"/>
            <w:right w:val="none" w:sz="0" w:space="0" w:color="auto"/>
          </w:divBdr>
        </w:div>
        <w:div w:id="593511745">
          <w:marLeft w:val="0"/>
          <w:marRight w:val="0"/>
          <w:marTop w:val="0"/>
          <w:marBottom w:val="0"/>
          <w:divBdr>
            <w:top w:val="none" w:sz="0" w:space="0" w:color="auto"/>
            <w:left w:val="none" w:sz="0" w:space="0" w:color="auto"/>
            <w:bottom w:val="none" w:sz="0" w:space="0" w:color="auto"/>
            <w:right w:val="none" w:sz="0" w:space="0" w:color="auto"/>
          </w:divBdr>
        </w:div>
        <w:div w:id="593587313">
          <w:marLeft w:val="0"/>
          <w:marRight w:val="0"/>
          <w:marTop w:val="0"/>
          <w:marBottom w:val="0"/>
          <w:divBdr>
            <w:top w:val="none" w:sz="0" w:space="0" w:color="auto"/>
            <w:left w:val="none" w:sz="0" w:space="0" w:color="auto"/>
            <w:bottom w:val="none" w:sz="0" w:space="0" w:color="auto"/>
            <w:right w:val="none" w:sz="0" w:space="0" w:color="auto"/>
          </w:divBdr>
        </w:div>
        <w:div w:id="596211328">
          <w:marLeft w:val="0"/>
          <w:marRight w:val="0"/>
          <w:marTop w:val="0"/>
          <w:marBottom w:val="0"/>
          <w:divBdr>
            <w:top w:val="none" w:sz="0" w:space="0" w:color="auto"/>
            <w:left w:val="none" w:sz="0" w:space="0" w:color="auto"/>
            <w:bottom w:val="none" w:sz="0" w:space="0" w:color="auto"/>
            <w:right w:val="none" w:sz="0" w:space="0" w:color="auto"/>
          </w:divBdr>
        </w:div>
        <w:div w:id="600451668">
          <w:marLeft w:val="0"/>
          <w:marRight w:val="0"/>
          <w:marTop w:val="0"/>
          <w:marBottom w:val="0"/>
          <w:divBdr>
            <w:top w:val="none" w:sz="0" w:space="0" w:color="auto"/>
            <w:left w:val="none" w:sz="0" w:space="0" w:color="auto"/>
            <w:bottom w:val="none" w:sz="0" w:space="0" w:color="auto"/>
            <w:right w:val="none" w:sz="0" w:space="0" w:color="auto"/>
          </w:divBdr>
        </w:div>
        <w:div w:id="601456387">
          <w:marLeft w:val="0"/>
          <w:marRight w:val="0"/>
          <w:marTop w:val="0"/>
          <w:marBottom w:val="0"/>
          <w:divBdr>
            <w:top w:val="none" w:sz="0" w:space="0" w:color="auto"/>
            <w:left w:val="none" w:sz="0" w:space="0" w:color="auto"/>
            <w:bottom w:val="none" w:sz="0" w:space="0" w:color="auto"/>
            <w:right w:val="none" w:sz="0" w:space="0" w:color="auto"/>
          </w:divBdr>
        </w:div>
        <w:div w:id="603341068">
          <w:marLeft w:val="0"/>
          <w:marRight w:val="0"/>
          <w:marTop w:val="0"/>
          <w:marBottom w:val="0"/>
          <w:divBdr>
            <w:top w:val="none" w:sz="0" w:space="0" w:color="auto"/>
            <w:left w:val="none" w:sz="0" w:space="0" w:color="auto"/>
            <w:bottom w:val="none" w:sz="0" w:space="0" w:color="auto"/>
            <w:right w:val="none" w:sz="0" w:space="0" w:color="auto"/>
          </w:divBdr>
        </w:div>
        <w:div w:id="603616140">
          <w:marLeft w:val="0"/>
          <w:marRight w:val="0"/>
          <w:marTop w:val="0"/>
          <w:marBottom w:val="0"/>
          <w:divBdr>
            <w:top w:val="none" w:sz="0" w:space="0" w:color="auto"/>
            <w:left w:val="none" w:sz="0" w:space="0" w:color="auto"/>
            <w:bottom w:val="none" w:sz="0" w:space="0" w:color="auto"/>
            <w:right w:val="none" w:sz="0" w:space="0" w:color="auto"/>
          </w:divBdr>
        </w:div>
        <w:div w:id="606890855">
          <w:marLeft w:val="0"/>
          <w:marRight w:val="0"/>
          <w:marTop w:val="0"/>
          <w:marBottom w:val="0"/>
          <w:divBdr>
            <w:top w:val="none" w:sz="0" w:space="0" w:color="auto"/>
            <w:left w:val="none" w:sz="0" w:space="0" w:color="auto"/>
            <w:bottom w:val="none" w:sz="0" w:space="0" w:color="auto"/>
            <w:right w:val="none" w:sz="0" w:space="0" w:color="auto"/>
          </w:divBdr>
        </w:div>
        <w:div w:id="608126702">
          <w:marLeft w:val="0"/>
          <w:marRight w:val="0"/>
          <w:marTop w:val="0"/>
          <w:marBottom w:val="0"/>
          <w:divBdr>
            <w:top w:val="none" w:sz="0" w:space="0" w:color="auto"/>
            <w:left w:val="none" w:sz="0" w:space="0" w:color="auto"/>
            <w:bottom w:val="none" w:sz="0" w:space="0" w:color="auto"/>
            <w:right w:val="none" w:sz="0" w:space="0" w:color="auto"/>
          </w:divBdr>
        </w:div>
        <w:div w:id="609893861">
          <w:marLeft w:val="0"/>
          <w:marRight w:val="0"/>
          <w:marTop w:val="0"/>
          <w:marBottom w:val="0"/>
          <w:divBdr>
            <w:top w:val="none" w:sz="0" w:space="0" w:color="auto"/>
            <w:left w:val="none" w:sz="0" w:space="0" w:color="auto"/>
            <w:bottom w:val="none" w:sz="0" w:space="0" w:color="auto"/>
            <w:right w:val="none" w:sz="0" w:space="0" w:color="auto"/>
          </w:divBdr>
          <w:divsChild>
            <w:div w:id="346567178">
              <w:marLeft w:val="0"/>
              <w:marRight w:val="0"/>
              <w:marTop w:val="0"/>
              <w:marBottom w:val="0"/>
              <w:divBdr>
                <w:top w:val="none" w:sz="0" w:space="0" w:color="auto"/>
                <w:left w:val="none" w:sz="0" w:space="0" w:color="auto"/>
                <w:bottom w:val="none" w:sz="0" w:space="0" w:color="auto"/>
                <w:right w:val="none" w:sz="0" w:space="0" w:color="auto"/>
              </w:divBdr>
            </w:div>
            <w:div w:id="349992721">
              <w:marLeft w:val="0"/>
              <w:marRight w:val="0"/>
              <w:marTop w:val="0"/>
              <w:marBottom w:val="0"/>
              <w:divBdr>
                <w:top w:val="none" w:sz="0" w:space="0" w:color="auto"/>
                <w:left w:val="none" w:sz="0" w:space="0" w:color="auto"/>
                <w:bottom w:val="none" w:sz="0" w:space="0" w:color="auto"/>
                <w:right w:val="none" w:sz="0" w:space="0" w:color="auto"/>
              </w:divBdr>
            </w:div>
            <w:div w:id="454106180">
              <w:marLeft w:val="0"/>
              <w:marRight w:val="0"/>
              <w:marTop w:val="0"/>
              <w:marBottom w:val="0"/>
              <w:divBdr>
                <w:top w:val="none" w:sz="0" w:space="0" w:color="auto"/>
                <w:left w:val="none" w:sz="0" w:space="0" w:color="auto"/>
                <w:bottom w:val="none" w:sz="0" w:space="0" w:color="auto"/>
                <w:right w:val="none" w:sz="0" w:space="0" w:color="auto"/>
              </w:divBdr>
            </w:div>
            <w:div w:id="608779867">
              <w:marLeft w:val="0"/>
              <w:marRight w:val="0"/>
              <w:marTop w:val="0"/>
              <w:marBottom w:val="0"/>
              <w:divBdr>
                <w:top w:val="none" w:sz="0" w:space="0" w:color="auto"/>
                <w:left w:val="none" w:sz="0" w:space="0" w:color="auto"/>
                <w:bottom w:val="none" w:sz="0" w:space="0" w:color="auto"/>
                <w:right w:val="none" w:sz="0" w:space="0" w:color="auto"/>
              </w:divBdr>
            </w:div>
            <w:div w:id="663431248">
              <w:marLeft w:val="0"/>
              <w:marRight w:val="0"/>
              <w:marTop w:val="0"/>
              <w:marBottom w:val="0"/>
              <w:divBdr>
                <w:top w:val="none" w:sz="0" w:space="0" w:color="auto"/>
                <w:left w:val="none" w:sz="0" w:space="0" w:color="auto"/>
                <w:bottom w:val="none" w:sz="0" w:space="0" w:color="auto"/>
                <w:right w:val="none" w:sz="0" w:space="0" w:color="auto"/>
              </w:divBdr>
            </w:div>
            <w:div w:id="744768708">
              <w:marLeft w:val="0"/>
              <w:marRight w:val="0"/>
              <w:marTop w:val="0"/>
              <w:marBottom w:val="0"/>
              <w:divBdr>
                <w:top w:val="none" w:sz="0" w:space="0" w:color="auto"/>
                <w:left w:val="none" w:sz="0" w:space="0" w:color="auto"/>
                <w:bottom w:val="none" w:sz="0" w:space="0" w:color="auto"/>
                <w:right w:val="none" w:sz="0" w:space="0" w:color="auto"/>
              </w:divBdr>
            </w:div>
            <w:div w:id="775640937">
              <w:marLeft w:val="0"/>
              <w:marRight w:val="0"/>
              <w:marTop w:val="0"/>
              <w:marBottom w:val="0"/>
              <w:divBdr>
                <w:top w:val="none" w:sz="0" w:space="0" w:color="auto"/>
                <w:left w:val="none" w:sz="0" w:space="0" w:color="auto"/>
                <w:bottom w:val="none" w:sz="0" w:space="0" w:color="auto"/>
                <w:right w:val="none" w:sz="0" w:space="0" w:color="auto"/>
              </w:divBdr>
            </w:div>
            <w:div w:id="793409512">
              <w:marLeft w:val="0"/>
              <w:marRight w:val="0"/>
              <w:marTop w:val="0"/>
              <w:marBottom w:val="0"/>
              <w:divBdr>
                <w:top w:val="none" w:sz="0" w:space="0" w:color="auto"/>
                <w:left w:val="none" w:sz="0" w:space="0" w:color="auto"/>
                <w:bottom w:val="none" w:sz="0" w:space="0" w:color="auto"/>
                <w:right w:val="none" w:sz="0" w:space="0" w:color="auto"/>
              </w:divBdr>
            </w:div>
            <w:div w:id="1196652358">
              <w:marLeft w:val="0"/>
              <w:marRight w:val="0"/>
              <w:marTop w:val="0"/>
              <w:marBottom w:val="0"/>
              <w:divBdr>
                <w:top w:val="none" w:sz="0" w:space="0" w:color="auto"/>
                <w:left w:val="none" w:sz="0" w:space="0" w:color="auto"/>
                <w:bottom w:val="none" w:sz="0" w:space="0" w:color="auto"/>
                <w:right w:val="none" w:sz="0" w:space="0" w:color="auto"/>
              </w:divBdr>
            </w:div>
            <w:div w:id="1202401704">
              <w:marLeft w:val="0"/>
              <w:marRight w:val="0"/>
              <w:marTop w:val="0"/>
              <w:marBottom w:val="0"/>
              <w:divBdr>
                <w:top w:val="none" w:sz="0" w:space="0" w:color="auto"/>
                <w:left w:val="none" w:sz="0" w:space="0" w:color="auto"/>
                <w:bottom w:val="none" w:sz="0" w:space="0" w:color="auto"/>
                <w:right w:val="none" w:sz="0" w:space="0" w:color="auto"/>
              </w:divBdr>
            </w:div>
            <w:div w:id="1358699669">
              <w:marLeft w:val="0"/>
              <w:marRight w:val="0"/>
              <w:marTop w:val="0"/>
              <w:marBottom w:val="0"/>
              <w:divBdr>
                <w:top w:val="none" w:sz="0" w:space="0" w:color="auto"/>
                <w:left w:val="none" w:sz="0" w:space="0" w:color="auto"/>
                <w:bottom w:val="none" w:sz="0" w:space="0" w:color="auto"/>
                <w:right w:val="none" w:sz="0" w:space="0" w:color="auto"/>
              </w:divBdr>
            </w:div>
            <w:div w:id="1586451843">
              <w:marLeft w:val="0"/>
              <w:marRight w:val="0"/>
              <w:marTop w:val="0"/>
              <w:marBottom w:val="0"/>
              <w:divBdr>
                <w:top w:val="none" w:sz="0" w:space="0" w:color="auto"/>
                <w:left w:val="none" w:sz="0" w:space="0" w:color="auto"/>
                <w:bottom w:val="none" w:sz="0" w:space="0" w:color="auto"/>
                <w:right w:val="none" w:sz="0" w:space="0" w:color="auto"/>
              </w:divBdr>
            </w:div>
            <w:div w:id="1655261517">
              <w:marLeft w:val="0"/>
              <w:marRight w:val="0"/>
              <w:marTop w:val="0"/>
              <w:marBottom w:val="0"/>
              <w:divBdr>
                <w:top w:val="none" w:sz="0" w:space="0" w:color="auto"/>
                <w:left w:val="none" w:sz="0" w:space="0" w:color="auto"/>
                <w:bottom w:val="none" w:sz="0" w:space="0" w:color="auto"/>
                <w:right w:val="none" w:sz="0" w:space="0" w:color="auto"/>
              </w:divBdr>
            </w:div>
            <w:div w:id="1705867475">
              <w:marLeft w:val="0"/>
              <w:marRight w:val="0"/>
              <w:marTop w:val="0"/>
              <w:marBottom w:val="0"/>
              <w:divBdr>
                <w:top w:val="none" w:sz="0" w:space="0" w:color="auto"/>
                <w:left w:val="none" w:sz="0" w:space="0" w:color="auto"/>
                <w:bottom w:val="none" w:sz="0" w:space="0" w:color="auto"/>
                <w:right w:val="none" w:sz="0" w:space="0" w:color="auto"/>
              </w:divBdr>
            </w:div>
            <w:div w:id="1741900046">
              <w:marLeft w:val="0"/>
              <w:marRight w:val="0"/>
              <w:marTop w:val="0"/>
              <w:marBottom w:val="0"/>
              <w:divBdr>
                <w:top w:val="none" w:sz="0" w:space="0" w:color="auto"/>
                <w:left w:val="none" w:sz="0" w:space="0" w:color="auto"/>
                <w:bottom w:val="none" w:sz="0" w:space="0" w:color="auto"/>
                <w:right w:val="none" w:sz="0" w:space="0" w:color="auto"/>
              </w:divBdr>
            </w:div>
            <w:div w:id="1970089658">
              <w:marLeft w:val="0"/>
              <w:marRight w:val="0"/>
              <w:marTop w:val="0"/>
              <w:marBottom w:val="0"/>
              <w:divBdr>
                <w:top w:val="none" w:sz="0" w:space="0" w:color="auto"/>
                <w:left w:val="none" w:sz="0" w:space="0" w:color="auto"/>
                <w:bottom w:val="none" w:sz="0" w:space="0" w:color="auto"/>
                <w:right w:val="none" w:sz="0" w:space="0" w:color="auto"/>
              </w:divBdr>
            </w:div>
          </w:divsChild>
        </w:div>
        <w:div w:id="612908439">
          <w:marLeft w:val="0"/>
          <w:marRight w:val="0"/>
          <w:marTop w:val="0"/>
          <w:marBottom w:val="0"/>
          <w:divBdr>
            <w:top w:val="none" w:sz="0" w:space="0" w:color="auto"/>
            <w:left w:val="none" w:sz="0" w:space="0" w:color="auto"/>
            <w:bottom w:val="none" w:sz="0" w:space="0" w:color="auto"/>
            <w:right w:val="none" w:sz="0" w:space="0" w:color="auto"/>
          </w:divBdr>
        </w:div>
        <w:div w:id="613290048">
          <w:marLeft w:val="0"/>
          <w:marRight w:val="0"/>
          <w:marTop w:val="0"/>
          <w:marBottom w:val="0"/>
          <w:divBdr>
            <w:top w:val="none" w:sz="0" w:space="0" w:color="auto"/>
            <w:left w:val="none" w:sz="0" w:space="0" w:color="auto"/>
            <w:bottom w:val="none" w:sz="0" w:space="0" w:color="auto"/>
            <w:right w:val="none" w:sz="0" w:space="0" w:color="auto"/>
          </w:divBdr>
        </w:div>
        <w:div w:id="614748217">
          <w:marLeft w:val="0"/>
          <w:marRight w:val="0"/>
          <w:marTop w:val="0"/>
          <w:marBottom w:val="0"/>
          <w:divBdr>
            <w:top w:val="none" w:sz="0" w:space="0" w:color="auto"/>
            <w:left w:val="none" w:sz="0" w:space="0" w:color="auto"/>
            <w:bottom w:val="none" w:sz="0" w:space="0" w:color="auto"/>
            <w:right w:val="none" w:sz="0" w:space="0" w:color="auto"/>
          </w:divBdr>
        </w:div>
        <w:div w:id="615602848">
          <w:marLeft w:val="0"/>
          <w:marRight w:val="0"/>
          <w:marTop w:val="0"/>
          <w:marBottom w:val="0"/>
          <w:divBdr>
            <w:top w:val="none" w:sz="0" w:space="0" w:color="auto"/>
            <w:left w:val="none" w:sz="0" w:space="0" w:color="auto"/>
            <w:bottom w:val="none" w:sz="0" w:space="0" w:color="auto"/>
            <w:right w:val="none" w:sz="0" w:space="0" w:color="auto"/>
          </w:divBdr>
        </w:div>
        <w:div w:id="618142864">
          <w:marLeft w:val="0"/>
          <w:marRight w:val="0"/>
          <w:marTop w:val="0"/>
          <w:marBottom w:val="0"/>
          <w:divBdr>
            <w:top w:val="none" w:sz="0" w:space="0" w:color="auto"/>
            <w:left w:val="none" w:sz="0" w:space="0" w:color="auto"/>
            <w:bottom w:val="none" w:sz="0" w:space="0" w:color="auto"/>
            <w:right w:val="none" w:sz="0" w:space="0" w:color="auto"/>
          </w:divBdr>
        </w:div>
        <w:div w:id="622464838">
          <w:marLeft w:val="0"/>
          <w:marRight w:val="0"/>
          <w:marTop w:val="0"/>
          <w:marBottom w:val="0"/>
          <w:divBdr>
            <w:top w:val="none" w:sz="0" w:space="0" w:color="auto"/>
            <w:left w:val="none" w:sz="0" w:space="0" w:color="auto"/>
            <w:bottom w:val="none" w:sz="0" w:space="0" w:color="auto"/>
            <w:right w:val="none" w:sz="0" w:space="0" w:color="auto"/>
          </w:divBdr>
        </w:div>
        <w:div w:id="622614731">
          <w:marLeft w:val="0"/>
          <w:marRight w:val="0"/>
          <w:marTop w:val="0"/>
          <w:marBottom w:val="0"/>
          <w:divBdr>
            <w:top w:val="none" w:sz="0" w:space="0" w:color="auto"/>
            <w:left w:val="none" w:sz="0" w:space="0" w:color="auto"/>
            <w:bottom w:val="none" w:sz="0" w:space="0" w:color="auto"/>
            <w:right w:val="none" w:sz="0" w:space="0" w:color="auto"/>
          </w:divBdr>
        </w:div>
        <w:div w:id="626548269">
          <w:marLeft w:val="0"/>
          <w:marRight w:val="0"/>
          <w:marTop w:val="0"/>
          <w:marBottom w:val="0"/>
          <w:divBdr>
            <w:top w:val="none" w:sz="0" w:space="0" w:color="auto"/>
            <w:left w:val="none" w:sz="0" w:space="0" w:color="auto"/>
            <w:bottom w:val="none" w:sz="0" w:space="0" w:color="auto"/>
            <w:right w:val="none" w:sz="0" w:space="0" w:color="auto"/>
          </w:divBdr>
          <w:divsChild>
            <w:div w:id="142237947">
              <w:marLeft w:val="0"/>
              <w:marRight w:val="0"/>
              <w:marTop w:val="0"/>
              <w:marBottom w:val="0"/>
              <w:divBdr>
                <w:top w:val="none" w:sz="0" w:space="0" w:color="auto"/>
                <w:left w:val="none" w:sz="0" w:space="0" w:color="auto"/>
                <w:bottom w:val="none" w:sz="0" w:space="0" w:color="auto"/>
                <w:right w:val="none" w:sz="0" w:space="0" w:color="auto"/>
              </w:divBdr>
            </w:div>
            <w:div w:id="289896391">
              <w:marLeft w:val="0"/>
              <w:marRight w:val="0"/>
              <w:marTop w:val="0"/>
              <w:marBottom w:val="0"/>
              <w:divBdr>
                <w:top w:val="none" w:sz="0" w:space="0" w:color="auto"/>
                <w:left w:val="none" w:sz="0" w:space="0" w:color="auto"/>
                <w:bottom w:val="none" w:sz="0" w:space="0" w:color="auto"/>
                <w:right w:val="none" w:sz="0" w:space="0" w:color="auto"/>
              </w:divBdr>
            </w:div>
            <w:div w:id="494229484">
              <w:marLeft w:val="0"/>
              <w:marRight w:val="0"/>
              <w:marTop w:val="0"/>
              <w:marBottom w:val="0"/>
              <w:divBdr>
                <w:top w:val="none" w:sz="0" w:space="0" w:color="auto"/>
                <w:left w:val="none" w:sz="0" w:space="0" w:color="auto"/>
                <w:bottom w:val="none" w:sz="0" w:space="0" w:color="auto"/>
                <w:right w:val="none" w:sz="0" w:space="0" w:color="auto"/>
              </w:divBdr>
            </w:div>
            <w:div w:id="558058955">
              <w:marLeft w:val="0"/>
              <w:marRight w:val="0"/>
              <w:marTop w:val="0"/>
              <w:marBottom w:val="0"/>
              <w:divBdr>
                <w:top w:val="none" w:sz="0" w:space="0" w:color="auto"/>
                <w:left w:val="none" w:sz="0" w:space="0" w:color="auto"/>
                <w:bottom w:val="none" w:sz="0" w:space="0" w:color="auto"/>
                <w:right w:val="none" w:sz="0" w:space="0" w:color="auto"/>
              </w:divBdr>
            </w:div>
            <w:div w:id="674037777">
              <w:marLeft w:val="0"/>
              <w:marRight w:val="0"/>
              <w:marTop w:val="0"/>
              <w:marBottom w:val="0"/>
              <w:divBdr>
                <w:top w:val="none" w:sz="0" w:space="0" w:color="auto"/>
                <w:left w:val="none" w:sz="0" w:space="0" w:color="auto"/>
                <w:bottom w:val="none" w:sz="0" w:space="0" w:color="auto"/>
                <w:right w:val="none" w:sz="0" w:space="0" w:color="auto"/>
              </w:divBdr>
            </w:div>
            <w:div w:id="697196555">
              <w:marLeft w:val="0"/>
              <w:marRight w:val="0"/>
              <w:marTop w:val="0"/>
              <w:marBottom w:val="0"/>
              <w:divBdr>
                <w:top w:val="none" w:sz="0" w:space="0" w:color="auto"/>
                <w:left w:val="none" w:sz="0" w:space="0" w:color="auto"/>
                <w:bottom w:val="none" w:sz="0" w:space="0" w:color="auto"/>
                <w:right w:val="none" w:sz="0" w:space="0" w:color="auto"/>
              </w:divBdr>
            </w:div>
            <w:div w:id="714818967">
              <w:marLeft w:val="0"/>
              <w:marRight w:val="0"/>
              <w:marTop w:val="0"/>
              <w:marBottom w:val="0"/>
              <w:divBdr>
                <w:top w:val="none" w:sz="0" w:space="0" w:color="auto"/>
                <w:left w:val="none" w:sz="0" w:space="0" w:color="auto"/>
                <w:bottom w:val="none" w:sz="0" w:space="0" w:color="auto"/>
                <w:right w:val="none" w:sz="0" w:space="0" w:color="auto"/>
              </w:divBdr>
            </w:div>
            <w:div w:id="733313253">
              <w:marLeft w:val="0"/>
              <w:marRight w:val="0"/>
              <w:marTop w:val="0"/>
              <w:marBottom w:val="0"/>
              <w:divBdr>
                <w:top w:val="none" w:sz="0" w:space="0" w:color="auto"/>
                <w:left w:val="none" w:sz="0" w:space="0" w:color="auto"/>
                <w:bottom w:val="none" w:sz="0" w:space="0" w:color="auto"/>
                <w:right w:val="none" w:sz="0" w:space="0" w:color="auto"/>
              </w:divBdr>
            </w:div>
            <w:div w:id="750394600">
              <w:marLeft w:val="0"/>
              <w:marRight w:val="0"/>
              <w:marTop w:val="0"/>
              <w:marBottom w:val="0"/>
              <w:divBdr>
                <w:top w:val="none" w:sz="0" w:space="0" w:color="auto"/>
                <w:left w:val="none" w:sz="0" w:space="0" w:color="auto"/>
                <w:bottom w:val="none" w:sz="0" w:space="0" w:color="auto"/>
                <w:right w:val="none" w:sz="0" w:space="0" w:color="auto"/>
              </w:divBdr>
            </w:div>
            <w:div w:id="874661090">
              <w:marLeft w:val="0"/>
              <w:marRight w:val="0"/>
              <w:marTop w:val="0"/>
              <w:marBottom w:val="0"/>
              <w:divBdr>
                <w:top w:val="none" w:sz="0" w:space="0" w:color="auto"/>
                <w:left w:val="none" w:sz="0" w:space="0" w:color="auto"/>
                <w:bottom w:val="none" w:sz="0" w:space="0" w:color="auto"/>
                <w:right w:val="none" w:sz="0" w:space="0" w:color="auto"/>
              </w:divBdr>
            </w:div>
            <w:div w:id="995451723">
              <w:marLeft w:val="0"/>
              <w:marRight w:val="0"/>
              <w:marTop w:val="0"/>
              <w:marBottom w:val="0"/>
              <w:divBdr>
                <w:top w:val="none" w:sz="0" w:space="0" w:color="auto"/>
                <w:left w:val="none" w:sz="0" w:space="0" w:color="auto"/>
                <w:bottom w:val="none" w:sz="0" w:space="0" w:color="auto"/>
                <w:right w:val="none" w:sz="0" w:space="0" w:color="auto"/>
              </w:divBdr>
            </w:div>
            <w:div w:id="1143154377">
              <w:marLeft w:val="0"/>
              <w:marRight w:val="0"/>
              <w:marTop w:val="0"/>
              <w:marBottom w:val="0"/>
              <w:divBdr>
                <w:top w:val="none" w:sz="0" w:space="0" w:color="auto"/>
                <w:left w:val="none" w:sz="0" w:space="0" w:color="auto"/>
                <w:bottom w:val="none" w:sz="0" w:space="0" w:color="auto"/>
                <w:right w:val="none" w:sz="0" w:space="0" w:color="auto"/>
              </w:divBdr>
            </w:div>
            <w:div w:id="1228102804">
              <w:marLeft w:val="0"/>
              <w:marRight w:val="0"/>
              <w:marTop w:val="0"/>
              <w:marBottom w:val="0"/>
              <w:divBdr>
                <w:top w:val="none" w:sz="0" w:space="0" w:color="auto"/>
                <w:left w:val="none" w:sz="0" w:space="0" w:color="auto"/>
                <w:bottom w:val="none" w:sz="0" w:space="0" w:color="auto"/>
                <w:right w:val="none" w:sz="0" w:space="0" w:color="auto"/>
              </w:divBdr>
            </w:div>
            <w:div w:id="1243219789">
              <w:marLeft w:val="0"/>
              <w:marRight w:val="0"/>
              <w:marTop w:val="0"/>
              <w:marBottom w:val="0"/>
              <w:divBdr>
                <w:top w:val="none" w:sz="0" w:space="0" w:color="auto"/>
                <w:left w:val="none" w:sz="0" w:space="0" w:color="auto"/>
                <w:bottom w:val="none" w:sz="0" w:space="0" w:color="auto"/>
                <w:right w:val="none" w:sz="0" w:space="0" w:color="auto"/>
              </w:divBdr>
            </w:div>
            <w:div w:id="1460491504">
              <w:marLeft w:val="0"/>
              <w:marRight w:val="0"/>
              <w:marTop w:val="0"/>
              <w:marBottom w:val="0"/>
              <w:divBdr>
                <w:top w:val="none" w:sz="0" w:space="0" w:color="auto"/>
                <w:left w:val="none" w:sz="0" w:space="0" w:color="auto"/>
                <w:bottom w:val="none" w:sz="0" w:space="0" w:color="auto"/>
                <w:right w:val="none" w:sz="0" w:space="0" w:color="auto"/>
              </w:divBdr>
            </w:div>
            <w:div w:id="1727559778">
              <w:marLeft w:val="0"/>
              <w:marRight w:val="0"/>
              <w:marTop w:val="0"/>
              <w:marBottom w:val="0"/>
              <w:divBdr>
                <w:top w:val="none" w:sz="0" w:space="0" w:color="auto"/>
                <w:left w:val="none" w:sz="0" w:space="0" w:color="auto"/>
                <w:bottom w:val="none" w:sz="0" w:space="0" w:color="auto"/>
                <w:right w:val="none" w:sz="0" w:space="0" w:color="auto"/>
              </w:divBdr>
            </w:div>
            <w:div w:id="1990282227">
              <w:marLeft w:val="0"/>
              <w:marRight w:val="0"/>
              <w:marTop w:val="0"/>
              <w:marBottom w:val="0"/>
              <w:divBdr>
                <w:top w:val="none" w:sz="0" w:space="0" w:color="auto"/>
                <w:left w:val="none" w:sz="0" w:space="0" w:color="auto"/>
                <w:bottom w:val="none" w:sz="0" w:space="0" w:color="auto"/>
                <w:right w:val="none" w:sz="0" w:space="0" w:color="auto"/>
              </w:divBdr>
            </w:div>
            <w:div w:id="2000306302">
              <w:marLeft w:val="0"/>
              <w:marRight w:val="0"/>
              <w:marTop w:val="0"/>
              <w:marBottom w:val="0"/>
              <w:divBdr>
                <w:top w:val="none" w:sz="0" w:space="0" w:color="auto"/>
                <w:left w:val="none" w:sz="0" w:space="0" w:color="auto"/>
                <w:bottom w:val="none" w:sz="0" w:space="0" w:color="auto"/>
                <w:right w:val="none" w:sz="0" w:space="0" w:color="auto"/>
              </w:divBdr>
            </w:div>
          </w:divsChild>
        </w:div>
        <w:div w:id="626735945">
          <w:marLeft w:val="0"/>
          <w:marRight w:val="0"/>
          <w:marTop w:val="0"/>
          <w:marBottom w:val="0"/>
          <w:divBdr>
            <w:top w:val="none" w:sz="0" w:space="0" w:color="auto"/>
            <w:left w:val="none" w:sz="0" w:space="0" w:color="auto"/>
            <w:bottom w:val="none" w:sz="0" w:space="0" w:color="auto"/>
            <w:right w:val="none" w:sz="0" w:space="0" w:color="auto"/>
          </w:divBdr>
        </w:div>
        <w:div w:id="627779371">
          <w:marLeft w:val="0"/>
          <w:marRight w:val="0"/>
          <w:marTop w:val="0"/>
          <w:marBottom w:val="0"/>
          <w:divBdr>
            <w:top w:val="none" w:sz="0" w:space="0" w:color="auto"/>
            <w:left w:val="none" w:sz="0" w:space="0" w:color="auto"/>
            <w:bottom w:val="none" w:sz="0" w:space="0" w:color="auto"/>
            <w:right w:val="none" w:sz="0" w:space="0" w:color="auto"/>
          </w:divBdr>
        </w:div>
        <w:div w:id="629282950">
          <w:marLeft w:val="0"/>
          <w:marRight w:val="0"/>
          <w:marTop w:val="0"/>
          <w:marBottom w:val="0"/>
          <w:divBdr>
            <w:top w:val="none" w:sz="0" w:space="0" w:color="auto"/>
            <w:left w:val="none" w:sz="0" w:space="0" w:color="auto"/>
            <w:bottom w:val="none" w:sz="0" w:space="0" w:color="auto"/>
            <w:right w:val="none" w:sz="0" w:space="0" w:color="auto"/>
          </w:divBdr>
        </w:div>
        <w:div w:id="633219476">
          <w:marLeft w:val="0"/>
          <w:marRight w:val="0"/>
          <w:marTop w:val="0"/>
          <w:marBottom w:val="0"/>
          <w:divBdr>
            <w:top w:val="none" w:sz="0" w:space="0" w:color="auto"/>
            <w:left w:val="none" w:sz="0" w:space="0" w:color="auto"/>
            <w:bottom w:val="none" w:sz="0" w:space="0" w:color="auto"/>
            <w:right w:val="none" w:sz="0" w:space="0" w:color="auto"/>
          </w:divBdr>
        </w:div>
        <w:div w:id="633873434">
          <w:marLeft w:val="0"/>
          <w:marRight w:val="0"/>
          <w:marTop w:val="0"/>
          <w:marBottom w:val="0"/>
          <w:divBdr>
            <w:top w:val="none" w:sz="0" w:space="0" w:color="auto"/>
            <w:left w:val="none" w:sz="0" w:space="0" w:color="auto"/>
            <w:bottom w:val="none" w:sz="0" w:space="0" w:color="auto"/>
            <w:right w:val="none" w:sz="0" w:space="0" w:color="auto"/>
          </w:divBdr>
        </w:div>
        <w:div w:id="634405884">
          <w:marLeft w:val="0"/>
          <w:marRight w:val="0"/>
          <w:marTop w:val="0"/>
          <w:marBottom w:val="0"/>
          <w:divBdr>
            <w:top w:val="none" w:sz="0" w:space="0" w:color="auto"/>
            <w:left w:val="none" w:sz="0" w:space="0" w:color="auto"/>
            <w:bottom w:val="none" w:sz="0" w:space="0" w:color="auto"/>
            <w:right w:val="none" w:sz="0" w:space="0" w:color="auto"/>
          </w:divBdr>
        </w:div>
        <w:div w:id="639070781">
          <w:marLeft w:val="0"/>
          <w:marRight w:val="0"/>
          <w:marTop w:val="0"/>
          <w:marBottom w:val="0"/>
          <w:divBdr>
            <w:top w:val="none" w:sz="0" w:space="0" w:color="auto"/>
            <w:left w:val="none" w:sz="0" w:space="0" w:color="auto"/>
            <w:bottom w:val="none" w:sz="0" w:space="0" w:color="auto"/>
            <w:right w:val="none" w:sz="0" w:space="0" w:color="auto"/>
          </w:divBdr>
        </w:div>
        <w:div w:id="640037219">
          <w:marLeft w:val="0"/>
          <w:marRight w:val="0"/>
          <w:marTop w:val="0"/>
          <w:marBottom w:val="0"/>
          <w:divBdr>
            <w:top w:val="none" w:sz="0" w:space="0" w:color="auto"/>
            <w:left w:val="none" w:sz="0" w:space="0" w:color="auto"/>
            <w:bottom w:val="none" w:sz="0" w:space="0" w:color="auto"/>
            <w:right w:val="none" w:sz="0" w:space="0" w:color="auto"/>
          </w:divBdr>
        </w:div>
        <w:div w:id="640308089">
          <w:marLeft w:val="0"/>
          <w:marRight w:val="0"/>
          <w:marTop w:val="0"/>
          <w:marBottom w:val="0"/>
          <w:divBdr>
            <w:top w:val="none" w:sz="0" w:space="0" w:color="auto"/>
            <w:left w:val="none" w:sz="0" w:space="0" w:color="auto"/>
            <w:bottom w:val="none" w:sz="0" w:space="0" w:color="auto"/>
            <w:right w:val="none" w:sz="0" w:space="0" w:color="auto"/>
          </w:divBdr>
        </w:div>
        <w:div w:id="645743191">
          <w:marLeft w:val="0"/>
          <w:marRight w:val="0"/>
          <w:marTop w:val="0"/>
          <w:marBottom w:val="0"/>
          <w:divBdr>
            <w:top w:val="none" w:sz="0" w:space="0" w:color="auto"/>
            <w:left w:val="none" w:sz="0" w:space="0" w:color="auto"/>
            <w:bottom w:val="none" w:sz="0" w:space="0" w:color="auto"/>
            <w:right w:val="none" w:sz="0" w:space="0" w:color="auto"/>
          </w:divBdr>
        </w:div>
        <w:div w:id="646394038">
          <w:marLeft w:val="0"/>
          <w:marRight w:val="0"/>
          <w:marTop w:val="0"/>
          <w:marBottom w:val="0"/>
          <w:divBdr>
            <w:top w:val="none" w:sz="0" w:space="0" w:color="auto"/>
            <w:left w:val="none" w:sz="0" w:space="0" w:color="auto"/>
            <w:bottom w:val="none" w:sz="0" w:space="0" w:color="auto"/>
            <w:right w:val="none" w:sz="0" w:space="0" w:color="auto"/>
          </w:divBdr>
        </w:div>
        <w:div w:id="646858986">
          <w:marLeft w:val="0"/>
          <w:marRight w:val="0"/>
          <w:marTop w:val="0"/>
          <w:marBottom w:val="0"/>
          <w:divBdr>
            <w:top w:val="none" w:sz="0" w:space="0" w:color="auto"/>
            <w:left w:val="none" w:sz="0" w:space="0" w:color="auto"/>
            <w:bottom w:val="none" w:sz="0" w:space="0" w:color="auto"/>
            <w:right w:val="none" w:sz="0" w:space="0" w:color="auto"/>
          </w:divBdr>
        </w:div>
        <w:div w:id="649409298">
          <w:marLeft w:val="0"/>
          <w:marRight w:val="0"/>
          <w:marTop w:val="0"/>
          <w:marBottom w:val="0"/>
          <w:divBdr>
            <w:top w:val="none" w:sz="0" w:space="0" w:color="auto"/>
            <w:left w:val="none" w:sz="0" w:space="0" w:color="auto"/>
            <w:bottom w:val="none" w:sz="0" w:space="0" w:color="auto"/>
            <w:right w:val="none" w:sz="0" w:space="0" w:color="auto"/>
          </w:divBdr>
        </w:div>
        <w:div w:id="651445415">
          <w:marLeft w:val="0"/>
          <w:marRight w:val="0"/>
          <w:marTop w:val="0"/>
          <w:marBottom w:val="0"/>
          <w:divBdr>
            <w:top w:val="none" w:sz="0" w:space="0" w:color="auto"/>
            <w:left w:val="none" w:sz="0" w:space="0" w:color="auto"/>
            <w:bottom w:val="none" w:sz="0" w:space="0" w:color="auto"/>
            <w:right w:val="none" w:sz="0" w:space="0" w:color="auto"/>
          </w:divBdr>
        </w:div>
        <w:div w:id="651645487">
          <w:marLeft w:val="0"/>
          <w:marRight w:val="0"/>
          <w:marTop w:val="0"/>
          <w:marBottom w:val="0"/>
          <w:divBdr>
            <w:top w:val="none" w:sz="0" w:space="0" w:color="auto"/>
            <w:left w:val="none" w:sz="0" w:space="0" w:color="auto"/>
            <w:bottom w:val="none" w:sz="0" w:space="0" w:color="auto"/>
            <w:right w:val="none" w:sz="0" w:space="0" w:color="auto"/>
          </w:divBdr>
        </w:div>
        <w:div w:id="651832037">
          <w:marLeft w:val="0"/>
          <w:marRight w:val="0"/>
          <w:marTop w:val="0"/>
          <w:marBottom w:val="0"/>
          <w:divBdr>
            <w:top w:val="none" w:sz="0" w:space="0" w:color="auto"/>
            <w:left w:val="none" w:sz="0" w:space="0" w:color="auto"/>
            <w:bottom w:val="none" w:sz="0" w:space="0" w:color="auto"/>
            <w:right w:val="none" w:sz="0" w:space="0" w:color="auto"/>
          </w:divBdr>
        </w:div>
        <w:div w:id="651953494">
          <w:marLeft w:val="0"/>
          <w:marRight w:val="0"/>
          <w:marTop w:val="0"/>
          <w:marBottom w:val="0"/>
          <w:divBdr>
            <w:top w:val="none" w:sz="0" w:space="0" w:color="auto"/>
            <w:left w:val="none" w:sz="0" w:space="0" w:color="auto"/>
            <w:bottom w:val="none" w:sz="0" w:space="0" w:color="auto"/>
            <w:right w:val="none" w:sz="0" w:space="0" w:color="auto"/>
          </w:divBdr>
          <w:divsChild>
            <w:div w:id="178663057">
              <w:marLeft w:val="0"/>
              <w:marRight w:val="0"/>
              <w:marTop w:val="0"/>
              <w:marBottom w:val="0"/>
              <w:divBdr>
                <w:top w:val="none" w:sz="0" w:space="0" w:color="auto"/>
                <w:left w:val="none" w:sz="0" w:space="0" w:color="auto"/>
                <w:bottom w:val="none" w:sz="0" w:space="0" w:color="auto"/>
                <w:right w:val="none" w:sz="0" w:space="0" w:color="auto"/>
              </w:divBdr>
            </w:div>
            <w:div w:id="280185716">
              <w:marLeft w:val="0"/>
              <w:marRight w:val="0"/>
              <w:marTop w:val="0"/>
              <w:marBottom w:val="0"/>
              <w:divBdr>
                <w:top w:val="none" w:sz="0" w:space="0" w:color="auto"/>
                <w:left w:val="none" w:sz="0" w:space="0" w:color="auto"/>
                <w:bottom w:val="none" w:sz="0" w:space="0" w:color="auto"/>
                <w:right w:val="none" w:sz="0" w:space="0" w:color="auto"/>
              </w:divBdr>
            </w:div>
            <w:div w:id="485363940">
              <w:marLeft w:val="0"/>
              <w:marRight w:val="0"/>
              <w:marTop w:val="0"/>
              <w:marBottom w:val="0"/>
              <w:divBdr>
                <w:top w:val="none" w:sz="0" w:space="0" w:color="auto"/>
                <w:left w:val="none" w:sz="0" w:space="0" w:color="auto"/>
                <w:bottom w:val="none" w:sz="0" w:space="0" w:color="auto"/>
                <w:right w:val="none" w:sz="0" w:space="0" w:color="auto"/>
              </w:divBdr>
            </w:div>
            <w:div w:id="832525441">
              <w:marLeft w:val="0"/>
              <w:marRight w:val="0"/>
              <w:marTop w:val="0"/>
              <w:marBottom w:val="0"/>
              <w:divBdr>
                <w:top w:val="none" w:sz="0" w:space="0" w:color="auto"/>
                <w:left w:val="none" w:sz="0" w:space="0" w:color="auto"/>
                <w:bottom w:val="none" w:sz="0" w:space="0" w:color="auto"/>
                <w:right w:val="none" w:sz="0" w:space="0" w:color="auto"/>
              </w:divBdr>
            </w:div>
            <w:div w:id="1015883505">
              <w:marLeft w:val="0"/>
              <w:marRight w:val="0"/>
              <w:marTop w:val="0"/>
              <w:marBottom w:val="0"/>
              <w:divBdr>
                <w:top w:val="none" w:sz="0" w:space="0" w:color="auto"/>
                <w:left w:val="none" w:sz="0" w:space="0" w:color="auto"/>
                <w:bottom w:val="none" w:sz="0" w:space="0" w:color="auto"/>
                <w:right w:val="none" w:sz="0" w:space="0" w:color="auto"/>
              </w:divBdr>
            </w:div>
            <w:div w:id="1250849984">
              <w:marLeft w:val="0"/>
              <w:marRight w:val="0"/>
              <w:marTop w:val="0"/>
              <w:marBottom w:val="0"/>
              <w:divBdr>
                <w:top w:val="none" w:sz="0" w:space="0" w:color="auto"/>
                <w:left w:val="none" w:sz="0" w:space="0" w:color="auto"/>
                <w:bottom w:val="none" w:sz="0" w:space="0" w:color="auto"/>
                <w:right w:val="none" w:sz="0" w:space="0" w:color="auto"/>
              </w:divBdr>
            </w:div>
            <w:div w:id="1312754140">
              <w:marLeft w:val="0"/>
              <w:marRight w:val="0"/>
              <w:marTop w:val="0"/>
              <w:marBottom w:val="0"/>
              <w:divBdr>
                <w:top w:val="none" w:sz="0" w:space="0" w:color="auto"/>
                <w:left w:val="none" w:sz="0" w:space="0" w:color="auto"/>
                <w:bottom w:val="none" w:sz="0" w:space="0" w:color="auto"/>
                <w:right w:val="none" w:sz="0" w:space="0" w:color="auto"/>
              </w:divBdr>
            </w:div>
            <w:div w:id="1379430177">
              <w:marLeft w:val="0"/>
              <w:marRight w:val="0"/>
              <w:marTop w:val="0"/>
              <w:marBottom w:val="0"/>
              <w:divBdr>
                <w:top w:val="none" w:sz="0" w:space="0" w:color="auto"/>
                <w:left w:val="none" w:sz="0" w:space="0" w:color="auto"/>
                <w:bottom w:val="none" w:sz="0" w:space="0" w:color="auto"/>
                <w:right w:val="none" w:sz="0" w:space="0" w:color="auto"/>
              </w:divBdr>
            </w:div>
            <w:div w:id="1479566329">
              <w:marLeft w:val="0"/>
              <w:marRight w:val="0"/>
              <w:marTop w:val="0"/>
              <w:marBottom w:val="0"/>
              <w:divBdr>
                <w:top w:val="none" w:sz="0" w:space="0" w:color="auto"/>
                <w:left w:val="none" w:sz="0" w:space="0" w:color="auto"/>
                <w:bottom w:val="none" w:sz="0" w:space="0" w:color="auto"/>
                <w:right w:val="none" w:sz="0" w:space="0" w:color="auto"/>
              </w:divBdr>
            </w:div>
            <w:div w:id="1525946673">
              <w:marLeft w:val="0"/>
              <w:marRight w:val="0"/>
              <w:marTop w:val="0"/>
              <w:marBottom w:val="0"/>
              <w:divBdr>
                <w:top w:val="none" w:sz="0" w:space="0" w:color="auto"/>
                <w:left w:val="none" w:sz="0" w:space="0" w:color="auto"/>
                <w:bottom w:val="none" w:sz="0" w:space="0" w:color="auto"/>
                <w:right w:val="none" w:sz="0" w:space="0" w:color="auto"/>
              </w:divBdr>
            </w:div>
            <w:div w:id="1589656645">
              <w:marLeft w:val="0"/>
              <w:marRight w:val="0"/>
              <w:marTop w:val="0"/>
              <w:marBottom w:val="0"/>
              <w:divBdr>
                <w:top w:val="none" w:sz="0" w:space="0" w:color="auto"/>
                <w:left w:val="none" w:sz="0" w:space="0" w:color="auto"/>
                <w:bottom w:val="none" w:sz="0" w:space="0" w:color="auto"/>
                <w:right w:val="none" w:sz="0" w:space="0" w:color="auto"/>
              </w:divBdr>
            </w:div>
            <w:div w:id="1802504120">
              <w:marLeft w:val="0"/>
              <w:marRight w:val="0"/>
              <w:marTop w:val="0"/>
              <w:marBottom w:val="0"/>
              <w:divBdr>
                <w:top w:val="none" w:sz="0" w:space="0" w:color="auto"/>
                <w:left w:val="none" w:sz="0" w:space="0" w:color="auto"/>
                <w:bottom w:val="none" w:sz="0" w:space="0" w:color="auto"/>
                <w:right w:val="none" w:sz="0" w:space="0" w:color="auto"/>
              </w:divBdr>
            </w:div>
            <w:div w:id="1834025104">
              <w:marLeft w:val="0"/>
              <w:marRight w:val="0"/>
              <w:marTop w:val="0"/>
              <w:marBottom w:val="0"/>
              <w:divBdr>
                <w:top w:val="none" w:sz="0" w:space="0" w:color="auto"/>
                <w:left w:val="none" w:sz="0" w:space="0" w:color="auto"/>
                <w:bottom w:val="none" w:sz="0" w:space="0" w:color="auto"/>
                <w:right w:val="none" w:sz="0" w:space="0" w:color="auto"/>
              </w:divBdr>
            </w:div>
            <w:div w:id="1866671779">
              <w:marLeft w:val="0"/>
              <w:marRight w:val="0"/>
              <w:marTop w:val="0"/>
              <w:marBottom w:val="0"/>
              <w:divBdr>
                <w:top w:val="none" w:sz="0" w:space="0" w:color="auto"/>
                <w:left w:val="none" w:sz="0" w:space="0" w:color="auto"/>
                <w:bottom w:val="none" w:sz="0" w:space="0" w:color="auto"/>
                <w:right w:val="none" w:sz="0" w:space="0" w:color="auto"/>
              </w:divBdr>
            </w:div>
            <w:div w:id="1894271864">
              <w:marLeft w:val="0"/>
              <w:marRight w:val="0"/>
              <w:marTop w:val="0"/>
              <w:marBottom w:val="0"/>
              <w:divBdr>
                <w:top w:val="none" w:sz="0" w:space="0" w:color="auto"/>
                <w:left w:val="none" w:sz="0" w:space="0" w:color="auto"/>
                <w:bottom w:val="none" w:sz="0" w:space="0" w:color="auto"/>
                <w:right w:val="none" w:sz="0" w:space="0" w:color="auto"/>
              </w:divBdr>
            </w:div>
            <w:div w:id="1917277065">
              <w:marLeft w:val="0"/>
              <w:marRight w:val="0"/>
              <w:marTop w:val="0"/>
              <w:marBottom w:val="0"/>
              <w:divBdr>
                <w:top w:val="none" w:sz="0" w:space="0" w:color="auto"/>
                <w:left w:val="none" w:sz="0" w:space="0" w:color="auto"/>
                <w:bottom w:val="none" w:sz="0" w:space="0" w:color="auto"/>
                <w:right w:val="none" w:sz="0" w:space="0" w:color="auto"/>
              </w:divBdr>
            </w:div>
            <w:div w:id="1990985391">
              <w:marLeft w:val="0"/>
              <w:marRight w:val="0"/>
              <w:marTop w:val="0"/>
              <w:marBottom w:val="0"/>
              <w:divBdr>
                <w:top w:val="none" w:sz="0" w:space="0" w:color="auto"/>
                <w:left w:val="none" w:sz="0" w:space="0" w:color="auto"/>
                <w:bottom w:val="none" w:sz="0" w:space="0" w:color="auto"/>
                <w:right w:val="none" w:sz="0" w:space="0" w:color="auto"/>
              </w:divBdr>
            </w:div>
            <w:div w:id="2017951266">
              <w:marLeft w:val="0"/>
              <w:marRight w:val="0"/>
              <w:marTop w:val="0"/>
              <w:marBottom w:val="0"/>
              <w:divBdr>
                <w:top w:val="none" w:sz="0" w:space="0" w:color="auto"/>
                <w:left w:val="none" w:sz="0" w:space="0" w:color="auto"/>
                <w:bottom w:val="none" w:sz="0" w:space="0" w:color="auto"/>
                <w:right w:val="none" w:sz="0" w:space="0" w:color="auto"/>
              </w:divBdr>
            </w:div>
            <w:div w:id="2051876959">
              <w:marLeft w:val="0"/>
              <w:marRight w:val="0"/>
              <w:marTop w:val="0"/>
              <w:marBottom w:val="0"/>
              <w:divBdr>
                <w:top w:val="none" w:sz="0" w:space="0" w:color="auto"/>
                <w:left w:val="none" w:sz="0" w:space="0" w:color="auto"/>
                <w:bottom w:val="none" w:sz="0" w:space="0" w:color="auto"/>
                <w:right w:val="none" w:sz="0" w:space="0" w:color="auto"/>
              </w:divBdr>
            </w:div>
            <w:div w:id="2077120177">
              <w:marLeft w:val="0"/>
              <w:marRight w:val="0"/>
              <w:marTop w:val="0"/>
              <w:marBottom w:val="0"/>
              <w:divBdr>
                <w:top w:val="none" w:sz="0" w:space="0" w:color="auto"/>
                <w:left w:val="none" w:sz="0" w:space="0" w:color="auto"/>
                <w:bottom w:val="none" w:sz="0" w:space="0" w:color="auto"/>
                <w:right w:val="none" w:sz="0" w:space="0" w:color="auto"/>
              </w:divBdr>
            </w:div>
          </w:divsChild>
        </w:div>
        <w:div w:id="653031216">
          <w:marLeft w:val="0"/>
          <w:marRight w:val="0"/>
          <w:marTop w:val="0"/>
          <w:marBottom w:val="0"/>
          <w:divBdr>
            <w:top w:val="none" w:sz="0" w:space="0" w:color="auto"/>
            <w:left w:val="none" w:sz="0" w:space="0" w:color="auto"/>
            <w:bottom w:val="none" w:sz="0" w:space="0" w:color="auto"/>
            <w:right w:val="none" w:sz="0" w:space="0" w:color="auto"/>
          </w:divBdr>
        </w:div>
        <w:div w:id="656542398">
          <w:marLeft w:val="0"/>
          <w:marRight w:val="0"/>
          <w:marTop w:val="0"/>
          <w:marBottom w:val="0"/>
          <w:divBdr>
            <w:top w:val="none" w:sz="0" w:space="0" w:color="auto"/>
            <w:left w:val="none" w:sz="0" w:space="0" w:color="auto"/>
            <w:bottom w:val="none" w:sz="0" w:space="0" w:color="auto"/>
            <w:right w:val="none" w:sz="0" w:space="0" w:color="auto"/>
          </w:divBdr>
        </w:div>
        <w:div w:id="658775283">
          <w:marLeft w:val="0"/>
          <w:marRight w:val="0"/>
          <w:marTop w:val="0"/>
          <w:marBottom w:val="0"/>
          <w:divBdr>
            <w:top w:val="none" w:sz="0" w:space="0" w:color="auto"/>
            <w:left w:val="none" w:sz="0" w:space="0" w:color="auto"/>
            <w:bottom w:val="none" w:sz="0" w:space="0" w:color="auto"/>
            <w:right w:val="none" w:sz="0" w:space="0" w:color="auto"/>
          </w:divBdr>
        </w:div>
        <w:div w:id="658969542">
          <w:marLeft w:val="0"/>
          <w:marRight w:val="0"/>
          <w:marTop w:val="0"/>
          <w:marBottom w:val="0"/>
          <w:divBdr>
            <w:top w:val="none" w:sz="0" w:space="0" w:color="auto"/>
            <w:left w:val="none" w:sz="0" w:space="0" w:color="auto"/>
            <w:bottom w:val="none" w:sz="0" w:space="0" w:color="auto"/>
            <w:right w:val="none" w:sz="0" w:space="0" w:color="auto"/>
          </w:divBdr>
        </w:div>
        <w:div w:id="659773765">
          <w:marLeft w:val="0"/>
          <w:marRight w:val="0"/>
          <w:marTop w:val="0"/>
          <w:marBottom w:val="0"/>
          <w:divBdr>
            <w:top w:val="none" w:sz="0" w:space="0" w:color="auto"/>
            <w:left w:val="none" w:sz="0" w:space="0" w:color="auto"/>
            <w:bottom w:val="none" w:sz="0" w:space="0" w:color="auto"/>
            <w:right w:val="none" w:sz="0" w:space="0" w:color="auto"/>
          </w:divBdr>
        </w:div>
        <w:div w:id="661858055">
          <w:marLeft w:val="0"/>
          <w:marRight w:val="0"/>
          <w:marTop w:val="0"/>
          <w:marBottom w:val="0"/>
          <w:divBdr>
            <w:top w:val="none" w:sz="0" w:space="0" w:color="auto"/>
            <w:left w:val="none" w:sz="0" w:space="0" w:color="auto"/>
            <w:bottom w:val="none" w:sz="0" w:space="0" w:color="auto"/>
            <w:right w:val="none" w:sz="0" w:space="0" w:color="auto"/>
          </w:divBdr>
        </w:div>
        <w:div w:id="662122330">
          <w:marLeft w:val="0"/>
          <w:marRight w:val="0"/>
          <w:marTop w:val="0"/>
          <w:marBottom w:val="0"/>
          <w:divBdr>
            <w:top w:val="none" w:sz="0" w:space="0" w:color="auto"/>
            <w:left w:val="none" w:sz="0" w:space="0" w:color="auto"/>
            <w:bottom w:val="none" w:sz="0" w:space="0" w:color="auto"/>
            <w:right w:val="none" w:sz="0" w:space="0" w:color="auto"/>
          </w:divBdr>
        </w:div>
        <w:div w:id="662395110">
          <w:marLeft w:val="0"/>
          <w:marRight w:val="0"/>
          <w:marTop w:val="0"/>
          <w:marBottom w:val="0"/>
          <w:divBdr>
            <w:top w:val="none" w:sz="0" w:space="0" w:color="auto"/>
            <w:left w:val="none" w:sz="0" w:space="0" w:color="auto"/>
            <w:bottom w:val="none" w:sz="0" w:space="0" w:color="auto"/>
            <w:right w:val="none" w:sz="0" w:space="0" w:color="auto"/>
          </w:divBdr>
        </w:div>
        <w:div w:id="663627258">
          <w:marLeft w:val="0"/>
          <w:marRight w:val="0"/>
          <w:marTop w:val="0"/>
          <w:marBottom w:val="0"/>
          <w:divBdr>
            <w:top w:val="none" w:sz="0" w:space="0" w:color="auto"/>
            <w:left w:val="none" w:sz="0" w:space="0" w:color="auto"/>
            <w:bottom w:val="none" w:sz="0" w:space="0" w:color="auto"/>
            <w:right w:val="none" w:sz="0" w:space="0" w:color="auto"/>
          </w:divBdr>
        </w:div>
        <w:div w:id="664478704">
          <w:marLeft w:val="0"/>
          <w:marRight w:val="0"/>
          <w:marTop w:val="0"/>
          <w:marBottom w:val="0"/>
          <w:divBdr>
            <w:top w:val="none" w:sz="0" w:space="0" w:color="auto"/>
            <w:left w:val="none" w:sz="0" w:space="0" w:color="auto"/>
            <w:bottom w:val="none" w:sz="0" w:space="0" w:color="auto"/>
            <w:right w:val="none" w:sz="0" w:space="0" w:color="auto"/>
          </w:divBdr>
        </w:div>
        <w:div w:id="664744996">
          <w:marLeft w:val="0"/>
          <w:marRight w:val="0"/>
          <w:marTop w:val="0"/>
          <w:marBottom w:val="0"/>
          <w:divBdr>
            <w:top w:val="none" w:sz="0" w:space="0" w:color="auto"/>
            <w:left w:val="none" w:sz="0" w:space="0" w:color="auto"/>
            <w:bottom w:val="none" w:sz="0" w:space="0" w:color="auto"/>
            <w:right w:val="none" w:sz="0" w:space="0" w:color="auto"/>
          </w:divBdr>
        </w:div>
        <w:div w:id="665327728">
          <w:marLeft w:val="0"/>
          <w:marRight w:val="0"/>
          <w:marTop w:val="0"/>
          <w:marBottom w:val="0"/>
          <w:divBdr>
            <w:top w:val="none" w:sz="0" w:space="0" w:color="auto"/>
            <w:left w:val="none" w:sz="0" w:space="0" w:color="auto"/>
            <w:bottom w:val="none" w:sz="0" w:space="0" w:color="auto"/>
            <w:right w:val="none" w:sz="0" w:space="0" w:color="auto"/>
          </w:divBdr>
        </w:div>
        <w:div w:id="665976891">
          <w:marLeft w:val="0"/>
          <w:marRight w:val="0"/>
          <w:marTop w:val="0"/>
          <w:marBottom w:val="0"/>
          <w:divBdr>
            <w:top w:val="none" w:sz="0" w:space="0" w:color="auto"/>
            <w:left w:val="none" w:sz="0" w:space="0" w:color="auto"/>
            <w:bottom w:val="none" w:sz="0" w:space="0" w:color="auto"/>
            <w:right w:val="none" w:sz="0" w:space="0" w:color="auto"/>
          </w:divBdr>
        </w:div>
        <w:div w:id="666321632">
          <w:marLeft w:val="0"/>
          <w:marRight w:val="0"/>
          <w:marTop w:val="0"/>
          <w:marBottom w:val="0"/>
          <w:divBdr>
            <w:top w:val="none" w:sz="0" w:space="0" w:color="auto"/>
            <w:left w:val="none" w:sz="0" w:space="0" w:color="auto"/>
            <w:bottom w:val="none" w:sz="0" w:space="0" w:color="auto"/>
            <w:right w:val="none" w:sz="0" w:space="0" w:color="auto"/>
          </w:divBdr>
          <w:divsChild>
            <w:div w:id="356855110">
              <w:marLeft w:val="0"/>
              <w:marRight w:val="0"/>
              <w:marTop w:val="0"/>
              <w:marBottom w:val="0"/>
              <w:divBdr>
                <w:top w:val="none" w:sz="0" w:space="0" w:color="auto"/>
                <w:left w:val="none" w:sz="0" w:space="0" w:color="auto"/>
                <w:bottom w:val="none" w:sz="0" w:space="0" w:color="auto"/>
                <w:right w:val="none" w:sz="0" w:space="0" w:color="auto"/>
              </w:divBdr>
            </w:div>
            <w:div w:id="472524045">
              <w:marLeft w:val="0"/>
              <w:marRight w:val="0"/>
              <w:marTop w:val="0"/>
              <w:marBottom w:val="0"/>
              <w:divBdr>
                <w:top w:val="none" w:sz="0" w:space="0" w:color="auto"/>
                <w:left w:val="none" w:sz="0" w:space="0" w:color="auto"/>
                <w:bottom w:val="none" w:sz="0" w:space="0" w:color="auto"/>
                <w:right w:val="none" w:sz="0" w:space="0" w:color="auto"/>
              </w:divBdr>
            </w:div>
            <w:div w:id="596602085">
              <w:marLeft w:val="0"/>
              <w:marRight w:val="0"/>
              <w:marTop w:val="0"/>
              <w:marBottom w:val="0"/>
              <w:divBdr>
                <w:top w:val="none" w:sz="0" w:space="0" w:color="auto"/>
                <w:left w:val="none" w:sz="0" w:space="0" w:color="auto"/>
                <w:bottom w:val="none" w:sz="0" w:space="0" w:color="auto"/>
                <w:right w:val="none" w:sz="0" w:space="0" w:color="auto"/>
              </w:divBdr>
            </w:div>
            <w:div w:id="689260365">
              <w:marLeft w:val="0"/>
              <w:marRight w:val="0"/>
              <w:marTop w:val="0"/>
              <w:marBottom w:val="0"/>
              <w:divBdr>
                <w:top w:val="none" w:sz="0" w:space="0" w:color="auto"/>
                <w:left w:val="none" w:sz="0" w:space="0" w:color="auto"/>
                <w:bottom w:val="none" w:sz="0" w:space="0" w:color="auto"/>
                <w:right w:val="none" w:sz="0" w:space="0" w:color="auto"/>
              </w:divBdr>
            </w:div>
            <w:div w:id="726414952">
              <w:marLeft w:val="0"/>
              <w:marRight w:val="0"/>
              <w:marTop w:val="0"/>
              <w:marBottom w:val="0"/>
              <w:divBdr>
                <w:top w:val="none" w:sz="0" w:space="0" w:color="auto"/>
                <w:left w:val="none" w:sz="0" w:space="0" w:color="auto"/>
                <w:bottom w:val="none" w:sz="0" w:space="0" w:color="auto"/>
                <w:right w:val="none" w:sz="0" w:space="0" w:color="auto"/>
              </w:divBdr>
            </w:div>
            <w:div w:id="876163156">
              <w:marLeft w:val="0"/>
              <w:marRight w:val="0"/>
              <w:marTop w:val="0"/>
              <w:marBottom w:val="0"/>
              <w:divBdr>
                <w:top w:val="none" w:sz="0" w:space="0" w:color="auto"/>
                <w:left w:val="none" w:sz="0" w:space="0" w:color="auto"/>
                <w:bottom w:val="none" w:sz="0" w:space="0" w:color="auto"/>
                <w:right w:val="none" w:sz="0" w:space="0" w:color="auto"/>
              </w:divBdr>
            </w:div>
            <w:div w:id="1013141676">
              <w:marLeft w:val="0"/>
              <w:marRight w:val="0"/>
              <w:marTop w:val="0"/>
              <w:marBottom w:val="0"/>
              <w:divBdr>
                <w:top w:val="none" w:sz="0" w:space="0" w:color="auto"/>
                <w:left w:val="none" w:sz="0" w:space="0" w:color="auto"/>
                <w:bottom w:val="none" w:sz="0" w:space="0" w:color="auto"/>
                <w:right w:val="none" w:sz="0" w:space="0" w:color="auto"/>
              </w:divBdr>
            </w:div>
            <w:div w:id="1051878719">
              <w:marLeft w:val="0"/>
              <w:marRight w:val="0"/>
              <w:marTop w:val="0"/>
              <w:marBottom w:val="0"/>
              <w:divBdr>
                <w:top w:val="none" w:sz="0" w:space="0" w:color="auto"/>
                <w:left w:val="none" w:sz="0" w:space="0" w:color="auto"/>
                <w:bottom w:val="none" w:sz="0" w:space="0" w:color="auto"/>
                <w:right w:val="none" w:sz="0" w:space="0" w:color="auto"/>
              </w:divBdr>
            </w:div>
            <w:div w:id="1132014994">
              <w:marLeft w:val="0"/>
              <w:marRight w:val="0"/>
              <w:marTop w:val="0"/>
              <w:marBottom w:val="0"/>
              <w:divBdr>
                <w:top w:val="none" w:sz="0" w:space="0" w:color="auto"/>
                <w:left w:val="none" w:sz="0" w:space="0" w:color="auto"/>
                <w:bottom w:val="none" w:sz="0" w:space="0" w:color="auto"/>
                <w:right w:val="none" w:sz="0" w:space="0" w:color="auto"/>
              </w:divBdr>
            </w:div>
            <w:div w:id="1210143082">
              <w:marLeft w:val="0"/>
              <w:marRight w:val="0"/>
              <w:marTop w:val="0"/>
              <w:marBottom w:val="0"/>
              <w:divBdr>
                <w:top w:val="none" w:sz="0" w:space="0" w:color="auto"/>
                <w:left w:val="none" w:sz="0" w:space="0" w:color="auto"/>
                <w:bottom w:val="none" w:sz="0" w:space="0" w:color="auto"/>
                <w:right w:val="none" w:sz="0" w:space="0" w:color="auto"/>
              </w:divBdr>
            </w:div>
            <w:div w:id="1216091055">
              <w:marLeft w:val="0"/>
              <w:marRight w:val="0"/>
              <w:marTop w:val="0"/>
              <w:marBottom w:val="0"/>
              <w:divBdr>
                <w:top w:val="none" w:sz="0" w:space="0" w:color="auto"/>
                <w:left w:val="none" w:sz="0" w:space="0" w:color="auto"/>
                <w:bottom w:val="none" w:sz="0" w:space="0" w:color="auto"/>
                <w:right w:val="none" w:sz="0" w:space="0" w:color="auto"/>
              </w:divBdr>
            </w:div>
            <w:div w:id="1273317946">
              <w:marLeft w:val="0"/>
              <w:marRight w:val="0"/>
              <w:marTop w:val="0"/>
              <w:marBottom w:val="0"/>
              <w:divBdr>
                <w:top w:val="none" w:sz="0" w:space="0" w:color="auto"/>
                <w:left w:val="none" w:sz="0" w:space="0" w:color="auto"/>
                <w:bottom w:val="none" w:sz="0" w:space="0" w:color="auto"/>
                <w:right w:val="none" w:sz="0" w:space="0" w:color="auto"/>
              </w:divBdr>
            </w:div>
            <w:div w:id="1485703471">
              <w:marLeft w:val="0"/>
              <w:marRight w:val="0"/>
              <w:marTop w:val="0"/>
              <w:marBottom w:val="0"/>
              <w:divBdr>
                <w:top w:val="none" w:sz="0" w:space="0" w:color="auto"/>
                <w:left w:val="none" w:sz="0" w:space="0" w:color="auto"/>
                <w:bottom w:val="none" w:sz="0" w:space="0" w:color="auto"/>
                <w:right w:val="none" w:sz="0" w:space="0" w:color="auto"/>
              </w:divBdr>
            </w:div>
            <w:div w:id="1500971233">
              <w:marLeft w:val="0"/>
              <w:marRight w:val="0"/>
              <w:marTop w:val="0"/>
              <w:marBottom w:val="0"/>
              <w:divBdr>
                <w:top w:val="none" w:sz="0" w:space="0" w:color="auto"/>
                <w:left w:val="none" w:sz="0" w:space="0" w:color="auto"/>
                <w:bottom w:val="none" w:sz="0" w:space="0" w:color="auto"/>
                <w:right w:val="none" w:sz="0" w:space="0" w:color="auto"/>
              </w:divBdr>
            </w:div>
            <w:div w:id="1547260481">
              <w:marLeft w:val="0"/>
              <w:marRight w:val="0"/>
              <w:marTop w:val="0"/>
              <w:marBottom w:val="0"/>
              <w:divBdr>
                <w:top w:val="none" w:sz="0" w:space="0" w:color="auto"/>
                <w:left w:val="none" w:sz="0" w:space="0" w:color="auto"/>
                <w:bottom w:val="none" w:sz="0" w:space="0" w:color="auto"/>
                <w:right w:val="none" w:sz="0" w:space="0" w:color="auto"/>
              </w:divBdr>
            </w:div>
            <w:div w:id="1575703076">
              <w:marLeft w:val="0"/>
              <w:marRight w:val="0"/>
              <w:marTop w:val="0"/>
              <w:marBottom w:val="0"/>
              <w:divBdr>
                <w:top w:val="none" w:sz="0" w:space="0" w:color="auto"/>
                <w:left w:val="none" w:sz="0" w:space="0" w:color="auto"/>
                <w:bottom w:val="none" w:sz="0" w:space="0" w:color="auto"/>
                <w:right w:val="none" w:sz="0" w:space="0" w:color="auto"/>
              </w:divBdr>
            </w:div>
            <w:div w:id="1746099147">
              <w:marLeft w:val="0"/>
              <w:marRight w:val="0"/>
              <w:marTop w:val="0"/>
              <w:marBottom w:val="0"/>
              <w:divBdr>
                <w:top w:val="none" w:sz="0" w:space="0" w:color="auto"/>
                <w:left w:val="none" w:sz="0" w:space="0" w:color="auto"/>
                <w:bottom w:val="none" w:sz="0" w:space="0" w:color="auto"/>
                <w:right w:val="none" w:sz="0" w:space="0" w:color="auto"/>
              </w:divBdr>
            </w:div>
            <w:div w:id="1980333977">
              <w:marLeft w:val="0"/>
              <w:marRight w:val="0"/>
              <w:marTop w:val="0"/>
              <w:marBottom w:val="0"/>
              <w:divBdr>
                <w:top w:val="none" w:sz="0" w:space="0" w:color="auto"/>
                <w:left w:val="none" w:sz="0" w:space="0" w:color="auto"/>
                <w:bottom w:val="none" w:sz="0" w:space="0" w:color="auto"/>
                <w:right w:val="none" w:sz="0" w:space="0" w:color="auto"/>
              </w:divBdr>
            </w:div>
            <w:div w:id="2018846824">
              <w:marLeft w:val="0"/>
              <w:marRight w:val="0"/>
              <w:marTop w:val="0"/>
              <w:marBottom w:val="0"/>
              <w:divBdr>
                <w:top w:val="none" w:sz="0" w:space="0" w:color="auto"/>
                <w:left w:val="none" w:sz="0" w:space="0" w:color="auto"/>
                <w:bottom w:val="none" w:sz="0" w:space="0" w:color="auto"/>
                <w:right w:val="none" w:sz="0" w:space="0" w:color="auto"/>
              </w:divBdr>
            </w:div>
          </w:divsChild>
        </w:div>
        <w:div w:id="668482233">
          <w:marLeft w:val="0"/>
          <w:marRight w:val="0"/>
          <w:marTop w:val="0"/>
          <w:marBottom w:val="0"/>
          <w:divBdr>
            <w:top w:val="none" w:sz="0" w:space="0" w:color="auto"/>
            <w:left w:val="none" w:sz="0" w:space="0" w:color="auto"/>
            <w:bottom w:val="none" w:sz="0" w:space="0" w:color="auto"/>
            <w:right w:val="none" w:sz="0" w:space="0" w:color="auto"/>
          </w:divBdr>
        </w:div>
        <w:div w:id="671570432">
          <w:marLeft w:val="0"/>
          <w:marRight w:val="0"/>
          <w:marTop w:val="0"/>
          <w:marBottom w:val="0"/>
          <w:divBdr>
            <w:top w:val="none" w:sz="0" w:space="0" w:color="auto"/>
            <w:left w:val="none" w:sz="0" w:space="0" w:color="auto"/>
            <w:bottom w:val="none" w:sz="0" w:space="0" w:color="auto"/>
            <w:right w:val="none" w:sz="0" w:space="0" w:color="auto"/>
          </w:divBdr>
        </w:div>
        <w:div w:id="671571622">
          <w:marLeft w:val="0"/>
          <w:marRight w:val="0"/>
          <w:marTop w:val="0"/>
          <w:marBottom w:val="0"/>
          <w:divBdr>
            <w:top w:val="none" w:sz="0" w:space="0" w:color="auto"/>
            <w:left w:val="none" w:sz="0" w:space="0" w:color="auto"/>
            <w:bottom w:val="none" w:sz="0" w:space="0" w:color="auto"/>
            <w:right w:val="none" w:sz="0" w:space="0" w:color="auto"/>
          </w:divBdr>
        </w:div>
        <w:div w:id="672609280">
          <w:marLeft w:val="0"/>
          <w:marRight w:val="0"/>
          <w:marTop w:val="0"/>
          <w:marBottom w:val="0"/>
          <w:divBdr>
            <w:top w:val="none" w:sz="0" w:space="0" w:color="auto"/>
            <w:left w:val="none" w:sz="0" w:space="0" w:color="auto"/>
            <w:bottom w:val="none" w:sz="0" w:space="0" w:color="auto"/>
            <w:right w:val="none" w:sz="0" w:space="0" w:color="auto"/>
          </w:divBdr>
        </w:div>
        <w:div w:id="672994311">
          <w:marLeft w:val="0"/>
          <w:marRight w:val="0"/>
          <w:marTop w:val="0"/>
          <w:marBottom w:val="0"/>
          <w:divBdr>
            <w:top w:val="none" w:sz="0" w:space="0" w:color="auto"/>
            <w:left w:val="none" w:sz="0" w:space="0" w:color="auto"/>
            <w:bottom w:val="none" w:sz="0" w:space="0" w:color="auto"/>
            <w:right w:val="none" w:sz="0" w:space="0" w:color="auto"/>
          </w:divBdr>
        </w:div>
        <w:div w:id="673653900">
          <w:marLeft w:val="0"/>
          <w:marRight w:val="0"/>
          <w:marTop w:val="0"/>
          <w:marBottom w:val="0"/>
          <w:divBdr>
            <w:top w:val="none" w:sz="0" w:space="0" w:color="auto"/>
            <w:left w:val="none" w:sz="0" w:space="0" w:color="auto"/>
            <w:bottom w:val="none" w:sz="0" w:space="0" w:color="auto"/>
            <w:right w:val="none" w:sz="0" w:space="0" w:color="auto"/>
          </w:divBdr>
        </w:div>
        <w:div w:id="674306985">
          <w:marLeft w:val="0"/>
          <w:marRight w:val="0"/>
          <w:marTop w:val="0"/>
          <w:marBottom w:val="0"/>
          <w:divBdr>
            <w:top w:val="none" w:sz="0" w:space="0" w:color="auto"/>
            <w:left w:val="none" w:sz="0" w:space="0" w:color="auto"/>
            <w:bottom w:val="none" w:sz="0" w:space="0" w:color="auto"/>
            <w:right w:val="none" w:sz="0" w:space="0" w:color="auto"/>
          </w:divBdr>
        </w:div>
        <w:div w:id="674308451">
          <w:marLeft w:val="0"/>
          <w:marRight w:val="0"/>
          <w:marTop w:val="0"/>
          <w:marBottom w:val="0"/>
          <w:divBdr>
            <w:top w:val="none" w:sz="0" w:space="0" w:color="auto"/>
            <w:left w:val="none" w:sz="0" w:space="0" w:color="auto"/>
            <w:bottom w:val="none" w:sz="0" w:space="0" w:color="auto"/>
            <w:right w:val="none" w:sz="0" w:space="0" w:color="auto"/>
          </w:divBdr>
        </w:div>
        <w:div w:id="675575232">
          <w:marLeft w:val="0"/>
          <w:marRight w:val="0"/>
          <w:marTop w:val="0"/>
          <w:marBottom w:val="0"/>
          <w:divBdr>
            <w:top w:val="none" w:sz="0" w:space="0" w:color="auto"/>
            <w:left w:val="none" w:sz="0" w:space="0" w:color="auto"/>
            <w:bottom w:val="none" w:sz="0" w:space="0" w:color="auto"/>
            <w:right w:val="none" w:sz="0" w:space="0" w:color="auto"/>
          </w:divBdr>
        </w:div>
        <w:div w:id="675695079">
          <w:marLeft w:val="0"/>
          <w:marRight w:val="0"/>
          <w:marTop w:val="0"/>
          <w:marBottom w:val="0"/>
          <w:divBdr>
            <w:top w:val="none" w:sz="0" w:space="0" w:color="auto"/>
            <w:left w:val="none" w:sz="0" w:space="0" w:color="auto"/>
            <w:bottom w:val="none" w:sz="0" w:space="0" w:color="auto"/>
            <w:right w:val="none" w:sz="0" w:space="0" w:color="auto"/>
          </w:divBdr>
          <w:divsChild>
            <w:div w:id="15278235">
              <w:marLeft w:val="0"/>
              <w:marRight w:val="0"/>
              <w:marTop w:val="0"/>
              <w:marBottom w:val="0"/>
              <w:divBdr>
                <w:top w:val="none" w:sz="0" w:space="0" w:color="auto"/>
                <w:left w:val="none" w:sz="0" w:space="0" w:color="auto"/>
                <w:bottom w:val="none" w:sz="0" w:space="0" w:color="auto"/>
                <w:right w:val="none" w:sz="0" w:space="0" w:color="auto"/>
              </w:divBdr>
            </w:div>
            <w:div w:id="293675945">
              <w:marLeft w:val="0"/>
              <w:marRight w:val="0"/>
              <w:marTop w:val="0"/>
              <w:marBottom w:val="0"/>
              <w:divBdr>
                <w:top w:val="none" w:sz="0" w:space="0" w:color="auto"/>
                <w:left w:val="none" w:sz="0" w:space="0" w:color="auto"/>
                <w:bottom w:val="none" w:sz="0" w:space="0" w:color="auto"/>
                <w:right w:val="none" w:sz="0" w:space="0" w:color="auto"/>
              </w:divBdr>
            </w:div>
            <w:div w:id="353460530">
              <w:marLeft w:val="0"/>
              <w:marRight w:val="0"/>
              <w:marTop w:val="0"/>
              <w:marBottom w:val="0"/>
              <w:divBdr>
                <w:top w:val="none" w:sz="0" w:space="0" w:color="auto"/>
                <w:left w:val="none" w:sz="0" w:space="0" w:color="auto"/>
                <w:bottom w:val="none" w:sz="0" w:space="0" w:color="auto"/>
                <w:right w:val="none" w:sz="0" w:space="0" w:color="auto"/>
              </w:divBdr>
            </w:div>
            <w:div w:id="427846548">
              <w:marLeft w:val="0"/>
              <w:marRight w:val="0"/>
              <w:marTop w:val="0"/>
              <w:marBottom w:val="0"/>
              <w:divBdr>
                <w:top w:val="none" w:sz="0" w:space="0" w:color="auto"/>
                <w:left w:val="none" w:sz="0" w:space="0" w:color="auto"/>
                <w:bottom w:val="none" w:sz="0" w:space="0" w:color="auto"/>
                <w:right w:val="none" w:sz="0" w:space="0" w:color="auto"/>
              </w:divBdr>
            </w:div>
            <w:div w:id="767623618">
              <w:marLeft w:val="0"/>
              <w:marRight w:val="0"/>
              <w:marTop w:val="0"/>
              <w:marBottom w:val="0"/>
              <w:divBdr>
                <w:top w:val="none" w:sz="0" w:space="0" w:color="auto"/>
                <w:left w:val="none" w:sz="0" w:space="0" w:color="auto"/>
                <w:bottom w:val="none" w:sz="0" w:space="0" w:color="auto"/>
                <w:right w:val="none" w:sz="0" w:space="0" w:color="auto"/>
              </w:divBdr>
            </w:div>
            <w:div w:id="888037088">
              <w:marLeft w:val="0"/>
              <w:marRight w:val="0"/>
              <w:marTop w:val="0"/>
              <w:marBottom w:val="0"/>
              <w:divBdr>
                <w:top w:val="none" w:sz="0" w:space="0" w:color="auto"/>
                <w:left w:val="none" w:sz="0" w:space="0" w:color="auto"/>
                <w:bottom w:val="none" w:sz="0" w:space="0" w:color="auto"/>
                <w:right w:val="none" w:sz="0" w:space="0" w:color="auto"/>
              </w:divBdr>
            </w:div>
            <w:div w:id="1056316230">
              <w:marLeft w:val="0"/>
              <w:marRight w:val="0"/>
              <w:marTop w:val="0"/>
              <w:marBottom w:val="0"/>
              <w:divBdr>
                <w:top w:val="none" w:sz="0" w:space="0" w:color="auto"/>
                <w:left w:val="none" w:sz="0" w:space="0" w:color="auto"/>
                <w:bottom w:val="none" w:sz="0" w:space="0" w:color="auto"/>
                <w:right w:val="none" w:sz="0" w:space="0" w:color="auto"/>
              </w:divBdr>
            </w:div>
            <w:div w:id="1183275916">
              <w:marLeft w:val="0"/>
              <w:marRight w:val="0"/>
              <w:marTop w:val="0"/>
              <w:marBottom w:val="0"/>
              <w:divBdr>
                <w:top w:val="none" w:sz="0" w:space="0" w:color="auto"/>
                <w:left w:val="none" w:sz="0" w:space="0" w:color="auto"/>
                <w:bottom w:val="none" w:sz="0" w:space="0" w:color="auto"/>
                <w:right w:val="none" w:sz="0" w:space="0" w:color="auto"/>
              </w:divBdr>
            </w:div>
            <w:div w:id="1222596946">
              <w:marLeft w:val="0"/>
              <w:marRight w:val="0"/>
              <w:marTop w:val="0"/>
              <w:marBottom w:val="0"/>
              <w:divBdr>
                <w:top w:val="none" w:sz="0" w:space="0" w:color="auto"/>
                <w:left w:val="none" w:sz="0" w:space="0" w:color="auto"/>
                <w:bottom w:val="none" w:sz="0" w:space="0" w:color="auto"/>
                <w:right w:val="none" w:sz="0" w:space="0" w:color="auto"/>
              </w:divBdr>
            </w:div>
            <w:div w:id="1280913445">
              <w:marLeft w:val="0"/>
              <w:marRight w:val="0"/>
              <w:marTop w:val="0"/>
              <w:marBottom w:val="0"/>
              <w:divBdr>
                <w:top w:val="none" w:sz="0" w:space="0" w:color="auto"/>
                <w:left w:val="none" w:sz="0" w:space="0" w:color="auto"/>
                <w:bottom w:val="none" w:sz="0" w:space="0" w:color="auto"/>
                <w:right w:val="none" w:sz="0" w:space="0" w:color="auto"/>
              </w:divBdr>
            </w:div>
            <w:div w:id="1389954144">
              <w:marLeft w:val="0"/>
              <w:marRight w:val="0"/>
              <w:marTop w:val="0"/>
              <w:marBottom w:val="0"/>
              <w:divBdr>
                <w:top w:val="none" w:sz="0" w:space="0" w:color="auto"/>
                <w:left w:val="none" w:sz="0" w:space="0" w:color="auto"/>
                <w:bottom w:val="none" w:sz="0" w:space="0" w:color="auto"/>
                <w:right w:val="none" w:sz="0" w:space="0" w:color="auto"/>
              </w:divBdr>
            </w:div>
            <w:div w:id="1410732979">
              <w:marLeft w:val="0"/>
              <w:marRight w:val="0"/>
              <w:marTop w:val="0"/>
              <w:marBottom w:val="0"/>
              <w:divBdr>
                <w:top w:val="none" w:sz="0" w:space="0" w:color="auto"/>
                <w:left w:val="none" w:sz="0" w:space="0" w:color="auto"/>
                <w:bottom w:val="none" w:sz="0" w:space="0" w:color="auto"/>
                <w:right w:val="none" w:sz="0" w:space="0" w:color="auto"/>
              </w:divBdr>
            </w:div>
            <w:div w:id="1496918390">
              <w:marLeft w:val="0"/>
              <w:marRight w:val="0"/>
              <w:marTop w:val="0"/>
              <w:marBottom w:val="0"/>
              <w:divBdr>
                <w:top w:val="none" w:sz="0" w:space="0" w:color="auto"/>
                <w:left w:val="none" w:sz="0" w:space="0" w:color="auto"/>
                <w:bottom w:val="none" w:sz="0" w:space="0" w:color="auto"/>
                <w:right w:val="none" w:sz="0" w:space="0" w:color="auto"/>
              </w:divBdr>
            </w:div>
            <w:div w:id="1643580020">
              <w:marLeft w:val="0"/>
              <w:marRight w:val="0"/>
              <w:marTop w:val="0"/>
              <w:marBottom w:val="0"/>
              <w:divBdr>
                <w:top w:val="none" w:sz="0" w:space="0" w:color="auto"/>
                <w:left w:val="none" w:sz="0" w:space="0" w:color="auto"/>
                <w:bottom w:val="none" w:sz="0" w:space="0" w:color="auto"/>
                <w:right w:val="none" w:sz="0" w:space="0" w:color="auto"/>
              </w:divBdr>
            </w:div>
            <w:div w:id="1653215836">
              <w:marLeft w:val="0"/>
              <w:marRight w:val="0"/>
              <w:marTop w:val="0"/>
              <w:marBottom w:val="0"/>
              <w:divBdr>
                <w:top w:val="none" w:sz="0" w:space="0" w:color="auto"/>
                <w:left w:val="none" w:sz="0" w:space="0" w:color="auto"/>
                <w:bottom w:val="none" w:sz="0" w:space="0" w:color="auto"/>
                <w:right w:val="none" w:sz="0" w:space="0" w:color="auto"/>
              </w:divBdr>
            </w:div>
            <w:div w:id="1743018883">
              <w:marLeft w:val="0"/>
              <w:marRight w:val="0"/>
              <w:marTop w:val="0"/>
              <w:marBottom w:val="0"/>
              <w:divBdr>
                <w:top w:val="none" w:sz="0" w:space="0" w:color="auto"/>
                <w:left w:val="none" w:sz="0" w:space="0" w:color="auto"/>
                <w:bottom w:val="none" w:sz="0" w:space="0" w:color="auto"/>
                <w:right w:val="none" w:sz="0" w:space="0" w:color="auto"/>
              </w:divBdr>
            </w:div>
            <w:div w:id="1905404845">
              <w:marLeft w:val="0"/>
              <w:marRight w:val="0"/>
              <w:marTop w:val="0"/>
              <w:marBottom w:val="0"/>
              <w:divBdr>
                <w:top w:val="none" w:sz="0" w:space="0" w:color="auto"/>
                <w:left w:val="none" w:sz="0" w:space="0" w:color="auto"/>
                <w:bottom w:val="none" w:sz="0" w:space="0" w:color="auto"/>
                <w:right w:val="none" w:sz="0" w:space="0" w:color="auto"/>
              </w:divBdr>
            </w:div>
            <w:div w:id="1971203646">
              <w:marLeft w:val="0"/>
              <w:marRight w:val="0"/>
              <w:marTop w:val="0"/>
              <w:marBottom w:val="0"/>
              <w:divBdr>
                <w:top w:val="none" w:sz="0" w:space="0" w:color="auto"/>
                <w:left w:val="none" w:sz="0" w:space="0" w:color="auto"/>
                <w:bottom w:val="none" w:sz="0" w:space="0" w:color="auto"/>
                <w:right w:val="none" w:sz="0" w:space="0" w:color="auto"/>
              </w:divBdr>
            </w:div>
          </w:divsChild>
        </w:div>
        <w:div w:id="677076220">
          <w:marLeft w:val="0"/>
          <w:marRight w:val="0"/>
          <w:marTop w:val="0"/>
          <w:marBottom w:val="0"/>
          <w:divBdr>
            <w:top w:val="none" w:sz="0" w:space="0" w:color="auto"/>
            <w:left w:val="none" w:sz="0" w:space="0" w:color="auto"/>
            <w:bottom w:val="none" w:sz="0" w:space="0" w:color="auto"/>
            <w:right w:val="none" w:sz="0" w:space="0" w:color="auto"/>
          </w:divBdr>
        </w:div>
        <w:div w:id="679236330">
          <w:marLeft w:val="0"/>
          <w:marRight w:val="0"/>
          <w:marTop w:val="0"/>
          <w:marBottom w:val="0"/>
          <w:divBdr>
            <w:top w:val="none" w:sz="0" w:space="0" w:color="auto"/>
            <w:left w:val="none" w:sz="0" w:space="0" w:color="auto"/>
            <w:bottom w:val="none" w:sz="0" w:space="0" w:color="auto"/>
            <w:right w:val="none" w:sz="0" w:space="0" w:color="auto"/>
          </w:divBdr>
        </w:div>
        <w:div w:id="679548623">
          <w:marLeft w:val="0"/>
          <w:marRight w:val="0"/>
          <w:marTop w:val="0"/>
          <w:marBottom w:val="0"/>
          <w:divBdr>
            <w:top w:val="none" w:sz="0" w:space="0" w:color="auto"/>
            <w:left w:val="none" w:sz="0" w:space="0" w:color="auto"/>
            <w:bottom w:val="none" w:sz="0" w:space="0" w:color="auto"/>
            <w:right w:val="none" w:sz="0" w:space="0" w:color="auto"/>
          </w:divBdr>
        </w:div>
        <w:div w:id="681206158">
          <w:marLeft w:val="0"/>
          <w:marRight w:val="0"/>
          <w:marTop w:val="0"/>
          <w:marBottom w:val="0"/>
          <w:divBdr>
            <w:top w:val="none" w:sz="0" w:space="0" w:color="auto"/>
            <w:left w:val="none" w:sz="0" w:space="0" w:color="auto"/>
            <w:bottom w:val="none" w:sz="0" w:space="0" w:color="auto"/>
            <w:right w:val="none" w:sz="0" w:space="0" w:color="auto"/>
          </w:divBdr>
        </w:div>
        <w:div w:id="681248790">
          <w:marLeft w:val="0"/>
          <w:marRight w:val="0"/>
          <w:marTop w:val="0"/>
          <w:marBottom w:val="0"/>
          <w:divBdr>
            <w:top w:val="none" w:sz="0" w:space="0" w:color="auto"/>
            <w:left w:val="none" w:sz="0" w:space="0" w:color="auto"/>
            <w:bottom w:val="none" w:sz="0" w:space="0" w:color="auto"/>
            <w:right w:val="none" w:sz="0" w:space="0" w:color="auto"/>
          </w:divBdr>
        </w:div>
        <w:div w:id="681395285">
          <w:marLeft w:val="0"/>
          <w:marRight w:val="0"/>
          <w:marTop w:val="0"/>
          <w:marBottom w:val="0"/>
          <w:divBdr>
            <w:top w:val="none" w:sz="0" w:space="0" w:color="auto"/>
            <w:left w:val="none" w:sz="0" w:space="0" w:color="auto"/>
            <w:bottom w:val="none" w:sz="0" w:space="0" w:color="auto"/>
            <w:right w:val="none" w:sz="0" w:space="0" w:color="auto"/>
          </w:divBdr>
        </w:div>
        <w:div w:id="683703586">
          <w:marLeft w:val="0"/>
          <w:marRight w:val="0"/>
          <w:marTop w:val="0"/>
          <w:marBottom w:val="0"/>
          <w:divBdr>
            <w:top w:val="none" w:sz="0" w:space="0" w:color="auto"/>
            <w:left w:val="none" w:sz="0" w:space="0" w:color="auto"/>
            <w:bottom w:val="none" w:sz="0" w:space="0" w:color="auto"/>
            <w:right w:val="none" w:sz="0" w:space="0" w:color="auto"/>
          </w:divBdr>
        </w:div>
        <w:div w:id="684403597">
          <w:marLeft w:val="0"/>
          <w:marRight w:val="0"/>
          <w:marTop w:val="0"/>
          <w:marBottom w:val="0"/>
          <w:divBdr>
            <w:top w:val="none" w:sz="0" w:space="0" w:color="auto"/>
            <w:left w:val="none" w:sz="0" w:space="0" w:color="auto"/>
            <w:bottom w:val="none" w:sz="0" w:space="0" w:color="auto"/>
            <w:right w:val="none" w:sz="0" w:space="0" w:color="auto"/>
          </w:divBdr>
        </w:div>
        <w:div w:id="686953317">
          <w:marLeft w:val="0"/>
          <w:marRight w:val="0"/>
          <w:marTop w:val="0"/>
          <w:marBottom w:val="0"/>
          <w:divBdr>
            <w:top w:val="none" w:sz="0" w:space="0" w:color="auto"/>
            <w:left w:val="none" w:sz="0" w:space="0" w:color="auto"/>
            <w:bottom w:val="none" w:sz="0" w:space="0" w:color="auto"/>
            <w:right w:val="none" w:sz="0" w:space="0" w:color="auto"/>
          </w:divBdr>
        </w:div>
        <w:div w:id="689725442">
          <w:marLeft w:val="0"/>
          <w:marRight w:val="0"/>
          <w:marTop w:val="0"/>
          <w:marBottom w:val="0"/>
          <w:divBdr>
            <w:top w:val="none" w:sz="0" w:space="0" w:color="auto"/>
            <w:left w:val="none" w:sz="0" w:space="0" w:color="auto"/>
            <w:bottom w:val="none" w:sz="0" w:space="0" w:color="auto"/>
            <w:right w:val="none" w:sz="0" w:space="0" w:color="auto"/>
          </w:divBdr>
        </w:div>
        <w:div w:id="690568135">
          <w:marLeft w:val="0"/>
          <w:marRight w:val="0"/>
          <w:marTop w:val="0"/>
          <w:marBottom w:val="0"/>
          <w:divBdr>
            <w:top w:val="none" w:sz="0" w:space="0" w:color="auto"/>
            <w:left w:val="none" w:sz="0" w:space="0" w:color="auto"/>
            <w:bottom w:val="none" w:sz="0" w:space="0" w:color="auto"/>
            <w:right w:val="none" w:sz="0" w:space="0" w:color="auto"/>
          </w:divBdr>
        </w:div>
        <w:div w:id="691300980">
          <w:marLeft w:val="0"/>
          <w:marRight w:val="0"/>
          <w:marTop w:val="0"/>
          <w:marBottom w:val="0"/>
          <w:divBdr>
            <w:top w:val="none" w:sz="0" w:space="0" w:color="auto"/>
            <w:left w:val="none" w:sz="0" w:space="0" w:color="auto"/>
            <w:bottom w:val="none" w:sz="0" w:space="0" w:color="auto"/>
            <w:right w:val="none" w:sz="0" w:space="0" w:color="auto"/>
          </w:divBdr>
        </w:div>
        <w:div w:id="691341289">
          <w:marLeft w:val="0"/>
          <w:marRight w:val="0"/>
          <w:marTop w:val="0"/>
          <w:marBottom w:val="0"/>
          <w:divBdr>
            <w:top w:val="none" w:sz="0" w:space="0" w:color="auto"/>
            <w:left w:val="none" w:sz="0" w:space="0" w:color="auto"/>
            <w:bottom w:val="none" w:sz="0" w:space="0" w:color="auto"/>
            <w:right w:val="none" w:sz="0" w:space="0" w:color="auto"/>
          </w:divBdr>
          <w:divsChild>
            <w:div w:id="116528140">
              <w:marLeft w:val="0"/>
              <w:marRight w:val="0"/>
              <w:marTop w:val="0"/>
              <w:marBottom w:val="0"/>
              <w:divBdr>
                <w:top w:val="none" w:sz="0" w:space="0" w:color="auto"/>
                <w:left w:val="none" w:sz="0" w:space="0" w:color="auto"/>
                <w:bottom w:val="none" w:sz="0" w:space="0" w:color="auto"/>
                <w:right w:val="none" w:sz="0" w:space="0" w:color="auto"/>
              </w:divBdr>
            </w:div>
            <w:div w:id="173960248">
              <w:marLeft w:val="0"/>
              <w:marRight w:val="0"/>
              <w:marTop w:val="0"/>
              <w:marBottom w:val="0"/>
              <w:divBdr>
                <w:top w:val="none" w:sz="0" w:space="0" w:color="auto"/>
                <w:left w:val="none" w:sz="0" w:space="0" w:color="auto"/>
                <w:bottom w:val="none" w:sz="0" w:space="0" w:color="auto"/>
                <w:right w:val="none" w:sz="0" w:space="0" w:color="auto"/>
              </w:divBdr>
            </w:div>
            <w:div w:id="331228818">
              <w:marLeft w:val="0"/>
              <w:marRight w:val="0"/>
              <w:marTop w:val="0"/>
              <w:marBottom w:val="0"/>
              <w:divBdr>
                <w:top w:val="none" w:sz="0" w:space="0" w:color="auto"/>
                <w:left w:val="none" w:sz="0" w:space="0" w:color="auto"/>
                <w:bottom w:val="none" w:sz="0" w:space="0" w:color="auto"/>
                <w:right w:val="none" w:sz="0" w:space="0" w:color="auto"/>
              </w:divBdr>
            </w:div>
            <w:div w:id="424108103">
              <w:marLeft w:val="0"/>
              <w:marRight w:val="0"/>
              <w:marTop w:val="0"/>
              <w:marBottom w:val="0"/>
              <w:divBdr>
                <w:top w:val="none" w:sz="0" w:space="0" w:color="auto"/>
                <w:left w:val="none" w:sz="0" w:space="0" w:color="auto"/>
                <w:bottom w:val="none" w:sz="0" w:space="0" w:color="auto"/>
                <w:right w:val="none" w:sz="0" w:space="0" w:color="auto"/>
              </w:divBdr>
            </w:div>
            <w:div w:id="473372237">
              <w:marLeft w:val="0"/>
              <w:marRight w:val="0"/>
              <w:marTop w:val="0"/>
              <w:marBottom w:val="0"/>
              <w:divBdr>
                <w:top w:val="none" w:sz="0" w:space="0" w:color="auto"/>
                <w:left w:val="none" w:sz="0" w:space="0" w:color="auto"/>
                <w:bottom w:val="none" w:sz="0" w:space="0" w:color="auto"/>
                <w:right w:val="none" w:sz="0" w:space="0" w:color="auto"/>
              </w:divBdr>
            </w:div>
            <w:div w:id="568613689">
              <w:marLeft w:val="0"/>
              <w:marRight w:val="0"/>
              <w:marTop w:val="0"/>
              <w:marBottom w:val="0"/>
              <w:divBdr>
                <w:top w:val="none" w:sz="0" w:space="0" w:color="auto"/>
                <w:left w:val="none" w:sz="0" w:space="0" w:color="auto"/>
                <w:bottom w:val="none" w:sz="0" w:space="0" w:color="auto"/>
                <w:right w:val="none" w:sz="0" w:space="0" w:color="auto"/>
              </w:divBdr>
            </w:div>
            <w:div w:id="678850154">
              <w:marLeft w:val="0"/>
              <w:marRight w:val="0"/>
              <w:marTop w:val="0"/>
              <w:marBottom w:val="0"/>
              <w:divBdr>
                <w:top w:val="none" w:sz="0" w:space="0" w:color="auto"/>
                <w:left w:val="none" w:sz="0" w:space="0" w:color="auto"/>
                <w:bottom w:val="none" w:sz="0" w:space="0" w:color="auto"/>
                <w:right w:val="none" w:sz="0" w:space="0" w:color="auto"/>
              </w:divBdr>
            </w:div>
            <w:div w:id="795804463">
              <w:marLeft w:val="0"/>
              <w:marRight w:val="0"/>
              <w:marTop w:val="0"/>
              <w:marBottom w:val="0"/>
              <w:divBdr>
                <w:top w:val="none" w:sz="0" w:space="0" w:color="auto"/>
                <w:left w:val="none" w:sz="0" w:space="0" w:color="auto"/>
                <w:bottom w:val="none" w:sz="0" w:space="0" w:color="auto"/>
                <w:right w:val="none" w:sz="0" w:space="0" w:color="auto"/>
              </w:divBdr>
            </w:div>
            <w:div w:id="905140380">
              <w:marLeft w:val="0"/>
              <w:marRight w:val="0"/>
              <w:marTop w:val="0"/>
              <w:marBottom w:val="0"/>
              <w:divBdr>
                <w:top w:val="none" w:sz="0" w:space="0" w:color="auto"/>
                <w:left w:val="none" w:sz="0" w:space="0" w:color="auto"/>
                <w:bottom w:val="none" w:sz="0" w:space="0" w:color="auto"/>
                <w:right w:val="none" w:sz="0" w:space="0" w:color="auto"/>
              </w:divBdr>
            </w:div>
            <w:div w:id="915481076">
              <w:marLeft w:val="0"/>
              <w:marRight w:val="0"/>
              <w:marTop w:val="0"/>
              <w:marBottom w:val="0"/>
              <w:divBdr>
                <w:top w:val="none" w:sz="0" w:space="0" w:color="auto"/>
                <w:left w:val="none" w:sz="0" w:space="0" w:color="auto"/>
                <w:bottom w:val="none" w:sz="0" w:space="0" w:color="auto"/>
                <w:right w:val="none" w:sz="0" w:space="0" w:color="auto"/>
              </w:divBdr>
            </w:div>
            <w:div w:id="934509250">
              <w:marLeft w:val="0"/>
              <w:marRight w:val="0"/>
              <w:marTop w:val="0"/>
              <w:marBottom w:val="0"/>
              <w:divBdr>
                <w:top w:val="none" w:sz="0" w:space="0" w:color="auto"/>
                <w:left w:val="none" w:sz="0" w:space="0" w:color="auto"/>
                <w:bottom w:val="none" w:sz="0" w:space="0" w:color="auto"/>
                <w:right w:val="none" w:sz="0" w:space="0" w:color="auto"/>
              </w:divBdr>
            </w:div>
            <w:div w:id="1007055325">
              <w:marLeft w:val="0"/>
              <w:marRight w:val="0"/>
              <w:marTop w:val="0"/>
              <w:marBottom w:val="0"/>
              <w:divBdr>
                <w:top w:val="none" w:sz="0" w:space="0" w:color="auto"/>
                <w:left w:val="none" w:sz="0" w:space="0" w:color="auto"/>
                <w:bottom w:val="none" w:sz="0" w:space="0" w:color="auto"/>
                <w:right w:val="none" w:sz="0" w:space="0" w:color="auto"/>
              </w:divBdr>
            </w:div>
            <w:div w:id="1191989743">
              <w:marLeft w:val="0"/>
              <w:marRight w:val="0"/>
              <w:marTop w:val="0"/>
              <w:marBottom w:val="0"/>
              <w:divBdr>
                <w:top w:val="none" w:sz="0" w:space="0" w:color="auto"/>
                <w:left w:val="none" w:sz="0" w:space="0" w:color="auto"/>
                <w:bottom w:val="none" w:sz="0" w:space="0" w:color="auto"/>
                <w:right w:val="none" w:sz="0" w:space="0" w:color="auto"/>
              </w:divBdr>
            </w:div>
            <w:div w:id="1483547960">
              <w:marLeft w:val="0"/>
              <w:marRight w:val="0"/>
              <w:marTop w:val="0"/>
              <w:marBottom w:val="0"/>
              <w:divBdr>
                <w:top w:val="none" w:sz="0" w:space="0" w:color="auto"/>
                <w:left w:val="none" w:sz="0" w:space="0" w:color="auto"/>
                <w:bottom w:val="none" w:sz="0" w:space="0" w:color="auto"/>
                <w:right w:val="none" w:sz="0" w:space="0" w:color="auto"/>
              </w:divBdr>
            </w:div>
            <w:div w:id="1940134501">
              <w:marLeft w:val="0"/>
              <w:marRight w:val="0"/>
              <w:marTop w:val="0"/>
              <w:marBottom w:val="0"/>
              <w:divBdr>
                <w:top w:val="none" w:sz="0" w:space="0" w:color="auto"/>
                <w:left w:val="none" w:sz="0" w:space="0" w:color="auto"/>
                <w:bottom w:val="none" w:sz="0" w:space="0" w:color="auto"/>
                <w:right w:val="none" w:sz="0" w:space="0" w:color="auto"/>
              </w:divBdr>
            </w:div>
            <w:div w:id="1988626423">
              <w:marLeft w:val="0"/>
              <w:marRight w:val="0"/>
              <w:marTop w:val="0"/>
              <w:marBottom w:val="0"/>
              <w:divBdr>
                <w:top w:val="none" w:sz="0" w:space="0" w:color="auto"/>
                <w:left w:val="none" w:sz="0" w:space="0" w:color="auto"/>
                <w:bottom w:val="none" w:sz="0" w:space="0" w:color="auto"/>
                <w:right w:val="none" w:sz="0" w:space="0" w:color="auto"/>
              </w:divBdr>
            </w:div>
            <w:div w:id="2090691255">
              <w:marLeft w:val="0"/>
              <w:marRight w:val="0"/>
              <w:marTop w:val="0"/>
              <w:marBottom w:val="0"/>
              <w:divBdr>
                <w:top w:val="none" w:sz="0" w:space="0" w:color="auto"/>
                <w:left w:val="none" w:sz="0" w:space="0" w:color="auto"/>
                <w:bottom w:val="none" w:sz="0" w:space="0" w:color="auto"/>
                <w:right w:val="none" w:sz="0" w:space="0" w:color="auto"/>
              </w:divBdr>
            </w:div>
            <w:div w:id="2117407524">
              <w:marLeft w:val="0"/>
              <w:marRight w:val="0"/>
              <w:marTop w:val="0"/>
              <w:marBottom w:val="0"/>
              <w:divBdr>
                <w:top w:val="none" w:sz="0" w:space="0" w:color="auto"/>
                <w:left w:val="none" w:sz="0" w:space="0" w:color="auto"/>
                <w:bottom w:val="none" w:sz="0" w:space="0" w:color="auto"/>
                <w:right w:val="none" w:sz="0" w:space="0" w:color="auto"/>
              </w:divBdr>
            </w:div>
          </w:divsChild>
        </w:div>
        <w:div w:id="697043878">
          <w:marLeft w:val="0"/>
          <w:marRight w:val="0"/>
          <w:marTop w:val="0"/>
          <w:marBottom w:val="0"/>
          <w:divBdr>
            <w:top w:val="none" w:sz="0" w:space="0" w:color="auto"/>
            <w:left w:val="none" w:sz="0" w:space="0" w:color="auto"/>
            <w:bottom w:val="none" w:sz="0" w:space="0" w:color="auto"/>
            <w:right w:val="none" w:sz="0" w:space="0" w:color="auto"/>
          </w:divBdr>
        </w:div>
        <w:div w:id="703209732">
          <w:marLeft w:val="0"/>
          <w:marRight w:val="0"/>
          <w:marTop w:val="0"/>
          <w:marBottom w:val="0"/>
          <w:divBdr>
            <w:top w:val="none" w:sz="0" w:space="0" w:color="auto"/>
            <w:left w:val="none" w:sz="0" w:space="0" w:color="auto"/>
            <w:bottom w:val="none" w:sz="0" w:space="0" w:color="auto"/>
            <w:right w:val="none" w:sz="0" w:space="0" w:color="auto"/>
          </w:divBdr>
        </w:div>
        <w:div w:id="708603724">
          <w:marLeft w:val="0"/>
          <w:marRight w:val="0"/>
          <w:marTop w:val="0"/>
          <w:marBottom w:val="0"/>
          <w:divBdr>
            <w:top w:val="none" w:sz="0" w:space="0" w:color="auto"/>
            <w:left w:val="none" w:sz="0" w:space="0" w:color="auto"/>
            <w:bottom w:val="none" w:sz="0" w:space="0" w:color="auto"/>
            <w:right w:val="none" w:sz="0" w:space="0" w:color="auto"/>
          </w:divBdr>
        </w:div>
        <w:div w:id="709233730">
          <w:marLeft w:val="0"/>
          <w:marRight w:val="0"/>
          <w:marTop w:val="0"/>
          <w:marBottom w:val="0"/>
          <w:divBdr>
            <w:top w:val="none" w:sz="0" w:space="0" w:color="auto"/>
            <w:left w:val="none" w:sz="0" w:space="0" w:color="auto"/>
            <w:bottom w:val="none" w:sz="0" w:space="0" w:color="auto"/>
            <w:right w:val="none" w:sz="0" w:space="0" w:color="auto"/>
          </w:divBdr>
        </w:div>
        <w:div w:id="709842177">
          <w:marLeft w:val="0"/>
          <w:marRight w:val="0"/>
          <w:marTop w:val="0"/>
          <w:marBottom w:val="0"/>
          <w:divBdr>
            <w:top w:val="none" w:sz="0" w:space="0" w:color="auto"/>
            <w:left w:val="none" w:sz="0" w:space="0" w:color="auto"/>
            <w:bottom w:val="none" w:sz="0" w:space="0" w:color="auto"/>
            <w:right w:val="none" w:sz="0" w:space="0" w:color="auto"/>
          </w:divBdr>
        </w:div>
        <w:div w:id="712771069">
          <w:marLeft w:val="0"/>
          <w:marRight w:val="0"/>
          <w:marTop w:val="0"/>
          <w:marBottom w:val="0"/>
          <w:divBdr>
            <w:top w:val="none" w:sz="0" w:space="0" w:color="auto"/>
            <w:left w:val="none" w:sz="0" w:space="0" w:color="auto"/>
            <w:bottom w:val="none" w:sz="0" w:space="0" w:color="auto"/>
            <w:right w:val="none" w:sz="0" w:space="0" w:color="auto"/>
          </w:divBdr>
          <w:divsChild>
            <w:div w:id="82802657">
              <w:marLeft w:val="0"/>
              <w:marRight w:val="0"/>
              <w:marTop w:val="0"/>
              <w:marBottom w:val="0"/>
              <w:divBdr>
                <w:top w:val="none" w:sz="0" w:space="0" w:color="auto"/>
                <w:left w:val="none" w:sz="0" w:space="0" w:color="auto"/>
                <w:bottom w:val="none" w:sz="0" w:space="0" w:color="auto"/>
                <w:right w:val="none" w:sz="0" w:space="0" w:color="auto"/>
              </w:divBdr>
            </w:div>
            <w:div w:id="558056392">
              <w:marLeft w:val="0"/>
              <w:marRight w:val="0"/>
              <w:marTop w:val="0"/>
              <w:marBottom w:val="0"/>
              <w:divBdr>
                <w:top w:val="none" w:sz="0" w:space="0" w:color="auto"/>
                <w:left w:val="none" w:sz="0" w:space="0" w:color="auto"/>
                <w:bottom w:val="none" w:sz="0" w:space="0" w:color="auto"/>
                <w:right w:val="none" w:sz="0" w:space="0" w:color="auto"/>
              </w:divBdr>
            </w:div>
            <w:div w:id="583536150">
              <w:marLeft w:val="0"/>
              <w:marRight w:val="0"/>
              <w:marTop w:val="0"/>
              <w:marBottom w:val="0"/>
              <w:divBdr>
                <w:top w:val="none" w:sz="0" w:space="0" w:color="auto"/>
                <w:left w:val="none" w:sz="0" w:space="0" w:color="auto"/>
                <w:bottom w:val="none" w:sz="0" w:space="0" w:color="auto"/>
                <w:right w:val="none" w:sz="0" w:space="0" w:color="auto"/>
              </w:divBdr>
            </w:div>
            <w:div w:id="592590203">
              <w:marLeft w:val="0"/>
              <w:marRight w:val="0"/>
              <w:marTop w:val="0"/>
              <w:marBottom w:val="0"/>
              <w:divBdr>
                <w:top w:val="none" w:sz="0" w:space="0" w:color="auto"/>
                <w:left w:val="none" w:sz="0" w:space="0" w:color="auto"/>
                <w:bottom w:val="none" w:sz="0" w:space="0" w:color="auto"/>
                <w:right w:val="none" w:sz="0" w:space="0" w:color="auto"/>
              </w:divBdr>
            </w:div>
            <w:div w:id="690183133">
              <w:marLeft w:val="0"/>
              <w:marRight w:val="0"/>
              <w:marTop w:val="0"/>
              <w:marBottom w:val="0"/>
              <w:divBdr>
                <w:top w:val="none" w:sz="0" w:space="0" w:color="auto"/>
                <w:left w:val="none" w:sz="0" w:space="0" w:color="auto"/>
                <w:bottom w:val="none" w:sz="0" w:space="0" w:color="auto"/>
                <w:right w:val="none" w:sz="0" w:space="0" w:color="auto"/>
              </w:divBdr>
            </w:div>
            <w:div w:id="694036585">
              <w:marLeft w:val="0"/>
              <w:marRight w:val="0"/>
              <w:marTop w:val="0"/>
              <w:marBottom w:val="0"/>
              <w:divBdr>
                <w:top w:val="none" w:sz="0" w:space="0" w:color="auto"/>
                <w:left w:val="none" w:sz="0" w:space="0" w:color="auto"/>
                <w:bottom w:val="none" w:sz="0" w:space="0" w:color="auto"/>
                <w:right w:val="none" w:sz="0" w:space="0" w:color="auto"/>
              </w:divBdr>
            </w:div>
            <w:div w:id="741803043">
              <w:marLeft w:val="0"/>
              <w:marRight w:val="0"/>
              <w:marTop w:val="0"/>
              <w:marBottom w:val="0"/>
              <w:divBdr>
                <w:top w:val="none" w:sz="0" w:space="0" w:color="auto"/>
                <w:left w:val="none" w:sz="0" w:space="0" w:color="auto"/>
                <w:bottom w:val="none" w:sz="0" w:space="0" w:color="auto"/>
                <w:right w:val="none" w:sz="0" w:space="0" w:color="auto"/>
              </w:divBdr>
            </w:div>
            <w:div w:id="831800560">
              <w:marLeft w:val="0"/>
              <w:marRight w:val="0"/>
              <w:marTop w:val="0"/>
              <w:marBottom w:val="0"/>
              <w:divBdr>
                <w:top w:val="none" w:sz="0" w:space="0" w:color="auto"/>
                <w:left w:val="none" w:sz="0" w:space="0" w:color="auto"/>
                <w:bottom w:val="none" w:sz="0" w:space="0" w:color="auto"/>
                <w:right w:val="none" w:sz="0" w:space="0" w:color="auto"/>
              </w:divBdr>
            </w:div>
            <w:div w:id="944653641">
              <w:marLeft w:val="0"/>
              <w:marRight w:val="0"/>
              <w:marTop w:val="0"/>
              <w:marBottom w:val="0"/>
              <w:divBdr>
                <w:top w:val="none" w:sz="0" w:space="0" w:color="auto"/>
                <w:left w:val="none" w:sz="0" w:space="0" w:color="auto"/>
                <w:bottom w:val="none" w:sz="0" w:space="0" w:color="auto"/>
                <w:right w:val="none" w:sz="0" w:space="0" w:color="auto"/>
              </w:divBdr>
            </w:div>
            <w:div w:id="1154102367">
              <w:marLeft w:val="0"/>
              <w:marRight w:val="0"/>
              <w:marTop w:val="0"/>
              <w:marBottom w:val="0"/>
              <w:divBdr>
                <w:top w:val="none" w:sz="0" w:space="0" w:color="auto"/>
                <w:left w:val="none" w:sz="0" w:space="0" w:color="auto"/>
                <w:bottom w:val="none" w:sz="0" w:space="0" w:color="auto"/>
                <w:right w:val="none" w:sz="0" w:space="0" w:color="auto"/>
              </w:divBdr>
            </w:div>
            <w:div w:id="1194197519">
              <w:marLeft w:val="0"/>
              <w:marRight w:val="0"/>
              <w:marTop w:val="0"/>
              <w:marBottom w:val="0"/>
              <w:divBdr>
                <w:top w:val="none" w:sz="0" w:space="0" w:color="auto"/>
                <w:left w:val="none" w:sz="0" w:space="0" w:color="auto"/>
                <w:bottom w:val="none" w:sz="0" w:space="0" w:color="auto"/>
                <w:right w:val="none" w:sz="0" w:space="0" w:color="auto"/>
              </w:divBdr>
            </w:div>
            <w:div w:id="1501312535">
              <w:marLeft w:val="0"/>
              <w:marRight w:val="0"/>
              <w:marTop w:val="0"/>
              <w:marBottom w:val="0"/>
              <w:divBdr>
                <w:top w:val="none" w:sz="0" w:space="0" w:color="auto"/>
                <w:left w:val="none" w:sz="0" w:space="0" w:color="auto"/>
                <w:bottom w:val="none" w:sz="0" w:space="0" w:color="auto"/>
                <w:right w:val="none" w:sz="0" w:space="0" w:color="auto"/>
              </w:divBdr>
            </w:div>
            <w:div w:id="1516262006">
              <w:marLeft w:val="0"/>
              <w:marRight w:val="0"/>
              <w:marTop w:val="0"/>
              <w:marBottom w:val="0"/>
              <w:divBdr>
                <w:top w:val="none" w:sz="0" w:space="0" w:color="auto"/>
                <w:left w:val="none" w:sz="0" w:space="0" w:color="auto"/>
                <w:bottom w:val="none" w:sz="0" w:space="0" w:color="auto"/>
                <w:right w:val="none" w:sz="0" w:space="0" w:color="auto"/>
              </w:divBdr>
            </w:div>
            <w:div w:id="1575890917">
              <w:marLeft w:val="0"/>
              <w:marRight w:val="0"/>
              <w:marTop w:val="0"/>
              <w:marBottom w:val="0"/>
              <w:divBdr>
                <w:top w:val="none" w:sz="0" w:space="0" w:color="auto"/>
                <w:left w:val="none" w:sz="0" w:space="0" w:color="auto"/>
                <w:bottom w:val="none" w:sz="0" w:space="0" w:color="auto"/>
                <w:right w:val="none" w:sz="0" w:space="0" w:color="auto"/>
              </w:divBdr>
            </w:div>
            <w:div w:id="1599287113">
              <w:marLeft w:val="0"/>
              <w:marRight w:val="0"/>
              <w:marTop w:val="0"/>
              <w:marBottom w:val="0"/>
              <w:divBdr>
                <w:top w:val="none" w:sz="0" w:space="0" w:color="auto"/>
                <w:left w:val="none" w:sz="0" w:space="0" w:color="auto"/>
                <w:bottom w:val="none" w:sz="0" w:space="0" w:color="auto"/>
                <w:right w:val="none" w:sz="0" w:space="0" w:color="auto"/>
              </w:divBdr>
            </w:div>
            <w:div w:id="1714766801">
              <w:marLeft w:val="0"/>
              <w:marRight w:val="0"/>
              <w:marTop w:val="0"/>
              <w:marBottom w:val="0"/>
              <w:divBdr>
                <w:top w:val="none" w:sz="0" w:space="0" w:color="auto"/>
                <w:left w:val="none" w:sz="0" w:space="0" w:color="auto"/>
                <w:bottom w:val="none" w:sz="0" w:space="0" w:color="auto"/>
                <w:right w:val="none" w:sz="0" w:space="0" w:color="auto"/>
              </w:divBdr>
            </w:div>
            <w:div w:id="1797407503">
              <w:marLeft w:val="0"/>
              <w:marRight w:val="0"/>
              <w:marTop w:val="0"/>
              <w:marBottom w:val="0"/>
              <w:divBdr>
                <w:top w:val="none" w:sz="0" w:space="0" w:color="auto"/>
                <w:left w:val="none" w:sz="0" w:space="0" w:color="auto"/>
                <w:bottom w:val="none" w:sz="0" w:space="0" w:color="auto"/>
                <w:right w:val="none" w:sz="0" w:space="0" w:color="auto"/>
              </w:divBdr>
            </w:div>
            <w:div w:id="1885747069">
              <w:marLeft w:val="0"/>
              <w:marRight w:val="0"/>
              <w:marTop w:val="0"/>
              <w:marBottom w:val="0"/>
              <w:divBdr>
                <w:top w:val="none" w:sz="0" w:space="0" w:color="auto"/>
                <w:left w:val="none" w:sz="0" w:space="0" w:color="auto"/>
                <w:bottom w:val="none" w:sz="0" w:space="0" w:color="auto"/>
                <w:right w:val="none" w:sz="0" w:space="0" w:color="auto"/>
              </w:divBdr>
            </w:div>
            <w:div w:id="2127507238">
              <w:marLeft w:val="0"/>
              <w:marRight w:val="0"/>
              <w:marTop w:val="0"/>
              <w:marBottom w:val="0"/>
              <w:divBdr>
                <w:top w:val="none" w:sz="0" w:space="0" w:color="auto"/>
                <w:left w:val="none" w:sz="0" w:space="0" w:color="auto"/>
                <w:bottom w:val="none" w:sz="0" w:space="0" w:color="auto"/>
                <w:right w:val="none" w:sz="0" w:space="0" w:color="auto"/>
              </w:divBdr>
            </w:div>
          </w:divsChild>
        </w:div>
        <w:div w:id="713310391">
          <w:marLeft w:val="0"/>
          <w:marRight w:val="0"/>
          <w:marTop w:val="0"/>
          <w:marBottom w:val="0"/>
          <w:divBdr>
            <w:top w:val="none" w:sz="0" w:space="0" w:color="auto"/>
            <w:left w:val="none" w:sz="0" w:space="0" w:color="auto"/>
            <w:bottom w:val="none" w:sz="0" w:space="0" w:color="auto"/>
            <w:right w:val="none" w:sz="0" w:space="0" w:color="auto"/>
          </w:divBdr>
        </w:div>
        <w:div w:id="714084243">
          <w:marLeft w:val="0"/>
          <w:marRight w:val="0"/>
          <w:marTop w:val="0"/>
          <w:marBottom w:val="0"/>
          <w:divBdr>
            <w:top w:val="none" w:sz="0" w:space="0" w:color="auto"/>
            <w:left w:val="none" w:sz="0" w:space="0" w:color="auto"/>
            <w:bottom w:val="none" w:sz="0" w:space="0" w:color="auto"/>
            <w:right w:val="none" w:sz="0" w:space="0" w:color="auto"/>
          </w:divBdr>
        </w:div>
        <w:div w:id="714620051">
          <w:marLeft w:val="0"/>
          <w:marRight w:val="0"/>
          <w:marTop w:val="0"/>
          <w:marBottom w:val="0"/>
          <w:divBdr>
            <w:top w:val="none" w:sz="0" w:space="0" w:color="auto"/>
            <w:left w:val="none" w:sz="0" w:space="0" w:color="auto"/>
            <w:bottom w:val="none" w:sz="0" w:space="0" w:color="auto"/>
            <w:right w:val="none" w:sz="0" w:space="0" w:color="auto"/>
          </w:divBdr>
        </w:div>
        <w:div w:id="714743175">
          <w:marLeft w:val="0"/>
          <w:marRight w:val="0"/>
          <w:marTop w:val="0"/>
          <w:marBottom w:val="0"/>
          <w:divBdr>
            <w:top w:val="none" w:sz="0" w:space="0" w:color="auto"/>
            <w:left w:val="none" w:sz="0" w:space="0" w:color="auto"/>
            <w:bottom w:val="none" w:sz="0" w:space="0" w:color="auto"/>
            <w:right w:val="none" w:sz="0" w:space="0" w:color="auto"/>
          </w:divBdr>
        </w:div>
        <w:div w:id="715354324">
          <w:marLeft w:val="0"/>
          <w:marRight w:val="0"/>
          <w:marTop w:val="0"/>
          <w:marBottom w:val="0"/>
          <w:divBdr>
            <w:top w:val="none" w:sz="0" w:space="0" w:color="auto"/>
            <w:left w:val="none" w:sz="0" w:space="0" w:color="auto"/>
            <w:bottom w:val="none" w:sz="0" w:space="0" w:color="auto"/>
            <w:right w:val="none" w:sz="0" w:space="0" w:color="auto"/>
          </w:divBdr>
        </w:div>
        <w:div w:id="716126174">
          <w:marLeft w:val="0"/>
          <w:marRight w:val="0"/>
          <w:marTop w:val="0"/>
          <w:marBottom w:val="0"/>
          <w:divBdr>
            <w:top w:val="none" w:sz="0" w:space="0" w:color="auto"/>
            <w:left w:val="none" w:sz="0" w:space="0" w:color="auto"/>
            <w:bottom w:val="none" w:sz="0" w:space="0" w:color="auto"/>
            <w:right w:val="none" w:sz="0" w:space="0" w:color="auto"/>
          </w:divBdr>
        </w:div>
        <w:div w:id="716974726">
          <w:marLeft w:val="0"/>
          <w:marRight w:val="0"/>
          <w:marTop w:val="0"/>
          <w:marBottom w:val="0"/>
          <w:divBdr>
            <w:top w:val="none" w:sz="0" w:space="0" w:color="auto"/>
            <w:left w:val="none" w:sz="0" w:space="0" w:color="auto"/>
            <w:bottom w:val="none" w:sz="0" w:space="0" w:color="auto"/>
            <w:right w:val="none" w:sz="0" w:space="0" w:color="auto"/>
          </w:divBdr>
        </w:div>
        <w:div w:id="718013889">
          <w:marLeft w:val="0"/>
          <w:marRight w:val="0"/>
          <w:marTop w:val="0"/>
          <w:marBottom w:val="0"/>
          <w:divBdr>
            <w:top w:val="none" w:sz="0" w:space="0" w:color="auto"/>
            <w:left w:val="none" w:sz="0" w:space="0" w:color="auto"/>
            <w:bottom w:val="none" w:sz="0" w:space="0" w:color="auto"/>
            <w:right w:val="none" w:sz="0" w:space="0" w:color="auto"/>
          </w:divBdr>
        </w:div>
        <w:div w:id="719093104">
          <w:marLeft w:val="0"/>
          <w:marRight w:val="0"/>
          <w:marTop w:val="0"/>
          <w:marBottom w:val="0"/>
          <w:divBdr>
            <w:top w:val="none" w:sz="0" w:space="0" w:color="auto"/>
            <w:left w:val="none" w:sz="0" w:space="0" w:color="auto"/>
            <w:bottom w:val="none" w:sz="0" w:space="0" w:color="auto"/>
            <w:right w:val="none" w:sz="0" w:space="0" w:color="auto"/>
          </w:divBdr>
        </w:div>
        <w:div w:id="719549455">
          <w:marLeft w:val="0"/>
          <w:marRight w:val="0"/>
          <w:marTop w:val="0"/>
          <w:marBottom w:val="0"/>
          <w:divBdr>
            <w:top w:val="none" w:sz="0" w:space="0" w:color="auto"/>
            <w:left w:val="none" w:sz="0" w:space="0" w:color="auto"/>
            <w:bottom w:val="none" w:sz="0" w:space="0" w:color="auto"/>
            <w:right w:val="none" w:sz="0" w:space="0" w:color="auto"/>
          </w:divBdr>
        </w:div>
        <w:div w:id="721447129">
          <w:marLeft w:val="0"/>
          <w:marRight w:val="0"/>
          <w:marTop w:val="0"/>
          <w:marBottom w:val="0"/>
          <w:divBdr>
            <w:top w:val="none" w:sz="0" w:space="0" w:color="auto"/>
            <w:left w:val="none" w:sz="0" w:space="0" w:color="auto"/>
            <w:bottom w:val="none" w:sz="0" w:space="0" w:color="auto"/>
            <w:right w:val="none" w:sz="0" w:space="0" w:color="auto"/>
          </w:divBdr>
        </w:div>
        <w:div w:id="721517834">
          <w:marLeft w:val="0"/>
          <w:marRight w:val="0"/>
          <w:marTop w:val="0"/>
          <w:marBottom w:val="0"/>
          <w:divBdr>
            <w:top w:val="none" w:sz="0" w:space="0" w:color="auto"/>
            <w:left w:val="none" w:sz="0" w:space="0" w:color="auto"/>
            <w:bottom w:val="none" w:sz="0" w:space="0" w:color="auto"/>
            <w:right w:val="none" w:sz="0" w:space="0" w:color="auto"/>
          </w:divBdr>
        </w:div>
        <w:div w:id="722170920">
          <w:marLeft w:val="0"/>
          <w:marRight w:val="0"/>
          <w:marTop w:val="0"/>
          <w:marBottom w:val="0"/>
          <w:divBdr>
            <w:top w:val="none" w:sz="0" w:space="0" w:color="auto"/>
            <w:left w:val="none" w:sz="0" w:space="0" w:color="auto"/>
            <w:bottom w:val="none" w:sz="0" w:space="0" w:color="auto"/>
            <w:right w:val="none" w:sz="0" w:space="0" w:color="auto"/>
          </w:divBdr>
        </w:div>
        <w:div w:id="722488790">
          <w:marLeft w:val="0"/>
          <w:marRight w:val="0"/>
          <w:marTop w:val="0"/>
          <w:marBottom w:val="0"/>
          <w:divBdr>
            <w:top w:val="none" w:sz="0" w:space="0" w:color="auto"/>
            <w:left w:val="none" w:sz="0" w:space="0" w:color="auto"/>
            <w:bottom w:val="none" w:sz="0" w:space="0" w:color="auto"/>
            <w:right w:val="none" w:sz="0" w:space="0" w:color="auto"/>
          </w:divBdr>
        </w:div>
        <w:div w:id="722876603">
          <w:marLeft w:val="0"/>
          <w:marRight w:val="0"/>
          <w:marTop w:val="0"/>
          <w:marBottom w:val="0"/>
          <w:divBdr>
            <w:top w:val="none" w:sz="0" w:space="0" w:color="auto"/>
            <w:left w:val="none" w:sz="0" w:space="0" w:color="auto"/>
            <w:bottom w:val="none" w:sz="0" w:space="0" w:color="auto"/>
            <w:right w:val="none" w:sz="0" w:space="0" w:color="auto"/>
          </w:divBdr>
        </w:div>
        <w:div w:id="723598909">
          <w:marLeft w:val="0"/>
          <w:marRight w:val="0"/>
          <w:marTop w:val="0"/>
          <w:marBottom w:val="0"/>
          <w:divBdr>
            <w:top w:val="none" w:sz="0" w:space="0" w:color="auto"/>
            <w:left w:val="none" w:sz="0" w:space="0" w:color="auto"/>
            <w:bottom w:val="none" w:sz="0" w:space="0" w:color="auto"/>
            <w:right w:val="none" w:sz="0" w:space="0" w:color="auto"/>
          </w:divBdr>
        </w:div>
        <w:div w:id="723992588">
          <w:marLeft w:val="0"/>
          <w:marRight w:val="0"/>
          <w:marTop w:val="0"/>
          <w:marBottom w:val="0"/>
          <w:divBdr>
            <w:top w:val="none" w:sz="0" w:space="0" w:color="auto"/>
            <w:left w:val="none" w:sz="0" w:space="0" w:color="auto"/>
            <w:bottom w:val="none" w:sz="0" w:space="0" w:color="auto"/>
            <w:right w:val="none" w:sz="0" w:space="0" w:color="auto"/>
          </w:divBdr>
        </w:div>
        <w:div w:id="723993649">
          <w:marLeft w:val="0"/>
          <w:marRight w:val="0"/>
          <w:marTop w:val="0"/>
          <w:marBottom w:val="0"/>
          <w:divBdr>
            <w:top w:val="none" w:sz="0" w:space="0" w:color="auto"/>
            <w:left w:val="none" w:sz="0" w:space="0" w:color="auto"/>
            <w:bottom w:val="none" w:sz="0" w:space="0" w:color="auto"/>
            <w:right w:val="none" w:sz="0" w:space="0" w:color="auto"/>
          </w:divBdr>
        </w:div>
        <w:div w:id="726419505">
          <w:marLeft w:val="0"/>
          <w:marRight w:val="0"/>
          <w:marTop w:val="0"/>
          <w:marBottom w:val="0"/>
          <w:divBdr>
            <w:top w:val="none" w:sz="0" w:space="0" w:color="auto"/>
            <w:left w:val="none" w:sz="0" w:space="0" w:color="auto"/>
            <w:bottom w:val="none" w:sz="0" w:space="0" w:color="auto"/>
            <w:right w:val="none" w:sz="0" w:space="0" w:color="auto"/>
          </w:divBdr>
        </w:div>
        <w:div w:id="727071396">
          <w:marLeft w:val="0"/>
          <w:marRight w:val="0"/>
          <w:marTop w:val="0"/>
          <w:marBottom w:val="0"/>
          <w:divBdr>
            <w:top w:val="none" w:sz="0" w:space="0" w:color="auto"/>
            <w:left w:val="none" w:sz="0" w:space="0" w:color="auto"/>
            <w:bottom w:val="none" w:sz="0" w:space="0" w:color="auto"/>
            <w:right w:val="none" w:sz="0" w:space="0" w:color="auto"/>
          </w:divBdr>
        </w:div>
        <w:div w:id="730426669">
          <w:marLeft w:val="0"/>
          <w:marRight w:val="0"/>
          <w:marTop w:val="0"/>
          <w:marBottom w:val="0"/>
          <w:divBdr>
            <w:top w:val="none" w:sz="0" w:space="0" w:color="auto"/>
            <w:left w:val="none" w:sz="0" w:space="0" w:color="auto"/>
            <w:bottom w:val="none" w:sz="0" w:space="0" w:color="auto"/>
            <w:right w:val="none" w:sz="0" w:space="0" w:color="auto"/>
          </w:divBdr>
        </w:div>
        <w:div w:id="731847586">
          <w:marLeft w:val="0"/>
          <w:marRight w:val="0"/>
          <w:marTop w:val="0"/>
          <w:marBottom w:val="0"/>
          <w:divBdr>
            <w:top w:val="none" w:sz="0" w:space="0" w:color="auto"/>
            <w:left w:val="none" w:sz="0" w:space="0" w:color="auto"/>
            <w:bottom w:val="none" w:sz="0" w:space="0" w:color="auto"/>
            <w:right w:val="none" w:sz="0" w:space="0" w:color="auto"/>
          </w:divBdr>
        </w:div>
        <w:div w:id="732123358">
          <w:marLeft w:val="0"/>
          <w:marRight w:val="0"/>
          <w:marTop w:val="0"/>
          <w:marBottom w:val="0"/>
          <w:divBdr>
            <w:top w:val="none" w:sz="0" w:space="0" w:color="auto"/>
            <w:left w:val="none" w:sz="0" w:space="0" w:color="auto"/>
            <w:bottom w:val="none" w:sz="0" w:space="0" w:color="auto"/>
            <w:right w:val="none" w:sz="0" w:space="0" w:color="auto"/>
          </w:divBdr>
        </w:div>
        <w:div w:id="733042022">
          <w:marLeft w:val="0"/>
          <w:marRight w:val="0"/>
          <w:marTop w:val="0"/>
          <w:marBottom w:val="0"/>
          <w:divBdr>
            <w:top w:val="none" w:sz="0" w:space="0" w:color="auto"/>
            <w:left w:val="none" w:sz="0" w:space="0" w:color="auto"/>
            <w:bottom w:val="none" w:sz="0" w:space="0" w:color="auto"/>
            <w:right w:val="none" w:sz="0" w:space="0" w:color="auto"/>
          </w:divBdr>
        </w:div>
        <w:div w:id="733619981">
          <w:marLeft w:val="0"/>
          <w:marRight w:val="0"/>
          <w:marTop w:val="0"/>
          <w:marBottom w:val="0"/>
          <w:divBdr>
            <w:top w:val="none" w:sz="0" w:space="0" w:color="auto"/>
            <w:left w:val="none" w:sz="0" w:space="0" w:color="auto"/>
            <w:bottom w:val="none" w:sz="0" w:space="0" w:color="auto"/>
            <w:right w:val="none" w:sz="0" w:space="0" w:color="auto"/>
          </w:divBdr>
        </w:div>
        <w:div w:id="734202399">
          <w:marLeft w:val="0"/>
          <w:marRight w:val="0"/>
          <w:marTop w:val="0"/>
          <w:marBottom w:val="0"/>
          <w:divBdr>
            <w:top w:val="none" w:sz="0" w:space="0" w:color="auto"/>
            <w:left w:val="none" w:sz="0" w:space="0" w:color="auto"/>
            <w:bottom w:val="none" w:sz="0" w:space="0" w:color="auto"/>
            <w:right w:val="none" w:sz="0" w:space="0" w:color="auto"/>
          </w:divBdr>
        </w:div>
        <w:div w:id="736779929">
          <w:marLeft w:val="0"/>
          <w:marRight w:val="0"/>
          <w:marTop w:val="0"/>
          <w:marBottom w:val="0"/>
          <w:divBdr>
            <w:top w:val="none" w:sz="0" w:space="0" w:color="auto"/>
            <w:left w:val="none" w:sz="0" w:space="0" w:color="auto"/>
            <w:bottom w:val="none" w:sz="0" w:space="0" w:color="auto"/>
            <w:right w:val="none" w:sz="0" w:space="0" w:color="auto"/>
          </w:divBdr>
        </w:div>
        <w:div w:id="736782617">
          <w:marLeft w:val="0"/>
          <w:marRight w:val="0"/>
          <w:marTop w:val="0"/>
          <w:marBottom w:val="0"/>
          <w:divBdr>
            <w:top w:val="none" w:sz="0" w:space="0" w:color="auto"/>
            <w:left w:val="none" w:sz="0" w:space="0" w:color="auto"/>
            <w:bottom w:val="none" w:sz="0" w:space="0" w:color="auto"/>
            <w:right w:val="none" w:sz="0" w:space="0" w:color="auto"/>
          </w:divBdr>
        </w:div>
        <w:div w:id="737097215">
          <w:marLeft w:val="0"/>
          <w:marRight w:val="0"/>
          <w:marTop w:val="0"/>
          <w:marBottom w:val="0"/>
          <w:divBdr>
            <w:top w:val="none" w:sz="0" w:space="0" w:color="auto"/>
            <w:left w:val="none" w:sz="0" w:space="0" w:color="auto"/>
            <w:bottom w:val="none" w:sz="0" w:space="0" w:color="auto"/>
            <w:right w:val="none" w:sz="0" w:space="0" w:color="auto"/>
          </w:divBdr>
        </w:div>
        <w:div w:id="738552257">
          <w:marLeft w:val="0"/>
          <w:marRight w:val="0"/>
          <w:marTop w:val="0"/>
          <w:marBottom w:val="0"/>
          <w:divBdr>
            <w:top w:val="none" w:sz="0" w:space="0" w:color="auto"/>
            <w:left w:val="none" w:sz="0" w:space="0" w:color="auto"/>
            <w:bottom w:val="none" w:sz="0" w:space="0" w:color="auto"/>
            <w:right w:val="none" w:sz="0" w:space="0" w:color="auto"/>
          </w:divBdr>
        </w:div>
        <w:div w:id="740257275">
          <w:marLeft w:val="0"/>
          <w:marRight w:val="0"/>
          <w:marTop w:val="0"/>
          <w:marBottom w:val="0"/>
          <w:divBdr>
            <w:top w:val="none" w:sz="0" w:space="0" w:color="auto"/>
            <w:left w:val="none" w:sz="0" w:space="0" w:color="auto"/>
            <w:bottom w:val="none" w:sz="0" w:space="0" w:color="auto"/>
            <w:right w:val="none" w:sz="0" w:space="0" w:color="auto"/>
          </w:divBdr>
        </w:div>
        <w:div w:id="741370348">
          <w:marLeft w:val="0"/>
          <w:marRight w:val="0"/>
          <w:marTop w:val="0"/>
          <w:marBottom w:val="0"/>
          <w:divBdr>
            <w:top w:val="none" w:sz="0" w:space="0" w:color="auto"/>
            <w:left w:val="none" w:sz="0" w:space="0" w:color="auto"/>
            <w:bottom w:val="none" w:sz="0" w:space="0" w:color="auto"/>
            <w:right w:val="none" w:sz="0" w:space="0" w:color="auto"/>
          </w:divBdr>
        </w:div>
        <w:div w:id="741605425">
          <w:marLeft w:val="0"/>
          <w:marRight w:val="0"/>
          <w:marTop w:val="0"/>
          <w:marBottom w:val="0"/>
          <w:divBdr>
            <w:top w:val="none" w:sz="0" w:space="0" w:color="auto"/>
            <w:left w:val="none" w:sz="0" w:space="0" w:color="auto"/>
            <w:bottom w:val="none" w:sz="0" w:space="0" w:color="auto"/>
            <w:right w:val="none" w:sz="0" w:space="0" w:color="auto"/>
          </w:divBdr>
        </w:div>
        <w:div w:id="743332376">
          <w:marLeft w:val="0"/>
          <w:marRight w:val="0"/>
          <w:marTop w:val="0"/>
          <w:marBottom w:val="0"/>
          <w:divBdr>
            <w:top w:val="none" w:sz="0" w:space="0" w:color="auto"/>
            <w:left w:val="none" w:sz="0" w:space="0" w:color="auto"/>
            <w:bottom w:val="none" w:sz="0" w:space="0" w:color="auto"/>
            <w:right w:val="none" w:sz="0" w:space="0" w:color="auto"/>
          </w:divBdr>
        </w:div>
        <w:div w:id="743531442">
          <w:marLeft w:val="0"/>
          <w:marRight w:val="0"/>
          <w:marTop w:val="0"/>
          <w:marBottom w:val="0"/>
          <w:divBdr>
            <w:top w:val="none" w:sz="0" w:space="0" w:color="auto"/>
            <w:left w:val="none" w:sz="0" w:space="0" w:color="auto"/>
            <w:bottom w:val="none" w:sz="0" w:space="0" w:color="auto"/>
            <w:right w:val="none" w:sz="0" w:space="0" w:color="auto"/>
          </w:divBdr>
        </w:div>
        <w:div w:id="746076983">
          <w:marLeft w:val="0"/>
          <w:marRight w:val="0"/>
          <w:marTop w:val="0"/>
          <w:marBottom w:val="0"/>
          <w:divBdr>
            <w:top w:val="none" w:sz="0" w:space="0" w:color="auto"/>
            <w:left w:val="none" w:sz="0" w:space="0" w:color="auto"/>
            <w:bottom w:val="none" w:sz="0" w:space="0" w:color="auto"/>
            <w:right w:val="none" w:sz="0" w:space="0" w:color="auto"/>
          </w:divBdr>
        </w:div>
        <w:div w:id="747579824">
          <w:marLeft w:val="0"/>
          <w:marRight w:val="0"/>
          <w:marTop w:val="0"/>
          <w:marBottom w:val="0"/>
          <w:divBdr>
            <w:top w:val="none" w:sz="0" w:space="0" w:color="auto"/>
            <w:left w:val="none" w:sz="0" w:space="0" w:color="auto"/>
            <w:bottom w:val="none" w:sz="0" w:space="0" w:color="auto"/>
            <w:right w:val="none" w:sz="0" w:space="0" w:color="auto"/>
          </w:divBdr>
        </w:div>
        <w:div w:id="748187986">
          <w:marLeft w:val="0"/>
          <w:marRight w:val="0"/>
          <w:marTop w:val="0"/>
          <w:marBottom w:val="0"/>
          <w:divBdr>
            <w:top w:val="none" w:sz="0" w:space="0" w:color="auto"/>
            <w:left w:val="none" w:sz="0" w:space="0" w:color="auto"/>
            <w:bottom w:val="none" w:sz="0" w:space="0" w:color="auto"/>
            <w:right w:val="none" w:sz="0" w:space="0" w:color="auto"/>
          </w:divBdr>
        </w:div>
        <w:div w:id="750545414">
          <w:marLeft w:val="0"/>
          <w:marRight w:val="0"/>
          <w:marTop w:val="0"/>
          <w:marBottom w:val="0"/>
          <w:divBdr>
            <w:top w:val="none" w:sz="0" w:space="0" w:color="auto"/>
            <w:left w:val="none" w:sz="0" w:space="0" w:color="auto"/>
            <w:bottom w:val="none" w:sz="0" w:space="0" w:color="auto"/>
            <w:right w:val="none" w:sz="0" w:space="0" w:color="auto"/>
          </w:divBdr>
        </w:div>
        <w:div w:id="751390323">
          <w:marLeft w:val="0"/>
          <w:marRight w:val="0"/>
          <w:marTop w:val="0"/>
          <w:marBottom w:val="0"/>
          <w:divBdr>
            <w:top w:val="none" w:sz="0" w:space="0" w:color="auto"/>
            <w:left w:val="none" w:sz="0" w:space="0" w:color="auto"/>
            <w:bottom w:val="none" w:sz="0" w:space="0" w:color="auto"/>
            <w:right w:val="none" w:sz="0" w:space="0" w:color="auto"/>
          </w:divBdr>
        </w:div>
        <w:div w:id="751507952">
          <w:marLeft w:val="0"/>
          <w:marRight w:val="0"/>
          <w:marTop w:val="0"/>
          <w:marBottom w:val="0"/>
          <w:divBdr>
            <w:top w:val="none" w:sz="0" w:space="0" w:color="auto"/>
            <w:left w:val="none" w:sz="0" w:space="0" w:color="auto"/>
            <w:bottom w:val="none" w:sz="0" w:space="0" w:color="auto"/>
            <w:right w:val="none" w:sz="0" w:space="0" w:color="auto"/>
          </w:divBdr>
        </w:div>
        <w:div w:id="752238372">
          <w:marLeft w:val="0"/>
          <w:marRight w:val="0"/>
          <w:marTop w:val="0"/>
          <w:marBottom w:val="0"/>
          <w:divBdr>
            <w:top w:val="none" w:sz="0" w:space="0" w:color="auto"/>
            <w:left w:val="none" w:sz="0" w:space="0" w:color="auto"/>
            <w:bottom w:val="none" w:sz="0" w:space="0" w:color="auto"/>
            <w:right w:val="none" w:sz="0" w:space="0" w:color="auto"/>
          </w:divBdr>
        </w:div>
        <w:div w:id="752581269">
          <w:marLeft w:val="0"/>
          <w:marRight w:val="0"/>
          <w:marTop w:val="0"/>
          <w:marBottom w:val="0"/>
          <w:divBdr>
            <w:top w:val="none" w:sz="0" w:space="0" w:color="auto"/>
            <w:left w:val="none" w:sz="0" w:space="0" w:color="auto"/>
            <w:bottom w:val="none" w:sz="0" w:space="0" w:color="auto"/>
            <w:right w:val="none" w:sz="0" w:space="0" w:color="auto"/>
          </w:divBdr>
        </w:div>
        <w:div w:id="753088258">
          <w:marLeft w:val="0"/>
          <w:marRight w:val="0"/>
          <w:marTop w:val="0"/>
          <w:marBottom w:val="0"/>
          <w:divBdr>
            <w:top w:val="none" w:sz="0" w:space="0" w:color="auto"/>
            <w:left w:val="none" w:sz="0" w:space="0" w:color="auto"/>
            <w:bottom w:val="none" w:sz="0" w:space="0" w:color="auto"/>
            <w:right w:val="none" w:sz="0" w:space="0" w:color="auto"/>
          </w:divBdr>
        </w:div>
        <w:div w:id="753166320">
          <w:marLeft w:val="0"/>
          <w:marRight w:val="0"/>
          <w:marTop w:val="0"/>
          <w:marBottom w:val="0"/>
          <w:divBdr>
            <w:top w:val="none" w:sz="0" w:space="0" w:color="auto"/>
            <w:left w:val="none" w:sz="0" w:space="0" w:color="auto"/>
            <w:bottom w:val="none" w:sz="0" w:space="0" w:color="auto"/>
            <w:right w:val="none" w:sz="0" w:space="0" w:color="auto"/>
          </w:divBdr>
        </w:div>
        <w:div w:id="753430961">
          <w:marLeft w:val="0"/>
          <w:marRight w:val="0"/>
          <w:marTop w:val="0"/>
          <w:marBottom w:val="0"/>
          <w:divBdr>
            <w:top w:val="none" w:sz="0" w:space="0" w:color="auto"/>
            <w:left w:val="none" w:sz="0" w:space="0" w:color="auto"/>
            <w:bottom w:val="none" w:sz="0" w:space="0" w:color="auto"/>
            <w:right w:val="none" w:sz="0" w:space="0" w:color="auto"/>
          </w:divBdr>
          <w:divsChild>
            <w:div w:id="402064117">
              <w:marLeft w:val="0"/>
              <w:marRight w:val="0"/>
              <w:marTop w:val="0"/>
              <w:marBottom w:val="0"/>
              <w:divBdr>
                <w:top w:val="none" w:sz="0" w:space="0" w:color="auto"/>
                <w:left w:val="none" w:sz="0" w:space="0" w:color="auto"/>
                <w:bottom w:val="none" w:sz="0" w:space="0" w:color="auto"/>
                <w:right w:val="none" w:sz="0" w:space="0" w:color="auto"/>
              </w:divBdr>
            </w:div>
            <w:div w:id="474374976">
              <w:marLeft w:val="0"/>
              <w:marRight w:val="0"/>
              <w:marTop w:val="0"/>
              <w:marBottom w:val="0"/>
              <w:divBdr>
                <w:top w:val="none" w:sz="0" w:space="0" w:color="auto"/>
                <w:left w:val="none" w:sz="0" w:space="0" w:color="auto"/>
                <w:bottom w:val="none" w:sz="0" w:space="0" w:color="auto"/>
                <w:right w:val="none" w:sz="0" w:space="0" w:color="auto"/>
              </w:divBdr>
            </w:div>
            <w:div w:id="612783199">
              <w:marLeft w:val="0"/>
              <w:marRight w:val="0"/>
              <w:marTop w:val="0"/>
              <w:marBottom w:val="0"/>
              <w:divBdr>
                <w:top w:val="none" w:sz="0" w:space="0" w:color="auto"/>
                <w:left w:val="none" w:sz="0" w:space="0" w:color="auto"/>
                <w:bottom w:val="none" w:sz="0" w:space="0" w:color="auto"/>
                <w:right w:val="none" w:sz="0" w:space="0" w:color="auto"/>
              </w:divBdr>
            </w:div>
            <w:div w:id="830874766">
              <w:marLeft w:val="0"/>
              <w:marRight w:val="0"/>
              <w:marTop w:val="0"/>
              <w:marBottom w:val="0"/>
              <w:divBdr>
                <w:top w:val="none" w:sz="0" w:space="0" w:color="auto"/>
                <w:left w:val="none" w:sz="0" w:space="0" w:color="auto"/>
                <w:bottom w:val="none" w:sz="0" w:space="0" w:color="auto"/>
                <w:right w:val="none" w:sz="0" w:space="0" w:color="auto"/>
              </w:divBdr>
            </w:div>
            <w:div w:id="907232960">
              <w:marLeft w:val="0"/>
              <w:marRight w:val="0"/>
              <w:marTop w:val="0"/>
              <w:marBottom w:val="0"/>
              <w:divBdr>
                <w:top w:val="none" w:sz="0" w:space="0" w:color="auto"/>
                <w:left w:val="none" w:sz="0" w:space="0" w:color="auto"/>
                <w:bottom w:val="none" w:sz="0" w:space="0" w:color="auto"/>
                <w:right w:val="none" w:sz="0" w:space="0" w:color="auto"/>
              </w:divBdr>
            </w:div>
            <w:div w:id="908807485">
              <w:marLeft w:val="0"/>
              <w:marRight w:val="0"/>
              <w:marTop w:val="0"/>
              <w:marBottom w:val="0"/>
              <w:divBdr>
                <w:top w:val="none" w:sz="0" w:space="0" w:color="auto"/>
                <w:left w:val="none" w:sz="0" w:space="0" w:color="auto"/>
                <w:bottom w:val="none" w:sz="0" w:space="0" w:color="auto"/>
                <w:right w:val="none" w:sz="0" w:space="0" w:color="auto"/>
              </w:divBdr>
            </w:div>
            <w:div w:id="932398720">
              <w:marLeft w:val="0"/>
              <w:marRight w:val="0"/>
              <w:marTop w:val="0"/>
              <w:marBottom w:val="0"/>
              <w:divBdr>
                <w:top w:val="none" w:sz="0" w:space="0" w:color="auto"/>
                <w:left w:val="none" w:sz="0" w:space="0" w:color="auto"/>
                <w:bottom w:val="none" w:sz="0" w:space="0" w:color="auto"/>
                <w:right w:val="none" w:sz="0" w:space="0" w:color="auto"/>
              </w:divBdr>
            </w:div>
            <w:div w:id="1147286983">
              <w:marLeft w:val="0"/>
              <w:marRight w:val="0"/>
              <w:marTop w:val="0"/>
              <w:marBottom w:val="0"/>
              <w:divBdr>
                <w:top w:val="none" w:sz="0" w:space="0" w:color="auto"/>
                <w:left w:val="none" w:sz="0" w:space="0" w:color="auto"/>
                <w:bottom w:val="none" w:sz="0" w:space="0" w:color="auto"/>
                <w:right w:val="none" w:sz="0" w:space="0" w:color="auto"/>
              </w:divBdr>
            </w:div>
            <w:div w:id="1310399779">
              <w:marLeft w:val="0"/>
              <w:marRight w:val="0"/>
              <w:marTop w:val="0"/>
              <w:marBottom w:val="0"/>
              <w:divBdr>
                <w:top w:val="none" w:sz="0" w:space="0" w:color="auto"/>
                <w:left w:val="none" w:sz="0" w:space="0" w:color="auto"/>
                <w:bottom w:val="none" w:sz="0" w:space="0" w:color="auto"/>
                <w:right w:val="none" w:sz="0" w:space="0" w:color="auto"/>
              </w:divBdr>
            </w:div>
            <w:div w:id="1385828856">
              <w:marLeft w:val="0"/>
              <w:marRight w:val="0"/>
              <w:marTop w:val="0"/>
              <w:marBottom w:val="0"/>
              <w:divBdr>
                <w:top w:val="none" w:sz="0" w:space="0" w:color="auto"/>
                <w:left w:val="none" w:sz="0" w:space="0" w:color="auto"/>
                <w:bottom w:val="none" w:sz="0" w:space="0" w:color="auto"/>
                <w:right w:val="none" w:sz="0" w:space="0" w:color="auto"/>
              </w:divBdr>
            </w:div>
            <w:div w:id="1504323601">
              <w:marLeft w:val="0"/>
              <w:marRight w:val="0"/>
              <w:marTop w:val="0"/>
              <w:marBottom w:val="0"/>
              <w:divBdr>
                <w:top w:val="none" w:sz="0" w:space="0" w:color="auto"/>
                <w:left w:val="none" w:sz="0" w:space="0" w:color="auto"/>
                <w:bottom w:val="none" w:sz="0" w:space="0" w:color="auto"/>
                <w:right w:val="none" w:sz="0" w:space="0" w:color="auto"/>
              </w:divBdr>
            </w:div>
            <w:div w:id="1854958056">
              <w:marLeft w:val="0"/>
              <w:marRight w:val="0"/>
              <w:marTop w:val="0"/>
              <w:marBottom w:val="0"/>
              <w:divBdr>
                <w:top w:val="none" w:sz="0" w:space="0" w:color="auto"/>
                <w:left w:val="none" w:sz="0" w:space="0" w:color="auto"/>
                <w:bottom w:val="none" w:sz="0" w:space="0" w:color="auto"/>
                <w:right w:val="none" w:sz="0" w:space="0" w:color="auto"/>
              </w:divBdr>
            </w:div>
            <w:div w:id="1953592242">
              <w:marLeft w:val="0"/>
              <w:marRight w:val="0"/>
              <w:marTop w:val="0"/>
              <w:marBottom w:val="0"/>
              <w:divBdr>
                <w:top w:val="none" w:sz="0" w:space="0" w:color="auto"/>
                <w:left w:val="none" w:sz="0" w:space="0" w:color="auto"/>
                <w:bottom w:val="none" w:sz="0" w:space="0" w:color="auto"/>
                <w:right w:val="none" w:sz="0" w:space="0" w:color="auto"/>
              </w:divBdr>
            </w:div>
            <w:div w:id="2041322229">
              <w:marLeft w:val="0"/>
              <w:marRight w:val="0"/>
              <w:marTop w:val="0"/>
              <w:marBottom w:val="0"/>
              <w:divBdr>
                <w:top w:val="none" w:sz="0" w:space="0" w:color="auto"/>
                <w:left w:val="none" w:sz="0" w:space="0" w:color="auto"/>
                <w:bottom w:val="none" w:sz="0" w:space="0" w:color="auto"/>
                <w:right w:val="none" w:sz="0" w:space="0" w:color="auto"/>
              </w:divBdr>
            </w:div>
            <w:div w:id="2055881471">
              <w:marLeft w:val="0"/>
              <w:marRight w:val="0"/>
              <w:marTop w:val="0"/>
              <w:marBottom w:val="0"/>
              <w:divBdr>
                <w:top w:val="none" w:sz="0" w:space="0" w:color="auto"/>
                <w:left w:val="none" w:sz="0" w:space="0" w:color="auto"/>
                <w:bottom w:val="none" w:sz="0" w:space="0" w:color="auto"/>
                <w:right w:val="none" w:sz="0" w:space="0" w:color="auto"/>
              </w:divBdr>
            </w:div>
          </w:divsChild>
        </w:div>
        <w:div w:id="754739259">
          <w:marLeft w:val="0"/>
          <w:marRight w:val="0"/>
          <w:marTop w:val="0"/>
          <w:marBottom w:val="0"/>
          <w:divBdr>
            <w:top w:val="none" w:sz="0" w:space="0" w:color="auto"/>
            <w:left w:val="none" w:sz="0" w:space="0" w:color="auto"/>
            <w:bottom w:val="none" w:sz="0" w:space="0" w:color="auto"/>
            <w:right w:val="none" w:sz="0" w:space="0" w:color="auto"/>
          </w:divBdr>
        </w:div>
        <w:div w:id="757486631">
          <w:marLeft w:val="0"/>
          <w:marRight w:val="0"/>
          <w:marTop w:val="0"/>
          <w:marBottom w:val="0"/>
          <w:divBdr>
            <w:top w:val="none" w:sz="0" w:space="0" w:color="auto"/>
            <w:left w:val="none" w:sz="0" w:space="0" w:color="auto"/>
            <w:bottom w:val="none" w:sz="0" w:space="0" w:color="auto"/>
            <w:right w:val="none" w:sz="0" w:space="0" w:color="auto"/>
          </w:divBdr>
        </w:div>
        <w:div w:id="759908819">
          <w:marLeft w:val="0"/>
          <w:marRight w:val="0"/>
          <w:marTop w:val="0"/>
          <w:marBottom w:val="0"/>
          <w:divBdr>
            <w:top w:val="none" w:sz="0" w:space="0" w:color="auto"/>
            <w:left w:val="none" w:sz="0" w:space="0" w:color="auto"/>
            <w:bottom w:val="none" w:sz="0" w:space="0" w:color="auto"/>
            <w:right w:val="none" w:sz="0" w:space="0" w:color="auto"/>
          </w:divBdr>
        </w:div>
        <w:div w:id="762799318">
          <w:marLeft w:val="0"/>
          <w:marRight w:val="0"/>
          <w:marTop w:val="0"/>
          <w:marBottom w:val="0"/>
          <w:divBdr>
            <w:top w:val="none" w:sz="0" w:space="0" w:color="auto"/>
            <w:left w:val="none" w:sz="0" w:space="0" w:color="auto"/>
            <w:bottom w:val="none" w:sz="0" w:space="0" w:color="auto"/>
            <w:right w:val="none" w:sz="0" w:space="0" w:color="auto"/>
          </w:divBdr>
          <w:divsChild>
            <w:div w:id="107051128">
              <w:marLeft w:val="0"/>
              <w:marRight w:val="0"/>
              <w:marTop w:val="0"/>
              <w:marBottom w:val="0"/>
              <w:divBdr>
                <w:top w:val="none" w:sz="0" w:space="0" w:color="auto"/>
                <w:left w:val="none" w:sz="0" w:space="0" w:color="auto"/>
                <w:bottom w:val="none" w:sz="0" w:space="0" w:color="auto"/>
                <w:right w:val="none" w:sz="0" w:space="0" w:color="auto"/>
              </w:divBdr>
            </w:div>
            <w:div w:id="217475424">
              <w:marLeft w:val="0"/>
              <w:marRight w:val="0"/>
              <w:marTop w:val="0"/>
              <w:marBottom w:val="0"/>
              <w:divBdr>
                <w:top w:val="none" w:sz="0" w:space="0" w:color="auto"/>
                <w:left w:val="none" w:sz="0" w:space="0" w:color="auto"/>
                <w:bottom w:val="none" w:sz="0" w:space="0" w:color="auto"/>
                <w:right w:val="none" w:sz="0" w:space="0" w:color="auto"/>
              </w:divBdr>
            </w:div>
            <w:div w:id="225604451">
              <w:marLeft w:val="0"/>
              <w:marRight w:val="0"/>
              <w:marTop w:val="0"/>
              <w:marBottom w:val="0"/>
              <w:divBdr>
                <w:top w:val="none" w:sz="0" w:space="0" w:color="auto"/>
                <w:left w:val="none" w:sz="0" w:space="0" w:color="auto"/>
                <w:bottom w:val="none" w:sz="0" w:space="0" w:color="auto"/>
                <w:right w:val="none" w:sz="0" w:space="0" w:color="auto"/>
              </w:divBdr>
            </w:div>
            <w:div w:id="690759908">
              <w:marLeft w:val="0"/>
              <w:marRight w:val="0"/>
              <w:marTop w:val="0"/>
              <w:marBottom w:val="0"/>
              <w:divBdr>
                <w:top w:val="none" w:sz="0" w:space="0" w:color="auto"/>
                <w:left w:val="none" w:sz="0" w:space="0" w:color="auto"/>
                <w:bottom w:val="none" w:sz="0" w:space="0" w:color="auto"/>
                <w:right w:val="none" w:sz="0" w:space="0" w:color="auto"/>
              </w:divBdr>
            </w:div>
            <w:div w:id="872382316">
              <w:marLeft w:val="0"/>
              <w:marRight w:val="0"/>
              <w:marTop w:val="0"/>
              <w:marBottom w:val="0"/>
              <w:divBdr>
                <w:top w:val="none" w:sz="0" w:space="0" w:color="auto"/>
                <w:left w:val="none" w:sz="0" w:space="0" w:color="auto"/>
                <w:bottom w:val="none" w:sz="0" w:space="0" w:color="auto"/>
                <w:right w:val="none" w:sz="0" w:space="0" w:color="auto"/>
              </w:divBdr>
            </w:div>
            <w:div w:id="948468823">
              <w:marLeft w:val="0"/>
              <w:marRight w:val="0"/>
              <w:marTop w:val="0"/>
              <w:marBottom w:val="0"/>
              <w:divBdr>
                <w:top w:val="none" w:sz="0" w:space="0" w:color="auto"/>
                <w:left w:val="none" w:sz="0" w:space="0" w:color="auto"/>
                <w:bottom w:val="none" w:sz="0" w:space="0" w:color="auto"/>
                <w:right w:val="none" w:sz="0" w:space="0" w:color="auto"/>
              </w:divBdr>
            </w:div>
            <w:div w:id="1091313159">
              <w:marLeft w:val="0"/>
              <w:marRight w:val="0"/>
              <w:marTop w:val="0"/>
              <w:marBottom w:val="0"/>
              <w:divBdr>
                <w:top w:val="none" w:sz="0" w:space="0" w:color="auto"/>
                <w:left w:val="none" w:sz="0" w:space="0" w:color="auto"/>
                <w:bottom w:val="none" w:sz="0" w:space="0" w:color="auto"/>
                <w:right w:val="none" w:sz="0" w:space="0" w:color="auto"/>
              </w:divBdr>
            </w:div>
            <w:div w:id="1265000449">
              <w:marLeft w:val="0"/>
              <w:marRight w:val="0"/>
              <w:marTop w:val="0"/>
              <w:marBottom w:val="0"/>
              <w:divBdr>
                <w:top w:val="none" w:sz="0" w:space="0" w:color="auto"/>
                <w:left w:val="none" w:sz="0" w:space="0" w:color="auto"/>
                <w:bottom w:val="none" w:sz="0" w:space="0" w:color="auto"/>
                <w:right w:val="none" w:sz="0" w:space="0" w:color="auto"/>
              </w:divBdr>
            </w:div>
            <w:div w:id="1266310061">
              <w:marLeft w:val="0"/>
              <w:marRight w:val="0"/>
              <w:marTop w:val="0"/>
              <w:marBottom w:val="0"/>
              <w:divBdr>
                <w:top w:val="none" w:sz="0" w:space="0" w:color="auto"/>
                <w:left w:val="none" w:sz="0" w:space="0" w:color="auto"/>
                <w:bottom w:val="none" w:sz="0" w:space="0" w:color="auto"/>
                <w:right w:val="none" w:sz="0" w:space="0" w:color="auto"/>
              </w:divBdr>
            </w:div>
            <w:div w:id="1294099920">
              <w:marLeft w:val="0"/>
              <w:marRight w:val="0"/>
              <w:marTop w:val="0"/>
              <w:marBottom w:val="0"/>
              <w:divBdr>
                <w:top w:val="none" w:sz="0" w:space="0" w:color="auto"/>
                <w:left w:val="none" w:sz="0" w:space="0" w:color="auto"/>
                <w:bottom w:val="none" w:sz="0" w:space="0" w:color="auto"/>
                <w:right w:val="none" w:sz="0" w:space="0" w:color="auto"/>
              </w:divBdr>
            </w:div>
            <w:div w:id="1474060885">
              <w:marLeft w:val="0"/>
              <w:marRight w:val="0"/>
              <w:marTop w:val="0"/>
              <w:marBottom w:val="0"/>
              <w:divBdr>
                <w:top w:val="none" w:sz="0" w:space="0" w:color="auto"/>
                <w:left w:val="none" w:sz="0" w:space="0" w:color="auto"/>
                <w:bottom w:val="none" w:sz="0" w:space="0" w:color="auto"/>
                <w:right w:val="none" w:sz="0" w:space="0" w:color="auto"/>
              </w:divBdr>
            </w:div>
            <w:div w:id="1482502575">
              <w:marLeft w:val="0"/>
              <w:marRight w:val="0"/>
              <w:marTop w:val="0"/>
              <w:marBottom w:val="0"/>
              <w:divBdr>
                <w:top w:val="none" w:sz="0" w:space="0" w:color="auto"/>
                <w:left w:val="none" w:sz="0" w:space="0" w:color="auto"/>
                <w:bottom w:val="none" w:sz="0" w:space="0" w:color="auto"/>
                <w:right w:val="none" w:sz="0" w:space="0" w:color="auto"/>
              </w:divBdr>
            </w:div>
            <w:div w:id="1968121377">
              <w:marLeft w:val="0"/>
              <w:marRight w:val="0"/>
              <w:marTop w:val="0"/>
              <w:marBottom w:val="0"/>
              <w:divBdr>
                <w:top w:val="none" w:sz="0" w:space="0" w:color="auto"/>
                <w:left w:val="none" w:sz="0" w:space="0" w:color="auto"/>
                <w:bottom w:val="none" w:sz="0" w:space="0" w:color="auto"/>
                <w:right w:val="none" w:sz="0" w:space="0" w:color="auto"/>
              </w:divBdr>
            </w:div>
            <w:div w:id="2113696614">
              <w:marLeft w:val="0"/>
              <w:marRight w:val="0"/>
              <w:marTop w:val="0"/>
              <w:marBottom w:val="0"/>
              <w:divBdr>
                <w:top w:val="none" w:sz="0" w:space="0" w:color="auto"/>
                <w:left w:val="none" w:sz="0" w:space="0" w:color="auto"/>
                <w:bottom w:val="none" w:sz="0" w:space="0" w:color="auto"/>
                <w:right w:val="none" w:sz="0" w:space="0" w:color="auto"/>
              </w:divBdr>
            </w:div>
          </w:divsChild>
        </w:div>
        <w:div w:id="764570285">
          <w:marLeft w:val="0"/>
          <w:marRight w:val="0"/>
          <w:marTop w:val="0"/>
          <w:marBottom w:val="0"/>
          <w:divBdr>
            <w:top w:val="none" w:sz="0" w:space="0" w:color="auto"/>
            <w:left w:val="none" w:sz="0" w:space="0" w:color="auto"/>
            <w:bottom w:val="none" w:sz="0" w:space="0" w:color="auto"/>
            <w:right w:val="none" w:sz="0" w:space="0" w:color="auto"/>
          </w:divBdr>
        </w:div>
        <w:div w:id="766077901">
          <w:marLeft w:val="0"/>
          <w:marRight w:val="0"/>
          <w:marTop w:val="0"/>
          <w:marBottom w:val="0"/>
          <w:divBdr>
            <w:top w:val="none" w:sz="0" w:space="0" w:color="auto"/>
            <w:left w:val="none" w:sz="0" w:space="0" w:color="auto"/>
            <w:bottom w:val="none" w:sz="0" w:space="0" w:color="auto"/>
            <w:right w:val="none" w:sz="0" w:space="0" w:color="auto"/>
          </w:divBdr>
        </w:div>
        <w:div w:id="767122647">
          <w:marLeft w:val="0"/>
          <w:marRight w:val="0"/>
          <w:marTop w:val="0"/>
          <w:marBottom w:val="0"/>
          <w:divBdr>
            <w:top w:val="none" w:sz="0" w:space="0" w:color="auto"/>
            <w:left w:val="none" w:sz="0" w:space="0" w:color="auto"/>
            <w:bottom w:val="none" w:sz="0" w:space="0" w:color="auto"/>
            <w:right w:val="none" w:sz="0" w:space="0" w:color="auto"/>
          </w:divBdr>
        </w:div>
        <w:div w:id="767774779">
          <w:marLeft w:val="0"/>
          <w:marRight w:val="0"/>
          <w:marTop w:val="0"/>
          <w:marBottom w:val="0"/>
          <w:divBdr>
            <w:top w:val="none" w:sz="0" w:space="0" w:color="auto"/>
            <w:left w:val="none" w:sz="0" w:space="0" w:color="auto"/>
            <w:bottom w:val="none" w:sz="0" w:space="0" w:color="auto"/>
            <w:right w:val="none" w:sz="0" w:space="0" w:color="auto"/>
          </w:divBdr>
        </w:div>
        <w:div w:id="767777659">
          <w:marLeft w:val="0"/>
          <w:marRight w:val="0"/>
          <w:marTop w:val="0"/>
          <w:marBottom w:val="0"/>
          <w:divBdr>
            <w:top w:val="none" w:sz="0" w:space="0" w:color="auto"/>
            <w:left w:val="none" w:sz="0" w:space="0" w:color="auto"/>
            <w:bottom w:val="none" w:sz="0" w:space="0" w:color="auto"/>
            <w:right w:val="none" w:sz="0" w:space="0" w:color="auto"/>
          </w:divBdr>
        </w:div>
        <w:div w:id="768696623">
          <w:marLeft w:val="0"/>
          <w:marRight w:val="0"/>
          <w:marTop w:val="0"/>
          <w:marBottom w:val="0"/>
          <w:divBdr>
            <w:top w:val="none" w:sz="0" w:space="0" w:color="auto"/>
            <w:left w:val="none" w:sz="0" w:space="0" w:color="auto"/>
            <w:bottom w:val="none" w:sz="0" w:space="0" w:color="auto"/>
            <w:right w:val="none" w:sz="0" w:space="0" w:color="auto"/>
          </w:divBdr>
        </w:div>
        <w:div w:id="768892487">
          <w:marLeft w:val="0"/>
          <w:marRight w:val="0"/>
          <w:marTop w:val="0"/>
          <w:marBottom w:val="0"/>
          <w:divBdr>
            <w:top w:val="none" w:sz="0" w:space="0" w:color="auto"/>
            <w:left w:val="none" w:sz="0" w:space="0" w:color="auto"/>
            <w:bottom w:val="none" w:sz="0" w:space="0" w:color="auto"/>
            <w:right w:val="none" w:sz="0" w:space="0" w:color="auto"/>
          </w:divBdr>
        </w:div>
        <w:div w:id="770274690">
          <w:marLeft w:val="0"/>
          <w:marRight w:val="0"/>
          <w:marTop w:val="0"/>
          <w:marBottom w:val="0"/>
          <w:divBdr>
            <w:top w:val="none" w:sz="0" w:space="0" w:color="auto"/>
            <w:left w:val="none" w:sz="0" w:space="0" w:color="auto"/>
            <w:bottom w:val="none" w:sz="0" w:space="0" w:color="auto"/>
            <w:right w:val="none" w:sz="0" w:space="0" w:color="auto"/>
          </w:divBdr>
        </w:div>
        <w:div w:id="770473868">
          <w:marLeft w:val="0"/>
          <w:marRight w:val="0"/>
          <w:marTop w:val="0"/>
          <w:marBottom w:val="0"/>
          <w:divBdr>
            <w:top w:val="none" w:sz="0" w:space="0" w:color="auto"/>
            <w:left w:val="none" w:sz="0" w:space="0" w:color="auto"/>
            <w:bottom w:val="none" w:sz="0" w:space="0" w:color="auto"/>
            <w:right w:val="none" w:sz="0" w:space="0" w:color="auto"/>
          </w:divBdr>
        </w:div>
        <w:div w:id="770588876">
          <w:marLeft w:val="0"/>
          <w:marRight w:val="0"/>
          <w:marTop w:val="0"/>
          <w:marBottom w:val="0"/>
          <w:divBdr>
            <w:top w:val="none" w:sz="0" w:space="0" w:color="auto"/>
            <w:left w:val="none" w:sz="0" w:space="0" w:color="auto"/>
            <w:bottom w:val="none" w:sz="0" w:space="0" w:color="auto"/>
            <w:right w:val="none" w:sz="0" w:space="0" w:color="auto"/>
          </w:divBdr>
        </w:div>
        <w:div w:id="771051246">
          <w:marLeft w:val="0"/>
          <w:marRight w:val="0"/>
          <w:marTop w:val="0"/>
          <w:marBottom w:val="0"/>
          <w:divBdr>
            <w:top w:val="none" w:sz="0" w:space="0" w:color="auto"/>
            <w:left w:val="none" w:sz="0" w:space="0" w:color="auto"/>
            <w:bottom w:val="none" w:sz="0" w:space="0" w:color="auto"/>
            <w:right w:val="none" w:sz="0" w:space="0" w:color="auto"/>
          </w:divBdr>
        </w:div>
        <w:div w:id="771321492">
          <w:marLeft w:val="0"/>
          <w:marRight w:val="0"/>
          <w:marTop w:val="0"/>
          <w:marBottom w:val="0"/>
          <w:divBdr>
            <w:top w:val="none" w:sz="0" w:space="0" w:color="auto"/>
            <w:left w:val="none" w:sz="0" w:space="0" w:color="auto"/>
            <w:bottom w:val="none" w:sz="0" w:space="0" w:color="auto"/>
            <w:right w:val="none" w:sz="0" w:space="0" w:color="auto"/>
          </w:divBdr>
        </w:div>
        <w:div w:id="771705226">
          <w:marLeft w:val="0"/>
          <w:marRight w:val="0"/>
          <w:marTop w:val="0"/>
          <w:marBottom w:val="0"/>
          <w:divBdr>
            <w:top w:val="none" w:sz="0" w:space="0" w:color="auto"/>
            <w:left w:val="none" w:sz="0" w:space="0" w:color="auto"/>
            <w:bottom w:val="none" w:sz="0" w:space="0" w:color="auto"/>
            <w:right w:val="none" w:sz="0" w:space="0" w:color="auto"/>
          </w:divBdr>
        </w:div>
        <w:div w:id="772477428">
          <w:marLeft w:val="0"/>
          <w:marRight w:val="0"/>
          <w:marTop w:val="0"/>
          <w:marBottom w:val="0"/>
          <w:divBdr>
            <w:top w:val="none" w:sz="0" w:space="0" w:color="auto"/>
            <w:left w:val="none" w:sz="0" w:space="0" w:color="auto"/>
            <w:bottom w:val="none" w:sz="0" w:space="0" w:color="auto"/>
            <w:right w:val="none" w:sz="0" w:space="0" w:color="auto"/>
          </w:divBdr>
        </w:div>
        <w:div w:id="776557052">
          <w:marLeft w:val="0"/>
          <w:marRight w:val="0"/>
          <w:marTop w:val="0"/>
          <w:marBottom w:val="0"/>
          <w:divBdr>
            <w:top w:val="none" w:sz="0" w:space="0" w:color="auto"/>
            <w:left w:val="none" w:sz="0" w:space="0" w:color="auto"/>
            <w:bottom w:val="none" w:sz="0" w:space="0" w:color="auto"/>
            <w:right w:val="none" w:sz="0" w:space="0" w:color="auto"/>
          </w:divBdr>
        </w:div>
        <w:div w:id="776799028">
          <w:marLeft w:val="0"/>
          <w:marRight w:val="0"/>
          <w:marTop w:val="0"/>
          <w:marBottom w:val="0"/>
          <w:divBdr>
            <w:top w:val="none" w:sz="0" w:space="0" w:color="auto"/>
            <w:left w:val="none" w:sz="0" w:space="0" w:color="auto"/>
            <w:bottom w:val="none" w:sz="0" w:space="0" w:color="auto"/>
            <w:right w:val="none" w:sz="0" w:space="0" w:color="auto"/>
          </w:divBdr>
        </w:div>
        <w:div w:id="777334964">
          <w:marLeft w:val="0"/>
          <w:marRight w:val="0"/>
          <w:marTop w:val="0"/>
          <w:marBottom w:val="0"/>
          <w:divBdr>
            <w:top w:val="none" w:sz="0" w:space="0" w:color="auto"/>
            <w:left w:val="none" w:sz="0" w:space="0" w:color="auto"/>
            <w:bottom w:val="none" w:sz="0" w:space="0" w:color="auto"/>
            <w:right w:val="none" w:sz="0" w:space="0" w:color="auto"/>
          </w:divBdr>
        </w:div>
        <w:div w:id="777411751">
          <w:marLeft w:val="0"/>
          <w:marRight w:val="0"/>
          <w:marTop w:val="0"/>
          <w:marBottom w:val="0"/>
          <w:divBdr>
            <w:top w:val="none" w:sz="0" w:space="0" w:color="auto"/>
            <w:left w:val="none" w:sz="0" w:space="0" w:color="auto"/>
            <w:bottom w:val="none" w:sz="0" w:space="0" w:color="auto"/>
            <w:right w:val="none" w:sz="0" w:space="0" w:color="auto"/>
          </w:divBdr>
        </w:div>
        <w:div w:id="777913205">
          <w:marLeft w:val="0"/>
          <w:marRight w:val="0"/>
          <w:marTop w:val="0"/>
          <w:marBottom w:val="0"/>
          <w:divBdr>
            <w:top w:val="none" w:sz="0" w:space="0" w:color="auto"/>
            <w:left w:val="none" w:sz="0" w:space="0" w:color="auto"/>
            <w:bottom w:val="none" w:sz="0" w:space="0" w:color="auto"/>
            <w:right w:val="none" w:sz="0" w:space="0" w:color="auto"/>
          </w:divBdr>
          <w:divsChild>
            <w:div w:id="30300167">
              <w:marLeft w:val="0"/>
              <w:marRight w:val="0"/>
              <w:marTop w:val="0"/>
              <w:marBottom w:val="0"/>
              <w:divBdr>
                <w:top w:val="none" w:sz="0" w:space="0" w:color="auto"/>
                <w:left w:val="none" w:sz="0" w:space="0" w:color="auto"/>
                <w:bottom w:val="none" w:sz="0" w:space="0" w:color="auto"/>
                <w:right w:val="none" w:sz="0" w:space="0" w:color="auto"/>
              </w:divBdr>
            </w:div>
            <w:div w:id="47460798">
              <w:marLeft w:val="0"/>
              <w:marRight w:val="0"/>
              <w:marTop w:val="0"/>
              <w:marBottom w:val="0"/>
              <w:divBdr>
                <w:top w:val="none" w:sz="0" w:space="0" w:color="auto"/>
                <w:left w:val="none" w:sz="0" w:space="0" w:color="auto"/>
                <w:bottom w:val="none" w:sz="0" w:space="0" w:color="auto"/>
                <w:right w:val="none" w:sz="0" w:space="0" w:color="auto"/>
              </w:divBdr>
            </w:div>
            <w:div w:id="95517570">
              <w:marLeft w:val="0"/>
              <w:marRight w:val="0"/>
              <w:marTop w:val="0"/>
              <w:marBottom w:val="0"/>
              <w:divBdr>
                <w:top w:val="none" w:sz="0" w:space="0" w:color="auto"/>
                <w:left w:val="none" w:sz="0" w:space="0" w:color="auto"/>
                <w:bottom w:val="none" w:sz="0" w:space="0" w:color="auto"/>
                <w:right w:val="none" w:sz="0" w:space="0" w:color="auto"/>
              </w:divBdr>
            </w:div>
            <w:div w:id="295990808">
              <w:marLeft w:val="0"/>
              <w:marRight w:val="0"/>
              <w:marTop w:val="0"/>
              <w:marBottom w:val="0"/>
              <w:divBdr>
                <w:top w:val="none" w:sz="0" w:space="0" w:color="auto"/>
                <w:left w:val="none" w:sz="0" w:space="0" w:color="auto"/>
                <w:bottom w:val="none" w:sz="0" w:space="0" w:color="auto"/>
                <w:right w:val="none" w:sz="0" w:space="0" w:color="auto"/>
              </w:divBdr>
            </w:div>
            <w:div w:id="419645026">
              <w:marLeft w:val="0"/>
              <w:marRight w:val="0"/>
              <w:marTop w:val="0"/>
              <w:marBottom w:val="0"/>
              <w:divBdr>
                <w:top w:val="none" w:sz="0" w:space="0" w:color="auto"/>
                <w:left w:val="none" w:sz="0" w:space="0" w:color="auto"/>
                <w:bottom w:val="none" w:sz="0" w:space="0" w:color="auto"/>
                <w:right w:val="none" w:sz="0" w:space="0" w:color="auto"/>
              </w:divBdr>
            </w:div>
            <w:div w:id="501436854">
              <w:marLeft w:val="0"/>
              <w:marRight w:val="0"/>
              <w:marTop w:val="0"/>
              <w:marBottom w:val="0"/>
              <w:divBdr>
                <w:top w:val="none" w:sz="0" w:space="0" w:color="auto"/>
                <w:left w:val="none" w:sz="0" w:space="0" w:color="auto"/>
                <w:bottom w:val="none" w:sz="0" w:space="0" w:color="auto"/>
                <w:right w:val="none" w:sz="0" w:space="0" w:color="auto"/>
              </w:divBdr>
            </w:div>
            <w:div w:id="503670144">
              <w:marLeft w:val="0"/>
              <w:marRight w:val="0"/>
              <w:marTop w:val="0"/>
              <w:marBottom w:val="0"/>
              <w:divBdr>
                <w:top w:val="none" w:sz="0" w:space="0" w:color="auto"/>
                <w:left w:val="none" w:sz="0" w:space="0" w:color="auto"/>
                <w:bottom w:val="none" w:sz="0" w:space="0" w:color="auto"/>
                <w:right w:val="none" w:sz="0" w:space="0" w:color="auto"/>
              </w:divBdr>
            </w:div>
            <w:div w:id="605698337">
              <w:marLeft w:val="0"/>
              <w:marRight w:val="0"/>
              <w:marTop w:val="0"/>
              <w:marBottom w:val="0"/>
              <w:divBdr>
                <w:top w:val="none" w:sz="0" w:space="0" w:color="auto"/>
                <w:left w:val="none" w:sz="0" w:space="0" w:color="auto"/>
                <w:bottom w:val="none" w:sz="0" w:space="0" w:color="auto"/>
                <w:right w:val="none" w:sz="0" w:space="0" w:color="auto"/>
              </w:divBdr>
            </w:div>
            <w:div w:id="639458094">
              <w:marLeft w:val="0"/>
              <w:marRight w:val="0"/>
              <w:marTop w:val="0"/>
              <w:marBottom w:val="0"/>
              <w:divBdr>
                <w:top w:val="none" w:sz="0" w:space="0" w:color="auto"/>
                <w:left w:val="none" w:sz="0" w:space="0" w:color="auto"/>
                <w:bottom w:val="none" w:sz="0" w:space="0" w:color="auto"/>
                <w:right w:val="none" w:sz="0" w:space="0" w:color="auto"/>
              </w:divBdr>
            </w:div>
            <w:div w:id="779952868">
              <w:marLeft w:val="0"/>
              <w:marRight w:val="0"/>
              <w:marTop w:val="0"/>
              <w:marBottom w:val="0"/>
              <w:divBdr>
                <w:top w:val="none" w:sz="0" w:space="0" w:color="auto"/>
                <w:left w:val="none" w:sz="0" w:space="0" w:color="auto"/>
                <w:bottom w:val="none" w:sz="0" w:space="0" w:color="auto"/>
                <w:right w:val="none" w:sz="0" w:space="0" w:color="auto"/>
              </w:divBdr>
            </w:div>
            <w:div w:id="840241409">
              <w:marLeft w:val="0"/>
              <w:marRight w:val="0"/>
              <w:marTop w:val="0"/>
              <w:marBottom w:val="0"/>
              <w:divBdr>
                <w:top w:val="none" w:sz="0" w:space="0" w:color="auto"/>
                <w:left w:val="none" w:sz="0" w:space="0" w:color="auto"/>
                <w:bottom w:val="none" w:sz="0" w:space="0" w:color="auto"/>
                <w:right w:val="none" w:sz="0" w:space="0" w:color="auto"/>
              </w:divBdr>
            </w:div>
            <w:div w:id="947157017">
              <w:marLeft w:val="0"/>
              <w:marRight w:val="0"/>
              <w:marTop w:val="0"/>
              <w:marBottom w:val="0"/>
              <w:divBdr>
                <w:top w:val="none" w:sz="0" w:space="0" w:color="auto"/>
                <w:left w:val="none" w:sz="0" w:space="0" w:color="auto"/>
                <w:bottom w:val="none" w:sz="0" w:space="0" w:color="auto"/>
                <w:right w:val="none" w:sz="0" w:space="0" w:color="auto"/>
              </w:divBdr>
            </w:div>
            <w:div w:id="1406606936">
              <w:marLeft w:val="0"/>
              <w:marRight w:val="0"/>
              <w:marTop w:val="0"/>
              <w:marBottom w:val="0"/>
              <w:divBdr>
                <w:top w:val="none" w:sz="0" w:space="0" w:color="auto"/>
                <w:left w:val="none" w:sz="0" w:space="0" w:color="auto"/>
                <w:bottom w:val="none" w:sz="0" w:space="0" w:color="auto"/>
                <w:right w:val="none" w:sz="0" w:space="0" w:color="auto"/>
              </w:divBdr>
            </w:div>
            <w:div w:id="1656447857">
              <w:marLeft w:val="0"/>
              <w:marRight w:val="0"/>
              <w:marTop w:val="0"/>
              <w:marBottom w:val="0"/>
              <w:divBdr>
                <w:top w:val="none" w:sz="0" w:space="0" w:color="auto"/>
                <w:left w:val="none" w:sz="0" w:space="0" w:color="auto"/>
                <w:bottom w:val="none" w:sz="0" w:space="0" w:color="auto"/>
                <w:right w:val="none" w:sz="0" w:space="0" w:color="auto"/>
              </w:divBdr>
            </w:div>
            <w:div w:id="1703508181">
              <w:marLeft w:val="0"/>
              <w:marRight w:val="0"/>
              <w:marTop w:val="0"/>
              <w:marBottom w:val="0"/>
              <w:divBdr>
                <w:top w:val="none" w:sz="0" w:space="0" w:color="auto"/>
                <w:left w:val="none" w:sz="0" w:space="0" w:color="auto"/>
                <w:bottom w:val="none" w:sz="0" w:space="0" w:color="auto"/>
                <w:right w:val="none" w:sz="0" w:space="0" w:color="auto"/>
              </w:divBdr>
            </w:div>
            <w:div w:id="1712270554">
              <w:marLeft w:val="0"/>
              <w:marRight w:val="0"/>
              <w:marTop w:val="0"/>
              <w:marBottom w:val="0"/>
              <w:divBdr>
                <w:top w:val="none" w:sz="0" w:space="0" w:color="auto"/>
                <w:left w:val="none" w:sz="0" w:space="0" w:color="auto"/>
                <w:bottom w:val="none" w:sz="0" w:space="0" w:color="auto"/>
                <w:right w:val="none" w:sz="0" w:space="0" w:color="auto"/>
              </w:divBdr>
            </w:div>
            <w:div w:id="1860047730">
              <w:marLeft w:val="0"/>
              <w:marRight w:val="0"/>
              <w:marTop w:val="0"/>
              <w:marBottom w:val="0"/>
              <w:divBdr>
                <w:top w:val="none" w:sz="0" w:space="0" w:color="auto"/>
                <w:left w:val="none" w:sz="0" w:space="0" w:color="auto"/>
                <w:bottom w:val="none" w:sz="0" w:space="0" w:color="auto"/>
                <w:right w:val="none" w:sz="0" w:space="0" w:color="auto"/>
              </w:divBdr>
            </w:div>
            <w:div w:id="2110274351">
              <w:marLeft w:val="0"/>
              <w:marRight w:val="0"/>
              <w:marTop w:val="0"/>
              <w:marBottom w:val="0"/>
              <w:divBdr>
                <w:top w:val="none" w:sz="0" w:space="0" w:color="auto"/>
                <w:left w:val="none" w:sz="0" w:space="0" w:color="auto"/>
                <w:bottom w:val="none" w:sz="0" w:space="0" w:color="auto"/>
                <w:right w:val="none" w:sz="0" w:space="0" w:color="auto"/>
              </w:divBdr>
            </w:div>
            <w:div w:id="2130776405">
              <w:marLeft w:val="0"/>
              <w:marRight w:val="0"/>
              <w:marTop w:val="0"/>
              <w:marBottom w:val="0"/>
              <w:divBdr>
                <w:top w:val="none" w:sz="0" w:space="0" w:color="auto"/>
                <w:left w:val="none" w:sz="0" w:space="0" w:color="auto"/>
                <w:bottom w:val="none" w:sz="0" w:space="0" w:color="auto"/>
                <w:right w:val="none" w:sz="0" w:space="0" w:color="auto"/>
              </w:divBdr>
            </w:div>
          </w:divsChild>
        </w:div>
        <w:div w:id="779447754">
          <w:marLeft w:val="0"/>
          <w:marRight w:val="0"/>
          <w:marTop w:val="0"/>
          <w:marBottom w:val="0"/>
          <w:divBdr>
            <w:top w:val="none" w:sz="0" w:space="0" w:color="auto"/>
            <w:left w:val="none" w:sz="0" w:space="0" w:color="auto"/>
            <w:bottom w:val="none" w:sz="0" w:space="0" w:color="auto"/>
            <w:right w:val="none" w:sz="0" w:space="0" w:color="auto"/>
          </w:divBdr>
        </w:div>
        <w:div w:id="779646951">
          <w:marLeft w:val="0"/>
          <w:marRight w:val="0"/>
          <w:marTop w:val="0"/>
          <w:marBottom w:val="0"/>
          <w:divBdr>
            <w:top w:val="none" w:sz="0" w:space="0" w:color="auto"/>
            <w:left w:val="none" w:sz="0" w:space="0" w:color="auto"/>
            <w:bottom w:val="none" w:sz="0" w:space="0" w:color="auto"/>
            <w:right w:val="none" w:sz="0" w:space="0" w:color="auto"/>
          </w:divBdr>
        </w:div>
        <w:div w:id="780149648">
          <w:marLeft w:val="0"/>
          <w:marRight w:val="0"/>
          <w:marTop w:val="0"/>
          <w:marBottom w:val="0"/>
          <w:divBdr>
            <w:top w:val="none" w:sz="0" w:space="0" w:color="auto"/>
            <w:left w:val="none" w:sz="0" w:space="0" w:color="auto"/>
            <w:bottom w:val="none" w:sz="0" w:space="0" w:color="auto"/>
            <w:right w:val="none" w:sz="0" w:space="0" w:color="auto"/>
          </w:divBdr>
        </w:div>
        <w:div w:id="780807007">
          <w:marLeft w:val="0"/>
          <w:marRight w:val="0"/>
          <w:marTop w:val="0"/>
          <w:marBottom w:val="0"/>
          <w:divBdr>
            <w:top w:val="none" w:sz="0" w:space="0" w:color="auto"/>
            <w:left w:val="none" w:sz="0" w:space="0" w:color="auto"/>
            <w:bottom w:val="none" w:sz="0" w:space="0" w:color="auto"/>
            <w:right w:val="none" w:sz="0" w:space="0" w:color="auto"/>
          </w:divBdr>
        </w:div>
        <w:div w:id="781650250">
          <w:marLeft w:val="0"/>
          <w:marRight w:val="0"/>
          <w:marTop w:val="0"/>
          <w:marBottom w:val="0"/>
          <w:divBdr>
            <w:top w:val="none" w:sz="0" w:space="0" w:color="auto"/>
            <w:left w:val="none" w:sz="0" w:space="0" w:color="auto"/>
            <w:bottom w:val="none" w:sz="0" w:space="0" w:color="auto"/>
            <w:right w:val="none" w:sz="0" w:space="0" w:color="auto"/>
          </w:divBdr>
        </w:div>
        <w:div w:id="784081868">
          <w:marLeft w:val="0"/>
          <w:marRight w:val="0"/>
          <w:marTop w:val="0"/>
          <w:marBottom w:val="0"/>
          <w:divBdr>
            <w:top w:val="none" w:sz="0" w:space="0" w:color="auto"/>
            <w:left w:val="none" w:sz="0" w:space="0" w:color="auto"/>
            <w:bottom w:val="none" w:sz="0" w:space="0" w:color="auto"/>
            <w:right w:val="none" w:sz="0" w:space="0" w:color="auto"/>
          </w:divBdr>
        </w:div>
        <w:div w:id="784890041">
          <w:marLeft w:val="0"/>
          <w:marRight w:val="0"/>
          <w:marTop w:val="0"/>
          <w:marBottom w:val="0"/>
          <w:divBdr>
            <w:top w:val="none" w:sz="0" w:space="0" w:color="auto"/>
            <w:left w:val="none" w:sz="0" w:space="0" w:color="auto"/>
            <w:bottom w:val="none" w:sz="0" w:space="0" w:color="auto"/>
            <w:right w:val="none" w:sz="0" w:space="0" w:color="auto"/>
          </w:divBdr>
        </w:div>
        <w:div w:id="784930408">
          <w:marLeft w:val="0"/>
          <w:marRight w:val="0"/>
          <w:marTop w:val="0"/>
          <w:marBottom w:val="0"/>
          <w:divBdr>
            <w:top w:val="none" w:sz="0" w:space="0" w:color="auto"/>
            <w:left w:val="none" w:sz="0" w:space="0" w:color="auto"/>
            <w:bottom w:val="none" w:sz="0" w:space="0" w:color="auto"/>
            <w:right w:val="none" w:sz="0" w:space="0" w:color="auto"/>
          </w:divBdr>
        </w:div>
        <w:div w:id="786045595">
          <w:marLeft w:val="0"/>
          <w:marRight w:val="0"/>
          <w:marTop w:val="0"/>
          <w:marBottom w:val="0"/>
          <w:divBdr>
            <w:top w:val="none" w:sz="0" w:space="0" w:color="auto"/>
            <w:left w:val="none" w:sz="0" w:space="0" w:color="auto"/>
            <w:bottom w:val="none" w:sz="0" w:space="0" w:color="auto"/>
            <w:right w:val="none" w:sz="0" w:space="0" w:color="auto"/>
          </w:divBdr>
        </w:div>
        <w:div w:id="786703780">
          <w:marLeft w:val="0"/>
          <w:marRight w:val="0"/>
          <w:marTop w:val="0"/>
          <w:marBottom w:val="0"/>
          <w:divBdr>
            <w:top w:val="none" w:sz="0" w:space="0" w:color="auto"/>
            <w:left w:val="none" w:sz="0" w:space="0" w:color="auto"/>
            <w:bottom w:val="none" w:sz="0" w:space="0" w:color="auto"/>
            <w:right w:val="none" w:sz="0" w:space="0" w:color="auto"/>
          </w:divBdr>
          <w:divsChild>
            <w:div w:id="48266809">
              <w:marLeft w:val="0"/>
              <w:marRight w:val="0"/>
              <w:marTop w:val="0"/>
              <w:marBottom w:val="0"/>
              <w:divBdr>
                <w:top w:val="none" w:sz="0" w:space="0" w:color="auto"/>
                <w:left w:val="none" w:sz="0" w:space="0" w:color="auto"/>
                <w:bottom w:val="none" w:sz="0" w:space="0" w:color="auto"/>
                <w:right w:val="none" w:sz="0" w:space="0" w:color="auto"/>
              </w:divBdr>
            </w:div>
            <w:div w:id="117341017">
              <w:marLeft w:val="0"/>
              <w:marRight w:val="0"/>
              <w:marTop w:val="0"/>
              <w:marBottom w:val="0"/>
              <w:divBdr>
                <w:top w:val="none" w:sz="0" w:space="0" w:color="auto"/>
                <w:left w:val="none" w:sz="0" w:space="0" w:color="auto"/>
                <w:bottom w:val="none" w:sz="0" w:space="0" w:color="auto"/>
                <w:right w:val="none" w:sz="0" w:space="0" w:color="auto"/>
              </w:divBdr>
            </w:div>
            <w:div w:id="128793130">
              <w:marLeft w:val="0"/>
              <w:marRight w:val="0"/>
              <w:marTop w:val="0"/>
              <w:marBottom w:val="0"/>
              <w:divBdr>
                <w:top w:val="none" w:sz="0" w:space="0" w:color="auto"/>
                <w:left w:val="none" w:sz="0" w:space="0" w:color="auto"/>
                <w:bottom w:val="none" w:sz="0" w:space="0" w:color="auto"/>
                <w:right w:val="none" w:sz="0" w:space="0" w:color="auto"/>
              </w:divBdr>
            </w:div>
            <w:div w:id="268897075">
              <w:marLeft w:val="0"/>
              <w:marRight w:val="0"/>
              <w:marTop w:val="0"/>
              <w:marBottom w:val="0"/>
              <w:divBdr>
                <w:top w:val="none" w:sz="0" w:space="0" w:color="auto"/>
                <w:left w:val="none" w:sz="0" w:space="0" w:color="auto"/>
                <w:bottom w:val="none" w:sz="0" w:space="0" w:color="auto"/>
                <w:right w:val="none" w:sz="0" w:space="0" w:color="auto"/>
              </w:divBdr>
            </w:div>
            <w:div w:id="299381172">
              <w:marLeft w:val="0"/>
              <w:marRight w:val="0"/>
              <w:marTop w:val="0"/>
              <w:marBottom w:val="0"/>
              <w:divBdr>
                <w:top w:val="none" w:sz="0" w:space="0" w:color="auto"/>
                <w:left w:val="none" w:sz="0" w:space="0" w:color="auto"/>
                <w:bottom w:val="none" w:sz="0" w:space="0" w:color="auto"/>
                <w:right w:val="none" w:sz="0" w:space="0" w:color="auto"/>
              </w:divBdr>
            </w:div>
            <w:div w:id="321744002">
              <w:marLeft w:val="0"/>
              <w:marRight w:val="0"/>
              <w:marTop w:val="0"/>
              <w:marBottom w:val="0"/>
              <w:divBdr>
                <w:top w:val="none" w:sz="0" w:space="0" w:color="auto"/>
                <w:left w:val="none" w:sz="0" w:space="0" w:color="auto"/>
                <w:bottom w:val="none" w:sz="0" w:space="0" w:color="auto"/>
                <w:right w:val="none" w:sz="0" w:space="0" w:color="auto"/>
              </w:divBdr>
            </w:div>
            <w:div w:id="398402691">
              <w:marLeft w:val="0"/>
              <w:marRight w:val="0"/>
              <w:marTop w:val="0"/>
              <w:marBottom w:val="0"/>
              <w:divBdr>
                <w:top w:val="none" w:sz="0" w:space="0" w:color="auto"/>
                <w:left w:val="none" w:sz="0" w:space="0" w:color="auto"/>
                <w:bottom w:val="none" w:sz="0" w:space="0" w:color="auto"/>
                <w:right w:val="none" w:sz="0" w:space="0" w:color="auto"/>
              </w:divBdr>
            </w:div>
            <w:div w:id="519320890">
              <w:marLeft w:val="0"/>
              <w:marRight w:val="0"/>
              <w:marTop w:val="0"/>
              <w:marBottom w:val="0"/>
              <w:divBdr>
                <w:top w:val="none" w:sz="0" w:space="0" w:color="auto"/>
                <w:left w:val="none" w:sz="0" w:space="0" w:color="auto"/>
                <w:bottom w:val="none" w:sz="0" w:space="0" w:color="auto"/>
                <w:right w:val="none" w:sz="0" w:space="0" w:color="auto"/>
              </w:divBdr>
            </w:div>
            <w:div w:id="748237346">
              <w:marLeft w:val="0"/>
              <w:marRight w:val="0"/>
              <w:marTop w:val="0"/>
              <w:marBottom w:val="0"/>
              <w:divBdr>
                <w:top w:val="none" w:sz="0" w:space="0" w:color="auto"/>
                <w:left w:val="none" w:sz="0" w:space="0" w:color="auto"/>
                <w:bottom w:val="none" w:sz="0" w:space="0" w:color="auto"/>
                <w:right w:val="none" w:sz="0" w:space="0" w:color="auto"/>
              </w:divBdr>
            </w:div>
            <w:div w:id="796723650">
              <w:marLeft w:val="0"/>
              <w:marRight w:val="0"/>
              <w:marTop w:val="0"/>
              <w:marBottom w:val="0"/>
              <w:divBdr>
                <w:top w:val="none" w:sz="0" w:space="0" w:color="auto"/>
                <w:left w:val="none" w:sz="0" w:space="0" w:color="auto"/>
                <w:bottom w:val="none" w:sz="0" w:space="0" w:color="auto"/>
                <w:right w:val="none" w:sz="0" w:space="0" w:color="auto"/>
              </w:divBdr>
            </w:div>
            <w:div w:id="822159681">
              <w:marLeft w:val="0"/>
              <w:marRight w:val="0"/>
              <w:marTop w:val="0"/>
              <w:marBottom w:val="0"/>
              <w:divBdr>
                <w:top w:val="none" w:sz="0" w:space="0" w:color="auto"/>
                <w:left w:val="none" w:sz="0" w:space="0" w:color="auto"/>
                <w:bottom w:val="none" w:sz="0" w:space="0" w:color="auto"/>
                <w:right w:val="none" w:sz="0" w:space="0" w:color="auto"/>
              </w:divBdr>
            </w:div>
            <w:div w:id="1022391251">
              <w:marLeft w:val="0"/>
              <w:marRight w:val="0"/>
              <w:marTop w:val="0"/>
              <w:marBottom w:val="0"/>
              <w:divBdr>
                <w:top w:val="none" w:sz="0" w:space="0" w:color="auto"/>
                <w:left w:val="none" w:sz="0" w:space="0" w:color="auto"/>
                <w:bottom w:val="none" w:sz="0" w:space="0" w:color="auto"/>
                <w:right w:val="none" w:sz="0" w:space="0" w:color="auto"/>
              </w:divBdr>
            </w:div>
            <w:div w:id="1322271803">
              <w:marLeft w:val="0"/>
              <w:marRight w:val="0"/>
              <w:marTop w:val="0"/>
              <w:marBottom w:val="0"/>
              <w:divBdr>
                <w:top w:val="none" w:sz="0" w:space="0" w:color="auto"/>
                <w:left w:val="none" w:sz="0" w:space="0" w:color="auto"/>
                <w:bottom w:val="none" w:sz="0" w:space="0" w:color="auto"/>
                <w:right w:val="none" w:sz="0" w:space="0" w:color="auto"/>
              </w:divBdr>
            </w:div>
            <w:div w:id="1399592130">
              <w:marLeft w:val="0"/>
              <w:marRight w:val="0"/>
              <w:marTop w:val="0"/>
              <w:marBottom w:val="0"/>
              <w:divBdr>
                <w:top w:val="none" w:sz="0" w:space="0" w:color="auto"/>
                <w:left w:val="none" w:sz="0" w:space="0" w:color="auto"/>
                <w:bottom w:val="none" w:sz="0" w:space="0" w:color="auto"/>
                <w:right w:val="none" w:sz="0" w:space="0" w:color="auto"/>
              </w:divBdr>
            </w:div>
            <w:div w:id="1449664723">
              <w:marLeft w:val="0"/>
              <w:marRight w:val="0"/>
              <w:marTop w:val="0"/>
              <w:marBottom w:val="0"/>
              <w:divBdr>
                <w:top w:val="none" w:sz="0" w:space="0" w:color="auto"/>
                <w:left w:val="none" w:sz="0" w:space="0" w:color="auto"/>
                <w:bottom w:val="none" w:sz="0" w:space="0" w:color="auto"/>
                <w:right w:val="none" w:sz="0" w:space="0" w:color="auto"/>
              </w:divBdr>
            </w:div>
            <w:div w:id="1538590473">
              <w:marLeft w:val="0"/>
              <w:marRight w:val="0"/>
              <w:marTop w:val="0"/>
              <w:marBottom w:val="0"/>
              <w:divBdr>
                <w:top w:val="none" w:sz="0" w:space="0" w:color="auto"/>
                <w:left w:val="none" w:sz="0" w:space="0" w:color="auto"/>
                <w:bottom w:val="none" w:sz="0" w:space="0" w:color="auto"/>
                <w:right w:val="none" w:sz="0" w:space="0" w:color="auto"/>
              </w:divBdr>
            </w:div>
            <w:div w:id="1768963767">
              <w:marLeft w:val="0"/>
              <w:marRight w:val="0"/>
              <w:marTop w:val="0"/>
              <w:marBottom w:val="0"/>
              <w:divBdr>
                <w:top w:val="none" w:sz="0" w:space="0" w:color="auto"/>
                <w:left w:val="none" w:sz="0" w:space="0" w:color="auto"/>
                <w:bottom w:val="none" w:sz="0" w:space="0" w:color="auto"/>
                <w:right w:val="none" w:sz="0" w:space="0" w:color="auto"/>
              </w:divBdr>
            </w:div>
            <w:div w:id="1808624385">
              <w:marLeft w:val="0"/>
              <w:marRight w:val="0"/>
              <w:marTop w:val="0"/>
              <w:marBottom w:val="0"/>
              <w:divBdr>
                <w:top w:val="none" w:sz="0" w:space="0" w:color="auto"/>
                <w:left w:val="none" w:sz="0" w:space="0" w:color="auto"/>
                <w:bottom w:val="none" w:sz="0" w:space="0" w:color="auto"/>
                <w:right w:val="none" w:sz="0" w:space="0" w:color="auto"/>
              </w:divBdr>
            </w:div>
            <w:div w:id="1810515188">
              <w:marLeft w:val="0"/>
              <w:marRight w:val="0"/>
              <w:marTop w:val="0"/>
              <w:marBottom w:val="0"/>
              <w:divBdr>
                <w:top w:val="none" w:sz="0" w:space="0" w:color="auto"/>
                <w:left w:val="none" w:sz="0" w:space="0" w:color="auto"/>
                <w:bottom w:val="none" w:sz="0" w:space="0" w:color="auto"/>
                <w:right w:val="none" w:sz="0" w:space="0" w:color="auto"/>
              </w:divBdr>
            </w:div>
            <w:div w:id="1848522829">
              <w:marLeft w:val="0"/>
              <w:marRight w:val="0"/>
              <w:marTop w:val="0"/>
              <w:marBottom w:val="0"/>
              <w:divBdr>
                <w:top w:val="none" w:sz="0" w:space="0" w:color="auto"/>
                <w:left w:val="none" w:sz="0" w:space="0" w:color="auto"/>
                <w:bottom w:val="none" w:sz="0" w:space="0" w:color="auto"/>
                <w:right w:val="none" w:sz="0" w:space="0" w:color="auto"/>
              </w:divBdr>
            </w:div>
          </w:divsChild>
        </w:div>
        <w:div w:id="788010403">
          <w:marLeft w:val="0"/>
          <w:marRight w:val="0"/>
          <w:marTop w:val="0"/>
          <w:marBottom w:val="0"/>
          <w:divBdr>
            <w:top w:val="none" w:sz="0" w:space="0" w:color="auto"/>
            <w:left w:val="none" w:sz="0" w:space="0" w:color="auto"/>
            <w:bottom w:val="none" w:sz="0" w:space="0" w:color="auto"/>
            <w:right w:val="none" w:sz="0" w:space="0" w:color="auto"/>
          </w:divBdr>
        </w:div>
        <w:div w:id="788932622">
          <w:marLeft w:val="0"/>
          <w:marRight w:val="0"/>
          <w:marTop w:val="0"/>
          <w:marBottom w:val="0"/>
          <w:divBdr>
            <w:top w:val="none" w:sz="0" w:space="0" w:color="auto"/>
            <w:left w:val="none" w:sz="0" w:space="0" w:color="auto"/>
            <w:bottom w:val="none" w:sz="0" w:space="0" w:color="auto"/>
            <w:right w:val="none" w:sz="0" w:space="0" w:color="auto"/>
          </w:divBdr>
        </w:div>
        <w:div w:id="791286193">
          <w:marLeft w:val="0"/>
          <w:marRight w:val="0"/>
          <w:marTop w:val="0"/>
          <w:marBottom w:val="0"/>
          <w:divBdr>
            <w:top w:val="none" w:sz="0" w:space="0" w:color="auto"/>
            <w:left w:val="none" w:sz="0" w:space="0" w:color="auto"/>
            <w:bottom w:val="none" w:sz="0" w:space="0" w:color="auto"/>
            <w:right w:val="none" w:sz="0" w:space="0" w:color="auto"/>
          </w:divBdr>
        </w:div>
        <w:div w:id="793912178">
          <w:marLeft w:val="0"/>
          <w:marRight w:val="0"/>
          <w:marTop w:val="0"/>
          <w:marBottom w:val="0"/>
          <w:divBdr>
            <w:top w:val="none" w:sz="0" w:space="0" w:color="auto"/>
            <w:left w:val="none" w:sz="0" w:space="0" w:color="auto"/>
            <w:bottom w:val="none" w:sz="0" w:space="0" w:color="auto"/>
            <w:right w:val="none" w:sz="0" w:space="0" w:color="auto"/>
          </w:divBdr>
        </w:div>
        <w:div w:id="794834084">
          <w:marLeft w:val="0"/>
          <w:marRight w:val="0"/>
          <w:marTop w:val="0"/>
          <w:marBottom w:val="0"/>
          <w:divBdr>
            <w:top w:val="none" w:sz="0" w:space="0" w:color="auto"/>
            <w:left w:val="none" w:sz="0" w:space="0" w:color="auto"/>
            <w:bottom w:val="none" w:sz="0" w:space="0" w:color="auto"/>
            <w:right w:val="none" w:sz="0" w:space="0" w:color="auto"/>
          </w:divBdr>
        </w:div>
        <w:div w:id="795177493">
          <w:marLeft w:val="0"/>
          <w:marRight w:val="0"/>
          <w:marTop w:val="0"/>
          <w:marBottom w:val="0"/>
          <w:divBdr>
            <w:top w:val="none" w:sz="0" w:space="0" w:color="auto"/>
            <w:left w:val="none" w:sz="0" w:space="0" w:color="auto"/>
            <w:bottom w:val="none" w:sz="0" w:space="0" w:color="auto"/>
            <w:right w:val="none" w:sz="0" w:space="0" w:color="auto"/>
          </w:divBdr>
        </w:div>
        <w:div w:id="797458671">
          <w:marLeft w:val="0"/>
          <w:marRight w:val="0"/>
          <w:marTop w:val="0"/>
          <w:marBottom w:val="0"/>
          <w:divBdr>
            <w:top w:val="none" w:sz="0" w:space="0" w:color="auto"/>
            <w:left w:val="none" w:sz="0" w:space="0" w:color="auto"/>
            <w:bottom w:val="none" w:sz="0" w:space="0" w:color="auto"/>
            <w:right w:val="none" w:sz="0" w:space="0" w:color="auto"/>
          </w:divBdr>
        </w:div>
        <w:div w:id="797605210">
          <w:marLeft w:val="0"/>
          <w:marRight w:val="0"/>
          <w:marTop w:val="0"/>
          <w:marBottom w:val="0"/>
          <w:divBdr>
            <w:top w:val="none" w:sz="0" w:space="0" w:color="auto"/>
            <w:left w:val="none" w:sz="0" w:space="0" w:color="auto"/>
            <w:bottom w:val="none" w:sz="0" w:space="0" w:color="auto"/>
            <w:right w:val="none" w:sz="0" w:space="0" w:color="auto"/>
          </w:divBdr>
        </w:div>
        <w:div w:id="797800049">
          <w:marLeft w:val="0"/>
          <w:marRight w:val="0"/>
          <w:marTop w:val="0"/>
          <w:marBottom w:val="0"/>
          <w:divBdr>
            <w:top w:val="none" w:sz="0" w:space="0" w:color="auto"/>
            <w:left w:val="none" w:sz="0" w:space="0" w:color="auto"/>
            <w:bottom w:val="none" w:sz="0" w:space="0" w:color="auto"/>
            <w:right w:val="none" w:sz="0" w:space="0" w:color="auto"/>
          </w:divBdr>
        </w:div>
        <w:div w:id="798766294">
          <w:marLeft w:val="0"/>
          <w:marRight w:val="0"/>
          <w:marTop w:val="0"/>
          <w:marBottom w:val="0"/>
          <w:divBdr>
            <w:top w:val="none" w:sz="0" w:space="0" w:color="auto"/>
            <w:left w:val="none" w:sz="0" w:space="0" w:color="auto"/>
            <w:bottom w:val="none" w:sz="0" w:space="0" w:color="auto"/>
            <w:right w:val="none" w:sz="0" w:space="0" w:color="auto"/>
          </w:divBdr>
        </w:div>
        <w:div w:id="799345182">
          <w:marLeft w:val="0"/>
          <w:marRight w:val="0"/>
          <w:marTop w:val="0"/>
          <w:marBottom w:val="0"/>
          <w:divBdr>
            <w:top w:val="none" w:sz="0" w:space="0" w:color="auto"/>
            <w:left w:val="none" w:sz="0" w:space="0" w:color="auto"/>
            <w:bottom w:val="none" w:sz="0" w:space="0" w:color="auto"/>
            <w:right w:val="none" w:sz="0" w:space="0" w:color="auto"/>
          </w:divBdr>
        </w:div>
        <w:div w:id="802121441">
          <w:marLeft w:val="0"/>
          <w:marRight w:val="0"/>
          <w:marTop w:val="0"/>
          <w:marBottom w:val="0"/>
          <w:divBdr>
            <w:top w:val="none" w:sz="0" w:space="0" w:color="auto"/>
            <w:left w:val="none" w:sz="0" w:space="0" w:color="auto"/>
            <w:bottom w:val="none" w:sz="0" w:space="0" w:color="auto"/>
            <w:right w:val="none" w:sz="0" w:space="0" w:color="auto"/>
          </w:divBdr>
          <w:divsChild>
            <w:div w:id="277183231">
              <w:marLeft w:val="0"/>
              <w:marRight w:val="0"/>
              <w:marTop w:val="0"/>
              <w:marBottom w:val="0"/>
              <w:divBdr>
                <w:top w:val="none" w:sz="0" w:space="0" w:color="auto"/>
                <w:left w:val="none" w:sz="0" w:space="0" w:color="auto"/>
                <w:bottom w:val="none" w:sz="0" w:space="0" w:color="auto"/>
                <w:right w:val="none" w:sz="0" w:space="0" w:color="auto"/>
              </w:divBdr>
            </w:div>
            <w:div w:id="303045462">
              <w:marLeft w:val="0"/>
              <w:marRight w:val="0"/>
              <w:marTop w:val="0"/>
              <w:marBottom w:val="0"/>
              <w:divBdr>
                <w:top w:val="none" w:sz="0" w:space="0" w:color="auto"/>
                <w:left w:val="none" w:sz="0" w:space="0" w:color="auto"/>
                <w:bottom w:val="none" w:sz="0" w:space="0" w:color="auto"/>
                <w:right w:val="none" w:sz="0" w:space="0" w:color="auto"/>
              </w:divBdr>
            </w:div>
            <w:div w:id="381057893">
              <w:marLeft w:val="0"/>
              <w:marRight w:val="0"/>
              <w:marTop w:val="0"/>
              <w:marBottom w:val="0"/>
              <w:divBdr>
                <w:top w:val="none" w:sz="0" w:space="0" w:color="auto"/>
                <w:left w:val="none" w:sz="0" w:space="0" w:color="auto"/>
                <w:bottom w:val="none" w:sz="0" w:space="0" w:color="auto"/>
                <w:right w:val="none" w:sz="0" w:space="0" w:color="auto"/>
              </w:divBdr>
            </w:div>
            <w:div w:id="462891048">
              <w:marLeft w:val="0"/>
              <w:marRight w:val="0"/>
              <w:marTop w:val="0"/>
              <w:marBottom w:val="0"/>
              <w:divBdr>
                <w:top w:val="none" w:sz="0" w:space="0" w:color="auto"/>
                <w:left w:val="none" w:sz="0" w:space="0" w:color="auto"/>
                <w:bottom w:val="none" w:sz="0" w:space="0" w:color="auto"/>
                <w:right w:val="none" w:sz="0" w:space="0" w:color="auto"/>
              </w:divBdr>
            </w:div>
            <w:div w:id="485246009">
              <w:marLeft w:val="0"/>
              <w:marRight w:val="0"/>
              <w:marTop w:val="0"/>
              <w:marBottom w:val="0"/>
              <w:divBdr>
                <w:top w:val="none" w:sz="0" w:space="0" w:color="auto"/>
                <w:left w:val="none" w:sz="0" w:space="0" w:color="auto"/>
                <w:bottom w:val="none" w:sz="0" w:space="0" w:color="auto"/>
                <w:right w:val="none" w:sz="0" w:space="0" w:color="auto"/>
              </w:divBdr>
            </w:div>
            <w:div w:id="616570247">
              <w:marLeft w:val="0"/>
              <w:marRight w:val="0"/>
              <w:marTop w:val="0"/>
              <w:marBottom w:val="0"/>
              <w:divBdr>
                <w:top w:val="none" w:sz="0" w:space="0" w:color="auto"/>
                <w:left w:val="none" w:sz="0" w:space="0" w:color="auto"/>
                <w:bottom w:val="none" w:sz="0" w:space="0" w:color="auto"/>
                <w:right w:val="none" w:sz="0" w:space="0" w:color="auto"/>
              </w:divBdr>
            </w:div>
            <w:div w:id="656883893">
              <w:marLeft w:val="0"/>
              <w:marRight w:val="0"/>
              <w:marTop w:val="0"/>
              <w:marBottom w:val="0"/>
              <w:divBdr>
                <w:top w:val="none" w:sz="0" w:space="0" w:color="auto"/>
                <w:left w:val="none" w:sz="0" w:space="0" w:color="auto"/>
                <w:bottom w:val="none" w:sz="0" w:space="0" w:color="auto"/>
                <w:right w:val="none" w:sz="0" w:space="0" w:color="auto"/>
              </w:divBdr>
            </w:div>
            <w:div w:id="679547048">
              <w:marLeft w:val="0"/>
              <w:marRight w:val="0"/>
              <w:marTop w:val="0"/>
              <w:marBottom w:val="0"/>
              <w:divBdr>
                <w:top w:val="none" w:sz="0" w:space="0" w:color="auto"/>
                <w:left w:val="none" w:sz="0" w:space="0" w:color="auto"/>
                <w:bottom w:val="none" w:sz="0" w:space="0" w:color="auto"/>
                <w:right w:val="none" w:sz="0" w:space="0" w:color="auto"/>
              </w:divBdr>
            </w:div>
            <w:div w:id="725643093">
              <w:marLeft w:val="0"/>
              <w:marRight w:val="0"/>
              <w:marTop w:val="0"/>
              <w:marBottom w:val="0"/>
              <w:divBdr>
                <w:top w:val="none" w:sz="0" w:space="0" w:color="auto"/>
                <w:left w:val="none" w:sz="0" w:space="0" w:color="auto"/>
                <w:bottom w:val="none" w:sz="0" w:space="0" w:color="auto"/>
                <w:right w:val="none" w:sz="0" w:space="0" w:color="auto"/>
              </w:divBdr>
            </w:div>
            <w:div w:id="795829043">
              <w:marLeft w:val="0"/>
              <w:marRight w:val="0"/>
              <w:marTop w:val="0"/>
              <w:marBottom w:val="0"/>
              <w:divBdr>
                <w:top w:val="none" w:sz="0" w:space="0" w:color="auto"/>
                <w:left w:val="none" w:sz="0" w:space="0" w:color="auto"/>
                <w:bottom w:val="none" w:sz="0" w:space="0" w:color="auto"/>
                <w:right w:val="none" w:sz="0" w:space="0" w:color="auto"/>
              </w:divBdr>
            </w:div>
            <w:div w:id="817652357">
              <w:marLeft w:val="0"/>
              <w:marRight w:val="0"/>
              <w:marTop w:val="0"/>
              <w:marBottom w:val="0"/>
              <w:divBdr>
                <w:top w:val="none" w:sz="0" w:space="0" w:color="auto"/>
                <w:left w:val="none" w:sz="0" w:space="0" w:color="auto"/>
                <w:bottom w:val="none" w:sz="0" w:space="0" w:color="auto"/>
                <w:right w:val="none" w:sz="0" w:space="0" w:color="auto"/>
              </w:divBdr>
            </w:div>
            <w:div w:id="983433686">
              <w:marLeft w:val="0"/>
              <w:marRight w:val="0"/>
              <w:marTop w:val="0"/>
              <w:marBottom w:val="0"/>
              <w:divBdr>
                <w:top w:val="none" w:sz="0" w:space="0" w:color="auto"/>
                <w:left w:val="none" w:sz="0" w:space="0" w:color="auto"/>
                <w:bottom w:val="none" w:sz="0" w:space="0" w:color="auto"/>
                <w:right w:val="none" w:sz="0" w:space="0" w:color="auto"/>
              </w:divBdr>
            </w:div>
            <w:div w:id="1190417059">
              <w:marLeft w:val="0"/>
              <w:marRight w:val="0"/>
              <w:marTop w:val="0"/>
              <w:marBottom w:val="0"/>
              <w:divBdr>
                <w:top w:val="none" w:sz="0" w:space="0" w:color="auto"/>
                <w:left w:val="none" w:sz="0" w:space="0" w:color="auto"/>
                <w:bottom w:val="none" w:sz="0" w:space="0" w:color="auto"/>
                <w:right w:val="none" w:sz="0" w:space="0" w:color="auto"/>
              </w:divBdr>
            </w:div>
            <w:div w:id="1423990248">
              <w:marLeft w:val="0"/>
              <w:marRight w:val="0"/>
              <w:marTop w:val="0"/>
              <w:marBottom w:val="0"/>
              <w:divBdr>
                <w:top w:val="none" w:sz="0" w:space="0" w:color="auto"/>
                <w:left w:val="none" w:sz="0" w:space="0" w:color="auto"/>
                <w:bottom w:val="none" w:sz="0" w:space="0" w:color="auto"/>
                <w:right w:val="none" w:sz="0" w:space="0" w:color="auto"/>
              </w:divBdr>
            </w:div>
            <w:div w:id="1625428480">
              <w:marLeft w:val="0"/>
              <w:marRight w:val="0"/>
              <w:marTop w:val="0"/>
              <w:marBottom w:val="0"/>
              <w:divBdr>
                <w:top w:val="none" w:sz="0" w:space="0" w:color="auto"/>
                <w:left w:val="none" w:sz="0" w:space="0" w:color="auto"/>
                <w:bottom w:val="none" w:sz="0" w:space="0" w:color="auto"/>
                <w:right w:val="none" w:sz="0" w:space="0" w:color="auto"/>
              </w:divBdr>
            </w:div>
            <w:div w:id="1708097435">
              <w:marLeft w:val="0"/>
              <w:marRight w:val="0"/>
              <w:marTop w:val="0"/>
              <w:marBottom w:val="0"/>
              <w:divBdr>
                <w:top w:val="none" w:sz="0" w:space="0" w:color="auto"/>
                <w:left w:val="none" w:sz="0" w:space="0" w:color="auto"/>
                <w:bottom w:val="none" w:sz="0" w:space="0" w:color="auto"/>
                <w:right w:val="none" w:sz="0" w:space="0" w:color="auto"/>
              </w:divBdr>
            </w:div>
            <w:div w:id="1717317583">
              <w:marLeft w:val="0"/>
              <w:marRight w:val="0"/>
              <w:marTop w:val="0"/>
              <w:marBottom w:val="0"/>
              <w:divBdr>
                <w:top w:val="none" w:sz="0" w:space="0" w:color="auto"/>
                <w:left w:val="none" w:sz="0" w:space="0" w:color="auto"/>
                <w:bottom w:val="none" w:sz="0" w:space="0" w:color="auto"/>
                <w:right w:val="none" w:sz="0" w:space="0" w:color="auto"/>
              </w:divBdr>
            </w:div>
            <w:div w:id="1720788570">
              <w:marLeft w:val="0"/>
              <w:marRight w:val="0"/>
              <w:marTop w:val="0"/>
              <w:marBottom w:val="0"/>
              <w:divBdr>
                <w:top w:val="none" w:sz="0" w:space="0" w:color="auto"/>
                <w:left w:val="none" w:sz="0" w:space="0" w:color="auto"/>
                <w:bottom w:val="none" w:sz="0" w:space="0" w:color="auto"/>
                <w:right w:val="none" w:sz="0" w:space="0" w:color="auto"/>
              </w:divBdr>
            </w:div>
            <w:div w:id="2055734807">
              <w:marLeft w:val="0"/>
              <w:marRight w:val="0"/>
              <w:marTop w:val="0"/>
              <w:marBottom w:val="0"/>
              <w:divBdr>
                <w:top w:val="none" w:sz="0" w:space="0" w:color="auto"/>
                <w:left w:val="none" w:sz="0" w:space="0" w:color="auto"/>
                <w:bottom w:val="none" w:sz="0" w:space="0" w:color="auto"/>
                <w:right w:val="none" w:sz="0" w:space="0" w:color="auto"/>
              </w:divBdr>
            </w:div>
          </w:divsChild>
        </w:div>
        <w:div w:id="802504744">
          <w:marLeft w:val="0"/>
          <w:marRight w:val="0"/>
          <w:marTop w:val="0"/>
          <w:marBottom w:val="0"/>
          <w:divBdr>
            <w:top w:val="none" w:sz="0" w:space="0" w:color="auto"/>
            <w:left w:val="none" w:sz="0" w:space="0" w:color="auto"/>
            <w:bottom w:val="none" w:sz="0" w:space="0" w:color="auto"/>
            <w:right w:val="none" w:sz="0" w:space="0" w:color="auto"/>
          </w:divBdr>
        </w:div>
        <w:div w:id="803304962">
          <w:marLeft w:val="0"/>
          <w:marRight w:val="0"/>
          <w:marTop w:val="0"/>
          <w:marBottom w:val="0"/>
          <w:divBdr>
            <w:top w:val="none" w:sz="0" w:space="0" w:color="auto"/>
            <w:left w:val="none" w:sz="0" w:space="0" w:color="auto"/>
            <w:bottom w:val="none" w:sz="0" w:space="0" w:color="auto"/>
            <w:right w:val="none" w:sz="0" w:space="0" w:color="auto"/>
          </w:divBdr>
        </w:div>
        <w:div w:id="806750072">
          <w:marLeft w:val="0"/>
          <w:marRight w:val="0"/>
          <w:marTop w:val="0"/>
          <w:marBottom w:val="0"/>
          <w:divBdr>
            <w:top w:val="none" w:sz="0" w:space="0" w:color="auto"/>
            <w:left w:val="none" w:sz="0" w:space="0" w:color="auto"/>
            <w:bottom w:val="none" w:sz="0" w:space="0" w:color="auto"/>
            <w:right w:val="none" w:sz="0" w:space="0" w:color="auto"/>
          </w:divBdr>
          <w:divsChild>
            <w:div w:id="811286187">
              <w:marLeft w:val="-75"/>
              <w:marRight w:val="0"/>
              <w:marTop w:val="30"/>
              <w:marBottom w:val="30"/>
              <w:divBdr>
                <w:top w:val="none" w:sz="0" w:space="0" w:color="auto"/>
                <w:left w:val="none" w:sz="0" w:space="0" w:color="auto"/>
                <w:bottom w:val="none" w:sz="0" w:space="0" w:color="auto"/>
                <w:right w:val="none" w:sz="0" w:space="0" w:color="auto"/>
              </w:divBdr>
              <w:divsChild>
                <w:div w:id="3021750">
                  <w:marLeft w:val="0"/>
                  <w:marRight w:val="0"/>
                  <w:marTop w:val="0"/>
                  <w:marBottom w:val="0"/>
                  <w:divBdr>
                    <w:top w:val="none" w:sz="0" w:space="0" w:color="auto"/>
                    <w:left w:val="none" w:sz="0" w:space="0" w:color="auto"/>
                    <w:bottom w:val="none" w:sz="0" w:space="0" w:color="auto"/>
                    <w:right w:val="none" w:sz="0" w:space="0" w:color="auto"/>
                  </w:divBdr>
                  <w:divsChild>
                    <w:div w:id="24379479">
                      <w:marLeft w:val="0"/>
                      <w:marRight w:val="0"/>
                      <w:marTop w:val="0"/>
                      <w:marBottom w:val="0"/>
                      <w:divBdr>
                        <w:top w:val="none" w:sz="0" w:space="0" w:color="auto"/>
                        <w:left w:val="none" w:sz="0" w:space="0" w:color="auto"/>
                        <w:bottom w:val="none" w:sz="0" w:space="0" w:color="auto"/>
                        <w:right w:val="none" w:sz="0" w:space="0" w:color="auto"/>
                      </w:divBdr>
                    </w:div>
                  </w:divsChild>
                </w:div>
                <w:div w:id="39673908">
                  <w:marLeft w:val="0"/>
                  <w:marRight w:val="0"/>
                  <w:marTop w:val="0"/>
                  <w:marBottom w:val="0"/>
                  <w:divBdr>
                    <w:top w:val="none" w:sz="0" w:space="0" w:color="auto"/>
                    <w:left w:val="none" w:sz="0" w:space="0" w:color="auto"/>
                    <w:bottom w:val="none" w:sz="0" w:space="0" w:color="auto"/>
                    <w:right w:val="none" w:sz="0" w:space="0" w:color="auto"/>
                  </w:divBdr>
                  <w:divsChild>
                    <w:div w:id="1839612032">
                      <w:marLeft w:val="0"/>
                      <w:marRight w:val="0"/>
                      <w:marTop w:val="0"/>
                      <w:marBottom w:val="0"/>
                      <w:divBdr>
                        <w:top w:val="none" w:sz="0" w:space="0" w:color="auto"/>
                        <w:left w:val="none" w:sz="0" w:space="0" w:color="auto"/>
                        <w:bottom w:val="none" w:sz="0" w:space="0" w:color="auto"/>
                        <w:right w:val="none" w:sz="0" w:space="0" w:color="auto"/>
                      </w:divBdr>
                    </w:div>
                  </w:divsChild>
                </w:div>
                <w:div w:id="45154785">
                  <w:marLeft w:val="0"/>
                  <w:marRight w:val="0"/>
                  <w:marTop w:val="0"/>
                  <w:marBottom w:val="0"/>
                  <w:divBdr>
                    <w:top w:val="none" w:sz="0" w:space="0" w:color="auto"/>
                    <w:left w:val="none" w:sz="0" w:space="0" w:color="auto"/>
                    <w:bottom w:val="none" w:sz="0" w:space="0" w:color="auto"/>
                    <w:right w:val="none" w:sz="0" w:space="0" w:color="auto"/>
                  </w:divBdr>
                  <w:divsChild>
                    <w:div w:id="1646661850">
                      <w:marLeft w:val="0"/>
                      <w:marRight w:val="0"/>
                      <w:marTop w:val="0"/>
                      <w:marBottom w:val="0"/>
                      <w:divBdr>
                        <w:top w:val="none" w:sz="0" w:space="0" w:color="auto"/>
                        <w:left w:val="none" w:sz="0" w:space="0" w:color="auto"/>
                        <w:bottom w:val="none" w:sz="0" w:space="0" w:color="auto"/>
                        <w:right w:val="none" w:sz="0" w:space="0" w:color="auto"/>
                      </w:divBdr>
                    </w:div>
                  </w:divsChild>
                </w:div>
                <w:div w:id="45840843">
                  <w:marLeft w:val="0"/>
                  <w:marRight w:val="0"/>
                  <w:marTop w:val="0"/>
                  <w:marBottom w:val="0"/>
                  <w:divBdr>
                    <w:top w:val="none" w:sz="0" w:space="0" w:color="auto"/>
                    <w:left w:val="none" w:sz="0" w:space="0" w:color="auto"/>
                    <w:bottom w:val="none" w:sz="0" w:space="0" w:color="auto"/>
                    <w:right w:val="none" w:sz="0" w:space="0" w:color="auto"/>
                  </w:divBdr>
                  <w:divsChild>
                    <w:div w:id="1404983456">
                      <w:marLeft w:val="0"/>
                      <w:marRight w:val="0"/>
                      <w:marTop w:val="0"/>
                      <w:marBottom w:val="0"/>
                      <w:divBdr>
                        <w:top w:val="none" w:sz="0" w:space="0" w:color="auto"/>
                        <w:left w:val="none" w:sz="0" w:space="0" w:color="auto"/>
                        <w:bottom w:val="none" w:sz="0" w:space="0" w:color="auto"/>
                        <w:right w:val="none" w:sz="0" w:space="0" w:color="auto"/>
                      </w:divBdr>
                    </w:div>
                  </w:divsChild>
                </w:div>
                <w:div w:id="48841759">
                  <w:marLeft w:val="0"/>
                  <w:marRight w:val="0"/>
                  <w:marTop w:val="0"/>
                  <w:marBottom w:val="0"/>
                  <w:divBdr>
                    <w:top w:val="none" w:sz="0" w:space="0" w:color="auto"/>
                    <w:left w:val="none" w:sz="0" w:space="0" w:color="auto"/>
                    <w:bottom w:val="none" w:sz="0" w:space="0" w:color="auto"/>
                    <w:right w:val="none" w:sz="0" w:space="0" w:color="auto"/>
                  </w:divBdr>
                  <w:divsChild>
                    <w:div w:id="1586843133">
                      <w:marLeft w:val="0"/>
                      <w:marRight w:val="0"/>
                      <w:marTop w:val="0"/>
                      <w:marBottom w:val="0"/>
                      <w:divBdr>
                        <w:top w:val="none" w:sz="0" w:space="0" w:color="auto"/>
                        <w:left w:val="none" w:sz="0" w:space="0" w:color="auto"/>
                        <w:bottom w:val="none" w:sz="0" w:space="0" w:color="auto"/>
                        <w:right w:val="none" w:sz="0" w:space="0" w:color="auto"/>
                      </w:divBdr>
                    </w:div>
                  </w:divsChild>
                </w:div>
                <w:div w:id="65420867">
                  <w:marLeft w:val="0"/>
                  <w:marRight w:val="0"/>
                  <w:marTop w:val="0"/>
                  <w:marBottom w:val="0"/>
                  <w:divBdr>
                    <w:top w:val="none" w:sz="0" w:space="0" w:color="auto"/>
                    <w:left w:val="none" w:sz="0" w:space="0" w:color="auto"/>
                    <w:bottom w:val="none" w:sz="0" w:space="0" w:color="auto"/>
                    <w:right w:val="none" w:sz="0" w:space="0" w:color="auto"/>
                  </w:divBdr>
                  <w:divsChild>
                    <w:div w:id="1896622743">
                      <w:marLeft w:val="0"/>
                      <w:marRight w:val="0"/>
                      <w:marTop w:val="0"/>
                      <w:marBottom w:val="0"/>
                      <w:divBdr>
                        <w:top w:val="none" w:sz="0" w:space="0" w:color="auto"/>
                        <w:left w:val="none" w:sz="0" w:space="0" w:color="auto"/>
                        <w:bottom w:val="none" w:sz="0" w:space="0" w:color="auto"/>
                        <w:right w:val="none" w:sz="0" w:space="0" w:color="auto"/>
                      </w:divBdr>
                    </w:div>
                  </w:divsChild>
                </w:div>
                <w:div w:id="66920795">
                  <w:marLeft w:val="0"/>
                  <w:marRight w:val="0"/>
                  <w:marTop w:val="0"/>
                  <w:marBottom w:val="0"/>
                  <w:divBdr>
                    <w:top w:val="none" w:sz="0" w:space="0" w:color="auto"/>
                    <w:left w:val="none" w:sz="0" w:space="0" w:color="auto"/>
                    <w:bottom w:val="none" w:sz="0" w:space="0" w:color="auto"/>
                    <w:right w:val="none" w:sz="0" w:space="0" w:color="auto"/>
                  </w:divBdr>
                  <w:divsChild>
                    <w:div w:id="662053410">
                      <w:marLeft w:val="0"/>
                      <w:marRight w:val="0"/>
                      <w:marTop w:val="0"/>
                      <w:marBottom w:val="0"/>
                      <w:divBdr>
                        <w:top w:val="none" w:sz="0" w:space="0" w:color="auto"/>
                        <w:left w:val="none" w:sz="0" w:space="0" w:color="auto"/>
                        <w:bottom w:val="none" w:sz="0" w:space="0" w:color="auto"/>
                        <w:right w:val="none" w:sz="0" w:space="0" w:color="auto"/>
                      </w:divBdr>
                    </w:div>
                  </w:divsChild>
                </w:div>
                <w:div w:id="75397454">
                  <w:marLeft w:val="0"/>
                  <w:marRight w:val="0"/>
                  <w:marTop w:val="0"/>
                  <w:marBottom w:val="0"/>
                  <w:divBdr>
                    <w:top w:val="none" w:sz="0" w:space="0" w:color="auto"/>
                    <w:left w:val="none" w:sz="0" w:space="0" w:color="auto"/>
                    <w:bottom w:val="none" w:sz="0" w:space="0" w:color="auto"/>
                    <w:right w:val="none" w:sz="0" w:space="0" w:color="auto"/>
                  </w:divBdr>
                  <w:divsChild>
                    <w:div w:id="822160304">
                      <w:marLeft w:val="0"/>
                      <w:marRight w:val="0"/>
                      <w:marTop w:val="0"/>
                      <w:marBottom w:val="0"/>
                      <w:divBdr>
                        <w:top w:val="none" w:sz="0" w:space="0" w:color="auto"/>
                        <w:left w:val="none" w:sz="0" w:space="0" w:color="auto"/>
                        <w:bottom w:val="none" w:sz="0" w:space="0" w:color="auto"/>
                        <w:right w:val="none" w:sz="0" w:space="0" w:color="auto"/>
                      </w:divBdr>
                    </w:div>
                  </w:divsChild>
                </w:div>
                <w:div w:id="86850979">
                  <w:marLeft w:val="0"/>
                  <w:marRight w:val="0"/>
                  <w:marTop w:val="0"/>
                  <w:marBottom w:val="0"/>
                  <w:divBdr>
                    <w:top w:val="none" w:sz="0" w:space="0" w:color="auto"/>
                    <w:left w:val="none" w:sz="0" w:space="0" w:color="auto"/>
                    <w:bottom w:val="none" w:sz="0" w:space="0" w:color="auto"/>
                    <w:right w:val="none" w:sz="0" w:space="0" w:color="auto"/>
                  </w:divBdr>
                  <w:divsChild>
                    <w:div w:id="951858223">
                      <w:marLeft w:val="0"/>
                      <w:marRight w:val="0"/>
                      <w:marTop w:val="0"/>
                      <w:marBottom w:val="0"/>
                      <w:divBdr>
                        <w:top w:val="none" w:sz="0" w:space="0" w:color="auto"/>
                        <w:left w:val="none" w:sz="0" w:space="0" w:color="auto"/>
                        <w:bottom w:val="none" w:sz="0" w:space="0" w:color="auto"/>
                        <w:right w:val="none" w:sz="0" w:space="0" w:color="auto"/>
                      </w:divBdr>
                    </w:div>
                  </w:divsChild>
                </w:div>
                <w:div w:id="87581115">
                  <w:marLeft w:val="0"/>
                  <w:marRight w:val="0"/>
                  <w:marTop w:val="0"/>
                  <w:marBottom w:val="0"/>
                  <w:divBdr>
                    <w:top w:val="none" w:sz="0" w:space="0" w:color="auto"/>
                    <w:left w:val="none" w:sz="0" w:space="0" w:color="auto"/>
                    <w:bottom w:val="none" w:sz="0" w:space="0" w:color="auto"/>
                    <w:right w:val="none" w:sz="0" w:space="0" w:color="auto"/>
                  </w:divBdr>
                  <w:divsChild>
                    <w:div w:id="181862854">
                      <w:marLeft w:val="0"/>
                      <w:marRight w:val="0"/>
                      <w:marTop w:val="0"/>
                      <w:marBottom w:val="0"/>
                      <w:divBdr>
                        <w:top w:val="none" w:sz="0" w:space="0" w:color="auto"/>
                        <w:left w:val="none" w:sz="0" w:space="0" w:color="auto"/>
                        <w:bottom w:val="none" w:sz="0" w:space="0" w:color="auto"/>
                        <w:right w:val="none" w:sz="0" w:space="0" w:color="auto"/>
                      </w:divBdr>
                    </w:div>
                  </w:divsChild>
                </w:div>
                <w:div w:id="93718171">
                  <w:marLeft w:val="0"/>
                  <w:marRight w:val="0"/>
                  <w:marTop w:val="0"/>
                  <w:marBottom w:val="0"/>
                  <w:divBdr>
                    <w:top w:val="none" w:sz="0" w:space="0" w:color="auto"/>
                    <w:left w:val="none" w:sz="0" w:space="0" w:color="auto"/>
                    <w:bottom w:val="none" w:sz="0" w:space="0" w:color="auto"/>
                    <w:right w:val="none" w:sz="0" w:space="0" w:color="auto"/>
                  </w:divBdr>
                  <w:divsChild>
                    <w:div w:id="1476877095">
                      <w:marLeft w:val="0"/>
                      <w:marRight w:val="0"/>
                      <w:marTop w:val="0"/>
                      <w:marBottom w:val="0"/>
                      <w:divBdr>
                        <w:top w:val="none" w:sz="0" w:space="0" w:color="auto"/>
                        <w:left w:val="none" w:sz="0" w:space="0" w:color="auto"/>
                        <w:bottom w:val="none" w:sz="0" w:space="0" w:color="auto"/>
                        <w:right w:val="none" w:sz="0" w:space="0" w:color="auto"/>
                      </w:divBdr>
                    </w:div>
                  </w:divsChild>
                </w:div>
                <w:div w:id="96219846">
                  <w:marLeft w:val="0"/>
                  <w:marRight w:val="0"/>
                  <w:marTop w:val="0"/>
                  <w:marBottom w:val="0"/>
                  <w:divBdr>
                    <w:top w:val="none" w:sz="0" w:space="0" w:color="auto"/>
                    <w:left w:val="none" w:sz="0" w:space="0" w:color="auto"/>
                    <w:bottom w:val="none" w:sz="0" w:space="0" w:color="auto"/>
                    <w:right w:val="none" w:sz="0" w:space="0" w:color="auto"/>
                  </w:divBdr>
                  <w:divsChild>
                    <w:div w:id="1961301414">
                      <w:marLeft w:val="0"/>
                      <w:marRight w:val="0"/>
                      <w:marTop w:val="0"/>
                      <w:marBottom w:val="0"/>
                      <w:divBdr>
                        <w:top w:val="none" w:sz="0" w:space="0" w:color="auto"/>
                        <w:left w:val="none" w:sz="0" w:space="0" w:color="auto"/>
                        <w:bottom w:val="none" w:sz="0" w:space="0" w:color="auto"/>
                        <w:right w:val="none" w:sz="0" w:space="0" w:color="auto"/>
                      </w:divBdr>
                    </w:div>
                  </w:divsChild>
                </w:div>
                <w:div w:id="124474484">
                  <w:marLeft w:val="0"/>
                  <w:marRight w:val="0"/>
                  <w:marTop w:val="0"/>
                  <w:marBottom w:val="0"/>
                  <w:divBdr>
                    <w:top w:val="none" w:sz="0" w:space="0" w:color="auto"/>
                    <w:left w:val="none" w:sz="0" w:space="0" w:color="auto"/>
                    <w:bottom w:val="none" w:sz="0" w:space="0" w:color="auto"/>
                    <w:right w:val="none" w:sz="0" w:space="0" w:color="auto"/>
                  </w:divBdr>
                  <w:divsChild>
                    <w:div w:id="1028028228">
                      <w:marLeft w:val="0"/>
                      <w:marRight w:val="0"/>
                      <w:marTop w:val="0"/>
                      <w:marBottom w:val="0"/>
                      <w:divBdr>
                        <w:top w:val="none" w:sz="0" w:space="0" w:color="auto"/>
                        <w:left w:val="none" w:sz="0" w:space="0" w:color="auto"/>
                        <w:bottom w:val="none" w:sz="0" w:space="0" w:color="auto"/>
                        <w:right w:val="none" w:sz="0" w:space="0" w:color="auto"/>
                      </w:divBdr>
                    </w:div>
                  </w:divsChild>
                </w:div>
                <w:div w:id="128522314">
                  <w:marLeft w:val="0"/>
                  <w:marRight w:val="0"/>
                  <w:marTop w:val="0"/>
                  <w:marBottom w:val="0"/>
                  <w:divBdr>
                    <w:top w:val="none" w:sz="0" w:space="0" w:color="auto"/>
                    <w:left w:val="none" w:sz="0" w:space="0" w:color="auto"/>
                    <w:bottom w:val="none" w:sz="0" w:space="0" w:color="auto"/>
                    <w:right w:val="none" w:sz="0" w:space="0" w:color="auto"/>
                  </w:divBdr>
                  <w:divsChild>
                    <w:div w:id="1219852810">
                      <w:marLeft w:val="0"/>
                      <w:marRight w:val="0"/>
                      <w:marTop w:val="0"/>
                      <w:marBottom w:val="0"/>
                      <w:divBdr>
                        <w:top w:val="none" w:sz="0" w:space="0" w:color="auto"/>
                        <w:left w:val="none" w:sz="0" w:space="0" w:color="auto"/>
                        <w:bottom w:val="none" w:sz="0" w:space="0" w:color="auto"/>
                        <w:right w:val="none" w:sz="0" w:space="0" w:color="auto"/>
                      </w:divBdr>
                    </w:div>
                  </w:divsChild>
                </w:div>
                <w:div w:id="129566384">
                  <w:marLeft w:val="0"/>
                  <w:marRight w:val="0"/>
                  <w:marTop w:val="0"/>
                  <w:marBottom w:val="0"/>
                  <w:divBdr>
                    <w:top w:val="none" w:sz="0" w:space="0" w:color="auto"/>
                    <w:left w:val="none" w:sz="0" w:space="0" w:color="auto"/>
                    <w:bottom w:val="none" w:sz="0" w:space="0" w:color="auto"/>
                    <w:right w:val="none" w:sz="0" w:space="0" w:color="auto"/>
                  </w:divBdr>
                  <w:divsChild>
                    <w:div w:id="734619859">
                      <w:marLeft w:val="0"/>
                      <w:marRight w:val="0"/>
                      <w:marTop w:val="0"/>
                      <w:marBottom w:val="0"/>
                      <w:divBdr>
                        <w:top w:val="none" w:sz="0" w:space="0" w:color="auto"/>
                        <w:left w:val="none" w:sz="0" w:space="0" w:color="auto"/>
                        <w:bottom w:val="none" w:sz="0" w:space="0" w:color="auto"/>
                        <w:right w:val="none" w:sz="0" w:space="0" w:color="auto"/>
                      </w:divBdr>
                    </w:div>
                  </w:divsChild>
                </w:div>
                <w:div w:id="132449788">
                  <w:marLeft w:val="0"/>
                  <w:marRight w:val="0"/>
                  <w:marTop w:val="0"/>
                  <w:marBottom w:val="0"/>
                  <w:divBdr>
                    <w:top w:val="none" w:sz="0" w:space="0" w:color="auto"/>
                    <w:left w:val="none" w:sz="0" w:space="0" w:color="auto"/>
                    <w:bottom w:val="none" w:sz="0" w:space="0" w:color="auto"/>
                    <w:right w:val="none" w:sz="0" w:space="0" w:color="auto"/>
                  </w:divBdr>
                  <w:divsChild>
                    <w:div w:id="1229414467">
                      <w:marLeft w:val="0"/>
                      <w:marRight w:val="0"/>
                      <w:marTop w:val="0"/>
                      <w:marBottom w:val="0"/>
                      <w:divBdr>
                        <w:top w:val="none" w:sz="0" w:space="0" w:color="auto"/>
                        <w:left w:val="none" w:sz="0" w:space="0" w:color="auto"/>
                        <w:bottom w:val="none" w:sz="0" w:space="0" w:color="auto"/>
                        <w:right w:val="none" w:sz="0" w:space="0" w:color="auto"/>
                      </w:divBdr>
                    </w:div>
                  </w:divsChild>
                </w:div>
                <w:div w:id="135100944">
                  <w:marLeft w:val="0"/>
                  <w:marRight w:val="0"/>
                  <w:marTop w:val="0"/>
                  <w:marBottom w:val="0"/>
                  <w:divBdr>
                    <w:top w:val="none" w:sz="0" w:space="0" w:color="auto"/>
                    <w:left w:val="none" w:sz="0" w:space="0" w:color="auto"/>
                    <w:bottom w:val="none" w:sz="0" w:space="0" w:color="auto"/>
                    <w:right w:val="none" w:sz="0" w:space="0" w:color="auto"/>
                  </w:divBdr>
                  <w:divsChild>
                    <w:div w:id="192036899">
                      <w:marLeft w:val="0"/>
                      <w:marRight w:val="0"/>
                      <w:marTop w:val="0"/>
                      <w:marBottom w:val="0"/>
                      <w:divBdr>
                        <w:top w:val="none" w:sz="0" w:space="0" w:color="auto"/>
                        <w:left w:val="none" w:sz="0" w:space="0" w:color="auto"/>
                        <w:bottom w:val="none" w:sz="0" w:space="0" w:color="auto"/>
                        <w:right w:val="none" w:sz="0" w:space="0" w:color="auto"/>
                      </w:divBdr>
                    </w:div>
                  </w:divsChild>
                </w:div>
                <w:div w:id="138428870">
                  <w:marLeft w:val="0"/>
                  <w:marRight w:val="0"/>
                  <w:marTop w:val="0"/>
                  <w:marBottom w:val="0"/>
                  <w:divBdr>
                    <w:top w:val="none" w:sz="0" w:space="0" w:color="auto"/>
                    <w:left w:val="none" w:sz="0" w:space="0" w:color="auto"/>
                    <w:bottom w:val="none" w:sz="0" w:space="0" w:color="auto"/>
                    <w:right w:val="none" w:sz="0" w:space="0" w:color="auto"/>
                  </w:divBdr>
                  <w:divsChild>
                    <w:div w:id="287048694">
                      <w:marLeft w:val="0"/>
                      <w:marRight w:val="0"/>
                      <w:marTop w:val="0"/>
                      <w:marBottom w:val="0"/>
                      <w:divBdr>
                        <w:top w:val="none" w:sz="0" w:space="0" w:color="auto"/>
                        <w:left w:val="none" w:sz="0" w:space="0" w:color="auto"/>
                        <w:bottom w:val="none" w:sz="0" w:space="0" w:color="auto"/>
                        <w:right w:val="none" w:sz="0" w:space="0" w:color="auto"/>
                      </w:divBdr>
                    </w:div>
                  </w:divsChild>
                </w:div>
                <w:div w:id="141700005">
                  <w:marLeft w:val="0"/>
                  <w:marRight w:val="0"/>
                  <w:marTop w:val="0"/>
                  <w:marBottom w:val="0"/>
                  <w:divBdr>
                    <w:top w:val="none" w:sz="0" w:space="0" w:color="auto"/>
                    <w:left w:val="none" w:sz="0" w:space="0" w:color="auto"/>
                    <w:bottom w:val="none" w:sz="0" w:space="0" w:color="auto"/>
                    <w:right w:val="none" w:sz="0" w:space="0" w:color="auto"/>
                  </w:divBdr>
                  <w:divsChild>
                    <w:div w:id="279804867">
                      <w:marLeft w:val="0"/>
                      <w:marRight w:val="0"/>
                      <w:marTop w:val="0"/>
                      <w:marBottom w:val="0"/>
                      <w:divBdr>
                        <w:top w:val="none" w:sz="0" w:space="0" w:color="auto"/>
                        <w:left w:val="none" w:sz="0" w:space="0" w:color="auto"/>
                        <w:bottom w:val="none" w:sz="0" w:space="0" w:color="auto"/>
                        <w:right w:val="none" w:sz="0" w:space="0" w:color="auto"/>
                      </w:divBdr>
                    </w:div>
                  </w:divsChild>
                </w:div>
                <w:div w:id="142165912">
                  <w:marLeft w:val="0"/>
                  <w:marRight w:val="0"/>
                  <w:marTop w:val="0"/>
                  <w:marBottom w:val="0"/>
                  <w:divBdr>
                    <w:top w:val="none" w:sz="0" w:space="0" w:color="auto"/>
                    <w:left w:val="none" w:sz="0" w:space="0" w:color="auto"/>
                    <w:bottom w:val="none" w:sz="0" w:space="0" w:color="auto"/>
                    <w:right w:val="none" w:sz="0" w:space="0" w:color="auto"/>
                  </w:divBdr>
                  <w:divsChild>
                    <w:div w:id="761486493">
                      <w:marLeft w:val="0"/>
                      <w:marRight w:val="0"/>
                      <w:marTop w:val="0"/>
                      <w:marBottom w:val="0"/>
                      <w:divBdr>
                        <w:top w:val="none" w:sz="0" w:space="0" w:color="auto"/>
                        <w:left w:val="none" w:sz="0" w:space="0" w:color="auto"/>
                        <w:bottom w:val="none" w:sz="0" w:space="0" w:color="auto"/>
                        <w:right w:val="none" w:sz="0" w:space="0" w:color="auto"/>
                      </w:divBdr>
                    </w:div>
                  </w:divsChild>
                </w:div>
                <w:div w:id="144123991">
                  <w:marLeft w:val="0"/>
                  <w:marRight w:val="0"/>
                  <w:marTop w:val="0"/>
                  <w:marBottom w:val="0"/>
                  <w:divBdr>
                    <w:top w:val="none" w:sz="0" w:space="0" w:color="auto"/>
                    <w:left w:val="none" w:sz="0" w:space="0" w:color="auto"/>
                    <w:bottom w:val="none" w:sz="0" w:space="0" w:color="auto"/>
                    <w:right w:val="none" w:sz="0" w:space="0" w:color="auto"/>
                  </w:divBdr>
                  <w:divsChild>
                    <w:div w:id="74788610">
                      <w:marLeft w:val="0"/>
                      <w:marRight w:val="0"/>
                      <w:marTop w:val="0"/>
                      <w:marBottom w:val="0"/>
                      <w:divBdr>
                        <w:top w:val="none" w:sz="0" w:space="0" w:color="auto"/>
                        <w:left w:val="none" w:sz="0" w:space="0" w:color="auto"/>
                        <w:bottom w:val="none" w:sz="0" w:space="0" w:color="auto"/>
                        <w:right w:val="none" w:sz="0" w:space="0" w:color="auto"/>
                      </w:divBdr>
                    </w:div>
                  </w:divsChild>
                </w:div>
                <w:div w:id="150634471">
                  <w:marLeft w:val="0"/>
                  <w:marRight w:val="0"/>
                  <w:marTop w:val="0"/>
                  <w:marBottom w:val="0"/>
                  <w:divBdr>
                    <w:top w:val="none" w:sz="0" w:space="0" w:color="auto"/>
                    <w:left w:val="none" w:sz="0" w:space="0" w:color="auto"/>
                    <w:bottom w:val="none" w:sz="0" w:space="0" w:color="auto"/>
                    <w:right w:val="none" w:sz="0" w:space="0" w:color="auto"/>
                  </w:divBdr>
                  <w:divsChild>
                    <w:div w:id="1226063159">
                      <w:marLeft w:val="0"/>
                      <w:marRight w:val="0"/>
                      <w:marTop w:val="0"/>
                      <w:marBottom w:val="0"/>
                      <w:divBdr>
                        <w:top w:val="none" w:sz="0" w:space="0" w:color="auto"/>
                        <w:left w:val="none" w:sz="0" w:space="0" w:color="auto"/>
                        <w:bottom w:val="none" w:sz="0" w:space="0" w:color="auto"/>
                        <w:right w:val="none" w:sz="0" w:space="0" w:color="auto"/>
                      </w:divBdr>
                    </w:div>
                  </w:divsChild>
                </w:div>
                <w:div w:id="162597683">
                  <w:marLeft w:val="0"/>
                  <w:marRight w:val="0"/>
                  <w:marTop w:val="0"/>
                  <w:marBottom w:val="0"/>
                  <w:divBdr>
                    <w:top w:val="none" w:sz="0" w:space="0" w:color="auto"/>
                    <w:left w:val="none" w:sz="0" w:space="0" w:color="auto"/>
                    <w:bottom w:val="none" w:sz="0" w:space="0" w:color="auto"/>
                    <w:right w:val="none" w:sz="0" w:space="0" w:color="auto"/>
                  </w:divBdr>
                  <w:divsChild>
                    <w:div w:id="719288308">
                      <w:marLeft w:val="0"/>
                      <w:marRight w:val="0"/>
                      <w:marTop w:val="0"/>
                      <w:marBottom w:val="0"/>
                      <w:divBdr>
                        <w:top w:val="none" w:sz="0" w:space="0" w:color="auto"/>
                        <w:left w:val="none" w:sz="0" w:space="0" w:color="auto"/>
                        <w:bottom w:val="none" w:sz="0" w:space="0" w:color="auto"/>
                        <w:right w:val="none" w:sz="0" w:space="0" w:color="auto"/>
                      </w:divBdr>
                    </w:div>
                  </w:divsChild>
                </w:div>
                <w:div w:id="163016432">
                  <w:marLeft w:val="0"/>
                  <w:marRight w:val="0"/>
                  <w:marTop w:val="0"/>
                  <w:marBottom w:val="0"/>
                  <w:divBdr>
                    <w:top w:val="none" w:sz="0" w:space="0" w:color="auto"/>
                    <w:left w:val="none" w:sz="0" w:space="0" w:color="auto"/>
                    <w:bottom w:val="none" w:sz="0" w:space="0" w:color="auto"/>
                    <w:right w:val="none" w:sz="0" w:space="0" w:color="auto"/>
                  </w:divBdr>
                  <w:divsChild>
                    <w:div w:id="641472677">
                      <w:marLeft w:val="0"/>
                      <w:marRight w:val="0"/>
                      <w:marTop w:val="0"/>
                      <w:marBottom w:val="0"/>
                      <w:divBdr>
                        <w:top w:val="none" w:sz="0" w:space="0" w:color="auto"/>
                        <w:left w:val="none" w:sz="0" w:space="0" w:color="auto"/>
                        <w:bottom w:val="none" w:sz="0" w:space="0" w:color="auto"/>
                        <w:right w:val="none" w:sz="0" w:space="0" w:color="auto"/>
                      </w:divBdr>
                    </w:div>
                  </w:divsChild>
                </w:div>
                <w:div w:id="169414194">
                  <w:marLeft w:val="0"/>
                  <w:marRight w:val="0"/>
                  <w:marTop w:val="0"/>
                  <w:marBottom w:val="0"/>
                  <w:divBdr>
                    <w:top w:val="none" w:sz="0" w:space="0" w:color="auto"/>
                    <w:left w:val="none" w:sz="0" w:space="0" w:color="auto"/>
                    <w:bottom w:val="none" w:sz="0" w:space="0" w:color="auto"/>
                    <w:right w:val="none" w:sz="0" w:space="0" w:color="auto"/>
                  </w:divBdr>
                  <w:divsChild>
                    <w:div w:id="1492864156">
                      <w:marLeft w:val="0"/>
                      <w:marRight w:val="0"/>
                      <w:marTop w:val="0"/>
                      <w:marBottom w:val="0"/>
                      <w:divBdr>
                        <w:top w:val="none" w:sz="0" w:space="0" w:color="auto"/>
                        <w:left w:val="none" w:sz="0" w:space="0" w:color="auto"/>
                        <w:bottom w:val="none" w:sz="0" w:space="0" w:color="auto"/>
                        <w:right w:val="none" w:sz="0" w:space="0" w:color="auto"/>
                      </w:divBdr>
                    </w:div>
                  </w:divsChild>
                </w:div>
                <w:div w:id="172575061">
                  <w:marLeft w:val="0"/>
                  <w:marRight w:val="0"/>
                  <w:marTop w:val="0"/>
                  <w:marBottom w:val="0"/>
                  <w:divBdr>
                    <w:top w:val="none" w:sz="0" w:space="0" w:color="auto"/>
                    <w:left w:val="none" w:sz="0" w:space="0" w:color="auto"/>
                    <w:bottom w:val="none" w:sz="0" w:space="0" w:color="auto"/>
                    <w:right w:val="none" w:sz="0" w:space="0" w:color="auto"/>
                  </w:divBdr>
                  <w:divsChild>
                    <w:div w:id="499928436">
                      <w:marLeft w:val="0"/>
                      <w:marRight w:val="0"/>
                      <w:marTop w:val="0"/>
                      <w:marBottom w:val="0"/>
                      <w:divBdr>
                        <w:top w:val="none" w:sz="0" w:space="0" w:color="auto"/>
                        <w:left w:val="none" w:sz="0" w:space="0" w:color="auto"/>
                        <w:bottom w:val="none" w:sz="0" w:space="0" w:color="auto"/>
                        <w:right w:val="none" w:sz="0" w:space="0" w:color="auto"/>
                      </w:divBdr>
                    </w:div>
                  </w:divsChild>
                </w:div>
                <w:div w:id="176386149">
                  <w:marLeft w:val="0"/>
                  <w:marRight w:val="0"/>
                  <w:marTop w:val="0"/>
                  <w:marBottom w:val="0"/>
                  <w:divBdr>
                    <w:top w:val="none" w:sz="0" w:space="0" w:color="auto"/>
                    <w:left w:val="none" w:sz="0" w:space="0" w:color="auto"/>
                    <w:bottom w:val="none" w:sz="0" w:space="0" w:color="auto"/>
                    <w:right w:val="none" w:sz="0" w:space="0" w:color="auto"/>
                  </w:divBdr>
                  <w:divsChild>
                    <w:div w:id="1138378580">
                      <w:marLeft w:val="0"/>
                      <w:marRight w:val="0"/>
                      <w:marTop w:val="0"/>
                      <w:marBottom w:val="0"/>
                      <w:divBdr>
                        <w:top w:val="none" w:sz="0" w:space="0" w:color="auto"/>
                        <w:left w:val="none" w:sz="0" w:space="0" w:color="auto"/>
                        <w:bottom w:val="none" w:sz="0" w:space="0" w:color="auto"/>
                        <w:right w:val="none" w:sz="0" w:space="0" w:color="auto"/>
                      </w:divBdr>
                    </w:div>
                  </w:divsChild>
                </w:div>
                <w:div w:id="176583015">
                  <w:marLeft w:val="0"/>
                  <w:marRight w:val="0"/>
                  <w:marTop w:val="0"/>
                  <w:marBottom w:val="0"/>
                  <w:divBdr>
                    <w:top w:val="none" w:sz="0" w:space="0" w:color="auto"/>
                    <w:left w:val="none" w:sz="0" w:space="0" w:color="auto"/>
                    <w:bottom w:val="none" w:sz="0" w:space="0" w:color="auto"/>
                    <w:right w:val="none" w:sz="0" w:space="0" w:color="auto"/>
                  </w:divBdr>
                  <w:divsChild>
                    <w:div w:id="1551922378">
                      <w:marLeft w:val="0"/>
                      <w:marRight w:val="0"/>
                      <w:marTop w:val="0"/>
                      <w:marBottom w:val="0"/>
                      <w:divBdr>
                        <w:top w:val="none" w:sz="0" w:space="0" w:color="auto"/>
                        <w:left w:val="none" w:sz="0" w:space="0" w:color="auto"/>
                        <w:bottom w:val="none" w:sz="0" w:space="0" w:color="auto"/>
                        <w:right w:val="none" w:sz="0" w:space="0" w:color="auto"/>
                      </w:divBdr>
                    </w:div>
                  </w:divsChild>
                </w:div>
                <w:div w:id="178813779">
                  <w:marLeft w:val="0"/>
                  <w:marRight w:val="0"/>
                  <w:marTop w:val="0"/>
                  <w:marBottom w:val="0"/>
                  <w:divBdr>
                    <w:top w:val="none" w:sz="0" w:space="0" w:color="auto"/>
                    <w:left w:val="none" w:sz="0" w:space="0" w:color="auto"/>
                    <w:bottom w:val="none" w:sz="0" w:space="0" w:color="auto"/>
                    <w:right w:val="none" w:sz="0" w:space="0" w:color="auto"/>
                  </w:divBdr>
                  <w:divsChild>
                    <w:div w:id="529951805">
                      <w:marLeft w:val="0"/>
                      <w:marRight w:val="0"/>
                      <w:marTop w:val="0"/>
                      <w:marBottom w:val="0"/>
                      <w:divBdr>
                        <w:top w:val="none" w:sz="0" w:space="0" w:color="auto"/>
                        <w:left w:val="none" w:sz="0" w:space="0" w:color="auto"/>
                        <w:bottom w:val="none" w:sz="0" w:space="0" w:color="auto"/>
                        <w:right w:val="none" w:sz="0" w:space="0" w:color="auto"/>
                      </w:divBdr>
                    </w:div>
                  </w:divsChild>
                </w:div>
                <w:div w:id="190849993">
                  <w:marLeft w:val="0"/>
                  <w:marRight w:val="0"/>
                  <w:marTop w:val="0"/>
                  <w:marBottom w:val="0"/>
                  <w:divBdr>
                    <w:top w:val="none" w:sz="0" w:space="0" w:color="auto"/>
                    <w:left w:val="none" w:sz="0" w:space="0" w:color="auto"/>
                    <w:bottom w:val="none" w:sz="0" w:space="0" w:color="auto"/>
                    <w:right w:val="none" w:sz="0" w:space="0" w:color="auto"/>
                  </w:divBdr>
                  <w:divsChild>
                    <w:div w:id="93210336">
                      <w:marLeft w:val="0"/>
                      <w:marRight w:val="0"/>
                      <w:marTop w:val="0"/>
                      <w:marBottom w:val="0"/>
                      <w:divBdr>
                        <w:top w:val="none" w:sz="0" w:space="0" w:color="auto"/>
                        <w:left w:val="none" w:sz="0" w:space="0" w:color="auto"/>
                        <w:bottom w:val="none" w:sz="0" w:space="0" w:color="auto"/>
                        <w:right w:val="none" w:sz="0" w:space="0" w:color="auto"/>
                      </w:divBdr>
                    </w:div>
                  </w:divsChild>
                </w:div>
                <w:div w:id="205919512">
                  <w:marLeft w:val="0"/>
                  <w:marRight w:val="0"/>
                  <w:marTop w:val="0"/>
                  <w:marBottom w:val="0"/>
                  <w:divBdr>
                    <w:top w:val="none" w:sz="0" w:space="0" w:color="auto"/>
                    <w:left w:val="none" w:sz="0" w:space="0" w:color="auto"/>
                    <w:bottom w:val="none" w:sz="0" w:space="0" w:color="auto"/>
                    <w:right w:val="none" w:sz="0" w:space="0" w:color="auto"/>
                  </w:divBdr>
                  <w:divsChild>
                    <w:div w:id="2146507027">
                      <w:marLeft w:val="0"/>
                      <w:marRight w:val="0"/>
                      <w:marTop w:val="0"/>
                      <w:marBottom w:val="0"/>
                      <w:divBdr>
                        <w:top w:val="none" w:sz="0" w:space="0" w:color="auto"/>
                        <w:left w:val="none" w:sz="0" w:space="0" w:color="auto"/>
                        <w:bottom w:val="none" w:sz="0" w:space="0" w:color="auto"/>
                        <w:right w:val="none" w:sz="0" w:space="0" w:color="auto"/>
                      </w:divBdr>
                    </w:div>
                  </w:divsChild>
                </w:div>
                <w:div w:id="208884297">
                  <w:marLeft w:val="0"/>
                  <w:marRight w:val="0"/>
                  <w:marTop w:val="0"/>
                  <w:marBottom w:val="0"/>
                  <w:divBdr>
                    <w:top w:val="none" w:sz="0" w:space="0" w:color="auto"/>
                    <w:left w:val="none" w:sz="0" w:space="0" w:color="auto"/>
                    <w:bottom w:val="none" w:sz="0" w:space="0" w:color="auto"/>
                    <w:right w:val="none" w:sz="0" w:space="0" w:color="auto"/>
                  </w:divBdr>
                  <w:divsChild>
                    <w:div w:id="1261718237">
                      <w:marLeft w:val="0"/>
                      <w:marRight w:val="0"/>
                      <w:marTop w:val="0"/>
                      <w:marBottom w:val="0"/>
                      <w:divBdr>
                        <w:top w:val="none" w:sz="0" w:space="0" w:color="auto"/>
                        <w:left w:val="none" w:sz="0" w:space="0" w:color="auto"/>
                        <w:bottom w:val="none" w:sz="0" w:space="0" w:color="auto"/>
                        <w:right w:val="none" w:sz="0" w:space="0" w:color="auto"/>
                      </w:divBdr>
                    </w:div>
                  </w:divsChild>
                </w:div>
                <w:div w:id="218707709">
                  <w:marLeft w:val="0"/>
                  <w:marRight w:val="0"/>
                  <w:marTop w:val="0"/>
                  <w:marBottom w:val="0"/>
                  <w:divBdr>
                    <w:top w:val="none" w:sz="0" w:space="0" w:color="auto"/>
                    <w:left w:val="none" w:sz="0" w:space="0" w:color="auto"/>
                    <w:bottom w:val="none" w:sz="0" w:space="0" w:color="auto"/>
                    <w:right w:val="none" w:sz="0" w:space="0" w:color="auto"/>
                  </w:divBdr>
                  <w:divsChild>
                    <w:div w:id="2072658465">
                      <w:marLeft w:val="0"/>
                      <w:marRight w:val="0"/>
                      <w:marTop w:val="0"/>
                      <w:marBottom w:val="0"/>
                      <w:divBdr>
                        <w:top w:val="none" w:sz="0" w:space="0" w:color="auto"/>
                        <w:left w:val="none" w:sz="0" w:space="0" w:color="auto"/>
                        <w:bottom w:val="none" w:sz="0" w:space="0" w:color="auto"/>
                        <w:right w:val="none" w:sz="0" w:space="0" w:color="auto"/>
                      </w:divBdr>
                    </w:div>
                  </w:divsChild>
                </w:div>
                <w:div w:id="247153944">
                  <w:marLeft w:val="0"/>
                  <w:marRight w:val="0"/>
                  <w:marTop w:val="0"/>
                  <w:marBottom w:val="0"/>
                  <w:divBdr>
                    <w:top w:val="none" w:sz="0" w:space="0" w:color="auto"/>
                    <w:left w:val="none" w:sz="0" w:space="0" w:color="auto"/>
                    <w:bottom w:val="none" w:sz="0" w:space="0" w:color="auto"/>
                    <w:right w:val="none" w:sz="0" w:space="0" w:color="auto"/>
                  </w:divBdr>
                  <w:divsChild>
                    <w:div w:id="341442924">
                      <w:marLeft w:val="0"/>
                      <w:marRight w:val="0"/>
                      <w:marTop w:val="0"/>
                      <w:marBottom w:val="0"/>
                      <w:divBdr>
                        <w:top w:val="none" w:sz="0" w:space="0" w:color="auto"/>
                        <w:left w:val="none" w:sz="0" w:space="0" w:color="auto"/>
                        <w:bottom w:val="none" w:sz="0" w:space="0" w:color="auto"/>
                        <w:right w:val="none" w:sz="0" w:space="0" w:color="auto"/>
                      </w:divBdr>
                    </w:div>
                  </w:divsChild>
                </w:div>
                <w:div w:id="256255590">
                  <w:marLeft w:val="0"/>
                  <w:marRight w:val="0"/>
                  <w:marTop w:val="0"/>
                  <w:marBottom w:val="0"/>
                  <w:divBdr>
                    <w:top w:val="none" w:sz="0" w:space="0" w:color="auto"/>
                    <w:left w:val="none" w:sz="0" w:space="0" w:color="auto"/>
                    <w:bottom w:val="none" w:sz="0" w:space="0" w:color="auto"/>
                    <w:right w:val="none" w:sz="0" w:space="0" w:color="auto"/>
                  </w:divBdr>
                  <w:divsChild>
                    <w:div w:id="712386700">
                      <w:marLeft w:val="0"/>
                      <w:marRight w:val="0"/>
                      <w:marTop w:val="0"/>
                      <w:marBottom w:val="0"/>
                      <w:divBdr>
                        <w:top w:val="none" w:sz="0" w:space="0" w:color="auto"/>
                        <w:left w:val="none" w:sz="0" w:space="0" w:color="auto"/>
                        <w:bottom w:val="none" w:sz="0" w:space="0" w:color="auto"/>
                        <w:right w:val="none" w:sz="0" w:space="0" w:color="auto"/>
                      </w:divBdr>
                    </w:div>
                  </w:divsChild>
                </w:div>
                <w:div w:id="257297165">
                  <w:marLeft w:val="0"/>
                  <w:marRight w:val="0"/>
                  <w:marTop w:val="0"/>
                  <w:marBottom w:val="0"/>
                  <w:divBdr>
                    <w:top w:val="none" w:sz="0" w:space="0" w:color="auto"/>
                    <w:left w:val="none" w:sz="0" w:space="0" w:color="auto"/>
                    <w:bottom w:val="none" w:sz="0" w:space="0" w:color="auto"/>
                    <w:right w:val="none" w:sz="0" w:space="0" w:color="auto"/>
                  </w:divBdr>
                  <w:divsChild>
                    <w:div w:id="1812282773">
                      <w:marLeft w:val="0"/>
                      <w:marRight w:val="0"/>
                      <w:marTop w:val="0"/>
                      <w:marBottom w:val="0"/>
                      <w:divBdr>
                        <w:top w:val="none" w:sz="0" w:space="0" w:color="auto"/>
                        <w:left w:val="none" w:sz="0" w:space="0" w:color="auto"/>
                        <w:bottom w:val="none" w:sz="0" w:space="0" w:color="auto"/>
                        <w:right w:val="none" w:sz="0" w:space="0" w:color="auto"/>
                      </w:divBdr>
                    </w:div>
                  </w:divsChild>
                </w:div>
                <w:div w:id="257718211">
                  <w:marLeft w:val="0"/>
                  <w:marRight w:val="0"/>
                  <w:marTop w:val="0"/>
                  <w:marBottom w:val="0"/>
                  <w:divBdr>
                    <w:top w:val="none" w:sz="0" w:space="0" w:color="auto"/>
                    <w:left w:val="none" w:sz="0" w:space="0" w:color="auto"/>
                    <w:bottom w:val="none" w:sz="0" w:space="0" w:color="auto"/>
                    <w:right w:val="none" w:sz="0" w:space="0" w:color="auto"/>
                  </w:divBdr>
                  <w:divsChild>
                    <w:div w:id="992372994">
                      <w:marLeft w:val="0"/>
                      <w:marRight w:val="0"/>
                      <w:marTop w:val="0"/>
                      <w:marBottom w:val="0"/>
                      <w:divBdr>
                        <w:top w:val="none" w:sz="0" w:space="0" w:color="auto"/>
                        <w:left w:val="none" w:sz="0" w:space="0" w:color="auto"/>
                        <w:bottom w:val="none" w:sz="0" w:space="0" w:color="auto"/>
                        <w:right w:val="none" w:sz="0" w:space="0" w:color="auto"/>
                      </w:divBdr>
                    </w:div>
                  </w:divsChild>
                </w:div>
                <w:div w:id="259489723">
                  <w:marLeft w:val="0"/>
                  <w:marRight w:val="0"/>
                  <w:marTop w:val="0"/>
                  <w:marBottom w:val="0"/>
                  <w:divBdr>
                    <w:top w:val="none" w:sz="0" w:space="0" w:color="auto"/>
                    <w:left w:val="none" w:sz="0" w:space="0" w:color="auto"/>
                    <w:bottom w:val="none" w:sz="0" w:space="0" w:color="auto"/>
                    <w:right w:val="none" w:sz="0" w:space="0" w:color="auto"/>
                  </w:divBdr>
                  <w:divsChild>
                    <w:div w:id="344594244">
                      <w:marLeft w:val="0"/>
                      <w:marRight w:val="0"/>
                      <w:marTop w:val="0"/>
                      <w:marBottom w:val="0"/>
                      <w:divBdr>
                        <w:top w:val="none" w:sz="0" w:space="0" w:color="auto"/>
                        <w:left w:val="none" w:sz="0" w:space="0" w:color="auto"/>
                        <w:bottom w:val="none" w:sz="0" w:space="0" w:color="auto"/>
                        <w:right w:val="none" w:sz="0" w:space="0" w:color="auto"/>
                      </w:divBdr>
                    </w:div>
                  </w:divsChild>
                </w:div>
                <w:div w:id="282925424">
                  <w:marLeft w:val="0"/>
                  <w:marRight w:val="0"/>
                  <w:marTop w:val="0"/>
                  <w:marBottom w:val="0"/>
                  <w:divBdr>
                    <w:top w:val="none" w:sz="0" w:space="0" w:color="auto"/>
                    <w:left w:val="none" w:sz="0" w:space="0" w:color="auto"/>
                    <w:bottom w:val="none" w:sz="0" w:space="0" w:color="auto"/>
                    <w:right w:val="none" w:sz="0" w:space="0" w:color="auto"/>
                  </w:divBdr>
                  <w:divsChild>
                    <w:div w:id="436143622">
                      <w:marLeft w:val="0"/>
                      <w:marRight w:val="0"/>
                      <w:marTop w:val="0"/>
                      <w:marBottom w:val="0"/>
                      <w:divBdr>
                        <w:top w:val="none" w:sz="0" w:space="0" w:color="auto"/>
                        <w:left w:val="none" w:sz="0" w:space="0" w:color="auto"/>
                        <w:bottom w:val="none" w:sz="0" w:space="0" w:color="auto"/>
                        <w:right w:val="none" w:sz="0" w:space="0" w:color="auto"/>
                      </w:divBdr>
                    </w:div>
                  </w:divsChild>
                </w:div>
                <w:div w:id="305940089">
                  <w:marLeft w:val="0"/>
                  <w:marRight w:val="0"/>
                  <w:marTop w:val="0"/>
                  <w:marBottom w:val="0"/>
                  <w:divBdr>
                    <w:top w:val="none" w:sz="0" w:space="0" w:color="auto"/>
                    <w:left w:val="none" w:sz="0" w:space="0" w:color="auto"/>
                    <w:bottom w:val="none" w:sz="0" w:space="0" w:color="auto"/>
                    <w:right w:val="none" w:sz="0" w:space="0" w:color="auto"/>
                  </w:divBdr>
                  <w:divsChild>
                    <w:div w:id="1601915192">
                      <w:marLeft w:val="0"/>
                      <w:marRight w:val="0"/>
                      <w:marTop w:val="0"/>
                      <w:marBottom w:val="0"/>
                      <w:divBdr>
                        <w:top w:val="none" w:sz="0" w:space="0" w:color="auto"/>
                        <w:left w:val="none" w:sz="0" w:space="0" w:color="auto"/>
                        <w:bottom w:val="none" w:sz="0" w:space="0" w:color="auto"/>
                        <w:right w:val="none" w:sz="0" w:space="0" w:color="auto"/>
                      </w:divBdr>
                    </w:div>
                  </w:divsChild>
                </w:div>
                <w:div w:id="317850096">
                  <w:marLeft w:val="0"/>
                  <w:marRight w:val="0"/>
                  <w:marTop w:val="0"/>
                  <w:marBottom w:val="0"/>
                  <w:divBdr>
                    <w:top w:val="none" w:sz="0" w:space="0" w:color="auto"/>
                    <w:left w:val="none" w:sz="0" w:space="0" w:color="auto"/>
                    <w:bottom w:val="none" w:sz="0" w:space="0" w:color="auto"/>
                    <w:right w:val="none" w:sz="0" w:space="0" w:color="auto"/>
                  </w:divBdr>
                  <w:divsChild>
                    <w:div w:id="1662807845">
                      <w:marLeft w:val="0"/>
                      <w:marRight w:val="0"/>
                      <w:marTop w:val="0"/>
                      <w:marBottom w:val="0"/>
                      <w:divBdr>
                        <w:top w:val="none" w:sz="0" w:space="0" w:color="auto"/>
                        <w:left w:val="none" w:sz="0" w:space="0" w:color="auto"/>
                        <w:bottom w:val="none" w:sz="0" w:space="0" w:color="auto"/>
                        <w:right w:val="none" w:sz="0" w:space="0" w:color="auto"/>
                      </w:divBdr>
                    </w:div>
                  </w:divsChild>
                </w:div>
                <w:div w:id="347485251">
                  <w:marLeft w:val="0"/>
                  <w:marRight w:val="0"/>
                  <w:marTop w:val="0"/>
                  <w:marBottom w:val="0"/>
                  <w:divBdr>
                    <w:top w:val="none" w:sz="0" w:space="0" w:color="auto"/>
                    <w:left w:val="none" w:sz="0" w:space="0" w:color="auto"/>
                    <w:bottom w:val="none" w:sz="0" w:space="0" w:color="auto"/>
                    <w:right w:val="none" w:sz="0" w:space="0" w:color="auto"/>
                  </w:divBdr>
                  <w:divsChild>
                    <w:div w:id="1896547619">
                      <w:marLeft w:val="0"/>
                      <w:marRight w:val="0"/>
                      <w:marTop w:val="0"/>
                      <w:marBottom w:val="0"/>
                      <w:divBdr>
                        <w:top w:val="none" w:sz="0" w:space="0" w:color="auto"/>
                        <w:left w:val="none" w:sz="0" w:space="0" w:color="auto"/>
                        <w:bottom w:val="none" w:sz="0" w:space="0" w:color="auto"/>
                        <w:right w:val="none" w:sz="0" w:space="0" w:color="auto"/>
                      </w:divBdr>
                    </w:div>
                  </w:divsChild>
                </w:div>
                <w:div w:id="350880894">
                  <w:marLeft w:val="0"/>
                  <w:marRight w:val="0"/>
                  <w:marTop w:val="0"/>
                  <w:marBottom w:val="0"/>
                  <w:divBdr>
                    <w:top w:val="none" w:sz="0" w:space="0" w:color="auto"/>
                    <w:left w:val="none" w:sz="0" w:space="0" w:color="auto"/>
                    <w:bottom w:val="none" w:sz="0" w:space="0" w:color="auto"/>
                    <w:right w:val="none" w:sz="0" w:space="0" w:color="auto"/>
                  </w:divBdr>
                  <w:divsChild>
                    <w:div w:id="1007901199">
                      <w:marLeft w:val="0"/>
                      <w:marRight w:val="0"/>
                      <w:marTop w:val="0"/>
                      <w:marBottom w:val="0"/>
                      <w:divBdr>
                        <w:top w:val="none" w:sz="0" w:space="0" w:color="auto"/>
                        <w:left w:val="none" w:sz="0" w:space="0" w:color="auto"/>
                        <w:bottom w:val="none" w:sz="0" w:space="0" w:color="auto"/>
                        <w:right w:val="none" w:sz="0" w:space="0" w:color="auto"/>
                      </w:divBdr>
                    </w:div>
                  </w:divsChild>
                </w:div>
                <w:div w:id="355232112">
                  <w:marLeft w:val="0"/>
                  <w:marRight w:val="0"/>
                  <w:marTop w:val="0"/>
                  <w:marBottom w:val="0"/>
                  <w:divBdr>
                    <w:top w:val="none" w:sz="0" w:space="0" w:color="auto"/>
                    <w:left w:val="none" w:sz="0" w:space="0" w:color="auto"/>
                    <w:bottom w:val="none" w:sz="0" w:space="0" w:color="auto"/>
                    <w:right w:val="none" w:sz="0" w:space="0" w:color="auto"/>
                  </w:divBdr>
                  <w:divsChild>
                    <w:div w:id="1682731820">
                      <w:marLeft w:val="0"/>
                      <w:marRight w:val="0"/>
                      <w:marTop w:val="0"/>
                      <w:marBottom w:val="0"/>
                      <w:divBdr>
                        <w:top w:val="none" w:sz="0" w:space="0" w:color="auto"/>
                        <w:left w:val="none" w:sz="0" w:space="0" w:color="auto"/>
                        <w:bottom w:val="none" w:sz="0" w:space="0" w:color="auto"/>
                        <w:right w:val="none" w:sz="0" w:space="0" w:color="auto"/>
                      </w:divBdr>
                    </w:div>
                  </w:divsChild>
                </w:div>
                <w:div w:id="356737108">
                  <w:marLeft w:val="0"/>
                  <w:marRight w:val="0"/>
                  <w:marTop w:val="0"/>
                  <w:marBottom w:val="0"/>
                  <w:divBdr>
                    <w:top w:val="none" w:sz="0" w:space="0" w:color="auto"/>
                    <w:left w:val="none" w:sz="0" w:space="0" w:color="auto"/>
                    <w:bottom w:val="none" w:sz="0" w:space="0" w:color="auto"/>
                    <w:right w:val="none" w:sz="0" w:space="0" w:color="auto"/>
                  </w:divBdr>
                  <w:divsChild>
                    <w:div w:id="681400126">
                      <w:marLeft w:val="0"/>
                      <w:marRight w:val="0"/>
                      <w:marTop w:val="0"/>
                      <w:marBottom w:val="0"/>
                      <w:divBdr>
                        <w:top w:val="none" w:sz="0" w:space="0" w:color="auto"/>
                        <w:left w:val="none" w:sz="0" w:space="0" w:color="auto"/>
                        <w:bottom w:val="none" w:sz="0" w:space="0" w:color="auto"/>
                        <w:right w:val="none" w:sz="0" w:space="0" w:color="auto"/>
                      </w:divBdr>
                    </w:div>
                  </w:divsChild>
                </w:div>
                <w:div w:id="369187407">
                  <w:marLeft w:val="0"/>
                  <w:marRight w:val="0"/>
                  <w:marTop w:val="0"/>
                  <w:marBottom w:val="0"/>
                  <w:divBdr>
                    <w:top w:val="none" w:sz="0" w:space="0" w:color="auto"/>
                    <w:left w:val="none" w:sz="0" w:space="0" w:color="auto"/>
                    <w:bottom w:val="none" w:sz="0" w:space="0" w:color="auto"/>
                    <w:right w:val="none" w:sz="0" w:space="0" w:color="auto"/>
                  </w:divBdr>
                  <w:divsChild>
                    <w:div w:id="1005550965">
                      <w:marLeft w:val="0"/>
                      <w:marRight w:val="0"/>
                      <w:marTop w:val="0"/>
                      <w:marBottom w:val="0"/>
                      <w:divBdr>
                        <w:top w:val="none" w:sz="0" w:space="0" w:color="auto"/>
                        <w:left w:val="none" w:sz="0" w:space="0" w:color="auto"/>
                        <w:bottom w:val="none" w:sz="0" w:space="0" w:color="auto"/>
                        <w:right w:val="none" w:sz="0" w:space="0" w:color="auto"/>
                      </w:divBdr>
                    </w:div>
                  </w:divsChild>
                </w:div>
                <w:div w:id="370689413">
                  <w:marLeft w:val="0"/>
                  <w:marRight w:val="0"/>
                  <w:marTop w:val="0"/>
                  <w:marBottom w:val="0"/>
                  <w:divBdr>
                    <w:top w:val="none" w:sz="0" w:space="0" w:color="auto"/>
                    <w:left w:val="none" w:sz="0" w:space="0" w:color="auto"/>
                    <w:bottom w:val="none" w:sz="0" w:space="0" w:color="auto"/>
                    <w:right w:val="none" w:sz="0" w:space="0" w:color="auto"/>
                  </w:divBdr>
                  <w:divsChild>
                    <w:div w:id="1320961613">
                      <w:marLeft w:val="0"/>
                      <w:marRight w:val="0"/>
                      <w:marTop w:val="0"/>
                      <w:marBottom w:val="0"/>
                      <w:divBdr>
                        <w:top w:val="none" w:sz="0" w:space="0" w:color="auto"/>
                        <w:left w:val="none" w:sz="0" w:space="0" w:color="auto"/>
                        <w:bottom w:val="none" w:sz="0" w:space="0" w:color="auto"/>
                        <w:right w:val="none" w:sz="0" w:space="0" w:color="auto"/>
                      </w:divBdr>
                    </w:div>
                  </w:divsChild>
                </w:div>
                <w:div w:id="375008839">
                  <w:marLeft w:val="0"/>
                  <w:marRight w:val="0"/>
                  <w:marTop w:val="0"/>
                  <w:marBottom w:val="0"/>
                  <w:divBdr>
                    <w:top w:val="none" w:sz="0" w:space="0" w:color="auto"/>
                    <w:left w:val="none" w:sz="0" w:space="0" w:color="auto"/>
                    <w:bottom w:val="none" w:sz="0" w:space="0" w:color="auto"/>
                    <w:right w:val="none" w:sz="0" w:space="0" w:color="auto"/>
                  </w:divBdr>
                  <w:divsChild>
                    <w:div w:id="665784001">
                      <w:marLeft w:val="0"/>
                      <w:marRight w:val="0"/>
                      <w:marTop w:val="0"/>
                      <w:marBottom w:val="0"/>
                      <w:divBdr>
                        <w:top w:val="none" w:sz="0" w:space="0" w:color="auto"/>
                        <w:left w:val="none" w:sz="0" w:space="0" w:color="auto"/>
                        <w:bottom w:val="none" w:sz="0" w:space="0" w:color="auto"/>
                        <w:right w:val="none" w:sz="0" w:space="0" w:color="auto"/>
                      </w:divBdr>
                    </w:div>
                  </w:divsChild>
                </w:div>
                <w:div w:id="388116472">
                  <w:marLeft w:val="0"/>
                  <w:marRight w:val="0"/>
                  <w:marTop w:val="0"/>
                  <w:marBottom w:val="0"/>
                  <w:divBdr>
                    <w:top w:val="none" w:sz="0" w:space="0" w:color="auto"/>
                    <w:left w:val="none" w:sz="0" w:space="0" w:color="auto"/>
                    <w:bottom w:val="none" w:sz="0" w:space="0" w:color="auto"/>
                    <w:right w:val="none" w:sz="0" w:space="0" w:color="auto"/>
                  </w:divBdr>
                  <w:divsChild>
                    <w:div w:id="1284069863">
                      <w:marLeft w:val="0"/>
                      <w:marRight w:val="0"/>
                      <w:marTop w:val="0"/>
                      <w:marBottom w:val="0"/>
                      <w:divBdr>
                        <w:top w:val="none" w:sz="0" w:space="0" w:color="auto"/>
                        <w:left w:val="none" w:sz="0" w:space="0" w:color="auto"/>
                        <w:bottom w:val="none" w:sz="0" w:space="0" w:color="auto"/>
                        <w:right w:val="none" w:sz="0" w:space="0" w:color="auto"/>
                      </w:divBdr>
                    </w:div>
                  </w:divsChild>
                </w:div>
                <w:div w:id="398868683">
                  <w:marLeft w:val="0"/>
                  <w:marRight w:val="0"/>
                  <w:marTop w:val="0"/>
                  <w:marBottom w:val="0"/>
                  <w:divBdr>
                    <w:top w:val="none" w:sz="0" w:space="0" w:color="auto"/>
                    <w:left w:val="none" w:sz="0" w:space="0" w:color="auto"/>
                    <w:bottom w:val="none" w:sz="0" w:space="0" w:color="auto"/>
                    <w:right w:val="none" w:sz="0" w:space="0" w:color="auto"/>
                  </w:divBdr>
                  <w:divsChild>
                    <w:div w:id="1084259357">
                      <w:marLeft w:val="0"/>
                      <w:marRight w:val="0"/>
                      <w:marTop w:val="0"/>
                      <w:marBottom w:val="0"/>
                      <w:divBdr>
                        <w:top w:val="none" w:sz="0" w:space="0" w:color="auto"/>
                        <w:left w:val="none" w:sz="0" w:space="0" w:color="auto"/>
                        <w:bottom w:val="none" w:sz="0" w:space="0" w:color="auto"/>
                        <w:right w:val="none" w:sz="0" w:space="0" w:color="auto"/>
                      </w:divBdr>
                    </w:div>
                  </w:divsChild>
                </w:div>
                <w:div w:id="399983901">
                  <w:marLeft w:val="0"/>
                  <w:marRight w:val="0"/>
                  <w:marTop w:val="0"/>
                  <w:marBottom w:val="0"/>
                  <w:divBdr>
                    <w:top w:val="none" w:sz="0" w:space="0" w:color="auto"/>
                    <w:left w:val="none" w:sz="0" w:space="0" w:color="auto"/>
                    <w:bottom w:val="none" w:sz="0" w:space="0" w:color="auto"/>
                    <w:right w:val="none" w:sz="0" w:space="0" w:color="auto"/>
                  </w:divBdr>
                  <w:divsChild>
                    <w:div w:id="1001933309">
                      <w:marLeft w:val="0"/>
                      <w:marRight w:val="0"/>
                      <w:marTop w:val="0"/>
                      <w:marBottom w:val="0"/>
                      <w:divBdr>
                        <w:top w:val="none" w:sz="0" w:space="0" w:color="auto"/>
                        <w:left w:val="none" w:sz="0" w:space="0" w:color="auto"/>
                        <w:bottom w:val="none" w:sz="0" w:space="0" w:color="auto"/>
                        <w:right w:val="none" w:sz="0" w:space="0" w:color="auto"/>
                      </w:divBdr>
                    </w:div>
                  </w:divsChild>
                </w:div>
                <w:div w:id="405303410">
                  <w:marLeft w:val="0"/>
                  <w:marRight w:val="0"/>
                  <w:marTop w:val="0"/>
                  <w:marBottom w:val="0"/>
                  <w:divBdr>
                    <w:top w:val="none" w:sz="0" w:space="0" w:color="auto"/>
                    <w:left w:val="none" w:sz="0" w:space="0" w:color="auto"/>
                    <w:bottom w:val="none" w:sz="0" w:space="0" w:color="auto"/>
                    <w:right w:val="none" w:sz="0" w:space="0" w:color="auto"/>
                  </w:divBdr>
                  <w:divsChild>
                    <w:div w:id="872035382">
                      <w:marLeft w:val="0"/>
                      <w:marRight w:val="0"/>
                      <w:marTop w:val="0"/>
                      <w:marBottom w:val="0"/>
                      <w:divBdr>
                        <w:top w:val="none" w:sz="0" w:space="0" w:color="auto"/>
                        <w:left w:val="none" w:sz="0" w:space="0" w:color="auto"/>
                        <w:bottom w:val="none" w:sz="0" w:space="0" w:color="auto"/>
                        <w:right w:val="none" w:sz="0" w:space="0" w:color="auto"/>
                      </w:divBdr>
                    </w:div>
                  </w:divsChild>
                </w:div>
                <w:div w:id="416679784">
                  <w:marLeft w:val="0"/>
                  <w:marRight w:val="0"/>
                  <w:marTop w:val="0"/>
                  <w:marBottom w:val="0"/>
                  <w:divBdr>
                    <w:top w:val="none" w:sz="0" w:space="0" w:color="auto"/>
                    <w:left w:val="none" w:sz="0" w:space="0" w:color="auto"/>
                    <w:bottom w:val="none" w:sz="0" w:space="0" w:color="auto"/>
                    <w:right w:val="none" w:sz="0" w:space="0" w:color="auto"/>
                  </w:divBdr>
                  <w:divsChild>
                    <w:div w:id="1971158682">
                      <w:marLeft w:val="0"/>
                      <w:marRight w:val="0"/>
                      <w:marTop w:val="0"/>
                      <w:marBottom w:val="0"/>
                      <w:divBdr>
                        <w:top w:val="none" w:sz="0" w:space="0" w:color="auto"/>
                        <w:left w:val="none" w:sz="0" w:space="0" w:color="auto"/>
                        <w:bottom w:val="none" w:sz="0" w:space="0" w:color="auto"/>
                        <w:right w:val="none" w:sz="0" w:space="0" w:color="auto"/>
                      </w:divBdr>
                    </w:div>
                  </w:divsChild>
                </w:div>
                <w:div w:id="419908505">
                  <w:marLeft w:val="0"/>
                  <w:marRight w:val="0"/>
                  <w:marTop w:val="0"/>
                  <w:marBottom w:val="0"/>
                  <w:divBdr>
                    <w:top w:val="none" w:sz="0" w:space="0" w:color="auto"/>
                    <w:left w:val="none" w:sz="0" w:space="0" w:color="auto"/>
                    <w:bottom w:val="none" w:sz="0" w:space="0" w:color="auto"/>
                    <w:right w:val="none" w:sz="0" w:space="0" w:color="auto"/>
                  </w:divBdr>
                  <w:divsChild>
                    <w:div w:id="1295789186">
                      <w:marLeft w:val="0"/>
                      <w:marRight w:val="0"/>
                      <w:marTop w:val="0"/>
                      <w:marBottom w:val="0"/>
                      <w:divBdr>
                        <w:top w:val="none" w:sz="0" w:space="0" w:color="auto"/>
                        <w:left w:val="none" w:sz="0" w:space="0" w:color="auto"/>
                        <w:bottom w:val="none" w:sz="0" w:space="0" w:color="auto"/>
                        <w:right w:val="none" w:sz="0" w:space="0" w:color="auto"/>
                      </w:divBdr>
                    </w:div>
                  </w:divsChild>
                </w:div>
                <w:div w:id="422647435">
                  <w:marLeft w:val="0"/>
                  <w:marRight w:val="0"/>
                  <w:marTop w:val="0"/>
                  <w:marBottom w:val="0"/>
                  <w:divBdr>
                    <w:top w:val="none" w:sz="0" w:space="0" w:color="auto"/>
                    <w:left w:val="none" w:sz="0" w:space="0" w:color="auto"/>
                    <w:bottom w:val="none" w:sz="0" w:space="0" w:color="auto"/>
                    <w:right w:val="none" w:sz="0" w:space="0" w:color="auto"/>
                  </w:divBdr>
                  <w:divsChild>
                    <w:div w:id="73935739">
                      <w:marLeft w:val="0"/>
                      <w:marRight w:val="0"/>
                      <w:marTop w:val="0"/>
                      <w:marBottom w:val="0"/>
                      <w:divBdr>
                        <w:top w:val="none" w:sz="0" w:space="0" w:color="auto"/>
                        <w:left w:val="none" w:sz="0" w:space="0" w:color="auto"/>
                        <w:bottom w:val="none" w:sz="0" w:space="0" w:color="auto"/>
                        <w:right w:val="none" w:sz="0" w:space="0" w:color="auto"/>
                      </w:divBdr>
                    </w:div>
                  </w:divsChild>
                </w:div>
                <w:div w:id="427964132">
                  <w:marLeft w:val="0"/>
                  <w:marRight w:val="0"/>
                  <w:marTop w:val="0"/>
                  <w:marBottom w:val="0"/>
                  <w:divBdr>
                    <w:top w:val="none" w:sz="0" w:space="0" w:color="auto"/>
                    <w:left w:val="none" w:sz="0" w:space="0" w:color="auto"/>
                    <w:bottom w:val="none" w:sz="0" w:space="0" w:color="auto"/>
                    <w:right w:val="none" w:sz="0" w:space="0" w:color="auto"/>
                  </w:divBdr>
                  <w:divsChild>
                    <w:div w:id="1233543439">
                      <w:marLeft w:val="0"/>
                      <w:marRight w:val="0"/>
                      <w:marTop w:val="0"/>
                      <w:marBottom w:val="0"/>
                      <w:divBdr>
                        <w:top w:val="none" w:sz="0" w:space="0" w:color="auto"/>
                        <w:left w:val="none" w:sz="0" w:space="0" w:color="auto"/>
                        <w:bottom w:val="none" w:sz="0" w:space="0" w:color="auto"/>
                        <w:right w:val="none" w:sz="0" w:space="0" w:color="auto"/>
                      </w:divBdr>
                    </w:div>
                  </w:divsChild>
                </w:div>
                <w:div w:id="439494389">
                  <w:marLeft w:val="0"/>
                  <w:marRight w:val="0"/>
                  <w:marTop w:val="0"/>
                  <w:marBottom w:val="0"/>
                  <w:divBdr>
                    <w:top w:val="none" w:sz="0" w:space="0" w:color="auto"/>
                    <w:left w:val="none" w:sz="0" w:space="0" w:color="auto"/>
                    <w:bottom w:val="none" w:sz="0" w:space="0" w:color="auto"/>
                    <w:right w:val="none" w:sz="0" w:space="0" w:color="auto"/>
                  </w:divBdr>
                  <w:divsChild>
                    <w:div w:id="838544751">
                      <w:marLeft w:val="0"/>
                      <w:marRight w:val="0"/>
                      <w:marTop w:val="0"/>
                      <w:marBottom w:val="0"/>
                      <w:divBdr>
                        <w:top w:val="none" w:sz="0" w:space="0" w:color="auto"/>
                        <w:left w:val="none" w:sz="0" w:space="0" w:color="auto"/>
                        <w:bottom w:val="none" w:sz="0" w:space="0" w:color="auto"/>
                        <w:right w:val="none" w:sz="0" w:space="0" w:color="auto"/>
                      </w:divBdr>
                    </w:div>
                  </w:divsChild>
                </w:div>
                <w:div w:id="455410395">
                  <w:marLeft w:val="0"/>
                  <w:marRight w:val="0"/>
                  <w:marTop w:val="0"/>
                  <w:marBottom w:val="0"/>
                  <w:divBdr>
                    <w:top w:val="none" w:sz="0" w:space="0" w:color="auto"/>
                    <w:left w:val="none" w:sz="0" w:space="0" w:color="auto"/>
                    <w:bottom w:val="none" w:sz="0" w:space="0" w:color="auto"/>
                    <w:right w:val="none" w:sz="0" w:space="0" w:color="auto"/>
                  </w:divBdr>
                  <w:divsChild>
                    <w:div w:id="836845787">
                      <w:marLeft w:val="0"/>
                      <w:marRight w:val="0"/>
                      <w:marTop w:val="0"/>
                      <w:marBottom w:val="0"/>
                      <w:divBdr>
                        <w:top w:val="none" w:sz="0" w:space="0" w:color="auto"/>
                        <w:left w:val="none" w:sz="0" w:space="0" w:color="auto"/>
                        <w:bottom w:val="none" w:sz="0" w:space="0" w:color="auto"/>
                        <w:right w:val="none" w:sz="0" w:space="0" w:color="auto"/>
                      </w:divBdr>
                    </w:div>
                  </w:divsChild>
                </w:div>
                <w:div w:id="460342843">
                  <w:marLeft w:val="0"/>
                  <w:marRight w:val="0"/>
                  <w:marTop w:val="0"/>
                  <w:marBottom w:val="0"/>
                  <w:divBdr>
                    <w:top w:val="none" w:sz="0" w:space="0" w:color="auto"/>
                    <w:left w:val="none" w:sz="0" w:space="0" w:color="auto"/>
                    <w:bottom w:val="none" w:sz="0" w:space="0" w:color="auto"/>
                    <w:right w:val="none" w:sz="0" w:space="0" w:color="auto"/>
                  </w:divBdr>
                  <w:divsChild>
                    <w:div w:id="1149589841">
                      <w:marLeft w:val="0"/>
                      <w:marRight w:val="0"/>
                      <w:marTop w:val="0"/>
                      <w:marBottom w:val="0"/>
                      <w:divBdr>
                        <w:top w:val="none" w:sz="0" w:space="0" w:color="auto"/>
                        <w:left w:val="none" w:sz="0" w:space="0" w:color="auto"/>
                        <w:bottom w:val="none" w:sz="0" w:space="0" w:color="auto"/>
                        <w:right w:val="none" w:sz="0" w:space="0" w:color="auto"/>
                      </w:divBdr>
                    </w:div>
                  </w:divsChild>
                </w:div>
                <w:div w:id="464860386">
                  <w:marLeft w:val="0"/>
                  <w:marRight w:val="0"/>
                  <w:marTop w:val="0"/>
                  <w:marBottom w:val="0"/>
                  <w:divBdr>
                    <w:top w:val="none" w:sz="0" w:space="0" w:color="auto"/>
                    <w:left w:val="none" w:sz="0" w:space="0" w:color="auto"/>
                    <w:bottom w:val="none" w:sz="0" w:space="0" w:color="auto"/>
                    <w:right w:val="none" w:sz="0" w:space="0" w:color="auto"/>
                  </w:divBdr>
                  <w:divsChild>
                    <w:div w:id="2093311050">
                      <w:marLeft w:val="0"/>
                      <w:marRight w:val="0"/>
                      <w:marTop w:val="0"/>
                      <w:marBottom w:val="0"/>
                      <w:divBdr>
                        <w:top w:val="none" w:sz="0" w:space="0" w:color="auto"/>
                        <w:left w:val="none" w:sz="0" w:space="0" w:color="auto"/>
                        <w:bottom w:val="none" w:sz="0" w:space="0" w:color="auto"/>
                        <w:right w:val="none" w:sz="0" w:space="0" w:color="auto"/>
                      </w:divBdr>
                    </w:div>
                  </w:divsChild>
                </w:div>
                <w:div w:id="468209491">
                  <w:marLeft w:val="0"/>
                  <w:marRight w:val="0"/>
                  <w:marTop w:val="0"/>
                  <w:marBottom w:val="0"/>
                  <w:divBdr>
                    <w:top w:val="none" w:sz="0" w:space="0" w:color="auto"/>
                    <w:left w:val="none" w:sz="0" w:space="0" w:color="auto"/>
                    <w:bottom w:val="none" w:sz="0" w:space="0" w:color="auto"/>
                    <w:right w:val="none" w:sz="0" w:space="0" w:color="auto"/>
                  </w:divBdr>
                  <w:divsChild>
                    <w:div w:id="1347562640">
                      <w:marLeft w:val="0"/>
                      <w:marRight w:val="0"/>
                      <w:marTop w:val="0"/>
                      <w:marBottom w:val="0"/>
                      <w:divBdr>
                        <w:top w:val="none" w:sz="0" w:space="0" w:color="auto"/>
                        <w:left w:val="none" w:sz="0" w:space="0" w:color="auto"/>
                        <w:bottom w:val="none" w:sz="0" w:space="0" w:color="auto"/>
                        <w:right w:val="none" w:sz="0" w:space="0" w:color="auto"/>
                      </w:divBdr>
                    </w:div>
                  </w:divsChild>
                </w:div>
                <w:div w:id="472987898">
                  <w:marLeft w:val="0"/>
                  <w:marRight w:val="0"/>
                  <w:marTop w:val="0"/>
                  <w:marBottom w:val="0"/>
                  <w:divBdr>
                    <w:top w:val="none" w:sz="0" w:space="0" w:color="auto"/>
                    <w:left w:val="none" w:sz="0" w:space="0" w:color="auto"/>
                    <w:bottom w:val="none" w:sz="0" w:space="0" w:color="auto"/>
                    <w:right w:val="none" w:sz="0" w:space="0" w:color="auto"/>
                  </w:divBdr>
                  <w:divsChild>
                    <w:div w:id="1679578999">
                      <w:marLeft w:val="0"/>
                      <w:marRight w:val="0"/>
                      <w:marTop w:val="0"/>
                      <w:marBottom w:val="0"/>
                      <w:divBdr>
                        <w:top w:val="none" w:sz="0" w:space="0" w:color="auto"/>
                        <w:left w:val="none" w:sz="0" w:space="0" w:color="auto"/>
                        <w:bottom w:val="none" w:sz="0" w:space="0" w:color="auto"/>
                        <w:right w:val="none" w:sz="0" w:space="0" w:color="auto"/>
                      </w:divBdr>
                    </w:div>
                  </w:divsChild>
                </w:div>
                <w:div w:id="498814971">
                  <w:marLeft w:val="0"/>
                  <w:marRight w:val="0"/>
                  <w:marTop w:val="0"/>
                  <w:marBottom w:val="0"/>
                  <w:divBdr>
                    <w:top w:val="none" w:sz="0" w:space="0" w:color="auto"/>
                    <w:left w:val="none" w:sz="0" w:space="0" w:color="auto"/>
                    <w:bottom w:val="none" w:sz="0" w:space="0" w:color="auto"/>
                    <w:right w:val="none" w:sz="0" w:space="0" w:color="auto"/>
                  </w:divBdr>
                  <w:divsChild>
                    <w:div w:id="43918116">
                      <w:marLeft w:val="0"/>
                      <w:marRight w:val="0"/>
                      <w:marTop w:val="0"/>
                      <w:marBottom w:val="0"/>
                      <w:divBdr>
                        <w:top w:val="none" w:sz="0" w:space="0" w:color="auto"/>
                        <w:left w:val="none" w:sz="0" w:space="0" w:color="auto"/>
                        <w:bottom w:val="none" w:sz="0" w:space="0" w:color="auto"/>
                        <w:right w:val="none" w:sz="0" w:space="0" w:color="auto"/>
                      </w:divBdr>
                    </w:div>
                  </w:divsChild>
                </w:div>
                <w:div w:id="518475332">
                  <w:marLeft w:val="0"/>
                  <w:marRight w:val="0"/>
                  <w:marTop w:val="0"/>
                  <w:marBottom w:val="0"/>
                  <w:divBdr>
                    <w:top w:val="none" w:sz="0" w:space="0" w:color="auto"/>
                    <w:left w:val="none" w:sz="0" w:space="0" w:color="auto"/>
                    <w:bottom w:val="none" w:sz="0" w:space="0" w:color="auto"/>
                    <w:right w:val="none" w:sz="0" w:space="0" w:color="auto"/>
                  </w:divBdr>
                  <w:divsChild>
                    <w:div w:id="957569765">
                      <w:marLeft w:val="0"/>
                      <w:marRight w:val="0"/>
                      <w:marTop w:val="0"/>
                      <w:marBottom w:val="0"/>
                      <w:divBdr>
                        <w:top w:val="none" w:sz="0" w:space="0" w:color="auto"/>
                        <w:left w:val="none" w:sz="0" w:space="0" w:color="auto"/>
                        <w:bottom w:val="none" w:sz="0" w:space="0" w:color="auto"/>
                        <w:right w:val="none" w:sz="0" w:space="0" w:color="auto"/>
                      </w:divBdr>
                    </w:div>
                  </w:divsChild>
                </w:div>
                <w:div w:id="522788784">
                  <w:marLeft w:val="0"/>
                  <w:marRight w:val="0"/>
                  <w:marTop w:val="0"/>
                  <w:marBottom w:val="0"/>
                  <w:divBdr>
                    <w:top w:val="none" w:sz="0" w:space="0" w:color="auto"/>
                    <w:left w:val="none" w:sz="0" w:space="0" w:color="auto"/>
                    <w:bottom w:val="none" w:sz="0" w:space="0" w:color="auto"/>
                    <w:right w:val="none" w:sz="0" w:space="0" w:color="auto"/>
                  </w:divBdr>
                  <w:divsChild>
                    <w:div w:id="586227742">
                      <w:marLeft w:val="0"/>
                      <w:marRight w:val="0"/>
                      <w:marTop w:val="0"/>
                      <w:marBottom w:val="0"/>
                      <w:divBdr>
                        <w:top w:val="none" w:sz="0" w:space="0" w:color="auto"/>
                        <w:left w:val="none" w:sz="0" w:space="0" w:color="auto"/>
                        <w:bottom w:val="none" w:sz="0" w:space="0" w:color="auto"/>
                        <w:right w:val="none" w:sz="0" w:space="0" w:color="auto"/>
                      </w:divBdr>
                    </w:div>
                  </w:divsChild>
                </w:div>
                <w:div w:id="541670541">
                  <w:marLeft w:val="0"/>
                  <w:marRight w:val="0"/>
                  <w:marTop w:val="0"/>
                  <w:marBottom w:val="0"/>
                  <w:divBdr>
                    <w:top w:val="none" w:sz="0" w:space="0" w:color="auto"/>
                    <w:left w:val="none" w:sz="0" w:space="0" w:color="auto"/>
                    <w:bottom w:val="none" w:sz="0" w:space="0" w:color="auto"/>
                    <w:right w:val="none" w:sz="0" w:space="0" w:color="auto"/>
                  </w:divBdr>
                  <w:divsChild>
                    <w:div w:id="1226144260">
                      <w:marLeft w:val="0"/>
                      <w:marRight w:val="0"/>
                      <w:marTop w:val="0"/>
                      <w:marBottom w:val="0"/>
                      <w:divBdr>
                        <w:top w:val="none" w:sz="0" w:space="0" w:color="auto"/>
                        <w:left w:val="none" w:sz="0" w:space="0" w:color="auto"/>
                        <w:bottom w:val="none" w:sz="0" w:space="0" w:color="auto"/>
                        <w:right w:val="none" w:sz="0" w:space="0" w:color="auto"/>
                      </w:divBdr>
                    </w:div>
                  </w:divsChild>
                </w:div>
                <w:div w:id="543563281">
                  <w:marLeft w:val="0"/>
                  <w:marRight w:val="0"/>
                  <w:marTop w:val="0"/>
                  <w:marBottom w:val="0"/>
                  <w:divBdr>
                    <w:top w:val="none" w:sz="0" w:space="0" w:color="auto"/>
                    <w:left w:val="none" w:sz="0" w:space="0" w:color="auto"/>
                    <w:bottom w:val="none" w:sz="0" w:space="0" w:color="auto"/>
                    <w:right w:val="none" w:sz="0" w:space="0" w:color="auto"/>
                  </w:divBdr>
                  <w:divsChild>
                    <w:div w:id="54621593">
                      <w:marLeft w:val="0"/>
                      <w:marRight w:val="0"/>
                      <w:marTop w:val="0"/>
                      <w:marBottom w:val="0"/>
                      <w:divBdr>
                        <w:top w:val="none" w:sz="0" w:space="0" w:color="auto"/>
                        <w:left w:val="none" w:sz="0" w:space="0" w:color="auto"/>
                        <w:bottom w:val="none" w:sz="0" w:space="0" w:color="auto"/>
                        <w:right w:val="none" w:sz="0" w:space="0" w:color="auto"/>
                      </w:divBdr>
                    </w:div>
                  </w:divsChild>
                </w:div>
                <w:div w:id="559368520">
                  <w:marLeft w:val="0"/>
                  <w:marRight w:val="0"/>
                  <w:marTop w:val="0"/>
                  <w:marBottom w:val="0"/>
                  <w:divBdr>
                    <w:top w:val="none" w:sz="0" w:space="0" w:color="auto"/>
                    <w:left w:val="none" w:sz="0" w:space="0" w:color="auto"/>
                    <w:bottom w:val="none" w:sz="0" w:space="0" w:color="auto"/>
                    <w:right w:val="none" w:sz="0" w:space="0" w:color="auto"/>
                  </w:divBdr>
                  <w:divsChild>
                    <w:div w:id="1290432144">
                      <w:marLeft w:val="0"/>
                      <w:marRight w:val="0"/>
                      <w:marTop w:val="0"/>
                      <w:marBottom w:val="0"/>
                      <w:divBdr>
                        <w:top w:val="none" w:sz="0" w:space="0" w:color="auto"/>
                        <w:left w:val="none" w:sz="0" w:space="0" w:color="auto"/>
                        <w:bottom w:val="none" w:sz="0" w:space="0" w:color="auto"/>
                        <w:right w:val="none" w:sz="0" w:space="0" w:color="auto"/>
                      </w:divBdr>
                    </w:div>
                  </w:divsChild>
                </w:div>
                <w:div w:id="561523694">
                  <w:marLeft w:val="0"/>
                  <w:marRight w:val="0"/>
                  <w:marTop w:val="0"/>
                  <w:marBottom w:val="0"/>
                  <w:divBdr>
                    <w:top w:val="none" w:sz="0" w:space="0" w:color="auto"/>
                    <w:left w:val="none" w:sz="0" w:space="0" w:color="auto"/>
                    <w:bottom w:val="none" w:sz="0" w:space="0" w:color="auto"/>
                    <w:right w:val="none" w:sz="0" w:space="0" w:color="auto"/>
                  </w:divBdr>
                  <w:divsChild>
                    <w:div w:id="1006786627">
                      <w:marLeft w:val="0"/>
                      <w:marRight w:val="0"/>
                      <w:marTop w:val="0"/>
                      <w:marBottom w:val="0"/>
                      <w:divBdr>
                        <w:top w:val="none" w:sz="0" w:space="0" w:color="auto"/>
                        <w:left w:val="none" w:sz="0" w:space="0" w:color="auto"/>
                        <w:bottom w:val="none" w:sz="0" w:space="0" w:color="auto"/>
                        <w:right w:val="none" w:sz="0" w:space="0" w:color="auto"/>
                      </w:divBdr>
                    </w:div>
                  </w:divsChild>
                </w:div>
                <w:div w:id="561841049">
                  <w:marLeft w:val="0"/>
                  <w:marRight w:val="0"/>
                  <w:marTop w:val="0"/>
                  <w:marBottom w:val="0"/>
                  <w:divBdr>
                    <w:top w:val="none" w:sz="0" w:space="0" w:color="auto"/>
                    <w:left w:val="none" w:sz="0" w:space="0" w:color="auto"/>
                    <w:bottom w:val="none" w:sz="0" w:space="0" w:color="auto"/>
                    <w:right w:val="none" w:sz="0" w:space="0" w:color="auto"/>
                  </w:divBdr>
                  <w:divsChild>
                    <w:div w:id="1422870644">
                      <w:marLeft w:val="0"/>
                      <w:marRight w:val="0"/>
                      <w:marTop w:val="0"/>
                      <w:marBottom w:val="0"/>
                      <w:divBdr>
                        <w:top w:val="none" w:sz="0" w:space="0" w:color="auto"/>
                        <w:left w:val="none" w:sz="0" w:space="0" w:color="auto"/>
                        <w:bottom w:val="none" w:sz="0" w:space="0" w:color="auto"/>
                        <w:right w:val="none" w:sz="0" w:space="0" w:color="auto"/>
                      </w:divBdr>
                    </w:div>
                  </w:divsChild>
                </w:div>
                <w:div w:id="564073780">
                  <w:marLeft w:val="0"/>
                  <w:marRight w:val="0"/>
                  <w:marTop w:val="0"/>
                  <w:marBottom w:val="0"/>
                  <w:divBdr>
                    <w:top w:val="none" w:sz="0" w:space="0" w:color="auto"/>
                    <w:left w:val="none" w:sz="0" w:space="0" w:color="auto"/>
                    <w:bottom w:val="none" w:sz="0" w:space="0" w:color="auto"/>
                    <w:right w:val="none" w:sz="0" w:space="0" w:color="auto"/>
                  </w:divBdr>
                  <w:divsChild>
                    <w:div w:id="425618754">
                      <w:marLeft w:val="0"/>
                      <w:marRight w:val="0"/>
                      <w:marTop w:val="0"/>
                      <w:marBottom w:val="0"/>
                      <w:divBdr>
                        <w:top w:val="none" w:sz="0" w:space="0" w:color="auto"/>
                        <w:left w:val="none" w:sz="0" w:space="0" w:color="auto"/>
                        <w:bottom w:val="none" w:sz="0" w:space="0" w:color="auto"/>
                        <w:right w:val="none" w:sz="0" w:space="0" w:color="auto"/>
                      </w:divBdr>
                    </w:div>
                  </w:divsChild>
                </w:div>
                <w:div w:id="573393309">
                  <w:marLeft w:val="0"/>
                  <w:marRight w:val="0"/>
                  <w:marTop w:val="0"/>
                  <w:marBottom w:val="0"/>
                  <w:divBdr>
                    <w:top w:val="none" w:sz="0" w:space="0" w:color="auto"/>
                    <w:left w:val="none" w:sz="0" w:space="0" w:color="auto"/>
                    <w:bottom w:val="none" w:sz="0" w:space="0" w:color="auto"/>
                    <w:right w:val="none" w:sz="0" w:space="0" w:color="auto"/>
                  </w:divBdr>
                  <w:divsChild>
                    <w:div w:id="967587297">
                      <w:marLeft w:val="0"/>
                      <w:marRight w:val="0"/>
                      <w:marTop w:val="0"/>
                      <w:marBottom w:val="0"/>
                      <w:divBdr>
                        <w:top w:val="none" w:sz="0" w:space="0" w:color="auto"/>
                        <w:left w:val="none" w:sz="0" w:space="0" w:color="auto"/>
                        <w:bottom w:val="none" w:sz="0" w:space="0" w:color="auto"/>
                        <w:right w:val="none" w:sz="0" w:space="0" w:color="auto"/>
                      </w:divBdr>
                    </w:div>
                  </w:divsChild>
                </w:div>
                <w:div w:id="573734396">
                  <w:marLeft w:val="0"/>
                  <w:marRight w:val="0"/>
                  <w:marTop w:val="0"/>
                  <w:marBottom w:val="0"/>
                  <w:divBdr>
                    <w:top w:val="none" w:sz="0" w:space="0" w:color="auto"/>
                    <w:left w:val="none" w:sz="0" w:space="0" w:color="auto"/>
                    <w:bottom w:val="none" w:sz="0" w:space="0" w:color="auto"/>
                    <w:right w:val="none" w:sz="0" w:space="0" w:color="auto"/>
                  </w:divBdr>
                  <w:divsChild>
                    <w:div w:id="1972247354">
                      <w:marLeft w:val="0"/>
                      <w:marRight w:val="0"/>
                      <w:marTop w:val="0"/>
                      <w:marBottom w:val="0"/>
                      <w:divBdr>
                        <w:top w:val="none" w:sz="0" w:space="0" w:color="auto"/>
                        <w:left w:val="none" w:sz="0" w:space="0" w:color="auto"/>
                        <w:bottom w:val="none" w:sz="0" w:space="0" w:color="auto"/>
                        <w:right w:val="none" w:sz="0" w:space="0" w:color="auto"/>
                      </w:divBdr>
                    </w:div>
                  </w:divsChild>
                </w:div>
                <w:div w:id="574751104">
                  <w:marLeft w:val="0"/>
                  <w:marRight w:val="0"/>
                  <w:marTop w:val="0"/>
                  <w:marBottom w:val="0"/>
                  <w:divBdr>
                    <w:top w:val="none" w:sz="0" w:space="0" w:color="auto"/>
                    <w:left w:val="none" w:sz="0" w:space="0" w:color="auto"/>
                    <w:bottom w:val="none" w:sz="0" w:space="0" w:color="auto"/>
                    <w:right w:val="none" w:sz="0" w:space="0" w:color="auto"/>
                  </w:divBdr>
                  <w:divsChild>
                    <w:div w:id="300814635">
                      <w:marLeft w:val="0"/>
                      <w:marRight w:val="0"/>
                      <w:marTop w:val="0"/>
                      <w:marBottom w:val="0"/>
                      <w:divBdr>
                        <w:top w:val="none" w:sz="0" w:space="0" w:color="auto"/>
                        <w:left w:val="none" w:sz="0" w:space="0" w:color="auto"/>
                        <w:bottom w:val="none" w:sz="0" w:space="0" w:color="auto"/>
                        <w:right w:val="none" w:sz="0" w:space="0" w:color="auto"/>
                      </w:divBdr>
                    </w:div>
                  </w:divsChild>
                </w:div>
                <w:div w:id="581453296">
                  <w:marLeft w:val="0"/>
                  <w:marRight w:val="0"/>
                  <w:marTop w:val="0"/>
                  <w:marBottom w:val="0"/>
                  <w:divBdr>
                    <w:top w:val="none" w:sz="0" w:space="0" w:color="auto"/>
                    <w:left w:val="none" w:sz="0" w:space="0" w:color="auto"/>
                    <w:bottom w:val="none" w:sz="0" w:space="0" w:color="auto"/>
                    <w:right w:val="none" w:sz="0" w:space="0" w:color="auto"/>
                  </w:divBdr>
                  <w:divsChild>
                    <w:div w:id="893157249">
                      <w:marLeft w:val="0"/>
                      <w:marRight w:val="0"/>
                      <w:marTop w:val="0"/>
                      <w:marBottom w:val="0"/>
                      <w:divBdr>
                        <w:top w:val="none" w:sz="0" w:space="0" w:color="auto"/>
                        <w:left w:val="none" w:sz="0" w:space="0" w:color="auto"/>
                        <w:bottom w:val="none" w:sz="0" w:space="0" w:color="auto"/>
                        <w:right w:val="none" w:sz="0" w:space="0" w:color="auto"/>
                      </w:divBdr>
                    </w:div>
                  </w:divsChild>
                </w:div>
                <w:div w:id="601962502">
                  <w:marLeft w:val="0"/>
                  <w:marRight w:val="0"/>
                  <w:marTop w:val="0"/>
                  <w:marBottom w:val="0"/>
                  <w:divBdr>
                    <w:top w:val="none" w:sz="0" w:space="0" w:color="auto"/>
                    <w:left w:val="none" w:sz="0" w:space="0" w:color="auto"/>
                    <w:bottom w:val="none" w:sz="0" w:space="0" w:color="auto"/>
                    <w:right w:val="none" w:sz="0" w:space="0" w:color="auto"/>
                  </w:divBdr>
                  <w:divsChild>
                    <w:div w:id="355355497">
                      <w:marLeft w:val="0"/>
                      <w:marRight w:val="0"/>
                      <w:marTop w:val="0"/>
                      <w:marBottom w:val="0"/>
                      <w:divBdr>
                        <w:top w:val="none" w:sz="0" w:space="0" w:color="auto"/>
                        <w:left w:val="none" w:sz="0" w:space="0" w:color="auto"/>
                        <w:bottom w:val="none" w:sz="0" w:space="0" w:color="auto"/>
                        <w:right w:val="none" w:sz="0" w:space="0" w:color="auto"/>
                      </w:divBdr>
                    </w:div>
                  </w:divsChild>
                </w:div>
                <w:div w:id="633758912">
                  <w:marLeft w:val="0"/>
                  <w:marRight w:val="0"/>
                  <w:marTop w:val="0"/>
                  <w:marBottom w:val="0"/>
                  <w:divBdr>
                    <w:top w:val="none" w:sz="0" w:space="0" w:color="auto"/>
                    <w:left w:val="none" w:sz="0" w:space="0" w:color="auto"/>
                    <w:bottom w:val="none" w:sz="0" w:space="0" w:color="auto"/>
                    <w:right w:val="none" w:sz="0" w:space="0" w:color="auto"/>
                  </w:divBdr>
                  <w:divsChild>
                    <w:div w:id="1224952504">
                      <w:marLeft w:val="0"/>
                      <w:marRight w:val="0"/>
                      <w:marTop w:val="0"/>
                      <w:marBottom w:val="0"/>
                      <w:divBdr>
                        <w:top w:val="none" w:sz="0" w:space="0" w:color="auto"/>
                        <w:left w:val="none" w:sz="0" w:space="0" w:color="auto"/>
                        <w:bottom w:val="none" w:sz="0" w:space="0" w:color="auto"/>
                        <w:right w:val="none" w:sz="0" w:space="0" w:color="auto"/>
                      </w:divBdr>
                    </w:div>
                  </w:divsChild>
                </w:div>
                <w:div w:id="635992516">
                  <w:marLeft w:val="0"/>
                  <w:marRight w:val="0"/>
                  <w:marTop w:val="0"/>
                  <w:marBottom w:val="0"/>
                  <w:divBdr>
                    <w:top w:val="none" w:sz="0" w:space="0" w:color="auto"/>
                    <w:left w:val="none" w:sz="0" w:space="0" w:color="auto"/>
                    <w:bottom w:val="none" w:sz="0" w:space="0" w:color="auto"/>
                    <w:right w:val="none" w:sz="0" w:space="0" w:color="auto"/>
                  </w:divBdr>
                  <w:divsChild>
                    <w:div w:id="1040744428">
                      <w:marLeft w:val="0"/>
                      <w:marRight w:val="0"/>
                      <w:marTop w:val="0"/>
                      <w:marBottom w:val="0"/>
                      <w:divBdr>
                        <w:top w:val="none" w:sz="0" w:space="0" w:color="auto"/>
                        <w:left w:val="none" w:sz="0" w:space="0" w:color="auto"/>
                        <w:bottom w:val="none" w:sz="0" w:space="0" w:color="auto"/>
                        <w:right w:val="none" w:sz="0" w:space="0" w:color="auto"/>
                      </w:divBdr>
                    </w:div>
                  </w:divsChild>
                </w:div>
                <w:div w:id="639312800">
                  <w:marLeft w:val="0"/>
                  <w:marRight w:val="0"/>
                  <w:marTop w:val="0"/>
                  <w:marBottom w:val="0"/>
                  <w:divBdr>
                    <w:top w:val="none" w:sz="0" w:space="0" w:color="auto"/>
                    <w:left w:val="none" w:sz="0" w:space="0" w:color="auto"/>
                    <w:bottom w:val="none" w:sz="0" w:space="0" w:color="auto"/>
                    <w:right w:val="none" w:sz="0" w:space="0" w:color="auto"/>
                  </w:divBdr>
                  <w:divsChild>
                    <w:div w:id="928270205">
                      <w:marLeft w:val="0"/>
                      <w:marRight w:val="0"/>
                      <w:marTop w:val="0"/>
                      <w:marBottom w:val="0"/>
                      <w:divBdr>
                        <w:top w:val="none" w:sz="0" w:space="0" w:color="auto"/>
                        <w:left w:val="none" w:sz="0" w:space="0" w:color="auto"/>
                        <w:bottom w:val="none" w:sz="0" w:space="0" w:color="auto"/>
                        <w:right w:val="none" w:sz="0" w:space="0" w:color="auto"/>
                      </w:divBdr>
                    </w:div>
                  </w:divsChild>
                </w:div>
                <w:div w:id="639916719">
                  <w:marLeft w:val="0"/>
                  <w:marRight w:val="0"/>
                  <w:marTop w:val="0"/>
                  <w:marBottom w:val="0"/>
                  <w:divBdr>
                    <w:top w:val="none" w:sz="0" w:space="0" w:color="auto"/>
                    <w:left w:val="none" w:sz="0" w:space="0" w:color="auto"/>
                    <w:bottom w:val="none" w:sz="0" w:space="0" w:color="auto"/>
                    <w:right w:val="none" w:sz="0" w:space="0" w:color="auto"/>
                  </w:divBdr>
                  <w:divsChild>
                    <w:div w:id="525170657">
                      <w:marLeft w:val="0"/>
                      <w:marRight w:val="0"/>
                      <w:marTop w:val="0"/>
                      <w:marBottom w:val="0"/>
                      <w:divBdr>
                        <w:top w:val="none" w:sz="0" w:space="0" w:color="auto"/>
                        <w:left w:val="none" w:sz="0" w:space="0" w:color="auto"/>
                        <w:bottom w:val="none" w:sz="0" w:space="0" w:color="auto"/>
                        <w:right w:val="none" w:sz="0" w:space="0" w:color="auto"/>
                      </w:divBdr>
                    </w:div>
                  </w:divsChild>
                </w:div>
                <w:div w:id="641617206">
                  <w:marLeft w:val="0"/>
                  <w:marRight w:val="0"/>
                  <w:marTop w:val="0"/>
                  <w:marBottom w:val="0"/>
                  <w:divBdr>
                    <w:top w:val="none" w:sz="0" w:space="0" w:color="auto"/>
                    <w:left w:val="none" w:sz="0" w:space="0" w:color="auto"/>
                    <w:bottom w:val="none" w:sz="0" w:space="0" w:color="auto"/>
                    <w:right w:val="none" w:sz="0" w:space="0" w:color="auto"/>
                  </w:divBdr>
                  <w:divsChild>
                    <w:div w:id="1859544556">
                      <w:marLeft w:val="0"/>
                      <w:marRight w:val="0"/>
                      <w:marTop w:val="0"/>
                      <w:marBottom w:val="0"/>
                      <w:divBdr>
                        <w:top w:val="none" w:sz="0" w:space="0" w:color="auto"/>
                        <w:left w:val="none" w:sz="0" w:space="0" w:color="auto"/>
                        <w:bottom w:val="none" w:sz="0" w:space="0" w:color="auto"/>
                        <w:right w:val="none" w:sz="0" w:space="0" w:color="auto"/>
                      </w:divBdr>
                    </w:div>
                  </w:divsChild>
                </w:div>
                <w:div w:id="642656078">
                  <w:marLeft w:val="0"/>
                  <w:marRight w:val="0"/>
                  <w:marTop w:val="0"/>
                  <w:marBottom w:val="0"/>
                  <w:divBdr>
                    <w:top w:val="none" w:sz="0" w:space="0" w:color="auto"/>
                    <w:left w:val="none" w:sz="0" w:space="0" w:color="auto"/>
                    <w:bottom w:val="none" w:sz="0" w:space="0" w:color="auto"/>
                    <w:right w:val="none" w:sz="0" w:space="0" w:color="auto"/>
                  </w:divBdr>
                  <w:divsChild>
                    <w:div w:id="583999361">
                      <w:marLeft w:val="0"/>
                      <w:marRight w:val="0"/>
                      <w:marTop w:val="0"/>
                      <w:marBottom w:val="0"/>
                      <w:divBdr>
                        <w:top w:val="none" w:sz="0" w:space="0" w:color="auto"/>
                        <w:left w:val="none" w:sz="0" w:space="0" w:color="auto"/>
                        <w:bottom w:val="none" w:sz="0" w:space="0" w:color="auto"/>
                        <w:right w:val="none" w:sz="0" w:space="0" w:color="auto"/>
                      </w:divBdr>
                    </w:div>
                  </w:divsChild>
                </w:div>
                <w:div w:id="662707528">
                  <w:marLeft w:val="0"/>
                  <w:marRight w:val="0"/>
                  <w:marTop w:val="0"/>
                  <w:marBottom w:val="0"/>
                  <w:divBdr>
                    <w:top w:val="none" w:sz="0" w:space="0" w:color="auto"/>
                    <w:left w:val="none" w:sz="0" w:space="0" w:color="auto"/>
                    <w:bottom w:val="none" w:sz="0" w:space="0" w:color="auto"/>
                    <w:right w:val="none" w:sz="0" w:space="0" w:color="auto"/>
                  </w:divBdr>
                  <w:divsChild>
                    <w:div w:id="469633432">
                      <w:marLeft w:val="0"/>
                      <w:marRight w:val="0"/>
                      <w:marTop w:val="0"/>
                      <w:marBottom w:val="0"/>
                      <w:divBdr>
                        <w:top w:val="none" w:sz="0" w:space="0" w:color="auto"/>
                        <w:left w:val="none" w:sz="0" w:space="0" w:color="auto"/>
                        <w:bottom w:val="none" w:sz="0" w:space="0" w:color="auto"/>
                        <w:right w:val="none" w:sz="0" w:space="0" w:color="auto"/>
                      </w:divBdr>
                    </w:div>
                  </w:divsChild>
                </w:div>
                <w:div w:id="667564770">
                  <w:marLeft w:val="0"/>
                  <w:marRight w:val="0"/>
                  <w:marTop w:val="0"/>
                  <w:marBottom w:val="0"/>
                  <w:divBdr>
                    <w:top w:val="none" w:sz="0" w:space="0" w:color="auto"/>
                    <w:left w:val="none" w:sz="0" w:space="0" w:color="auto"/>
                    <w:bottom w:val="none" w:sz="0" w:space="0" w:color="auto"/>
                    <w:right w:val="none" w:sz="0" w:space="0" w:color="auto"/>
                  </w:divBdr>
                  <w:divsChild>
                    <w:div w:id="571158092">
                      <w:marLeft w:val="0"/>
                      <w:marRight w:val="0"/>
                      <w:marTop w:val="0"/>
                      <w:marBottom w:val="0"/>
                      <w:divBdr>
                        <w:top w:val="none" w:sz="0" w:space="0" w:color="auto"/>
                        <w:left w:val="none" w:sz="0" w:space="0" w:color="auto"/>
                        <w:bottom w:val="none" w:sz="0" w:space="0" w:color="auto"/>
                        <w:right w:val="none" w:sz="0" w:space="0" w:color="auto"/>
                      </w:divBdr>
                    </w:div>
                  </w:divsChild>
                </w:div>
                <w:div w:id="671369667">
                  <w:marLeft w:val="0"/>
                  <w:marRight w:val="0"/>
                  <w:marTop w:val="0"/>
                  <w:marBottom w:val="0"/>
                  <w:divBdr>
                    <w:top w:val="none" w:sz="0" w:space="0" w:color="auto"/>
                    <w:left w:val="none" w:sz="0" w:space="0" w:color="auto"/>
                    <w:bottom w:val="none" w:sz="0" w:space="0" w:color="auto"/>
                    <w:right w:val="none" w:sz="0" w:space="0" w:color="auto"/>
                  </w:divBdr>
                  <w:divsChild>
                    <w:div w:id="1186821049">
                      <w:marLeft w:val="0"/>
                      <w:marRight w:val="0"/>
                      <w:marTop w:val="0"/>
                      <w:marBottom w:val="0"/>
                      <w:divBdr>
                        <w:top w:val="none" w:sz="0" w:space="0" w:color="auto"/>
                        <w:left w:val="none" w:sz="0" w:space="0" w:color="auto"/>
                        <w:bottom w:val="none" w:sz="0" w:space="0" w:color="auto"/>
                        <w:right w:val="none" w:sz="0" w:space="0" w:color="auto"/>
                      </w:divBdr>
                    </w:div>
                  </w:divsChild>
                </w:div>
                <w:div w:id="684020043">
                  <w:marLeft w:val="0"/>
                  <w:marRight w:val="0"/>
                  <w:marTop w:val="0"/>
                  <w:marBottom w:val="0"/>
                  <w:divBdr>
                    <w:top w:val="none" w:sz="0" w:space="0" w:color="auto"/>
                    <w:left w:val="none" w:sz="0" w:space="0" w:color="auto"/>
                    <w:bottom w:val="none" w:sz="0" w:space="0" w:color="auto"/>
                    <w:right w:val="none" w:sz="0" w:space="0" w:color="auto"/>
                  </w:divBdr>
                  <w:divsChild>
                    <w:div w:id="95366071">
                      <w:marLeft w:val="0"/>
                      <w:marRight w:val="0"/>
                      <w:marTop w:val="0"/>
                      <w:marBottom w:val="0"/>
                      <w:divBdr>
                        <w:top w:val="none" w:sz="0" w:space="0" w:color="auto"/>
                        <w:left w:val="none" w:sz="0" w:space="0" w:color="auto"/>
                        <w:bottom w:val="none" w:sz="0" w:space="0" w:color="auto"/>
                        <w:right w:val="none" w:sz="0" w:space="0" w:color="auto"/>
                      </w:divBdr>
                    </w:div>
                  </w:divsChild>
                </w:div>
                <w:div w:id="692731401">
                  <w:marLeft w:val="0"/>
                  <w:marRight w:val="0"/>
                  <w:marTop w:val="0"/>
                  <w:marBottom w:val="0"/>
                  <w:divBdr>
                    <w:top w:val="none" w:sz="0" w:space="0" w:color="auto"/>
                    <w:left w:val="none" w:sz="0" w:space="0" w:color="auto"/>
                    <w:bottom w:val="none" w:sz="0" w:space="0" w:color="auto"/>
                    <w:right w:val="none" w:sz="0" w:space="0" w:color="auto"/>
                  </w:divBdr>
                  <w:divsChild>
                    <w:div w:id="1965111491">
                      <w:marLeft w:val="0"/>
                      <w:marRight w:val="0"/>
                      <w:marTop w:val="0"/>
                      <w:marBottom w:val="0"/>
                      <w:divBdr>
                        <w:top w:val="none" w:sz="0" w:space="0" w:color="auto"/>
                        <w:left w:val="none" w:sz="0" w:space="0" w:color="auto"/>
                        <w:bottom w:val="none" w:sz="0" w:space="0" w:color="auto"/>
                        <w:right w:val="none" w:sz="0" w:space="0" w:color="auto"/>
                      </w:divBdr>
                    </w:div>
                  </w:divsChild>
                </w:div>
                <w:div w:id="692876293">
                  <w:marLeft w:val="0"/>
                  <w:marRight w:val="0"/>
                  <w:marTop w:val="0"/>
                  <w:marBottom w:val="0"/>
                  <w:divBdr>
                    <w:top w:val="none" w:sz="0" w:space="0" w:color="auto"/>
                    <w:left w:val="none" w:sz="0" w:space="0" w:color="auto"/>
                    <w:bottom w:val="none" w:sz="0" w:space="0" w:color="auto"/>
                    <w:right w:val="none" w:sz="0" w:space="0" w:color="auto"/>
                  </w:divBdr>
                  <w:divsChild>
                    <w:div w:id="612976703">
                      <w:marLeft w:val="0"/>
                      <w:marRight w:val="0"/>
                      <w:marTop w:val="0"/>
                      <w:marBottom w:val="0"/>
                      <w:divBdr>
                        <w:top w:val="none" w:sz="0" w:space="0" w:color="auto"/>
                        <w:left w:val="none" w:sz="0" w:space="0" w:color="auto"/>
                        <w:bottom w:val="none" w:sz="0" w:space="0" w:color="auto"/>
                        <w:right w:val="none" w:sz="0" w:space="0" w:color="auto"/>
                      </w:divBdr>
                    </w:div>
                  </w:divsChild>
                </w:div>
                <w:div w:id="694968254">
                  <w:marLeft w:val="0"/>
                  <w:marRight w:val="0"/>
                  <w:marTop w:val="0"/>
                  <w:marBottom w:val="0"/>
                  <w:divBdr>
                    <w:top w:val="none" w:sz="0" w:space="0" w:color="auto"/>
                    <w:left w:val="none" w:sz="0" w:space="0" w:color="auto"/>
                    <w:bottom w:val="none" w:sz="0" w:space="0" w:color="auto"/>
                    <w:right w:val="none" w:sz="0" w:space="0" w:color="auto"/>
                  </w:divBdr>
                  <w:divsChild>
                    <w:div w:id="302010171">
                      <w:marLeft w:val="0"/>
                      <w:marRight w:val="0"/>
                      <w:marTop w:val="0"/>
                      <w:marBottom w:val="0"/>
                      <w:divBdr>
                        <w:top w:val="none" w:sz="0" w:space="0" w:color="auto"/>
                        <w:left w:val="none" w:sz="0" w:space="0" w:color="auto"/>
                        <w:bottom w:val="none" w:sz="0" w:space="0" w:color="auto"/>
                        <w:right w:val="none" w:sz="0" w:space="0" w:color="auto"/>
                      </w:divBdr>
                    </w:div>
                  </w:divsChild>
                </w:div>
                <w:div w:id="705326644">
                  <w:marLeft w:val="0"/>
                  <w:marRight w:val="0"/>
                  <w:marTop w:val="0"/>
                  <w:marBottom w:val="0"/>
                  <w:divBdr>
                    <w:top w:val="none" w:sz="0" w:space="0" w:color="auto"/>
                    <w:left w:val="none" w:sz="0" w:space="0" w:color="auto"/>
                    <w:bottom w:val="none" w:sz="0" w:space="0" w:color="auto"/>
                    <w:right w:val="none" w:sz="0" w:space="0" w:color="auto"/>
                  </w:divBdr>
                  <w:divsChild>
                    <w:div w:id="765922139">
                      <w:marLeft w:val="0"/>
                      <w:marRight w:val="0"/>
                      <w:marTop w:val="0"/>
                      <w:marBottom w:val="0"/>
                      <w:divBdr>
                        <w:top w:val="none" w:sz="0" w:space="0" w:color="auto"/>
                        <w:left w:val="none" w:sz="0" w:space="0" w:color="auto"/>
                        <w:bottom w:val="none" w:sz="0" w:space="0" w:color="auto"/>
                        <w:right w:val="none" w:sz="0" w:space="0" w:color="auto"/>
                      </w:divBdr>
                    </w:div>
                  </w:divsChild>
                </w:div>
                <w:div w:id="712268113">
                  <w:marLeft w:val="0"/>
                  <w:marRight w:val="0"/>
                  <w:marTop w:val="0"/>
                  <w:marBottom w:val="0"/>
                  <w:divBdr>
                    <w:top w:val="none" w:sz="0" w:space="0" w:color="auto"/>
                    <w:left w:val="none" w:sz="0" w:space="0" w:color="auto"/>
                    <w:bottom w:val="none" w:sz="0" w:space="0" w:color="auto"/>
                    <w:right w:val="none" w:sz="0" w:space="0" w:color="auto"/>
                  </w:divBdr>
                  <w:divsChild>
                    <w:div w:id="886451154">
                      <w:marLeft w:val="0"/>
                      <w:marRight w:val="0"/>
                      <w:marTop w:val="0"/>
                      <w:marBottom w:val="0"/>
                      <w:divBdr>
                        <w:top w:val="none" w:sz="0" w:space="0" w:color="auto"/>
                        <w:left w:val="none" w:sz="0" w:space="0" w:color="auto"/>
                        <w:bottom w:val="none" w:sz="0" w:space="0" w:color="auto"/>
                        <w:right w:val="none" w:sz="0" w:space="0" w:color="auto"/>
                      </w:divBdr>
                    </w:div>
                  </w:divsChild>
                </w:div>
                <w:div w:id="712312639">
                  <w:marLeft w:val="0"/>
                  <w:marRight w:val="0"/>
                  <w:marTop w:val="0"/>
                  <w:marBottom w:val="0"/>
                  <w:divBdr>
                    <w:top w:val="none" w:sz="0" w:space="0" w:color="auto"/>
                    <w:left w:val="none" w:sz="0" w:space="0" w:color="auto"/>
                    <w:bottom w:val="none" w:sz="0" w:space="0" w:color="auto"/>
                    <w:right w:val="none" w:sz="0" w:space="0" w:color="auto"/>
                  </w:divBdr>
                  <w:divsChild>
                    <w:div w:id="233708537">
                      <w:marLeft w:val="0"/>
                      <w:marRight w:val="0"/>
                      <w:marTop w:val="0"/>
                      <w:marBottom w:val="0"/>
                      <w:divBdr>
                        <w:top w:val="none" w:sz="0" w:space="0" w:color="auto"/>
                        <w:left w:val="none" w:sz="0" w:space="0" w:color="auto"/>
                        <w:bottom w:val="none" w:sz="0" w:space="0" w:color="auto"/>
                        <w:right w:val="none" w:sz="0" w:space="0" w:color="auto"/>
                      </w:divBdr>
                    </w:div>
                  </w:divsChild>
                </w:div>
                <w:div w:id="728041746">
                  <w:marLeft w:val="0"/>
                  <w:marRight w:val="0"/>
                  <w:marTop w:val="0"/>
                  <w:marBottom w:val="0"/>
                  <w:divBdr>
                    <w:top w:val="none" w:sz="0" w:space="0" w:color="auto"/>
                    <w:left w:val="none" w:sz="0" w:space="0" w:color="auto"/>
                    <w:bottom w:val="none" w:sz="0" w:space="0" w:color="auto"/>
                    <w:right w:val="none" w:sz="0" w:space="0" w:color="auto"/>
                  </w:divBdr>
                  <w:divsChild>
                    <w:div w:id="479730764">
                      <w:marLeft w:val="0"/>
                      <w:marRight w:val="0"/>
                      <w:marTop w:val="0"/>
                      <w:marBottom w:val="0"/>
                      <w:divBdr>
                        <w:top w:val="none" w:sz="0" w:space="0" w:color="auto"/>
                        <w:left w:val="none" w:sz="0" w:space="0" w:color="auto"/>
                        <w:bottom w:val="none" w:sz="0" w:space="0" w:color="auto"/>
                        <w:right w:val="none" w:sz="0" w:space="0" w:color="auto"/>
                      </w:divBdr>
                    </w:div>
                  </w:divsChild>
                </w:div>
                <w:div w:id="747921554">
                  <w:marLeft w:val="0"/>
                  <w:marRight w:val="0"/>
                  <w:marTop w:val="0"/>
                  <w:marBottom w:val="0"/>
                  <w:divBdr>
                    <w:top w:val="none" w:sz="0" w:space="0" w:color="auto"/>
                    <w:left w:val="none" w:sz="0" w:space="0" w:color="auto"/>
                    <w:bottom w:val="none" w:sz="0" w:space="0" w:color="auto"/>
                    <w:right w:val="none" w:sz="0" w:space="0" w:color="auto"/>
                  </w:divBdr>
                  <w:divsChild>
                    <w:div w:id="1247806368">
                      <w:marLeft w:val="0"/>
                      <w:marRight w:val="0"/>
                      <w:marTop w:val="0"/>
                      <w:marBottom w:val="0"/>
                      <w:divBdr>
                        <w:top w:val="none" w:sz="0" w:space="0" w:color="auto"/>
                        <w:left w:val="none" w:sz="0" w:space="0" w:color="auto"/>
                        <w:bottom w:val="none" w:sz="0" w:space="0" w:color="auto"/>
                        <w:right w:val="none" w:sz="0" w:space="0" w:color="auto"/>
                      </w:divBdr>
                    </w:div>
                  </w:divsChild>
                </w:div>
                <w:div w:id="765082452">
                  <w:marLeft w:val="0"/>
                  <w:marRight w:val="0"/>
                  <w:marTop w:val="0"/>
                  <w:marBottom w:val="0"/>
                  <w:divBdr>
                    <w:top w:val="none" w:sz="0" w:space="0" w:color="auto"/>
                    <w:left w:val="none" w:sz="0" w:space="0" w:color="auto"/>
                    <w:bottom w:val="none" w:sz="0" w:space="0" w:color="auto"/>
                    <w:right w:val="none" w:sz="0" w:space="0" w:color="auto"/>
                  </w:divBdr>
                  <w:divsChild>
                    <w:div w:id="1246572178">
                      <w:marLeft w:val="0"/>
                      <w:marRight w:val="0"/>
                      <w:marTop w:val="0"/>
                      <w:marBottom w:val="0"/>
                      <w:divBdr>
                        <w:top w:val="none" w:sz="0" w:space="0" w:color="auto"/>
                        <w:left w:val="none" w:sz="0" w:space="0" w:color="auto"/>
                        <w:bottom w:val="none" w:sz="0" w:space="0" w:color="auto"/>
                        <w:right w:val="none" w:sz="0" w:space="0" w:color="auto"/>
                      </w:divBdr>
                    </w:div>
                  </w:divsChild>
                </w:div>
                <w:div w:id="768158135">
                  <w:marLeft w:val="0"/>
                  <w:marRight w:val="0"/>
                  <w:marTop w:val="0"/>
                  <w:marBottom w:val="0"/>
                  <w:divBdr>
                    <w:top w:val="none" w:sz="0" w:space="0" w:color="auto"/>
                    <w:left w:val="none" w:sz="0" w:space="0" w:color="auto"/>
                    <w:bottom w:val="none" w:sz="0" w:space="0" w:color="auto"/>
                    <w:right w:val="none" w:sz="0" w:space="0" w:color="auto"/>
                  </w:divBdr>
                  <w:divsChild>
                    <w:div w:id="1225605019">
                      <w:marLeft w:val="0"/>
                      <w:marRight w:val="0"/>
                      <w:marTop w:val="0"/>
                      <w:marBottom w:val="0"/>
                      <w:divBdr>
                        <w:top w:val="none" w:sz="0" w:space="0" w:color="auto"/>
                        <w:left w:val="none" w:sz="0" w:space="0" w:color="auto"/>
                        <w:bottom w:val="none" w:sz="0" w:space="0" w:color="auto"/>
                        <w:right w:val="none" w:sz="0" w:space="0" w:color="auto"/>
                      </w:divBdr>
                    </w:div>
                  </w:divsChild>
                </w:div>
                <w:div w:id="788159201">
                  <w:marLeft w:val="0"/>
                  <w:marRight w:val="0"/>
                  <w:marTop w:val="0"/>
                  <w:marBottom w:val="0"/>
                  <w:divBdr>
                    <w:top w:val="none" w:sz="0" w:space="0" w:color="auto"/>
                    <w:left w:val="none" w:sz="0" w:space="0" w:color="auto"/>
                    <w:bottom w:val="none" w:sz="0" w:space="0" w:color="auto"/>
                    <w:right w:val="none" w:sz="0" w:space="0" w:color="auto"/>
                  </w:divBdr>
                  <w:divsChild>
                    <w:div w:id="151408537">
                      <w:marLeft w:val="0"/>
                      <w:marRight w:val="0"/>
                      <w:marTop w:val="0"/>
                      <w:marBottom w:val="0"/>
                      <w:divBdr>
                        <w:top w:val="none" w:sz="0" w:space="0" w:color="auto"/>
                        <w:left w:val="none" w:sz="0" w:space="0" w:color="auto"/>
                        <w:bottom w:val="none" w:sz="0" w:space="0" w:color="auto"/>
                        <w:right w:val="none" w:sz="0" w:space="0" w:color="auto"/>
                      </w:divBdr>
                    </w:div>
                  </w:divsChild>
                </w:div>
                <w:div w:id="792946447">
                  <w:marLeft w:val="0"/>
                  <w:marRight w:val="0"/>
                  <w:marTop w:val="0"/>
                  <w:marBottom w:val="0"/>
                  <w:divBdr>
                    <w:top w:val="none" w:sz="0" w:space="0" w:color="auto"/>
                    <w:left w:val="none" w:sz="0" w:space="0" w:color="auto"/>
                    <w:bottom w:val="none" w:sz="0" w:space="0" w:color="auto"/>
                    <w:right w:val="none" w:sz="0" w:space="0" w:color="auto"/>
                  </w:divBdr>
                  <w:divsChild>
                    <w:div w:id="263418552">
                      <w:marLeft w:val="0"/>
                      <w:marRight w:val="0"/>
                      <w:marTop w:val="0"/>
                      <w:marBottom w:val="0"/>
                      <w:divBdr>
                        <w:top w:val="none" w:sz="0" w:space="0" w:color="auto"/>
                        <w:left w:val="none" w:sz="0" w:space="0" w:color="auto"/>
                        <w:bottom w:val="none" w:sz="0" w:space="0" w:color="auto"/>
                        <w:right w:val="none" w:sz="0" w:space="0" w:color="auto"/>
                      </w:divBdr>
                    </w:div>
                  </w:divsChild>
                </w:div>
                <w:div w:id="806513030">
                  <w:marLeft w:val="0"/>
                  <w:marRight w:val="0"/>
                  <w:marTop w:val="0"/>
                  <w:marBottom w:val="0"/>
                  <w:divBdr>
                    <w:top w:val="none" w:sz="0" w:space="0" w:color="auto"/>
                    <w:left w:val="none" w:sz="0" w:space="0" w:color="auto"/>
                    <w:bottom w:val="none" w:sz="0" w:space="0" w:color="auto"/>
                    <w:right w:val="none" w:sz="0" w:space="0" w:color="auto"/>
                  </w:divBdr>
                  <w:divsChild>
                    <w:div w:id="1466318163">
                      <w:marLeft w:val="0"/>
                      <w:marRight w:val="0"/>
                      <w:marTop w:val="0"/>
                      <w:marBottom w:val="0"/>
                      <w:divBdr>
                        <w:top w:val="none" w:sz="0" w:space="0" w:color="auto"/>
                        <w:left w:val="none" w:sz="0" w:space="0" w:color="auto"/>
                        <w:bottom w:val="none" w:sz="0" w:space="0" w:color="auto"/>
                        <w:right w:val="none" w:sz="0" w:space="0" w:color="auto"/>
                      </w:divBdr>
                    </w:div>
                  </w:divsChild>
                </w:div>
                <w:div w:id="808476042">
                  <w:marLeft w:val="0"/>
                  <w:marRight w:val="0"/>
                  <w:marTop w:val="0"/>
                  <w:marBottom w:val="0"/>
                  <w:divBdr>
                    <w:top w:val="none" w:sz="0" w:space="0" w:color="auto"/>
                    <w:left w:val="none" w:sz="0" w:space="0" w:color="auto"/>
                    <w:bottom w:val="none" w:sz="0" w:space="0" w:color="auto"/>
                    <w:right w:val="none" w:sz="0" w:space="0" w:color="auto"/>
                  </w:divBdr>
                  <w:divsChild>
                    <w:div w:id="1481463048">
                      <w:marLeft w:val="0"/>
                      <w:marRight w:val="0"/>
                      <w:marTop w:val="0"/>
                      <w:marBottom w:val="0"/>
                      <w:divBdr>
                        <w:top w:val="none" w:sz="0" w:space="0" w:color="auto"/>
                        <w:left w:val="none" w:sz="0" w:space="0" w:color="auto"/>
                        <w:bottom w:val="none" w:sz="0" w:space="0" w:color="auto"/>
                        <w:right w:val="none" w:sz="0" w:space="0" w:color="auto"/>
                      </w:divBdr>
                    </w:div>
                  </w:divsChild>
                </w:div>
                <w:div w:id="814755724">
                  <w:marLeft w:val="0"/>
                  <w:marRight w:val="0"/>
                  <w:marTop w:val="0"/>
                  <w:marBottom w:val="0"/>
                  <w:divBdr>
                    <w:top w:val="none" w:sz="0" w:space="0" w:color="auto"/>
                    <w:left w:val="none" w:sz="0" w:space="0" w:color="auto"/>
                    <w:bottom w:val="none" w:sz="0" w:space="0" w:color="auto"/>
                    <w:right w:val="none" w:sz="0" w:space="0" w:color="auto"/>
                  </w:divBdr>
                  <w:divsChild>
                    <w:div w:id="1991133988">
                      <w:marLeft w:val="0"/>
                      <w:marRight w:val="0"/>
                      <w:marTop w:val="0"/>
                      <w:marBottom w:val="0"/>
                      <w:divBdr>
                        <w:top w:val="none" w:sz="0" w:space="0" w:color="auto"/>
                        <w:left w:val="none" w:sz="0" w:space="0" w:color="auto"/>
                        <w:bottom w:val="none" w:sz="0" w:space="0" w:color="auto"/>
                        <w:right w:val="none" w:sz="0" w:space="0" w:color="auto"/>
                      </w:divBdr>
                    </w:div>
                  </w:divsChild>
                </w:div>
                <w:div w:id="815149243">
                  <w:marLeft w:val="0"/>
                  <w:marRight w:val="0"/>
                  <w:marTop w:val="0"/>
                  <w:marBottom w:val="0"/>
                  <w:divBdr>
                    <w:top w:val="none" w:sz="0" w:space="0" w:color="auto"/>
                    <w:left w:val="none" w:sz="0" w:space="0" w:color="auto"/>
                    <w:bottom w:val="none" w:sz="0" w:space="0" w:color="auto"/>
                    <w:right w:val="none" w:sz="0" w:space="0" w:color="auto"/>
                  </w:divBdr>
                  <w:divsChild>
                    <w:div w:id="78066583">
                      <w:marLeft w:val="0"/>
                      <w:marRight w:val="0"/>
                      <w:marTop w:val="0"/>
                      <w:marBottom w:val="0"/>
                      <w:divBdr>
                        <w:top w:val="none" w:sz="0" w:space="0" w:color="auto"/>
                        <w:left w:val="none" w:sz="0" w:space="0" w:color="auto"/>
                        <w:bottom w:val="none" w:sz="0" w:space="0" w:color="auto"/>
                        <w:right w:val="none" w:sz="0" w:space="0" w:color="auto"/>
                      </w:divBdr>
                    </w:div>
                  </w:divsChild>
                </w:div>
                <w:div w:id="831874211">
                  <w:marLeft w:val="0"/>
                  <w:marRight w:val="0"/>
                  <w:marTop w:val="0"/>
                  <w:marBottom w:val="0"/>
                  <w:divBdr>
                    <w:top w:val="none" w:sz="0" w:space="0" w:color="auto"/>
                    <w:left w:val="none" w:sz="0" w:space="0" w:color="auto"/>
                    <w:bottom w:val="none" w:sz="0" w:space="0" w:color="auto"/>
                    <w:right w:val="none" w:sz="0" w:space="0" w:color="auto"/>
                  </w:divBdr>
                  <w:divsChild>
                    <w:div w:id="1776093232">
                      <w:marLeft w:val="0"/>
                      <w:marRight w:val="0"/>
                      <w:marTop w:val="0"/>
                      <w:marBottom w:val="0"/>
                      <w:divBdr>
                        <w:top w:val="none" w:sz="0" w:space="0" w:color="auto"/>
                        <w:left w:val="none" w:sz="0" w:space="0" w:color="auto"/>
                        <w:bottom w:val="none" w:sz="0" w:space="0" w:color="auto"/>
                        <w:right w:val="none" w:sz="0" w:space="0" w:color="auto"/>
                      </w:divBdr>
                    </w:div>
                  </w:divsChild>
                </w:div>
                <w:div w:id="837496822">
                  <w:marLeft w:val="0"/>
                  <w:marRight w:val="0"/>
                  <w:marTop w:val="0"/>
                  <w:marBottom w:val="0"/>
                  <w:divBdr>
                    <w:top w:val="none" w:sz="0" w:space="0" w:color="auto"/>
                    <w:left w:val="none" w:sz="0" w:space="0" w:color="auto"/>
                    <w:bottom w:val="none" w:sz="0" w:space="0" w:color="auto"/>
                    <w:right w:val="none" w:sz="0" w:space="0" w:color="auto"/>
                  </w:divBdr>
                  <w:divsChild>
                    <w:div w:id="154683622">
                      <w:marLeft w:val="0"/>
                      <w:marRight w:val="0"/>
                      <w:marTop w:val="0"/>
                      <w:marBottom w:val="0"/>
                      <w:divBdr>
                        <w:top w:val="none" w:sz="0" w:space="0" w:color="auto"/>
                        <w:left w:val="none" w:sz="0" w:space="0" w:color="auto"/>
                        <w:bottom w:val="none" w:sz="0" w:space="0" w:color="auto"/>
                        <w:right w:val="none" w:sz="0" w:space="0" w:color="auto"/>
                      </w:divBdr>
                    </w:div>
                  </w:divsChild>
                </w:div>
                <w:div w:id="844973241">
                  <w:marLeft w:val="0"/>
                  <w:marRight w:val="0"/>
                  <w:marTop w:val="0"/>
                  <w:marBottom w:val="0"/>
                  <w:divBdr>
                    <w:top w:val="none" w:sz="0" w:space="0" w:color="auto"/>
                    <w:left w:val="none" w:sz="0" w:space="0" w:color="auto"/>
                    <w:bottom w:val="none" w:sz="0" w:space="0" w:color="auto"/>
                    <w:right w:val="none" w:sz="0" w:space="0" w:color="auto"/>
                  </w:divBdr>
                  <w:divsChild>
                    <w:div w:id="1149521730">
                      <w:marLeft w:val="0"/>
                      <w:marRight w:val="0"/>
                      <w:marTop w:val="0"/>
                      <w:marBottom w:val="0"/>
                      <w:divBdr>
                        <w:top w:val="none" w:sz="0" w:space="0" w:color="auto"/>
                        <w:left w:val="none" w:sz="0" w:space="0" w:color="auto"/>
                        <w:bottom w:val="none" w:sz="0" w:space="0" w:color="auto"/>
                        <w:right w:val="none" w:sz="0" w:space="0" w:color="auto"/>
                      </w:divBdr>
                    </w:div>
                  </w:divsChild>
                </w:div>
                <w:div w:id="845825490">
                  <w:marLeft w:val="0"/>
                  <w:marRight w:val="0"/>
                  <w:marTop w:val="0"/>
                  <w:marBottom w:val="0"/>
                  <w:divBdr>
                    <w:top w:val="none" w:sz="0" w:space="0" w:color="auto"/>
                    <w:left w:val="none" w:sz="0" w:space="0" w:color="auto"/>
                    <w:bottom w:val="none" w:sz="0" w:space="0" w:color="auto"/>
                    <w:right w:val="none" w:sz="0" w:space="0" w:color="auto"/>
                  </w:divBdr>
                  <w:divsChild>
                    <w:div w:id="882249727">
                      <w:marLeft w:val="0"/>
                      <w:marRight w:val="0"/>
                      <w:marTop w:val="0"/>
                      <w:marBottom w:val="0"/>
                      <w:divBdr>
                        <w:top w:val="none" w:sz="0" w:space="0" w:color="auto"/>
                        <w:left w:val="none" w:sz="0" w:space="0" w:color="auto"/>
                        <w:bottom w:val="none" w:sz="0" w:space="0" w:color="auto"/>
                        <w:right w:val="none" w:sz="0" w:space="0" w:color="auto"/>
                      </w:divBdr>
                    </w:div>
                  </w:divsChild>
                </w:div>
                <w:div w:id="857894906">
                  <w:marLeft w:val="0"/>
                  <w:marRight w:val="0"/>
                  <w:marTop w:val="0"/>
                  <w:marBottom w:val="0"/>
                  <w:divBdr>
                    <w:top w:val="none" w:sz="0" w:space="0" w:color="auto"/>
                    <w:left w:val="none" w:sz="0" w:space="0" w:color="auto"/>
                    <w:bottom w:val="none" w:sz="0" w:space="0" w:color="auto"/>
                    <w:right w:val="none" w:sz="0" w:space="0" w:color="auto"/>
                  </w:divBdr>
                  <w:divsChild>
                    <w:div w:id="599994306">
                      <w:marLeft w:val="0"/>
                      <w:marRight w:val="0"/>
                      <w:marTop w:val="0"/>
                      <w:marBottom w:val="0"/>
                      <w:divBdr>
                        <w:top w:val="none" w:sz="0" w:space="0" w:color="auto"/>
                        <w:left w:val="none" w:sz="0" w:space="0" w:color="auto"/>
                        <w:bottom w:val="none" w:sz="0" w:space="0" w:color="auto"/>
                        <w:right w:val="none" w:sz="0" w:space="0" w:color="auto"/>
                      </w:divBdr>
                    </w:div>
                  </w:divsChild>
                </w:div>
                <w:div w:id="885992678">
                  <w:marLeft w:val="0"/>
                  <w:marRight w:val="0"/>
                  <w:marTop w:val="0"/>
                  <w:marBottom w:val="0"/>
                  <w:divBdr>
                    <w:top w:val="none" w:sz="0" w:space="0" w:color="auto"/>
                    <w:left w:val="none" w:sz="0" w:space="0" w:color="auto"/>
                    <w:bottom w:val="none" w:sz="0" w:space="0" w:color="auto"/>
                    <w:right w:val="none" w:sz="0" w:space="0" w:color="auto"/>
                  </w:divBdr>
                  <w:divsChild>
                    <w:div w:id="188832585">
                      <w:marLeft w:val="0"/>
                      <w:marRight w:val="0"/>
                      <w:marTop w:val="0"/>
                      <w:marBottom w:val="0"/>
                      <w:divBdr>
                        <w:top w:val="none" w:sz="0" w:space="0" w:color="auto"/>
                        <w:left w:val="none" w:sz="0" w:space="0" w:color="auto"/>
                        <w:bottom w:val="none" w:sz="0" w:space="0" w:color="auto"/>
                        <w:right w:val="none" w:sz="0" w:space="0" w:color="auto"/>
                      </w:divBdr>
                    </w:div>
                  </w:divsChild>
                </w:div>
                <w:div w:id="893589070">
                  <w:marLeft w:val="0"/>
                  <w:marRight w:val="0"/>
                  <w:marTop w:val="0"/>
                  <w:marBottom w:val="0"/>
                  <w:divBdr>
                    <w:top w:val="none" w:sz="0" w:space="0" w:color="auto"/>
                    <w:left w:val="none" w:sz="0" w:space="0" w:color="auto"/>
                    <w:bottom w:val="none" w:sz="0" w:space="0" w:color="auto"/>
                    <w:right w:val="none" w:sz="0" w:space="0" w:color="auto"/>
                  </w:divBdr>
                  <w:divsChild>
                    <w:div w:id="306521579">
                      <w:marLeft w:val="0"/>
                      <w:marRight w:val="0"/>
                      <w:marTop w:val="0"/>
                      <w:marBottom w:val="0"/>
                      <w:divBdr>
                        <w:top w:val="none" w:sz="0" w:space="0" w:color="auto"/>
                        <w:left w:val="none" w:sz="0" w:space="0" w:color="auto"/>
                        <w:bottom w:val="none" w:sz="0" w:space="0" w:color="auto"/>
                        <w:right w:val="none" w:sz="0" w:space="0" w:color="auto"/>
                      </w:divBdr>
                    </w:div>
                  </w:divsChild>
                </w:div>
                <w:div w:id="906183473">
                  <w:marLeft w:val="0"/>
                  <w:marRight w:val="0"/>
                  <w:marTop w:val="0"/>
                  <w:marBottom w:val="0"/>
                  <w:divBdr>
                    <w:top w:val="none" w:sz="0" w:space="0" w:color="auto"/>
                    <w:left w:val="none" w:sz="0" w:space="0" w:color="auto"/>
                    <w:bottom w:val="none" w:sz="0" w:space="0" w:color="auto"/>
                    <w:right w:val="none" w:sz="0" w:space="0" w:color="auto"/>
                  </w:divBdr>
                  <w:divsChild>
                    <w:div w:id="1402172025">
                      <w:marLeft w:val="0"/>
                      <w:marRight w:val="0"/>
                      <w:marTop w:val="0"/>
                      <w:marBottom w:val="0"/>
                      <w:divBdr>
                        <w:top w:val="none" w:sz="0" w:space="0" w:color="auto"/>
                        <w:left w:val="none" w:sz="0" w:space="0" w:color="auto"/>
                        <w:bottom w:val="none" w:sz="0" w:space="0" w:color="auto"/>
                        <w:right w:val="none" w:sz="0" w:space="0" w:color="auto"/>
                      </w:divBdr>
                    </w:div>
                  </w:divsChild>
                </w:div>
                <w:div w:id="907687655">
                  <w:marLeft w:val="0"/>
                  <w:marRight w:val="0"/>
                  <w:marTop w:val="0"/>
                  <w:marBottom w:val="0"/>
                  <w:divBdr>
                    <w:top w:val="none" w:sz="0" w:space="0" w:color="auto"/>
                    <w:left w:val="none" w:sz="0" w:space="0" w:color="auto"/>
                    <w:bottom w:val="none" w:sz="0" w:space="0" w:color="auto"/>
                    <w:right w:val="none" w:sz="0" w:space="0" w:color="auto"/>
                  </w:divBdr>
                  <w:divsChild>
                    <w:div w:id="1934701766">
                      <w:marLeft w:val="0"/>
                      <w:marRight w:val="0"/>
                      <w:marTop w:val="0"/>
                      <w:marBottom w:val="0"/>
                      <w:divBdr>
                        <w:top w:val="none" w:sz="0" w:space="0" w:color="auto"/>
                        <w:left w:val="none" w:sz="0" w:space="0" w:color="auto"/>
                        <w:bottom w:val="none" w:sz="0" w:space="0" w:color="auto"/>
                        <w:right w:val="none" w:sz="0" w:space="0" w:color="auto"/>
                      </w:divBdr>
                    </w:div>
                  </w:divsChild>
                </w:div>
                <w:div w:id="922106078">
                  <w:marLeft w:val="0"/>
                  <w:marRight w:val="0"/>
                  <w:marTop w:val="0"/>
                  <w:marBottom w:val="0"/>
                  <w:divBdr>
                    <w:top w:val="none" w:sz="0" w:space="0" w:color="auto"/>
                    <w:left w:val="none" w:sz="0" w:space="0" w:color="auto"/>
                    <w:bottom w:val="none" w:sz="0" w:space="0" w:color="auto"/>
                    <w:right w:val="none" w:sz="0" w:space="0" w:color="auto"/>
                  </w:divBdr>
                  <w:divsChild>
                    <w:div w:id="582297848">
                      <w:marLeft w:val="0"/>
                      <w:marRight w:val="0"/>
                      <w:marTop w:val="0"/>
                      <w:marBottom w:val="0"/>
                      <w:divBdr>
                        <w:top w:val="none" w:sz="0" w:space="0" w:color="auto"/>
                        <w:left w:val="none" w:sz="0" w:space="0" w:color="auto"/>
                        <w:bottom w:val="none" w:sz="0" w:space="0" w:color="auto"/>
                        <w:right w:val="none" w:sz="0" w:space="0" w:color="auto"/>
                      </w:divBdr>
                    </w:div>
                  </w:divsChild>
                </w:div>
                <w:div w:id="931428499">
                  <w:marLeft w:val="0"/>
                  <w:marRight w:val="0"/>
                  <w:marTop w:val="0"/>
                  <w:marBottom w:val="0"/>
                  <w:divBdr>
                    <w:top w:val="none" w:sz="0" w:space="0" w:color="auto"/>
                    <w:left w:val="none" w:sz="0" w:space="0" w:color="auto"/>
                    <w:bottom w:val="none" w:sz="0" w:space="0" w:color="auto"/>
                    <w:right w:val="none" w:sz="0" w:space="0" w:color="auto"/>
                  </w:divBdr>
                  <w:divsChild>
                    <w:div w:id="925500147">
                      <w:marLeft w:val="0"/>
                      <w:marRight w:val="0"/>
                      <w:marTop w:val="0"/>
                      <w:marBottom w:val="0"/>
                      <w:divBdr>
                        <w:top w:val="none" w:sz="0" w:space="0" w:color="auto"/>
                        <w:left w:val="none" w:sz="0" w:space="0" w:color="auto"/>
                        <w:bottom w:val="none" w:sz="0" w:space="0" w:color="auto"/>
                        <w:right w:val="none" w:sz="0" w:space="0" w:color="auto"/>
                      </w:divBdr>
                    </w:div>
                  </w:divsChild>
                </w:div>
                <w:div w:id="936795427">
                  <w:marLeft w:val="0"/>
                  <w:marRight w:val="0"/>
                  <w:marTop w:val="0"/>
                  <w:marBottom w:val="0"/>
                  <w:divBdr>
                    <w:top w:val="none" w:sz="0" w:space="0" w:color="auto"/>
                    <w:left w:val="none" w:sz="0" w:space="0" w:color="auto"/>
                    <w:bottom w:val="none" w:sz="0" w:space="0" w:color="auto"/>
                    <w:right w:val="none" w:sz="0" w:space="0" w:color="auto"/>
                  </w:divBdr>
                  <w:divsChild>
                    <w:div w:id="1132288701">
                      <w:marLeft w:val="0"/>
                      <w:marRight w:val="0"/>
                      <w:marTop w:val="0"/>
                      <w:marBottom w:val="0"/>
                      <w:divBdr>
                        <w:top w:val="none" w:sz="0" w:space="0" w:color="auto"/>
                        <w:left w:val="none" w:sz="0" w:space="0" w:color="auto"/>
                        <w:bottom w:val="none" w:sz="0" w:space="0" w:color="auto"/>
                        <w:right w:val="none" w:sz="0" w:space="0" w:color="auto"/>
                      </w:divBdr>
                    </w:div>
                  </w:divsChild>
                </w:div>
                <w:div w:id="940256818">
                  <w:marLeft w:val="0"/>
                  <w:marRight w:val="0"/>
                  <w:marTop w:val="0"/>
                  <w:marBottom w:val="0"/>
                  <w:divBdr>
                    <w:top w:val="none" w:sz="0" w:space="0" w:color="auto"/>
                    <w:left w:val="none" w:sz="0" w:space="0" w:color="auto"/>
                    <w:bottom w:val="none" w:sz="0" w:space="0" w:color="auto"/>
                    <w:right w:val="none" w:sz="0" w:space="0" w:color="auto"/>
                  </w:divBdr>
                  <w:divsChild>
                    <w:div w:id="2136093838">
                      <w:marLeft w:val="0"/>
                      <w:marRight w:val="0"/>
                      <w:marTop w:val="0"/>
                      <w:marBottom w:val="0"/>
                      <w:divBdr>
                        <w:top w:val="none" w:sz="0" w:space="0" w:color="auto"/>
                        <w:left w:val="none" w:sz="0" w:space="0" w:color="auto"/>
                        <w:bottom w:val="none" w:sz="0" w:space="0" w:color="auto"/>
                        <w:right w:val="none" w:sz="0" w:space="0" w:color="auto"/>
                      </w:divBdr>
                    </w:div>
                  </w:divsChild>
                </w:div>
                <w:div w:id="948852340">
                  <w:marLeft w:val="0"/>
                  <w:marRight w:val="0"/>
                  <w:marTop w:val="0"/>
                  <w:marBottom w:val="0"/>
                  <w:divBdr>
                    <w:top w:val="none" w:sz="0" w:space="0" w:color="auto"/>
                    <w:left w:val="none" w:sz="0" w:space="0" w:color="auto"/>
                    <w:bottom w:val="none" w:sz="0" w:space="0" w:color="auto"/>
                    <w:right w:val="none" w:sz="0" w:space="0" w:color="auto"/>
                  </w:divBdr>
                  <w:divsChild>
                    <w:div w:id="590432729">
                      <w:marLeft w:val="0"/>
                      <w:marRight w:val="0"/>
                      <w:marTop w:val="0"/>
                      <w:marBottom w:val="0"/>
                      <w:divBdr>
                        <w:top w:val="none" w:sz="0" w:space="0" w:color="auto"/>
                        <w:left w:val="none" w:sz="0" w:space="0" w:color="auto"/>
                        <w:bottom w:val="none" w:sz="0" w:space="0" w:color="auto"/>
                        <w:right w:val="none" w:sz="0" w:space="0" w:color="auto"/>
                      </w:divBdr>
                    </w:div>
                  </w:divsChild>
                </w:div>
                <w:div w:id="952319877">
                  <w:marLeft w:val="0"/>
                  <w:marRight w:val="0"/>
                  <w:marTop w:val="0"/>
                  <w:marBottom w:val="0"/>
                  <w:divBdr>
                    <w:top w:val="none" w:sz="0" w:space="0" w:color="auto"/>
                    <w:left w:val="none" w:sz="0" w:space="0" w:color="auto"/>
                    <w:bottom w:val="none" w:sz="0" w:space="0" w:color="auto"/>
                    <w:right w:val="none" w:sz="0" w:space="0" w:color="auto"/>
                  </w:divBdr>
                  <w:divsChild>
                    <w:div w:id="309558425">
                      <w:marLeft w:val="0"/>
                      <w:marRight w:val="0"/>
                      <w:marTop w:val="0"/>
                      <w:marBottom w:val="0"/>
                      <w:divBdr>
                        <w:top w:val="none" w:sz="0" w:space="0" w:color="auto"/>
                        <w:left w:val="none" w:sz="0" w:space="0" w:color="auto"/>
                        <w:bottom w:val="none" w:sz="0" w:space="0" w:color="auto"/>
                        <w:right w:val="none" w:sz="0" w:space="0" w:color="auto"/>
                      </w:divBdr>
                    </w:div>
                  </w:divsChild>
                </w:div>
                <w:div w:id="959845978">
                  <w:marLeft w:val="0"/>
                  <w:marRight w:val="0"/>
                  <w:marTop w:val="0"/>
                  <w:marBottom w:val="0"/>
                  <w:divBdr>
                    <w:top w:val="none" w:sz="0" w:space="0" w:color="auto"/>
                    <w:left w:val="none" w:sz="0" w:space="0" w:color="auto"/>
                    <w:bottom w:val="none" w:sz="0" w:space="0" w:color="auto"/>
                    <w:right w:val="none" w:sz="0" w:space="0" w:color="auto"/>
                  </w:divBdr>
                  <w:divsChild>
                    <w:div w:id="1235621551">
                      <w:marLeft w:val="0"/>
                      <w:marRight w:val="0"/>
                      <w:marTop w:val="0"/>
                      <w:marBottom w:val="0"/>
                      <w:divBdr>
                        <w:top w:val="none" w:sz="0" w:space="0" w:color="auto"/>
                        <w:left w:val="none" w:sz="0" w:space="0" w:color="auto"/>
                        <w:bottom w:val="none" w:sz="0" w:space="0" w:color="auto"/>
                        <w:right w:val="none" w:sz="0" w:space="0" w:color="auto"/>
                      </w:divBdr>
                    </w:div>
                  </w:divsChild>
                </w:div>
                <w:div w:id="965505855">
                  <w:marLeft w:val="0"/>
                  <w:marRight w:val="0"/>
                  <w:marTop w:val="0"/>
                  <w:marBottom w:val="0"/>
                  <w:divBdr>
                    <w:top w:val="none" w:sz="0" w:space="0" w:color="auto"/>
                    <w:left w:val="none" w:sz="0" w:space="0" w:color="auto"/>
                    <w:bottom w:val="none" w:sz="0" w:space="0" w:color="auto"/>
                    <w:right w:val="none" w:sz="0" w:space="0" w:color="auto"/>
                  </w:divBdr>
                  <w:divsChild>
                    <w:div w:id="1748653404">
                      <w:marLeft w:val="0"/>
                      <w:marRight w:val="0"/>
                      <w:marTop w:val="0"/>
                      <w:marBottom w:val="0"/>
                      <w:divBdr>
                        <w:top w:val="none" w:sz="0" w:space="0" w:color="auto"/>
                        <w:left w:val="none" w:sz="0" w:space="0" w:color="auto"/>
                        <w:bottom w:val="none" w:sz="0" w:space="0" w:color="auto"/>
                        <w:right w:val="none" w:sz="0" w:space="0" w:color="auto"/>
                      </w:divBdr>
                    </w:div>
                  </w:divsChild>
                </w:div>
                <w:div w:id="970667974">
                  <w:marLeft w:val="0"/>
                  <w:marRight w:val="0"/>
                  <w:marTop w:val="0"/>
                  <w:marBottom w:val="0"/>
                  <w:divBdr>
                    <w:top w:val="none" w:sz="0" w:space="0" w:color="auto"/>
                    <w:left w:val="none" w:sz="0" w:space="0" w:color="auto"/>
                    <w:bottom w:val="none" w:sz="0" w:space="0" w:color="auto"/>
                    <w:right w:val="none" w:sz="0" w:space="0" w:color="auto"/>
                  </w:divBdr>
                  <w:divsChild>
                    <w:div w:id="260182652">
                      <w:marLeft w:val="0"/>
                      <w:marRight w:val="0"/>
                      <w:marTop w:val="0"/>
                      <w:marBottom w:val="0"/>
                      <w:divBdr>
                        <w:top w:val="none" w:sz="0" w:space="0" w:color="auto"/>
                        <w:left w:val="none" w:sz="0" w:space="0" w:color="auto"/>
                        <w:bottom w:val="none" w:sz="0" w:space="0" w:color="auto"/>
                        <w:right w:val="none" w:sz="0" w:space="0" w:color="auto"/>
                      </w:divBdr>
                    </w:div>
                  </w:divsChild>
                </w:div>
                <w:div w:id="975724008">
                  <w:marLeft w:val="0"/>
                  <w:marRight w:val="0"/>
                  <w:marTop w:val="0"/>
                  <w:marBottom w:val="0"/>
                  <w:divBdr>
                    <w:top w:val="none" w:sz="0" w:space="0" w:color="auto"/>
                    <w:left w:val="none" w:sz="0" w:space="0" w:color="auto"/>
                    <w:bottom w:val="none" w:sz="0" w:space="0" w:color="auto"/>
                    <w:right w:val="none" w:sz="0" w:space="0" w:color="auto"/>
                  </w:divBdr>
                  <w:divsChild>
                    <w:div w:id="624849342">
                      <w:marLeft w:val="0"/>
                      <w:marRight w:val="0"/>
                      <w:marTop w:val="0"/>
                      <w:marBottom w:val="0"/>
                      <w:divBdr>
                        <w:top w:val="none" w:sz="0" w:space="0" w:color="auto"/>
                        <w:left w:val="none" w:sz="0" w:space="0" w:color="auto"/>
                        <w:bottom w:val="none" w:sz="0" w:space="0" w:color="auto"/>
                        <w:right w:val="none" w:sz="0" w:space="0" w:color="auto"/>
                      </w:divBdr>
                    </w:div>
                  </w:divsChild>
                </w:div>
                <w:div w:id="976184705">
                  <w:marLeft w:val="0"/>
                  <w:marRight w:val="0"/>
                  <w:marTop w:val="0"/>
                  <w:marBottom w:val="0"/>
                  <w:divBdr>
                    <w:top w:val="none" w:sz="0" w:space="0" w:color="auto"/>
                    <w:left w:val="none" w:sz="0" w:space="0" w:color="auto"/>
                    <w:bottom w:val="none" w:sz="0" w:space="0" w:color="auto"/>
                    <w:right w:val="none" w:sz="0" w:space="0" w:color="auto"/>
                  </w:divBdr>
                  <w:divsChild>
                    <w:div w:id="1149400694">
                      <w:marLeft w:val="0"/>
                      <w:marRight w:val="0"/>
                      <w:marTop w:val="0"/>
                      <w:marBottom w:val="0"/>
                      <w:divBdr>
                        <w:top w:val="none" w:sz="0" w:space="0" w:color="auto"/>
                        <w:left w:val="none" w:sz="0" w:space="0" w:color="auto"/>
                        <w:bottom w:val="none" w:sz="0" w:space="0" w:color="auto"/>
                        <w:right w:val="none" w:sz="0" w:space="0" w:color="auto"/>
                      </w:divBdr>
                    </w:div>
                  </w:divsChild>
                </w:div>
                <w:div w:id="976450839">
                  <w:marLeft w:val="0"/>
                  <w:marRight w:val="0"/>
                  <w:marTop w:val="0"/>
                  <w:marBottom w:val="0"/>
                  <w:divBdr>
                    <w:top w:val="none" w:sz="0" w:space="0" w:color="auto"/>
                    <w:left w:val="none" w:sz="0" w:space="0" w:color="auto"/>
                    <w:bottom w:val="none" w:sz="0" w:space="0" w:color="auto"/>
                    <w:right w:val="none" w:sz="0" w:space="0" w:color="auto"/>
                  </w:divBdr>
                  <w:divsChild>
                    <w:div w:id="589118923">
                      <w:marLeft w:val="0"/>
                      <w:marRight w:val="0"/>
                      <w:marTop w:val="0"/>
                      <w:marBottom w:val="0"/>
                      <w:divBdr>
                        <w:top w:val="none" w:sz="0" w:space="0" w:color="auto"/>
                        <w:left w:val="none" w:sz="0" w:space="0" w:color="auto"/>
                        <w:bottom w:val="none" w:sz="0" w:space="0" w:color="auto"/>
                        <w:right w:val="none" w:sz="0" w:space="0" w:color="auto"/>
                      </w:divBdr>
                    </w:div>
                  </w:divsChild>
                </w:div>
                <w:div w:id="976565266">
                  <w:marLeft w:val="0"/>
                  <w:marRight w:val="0"/>
                  <w:marTop w:val="0"/>
                  <w:marBottom w:val="0"/>
                  <w:divBdr>
                    <w:top w:val="none" w:sz="0" w:space="0" w:color="auto"/>
                    <w:left w:val="none" w:sz="0" w:space="0" w:color="auto"/>
                    <w:bottom w:val="none" w:sz="0" w:space="0" w:color="auto"/>
                    <w:right w:val="none" w:sz="0" w:space="0" w:color="auto"/>
                  </w:divBdr>
                  <w:divsChild>
                    <w:div w:id="46035287">
                      <w:marLeft w:val="0"/>
                      <w:marRight w:val="0"/>
                      <w:marTop w:val="0"/>
                      <w:marBottom w:val="0"/>
                      <w:divBdr>
                        <w:top w:val="none" w:sz="0" w:space="0" w:color="auto"/>
                        <w:left w:val="none" w:sz="0" w:space="0" w:color="auto"/>
                        <w:bottom w:val="none" w:sz="0" w:space="0" w:color="auto"/>
                        <w:right w:val="none" w:sz="0" w:space="0" w:color="auto"/>
                      </w:divBdr>
                    </w:div>
                  </w:divsChild>
                </w:div>
                <w:div w:id="990868582">
                  <w:marLeft w:val="0"/>
                  <w:marRight w:val="0"/>
                  <w:marTop w:val="0"/>
                  <w:marBottom w:val="0"/>
                  <w:divBdr>
                    <w:top w:val="none" w:sz="0" w:space="0" w:color="auto"/>
                    <w:left w:val="none" w:sz="0" w:space="0" w:color="auto"/>
                    <w:bottom w:val="none" w:sz="0" w:space="0" w:color="auto"/>
                    <w:right w:val="none" w:sz="0" w:space="0" w:color="auto"/>
                  </w:divBdr>
                  <w:divsChild>
                    <w:div w:id="710107988">
                      <w:marLeft w:val="0"/>
                      <w:marRight w:val="0"/>
                      <w:marTop w:val="0"/>
                      <w:marBottom w:val="0"/>
                      <w:divBdr>
                        <w:top w:val="none" w:sz="0" w:space="0" w:color="auto"/>
                        <w:left w:val="none" w:sz="0" w:space="0" w:color="auto"/>
                        <w:bottom w:val="none" w:sz="0" w:space="0" w:color="auto"/>
                        <w:right w:val="none" w:sz="0" w:space="0" w:color="auto"/>
                      </w:divBdr>
                    </w:div>
                  </w:divsChild>
                </w:div>
                <w:div w:id="1016539944">
                  <w:marLeft w:val="0"/>
                  <w:marRight w:val="0"/>
                  <w:marTop w:val="0"/>
                  <w:marBottom w:val="0"/>
                  <w:divBdr>
                    <w:top w:val="none" w:sz="0" w:space="0" w:color="auto"/>
                    <w:left w:val="none" w:sz="0" w:space="0" w:color="auto"/>
                    <w:bottom w:val="none" w:sz="0" w:space="0" w:color="auto"/>
                    <w:right w:val="none" w:sz="0" w:space="0" w:color="auto"/>
                  </w:divBdr>
                  <w:divsChild>
                    <w:div w:id="465507574">
                      <w:marLeft w:val="0"/>
                      <w:marRight w:val="0"/>
                      <w:marTop w:val="0"/>
                      <w:marBottom w:val="0"/>
                      <w:divBdr>
                        <w:top w:val="none" w:sz="0" w:space="0" w:color="auto"/>
                        <w:left w:val="none" w:sz="0" w:space="0" w:color="auto"/>
                        <w:bottom w:val="none" w:sz="0" w:space="0" w:color="auto"/>
                        <w:right w:val="none" w:sz="0" w:space="0" w:color="auto"/>
                      </w:divBdr>
                    </w:div>
                  </w:divsChild>
                </w:div>
                <w:div w:id="1025402631">
                  <w:marLeft w:val="0"/>
                  <w:marRight w:val="0"/>
                  <w:marTop w:val="0"/>
                  <w:marBottom w:val="0"/>
                  <w:divBdr>
                    <w:top w:val="none" w:sz="0" w:space="0" w:color="auto"/>
                    <w:left w:val="none" w:sz="0" w:space="0" w:color="auto"/>
                    <w:bottom w:val="none" w:sz="0" w:space="0" w:color="auto"/>
                    <w:right w:val="none" w:sz="0" w:space="0" w:color="auto"/>
                  </w:divBdr>
                  <w:divsChild>
                    <w:div w:id="87695841">
                      <w:marLeft w:val="0"/>
                      <w:marRight w:val="0"/>
                      <w:marTop w:val="0"/>
                      <w:marBottom w:val="0"/>
                      <w:divBdr>
                        <w:top w:val="none" w:sz="0" w:space="0" w:color="auto"/>
                        <w:left w:val="none" w:sz="0" w:space="0" w:color="auto"/>
                        <w:bottom w:val="none" w:sz="0" w:space="0" w:color="auto"/>
                        <w:right w:val="none" w:sz="0" w:space="0" w:color="auto"/>
                      </w:divBdr>
                    </w:div>
                  </w:divsChild>
                </w:div>
                <w:div w:id="1037320515">
                  <w:marLeft w:val="0"/>
                  <w:marRight w:val="0"/>
                  <w:marTop w:val="0"/>
                  <w:marBottom w:val="0"/>
                  <w:divBdr>
                    <w:top w:val="none" w:sz="0" w:space="0" w:color="auto"/>
                    <w:left w:val="none" w:sz="0" w:space="0" w:color="auto"/>
                    <w:bottom w:val="none" w:sz="0" w:space="0" w:color="auto"/>
                    <w:right w:val="none" w:sz="0" w:space="0" w:color="auto"/>
                  </w:divBdr>
                  <w:divsChild>
                    <w:div w:id="1502508465">
                      <w:marLeft w:val="0"/>
                      <w:marRight w:val="0"/>
                      <w:marTop w:val="0"/>
                      <w:marBottom w:val="0"/>
                      <w:divBdr>
                        <w:top w:val="none" w:sz="0" w:space="0" w:color="auto"/>
                        <w:left w:val="none" w:sz="0" w:space="0" w:color="auto"/>
                        <w:bottom w:val="none" w:sz="0" w:space="0" w:color="auto"/>
                        <w:right w:val="none" w:sz="0" w:space="0" w:color="auto"/>
                      </w:divBdr>
                    </w:div>
                  </w:divsChild>
                </w:div>
                <w:div w:id="1042024189">
                  <w:marLeft w:val="0"/>
                  <w:marRight w:val="0"/>
                  <w:marTop w:val="0"/>
                  <w:marBottom w:val="0"/>
                  <w:divBdr>
                    <w:top w:val="none" w:sz="0" w:space="0" w:color="auto"/>
                    <w:left w:val="none" w:sz="0" w:space="0" w:color="auto"/>
                    <w:bottom w:val="none" w:sz="0" w:space="0" w:color="auto"/>
                    <w:right w:val="none" w:sz="0" w:space="0" w:color="auto"/>
                  </w:divBdr>
                  <w:divsChild>
                    <w:div w:id="1558543630">
                      <w:marLeft w:val="0"/>
                      <w:marRight w:val="0"/>
                      <w:marTop w:val="0"/>
                      <w:marBottom w:val="0"/>
                      <w:divBdr>
                        <w:top w:val="none" w:sz="0" w:space="0" w:color="auto"/>
                        <w:left w:val="none" w:sz="0" w:space="0" w:color="auto"/>
                        <w:bottom w:val="none" w:sz="0" w:space="0" w:color="auto"/>
                        <w:right w:val="none" w:sz="0" w:space="0" w:color="auto"/>
                      </w:divBdr>
                    </w:div>
                  </w:divsChild>
                </w:div>
                <w:div w:id="1048724163">
                  <w:marLeft w:val="0"/>
                  <w:marRight w:val="0"/>
                  <w:marTop w:val="0"/>
                  <w:marBottom w:val="0"/>
                  <w:divBdr>
                    <w:top w:val="none" w:sz="0" w:space="0" w:color="auto"/>
                    <w:left w:val="none" w:sz="0" w:space="0" w:color="auto"/>
                    <w:bottom w:val="none" w:sz="0" w:space="0" w:color="auto"/>
                    <w:right w:val="none" w:sz="0" w:space="0" w:color="auto"/>
                  </w:divBdr>
                  <w:divsChild>
                    <w:div w:id="1877623104">
                      <w:marLeft w:val="0"/>
                      <w:marRight w:val="0"/>
                      <w:marTop w:val="0"/>
                      <w:marBottom w:val="0"/>
                      <w:divBdr>
                        <w:top w:val="none" w:sz="0" w:space="0" w:color="auto"/>
                        <w:left w:val="none" w:sz="0" w:space="0" w:color="auto"/>
                        <w:bottom w:val="none" w:sz="0" w:space="0" w:color="auto"/>
                        <w:right w:val="none" w:sz="0" w:space="0" w:color="auto"/>
                      </w:divBdr>
                    </w:div>
                  </w:divsChild>
                </w:div>
                <w:div w:id="1084033800">
                  <w:marLeft w:val="0"/>
                  <w:marRight w:val="0"/>
                  <w:marTop w:val="0"/>
                  <w:marBottom w:val="0"/>
                  <w:divBdr>
                    <w:top w:val="none" w:sz="0" w:space="0" w:color="auto"/>
                    <w:left w:val="none" w:sz="0" w:space="0" w:color="auto"/>
                    <w:bottom w:val="none" w:sz="0" w:space="0" w:color="auto"/>
                    <w:right w:val="none" w:sz="0" w:space="0" w:color="auto"/>
                  </w:divBdr>
                  <w:divsChild>
                    <w:div w:id="849105087">
                      <w:marLeft w:val="0"/>
                      <w:marRight w:val="0"/>
                      <w:marTop w:val="0"/>
                      <w:marBottom w:val="0"/>
                      <w:divBdr>
                        <w:top w:val="none" w:sz="0" w:space="0" w:color="auto"/>
                        <w:left w:val="none" w:sz="0" w:space="0" w:color="auto"/>
                        <w:bottom w:val="none" w:sz="0" w:space="0" w:color="auto"/>
                        <w:right w:val="none" w:sz="0" w:space="0" w:color="auto"/>
                      </w:divBdr>
                    </w:div>
                  </w:divsChild>
                </w:div>
                <w:div w:id="1136681908">
                  <w:marLeft w:val="0"/>
                  <w:marRight w:val="0"/>
                  <w:marTop w:val="0"/>
                  <w:marBottom w:val="0"/>
                  <w:divBdr>
                    <w:top w:val="none" w:sz="0" w:space="0" w:color="auto"/>
                    <w:left w:val="none" w:sz="0" w:space="0" w:color="auto"/>
                    <w:bottom w:val="none" w:sz="0" w:space="0" w:color="auto"/>
                    <w:right w:val="none" w:sz="0" w:space="0" w:color="auto"/>
                  </w:divBdr>
                  <w:divsChild>
                    <w:div w:id="655690521">
                      <w:marLeft w:val="0"/>
                      <w:marRight w:val="0"/>
                      <w:marTop w:val="0"/>
                      <w:marBottom w:val="0"/>
                      <w:divBdr>
                        <w:top w:val="none" w:sz="0" w:space="0" w:color="auto"/>
                        <w:left w:val="none" w:sz="0" w:space="0" w:color="auto"/>
                        <w:bottom w:val="none" w:sz="0" w:space="0" w:color="auto"/>
                        <w:right w:val="none" w:sz="0" w:space="0" w:color="auto"/>
                      </w:divBdr>
                    </w:div>
                  </w:divsChild>
                </w:div>
                <w:div w:id="1158493129">
                  <w:marLeft w:val="0"/>
                  <w:marRight w:val="0"/>
                  <w:marTop w:val="0"/>
                  <w:marBottom w:val="0"/>
                  <w:divBdr>
                    <w:top w:val="none" w:sz="0" w:space="0" w:color="auto"/>
                    <w:left w:val="none" w:sz="0" w:space="0" w:color="auto"/>
                    <w:bottom w:val="none" w:sz="0" w:space="0" w:color="auto"/>
                    <w:right w:val="none" w:sz="0" w:space="0" w:color="auto"/>
                  </w:divBdr>
                  <w:divsChild>
                    <w:div w:id="609746982">
                      <w:marLeft w:val="0"/>
                      <w:marRight w:val="0"/>
                      <w:marTop w:val="0"/>
                      <w:marBottom w:val="0"/>
                      <w:divBdr>
                        <w:top w:val="none" w:sz="0" w:space="0" w:color="auto"/>
                        <w:left w:val="none" w:sz="0" w:space="0" w:color="auto"/>
                        <w:bottom w:val="none" w:sz="0" w:space="0" w:color="auto"/>
                        <w:right w:val="none" w:sz="0" w:space="0" w:color="auto"/>
                      </w:divBdr>
                    </w:div>
                  </w:divsChild>
                </w:div>
                <w:div w:id="1161313530">
                  <w:marLeft w:val="0"/>
                  <w:marRight w:val="0"/>
                  <w:marTop w:val="0"/>
                  <w:marBottom w:val="0"/>
                  <w:divBdr>
                    <w:top w:val="none" w:sz="0" w:space="0" w:color="auto"/>
                    <w:left w:val="none" w:sz="0" w:space="0" w:color="auto"/>
                    <w:bottom w:val="none" w:sz="0" w:space="0" w:color="auto"/>
                    <w:right w:val="none" w:sz="0" w:space="0" w:color="auto"/>
                  </w:divBdr>
                  <w:divsChild>
                    <w:div w:id="1820028434">
                      <w:marLeft w:val="0"/>
                      <w:marRight w:val="0"/>
                      <w:marTop w:val="0"/>
                      <w:marBottom w:val="0"/>
                      <w:divBdr>
                        <w:top w:val="none" w:sz="0" w:space="0" w:color="auto"/>
                        <w:left w:val="none" w:sz="0" w:space="0" w:color="auto"/>
                        <w:bottom w:val="none" w:sz="0" w:space="0" w:color="auto"/>
                        <w:right w:val="none" w:sz="0" w:space="0" w:color="auto"/>
                      </w:divBdr>
                    </w:div>
                  </w:divsChild>
                </w:div>
                <w:div w:id="1162619752">
                  <w:marLeft w:val="0"/>
                  <w:marRight w:val="0"/>
                  <w:marTop w:val="0"/>
                  <w:marBottom w:val="0"/>
                  <w:divBdr>
                    <w:top w:val="none" w:sz="0" w:space="0" w:color="auto"/>
                    <w:left w:val="none" w:sz="0" w:space="0" w:color="auto"/>
                    <w:bottom w:val="none" w:sz="0" w:space="0" w:color="auto"/>
                    <w:right w:val="none" w:sz="0" w:space="0" w:color="auto"/>
                  </w:divBdr>
                  <w:divsChild>
                    <w:div w:id="1312366269">
                      <w:marLeft w:val="0"/>
                      <w:marRight w:val="0"/>
                      <w:marTop w:val="0"/>
                      <w:marBottom w:val="0"/>
                      <w:divBdr>
                        <w:top w:val="none" w:sz="0" w:space="0" w:color="auto"/>
                        <w:left w:val="none" w:sz="0" w:space="0" w:color="auto"/>
                        <w:bottom w:val="none" w:sz="0" w:space="0" w:color="auto"/>
                        <w:right w:val="none" w:sz="0" w:space="0" w:color="auto"/>
                      </w:divBdr>
                    </w:div>
                  </w:divsChild>
                </w:div>
                <w:div w:id="1165433665">
                  <w:marLeft w:val="0"/>
                  <w:marRight w:val="0"/>
                  <w:marTop w:val="0"/>
                  <w:marBottom w:val="0"/>
                  <w:divBdr>
                    <w:top w:val="none" w:sz="0" w:space="0" w:color="auto"/>
                    <w:left w:val="none" w:sz="0" w:space="0" w:color="auto"/>
                    <w:bottom w:val="none" w:sz="0" w:space="0" w:color="auto"/>
                    <w:right w:val="none" w:sz="0" w:space="0" w:color="auto"/>
                  </w:divBdr>
                  <w:divsChild>
                    <w:div w:id="913007888">
                      <w:marLeft w:val="0"/>
                      <w:marRight w:val="0"/>
                      <w:marTop w:val="0"/>
                      <w:marBottom w:val="0"/>
                      <w:divBdr>
                        <w:top w:val="none" w:sz="0" w:space="0" w:color="auto"/>
                        <w:left w:val="none" w:sz="0" w:space="0" w:color="auto"/>
                        <w:bottom w:val="none" w:sz="0" w:space="0" w:color="auto"/>
                        <w:right w:val="none" w:sz="0" w:space="0" w:color="auto"/>
                      </w:divBdr>
                    </w:div>
                  </w:divsChild>
                </w:div>
                <w:div w:id="1183013321">
                  <w:marLeft w:val="0"/>
                  <w:marRight w:val="0"/>
                  <w:marTop w:val="0"/>
                  <w:marBottom w:val="0"/>
                  <w:divBdr>
                    <w:top w:val="none" w:sz="0" w:space="0" w:color="auto"/>
                    <w:left w:val="none" w:sz="0" w:space="0" w:color="auto"/>
                    <w:bottom w:val="none" w:sz="0" w:space="0" w:color="auto"/>
                    <w:right w:val="none" w:sz="0" w:space="0" w:color="auto"/>
                  </w:divBdr>
                  <w:divsChild>
                    <w:div w:id="1849782912">
                      <w:marLeft w:val="0"/>
                      <w:marRight w:val="0"/>
                      <w:marTop w:val="0"/>
                      <w:marBottom w:val="0"/>
                      <w:divBdr>
                        <w:top w:val="none" w:sz="0" w:space="0" w:color="auto"/>
                        <w:left w:val="none" w:sz="0" w:space="0" w:color="auto"/>
                        <w:bottom w:val="none" w:sz="0" w:space="0" w:color="auto"/>
                        <w:right w:val="none" w:sz="0" w:space="0" w:color="auto"/>
                      </w:divBdr>
                    </w:div>
                  </w:divsChild>
                </w:div>
                <w:div w:id="1186553602">
                  <w:marLeft w:val="0"/>
                  <w:marRight w:val="0"/>
                  <w:marTop w:val="0"/>
                  <w:marBottom w:val="0"/>
                  <w:divBdr>
                    <w:top w:val="none" w:sz="0" w:space="0" w:color="auto"/>
                    <w:left w:val="none" w:sz="0" w:space="0" w:color="auto"/>
                    <w:bottom w:val="none" w:sz="0" w:space="0" w:color="auto"/>
                    <w:right w:val="none" w:sz="0" w:space="0" w:color="auto"/>
                  </w:divBdr>
                  <w:divsChild>
                    <w:div w:id="140581718">
                      <w:marLeft w:val="0"/>
                      <w:marRight w:val="0"/>
                      <w:marTop w:val="0"/>
                      <w:marBottom w:val="0"/>
                      <w:divBdr>
                        <w:top w:val="none" w:sz="0" w:space="0" w:color="auto"/>
                        <w:left w:val="none" w:sz="0" w:space="0" w:color="auto"/>
                        <w:bottom w:val="none" w:sz="0" w:space="0" w:color="auto"/>
                        <w:right w:val="none" w:sz="0" w:space="0" w:color="auto"/>
                      </w:divBdr>
                    </w:div>
                  </w:divsChild>
                </w:div>
                <w:div w:id="1200783267">
                  <w:marLeft w:val="0"/>
                  <w:marRight w:val="0"/>
                  <w:marTop w:val="0"/>
                  <w:marBottom w:val="0"/>
                  <w:divBdr>
                    <w:top w:val="none" w:sz="0" w:space="0" w:color="auto"/>
                    <w:left w:val="none" w:sz="0" w:space="0" w:color="auto"/>
                    <w:bottom w:val="none" w:sz="0" w:space="0" w:color="auto"/>
                    <w:right w:val="none" w:sz="0" w:space="0" w:color="auto"/>
                  </w:divBdr>
                  <w:divsChild>
                    <w:div w:id="1236277895">
                      <w:marLeft w:val="0"/>
                      <w:marRight w:val="0"/>
                      <w:marTop w:val="0"/>
                      <w:marBottom w:val="0"/>
                      <w:divBdr>
                        <w:top w:val="none" w:sz="0" w:space="0" w:color="auto"/>
                        <w:left w:val="none" w:sz="0" w:space="0" w:color="auto"/>
                        <w:bottom w:val="none" w:sz="0" w:space="0" w:color="auto"/>
                        <w:right w:val="none" w:sz="0" w:space="0" w:color="auto"/>
                      </w:divBdr>
                    </w:div>
                  </w:divsChild>
                </w:div>
                <w:div w:id="1202280009">
                  <w:marLeft w:val="0"/>
                  <w:marRight w:val="0"/>
                  <w:marTop w:val="0"/>
                  <w:marBottom w:val="0"/>
                  <w:divBdr>
                    <w:top w:val="none" w:sz="0" w:space="0" w:color="auto"/>
                    <w:left w:val="none" w:sz="0" w:space="0" w:color="auto"/>
                    <w:bottom w:val="none" w:sz="0" w:space="0" w:color="auto"/>
                    <w:right w:val="none" w:sz="0" w:space="0" w:color="auto"/>
                  </w:divBdr>
                  <w:divsChild>
                    <w:div w:id="843670320">
                      <w:marLeft w:val="0"/>
                      <w:marRight w:val="0"/>
                      <w:marTop w:val="0"/>
                      <w:marBottom w:val="0"/>
                      <w:divBdr>
                        <w:top w:val="none" w:sz="0" w:space="0" w:color="auto"/>
                        <w:left w:val="none" w:sz="0" w:space="0" w:color="auto"/>
                        <w:bottom w:val="none" w:sz="0" w:space="0" w:color="auto"/>
                        <w:right w:val="none" w:sz="0" w:space="0" w:color="auto"/>
                      </w:divBdr>
                    </w:div>
                  </w:divsChild>
                </w:div>
                <w:div w:id="1203522709">
                  <w:marLeft w:val="0"/>
                  <w:marRight w:val="0"/>
                  <w:marTop w:val="0"/>
                  <w:marBottom w:val="0"/>
                  <w:divBdr>
                    <w:top w:val="none" w:sz="0" w:space="0" w:color="auto"/>
                    <w:left w:val="none" w:sz="0" w:space="0" w:color="auto"/>
                    <w:bottom w:val="none" w:sz="0" w:space="0" w:color="auto"/>
                    <w:right w:val="none" w:sz="0" w:space="0" w:color="auto"/>
                  </w:divBdr>
                  <w:divsChild>
                    <w:div w:id="184297787">
                      <w:marLeft w:val="0"/>
                      <w:marRight w:val="0"/>
                      <w:marTop w:val="0"/>
                      <w:marBottom w:val="0"/>
                      <w:divBdr>
                        <w:top w:val="none" w:sz="0" w:space="0" w:color="auto"/>
                        <w:left w:val="none" w:sz="0" w:space="0" w:color="auto"/>
                        <w:bottom w:val="none" w:sz="0" w:space="0" w:color="auto"/>
                        <w:right w:val="none" w:sz="0" w:space="0" w:color="auto"/>
                      </w:divBdr>
                    </w:div>
                  </w:divsChild>
                </w:div>
                <w:div w:id="1212156024">
                  <w:marLeft w:val="0"/>
                  <w:marRight w:val="0"/>
                  <w:marTop w:val="0"/>
                  <w:marBottom w:val="0"/>
                  <w:divBdr>
                    <w:top w:val="none" w:sz="0" w:space="0" w:color="auto"/>
                    <w:left w:val="none" w:sz="0" w:space="0" w:color="auto"/>
                    <w:bottom w:val="none" w:sz="0" w:space="0" w:color="auto"/>
                    <w:right w:val="none" w:sz="0" w:space="0" w:color="auto"/>
                  </w:divBdr>
                  <w:divsChild>
                    <w:div w:id="526603872">
                      <w:marLeft w:val="0"/>
                      <w:marRight w:val="0"/>
                      <w:marTop w:val="0"/>
                      <w:marBottom w:val="0"/>
                      <w:divBdr>
                        <w:top w:val="none" w:sz="0" w:space="0" w:color="auto"/>
                        <w:left w:val="none" w:sz="0" w:space="0" w:color="auto"/>
                        <w:bottom w:val="none" w:sz="0" w:space="0" w:color="auto"/>
                        <w:right w:val="none" w:sz="0" w:space="0" w:color="auto"/>
                      </w:divBdr>
                    </w:div>
                  </w:divsChild>
                </w:div>
                <w:div w:id="1234120223">
                  <w:marLeft w:val="0"/>
                  <w:marRight w:val="0"/>
                  <w:marTop w:val="0"/>
                  <w:marBottom w:val="0"/>
                  <w:divBdr>
                    <w:top w:val="none" w:sz="0" w:space="0" w:color="auto"/>
                    <w:left w:val="none" w:sz="0" w:space="0" w:color="auto"/>
                    <w:bottom w:val="none" w:sz="0" w:space="0" w:color="auto"/>
                    <w:right w:val="none" w:sz="0" w:space="0" w:color="auto"/>
                  </w:divBdr>
                  <w:divsChild>
                    <w:div w:id="170070252">
                      <w:marLeft w:val="0"/>
                      <w:marRight w:val="0"/>
                      <w:marTop w:val="0"/>
                      <w:marBottom w:val="0"/>
                      <w:divBdr>
                        <w:top w:val="none" w:sz="0" w:space="0" w:color="auto"/>
                        <w:left w:val="none" w:sz="0" w:space="0" w:color="auto"/>
                        <w:bottom w:val="none" w:sz="0" w:space="0" w:color="auto"/>
                        <w:right w:val="none" w:sz="0" w:space="0" w:color="auto"/>
                      </w:divBdr>
                    </w:div>
                  </w:divsChild>
                </w:div>
                <w:div w:id="1239561256">
                  <w:marLeft w:val="0"/>
                  <w:marRight w:val="0"/>
                  <w:marTop w:val="0"/>
                  <w:marBottom w:val="0"/>
                  <w:divBdr>
                    <w:top w:val="none" w:sz="0" w:space="0" w:color="auto"/>
                    <w:left w:val="none" w:sz="0" w:space="0" w:color="auto"/>
                    <w:bottom w:val="none" w:sz="0" w:space="0" w:color="auto"/>
                    <w:right w:val="none" w:sz="0" w:space="0" w:color="auto"/>
                  </w:divBdr>
                  <w:divsChild>
                    <w:div w:id="1121995496">
                      <w:marLeft w:val="0"/>
                      <w:marRight w:val="0"/>
                      <w:marTop w:val="0"/>
                      <w:marBottom w:val="0"/>
                      <w:divBdr>
                        <w:top w:val="none" w:sz="0" w:space="0" w:color="auto"/>
                        <w:left w:val="none" w:sz="0" w:space="0" w:color="auto"/>
                        <w:bottom w:val="none" w:sz="0" w:space="0" w:color="auto"/>
                        <w:right w:val="none" w:sz="0" w:space="0" w:color="auto"/>
                      </w:divBdr>
                    </w:div>
                  </w:divsChild>
                </w:div>
                <w:div w:id="1240600919">
                  <w:marLeft w:val="0"/>
                  <w:marRight w:val="0"/>
                  <w:marTop w:val="0"/>
                  <w:marBottom w:val="0"/>
                  <w:divBdr>
                    <w:top w:val="none" w:sz="0" w:space="0" w:color="auto"/>
                    <w:left w:val="none" w:sz="0" w:space="0" w:color="auto"/>
                    <w:bottom w:val="none" w:sz="0" w:space="0" w:color="auto"/>
                    <w:right w:val="none" w:sz="0" w:space="0" w:color="auto"/>
                  </w:divBdr>
                  <w:divsChild>
                    <w:div w:id="1801222311">
                      <w:marLeft w:val="0"/>
                      <w:marRight w:val="0"/>
                      <w:marTop w:val="0"/>
                      <w:marBottom w:val="0"/>
                      <w:divBdr>
                        <w:top w:val="none" w:sz="0" w:space="0" w:color="auto"/>
                        <w:left w:val="none" w:sz="0" w:space="0" w:color="auto"/>
                        <w:bottom w:val="none" w:sz="0" w:space="0" w:color="auto"/>
                        <w:right w:val="none" w:sz="0" w:space="0" w:color="auto"/>
                      </w:divBdr>
                    </w:div>
                  </w:divsChild>
                </w:div>
                <w:div w:id="1243297328">
                  <w:marLeft w:val="0"/>
                  <w:marRight w:val="0"/>
                  <w:marTop w:val="0"/>
                  <w:marBottom w:val="0"/>
                  <w:divBdr>
                    <w:top w:val="none" w:sz="0" w:space="0" w:color="auto"/>
                    <w:left w:val="none" w:sz="0" w:space="0" w:color="auto"/>
                    <w:bottom w:val="none" w:sz="0" w:space="0" w:color="auto"/>
                    <w:right w:val="none" w:sz="0" w:space="0" w:color="auto"/>
                  </w:divBdr>
                  <w:divsChild>
                    <w:div w:id="1681227526">
                      <w:marLeft w:val="0"/>
                      <w:marRight w:val="0"/>
                      <w:marTop w:val="0"/>
                      <w:marBottom w:val="0"/>
                      <w:divBdr>
                        <w:top w:val="none" w:sz="0" w:space="0" w:color="auto"/>
                        <w:left w:val="none" w:sz="0" w:space="0" w:color="auto"/>
                        <w:bottom w:val="none" w:sz="0" w:space="0" w:color="auto"/>
                        <w:right w:val="none" w:sz="0" w:space="0" w:color="auto"/>
                      </w:divBdr>
                    </w:div>
                  </w:divsChild>
                </w:div>
                <w:div w:id="1244605676">
                  <w:marLeft w:val="0"/>
                  <w:marRight w:val="0"/>
                  <w:marTop w:val="0"/>
                  <w:marBottom w:val="0"/>
                  <w:divBdr>
                    <w:top w:val="none" w:sz="0" w:space="0" w:color="auto"/>
                    <w:left w:val="none" w:sz="0" w:space="0" w:color="auto"/>
                    <w:bottom w:val="none" w:sz="0" w:space="0" w:color="auto"/>
                    <w:right w:val="none" w:sz="0" w:space="0" w:color="auto"/>
                  </w:divBdr>
                  <w:divsChild>
                    <w:div w:id="1621767207">
                      <w:marLeft w:val="0"/>
                      <w:marRight w:val="0"/>
                      <w:marTop w:val="0"/>
                      <w:marBottom w:val="0"/>
                      <w:divBdr>
                        <w:top w:val="none" w:sz="0" w:space="0" w:color="auto"/>
                        <w:left w:val="none" w:sz="0" w:space="0" w:color="auto"/>
                        <w:bottom w:val="none" w:sz="0" w:space="0" w:color="auto"/>
                        <w:right w:val="none" w:sz="0" w:space="0" w:color="auto"/>
                      </w:divBdr>
                    </w:div>
                  </w:divsChild>
                </w:div>
                <w:div w:id="1245609793">
                  <w:marLeft w:val="0"/>
                  <w:marRight w:val="0"/>
                  <w:marTop w:val="0"/>
                  <w:marBottom w:val="0"/>
                  <w:divBdr>
                    <w:top w:val="none" w:sz="0" w:space="0" w:color="auto"/>
                    <w:left w:val="none" w:sz="0" w:space="0" w:color="auto"/>
                    <w:bottom w:val="none" w:sz="0" w:space="0" w:color="auto"/>
                    <w:right w:val="none" w:sz="0" w:space="0" w:color="auto"/>
                  </w:divBdr>
                  <w:divsChild>
                    <w:div w:id="512690212">
                      <w:marLeft w:val="0"/>
                      <w:marRight w:val="0"/>
                      <w:marTop w:val="0"/>
                      <w:marBottom w:val="0"/>
                      <w:divBdr>
                        <w:top w:val="none" w:sz="0" w:space="0" w:color="auto"/>
                        <w:left w:val="none" w:sz="0" w:space="0" w:color="auto"/>
                        <w:bottom w:val="none" w:sz="0" w:space="0" w:color="auto"/>
                        <w:right w:val="none" w:sz="0" w:space="0" w:color="auto"/>
                      </w:divBdr>
                    </w:div>
                  </w:divsChild>
                </w:div>
                <w:div w:id="1250306261">
                  <w:marLeft w:val="0"/>
                  <w:marRight w:val="0"/>
                  <w:marTop w:val="0"/>
                  <w:marBottom w:val="0"/>
                  <w:divBdr>
                    <w:top w:val="none" w:sz="0" w:space="0" w:color="auto"/>
                    <w:left w:val="none" w:sz="0" w:space="0" w:color="auto"/>
                    <w:bottom w:val="none" w:sz="0" w:space="0" w:color="auto"/>
                    <w:right w:val="none" w:sz="0" w:space="0" w:color="auto"/>
                  </w:divBdr>
                  <w:divsChild>
                    <w:div w:id="576669576">
                      <w:marLeft w:val="0"/>
                      <w:marRight w:val="0"/>
                      <w:marTop w:val="0"/>
                      <w:marBottom w:val="0"/>
                      <w:divBdr>
                        <w:top w:val="none" w:sz="0" w:space="0" w:color="auto"/>
                        <w:left w:val="none" w:sz="0" w:space="0" w:color="auto"/>
                        <w:bottom w:val="none" w:sz="0" w:space="0" w:color="auto"/>
                        <w:right w:val="none" w:sz="0" w:space="0" w:color="auto"/>
                      </w:divBdr>
                    </w:div>
                  </w:divsChild>
                </w:div>
                <w:div w:id="1254510904">
                  <w:marLeft w:val="0"/>
                  <w:marRight w:val="0"/>
                  <w:marTop w:val="0"/>
                  <w:marBottom w:val="0"/>
                  <w:divBdr>
                    <w:top w:val="none" w:sz="0" w:space="0" w:color="auto"/>
                    <w:left w:val="none" w:sz="0" w:space="0" w:color="auto"/>
                    <w:bottom w:val="none" w:sz="0" w:space="0" w:color="auto"/>
                    <w:right w:val="none" w:sz="0" w:space="0" w:color="auto"/>
                  </w:divBdr>
                  <w:divsChild>
                    <w:div w:id="275867861">
                      <w:marLeft w:val="0"/>
                      <w:marRight w:val="0"/>
                      <w:marTop w:val="0"/>
                      <w:marBottom w:val="0"/>
                      <w:divBdr>
                        <w:top w:val="none" w:sz="0" w:space="0" w:color="auto"/>
                        <w:left w:val="none" w:sz="0" w:space="0" w:color="auto"/>
                        <w:bottom w:val="none" w:sz="0" w:space="0" w:color="auto"/>
                        <w:right w:val="none" w:sz="0" w:space="0" w:color="auto"/>
                      </w:divBdr>
                    </w:div>
                  </w:divsChild>
                </w:div>
                <w:div w:id="1263149129">
                  <w:marLeft w:val="0"/>
                  <w:marRight w:val="0"/>
                  <w:marTop w:val="0"/>
                  <w:marBottom w:val="0"/>
                  <w:divBdr>
                    <w:top w:val="none" w:sz="0" w:space="0" w:color="auto"/>
                    <w:left w:val="none" w:sz="0" w:space="0" w:color="auto"/>
                    <w:bottom w:val="none" w:sz="0" w:space="0" w:color="auto"/>
                    <w:right w:val="none" w:sz="0" w:space="0" w:color="auto"/>
                  </w:divBdr>
                  <w:divsChild>
                    <w:div w:id="697044484">
                      <w:marLeft w:val="0"/>
                      <w:marRight w:val="0"/>
                      <w:marTop w:val="0"/>
                      <w:marBottom w:val="0"/>
                      <w:divBdr>
                        <w:top w:val="none" w:sz="0" w:space="0" w:color="auto"/>
                        <w:left w:val="none" w:sz="0" w:space="0" w:color="auto"/>
                        <w:bottom w:val="none" w:sz="0" w:space="0" w:color="auto"/>
                        <w:right w:val="none" w:sz="0" w:space="0" w:color="auto"/>
                      </w:divBdr>
                    </w:div>
                  </w:divsChild>
                </w:div>
                <w:div w:id="1263877909">
                  <w:marLeft w:val="0"/>
                  <w:marRight w:val="0"/>
                  <w:marTop w:val="0"/>
                  <w:marBottom w:val="0"/>
                  <w:divBdr>
                    <w:top w:val="none" w:sz="0" w:space="0" w:color="auto"/>
                    <w:left w:val="none" w:sz="0" w:space="0" w:color="auto"/>
                    <w:bottom w:val="none" w:sz="0" w:space="0" w:color="auto"/>
                    <w:right w:val="none" w:sz="0" w:space="0" w:color="auto"/>
                  </w:divBdr>
                  <w:divsChild>
                    <w:div w:id="2108311596">
                      <w:marLeft w:val="0"/>
                      <w:marRight w:val="0"/>
                      <w:marTop w:val="0"/>
                      <w:marBottom w:val="0"/>
                      <w:divBdr>
                        <w:top w:val="none" w:sz="0" w:space="0" w:color="auto"/>
                        <w:left w:val="none" w:sz="0" w:space="0" w:color="auto"/>
                        <w:bottom w:val="none" w:sz="0" w:space="0" w:color="auto"/>
                        <w:right w:val="none" w:sz="0" w:space="0" w:color="auto"/>
                      </w:divBdr>
                    </w:div>
                  </w:divsChild>
                </w:div>
                <w:div w:id="1270237403">
                  <w:marLeft w:val="0"/>
                  <w:marRight w:val="0"/>
                  <w:marTop w:val="0"/>
                  <w:marBottom w:val="0"/>
                  <w:divBdr>
                    <w:top w:val="none" w:sz="0" w:space="0" w:color="auto"/>
                    <w:left w:val="none" w:sz="0" w:space="0" w:color="auto"/>
                    <w:bottom w:val="none" w:sz="0" w:space="0" w:color="auto"/>
                    <w:right w:val="none" w:sz="0" w:space="0" w:color="auto"/>
                  </w:divBdr>
                  <w:divsChild>
                    <w:div w:id="399445959">
                      <w:marLeft w:val="0"/>
                      <w:marRight w:val="0"/>
                      <w:marTop w:val="0"/>
                      <w:marBottom w:val="0"/>
                      <w:divBdr>
                        <w:top w:val="none" w:sz="0" w:space="0" w:color="auto"/>
                        <w:left w:val="none" w:sz="0" w:space="0" w:color="auto"/>
                        <w:bottom w:val="none" w:sz="0" w:space="0" w:color="auto"/>
                        <w:right w:val="none" w:sz="0" w:space="0" w:color="auto"/>
                      </w:divBdr>
                    </w:div>
                  </w:divsChild>
                </w:div>
                <w:div w:id="1299260620">
                  <w:marLeft w:val="0"/>
                  <w:marRight w:val="0"/>
                  <w:marTop w:val="0"/>
                  <w:marBottom w:val="0"/>
                  <w:divBdr>
                    <w:top w:val="none" w:sz="0" w:space="0" w:color="auto"/>
                    <w:left w:val="none" w:sz="0" w:space="0" w:color="auto"/>
                    <w:bottom w:val="none" w:sz="0" w:space="0" w:color="auto"/>
                    <w:right w:val="none" w:sz="0" w:space="0" w:color="auto"/>
                  </w:divBdr>
                  <w:divsChild>
                    <w:div w:id="911622247">
                      <w:marLeft w:val="0"/>
                      <w:marRight w:val="0"/>
                      <w:marTop w:val="0"/>
                      <w:marBottom w:val="0"/>
                      <w:divBdr>
                        <w:top w:val="none" w:sz="0" w:space="0" w:color="auto"/>
                        <w:left w:val="none" w:sz="0" w:space="0" w:color="auto"/>
                        <w:bottom w:val="none" w:sz="0" w:space="0" w:color="auto"/>
                        <w:right w:val="none" w:sz="0" w:space="0" w:color="auto"/>
                      </w:divBdr>
                    </w:div>
                  </w:divsChild>
                </w:div>
                <w:div w:id="1307199154">
                  <w:marLeft w:val="0"/>
                  <w:marRight w:val="0"/>
                  <w:marTop w:val="0"/>
                  <w:marBottom w:val="0"/>
                  <w:divBdr>
                    <w:top w:val="none" w:sz="0" w:space="0" w:color="auto"/>
                    <w:left w:val="none" w:sz="0" w:space="0" w:color="auto"/>
                    <w:bottom w:val="none" w:sz="0" w:space="0" w:color="auto"/>
                    <w:right w:val="none" w:sz="0" w:space="0" w:color="auto"/>
                  </w:divBdr>
                  <w:divsChild>
                    <w:div w:id="411633763">
                      <w:marLeft w:val="0"/>
                      <w:marRight w:val="0"/>
                      <w:marTop w:val="0"/>
                      <w:marBottom w:val="0"/>
                      <w:divBdr>
                        <w:top w:val="none" w:sz="0" w:space="0" w:color="auto"/>
                        <w:left w:val="none" w:sz="0" w:space="0" w:color="auto"/>
                        <w:bottom w:val="none" w:sz="0" w:space="0" w:color="auto"/>
                        <w:right w:val="none" w:sz="0" w:space="0" w:color="auto"/>
                      </w:divBdr>
                    </w:div>
                  </w:divsChild>
                </w:div>
                <w:div w:id="1313291789">
                  <w:marLeft w:val="0"/>
                  <w:marRight w:val="0"/>
                  <w:marTop w:val="0"/>
                  <w:marBottom w:val="0"/>
                  <w:divBdr>
                    <w:top w:val="none" w:sz="0" w:space="0" w:color="auto"/>
                    <w:left w:val="none" w:sz="0" w:space="0" w:color="auto"/>
                    <w:bottom w:val="none" w:sz="0" w:space="0" w:color="auto"/>
                    <w:right w:val="none" w:sz="0" w:space="0" w:color="auto"/>
                  </w:divBdr>
                  <w:divsChild>
                    <w:div w:id="1467360270">
                      <w:marLeft w:val="0"/>
                      <w:marRight w:val="0"/>
                      <w:marTop w:val="0"/>
                      <w:marBottom w:val="0"/>
                      <w:divBdr>
                        <w:top w:val="none" w:sz="0" w:space="0" w:color="auto"/>
                        <w:left w:val="none" w:sz="0" w:space="0" w:color="auto"/>
                        <w:bottom w:val="none" w:sz="0" w:space="0" w:color="auto"/>
                        <w:right w:val="none" w:sz="0" w:space="0" w:color="auto"/>
                      </w:divBdr>
                    </w:div>
                  </w:divsChild>
                </w:div>
                <w:div w:id="1325353018">
                  <w:marLeft w:val="0"/>
                  <w:marRight w:val="0"/>
                  <w:marTop w:val="0"/>
                  <w:marBottom w:val="0"/>
                  <w:divBdr>
                    <w:top w:val="none" w:sz="0" w:space="0" w:color="auto"/>
                    <w:left w:val="none" w:sz="0" w:space="0" w:color="auto"/>
                    <w:bottom w:val="none" w:sz="0" w:space="0" w:color="auto"/>
                    <w:right w:val="none" w:sz="0" w:space="0" w:color="auto"/>
                  </w:divBdr>
                  <w:divsChild>
                    <w:div w:id="1944454727">
                      <w:marLeft w:val="0"/>
                      <w:marRight w:val="0"/>
                      <w:marTop w:val="0"/>
                      <w:marBottom w:val="0"/>
                      <w:divBdr>
                        <w:top w:val="none" w:sz="0" w:space="0" w:color="auto"/>
                        <w:left w:val="none" w:sz="0" w:space="0" w:color="auto"/>
                        <w:bottom w:val="none" w:sz="0" w:space="0" w:color="auto"/>
                        <w:right w:val="none" w:sz="0" w:space="0" w:color="auto"/>
                      </w:divBdr>
                    </w:div>
                  </w:divsChild>
                </w:div>
                <w:div w:id="1339846202">
                  <w:marLeft w:val="0"/>
                  <w:marRight w:val="0"/>
                  <w:marTop w:val="0"/>
                  <w:marBottom w:val="0"/>
                  <w:divBdr>
                    <w:top w:val="none" w:sz="0" w:space="0" w:color="auto"/>
                    <w:left w:val="none" w:sz="0" w:space="0" w:color="auto"/>
                    <w:bottom w:val="none" w:sz="0" w:space="0" w:color="auto"/>
                    <w:right w:val="none" w:sz="0" w:space="0" w:color="auto"/>
                  </w:divBdr>
                  <w:divsChild>
                    <w:div w:id="602882868">
                      <w:marLeft w:val="0"/>
                      <w:marRight w:val="0"/>
                      <w:marTop w:val="0"/>
                      <w:marBottom w:val="0"/>
                      <w:divBdr>
                        <w:top w:val="none" w:sz="0" w:space="0" w:color="auto"/>
                        <w:left w:val="none" w:sz="0" w:space="0" w:color="auto"/>
                        <w:bottom w:val="none" w:sz="0" w:space="0" w:color="auto"/>
                        <w:right w:val="none" w:sz="0" w:space="0" w:color="auto"/>
                      </w:divBdr>
                    </w:div>
                  </w:divsChild>
                </w:div>
                <w:div w:id="1341398073">
                  <w:marLeft w:val="0"/>
                  <w:marRight w:val="0"/>
                  <w:marTop w:val="0"/>
                  <w:marBottom w:val="0"/>
                  <w:divBdr>
                    <w:top w:val="none" w:sz="0" w:space="0" w:color="auto"/>
                    <w:left w:val="none" w:sz="0" w:space="0" w:color="auto"/>
                    <w:bottom w:val="none" w:sz="0" w:space="0" w:color="auto"/>
                    <w:right w:val="none" w:sz="0" w:space="0" w:color="auto"/>
                  </w:divBdr>
                  <w:divsChild>
                    <w:div w:id="1165823706">
                      <w:marLeft w:val="0"/>
                      <w:marRight w:val="0"/>
                      <w:marTop w:val="0"/>
                      <w:marBottom w:val="0"/>
                      <w:divBdr>
                        <w:top w:val="none" w:sz="0" w:space="0" w:color="auto"/>
                        <w:left w:val="none" w:sz="0" w:space="0" w:color="auto"/>
                        <w:bottom w:val="none" w:sz="0" w:space="0" w:color="auto"/>
                        <w:right w:val="none" w:sz="0" w:space="0" w:color="auto"/>
                      </w:divBdr>
                    </w:div>
                  </w:divsChild>
                </w:div>
                <w:div w:id="1343632676">
                  <w:marLeft w:val="0"/>
                  <w:marRight w:val="0"/>
                  <w:marTop w:val="0"/>
                  <w:marBottom w:val="0"/>
                  <w:divBdr>
                    <w:top w:val="none" w:sz="0" w:space="0" w:color="auto"/>
                    <w:left w:val="none" w:sz="0" w:space="0" w:color="auto"/>
                    <w:bottom w:val="none" w:sz="0" w:space="0" w:color="auto"/>
                    <w:right w:val="none" w:sz="0" w:space="0" w:color="auto"/>
                  </w:divBdr>
                  <w:divsChild>
                    <w:div w:id="342586255">
                      <w:marLeft w:val="0"/>
                      <w:marRight w:val="0"/>
                      <w:marTop w:val="0"/>
                      <w:marBottom w:val="0"/>
                      <w:divBdr>
                        <w:top w:val="none" w:sz="0" w:space="0" w:color="auto"/>
                        <w:left w:val="none" w:sz="0" w:space="0" w:color="auto"/>
                        <w:bottom w:val="none" w:sz="0" w:space="0" w:color="auto"/>
                        <w:right w:val="none" w:sz="0" w:space="0" w:color="auto"/>
                      </w:divBdr>
                    </w:div>
                  </w:divsChild>
                </w:div>
                <w:div w:id="1369255487">
                  <w:marLeft w:val="0"/>
                  <w:marRight w:val="0"/>
                  <w:marTop w:val="0"/>
                  <w:marBottom w:val="0"/>
                  <w:divBdr>
                    <w:top w:val="none" w:sz="0" w:space="0" w:color="auto"/>
                    <w:left w:val="none" w:sz="0" w:space="0" w:color="auto"/>
                    <w:bottom w:val="none" w:sz="0" w:space="0" w:color="auto"/>
                    <w:right w:val="none" w:sz="0" w:space="0" w:color="auto"/>
                  </w:divBdr>
                  <w:divsChild>
                    <w:div w:id="1717854737">
                      <w:marLeft w:val="0"/>
                      <w:marRight w:val="0"/>
                      <w:marTop w:val="0"/>
                      <w:marBottom w:val="0"/>
                      <w:divBdr>
                        <w:top w:val="none" w:sz="0" w:space="0" w:color="auto"/>
                        <w:left w:val="none" w:sz="0" w:space="0" w:color="auto"/>
                        <w:bottom w:val="none" w:sz="0" w:space="0" w:color="auto"/>
                        <w:right w:val="none" w:sz="0" w:space="0" w:color="auto"/>
                      </w:divBdr>
                    </w:div>
                  </w:divsChild>
                </w:div>
                <w:div w:id="1381705800">
                  <w:marLeft w:val="0"/>
                  <w:marRight w:val="0"/>
                  <w:marTop w:val="0"/>
                  <w:marBottom w:val="0"/>
                  <w:divBdr>
                    <w:top w:val="none" w:sz="0" w:space="0" w:color="auto"/>
                    <w:left w:val="none" w:sz="0" w:space="0" w:color="auto"/>
                    <w:bottom w:val="none" w:sz="0" w:space="0" w:color="auto"/>
                    <w:right w:val="none" w:sz="0" w:space="0" w:color="auto"/>
                  </w:divBdr>
                  <w:divsChild>
                    <w:div w:id="1784690624">
                      <w:marLeft w:val="0"/>
                      <w:marRight w:val="0"/>
                      <w:marTop w:val="0"/>
                      <w:marBottom w:val="0"/>
                      <w:divBdr>
                        <w:top w:val="none" w:sz="0" w:space="0" w:color="auto"/>
                        <w:left w:val="none" w:sz="0" w:space="0" w:color="auto"/>
                        <w:bottom w:val="none" w:sz="0" w:space="0" w:color="auto"/>
                        <w:right w:val="none" w:sz="0" w:space="0" w:color="auto"/>
                      </w:divBdr>
                    </w:div>
                  </w:divsChild>
                </w:div>
                <w:div w:id="1385331365">
                  <w:marLeft w:val="0"/>
                  <w:marRight w:val="0"/>
                  <w:marTop w:val="0"/>
                  <w:marBottom w:val="0"/>
                  <w:divBdr>
                    <w:top w:val="none" w:sz="0" w:space="0" w:color="auto"/>
                    <w:left w:val="none" w:sz="0" w:space="0" w:color="auto"/>
                    <w:bottom w:val="none" w:sz="0" w:space="0" w:color="auto"/>
                    <w:right w:val="none" w:sz="0" w:space="0" w:color="auto"/>
                  </w:divBdr>
                  <w:divsChild>
                    <w:div w:id="1517579831">
                      <w:marLeft w:val="0"/>
                      <w:marRight w:val="0"/>
                      <w:marTop w:val="0"/>
                      <w:marBottom w:val="0"/>
                      <w:divBdr>
                        <w:top w:val="none" w:sz="0" w:space="0" w:color="auto"/>
                        <w:left w:val="none" w:sz="0" w:space="0" w:color="auto"/>
                        <w:bottom w:val="none" w:sz="0" w:space="0" w:color="auto"/>
                        <w:right w:val="none" w:sz="0" w:space="0" w:color="auto"/>
                      </w:divBdr>
                    </w:div>
                  </w:divsChild>
                </w:div>
                <w:div w:id="1385641648">
                  <w:marLeft w:val="0"/>
                  <w:marRight w:val="0"/>
                  <w:marTop w:val="0"/>
                  <w:marBottom w:val="0"/>
                  <w:divBdr>
                    <w:top w:val="none" w:sz="0" w:space="0" w:color="auto"/>
                    <w:left w:val="none" w:sz="0" w:space="0" w:color="auto"/>
                    <w:bottom w:val="none" w:sz="0" w:space="0" w:color="auto"/>
                    <w:right w:val="none" w:sz="0" w:space="0" w:color="auto"/>
                  </w:divBdr>
                  <w:divsChild>
                    <w:div w:id="2109110346">
                      <w:marLeft w:val="0"/>
                      <w:marRight w:val="0"/>
                      <w:marTop w:val="0"/>
                      <w:marBottom w:val="0"/>
                      <w:divBdr>
                        <w:top w:val="none" w:sz="0" w:space="0" w:color="auto"/>
                        <w:left w:val="none" w:sz="0" w:space="0" w:color="auto"/>
                        <w:bottom w:val="none" w:sz="0" w:space="0" w:color="auto"/>
                        <w:right w:val="none" w:sz="0" w:space="0" w:color="auto"/>
                      </w:divBdr>
                    </w:div>
                  </w:divsChild>
                </w:div>
                <w:div w:id="1410270325">
                  <w:marLeft w:val="0"/>
                  <w:marRight w:val="0"/>
                  <w:marTop w:val="0"/>
                  <w:marBottom w:val="0"/>
                  <w:divBdr>
                    <w:top w:val="none" w:sz="0" w:space="0" w:color="auto"/>
                    <w:left w:val="none" w:sz="0" w:space="0" w:color="auto"/>
                    <w:bottom w:val="none" w:sz="0" w:space="0" w:color="auto"/>
                    <w:right w:val="none" w:sz="0" w:space="0" w:color="auto"/>
                  </w:divBdr>
                  <w:divsChild>
                    <w:div w:id="2053310477">
                      <w:marLeft w:val="0"/>
                      <w:marRight w:val="0"/>
                      <w:marTop w:val="0"/>
                      <w:marBottom w:val="0"/>
                      <w:divBdr>
                        <w:top w:val="none" w:sz="0" w:space="0" w:color="auto"/>
                        <w:left w:val="none" w:sz="0" w:space="0" w:color="auto"/>
                        <w:bottom w:val="none" w:sz="0" w:space="0" w:color="auto"/>
                        <w:right w:val="none" w:sz="0" w:space="0" w:color="auto"/>
                      </w:divBdr>
                    </w:div>
                  </w:divsChild>
                </w:div>
                <w:div w:id="1413891021">
                  <w:marLeft w:val="0"/>
                  <w:marRight w:val="0"/>
                  <w:marTop w:val="0"/>
                  <w:marBottom w:val="0"/>
                  <w:divBdr>
                    <w:top w:val="none" w:sz="0" w:space="0" w:color="auto"/>
                    <w:left w:val="none" w:sz="0" w:space="0" w:color="auto"/>
                    <w:bottom w:val="none" w:sz="0" w:space="0" w:color="auto"/>
                    <w:right w:val="none" w:sz="0" w:space="0" w:color="auto"/>
                  </w:divBdr>
                  <w:divsChild>
                    <w:div w:id="1493986554">
                      <w:marLeft w:val="0"/>
                      <w:marRight w:val="0"/>
                      <w:marTop w:val="0"/>
                      <w:marBottom w:val="0"/>
                      <w:divBdr>
                        <w:top w:val="none" w:sz="0" w:space="0" w:color="auto"/>
                        <w:left w:val="none" w:sz="0" w:space="0" w:color="auto"/>
                        <w:bottom w:val="none" w:sz="0" w:space="0" w:color="auto"/>
                        <w:right w:val="none" w:sz="0" w:space="0" w:color="auto"/>
                      </w:divBdr>
                    </w:div>
                  </w:divsChild>
                </w:div>
                <w:div w:id="1420178180">
                  <w:marLeft w:val="0"/>
                  <w:marRight w:val="0"/>
                  <w:marTop w:val="0"/>
                  <w:marBottom w:val="0"/>
                  <w:divBdr>
                    <w:top w:val="none" w:sz="0" w:space="0" w:color="auto"/>
                    <w:left w:val="none" w:sz="0" w:space="0" w:color="auto"/>
                    <w:bottom w:val="none" w:sz="0" w:space="0" w:color="auto"/>
                    <w:right w:val="none" w:sz="0" w:space="0" w:color="auto"/>
                  </w:divBdr>
                  <w:divsChild>
                    <w:div w:id="758789963">
                      <w:marLeft w:val="0"/>
                      <w:marRight w:val="0"/>
                      <w:marTop w:val="0"/>
                      <w:marBottom w:val="0"/>
                      <w:divBdr>
                        <w:top w:val="none" w:sz="0" w:space="0" w:color="auto"/>
                        <w:left w:val="none" w:sz="0" w:space="0" w:color="auto"/>
                        <w:bottom w:val="none" w:sz="0" w:space="0" w:color="auto"/>
                        <w:right w:val="none" w:sz="0" w:space="0" w:color="auto"/>
                      </w:divBdr>
                    </w:div>
                  </w:divsChild>
                </w:div>
                <w:div w:id="1422599972">
                  <w:marLeft w:val="0"/>
                  <w:marRight w:val="0"/>
                  <w:marTop w:val="0"/>
                  <w:marBottom w:val="0"/>
                  <w:divBdr>
                    <w:top w:val="none" w:sz="0" w:space="0" w:color="auto"/>
                    <w:left w:val="none" w:sz="0" w:space="0" w:color="auto"/>
                    <w:bottom w:val="none" w:sz="0" w:space="0" w:color="auto"/>
                    <w:right w:val="none" w:sz="0" w:space="0" w:color="auto"/>
                  </w:divBdr>
                  <w:divsChild>
                    <w:div w:id="578296382">
                      <w:marLeft w:val="0"/>
                      <w:marRight w:val="0"/>
                      <w:marTop w:val="0"/>
                      <w:marBottom w:val="0"/>
                      <w:divBdr>
                        <w:top w:val="none" w:sz="0" w:space="0" w:color="auto"/>
                        <w:left w:val="none" w:sz="0" w:space="0" w:color="auto"/>
                        <w:bottom w:val="none" w:sz="0" w:space="0" w:color="auto"/>
                        <w:right w:val="none" w:sz="0" w:space="0" w:color="auto"/>
                      </w:divBdr>
                    </w:div>
                  </w:divsChild>
                </w:div>
                <w:div w:id="1439328267">
                  <w:marLeft w:val="0"/>
                  <w:marRight w:val="0"/>
                  <w:marTop w:val="0"/>
                  <w:marBottom w:val="0"/>
                  <w:divBdr>
                    <w:top w:val="none" w:sz="0" w:space="0" w:color="auto"/>
                    <w:left w:val="none" w:sz="0" w:space="0" w:color="auto"/>
                    <w:bottom w:val="none" w:sz="0" w:space="0" w:color="auto"/>
                    <w:right w:val="none" w:sz="0" w:space="0" w:color="auto"/>
                  </w:divBdr>
                  <w:divsChild>
                    <w:div w:id="165828446">
                      <w:marLeft w:val="0"/>
                      <w:marRight w:val="0"/>
                      <w:marTop w:val="0"/>
                      <w:marBottom w:val="0"/>
                      <w:divBdr>
                        <w:top w:val="none" w:sz="0" w:space="0" w:color="auto"/>
                        <w:left w:val="none" w:sz="0" w:space="0" w:color="auto"/>
                        <w:bottom w:val="none" w:sz="0" w:space="0" w:color="auto"/>
                        <w:right w:val="none" w:sz="0" w:space="0" w:color="auto"/>
                      </w:divBdr>
                    </w:div>
                  </w:divsChild>
                </w:div>
                <w:div w:id="1449854380">
                  <w:marLeft w:val="0"/>
                  <w:marRight w:val="0"/>
                  <w:marTop w:val="0"/>
                  <w:marBottom w:val="0"/>
                  <w:divBdr>
                    <w:top w:val="none" w:sz="0" w:space="0" w:color="auto"/>
                    <w:left w:val="none" w:sz="0" w:space="0" w:color="auto"/>
                    <w:bottom w:val="none" w:sz="0" w:space="0" w:color="auto"/>
                    <w:right w:val="none" w:sz="0" w:space="0" w:color="auto"/>
                  </w:divBdr>
                  <w:divsChild>
                    <w:div w:id="432213806">
                      <w:marLeft w:val="0"/>
                      <w:marRight w:val="0"/>
                      <w:marTop w:val="0"/>
                      <w:marBottom w:val="0"/>
                      <w:divBdr>
                        <w:top w:val="none" w:sz="0" w:space="0" w:color="auto"/>
                        <w:left w:val="none" w:sz="0" w:space="0" w:color="auto"/>
                        <w:bottom w:val="none" w:sz="0" w:space="0" w:color="auto"/>
                        <w:right w:val="none" w:sz="0" w:space="0" w:color="auto"/>
                      </w:divBdr>
                    </w:div>
                  </w:divsChild>
                </w:div>
                <w:div w:id="1457024565">
                  <w:marLeft w:val="0"/>
                  <w:marRight w:val="0"/>
                  <w:marTop w:val="0"/>
                  <w:marBottom w:val="0"/>
                  <w:divBdr>
                    <w:top w:val="none" w:sz="0" w:space="0" w:color="auto"/>
                    <w:left w:val="none" w:sz="0" w:space="0" w:color="auto"/>
                    <w:bottom w:val="none" w:sz="0" w:space="0" w:color="auto"/>
                    <w:right w:val="none" w:sz="0" w:space="0" w:color="auto"/>
                  </w:divBdr>
                  <w:divsChild>
                    <w:div w:id="195389700">
                      <w:marLeft w:val="0"/>
                      <w:marRight w:val="0"/>
                      <w:marTop w:val="0"/>
                      <w:marBottom w:val="0"/>
                      <w:divBdr>
                        <w:top w:val="none" w:sz="0" w:space="0" w:color="auto"/>
                        <w:left w:val="none" w:sz="0" w:space="0" w:color="auto"/>
                        <w:bottom w:val="none" w:sz="0" w:space="0" w:color="auto"/>
                        <w:right w:val="none" w:sz="0" w:space="0" w:color="auto"/>
                      </w:divBdr>
                    </w:div>
                  </w:divsChild>
                </w:div>
                <w:div w:id="1461269108">
                  <w:marLeft w:val="0"/>
                  <w:marRight w:val="0"/>
                  <w:marTop w:val="0"/>
                  <w:marBottom w:val="0"/>
                  <w:divBdr>
                    <w:top w:val="none" w:sz="0" w:space="0" w:color="auto"/>
                    <w:left w:val="none" w:sz="0" w:space="0" w:color="auto"/>
                    <w:bottom w:val="none" w:sz="0" w:space="0" w:color="auto"/>
                    <w:right w:val="none" w:sz="0" w:space="0" w:color="auto"/>
                  </w:divBdr>
                  <w:divsChild>
                    <w:div w:id="715814529">
                      <w:marLeft w:val="0"/>
                      <w:marRight w:val="0"/>
                      <w:marTop w:val="0"/>
                      <w:marBottom w:val="0"/>
                      <w:divBdr>
                        <w:top w:val="none" w:sz="0" w:space="0" w:color="auto"/>
                        <w:left w:val="none" w:sz="0" w:space="0" w:color="auto"/>
                        <w:bottom w:val="none" w:sz="0" w:space="0" w:color="auto"/>
                        <w:right w:val="none" w:sz="0" w:space="0" w:color="auto"/>
                      </w:divBdr>
                    </w:div>
                  </w:divsChild>
                </w:div>
                <w:div w:id="1464882713">
                  <w:marLeft w:val="0"/>
                  <w:marRight w:val="0"/>
                  <w:marTop w:val="0"/>
                  <w:marBottom w:val="0"/>
                  <w:divBdr>
                    <w:top w:val="none" w:sz="0" w:space="0" w:color="auto"/>
                    <w:left w:val="none" w:sz="0" w:space="0" w:color="auto"/>
                    <w:bottom w:val="none" w:sz="0" w:space="0" w:color="auto"/>
                    <w:right w:val="none" w:sz="0" w:space="0" w:color="auto"/>
                  </w:divBdr>
                  <w:divsChild>
                    <w:div w:id="1134828051">
                      <w:marLeft w:val="0"/>
                      <w:marRight w:val="0"/>
                      <w:marTop w:val="0"/>
                      <w:marBottom w:val="0"/>
                      <w:divBdr>
                        <w:top w:val="none" w:sz="0" w:space="0" w:color="auto"/>
                        <w:left w:val="none" w:sz="0" w:space="0" w:color="auto"/>
                        <w:bottom w:val="none" w:sz="0" w:space="0" w:color="auto"/>
                        <w:right w:val="none" w:sz="0" w:space="0" w:color="auto"/>
                      </w:divBdr>
                    </w:div>
                  </w:divsChild>
                </w:div>
                <w:div w:id="1483430365">
                  <w:marLeft w:val="0"/>
                  <w:marRight w:val="0"/>
                  <w:marTop w:val="0"/>
                  <w:marBottom w:val="0"/>
                  <w:divBdr>
                    <w:top w:val="none" w:sz="0" w:space="0" w:color="auto"/>
                    <w:left w:val="none" w:sz="0" w:space="0" w:color="auto"/>
                    <w:bottom w:val="none" w:sz="0" w:space="0" w:color="auto"/>
                    <w:right w:val="none" w:sz="0" w:space="0" w:color="auto"/>
                  </w:divBdr>
                  <w:divsChild>
                    <w:div w:id="1818915553">
                      <w:marLeft w:val="0"/>
                      <w:marRight w:val="0"/>
                      <w:marTop w:val="0"/>
                      <w:marBottom w:val="0"/>
                      <w:divBdr>
                        <w:top w:val="none" w:sz="0" w:space="0" w:color="auto"/>
                        <w:left w:val="none" w:sz="0" w:space="0" w:color="auto"/>
                        <w:bottom w:val="none" w:sz="0" w:space="0" w:color="auto"/>
                        <w:right w:val="none" w:sz="0" w:space="0" w:color="auto"/>
                      </w:divBdr>
                    </w:div>
                  </w:divsChild>
                </w:div>
                <w:div w:id="1487742698">
                  <w:marLeft w:val="0"/>
                  <w:marRight w:val="0"/>
                  <w:marTop w:val="0"/>
                  <w:marBottom w:val="0"/>
                  <w:divBdr>
                    <w:top w:val="none" w:sz="0" w:space="0" w:color="auto"/>
                    <w:left w:val="none" w:sz="0" w:space="0" w:color="auto"/>
                    <w:bottom w:val="none" w:sz="0" w:space="0" w:color="auto"/>
                    <w:right w:val="none" w:sz="0" w:space="0" w:color="auto"/>
                  </w:divBdr>
                  <w:divsChild>
                    <w:div w:id="1632594487">
                      <w:marLeft w:val="0"/>
                      <w:marRight w:val="0"/>
                      <w:marTop w:val="0"/>
                      <w:marBottom w:val="0"/>
                      <w:divBdr>
                        <w:top w:val="none" w:sz="0" w:space="0" w:color="auto"/>
                        <w:left w:val="none" w:sz="0" w:space="0" w:color="auto"/>
                        <w:bottom w:val="none" w:sz="0" w:space="0" w:color="auto"/>
                        <w:right w:val="none" w:sz="0" w:space="0" w:color="auto"/>
                      </w:divBdr>
                    </w:div>
                  </w:divsChild>
                </w:div>
                <w:div w:id="1495532803">
                  <w:marLeft w:val="0"/>
                  <w:marRight w:val="0"/>
                  <w:marTop w:val="0"/>
                  <w:marBottom w:val="0"/>
                  <w:divBdr>
                    <w:top w:val="none" w:sz="0" w:space="0" w:color="auto"/>
                    <w:left w:val="none" w:sz="0" w:space="0" w:color="auto"/>
                    <w:bottom w:val="none" w:sz="0" w:space="0" w:color="auto"/>
                    <w:right w:val="none" w:sz="0" w:space="0" w:color="auto"/>
                  </w:divBdr>
                  <w:divsChild>
                    <w:div w:id="27723789">
                      <w:marLeft w:val="0"/>
                      <w:marRight w:val="0"/>
                      <w:marTop w:val="0"/>
                      <w:marBottom w:val="0"/>
                      <w:divBdr>
                        <w:top w:val="none" w:sz="0" w:space="0" w:color="auto"/>
                        <w:left w:val="none" w:sz="0" w:space="0" w:color="auto"/>
                        <w:bottom w:val="none" w:sz="0" w:space="0" w:color="auto"/>
                        <w:right w:val="none" w:sz="0" w:space="0" w:color="auto"/>
                      </w:divBdr>
                    </w:div>
                  </w:divsChild>
                </w:div>
                <w:div w:id="1504202167">
                  <w:marLeft w:val="0"/>
                  <w:marRight w:val="0"/>
                  <w:marTop w:val="0"/>
                  <w:marBottom w:val="0"/>
                  <w:divBdr>
                    <w:top w:val="none" w:sz="0" w:space="0" w:color="auto"/>
                    <w:left w:val="none" w:sz="0" w:space="0" w:color="auto"/>
                    <w:bottom w:val="none" w:sz="0" w:space="0" w:color="auto"/>
                    <w:right w:val="none" w:sz="0" w:space="0" w:color="auto"/>
                  </w:divBdr>
                  <w:divsChild>
                    <w:div w:id="1923371676">
                      <w:marLeft w:val="0"/>
                      <w:marRight w:val="0"/>
                      <w:marTop w:val="0"/>
                      <w:marBottom w:val="0"/>
                      <w:divBdr>
                        <w:top w:val="none" w:sz="0" w:space="0" w:color="auto"/>
                        <w:left w:val="none" w:sz="0" w:space="0" w:color="auto"/>
                        <w:bottom w:val="none" w:sz="0" w:space="0" w:color="auto"/>
                        <w:right w:val="none" w:sz="0" w:space="0" w:color="auto"/>
                      </w:divBdr>
                    </w:div>
                  </w:divsChild>
                </w:div>
                <w:div w:id="1506480259">
                  <w:marLeft w:val="0"/>
                  <w:marRight w:val="0"/>
                  <w:marTop w:val="0"/>
                  <w:marBottom w:val="0"/>
                  <w:divBdr>
                    <w:top w:val="none" w:sz="0" w:space="0" w:color="auto"/>
                    <w:left w:val="none" w:sz="0" w:space="0" w:color="auto"/>
                    <w:bottom w:val="none" w:sz="0" w:space="0" w:color="auto"/>
                    <w:right w:val="none" w:sz="0" w:space="0" w:color="auto"/>
                  </w:divBdr>
                  <w:divsChild>
                    <w:div w:id="1328628272">
                      <w:marLeft w:val="0"/>
                      <w:marRight w:val="0"/>
                      <w:marTop w:val="0"/>
                      <w:marBottom w:val="0"/>
                      <w:divBdr>
                        <w:top w:val="none" w:sz="0" w:space="0" w:color="auto"/>
                        <w:left w:val="none" w:sz="0" w:space="0" w:color="auto"/>
                        <w:bottom w:val="none" w:sz="0" w:space="0" w:color="auto"/>
                        <w:right w:val="none" w:sz="0" w:space="0" w:color="auto"/>
                      </w:divBdr>
                    </w:div>
                  </w:divsChild>
                </w:div>
                <w:div w:id="1517039691">
                  <w:marLeft w:val="0"/>
                  <w:marRight w:val="0"/>
                  <w:marTop w:val="0"/>
                  <w:marBottom w:val="0"/>
                  <w:divBdr>
                    <w:top w:val="none" w:sz="0" w:space="0" w:color="auto"/>
                    <w:left w:val="none" w:sz="0" w:space="0" w:color="auto"/>
                    <w:bottom w:val="none" w:sz="0" w:space="0" w:color="auto"/>
                    <w:right w:val="none" w:sz="0" w:space="0" w:color="auto"/>
                  </w:divBdr>
                  <w:divsChild>
                    <w:div w:id="1308052267">
                      <w:marLeft w:val="0"/>
                      <w:marRight w:val="0"/>
                      <w:marTop w:val="0"/>
                      <w:marBottom w:val="0"/>
                      <w:divBdr>
                        <w:top w:val="none" w:sz="0" w:space="0" w:color="auto"/>
                        <w:left w:val="none" w:sz="0" w:space="0" w:color="auto"/>
                        <w:bottom w:val="none" w:sz="0" w:space="0" w:color="auto"/>
                        <w:right w:val="none" w:sz="0" w:space="0" w:color="auto"/>
                      </w:divBdr>
                    </w:div>
                  </w:divsChild>
                </w:div>
                <w:div w:id="1523278224">
                  <w:marLeft w:val="0"/>
                  <w:marRight w:val="0"/>
                  <w:marTop w:val="0"/>
                  <w:marBottom w:val="0"/>
                  <w:divBdr>
                    <w:top w:val="none" w:sz="0" w:space="0" w:color="auto"/>
                    <w:left w:val="none" w:sz="0" w:space="0" w:color="auto"/>
                    <w:bottom w:val="none" w:sz="0" w:space="0" w:color="auto"/>
                    <w:right w:val="none" w:sz="0" w:space="0" w:color="auto"/>
                  </w:divBdr>
                  <w:divsChild>
                    <w:div w:id="974063135">
                      <w:marLeft w:val="0"/>
                      <w:marRight w:val="0"/>
                      <w:marTop w:val="0"/>
                      <w:marBottom w:val="0"/>
                      <w:divBdr>
                        <w:top w:val="none" w:sz="0" w:space="0" w:color="auto"/>
                        <w:left w:val="none" w:sz="0" w:space="0" w:color="auto"/>
                        <w:bottom w:val="none" w:sz="0" w:space="0" w:color="auto"/>
                        <w:right w:val="none" w:sz="0" w:space="0" w:color="auto"/>
                      </w:divBdr>
                    </w:div>
                  </w:divsChild>
                </w:div>
                <w:div w:id="1536112193">
                  <w:marLeft w:val="0"/>
                  <w:marRight w:val="0"/>
                  <w:marTop w:val="0"/>
                  <w:marBottom w:val="0"/>
                  <w:divBdr>
                    <w:top w:val="none" w:sz="0" w:space="0" w:color="auto"/>
                    <w:left w:val="none" w:sz="0" w:space="0" w:color="auto"/>
                    <w:bottom w:val="none" w:sz="0" w:space="0" w:color="auto"/>
                    <w:right w:val="none" w:sz="0" w:space="0" w:color="auto"/>
                  </w:divBdr>
                  <w:divsChild>
                    <w:div w:id="715350319">
                      <w:marLeft w:val="0"/>
                      <w:marRight w:val="0"/>
                      <w:marTop w:val="0"/>
                      <w:marBottom w:val="0"/>
                      <w:divBdr>
                        <w:top w:val="none" w:sz="0" w:space="0" w:color="auto"/>
                        <w:left w:val="none" w:sz="0" w:space="0" w:color="auto"/>
                        <w:bottom w:val="none" w:sz="0" w:space="0" w:color="auto"/>
                        <w:right w:val="none" w:sz="0" w:space="0" w:color="auto"/>
                      </w:divBdr>
                    </w:div>
                  </w:divsChild>
                </w:div>
                <w:div w:id="1538201911">
                  <w:marLeft w:val="0"/>
                  <w:marRight w:val="0"/>
                  <w:marTop w:val="0"/>
                  <w:marBottom w:val="0"/>
                  <w:divBdr>
                    <w:top w:val="none" w:sz="0" w:space="0" w:color="auto"/>
                    <w:left w:val="none" w:sz="0" w:space="0" w:color="auto"/>
                    <w:bottom w:val="none" w:sz="0" w:space="0" w:color="auto"/>
                    <w:right w:val="none" w:sz="0" w:space="0" w:color="auto"/>
                  </w:divBdr>
                  <w:divsChild>
                    <w:div w:id="744959645">
                      <w:marLeft w:val="0"/>
                      <w:marRight w:val="0"/>
                      <w:marTop w:val="0"/>
                      <w:marBottom w:val="0"/>
                      <w:divBdr>
                        <w:top w:val="none" w:sz="0" w:space="0" w:color="auto"/>
                        <w:left w:val="none" w:sz="0" w:space="0" w:color="auto"/>
                        <w:bottom w:val="none" w:sz="0" w:space="0" w:color="auto"/>
                        <w:right w:val="none" w:sz="0" w:space="0" w:color="auto"/>
                      </w:divBdr>
                    </w:div>
                  </w:divsChild>
                </w:div>
                <w:div w:id="1557276315">
                  <w:marLeft w:val="0"/>
                  <w:marRight w:val="0"/>
                  <w:marTop w:val="0"/>
                  <w:marBottom w:val="0"/>
                  <w:divBdr>
                    <w:top w:val="none" w:sz="0" w:space="0" w:color="auto"/>
                    <w:left w:val="none" w:sz="0" w:space="0" w:color="auto"/>
                    <w:bottom w:val="none" w:sz="0" w:space="0" w:color="auto"/>
                    <w:right w:val="none" w:sz="0" w:space="0" w:color="auto"/>
                  </w:divBdr>
                  <w:divsChild>
                    <w:div w:id="692223114">
                      <w:marLeft w:val="0"/>
                      <w:marRight w:val="0"/>
                      <w:marTop w:val="0"/>
                      <w:marBottom w:val="0"/>
                      <w:divBdr>
                        <w:top w:val="none" w:sz="0" w:space="0" w:color="auto"/>
                        <w:left w:val="none" w:sz="0" w:space="0" w:color="auto"/>
                        <w:bottom w:val="none" w:sz="0" w:space="0" w:color="auto"/>
                        <w:right w:val="none" w:sz="0" w:space="0" w:color="auto"/>
                      </w:divBdr>
                    </w:div>
                  </w:divsChild>
                </w:div>
                <w:div w:id="1567371774">
                  <w:marLeft w:val="0"/>
                  <w:marRight w:val="0"/>
                  <w:marTop w:val="0"/>
                  <w:marBottom w:val="0"/>
                  <w:divBdr>
                    <w:top w:val="none" w:sz="0" w:space="0" w:color="auto"/>
                    <w:left w:val="none" w:sz="0" w:space="0" w:color="auto"/>
                    <w:bottom w:val="none" w:sz="0" w:space="0" w:color="auto"/>
                    <w:right w:val="none" w:sz="0" w:space="0" w:color="auto"/>
                  </w:divBdr>
                  <w:divsChild>
                    <w:div w:id="1830095662">
                      <w:marLeft w:val="0"/>
                      <w:marRight w:val="0"/>
                      <w:marTop w:val="0"/>
                      <w:marBottom w:val="0"/>
                      <w:divBdr>
                        <w:top w:val="none" w:sz="0" w:space="0" w:color="auto"/>
                        <w:left w:val="none" w:sz="0" w:space="0" w:color="auto"/>
                        <w:bottom w:val="none" w:sz="0" w:space="0" w:color="auto"/>
                        <w:right w:val="none" w:sz="0" w:space="0" w:color="auto"/>
                      </w:divBdr>
                    </w:div>
                  </w:divsChild>
                </w:div>
                <w:div w:id="1569223947">
                  <w:marLeft w:val="0"/>
                  <w:marRight w:val="0"/>
                  <w:marTop w:val="0"/>
                  <w:marBottom w:val="0"/>
                  <w:divBdr>
                    <w:top w:val="none" w:sz="0" w:space="0" w:color="auto"/>
                    <w:left w:val="none" w:sz="0" w:space="0" w:color="auto"/>
                    <w:bottom w:val="none" w:sz="0" w:space="0" w:color="auto"/>
                    <w:right w:val="none" w:sz="0" w:space="0" w:color="auto"/>
                  </w:divBdr>
                  <w:divsChild>
                    <w:div w:id="780104381">
                      <w:marLeft w:val="0"/>
                      <w:marRight w:val="0"/>
                      <w:marTop w:val="0"/>
                      <w:marBottom w:val="0"/>
                      <w:divBdr>
                        <w:top w:val="none" w:sz="0" w:space="0" w:color="auto"/>
                        <w:left w:val="none" w:sz="0" w:space="0" w:color="auto"/>
                        <w:bottom w:val="none" w:sz="0" w:space="0" w:color="auto"/>
                        <w:right w:val="none" w:sz="0" w:space="0" w:color="auto"/>
                      </w:divBdr>
                    </w:div>
                  </w:divsChild>
                </w:div>
                <w:div w:id="1580410419">
                  <w:marLeft w:val="0"/>
                  <w:marRight w:val="0"/>
                  <w:marTop w:val="0"/>
                  <w:marBottom w:val="0"/>
                  <w:divBdr>
                    <w:top w:val="none" w:sz="0" w:space="0" w:color="auto"/>
                    <w:left w:val="none" w:sz="0" w:space="0" w:color="auto"/>
                    <w:bottom w:val="none" w:sz="0" w:space="0" w:color="auto"/>
                    <w:right w:val="none" w:sz="0" w:space="0" w:color="auto"/>
                  </w:divBdr>
                  <w:divsChild>
                    <w:div w:id="1762137238">
                      <w:marLeft w:val="0"/>
                      <w:marRight w:val="0"/>
                      <w:marTop w:val="0"/>
                      <w:marBottom w:val="0"/>
                      <w:divBdr>
                        <w:top w:val="none" w:sz="0" w:space="0" w:color="auto"/>
                        <w:left w:val="none" w:sz="0" w:space="0" w:color="auto"/>
                        <w:bottom w:val="none" w:sz="0" w:space="0" w:color="auto"/>
                        <w:right w:val="none" w:sz="0" w:space="0" w:color="auto"/>
                      </w:divBdr>
                    </w:div>
                  </w:divsChild>
                </w:div>
                <w:div w:id="1583678412">
                  <w:marLeft w:val="0"/>
                  <w:marRight w:val="0"/>
                  <w:marTop w:val="0"/>
                  <w:marBottom w:val="0"/>
                  <w:divBdr>
                    <w:top w:val="none" w:sz="0" w:space="0" w:color="auto"/>
                    <w:left w:val="none" w:sz="0" w:space="0" w:color="auto"/>
                    <w:bottom w:val="none" w:sz="0" w:space="0" w:color="auto"/>
                    <w:right w:val="none" w:sz="0" w:space="0" w:color="auto"/>
                  </w:divBdr>
                  <w:divsChild>
                    <w:div w:id="210315139">
                      <w:marLeft w:val="0"/>
                      <w:marRight w:val="0"/>
                      <w:marTop w:val="0"/>
                      <w:marBottom w:val="0"/>
                      <w:divBdr>
                        <w:top w:val="none" w:sz="0" w:space="0" w:color="auto"/>
                        <w:left w:val="none" w:sz="0" w:space="0" w:color="auto"/>
                        <w:bottom w:val="none" w:sz="0" w:space="0" w:color="auto"/>
                        <w:right w:val="none" w:sz="0" w:space="0" w:color="auto"/>
                      </w:divBdr>
                    </w:div>
                  </w:divsChild>
                </w:div>
                <w:div w:id="1586063729">
                  <w:marLeft w:val="0"/>
                  <w:marRight w:val="0"/>
                  <w:marTop w:val="0"/>
                  <w:marBottom w:val="0"/>
                  <w:divBdr>
                    <w:top w:val="none" w:sz="0" w:space="0" w:color="auto"/>
                    <w:left w:val="none" w:sz="0" w:space="0" w:color="auto"/>
                    <w:bottom w:val="none" w:sz="0" w:space="0" w:color="auto"/>
                    <w:right w:val="none" w:sz="0" w:space="0" w:color="auto"/>
                  </w:divBdr>
                  <w:divsChild>
                    <w:div w:id="2013213245">
                      <w:marLeft w:val="0"/>
                      <w:marRight w:val="0"/>
                      <w:marTop w:val="0"/>
                      <w:marBottom w:val="0"/>
                      <w:divBdr>
                        <w:top w:val="none" w:sz="0" w:space="0" w:color="auto"/>
                        <w:left w:val="none" w:sz="0" w:space="0" w:color="auto"/>
                        <w:bottom w:val="none" w:sz="0" w:space="0" w:color="auto"/>
                        <w:right w:val="none" w:sz="0" w:space="0" w:color="auto"/>
                      </w:divBdr>
                    </w:div>
                  </w:divsChild>
                </w:div>
                <w:div w:id="1589733043">
                  <w:marLeft w:val="0"/>
                  <w:marRight w:val="0"/>
                  <w:marTop w:val="0"/>
                  <w:marBottom w:val="0"/>
                  <w:divBdr>
                    <w:top w:val="none" w:sz="0" w:space="0" w:color="auto"/>
                    <w:left w:val="none" w:sz="0" w:space="0" w:color="auto"/>
                    <w:bottom w:val="none" w:sz="0" w:space="0" w:color="auto"/>
                    <w:right w:val="none" w:sz="0" w:space="0" w:color="auto"/>
                  </w:divBdr>
                  <w:divsChild>
                    <w:div w:id="517936525">
                      <w:marLeft w:val="0"/>
                      <w:marRight w:val="0"/>
                      <w:marTop w:val="0"/>
                      <w:marBottom w:val="0"/>
                      <w:divBdr>
                        <w:top w:val="none" w:sz="0" w:space="0" w:color="auto"/>
                        <w:left w:val="none" w:sz="0" w:space="0" w:color="auto"/>
                        <w:bottom w:val="none" w:sz="0" w:space="0" w:color="auto"/>
                        <w:right w:val="none" w:sz="0" w:space="0" w:color="auto"/>
                      </w:divBdr>
                    </w:div>
                  </w:divsChild>
                </w:div>
                <w:div w:id="1591233571">
                  <w:marLeft w:val="0"/>
                  <w:marRight w:val="0"/>
                  <w:marTop w:val="0"/>
                  <w:marBottom w:val="0"/>
                  <w:divBdr>
                    <w:top w:val="none" w:sz="0" w:space="0" w:color="auto"/>
                    <w:left w:val="none" w:sz="0" w:space="0" w:color="auto"/>
                    <w:bottom w:val="none" w:sz="0" w:space="0" w:color="auto"/>
                    <w:right w:val="none" w:sz="0" w:space="0" w:color="auto"/>
                  </w:divBdr>
                  <w:divsChild>
                    <w:div w:id="764350768">
                      <w:marLeft w:val="0"/>
                      <w:marRight w:val="0"/>
                      <w:marTop w:val="0"/>
                      <w:marBottom w:val="0"/>
                      <w:divBdr>
                        <w:top w:val="none" w:sz="0" w:space="0" w:color="auto"/>
                        <w:left w:val="none" w:sz="0" w:space="0" w:color="auto"/>
                        <w:bottom w:val="none" w:sz="0" w:space="0" w:color="auto"/>
                        <w:right w:val="none" w:sz="0" w:space="0" w:color="auto"/>
                      </w:divBdr>
                    </w:div>
                  </w:divsChild>
                </w:div>
                <w:div w:id="1601327131">
                  <w:marLeft w:val="0"/>
                  <w:marRight w:val="0"/>
                  <w:marTop w:val="0"/>
                  <w:marBottom w:val="0"/>
                  <w:divBdr>
                    <w:top w:val="none" w:sz="0" w:space="0" w:color="auto"/>
                    <w:left w:val="none" w:sz="0" w:space="0" w:color="auto"/>
                    <w:bottom w:val="none" w:sz="0" w:space="0" w:color="auto"/>
                    <w:right w:val="none" w:sz="0" w:space="0" w:color="auto"/>
                  </w:divBdr>
                  <w:divsChild>
                    <w:div w:id="252398449">
                      <w:marLeft w:val="0"/>
                      <w:marRight w:val="0"/>
                      <w:marTop w:val="0"/>
                      <w:marBottom w:val="0"/>
                      <w:divBdr>
                        <w:top w:val="none" w:sz="0" w:space="0" w:color="auto"/>
                        <w:left w:val="none" w:sz="0" w:space="0" w:color="auto"/>
                        <w:bottom w:val="none" w:sz="0" w:space="0" w:color="auto"/>
                        <w:right w:val="none" w:sz="0" w:space="0" w:color="auto"/>
                      </w:divBdr>
                    </w:div>
                  </w:divsChild>
                </w:div>
                <w:div w:id="1612006530">
                  <w:marLeft w:val="0"/>
                  <w:marRight w:val="0"/>
                  <w:marTop w:val="0"/>
                  <w:marBottom w:val="0"/>
                  <w:divBdr>
                    <w:top w:val="none" w:sz="0" w:space="0" w:color="auto"/>
                    <w:left w:val="none" w:sz="0" w:space="0" w:color="auto"/>
                    <w:bottom w:val="none" w:sz="0" w:space="0" w:color="auto"/>
                    <w:right w:val="none" w:sz="0" w:space="0" w:color="auto"/>
                  </w:divBdr>
                  <w:divsChild>
                    <w:div w:id="89201291">
                      <w:marLeft w:val="0"/>
                      <w:marRight w:val="0"/>
                      <w:marTop w:val="0"/>
                      <w:marBottom w:val="0"/>
                      <w:divBdr>
                        <w:top w:val="none" w:sz="0" w:space="0" w:color="auto"/>
                        <w:left w:val="none" w:sz="0" w:space="0" w:color="auto"/>
                        <w:bottom w:val="none" w:sz="0" w:space="0" w:color="auto"/>
                        <w:right w:val="none" w:sz="0" w:space="0" w:color="auto"/>
                      </w:divBdr>
                    </w:div>
                  </w:divsChild>
                </w:div>
                <w:div w:id="1613318490">
                  <w:marLeft w:val="0"/>
                  <w:marRight w:val="0"/>
                  <w:marTop w:val="0"/>
                  <w:marBottom w:val="0"/>
                  <w:divBdr>
                    <w:top w:val="none" w:sz="0" w:space="0" w:color="auto"/>
                    <w:left w:val="none" w:sz="0" w:space="0" w:color="auto"/>
                    <w:bottom w:val="none" w:sz="0" w:space="0" w:color="auto"/>
                    <w:right w:val="none" w:sz="0" w:space="0" w:color="auto"/>
                  </w:divBdr>
                  <w:divsChild>
                    <w:div w:id="1591042578">
                      <w:marLeft w:val="0"/>
                      <w:marRight w:val="0"/>
                      <w:marTop w:val="0"/>
                      <w:marBottom w:val="0"/>
                      <w:divBdr>
                        <w:top w:val="none" w:sz="0" w:space="0" w:color="auto"/>
                        <w:left w:val="none" w:sz="0" w:space="0" w:color="auto"/>
                        <w:bottom w:val="none" w:sz="0" w:space="0" w:color="auto"/>
                        <w:right w:val="none" w:sz="0" w:space="0" w:color="auto"/>
                      </w:divBdr>
                    </w:div>
                  </w:divsChild>
                </w:div>
                <w:div w:id="1615941707">
                  <w:marLeft w:val="0"/>
                  <w:marRight w:val="0"/>
                  <w:marTop w:val="0"/>
                  <w:marBottom w:val="0"/>
                  <w:divBdr>
                    <w:top w:val="none" w:sz="0" w:space="0" w:color="auto"/>
                    <w:left w:val="none" w:sz="0" w:space="0" w:color="auto"/>
                    <w:bottom w:val="none" w:sz="0" w:space="0" w:color="auto"/>
                    <w:right w:val="none" w:sz="0" w:space="0" w:color="auto"/>
                  </w:divBdr>
                  <w:divsChild>
                    <w:div w:id="2066294189">
                      <w:marLeft w:val="0"/>
                      <w:marRight w:val="0"/>
                      <w:marTop w:val="0"/>
                      <w:marBottom w:val="0"/>
                      <w:divBdr>
                        <w:top w:val="none" w:sz="0" w:space="0" w:color="auto"/>
                        <w:left w:val="none" w:sz="0" w:space="0" w:color="auto"/>
                        <w:bottom w:val="none" w:sz="0" w:space="0" w:color="auto"/>
                        <w:right w:val="none" w:sz="0" w:space="0" w:color="auto"/>
                      </w:divBdr>
                    </w:div>
                  </w:divsChild>
                </w:div>
                <w:div w:id="1625888931">
                  <w:marLeft w:val="0"/>
                  <w:marRight w:val="0"/>
                  <w:marTop w:val="0"/>
                  <w:marBottom w:val="0"/>
                  <w:divBdr>
                    <w:top w:val="none" w:sz="0" w:space="0" w:color="auto"/>
                    <w:left w:val="none" w:sz="0" w:space="0" w:color="auto"/>
                    <w:bottom w:val="none" w:sz="0" w:space="0" w:color="auto"/>
                    <w:right w:val="none" w:sz="0" w:space="0" w:color="auto"/>
                  </w:divBdr>
                  <w:divsChild>
                    <w:div w:id="1936088523">
                      <w:marLeft w:val="0"/>
                      <w:marRight w:val="0"/>
                      <w:marTop w:val="0"/>
                      <w:marBottom w:val="0"/>
                      <w:divBdr>
                        <w:top w:val="none" w:sz="0" w:space="0" w:color="auto"/>
                        <w:left w:val="none" w:sz="0" w:space="0" w:color="auto"/>
                        <w:bottom w:val="none" w:sz="0" w:space="0" w:color="auto"/>
                        <w:right w:val="none" w:sz="0" w:space="0" w:color="auto"/>
                      </w:divBdr>
                    </w:div>
                  </w:divsChild>
                </w:div>
                <w:div w:id="1625893058">
                  <w:marLeft w:val="0"/>
                  <w:marRight w:val="0"/>
                  <w:marTop w:val="0"/>
                  <w:marBottom w:val="0"/>
                  <w:divBdr>
                    <w:top w:val="none" w:sz="0" w:space="0" w:color="auto"/>
                    <w:left w:val="none" w:sz="0" w:space="0" w:color="auto"/>
                    <w:bottom w:val="none" w:sz="0" w:space="0" w:color="auto"/>
                    <w:right w:val="none" w:sz="0" w:space="0" w:color="auto"/>
                  </w:divBdr>
                  <w:divsChild>
                    <w:div w:id="1974209789">
                      <w:marLeft w:val="0"/>
                      <w:marRight w:val="0"/>
                      <w:marTop w:val="0"/>
                      <w:marBottom w:val="0"/>
                      <w:divBdr>
                        <w:top w:val="none" w:sz="0" w:space="0" w:color="auto"/>
                        <w:left w:val="none" w:sz="0" w:space="0" w:color="auto"/>
                        <w:bottom w:val="none" w:sz="0" w:space="0" w:color="auto"/>
                        <w:right w:val="none" w:sz="0" w:space="0" w:color="auto"/>
                      </w:divBdr>
                    </w:div>
                  </w:divsChild>
                </w:div>
                <w:div w:id="1626500746">
                  <w:marLeft w:val="0"/>
                  <w:marRight w:val="0"/>
                  <w:marTop w:val="0"/>
                  <w:marBottom w:val="0"/>
                  <w:divBdr>
                    <w:top w:val="none" w:sz="0" w:space="0" w:color="auto"/>
                    <w:left w:val="none" w:sz="0" w:space="0" w:color="auto"/>
                    <w:bottom w:val="none" w:sz="0" w:space="0" w:color="auto"/>
                    <w:right w:val="none" w:sz="0" w:space="0" w:color="auto"/>
                  </w:divBdr>
                  <w:divsChild>
                    <w:div w:id="98916751">
                      <w:marLeft w:val="0"/>
                      <w:marRight w:val="0"/>
                      <w:marTop w:val="0"/>
                      <w:marBottom w:val="0"/>
                      <w:divBdr>
                        <w:top w:val="none" w:sz="0" w:space="0" w:color="auto"/>
                        <w:left w:val="none" w:sz="0" w:space="0" w:color="auto"/>
                        <w:bottom w:val="none" w:sz="0" w:space="0" w:color="auto"/>
                        <w:right w:val="none" w:sz="0" w:space="0" w:color="auto"/>
                      </w:divBdr>
                    </w:div>
                  </w:divsChild>
                </w:div>
                <w:div w:id="1635521593">
                  <w:marLeft w:val="0"/>
                  <w:marRight w:val="0"/>
                  <w:marTop w:val="0"/>
                  <w:marBottom w:val="0"/>
                  <w:divBdr>
                    <w:top w:val="none" w:sz="0" w:space="0" w:color="auto"/>
                    <w:left w:val="none" w:sz="0" w:space="0" w:color="auto"/>
                    <w:bottom w:val="none" w:sz="0" w:space="0" w:color="auto"/>
                    <w:right w:val="none" w:sz="0" w:space="0" w:color="auto"/>
                  </w:divBdr>
                  <w:divsChild>
                    <w:div w:id="287975449">
                      <w:marLeft w:val="0"/>
                      <w:marRight w:val="0"/>
                      <w:marTop w:val="0"/>
                      <w:marBottom w:val="0"/>
                      <w:divBdr>
                        <w:top w:val="none" w:sz="0" w:space="0" w:color="auto"/>
                        <w:left w:val="none" w:sz="0" w:space="0" w:color="auto"/>
                        <w:bottom w:val="none" w:sz="0" w:space="0" w:color="auto"/>
                        <w:right w:val="none" w:sz="0" w:space="0" w:color="auto"/>
                      </w:divBdr>
                    </w:div>
                  </w:divsChild>
                </w:div>
                <w:div w:id="1638336822">
                  <w:marLeft w:val="0"/>
                  <w:marRight w:val="0"/>
                  <w:marTop w:val="0"/>
                  <w:marBottom w:val="0"/>
                  <w:divBdr>
                    <w:top w:val="none" w:sz="0" w:space="0" w:color="auto"/>
                    <w:left w:val="none" w:sz="0" w:space="0" w:color="auto"/>
                    <w:bottom w:val="none" w:sz="0" w:space="0" w:color="auto"/>
                    <w:right w:val="none" w:sz="0" w:space="0" w:color="auto"/>
                  </w:divBdr>
                  <w:divsChild>
                    <w:div w:id="1184511709">
                      <w:marLeft w:val="0"/>
                      <w:marRight w:val="0"/>
                      <w:marTop w:val="0"/>
                      <w:marBottom w:val="0"/>
                      <w:divBdr>
                        <w:top w:val="none" w:sz="0" w:space="0" w:color="auto"/>
                        <w:left w:val="none" w:sz="0" w:space="0" w:color="auto"/>
                        <w:bottom w:val="none" w:sz="0" w:space="0" w:color="auto"/>
                        <w:right w:val="none" w:sz="0" w:space="0" w:color="auto"/>
                      </w:divBdr>
                    </w:div>
                  </w:divsChild>
                </w:div>
                <w:div w:id="1639722852">
                  <w:marLeft w:val="0"/>
                  <w:marRight w:val="0"/>
                  <w:marTop w:val="0"/>
                  <w:marBottom w:val="0"/>
                  <w:divBdr>
                    <w:top w:val="none" w:sz="0" w:space="0" w:color="auto"/>
                    <w:left w:val="none" w:sz="0" w:space="0" w:color="auto"/>
                    <w:bottom w:val="none" w:sz="0" w:space="0" w:color="auto"/>
                    <w:right w:val="none" w:sz="0" w:space="0" w:color="auto"/>
                  </w:divBdr>
                  <w:divsChild>
                    <w:div w:id="1574967267">
                      <w:marLeft w:val="0"/>
                      <w:marRight w:val="0"/>
                      <w:marTop w:val="0"/>
                      <w:marBottom w:val="0"/>
                      <w:divBdr>
                        <w:top w:val="none" w:sz="0" w:space="0" w:color="auto"/>
                        <w:left w:val="none" w:sz="0" w:space="0" w:color="auto"/>
                        <w:bottom w:val="none" w:sz="0" w:space="0" w:color="auto"/>
                        <w:right w:val="none" w:sz="0" w:space="0" w:color="auto"/>
                      </w:divBdr>
                    </w:div>
                  </w:divsChild>
                </w:div>
                <w:div w:id="1642467633">
                  <w:marLeft w:val="0"/>
                  <w:marRight w:val="0"/>
                  <w:marTop w:val="0"/>
                  <w:marBottom w:val="0"/>
                  <w:divBdr>
                    <w:top w:val="none" w:sz="0" w:space="0" w:color="auto"/>
                    <w:left w:val="none" w:sz="0" w:space="0" w:color="auto"/>
                    <w:bottom w:val="none" w:sz="0" w:space="0" w:color="auto"/>
                    <w:right w:val="none" w:sz="0" w:space="0" w:color="auto"/>
                  </w:divBdr>
                  <w:divsChild>
                    <w:div w:id="1208880925">
                      <w:marLeft w:val="0"/>
                      <w:marRight w:val="0"/>
                      <w:marTop w:val="0"/>
                      <w:marBottom w:val="0"/>
                      <w:divBdr>
                        <w:top w:val="none" w:sz="0" w:space="0" w:color="auto"/>
                        <w:left w:val="none" w:sz="0" w:space="0" w:color="auto"/>
                        <w:bottom w:val="none" w:sz="0" w:space="0" w:color="auto"/>
                        <w:right w:val="none" w:sz="0" w:space="0" w:color="auto"/>
                      </w:divBdr>
                    </w:div>
                  </w:divsChild>
                </w:div>
                <w:div w:id="1651404429">
                  <w:marLeft w:val="0"/>
                  <w:marRight w:val="0"/>
                  <w:marTop w:val="0"/>
                  <w:marBottom w:val="0"/>
                  <w:divBdr>
                    <w:top w:val="none" w:sz="0" w:space="0" w:color="auto"/>
                    <w:left w:val="none" w:sz="0" w:space="0" w:color="auto"/>
                    <w:bottom w:val="none" w:sz="0" w:space="0" w:color="auto"/>
                    <w:right w:val="none" w:sz="0" w:space="0" w:color="auto"/>
                  </w:divBdr>
                  <w:divsChild>
                    <w:div w:id="882986799">
                      <w:marLeft w:val="0"/>
                      <w:marRight w:val="0"/>
                      <w:marTop w:val="0"/>
                      <w:marBottom w:val="0"/>
                      <w:divBdr>
                        <w:top w:val="none" w:sz="0" w:space="0" w:color="auto"/>
                        <w:left w:val="none" w:sz="0" w:space="0" w:color="auto"/>
                        <w:bottom w:val="none" w:sz="0" w:space="0" w:color="auto"/>
                        <w:right w:val="none" w:sz="0" w:space="0" w:color="auto"/>
                      </w:divBdr>
                    </w:div>
                  </w:divsChild>
                </w:div>
                <w:div w:id="1653026501">
                  <w:marLeft w:val="0"/>
                  <w:marRight w:val="0"/>
                  <w:marTop w:val="0"/>
                  <w:marBottom w:val="0"/>
                  <w:divBdr>
                    <w:top w:val="none" w:sz="0" w:space="0" w:color="auto"/>
                    <w:left w:val="none" w:sz="0" w:space="0" w:color="auto"/>
                    <w:bottom w:val="none" w:sz="0" w:space="0" w:color="auto"/>
                    <w:right w:val="none" w:sz="0" w:space="0" w:color="auto"/>
                  </w:divBdr>
                  <w:divsChild>
                    <w:div w:id="1540970338">
                      <w:marLeft w:val="0"/>
                      <w:marRight w:val="0"/>
                      <w:marTop w:val="0"/>
                      <w:marBottom w:val="0"/>
                      <w:divBdr>
                        <w:top w:val="none" w:sz="0" w:space="0" w:color="auto"/>
                        <w:left w:val="none" w:sz="0" w:space="0" w:color="auto"/>
                        <w:bottom w:val="none" w:sz="0" w:space="0" w:color="auto"/>
                        <w:right w:val="none" w:sz="0" w:space="0" w:color="auto"/>
                      </w:divBdr>
                    </w:div>
                  </w:divsChild>
                </w:div>
                <w:div w:id="1672374553">
                  <w:marLeft w:val="0"/>
                  <w:marRight w:val="0"/>
                  <w:marTop w:val="0"/>
                  <w:marBottom w:val="0"/>
                  <w:divBdr>
                    <w:top w:val="none" w:sz="0" w:space="0" w:color="auto"/>
                    <w:left w:val="none" w:sz="0" w:space="0" w:color="auto"/>
                    <w:bottom w:val="none" w:sz="0" w:space="0" w:color="auto"/>
                    <w:right w:val="none" w:sz="0" w:space="0" w:color="auto"/>
                  </w:divBdr>
                  <w:divsChild>
                    <w:div w:id="843858774">
                      <w:marLeft w:val="0"/>
                      <w:marRight w:val="0"/>
                      <w:marTop w:val="0"/>
                      <w:marBottom w:val="0"/>
                      <w:divBdr>
                        <w:top w:val="none" w:sz="0" w:space="0" w:color="auto"/>
                        <w:left w:val="none" w:sz="0" w:space="0" w:color="auto"/>
                        <w:bottom w:val="none" w:sz="0" w:space="0" w:color="auto"/>
                        <w:right w:val="none" w:sz="0" w:space="0" w:color="auto"/>
                      </w:divBdr>
                    </w:div>
                  </w:divsChild>
                </w:div>
                <w:div w:id="1677688676">
                  <w:marLeft w:val="0"/>
                  <w:marRight w:val="0"/>
                  <w:marTop w:val="0"/>
                  <w:marBottom w:val="0"/>
                  <w:divBdr>
                    <w:top w:val="none" w:sz="0" w:space="0" w:color="auto"/>
                    <w:left w:val="none" w:sz="0" w:space="0" w:color="auto"/>
                    <w:bottom w:val="none" w:sz="0" w:space="0" w:color="auto"/>
                    <w:right w:val="none" w:sz="0" w:space="0" w:color="auto"/>
                  </w:divBdr>
                  <w:divsChild>
                    <w:div w:id="1655914566">
                      <w:marLeft w:val="0"/>
                      <w:marRight w:val="0"/>
                      <w:marTop w:val="0"/>
                      <w:marBottom w:val="0"/>
                      <w:divBdr>
                        <w:top w:val="none" w:sz="0" w:space="0" w:color="auto"/>
                        <w:left w:val="none" w:sz="0" w:space="0" w:color="auto"/>
                        <w:bottom w:val="none" w:sz="0" w:space="0" w:color="auto"/>
                        <w:right w:val="none" w:sz="0" w:space="0" w:color="auto"/>
                      </w:divBdr>
                    </w:div>
                  </w:divsChild>
                </w:div>
                <w:div w:id="1686058628">
                  <w:marLeft w:val="0"/>
                  <w:marRight w:val="0"/>
                  <w:marTop w:val="0"/>
                  <w:marBottom w:val="0"/>
                  <w:divBdr>
                    <w:top w:val="none" w:sz="0" w:space="0" w:color="auto"/>
                    <w:left w:val="none" w:sz="0" w:space="0" w:color="auto"/>
                    <w:bottom w:val="none" w:sz="0" w:space="0" w:color="auto"/>
                    <w:right w:val="none" w:sz="0" w:space="0" w:color="auto"/>
                  </w:divBdr>
                  <w:divsChild>
                    <w:div w:id="1485703018">
                      <w:marLeft w:val="0"/>
                      <w:marRight w:val="0"/>
                      <w:marTop w:val="0"/>
                      <w:marBottom w:val="0"/>
                      <w:divBdr>
                        <w:top w:val="none" w:sz="0" w:space="0" w:color="auto"/>
                        <w:left w:val="none" w:sz="0" w:space="0" w:color="auto"/>
                        <w:bottom w:val="none" w:sz="0" w:space="0" w:color="auto"/>
                        <w:right w:val="none" w:sz="0" w:space="0" w:color="auto"/>
                      </w:divBdr>
                    </w:div>
                  </w:divsChild>
                </w:div>
                <w:div w:id="1689915325">
                  <w:marLeft w:val="0"/>
                  <w:marRight w:val="0"/>
                  <w:marTop w:val="0"/>
                  <w:marBottom w:val="0"/>
                  <w:divBdr>
                    <w:top w:val="none" w:sz="0" w:space="0" w:color="auto"/>
                    <w:left w:val="none" w:sz="0" w:space="0" w:color="auto"/>
                    <w:bottom w:val="none" w:sz="0" w:space="0" w:color="auto"/>
                    <w:right w:val="none" w:sz="0" w:space="0" w:color="auto"/>
                  </w:divBdr>
                  <w:divsChild>
                    <w:div w:id="1668170642">
                      <w:marLeft w:val="0"/>
                      <w:marRight w:val="0"/>
                      <w:marTop w:val="0"/>
                      <w:marBottom w:val="0"/>
                      <w:divBdr>
                        <w:top w:val="none" w:sz="0" w:space="0" w:color="auto"/>
                        <w:left w:val="none" w:sz="0" w:space="0" w:color="auto"/>
                        <w:bottom w:val="none" w:sz="0" w:space="0" w:color="auto"/>
                        <w:right w:val="none" w:sz="0" w:space="0" w:color="auto"/>
                      </w:divBdr>
                    </w:div>
                  </w:divsChild>
                </w:div>
                <w:div w:id="1694719870">
                  <w:marLeft w:val="0"/>
                  <w:marRight w:val="0"/>
                  <w:marTop w:val="0"/>
                  <w:marBottom w:val="0"/>
                  <w:divBdr>
                    <w:top w:val="none" w:sz="0" w:space="0" w:color="auto"/>
                    <w:left w:val="none" w:sz="0" w:space="0" w:color="auto"/>
                    <w:bottom w:val="none" w:sz="0" w:space="0" w:color="auto"/>
                    <w:right w:val="none" w:sz="0" w:space="0" w:color="auto"/>
                  </w:divBdr>
                  <w:divsChild>
                    <w:div w:id="671294422">
                      <w:marLeft w:val="0"/>
                      <w:marRight w:val="0"/>
                      <w:marTop w:val="0"/>
                      <w:marBottom w:val="0"/>
                      <w:divBdr>
                        <w:top w:val="none" w:sz="0" w:space="0" w:color="auto"/>
                        <w:left w:val="none" w:sz="0" w:space="0" w:color="auto"/>
                        <w:bottom w:val="none" w:sz="0" w:space="0" w:color="auto"/>
                        <w:right w:val="none" w:sz="0" w:space="0" w:color="auto"/>
                      </w:divBdr>
                    </w:div>
                  </w:divsChild>
                </w:div>
                <w:div w:id="1697460299">
                  <w:marLeft w:val="0"/>
                  <w:marRight w:val="0"/>
                  <w:marTop w:val="0"/>
                  <w:marBottom w:val="0"/>
                  <w:divBdr>
                    <w:top w:val="none" w:sz="0" w:space="0" w:color="auto"/>
                    <w:left w:val="none" w:sz="0" w:space="0" w:color="auto"/>
                    <w:bottom w:val="none" w:sz="0" w:space="0" w:color="auto"/>
                    <w:right w:val="none" w:sz="0" w:space="0" w:color="auto"/>
                  </w:divBdr>
                  <w:divsChild>
                    <w:div w:id="763569647">
                      <w:marLeft w:val="0"/>
                      <w:marRight w:val="0"/>
                      <w:marTop w:val="0"/>
                      <w:marBottom w:val="0"/>
                      <w:divBdr>
                        <w:top w:val="none" w:sz="0" w:space="0" w:color="auto"/>
                        <w:left w:val="none" w:sz="0" w:space="0" w:color="auto"/>
                        <w:bottom w:val="none" w:sz="0" w:space="0" w:color="auto"/>
                        <w:right w:val="none" w:sz="0" w:space="0" w:color="auto"/>
                      </w:divBdr>
                    </w:div>
                  </w:divsChild>
                </w:div>
                <w:div w:id="1714576627">
                  <w:marLeft w:val="0"/>
                  <w:marRight w:val="0"/>
                  <w:marTop w:val="0"/>
                  <w:marBottom w:val="0"/>
                  <w:divBdr>
                    <w:top w:val="none" w:sz="0" w:space="0" w:color="auto"/>
                    <w:left w:val="none" w:sz="0" w:space="0" w:color="auto"/>
                    <w:bottom w:val="none" w:sz="0" w:space="0" w:color="auto"/>
                    <w:right w:val="none" w:sz="0" w:space="0" w:color="auto"/>
                  </w:divBdr>
                  <w:divsChild>
                    <w:div w:id="2052682219">
                      <w:marLeft w:val="0"/>
                      <w:marRight w:val="0"/>
                      <w:marTop w:val="0"/>
                      <w:marBottom w:val="0"/>
                      <w:divBdr>
                        <w:top w:val="none" w:sz="0" w:space="0" w:color="auto"/>
                        <w:left w:val="none" w:sz="0" w:space="0" w:color="auto"/>
                        <w:bottom w:val="none" w:sz="0" w:space="0" w:color="auto"/>
                        <w:right w:val="none" w:sz="0" w:space="0" w:color="auto"/>
                      </w:divBdr>
                    </w:div>
                  </w:divsChild>
                </w:div>
                <w:div w:id="1725442526">
                  <w:marLeft w:val="0"/>
                  <w:marRight w:val="0"/>
                  <w:marTop w:val="0"/>
                  <w:marBottom w:val="0"/>
                  <w:divBdr>
                    <w:top w:val="none" w:sz="0" w:space="0" w:color="auto"/>
                    <w:left w:val="none" w:sz="0" w:space="0" w:color="auto"/>
                    <w:bottom w:val="none" w:sz="0" w:space="0" w:color="auto"/>
                    <w:right w:val="none" w:sz="0" w:space="0" w:color="auto"/>
                  </w:divBdr>
                  <w:divsChild>
                    <w:div w:id="90392060">
                      <w:marLeft w:val="0"/>
                      <w:marRight w:val="0"/>
                      <w:marTop w:val="0"/>
                      <w:marBottom w:val="0"/>
                      <w:divBdr>
                        <w:top w:val="none" w:sz="0" w:space="0" w:color="auto"/>
                        <w:left w:val="none" w:sz="0" w:space="0" w:color="auto"/>
                        <w:bottom w:val="none" w:sz="0" w:space="0" w:color="auto"/>
                        <w:right w:val="none" w:sz="0" w:space="0" w:color="auto"/>
                      </w:divBdr>
                    </w:div>
                  </w:divsChild>
                </w:div>
                <w:div w:id="1727296723">
                  <w:marLeft w:val="0"/>
                  <w:marRight w:val="0"/>
                  <w:marTop w:val="0"/>
                  <w:marBottom w:val="0"/>
                  <w:divBdr>
                    <w:top w:val="none" w:sz="0" w:space="0" w:color="auto"/>
                    <w:left w:val="none" w:sz="0" w:space="0" w:color="auto"/>
                    <w:bottom w:val="none" w:sz="0" w:space="0" w:color="auto"/>
                    <w:right w:val="none" w:sz="0" w:space="0" w:color="auto"/>
                  </w:divBdr>
                  <w:divsChild>
                    <w:div w:id="796491287">
                      <w:marLeft w:val="0"/>
                      <w:marRight w:val="0"/>
                      <w:marTop w:val="0"/>
                      <w:marBottom w:val="0"/>
                      <w:divBdr>
                        <w:top w:val="none" w:sz="0" w:space="0" w:color="auto"/>
                        <w:left w:val="none" w:sz="0" w:space="0" w:color="auto"/>
                        <w:bottom w:val="none" w:sz="0" w:space="0" w:color="auto"/>
                        <w:right w:val="none" w:sz="0" w:space="0" w:color="auto"/>
                      </w:divBdr>
                    </w:div>
                  </w:divsChild>
                </w:div>
                <w:div w:id="1743719347">
                  <w:marLeft w:val="0"/>
                  <w:marRight w:val="0"/>
                  <w:marTop w:val="0"/>
                  <w:marBottom w:val="0"/>
                  <w:divBdr>
                    <w:top w:val="none" w:sz="0" w:space="0" w:color="auto"/>
                    <w:left w:val="none" w:sz="0" w:space="0" w:color="auto"/>
                    <w:bottom w:val="none" w:sz="0" w:space="0" w:color="auto"/>
                    <w:right w:val="none" w:sz="0" w:space="0" w:color="auto"/>
                  </w:divBdr>
                  <w:divsChild>
                    <w:div w:id="235554717">
                      <w:marLeft w:val="0"/>
                      <w:marRight w:val="0"/>
                      <w:marTop w:val="0"/>
                      <w:marBottom w:val="0"/>
                      <w:divBdr>
                        <w:top w:val="none" w:sz="0" w:space="0" w:color="auto"/>
                        <w:left w:val="none" w:sz="0" w:space="0" w:color="auto"/>
                        <w:bottom w:val="none" w:sz="0" w:space="0" w:color="auto"/>
                        <w:right w:val="none" w:sz="0" w:space="0" w:color="auto"/>
                      </w:divBdr>
                    </w:div>
                  </w:divsChild>
                </w:div>
                <w:div w:id="1755278247">
                  <w:marLeft w:val="0"/>
                  <w:marRight w:val="0"/>
                  <w:marTop w:val="0"/>
                  <w:marBottom w:val="0"/>
                  <w:divBdr>
                    <w:top w:val="none" w:sz="0" w:space="0" w:color="auto"/>
                    <w:left w:val="none" w:sz="0" w:space="0" w:color="auto"/>
                    <w:bottom w:val="none" w:sz="0" w:space="0" w:color="auto"/>
                    <w:right w:val="none" w:sz="0" w:space="0" w:color="auto"/>
                  </w:divBdr>
                  <w:divsChild>
                    <w:div w:id="408502693">
                      <w:marLeft w:val="0"/>
                      <w:marRight w:val="0"/>
                      <w:marTop w:val="0"/>
                      <w:marBottom w:val="0"/>
                      <w:divBdr>
                        <w:top w:val="none" w:sz="0" w:space="0" w:color="auto"/>
                        <w:left w:val="none" w:sz="0" w:space="0" w:color="auto"/>
                        <w:bottom w:val="none" w:sz="0" w:space="0" w:color="auto"/>
                        <w:right w:val="none" w:sz="0" w:space="0" w:color="auto"/>
                      </w:divBdr>
                    </w:div>
                  </w:divsChild>
                </w:div>
                <w:div w:id="1762407045">
                  <w:marLeft w:val="0"/>
                  <w:marRight w:val="0"/>
                  <w:marTop w:val="0"/>
                  <w:marBottom w:val="0"/>
                  <w:divBdr>
                    <w:top w:val="none" w:sz="0" w:space="0" w:color="auto"/>
                    <w:left w:val="none" w:sz="0" w:space="0" w:color="auto"/>
                    <w:bottom w:val="none" w:sz="0" w:space="0" w:color="auto"/>
                    <w:right w:val="none" w:sz="0" w:space="0" w:color="auto"/>
                  </w:divBdr>
                  <w:divsChild>
                    <w:div w:id="982807076">
                      <w:marLeft w:val="0"/>
                      <w:marRight w:val="0"/>
                      <w:marTop w:val="0"/>
                      <w:marBottom w:val="0"/>
                      <w:divBdr>
                        <w:top w:val="none" w:sz="0" w:space="0" w:color="auto"/>
                        <w:left w:val="none" w:sz="0" w:space="0" w:color="auto"/>
                        <w:bottom w:val="none" w:sz="0" w:space="0" w:color="auto"/>
                        <w:right w:val="none" w:sz="0" w:space="0" w:color="auto"/>
                      </w:divBdr>
                    </w:div>
                  </w:divsChild>
                </w:div>
                <w:div w:id="1764959721">
                  <w:marLeft w:val="0"/>
                  <w:marRight w:val="0"/>
                  <w:marTop w:val="0"/>
                  <w:marBottom w:val="0"/>
                  <w:divBdr>
                    <w:top w:val="none" w:sz="0" w:space="0" w:color="auto"/>
                    <w:left w:val="none" w:sz="0" w:space="0" w:color="auto"/>
                    <w:bottom w:val="none" w:sz="0" w:space="0" w:color="auto"/>
                    <w:right w:val="none" w:sz="0" w:space="0" w:color="auto"/>
                  </w:divBdr>
                  <w:divsChild>
                    <w:div w:id="1940215260">
                      <w:marLeft w:val="0"/>
                      <w:marRight w:val="0"/>
                      <w:marTop w:val="0"/>
                      <w:marBottom w:val="0"/>
                      <w:divBdr>
                        <w:top w:val="none" w:sz="0" w:space="0" w:color="auto"/>
                        <w:left w:val="none" w:sz="0" w:space="0" w:color="auto"/>
                        <w:bottom w:val="none" w:sz="0" w:space="0" w:color="auto"/>
                        <w:right w:val="none" w:sz="0" w:space="0" w:color="auto"/>
                      </w:divBdr>
                    </w:div>
                  </w:divsChild>
                </w:div>
                <w:div w:id="1766532751">
                  <w:marLeft w:val="0"/>
                  <w:marRight w:val="0"/>
                  <w:marTop w:val="0"/>
                  <w:marBottom w:val="0"/>
                  <w:divBdr>
                    <w:top w:val="none" w:sz="0" w:space="0" w:color="auto"/>
                    <w:left w:val="none" w:sz="0" w:space="0" w:color="auto"/>
                    <w:bottom w:val="none" w:sz="0" w:space="0" w:color="auto"/>
                    <w:right w:val="none" w:sz="0" w:space="0" w:color="auto"/>
                  </w:divBdr>
                  <w:divsChild>
                    <w:div w:id="2030787339">
                      <w:marLeft w:val="0"/>
                      <w:marRight w:val="0"/>
                      <w:marTop w:val="0"/>
                      <w:marBottom w:val="0"/>
                      <w:divBdr>
                        <w:top w:val="none" w:sz="0" w:space="0" w:color="auto"/>
                        <w:left w:val="none" w:sz="0" w:space="0" w:color="auto"/>
                        <w:bottom w:val="none" w:sz="0" w:space="0" w:color="auto"/>
                        <w:right w:val="none" w:sz="0" w:space="0" w:color="auto"/>
                      </w:divBdr>
                    </w:div>
                  </w:divsChild>
                </w:div>
                <w:div w:id="1767116971">
                  <w:marLeft w:val="0"/>
                  <w:marRight w:val="0"/>
                  <w:marTop w:val="0"/>
                  <w:marBottom w:val="0"/>
                  <w:divBdr>
                    <w:top w:val="none" w:sz="0" w:space="0" w:color="auto"/>
                    <w:left w:val="none" w:sz="0" w:space="0" w:color="auto"/>
                    <w:bottom w:val="none" w:sz="0" w:space="0" w:color="auto"/>
                    <w:right w:val="none" w:sz="0" w:space="0" w:color="auto"/>
                  </w:divBdr>
                  <w:divsChild>
                    <w:div w:id="935290987">
                      <w:marLeft w:val="0"/>
                      <w:marRight w:val="0"/>
                      <w:marTop w:val="0"/>
                      <w:marBottom w:val="0"/>
                      <w:divBdr>
                        <w:top w:val="none" w:sz="0" w:space="0" w:color="auto"/>
                        <w:left w:val="none" w:sz="0" w:space="0" w:color="auto"/>
                        <w:bottom w:val="none" w:sz="0" w:space="0" w:color="auto"/>
                        <w:right w:val="none" w:sz="0" w:space="0" w:color="auto"/>
                      </w:divBdr>
                    </w:div>
                  </w:divsChild>
                </w:div>
                <w:div w:id="1774588035">
                  <w:marLeft w:val="0"/>
                  <w:marRight w:val="0"/>
                  <w:marTop w:val="0"/>
                  <w:marBottom w:val="0"/>
                  <w:divBdr>
                    <w:top w:val="none" w:sz="0" w:space="0" w:color="auto"/>
                    <w:left w:val="none" w:sz="0" w:space="0" w:color="auto"/>
                    <w:bottom w:val="none" w:sz="0" w:space="0" w:color="auto"/>
                    <w:right w:val="none" w:sz="0" w:space="0" w:color="auto"/>
                  </w:divBdr>
                  <w:divsChild>
                    <w:div w:id="911233089">
                      <w:marLeft w:val="0"/>
                      <w:marRight w:val="0"/>
                      <w:marTop w:val="0"/>
                      <w:marBottom w:val="0"/>
                      <w:divBdr>
                        <w:top w:val="none" w:sz="0" w:space="0" w:color="auto"/>
                        <w:left w:val="none" w:sz="0" w:space="0" w:color="auto"/>
                        <w:bottom w:val="none" w:sz="0" w:space="0" w:color="auto"/>
                        <w:right w:val="none" w:sz="0" w:space="0" w:color="auto"/>
                      </w:divBdr>
                    </w:div>
                  </w:divsChild>
                </w:div>
                <w:div w:id="1802458189">
                  <w:marLeft w:val="0"/>
                  <w:marRight w:val="0"/>
                  <w:marTop w:val="0"/>
                  <w:marBottom w:val="0"/>
                  <w:divBdr>
                    <w:top w:val="none" w:sz="0" w:space="0" w:color="auto"/>
                    <w:left w:val="none" w:sz="0" w:space="0" w:color="auto"/>
                    <w:bottom w:val="none" w:sz="0" w:space="0" w:color="auto"/>
                    <w:right w:val="none" w:sz="0" w:space="0" w:color="auto"/>
                  </w:divBdr>
                  <w:divsChild>
                    <w:div w:id="319043437">
                      <w:marLeft w:val="0"/>
                      <w:marRight w:val="0"/>
                      <w:marTop w:val="0"/>
                      <w:marBottom w:val="0"/>
                      <w:divBdr>
                        <w:top w:val="none" w:sz="0" w:space="0" w:color="auto"/>
                        <w:left w:val="none" w:sz="0" w:space="0" w:color="auto"/>
                        <w:bottom w:val="none" w:sz="0" w:space="0" w:color="auto"/>
                        <w:right w:val="none" w:sz="0" w:space="0" w:color="auto"/>
                      </w:divBdr>
                    </w:div>
                  </w:divsChild>
                </w:div>
                <w:div w:id="1808665254">
                  <w:marLeft w:val="0"/>
                  <w:marRight w:val="0"/>
                  <w:marTop w:val="0"/>
                  <w:marBottom w:val="0"/>
                  <w:divBdr>
                    <w:top w:val="none" w:sz="0" w:space="0" w:color="auto"/>
                    <w:left w:val="none" w:sz="0" w:space="0" w:color="auto"/>
                    <w:bottom w:val="none" w:sz="0" w:space="0" w:color="auto"/>
                    <w:right w:val="none" w:sz="0" w:space="0" w:color="auto"/>
                  </w:divBdr>
                  <w:divsChild>
                    <w:div w:id="1559708112">
                      <w:marLeft w:val="0"/>
                      <w:marRight w:val="0"/>
                      <w:marTop w:val="0"/>
                      <w:marBottom w:val="0"/>
                      <w:divBdr>
                        <w:top w:val="none" w:sz="0" w:space="0" w:color="auto"/>
                        <w:left w:val="none" w:sz="0" w:space="0" w:color="auto"/>
                        <w:bottom w:val="none" w:sz="0" w:space="0" w:color="auto"/>
                        <w:right w:val="none" w:sz="0" w:space="0" w:color="auto"/>
                      </w:divBdr>
                    </w:div>
                  </w:divsChild>
                </w:div>
                <w:div w:id="1812408834">
                  <w:marLeft w:val="0"/>
                  <w:marRight w:val="0"/>
                  <w:marTop w:val="0"/>
                  <w:marBottom w:val="0"/>
                  <w:divBdr>
                    <w:top w:val="none" w:sz="0" w:space="0" w:color="auto"/>
                    <w:left w:val="none" w:sz="0" w:space="0" w:color="auto"/>
                    <w:bottom w:val="none" w:sz="0" w:space="0" w:color="auto"/>
                    <w:right w:val="none" w:sz="0" w:space="0" w:color="auto"/>
                  </w:divBdr>
                  <w:divsChild>
                    <w:div w:id="1528332113">
                      <w:marLeft w:val="0"/>
                      <w:marRight w:val="0"/>
                      <w:marTop w:val="0"/>
                      <w:marBottom w:val="0"/>
                      <w:divBdr>
                        <w:top w:val="none" w:sz="0" w:space="0" w:color="auto"/>
                        <w:left w:val="none" w:sz="0" w:space="0" w:color="auto"/>
                        <w:bottom w:val="none" w:sz="0" w:space="0" w:color="auto"/>
                        <w:right w:val="none" w:sz="0" w:space="0" w:color="auto"/>
                      </w:divBdr>
                    </w:div>
                  </w:divsChild>
                </w:div>
                <w:div w:id="1816527111">
                  <w:marLeft w:val="0"/>
                  <w:marRight w:val="0"/>
                  <w:marTop w:val="0"/>
                  <w:marBottom w:val="0"/>
                  <w:divBdr>
                    <w:top w:val="none" w:sz="0" w:space="0" w:color="auto"/>
                    <w:left w:val="none" w:sz="0" w:space="0" w:color="auto"/>
                    <w:bottom w:val="none" w:sz="0" w:space="0" w:color="auto"/>
                    <w:right w:val="none" w:sz="0" w:space="0" w:color="auto"/>
                  </w:divBdr>
                  <w:divsChild>
                    <w:div w:id="78794630">
                      <w:marLeft w:val="0"/>
                      <w:marRight w:val="0"/>
                      <w:marTop w:val="0"/>
                      <w:marBottom w:val="0"/>
                      <w:divBdr>
                        <w:top w:val="none" w:sz="0" w:space="0" w:color="auto"/>
                        <w:left w:val="none" w:sz="0" w:space="0" w:color="auto"/>
                        <w:bottom w:val="none" w:sz="0" w:space="0" w:color="auto"/>
                        <w:right w:val="none" w:sz="0" w:space="0" w:color="auto"/>
                      </w:divBdr>
                    </w:div>
                  </w:divsChild>
                </w:div>
                <w:div w:id="1820925153">
                  <w:marLeft w:val="0"/>
                  <w:marRight w:val="0"/>
                  <w:marTop w:val="0"/>
                  <w:marBottom w:val="0"/>
                  <w:divBdr>
                    <w:top w:val="none" w:sz="0" w:space="0" w:color="auto"/>
                    <w:left w:val="none" w:sz="0" w:space="0" w:color="auto"/>
                    <w:bottom w:val="none" w:sz="0" w:space="0" w:color="auto"/>
                    <w:right w:val="none" w:sz="0" w:space="0" w:color="auto"/>
                  </w:divBdr>
                  <w:divsChild>
                    <w:div w:id="1460756333">
                      <w:marLeft w:val="0"/>
                      <w:marRight w:val="0"/>
                      <w:marTop w:val="0"/>
                      <w:marBottom w:val="0"/>
                      <w:divBdr>
                        <w:top w:val="none" w:sz="0" w:space="0" w:color="auto"/>
                        <w:left w:val="none" w:sz="0" w:space="0" w:color="auto"/>
                        <w:bottom w:val="none" w:sz="0" w:space="0" w:color="auto"/>
                        <w:right w:val="none" w:sz="0" w:space="0" w:color="auto"/>
                      </w:divBdr>
                    </w:div>
                  </w:divsChild>
                </w:div>
                <w:div w:id="1829319968">
                  <w:marLeft w:val="0"/>
                  <w:marRight w:val="0"/>
                  <w:marTop w:val="0"/>
                  <w:marBottom w:val="0"/>
                  <w:divBdr>
                    <w:top w:val="none" w:sz="0" w:space="0" w:color="auto"/>
                    <w:left w:val="none" w:sz="0" w:space="0" w:color="auto"/>
                    <w:bottom w:val="none" w:sz="0" w:space="0" w:color="auto"/>
                    <w:right w:val="none" w:sz="0" w:space="0" w:color="auto"/>
                  </w:divBdr>
                  <w:divsChild>
                    <w:div w:id="467940732">
                      <w:marLeft w:val="0"/>
                      <w:marRight w:val="0"/>
                      <w:marTop w:val="0"/>
                      <w:marBottom w:val="0"/>
                      <w:divBdr>
                        <w:top w:val="none" w:sz="0" w:space="0" w:color="auto"/>
                        <w:left w:val="none" w:sz="0" w:space="0" w:color="auto"/>
                        <w:bottom w:val="none" w:sz="0" w:space="0" w:color="auto"/>
                        <w:right w:val="none" w:sz="0" w:space="0" w:color="auto"/>
                      </w:divBdr>
                    </w:div>
                  </w:divsChild>
                </w:div>
                <w:div w:id="1850634185">
                  <w:marLeft w:val="0"/>
                  <w:marRight w:val="0"/>
                  <w:marTop w:val="0"/>
                  <w:marBottom w:val="0"/>
                  <w:divBdr>
                    <w:top w:val="none" w:sz="0" w:space="0" w:color="auto"/>
                    <w:left w:val="none" w:sz="0" w:space="0" w:color="auto"/>
                    <w:bottom w:val="none" w:sz="0" w:space="0" w:color="auto"/>
                    <w:right w:val="none" w:sz="0" w:space="0" w:color="auto"/>
                  </w:divBdr>
                  <w:divsChild>
                    <w:div w:id="2005090191">
                      <w:marLeft w:val="0"/>
                      <w:marRight w:val="0"/>
                      <w:marTop w:val="0"/>
                      <w:marBottom w:val="0"/>
                      <w:divBdr>
                        <w:top w:val="none" w:sz="0" w:space="0" w:color="auto"/>
                        <w:left w:val="none" w:sz="0" w:space="0" w:color="auto"/>
                        <w:bottom w:val="none" w:sz="0" w:space="0" w:color="auto"/>
                        <w:right w:val="none" w:sz="0" w:space="0" w:color="auto"/>
                      </w:divBdr>
                    </w:div>
                  </w:divsChild>
                </w:div>
                <w:div w:id="1891569035">
                  <w:marLeft w:val="0"/>
                  <w:marRight w:val="0"/>
                  <w:marTop w:val="0"/>
                  <w:marBottom w:val="0"/>
                  <w:divBdr>
                    <w:top w:val="none" w:sz="0" w:space="0" w:color="auto"/>
                    <w:left w:val="none" w:sz="0" w:space="0" w:color="auto"/>
                    <w:bottom w:val="none" w:sz="0" w:space="0" w:color="auto"/>
                    <w:right w:val="none" w:sz="0" w:space="0" w:color="auto"/>
                  </w:divBdr>
                  <w:divsChild>
                    <w:div w:id="1431659443">
                      <w:marLeft w:val="0"/>
                      <w:marRight w:val="0"/>
                      <w:marTop w:val="0"/>
                      <w:marBottom w:val="0"/>
                      <w:divBdr>
                        <w:top w:val="none" w:sz="0" w:space="0" w:color="auto"/>
                        <w:left w:val="none" w:sz="0" w:space="0" w:color="auto"/>
                        <w:bottom w:val="none" w:sz="0" w:space="0" w:color="auto"/>
                        <w:right w:val="none" w:sz="0" w:space="0" w:color="auto"/>
                      </w:divBdr>
                    </w:div>
                  </w:divsChild>
                </w:div>
                <w:div w:id="1900285789">
                  <w:marLeft w:val="0"/>
                  <w:marRight w:val="0"/>
                  <w:marTop w:val="0"/>
                  <w:marBottom w:val="0"/>
                  <w:divBdr>
                    <w:top w:val="none" w:sz="0" w:space="0" w:color="auto"/>
                    <w:left w:val="none" w:sz="0" w:space="0" w:color="auto"/>
                    <w:bottom w:val="none" w:sz="0" w:space="0" w:color="auto"/>
                    <w:right w:val="none" w:sz="0" w:space="0" w:color="auto"/>
                  </w:divBdr>
                  <w:divsChild>
                    <w:div w:id="1477605347">
                      <w:marLeft w:val="0"/>
                      <w:marRight w:val="0"/>
                      <w:marTop w:val="0"/>
                      <w:marBottom w:val="0"/>
                      <w:divBdr>
                        <w:top w:val="none" w:sz="0" w:space="0" w:color="auto"/>
                        <w:left w:val="none" w:sz="0" w:space="0" w:color="auto"/>
                        <w:bottom w:val="none" w:sz="0" w:space="0" w:color="auto"/>
                        <w:right w:val="none" w:sz="0" w:space="0" w:color="auto"/>
                      </w:divBdr>
                    </w:div>
                  </w:divsChild>
                </w:div>
                <w:div w:id="1906064952">
                  <w:marLeft w:val="0"/>
                  <w:marRight w:val="0"/>
                  <w:marTop w:val="0"/>
                  <w:marBottom w:val="0"/>
                  <w:divBdr>
                    <w:top w:val="none" w:sz="0" w:space="0" w:color="auto"/>
                    <w:left w:val="none" w:sz="0" w:space="0" w:color="auto"/>
                    <w:bottom w:val="none" w:sz="0" w:space="0" w:color="auto"/>
                    <w:right w:val="none" w:sz="0" w:space="0" w:color="auto"/>
                  </w:divBdr>
                  <w:divsChild>
                    <w:div w:id="595594834">
                      <w:marLeft w:val="0"/>
                      <w:marRight w:val="0"/>
                      <w:marTop w:val="0"/>
                      <w:marBottom w:val="0"/>
                      <w:divBdr>
                        <w:top w:val="none" w:sz="0" w:space="0" w:color="auto"/>
                        <w:left w:val="none" w:sz="0" w:space="0" w:color="auto"/>
                        <w:bottom w:val="none" w:sz="0" w:space="0" w:color="auto"/>
                        <w:right w:val="none" w:sz="0" w:space="0" w:color="auto"/>
                      </w:divBdr>
                    </w:div>
                  </w:divsChild>
                </w:div>
                <w:div w:id="1913734125">
                  <w:marLeft w:val="0"/>
                  <w:marRight w:val="0"/>
                  <w:marTop w:val="0"/>
                  <w:marBottom w:val="0"/>
                  <w:divBdr>
                    <w:top w:val="none" w:sz="0" w:space="0" w:color="auto"/>
                    <w:left w:val="none" w:sz="0" w:space="0" w:color="auto"/>
                    <w:bottom w:val="none" w:sz="0" w:space="0" w:color="auto"/>
                    <w:right w:val="none" w:sz="0" w:space="0" w:color="auto"/>
                  </w:divBdr>
                  <w:divsChild>
                    <w:div w:id="1792237661">
                      <w:marLeft w:val="0"/>
                      <w:marRight w:val="0"/>
                      <w:marTop w:val="0"/>
                      <w:marBottom w:val="0"/>
                      <w:divBdr>
                        <w:top w:val="none" w:sz="0" w:space="0" w:color="auto"/>
                        <w:left w:val="none" w:sz="0" w:space="0" w:color="auto"/>
                        <w:bottom w:val="none" w:sz="0" w:space="0" w:color="auto"/>
                        <w:right w:val="none" w:sz="0" w:space="0" w:color="auto"/>
                      </w:divBdr>
                    </w:div>
                  </w:divsChild>
                </w:div>
                <w:div w:id="1933321065">
                  <w:marLeft w:val="0"/>
                  <w:marRight w:val="0"/>
                  <w:marTop w:val="0"/>
                  <w:marBottom w:val="0"/>
                  <w:divBdr>
                    <w:top w:val="none" w:sz="0" w:space="0" w:color="auto"/>
                    <w:left w:val="none" w:sz="0" w:space="0" w:color="auto"/>
                    <w:bottom w:val="none" w:sz="0" w:space="0" w:color="auto"/>
                    <w:right w:val="none" w:sz="0" w:space="0" w:color="auto"/>
                  </w:divBdr>
                  <w:divsChild>
                    <w:div w:id="183255591">
                      <w:marLeft w:val="0"/>
                      <w:marRight w:val="0"/>
                      <w:marTop w:val="0"/>
                      <w:marBottom w:val="0"/>
                      <w:divBdr>
                        <w:top w:val="none" w:sz="0" w:space="0" w:color="auto"/>
                        <w:left w:val="none" w:sz="0" w:space="0" w:color="auto"/>
                        <w:bottom w:val="none" w:sz="0" w:space="0" w:color="auto"/>
                        <w:right w:val="none" w:sz="0" w:space="0" w:color="auto"/>
                      </w:divBdr>
                    </w:div>
                  </w:divsChild>
                </w:div>
                <w:div w:id="1933666073">
                  <w:marLeft w:val="0"/>
                  <w:marRight w:val="0"/>
                  <w:marTop w:val="0"/>
                  <w:marBottom w:val="0"/>
                  <w:divBdr>
                    <w:top w:val="none" w:sz="0" w:space="0" w:color="auto"/>
                    <w:left w:val="none" w:sz="0" w:space="0" w:color="auto"/>
                    <w:bottom w:val="none" w:sz="0" w:space="0" w:color="auto"/>
                    <w:right w:val="none" w:sz="0" w:space="0" w:color="auto"/>
                  </w:divBdr>
                  <w:divsChild>
                    <w:div w:id="1788429513">
                      <w:marLeft w:val="0"/>
                      <w:marRight w:val="0"/>
                      <w:marTop w:val="0"/>
                      <w:marBottom w:val="0"/>
                      <w:divBdr>
                        <w:top w:val="none" w:sz="0" w:space="0" w:color="auto"/>
                        <w:left w:val="none" w:sz="0" w:space="0" w:color="auto"/>
                        <w:bottom w:val="none" w:sz="0" w:space="0" w:color="auto"/>
                        <w:right w:val="none" w:sz="0" w:space="0" w:color="auto"/>
                      </w:divBdr>
                    </w:div>
                  </w:divsChild>
                </w:div>
                <w:div w:id="1936785702">
                  <w:marLeft w:val="0"/>
                  <w:marRight w:val="0"/>
                  <w:marTop w:val="0"/>
                  <w:marBottom w:val="0"/>
                  <w:divBdr>
                    <w:top w:val="none" w:sz="0" w:space="0" w:color="auto"/>
                    <w:left w:val="none" w:sz="0" w:space="0" w:color="auto"/>
                    <w:bottom w:val="none" w:sz="0" w:space="0" w:color="auto"/>
                    <w:right w:val="none" w:sz="0" w:space="0" w:color="auto"/>
                  </w:divBdr>
                  <w:divsChild>
                    <w:div w:id="27068923">
                      <w:marLeft w:val="0"/>
                      <w:marRight w:val="0"/>
                      <w:marTop w:val="0"/>
                      <w:marBottom w:val="0"/>
                      <w:divBdr>
                        <w:top w:val="none" w:sz="0" w:space="0" w:color="auto"/>
                        <w:left w:val="none" w:sz="0" w:space="0" w:color="auto"/>
                        <w:bottom w:val="none" w:sz="0" w:space="0" w:color="auto"/>
                        <w:right w:val="none" w:sz="0" w:space="0" w:color="auto"/>
                      </w:divBdr>
                    </w:div>
                  </w:divsChild>
                </w:div>
                <w:div w:id="1941180604">
                  <w:marLeft w:val="0"/>
                  <w:marRight w:val="0"/>
                  <w:marTop w:val="0"/>
                  <w:marBottom w:val="0"/>
                  <w:divBdr>
                    <w:top w:val="none" w:sz="0" w:space="0" w:color="auto"/>
                    <w:left w:val="none" w:sz="0" w:space="0" w:color="auto"/>
                    <w:bottom w:val="none" w:sz="0" w:space="0" w:color="auto"/>
                    <w:right w:val="none" w:sz="0" w:space="0" w:color="auto"/>
                  </w:divBdr>
                  <w:divsChild>
                    <w:div w:id="375158331">
                      <w:marLeft w:val="0"/>
                      <w:marRight w:val="0"/>
                      <w:marTop w:val="0"/>
                      <w:marBottom w:val="0"/>
                      <w:divBdr>
                        <w:top w:val="none" w:sz="0" w:space="0" w:color="auto"/>
                        <w:left w:val="none" w:sz="0" w:space="0" w:color="auto"/>
                        <w:bottom w:val="none" w:sz="0" w:space="0" w:color="auto"/>
                        <w:right w:val="none" w:sz="0" w:space="0" w:color="auto"/>
                      </w:divBdr>
                    </w:div>
                  </w:divsChild>
                </w:div>
                <w:div w:id="1941641149">
                  <w:marLeft w:val="0"/>
                  <w:marRight w:val="0"/>
                  <w:marTop w:val="0"/>
                  <w:marBottom w:val="0"/>
                  <w:divBdr>
                    <w:top w:val="none" w:sz="0" w:space="0" w:color="auto"/>
                    <w:left w:val="none" w:sz="0" w:space="0" w:color="auto"/>
                    <w:bottom w:val="none" w:sz="0" w:space="0" w:color="auto"/>
                    <w:right w:val="none" w:sz="0" w:space="0" w:color="auto"/>
                  </w:divBdr>
                  <w:divsChild>
                    <w:div w:id="713500007">
                      <w:marLeft w:val="0"/>
                      <w:marRight w:val="0"/>
                      <w:marTop w:val="0"/>
                      <w:marBottom w:val="0"/>
                      <w:divBdr>
                        <w:top w:val="none" w:sz="0" w:space="0" w:color="auto"/>
                        <w:left w:val="none" w:sz="0" w:space="0" w:color="auto"/>
                        <w:bottom w:val="none" w:sz="0" w:space="0" w:color="auto"/>
                        <w:right w:val="none" w:sz="0" w:space="0" w:color="auto"/>
                      </w:divBdr>
                    </w:div>
                  </w:divsChild>
                </w:div>
                <w:div w:id="1954481492">
                  <w:marLeft w:val="0"/>
                  <w:marRight w:val="0"/>
                  <w:marTop w:val="0"/>
                  <w:marBottom w:val="0"/>
                  <w:divBdr>
                    <w:top w:val="none" w:sz="0" w:space="0" w:color="auto"/>
                    <w:left w:val="none" w:sz="0" w:space="0" w:color="auto"/>
                    <w:bottom w:val="none" w:sz="0" w:space="0" w:color="auto"/>
                    <w:right w:val="none" w:sz="0" w:space="0" w:color="auto"/>
                  </w:divBdr>
                  <w:divsChild>
                    <w:div w:id="780687766">
                      <w:marLeft w:val="0"/>
                      <w:marRight w:val="0"/>
                      <w:marTop w:val="0"/>
                      <w:marBottom w:val="0"/>
                      <w:divBdr>
                        <w:top w:val="none" w:sz="0" w:space="0" w:color="auto"/>
                        <w:left w:val="none" w:sz="0" w:space="0" w:color="auto"/>
                        <w:bottom w:val="none" w:sz="0" w:space="0" w:color="auto"/>
                        <w:right w:val="none" w:sz="0" w:space="0" w:color="auto"/>
                      </w:divBdr>
                    </w:div>
                  </w:divsChild>
                </w:div>
                <w:div w:id="1979071033">
                  <w:marLeft w:val="0"/>
                  <w:marRight w:val="0"/>
                  <w:marTop w:val="0"/>
                  <w:marBottom w:val="0"/>
                  <w:divBdr>
                    <w:top w:val="none" w:sz="0" w:space="0" w:color="auto"/>
                    <w:left w:val="none" w:sz="0" w:space="0" w:color="auto"/>
                    <w:bottom w:val="none" w:sz="0" w:space="0" w:color="auto"/>
                    <w:right w:val="none" w:sz="0" w:space="0" w:color="auto"/>
                  </w:divBdr>
                  <w:divsChild>
                    <w:div w:id="1345595087">
                      <w:marLeft w:val="0"/>
                      <w:marRight w:val="0"/>
                      <w:marTop w:val="0"/>
                      <w:marBottom w:val="0"/>
                      <w:divBdr>
                        <w:top w:val="none" w:sz="0" w:space="0" w:color="auto"/>
                        <w:left w:val="none" w:sz="0" w:space="0" w:color="auto"/>
                        <w:bottom w:val="none" w:sz="0" w:space="0" w:color="auto"/>
                        <w:right w:val="none" w:sz="0" w:space="0" w:color="auto"/>
                      </w:divBdr>
                    </w:div>
                  </w:divsChild>
                </w:div>
                <w:div w:id="1984388244">
                  <w:marLeft w:val="0"/>
                  <w:marRight w:val="0"/>
                  <w:marTop w:val="0"/>
                  <w:marBottom w:val="0"/>
                  <w:divBdr>
                    <w:top w:val="none" w:sz="0" w:space="0" w:color="auto"/>
                    <w:left w:val="none" w:sz="0" w:space="0" w:color="auto"/>
                    <w:bottom w:val="none" w:sz="0" w:space="0" w:color="auto"/>
                    <w:right w:val="none" w:sz="0" w:space="0" w:color="auto"/>
                  </w:divBdr>
                  <w:divsChild>
                    <w:div w:id="180169734">
                      <w:marLeft w:val="0"/>
                      <w:marRight w:val="0"/>
                      <w:marTop w:val="0"/>
                      <w:marBottom w:val="0"/>
                      <w:divBdr>
                        <w:top w:val="none" w:sz="0" w:space="0" w:color="auto"/>
                        <w:left w:val="none" w:sz="0" w:space="0" w:color="auto"/>
                        <w:bottom w:val="none" w:sz="0" w:space="0" w:color="auto"/>
                        <w:right w:val="none" w:sz="0" w:space="0" w:color="auto"/>
                      </w:divBdr>
                    </w:div>
                  </w:divsChild>
                </w:div>
                <w:div w:id="1985348391">
                  <w:marLeft w:val="0"/>
                  <w:marRight w:val="0"/>
                  <w:marTop w:val="0"/>
                  <w:marBottom w:val="0"/>
                  <w:divBdr>
                    <w:top w:val="none" w:sz="0" w:space="0" w:color="auto"/>
                    <w:left w:val="none" w:sz="0" w:space="0" w:color="auto"/>
                    <w:bottom w:val="none" w:sz="0" w:space="0" w:color="auto"/>
                    <w:right w:val="none" w:sz="0" w:space="0" w:color="auto"/>
                  </w:divBdr>
                  <w:divsChild>
                    <w:div w:id="858399172">
                      <w:marLeft w:val="0"/>
                      <w:marRight w:val="0"/>
                      <w:marTop w:val="0"/>
                      <w:marBottom w:val="0"/>
                      <w:divBdr>
                        <w:top w:val="none" w:sz="0" w:space="0" w:color="auto"/>
                        <w:left w:val="none" w:sz="0" w:space="0" w:color="auto"/>
                        <w:bottom w:val="none" w:sz="0" w:space="0" w:color="auto"/>
                        <w:right w:val="none" w:sz="0" w:space="0" w:color="auto"/>
                      </w:divBdr>
                    </w:div>
                  </w:divsChild>
                </w:div>
                <w:div w:id="1991980822">
                  <w:marLeft w:val="0"/>
                  <w:marRight w:val="0"/>
                  <w:marTop w:val="0"/>
                  <w:marBottom w:val="0"/>
                  <w:divBdr>
                    <w:top w:val="none" w:sz="0" w:space="0" w:color="auto"/>
                    <w:left w:val="none" w:sz="0" w:space="0" w:color="auto"/>
                    <w:bottom w:val="none" w:sz="0" w:space="0" w:color="auto"/>
                    <w:right w:val="none" w:sz="0" w:space="0" w:color="auto"/>
                  </w:divBdr>
                  <w:divsChild>
                    <w:div w:id="2097822917">
                      <w:marLeft w:val="0"/>
                      <w:marRight w:val="0"/>
                      <w:marTop w:val="0"/>
                      <w:marBottom w:val="0"/>
                      <w:divBdr>
                        <w:top w:val="none" w:sz="0" w:space="0" w:color="auto"/>
                        <w:left w:val="none" w:sz="0" w:space="0" w:color="auto"/>
                        <w:bottom w:val="none" w:sz="0" w:space="0" w:color="auto"/>
                        <w:right w:val="none" w:sz="0" w:space="0" w:color="auto"/>
                      </w:divBdr>
                    </w:div>
                  </w:divsChild>
                </w:div>
                <w:div w:id="2003240454">
                  <w:marLeft w:val="0"/>
                  <w:marRight w:val="0"/>
                  <w:marTop w:val="0"/>
                  <w:marBottom w:val="0"/>
                  <w:divBdr>
                    <w:top w:val="none" w:sz="0" w:space="0" w:color="auto"/>
                    <w:left w:val="none" w:sz="0" w:space="0" w:color="auto"/>
                    <w:bottom w:val="none" w:sz="0" w:space="0" w:color="auto"/>
                    <w:right w:val="none" w:sz="0" w:space="0" w:color="auto"/>
                  </w:divBdr>
                  <w:divsChild>
                    <w:div w:id="838352073">
                      <w:marLeft w:val="0"/>
                      <w:marRight w:val="0"/>
                      <w:marTop w:val="0"/>
                      <w:marBottom w:val="0"/>
                      <w:divBdr>
                        <w:top w:val="none" w:sz="0" w:space="0" w:color="auto"/>
                        <w:left w:val="none" w:sz="0" w:space="0" w:color="auto"/>
                        <w:bottom w:val="none" w:sz="0" w:space="0" w:color="auto"/>
                        <w:right w:val="none" w:sz="0" w:space="0" w:color="auto"/>
                      </w:divBdr>
                    </w:div>
                  </w:divsChild>
                </w:div>
                <w:div w:id="2004966231">
                  <w:marLeft w:val="0"/>
                  <w:marRight w:val="0"/>
                  <w:marTop w:val="0"/>
                  <w:marBottom w:val="0"/>
                  <w:divBdr>
                    <w:top w:val="none" w:sz="0" w:space="0" w:color="auto"/>
                    <w:left w:val="none" w:sz="0" w:space="0" w:color="auto"/>
                    <w:bottom w:val="none" w:sz="0" w:space="0" w:color="auto"/>
                    <w:right w:val="none" w:sz="0" w:space="0" w:color="auto"/>
                  </w:divBdr>
                  <w:divsChild>
                    <w:div w:id="1987513998">
                      <w:marLeft w:val="0"/>
                      <w:marRight w:val="0"/>
                      <w:marTop w:val="0"/>
                      <w:marBottom w:val="0"/>
                      <w:divBdr>
                        <w:top w:val="none" w:sz="0" w:space="0" w:color="auto"/>
                        <w:left w:val="none" w:sz="0" w:space="0" w:color="auto"/>
                        <w:bottom w:val="none" w:sz="0" w:space="0" w:color="auto"/>
                        <w:right w:val="none" w:sz="0" w:space="0" w:color="auto"/>
                      </w:divBdr>
                    </w:div>
                  </w:divsChild>
                </w:div>
                <w:div w:id="2010674711">
                  <w:marLeft w:val="0"/>
                  <w:marRight w:val="0"/>
                  <w:marTop w:val="0"/>
                  <w:marBottom w:val="0"/>
                  <w:divBdr>
                    <w:top w:val="none" w:sz="0" w:space="0" w:color="auto"/>
                    <w:left w:val="none" w:sz="0" w:space="0" w:color="auto"/>
                    <w:bottom w:val="none" w:sz="0" w:space="0" w:color="auto"/>
                    <w:right w:val="none" w:sz="0" w:space="0" w:color="auto"/>
                  </w:divBdr>
                  <w:divsChild>
                    <w:div w:id="1952391627">
                      <w:marLeft w:val="0"/>
                      <w:marRight w:val="0"/>
                      <w:marTop w:val="0"/>
                      <w:marBottom w:val="0"/>
                      <w:divBdr>
                        <w:top w:val="none" w:sz="0" w:space="0" w:color="auto"/>
                        <w:left w:val="none" w:sz="0" w:space="0" w:color="auto"/>
                        <w:bottom w:val="none" w:sz="0" w:space="0" w:color="auto"/>
                        <w:right w:val="none" w:sz="0" w:space="0" w:color="auto"/>
                      </w:divBdr>
                    </w:div>
                  </w:divsChild>
                </w:div>
                <w:div w:id="2012439874">
                  <w:marLeft w:val="0"/>
                  <w:marRight w:val="0"/>
                  <w:marTop w:val="0"/>
                  <w:marBottom w:val="0"/>
                  <w:divBdr>
                    <w:top w:val="none" w:sz="0" w:space="0" w:color="auto"/>
                    <w:left w:val="none" w:sz="0" w:space="0" w:color="auto"/>
                    <w:bottom w:val="none" w:sz="0" w:space="0" w:color="auto"/>
                    <w:right w:val="none" w:sz="0" w:space="0" w:color="auto"/>
                  </w:divBdr>
                  <w:divsChild>
                    <w:div w:id="1619490414">
                      <w:marLeft w:val="0"/>
                      <w:marRight w:val="0"/>
                      <w:marTop w:val="0"/>
                      <w:marBottom w:val="0"/>
                      <w:divBdr>
                        <w:top w:val="none" w:sz="0" w:space="0" w:color="auto"/>
                        <w:left w:val="none" w:sz="0" w:space="0" w:color="auto"/>
                        <w:bottom w:val="none" w:sz="0" w:space="0" w:color="auto"/>
                        <w:right w:val="none" w:sz="0" w:space="0" w:color="auto"/>
                      </w:divBdr>
                    </w:div>
                  </w:divsChild>
                </w:div>
                <w:div w:id="2016373670">
                  <w:marLeft w:val="0"/>
                  <w:marRight w:val="0"/>
                  <w:marTop w:val="0"/>
                  <w:marBottom w:val="0"/>
                  <w:divBdr>
                    <w:top w:val="none" w:sz="0" w:space="0" w:color="auto"/>
                    <w:left w:val="none" w:sz="0" w:space="0" w:color="auto"/>
                    <w:bottom w:val="none" w:sz="0" w:space="0" w:color="auto"/>
                    <w:right w:val="none" w:sz="0" w:space="0" w:color="auto"/>
                  </w:divBdr>
                  <w:divsChild>
                    <w:div w:id="179783831">
                      <w:marLeft w:val="0"/>
                      <w:marRight w:val="0"/>
                      <w:marTop w:val="0"/>
                      <w:marBottom w:val="0"/>
                      <w:divBdr>
                        <w:top w:val="none" w:sz="0" w:space="0" w:color="auto"/>
                        <w:left w:val="none" w:sz="0" w:space="0" w:color="auto"/>
                        <w:bottom w:val="none" w:sz="0" w:space="0" w:color="auto"/>
                        <w:right w:val="none" w:sz="0" w:space="0" w:color="auto"/>
                      </w:divBdr>
                    </w:div>
                  </w:divsChild>
                </w:div>
                <w:div w:id="2017994087">
                  <w:marLeft w:val="0"/>
                  <w:marRight w:val="0"/>
                  <w:marTop w:val="0"/>
                  <w:marBottom w:val="0"/>
                  <w:divBdr>
                    <w:top w:val="none" w:sz="0" w:space="0" w:color="auto"/>
                    <w:left w:val="none" w:sz="0" w:space="0" w:color="auto"/>
                    <w:bottom w:val="none" w:sz="0" w:space="0" w:color="auto"/>
                    <w:right w:val="none" w:sz="0" w:space="0" w:color="auto"/>
                  </w:divBdr>
                  <w:divsChild>
                    <w:div w:id="2116358919">
                      <w:marLeft w:val="0"/>
                      <w:marRight w:val="0"/>
                      <w:marTop w:val="0"/>
                      <w:marBottom w:val="0"/>
                      <w:divBdr>
                        <w:top w:val="none" w:sz="0" w:space="0" w:color="auto"/>
                        <w:left w:val="none" w:sz="0" w:space="0" w:color="auto"/>
                        <w:bottom w:val="none" w:sz="0" w:space="0" w:color="auto"/>
                        <w:right w:val="none" w:sz="0" w:space="0" w:color="auto"/>
                      </w:divBdr>
                    </w:div>
                  </w:divsChild>
                </w:div>
                <w:div w:id="2026319801">
                  <w:marLeft w:val="0"/>
                  <w:marRight w:val="0"/>
                  <w:marTop w:val="0"/>
                  <w:marBottom w:val="0"/>
                  <w:divBdr>
                    <w:top w:val="none" w:sz="0" w:space="0" w:color="auto"/>
                    <w:left w:val="none" w:sz="0" w:space="0" w:color="auto"/>
                    <w:bottom w:val="none" w:sz="0" w:space="0" w:color="auto"/>
                    <w:right w:val="none" w:sz="0" w:space="0" w:color="auto"/>
                  </w:divBdr>
                  <w:divsChild>
                    <w:div w:id="53745605">
                      <w:marLeft w:val="0"/>
                      <w:marRight w:val="0"/>
                      <w:marTop w:val="0"/>
                      <w:marBottom w:val="0"/>
                      <w:divBdr>
                        <w:top w:val="none" w:sz="0" w:space="0" w:color="auto"/>
                        <w:left w:val="none" w:sz="0" w:space="0" w:color="auto"/>
                        <w:bottom w:val="none" w:sz="0" w:space="0" w:color="auto"/>
                        <w:right w:val="none" w:sz="0" w:space="0" w:color="auto"/>
                      </w:divBdr>
                    </w:div>
                  </w:divsChild>
                </w:div>
                <w:div w:id="2035383591">
                  <w:marLeft w:val="0"/>
                  <w:marRight w:val="0"/>
                  <w:marTop w:val="0"/>
                  <w:marBottom w:val="0"/>
                  <w:divBdr>
                    <w:top w:val="none" w:sz="0" w:space="0" w:color="auto"/>
                    <w:left w:val="none" w:sz="0" w:space="0" w:color="auto"/>
                    <w:bottom w:val="none" w:sz="0" w:space="0" w:color="auto"/>
                    <w:right w:val="none" w:sz="0" w:space="0" w:color="auto"/>
                  </w:divBdr>
                  <w:divsChild>
                    <w:div w:id="1636445484">
                      <w:marLeft w:val="0"/>
                      <w:marRight w:val="0"/>
                      <w:marTop w:val="0"/>
                      <w:marBottom w:val="0"/>
                      <w:divBdr>
                        <w:top w:val="none" w:sz="0" w:space="0" w:color="auto"/>
                        <w:left w:val="none" w:sz="0" w:space="0" w:color="auto"/>
                        <w:bottom w:val="none" w:sz="0" w:space="0" w:color="auto"/>
                        <w:right w:val="none" w:sz="0" w:space="0" w:color="auto"/>
                      </w:divBdr>
                    </w:div>
                  </w:divsChild>
                </w:div>
                <w:div w:id="2038581503">
                  <w:marLeft w:val="0"/>
                  <w:marRight w:val="0"/>
                  <w:marTop w:val="0"/>
                  <w:marBottom w:val="0"/>
                  <w:divBdr>
                    <w:top w:val="none" w:sz="0" w:space="0" w:color="auto"/>
                    <w:left w:val="none" w:sz="0" w:space="0" w:color="auto"/>
                    <w:bottom w:val="none" w:sz="0" w:space="0" w:color="auto"/>
                    <w:right w:val="none" w:sz="0" w:space="0" w:color="auto"/>
                  </w:divBdr>
                  <w:divsChild>
                    <w:div w:id="1137988747">
                      <w:marLeft w:val="0"/>
                      <w:marRight w:val="0"/>
                      <w:marTop w:val="0"/>
                      <w:marBottom w:val="0"/>
                      <w:divBdr>
                        <w:top w:val="none" w:sz="0" w:space="0" w:color="auto"/>
                        <w:left w:val="none" w:sz="0" w:space="0" w:color="auto"/>
                        <w:bottom w:val="none" w:sz="0" w:space="0" w:color="auto"/>
                        <w:right w:val="none" w:sz="0" w:space="0" w:color="auto"/>
                      </w:divBdr>
                    </w:div>
                  </w:divsChild>
                </w:div>
                <w:div w:id="2045717094">
                  <w:marLeft w:val="0"/>
                  <w:marRight w:val="0"/>
                  <w:marTop w:val="0"/>
                  <w:marBottom w:val="0"/>
                  <w:divBdr>
                    <w:top w:val="none" w:sz="0" w:space="0" w:color="auto"/>
                    <w:left w:val="none" w:sz="0" w:space="0" w:color="auto"/>
                    <w:bottom w:val="none" w:sz="0" w:space="0" w:color="auto"/>
                    <w:right w:val="none" w:sz="0" w:space="0" w:color="auto"/>
                  </w:divBdr>
                  <w:divsChild>
                    <w:div w:id="1483623462">
                      <w:marLeft w:val="0"/>
                      <w:marRight w:val="0"/>
                      <w:marTop w:val="0"/>
                      <w:marBottom w:val="0"/>
                      <w:divBdr>
                        <w:top w:val="none" w:sz="0" w:space="0" w:color="auto"/>
                        <w:left w:val="none" w:sz="0" w:space="0" w:color="auto"/>
                        <w:bottom w:val="none" w:sz="0" w:space="0" w:color="auto"/>
                        <w:right w:val="none" w:sz="0" w:space="0" w:color="auto"/>
                      </w:divBdr>
                    </w:div>
                  </w:divsChild>
                </w:div>
                <w:div w:id="2053964033">
                  <w:marLeft w:val="0"/>
                  <w:marRight w:val="0"/>
                  <w:marTop w:val="0"/>
                  <w:marBottom w:val="0"/>
                  <w:divBdr>
                    <w:top w:val="none" w:sz="0" w:space="0" w:color="auto"/>
                    <w:left w:val="none" w:sz="0" w:space="0" w:color="auto"/>
                    <w:bottom w:val="none" w:sz="0" w:space="0" w:color="auto"/>
                    <w:right w:val="none" w:sz="0" w:space="0" w:color="auto"/>
                  </w:divBdr>
                  <w:divsChild>
                    <w:div w:id="88433020">
                      <w:marLeft w:val="0"/>
                      <w:marRight w:val="0"/>
                      <w:marTop w:val="0"/>
                      <w:marBottom w:val="0"/>
                      <w:divBdr>
                        <w:top w:val="none" w:sz="0" w:space="0" w:color="auto"/>
                        <w:left w:val="none" w:sz="0" w:space="0" w:color="auto"/>
                        <w:bottom w:val="none" w:sz="0" w:space="0" w:color="auto"/>
                        <w:right w:val="none" w:sz="0" w:space="0" w:color="auto"/>
                      </w:divBdr>
                    </w:div>
                  </w:divsChild>
                </w:div>
                <w:div w:id="2056344799">
                  <w:marLeft w:val="0"/>
                  <w:marRight w:val="0"/>
                  <w:marTop w:val="0"/>
                  <w:marBottom w:val="0"/>
                  <w:divBdr>
                    <w:top w:val="none" w:sz="0" w:space="0" w:color="auto"/>
                    <w:left w:val="none" w:sz="0" w:space="0" w:color="auto"/>
                    <w:bottom w:val="none" w:sz="0" w:space="0" w:color="auto"/>
                    <w:right w:val="none" w:sz="0" w:space="0" w:color="auto"/>
                  </w:divBdr>
                  <w:divsChild>
                    <w:div w:id="135071677">
                      <w:marLeft w:val="0"/>
                      <w:marRight w:val="0"/>
                      <w:marTop w:val="0"/>
                      <w:marBottom w:val="0"/>
                      <w:divBdr>
                        <w:top w:val="none" w:sz="0" w:space="0" w:color="auto"/>
                        <w:left w:val="none" w:sz="0" w:space="0" w:color="auto"/>
                        <w:bottom w:val="none" w:sz="0" w:space="0" w:color="auto"/>
                        <w:right w:val="none" w:sz="0" w:space="0" w:color="auto"/>
                      </w:divBdr>
                    </w:div>
                  </w:divsChild>
                </w:div>
                <w:div w:id="2064134921">
                  <w:marLeft w:val="0"/>
                  <w:marRight w:val="0"/>
                  <w:marTop w:val="0"/>
                  <w:marBottom w:val="0"/>
                  <w:divBdr>
                    <w:top w:val="none" w:sz="0" w:space="0" w:color="auto"/>
                    <w:left w:val="none" w:sz="0" w:space="0" w:color="auto"/>
                    <w:bottom w:val="none" w:sz="0" w:space="0" w:color="auto"/>
                    <w:right w:val="none" w:sz="0" w:space="0" w:color="auto"/>
                  </w:divBdr>
                  <w:divsChild>
                    <w:div w:id="1656760229">
                      <w:marLeft w:val="0"/>
                      <w:marRight w:val="0"/>
                      <w:marTop w:val="0"/>
                      <w:marBottom w:val="0"/>
                      <w:divBdr>
                        <w:top w:val="none" w:sz="0" w:space="0" w:color="auto"/>
                        <w:left w:val="none" w:sz="0" w:space="0" w:color="auto"/>
                        <w:bottom w:val="none" w:sz="0" w:space="0" w:color="auto"/>
                        <w:right w:val="none" w:sz="0" w:space="0" w:color="auto"/>
                      </w:divBdr>
                    </w:div>
                  </w:divsChild>
                </w:div>
                <w:div w:id="2075470536">
                  <w:marLeft w:val="0"/>
                  <w:marRight w:val="0"/>
                  <w:marTop w:val="0"/>
                  <w:marBottom w:val="0"/>
                  <w:divBdr>
                    <w:top w:val="none" w:sz="0" w:space="0" w:color="auto"/>
                    <w:left w:val="none" w:sz="0" w:space="0" w:color="auto"/>
                    <w:bottom w:val="none" w:sz="0" w:space="0" w:color="auto"/>
                    <w:right w:val="none" w:sz="0" w:space="0" w:color="auto"/>
                  </w:divBdr>
                  <w:divsChild>
                    <w:div w:id="1205600372">
                      <w:marLeft w:val="0"/>
                      <w:marRight w:val="0"/>
                      <w:marTop w:val="0"/>
                      <w:marBottom w:val="0"/>
                      <w:divBdr>
                        <w:top w:val="none" w:sz="0" w:space="0" w:color="auto"/>
                        <w:left w:val="none" w:sz="0" w:space="0" w:color="auto"/>
                        <w:bottom w:val="none" w:sz="0" w:space="0" w:color="auto"/>
                        <w:right w:val="none" w:sz="0" w:space="0" w:color="auto"/>
                      </w:divBdr>
                    </w:div>
                  </w:divsChild>
                </w:div>
                <w:div w:id="2077511570">
                  <w:marLeft w:val="0"/>
                  <w:marRight w:val="0"/>
                  <w:marTop w:val="0"/>
                  <w:marBottom w:val="0"/>
                  <w:divBdr>
                    <w:top w:val="none" w:sz="0" w:space="0" w:color="auto"/>
                    <w:left w:val="none" w:sz="0" w:space="0" w:color="auto"/>
                    <w:bottom w:val="none" w:sz="0" w:space="0" w:color="auto"/>
                    <w:right w:val="none" w:sz="0" w:space="0" w:color="auto"/>
                  </w:divBdr>
                  <w:divsChild>
                    <w:div w:id="1243099866">
                      <w:marLeft w:val="0"/>
                      <w:marRight w:val="0"/>
                      <w:marTop w:val="0"/>
                      <w:marBottom w:val="0"/>
                      <w:divBdr>
                        <w:top w:val="none" w:sz="0" w:space="0" w:color="auto"/>
                        <w:left w:val="none" w:sz="0" w:space="0" w:color="auto"/>
                        <w:bottom w:val="none" w:sz="0" w:space="0" w:color="auto"/>
                        <w:right w:val="none" w:sz="0" w:space="0" w:color="auto"/>
                      </w:divBdr>
                    </w:div>
                  </w:divsChild>
                </w:div>
                <w:div w:id="2093161641">
                  <w:marLeft w:val="0"/>
                  <w:marRight w:val="0"/>
                  <w:marTop w:val="0"/>
                  <w:marBottom w:val="0"/>
                  <w:divBdr>
                    <w:top w:val="none" w:sz="0" w:space="0" w:color="auto"/>
                    <w:left w:val="none" w:sz="0" w:space="0" w:color="auto"/>
                    <w:bottom w:val="none" w:sz="0" w:space="0" w:color="auto"/>
                    <w:right w:val="none" w:sz="0" w:space="0" w:color="auto"/>
                  </w:divBdr>
                  <w:divsChild>
                    <w:div w:id="1755010888">
                      <w:marLeft w:val="0"/>
                      <w:marRight w:val="0"/>
                      <w:marTop w:val="0"/>
                      <w:marBottom w:val="0"/>
                      <w:divBdr>
                        <w:top w:val="none" w:sz="0" w:space="0" w:color="auto"/>
                        <w:left w:val="none" w:sz="0" w:space="0" w:color="auto"/>
                        <w:bottom w:val="none" w:sz="0" w:space="0" w:color="auto"/>
                        <w:right w:val="none" w:sz="0" w:space="0" w:color="auto"/>
                      </w:divBdr>
                    </w:div>
                  </w:divsChild>
                </w:div>
                <w:div w:id="2098868437">
                  <w:marLeft w:val="0"/>
                  <w:marRight w:val="0"/>
                  <w:marTop w:val="0"/>
                  <w:marBottom w:val="0"/>
                  <w:divBdr>
                    <w:top w:val="none" w:sz="0" w:space="0" w:color="auto"/>
                    <w:left w:val="none" w:sz="0" w:space="0" w:color="auto"/>
                    <w:bottom w:val="none" w:sz="0" w:space="0" w:color="auto"/>
                    <w:right w:val="none" w:sz="0" w:space="0" w:color="auto"/>
                  </w:divBdr>
                  <w:divsChild>
                    <w:div w:id="1165165731">
                      <w:marLeft w:val="0"/>
                      <w:marRight w:val="0"/>
                      <w:marTop w:val="0"/>
                      <w:marBottom w:val="0"/>
                      <w:divBdr>
                        <w:top w:val="none" w:sz="0" w:space="0" w:color="auto"/>
                        <w:left w:val="none" w:sz="0" w:space="0" w:color="auto"/>
                        <w:bottom w:val="none" w:sz="0" w:space="0" w:color="auto"/>
                        <w:right w:val="none" w:sz="0" w:space="0" w:color="auto"/>
                      </w:divBdr>
                    </w:div>
                  </w:divsChild>
                </w:div>
                <w:div w:id="2104104385">
                  <w:marLeft w:val="0"/>
                  <w:marRight w:val="0"/>
                  <w:marTop w:val="0"/>
                  <w:marBottom w:val="0"/>
                  <w:divBdr>
                    <w:top w:val="none" w:sz="0" w:space="0" w:color="auto"/>
                    <w:left w:val="none" w:sz="0" w:space="0" w:color="auto"/>
                    <w:bottom w:val="none" w:sz="0" w:space="0" w:color="auto"/>
                    <w:right w:val="none" w:sz="0" w:space="0" w:color="auto"/>
                  </w:divBdr>
                  <w:divsChild>
                    <w:div w:id="111368488">
                      <w:marLeft w:val="0"/>
                      <w:marRight w:val="0"/>
                      <w:marTop w:val="0"/>
                      <w:marBottom w:val="0"/>
                      <w:divBdr>
                        <w:top w:val="none" w:sz="0" w:space="0" w:color="auto"/>
                        <w:left w:val="none" w:sz="0" w:space="0" w:color="auto"/>
                        <w:bottom w:val="none" w:sz="0" w:space="0" w:color="auto"/>
                        <w:right w:val="none" w:sz="0" w:space="0" w:color="auto"/>
                      </w:divBdr>
                    </w:div>
                  </w:divsChild>
                </w:div>
                <w:div w:id="2113696332">
                  <w:marLeft w:val="0"/>
                  <w:marRight w:val="0"/>
                  <w:marTop w:val="0"/>
                  <w:marBottom w:val="0"/>
                  <w:divBdr>
                    <w:top w:val="none" w:sz="0" w:space="0" w:color="auto"/>
                    <w:left w:val="none" w:sz="0" w:space="0" w:color="auto"/>
                    <w:bottom w:val="none" w:sz="0" w:space="0" w:color="auto"/>
                    <w:right w:val="none" w:sz="0" w:space="0" w:color="auto"/>
                  </w:divBdr>
                  <w:divsChild>
                    <w:div w:id="1157964999">
                      <w:marLeft w:val="0"/>
                      <w:marRight w:val="0"/>
                      <w:marTop w:val="0"/>
                      <w:marBottom w:val="0"/>
                      <w:divBdr>
                        <w:top w:val="none" w:sz="0" w:space="0" w:color="auto"/>
                        <w:left w:val="none" w:sz="0" w:space="0" w:color="auto"/>
                        <w:bottom w:val="none" w:sz="0" w:space="0" w:color="auto"/>
                        <w:right w:val="none" w:sz="0" w:space="0" w:color="auto"/>
                      </w:divBdr>
                    </w:div>
                  </w:divsChild>
                </w:div>
                <w:div w:id="2117675650">
                  <w:marLeft w:val="0"/>
                  <w:marRight w:val="0"/>
                  <w:marTop w:val="0"/>
                  <w:marBottom w:val="0"/>
                  <w:divBdr>
                    <w:top w:val="none" w:sz="0" w:space="0" w:color="auto"/>
                    <w:left w:val="none" w:sz="0" w:space="0" w:color="auto"/>
                    <w:bottom w:val="none" w:sz="0" w:space="0" w:color="auto"/>
                    <w:right w:val="none" w:sz="0" w:space="0" w:color="auto"/>
                  </w:divBdr>
                  <w:divsChild>
                    <w:div w:id="2106999405">
                      <w:marLeft w:val="0"/>
                      <w:marRight w:val="0"/>
                      <w:marTop w:val="0"/>
                      <w:marBottom w:val="0"/>
                      <w:divBdr>
                        <w:top w:val="none" w:sz="0" w:space="0" w:color="auto"/>
                        <w:left w:val="none" w:sz="0" w:space="0" w:color="auto"/>
                        <w:bottom w:val="none" w:sz="0" w:space="0" w:color="auto"/>
                        <w:right w:val="none" w:sz="0" w:space="0" w:color="auto"/>
                      </w:divBdr>
                    </w:div>
                  </w:divsChild>
                </w:div>
                <w:div w:id="2124954472">
                  <w:marLeft w:val="0"/>
                  <w:marRight w:val="0"/>
                  <w:marTop w:val="0"/>
                  <w:marBottom w:val="0"/>
                  <w:divBdr>
                    <w:top w:val="none" w:sz="0" w:space="0" w:color="auto"/>
                    <w:left w:val="none" w:sz="0" w:space="0" w:color="auto"/>
                    <w:bottom w:val="none" w:sz="0" w:space="0" w:color="auto"/>
                    <w:right w:val="none" w:sz="0" w:space="0" w:color="auto"/>
                  </w:divBdr>
                  <w:divsChild>
                    <w:div w:id="1630814833">
                      <w:marLeft w:val="0"/>
                      <w:marRight w:val="0"/>
                      <w:marTop w:val="0"/>
                      <w:marBottom w:val="0"/>
                      <w:divBdr>
                        <w:top w:val="none" w:sz="0" w:space="0" w:color="auto"/>
                        <w:left w:val="none" w:sz="0" w:space="0" w:color="auto"/>
                        <w:bottom w:val="none" w:sz="0" w:space="0" w:color="auto"/>
                        <w:right w:val="none" w:sz="0" w:space="0" w:color="auto"/>
                      </w:divBdr>
                    </w:div>
                  </w:divsChild>
                </w:div>
                <w:div w:id="2128507196">
                  <w:marLeft w:val="0"/>
                  <w:marRight w:val="0"/>
                  <w:marTop w:val="0"/>
                  <w:marBottom w:val="0"/>
                  <w:divBdr>
                    <w:top w:val="none" w:sz="0" w:space="0" w:color="auto"/>
                    <w:left w:val="none" w:sz="0" w:space="0" w:color="auto"/>
                    <w:bottom w:val="none" w:sz="0" w:space="0" w:color="auto"/>
                    <w:right w:val="none" w:sz="0" w:space="0" w:color="auto"/>
                  </w:divBdr>
                  <w:divsChild>
                    <w:div w:id="2086298637">
                      <w:marLeft w:val="0"/>
                      <w:marRight w:val="0"/>
                      <w:marTop w:val="0"/>
                      <w:marBottom w:val="0"/>
                      <w:divBdr>
                        <w:top w:val="none" w:sz="0" w:space="0" w:color="auto"/>
                        <w:left w:val="none" w:sz="0" w:space="0" w:color="auto"/>
                        <w:bottom w:val="none" w:sz="0" w:space="0" w:color="auto"/>
                        <w:right w:val="none" w:sz="0" w:space="0" w:color="auto"/>
                      </w:divBdr>
                    </w:div>
                  </w:divsChild>
                </w:div>
                <w:div w:id="2133477389">
                  <w:marLeft w:val="0"/>
                  <w:marRight w:val="0"/>
                  <w:marTop w:val="0"/>
                  <w:marBottom w:val="0"/>
                  <w:divBdr>
                    <w:top w:val="none" w:sz="0" w:space="0" w:color="auto"/>
                    <w:left w:val="none" w:sz="0" w:space="0" w:color="auto"/>
                    <w:bottom w:val="none" w:sz="0" w:space="0" w:color="auto"/>
                    <w:right w:val="none" w:sz="0" w:space="0" w:color="auto"/>
                  </w:divBdr>
                  <w:divsChild>
                    <w:div w:id="1290041626">
                      <w:marLeft w:val="0"/>
                      <w:marRight w:val="0"/>
                      <w:marTop w:val="0"/>
                      <w:marBottom w:val="0"/>
                      <w:divBdr>
                        <w:top w:val="none" w:sz="0" w:space="0" w:color="auto"/>
                        <w:left w:val="none" w:sz="0" w:space="0" w:color="auto"/>
                        <w:bottom w:val="none" w:sz="0" w:space="0" w:color="auto"/>
                        <w:right w:val="none" w:sz="0" w:space="0" w:color="auto"/>
                      </w:divBdr>
                    </w:div>
                  </w:divsChild>
                </w:div>
                <w:div w:id="2137291726">
                  <w:marLeft w:val="0"/>
                  <w:marRight w:val="0"/>
                  <w:marTop w:val="0"/>
                  <w:marBottom w:val="0"/>
                  <w:divBdr>
                    <w:top w:val="none" w:sz="0" w:space="0" w:color="auto"/>
                    <w:left w:val="none" w:sz="0" w:space="0" w:color="auto"/>
                    <w:bottom w:val="none" w:sz="0" w:space="0" w:color="auto"/>
                    <w:right w:val="none" w:sz="0" w:space="0" w:color="auto"/>
                  </w:divBdr>
                  <w:divsChild>
                    <w:div w:id="1971089352">
                      <w:marLeft w:val="0"/>
                      <w:marRight w:val="0"/>
                      <w:marTop w:val="0"/>
                      <w:marBottom w:val="0"/>
                      <w:divBdr>
                        <w:top w:val="none" w:sz="0" w:space="0" w:color="auto"/>
                        <w:left w:val="none" w:sz="0" w:space="0" w:color="auto"/>
                        <w:bottom w:val="none" w:sz="0" w:space="0" w:color="auto"/>
                        <w:right w:val="none" w:sz="0" w:space="0" w:color="auto"/>
                      </w:divBdr>
                    </w:div>
                  </w:divsChild>
                </w:div>
                <w:div w:id="2141219304">
                  <w:marLeft w:val="0"/>
                  <w:marRight w:val="0"/>
                  <w:marTop w:val="0"/>
                  <w:marBottom w:val="0"/>
                  <w:divBdr>
                    <w:top w:val="none" w:sz="0" w:space="0" w:color="auto"/>
                    <w:left w:val="none" w:sz="0" w:space="0" w:color="auto"/>
                    <w:bottom w:val="none" w:sz="0" w:space="0" w:color="auto"/>
                    <w:right w:val="none" w:sz="0" w:space="0" w:color="auto"/>
                  </w:divBdr>
                  <w:divsChild>
                    <w:div w:id="194317193">
                      <w:marLeft w:val="0"/>
                      <w:marRight w:val="0"/>
                      <w:marTop w:val="0"/>
                      <w:marBottom w:val="0"/>
                      <w:divBdr>
                        <w:top w:val="none" w:sz="0" w:space="0" w:color="auto"/>
                        <w:left w:val="none" w:sz="0" w:space="0" w:color="auto"/>
                        <w:bottom w:val="none" w:sz="0" w:space="0" w:color="auto"/>
                        <w:right w:val="none" w:sz="0" w:space="0" w:color="auto"/>
                      </w:divBdr>
                    </w:div>
                  </w:divsChild>
                </w:div>
                <w:div w:id="2146963395">
                  <w:marLeft w:val="0"/>
                  <w:marRight w:val="0"/>
                  <w:marTop w:val="0"/>
                  <w:marBottom w:val="0"/>
                  <w:divBdr>
                    <w:top w:val="none" w:sz="0" w:space="0" w:color="auto"/>
                    <w:left w:val="none" w:sz="0" w:space="0" w:color="auto"/>
                    <w:bottom w:val="none" w:sz="0" w:space="0" w:color="auto"/>
                    <w:right w:val="none" w:sz="0" w:space="0" w:color="auto"/>
                  </w:divBdr>
                  <w:divsChild>
                    <w:div w:id="186778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3415">
          <w:marLeft w:val="0"/>
          <w:marRight w:val="0"/>
          <w:marTop w:val="0"/>
          <w:marBottom w:val="0"/>
          <w:divBdr>
            <w:top w:val="none" w:sz="0" w:space="0" w:color="auto"/>
            <w:left w:val="none" w:sz="0" w:space="0" w:color="auto"/>
            <w:bottom w:val="none" w:sz="0" w:space="0" w:color="auto"/>
            <w:right w:val="none" w:sz="0" w:space="0" w:color="auto"/>
          </w:divBdr>
        </w:div>
        <w:div w:id="809446335">
          <w:marLeft w:val="0"/>
          <w:marRight w:val="0"/>
          <w:marTop w:val="0"/>
          <w:marBottom w:val="0"/>
          <w:divBdr>
            <w:top w:val="none" w:sz="0" w:space="0" w:color="auto"/>
            <w:left w:val="none" w:sz="0" w:space="0" w:color="auto"/>
            <w:bottom w:val="none" w:sz="0" w:space="0" w:color="auto"/>
            <w:right w:val="none" w:sz="0" w:space="0" w:color="auto"/>
          </w:divBdr>
        </w:div>
        <w:div w:id="809520214">
          <w:marLeft w:val="0"/>
          <w:marRight w:val="0"/>
          <w:marTop w:val="0"/>
          <w:marBottom w:val="0"/>
          <w:divBdr>
            <w:top w:val="none" w:sz="0" w:space="0" w:color="auto"/>
            <w:left w:val="none" w:sz="0" w:space="0" w:color="auto"/>
            <w:bottom w:val="none" w:sz="0" w:space="0" w:color="auto"/>
            <w:right w:val="none" w:sz="0" w:space="0" w:color="auto"/>
          </w:divBdr>
        </w:div>
        <w:div w:id="811361219">
          <w:marLeft w:val="0"/>
          <w:marRight w:val="0"/>
          <w:marTop w:val="0"/>
          <w:marBottom w:val="0"/>
          <w:divBdr>
            <w:top w:val="none" w:sz="0" w:space="0" w:color="auto"/>
            <w:left w:val="none" w:sz="0" w:space="0" w:color="auto"/>
            <w:bottom w:val="none" w:sz="0" w:space="0" w:color="auto"/>
            <w:right w:val="none" w:sz="0" w:space="0" w:color="auto"/>
          </w:divBdr>
        </w:div>
        <w:div w:id="811365794">
          <w:marLeft w:val="0"/>
          <w:marRight w:val="0"/>
          <w:marTop w:val="0"/>
          <w:marBottom w:val="0"/>
          <w:divBdr>
            <w:top w:val="none" w:sz="0" w:space="0" w:color="auto"/>
            <w:left w:val="none" w:sz="0" w:space="0" w:color="auto"/>
            <w:bottom w:val="none" w:sz="0" w:space="0" w:color="auto"/>
            <w:right w:val="none" w:sz="0" w:space="0" w:color="auto"/>
          </w:divBdr>
        </w:div>
        <w:div w:id="811481163">
          <w:marLeft w:val="0"/>
          <w:marRight w:val="0"/>
          <w:marTop w:val="0"/>
          <w:marBottom w:val="0"/>
          <w:divBdr>
            <w:top w:val="none" w:sz="0" w:space="0" w:color="auto"/>
            <w:left w:val="none" w:sz="0" w:space="0" w:color="auto"/>
            <w:bottom w:val="none" w:sz="0" w:space="0" w:color="auto"/>
            <w:right w:val="none" w:sz="0" w:space="0" w:color="auto"/>
          </w:divBdr>
        </w:div>
        <w:div w:id="811753659">
          <w:marLeft w:val="0"/>
          <w:marRight w:val="0"/>
          <w:marTop w:val="0"/>
          <w:marBottom w:val="0"/>
          <w:divBdr>
            <w:top w:val="none" w:sz="0" w:space="0" w:color="auto"/>
            <w:left w:val="none" w:sz="0" w:space="0" w:color="auto"/>
            <w:bottom w:val="none" w:sz="0" w:space="0" w:color="auto"/>
            <w:right w:val="none" w:sz="0" w:space="0" w:color="auto"/>
          </w:divBdr>
          <w:divsChild>
            <w:div w:id="2171127">
              <w:marLeft w:val="0"/>
              <w:marRight w:val="0"/>
              <w:marTop w:val="0"/>
              <w:marBottom w:val="0"/>
              <w:divBdr>
                <w:top w:val="none" w:sz="0" w:space="0" w:color="auto"/>
                <w:left w:val="none" w:sz="0" w:space="0" w:color="auto"/>
                <w:bottom w:val="none" w:sz="0" w:space="0" w:color="auto"/>
                <w:right w:val="none" w:sz="0" w:space="0" w:color="auto"/>
              </w:divBdr>
            </w:div>
            <w:div w:id="27799932">
              <w:marLeft w:val="0"/>
              <w:marRight w:val="0"/>
              <w:marTop w:val="0"/>
              <w:marBottom w:val="0"/>
              <w:divBdr>
                <w:top w:val="none" w:sz="0" w:space="0" w:color="auto"/>
                <w:left w:val="none" w:sz="0" w:space="0" w:color="auto"/>
                <w:bottom w:val="none" w:sz="0" w:space="0" w:color="auto"/>
                <w:right w:val="none" w:sz="0" w:space="0" w:color="auto"/>
              </w:divBdr>
            </w:div>
            <w:div w:id="68431160">
              <w:marLeft w:val="0"/>
              <w:marRight w:val="0"/>
              <w:marTop w:val="0"/>
              <w:marBottom w:val="0"/>
              <w:divBdr>
                <w:top w:val="none" w:sz="0" w:space="0" w:color="auto"/>
                <w:left w:val="none" w:sz="0" w:space="0" w:color="auto"/>
                <w:bottom w:val="none" w:sz="0" w:space="0" w:color="auto"/>
                <w:right w:val="none" w:sz="0" w:space="0" w:color="auto"/>
              </w:divBdr>
            </w:div>
            <w:div w:id="403138579">
              <w:marLeft w:val="0"/>
              <w:marRight w:val="0"/>
              <w:marTop w:val="0"/>
              <w:marBottom w:val="0"/>
              <w:divBdr>
                <w:top w:val="none" w:sz="0" w:space="0" w:color="auto"/>
                <w:left w:val="none" w:sz="0" w:space="0" w:color="auto"/>
                <w:bottom w:val="none" w:sz="0" w:space="0" w:color="auto"/>
                <w:right w:val="none" w:sz="0" w:space="0" w:color="auto"/>
              </w:divBdr>
            </w:div>
            <w:div w:id="510334110">
              <w:marLeft w:val="0"/>
              <w:marRight w:val="0"/>
              <w:marTop w:val="0"/>
              <w:marBottom w:val="0"/>
              <w:divBdr>
                <w:top w:val="none" w:sz="0" w:space="0" w:color="auto"/>
                <w:left w:val="none" w:sz="0" w:space="0" w:color="auto"/>
                <w:bottom w:val="none" w:sz="0" w:space="0" w:color="auto"/>
                <w:right w:val="none" w:sz="0" w:space="0" w:color="auto"/>
              </w:divBdr>
            </w:div>
            <w:div w:id="643196158">
              <w:marLeft w:val="0"/>
              <w:marRight w:val="0"/>
              <w:marTop w:val="0"/>
              <w:marBottom w:val="0"/>
              <w:divBdr>
                <w:top w:val="none" w:sz="0" w:space="0" w:color="auto"/>
                <w:left w:val="none" w:sz="0" w:space="0" w:color="auto"/>
                <w:bottom w:val="none" w:sz="0" w:space="0" w:color="auto"/>
                <w:right w:val="none" w:sz="0" w:space="0" w:color="auto"/>
              </w:divBdr>
            </w:div>
            <w:div w:id="875853198">
              <w:marLeft w:val="0"/>
              <w:marRight w:val="0"/>
              <w:marTop w:val="0"/>
              <w:marBottom w:val="0"/>
              <w:divBdr>
                <w:top w:val="none" w:sz="0" w:space="0" w:color="auto"/>
                <w:left w:val="none" w:sz="0" w:space="0" w:color="auto"/>
                <w:bottom w:val="none" w:sz="0" w:space="0" w:color="auto"/>
                <w:right w:val="none" w:sz="0" w:space="0" w:color="auto"/>
              </w:divBdr>
            </w:div>
            <w:div w:id="1060636041">
              <w:marLeft w:val="0"/>
              <w:marRight w:val="0"/>
              <w:marTop w:val="0"/>
              <w:marBottom w:val="0"/>
              <w:divBdr>
                <w:top w:val="none" w:sz="0" w:space="0" w:color="auto"/>
                <w:left w:val="none" w:sz="0" w:space="0" w:color="auto"/>
                <w:bottom w:val="none" w:sz="0" w:space="0" w:color="auto"/>
                <w:right w:val="none" w:sz="0" w:space="0" w:color="auto"/>
              </w:divBdr>
            </w:div>
            <w:div w:id="1260799502">
              <w:marLeft w:val="0"/>
              <w:marRight w:val="0"/>
              <w:marTop w:val="0"/>
              <w:marBottom w:val="0"/>
              <w:divBdr>
                <w:top w:val="none" w:sz="0" w:space="0" w:color="auto"/>
                <w:left w:val="none" w:sz="0" w:space="0" w:color="auto"/>
                <w:bottom w:val="none" w:sz="0" w:space="0" w:color="auto"/>
                <w:right w:val="none" w:sz="0" w:space="0" w:color="auto"/>
              </w:divBdr>
            </w:div>
            <w:div w:id="1281036540">
              <w:marLeft w:val="0"/>
              <w:marRight w:val="0"/>
              <w:marTop w:val="0"/>
              <w:marBottom w:val="0"/>
              <w:divBdr>
                <w:top w:val="none" w:sz="0" w:space="0" w:color="auto"/>
                <w:left w:val="none" w:sz="0" w:space="0" w:color="auto"/>
                <w:bottom w:val="none" w:sz="0" w:space="0" w:color="auto"/>
                <w:right w:val="none" w:sz="0" w:space="0" w:color="auto"/>
              </w:divBdr>
            </w:div>
            <w:div w:id="1348361067">
              <w:marLeft w:val="0"/>
              <w:marRight w:val="0"/>
              <w:marTop w:val="0"/>
              <w:marBottom w:val="0"/>
              <w:divBdr>
                <w:top w:val="none" w:sz="0" w:space="0" w:color="auto"/>
                <w:left w:val="none" w:sz="0" w:space="0" w:color="auto"/>
                <w:bottom w:val="none" w:sz="0" w:space="0" w:color="auto"/>
                <w:right w:val="none" w:sz="0" w:space="0" w:color="auto"/>
              </w:divBdr>
            </w:div>
            <w:div w:id="1638418497">
              <w:marLeft w:val="0"/>
              <w:marRight w:val="0"/>
              <w:marTop w:val="0"/>
              <w:marBottom w:val="0"/>
              <w:divBdr>
                <w:top w:val="none" w:sz="0" w:space="0" w:color="auto"/>
                <w:left w:val="none" w:sz="0" w:space="0" w:color="auto"/>
                <w:bottom w:val="none" w:sz="0" w:space="0" w:color="auto"/>
                <w:right w:val="none" w:sz="0" w:space="0" w:color="auto"/>
              </w:divBdr>
            </w:div>
            <w:div w:id="1776712333">
              <w:marLeft w:val="0"/>
              <w:marRight w:val="0"/>
              <w:marTop w:val="0"/>
              <w:marBottom w:val="0"/>
              <w:divBdr>
                <w:top w:val="none" w:sz="0" w:space="0" w:color="auto"/>
                <w:left w:val="none" w:sz="0" w:space="0" w:color="auto"/>
                <w:bottom w:val="none" w:sz="0" w:space="0" w:color="auto"/>
                <w:right w:val="none" w:sz="0" w:space="0" w:color="auto"/>
              </w:divBdr>
            </w:div>
            <w:div w:id="1816945485">
              <w:marLeft w:val="0"/>
              <w:marRight w:val="0"/>
              <w:marTop w:val="0"/>
              <w:marBottom w:val="0"/>
              <w:divBdr>
                <w:top w:val="none" w:sz="0" w:space="0" w:color="auto"/>
                <w:left w:val="none" w:sz="0" w:space="0" w:color="auto"/>
                <w:bottom w:val="none" w:sz="0" w:space="0" w:color="auto"/>
                <w:right w:val="none" w:sz="0" w:space="0" w:color="auto"/>
              </w:divBdr>
            </w:div>
            <w:div w:id="1844541524">
              <w:marLeft w:val="0"/>
              <w:marRight w:val="0"/>
              <w:marTop w:val="0"/>
              <w:marBottom w:val="0"/>
              <w:divBdr>
                <w:top w:val="none" w:sz="0" w:space="0" w:color="auto"/>
                <w:left w:val="none" w:sz="0" w:space="0" w:color="auto"/>
                <w:bottom w:val="none" w:sz="0" w:space="0" w:color="auto"/>
                <w:right w:val="none" w:sz="0" w:space="0" w:color="auto"/>
              </w:divBdr>
            </w:div>
            <w:div w:id="1875728757">
              <w:marLeft w:val="0"/>
              <w:marRight w:val="0"/>
              <w:marTop w:val="0"/>
              <w:marBottom w:val="0"/>
              <w:divBdr>
                <w:top w:val="none" w:sz="0" w:space="0" w:color="auto"/>
                <w:left w:val="none" w:sz="0" w:space="0" w:color="auto"/>
                <w:bottom w:val="none" w:sz="0" w:space="0" w:color="auto"/>
                <w:right w:val="none" w:sz="0" w:space="0" w:color="auto"/>
              </w:divBdr>
            </w:div>
            <w:div w:id="2138600986">
              <w:marLeft w:val="0"/>
              <w:marRight w:val="0"/>
              <w:marTop w:val="0"/>
              <w:marBottom w:val="0"/>
              <w:divBdr>
                <w:top w:val="none" w:sz="0" w:space="0" w:color="auto"/>
                <w:left w:val="none" w:sz="0" w:space="0" w:color="auto"/>
                <w:bottom w:val="none" w:sz="0" w:space="0" w:color="auto"/>
                <w:right w:val="none" w:sz="0" w:space="0" w:color="auto"/>
              </w:divBdr>
            </w:div>
          </w:divsChild>
        </w:div>
        <w:div w:id="812333276">
          <w:marLeft w:val="0"/>
          <w:marRight w:val="0"/>
          <w:marTop w:val="0"/>
          <w:marBottom w:val="0"/>
          <w:divBdr>
            <w:top w:val="none" w:sz="0" w:space="0" w:color="auto"/>
            <w:left w:val="none" w:sz="0" w:space="0" w:color="auto"/>
            <w:bottom w:val="none" w:sz="0" w:space="0" w:color="auto"/>
            <w:right w:val="none" w:sz="0" w:space="0" w:color="auto"/>
          </w:divBdr>
        </w:div>
        <w:div w:id="813989525">
          <w:marLeft w:val="0"/>
          <w:marRight w:val="0"/>
          <w:marTop w:val="0"/>
          <w:marBottom w:val="0"/>
          <w:divBdr>
            <w:top w:val="none" w:sz="0" w:space="0" w:color="auto"/>
            <w:left w:val="none" w:sz="0" w:space="0" w:color="auto"/>
            <w:bottom w:val="none" w:sz="0" w:space="0" w:color="auto"/>
            <w:right w:val="none" w:sz="0" w:space="0" w:color="auto"/>
          </w:divBdr>
          <w:divsChild>
            <w:div w:id="44990220">
              <w:marLeft w:val="0"/>
              <w:marRight w:val="0"/>
              <w:marTop w:val="0"/>
              <w:marBottom w:val="0"/>
              <w:divBdr>
                <w:top w:val="none" w:sz="0" w:space="0" w:color="auto"/>
                <w:left w:val="none" w:sz="0" w:space="0" w:color="auto"/>
                <w:bottom w:val="none" w:sz="0" w:space="0" w:color="auto"/>
                <w:right w:val="none" w:sz="0" w:space="0" w:color="auto"/>
              </w:divBdr>
            </w:div>
            <w:div w:id="178852796">
              <w:marLeft w:val="0"/>
              <w:marRight w:val="0"/>
              <w:marTop w:val="0"/>
              <w:marBottom w:val="0"/>
              <w:divBdr>
                <w:top w:val="none" w:sz="0" w:space="0" w:color="auto"/>
                <w:left w:val="none" w:sz="0" w:space="0" w:color="auto"/>
                <w:bottom w:val="none" w:sz="0" w:space="0" w:color="auto"/>
                <w:right w:val="none" w:sz="0" w:space="0" w:color="auto"/>
              </w:divBdr>
            </w:div>
            <w:div w:id="305864544">
              <w:marLeft w:val="0"/>
              <w:marRight w:val="0"/>
              <w:marTop w:val="0"/>
              <w:marBottom w:val="0"/>
              <w:divBdr>
                <w:top w:val="none" w:sz="0" w:space="0" w:color="auto"/>
                <w:left w:val="none" w:sz="0" w:space="0" w:color="auto"/>
                <w:bottom w:val="none" w:sz="0" w:space="0" w:color="auto"/>
                <w:right w:val="none" w:sz="0" w:space="0" w:color="auto"/>
              </w:divBdr>
            </w:div>
            <w:div w:id="458493645">
              <w:marLeft w:val="0"/>
              <w:marRight w:val="0"/>
              <w:marTop w:val="0"/>
              <w:marBottom w:val="0"/>
              <w:divBdr>
                <w:top w:val="none" w:sz="0" w:space="0" w:color="auto"/>
                <w:left w:val="none" w:sz="0" w:space="0" w:color="auto"/>
                <w:bottom w:val="none" w:sz="0" w:space="0" w:color="auto"/>
                <w:right w:val="none" w:sz="0" w:space="0" w:color="auto"/>
              </w:divBdr>
            </w:div>
            <w:div w:id="613093131">
              <w:marLeft w:val="0"/>
              <w:marRight w:val="0"/>
              <w:marTop w:val="0"/>
              <w:marBottom w:val="0"/>
              <w:divBdr>
                <w:top w:val="none" w:sz="0" w:space="0" w:color="auto"/>
                <w:left w:val="none" w:sz="0" w:space="0" w:color="auto"/>
                <w:bottom w:val="none" w:sz="0" w:space="0" w:color="auto"/>
                <w:right w:val="none" w:sz="0" w:space="0" w:color="auto"/>
              </w:divBdr>
            </w:div>
            <w:div w:id="746152750">
              <w:marLeft w:val="0"/>
              <w:marRight w:val="0"/>
              <w:marTop w:val="0"/>
              <w:marBottom w:val="0"/>
              <w:divBdr>
                <w:top w:val="none" w:sz="0" w:space="0" w:color="auto"/>
                <w:left w:val="none" w:sz="0" w:space="0" w:color="auto"/>
                <w:bottom w:val="none" w:sz="0" w:space="0" w:color="auto"/>
                <w:right w:val="none" w:sz="0" w:space="0" w:color="auto"/>
              </w:divBdr>
            </w:div>
            <w:div w:id="813596460">
              <w:marLeft w:val="0"/>
              <w:marRight w:val="0"/>
              <w:marTop w:val="0"/>
              <w:marBottom w:val="0"/>
              <w:divBdr>
                <w:top w:val="none" w:sz="0" w:space="0" w:color="auto"/>
                <w:left w:val="none" w:sz="0" w:space="0" w:color="auto"/>
                <w:bottom w:val="none" w:sz="0" w:space="0" w:color="auto"/>
                <w:right w:val="none" w:sz="0" w:space="0" w:color="auto"/>
              </w:divBdr>
            </w:div>
            <w:div w:id="970788636">
              <w:marLeft w:val="0"/>
              <w:marRight w:val="0"/>
              <w:marTop w:val="0"/>
              <w:marBottom w:val="0"/>
              <w:divBdr>
                <w:top w:val="none" w:sz="0" w:space="0" w:color="auto"/>
                <w:left w:val="none" w:sz="0" w:space="0" w:color="auto"/>
                <w:bottom w:val="none" w:sz="0" w:space="0" w:color="auto"/>
                <w:right w:val="none" w:sz="0" w:space="0" w:color="auto"/>
              </w:divBdr>
            </w:div>
            <w:div w:id="1012032261">
              <w:marLeft w:val="0"/>
              <w:marRight w:val="0"/>
              <w:marTop w:val="0"/>
              <w:marBottom w:val="0"/>
              <w:divBdr>
                <w:top w:val="none" w:sz="0" w:space="0" w:color="auto"/>
                <w:left w:val="none" w:sz="0" w:space="0" w:color="auto"/>
                <w:bottom w:val="none" w:sz="0" w:space="0" w:color="auto"/>
                <w:right w:val="none" w:sz="0" w:space="0" w:color="auto"/>
              </w:divBdr>
            </w:div>
            <w:div w:id="1012491174">
              <w:marLeft w:val="0"/>
              <w:marRight w:val="0"/>
              <w:marTop w:val="0"/>
              <w:marBottom w:val="0"/>
              <w:divBdr>
                <w:top w:val="none" w:sz="0" w:space="0" w:color="auto"/>
                <w:left w:val="none" w:sz="0" w:space="0" w:color="auto"/>
                <w:bottom w:val="none" w:sz="0" w:space="0" w:color="auto"/>
                <w:right w:val="none" w:sz="0" w:space="0" w:color="auto"/>
              </w:divBdr>
            </w:div>
            <w:div w:id="1501894200">
              <w:marLeft w:val="0"/>
              <w:marRight w:val="0"/>
              <w:marTop w:val="0"/>
              <w:marBottom w:val="0"/>
              <w:divBdr>
                <w:top w:val="none" w:sz="0" w:space="0" w:color="auto"/>
                <w:left w:val="none" w:sz="0" w:space="0" w:color="auto"/>
                <w:bottom w:val="none" w:sz="0" w:space="0" w:color="auto"/>
                <w:right w:val="none" w:sz="0" w:space="0" w:color="auto"/>
              </w:divBdr>
            </w:div>
            <w:div w:id="1546331698">
              <w:marLeft w:val="0"/>
              <w:marRight w:val="0"/>
              <w:marTop w:val="0"/>
              <w:marBottom w:val="0"/>
              <w:divBdr>
                <w:top w:val="none" w:sz="0" w:space="0" w:color="auto"/>
                <w:left w:val="none" w:sz="0" w:space="0" w:color="auto"/>
                <w:bottom w:val="none" w:sz="0" w:space="0" w:color="auto"/>
                <w:right w:val="none" w:sz="0" w:space="0" w:color="auto"/>
              </w:divBdr>
            </w:div>
            <w:div w:id="1646470973">
              <w:marLeft w:val="0"/>
              <w:marRight w:val="0"/>
              <w:marTop w:val="0"/>
              <w:marBottom w:val="0"/>
              <w:divBdr>
                <w:top w:val="none" w:sz="0" w:space="0" w:color="auto"/>
                <w:left w:val="none" w:sz="0" w:space="0" w:color="auto"/>
                <w:bottom w:val="none" w:sz="0" w:space="0" w:color="auto"/>
                <w:right w:val="none" w:sz="0" w:space="0" w:color="auto"/>
              </w:divBdr>
            </w:div>
            <w:div w:id="1648509491">
              <w:marLeft w:val="0"/>
              <w:marRight w:val="0"/>
              <w:marTop w:val="0"/>
              <w:marBottom w:val="0"/>
              <w:divBdr>
                <w:top w:val="none" w:sz="0" w:space="0" w:color="auto"/>
                <w:left w:val="none" w:sz="0" w:space="0" w:color="auto"/>
                <w:bottom w:val="none" w:sz="0" w:space="0" w:color="auto"/>
                <w:right w:val="none" w:sz="0" w:space="0" w:color="auto"/>
              </w:divBdr>
            </w:div>
            <w:div w:id="1759981620">
              <w:marLeft w:val="0"/>
              <w:marRight w:val="0"/>
              <w:marTop w:val="0"/>
              <w:marBottom w:val="0"/>
              <w:divBdr>
                <w:top w:val="none" w:sz="0" w:space="0" w:color="auto"/>
                <w:left w:val="none" w:sz="0" w:space="0" w:color="auto"/>
                <w:bottom w:val="none" w:sz="0" w:space="0" w:color="auto"/>
                <w:right w:val="none" w:sz="0" w:space="0" w:color="auto"/>
              </w:divBdr>
            </w:div>
            <w:div w:id="1860778460">
              <w:marLeft w:val="0"/>
              <w:marRight w:val="0"/>
              <w:marTop w:val="0"/>
              <w:marBottom w:val="0"/>
              <w:divBdr>
                <w:top w:val="none" w:sz="0" w:space="0" w:color="auto"/>
                <w:left w:val="none" w:sz="0" w:space="0" w:color="auto"/>
                <w:bottom w:val="none" w:sz="0" w:space="0" w:color="auto"/>
                <w:right w:val="none" w:sz="0" w:space="0" w:color="auto"/>
              </w:divBdr>
            </w:div>
            <w:div w:id="1935629420">
              <w:marLeft w:val="0"/>
              <w:marRight w:val="0"/>
              <w:marTop w:val="0"/>
              <w:marBottom w:val="0"/>
              <w:divBdr>
                <w:top w:val="none" w:sz="0" w:space="0" w:color="auto"/>
                <w:left w:val="none" w:sz="0" w:space="0" w:color="auto"/>
                <w:bottom w:val="none" w:sz="0" w:space="0" w:color="auto"/>
                <w:right w:val="none" w:sz="0" w:space="0" w:color="auto"/>
              </w:divBdr>
            </w:div>
            <w:div w:id="2016418767">
              <w:marLeft w:val="0"/>
              <w:marRight w:val="0"/>
              <w:marTop w:val="0"/>
              <w:marBottom w:val="0"/>
              <w:divBdr>
                <w:top w:val="none" w:sz="0" w:space="0" w:color="auto"/>
                <w:left w:val="none" w:sz="0" w:space="0" w:color="auto"/>
                <w:bottom w:val="none" w:sz="0" w:space="0" w:color="auto"/>
                <w:right w:val="none" w:sz="0" w:space="0" w:color="auto"/>
              </w:divBdr>
            </w:div>
            <w:div w:id="2102292146">
              <w:marLeft w:val="0"/>
              <w:marRight w:val="0"/>
              <w:marTop w:val="0"/>
              <w:marBottom w:val="0"/>
              <w:divBdr>
                <w:top w:val="none" w:sz="0" w:space="0" w:color="auto"/>
                <w:left w:val="none" w:sz="0" w:space="0" w:color="auto"/>
                <w:bottom w:val="none" w:sz="0" w:space="0" w:color="auto"/>
                <w:right w:val="none" w:sz="0" w:space="0" w:color="auto"/>
              </w:divBdr>
            </w:div>
          </w:divsChild>
        </w:div>
        <w:div w:id="815101654">
          <w:marLeft w:val="0"/>
          <w:marRight w:val="0"/>
          <w:marTop w:val="0"/>
          <w:marBottom w:val="0"/>
          <w:divBdr>
            <w:top w:val="none" w:sz="0" w:space="0" w:color="auto"/>
            <w:left w:val="none" w:sz="0" w:space="0" w:color="auto"/>
            <w:bottom w:val="none" w:sz="0" w:space="0" w:color="auto"/>
            <w:right w:val="none" w:sz="0" w:space="0" w:color="auto"/>
          </w:divBdr>
        </w:div>
        <w:div w:id="817965420">
          <w:marLeft w:val="0"/>
          <w:marRight w:val="0"/>
          <w:marTop w:val="0"/>
          <w:marBottom w:val="0"/>
          <w:divBdr>
            <w:top w:val="none" w:sz="0" w:space="0" w:color="auto"/>
            <w:left w:val="none" w:sz="0" w:space="0" w:color="auto"/>
            <w:bottom w:val="none" w:sz="0" w:space="0" w:color="auto"/>
            <w:right w:val="none" w:sz="0" w:space="0" w:color="auto"/>
          </w:divBdr>
        </w:div>
        <w:div w:id="822770864">
          <w:marLeft w:val="0"/>
          <w:marRight w:val="0"/>
          <w:marTop w:val="0"/>
          <w:marBottom w:val="0"/>
          <w:divBdr>
            <w:top w:val="none" w:sz="0" w:space="0" w:color="auto"/>
            <w:left w:val="none" w:sz="0" w:space="0" w:color="auto"/>
            <w:bottom w:val="none" w:sz="0" w:space="0" w:color="auto"/>
            <w:right w:val="none" w:sz="0" w:space="0" w:color="auto"/>
          </w:divBdr>
        </w:div>
        <w:div w:id="823744632">
          <w:marLeft w:val="0"/>
          <w:marRight w:val="0"/>
          <w:marTop w:val="0"/>
          <w:marBottom w:val="0"/>
          <w:divBdr>
            <w:top w:val="none" w:sz="0" w:space="0" w:color="auto"/>
            <w:left w:val="none" w:sz="0" w:space="0" w:color="auto"/>
            <w:bottom w:val="none" w:sz="0" w:space="0" w:color="auto"/>
            <w:right w:val="none" w:sz="0" w:space="0" w:color="auto"/>
          </w:divBdr>
        </w:div>
        <w:div w:id="825437890">
          <w:marLeft w:val="0"/>
          <w:marRight w:val="0"/>
          <w:marTop w:val="0"/>
          <w:marBottom w:val="0"/>
          <w:divBdr>
            <w:top w:val="none" w:sz="0" w:space="0" w:color="auto"/>
            <w:left w:val="none" w:sz="0" w:space="0" w:color="auto"/>
            <w:bottom w:val="none" w:sz="0" w:space="0" w:color="auto"/>
            <w:right w:val="none" w:sz="0" w:space="0" w:color="auto"/>
          </w:divBdr>
        </w:div>
        <w:div w:id="826435753">
          <w:marLeft w:val="0"/>
          <w:marRight w:val="0"/>
          <w:marTop w:val="0"/>
          <w:marBottom w:val="0"/>
          <w:divBdr>
            <w:top w:val="none" w:sz="0" w:space="0" w:color="auto"/>
            <w:left w:val="none" w:sz="0" w:space="0" w:color="auto"/>
            <w:bottom w:val="none" w:sz="0" w:space="0" w:color="auto"/>
            <w:right w:val="none" w:sz="0" w:space="0" w:color="auto"/>
          </w:divBdr>
        </w:div>
        <w:div w:id="827288988">
          <w:marLeft w:val="0"/>
          <w:marRight w:val="0"/>
          <w:marTop w:val="0"/>
          <w:marBottom w:val="0"/>
          <w:divBdr>
            <w:top w:val="none" w:sz="0" w:space="0" w:color="auto"/>
            <w:left w:val="none" w:sz="0" w:space="0" w:color="auto"/>
            <w:bottom w:val="none" w:sz="0" w:space="0" w:color="auto"/>
            <w:right w:val="none" w:sz="0" w:space="0" w:color="auto"/>
          </w:divBdr>
        </w:div>
        <w:div w:id="830218908">
          <w:marLeft w:val="0"/>
          <w:marRight w:val="0"/>
          <w:marTop w:val="0"/>
          <w:marBottom w:val="0"/>
          <w:divBdr>
            <w:top w:val="none" w:sz="0" w:space="0" w:color="auto"/>
            <w:left w:val="none" w:sz="0" w:space="0" w:color="auto"/>
            <w:bottom w:val="none" w:sz="0" w:space="0" w:color="auto"/>
            <w:right w:val="none" w:sz="0" w:space="0" w:color="auto"/>
          </w:divBdr>
        </w:div>
        <w:div w:id="830412527">
          <w:marLeft w:val="0"/>
          <w:marRight w:val="0"/>
          <w:marTop w:val="0"/>
          <w:marBottom w:val="0"/>
          <w:divBdr>
            <w:top w:val="none" w:sz="0" w:space="0" w:color="auto"/>
            <w:left w:val="none" w:sz="0" w:space="0" w:color="auto"/>
            <w:bottom w:val="none" w:sz="0" w:space="0" w:color="auto"/>
            <w:right w:val="none" w:sz="0" w:space="0" w:color="auto"/>
          </w:divBdr>
        </w:div>
        <w:div w:id="830412996">
          <w:marLeft w:val="0"/>
          <w:marRight w:val="0"/>
          <w:marTop w:val="0"/>
          <w:marBottom w:val="0"/>
          <w:divBdr>
            <w:top w:val="none" w:sz="0" w:space="0" w:color="auto"/>
            <w:left w:val="none" w:sz="0" w:space="0" w:color="auto"/>
            <w:bottom w:val="none" w:sz="0" w:space="0" w:color="auto"/>
            <w:right w:val="none" w:sz="0" w:space="0" w:color="auto"/>
          </w:divBdr>
        </w:div>
        <w:div w:id="830676843">
          <w:marLeft w:val="0"/>
          <w:marRight w:val="0"/>
          <w:marTop w:val="0"/>
          <w:marBottom w:val="0"/>
          <w:divBdr>
            <w:top w:val="none" w:sz="0" w:space="0" w:color="auto"/>
            <w:left w:val="none" w:sz="0" w:space="0" w:color="auto"/>
            <w:bottom w:val="none" w:sz="0" w:space="0" w:color="auto"/>
            <w:right w:val="none" w:sz="0" w:space="0" w:color="auto"/>
          </w:divBdr>
        </w:div>
        <w:div w:id="831525789">
          <w:marLeft w:val="0"/>
          <w:marRight w:val="0"/>
          <w:marTop w:val="0"/>
          <w:marBottom w:val="0"/>
          <w:divBdr>
            <w:top w:val="none" w:sz="0" w:space="0" w:color="auto"/>
            <w:left w:val="none" w:sz="0" w:space="0" w:color="auto"/>
            <w:bottom w:val="none" w:sz="0" w:space="0" w:color="auto"/>
            <w:right w:val="none" w:sz="0" w:space="0" w:color="auto"/>
          </w:divBdr>
        </w:div>
        <w:div w:id="838040899">
          <w:marLeft w:val="0"/>
          <w:marRight w:val="0"/>
          <w:marTop w:val="0"/>
          <w:marBottom w:val="0"/>
          <w:divBdr>
            <w:top w:val="none" w:sz="0" w:space="0" w:color="auto"/>
            <w:left w:val="none" w:sz="0" w:space="0" w:color="auto"/>
            <w:bottom w:val="none" w:sz="0" w:space="0" w:color="auto"/>
            <w:right w:val="none" w:sz="0" w:space="0" w:color="auto"/>
          </w:divBdr>
        </w:div>
        <w:div w:id="838155903">
          <w:marLeft w:val="0"/>
          <w:marRight w:val="0"/>
          <w:marTop w:val="0"/>
          <w:marBottom w:val="0"/>
          <w:divBdr>
            <w:top w:val="none" w:sz="0" w:space="0" w:color="auto"/>
            <w:left w:val="none" w:sz="0" w:space="0" w:color="auto"/>
            <w:bottom w:val="none" w:sz="0" w:space="0" w:color="auto"/>
            <w:right w:val="none" w:sz="0" w:space="0" w:color="auto"/>
          </w:divBdr>
        </w:div>
        <w:div w:id="839852130">
          <w:marLeft w:val="0"/>
          <w:marRight w:val="0"/>
          <w:marTop w:val="0"/>
          <w:marBottom w:val="0"/>
          <w:divBdr>
            <w:top w:val="none" w:sz="0" w:space="0" w:color="auto"/>
            <w:left w:val="none" w:sz="0" w:space="0" w:color="auto"/>
            <w:bottom w:val="none" w:sz="0" w:space="0" w:color="auto"/>
            <w:right w:val="none" w:sz="0" w:space="0" w:color="auto"/>
          </w:divBdr>
        </w:div>
        <w:div w:id="840898132">
          <w:marLeft w:val="0"/>
          <w:marRight w:val="0"/>
          <w:marTop w:val="0"/>
          <w:marBottom w:val="0"/>
          <w:divBdr>
            <w:top w:val="none" w:sz="0" w:space="0" w:color="auto"/>
            <w:left w:val="none" w:sz="0" w:space="0" w:color="auto"/>
            <w:bottom w:val="none" w:sz="0" w:space="0" w:color="auto"/>
            <w:right w:val="none" w:sz="0" w:space="0" w:color="auto"/>
          </w:divBdr>
        </w:div>
        <w:div w:id="841160659">
          <w:marLeft w:val="0"/>
          <w:marRight w:val="0"/>
          <w:marTop w:val="0"/>
          <w:marBottom w:val="0"/>
          <w:divBdr>
            <w:top w:val="none" w:sz="0" w:space="0" w:color="auto"/>
            <w:left w:val="none" w:sz="0" w:space="0" w:color="auto"/>
            <w:bottom w:val="none" w:sz="0" w:space="0" w:color="auto"/>
            <w:right w:val="none" w:sz="0" w:space="0" w:color="auto"/>
          </w:divBdr>
        </w:div>
        <w:div w:id="841243229">
          <w:marLeft w:val="0"/>
          <w:marRight w:val="0"/>
          <w:marTop w:val="0"/>
          <w:marBottom w:val="0"/>
          <w:divBdr>
            <w:top w:val="none" w:sz="0" w:space="0" w:color="auto"/>
            <w:left w:val="none" w:sz="0" w:space="0" w:color="auto"/>
            <w:bottom w:val="none" w:sz="0" w:space="0" w:color="auto"/>
            <w:right w:val="none" w:sz="0" w:space="0" w:color="auto"/>
          </w:divBdr>
        </w:div>
        <w:div w:id="841972230">
          <w:marLeft w:val="0"/>
          <w:marRight w:val="0"/>
          <w:marTop w:val="0"/>
          <w:marBottom w:val="0"/>
          <w:divBdr>
            <w:top w:val="none" w:sz="0" w:space="0" w:color="auto"/>
            <w:left w:val="none" w:sz="0" w:space="0" w:color="auto"/>
            <w:bottom w:val="none" w:sz="0" w:space="0" w:color="auto"/>
            <w:right w:val="none" w:sz="0" w:space="0" w:color="auto"/>
          </w:divBdr>
        </w:div>
        <w:div w:id="843395834">
          <w:marLeft w:val="0"/>
          <w:marRight w:val="0"/>
          <w:marTop w:val="0"/>
          <w:marBottom w:val="0"/>
          <w:divBdr>
            <w:top w:val="none" w:sz="0" w:space="0" w:color="auto"/>
            <w:left w:val="none" w:sz="0" w:space="0" w:color="auto"/>
            <w:bottom w:val="none" w:sz="0" w:space="0" w:color="auto"/>
            <w:right w:val="none" w:sz="0" w:space="0" w:color="auto"/>
          </w:divBdr>
        </w:div>
        <w:div w:id="843982777">
          <w:marLeft w:val="0"/>
          <w:marRight w:val="0"/>
          <w:marTop w:val="0"/>
          <w:marBottom w:val="0"/>
          <w:divBdr>
            <w:top w:val="none" w:sz="0" w:space="0" w:color="auto"/>
            <w:left w:val="none" w:sz="0" w:space="0" w:color="auto"/>
            <w:bottom w:val="none" w:sz="0" w:space="0" w:color="auto"/>
            <w:right w:val="none" w:sz="0" w:space="0" w:color="auto"/>
          </w:divBdr>
        </w:div>
        <w:div w:id="844783832">
          <w:marLeft w:val="0"/>
          <w:marRight w:val="0"/>
          <w:marTop w:val="0"/>
          <w:marBottom w:val="0"/>
          <w:divBdr>
            <w:top w:val="none" w:sz="0" w:space="0" w:color="auto"/>
            <w:left w:val="none" w:sz="0" w:space="0" w:color="auto"/>
            <w:bottom w:val="none" w:sz="0" w:space="0" w:color="auto"/>
            <w:right w:val="none" w:sz="0" w:space="0" w:color="auto"/>
          </w:divBdr>
        </w:div>
        <w:div w:id="847209852">
          <w:marLeft w:val="0"/>
          <w:marRight w:val="0"/>
          <w:marTop w:val="0"/>
          <w:marBottom w:val="0"/>
          <w:divBdr>
            <w:top w:val="none" w:sz="0" w:space="0" w:color="auto"/>
            <w:left w:val="none" w:sz="0" w:space="0" w:color="auto"/>
            <w:bottom w:val="none" w:sz="0" w:space="0" w:color="auto"/>
            <w:right w:val="none" w:sz="0" w:space="0" w:color="auto"/>
          </w:divBdr>
        </w:div>
        <w:div w:id="848762754">
          <w:marLeft w:val="0"/>
          <w:marRight w:val="0"/>
          <w:marTop w:val="0"/>
          <w:marBottom w:val="0"/>
          <w:divBdr>
            <w:top w:val="none" w:sz="0" w:space="0" w:color="auto"/>
            <w:left w:val="none" w:sz="0" w:space="0" w:color="auto"/>
            <w:bottom w:val="none" w:sz="0" w:space="0" w:color="auto"/>
            <w:right w:val="none" w:sz="0" w:space="0" w:color="auto"/>
          </w:divBdr>
        </w:div>
        <w:div w:id="849216099">
          <w:marLeft w:val="0"/>
          <w:marRight w:val="0"/>
          <w:marTop w:val="0"/>
          <w:marBottom w:val="0"/>
          <w:divBdr>
            <w:top w:val="none" w:sz="0" w:space="0" w:color="auto"/>
            <w:left w:val="none" w:sz="0" w:space="0" w:color="auto"/>
            <w:bottom w:val="none" w:sz="0" w:space="0" w:color="auto"/>
            <w:right w:val="none" w:sz="0" w:space="0" w:color="auto"/>
          </w:divBdr>
        </w:div>
        <w:div w:id="851605663">
          <w:marLeft w:val="0"/>
          <w:marRight w:val="0"/>
          <w:marTop w:val="0"/>
          <w:marBottom w:val="0"/>
          <w:divBdr>
            <w:top w:val="none" w:sz="0" w:space="0" w:color="auto"/>
            <w:left w:val="none" w:sz="0" w:space="0" w:color="auto"/>
            <w:bottom w:val="none" w:sz="0" w:space="0" w:color="auto"/>
            <w:right w:val="none" w:sz="0" w:space="0" w:color="auto"/>
          </w:divBdr>
        </w:div>
        <w:div w:id="852499866">
          <w:marLeft w:val="0"/>
          <w:marRight w:val="0"/>
          <w:marTop w:val="0"/>
          <w:marBottom w:val="0"/>
          <w:divBdr>
            <w:top w:val="none" w:sz="0" w:space="0" w:color="auto"/>
            <w:left w:val="none" w:sz="0" w:space="0" w:color="auto"/>
            <w:bottom w:val="none" w:sz="0" w:space="0" w:color="auto"/>
            <w:right w:val="none" w:sz="0" w:space="0" w:color="auto"/>
          </w:divBdr>
        </w:div>
        <w:div w:id="854610719">
          <w:marLeft w:val="0"/>
          <w:marRight w:val="0"/>
          <w:marTop w:val="0"/>
          <w:marBottom w:val="0"/>
          <w:divBdr>
            <w:top w:val="none" w:sz="0" w:space="0" w:color="auto"/>
            <w:left w:val="none" w:sz="0" w:space="0" w:color="auto"/>
            <w:bottom w:val="none" w:sz="0" w:space="0" w:color="auto"/>
            <w:right w:val="none" w:sz="0" w:space="0" w:color="auto"/>
          </w:divBdr>
        </w:div>
        <w:div w:id="854802300">
          <w:marLeft w:val="0"/>
          <w:marRight w:val="0"/>
          <w:marTop w:val="0"/>
          <w:marBottom w:val="0"/>
          <w:divBdr>
            <w:top w:val="none" w:sz="0" w:space="0" w:color="auto"/>
            <w:left w:val="none" w:sz="0" w:space="0" w:color="auto"/>
            <w:bottom w:val="none" w:sz="0" w:space="0" w:color="auto"/>
            <w:right w:val="none" w:sz="0" w:space="0" w:color="auto"/>
          </w:divBdr>
        </w:div>
        <w:div w:id="855072532">
          <w:marLeft w:val="0"/>
          <w:marRight w:val="0"/>
          <w:marTop w:val="0"/>
          <w:marBottom w:val="0"/>
          <w:divBdr>
            <w:top w:val="none" w:sz="0" w:space="0" w:color="auto"/>
            <w:left w:val="none" w:sz="0" w:space="0" w:color="auto"/>
            <w:bottom w:val="none" w:sz="0" w:space="0" w:color="auto"/>
            <w:right w:val="none" w:sz="0" w:space="0" w:color="auto"/>
          </w:divBdr>
        </w:div>
        <w:div w:id="855458597">
          <w:marLeft w:val="0"/>
          <w:marRight w:val="0"/>
          <w:marTop w:val="0"/>
          <w:marBottom w:val="0"/>
          <w:divBdr>
            <w:top w:val="none" w:sz="0" w:space="0" w:color="auto"/>
            <w:left w:val="none" w:sz="0" w:space="0" w:color="auto"/>
            <w:bottom w:val="none" w:sz="0" w:space="0" w:color="auto"/>
            <w:right w:val="none" w:sz="0" w:space="0" w:color="auto"/>
          </w:divBdr>
        </w:div>
        <w:div w:id="855849925">
          <w:marLeft w:val="0"/>
          <w:marRight w:val="0"/>
          <w:marTop w:val="0"/>
          <w:marBottom w:val="0"/>
          <w:divBdr>
            <w:top w:val="none" w:sz="0" w:space="0" w:color="auto"/>
            <w:left w:val="none" w:sz="0" w:space="0" w:color="auto"/>
            <w:bottom w:val="none" w:sz="0" w:space="0" w:color="auto"/>
            <w:right w:val="none" w:sz="0" w:space="0" w:color="auto"/>
          </w:divBdr>
        </w:div>
        <w:div w:id="856584158">
          <w:marLeft w:val="0"/>
          <w:marRight w:val="0"/>
          <w:marTop w:val="0"/>
          <w:marBottom w:val="0"/>
          <w:divBdr>
            <w:top w:val="none" w:sz="0" w:space="0" w:color="auto"/>
            <w:left w:val="none" w:sz="0" w:space="0" w:color="auto"/>
            <w:bottom w:val="none" w:sz="0" w:space="0" w:color="auto"/>
            <w:right w:val="none" w:sz="0" w:space="0" w:color="auto"/>
          </w:divBdr>
        </w:div>
        <w:div w:id="858129364">
          <w:marLeft w:val="0"/>
          <w:marRight w:val="0"/>
          <w:marTop w:val="0"/>
          <w:marBottom w:val="0"/>
          <w:divBdr>
            <w:top w:val="none" w:sz="0" w:space="0" w:color="auto"/>
            <w:left w:val="none" w:sz="0" w:space="0" w:color="auto"/>
            <w:bottom w:val="none" w:sz="0" w:space="0" w:color="auto"/>
            <w:right w:val="none" w:sz="0" w:space="0" w:color="auto"/>
          </w:divBdr>
        </w:div>
        <w:div w:id="858350509">
          <w:marLeft w:val="0"/>
          <w:marRight w:val="0"/>
          <w:marTop w:val="0"/>
          <w:marBottom w:val="0"/>
          <w:divBdr>
            <w:top w:val="none" w:sz="0" w:space="0" w:color="auto"/>
            <w:left w:val="none" w:sz="0" w:space="0" w:color="auto"/>
            <w:bottom w:val="none" w:sz="0" w:space="0" w:color="auto"/>
            <w:right w:val="none" w:sz="0" w:space="0" w:color="auto"/>
          </w:divBdr>
        </w:div>
        <w:div w:id="858391676">
          <w:marLeft w:val="0"/>
          <w:marRight w:val="0"/>
          <w:marTop w:val="0"/>
          <w:marBottom w:val="0"/>
          <w:divBdr>
            <w:top w:val="none" w:sz="0" w:space="0" w:color="auto"/>
            <w:left w:val="none" w:sz="0" w:space="0" w:color="auto"/>
            <w:bottom w:val="none" w:sz="0" w:space="0" w:color="auto"/>
            <w:right w:val="none" w:sz="0" w:space="0" w:color="auto"/>
          </w:divBdr>
          <w:divsChild>
            <w:div w:id="375012060">
              <w:marLeft w:val="0"/>
              <w:marRight w:val="0"/>
              <w:marTop w:val="0"/>
              <w:marBottom w:val="0"/>
              <w:divBdr>
                <w:top w:val="none" w:sz="0" w:space="0" w:color="auto"/>
                <w:left w:val="none" w:sz="0" w:space="0" w:color="auto"/>
                <w:bottom w:val="none" w:sz="0" w:space="0" w:color="auto"/>
                <w:right w:val="none" w:sz="0" w:space="0" w:color="auto"/>
              </w:divBdr>
            </w:div>
            <w:div w:id="412624327">
              <w:marLeft w:val="0"/>
              <w:marRight w:val="0"/>
              <w:marTop w:val="0"/>
              <w:marBottom w:val="0"/>
              <w:divBdr>
                <w:top w:val="none" w:sz="0" w:space="0" w:color="auto"/>
                <w:left w:val="none" w:sz="0" w:space="0" w:color="auto"/>
                <w:bottom w:val="none" w:sz="0" w:space="0" w:color="auto"/>
                <w:right w:val="none" w:sz="0" w:space="0" w:color="auto"/>
              </w:divBdr>
            </w:div>
            <w:div w:id="461774742">
              <w:marLeft w:val="0"/>
              <w:marRight w:val="0"/>
              <w:marTop w:val="0"/>
              <w:marBottom w:val="0"/>
              <w:divBdr>
                <w:top w:val="none" w:sz="0" w:space="0" w:color="auto"/>
                <w:left w:val="none" w:sz="0" w:space="0" w:color="auto"/>
                <w:bottom w:val="none" w:sz="0" w:space="0" w:color="auto"/>
                <w:right w:val="none" w:sz="0" w:space="0" w:color="auto"/>
              </w:divBdr>
            </w:div>
            <w:div w:id="477186051">
              <w:marLeft w:val="0"/>
              <w:marRight w:val="0"/>
              <w:marTop w:val="0"/>
              <w:marBottom w:val="0"/>
              <w:divBdr>
                <w:top w:val="none" w:sz="0" w:space="0" w:color="auto"/>
                <w:left w:val="none" w:sz="0" w:space="0" w:color="auto"/>
                <w:bottom w:val="none" w:sz="0" w:space="0" w:color="auto"/>
                <w:right w:val="none" w:sz="0" w:space="0" w:color="auto"/>
              </w:divBdr>
            </w:div>
            <w:div w:id="546185472">
              <w:marLeft w:val="0"/>
              <w:marRight w:val="0"/>
              <w:marTop w:val="0"/>
              <w:marBottom w:val="0"/>
              <w:divBdr>
                <w:top w:val="none" w:sz="0" w:space="0" w:color="auto"/>
                <w:left w:val="none" w:sz="0" w:space="0" w:color="auto"/>
                <w:bottom w:val="none" w:sz="0" w:space="0" w:color="auto"/>
                <w:right w:val="none" w:sz="0" w:space="0" w:color="auto"/>
              </w:divBdr>
            </w:div>
            <w:div w:id="577635471">
              <w:marLeft w:val="0"/>
              <w:marRight w:val="0"/>
              <w:marTop w:val="0"/>
              <w:marBottom w:val="0"/>
              <w:divBdr>
                <w:top w:val="none" w:sz="0" w:space="0" w:color="auto"/>
                <w:left w:val="none" w:sz="0" w:space="0" w:color="auto"/>
                <w:bottom w:val="none" w:sz="0" w:space="0" w:color="auto"/>
                <w:right w:val="none" w:sz="0" w:space="0" w:color="auto"/>
              </w:divBdr>
            </w:div>
            <w:div w:id="689796545">
              <w:marLeft w:val="0"/>
              <w:marRight w:val="0"/>
              <w:marTop w:val="0"/>
              <w:marBottom w:val="0"/>
              <w:divBdr>
                <w:top w:val="none" w:sz="0" w:space="0" w:color="auto"/>
                <w:left w:val="none" w:sz="0" w:space="0" w:color="auto"/>
                <w:bottom w:val="none" w:sz="0" w:space="0" w:color="auto"/>
                <w:right w:val="none" w:sz="0" w:space="0" w:color="auto"/>
              </w:divBdr>
            </w:div>
            <w:div w:id="712119015">
              <w:marLeft w:val="0"/>
              <w:marRight w:val="0"/>
              <w:marTop w:val="0"/>
              <w:marBottom w:val="0"/>
              <w:divBdr>
                <w:top w:val="none" w:sz="0" w:space="0" w:color="auto"/>
                <w:left w:val="none" w:sz="0" w:space="0" w:color="auto"/>
                <w:bottom w:val="none" w:sz="0" w:space="0" w:color="auto"/>
                <w:right w:val="none" w:sz="0" w:space="0" w:color="auto"/>
              </w:divBdr>
            </w:div>
            <w:div w:id="836648383">
              <w:marLeft w:val="0"/>
              <w:marRight w:val="0"/>
              <w:marTop w:val="0"/>
              <w:marBottom w:val="0"/>
              <w:divBdr>
                <w:top w:val="none" w:sz="0" w:space="0" w:color="auto"/>
                <w:left w:val="none" w:sz="0" w:space="0" w:color="auto"/>
                <w:bottom w:val="none" w:sz="0" w:space="0" w:color="auto"/>
                <w:right w:val="none" w:sz="0" w:space="0" w:color="auto"/>
              </w:divBdr>
            </w:div>
            <w:div w:id="1022632112">
              <w:marLeft w:val="0"/>
              <w:marRight w:val="0"/>
              <w:marTop w:val="0"/>
              <w:marBottom w:val="0"/>
              <w:divBdr>
                <w:top w:val="none" w:sz="0" w:space="0" w:color="auto"/>
                <w:left w:val="none" w:sz="0" w:space="0" w:color="auto"/>
                <w:bottom w:val="none" w:sz="0" w:space="0" w:color="auto"/>
                <w:right w:val="none" w:sz="0" w:space="0" w:color="auto"/>
              </w:divBdr>
            </w:div>
            <w:div w:id="1030840312">
              <w:marLeft w:val="0"/>
              <w:marRight w:val="0"/>
              <w:marTop w:val="0"/>
              <w:marBottom w:val="0"/>
              <w:divBdr>
                <w:top w:val="none" w:sz="0" w:space="0" w:color="auto"/>
                <w:left w:val="none" w:sz="0" w:space="0" w:color="auto"/>
                <w:bottom w:val="none" w:sz="0" w:space="0" w:color="auto"/>
                <w:right w:val="none" w:sz="0" w:space="0" w:color="auto"/>
              </w:divBdr>
            </w:div>
            <w:div w:id="1126587540">
              <w:marLeft w:val="0"/>
              <w:marRight w:val="0"/>
              <w:marTop w:val="0"/>
              <w:marBottom w:val="0"/>
              <w:divBdr>
                <w:top w:val="none" w:sz="0" w:space="0" w:color="auto"/>
                <w:left w:val="none" w:sz="0" w:space="0" w:color="auto"/>
                <w:bottom w:val="none" w:sz="0" w:space="0" w:color="auto"/>
                <w:right w:val="none" w:sz="0" w:space="0" w:color="auto"/>
              </w:divBdr>
            </w:div>
            <w:div w:id="1364280589">
              <w:marLeft w:val="0"/>
              <w:marRight w:val="0"/>
              <w:marTop w:val="0"/>
              <w:marBottom w:val="0"/>
              <w:divBdr>
                <w:top w:val="none" w:sz="0" w:space="0" w:color="auto"/>
                <w:left w:val="none" w:sz="0" w:space="0" w:color="auto"/>
                <w:bottom w:val="none" w:sz="0" w:space="0" w:color="auto"/>
                <w:right w:val="none" w:sz="0" w:space="0" w:color="auto"/>
              </w:divBdr>
            </w:div>
            <w:div w:id="1628704583">
              <w:marLeft w:val="0"/>
              <w:marRight w:val="0"/>
              <w:marTop w:val="0"/>
              <w:marBottom w:val="0"/>
              <w:divBdr>
                <w:top w:val="none" w:sz="0" w:space="0" w:color="auto"/>
                <w:left w:val="none" w:sz="0" w:space="0" w:color="auto"/>
                <w:bottom w:val="none" w:sz="0" w:space="0" w:color="auto"/>
                <w:right w:val="none" w:sz="0" w:space="0" w:color="auto"/>
              </w:divBdr>
            </w:div>
            <w:div w:id="1637374106">
              <w:marLeft w:val="0"/>
              <w:marRight w:val="0"/>
              <w:marTop w:val="0"/>
              <w:marBottom w:val="0"/>
              <w:divBdr>
                <w:top w:val="none" w:sz="0" w:space="0" w:color="auto"/>
                <w:left w:val="none" w:sz="0" w:space="0" w:color="auto"/>
                <w:bottom w:val="none" w:sz="0" w:space="0" w:color="auto"/>
                <w:right w:val="none" w:sz="0" w:space="0" w:color="auto"/>
              </w:divBdr>
            </w:div>
            <w:div w:id="1674992271">
              <w:marLeft w:val="0"/>
              <w:marRight w:val="0"/>
              <w:marTop w:val="0"/>
              <w:marBottom w:val="0"/>
              <w:divBdr>
                <w:top w:val="none" w:sz="0" w:space="0" w:color="auto"/>
                <w:left w:val="none" w:sz="0" w:space="0" w:color="auto"/>
                <w:bottom w:val="none" w:sz="0" w:space="0" w:color="auto"/>
                <w:right w:val="none" w:sz="0" w:space="0" w:color="auto"/>
              </w:divBdr>
            </w:div>
            <w:div w:id="1907910765">
              <w:marLeft w:val="0"/>
              <w:marRight w:val="0"/>
              <w:marTop w:val="0"/>
              <w:marBottom w:val="0"/>
              <w:divBdr>
                <w:top w:val="none" w:sz="0" w:space="0" w:color="auto"/>
                <w:left w:val="none" w:sz="0" w:space="0" w:color="auto"/>
                <w:bottom w:val="none" w:sz="0" w:space="0" w:color="auto"/>
                <w:right w:val="none" w:sz="0" w:space="0" w:color="auto"/>
              </w:divBdr>
            </w:div>
            <w:div w:id="2022662018">
              <w:marLeft w:val="0"/>
              <w:marRight w:val="0"/>
              <w:marTop w:val="0"/>
              <w:marBottom w:val="0"/>
              <w:divBdr>
                <w:top w:val="none" w:sz="0" w:space="0" w:color="auto"/>
                <w:left w:val="none" w:sz="0" w:space="0" w:color="auto"/>
                <w:bottom w:val="none" w:sz="0" w:space="0" w:color="auto"/>
                <w:right w:val="none" w:sz="0" w:space="0" w:color="auto"/>
              </w:divBdr>
            </w:div>
            <w:div w:id="2096970103">
              <w:marLeft w:val="0"/>
              <w:marRight w:val="0"/>
              <w:marTop w:val="0"/>
              <w:marBottom w:val="0"/>
              <w:divBdr>
                <w:top w:val="none" w:sz="0" w:space="0" w:color="auto"/>
                <w:left w:val="none" w:sz="0" w:space="0" w:color="auto"/>
                <w:bottom w:val="none" w:sz="0" w:space="0" w:color="auto"/>
                <w:right w:val="none" w:sz="0" w:space="0" w:color="auto"/>
              </w:divBdr>
            </w:div>
            <w:div w:id="2113815122">
              <w:marLeft w:val="0"/>
              <w:marRight w:val="0"/>
              <w:marTop w:val="0"/>
              <w:marBottom w:val="0"/>
              <w:divBdr>
                <w:top w:val="none" w:sz="0" w:space="0" w:color="auto"/>
                <w:left w:val="none" w:sz="0" w:space="0" w:color="auto"/>
                <w:bottom w:val="none" w:sz="0" w:space="0" w:color="auto"/>
                <w:right w:val="none" w:sz="0" w:space="0" w:color="auto"/>
              </w:divBdr>
            </w:div>
          </w:divsChild>
        </w:div>
        <w:div w:id="858392723">
          <w:marLeft w:val="0"/>
          <w:marRight w:val="0"/>
          <w:marTop w:val="0"/>
          <w:marBottom w:val="0"/>
          <w:divBdr>
            <w:top w:val="none" w:sz="0" w:space="0" w:color="auto"/>
            <w:left w:val="none" w:sz="0" w:space="0" w:color="auto"/>
            <w:bottom w:val="none" w:sz="0" w:space="0" w:color="auto"/>
            <w:right w:val="none" w:sz="0" w:space="0" w:color="auto"/>
          </w:divBdr>
        </w:div>
        <w:div w:id="858735822">
          <w:marLeft w:val="0"/>
          <w:marRight w:val="0"/>
          <w:marTop w:val="0"/>
          <w:marBottom w:val="0"/>
          <w:divBdr>
            <w:top w:val="none" w:sz="0" w:space="0" w:color="auto"/>
            <w:left w:val="none" w:sz="0" w:space="0" w:color="auto"/>
            <w:bottom w:val="none" w:sz="0" w:space="0" w:color="auto"/>
            <w:right w:val="none" w:sz="0" w:space="0" w:color="auto"/>
          </w:divBdr>
        </w:div>
        <w:div w:id="859243993">
          <w:marLeft w:val="0"/>
          <w:marRight w:val="0"/>
          <w:marTop w:val="0"/>
          <w:marBottom w:val="0"/>
          <w:divBdr>
            <w:top w:val="none" w:sz="0" w:space="0" w:color="auto"/>
            <w:left w:val="none" w:sz="0" w:space="0" w:color="auto"/>
            <w:bottom w:val="none" w:sz="0" w:space="0" w:color="auto"/>
            <w:right w:val="none" w:sz="0" w:space="0" w:color="auto"/>
          </w:divBdr>
        </w:div>
        <w:div w:id="861163102">
          <w:marLeft w:val="0"/>
          <w:marRight w:val="0"/>
          <w:marTop w:val="0"/>
          <w:marBottom w:val="0"/>
          <w:divBdr>
            <w:top w:val="none" w:sz="0" w:space="0" w:color="auto"/>
            <w:left w:val="none" w:sz="0" w:space="0" w:color="auto"/>
            <w:bottom w:val="none" w:sz="0" w:space="0" w:color="auto"/>
            <w:right w:val="none" w:sz="0" w:space="0" w:color="auto"/>
          </w:divBdr>
        </w:div>
        <w:div w:id="863128175">
          <w:marLeft w:val="0"/>
          <w:marRight w:val="0"/>
          <w:marTop w:val="0"/>
          <w:marBottom w:val="0"/>
          <w:divBdr>
            <w:top w:val="none" w:sz="0" w:space="0" w:color="auto"/>
            <w:left w:val="none" w:sz="0" w:space="0" w:color="auto"/>
            <w:bottom w:val="none" w:sz="0" w:space="0" w:color="auto"/>
            <w:right w:val="none" w:sz="0" w:space="0" w:color="auto"/>
          </w:divBdr>
        </w:div>
        <w:div w:id="863401460">
          <w:marLeft w:val="0"/>
          <w:marRight w:val="0"/>
          <w:marTop w:val="0"/>
          <w:marBottom w:val="0"/>
          <w:divBdr>
            <w:top w:val="none" w:sz="0" w:space="0" w:color="auto"/>
            <w:left w:val="none" w:sz="0" w:space="0" w:color="auto"/>
            <w:bottom w:val="none" w:sz="0" w:space="0" w:color="auto"/>
            <w:right w:val="none" w:sz="0" w:space="0" w:color="auto"/>
          </w:divBdr>
        </w:div>
        <w:div w:id="864099661">
          <w:marLeft w:val="0"/>
          <w:marRight w:val="0"/>
          <w:marTop w:val="0"/>
          <w:marBottom w:val="0"/>
          <w:divBdr>
            <w:top w:val="none" w:sz="0" w:space="0" w:color="auto"/>
            <w:left w:val="none" w:sz="0" w:space="0" w:color="auto"/>
            <w:bottom w:val="none" w:sz="0" w:space="0" w:color="auto"/>
            <w:right w:val="none" w:sz="0" w:space="0" w:color="auto"/>
          </w:divBdr>
        </w:div>
        <w:div w:id="866061871">
          <w:marLeft w:val="0"/>
          <w:marRight w:val="0"/>
          <w:marTop w:val="0"/>
          <w:marBottom w:val="0"/>
          <w:divBdr>
            <w:top w:val="none" w:sz="0" w:space="0" w:color="auto"/>
            <w:left w:val="none" w:sz="0" w:space="0" w:color="auto"/>
            <w:bottom w:val="none" w:sz="0" w:space="0" w:color="auto"/>
            <w:right w:val="none" w:sz="0" w:space="0" w:color="auto"/>
          </w:divBdr>
        </w:div>
        <w:div w:id="866212768">
          <w:marLeft w:val="0"/>
          <w:marRight w:val="0"/>
          <w:marTop w:val="0"/>
          <w:marBottom w:val="0"/>
          <w:divBdr>
            <w:top w:val="none" w:sz="0" w:space="0" w:color="auto"/>
            <w:left w:val="none" w:sz="0" w:space="0" w:color="auto"/>
            <w:bottom w:val="none" w:sz="0" w:space="0" w:color="auto"/>
            <w:right w:val="none" w:sz="0" w:space="0" w:color="auto"/>
          </w:divBdr>
        </w:div>
        <w:div w:id="867181503">
          <w:marLeft w:val="0"/>
          <w:marRight w:val="0"/>
          <w:marTop w:val="0"/>
          <w:marBottom w:val="0"/>
          <w:divBdr>
            <w:top w:val="none" w:sz="0" w:space="0" w:color="auto"/>
            <w:left w:val="none" w:sz="0" w:space="0" w:color="auto"/>
            <w:bottom w:val="none" w:sz="0" w:space="0" w:color="auto"/>
            <w:right w:val="none" w:sz="0" w:space="0" w:color="auto"/>
          </w:divBdr>
        </w:div>
        <w:div w:id="867566242">
          <w:marLeft w:val="0"/>
          <w:marRight w:val="0"/>
          <w:marTop w:val="0"/>
          <w:marBottom w:val="0"/>
          <w:divBdr>
            <w:top w:val="none" w:sz="0" w:space="0" w:color="auto"/>
            <w:left w:val="none" w:sz="0" w:space="0" w:color="auto"/>
            <w:bottom w:val="none" w:sz="0" w:space="0" w:color="auto"/>
            <w:right w:val="none" w:sz="0" w:space="0" w:color="auto"/>
          </w:divBdr>
        </w:div>
        <w:div w:id="868564802">
          <w:marLeft w:val="0"/>
          <w:marRight w:val="0"/>
          <w:marTop w:val="0"/>
          <w:marBottom w:val="0"/>
          <w:divBdr>
            <w:top w:val="none" w:sz="0" w:space="0" w:color="auto"/>
            <w:left w:val="none" w:sz="0" w:space="0" w:color="auto"/>
            <w:bottom w:val="none" w:sz="0" w:space="0" w:color="auto"/>
            <w:right w:val="none" w:sz="0" w:space="0" w:color="auto"/>
          </w:divBdr>
        </w:div>
        <w:div w:id="869874020">
          <w:marLeft w:val="0"/>
          <w:marRight w:val="0"/>
          <w:marTop w:val="0"/>
          <w:marBottom w:val="0"/>
          <w:divBdr>
            <w:top w:val="none" w:sz="0" w:space="0" w:color="auto"/>
            <w:left w:val="none" w:sz="0" w:space="0" w:color="auto"/>
            <w:bottom w:val="none" w:sz="0" w:space="0" w:color="auto"/>
            <w:right w:val="none" w:sz="0" w:space="0" w:color="auto"/>
          </w:divBdr>
        </w:div>
        <w:div w:id="871069991">
          <w:marLeft w:val="0"/>
          <w:marRight w:val="0"/>
          <w:marTop w:val="0"/>
          <w:marBottom w:val="0"/>
          <w:divBdr>
            <w:top w:val="none" w:sz="0" w:space="0" w:color="auto"/>
            <w:left w:val="none" w:sz="0" w:space="0" w:color="auto"/>
            <w:bottom w:val="none" w:sz="0" w:space="0" w:color="auto"/>
            <w:right w:val="none" w:sz="0" w:space="0" w:color="auto"/>
          </w:divBdr>
        </w:div>
        <w:div w:id="872380273">
          <w:marLeft w:val="0"/>
          <w:marRight w:val="0"/>
          <w:marTop w:val="0"/>
          <w:marBottom w:val="0"/>
          <w:divBdr>
            <w:top w:val="none" w:sz="0" w:space="0" w:color="auto"/>
            <w:left w:val="none" w:sz="0" w:space="0" w:color="auto"/>
            <w:bottom w:val="none" w:sz="0" w:space="0" w:color="auto"/>
            <w:right w:val="none" w:sz="0" w:space="0" w:color="auto"/>
          </w:divBdr>
        </w:div>
        <w:div w:id="876551917">
          <w:marLeft w:val="0"/>
          <w:marRight w:val="0"/>
          <w:marTop w:val="0"/>
          <w:marBottom w:val="0"/>
          <w:divBdr>
            <w:top w:val="none" w:sz="0" w:space="0" w:color="auto"/>
            <w:left w:val="none" w:sz="0" w:space="0" w:color="auto"/>
            <w:bottom w:val="none" w:sz="0" w:space="0" w:color="auto"/>
            <w:right w:val="none" w:sz="0" w:space="0" w:color="auto"/>
          </w:divBdr>
        </w:div>
        <w:div w:id="877159865">
          <w:marLeft w:val="0"/>
          <w:marRight w:val="0"/>
          <w:marTop w:val="0"/>
          <w:marBottom w:val="0"/>
          <w:divBdr>
            <w:top w:val="none" w:sz="0" w:space="0" w:color="auto"/>
            <w:left w:val="none" w:sz="0" w:space="0" w:color="auto"/>
            <w:bottom w:val="none" w:sz="0" w:space="0" w:color="auto"/>
            <w:right w:val="none" w:sz="0" w:space="0" w:color="auto"/>
          </w:divBdr>
        </w:div>
        <w:div w:id="877200407">
          <w:marLeft w:val="0"/>
          <w:marRight w:val="0"/>
          <w:marTop w:val="0"/>
          <w:marBottom w:val="0"/>
          <w:divBdr>
            <w:top w:val="none" w:sz="0" w:space="0" w:color="auto"/>
            <w:left w:val="none" w:sz="0" w:space="0" w:color="auto"/>
            <w:bottom w:val="none" w:sz="0" w:space="0" w:color="auto"/>
            <w:right w:val="none" w:sz="0" w:space="0" w:color="auto"/>
          </w:divBdr>
        </w:div>
        <w:div w:id="878669403">
          <w:marLeft w:val="0"/>
          <w:marRight w:val="0"/>
          <w:marTop w:val="0"/>
          <w:marBottom w:val="0"/>
          <w:divBdr>
            <w:top w:val="none" w:sz="0" w:space="0" w:color="auto"/>
            <w:left w:val="none" w:sz="0" w:space="0" w:color="auto"/>
            <w:bottom w:val="none" w:sz="0" w:space="0" w:color="auto"/>
            <w:right w:val="none" w:sz="0" w:space="0" w:color="auto"/>
          </w:divBdr>
        </w:div>
        <w:div w:id="882642357">
          <w:marLeft w:val="0"/>
          <w:marRight w:val="0"/>
          <w:marTop w:val="0"/>
          <w:marBottom w:val="0"/>
          <w:divBdr>
            <w:top w:val="none" w:sz="0" w:space="0" w:color="auto"/>
            <w:left w:val="none" w:sz="0" w:space="0" w:color="auto"/>
            <w:bottom w:val="none" w:sz="0" w:space="0" w:color="auto"/>
            <w:right w:val="none" w:sz="0" w:space="0" w:color="auto"/>
          </w:divBdr>
        </w:div>
        <w:div w:id="883059842">
          <w:marLeft w:val="0"/>
          <w:marRight w:val="0"/>
          <w:marTop w:val="0"/>
          <w:marBottom w:val="0"/>
          <w:divBdr>
            <w:top w:val="none" w:sz="0" w:space="0" w:color="auto"/>
            <w:left w:val="none" w:sz="0" w:space="0" w:color="auto"/>
            <w:bottom w:val="none" w:sz="0" w:space="0" w:color="auto"/>
            <w:right w:val="none" w:sz="0" w:space="0" w:color="auto"/>
          </w:divBdr>
        </w:div>
        <w:div w:id="884489750">
          <w:marLeft w:val="0"/>
          <w:marRight w:val="0"/>
          <w:marTop w:val="0"/>
          <w:marBottom w:val="0"/>
          <w:divBdr>
            <w:top w:val="none" w:sz="0" w:space="0" w:color="auto"/>
            <w:left w:val="none" w:sz="0" w:space="0" w:color="auto"/>
            <w:bottom w:val="none" w:sz="0" w:space="0" w:color="auto"/>
            <w:right w:val="none" w:sz="0" w:space="0" w:color="auto"/>
          </w:divBdr>
        </w:div>
        <w:div w:id="884607834">
          <w:marLeft w:val="0"/>
          <w:marRight w:val="0"/>
          <w:marTop w:val="0"/>
          <w:marBottom w:val="0"/>
          <w:divBdr>
            <w:top w:val="none" w:sz="0" w:space="0" w:color="auto"/>
            <w:left w:val="none" w:sz="0" w:space="0" w:color="auto"/>
            <w:bottom w:val="none" w:sz="0" w:space="0" w:color="auto"/>
            <w:right w:val="none" w:sz="0" w:space="0" w:color="auto"/>
          </w:divBdr>
        </w:div>
        <w:div w:id="885457677">
          <w:marLeft w:val="0"/>
          <w:marRight w:val="0"/>
          <w:marTop w:val="0"/>
          <w:marBottom w:val="0"/>
          <w:divBdr>
            <w:top w:val="none" w:sz="0" w:space="0" w:color="auto"/>
            <w:left w:val="none" w:sz="0" w:space="0" w:color="auto"/>
            <w:bottom w:val="none" w:sz="0" w:space="0" w:color="auto"/>
            <w:right w:val="none" w:sz="0" w:space="0" w:color="auto"/>
          </w:divBdr>
        </w:div>
        <w:div w:id="886182178">
          <w:marLeft w:val="0"/>
          <w:marRight w:val="0"/>
          <w:marTop w:val="0"/>
          <w:marBottom w:val="0"/>
          <w:divBdr>
            <w:top w:val="none" w:sz="0" w:space="0" w:color="auto"/>
            <w:left w:val="none" w:sz="0" w:space="0" w:color="auto"/>
            <w:bottom w:val="none" w:sz="0" w:space="0" w:color="auto"/>
            <w:right w:val="none" w:sz="0" w:space="0" w:color="auto"/>
          </w:divBdr>
        </w:div>
        <w:div w:id="887110096">
          <w:marLeft w:val="0"/>
          <w:marRight w:val="0"/>
          <w:marTop w:val="0"/>
          <w:marBottom w:val="0"/>
          <w:divBdr>
            <w:top w:val="none" w:sz="0" w:space="0" w:color="auto"/>
            <w:left w:val="none" w:sz="0" w:space="0" w:color="auto"/>
            <w:bottom w:val="none" w:sz="0" w:space="0" w:color="auto"/>
            <w:right w:val="none" w:sz="0" w:space="0" w:color="auto"/>
          </w:divBdr>
          <w:divsChild>
            <w:div w:id="119499672">
              <w:marLeft w:val="0"/>
              <w:marRight w:val="0"/>
              <w:marTop w:val="0"/>
              <w:marBottom w:val="0"/>
              <w:divBdr>
                <w:top w:val="none" w:sz="0" w:space="0" w:color="auto"/>
                <w:left w:val="none" w:sz="0" w:space="0" w:color="auto"/>
                <w:bottom w:val="none" w:sz="0" w:space="0" w:color="auto"/>
                <w:right w:val="none" w:sz="0" w:space="0" w:color="auto"/>
              </w:divBdr>
            </w:div>
            <w:div w:id="151719497">
              <w:marLeft w:val="0"/>
              <w:marRight w:val="0"/>
              <w:marTop w:val="0"/>
              <w:marBottom w:val="0"/>
              <w:divBdr>
                <w:top w:val="none" w:sz="0" w:space="0" w:color="auto"/>
                <w:left w:val="none" w:sz="0" w:space="0" w:color="auto"/>
                <w:bottom w:val="none" w:sz="0" w:space="0" w:color="auto"/>
                <w:right w:val="none" w:sz="0" w:space="0" w:color="auto"/>
              </w:divBdr>
            </w:div>
            <w:div w:id="315456232">
              <w:marLeft w:val="0"/>
              <w:marRight w:val="0"/>
              <w:marTop w:val="0"/>
              <w:marBottom w:val="0"/>
              <w:divBdr>
                <w:top w:val="none" w:sz="0" w:space="0" w:color="auto"/>
                <w:left w:val="none" w:sz="0" w:space="0" w:color="auto"/>
                <w:bottom w:val="none" w:sz="0" w:space="0" w:color="auto"/>
                <w:right w:val="none" w:sz="0" w:space="0" w:color="auto"/>
              </w:divBdr>
            </w:div>
            <w:div w:id="423915175">
              <w:marLeft w:val="0"/>
              <w:marRight w:val="0"/>
              <w:marTop w:val="0"/>
              <w:marBottom w:val="0"/>
              <w:divBdr>
                <w:top w:val="none" w:sz="0" w:space="0" w:color="auto"/>
                <w:left w:val="none" w:sz="0" w:space="0" w:color="auto"/>
                <w:bottom w:val="none" w:sz="0" w:space="0" w:color="auto"/>
                <w:right w:val="none" w:sz="0" w:space="0" w:color="auto"/>
              </w:divBdr>
            </w:div>
            <w:div w:id="454442875">
              <w:marLeft w:val="0"/>
              <w:marRight w:val="0"/>
              <w:marTop w:val="0"/>
              <w:marBottom w:val="0"/>
              <w:divBdr>
                <w:top w:val="none" w:sz="0" w:space="0" w:color="auto"/>
                <w:left w:val="none" w:sz="0" w:space="0" w:color="auto"/>
                <w:bottom w:val="none" w:sz="0" w:space="0" w:color="auto"/>
                <w:right w:val="none" w:sz="0" w:space="0" w:color="auto"/>
              </w:divBdr>
            </w:div>
            <w:div w:id="521014153">
              <w:marLeft w:val="0"/>
              <w:marRight w:val="0"/>
              <w:marTop w:val="0"/>
              <w:marBottom w:val="0"/>
              <w:divBdr>
                <w:top w:val="none" w:sz="0" w:space="0" w:color="auto"/>
                <w:left w:val="none" w:sz="0" w:space="0" w:color="auto"/>
                <w:bottom w:val="none" w:sz="0" w:space="0" w:color="auto"/>
                <w:right w:val="none" w:sz="0" w:space="0" w:color="auto"/>
              </w:divBdr>
            </w:div>
            <w:div w:id="693574418">
              <w:marLeft w:val="0"/>
              <w:marRight w:val="0"/>
              <w:marTop w:val="0"/>
              <w:marBottom w:val="0"/>
              <w:divBdr>
                <w:top w:val="none" w:sz="0" w:space="0" w:color="auto"/>
                <w:left w:val="none" w:sz="0" w:space="0" w:color="auto"/>
                <w:bottom w:val="none" w:sz="0" w:space="0" w:color="auto"/>
                <w:right w:val="none" w:sz="0" w:space="0" w:color="auto"/>
              </w:divBdr>
            </w:div>
            <w:div w:id="747770724">
              <w:marLeft w:val="0"/>
              <w:marRight w:val="0"/>
              <w:marTop w:val="0"/>
              <w:marBottom w:val="0"/>
              <w:divBdr>
                <w:top w:val="none" w:sz="0" w:space="0" w:color="auto"/>
                <w:left w:val="none" w:sz="0" w:space="0" w:color="auto"/>
                <w:bottom w:val="none" w:sz="0" w:space="0" w:color="auto"/>
                <w:right w:val="none" w:sz="0" w:space="0" w:color="auto"/>
              </w:divBdr>
            </w:div>
            <w:div w:id="770276441">
              <w:marLeft w:val="0"/>
              <w:marRight w:val="0"/>
              <w:marTop w:val="0"/>
              <w:marBottom w:val="0"/>
              <w:divBdr>
                <w:top w:val="none" w:sz="0" w:space="0" w:color="auto"/>
                <w:left w:val="none" w:sz="0" w:space="0" w:color="auto"/>
                <w:bottom w:val="none" w:sz="0" w:space="0" w:color="auto"/>
                <w:right w:val="none" w:sz="0" w:space="0" w:color="auto"/>
              </w:divBdr>
            </w:div>
            <w:div w:id="1144814310">
              <w:marLeft w:val="0"/>
              <w:marRight w:val="0"/>
              <w:marTop w:val="0"/>
              <w:marBottom w:val="0"/>
              <w:divBdr>
                <w:top w:val="none" w:sz="0" w:space="0" w:color="auto"/>
                <w:left w:val="none" w:sz="0" w:space="0" w:color="auto"/>
                <w:bottom w:val="none" w:sz="0" w:space="0" w:color="auto"/>
                <w:right w:val="none" w:sz="0" w:space="0" w:color="auto"/>
              </w:divBdr>
            </w:div>
            <w:div w:id="1484814560">
              <w:marLeft w:val="0"/>
              <w:marRight w:val="0"/>
              <w:marTop w:val="0"/>
              <w:marBottom w:val="0"/>
              <w:divBdr>
                <w:top w:val="none" w:sz="0" w:space="0" w:color="auto"/>
                <w:left w:val="none" w:sz="0" w:space="0" w:color="auto"/>
                <w:bottom w:val="none" w:sz="0" w:space="0" w:color="auto"/>
                <w:right w:val="none" w:sz="0" w:space="0" w:color="auto"/>
              </w:divBdr>
            </w:div>
            <w:div w:id="1549999594">
              <w:marLeft w:val="0"/>
              <w:marRight w:val="0"/>
              <w:marTop w:val="0"/>
              <w:marBottom w:val="0"/>
              <w:divBdr>
                <w:top w:val="none" w:sz="0" w:space="0" w:color="auto"/>
                <w:left w:val="none" w:sz="0" w:space="0" w:color="auto"/>
                <w:bottom w:val="none" w:sz="0" w:space="0" w:color="auto"/>
                <w:right w:val="none" w:sz="0" w:space="0" w:color="auto"/>
              </w:divBdr>
            </w:div>
            <w:div w:id="1633975346">
              <w:marLeft w:val="0"/>
              <w:marRight w:val="0"/>
              <w:marTop w:val="0"/>
              <w:marBottom w:val="0"/>
              <w:divBdr>
                <w:top w:val="none" w:sz="0" w:space="0" w:color="auto"/>
                <w:left w:val="none" w:sz="0" w:space="0" w:color="auto"/>
                <w:bottom w:val="none" w:sz="0" w:space="0" w:color="auto"/>
                <w:right w:val="none" w:sz="0" w:space="0" w:color="auto"/>
              </w:divBdr>
            </w:div>
            <w:div w:id="1696692458">
              <w:marLeft w:val="0"/>
              <w:marRight w:val="0"/>
              <w:marTop w:val="0"/>
              <w:marBottom w:val="0"/>
              <w:divBdr>
                <w:top w:val="none" w:sz="0" w:space="0" w:color="auto"/>
                <w:left w:val="none" w:sz="0" w:space="0" w:color="auto"/>
                <w:bottom w:val="none" w:sz="0" w:space="0" w:color="auto"/>
                <w:right w:val="none" w:sz="0" w:space="0" w:color="auto"/>
              </w:divBdr>
            </w:div>
            <w:div w:id="1739597215">
              <w:marLeft w:val="0"/>
              <w:marRight w:val="0"/>
              <w:marTop w:val="0"/>
              <w:marBottom w:val="0"/>
              <w:divBdr>
                <w:top w:val="none" w:sz="0" w:space="0" w:color="auto"/>
                <w:left w:val="none" w:sz="0" w:space="0" w:color="auto"/>
                <w:bottom w:val="none" w:sz="0" w:space="0" w:color="auto"/>
                <w:right w:val="none" w:sz="0" w:space="0" w:color="auto"/>
              </w:divBdr>
            </w:div>
            <w:div w:id="1773358846">
              <w:marLeft w:val="0"/>
              <w:marRight w:val="0"/>
              <w:marTop w:val="0"/>
              <w:marBottom w:val="0"/>
              <w:divBdr>
                <w:top w:val="none" w:sz="0" w:space="0" w:color="auto"/>
                <w:left w:val="none" w:sz="0" w:space="0" w:color="auto"/>
                <w:bottom w:val="none" w:sz="0" w:space="0" w:color="auto"/>
                <w:right w:val="none" w:sz="0" w:space="0" w:color="auto"/>
              </w:divBdr>
            </w:div>
            <w:div w:id="1882354906">
              <w:marLeft w:val="0"/>
              <w:marRight w:val="0"/>
              <w:marTop w:val="0"/>
              <w:marBottom w:val="0"/>
              <w:divBdr>
                <w:top w:val="none" w:sz="0" w:space="0" w:color="auto"/>
                <w:left w:val="none" w:sz="0" w:space="0" w:color="auto"/>
                <w:bottom w:val="none" w:sz="0" w:space="0" w:color="auto"/>
                <w:right w:val="none" w:sz="0" w:space="0" w:color="auto"/>
              </w:divBdr>
            </w:div>
            <w:div w:id="1964191800">
              <w:marLeft w:val="0"/>
              <w:marRight w:val="0"/>
              <w:marTop w:val="0"/>
              <w:marBottom w:val="0"/>
              <w:divBdr>
                <w:top w:val="none" w:sz="0" w:space="0" w:color="auto"/>
                <w:left w:val="none" w:sz="0" w:space="0" w:color="auto"/>
                <w:bottom w:val="none" w:sz="0" w:space="0" w:color="auto"/>
                <w:right w:val="none" w:sz="0" w:space="0" w:color="auto"/>
              </w:divBdr>
            </w:div>
            <w:div w:id="2032561703">
              <w:marLeft w:val="0"/>
              <w:marRight w:val="0"/>
              <w:marTop w:val="0"/>
              <w:marBottom w:val="0"/>
              <w:divBdr>
                <w:top w:val="none" w:sz="0" w:space="0" w:color="auto"/>
                <w:left w:val="none" w:sz="0" w:space="0" w:color="auto"/>
                <w:bottom w:val="none" w:sz="0" w:space="0" w:color="auto"/>
                <w:right w:val="none" w:sz="0" w:space="0" w:color="auto"/>
              </w:divBdr>
            </w:div>
            <w:div w:id="2046519101">
              <w:marLeft w:val="0"/>
              <w:marRight w:val="0"/>
              <w:marTop w:val="0"/>
              <w:marBottom w:val="0"/>
              <w:divBdr>
                <w:top w:val="none" w:sz="0" w:space="0" w:color="auto"/>
                <w:left w:val="none" w:sz="0" w:space="0" w:color="auto"/>
                <w:bottom w:val="none" w:sz="0" w:space="0" w:color="auto"/>
                <w:right w:val="none" w:sz="0" w:space="0" w:color="auto"/>
              </w:divBdr>
            </w:div>
            <w:div w:id="2144880441">
              <w:marLeft w:val="0"/>
              <w:marRight w:val="0"/>
              <w:marTop w:val="0"/>
              <w:marBottom w:val="0"/>
              <w:divBdr>
                <w:top w:val="none" w:sz="0" w:space="0" w:color="auto"/>
                <w:left w:val="none" w:sz="0" w:space="0" w:color="auto"/>
                <w:bottom w:val="none" w:sz="0" w:space="0" w:color="auto"/>
                <w:right w:val="none" w:sz="0" w:space="0" w:color="auto"/>
              </w:divBdr>
            </w:div>
          </w:divsChild>
        </w:div>
        <w:div w:id="888880711">
          <w:marLeft w:val="0"/>
          <w:marRight w:val="0"/>
          <w:marTop w:val="0"/>
          <w:marBottom w:val="0"/>
          <w:divBdr>
            <w:top w:val="none" w:sz="0" w:space="0" w:color="auto"/>
            <w:left w:val="none" w:sz="0" w:space="0" w:color="auto"/>
            <w:bottom w:val="none" w:sz="0" w:space="0" w:color="auto"/>
            <w:right w:val="none" w:sz="0" w:space="0" w:color="auto"/>
          </w:divBdr>
        </w:div>
        <w:div w:id="890457649">
          <w:marLeft w:val="0"/>
          <w:marRight w:val="0"/>
          <w:marTop w:val="0"/>
          <w:marBottom w:val="0"/>
          <w:divBdr>
            <w:top w:val="none" w:sz="0" w:space="0" w:color="auto"/>
            <w:left w:val="none" w:sz="0" w:space="0" w:color="auto"/>
            <w:bottom w:val="none" w:sz="0" w:space="0" w:color="auto"/>
            <w:right w:val="none" w:sz="0" w:space="0" w:color="auto"/>
          </w:divBdr>
          <w:divsChild>
            <w:div w:id="33625330">
              <w:marLeft w:val="0"/>
              <w:marRight w:val="0"/>
              <w:marTop w:val="0"/>
              <w:marBottom w:val="0"/>
              <w:divBdr>
                <w:top w:val="none" w:sz="0" w:space="0" w:color="auto"/>
                <w:left w:val="none" w:sz="0" w:space="0" w:color="auto"/>
                <w:bottom w:val="none" w:sz="0" w:space="0" w:color="auto"/>
                <w:right w:val="none" w:sz="0" w:space="0" w:color="auto"/>
              </w:divBdr>
            </w:div>
            <w:div w:id="61685337">
              <w:marLeft w:val="0"/>
              <w:marRight w:val="0"/>
              <w:marTop w:val="0"/>
              <w:marBottom w:val="0"/>
              <w:divBdr>
                <w:top w:val="none" w:sz="0" w:space="0" w:color="auto"/>
                <w:left w:val="none" w:sz="0" w:space="0" w:color="auto"/>
                <w:bottom w:val="none" w:sz="0" w:space="0" w:color="auto"/>
                <w:right w:val="none" w:sz="0" w:space="0" w:color="auto"/>
              </w:divBdr>
            </w:div>
            <w:div w:id="351339721">
              <w:marLeft w:val="0"/>
              <w:marRight w:val="0"/>
              <w:marTop w:val="0"/>
              <w:marBottom w:val="0"/>
              <w:divBdr>
                <w:top w:val="none" w:sz="0" w:space="0" w:color="auto"/>
                <w:left w:val="none" w:sz="0" w:space="0" w:color="auto"/>
                <w:bottom w:val="none" w:sz="0" w:space="0" w:color="auto"/>
                <w:right w:val="none" w:sz="0" w:space="0" w:color="auto"/>
              </w:divBdr>
            </w:div>
            <w:div w:id="541599590">
              <w:marLeft w:val="0"/>
              <w:marRight w:val="0"/>
              <w:marTop w:val="0"/>
              <w:marBottom w:val="0"/>
              <w:divBdr>
                <w:top w:val="none" w:sz="0" w:space="0" w:color="auto"/>
                <w:left w:val="none" w:sz="0" w:space="0" w:color="auto"/>
                <w:bottom w:val="none" w:sz="0" w:space="0" w:color="auto"/>
                <w:right w:val="none" w:sz="0" w:space="0" w:color="auto"/>
              </w:divBdr>
            </w:div>
            <w:div w:id="603878172">
              <w:marLeft w:val="0"/>
              <w:marRight w:val="0"/>
              <w:marTop w:val="0"/>
              <w:marBottom w:val="0"/>
              <w:divBdr>
                <w:top w:val="none" w:sz="0" w:space="0" w:color="auto"/>
                <w:left w:val="none" w:sz="0" w:space="0" w:color="auto"/>
                <w:bottom w:val="none" w:sz="0" w:space="0" w:color="auto"/>
                <w:right w:val="none" w:sz="0" w:space="0" w:color="auto"/>
              </w:divBdr>
            </w:div>
            <w:div w:id="668482923">
              <w:marLeft w:val="0"/>
              <w:marRight w:val="0"/>
              <w:marTop w:val="0"/>
              <w:marBottom w:val="0"/>
              <w:divBdr>
                <w:top w:val="none" w:sz="0" w:space="0" w:color="auto"/>
                <w:left w:val="none" w:sz="0" w:space="0" w:color="auto"/>
                <w:bottom w:val="none" w:sz="0" w:space="0" w:color="auto"/>
                <w:right w:val="none" w:sz="0" w:space="0" w:color="auto"/>
              </w:divBdr>
            </w:div>
            <w:div w:id="773285263">
              <w:marLeft w:val="0"/>
              <w:marRight w:val="0"/>
              <w:marTop w:val="0"/>
              <w:marBottom w:val="0"/>
              <w:divBdr>
                <w:top w:val="none" w:sz="0" w:space="0" w:color="auto"/>
                <w:left w:val="none" w:sz="0" w:space="0" w:color="auto"/>
                <w:bottom w:val="none" w:sz="0" w:space="0" w:color="auto"/>
                <w:right w:val="none" w:sz="0" w:space="0" w:color="auto"/>
              </w:divBdr>
            </w:div>
            <w:div w:id="835537314">
              <w:marLeft w:val="0"/>
              <w:marRight w:val="0"/>
              <w:marTop w:val="0"/>
              <w:marBottom w:val="0"/>
              <w:divBdr>
                <w:top w:val="none" w:sz="0" w:space="0" w:color="auto"/>
                <w:left w:val="none" w:sz="0" w:space="0" w:color="auto"/>
                <w:bottom w:val="none" w:sz="0" w:space="0" w:color="auto"/>
                <w:right w:val="none" w:sz="0" w:space="0" w:color="auto"/>
              </w:divBdr>
            </w:div>
            <w:div w:id="862671685">
              <w:marLeft w:val="0"/>
              <w:marRight w:val="0"/>
              <w:marTop w:val="0"/>
              <w:marBottom w:val="0"/>
              <w:divBdr>
                <w:top w:val="none" w:sz="0" w:space="0" w:color="auto"/>
                <w:left w:val="none" w:sz="0" w:space="0" w:color="auto"/>
                <w:bottom w:val="none" w:sz="0" w:space="0" w:color="auto"/>
                <w:right w:val="none" w:sz="0" w:space="0" w:color="auto"/>
              </w:divBdr>
            </w:div>
            <w:div w:id="866141430">
              <w:marLeft w:val="0"/>
              <w:marRight w:val="0"/>
              <w:marTop w:val="0"/>
              <w:marBottom w:val="0"/>
              <w:divBdr>
                <w:top w:val="none" w:sz="0" w:space="0" w:color="auto"/>
                <w:left w:val="none" w:sz="0" w:space="0" w:color="auto"/>
                <w:bottom w:val="none" w:sz="0" w:space="0" w:color="auto"/>
                <w:right w:val="none" w:sz="0" w:space="0" w:color="auto"/>
              </w:divBdr>
            </w:div>
            <w:div w:id="912277269">
              <w:marLeft w:val="0"/>
              <w:marRight w:val="0"/>
              <w:marTop w:val="0"/>
              <w:marBottom w:val="0"/>
              <w:divBdr>
                <w:top w:val="none" w:sz="0" w:space="0" w:color="auto"/>
                <w:left w:val="none" w:sz="0" w:space="0" w:color="auto"/>
                <w:bottom w:val="none" w:sz="0" w:space="0" w:color="auto"/>
                <w:right w:val="none" w:sz="0" w:space="0" w:color="auto"/>
              </w:divBdr>
            </w:div>
            <w:div w:id="1012292886">
              <w:marLeft w:val="0"/>
              <w:marRight w:val="0"/>
              <w:marTop w:val="0"/>
              <w:marBottom w:val="0"/>
              <w:divBdr>
                <w:top w:val="none" w:sz="0" w:space="0" w:color="auto"/>
                <w:left w:val="none" w:sz="0" w:space="0" w:color="auto"/>
                <w:bottom w:val="none" w:sz="0" w:space="0" w:color="auto"/>
                <w:right w:val="none" w:sz="0" w:space="0" w:color="auto"/>
              </w:divBdr>
            </w:div>
            <w:div w:id="1119757144">
              <w:marLeft w:val="0"/>
              <w:marRight w:val="0"/>
              <w:marTop w:val="0"/>
              <w:marBottom w:val="0"/>
              <w:divBdr>
                <w:top w:val="none" w:sz="0" w:space="0" w:color="auto"/>
                <w:left w:val="none" w:sz="0" w:space="0" w:color="auto"/>
                <w:bottom w:val="none" w:sz="0" w:space="0" w:color="auto"/>
                <w:right w:val="none" w:sz="0" w:space="0" w:color="auto"/>
              </w:divBdr>
            </w:div>
            <w:div w:id="1234243796">
              <w:marLeft w:val="0"/>
              <w:marRight w:val="0"/>
              <w:marTop w:val="0"/>
              <w:marBottom w:val="0"/>
              <w:divBdr>
                <w:top w:val="none" w:sz="0" w:space="0" w:color="auto"/>
                <w:left w:val="none" w:sz="0" w:space="0" w:color="auto"/>
                <w:bottom w:val="none" w:sz="0" w:space="0" w:color="auto"/>
                <w:right w:val="none" w:sz="0" w:space="0" w:color="auto"/>
              </w:divBdr>
            </w:div>
            <w:div w:id="1532643484">
              <w:marLeft w:val="0"/>
              <w:marRight w:val="0"/>
              <w:marTop w:val="0"/>
              <w:marBottom w:val="0"/>
              <w:divBdr>
                <w:top w:val="none" w:sz="0" w:space="0" w:color="auto"/>
                <w:left w:val="none" w:sz="0" w:space="0" w:color="auto"/>
                <w:bottom w:val="none" w:sz="0" w:space="0" w:color="auto"/>
                <w:right w:val="none" w:sz="0" w:space="0" w:color="auto"/>
              </w:divBdr>
            </w:div>
            <w:div w:id="1687362027">
              <w:marLeft w:val="0"/>
              <w:marRight w:val="0"/>
              <w:marTop w:val="0"/>
              <w:marBottom w:val="0"/>
              <w:divBdr>
                <w:top w:val="none" w:sz="0" w:space="0" w:color="auto"/>
                <w:left w:val="none" w:sz="0" w:space="0" w:color="auto"/>
                <w:bottom w:val="none" w:sz="0" w:space="0" w:color="auto"/>
                <w:right w:val="none" w:sz="0" w:space="0" w:color="auto"/>
              </w:divBdr>
            </w:div>
            <w:div w:id="1692032535">
              <w:marLeft w:val="0"/>
              <w:marRight w:val="0"/>
              <w:marTop w:val="0"/>
              <w:marBottom w:val="0"/>
              <w:divBdr>
                <w:top w:val="none" w:sz="0" w:space="0" w:color="auto"/>
                <w:left w:val="none" w:sz="0" w:space="0" w:color="auto"/>
                <w:bottom w:val="none" w:sz="0" w:space="0" w:color="auto"/>
                <w:right w:val="none" w:sz="0" w:space="0" w:color="auto"/>
              </w:divBdr>
            </w:div>
            <w:div w:id="1732074610">
              <w:marLeft w:val="0"/>
              <w:marRight w:val="0"/>
              <w:marTop w:val="0"/>
              <w:marBottom w:val="0"/>
              <w:divBdr>
                <w:top w:val="none" w:sz="0" w:space="0" w:color="auto"/>
                <w:left w:val="none" w:sz="0" w:space="0" w:color="auto"/>
                <w:bottom w:val="none" w:sz="0" w:space="0" w:color="auto"/>
                <w:right w:val="none" w:sz="0" w:space="0" w:color="auto"/>
              </w:divBdr>
            </w:div>
            <w:div w:id="1920753486">
              <w:marLeft w:val="0"/>
              <w:marRight w:val="0"/>
              <w:marTop w:val="0"/>
              <w:marBottom w:val="0"/>
              <w:divBdr>
                <w:top w:val="none" w:sz="0" w:space="0" w:color="auto"/>
                <w:left w:val="none" w:sz="0" w:space="0" w:color="auto"/>
                <w:bottom w:val="none" w:sz="0" w:space="0" w:color="auto"/>
                <w:right w:val="none" w:sz="0" w:space="0" w:color="auto"/>
              </w:divBdr>
            </w:div>
            <w:div w:id="2087530943">
              <w:marLeft w:val="0"/>
              <w:marRight w:val="0"/>
              <w:marTop w:val="0"/>
              <w:marBottom w:val="0"/>
              <w:divBdr>
                <w:top w:val="none" w:sz="0" w:space="0" w:color="auto"/>
                <w:left w:val="none" w:sz="0" w:space="0" w:color="auto"/>
                <w:bottom w:val="none" w:sz="0" w:space="0" w:color="auto"/>
                <w:right w:val="none" w:sz="0" w:space="0" w:color="auto"/>
              </w:divBdr>
            </w:div>
          </w:divsChild>
        </w:div>
        <w:div w:id="890503522">
          <w:marLeft w:val="0"/>
          <w:marRight w:val="0"/>
          <w:marTop w:val="0"/>
          <w:marBottom w:val="0"/>
          <w:divBdr>
            <w:top w:val="none" w:sz="0" w:space="0" w:color="auto"/>
            <w:left w:val="none" w:sz="0" w:space="0" w:color="auto"/>
            <w:bottom w:val="none" w:sz="0" w:space="0" w:color="auto"/>
            <w:right w:val="none" w:sz="0" w:space="0" w:color="auto"/>
          </w:divBdr>
        </w:div>
        <w:div w:id="890843553">
          <w:marLeft w:val="0"/>
          <w:marRight w:val="0"/>
          <w:marTop w:val="0"/>
          <w:marBottom w:val="0"/>
          <w:divBdr>
            <w:top w:val="none" w:sz="0" w:space="0" w:color="auto"/>
            <w:left w:val="none" w:sz="0" w:space="0" w:color="auto"/>
            <w:bottom w:val="none" w:sz="0" w:space="0" w:color="auto"/>
            <w:right w:val="none" w:sz="0" w:space="0" w:color="auto"/>
          </w:divBdr>
        </w:div>
        <w:div w:id="894126400">
          <w:marLeft w:val="0"/>
          <w:marRight w:val="0"/>
          <w:marTop w:val="0"/>
          <w:marBottom w:val="0"/>
          <w:divBdr>
            <w:top w:val="none" w:sz="0" w:space="0" w:color="auto"/>
            <w:left w:val="none" w:sz="0" w:space="0" w:color="auto"/>
            <w:bottom w:val="none" w:sz="0" w:space="0" w:color="auto"/>
            <w:right w:val="none" w:sz="0" w:space="0" w:color="auto"/>
          </w:divBdr>
        </w:div>
        <w:div w:id="898369839">
          <w:marLeft w:val="0"/>
          <w:marRight w:val="0"/>
          <w:marTop w:val="0"/>
          <w:marBottom w:val="0"/>
          <w:divBdr>
            <w:top w:val="none" w:sz="0" w:space="0" w:color="auto"/>
            <w:left w:val="none" w:sz="0" w:space="0" w:color="auto"/>
            <w:bottom w:val="none" w:sz="0" w:space="0" w:color="auto"/>
            <w:right w:val="none" w:sz="0" w:space="0" w:color="auto"/>
          </w:divBdr>
        </w:div>
        <w:div w:id="898857583">
          <w:marLeft w:val="0"/>
          <w:marRight w:val="0"/>
          <w:marTop w:val="0"/>
          <w:marBottom w:val="0"/>
          <w:divBdr>
            <w:top w:val="none" w:sz="0" w:space="0" w:color="auto"/>
            <w:left w:val="none" w:sz="0" w:space="0" w:color="auto"/>
            <w:bottom w:val="none" w:sz="0" w:space="0" w:color="auto"/>
            <w:right w:val="none" w:sz="0" w:space="0" w:color="auto"/>
          </w:divBdr>
        </w:div>
        <w:div w:id="900411092">
          <w:marLeft w:val="0"/>
          <w:marRight w:val="0"/>
          <w:marTop w:val="0"/>
          <w:marBottom w:val="0"/>
          <w:divBdr>
            <w:top w:val="none" w:sz="0" w:space="0" w:color="auto"/>
            <w:left w:val="none" w:sz="0" w:space="0" w:color="auto"/>
            <w:bottom w:val="none" w:sz="0" w:space="0" w:color="auto"/>
            <w:right w:val="none" w:sz="0" w:space="0" w:color="auto"/>
          </w:divBdr>
        </w:div>
        <w:div w:id="901675291">
          <w:marLeft w:val="0"/>
          <w:marRight w:val="0"/>
          <w:marTop w:val="0"/>
          <w:marBottom w:val="0"/>
          <w:divBdr>
            <w:top w:val="none" w:sz="0" w:space="0" w:color="auto"/>
            <w:left w:val="none" w:sz="0" w:space="0" w:color="auto"/>
            <w:bottom w:val="none" w:sz="0" w:space="0" w:color="auto"/>
            <w:right w:val="none" w:sz="0" w:space="0" w:color="auto"/>
          </w:divBdr>
        </w:div>
        <w:div w:id="903494886">
          <w:marLeft w:val="0"/>
          <w:marRight w:val="0"/>
          <w:marTop w:val="0"/>
          <w:marBottom w:val="0"/>
          <w:divBdr>
            <w:top w:val="none" w:sz="0" w:space="0" w:color="auto"/>
            <w:left w:val="none" w:sz="0" w:space="0" w:color="auto"/>
            <w:bottom w:val="none" w:sz="0" w:space="0" w:color="auto"/>
            <w:right w:val="none" w:sz="0" w:space="0" w:color="auto"/>
          </w:divBdr>
        </w:div>
        <w:div w:id="905186990">
          <w:marLeft w:val="0"/>
          <w:marRight w:val="0"/>
          <w:marTop w:val="0"/>
          <w:marBottom w:val="0"/>
          <w:divBdr>
            <w:top w:val="none" w:sz="0" w:space="0" w:color="auto"/>
            <w:left w:val="none" w:sz="0" w:space="0" w:color="auto"/>
            <w:bottom w:val="none" w:sz="0" w:space="0" w:color="auto"/>
            <w:right w:val="none" w:sz="0" w:space="0" w:color="auto"/>
          </w:divBdr>
        </w:div>
        <w:div w:id="910504230">
          <w:marLeft w:val="0"/>
          <w:marRight w:val="0"/>
          <w:marTop w:val="0"/>
          <w:marBottom w:val="0"/>
          <w:divBdr>
            <w:top w:val="none" w:sz="0" w:space="0" w:color="auto"/>
            <w:left w:val="none" w:sz="0" w:space="0" w:color="auto"/>
            <w:bottom w:val="none" w:sz="0" w:space="0" w:color="auto"/>
            <w:right w:val="none" w:sz="0" w:space="0" w:color="auto"/>
          </w:divBdr>
        </w:div>
        <w:div w:id="912620211">
          <w:marLeft w:val="0"/>
          <w:marRight w:val="0"/>
          <w:marTop w:val="0"/>
          <w:marBottom w:val="0"/>
          <w:divBdr>
            <w:top w:val="none" w:sz="0" w:space="0" w:color="auto"/>
            <w:left w:val="none" w:sz="0" w:space="0" w:color="auto"/>
            <w:bottom w:val="none" w:sz="0" w:space="0" w:color="auto"/>
            <w:right w:val="none" w:sz="0" w:space="0" w:color="auto"/>
          </w:divBdr>
        </w:div>
        <w:div w:id="913783132">
          <w:marLeft w:val="0"/>
          <w:marRight w:val="0"/>
          <w:marTop w:val="0"/>
          <w:marBottom w:val="0"/>
          <w:divBdr>
            <w:top w:val="none" w:sz="0" w:space="0" w:color="auto"/>
            <w:left w:val="none" w:sz="0" w:space="0" w:color="auto"/>
            <w:bottom w:val="none" w:sz="0" w:space="0" w:color="auto"/>
            <w:right w:val="none" w:sz="0" w:space="0" w:color="auto"/>
          </w:divBdr>
        </w:div>
        <w:div w:id="913856419">
          <w:marLeft w:val="0"/>
          <w:marRight w:val="0"/>
          <w:marTop w:val="0"/>
          <w:marBottom w:val="0"/>
          <w:divBdr>
            <w:top w:val="none" w:sz="0" w:space="0" w:color="auto"/>
            <w:left w:val="none" w:sz="0" w:space="0" w:color="auto"/>
            <w:bottom w:val="none" w:sz="0" w:space="0" w:color="auto"/>
            <w:right w:val="none" w:sz="0" w:space="0" w:color="auto"/>
          </w:divBdr>
          <w:divsChild>
            <w:div w:id="407531926">
              <w:marLeft w:val="0"/>
              <w:marRight w:val="0"/>
              <w:marTop w:val="0"/>
              <w:marBottom w:val="0"/>
              <w:divBdr>
                <w:top w:val="none" w:sz="0" w:space="0" w:color="auto"/>
                <w:left w:val="none" w:sz="0" w:space="0" w:color="auto"/>
                <w:bottom w:val="none" w:sz="0" w:space="0" w:color="auto"/>
                <w:right w:val="none" w:sz="0" w:space="0" w:color="auto"/>
              </w:divBdr>
            </w:div>
            <w:div w:id="582110358">
              <w:marLeft w:val="0"/>
              <w:marRight w:val="0"/>
              <w:marTop w:val="0"/>
              <w:marBottom w:val="0"/>
              <w:divBdr>
                <w:top w:val="none" w:sz="0" w:space="0" w:color="auto"/>
                <w:left w:val="none" w:sz="0" w:space="0" w:color="auto"/>
                <w:bottom w:val="none" w:sz="0" w:space="0" w:color="auto"/>
                <w:right w:val="none" w:sz="0" w:space="0" w:color="auto"/>
              </w:divBdr>
            </w:div>
            <w:div w:id="601105340">
              <w:marLeft w:val="0"/>
              <w:marRight w:val="0"/>
              <w:marTop w:val="0"/>
              <w:marBottom w:val="0"/>
              <w:divBdr>
                <w:top w:val="none" w:sz="0" w:space="0" w:color="auto"/>
                <w:left w:val="none" w:sz="0" w:space="0" w:color="auto"/>
                <w:bottom w:val="none" w:sz="0" w:space="0" w:color="auto"/>
                <w:right w:val="none" w:sz="0" w:space="0" w:color="auto"/>
              </w:divBdr>
            </w:div>
            <w:div w:id="669985906">
              <w:marLeft w:val="0"/>
              <w:marRight w:val="0"/>
              <w:marTop w:val="0"/>
              <w:marBottom w:val="0"/>
              <w:divBdr>
                <w:top w:val="none" w:sz="0" w:space="0" w:color="auto"/>
                <w:left w:val="none" w:sz="0" w:space="0" w:color="auto"/>
                <w:bottom w:val="none" w:sz="0" w:space="0" w:color="auto"/>
                <w:right w:val="none" w:sz="0" w:space="0" w:color="auto"/>
              </w:divBdr>
            </w:div>
            <w:div w:id="781076116">
              <w:marLeft w:val="0"/>
              <w:marRight w:val="0"/>
              <w:marTop w:val="0"/>
              <w:marBottom w:val="0"/>
              <w:divBdr>
                <w:top w:val="none" w:sz="0" w:space="0" w:color="auto"/>
                <w:left w:val="none" w:sz="0" w:space="0" w:color="auto"/>
                <w:bottom w:val="none" w:sz="0" w:space="0" w:color="auto"/>
                <w:right w:val="none" w:sz="0" w:space="0" w:color="auto"/>
              </w:divBdr>
            </w:div>
            <w:div w:id="789126272">
              <w:marLeft w:val="0"/>
              <w:marRight w:val="0"/>
              <w:marTop w:val="0"/>
              <w:marBottom w:val="0"/>
              <w:divBdr>
                <w:top w:val="none" w:sz="0" w:space="0" w:color="auto"/>
                <w:left w:val="none" w:sz="0" w:space="0" w:color="auto"/>
                <w:bottom w:val="none" w:sz="0" w:space="0" w:color="auto"/>
                <w:right w:val="none" w:sz="0" w:space="0" w:color="auto"/>
              </w:divBdr>
            </w:div>
            <w:div w:id="847866258">
              <w:marLeft w:val="0"/>
              <w:marRight w:val="0"/>
              <w:marTop w:val="0"/>
              <w:marBottom w:val="0"/>
              <w:divBdr>
                <w:top w:val="none" w:sz="0" w:space="0" w:color="auto"/>
                <w:left w:val="none" w:sz="0" w:space="0" w:color="auto"/>
                <w:bottom w:val="none" w:sz="0" w:space="0" w:color="auto"/>
                <w:right w:val="none" w:sz="0" w:space="0" w:color="auto"/>
              </w:divBdr>
            </w:div>
            <w:div w:id="883517144">
              <w:marLeft w:val="0"/>
              <w:marRight w:val="0"/>
              <w:marTop w:val="0"/>
              <w:marBottom w:val="0"/>
              <w:divBdr>
                <w:top w:val="none" w:sz="0" w:space="0" w:color="auto"/>
                <w:left w:val="none" w:sz="0" w:space="0" w:color="auto"/>
                <w:bottom w:val="none" w:sz="0" w:space="0" w:color="auto"/>
                <w:right w:val="none" w:sz="0" w:space="0" w:color="auto"/>
              </w:divBdr>
            </w:div>
            <w:div w:id="1091655727">
              <w:marLeft w:val="0"/>
              <w:marRight w:val="0"/>
              <w:marTop w:val="0"/>
              <w:marBottom w:val="0"/>
              <w:divBdr>
                <w:top w:val="none" w:sz="0" w:space="0" w:color="auto"/>
                <w:left w:val="none" w:sz="0" w:space="0" w:color="auto"/>
                <w:bottom w:val="none" w:sz="0" w:space="0" w:color="auto"/>
                <w:right w:val="none" w:sz="0" w:space="0" w:color="auto"/>
              </w:divBdr>
            </w:div>
            <w:div w:id="1167401662">
              <w:marLeft w:val="0"/>
              <w:marRight w:val="0"/>
              <w:marTop w:val="0"/>
              <w:marBottom w:val="0"/>
              <w:divBdr>
                <w:top w:val="none" w:sz="0" w:space="0" w:color="auto"/>
                <w:left w:val="none" w:sz="0" w:space="0" w:color="auto"/>
                <w:bottom w:val="none" w:sz="0" w:space="0" w:color="auto"/>
                <w:right w:val="none" w:sz="0" w:space="0" w:color="auto"/>
              </w:divBdr>
            </w:div>
            <w:div w:id="1243107652">
              <w:marLeft w:val="0"/>
              <w:marRight w:val="0"/>
              <w:marTop w:val="0"/>
              <w:marBottom w:val="0"/>
              <w:divBdr>
                <w:top w:val="none" w:sz="0" w:space="0" w:color="auto"/>
                <w:left w:val="none" w:sz="0" w:space="0" w:color="auto"/>
                <w:bottom w:val="none" w:sz="0" w:space="0" w:color="auto"/>
                <w:right w:val="none" w:sz="0" w:space="0" w:color="auto"/>
              </w:divBdr>
            </w:div>
            <w:div w:id="1418281950">
              <w:marLeft w:val="0"/>
              <w:marRight w:val="0"/>
              <w:marTop w:val="0"/>
              <w:marBottom w:val="0"/>
              <w:divBdr>
                <w:top w:val="none" w:sz="0" w:space="0" w:color="auto"/>
                <w:left w:val="none" w:sz="0" w:space="0" w:color="auto"/>
                <w:bottom w:val="none" w:sz="0" w:space="0" w:color="auto"/>
                <w:right w:val="none" w:sz="0" w:space="0" w:color="auto"/>
              </w:divBdr>
            </w:div>
            <w:div w:id="1434935863">
              <w:marLeft w:val="0"/>
              <w:marRight w:val="0"/>
              <w:marTop w:val="0"/>
              <w:marBottom w:val="0"/>
              <w:divBdr>
                <w:top w:val="none" w:sz="0" w:space="0" w:color="auto"/>
                <w:left w:val="none" w:sz="0" w:space="0" w:color="auto"/>
                <w:bottom w:val="none" w:sz="0" w:space="0" w:color="auto"/>
                <w:right w:val="none" w:sz="0" w:space="0" w:color="auto"/>
              </w:divBdr>
            </w:div>
            <w:div w:id="1649673559">
              <w:marLeft w:val="0"/>
              <w:marRight w:val="0"/>
              <w:marTop w:val="0"/>
              <w:marBottom w:val="0"/>
              <w:divBdr>
                <w:top w:val="none" w:sz="0" w:space="0" w:color="auto"/>
                <w:left w:val="none" w:sz="0" w:space="0" w:color="auto"/>
                <w:bottom w:val="none" w:sz="0" w:space="0" w:color="auto"/>
                <w:right w:val="none" w:sz="0" w:space="0" w:color="auto"/>
              </w:divBdr>
            </w:div>
            <w:div w:id="1855876531">
              <w:marLeft w:val="0"/>
              <w:marRight w:val="0"/>
              <w:marTop w:val="0"/>
              <w:marBottom w:val="0"/>
              <w:divBdr>
                <w:top w:val="none" w:sz="0" w:space="0" w:color="auto"/>
                <w:left w:val="none" w:sz="0" w:space="0" w:color="auto"/>
                <w:bottom w:val="none" w:sz="0" w:space="0" w:color="auto"/>
                <w:right w:val="none" w:sz="0" w:space="0" w:color="auto"/>
              </w:divBdr>
            </w:div>
            <w:div w:id="1935700374">
              <w:marLeft w:val="0"/>
              <w:marRight w:val="0"/>
              <w:marTop w:val="0"/>
              <w:marBottom w:val="0"/>
              <w:divBdr>
                <w:top w:val="none" w:sz="0" w:space="0" w:color="auto"/>
                <w:left w:val="none" w:sz="0" w:space="0" w:color="auto"/>
                <w:bottom w:val="none" w:sz="0" w:space="0" w:color="auto"/>
                <w:right w:val="none" w:sz="0" w:space="0" w:color="auto"/>
              </w:divBdr>
            </w:div>
            <w:div w:id="2001343578">
              <w:marLeft w:val="0"/>
              <w:marRight w:val="0"/>
              <w:marTop w:val="0"/>
              <w:marBottom w:val="0"/>
              <w:divBdr>
                <w:top w:val="none" w:sz="0" w:space="0" w:color="auto"/>
                <w:left w:val="none" w:sz="0" w:space="0" w:color="auto"/>
                <w:bottom w:val="none" w:sz="0" w:space="0" w:color="auto"/>
                <w:right w:val="none" w:sz="0" w:space="0" w:color="auto"/>
              </w:divBdr>
            </w:div>
            <w:div w:id="2063285940">
              <w:marLeft w:val="0"/>
              <w:marRight w:val="0"/>
              <w:marTop w:val="0"/>
              <w:marBottom w:val="0"/>
              <w:divBdr>
                <w:top w:val="none" w:sz="0" w:space="0" w:color="auto"/>
                <w:left w:val="none" w:sz="0" w:space="0" w:color="auto"/>
                <w:bottom w:val="none" w:sz="0" w:space="0" w:color="auto"/>
                <w:right w:val="none" w:sz="0" w:space="0" w:color="auto"/>
              </w:divBdr>
            </w:div>
          </w:divsChild>
        </w:div>
        <w:div w:id="915046203">
          <w:marLeft w:val="0"/>
          <w:marRight w:val="0"/>
          <w:marTop w:val="0"/>
          <w:marBottom w:val="0"/>
          <w:divBdr>
            <w:top w:val="none" w:sz="0" w:space="0" w:color="auto"/>
            <w:left w:val="none" w:sz="0" w:space="0" w:color="auto"/>
            <w:bottom w:val="none" w:sz="0" w:space="0" w:color="auto"/>
            <w:right w:val="none" w:sz="0" w:space="0" w:color="auto"/>
          </w:divBdr>
        </w:div>
        <w:div w:id="915941842">
          <w:marLeft w:val="0"/>
          <w:marRight w:val="0"/>
          <w:marTop w:val="0"/>
          <w:marBottom w:val="0"/>
          <w:divBdr>
            <w:top w:val="none" w:sz="0" w:space="0" w:color="auto"/>
            <w:left w:val="none" w:sz="0" w:space="0" w:color="auto"/>
            <w:bottom w:val="none" w:sz="0" w:space="0" w:color="auto"/>
            <w:right w:val="none" w:sz="0" w:space="0" w:color="auto"/>
          </w:divBdr>
        </w:div>
        <w:div w:id="919799051">
          <w:marLeft w:val="0"/>
          <w:marRight w:val="0"/>
          <w:marTop w:val="0"/>
          <w:marBottom w:val="0"/>
          <w:divBdr>
            <w:top w:val="none" w:sz="0" w:space="0" w:color="auto"/>
            <w:left w:val="none" w:sz="0" w:space="0" w:color="auto"/>
            <w:bottom w:val="none" w:sz="0" w:space="0" w:color="auto"/>
            <w:right w:val="none" w:sz="0" w:space="0" w:color="auto"/>
          </w:divBdr>
        </w:div>
        <w:div w:id="921181363">
          <w:marLeft w:val="0"/>
          <w:marRight w:val="0"/>
          <w:marTop w:val="0"/>
          <w:marBottom w:val="0"/>
          <w:divBdr>
            <w:top w:val="none" w:sz="0" w:space="0" w:color="auto"/>
            <w:left w:val="none" w:sz="0" w:space="0" w:color="auto"/>
            <w:bottom w:val="none" w:sz="0" w:space="0" w:color="auto"/>
            <w:right w:val="none" w:sz="0" w:space="0" w:color="auto"/>
          </w:divBdr>
        </w:div>
        <w:div w:id="921573206">
          <w:marLeft w:val="0"/>
          <w:marRight w:val="0"/>
          <w:marTop w:val="0"/>
          <w:marBottom w:val="0"/>
          <w:divBdr>
            <w:top w:val="none" w:sz="0" w:space="0" w:color="auto"/>
            <w:left w:val="none" w:sz="0" w:space="0" w:color="auto"/>
            <w:bottom w:val="none" w:sz="0" w:space="0" w:color="auto"/>
            <w:right w:val="none" w:sz="0" w:space="0" w:color="auto"/>
          </w:divBdr>
        </w:div>
        <w:div w:id="923613110">
          <w:marLeft w:val="0"/>
          <w:marRight w:val="0"/>
          <w:marTop w:val="0"/>
          <w:marBottom w:val="0"/>
          <w:divBdr>
            <w:top w:val="none" w:sz="0" w:space="0" w:color="auto"/>
            <w:left w:val="none" w:sz="0" w:space="0" w:color="auto"/>
            <w:bottom w:val="none" w:sz="0" w:space="0" w:color="auto"/>
            <w:right w:val="none" w:sz="0" w:space="0" w:color="auto"/>
          </w:divBdr>
        </w:div>
        <w:div w:id="924189761">
          <w:marLeft w:val="0"/>
          <w:marRight w:val="0"/>
          <w:marTop w:val="0"/>
          <w:marBottom w:val="0"/>
          <w:divBdr>
            <w:top w:val="none" w:sz="0" w:space="0" w:color="auto"/>
            <w:left w:val="none" w:sz="0" w:space="0" w:color="auto"/>
            <w:bottom w:val="none" w:sz="0" w:space="0" w:color="auto"/>
            <w:right w:val="none" w:sz="0" w:space="0" w:color="auto"/>
          </w:divBdr>
        </w:div>
        <w:div w:id="925454747">
          <w:marLeft w:val="0"/>
          <w:marRight w:val="0"/>
          <w:marTop w:val="0"/>
          <w:marBottom w:val="0"/>
          <w:divBdr>
            <w:top w:val="none" w:sz="0" w:space="0" w:color="auto"/>
            <w:left w:val="none" w:sz="0" w:space="0" w:color="auto"/>
            <w:bottom w:val="none" w:sz="0" w:space="0" w:color="auto"/>
            <w:right w:val="none" w:sz="0" w:space="0" w:color="auto"/>
          </w:divBdr>
        </w:div>
        <w:div w:id="928465996">
          <w:marLeft w:val="0"/>
          <w:marRight w:val="0"/>
          <w:marTop w:val="0"/>
          <w:marBottom w:val="0"/>
          <w:divBdr>
            <w:top w:val="none" w:sz="0" w:space="0" w:color="auto"/>
            <w:left w:val="none" w:sz="0" w:space="0" w:color="auto"/>
            <w:bottom w:val="none" w:sz="0" w:space="0" w:color="auto"/>
            <w:right w:val="none" w:sz="0" w:space="0" w:color="auto"/>
          </w:divBdr>
        </w:div>
        <w:div w:id="929970198">
          <w:marLeft w:val="0"/>
          <w:marRight w:val="0"/>
          <w:marTop w:val="0"/>
          <w:marBottom w:val="0"/>
          <w:divBdr>
            <w:top w:val="none" w:sz="0" w:space="0" w:color="auto"/>
            <w:left w:val="none" w:sz="0" w:space="0" w:color="auto"/>
            <w:bottom w:val="none" w:sz="0" w:space="0" w:color="auto"/>
            <w:right w:val="none" w:sz="0" w:space="0" w:color="auto"/>
          </w:divBdr>
        </w:div>
        <w:div w:id="930047624">
          <w:marLeft w:val="0"/>
          <w:marRight w:val="0"/>
          <w:marTop w:val="0"/>
          <w:marBottom w:val="0"/>
          <w:divBdr>
            <w:top w:val="none" w:sz="0" w:space="0" w:color="auto"/>
            <w:left w:val="none" w:sz="0" w:space="0" w:color="auto"/>
            <w:bottom w:val="none" w:sz="0" w:space="0" w:color="auto"/>
            <w:right w:val="none" w:sz="0" w:space="0" w:color="auto"/>
          </w:divBdr>
        </w:div>
        <w:div w:id="930815988">
          <w:marLeft w:val="0"/>
          <w:marRight w:val="0"/>
          <w:marTop w:val="0"/>
          <w:marBottom w:val="0"/>
          <w:divBdr>
            <w:top w:val="none" w:sz="0" w:space="0" w:color="auto"/>
            <w:left w:val="none" w:sz="0" w:space="0" w:color="auto"/>
            <w:bottom w:val="none" w:sz="0" w:space="0" w:color="auto"/>
            <w:right w:val="none" w:sz="0" w:space="0" w:color="auto"/>
          </w:divBdr>
        </w:div>
        <w:div w:id="931861201">
          <w:marLeft w:val="0"/>
          <w:marRight w:val="0"/>
          <w:marTop w:val="0"/>
          <w:marBottom w:val="0"/>
          <w:divBdr>
            <w:top w:val="none" w:sz="0" w:space="0" w:color="auto"/>
            <w:left w:val="none" w:sz="0" w:space="0" w:color="auto"/>
            <w:bottom w:val="none" w:sz="0" w:space="0" w:color="auto"/>
            <w:right w:val="none" w:sz="0" w:space="0" w:color="auto"/>
          </w:divBdr>
        </w:div>
        <w:div w:id="933050798">
          <w:marLeft w:val="0"/>
          <w:marRight w:val="0"/>
          <w:marTop w:val="0"/>
          <w:marBottom w:val="0"/>
          <w:divBdr>
            <w:top w:val="none" w:sz="0" w:space="0" w:color="auto"/>
            <w:left w:val="none" w:sz="0" w:space="0" w:color="auto"/>
            <w:bottom w:val="none" w:sz="0" w:space="0" w:color="auto"/>
            <w:right w:val="none" w:sz="0" w:space="0" w:color="auto"/>
          </w:divBdr>
        </w:div>
        <w:div w:id="934215711">
          <w:marLeft w:val="0"/>
          <w:marRight w:val="0"/>
          <w:marTop w:val="0"/>
          <w:marBottom w:val="0"/>
          <w:divBdr>
            <w:top w:val="none" w:sz="0" w:space="0" w:color="auto"/>
            <w:left w:val="none" w:sz="0" w:space="0" w:color="auto"/>
            <w:bottom w:val="none" w:sz="0" w:space="0" w:color="auto"/>
            <w:right w:val="none" w:sz="0" w:space="0" w:color="auto"/>
          </w:divBdr>
        </w:div>
        <w:div w:id="938172639">
          <w:marLeft w:val="0"/>
          <w:marRight w:val="0"/>
          <w:marTop w:val="0"/>
          <w:marBottom w:val="0"/>
          <w:divBdr>
            <w:top w:val="none" w:sz="0" w:space="0" w:color="auto"/>
            <w:left w:val="none" w:sz="0" w:space="0" w:color="auto"/>
            <w:bottom w:val="none" w:sz="0" w:space="0" w:color="auto"/>
            <w:right w:val="none" w:sz="0" w:space="0" w:color="auto"/>
          </w:divBdr>
        </w:div>
        <w:div w:id="939415454">
          <w:marLeft w:val="0"/>
          <w:marRight w:val="0"/>
          <w:marTop w:val="0"/>
          <w:marBottom w:val="0"/>
          <w:divBdr>
            <w:top w:val="none" w:sz="0" w:space="0" w:color="auto"/>
            <w:left w:val="none" w:sz="0" w:space="0" w:color="auto"/>
            <w:bottom w:val="none" w:sz="0" w:space="0" w:color="auto"/>
            <w:right w:val="none" w:sz="0" w:space="0" w:color="auto"/>
          </w:divBdr>
        </w:div>
        <w:div w:id="940382659">
          <w:marLeft w:val="0"/>
          <w:marRight w:val="0"/>
          <w:marTop w:val="0"/>
          <w:marBottom w:val="0"/>
          <w:divBdr>
            <w:top w:val="none" w:sz="0" w:space="0" w:color="auto"/>
            <w:left w:val="none" w:sz="0" w:space="0" w:color="auto"/>
            <w:bottom w:val="none" w:sz="0" w:space="0" w:color="auto"/>
            <w:right w:val="none" w:sz="0" w:space="0" w:color="auto"/>
          </w:divBdr>
        </w:div>
        <w:div w:id="940453576">
          <w:marLeft w:val="0"/>
          <w:marRight w:val="0"/>
          <w:marTop w:val="0"/>
          <w:marBottom w:val="0"/>
          <w:divBdr>
            <w:top w:val="none" w:sz="0" w:space="0" w:color="auto"/>
            <w:left w:val="none" w:sz="0" w:space="0" w:color="auto"/>
            <w:bottom w:val="none" w:sz="0" w:space="0" w:color="auto"/>
            <w:right w:val="none" w:sz="0" w:space="0" w:color="auto"/>
          </w:divBdr>
        </w:div>
        <w:div w:id="941499930">
          <w:marLeft w:val="0"/>
          <w:marRight w:val="0"/>
          <w:marTop w:val="0"/>
          <w:marBottom w:val="0"/>
          <w:divBdr>
            <w:top w:val="none" w:sz="0" w:space="0" w:color="auto"/>
            <w:left w:val="none" w:sz="0" w:space="0" w:color="auto"/>
            <w:bottom w:val="none" w:sz="0" w:space="0" w:color="auto"/>
            <w:right w:val="none" w:sz="0" w:space="0" w:color="auto"/>
          </w:divBdr>
        </w:div>
        <w:div w:id="944575781">
          <w:marLeft w:val="0"/>
          <w:marRight w:val="0"/>
          <w:marTop w:val="0"/>
          <w:marBottom w:val="0"/>
          <w:divBdr>
            <w:top w:val="none" w:sz="0" w:space="0" w:color="auto"/>
            <w:left w:val="none" w:sz="0" w:space="0" w:color="auto"/>
            <w:bottom w:val="none" w:sz="0" w:space="0" w:color="auto"/>
            <w:right w:val="none" w:sz="0" w:space="0" w:color="auto"/>
          </w:divBdr>
        </w:div>
        <w:div w:id="945163157">
          <w:marLeft w:val="0"/>
          <w:marRight w:val="0"/>
          <w:marTop w:val="0"/>
          <w:marBottom w:val="0"/>
          <w:divBdr>
            <w:top w:val="none" w:sz="0" w:space="0" w:color="auto"/>
            <w:left w:val="none" w:sz="0" w:space="0" w:color="auto"/>
            <w:bottom w:val="none" w:sz="0" w:space="0" w:color="auto"/>
            <w:right w:val="none" w:sz="0" w:space="0" w:color="auto"/>
          </w:divBdr>
        </w:div>
        <w:div w:id="946041587">
          <w:marLeft w:val="0"/>
          <w:marRight w:val="0"/>
          <w:marTop w:val="0"/>
          <w:marBottom w:val="0"/>
          <w:divBdr>
            <w:top w:val="none" w:sz="0" w:space="0" w:color="auto"/>
            <w:left w:val="none" w:sz="0" w:space="0" w:color="auto"/>
            <w:bottom w:val="none" w:sz="0" w:space="0" w:color="auto"/>
            <w:right w:val="none" w:sz="0" w:space="0" w:color="auto"/>
          </w:divBdr>
        </w:div>
        <w:div w:id="946808503">
          <w:marLeft w:val="0"/>
          <w:marRight w:val="0"/>
          <w:marTop w:val="0"/>
          <w:marBottom w:val="0"/>
          <w:divBdr>
            <w:top w:val="none" w:sz="0" w:space="0" w:color="auto"/>
            <w:left w:val="none" w:sz="0" w:space="0" w:color="auto"/>
            <w:bottom w:val="none" w:sz="0" w:space="0" w:color="auto"/>
            <w:right w:val="none" w:sz="0" w:space="0" w:color="auto"/>
          </w:divBdr>
        </w:div>
        <w:div w:id="947859576">
          <w:marLeft w:val="0"/>
          <w:marRight w:val="0"/>
          <w:marTop w:val="0"/>
          <w:marBottom w:val="0"/>
          <w:divBdr>
            <w:top w:val="none" w:sz="0" w:space="0" w:color="auto"/>
            <w:left w:val="none" w:sz="0" w:space="0" w:color="auto"/>
            <w:bottom w:val="none" w:sz="0" w:space="0" w:color="auto"/>
            <w:right w:val="none" w:sz="0" w:space="0" w:color="auto"/>
          </w:divBdr>
        </w:div>
        <w:div w:id="950670436">
          <w:marLeft w:val="0"/>
          <w:marRight w:val="0"/>
          <w:marTop w:val="0"/>
          <w:marBottom w:val="0"/>
          <w:divBdr>
            <w:top w:val="none" w:sz="0" w:space="0" w:color="auto"/>
            <w:left w:val="none" w:sz="0" w:space="0" w:color="auto"/>
            <w:bottom w:val="none" w:sz="0" w:space="0" w:color="auto"/>
            <w:right w:val="none" w:sz="0" w:space="0" w:color="auto"/>
          </w:divBdr>
        </w:div>
        <w:div w:id="950672725">
          <w:marLeft w:val="0"/>
          <w:marRight w:val="0"/>
          <w:marTop w:val="0"/>
          <w:marBottom w:val="0"/>
          <w:divBdr>
            <w:top w:val="none" w:sz="0" w:space="0" w:color="auto"/>
            <w:left w:val="none" w:sz="0" w:space="0" w:color="auto"/>
            <w:bottom w:val="none" w:sz="0" w:space="0" w:color="auto"/>
            <w:right w:val="none" w:sz="0" w:space="0" w:color="auto"/>
          </w:divBdr>
        </w:div>
        <w:div w:id="950823465">
          <w:marLeft w:val="0"/>
          <w:marRight w:val="0"/>
          <w:marTop w:val="0"/>
          <w:marBottom w:val="0"/>
          <w:divBdr>
            <w:top w:val="none" w:sz="0" w:space="0" w:color="auto"/>
            <w:left w:val="none" w:sz="0" w:space="0" w:color="auto"/>
            <w:bottom w:val="none" w:sz="0" w:space="0" w:color="auto"/>
            <w:right w:val="none" w:sz="0" w:space="0" w:color="auto"/>
          </w:divBdr>
        </w:div>
        <w:div w:id="951522902">
          <w:marLeft w:val="0"/>
          <w:marRight w:val="0"/>
          <w:marTop w:val="0"/>
          <w:marBottom w:val="0"/>
          <w:divBdr>
            <w:top w:val="none" w:sz="0" w:space="0" w:color="auto"/>
            <w:left w:val="none" w:sz="0" w:space="0" w:color="auto"/>
            <w:bottom w:val="none" w:sz="0" w:space="0" w:color="auto"/>
            <w:right w:val="none" w:sz="0" w:space="0" w:color="auto"/>
          </w:divBdr>
        </w:div>
        <w:div w:id="952588886">
          <w:marLeft w:val="0"/>
          <w:marRight w:val="0"/>
          <w:marTop w:val="0"/>
          <w:marBottom w:val="0"/>
          <w:divBdr>
            <w:top w:val="none" w:sz="0" w:space="0" w:color="auto"/>
            <w:left w:val="none" w:sz="0" w:space="0" w:color="auto"/>
            <w:bottom w:val="none" w:sz="0" w:space="0" w:color="auto"/>
            <w:right w:val="none" w:sz="0" w:space="0" w:color="auto"/>
          </w:divBdr>
        </w:div>
        <w:div w:id="953705448">
          <w:marLeft w:val="0"/>
          <w:marRight w:val="0"/>
          <w:marTop w:val="0"/>
          <w:marBottom w:val="0"/>
          <w:divBdr>
            <w:top w:val="none" w:sz="0" w:space="0" w:color="auto"/>
            <w:left w:val="none" w:sz="0" w:space="0" w:color="auto"/>
            <w:bottom w:val="none" w:sz="0" w:space="0" w:color="auto"/>
            <w:right w:val="none" w:sz="0" w:space="0" w:color="auto"/>
          </w:divBdr>
        </w:div>
        <w:div w:id="955678711">
          <w:marLeft w:val="0"/>
          <w:marRight w:val="0"/>
          <w:marTop w:val="0"/>
          <w:marBottom w:val="0"/>
          <w:divBdr>
            <w:top w:val="none" w:sz="0" w:space="0" w:color="auto"/>
            <w:left w:val="none" w:sz="0" w:space="0" w:color="auto"/>
            <w:bottom w:val="none" w:sz="0" w:space="0" w:color="auto"/>
            <w:right w:val="none" w:sz="0" w:space="0" w:color="auto"/>
          </w:divBdr>
        </w:div>
        <w:div w:id="960189352">
          <w:marLeft w:val="0"/>
          <w:marRight w:val="0"/>
          <w:marTop w:val="0"/>
          <w:marBottom w:val="0"/>
          <w:divBdr>
            <w:top w:val="none" w:sz="0" w:space="0" w:color="auto"/>
            <w:left w:val="none" w:sz="0" w:space="0" w:color="auto"/>
            <w:bottom w:val="none" w:sz="0" w:space="0" w:color="auto"/>
            <w:right w:val="none" w:sz="0" w:space="0" w:color="auto"/>
          </w:divBdr>
        </w:div>
        <w:div w:id="960723238">
          <w:marLeft w:val="0"/>
          <w:marRight w:val="0"/>
          <w:marTop w:val="0"/>
          <w:marBottom w:val="0"/>
          <w:divBdr>
            <w:top w:val="none" w:sz="0" w:space="0" w:color="auto"/>
            <w:left w:val="none" w:sz="0" w:space="0" w:color="auto"/>
            <w:bottom w:val="none" w:sz="0" w:space="0" w:color="auto"/>
            <w:right w:val="none" w:sz="0" w:space="0" w:color="auto"/>
          </w:divBdr>
        </w:div>
        <w:div w:id="963654676">
          <w:marLeft w:val="0"/>
          <w:marRight w:val="0"/>
          <w:marTop w:val="0"/>
          <w:marBottom w:val="0"/>
          <w:divBdr>
            <w:top w:val="none" w:sz="0" w:space="0" w:color="auto"/>
            <w:left w:val="none" w:sz="0" w:space="0" w:color="auto"/>
            <w:bottom w:val="none" w:sz="0" w:space="0" w:color="auto"/>
            <w:right w:val="none" w:sz="0" w:space="0" w:color="auto"/>
          </w:divBdr>
        </w:div>
        <w:div w:id="964392358">
          <w:marLeft w:val="0"/>
          <w:marRight w:val="0"/>
          <w:marTop w:val="0"/>
          <w:marBottom w:val="0"/>
          <w:divBdr>
            <w:top w:val="none" w:sz="0" w:space="0" w:color="auto"/>
            <w:left w:val="none" w:sz="0" w:space="0" w:color="auto"/>
            <w:bottom w:val="none" w:sz="0" w:space="0" w:color="auto"/>
            <w:right w:val="none" w:sz="0" w:space="0" w:color="auto"/>
          </w:divBdr>
        </w:div>
        <w:div w:id="966542933">
          <w:marLeft w:val="0"/>
          <w:marRight w:val="0"/>
          <w:marTop w:val="0"/>
          <w:marBottom w:val="0"/>
          <w:divBdr>
            <w:top w:val="none" w:sz="0" w:space="0" w:color="auto"/>
            <w:left w:val="none" w:sz="0" w:space="0" w:color="auto"/>
            <w:bottom w:val="none" w:sz="0" w:space="0" w:color="auto"/>
            <w:right w:val="none" w:sz="0" w:space="0" w:color="auto"/>
          </w:divBdr>
        </w:div>
        <w:div w:id="966855434">
          <w:marLeft w:val="0"/>
          <w:marRight w:val="0"/>
          <w:marTop w:val="0"/>
          <w:marBottom w:val="0"/>
          <w:divBdr>
            <w:top w:val="none" w:sz="0" w:space="0" w:color="auto"/>
            <w:left w:val="none" w:sz="0" w:space="0" w:color="auto"/>
            <w:bottom w:val="none" w:sz="0" w:space="0" w:color="auto"/>
            <w:right w:val="none" w:sz="0" w:space="0" w:color="auto"/>
          </w:divBdr>
        </w:div>
        <w:div w:id="966936590">
          <w:marLeft w:val="0"/>
          <w:marRight w:val="0"/>
          <w:marTop w:val="0"/>
          <w:marBottom w:val="0"/>
          <w:divBdr>
            <w:top w:val="none" w:sz="0" w:space="0" w:color="auto"/>
            <w:left w:val="none" w:sz="0" w:space="0" w:color="auto"/>
            <w:bottom w:val="none" w:sz="0" w:space="0" w:color="auto"/>
            <w:right w:val="none" w:sz="0" w:space="0" w:color="auto"/>
          </w:divBdr>
        </w:div>
        <w:div w:id="967080383">
          <w:marLeft w:val="0"/>
          <w:marRight w:val="0"/>
          <w:marTop w:val="0"/>
          <w:marBottom w:val="0"/>
          <w:divBdr>
            <w:top w:val="none" w:sz="0" w:space="0" w:color="auto"/>
            <w:left w:val="none" w:sz="0" w:space="0" w:color="auto"/>
            <w:bottom w:val="none" w:sz="0" w:space="0" w:color="auto"/>
            <w:right w:val="none" w:sz="0" w:space="0" w:color="auto"/>
          </w:divBdr>
        </w:div>
        <w:div w:id="967736715">
          <w:marLeft w:val="0"/>
          <w:marRight w:val="0"/>
          <w:marTop w:val="0"/>
          <w:marBottom w:val="0"/>
          <w:divBdr>
            <w:top w:val="none" w:sz="0" w:space="0" w:color="auto"/>
            <w:left w:val="none" w:sz="0" w:space="0" w:color="auto"/>
            <w:bottom w:val="none" w:sz="0" w:space="0" w:color="auto"/>
            <w:right w:val="none" w:sz="0" w:space="0" w:color="auto"/>
          </w:divBdr>
        </w:div>
        <w:div w:id="968128443">
          <w:marLeft w:val="0"/>
          <w:marRight w:val="0"/>
          <w:marTop w:val="0"/>
          <w:marBottom w:val="0"/>
          <w:divBdr>
            <w:top w:val="none" w:sz="0" w:space="0" w:color="auto"/>
            <w:left w:val="none" w:sz="0" w:space="0" w:color="auto"/>
            <w:bottom w:val="none" w:sz="0" w:space="0" w:color="auto"/>
            <w:right w:val="none" w:sz="0" w:space="0" w:color="auto"/>
          </w:divBdr>
        </w:div>
        <w:div w:id="970087482">
          <w:marLeft w:val="0"/>
          <w:marRight w:val="0"/>
          <w:marTop w:val="0"/>
          <w:marBottom w:val="0"/>
          <w:divBdr>
            <w:top w:val="none" w:sz="0" w:space="0" w:color="auto"/>
            <w:left w:val="none" w:sz="0" w:space="0" w:color="auto"/>
            <w:bottom w:val="none" w:sz="0" w:space="0" w:color="auto"/>
            <w:right w:val="none" w:sz="0" w:space="0" w:color="auto"/>
          </w:divBdr>
        </w:div>
        <w:div w:id="970289887">
          <w:marLeft w:val="0"/>
          <w:marRight w:val="0"/>
          <w:marTop w:val="0"/>
          <w:marBottom w:val="0"/>
          <w:divBdr>
            <w:top w:val="none" w:sz="0" w:space="0" w:color="auto"/>
            <w:left w:val="none" w:sz="0" w:space="0" w:color="auto"/>
            <w:bottom w:val="none" w:sz="0" w:space="0" w:color="auto"/>
            <w:right w:val="none" w:sz="0" w:space="0" w:color="auto"/>
          </w:divBdr>
        </w:div>
        <w:div w:id="971324141">
          <w:marLeft w:val="0"/>
          <w:marRight w:val="0"/>
          <w:marTop w:val="0"/>
          <w:marBottom w:val="0"/>
          <w:divBdr>
            <w:top w:val="none" w:sz="0" w:space="0" w:color="auto"/>
            <w:left w:val="none" w:sz="0" w:space="0" w:color="auto"/>
            <w:bottom w:val="none" w:sz="0" w:space="0" w:color="auto"/>
            <w:right w:val="none" w:sz="0" w:space="0" w:color="auto"/>
          </w:divBdr>
        </w:div>
        <w:div w:id="972252502">
          <w:marLeft w:val="0"/>
          <w:marRight w:val="0"/>
          <w:marTop w:val="0"/>
          <w:marBottom w:val="0"/>
          <w:divBdr>
            <w:top w:val="none" w:sz="0" w:space="0" w:color="auto"/>
            <w:left w:val="none" w:sz="0" w:space="0" w:color="auto"/>
            <w:bottom w:val="none" w:sz="0" w:space="0" w:color="auto"/>
            <w:right w:val="none" w:sz="0" w:space="0" w:color="auto"/>
          </w:divBdr>
        </w:div>
        <w:div w:id="973023208">
          <w:marLeft w:val="0"/>
          <w:marRight w:val="0"/>
          <w:marTop w:val="0"/>
          <w:marBottom w:val="0"/>
          <w:divBdr>
            <w:top w:val="none" w:sz="0" w:space="0" w:color="auto"/>
            <w:left w:val="none" w:sz="0" w:space="0" w:color="auto"/>
            <w:bottom w:val="none" w:sz="0" w:space="0" w:color="auto"/>
            <w:right w:val="none" w:sz="0" w:space="0" w:color="auto"/>
          </w:divBdr>
        </w:div>
        <w:div w:id="973216391">
          <w:marLeft w:val="0"/>
          <w:marRight w:val="0"/>
          <w:marTop w:val="0"/>
          <w:marBottom w:val="0"/>
          <w:divBdr>
            <w:top w:val="none" w:sz="0" w:space="0" w:color="auto"/>
            <w:left w:val="none" w:sz="0" w:space="0" w:color="auto"/>
            <w:bottom w:val="none" w:sz="0" w:space="0" w:color="auto"/>
            <w:right w:val="none" w:sz="0" w:space="0" w:color="auto"/>
          </w:divBdr>
        </w:div>
        <w:div w:id="974992823">
          <w:marLeft w:val="0"/>
          <w:marRight w:val="0"/>
          <w:marTop w:val="0"/>
          <w:marBottom w:val="0"/>
          <w:divBdr>
            <w:top w:val="none" w:sz="0" w:space="0" w:color="auto"/>
            <w:left w:val="none" w:sz="0" w:space="0" w:color="auto"/>
            <w:bottom w:val="none" w:sz="0" w:space="0" w:color="auto"/>
            <w:right w:val="none" w:sz="0" w:space="0" w:color="auto"/>
          </w:divBdr>
        </w:div>
        <w:div w:id="976299731">
          <w:marLeft w:val="0"/>
          <w:marRight w:val="0"/>
          <w:marTop w:val="0"/>
          <w:marBottom w:val="0"/>
          <w:divBdr>
            <w:top w:val="none" w:sz="0" w:space="0" w:color="auto"/>
            <w:left w:val="none" w:sz="0" w:space="0" w:color="auto"/>
            <w:bottom w:val="none" w:sz="0" w:space="0" w:color="auto"/>
            <w:right w:val="none" w:sz="0" w:space="0" w:color="auto"/>
          </w:divBdr>
        </w:div>
        <w:div w:id="978068036">
          <w:marLeft w:val="0"/>
          <w:marRight w:val="0"/>
          <w:marTop w:val="0"/>
          <w:marBottom w:val="0"/>
          <w:divBdr>
            <w:top w:val="none" w:sz="0" w:space="0" w:color="auto"/>
            <w:left w:val="none" w:sz="0" w:space="0" w:color="auto"/>
            <w:bottom w:val="none" w:sz="0" w:space="0" w:color="auto"/>
            <w:right w:val="none" w:sz="0" w:space="0" w:color="auto"/>
          </w:divBdr>
        </w:div>
        <w:div w:id="979965181">
          <w:marLeft w:val="0"/>
          <w:marRight w:val="0"/>
          <w:marTop w:val="0"/>
          <w:marBottom w:val="0"/>
          <w:divBdr>
            <w:top w:val="none" w:sz="0" w:space="0" w:color="auto"/>
            <w:left w:val="none" w:sz="0" w:space="0" w:color="auto"/>
            <w:bottom w:val="none" w:sz="0" w:space="0" w:color="auto"/>
            <w:right w:val="none" w:sz="0" w:space="0" w:color="auto"/>
          </w:divBdr>
        </w:div>
        <w:div w:id="982195424">
          <w:marLeft w:val="0"/>
          <w:marRight w:val="0"/>
          <w:marTop w:val="0"/>
          <w:marBottom w:val="0"/>
          <w:divBdr>
            <w:top w:val="none" w:sz="0" w:space="0" w:color="auto"/>
            <w:left w:val="none" w:sz="0" w:space="0" w:color="auto"/>
            <w:bottom w:val="none" w:sz="0" w:space="0" w:color="auto"/>
            <w:right w:val="none" w:sz="0" w:space="0" w:color="auto"/>
          </w:divBdr>
        </w:div>
        <w:div w:id="984043035">
          <w:marLeft w:val="0"/>
          <w:marRight w:val="0"/>
          <w:marTop w:val="0"/>
          <w:marBottom w:val="0"/>
          <w:divBdr>
            <w:top w:val="none" w:sz="0" w:space="0" w:color="auto"/>
            <w:left w:val="none" w:sz="0" w:space="0" w:color="auto"/>
            <w:bottom w:val="none" w:sz="0" w:space="0" w:color="auto"/>
            <w:right w:val="none" w:sz="0" w:space="0" w:color="auto"/>
          </w:divBdr>
        </w:div>
        <w:div w:id="984427788">
          <w:marLeft w:val="0"/>
          <w:marRight w:val="0"/>
          <w:marTop w:val="0"/>
          <w:marBottom w:val="0"/>
          <w:divBdr>
            <w:top w:val="none" w:sz="0" w:space="0" w:color="auto"/>
            <w:left w:val="none" w:sz="0" w:space="0" w:color="auto"/>
            <w:bottom w:val="none" w:sz="0" w:space="0" w:color="auto"/>
            <w:right w:val="none" w:sz="0" w:space="0" w:color="auto"/>
          </w:divBdr>
        </w:div>
        <w:div w:id="985279034">
          <w:marLeft w:val="0"/>
          <w:marRight w:val="0"/>
          <w:marTop w:val="0"/>
          <w:marBottom w:val="0"/>
          <w:divBdr>
            <w:top w:val="none" w:sz="0" w:space="0" w:color="auto"/>
            <w:left w:val="none" w:sz="0" w:space="0" w:color="auto"/>
            <w:bottom w:val="none" w:sz="0" w:space="0" w:color="auto"/>
            <w:right w:val="none" w:sz="0" w:space="0" w:color="auto"/>
          </w:divBdr>
        </w:div>
        <w:div w:id="985742231">
          <w:marLeft w:val="0"/>
          <w:marRight w:val="0"/>
          <w:marTop w:val="0"/>
          <w:marBottom w:val="0"/>
          <w:divBdr>
            <w:top w:val="none" w:sz="0" w:space="0" w:color="auto"/>
            <w:left w:val="none" w:sz="0" w:space="0" w:color="auto"/>
            <w:bottom w:val="none" w:sz="0" w:space="0" w:color="auto"/>
            <w:right w:val="none" w:sz="0" w:space="0" w:color="auto"/>
          </w:divBdr>
        </w:div>
        <w:div w:id="987585925">
          <w:marLeft w:val="0"/>
          <w:marRight w:val="0"/>
          <w:marTop w:val="0"/>
          <w:marBottom w:val="0"/>
          <w:divBdr>
            <w:top w:val="none" w:sz="0" w:space="0" w:color="auto"/>
            <w:left w:val="none" w:sz="0" w:space="0" w:color="auto"/>
            <w:bottom w:val="none" w:sz="0" w:space="0" w:color="auto"/>
            <w:right w:val="none" w:sz="0" w:space="0" w:color="auto"/>
          </w:divBdr>
        </w:div>
        <w:div w:id="989674386">
          <w:marLeft w:val="0"/>
          <w:marRight w:val="0"/>
          <w:marTop w:val="0"/>
          <w:marBottom w:val="0"/>
          <w:divBdr>
            <w:top w:val="none" w:sz="0" w:space="0" w:color="auto"/>
            <w:left w:val="none" w:sz="0" w:space="0" w:color="auto"/>
            <w:bottom w:val="none" w:sz="0" w:space="0" w:color="auto"/>
            <w:right w:val="none" w:sz="0" w:space="0" w:color="auto"/>
          </w:divBdr>
        </w:div>
        <w:div w:id="992832635">
          <w:marLeft w:val="0"/>
          <w:marRight w:val="0"/>
          <w:marTop w:val="0"/>
          <w:marBottom w:val="0"/>
          <w:divBdr>
            <w:top w:val="none" w:sz="0" w:space="0" w:color="auto"/>
            <w:left w:val="none" w:sz="0" w:space="0" w:color="auto"/>
            <w:bottom w:val="none" w:sz="0" w:space="0" w:color="auto"/>
            <w:right w:val="none" w:sz="0" w:space="0" w:color="auto"/>
          </w:divBdr>
        </w:div>
        <w:div w:id="994067007">
          <w:marLeft w:val="0"/>
          <w:marRight w:val="0"/>
          <w:marTop w:val="0"/>
          <w:marBottom w:val="0"/>
          <w:divBdr>
            <w:top w:val="none" w:sz="0" w:space="0" w:color="auto"/>
            <w:left w:val="none" w:sz="0" w:space="0" w:color="auto"/>
            <w:bottom w:val="none" w:sz="0" w:space="0" w:color="auto"/>
            <w:right w:val="none" w:sz="0" w:space="0" w:color="auto"/>
          </w:divBdr>
        </w:div>
        <w:div w:id="994380449">
          <w:marLeft w:val="0"/>
          <w:marRight w:val="0"/>
          <w:marTop w:val="0"/>
          <w:marBottom w:val="0"/>
          <w:divBdr>
            <w:top w:val="none" w:sz="0" w:space="0" w:color="auto"/>
            <w:left w:val="none" w:sz="0" w:space="0" w:color="auto"/>
            <w:bottom w:val="none" w:sz="0" w:space="0" w:color="auto"/>
            <w:right w:val="none" w:sz="0" w:space="0" w:color="auto"/>
          </w:divBdr>
        </w:div>
        <w:div w:id="994799627">
          <w:marLeft w:val="0"/>
          <w:marRight w:val="0"/>
          <w:marTop w:val="0"/>
          <w:marBottom w:val="0"/>
          <w:divBdr>
            <w:top w:val="none" w:sz="0" w:space="0" w:color="auto"/>
            <w:left w:val="none" w:sz="0" w:space="0" w:color="auto"/>
            <w:bottom w:val="none" w:sz="0" w:space="0" w:color="auto"/>
            <w:right w:val="none" w:sz="0" w:space="0" w:color="auto"/>
          </w:divBdr>
        </w:div>
        <w:div w:id="996155115">
          <w:marLeft w:val="0"/>
          <w:marRight w:val="0"/>
          <w:marTop w:val="0"/>
          <w:marBottom w:val="0"/>
          <w:divBdr>
            <w:top w:val="none" w:sz="0" w:space="0" w:color="auto"/>
            <w:left w:val="none" w:sz="0" w:space="0" w:color="auto"/>
            <w:bottom w:val="none" w:sz="0" w:space="0" w:color="auto"/>
            <w:right w:val="none" w:sz="0" w:space="0" w:color="auto"/>
          </w:divBdr>
        </w:div>
        <w:div w:id="996689911">
          <w:marLeft w:val="0"/>
          <w:marRight w:val="0"/>
          <w:marTop w:val="0"/>
          <w:marBottom w:val="0"/>
          <w:divBdr>
            <w:top w:val="none" w:sz="0" w:space="0" w:color="auto"/>
            <w:left w:val="none" w:sz="0" w:space="0" w:color="auto"/>
            <w:bottom w:val="none" w:sz="0" w:space="0" w:color="auto"/>
            <w:right w:val="none" w:sz="0" w:space="0" w:color="auto"/>
          </w:divBdr>
        </w:div>
        <w:div w:id="996960501">
          <w:marLeft w:val="0"/>
          <w:marRight w:val="0"/>
          <w:marTop w:val="0"/>
          <w:marBottom w:val="0"/>
          <w:divBdr>
            <w:top w:val="none" w:sz="0" w:space="0" w:color="auto"/>
            <w:left w:val="none" w:sz="0" w:space="0" w:color="auto"/>
            <w:bottom w:val="none" w:sz="0" w:space="0" w:color="auto"/>
            <w:right w:val="none" w:sz="0" w:space="0" w:color="auto"/>
          </w:divBdr>
        </w:div>
        <w:div w:id="1000305297">
          <w:marLeft w:val="0"/>
          <w:marRight w:val="0"/>
          <w:marTop w:val="0"/>
          <w:marBottom w:val="0"/>
          <w:divBdr>
            <w:top w:val="none" w:sz="0" w:space="0" w:color="auto"/>
            <w:left w:val="none" w:sz="0" w:space="0" w:color="auto"/>
            <w:bottom w:val="none" w:sz="0" w:space="0" w:color="auto"/>
            <w:right w:val="none" w:sz="0" w:space="0" w:color="auto"/>
          </w:divBdr>
        </w:div>
        <w:div w:id="1001661232">
          <w:marLeft w:val="0"/>
          <w:marRight w:val="0"/>
          <w:marTop w:val="0"/>
          <w:marBottom w:val="0"/>
          <w:divBdr>
            <w:top w:val="none" w:sz="0" w:space="0" w:color="auto"/>
            <w:left w:val="none" w:sz="0" w:space="0" w:color="auto"/>
            <w:bottom w:val="none" w:sz="0" w:space="0" w:color="auto"/>
            <w:right w:val="none" w:sz="0" w:space="0" w:color="auto"/>
          </w:divBdr>
        </w:div>
        <w:div w:id="1002392104">
          <w:marLeft w:val="0"/>
          <w:marRight w:val="0"/>
          <w:marTop w:val="0"/>
          <w:marBottom w:val="0"/>
          <w:divBdr>
            <w:top w:val="none" w:sz="0" w:space="0" w:color="auto"/>
            <w:left w:val="none" w:sz="0" w:space="0" w:color="auto"/>
            <w:bottom w:val="none" w:sz="0" w:space="0" w:color="auto"/>
            <w:right w:val="none" w:sz="0" w:space="0" w:color="auto"/>
          </w:divBdr>
          <w:divsChild>
            <w:div w:id="29957950">
              <w:marLeft w:val="0"/>
              <w:marRight w:val="0"/>
              <w:marTop w:val="0"/>
              <w:marBottom w:val="0"/>
              <w:divBdr>
                <w:top w:val="none" w:sz="0" w:space="0" w:color="auto"/>
                <w:left w:val="none" w:sz="0" w:space="0" w:color="auto"/>
                <w:bottom w:val="none" w:sz="0" w:space="0" w:color="auto"/>
                <w:right w:val="none" w:sz="0" w:space="0" w:color="auto"/>
              </w:divBdr>
            </w:div>
            <w:div w:id="122047327">
              <w:marLeft w:val="0"/>
              <w:marRight w:val="0"/>
              <w:marTop w:val="0"/>
              <w:marBottom w:val="0"/>
              <w:divBdr>
                <w:top w:val="none" w:sz="0" w:space="0" w:color="auto"/>
                <w:left w:val="none" w:sz="0" w:space="0" w:color="auto"/>
                <w:bottom w:val="none" w:sz="0" w:space="0" w:color="auto"/>
                <w:right w:val="none" w:sz="0" w:space="0" w:color="auto"/>
              </w:divBdr>
            </w:div>
            <w:div w:id="287703847">
              <w:marLeft w:val="0"/>
              <w:marRight w:val="0"/>
              <w:marTop w:val="0"/>
              <w:marBottom w:val="0"/>
              <w:divBdr>
                <w:top w:val="none" w:sz="0" w:space="0" w:color="auto"/>
                <w:left w:val="none" w:sz="0" w:space="0" w:color="auto"/>
                <w:bottom w:val="none" w:sz="0" w:space="0" w:color="auto"/>
                <w:right w:val="none" w:sz="0" w:space="0" w:color="auto"/>
              </w:divBdr>
            </w:div>
            <w:div w:id="413471973">
              <w:marLeft w:val="0"/>
              <w:marRight w:val="0"/>
              <w:marTop w:val="0"/>
              <w:marBottom w:val="0"/>
              <w:divBdr>
                <w:top w:val="none" w:sz="0" w:space="0" w:color="auto"/>
                <w:left w:val="none" w:sz="0" w:space="0" w:color="auto"/>
                <w:bottom w:val="none" w:sz="0" w:space="0" w:color="auto"/>
                <w:right w:val="none" w:sz="0" w:space="0" w:color="auto"/>
              </w:divBdr>
            </w:div>
            <w:div w:id="469597600">
              <w:marLeft w:val="0"/>
              <w:marRight w:val="0"/>
              <w:marTop w:val="0"/>
              <w:marBottom w:val="0"/>
              <w:divBdr>
                <w:top w:val="none" w:sz="0" w:space="0" w:color="auto"/>
                <w:left w:val="none" w:sz="0" w:space="0" w:color="auto"/>
                <w:bottom w:val="none" w:sz="0" w:space="0" w:color="auto"/>
                <w:right w:val="none" w:sz="0" w:space="0" w:color="auto"/>
              </w:divBdr>
            </w:div>
            <w:div w:id="515538701">
              <w:marLeft w:val="0"/>
              <w:marRight w:val="0"/>
              <w:marTop w:val="0"/>
              <w:marBottom w:val="0"/>
              <w:divBdr>
                <w:top w:val="none" w:sz="0" w:space="0" w:color="auto"/>
                <w:left w:val="none" w:sz="0" w:space="0" w:color="auto"/>
                <w:bottom w:val="none" w:sz="0" w:space="0" w:color="auto"/>
                <w:right w:val="none" w:sz="0" w:space="0" w:color="auto"/>
              </w:divBdr>
            </w:div>
            <w:div w:id="597833696">
              <w:marLeft w:val="0"/>
              <w:marRight w:val="0"/>
              <w:marTop w:val="0"/>
              <w:marBottom w:val="0"/>
              <w:divBdr>
                <w:top w:val="none" w:sz="0" w:space="0" w:color="auto"/>
                <w:left w:val="none" w:sz="0" w:space="0" w:color="auto"/>
                <w:bottom w:val="none" w:sz="0" w:space="0" w:color="auto"/>
                <w:right w:val="none" w:sz="0" w:space="0" w:color="auto"/>
              </w:divBdr>
            </w:div>
            <w:div w:id="672925367">
              <w:marLeft w:val="0"/>
              <w:marRight w:val="0"/>
              <w:marTop w:val="0"/>
              <w:marBottom w:val="0"/>
              <w:divBdr>
                <w:top w:val="none" w:sz="0" w:space="0" w:color="auto"/>
                <w:left w:val="none" w:sz="0" w:space="0" w:color="auto"/>
                <w:bottom w:val="none" w:sz="0" w:space="0" w:color="auto"/>
                <w:right w:val="none" w:sz="0" w:space="0" w:color="auto"/>
              </w:divBdr>
            </w:div>
            <w:div w:id="728959381">
              <w:marLeft w:val="0"/>
              <w:marRight w:val="0"/>
              <w:marTop w:val="0"/>
              <w:marBottom w:val="0"/>
              <w:divBdr>
                <w:top w:val="none" w:sz="0" w:space="0" w:color="auto"/>
                <w:left w:val="none" w:sz="0" w:space="0" w:color="auto"/>
                <w:bottom w:val="none" w:sz="0" w:space="0" w:color="auto"/>
                <w:right w:val="none" w:sz="0" w:space="0" w:color="auto"/>
              </w:divBdr>
            </w:div>
            <w:div w:id="922959351">
              <w:marLeft w:val="0"/>
              <w:marRight w:val="0"/>
              <w:marTop w:val="0"/>
              <w:marBottom w:val="0"/>
              <w:divBdr>
                <w:top w:val="none" w:sz="0" w:space="0" w:color="auto"/>
                <w:left w:val="none" w:sz="0" w:space="0" w:color="auto"/>
                <w:bottom w:val="none" w:sz="0" w:space="0" w:color="auto"/>
                <w:right w:val="none" w:sz="0" w:space="0" w:color="auto"/>
              </w:divBdr>
            </w:div>
            <w:div w:id="978805599">
              <w:marLeft w:val="0"/>
              <w:marRight w:val="0"/>
              <w:marTop w:val="0"/>
              <w:marBottom w:val="0"/>
              <w:divBdr>
                <w:top w:val="none" w:sz="0" w:space="0" w:color="auto"/>
                <w:left w:val="none" w:sz="0" w:space="0" w:color="auto"/>
                <w:bottom w:val="none" w:sz="0" w:space="0" w:color="auto"/>
                <w:right w:val="none" w:sz="0" w:space="0" w:color="auto"/>
              </w:divBdr>
            </w:div>
            <w:div w:id="1052777449">
              <w:marLeft w:val="0"/>
              <w:marRight w:val="0"/>
              <w:marTop w:val="0"/>
              <w:marBottom w:val="0"/>
              <w:divBdr>
                <w:top w:val="none" w:sz="0" w:space="0" w:color="auto"/>
                <w:left w:val="none" w:sz="0" w:space="0" w:color="auto"/>
                <w:bottom w:val="none" w:sz="0" w:space="0" w:color="auto"/>
                <w:right w:val="none" w:sz="0" w:space="0" w:color="auto"/>
              </w:divBdr>
            </w:div>
            <w:div w:id="1436897500">
              <w:marLeft w:val="0"/>
              <w:marRight w:val="0"/>
              <w:marTop w:val="0"/>
              <w:marBottom w:val="0"/>
              <w:divBdr>
                <w:top w:val="none" w:sz="0" w:space="0" w:color="auto"/>
                <w:left w:val="none" w:sz="0" w:space="0" w:color="auto"/>
                <w:bottom w:val="none" w:sz="0" w:space="0" w:color="auto"/>
                <w:right w:val="none" w:sz="0" w:space="0" w:color="auto"/>
              </w:divBdr>
            </w:div>
            <w:div w:id="1525289321">
              <w:marLeft w:val="0"/>
              <w:marRight w:val="0"/>
              <w:marTop w:val="0"/>
              <w:marBottom w:val="0"/>
              <w:divBdr>
                <w:top w:val="none" w:sz="0" w:space="0" w:color="auto"/>
                <w:left w:val="none" w:sz="0" w:space="0" w:color="auto"/>
                <w:bottom w:val="none" w:sz="0" w:space="0" w:color="auto"/>
                <w:right w:val="none" w:sz="0" w:space="0" w:color="auto"/>
              </w:divBdr>
            </w:div>
            <w:div w:id="1627004572">
              <w:marLeft w:val="0"/>
              <w:marRight w:val="0"/>
              <w:marTop w:val="0"/>
              <w:marBottom w:val="0"/>
              <w:divBdr>
                <w:top w:val="none" w:sz="0" w:space="0" w:color="auto"/>
                <w:left w:val="none" w:sz="0" w:space="0" w:color="auto"/>
                <w:bottom w:val="none" w:sz="0" w:space="0" w:color="auto"/>
                <w:right w:val="none" w:sz="0" w:space="0" w:color="auto"/>
              </w:divBdr>
            </w:div>
            <w:div w:id="1630745523">
              <w:marLeft w:val="0"/>
              <w:marRight w:val="0"/>
              <w:marTop w:val="0"/>
              <w:marBottom w:val="0"/>
              <w:divBdr>
                <w:top w:val="none" w:sz="0" w:space="0" w:color="auto"/>
                <w:left w:val="none" w:sz="0" w:space="0" w:color="auto"/>
                <w:bottom w:val="none" w:sz="0" w:space="0" w:color="auto"/>
                <w:right w:val="none" w:sz="0" w:space="0" w:color="auto"/>
              </w:divBdr>
            </w:div>
            <w:div w:id="1867861890">
              <w:marLeft w:val="0"/>
              <w:marRight w:val="0"/>
              <w:marTop w:val="0"/>
              <w:marBottom w:val="0"/>
              <w:divBdr>
                <w:top w:val="none" w:sz="0" w:space="0" w:color="auto"/>
                <w:left w:val="none" w:sz="0" w:space="0" w:color="auto"/>
                <w:bottom w:val="none" w:sz="0" w:space="0" w:color="auto"/>
                <w:right w:val="none" w:sz="0" w:space="0" w:color="auto"/>
              </w:divBdr>
            </w:div>
            <w:div w:id="2071222655">
              <w:marLeft w:val="0"/>
              <w:marRight w:val="0"/>
              <w:marTop w:val="0"/>
              <w:marBottom w:val="0"/>
              <w:divBdr>
                <w:top w:val="none" w:sz="0" w:space="0" w:color="auto"/>
                <w:left w:val="none" w:sz="0" w:space="0" w:color="auto"/>
                <w:bottom w:val="none" w:sz="0" w:space="0" w:color="auto"/>
                <w:right w:val="none" w:sz="0" w:space="0" w:color="auto"/>
              </w:divBdr>
            </w:div>
          </w:divsChild>
        </w:div>
        <w:div w:id="1004283424">
          <w:marLeft w:val="0"/>
          <w:marRight w:val="0"/>
          <w:marTop w:val="0"/>
          <w:marBottom w:val="0"/>
          <w:divBdr>
            <w:top w:val="none" w:sz="0" w:space="0" w:color="auto"/>
            <w:left w:val="none" w:sz="0" w:space="0" w:color="auto"/>
            <w:bottom w:val="none" w:sz="0" w:space="0" w:color="auto"/>
            <w:right w:val="none" w:sz="0" w:space="0" w:color="auto"/>
          </w:divBdr>
        </w:div>
        <w:div w:id="1004360459">
          <w:marLeft w:val="0"/>
          <w:marRight w:val="0"/>
          <w:marTop w:val="0"/>
          <w:marBottom w:val="0"/>
          <w:divBdr>
            <w:top w:val="none" w:sz="0" w:space="0" w:color="auto"/>
            <w:left w:val="none" w:sz="0" w:space="0" w:color="auto"/>
            <w:bottom w:val="none" w:sz="0" w:space="0" w:color="auto"/>
            <w:right w:val="none" w:sz="0" w:space="0" w:color="auto"/>
          </w:divBdr>
        </w:div>
        <w:div w:id="1004556060">
          <w:marLeft w:val="0"/>
          <w:marRight w:val="0"/>
          <w:marTop w:val="0"/>
          <w:marBottom w:val="0"/>
          <w:divBdr>
            <w:top w:val="none" w:sz="0" w:space="0" w:color="auto"/>
            <w:left w:val="none" w:sz="0" w:space="0" w:color="auto"/>
            <w:bottom w:val="none" w:sz="0" w:space="0" w:color="auto"/>
            <w:right w:val="none" w:sz="0" w:space="0" w:color="auto"/>
          </w:divBdr>
        </w:div>
        <w:div w:id="1005864513">
          <w:marLeft w:val="0"/>
          <w:marRight w:val="0"/>
          <w:marTop w:val="0"/>
          <w:marBottom w:val="0"/>
          <w:divBdr>
            <w:top w:val="none" w:sz="0" w:space="0" w:color="auto"/>
            <w:left w:val="none" w:sz="0" w:space="0" w:color="auto"/>
            <w:bottom w:val="none" w:sz="0" w:space="0" w:color="auto"/>
            <w:right w:val="none" w:sz="0" w:space="0" w:color="auto"/>
          </w:divBdr>
        </w:div>
        <w:div w:id="1006174896">
          <w:marLeft w:val="0"/>
          <w:marRight w:val="0"/>
          <w:marTop w:val="0"/>
          <w:marBottom w:val="0"/>
          <w:divBdr>
            <w:top w:val="none" w:sz="0" w:space="0" w:color="auto"/>
            <w:left w:val="none" w:sz="0" w:space="0" w:color="auto"/>
            <w:bottom w:val="none" w:sz="0" w:space="0" w:color="auto"/>
            <w:right w:val="none" w:sz="0" w:space="0" w:color="auto"/>
          </w:divBdr>
        </w:div>
        <w:div w:id="1012805396">
          <w:marLeft w:val="0"/>
          <w:marRight w:val="0"/>
          <w:marTop w:val="0"/>
          <w:marBottom w:val="0"/>
          <w:divBdr>
            <w:top w:val="none" w:sz="0" w:space="0" w:color="auto"/>
            <w:left w:val="none" w:sz="0" w:space="0" w:color="auto"/>
            <w:bottom w:val="none" w:sz="0" w:space="0" w:color="auto"/>
            <w:right w:val="none" w:sz="0" w:space="0" w:color="auto"/>
          </w:divBdr>
          <w:divsChild>
            <w:div w:id="7874149">
              <w:marLeft w:val="0"/>
              <w:marRight w:val="0"/>
              <w:marTop w:val="0"/>
              <w:marBottom w:val="0"/>
              <w:divBdr>
                <w:top w:val="none" w:sz="0" w:space="0" w:color="auto"/>
                <w:left w:val="none" w:sz="0" w:space="0" w:color="auto"/>
                <w:bottom w:val="none" w:sz="0" w:space="0" w:color="auto"/>
                <w:right w:val="none" w:sz="0" w:space="0" w:color="auto"/>
              </w:divBdr>
            </w:div>
            <w:div w:id="119307192">
              <w:marLeft w:val="0"/>
              <w:marRight w:val="0"/>
              <w:marTop w:val="0"/>
              <w:marBottom w:val="0"/>
              <w:divBdr>
                <w:top w:val="none" w:sz="0" w:space="0" w:color="auto"/>
                <w:left w:val="none" w:sz="0" w:space="0" w:color="auto"/>
                <w:bottom w:val="none" w:sz="0" w:space="0" w:color="auto"/>
                <w:right w:val="none" w:sz="0" w:space="0" w:color="auto"/>
              </w:divBdr>
            </w:div>
            <w:div w:id="247466633">
              <w:marLeft w:val="0"/>
              <w:marRight w:val="0"/>
              <w:marTop w:val="0"/>
              <w:marBottom w:val="0"/>
              <w:divBdr>
                <w:top w:val="none" w:sz="0" w:space="0" w:color="auto"/>
                <w:left w:val="none" w:sz="0" w:space="0" w:color="auto"/>
                <w:bottom w:val="none" w:sz="0" w:space="0" w:color="auto"/>
                <w:right w:val="none" w:sz="0" w:space="0" w:color="auto"/>
              </w:divBdr>
            </w:div>
            <w:div w:id="420838388">
              <w:marLeft w:val="0"/>
              <w:marRight w:val="0"/>
              <w:marTop w:val="0"/>
              <w:marBottom w:val="0"/>
              <w:divBdr>
                <w:top w:val="none" w:sz="0" w:space="0" w:color="auto"/>
                <w:left w:val="none" w:sz="0" w:space="0" w:color="auto"/>
                <w:bottom w:val="none" w:sz="0" w:space="0" w:color="auto"/>
                <w:right w:val="none" w:sz="0" w:space="0" w:color="auto"/>
              </w:divBdr>
            </w:div>
            <w:div w:id="618100796">
              <w:marLeft w:val="0"/>
              <w:marRight w:val="0"/>
              <w:marTop w:val="0"/>
              <w:marBottom w:val="0"/>
              <w:divBdr>
                <w:top w:val="none" w:sz="0" w:space="0" w:color="auto"/>
                <w:left w:val="none" w:sz="0" w:space="0" w:color="auto"/>
                <w:bottom w:val="none" w:sz="0" w:space="0" w:color="auto"/>
                <w:right w:val="none" w:sz="0" w:space="0" w:color="auto"/>
              </w:divBdr>
            </w:div>
            <w:div w:id="748620294">
              <w:marLeft w:val="0"/>
              <w:marRight w:val="0"/>
              <w:marTop w:val="0"/>
              <w:marBottom w:val="0"/>
              <w:divBdr>
                <w:top w:val="none" w:sz="0" w:space="0" w:color="auto"/>
                <w:left w:val="none" w:sz="0" w:space="0" w:color="auto"/>
                <w:bottom w:val="none" w:sz="0" w:space="0" w:color="auto"/>
                <w:right w:val="none" w:sz="0" w:space="0" w:color="auto"/>
              </w:divBdr>
            </w:div>
            <w:div w:id="774325119">
              <w:marLeft w:val="0"/>
              <w:marRight w:val="0"/>
              <w:marTop w:val="0"/>
              <w:marBottom w:val="0"/>
              <w:divBdr>
                <w:top w:val="none" w:sz="0" w:space="0" w:color="auto"/>
                <w:left w:val="none" w:sz="0" w:space="0" w:color="auto"/>
                <w:bottom w:val="none" w:sz="0" w:space="0" w:color="auto"/>
                <w:right w:val="none" w:sz="0" w:space="0" w:color="auto"/>
              </w:divBdr>
            </w:div>
            <w:div w:id="779447089">
              <w:marLeft w:val="0"/>
              <w:marRight w:val="0"/>
              <w:marTop w:val="0"/>
              <w:marBottom w:val="0"/>
              <w:divBdr>
                <w:top w:val="none" w:sz="0" w:space="0" w:color="auto"/>
                <w:left w:val="none" w:sz="0" w:space="0" w:color="auto"/>
                <w:bottom w:val="none" w:sz="0" w:space="0" w:color="auto"/>
                <w:right w:val="none" w:sz="0" w:space="0" w:color="auto"/>
              </w:divBdr>
            </w:div>
            <w:div w:id="873079943">
              <w:marLeft w:val="0"/>
              <w:marRight w:val="0"/>
              <w:marTop w:val="0"/>
              <w:marBottom w:val="0"/>
              <w:divBdr>
                <w:top w:val="none" w:sz="0" w:space="0" w:color="auto"/>
                <w:left w:val="none" w:sz="0" w:space="0" w:color="auto"/>
                <w:bottom w:val="none" w:sz="0" w:space="0" w:color="auto"/>
                <w:right w:val="none" w:sz="0" w:space="0" w:color="auto"/>
              </w:divBdr>
            </w:div>
            <w:div w:id="915552829">
              <w:marLeft w:val="0"/>
              <w:marRight w:val="0"/>
              <w:marTop w:val="0"/>
              <w:marBottom w:val="0"/>
              <w:divBdr>
                <w:top w:val="none" w:sz="0" w:space="0" w:color="auto"/>
                <w:left w:val="none" w:sz="0" w:space="0" w:color="auto"/>
                <w:bottom w:val="none" w:sz="0" w:space="0" w:color="auto"/>
                <w:right w:val="none" w:sz="0" w:space="0" w:color="auto"/>
              </w:divBdr>
            </w:div>
            <w:div w:id="918366434">
              <w:marLeft w:val="0"/>
              <w:marRight w:val="0"/>
              <w:marTop w:val="0"/>
              <w:marBottom w:val="0"/>
              <w:divBdr>
                <w:top w:val="none" w:sz="0" w:space="0" w:color="auto"/>
                <w:left w:val="none" w:sz="0" w:space="0" w:color="auto"/>
                <w:bottom w:val="none" w:sz="0" w:space="0" w:color="auto"/>
                <w:right w:val="none" w:sz="0" w:space="0" w:color="auto"/>
              </w:divBdr>
            </w:div>
            <w:div w:id="1067459168">
              <w:marLeft w:val="0"/>
              <w:marRight w:val="0"/>
              <w:marTop w:val="0"/>
              <w:marBottom w:val="0"/>
              <w:divBdr>
                <w:top w:val="none" w:sz="0" w:space="0" w:color="auto"/>
                <w:left w:val="none" w:sz="0" w:space="0" w:color="auto"/>
                <w:bottom w:val="none" w:sz="0" w:space="0" w:color="auto"/>
                <w:right w:val="none" w:sz="0" w:space="0" w:color="auto"/>
              </w:divBdr>
            </w:div>
            <w:div w:id="1101025893">
              <w:marLeft w:val="0"/>
              <w:marRight w:val="0"/>
              <w:marTop w:val="0"/>
              <w:marBottom w:val="0"/>
              <w:divBdr>
                <w:top w:val="none" w:sz="0" w:space="0" w:color="auto"/>
                <w:left w:val="none" w:sz="0" w:space="0" w:color="auto"/>
                <w:bottom w:val="none" w:sz="0" w:space="0" w:color="auto"/>
                <w:right w:val="none" w:sz="0" w:space="0" w:color="auto"/>
              </w:divBdr>
            </w:div>
            <w:div w:id="1416323743">
              <w:marLeft w:val="0"/>
              <w:marRight w:val="0"/>
              <w:marTop w:val="0"/>
              <w:marBottom w:val="0"/>
              <w:divBdr>
                <w:top w:val="none" w:sz="0" w:space="0" w:color="auto"/>
                <w:left w:val="none" w:sz="0" w:space="0" w:color="auto"/>
                <w:bottom w:val="none" w:sz="0" w:space="0" w:color="auto"/>
                <w:right w:val="none" w:sz="0" w:space="0" w:color="auto"/>
              </w:divBdr>
            </w:div>
            <w:div w:id="1519930591">
              <w:marLeft w:val="0"/>
              <w:marRight w:val="0"/>
              <w:marTop w:val="0"/>
              <w:marBottom w:val="0"/>
              <w:divBdr>
                <w:top w:val="none" w:sz="0" w:space="0" w:color="auto"/>
                <w:left w:val="none" w:sz="0" w:space="0" w:color="auto"/>
                <w:bottom w:val="none" w:sz="0" w:space="0" w:color="auto"/>
                <w:right w:val="none" w:sz="0" w:space="0" w:color="auto"/>
              </w:divBdr>
            </w:div>
            <w:div w:id="1546139520">
              <w:marLeft w:val="0"/>
              <w:marRight w:val="0"/>
              <w:marTop w:val="0"/>
              <w:marBottom w:val="0"/>
              <w:divBdr>
                <w:top w:val="none" w:sz="0" w:space="0" w:color="auto"/>
                <w:left w:val="none" w:sz="0" w:space="0" w:color="auto"/>
                <w:bottom w:val="none" w:sz="0" w:space="0" w:color="auto"/>
                <w:right w:val="none" w:sz="0" w:space="0" w:color="auto"/>
              </w:divBdr>
            </w:div>
            <w:div w:id="1742868496">
              <w:marLeft w:val="0"/>
              <w:marRight w:val="0"/>
              <w:marTop w:val="0"/>
              <w:marBottom w:val="0"/>
              <w:divBdr>
                <w:top w:val="none" w:sz="0" w:space="0" w:color="auto"/>
                <w:left w:val="none" w:sz="0" w:space="0" w:color="auto"/>
                <w:bottom w:val="none" w:sz="0" w:space="0" w:color="auto"/>
                <w:right w:val="none" w:sz="0" w:space="0" w:color="auto"/>
              </w:divBdr>
            </w:div>
            <w:div w:id="1865095998">
              <w:marLeft w:val="0"/>
              <w:marRight w:val="0"/>
              <w:marTop w:val="0"/>
              <w:marBottom w:val="0"/>
              <w:divBdr>
                <w:top w:val="none" w:sz="0" w:space="0" w:color="auto"/>
                <w:left w:val="none" w:sz="0" w:space="0" w:color="auto"/>
                <w:bottom w:val="none" w:sz="0" w:space="0" w:color="auto"/>
                <w:right w:val="none" w:sz="0" w:space="0" w:color="auto"/>
              </w:divBdr>
            </w:div>
            <w:div w:id="2038653964">
              <w:marLeft w:val="0"/>
              <w:marRight w:val="0"/>
              <w:marTop w:val="0"/>
              <w:marBottom w:val="0"/>
              <w:divBdr>
                <w:top w:val="none" w:sz="0" w:space="0" w:color="auto"/>
                <w:left w:val="none" w:sz="0" w:space="0" w:color="auto"/>
                <w:bottom w:val="none" w:sz="0" w:space="0" w:color="auto"/>
                <w:right w:val="none" w:sz="0" w:space="0" w:color="auto"/>
              </w:divBdr>
            </w:div>
            <w:div w:id="2042626670">
              <w:marLeft w:val="0"/>
              <w:marRight w:val="0"/>
              <w:marTop w:val="0"/>
              <w:marBottom w:val="0"/>
              <w:divBdr>
                <w:top w:val="none" w:sz="0" w:space="0" w:color="auto"/>
                <w:left w:val="none" w:sz="0" w:space="0" w:color="auto"/>
                <w:bottom w:val="none" w:sz="0" w:space="0" w:color="auto"/>
                <w:right w:val="none" w:sz="0" w:space="0" w:color="auto"/>
              </w:divBdr>
            </w:div>
            <w:div w:id="2093312110">
              <w:marLeft w:val="0"/>
              <w:marRight w:val="0"/>
              <w:marTop w:val="0"/>
              <w:marBottom w:val="0"/>
              <w:divBdr>
                <w:top w:val="none" w:sz="0" w:space="0" w:color="auto"/>
                <w:left w:val="none" w:sz="0" w:space="0" w:color="auto"/>
                <w:bottom w:val="none" w:sz="0" w:space="0" w:color="auto"/>
                <w:right w:val="none" w:sz="0" w:space="0" w:color="auto"/>
              </w:divBdr>
            </w:div>
          </w:divsChild>
        </w:div>
        <w:div w:id="1013075041">
          <w:marLeft w:val="0"/>
          <w:marRight w:val="0"/>
          <w:marTop w:val="0"/>
          <w:marBottom w:val="0"/>
          <w:divBdr>
            <w:top w:val="none" w:sz="0" w:space="0" w:color="auto"/>
            <w:left w:val="none" w:sz="0" w:space="0" w:color="auto"/>
            <w:bottom w:val="none" w:sz="0" w:space="0" w:color="auto"/>
            <w:right w:val="none" w:sz="0" w:space="0" w:color="auto"/>
          </w:divBdr>
        </w:div>
        <w:div w:id="1013921356">
          <w:marLeft w:val="0"/>
          <w:marRight w:val="0"/>
          <w:marTop w:val="0"/>
          <w:marBottom w:val="0"/>
          <w:divBdr>
            <w:top w:val="none" w:sz="0" w:space="0" w:color="auto"/>
            <w:left w:val="none" w:sz="0" w:space="0" w:color="auto"/>
            <w:bottom w:val="none" w:sz="0" w:space="0" w:color="auto"/>
            <w:right w:val="none" w:sz="0" w:space="0" w:color="auto"/>
          </w:divBdr>
        </w:div>
        <w:div w:id="1014769624">
          <w:marLeft w:val="0"/>
          <w:marRight w:val="0"/>
          <w:marTop w:val="0"/>
          <w:marBottom w:val="0"/>
          <w:divBdr>
            <w:top w:val="none" w:sz="0" w:space="0" w:color="auto"/>
            <w:left w:val="none" w:sz="0" w:space="0" w:color="auto"/>
            <w:bottom w:val="none" w:sz="0" w:space="0" w:color="auto"/>
            <w:right w:val="none" w:sz="0" w:space="0" w:color="auto"/>
          </w:divBdr>
        </w:div>
        <w:div w:id="1016734625">
          <w:marLeft w:val="0"/>
          <w:marRight w:val="0"/>
          <w:marTop w:val="0"/>
          <w:marBottom w:val="0"/>
          <w:divBdr>
            <w:top w:val="none" w:sz="0" w:space="0" w:color="auto"/>
            <w:left w:val="none" w:sz="0" w:space="0" w:color="auto"/>
            <w:bottom w:val="none" w:sz="0" w:space="0" w:color="auto"/>
            <w:right w:val="none" w:sz="0" w:space="0" w:color="auto"/>
          </w:divBdr>
        </w:div>
        <w:div w:id="1017077521">
          <w:marLeft w:val="0"/>
          <w:marRight w:val="0"/>
          <w:marTop w:val="0"/>
          <w:marBottom w:val="0"/>
          <w:divBdr>
            <w:top w:val="none" w:sz="0" w:space="0" w:color="auto"/>
            <w:left w:val="none" w:sz="0" w:space="0" w:color="auto"/>
            <w:bottom w:val="none" w:sz="0" w:space="0" w:color="auto"/>
            <w:right w:val="none" w:sz="0" w:space="0" w:color="auto"/>
          </w:divBdr>
        </w:div>
        <w:div w:id="1018851290">
          <w:marLeft w:val="0"/>
          <w:marRight w:val="0"/>
          <w:marTop w:val="0"/>
          <w:marBottom w:val="0"/>
          <w:divBdr>
            <w:top w:val="none" w:sz="0" w:space="0" w:color="auto"/>
            <w:left w:val="none" w:sz="0" w:space="0" w:color="auto"/>
            <w:bottom w:val="none" w:sz="0" w:space="0" w:color="auto"/>
            <w:right w:val="none" w:sz="0" w:space="0" w:color="auto"/>
          </w:divBdr>
          <w:divsChild>
            <w:div w:id="203908122">
              <w:marLeft w:val="0"/>
              <w:marRight w:val="0"/>
              <w:marTop w:val="0"/>
              <w:marBottom w:val="0"/>
              <w:divBdr>
                <w:top w:val="none" w:sz="0" w:space="0" w:color="auto"/>
                <w:left w:val="none" w:sz="0" w:space="0" w:color="auto"/>
                <w:bottom w:val="none" w:sz="0" w:space="0" w:color="auto"/>
                <w:right w:val="none" w:sz="0" w:space="0" w:color="auto"/>
              </w:divBdr>
            </w:div>
            <w:div w:id="365373728">
              <w:marLeft w:val="0"/>
              <w:marRight w:val="0"/>
              <w:marTop w:val="0"/>
              <w:marBottom w:val="0"/>
              <w:divBdr>
                <w:top w:val="none" w:sz="0" w:space="0" w:color="auto"/>
                <w:left w:val="none" w:sz="0" w:space="0" w:color="auto"/>
                <w:bottom w:val="none" w:sz="0" w:space="0" w:color="auto"/>
                <w:right w:val="none" w:sz="0" w:space="0" w:color="auto"/>
              </w:divBdr>
            </w:div>
            <w:div w:id="436025347">
              <w:marLeft w:val="0"/>
              <w:marRight w:val="0"/>
              <w:marTop w:val="0"/>
              <w:marBottom w:val="0"/>
              <w:divBdr>
                <w:top w:val="none" w:sz="0" w:space="0" w:color="auto"/>
                <w:left w:val="none" w:sz="0" w:space="0" w:color="auto"/>
                <w:bottom w:val="none" w:sz="0" w:space="0" w:color="auto"/>
                <w:right w:val="none" w:sz="0" w:space="0" w:color="auto"/>
              </w:divBdr>
            </w:div>
            <w:div w:id="441919887">
              <w:marLeft w:val="0"/>
              <w:marRight w:val="0"/>
              <w:marTop w:val="0"/>
              <w:marBottom w:val="0"/>
              <w:divBdr>
                <w:top w:val="none" w:sz="0" w:space="0" w:color="auto"/>
                <w:left w:val="none" w:sz="0" w:space="0" w:color="auto"/>
                <w:bottom w:val="none" w:sz="0" w:space="0" w:color="auto"/>
                <w:right w:val="none" w:sz="0" w:space="0" w:color="auto"/>
              </w:divBdr>
            </w:div>
            <w:div w:id="550462072">
              <w:marLeft w:val="0"/>
              <w:marRight w:val="0"/>
              <w:marTop w:val="0"/>
              <w:marBottom w:val="0"/>
              <w:divBdr>
                <w:top w:val="none" w:sz="0" w:space="0" w:color="auto"/>
                <w:left w:val="none" w:sz="0" w:space="0" w:color="auto"/>
                <w:bottom w:val="none" w:sz="0" w:space="0" w:color="auto"/>
                <w:right w:val="none" w:sz="0" w:space="0" w:color="auto"/>
              </w:divBdr>
            </w:div>
            <w:div w:id="643780244">
              <w:marLeft w:val="0"/>
              <w:marRight w:val="0"/>
              <w:marTop w:val="0"/>
              <w:marBottom w:val="0"/>
              <w:divBdr>
                <w:top w:val="none" w:sz="0" w:space="0" w:color="auto"/>
                <w:left w:val="none" w:sz="0" w:space="0" w:color="auto"/>
                <w:bottom w:val="none" w:sz="0" w:space="0" w:color="auto"/>
                <w:right w:val="none" w:sz="0" w:space="0" w:color="auto"/>
              </w:divBdr>
            </w:div>
            <w:div w:id="665010849">
              <w:marLeft w:val="0"/>
              <w:marRight w:val="0"/>
              <w:marTop w:val="0"/>
              <w:marBottom w:val="0"/>
              <w:divBdr>
                <w:top w:val="none" w:sz="0" w:space="0" w:color="auto"/>
                <w:left w:val="none" w:sz="0" w:space="0" w:color="auto"/>
                <w:bottom w:val="none" w:sz="0" w:space="0" w:color="auto"/>
                <w:right w:val="none" w:sz="0" w:space="0" w:color="auto"/>
              </w:divBdr>
            </w:div>
            <w:div w:id="900792837">
              <w:marLeft w:val="0"/>
              <w:marRight w:val="0"/>
              <w:marTop w:val="0"/>
              <w:marBottom w:val="0"/>
              <w:divBdr>
                <w:top w:val="none" w:sz="0" w:space="0" w:color="auto"/>
                <w:left w:val="none" w:sz="0" w:space="0" w:color="auto"/>
                <w:bottom w:val="none" w:sz="0" w:space="0" w:color="auto"/>
                <w:right w:val="none" w:sz="0" w:space="0" w:color="auto"/>
              </w:divBdr>
            </w:div>
            <w:div w:id="981348121">
              <w:marLeft w:val="0"/>
              <w:marRight w:val="0"/>
              <w:marTop w:val="0"/>
              <w:marBottom w:val="0"/>
              <w:divBdr>
                <w:top w:val="none" w:sz="0" w:space="0" w:color="auto"/>
                <w:left w:val="none" w:sz="0" w:space="0" w:color="auto"/>
                <w:bottom w:val="none" w:sz="0" w:space="0" w:color="auto"/>
                <w:right w:val="none" w:sz="0" w:space="0" w:color="auto"/>
              </w:divBdr>
            </w:div>
            <w:div w:id="1000039913">
              <w:marLeft w:val="0"/>
              <w:marRight w:val="0"/>
              <w:marTop w:val="0"/>
              <w:marBottom w:val="0"/>
              <w:divBdr>
                <w:top w:val="none" w:sz="0" w:space="0" w:color="auto"/>
                <w:left w:val="none" w:sz="0" w:space="0" w:color="auto"/>
                <w:bottom w:val="none" w:sz="0" w:space="0" w:color="auto"/>
                <w:right w:val="none" w:sz="0" w:space="0" w:color="auto"/>
              </w:divBdr>
            </w:div>
            <w:div w:id="1123572502">
              <w:marLeft w:val="0"/>
              <w:marRight w:val="0"/>
              <w:marTop w:val="0"/>
              <w:marBottom w:val="0"/>
              <w:divBdr>
                <w:top w:val="none" w:sz="0" w:space="0" w:color="auto"/>
                <w:left w:val="none" w:sz="0" w:space="0" w:color="auto"/>
                <w:bottom w:val="none" w:sz="0" w:space="0" w:color="auto"/>
                <w:right w:val="none" w:sz="0" w:space="0" w:color="auto"/>
              </w:divBdr>
            </w:div>
            <w:div w:id="1167401535">
              <w:marLeft w:val="0"/>
              <w:marRight w:val="0"/>
              <w:marTop w:val="0"/>
              <w:marBottom w:val="0"/>
              <w:divBdr>
                <w:top w:val="none" w:sz="0" w:space="0" w:color="auto"/>
                <w:left w:val="none" w:sz="0" w:space="0" w:color="auto"/>
                <w:bottom w:val="none" w:sz="0" w:space="0" w:color="auto"/>
                <w:right w:val="none" w:sz="0" w:space="0" w:color="auto"/>
              </w:divBdr>
            </w:div>
            <w:div w:id="1169519034">
              <w:marLeft w:val="0"/>
              <w:marRight w:val="0"/>
              <w:marTop w:val="0"/>
              <w:marBottom w:val="0"/>
              <w:divBdr>
                <w:top w:val="none" w:sz="0" w:space="0" w:color="auto"/>
                <w:left w:val="none" w:sz="0" w:space="0" w:color="auto"/>
                <w:bottom w:val="none" w:sz="0" w:space="0" w:color="auto"/>
                <w:right w:val="none" w:sz="0" w:space="0" w:color="auto"/>
              </w:divBdr>
            </w:div>
            <w:div w:id="1240170390">
              <w:marLeft w:val="0"/>
              <w:marRight w:val="0"/>
              <w:marTop w:val="0"/>
              <w:marBottom w:val="0"/>
              <w:divBdr>
                <w:top w:val="none" w:sz="0" w:space="0" w:color="auto"/>
                <w:left w:val="none" w:sz="0" w:space="0" w:color="auto"/>
                <w:bottom w:val="none" w:sz="0" w:space="0" w:color="auto"/>
                <w:right w:val="none" w:sz="0" w:space="0" w:color="auto"/>
              </w:divBdr>
            </w:div>
            <w:div w:id="1387218360">
              <w:marLeft w:val="0"/>
              <w:marRight w:val="0"/>
              <w:marTop w:val="0"/>
              <w:marBottom w:val="0"/>
              <w:divBdr>
                <w:top w:val="none" w:sz="0" w:space="0" w:color="auto"/>
                <w:left w:val="none" w:sz="0" w:space="0" w:color="auto"/>
                <w:bottom w:val="none" w:sz="0" w:space="0" w:color="auto"/>
                <w:right w:val="none" w:sz="0" w:space="0" w:color="auto"/>
              </w:divBdr>
            </w:div>
            <w:div w:id="1875388612">
              <w:marLeft w:val="0"/>
              <w:marRight w:val="0"/>
              <w:marTop w:val="0"/>
              <w:marBottom w:val="0"/>
              <w:divBdr>
                <w:top w:val="none" w:sz="0" w:space="0" w:color="auto"/>
                <w:left w:val="none" w:sz="0" w:space="0" w:color="auto"/>
                <w:bottom w:val="none" w:sz="0" w:space="0" w:color="auto"/>
                <w:right w:val="none" w:sz="0" w:space="0" w:color="auto"/>
              </w:divBdr>
            </w:div>
            <w:div w:id="1890678702">
              <w:marLeft w:val="0"/>
              <w:marRight w:val="0"/>
              <w:marTop w:val="0"/>
              <w:marBottom w:val="0"/>
              <w:divBdr>
                <w:top w:val="none" w:sz="0" w:space="0" w:color="auto"/>
                <w:left w:val="none" w:sz="0" w:space="0" w:color="auto"/>
                <w:bottom w:val="none" w:sz="0" w:space="0" w:color="auto"/>
                <w:right w:val="none" w:sz="0" w:space="0" w:color="auto"/>
              </w:divBdr>
            </w:div>
            <w:div w:id="1949966964">
              <w:marLeft w:val="0"/>
              <w:marRight w:val="0"/>
              <w:marTop w:val="0"/>
              <w:marBottom w:val="0"/>
              <w:divBdr>
                <w:top w:val="none" w:sz="0" w:space="0" w:color="auto"/>
                <w:left w:val="none" w:sz="0" w:space="0" w:color="auto"/>
                <w:bottom w:val="none" w:sz="0" w:space="0" w:color="auto"/>
                <w:right w:val="none" w:sz="0" w:space="0" w:color="auto"/>
              </w:divBdr>
            </w:div>
            <w:div w:id="2010791125">
              <w:marLeft w:val="0"/>
              <w:marRight w:val="0"/>
              <w:marTop w:val="0"/>
              <w:marBottom w:val="0"/>
              <w:divBdr>
                <w:top w:val="none" w:sz="0" w:space="0" w:color="auto"/>
                <w:left w:val="none" w:sz="0" w:space="0" w:color="auto"/>
                <w:bottom w:val="none" w:sz="0" w:space="0" w:color="auto"/>
                <w:right w:val="none" w:sz="0" w:space="0" w:color="auto"/>
              </w:divBdr>
            </w:div>
            <w:div w:id="2126339176">
              <w:marLeft w:val="0"/>
              <w:marRight w:val="0"/>
              <w:marTop w:val="0"/>
              <w:marBottom w:val="0"/>
              <w:divBdr>
                <w:top w:val="none" w:sz="0" w:space="0" w:color="auto"/>
                <w:left w:val="none" w:sz="0" w:space="0" w:color="auto"/>
                <w:bottom w:val="none" w:sz="0" w:space="0" w:color="auto"/>
                <w:right w:val="none" w:sz="0" w:space="0" w:color="auto"/>
              </w:divBdr>
            </w:div>
          </w:divsChild>
        </w:div>
        <w:div w:id="1019897092">
          <w:marLeft w:val="0"/>
          <w:marRight w:val="0"/>
          <w:marTop w:val="0"/>
          <w:marBottom w:val="0"/>
          <w:divBdr>
            <w:top w:val="none" w:sz="0" w:space="0" w:color="auto"/>
            <w:left w:val="none" w:sz="0" w:space="0" w:color="auto"/>
            <w:bottom w:val="none" w:sz="0" w:space="0" w:color="auto"/>
            <w:right w:val="none" w:sz="0" w:space="0" w:color="auto"/>
          </w:divBdr>
        </w:div>
        <w:div w:id="1021005361">
          <w:marLeft w:val="0"/>
          <w:marRight w:val="0"/>
          <w:marTop w:val="0"/>
          <w:marBottom w:val="0"/>
          <w:divBdr>
            <w:top w:val="none" w:sz="0" w:space="0" w:color="auto"/>
            <w:left w:val="none" w:sz="0" w:space="0" w:color="auto"/>
            <w:bottom w:val="none" w:sz="0" w:space="0" w:color="auto"/>
            <w:right w:val="none" w:sz="0" w:space="0" w:color="auto"/>
          </w:divBdr>
        </w:div>
        <w:div w:id="1022587070">
          <w:marLeft w:val="0"/>
          <w:marRight w:val="0"/>
          <w:marTop w:val="0"/>
          <w:marBottom w:val="0"/>
          <w:divBdr>
            <w:top w:val="none" w:sz="0" w:space="0" w:color="auto"/>
            <w:left w:val="none" w:sz="0" w:space="0" w:color="auto"/>
            <w:bottom w:val="none" w:sz="0" w:space="0" w:color="auto"/>
            <w:right w:val="none" w:sz="0" w:space="0" w:color="auto"/>
          </w:divBdr>
          <w:divsChild>
            <w:div w:id="353655222">
              <w:marLeft w:val="0"/>
              <w:marRight w:val="0"/>
              <w:marTop w:val="0"/>
              <w:marBottom w:val="0"/>
              <w:divBdr>
                <w:top w:val="none" w:sz="0" w:space="0" w:color="auto"/>
                <w:left w:val="none" w:sz="0" w:space="0" w:color="auto"/>
                <w:bottom w:val="none" w:sz="0" w:space="0" w:color="auto"/>
                <w:right w:val="none" w:sz="0" w:space="0" w:color="auto"/>
              </w:divBdr>
            </w:div>
            <w:div w:id="417751420">
              <w:marLeft w:val="0"/>
              <w:marRight w:val="0"/>
              <w:marTop w:val="0"/>
              <w:marBottom w:val="0"/>
              <w:divBdr>
                <w:top w:val="none" w:sz="0" w:space="0" w:color="auto"/>
                <w:left w:val="none" w:sz="0" w:space="0" w:color="auto"/>
                <w:bottom w:val="none" w:sz="0" w:space="0" w:color="auto"/>
                <w:right w:val="none" w:sz="0" w:space="0" w:color="auto"/>
              </w:divBdr>
            </w:div>
            <w:div w:id="610014862">
              <w:marLeft w:val="0"/>
              <w:marRight w:val="0"/>
              <w:marTop w:val="0"/>
              <w:marBottom w:val="0"/>
              <w:divBdr>
                <w:top w:val="none" w:sz="0" w:space="0" w:color="auto"/>
                <w:left w:val="none" w:sz="0" w:space="0" w:color="auto"/>
                <w:bottom w:val="none" w:sz="0" w:space="0" w:color="auto"/>
                <w:right w:val="none" w:sz="0" w:space="0" w:color="auto"/>
              </w:divBdr>
            </w:div>
            <w:div w:id="779103988">
              <w:marLeft w:val="0"/>
              <w:marRight w:val="0"/>
              <w:marTop w:val="0"/>
              <w:marBottom w:val="0"/>
              <w:divBdr>
                <w:top w:val="none" w:sz="0" w:space="0" w:color="auto"/>
                <w:left w:val="none" w:sz="0" w:space="0" w:color="auto"/>
                <w:bottom w:val="none" w:sz="0" w:space="0" w:color="auto"/>
                <w:right w:val="none" w:sz="0" w:space="0" w:color="auto"/>
              </w:divBdr>
            </w:div>
            <w:div w:id="1171719552">
              <w:marLeft w:val="0"/>
              <w:marRight w:val="0"/>
              <w:marTop w:val="0"/>
              <w:marBottom w:val="0"/>
              <w:divBdr>
                <w:top w:val="none" w:sz="0" w:space="0" w:color="auto"/>
                <w:left w:val="none" w:sz="0" w:space="0" w:color="auto"/>
                <w:bottom w:val="none" w:sz="0" w:space="0" w:color="auto"/>
                <w:right w:val="none" w:sz="0" w:space="0" w:color="auto"/>
              </w:divBdr>
            </w:div>
            <w:div w:id="1294599435">
              <w:marLeft w:val="0"/>
              <w:marRight w:val="0"/>
              <w:marTop w:val="0"/>
              <w:marBottom w:val="0"/>
              <w:divBdr>
                <w:top w:val="none" w:sz="0" w:space="0" w:color="auto"/>
                <w:left w:val="none" w:sz="0" w:space="0" w:color="auto"/>
                <w:bottom w:val="none" w:sz="0" w:space="0" w:color="auto"/>
                <w:right w:val="none" w:sz="0" w:space="0" w:color="auto"/>
              </w:divBdr>
            </w:div>
            <w:div w:id="1357124623">
              <w:marLeft w:val="0"/>
              <w:marRight w:val="0"/>
              <w:marTop w:val="0"/>
              <w:marBottom w:val="0"/>
              <w:divBdr>
                <w:top w:val="none" w:sz="0" w:space="0" w:color="auto"/>
                <w:left w:val="none" w:sz="0" w:space="0" w:color="auto"/>
                <w:bottom w:val="none" w:sz="0" w:space="0" w:color="auto"/>
                <w:right w:val="none" w:sz="0" w:space="0" w:color="auto"/>
              </w:divBdr>
            </w:div>
            <w:div w:id="1360618932">
              <w:marLeft w:val="0"/>
              <w:marRight w:val="0"/>
              <w:marTop w:val="0"/>
              <w:marBottom w:val="0"/>
              <w:divBdr>
                <w:top w:val="none" w:sz="0" w:space="0" w:color="auto"/>
                <w:left w:val="none" w:sz="0" w:space="0" w:color="auto"/>
                <w:bottom w:val="none" w:sz="0" w:space="0" w:color="auto"/>
                <w:right w:val="none" w:sz="0" w:space="0" w:color="auto"/>
              </w:divBdr>
            </w:div>
            <w:div w:id="1383558578">
              <w:marLeft w:val="0"/>
              <w:marRight w:val="0"/>
              <w:marTop w:val="0"/>
              <w:marBottom w:val="0"/>
              <w:divBdr>
                <w:top w:val="none" w:sz="0" w:space="0" w:color="auto"/>
                <w:left w:val="none" w:sz="0" w:space="0" w:color="auto"/>
                <w:bottom w:val="none" w:sz="0" w:space="0" w:color="auto"/>
                <w:right w:val="none" w:sz="0" w:space="0" w:color="auto"/>
              </w:divBdr>
            </w:div>
            <w:div w:id="1426341038">
              <w:marLeft w:val="0"/>
              <w:marRight w:val="0"/>
              <w:marTop w:val="0"/>
              <w:marBottom w:val="0"/>
              <w:divBdr>
                <w:top w:val="none" w:sz="0" w:space="0" w:color="auto"/>
                <w:left w:val="none" w:sz="0" w:space="0" w:color="auto"/>
                <w:bottom w:val="none" w:sz="0" w:space="0" w:color="auto"/>
                <w:right w:val="none" w:sz="0" w:space="0" w:color="auto"/>
              </w:divBdr>
            </w:div>
            <w:div w:id="1493639471">
              <w:marLeft w:val="0"/>
              <w:marRight w:val="0"/>
              <w:marTop w:val="0"/>
              <w:marBottom w:val="0"/>
              <w:divBdr>
                <w:top w:val="none" w:sz="0" w:space="0" w:color="auto"/>
                <w:left w:val="none" w:sz="0" w:space="0" w:color="auto"/>
                <w:bottom w:val="none" w:sz="0" w:space="0" w:color="auto"/>
                <w:right w:val="none" w:sz="0" w:space="0" w:color="auto"/>
              </w:divBdr>
            </w:div>
            <w:div w:id="1534226412">
              <w:marLeft w:val="0"/>
              <w:marRight w:val="0"/>
              <w:marTop w:val="0"/>
              <w:marBottom w:val="0"/>
              <w:divBdr>
                <w:top w:val="none" w:sz="0" w:space="0" w:color="auto"/>
                <w:left w:val="none" w:sz="0" w:space="0" w:color="auto"/>
                <w:bottom w:val="none" w:sz="0" w:space="0" w:color="auto"/>
                <w:right w:val="none" w:sz="0" w:space="0" w:color="auto"/>
              </w:divBdr>
            </w:div>
            <w:div w:id="1645617179">
              <w:marLeft w:val="0"/>
              <w:marRight w:val="0"/>
              <w:marTop w:val="0"/>
              <w:marBottom w:val="0"/>
              <w:divBdr>
                <w:top w:val="none" w:sz="0" w:space="0" w:color="auto"/>
                <w:left w:val="none" w:sz="0" w:space="0" w:color="auto"/>
                <w:bottom w:val="none" w:sz="0" w:space="0" w:color="auto"/>
                <w:right w:val="none" w:sz="0" w:space="0" w:color="auto"/>
              </w:divBdr>
            </w:div>
            <w:div w:id="1772896151">
              <w:marLeft w:val="0"/>
              <w:marRight w:val="0"/>
              <w:marTop w:val="0"/>
              <w:marBottom w:val="0"/>
              <w:divBdr>
                <w:top w:val="none" w:sz="0" w:space="0" w:color="auto"/>
                <w:left w:val="none" w:sz="0" w:space="0" w:color="auto"/>
                <w:bottom w:val="none" w:sz="0" w:space="0" w:color="auto"/>
                <w:right w:val="none" w:sz="0" w:space="0" w:color="auto"/>
              </w:divBdr>
            </w:div>
            <w:div w:id="1927112270">
              <w:marLeft w:val="0"/>
              <w:marRight w:val="0"/>
              <w:marTop w:val="0"/>
              <w:marBottom w:val="0"/>
              <w:divBdr>
                <w:top w:val="none" w:sz="0" w:space="0" w:color="auto"/>
                <w:left w:val="none" w:sz="0" w:space="0" w:color="auto"/>
                <w:bottom w:val="none" w:sz="0" w:space="0" w:color="auto"/>
                <w:right w:val="none" w:sz="0" w:space="0" w:color="auto"/>
              </w:divBdr>
            </w:div>
            <w:div w:id="1983004238">
              <w:marLeft w:val="0"/>
              <w:marRight w:val="0"/>
              <w:marTop w:val="0"/>
              <w:marBottom w:val="0"/>
              <w:divBdr>
                <w:top w:val="none" w:sz="0" w:space="0" w:color="auto"/>
                <w:left w:val="none" w:sz="0" w:space="0" w:color="auto"/>
                <w:bottom w:val="none" w:sz="0" w:space="0" w:color="auto"/>
                <w:right w:val="none" w:sz="0" w:space="0" w:color="auto"/>
              </w:divBdr>
            </w:div>
            <w:div w:id="2048990319">
              <w:marLeft w:val="0"/>
              <w:marRight w:val="0"/>
              <w:marTop w:val="0"/>
              <w:marBottom w:val="0"/>
              <w:divBdr>
                <w:top w:val="none" w:sz="0" w:space="0" w:color="auto"/>
                <w:left w:val="none" w:sz="0" w:space="0" w:color="auto"/>
                <w:bottom w:val="none" w:sz="0" w:space="0" w:color="auto"/>
                <w:right w:val="none" w:sz="0" w:space="0" w:color="auto"/>
              </w:divBdr>
            </w:div>
            <w:div w:id="2116052725">
              <w:marLeft w:val="0"/>
              <w:marRight w:val="0"/>
              <w:marTop w:val="0"/>
              <w:marBottom w:val="0"/>
              <w:divBdr>
                <w:top w:val="none" w:sz="0" w:space="0" w:color="auto"/>
                <w:left w:val="none" w:sz="0" w:space="0" w:color="auto"/>
                <w:bottom w:val="none" w:sz="0" w:space="0" w:color="auto"/>
                <w:right w:val="none" w:sz="0" w:space="0" w:color="auto"/>
              </w:divBdr>
            </w:div>
          </w:divsChild>
        </w:div>
        <w:div w:id="1022900635">
          <w:marLeft w:val="0"/>
          <w:marRight w:val="0"/>
          <w:marTop w:val="0"/>
          <w:marBottom w:val="0"/>
          <w:divBdr>
            <w:top w:val="none" w:sz="0" w:space="0" w:color="auto"/>
            <w:left w:val="none" w:sz="0" w:space="0" w:color="auto"/>
            <w:bottom w:val="none" w:sz="0" w:space="0" w:color="auto"/>
            <w:right w:val="none" w:sz="0" w:space="0" w:color="auto"/>
          </w:divBdr>
        </w:div>
        <w:div w:id="1023283321">
          <w:marLeft w:val="0"/>
          <w:marRight w:val="0"/>
          <w:marTop w:val="0"/>
          <w:marBottom w:val="0"/>
          <w:divBdr>
            <w:top w:val="none" w:sz="0" w:space="0" w:color="auto"/>
            <w:left w:val="none" w:sz="0" w:space="0" w:color="auto"/>
            <w:bottom w:val="none" w:sz="0" w:space="0" w:color="auto"/>
            <w:right w:val="none" w:sz="0" w:space="0" w:color="auto"/>
          </w:divBdr>
          <w:divsChild>
            <w:div w:id="83453072">
              <w:marLeft w:val="0"/>
              <w:marRight w:val="0"/>
              <w:marTop w:val="0"/>
              <w:marBottom w:val="0"/>
              <w:divBdr>
                <w:top w:val="none" w:sz="0" w:space="0" w:color="auto"/>
                <w:left w:val="none" w:sz="0" w:space="0" w:color="auto"/>
                <w:bottom w:val="none" w:sz="0" w:space="0" w:color="auto"/>
                <w:right w:val="none" w:sz="0" w:space="0" w:color="auto"/>
              </w:divBdr>
            </w:div>
            <w:div w:id="115562238">
              <w:marLeft w:val="0"/>
              <w:marRight w:val="0"/>
              <w:marTop w:val="0"/>
              <w:marBottom w:val="0"/>
              <w:divBdr>
                <w:top w:val="none" w:sz="0" w:space="0" w:color="auto"/>
                <w:left w:val="none" w:sz="0" w:space="0" w:color="auto"/>
                <w:bottom w:val="none" w:sz="0" w:space="0" w:color="auto"/>
                <w:right w:val="none" w:sz="0" w:space="0" w:color="auto"/>
              </w:divBdr>
            </w:div>
            <w:div w:id="119342415">
              <w:marLeft w:val="0"/>
              <w:marRight w:val="0"/>
              <w:marTop w:val="0"/>
              <w:marBottom w:val="0"/>
              <w:divBdr>
                <w:top w:val="none" w:sz="0" w:space="0" w:color="auto"/>
                <w:left w:val="none" w:sz="0" w:space="0" w:color="auto"/>
                <w:bottom w:val="none" w:sz="0" w:space="0" w:color="auto"/>
                <w:right w:val="none" w:sz="0" w:space="0" w:color="auto"/>
              </w:divBdr>
            </w:div>
            <w:div w:id="157813000">
              <w:marLeft w:val="0"/>
              <w:marRight w:val="0"/>
              <w:marTop w:val="0"/>
              <w:marBottom w:val="0"/>
              <w:divBdr>
                <w:top w:val="none" w:sz="0" w:space="0" w:color="auto"/>
                <w:left w:val="none" w:sz="0" w:space="0" w:color="auto"/>
                <w:bottom w:val="none" w:sz="0" w:space="0" w:color="auto"/>
                <w:right w:val="none" w:sz="0" w:space="0" w:color="auto"/>
              </w:divBdr>
            </w:div>
            <w:div w:id="353655970">
              <w:marLeft w:val="0"/>
              <w:marRight w:val="0"/>
              <w:marTop w:val="0"/>
              <w:marBottom w:val="0"/>
              <w:divBdr>
                <w:top w:val="none" w:sz="0" w:space="0" w:color="auto"/>
                <w:left w:val="none" w:sz="0" w:space="0" w:color="auto"/>
                <w:bottom w:val="none" w:sz="0" w:space="0" w:color="auto"/>
                <w:right w:val="none" w:sz="0" w:space="0" w:color="auto"/>
              </w:divBdr>
            </w:div>
            <w:div w:id="440074769">
              <w:marLeft w:val="0"/>
              <w:marRight w:val="0"/>
              <w:marTop w:val="0"/>
              <w:marBottom w:val="0"/>
              <w:divBdr>
                <w:top w:val="none" w:sz="0" w:space="0" w:color="auto"/>
                <w:left w:val="none" w:sz="0" w:space="0" w:color="auto"/>
                <w:bottom w:val="none" w:sz="0" w:space="0" w:color="auto"/>
                <w:right w:val="none" w:sz="0" w:space="0" w:color="auto"/>
              </w:divBdr>
            </w:div>
            <w:div w:id="795754456">
              <w:marLeft w:val="0"/>
              <w:marRight w:val="0"/>
              <w:marTop w:val="0"/>
              <w:marBottom w:val="0"/>
              <w:divBdr>
                <w:top w:val="none" w:sz="0" w:space="0" w:color="auto"/>
                <w:left w:val="none" w:sz="0" w:space="0" w:color="auto"/>
                <w:bottom w:val="none" w:sz="0" w:space="0" w:color="auto"/>
                <w:right w:val="none" w:sz="0" w:space="0" w:color="auto"/>
              </w:divBdr>
            </w:div>
            <w:div w:id="1002320341">
              <w:marLeft w:val="0"/>
              <w:marRight w:val="0"/>
              <w:marTop w:val="0"/>
              <w:marBottom w:val="0"/>
              <w:divBdr>
                <w:top w:val="none" w:sz="0" w:space="0" w:color="auto"/>
                <w:left w:val="none" w:sz="0" w:space="0" w:color="auto"/>
                <w:bottom w:val="none" w:sz="0" w:space="0" w:color="auto"/>
                <w:right w:val="none" w:sz="0" w:space="0" w:color="auto"/>
              </w:divBdr>
            </w:div>
            <w:div w:id="1008756321">
              <w:marLeft w:val="0"/>
              <w:marRight w:val="0"/>
              <w:marTop w:val="0"/>
              <w:marBottom w:val="0"/>
              <w:divBdr>
                <w:top w:val="none" w:sz="0" w:space="0" w:color="auto"/>
                <w:left w:val="none" w:sz="0" w:space="0" w:color="auto"/>
                <w:bottom w:val="none" w:sz="0" w:space="0" w:color="auto"/>
                <w:right w:val="none" w:sz="0" w:space="0" w:color="auto"/>
              </w:divBdr>
            </w:div>
            <w:div w:id="1029530019">
              <w:marLeft w:val="0"/>
              <w:marRight w:val="0"/>
              <w:marTop w:val="0"/>
              <w:marBottom w:val="0"/>
              <w:divBdr>
                <w:top w:val="none" w:sz="0" w:space="0" w:color="auto"/>
                <w:left w:val="none" w:sz="0" w:space="0" w:color="auto"/>
                <w:bottom w:val="none" w:sz="0" w:space="0" w:color="auto"/>
                <w:right w:val="none" w:sz="0" w:space="0" w:color="auto"/>
              </w:divBdr>
            </w:div>
            <w:div w:id="1213539640">
              <w:marLeft w:val="0"/>
              <w:marRight w:val="0"/>
              <w:marTop w:val="0"/>
              <w:marBottom w:val="0"/>
              <w:divBdr>
                <w:top w:val="none" w:sz="0" w:space="0" w:color="auto"/>
                <w:left w:val="none" w:sz="0" w:space="0" w:color="auto"/>
                <w:bottom w:val="none" w:sz="0" w:space="0" w:color="auto"/>
                <w:right w:val="none" w:sz="0" w:space="0" w:color="auto"/>
              </w:divBdr>
            </w:div>
            <w:div w:id="1419255940">
              <w:marLeft w:val="0"/>
              <w:marRight w:val="0"/>
              <w:marTop w:val="0"/>
              <w:marBottom w:val="0"/>
              <w:divBdr>
                <w:top w:val="none" w:sz="0" w:space="0" w:color="auto"/>
                <w:left w:val="none" w:sz="0" w:space="0" w:color="auto"/>
                <w:bottom w:val="none" w:sz="0" w:space="0" w:color="auto"/>
                <w:right w:val="none" w:sz="0" w:space="0" w:color="auto"/>
              </w:divBdr>
            </w:div>
            <w:div w:id="1422680236">
              <w:marLeft w:val="0"/>
              <w:marRight w:val="0"/>
              <w:marTop w:val="0"/>
              <w:marBottom w:val="0"/>
              <w:divBdr>
                <w:top w:val="none" w:sz="0" w:space="0" w:color="auto"/>
                <w:left w:val="none" w:sz="0" w:space="0" w:color="auto"/>
                <w:bottom w:val="none" w:sz="0" w:space="0" w:color="auto"/>
                <w:right w:val="none" w:sz="0" w:space="0" w:color="auto"/>
              </w:divBdr>
            </w:div>
            <w:div w:id="1558082154">
              <w:marLeft w:val="0"/>
              <w:marRight w:val="0"/>
              <w:marTop w:val="0"/>
              <w:marBottom w:val="0"/>
              <w:divBdr>
                <w:top w:val="none" w:sz="0" w:space="0" w:color="auto"/>
                <w:left w:val="none" w:sz="0" w:space="0" w:color="auto"/>
                <w:bottom w:val="none" w:sz="0" w:space="0" w:color="auto"/>
                <w:right w:val="none" w:sz="0" w:space="0" w:color="auto"/>
              </w:divBdr>
            </w:div>
            <w:div w:id="1580020433">
              <w:marLeft w:val="0"/>
              <w:marRight w:val="0"/>
              <w:marTop w:val="0"/>
              <w:marBottom w:val="0"/>
              <w:divBdr>
                <w:top w:val="none" w:sz="0" w:space="0" w:color="auto"/>
                <w:left w:val="none" w:sz="0" w:space="0" w:color="auto"/>
                <w:bottom w:val="none" w:sz="0" w:space="0" w:color="auto"/>
                <w:right w:val="none" w:sz="0" w:space="0" w:color="auto"/>
              </w:divBdr>
            </w:div>
            <w:div w:id="1608849735">
              <w:marLeft w:val="0"/>
              <w:marRight w:val="0"/>
              <w:marTop w:val="0"/>
              <w:marBottom w:val="0"/>
              <w:divBdr>
                <w:top w:val="none" w:sz="0" w:space="0" w:color="auto"/>
                <w:left w:val="none" w:sz="0" w:space="0" w:color="auto"/>
                <w:bottom w:val="none" w:sz="0" w:space="0" w:color="auto"/>
                <w:right w:val="none" w:sz="0" w:space="0" w:color="auto"/>
              </w:divBdr>
            </w:div>
            <w:div w:id="1636450954">
              <w:marLeft w:val="0"/>
              <w:marRight w:val="0"/>
              <w:marTop w:val="0"/>
              <w:marBottom w:val="0"/>
              <w:divBdr>
                <w:top w:val="none" w:sz="0" w:space="0" w:color="auto"/>
                <w:left w:val="none" w:sz="0" w:space="0" w:color="auto"/>
                <w:bottom w:val="none" w:sz="0" w:space="0" w:color="auto"/>
                <w:right w:val="none" w:sz="0" w:space="0" w:color="auto"/>
              </w:divBdr>
            </w:div>
            <w:div w:id="2012367147">
              <w:marLeft w:val="0"/>
              <w:marRight w:val="0"/>
              <w:marTop w:val="0"/>
              <w:marBottom w:val="0"/>
              <w:divBdr>
                <w:top w:val="none" w:sz="0" w:space="0" w:color="auto"/>
                <w:left w:val="none" w:sz="0" w:space="0" w:color="auto"/>
                <w:bottom w:val="none" w:sz="0" w:space="0" w:color="auto"/>
                <w:right w:val="none" w:sz="0" w:space="0" w:color="auto"/>
              </w:divBdr>
            </w:div>
            <w:div w:id="2061441154">
              <w:marLeft w:val="0"/>
              <w:marRight w:val="0"/>
              <w:marTop w:val="0"/>
              <w:marBottom w:val="0"/>
              <w:divBdr>
                <w:top w:val="none" w:sz="0" w:space="0" w:color="auto"/>
                <w:left w:val="none" w:sz="0" w:space="0" w:color="auto"/>
                <w:bottom w:val="none" w:sz="0" w:space="0" w:color="auto"/>
                <w:right w:val="none" w:sz="0" w:space="0" w:color="auto"/>
              </w:divBdr>
            </w:div>
            <w:div w:id="2063022754">
              <w:marLeft w:val="0"/>
              <w:marRight w:val="0"/>
              <w:marTop w:val="0"/>
              <w:marBottom w:val="0"/>
              <w:divBdr>
                <w:top w:val="none" w:sz="0" w:space="0" w:color="auto"/>
                <w:left w:val="none" w:sz="0" w:space="0" w:color="auto"/>
                <w:bottom w:val="none" w:sz="0" w:space="0" w:color="auto"/>
                <w:right w:val="none" w:sz="0" w:space="0" w:color="auto"/>
              </w:divBdr>
            </w:div>
          </w:divsChild>
        </w:div>
        <w:div w:id="1025248168">
          <w:marLeft w:val="0"/>
          <w:marRight w:val="0"/>
          <w:marTop w:val="0"/>
          <w:marBottom w:val="0"/>
          <w:divBdr>
            <w:top w:val="none" w:sz="0" w:space="0" w:color="auto"/>
            <w:left w:val="none" w:sz="0" w:space="0" w:color="auto"/>
            <w:bottom w:val="none" w:sz="0" w:space="0" w:color="auto"/>
            <w:right w:val="none" w:sz="0" w:space="0" w:color="auto"/>
          </w:divBdr>
        </w:div>
        <w:div w:id="1026251629">
          <w:marLeft w:val="0"/>
          <w:marRight w:val="0"/>
          <w:marTop w:val="0"/>
          <w:marBottom w:val="0"/>
          <w:divBdr>
            <w:top w:val="none" w:sz="0" w:space="0" w:color="auto"/>
            <w:left w:val="none" w:sz="0" w:space="0" w:color="auto"/>
            <w:bottom w:val="none" w:sz="0" w:space="0" w:color="auto"/>
            <w:right w:val="none" w:sz="0" w:space="0" w:color="auto"/>
          </w:divBdr>
        </w:div>
        <w:div w:id="1030375897">
          <w:marLeft w:val="0"/>
          <w:marRight w:val="0"/>
          <w:marTop w:val="0"/>
          <w:marBottom w:val="0"/>
          <w:divBdr>
            <w:top w:val="none" w:sz="0" w:space="0" w:color="auto"/>
            <w:left w:val="none" w:sz="0" w:space="0" w:color="auto"/>
            <w:bottom w:val="none" w:sz="0" w:space="0" w:color="auto"/>
            <w:right w:val="none" w:sz="0" w:space="0" w:color="auto"/>
          </w:divBdr>
        </w:div>
        <w:div w:id="1031685809">
          <w:marLeft w:val="0"/>
          <w:marRight w:val="0"/>
          <w:marTop w:val="0"/>
          <w:marBottom w:val="0"/>
          <w:divBdr>
            <w:top w:val="none" w:sz="0" w:space="0" w:color="auto"/>
            <w:left w:val="none" w:sz="0" w:space="0" w:color="auto"/>
            <w:bottom w:val="none" w:sz="0" w:space="0" w:color="auto"/>
            <w:right w:val="none" w:sz="0" w:space="0" w:color="auto"/>
          </w:divBdr>
        </w:div>
        <w:div w:id="1032460484">
          <w:marLeft w:val="0"/>
          <w:marRight w:val="0"/>
          <w:marTop w:val="0"/>
          <w:marBottom w:val="0"/>
          <w:divBdr>
            <w:top w:val="none" w:sz="0" w:space="0" w:color="auto"/>
            <w:left w:val="none" w:sz="0" w:space="0" w:color="auto"/>
            <w:bottom w:val="none" w:sz="0" w:space="0" w:color="auto"/>
            <w:right w:val="none" w:sz="0" w:space="0" w:color="auto"/>
          </w:divBdr>
        </w:div>
        <w:div w:id="1033119822">
          <w:marLeft w:val="0"/>
          <w:marRight w:val="0"/>
          <w:marTop w:val="0"/>
          <w:marBottom w:val="0"/>
          <w:divBdr>
            <w:top w:val="none" w:sz="0" w:space="0" w:color="auto"/>
            <w:left w:val="none" w:sz="0" w:space="0" w:color="auto"/>
            <w:bottom w:val="none" w:sz="0" w:space="0" w:color="auto"/>
            <w:right w:val="none" w:sz="0" w:space="0" w:color="auto"/>
          </w:divBdr>
        </w:div>
        <w:div w:id="1036850036">
          <w:marLeft w:val="0"/>
          <w:marRight w:val="0"/>
          <w:marTop w:val="0"/>
          <w:marBottom w:val="0"/>
          <w:divBdr>
            <w:top w:val="none" w:sz="0" w:space="0" w:color="auto"/>
            <w:left w:val="none" w:sz="0" w:space="0" w:color="auto"/>
            <w:bottom w:val="none" w:sz="0" w:space="0" w:color="auto"/>
            <w:right w:val="none" w:sz="0" w:space="0" w:color="auto"/>
          </w:divBdr>
        </w:div>
        <w:div w:id="1040205386">
          <w:marLeft w:val="0"/>
          <w:marRight w:val="0"/>
          <w:marTop w:val="0"/>
          <w:marBottom w:val="0"/>
          <w:divBdr>
            <w:top w:val="none" w:sz="0" w:space="0" w:color="auto"/>
            <w:left w:val="none" w:sz="0" w:space="0" w:color="auto"/>
            <w:bottom w:val="none" w:sz="0" w:space="0" w:color="auto"/>
            <w:right w:val="none" w:sz="0" w:space="0" w:color="auto"/>
          </w:divBdr>
        </w:div>
        <w:div w:id="1040208702">
          <w:marLeft w:val="0"/>
          <w:marRight w:val="0"/>
          <w:marTop w:val="0"/>
          <w:marBottom w:val="0"/>
          <w:divBdr>
            <w:top w:val="none" w:sz="0" w:space="0" w:color="auto"/>
            <w:left w:val="none" w:sz="0" w:space="0" w:color="auto"/>
            <w:bottom w:val="none" w:sz="0" w:space="0" w:color="auto"/>
            <w:right w:val="none" w:sz="0" w:space="0" w:color="auto"/>
          </w:divBdr>
        </w:div>
        <w:div w:id="1044141616">
          <w:marLeft w:val="0"/>
          <w:marRight w:val="0"/>
          <w:marTop w:val="0"/>
          <w:marBottom w:val="0"/>
          <w:divBdr>
            <w:top w:val="none" w:sz="0" w:space="0" w:color="auto"/>
            <w:left w:val="none" w:sz="0" w:space="0" w:color="auto"/>
            <w:bottom w:val="none" w:sz="0" w:space="0" w:color="auto"/>
            <w:right w:val="none" w:sz="0" w:space="0" w:color="auto"/>
          </w:divBdr>
        </w:div>
        <w:div w:id="1044208518">
          <w:marLeft w:val="0"/>
          <w:marRight w:val="0"/>
          <w:marTop w:val="0"/>
          <w:marBottom w:val="0"/>
          <w:divBdr>
            <w:top w:val="none" w:sz="0" w:space="0" w:color="auto"/>
            <w:left w:val="none" w:sz="0" w:space="0" w:color="auto"/>
            <w:bottom w:val="none" w:sz="0" w:space="0" w:color="auto"/>
            <w:right w:val="none" w:sz="0" w:space="0" w:color="auto"/>
          </w:divBdr>
        </w:div>
        <w:div w:id="1046031893">
          <w:marLeft w:val="0"/>
          <w:marRight w:val="0"/>
          <w:marTop w:val="0"/>
          <w:marBottom w:val="0"/>
          <w:divBdr>
            <w:top w:val="none" w:sz="0" w:space="0" w:color="auto"/>
            <w:left w:val="none" w:sz="0" w:space="0" w:color="auto"/>
            <w:bottom w:val="none" w:sz="0" w:space="0" w:color="auto"/>
            <w:right w:val="none" w:sz="0" w:space="0" w:color="auto"/>
          </w:divBdr>
        </w:div>
        <w:div w:id="1049303329">
          <w:marLeft w:val="0"/>
          <w:marRight w:val="0"/>
          <w:marTop w:val="0"/>
          <w:marBottom w:val="0"/>
          <w:divBdr>
            <w:top w:val="none" w:sz="0" w:space="0" w:color="auto"/>
            <w:left w:val="none" w:sz="0" w:space="0" w:color="auto"/>
            <w:bottom w:val="none" w:sz="0" w:space="0" w:color="auto"/>
            <w:right w:val="none" w:sz="0" w:space="0" w:color="auto"/>
          </w:divBdr>
        </w:div>
        <w:div w:id="1050960610">
          <w:marLeft w:val="0"/>
          <w:marRight w:val="0"/>
          <w:marTop w:val="0"/>
          <w:marBottom w:val="0"/>
          <w:divBdr>
            <w:top w:val="none" w:sz="0" w:space="0" w:color="auto"/>
            <w:left w:val="none" w:sz="0" w:space="0" w:color="auto"/>
            <w:bottom w:val="none" w:sz="0" w:space="0" w:color="auto"/>
            <w:right w:val="none" w:sz="0" w:space="0" w:color="auto"/>
          </w:divBdr>
        </w:div>
        <w:div w:id="1052312330">
          <w:marLeft w:val="0"/>
          <w:marRight w:val="0"/>
          <w:marTop w:val="0"/>
          <w:marBottom w:val="0"/>
          <w:divBdr>
            <w:top w:val="none" w:sz="0" w:space="0" w:color="auto"/>
            <w:left w:val="none" w:sz="0" w:space="0" w:color="auto"/>
            <w:bottom w:val="none" w:sz="0" w:space="0" w:color="auto"/>
            <w:right w:val="none" w:sz="0" w:space="0" w:color="auto"/>
          </w:divBdr>
        </w:div>
        <w:div w:id="1054351324">
          <w:marLeft w:val="0"/>
          <w:marRight w:val="0"/>
          <w:marTop w:val="0"/>
          <w:marBottom w:val="0"/>
          <w:divBdr>
            <w:top w:val="none" w:sz="0" w:space="0" w:color="auto"/>
            <w:left w:val="none" w:sz="0" w:space="0" w:color="auto"/>
            <w:bottom w:val="none" w:sz="0" w:space="0" w:color="auto"/>
            <w:right w:val="none" w:sz="0" w:space="0" w:color="auto"/>
          </w:divBdr>
        </w:div>
        <w:div w:id="1057051203">
          <w:marLeft w:val="0"/>
          <w:marRight w:val="0"/>
          <w:marTop w:val="0"/>
          <w:marBottom w:val="0"/>
          <w:divBdr>
            <w:top w:val="none" w:sz="0" w:space="0" w:color="auto"/>
            <w:left w:val="none" w:sz="0" w:space="0" w:color="auto"/>
            <w:bottom w:val="none" w:sz="0" w:space="0" w:color="auto"/>
            <w:right w:val="none" w:sz="0" w:space="0" w:color="auto"/>
          </w:divBdr>
        </w:div>
        <w:div w:id="1057557083">
          <w:marLeft w:val="0"/>
          <w:marRight w:val="0"/>
          <w:marTop w:val="0"/>
          <w:marBottom w:val="0"/>
          <w:divBdr>
            <w:top w:val="none" w:sz="0" w:space="0" w:color="auto"/>
            <w:left w:val="none" w:sz="0" w:space="0" w:color="auto"/>
            <w:bottom w:val="none" w:sz="0" w:space="0" w:color="auto"/>
            <w:right w:val="none" w:sz="0" w:space="0" w:color="auto"/>
          </w:divBdr>
        </w:div>
        <w:div w:id="1059983512">
          <w:marLeft w:val="0"/>
          <w:marRight w:val="0"/>
          <w:marTop w:val="0"/>
          <w:marBottom w:val="0"/>
          <w:divBdr>
            <w:top w:val="none" w:sz="0" w:space="0" w:color="auto"/>
            <w:left w:val="none" w:sz="0" w:space="0" w:color="auto"/>
            <w:bottom w:val="none" w:sz="0" w:space="0" w:color="auto"/>
            <w:right w:val="none" w:sz="0" w:space="0" w:color="auto"/>
          </w:divBdr>
        </w:div>
        <w:div w:id="1060011074">
          <w:marLeft w:val="0"/>
          <w:marRight w:val="0"/>
          <w:marTop w:val="0"/>
          <w:marBottom w:val="0"/>
          <w:divBdr>
            <w:top w:val="none" w:sz="0" w:space="0" w:color="auto"/>
            <w:left w:val="none" w:sz="0" w:space="0" w:color="auto"/>
            <w:bottom w:val="none" w:sz="0" w:space="0" w:color="auto"/>
            <w:right w:val="none" w:sz="0" w:space="0" w:color="auto"/>
          </w:divBdr>
        </w:div>
        <w:div w:id="1060247954">
          <w:marLeft w:val="0"/>
          <w:marRight w:val="0"/>
          <w:marTop w:val="0"/>
          <w:marBottom w:val="0"/>
          <w:divBdr>
            <w:top w:val="none" w:sz="0" w:space="0" w:color="auto"/>
            <w:left w:val="none" w:sz="0" w:space="0" w:color="auto"/>
            <w:bottom w:val="none" w:sz="0" w:space="0" w:color="auto"/>
            <w:right w:val="none" w:sz="0" w:space="0" w:color="auto"/>
          </w:divBdr>
        </w:div>
        <w:div w:id="1060521843">
          <w:marLeft w:val="0"/>
          <w:marRight w:val="0"/>
          <w:marTop w:val="0"/>
          <w:marBottom w:val="0"/>
          <w:divBdr>
            <w:top w:val="none" w:sz="0" w:space="0" w:color="auto"/>
            <w:left w:val="none" w:sz="0" w:space="0" w:color="auto"/>
            <w:bottom w:val="none" w:sz="0" w:space="0" w:color="auto"/>
            <w:right w:val="none" w:sz="0" w:space="0" w:color="auto"/>
          </w:divBdr>
        </w:div>
        <w:div w:id="1063411454">
          <w:marLeft w:val="0"/>
          <w:marRight w:val="0"/>
          <w:marTop w:val="0"/>
          <w:marBottom w:val="0"/>
          <w:divBdr>
            <w:top w:val="none" w:sz="0" w:space="0" w:color="auto"/>
            <w:left w:val="none" w:sz="0" w:space="0" w:color="auto"/>
            <w:bottom w:val="none" w:sz="0" w:space="0" w:color="auto"/>
            <w:right w:val="none" w:sz="0" w:space="0" w:color="auto"/>
          </w:divBdr>
          <w:divsChild>
            <w:div w:id="100877551">
              <w:marLeft w:val="0"/>
              <w:marRight w:val="0"/>
              <w:marTop w:val="0"/>
              <w:marBottom w:val="0"/>
              <w:divBdr>
                <w:top w:val="none" w:sz="0" w:space="0" w:color="auto"/>
                <w:left w:val="none" w:sz="0" w:space="0" w:color="auto"/>
                <w:bottom w:val="none" w:sz="0" w:space="0" w:color="auto"/>
                <w:right w:val="none" w:sz="0" w:space="0" w:color="auto"/>
              </w:divBdr>
            </w:div>
            <w:div w:id="112286413">
              <w:marLeft w:val="0"/>
              <w:marRight w:val="0"/>
              <w:marTop w:val="0"/>
              <w:marBottom w:val="0"/>
              <w:divBdr>
                <w:top w:val="none" w:sz="0" w:space="0" w:color="auto"/>
                <w:left w:val="none" w:sz="0" w:space="0" w:color="auto"/>
                <w:bottom w:val="none" w:sz="0" w:space="0" w:color="auto"/>
                <w:right w:val="none" w:sz="0" w:space="0" w:color="auto"/>
              </w:divBdr>
            </w:div>
            <w:div w:id="280453376">
              <w:marLeft w:val="0"/>
              <w:marRight w:val="0"/>
              <w:marTop w:val="0"/>
              <w:marBottom w:val="0"/>
              <w:divBdr>
                <w:top w:val="none" w:sz="0" w:space="0" w:color="auto"/>
                <w:left w:val="none" w:sz="0" w:space="0" w:color="auto"/>
                <w:bottom w:val="none" w:sz="0" w:space="0" w:color="auto"/>
                <w:right w:val="none" w:sz="0" w:space="0" w:color="auto"/>
              </w:divBdr>
            </w:div>
            <w:div w:id="370226147">
              <w:marLeft w:val="0"/>
              <w:marRight w:val="0"/>
              <w:marTop w:val="0"/>
              <w:marBottom w:val="0"/>
              <w:divBdr>
                <w:top w:val="none" w:sz="0" w:space="0" w:color="auto"/>
                <w:left w:val="none" w:sz="0" w:space="0" w:color="auto"/>
                <w:bottom w:val="none" w:sz="0" w:space="0" w:color="auto"/>
                <w:right w:val="none" w:sz="0" w:space="0" w:color="auto"/>
              </w:divBdr>
            </w:div>
            <w:div w:id="379479460">
              <w:marLeft w:val="0"/>
              <w:marRight w:val="0"/>
              <w:marTop w:val="0"/>
              <w:marBottom w:val="0"/>
              <w:divBdr>
                <w:top w:val="none" w:sz="0" w:space="0" w:color="auto"/>
                <w:left w:val="none" w:sz="0" w:space="0" w:color="auto"/>
                <w:bottom w:val="none" w:sz="0" w:space="0" w:color="auto"/>
                <w:right w:val="none" w:sz="0" w:space="0" w:color="auto"/>
              </w:divBdr>
            </w:div>
            <w:div w:id="447969345">
              <w:marLeft w:val="0"/>
              <w:marRight w:val="0"/>
              <w:marTop w:val="0"/>
              <w:marBottom w:val="0"/>
              <w:divBdr>
                <w:top w:val="none" w:sz="0" w:space="0" w:color="auto"/>
                <w:left w:val="none" w:sz="0" w:space="0" w:color="auto"/>
                <w:bottom w:val="none" w:sz="0" w:space="0" w:color="auto"/>
                <w:right w:val="none" w:sz="0" w:space="0" w:color="auto"/>
              </w:divBdr>
            </w:div>
            <w:div w:id="650907608">
              <w:marLeft w:val="0"/>
              <w:marRight w:val="0"/>
              <w:marTop w:val="0"/>
              <w:marBottom w:val="0"/>
              <w:divBdr>
                <w:top w:val="none" w:sz="0" w:space="0" w:color="auto"/>
                <w:left w:val="none" w:sz="0" w:space="0" w:color="auto"/>
                <w:bottom w:val="none" w:sz="0" w:space="0" w:color="auto"/>
                <w:right w:val="none" w:sz="0" w:space="0" w:color="auto"/>
              </w:divBdr>
            </w:div>
            <w:div w:id="680159237">
              <w:marLeft w:val="0"/>
              <w:marRight w:val="0"/>
              <w:marTop w:val="0"/>
              <w:marBottom w:val="0"/>
              <w:divBdr>
                <w:top w:val="none" w:sz="0" w:space="0" w:color="auto"/>
                <w:left w:val="none" w:sz="0" w:space="0" w:color="auto"/>
                <w:bottom w:val="none" w:sz="0" w:space="0" w:color="auto"/>
                <w:right w:val="none" w:sz="0" w:space="0" w:color="auto"/>
              </w:divBdr>
            </w:div>
            <w:div w:id="733621399">
              <w:marLeft w:val="0"/>
              <w:marRight w:val="0"/>
              <w:marTop w:val="0"/>
              <w:marBottom w:val="0"/>
              <w:divBdr>
                <w:top w:val="none" w:sz="0" w:space="0" w:color="auto"/>
                <w:left w:val="none" w:sz="0" w:space="0" w:color="auto"/>
                <w:bottom w:val="none" w:sz="0" w:space="0" w:color="auto"/>
                <w:right w:val="none" w:sz="0" w:space="0" w:color="auto"/>
              </w:divBdr>
            </w:div>
            <w:div w:id="759451857">
              <w:marLeft w:val="0"/>
              <w:marRight w:val="0"/>
              <w:marTop w:val="0"/>
              <w:marBottom w:val="0"/>
              <w:divBdr>
                <w:top w:val="none" w:sz="0" w:space="0" w:color="auto"/>
                <w:left w:val="none" w:sz="0" w:space="0" w:color="auto"/>
                <w:bottom w:val="none" w:sz="0" w:space="0" w:color="auto"/>
                <w:right w:val="none" w:sz="0" w:space="0" w:color="auto"/>
              </w:divBdr>
            </w:div>
            <w:div w:id="793209954">
              <w:marLeft w:val="0"/>
              <w:marRight w:val="0"/>
              <w:marTop w:val="0"/>
              <w:marBottom w:val="0"/>
              <w:divBdr>
                <w:top w:val="none" w:sz="0" w:space="0" w:color="auto"/>
                <w:left w:val="none" w:sz="0" w:space="0" w:color="auto"/>
                <w:bottom w:val="none" w:sz="0" w:space="0" w:color="auto"/>
                <w:right w:val="none" w:sz="0" w:space="0" w:color="auto"/>
              </w:divBdr>
            </w:div>
            <w:div w:id="885067073">
              <w:marLeft w:val="0"/>
              <w:marRight w:val="0"/>
              <w:marTop w:val="0"/>
              <w:marBottom w:val="0"/>
              <w:divBdr>
                <w:top w:val="none" w:sz="0" w:space="0" w:color="auto"/>
                <w:left w:val="none" w:sz="0" w:space="0" w:color="auto"/>
                <w:bottom w:val="none" w:sz="0" w:space="0" w:color="auto"/>
                <w:right w:val="none" w:sz="0" w:space="0" w:color="auto"/>
              </w:divBdr>
            </w:div>
            <w:div w:id="1196960921">
              <w:marLeft w:val="0"/>
              <w:marRight w:val="0"/>
              <w:marTop w:val="0"/>
              <w:marBottom w:val="0"/>
              <w:divBdr>
                <w:top w:val="none" w:sz="0" w:space="0" w:color="auto"/>
                <w:left w:val="none" w:sz="0" w:space="0" w:color="auto"/>
                <w:bottom w:val="none" w:sz="0" w:space="0" w:color="auto"/>
                <w:right w:val="none" w:sz="0" w:space="0" w:color="auto"/>
              </w:divBdr>
            </w:div>
            <w:div w:id="1435394712">
              <w:marLeft w:val="0"/>
              <w:marRight w:val="0"/>
              <w:marTop w:val="0"/>
              <w:marBottom w:val="0"/>
              <w:divBdr>
                <w:top w:val="none" w:sz="0" w:space="0" w:color="auto"/>
                <w:left w:val="none" w:sz="0" w:space="0" w:color="auto"/>
                <w:bottom w:val="none" w:sz="0" w:space="0" w:color="auto"/>
                <w:right w:val="none" w:sz="0" w:space="0" w:color="auto"/>
              </w:divBdr>
            </w:div>
            <w:div w:id="1598292066">
              <w:marLeft w:val="0"/>
              <w:marRight w:val="0"/>
              <w:marTop w:val="0"/>
              <w:marBottom w:val="0"/>
              <w:divBdr>
                <w:top w:val="none" w:sz="0" w:space="0" w:color="auto"/>
                <w:left w:val="none" w:sz="0" w:space="0" w:color="auto"/>
                <w:bottom w:val="none" w:sz="0" w:space="0" w:color="auto"/>
                <w:right w:val="none" w:sz="0" w:space="0" w:color="auto"/>
              </w:divBdr>
            </w:div>
            <w:div w:id="1759978544">
              <w:marLeft w:val="0"/>
              <w:marRight w:val="0"/>
              <w:marTop w:val="0"/>
              <w:marBottom w:val="0"/>
              <w:divBdr>
                <w:top w:val="none" w:sz="0" w:space="0" w:color="auto"/>
                <w:left w:val="none" w:sz="0" w:space="0" w:color="auto"/>
                <w:bottom w:val="none" w:sz="0" w:space="0" w:color="auto"/>
                <w:right w:val="none" w:sz="0" w:space="0" w:color="auto"/>
              </w:divBdr>
            </w:div>
            <w:div w:id="1888947916">
              <w:marLeft w:val="0"/>
              <w:marRight w:val="0"/>
              <w:marTop w:val="0"/>
              <w:marBottom w:val="0"/>
              <w:divBdr>
                <w:top w:val="none" w:sz="0" w:space="0" w:color="auto"/>
                <w:left w:val="none" w:sz="0" w:space="0" w:color="auto"/>
                <w:bottom w:val="none" w:sz="0" w:space="0" w:color="auto"/>
                <w:right w:val="none" w:sz="0" w:space="0" w:color="auto"/>
              </w:divBdr>
            </w:div>
            <w:div w:id="1950619320">
              <w:marLeft w:val="0"/>
              <w:marRight w:val="0"/>
              <w:marTop w:val="0"/>
              <w:marBottom w:val="0"/>
              <w:divBdr>
                <w:top w:val="none" w:sz="0" w:space="0" w:color="auto"/>
                <w:left w:val="none" w:sz="0" w:space="0" w:color="auto"/>
                <w:bottom w:val="none" w:sz="0" w:space="0" w:color="auto"/>
                <w:right w:val="none" w:sz="0" w:space="0" w:color="auto"/>
              </w:divBdr>
            </w:div>
            <w:div w:id="1971470280">
              <w:marLeft w:val="0"/>
              <w:marRight w:val="0"/>
              <w:marTop w:val="0"/>
              <w:marBottom w:val="0"/>
              <w:divBdr>
                <w:top w:val="none" w:sz="0" w:space="0" w:color="auto"/>
                <w:left w:val="none" w:sz="0" w:space="0" w:color="auto"/>
                <w:bottom w:val="none" w:sz="0" w:space="0" w:color="auto"/>
                <w:right w:val="none" w:sz="0" w:space="0" w:color="auto"/>
              </w:divBdr>
            </w:div>
            <w:div w:id="2112823243">
              <w:marLeft w:val="0"/>
              <w:marRight w:val="0"/>
              <w:marTop w:val="0"/>
              <w:marBottom w:val="0"/>
              <w:divBdr>
                <w:top w:val="none" w:sz="0" w:space="0" w:color="auto"/>
                <w:left w:val="none" w:sz="0" w:space="0" w:color="auto"/>
                <w:bottom w:val="none" w:sz="0" w:space="0" w:color="auto"/>
                <w:right w:val="none" w:sz="0" w:space="0" w:color="auto"/>
              </w:divBdr>
            </w:div>
          </w:divsChild>
        </w:div>
        <w:div w:id="1063603226">
          <w:marLeft w:val="0"/>
          <w:marRight w:val="0"/>
          <w:marTop w:val="0"/>
          <w:marBottom w:val="0"/>
          <w:divBdr>
            <w:top w:val="none" w:sz="0" w:space="0" w:color="auto"/>
            <w:left w:val="none" w:sz="0" w:space="0" w:color="auto"/>
            <w:bottom w:val="none" w:sz="0" w:space="0" w:color="auto"/>
            <w:right w:val="none" w:sz="0" w:space="0" w:color="auto"/>
          </w:divBdr>
        </w:div>
        <w:div w:id="1064715592">
          <w:marLeft w:val="0"/>
          <w:marRight w:val="0"/>
          <w:marTop w:val="0"/>
          <w:marBottom w:val="0"/>
          <w:divBdr>
            <w:top w:val="none" w:sz="0" w:space="0" w:color="auto"/>
            <w:left w:val="none" w:sz="0" w:space="0" w:color="auto"/>
            <w:bottom w:val="none" w:sz="0" w:space="0" w:color="auto"/>
            <w:right w:val="none" w:sz="0" w:space="0" w:color="auto"/>
          </w:divBdr>
        </w:div>
        <w:div w:id="1064840745">
          <w:marLeft w:val="0"/>
          <w:marRight w:val="0"/>
          <w:marTop w:val="0"/>
          <w:marBottom w:val="0"/>
          <w:divBdr>
            <w:top w:val="none" w:sz="0" w:space="0" w:color="auto"/>
            <w:left w:val="none" w:sz="0" w:space="0" w:color="auto"/>
            <w:bottom w:val="none" w:sz="0" w:space="0" w:color="auto"/>
            <w:right w:val="none" w:sz="0" w:space="0" w:color="auto"/>
          </w:divBdr>
        </w:div>
        <w:div w:id="1065224082">
          <w:marLeft w:val="0"/>
          <w:marRight w:val="0"/>
          <w:marTop w:val="0"/>
          <w:marBottom w:val="0"/>
          <w:divBdr>
            <w:top w:val="none" w:sz="0" w:space="0" w:color="auto"/>
            <w:left w:val="none" w:sz="0" w:space="0" w:color="auto"/>
            <w:bottom w:val="none" w:sz="0" w:space="0" w:color="auto"/>
            <w:right w:val="none" w:sz="0" w:space="0" w:color="auto"/>
          </w:divBdr>
        </w:div>
        <w:div w:id="1066344682">
          <w:marLeft w:val="0"/>
          <w:marRight w:val="0"/>
          <w:marTop w:val="0"/>
          <w:marBottom w:val="0"/>
          <w:divBdr>
            <w:top w:val="none" w:sz="0" w:space="0" w:color="auto"/>
            <w:left w:val="none" w:sz="0" w:space="0" w:color="auto"/>
            <w:bottom w:val="none" w:sz="0" w:space="0" w:color="auto"/>
            <w:right w:val="none" w:sz="0" w:space="0" w:color="auto"/>
          </w:divBdr>
        </w:div>
        <w:div w:id="1066534916">
          <w:marLeft w:val="0"/>
          <w:marRight w:val="0"/>
          <w:marTop w:val="0"/>
          <w:marBottom w:val="0"/>
          <w:divBdr>
            <w:top w:val="none" w:sz="0" w:space="0" w:color="auto"/>
            <w:left w:val="none" w:sz="0" w:space="0" w:color="auto"/>
            <w:bottom w:val="none" w:sz="0" w:space="0" w:color="auto"/>
            <w:right w:val="none" w:sz="0" w:space="0" w:color="auto"/>
          </w:divBdr>
        </w:div>
        <w:div w:id="1067798363">
          <w:marLeft w:val="0"/>
          <w:marRight w:val="0"/>
          <w:marTop w:val="0"/>
          <w:marBottom w:val="0"/>
          <w:divBdr>
            <w:top w:val="none" w:sz="0" w:space="0" w:color="auto"/>
            <w:left w:val="none" w:sz="0" w:space="0" w:color="auto"/>
            <w:bottom w:val="none" w:sz="0" w:space="0" w:color="auto"/>
            <w:right w:val="none" w:sz="0" w:space="0" w:color="auto"/>
          </w:divBdr>
        </w:div>
        <w:div w:id="1069232749">
          <w:marLeft w:val="0"/>
          <w:marRight w:val="0"/>
          <w:marTop w:val="0"/>
          <w:marBottom w:val="0"/>
          <w:divBdr>
            <w:top w:val="none" w:sz="0" w:space="0" w:color="auto"/>
            <w:left w:val="none" w:sz="0" w:space="0" w:color="auto"/>
            <w:bottom w:val="none" w:sz="0" w:space="0" w:color="auto"/>
            <w:right w:val="none" w:sz="0" w:space="0" w:color="auto"/>
          </w:divBdr>
        </w:div>
        <w:div w:id="1072122389">
          <w:marLeft w:val="0"/>
          <w:marRight w:val="0"/>
          <w:marTop w:val="0"/>
          <w:marBottom w:val="0"/>
          <w:divBdr>
            <w:top w:val="none" w:sz="0" w:space="0" w:color="auto"/>
            <w:left w:val="none" w:sz="0" w:space="0" w:color="auto"/>
            <w:bottom w:val="none" w:sz="0" w:space="0" w:color="auto"/>
            <w:right w:val="none" w:sz="0" w:space="0" w:color="auto"/>
          </w:divBdr>
          <w:divsChild>
            <w:div w:id="109590482">
              <w:marLeft w:val="0"/>
              <w:marRight w:val="0"/>
              <w:marTop w:val="0"/>
              <w:marBottom w:val="0"/>
              <w:divBdr>
                <w:top w:val="none" w:sz="0" w:space="0" w:color="auto"/>
                <w:left w:val="none" w:sz="0" w:space="0" w:color="auto"/>
                <w:bottom w:val="none" w:sz="0" w:space="0" w:color="auto"/>
                <w:right w:val="none" w:sz="0" w:space="0" w:color="auto"/>
              </w:divBdr>
            </w:div>
            <w:div w:id="129835137">
              <w:marLeft w:val="0"/>
              <w:marRight w:val="0"/>
              <w:marTop w:val="0"/>
              <w:marBottom w:val="0"/>
              <w:divBdr>
                <w:top w:val="none" w:sz="0" w:space="0" w:color="auto"/>
                <w:left w:val="none" w:sz="0" w:space="0" w:color="auto"/>
                <w:bottom w:val="none" w:sz="0" w:space="0" w:color="auto"/>
                <w:right w:val="none" w:sz="0" w:space="0" w:color="auto"/>
              </w:divBdr>
            </w:div>
            <w:div w:id="187912418">
              <w:marLeft w:val="0"/>
              <w:marRight w:val="0"/>
              <w:marTop w:val="0"/>
              <w:marBottom w:val="0"/>
              <w:divBdr>
                <w:top w:val="none" w:sz="0" w:space="0" w:color="auto"/>
                <w:left w:val="none" w:sz="0" w:space="0" w:color="auto"/>
                <w:bottom w:val="none" w:sz="0" w:space="0" w:color="auto"/>
                <w:right w:val="none" w:sz="0" w:space="0" w:color="auto"/>
              </w:divBdr>
            </w:div>
            <w:div w:id="560871260">
              <w:marLeft w:val="0"/>
              <w:marRight w:val="0"/>
              <w:marTop w:val="0"/>
              <w:marBottom w:val="0"/>
              <w:divBdr>
                <w:top w:val="none" w:sz="0" w:space="0" w:color="auto"/>
                <w:left w:val="none" w:sz="0" w:space="0" w:color="auto"/>
                <w:bottom w:val="none" w:sz="0" w:space="0" w:color="auto"/>
                <w:right w:val="none" w:sz="0" w:space="0" w:color="auto"/>
              </w:divBdr>
            </w:div>
            <w:div w:id="1060323681">
              <w:marLeft w:val="0"/>
              <w:marRight w:val="0"/>
              <w:marTop w:val="0"/>
              <w:marBottom w:val="0"/>
              <w:divBdr>
                <w:top w:val="none" w:sz="0" w:space="0" w:color="auto"/>
                <w:left w:val="none" w:sz="0" w:space="0" w:color="auto"/>
                <w:bottom w:val="none" w:sz="0" w:space="0" w:color="auto"/>
                <w:right w:val="none" w:sz="0" w:space="0" w:color="auto"/>
              </w:divBdr>
            </w:div>
            <w:div w:id="1327630979">
              <w:marLeft w:val="0"/>
              <w:marRight w:val="0"/>
              <w:marTop w:val="0"/>
              <w:marBottom w:val="0"/>
              <w:divBdr>
                <w:top w:val="none" w:sz="0" w:space="0" w:color="auto"/>
                <w:left w:val="none" w:sz="0" w:space="0" w:color="auto"/>
                <w:bottom w:val="none" w:sz="0" w:space="0" w:color="auto"/>
                <w:right w:val="none" w:sz="0" w:space="0" w:color="auto"/>
              </w:divBdr>
            </w:div>
            <w:div w:id="1330446395">
              <w:marLeft w:val="0"/>
              <w:marRight w:val="0"/>
              <w:marTop w:val="0"/>
              <w:marBottom w:val="0"/>
              <w:divBdr>
                <w:top w:val="none" w:sz="0" w:space="0" w:color="auto"/>
                <w:left w:val="none" w:sz="0" w:space="0" w:color="auto"/>
                <w:bottom w:val="none" w:sz="0" w:space="0" w:color="auto"/>
                <w:right w:val="none" w:sz="0" w:space="0" w:color="auto"/>
              </w:divBdr>
            </w:div>
            <w:div w:id="1330713603">
              <w:marLeft w:val="0"/>
              <w:marRight w:val="0"/>
              <w:marTop w:val="0"/>
              <w:marBottom w:val="0"/>
              <w:divBdr>
                <w:top w:val="none" w:sz="0" w:space="0" w:color="auto"/>
                <w:left w:val="none" w:sz="0" w:space="0" w:color="auto"/>
                <w:bottom w:val="none" w:sz="0" w:space="0" w:color="auto"/>
                <w:right w:val="none" w:sz="0" w:space="0" w:color="auto"/>
              </w:divBdr>
            </w:div>
            <w:div w:id="1637103093">
              <w:marLeft w:val="0"/>
              <w:marRight w:val="0"/>
              <w:marTop w:val="0"/>
              <w:marBottom w:val="0"/>
              <w:divBdr>
                <w:top w:val="none" w:sz="0" w:space="0" w:color="auto"/>
                <w:left w:val="none" w:sz="0" w:space="0" w:color="auto"/>
                <w:bottom w:val="none" w:sz="0" w:space="0" w:color="auto"/>
                <w:right w:val="none" w:sz="0" w:space="0" w:color="auto"/>
              </w:divBdr>
            </w:div>
            <w:div w:id="1807776109">
              <w:marLeft w:val="0"/>
              <w:marRight w:val="0"/>
              <w:marTop w:val="0"/>
              <w:marBottom w:val="0"/>
              <w:divBdr>
                <w:top w:val="none" w:sz="0" w:space="0" w:color="auto"/>
                <w:left w:val="none" w:sz="0" w:space="0" w:color="auto"/>
                <w:bottom w:val="none" w:sz="0" w:space="0" w:color="auto"/>
                <w:right w:val="none" w:sz="0" w:space="0" w:color="auto"/>
              </w:divBdr>
            </w:div>
            <w:div w:id="2086756814">
              <w:marLeft w:val="0"/>
              <w:marRight w:val="0"/>
              <w:marTop w:val="0"/>
              <w:marBottom w:val="0"/>
              <w:divBdr>
                <w:top w:val="none" w:sz="0" w:space="0" w:color="auto"/>
                <w:left w:val="none" w:sz="0" w:space="0" w:color="auto"/>
                <w:bottom w:val="none" w:sz="0" w:space="0" w:color="auto"/>
                <w:right w:val="none" w:sz="0" w:space="0" w:color="auto"/>
              </w:divBdr>
            </w:div>
            <w:div w:id="2091348877">
              <w:marLeft w:val="0"/>
              <w:marRight w:val="0"/>
              <w:marTop w:val="0"/>
              <w:marBottom w:val="0"/>
              <w:divBdr>
                <w:top w:val="none" w:sz="0" w:space="0" w:color="auto"/>
                <w:left w:val="none" w:sz="0" w:space="0" w:color="auto"/>
                <w:bottom w:val="none" w:sz="0" w:space="0" w:color="auto"/>
                <w:right w:val="none" w:sz="0" w:space="0" w:color="auto"/>
              </w:divBdr>
            </w:div>
            <w:div w:id="2144351212">
              <w:marLeft w:val="0"/>
              <w:marRight w:val="0"/>
              <w:marTop w:val="0"/>
              <w:marBottom w:val="0"/>
              <w:divBdr>
                <w:top w:val="none" w:sz="0" w:space="0" w:color="auto"/>
                <w:left w:val="none" w:sz="0" w:space="0" w:color="auto"/>
                <w:bottom w:val="none" w:sz="0" w:space="0" w:color="auto"/>
                <w:right w:val="none" w:sz="0" w:space="0" w:color="auto"/>
              </w:divBdr>
            </w:div>
          </w:divsChild>
        </w:div>
        <w:div w:id="1075322070">
          <w:marLeft w:val="0"/>
          <w:marRight w:val="0"/>
          <w:marTop w:val="0"/>
          <w:marBottom w:val="0"/>
          <w:divBdr>
            <w:top w:val="none" w:sz="0" w:space="0" w:color="auto"/>
            <w:left w:val="none" w:sz="0" w:space="0" w:color="auto"/>
            <w:bottom w:val="none" w:sz="0" w:space="0" w:color="auto"/>
            <w:right w:val="none" w:sz="0" w:space="0" w:color="auto"/>
          </w:divBdr>
        </w:div>
        <w:div w:id="1076511022">
          <w:marLeft w:val="0"/>
          <w:marRight w:val="0"/>
          <w:marTop w:val="0"/>
          <w:marBottom w:val="0"/>
          <w:divBdr>
            <w:top w:val="none" w:sz="0" w:space="0" w:color="auto"/>
            <w:left w:val="none" w:sz="0" w:space="0" w:color="auto"/>
            <w:bottom w:val="none" w:sz="0" w:space="0" w:color="auto"/>
            <w:right w:val="none" w:sz="0" w:space="0" w:color="auto"/>
          </w:divBdr>
          <w:divsChild>
            <w:div w:id="41025598">
              <w:marLeft w:val="0"/>
              <w:marRight w:val="0"/>
              <w:marTop w:val="0"/>
              <w:marBottom w:val="0"/>
              <w:divBdr>
                <w:top w:val="none" w:sz="0" w:space="0" w:color="auto"/>
                <w:left w:val="none" w:sz="0" w:space="0" w:color="auto"/>
                <w:bottom w:val="none" w:sz="0" w:space="0" w:color="auto"/>
                <w:right w:val="none" w:sz="0" w:space="0" w:color="auto"/>
              </w:divBdr>
            </w:div>
            <w:div w:id="147939504">
              <w:marLeft w:val="0"/>
              <w:marRight w:val="0"/>
              <w:marTop w:val="0"/>
              <w:marBottom w:val="0"/>
              <w:divBdr>
                <w:top w:val="none" w:sz="0" w:space="0" w:color="auto"/>
                <w:left w:val="none" w:sz="0" w:space="0" w:color="auto"/>
                <w:bottom w:val="none" w:sz="0" w:space="0" w:color="auto"/>
                <w:right w:val="none" w:sz="0" w:space="0" w:color="auto"/>
              </w:divBdr>
            </w:div>
            <w:div w:id="197551632">
              <w:marLeft w:val="0"/>
              <w:marRight w:val="0"/>
              <w:marTop w:val="0"/>
              <w:marBottom w:val="0"/>
              <w:divBdr>
                <w:top w:val="none" w:sz="0" w:space="0" w:color="auto"/>
                <w:left w:val="none" w:sz="0" w:space="0" w:color="auto"/>
                <w:bottom w:val="none" w:sz="0" w:space="0" w:color="auto"/>
                <w:right w:val="none" w:sz="0" w:space="0" w:color="auto"/>
              </w:divBdr>
            </w:div>
            <w:div w:id="208150104">
              <w:marLeft w:val="0"/>
              <w:marRight w:val="0"/>
              <w:marTop w:val="0"/>
              <w:marBottom w:val="0"/>
              <w:divBdr>
                <w:top w:val="none" w:sz="0" w:space="0" w:color="auto"/>
                <w:left w:val="none" w:sz="0" w:space="0" w:color="auto"/>
                <w:bottom w:val="none" w:sz="0" w:space="0" w:color="auto"/>
                <w:right w:val="none" w:sz="0" w:space="0" w:color="auto"/>
              </w:divBdr>
            </w:div>
            <w:div w:id="315650218">
              <w:marLeft w:val="0"/>
              <w:marRight w:val="0"/>
              <w:marTop w:val="0"/>
              <w:marBottom w:val="0"/>
              <w:divBdr>
                <w:top w:val="none" w:sz="0" w:space="0" w:color="auto"/>
                <w:left w:val="none" w:sz="0" w:space="0" w:color="auto"/>
                <w:bottom w:val="none" w:sz="0" w:space="0" w:color="auto"/>
                <w:right w:val="none" w:sz="0" w:space="0" w:color="auto"/>
              </w:divBdr>
            </w:div>
            <w:div w:id="562259624">
              <w:marLeft w:val="0"/>
              <w:marRight w:val="0"/>
              <w:marTop w:val="0"/>
              <w:marBottom w:val="0"/>
              <w:divBdr>
                <w:top w:val="none" w:sz="0" w:space="0" w:color="auto"/>
                <w:left w:val="none" w:sz="0" w:space="0" w:color="auto"/>
                <w:bottom w:val="none" w:sz="0" w:space="0" w:color="auto"/>
                <w:right w:val="none" w:sz="0" w:space="0" w:color="auto"/>
              </w:divBdr>
            </w:div>
            <w:div w:id="1027172305">
              <w:marLeft w:val="0"/>
              <w:marRight w:val="0"/>
              <w:marTop w:val="0"/>
              <w:marBottom w:val="0"/>
              <w:divBdr>
                <w:top w:val="none" w:sz="0" w:space="0" w:color="auto"/>
                <w:left w:val="none" w:sz="0" w:space="0" w:color="auto"/>
                <w:bottom w:val="none" w:sz="0" w:space="0" w:color="auto"/>
                <w:right w:val="none" w:sz="0" w:space="0" w:color="auto"/>
              </w:divBdr>
            </w:div>
            <w:div w:id="1159229668">
              <w:marLeft w:val="0"/>
              <w:marRight w:val="0"/>
              <w:marTop w:val="0"/>
              <w:marBottom w:val="0"/>
              <w:divBdr>
                <w:top w:val="none" w:sz="0" w:space="0" w:color="auto"/>
                <w:left w:val="none" w:sz="0" w:space="0" w:color="auto"/>
                <w:bottom w:val="none" w:sz="0" w:space="0" w:color="auto"/>
                <w:right w:val="none" w:sz="0" w:space="0" w:color="auto"/>
              </w:divBdr>
            </w:div>
            <w:div w:id="1237742193">
              <w:marLeft w:val="0"/>
              <w:marRight w:val="0"/>
              <w:marTop w:val="0"/>
              <w:marBottom w:val="0"/>
              <w:divBdr>
                <w:top w:val="none" w:sz="0" w:space="0" w:color="auto"/>
                <w:left w:val="none" w:sz="0" w:space="0" w:color="auto"/>
                <w:bottom w:val="none" w:sz="0" w:space="0" w:color="auto"/>
                <w:right w:val="none" w:sz="0" w:space="0" w:color="auto"/>
              </w:divBdr>
            </w:div>
            <w:div w:id="1239487378">
              <w:marLeft w:val="0"/>
              <w:marRight w:val="0"/>
              <w:marTop w:val="0"/>
              <w:marBottom w:val="0"/>
              <w:divBdr>
                <w:top w:val="none" w:sz="0" w:space="0" w:color="auto"/>
                <w:left w:val="none" w:sz="0" w:space="0" w:color="auto"/>
                <w:bottom w:val="none" w:sz="0" w:space="0" w:color="auto"/>
                <w:right w:val="none" w:sz="0" w:space="0" w:color="auto"/>
              </w:divBdr>
            </w:div>
            <w:div w:id="1277177221">
              <w:marLeft w:val="0"/>
              <w:marRight w:val="0"/>
              <w:marTop w:val="0"/>
              <w:marBottom w:val="0"/>
              <w:divBdr>
                <w:top w:val="none" w:sz="0" w:space="0" w:color="auto"/>
                <w:left w:val="none" w:sz="0" w:space="0" w:color="auto"/>
                <w:bottom w:val="none" w:sz="0" w:space="0" w:color="auto"/>
                <w:right w:val="none" w:sz="0" w:space="0" w:color="auto"/>
              </w:divBdr>
            </w:div>
            <w:div w:id="1302349718">
              <w:marLeft w:val="0"/>
              <w:marRight w:val="0"/>
              <w:marTop w:val="0"/>
              <w:marBottom w:val="0"/>
              <w:divBdr>
                <w:top w:val="none" w:sz="0" w:space="0" w:color="auto"/>
                <w:left w:val="none" w:sz="0" w:space="0" w:color="auto"/>
                <w:bottom w:val="none" w:sz="0" w:space="0" w:color="auto"/>
                <w:right w:val="none" w:sz="0" w:space="0" w:color="auto"/>
              </w:divBdr>
            </w:div>
            <w:div w:id="1388803662">
              <w:marLeft w:val="0"/>
              <w:marRight w:val="0"/>
              <w:marTop w:val="0"/>
              <w:marBottom w:val="0"/>
              <w:divBdr>
                <w:top w:val="none" w:sz="0" w:space="0" w:color="auto"/>
                <w:left w:val="none" w:sz="0" w:space="0" w:color="auto"/>
                <w:bottom w:val="none" w:sz="0" w:space="0" w:color="auto"/>
                <w:right w:val="none" w:sz="0" w:space="0" w:color="auto"/>
              </w:divBdr>
            </w:div>
            <w:div w:id="1482113444">
              <w:marLeft w:val="0"/>
              <w:marRight w:val="0"/>
              <w:marTop w:val="0"/>
              <w:marBottom w:val="0"/>
              <w:divBdr>
                <w:top w:val="none" w:sz="0" w:space="0" w:color="auto"/>
                <w:left w:val="none" w:sz="0" w:space="0" w:color="auto"/>
                <w:bottom w:val="none" w:sz="0" w:space="0" w:color="auto"/>
                <w:right w:val="none" w:sz="0" w:space="0" w:color="auto"/>
              </w:divBdr>
            </w:div>
            <w:div w:id="1588997058">
              <w:marLeft w:val="0"/>
              <w:marRight w:val="0"/>
              <w:marTop w:val="0"/>
              <w:marBottom w:val="0"/>
              <w:divBdr>
                <w:top w:val="none" w:sz="0" w:space="0" w:color="auto"/>
                <w:left w:val="none" w:sz="0" w:space="0" w:color="auto"/>
                <w:bottom w:val="none" w:sz="0" w:space="0" w:color="auto"/>
                <w:right w:val="none" w:sz="0" w:space="0" w:color="auto"/>
              </w:divBdr>
            </w:div>
            <w:div w:id="1675495745">
              <w:marLeft w:val="0"/>
              <w:marRight w:val="0"/>
              <w:marTop w:val="0"/>
              <w:marBottom w:val="0"/>
              <w:divBdr>
                <w:top w:val="none" w:sz="0" w:space="0" w:color="auto"/>
                <w:left w:val="none" w:sz="0" w:space="0" w:color="auto"/>
                <w:bottom w:val="none" w:sz="0" w:space="0" w:color="auto"/>
                <w:right w:val="none" w:sz="0" w:space="0" w:color="auto"/>
              </w:divBdr>
            </w:div>
            <w:div w:id="1678577277">
              <w:marLeft w:val="0"/>
              <w:marRight w:val="0"/>
              <w:marTop w:val="0"/>
              <w:marBottom w:val="0"/>
              <w:divBdr>
                <w:top w:val="none" w:sz="0" w:space="0" w:color="auto"/>
                <w:left w:val="none" w:sz="0" w:space="0" w:color="auto"/>
                <w:bottom w:val="none" w:sz="0" w:space="0" w:color="auto"/>
                <w:right w:val="none" w:sz="0" w:space="0" w:color="auto"/>
              </w:divBdr>
            </w:div>
            <w:div w:id="1742173701">
              <w:marLeft w:val="0"/>
              <w:marRight w:val="0"/>
              <w:marTop w:val="0"/>
              <w:marBottom w:val="0"/>
              <w:divBdr>
                <w:top w:val="none" w:sz="0" w:space="0" w:color="auto"/>
                <w:left w:val="none" w:sz="0" w:space="0" w:color="auto"/>
                <w:bottom w:val="none" w:sz="0" w:space="0" w:color="auto"/>
                <w:right w:val="none" w:sz="0" w:space="0" w:color="auto"/>
              </w:divBdr>
            </w:div>
            <w:div w:id="1903784690">
              <w:marLeft w:val="0"/>
              <w:marRight w:val="0"/>
              <w:marTop w:val="0"/>
              <w:marBottom w:val="0"/>
              <w:divBdr>
                <w:top w:val="none" w:sz="0" w:space="0" w:color="auto"/>
                <w:left w:val="none" w:sz="0" w:space="0" w:color="auto"/>
                <w:bottom w:val="none" w:sz="0" w:space="0" w:color="auto"/>
                <w:right w:val="none" w:sz="0" w:space="0" w:color="auto"/>
              </w:divBdr>
            </w:div>
          </w:divsChild>
        </w:div>
        <w:div w:id="1076511437">
          <w:marLeft w:val="0"/>
          <w:marRight w:val="0"/>
          <w:marTop w:val="0"/>
          <w:marBottom w:val="0"/>
          <w:divBdr>
            <w:top w:val="none" w:sz="0" w:space="0" w:color="auto"/>
            <w:left w:val="none" w:sz="0" w:space="0" w:color="auto"/>
            <w:bottom w:val="none" w:sz="0" w:space="0" w:color="auto"/>
            <w:right w:val="none" w:sz="0" w:space="0" w:color="auto"/>
          </w:divBdr>
        </w:div>
        <w:div w:id="1078480075">
          <w:marLeft w:val="0"/>
          <w:marRight w:val="0"/>
          <w:marTop w:val="0"/>
          <w:marBottom w:val="0"/>
          <w:divBdr>
            <w:top w:val="none" w:sz="0" w:space="0" w:color="auto"/>
            <w:left w:val="none" w:sz="0" w:space="0" w:color="auto"/>
            <w:bottom w:val="none" w:sz="0" w:space="0" w:color="auto"/>
            <w:right w:val="none" w:sz="0" w:space="0" w:color="auto"/>
          </w:divBdr>
        </w:div>
        <w:div w:id="1080054481">
          <w:marLeft w:val="0"/>
          <w:marRight w:val="0"/>
          <w:marTop w:val="0"/>
          <w:marBottom w:val="0"/>
          <w:divBdr>
            <w:top w:val="none" w:sz="0" w:space="0" w:color="auto"/>
            <w:left w:val="none" w:sz="0" w:space="0" w:color="auto"/>
            <w:bottom w:val="none" w:sz="0" w:space="0" w:color="auto"/>
            <w:right w:val="none" w:sz="0" w:space="0" w:color="auto"/>
          </w:divBdr>
        </w:div>
        <w:div w:id="1085345769">
          <w:marLeft w:val="0"/>
          <w:marRight w:val="0"/>
          <w:marTop w:val="0"/>
          <w:marBottom w:val="0"/>
          <w:divBdr>
            <w:top w:val="none" w:sz="0" w:space="0" w:color="auto"/>
            <w:left w:val="none" w:sz="0" w:space="0" w:color="auto"/>
            <w:bottom w:val="none" w:sz="0" w:space="0" w:color="auto"/>
            <w:right w:val="none" w:sz="0" w:space="0" w:color="auto"/>
          </w:divBdr>
        </w:div>
        <w:div w:id="1086344321">
          <w:marLeft w:val="0"/>
          <w:marRight w:val="0"/>
          <w:marTop w:val="0"/>
          <w:marBottom w:val="0"/>
          <w:divBdr>
            <w:top w:val="none" w:sz="0" w:space="0" w:color="auto"/>
            <w:left w:val="none" w:sz="0" w:space="0" w:color="auto"/>
            <w:bottom w:val="none" w:sz="0" w:space="0" w:color="auto"/>
            <w:right w:val="none" w:sz="0" w:space="0" w:color="auto"/>
          </w:divBdr>
        </w:div>
        <w:div w:id="1086458976">
          <w:marLeft w:val="0"/>
          <w:marRight w:val="0"/>
          <w:marTop w:val="0"/>
          <w:marBottom w:val="0"/>
          <w:divBdr>
            <w:top w:val="none" w:sz="0" w:space="0" w:color="auto"/>
            <w:left w:val="none" w:sz="0" w:space="0" w:color="auto"/>
            <w:bottom w:val="none" w:sz="0" w:space="0" w:color="auto"/>
            <w:right w:val="none" w:sz="0" w:space="0" w:color="auto"/>
          </w:divBdr>
        </w:div>
        <w:div w:id="1087188588">
          <w:marLeft w:val="0"/>
          <w:marRight w:val="0"/>
          <w:marTop w:val="0"/>
          <w:marBottom w:val="0"/>
          <w:divBdr>
            <w:top w:val="none" w:sz="0" w:space="0" w:color="auto"/>
            <w:left w:val="none" w:sz="0" w:space="0" w:color="auto"/>
            <w:bottom w:val="none" w:sz="0" w:space="0" w:color="auto"/>
            <w:right w:val="none" w:sz="0" w:space="0" w:color="auto"/>
          </w:divBdr>
        </w:div>
        <w:div w:id="1088816670">
          <w:marLeft w:val="0"/>
          <w:marRight w:val="0"/>
          <w:marTop w:val="0"/>
          <w:marBottom w:val="0"/>
          <w:divBdr>
            <w:top w:val="none" w:sz="0" w:space="0" w:color="auto"/>
            <w:left w:val="none" w:sz="0" w:space="0" w:color="auto"/>
            <w:bottom w:val="none" w:sz="0" w:space="0" w:color="auto"/>
            <w:right w:val="none" w:sz="0" w:space="0" w:color="auto"/>
          </w:divBdr>
        </w:div>
        <w:div w:id="1088843322">
          <w:marLeft w:val="0"/>
          <w:marRight w:val="0"/>
          <w:marTop w:val="0"/>
          <w:marBottom w:val="0"/>
          <w:divBdr>
            <w:top w:val="none" w:sz="0" w:space="0" w:color="auto"/>
            <w:left w:val="none" w:sz="0" w:space="0" w:color="auto"/>
            <w:bottom w:val="none" w:sz="0" w:space="0" w:color="auto"/>
            <w:right w:val="none" w:sz="0" w:space="0" w:color="auto"/>
          </w:divBdr>
          <w:divsChild>
            <w:div w:id="71514140">
              <w:marLeft w:val="0"/>
              <w:marRight w:val="0"/>
              <w:marTop w:val="0"/>
              <w:marBottom w:val="0"/>
              <w:divBdr>
                <w:top w:val="none" w:sz="0" w:space="0" w:color="auto"/>
                <w:left w:val="none" w:sz="0" w:space="0" w:color="auto"/>
                <w:bottom w:val="none" w:sz="0" w:space="0" w:color="auto"/>
                <w:right w:val="none" w:sz="0" w:space="0" w:color="auto"/>
              </w:divBdr>
            </w:div>
            <w:div w:id="127286120">
              <w:marLeft w:val="0"/>
              <w:marRight w:val="0"/>
              <w:marTop w:val="0"/>
              <w:marBottom w:val="0"/>
              <w:divBdr>
                <w:top w:val="none" w:sz="0" w:space="0" w:color="auto"/>
                <w:left w:val="none" w:sz="0" w:space="0" w:color="auto"/>
                <w:bottom w:val="none" w:sz="0" w:space="0" w:color="auto"/>
                <w:right w:val="none" w:sz="0" w:space="0" w:color="auto"/>
              </w:divBdr>
            </w:div>
            <w:div w:id="177044108">
              <w:marLeft w:val="0"/>
              <w:marRight w:val="0"/>
              <w:marTop w:val="0"/>
              <w:marBottom w:val="0"/>
              <w:divBdr>
                <w:top w:val="none" w:sz="0" w:space="0" w:color="auto"/>
                <w:left w:val="none" w:sz="0" w:space="0" w:color="auto"/>
                <w:bottom w:val="none" w:sz="0" w:space="0" w:color="auto"/>
                <w:right w:val="none" w:sz="0" w:space="0" w:color="auto"/>
              </w:divBdr>
            </w:div>
            <w:div w:id="314796204">
              <w:marLeft w:val="0"/>
              <w:marRight w:val="0"/>
              <w:marTop w:val="0"/>
              <w:marBottom w:val="0"/>
              <w:divBdr>
                <w:top w:val="none" w:sz="0" w:space="0" w:color="auto"/>
                <w:left w:val="none" w:sz="0" w:space="0" w:color="auto"/>
                <w:bottom w:val="none" w:sz="0" w:space="0" w:color="auto"/>
                <w:right w:val="none" w:sz="0" w:space="0" w:color="auto"/>
              </w:divBdr>
            </w:div>
            <w:div w:id="447046307">
              <w:marLeft w:val="0"/>
              <w:marRight w:val="0"/>
              <w:marTop w:val="0"/>
              <w:marBottom w:val="0"/>
              <w:divBdr>
                <w:top w:val="none" w:sz="0" w:space="0" w:color="auto"/>
                <w:left w:val="none" w:sz="0" w:space="0" w:color="auto"/>
                <w:bottom w:val="none" w:sz="0" w:space="0" w:color="auto"/>
                <w:right w:val="none" w:sz="0" w:space="0" w:color="auto"/>
              </w:divBdr>
            </w:div>
            <w:div w:id="468477070">
              <w:marLeft w:val="0"/>
              <w:marRight w:val="0"/>
              <w:marTop w:val="0"/>
              <w:marBottom w:val="0"/>
              <w:divBdr>
                <w:top w:val="none" w:sz="0" w:space="0" w:color="auto"/>
                <w:left w:val="none" w:sz="0" w:space="0" w:color="auto"/>
                <w:bottom w:val="none" w:sz="0" w:space="0" w:color="auto"/>
                <w:right w:val="none" w:sz="0" w:space="0" w:color="auto"/>
              </w:divBdr>
            </w:div>
            <w:div w:id="562328986">
              <w:marLeft w:val="0"/>
              <w:marRight w:val="0"/>
              <w:marTop w:val="0"/>
              <w:marBottom w:val="0"/>
              <w:divBdr>
                <w:top w:val="none" w:sz="0" w:space="0" w:color="auto"/>
                <w:left w:val="none" w:sz="0" w:space="0" w:color="auto"/>
                <w:bottom w:val="none" w:sz="0" w:space="0" w:color="auto"/>
                <w:right w:val="none" w:sz="0" w:space="0" w:color="auto"/>
              </w:divBdr>
            </w:div>
            <w:div w:id="580797731">
              <w:marLeft w:val="0"/>
              <w:marRight w:val="0"/>
              <w:marTop w:val="0"/>
              <w:marBottom w:val="0"/>
              <w:divBdr>
                <w:top w:val="none" w:sz="0" w:space="0" w:color="auto"/>
                <w:left w:val="none" w:sz="0" w:space="0" w:color="auto"/>
                <w:bottom w:val="none" w:sz="0" w:space="0" w:color="auto"/>
                <w:right w:val="none" w:sz="0" w:space="0" w:color="auto"/>
              </w:divBdr>
            </w:div>
            <w:div w:id="620040456">
              <w:marLeft w:val="0"/>
              <w:marRight w:val="0"/>
              <w:marTop w:val="0"/>
              <w:marBottom w:val="0"/>
              <w:divBdr>
                <w:top w:val="none" w:sz="0" w:space="0" w:color="auto"/>
                <w:left w:val="none" w:sz="0" w:space="0" w:color="auto"/>
                <w:bottom w:val="none" w:sz="0" w:space="0" w:color="auto"/>
                <w:right w:val="none" w:sz="0" w:space="0" w:color="auto"/>
              </w:divBdr>
            </w:div>
            <w:div w:id="783381139">
              <w:marLeft w:val="0"/>
              <w:marRight w:val="0"/>
              <w:marTop w:val="0"/>
              <w:marBottom w:val="0"/>
              <w:divBdr>
                <w:top w:val="none" w:sz="0" w:space="0" w:color="auto"/>
                <w:left w:val="none" w:sz="0" w:space="0" w:color="auto"/>
                <w:bottom w:val="none" w:sz="0" w:space="0" w:color="auto"/>
                <w:right w:val="none" w:sz="0" w:space="0" w:color="auto"/>
              </w:divBdr>
            </w:div>
            <w:div w:id="921715263">
              <w:marLeft w:val="0"/>
              <w:marRight w:val="0"/>
              <w:marTop w:val="0"/>
              <w:marBottom w:val="0"/>
              <w:divBdr>
                <w:top w:val="none" w:sz="0" w:space="0" w:color="auto"/>
                <w:left w:val="none" w:sz="0" w:space="0" w:color="auto"/>
                <w:bottom w:val="none" w:sz="0" w:space="0" w:color="auto"/>
                <w:right w:val="none" w:sz="0" w:space="0" w:color="auto"/>
              </w:divBdr>
            </w:div>
            <w:div w:id="939530760">
              <w:marLeft w:val="0"/>
              <w:marRight w:val="0"/>
              <w:marTop w:val="0"/>
              <w:marBottom w:val="0"/>
              <w:divBdr>
                <w:top w:val="none" w:sz="0" w:space="0" w:color="auto"/>
                <w:left w:val="none" w:sz="0" w:space="0" w:color="auto"/>
                <w:bottom w:val="none" w:sz="0" w:space="0" w:color="auto"/>
                <w:right w:val="none" w:sz="0" w:space="0" w:color="auto"/>
              </w:divBdr>
            </w:div>
            <w:div w:id="987787783">
              <w:marLeft w:val="0"/>
              <w:marRight w:val="0"/>
              <w:marTop w:val="0"/>
              <w:marBottom w:val="0"/>
              <w:divBdr>
                <w:top w:val="none" w:sz="0" w:space="0" w:color="auto"/>
                <w:left w:val="none" w:sz="0" w:space="0" w:color="auto"/>
                <w:bottom w:val="none" w:sz="0" w:space="0" w:color="auto"/>
                <w:right w:val="none" w:sz="0" w:space="0" w:color="auto"/>
              </w:divBdr>
            </w:div>
            <w:div w:id="1136413665">
              <w:marLeft w:val="0"/>
              <w:marRight w:val="0"/>
              <w:marTop w:val="0"/>
              <w:marBottom w:val="0"/>
              <w:divBdr>
                <w:top w:val="none" w:sz="0" w:space="0" w:color="auto"/>
                <w:left w:val="none" w:sz="0" w:space="0" w:color="auto"/>
                <w:bottom w:val="none" w:sz="0" w:space="0" w:color="auto"/>
                <w:right w:val="none" w:sz="0" w:space="0" w:color="auto"/>
              </w:divBdr>
            </w:div>
            <w:div w:id="1182016166">
              <w:marLeft w:val="0"/>
              <w:marRight w:val="0"/>
              <w:marTop w:val="0"/>
              <w:marBottom w:val="0"/>
              <w:divBdr>
                <w:top w:val="none" w:sz="0" w:space="0" w:color="auto"/>
                <w:left w:val="none" w:sz="0" w:space="0" w:color="auto"/>
                <w:bottom w:val="none" w:sz="0" w:space="0" w:color="auto"/>
                <w:right w:val="none" w:sz="0" w:space="0" w:color="auto"/>
              </w:divBdr>
            </w:div>
            <w:div w:id="1666394508">
              <w:marLeft w:val="0"/>
              <w:marRight w:val="0"/>
              <w:marTop w:val="0"/>
              <w:marBottom w:val="0"/>
              <w:divBdr>
                <w:top w:val="none" w:sz="0" w:space="0" w:color="auto"/>
                <w:left w:val="none" w:sz="0" w:space="0" w:color="auto"/>
                <w:bottom w:val="none" w:sz="0" w:space="0" w:color="auto"/>
                <w:right w:val="none" w:sz="0" w:space="0" w:color="auto"/>
              </w:divBdr>
            </w:div>
            <w:div w:id="1733432246">
              <w:marLeft w:val="0"/>
              <w:marRight w:val="0"/>
              <w:marTop w:val="0"/>
              <w:marBottom w:val="0"/>
              <w:divBdr>
                <w:top w:val="none" w:sz="0" w:space="0" w:color="auto"/>
                <w:left w:val="none" w:sz="0" w:space="0" w:color="auto"/>
                <w:bottom w:val="none" w:sz="0" w:space="0" w:color="auto"/>
                <w:right w:val="none" w:sz="0" w:space="0" w:color="auto"/>
              </w:divBdr>
            </w:div>
            <w:div w:id="1760062697">
              <w:marLeft w:val="0"/>
              <w:marRight w:val="0"/>
              <w:marTop w:val="0"/>
              <w:marBottom w:val="0"/>
              <w:divBdr>
                <w:top w:val="none" w:sz="0" w:space="0" w:color="auto"/>
                <w:left w:val="none" w:sz="0" w:space="0" w:color="auto"/>
                <w:bottom w:val="none" w:sz="0" w:space="0" w:color="auto"/>
                <w:right w:val="none" w:sz="0" w:space="0" w:color="auto"/>
              </w:divBdr>
            </w:div>
            <w:div w:id="2009627727">
              <w:marLeft w:val="0"/>
              <w:marRight w:val="0"/>
              <w:marTop w:val="0"/>
              <w:marBottom w:val="0"/>
              <w:divBdr>
                <w:top w:val="none" w:sz="0" w:space="0" w:color="auto"/>
                <w:left w:val="none" w:sz="0" w:space="0" w:color="auto"/>
                <w:bottom w:val="none" w:sz="0" w:space="0" w:color="auto"/>
                <w:right w:val="none" w:sz="0" w:space="0" w:color="auto"/>
              </w:divBdr>
            </w:div>
          </w:divsChild>
        </w:div>
        <w:div w:id="1088959414">
          <w:marLeft w:val="0"/>
          <w:marRight w:val="0"/>
          <w:marTop w:val="0"/>
          <w:marBottom w:val="0"/>
          <w:divBdr>
            <w:top w:val="none" w:sz="0" w:space="0" w:color="auto"/>
            <w:left w:val="none" w:sz="0" w:space="0" w:color="auto"/>
            <w:bottom w:val="none" w:sz="0" w:space="0" w:color="auto"/>
            <w:right w:val="none" w:sz="0" w:space="0" w:color="auto"/>
          </w:divBdr>
        </w:div>
        <w:div w:id="1090202729">
          <w:marLeft w:val="0"/>
          <w:marRight w:val="0"/>
          <w:marTop w:val="0"/>
          <w:marBottom w:val="0"/>
          <w:divBdr>
            <w:top w:val="none" w:sz="0" w:space="0" w:color="auto"/>
            <w:left w:val="none" w:sz="0" w:space="0" w:color="auto"/>
            <w:bottom w:val="none" w:sz="0" w:space="0" w:color="auto"/>
            <w:right w:val="none" w:sz="0" w:space="0" w:color="auto"/>
          </w:divBdr>
          <w:divsChild>
            <w:div w:id="91510270">
              <w:marLeft w:val="0"/>
              <w:marRight w:val="0"/>
              <w:marTop w:val="0"/>
              <w:marBottom w:val="0"/>
              <w:divBdr>
                <w:top w:val="none" w:sz="0" w:space="0" w:color="auto"/>
                <w:left w:val="none" w:sz="0" w:space="0" w:color="auto"/>
                <w:bottom w:val="none" w:sz="0" w:space="0" w:color="auto"/>
                <w:right w:val="none" w:sz="0" w:space="0" w:color="auto"/>
              </w:divBdr>
            </w:div>
            <w:div w:id="162818224">
              <w:marLeft w:val="0"/>
              <w:marRight w:val="0"/>
              <w:marTop w:val="0"/>
              <w:marBottom w:val="0"/>
              <w:divBdr>
                <w:top w:val="none" w:sz="0" w:space="0" w:color="auto"/>
                <w:left w:val="none" w:sz="0" w:space="0" w:color="auto"/>
                <w:bottom w:val="none" w:sz="0" w:space="0" w:color="auto"/>
                <w:right w:val="none" w:sz="0" w:space="0" w:color="auto"/>
              </w:divBdr>
            </w:div>
            <w:div w:id="164321144">
              <w:marLeft w:val="0"/>
              <w:marRight w:val="0"/>
              <w:marTop w:val="0"/>
              <w:marBottom w:val="0"/>
              <w:divBdr>
                <w:top w:val="none" w:sz="0" w:space="0" w:color="auto"/>
                <w:left w:val="none" w:sz="0" w:space="0" w:color="auto"/>
                <w:bottom w:val="none" w:sz="0" w:space="0" w:color="auto"/>
                <w:right w:val="none" w:sz="0" w:space="0" w:color="auto"/>
              </w:divBdr>
            </w:div>
            <w:div w:id="195654236">
              <w:marLeft w:val="0"/>
              <w:marRight w:val="0"/>
              <w:marTop w:val="0"/>
              <w:marBottom w:val="0"/>
              <w:divBdr>
                <w:top w:val="none" w:sz="0" w:space="0" w:color="auto"/>
                <w:left w:val="none" w:sz="0" w:space="0" w:color="auto"/>
                <w:bottom w:val="none" w:sz="0" w:space="0" w:color="auto"/>
                <w:right w:val="none" w:sz="0" w:space="0" w:color="auto"/>
              </w:divBdr>
            </w:div>
            <w:div w:id="295064413">
              <w:marLeft w:val="0"/>
              <w:marRight w:val="0"/>
              <w:marTop w:val="0"/>
              <w:marBottom w:val="0"/>
              <w:divBdr>
                <w:top w:val="none" w:sz="0" w:space="0" w:color="auto"/>
                <w:left w:val="none" w:sz="0" w:space="0" w:color="auto"/>
                <w:bottom w:val="none" w:sz="0" w:space="0" w:color="auto"/>
                <w:right w:val="none" w:sz="0" w:space="0" w:color="auto"/>
              </w:divBdr>
            </w:div>
            <w:div w:id="352540571">
              <w:marLeft w:val="0"/>
              <w:marRight w:val="0"/>
              <w:marTop w:val="0"/>
              <w:marBottom w:val="0"/>
              <w:divBdr>
                <w:top w:val="none" w:sz="0" w:space="0" w:color="auto"/>
                <w:left w:val="none" w:sz="0" w:space="0" w:color="auto"/>
                <w:bottom w:val="none" w:sz="0" w:space="0" w:color="auto"/>
                <w:right w:val="none" w:sz="0" w:space="0" w:color="auto"/>
              </w:divBdr>
            </w:div>
            <w:div w:id="659966761">
              <w:marLeft w:val="0"/>
              <w:marRight w:val="0"/>
              <w:marTop w:val="0"/>
              <w:marBottom w:val="0"/>
              <w:divBdr>
                <w:top w:val="none" w:sz="0" w:space="0" w:color="auto"/>
                <w:left w:val="none" w:sz="0" w:space="0" w:color="auto"/>
                <w:bottom w:val="none" w:sz="0" w:space="0" w:color="auto"/>
                <w:right w:val="none" w:sz="0" w:space="0" w:color="auto"/>
              </w:divBdr>
            </w:div>
            <w:div w:id="694964790">
              <w:marLeft w:val="0"/>
              <w:marRight w:val="0"/>
              <w:marTop w:val="0"/>
              <w:marBottom w:val="0"/>
              <w:divBdr>
                <w:top w:val="none" w:sz="0" w:space="0" w:color="auto"/>
                <w:left w:val="none" w:sz="0" w:space="0" w:color="auto"/>
                <w:bottom w:val="none" w:sz="0" w:space="0" w:color="auto"/>
                <w:right w:val="none" w:sz="0" w:space="0" w:color="auto"/>
              </w:divBdr>
            </w:div>
            <w:div w:id="756825804">
              <w:marLeft w:val="0"/>
              <w:marRight w:val="0"/>
              <w:marTop w:val="0"/>
              <w:marBottom w:val="0"/>
              <w:divBdr>
                <w:top w:val="none" w:sz="0" w:space="0" w:color="auto"/>
                <w:left w:val="none" w:sz="0" w:space="0" w:color="auto"/>
                <w:bottom w:val="none" w:sz="0" w:space="0" w:color="auto"/>
                <w:right w:val="none" w:sz="0" w:space="0" w:color="auto"/>
              </w:divBdr>
            </w:div>
            <w:div w:id="797726498">
              <w:marLeft w:val="0"/>
              <w:marRight w:val="0"/>
              <w:marTop w:val="0"/>
              <w:marBottom w:val="0"/>
              <w:divBdr>
                <w:top w:val="none" w:sz="0" w:space="0" w:color="auto"/>
                <w:left w:val="none" w:sz="0" w:space="0" w:color="auto"/>
                <w:bottom w:val="none" w:sz="0" w:space="0" w:color="auto"/>
                <w:right w:val="none" w:sz="0" w:space="0" w:color="auto"/>
              </w:divBdr>
            </w:div>
            <w:div w:id="821040723">
              <w:marLeft w:val="0"/>
              <w:marRight w:val="0"/>
              <w:marTop w:val="0"/>
              <w:marBottom w:val="0"/>
              <w:divBdr>
                <w:top w:val="none" w:sz="0" w:space="0" w:color="auto"/>
                <w:left w:val="none" w:sz="0" w:space="0" w:color="auto"/>
                <w:bottom w:val="none" w:sz="0" w:space="0" w:color="auto"/>
                <w:right w:val="none" w:sz="0" w:space="0" w:color="auto"/>
              </w:divBdr>
            </w:div>
            <w:div w:id="833570439">
              <w:marLeft w:val="0"/>
              <w:marRight w:val="0"/>
              <w:marTop w:val="0"/>
              <w:marBottom w:val="0"/>
              <w:divBdr>
                <w:top w:val="none" w:sz="0" w:space="0" w:color="auto"/>
                <w:left w:val="none" w:sz="0" w:space="0" w:color="auto"/>
                <w:bottom w:val="none" w:sz="0" w:space="0" w:color="auto"/>
                <w:right w:val="none" w:sz="0" w:space="0" w:color="auto"/>
              </w:divBdr>
            </w:div>
            <w:div w:id="1123572017">
              <w:marLeft w:val="0"/>
              <w:marRight w:val="0"/>
              <w:marTop w:val="0"/>
              <w:marBottom w:val="0"/>
              <w:divBdr>
                <w:top w:val="none" w:sz="0" w:space="0" w:color="auto"/>
                <w:left w:val="none" w:sz="0" w:space="0" w:color="auto"/>
                <w:bottom w:val="none" w:sz="0" w:space="0" w:color="auto"/>
                <w:right w:val="none" w:sz="0" w:space="0" w:color="auto"/>
              </w:divBdr>
            </w:div>
            <w:div w:id="1132939982">
              <w:marLeft w:val="0"/>
              <w:marRight w:val="0"/>
              <w:marTop w:val="0"/>
              <w:marBottom w:val="0"/>
              <w:divBdr>
                <w:top w:val="none" w:sz="0" w:space="0" w:color="auto"/>
                <w:left w:val="none" w:sz="0" w:space="0" w:color="auto"/>
                <w:bottom w:val="none" w:sz="0" w:space="0" w:color="auto"/>
                <w:right w:val="none" w:sz="0" w:space="0" w:color="auto"/>
              </w:divBdr>
            </w:div>
            <w:div w:id="1427262264">
              <w:marLeft w:val="0"/>
              <w:marRight w:val="0"/>
              <w:marTop w:val="0"/>
              <w:marBottom w:val="0"/>
              <w:divBdr>
                <w:top w:val="none" w:sz="0" w:space="0" w:color="auto"/>
                <w:left w:val="none" w:sz="0" w:space="0" w:color="auto"/>
                <w:bottom w:val="none" w:sz="0" w:space="0" w:color="auto"/>
                <w:right w:val="none" w:sz="0" w:space="0" w:color="auto"/>
              </w:divBdr>
            </w:div>
            <w:div w:id="1430346853">
              <w:marLeft w:val="0"/>
              <w:marRight w:val="0"/>
              <w:marTop w:val="0"/>
              <w:marBottom w:val="0"/>
              <w:divBdr>
                <w:top w:val="none" w:sz="0" w:space="0" w:color="auto"/>
                <w:left w:val="none" w:sz="0" w:space="0" w:color="auto"/>
                <w:bottom w:val="none" w:sz="0" w:space="0" w:color="auto"/>
                <w:right w:val="none" w:sz="0" w:space="0" w:color="auto"/>
              </w:divBdr>
            </w:div>
            <w:div w:id="1507550329">
              <w:marLeft w:val="0"/>
              <w:marRight w:val="0"/>
              <w:marTop w:val="0"/>
              <w:marBottom w:val="0"/>
              <w:divBdr>
                <w:top w:val="none" w:sz="0" w:space="0" w:color="auto"/>
                <w:left w:val="none" w:sz="0" w:space="0" w:color="auto"/>
                <w:bottom w:val="none" w:sz="0" w:space="0" w:color="auto"/>
                <w:right w:val="none" w:sz="0" w:space="0" w:color="auto"/>
              </w:divBdr>
            </w:div>
            <w:div w:id="1611038474">
              <w:marLeft w:val="0"/>
              <w:marRight w:val="0"/>
              <w:marTop w:val="0"/>
              <w:marBottom w:val="0"/>
              <w:divBdr>
                <w:top w:val="none" w:sz="0" w:space="0" w:color="auto"/>
                <w:left w:val="none" w:sz="0" w:space="0" w:color="auto"/>
                <w:bottom w:val="none" w:sz="0" w:space="0" w:color="auto"/>
                <w:right w:val="none" w:sz="0" w:space="0" w:color="auto"/>
              </w:divBdr>
            </w:div>
            <w:div w:id="1897740643">
              <w:marLeft w:val="0"/>
              <w:marRight w:val="0"/>
              <w:marTop w:val="0"/>
              <w:marBottom w:val="0"/>
              <w:divBdr>
                <w:top w:val="none" w:sz="0" w:space="0" w:color="auto"/>
                <w:left w:val="none" w:sz="0" w:space="0" w:color="auto"/>
                <w:bottom w:val="none" w:sz="0" w:space="0" w:color="auto"/>
                <w:right w:val="none" w:sz="0" w:space="0" w:color="auto"/>
              </w:divBdr>
            </w:div>
            <w:div w:id="2075739559">
              <w:marLeft w:val="0"/>
              <w:marRight w:val="0"/>
              <w:marTop w:val="0"/>
              <w:marBottom w:val="0"/>
              <w:divBdr>
                <w:top w:val="none" w:sz="0" w:space="0" w:color="auto"/>
                <w:left w:val="none" w:sz="0" w:space="0" w:color="auto"/>
                <w:bottom w:val="none" w:sz="0" w:space="0" w:color="auto"/>
                <w:right w:val="none" w:sz="0" w:space="0" w:color="auto"/>
              </w:divBdr>
            </w:div>
          </w:divsChild>
        </w:div>
        <w:div w:id="1090541526">
          <w:marLeft w:val="0"/>
          <w:marRight w:val="0"/>
          <w:marTop w:val="0"/>
          <w:marBottom w:val="0"/>
          <w:divBdr>
            <w:top w:val="none" w:sz="0" w:space="0" w:color="auto"/>
            <w:left w:val="none" w:sz="0" w:space="0" w:color="auto"/>
            <w:bottom w:val="none" w:sz="0" w:space="0" w:color="auto"/>
            <w:right w:val="none" w:sz="0" w:space="0" w:color="auto"/>
          </w:divBdr>
        </w:div>
        <w:div w:id="1092777449">
          <w:marLeft w:val="0"/>
          <w:marRight w:val="0"/>
          <w:marTop w:val="0"/>
          <w:marBottom w:val="0"/>
          <w:divBdr>
            <w:top w:val="none" w:sz="0" w:space="0" w:color="auto"/>
            <w:left w:val="none" w:sz="0" w:space="0" w:color="auto"/>
            <w:bottom w:val="none" w:sz="0" w:space="0" w:color="auto"/>
            <w:right w:val="none" w:sz="0" w:space="0" w:color="auto"/>
          </w:divBdr>
        </w:div>
        <w:div w:id="1094058074">
          <w:marLeft w:val="0"/>
          <w:marRight w:val="0"/>
          <w:marTop w:val="0"/>
          <w:marBottom w:val="0"/>
          <w:divBdr>
            <w:top w:val="none" w:sz="0" w:space="0" w:color="auto"/>
            <w:left w:val="none" w:sz="0" w:space="0" w:color="auto"/>
            <w:bottom w:val="none" w:sz="0" w:space="0" w:color="auto"/>
            <w:right w:val="none" w:sz="0" w:space="0" w:color="auto"/>
          </w:divBdr>
        </w:div>
        <w:div w:id="1095176596">
          <w:marLeft w:val="0"/>
          <w:marRight w:val="0"/>
          <w:marTop w:val="0"/>
          <w:marBottom w:val="0"/>
          <w:divBdr>
            <w:top w:val="none" w:sz="0" w:space="0" w:color="auto"/>
            <w:left w:val="none" w:sz="0" w:space="0" w:color="auto"/>
            <w:bottom w:val="none" w:sz="0" w:space="0" w:color="auto"/>
            <w:right w:val="none" w:sz="0" w:space="0" w:color="auto"/>
          </w:divBdr>
        </w:div>
        <w:div w:id="1096748596">
          <w:marLeft w:val="0"/>
          <w:marRight w:val="0"/>
          <w:marTop w:val="0"/>
          <w:marBottom w:val="0"/>
          <w:divBdr>
            <w:top w:val="none" w:sz="0" w:space="0" w:color="auto"/>
            <w:left w:val="none" w:sz="0" w:space="0" w:color="auto"/>
            <w:bottom w:val="none" w:sz="0" w:space="0" w:color="auto"/>
            <w:right w:val="none" w:sz="0" w:space="0" w:color="auto"/>
          </w:divBdr>
        </w:div>
        <w:div w:id="1096903890">
          <w:marLeft w:val="0"/>
          <w:marRight w:val="0"/>
          <w:marTop w:val="0"/>
          <w:marBottom w:val="0"/>
          <w:divBdr>
            <w:top w:val="none" w:sz="0" w:space="0" w:color="auto"/>
            <w:left w:val="none" w:sz="0" w:space="0" w:color="auto"/>
            <w:bottom w:val="none" w:sz="0" w:space="0" w:color="auto"/>
            <w:right w:val="none" w:sz="0" w:space="0" w:color="auto"/>
          </w:divBdr>
        </w:div>
        <w:div w:id="1097941541">
          <w:marLeft w:val="0"/>
          <w:marRight w:val="0"/>
          <w:marTop w:val="0"/>
          <w:marBottom w:val="0"/>
          <w:divBdr>
            <w:top w:val="none" w:sz="0" w:space="0" w:color="auto"/>
            <w:left w:val="none" w:sz="0" w:space="0" w:color="auto"/>
            <w:bottom w:val="none" w:sz="0" w:space="0" w:color="auto"/>
            <w:right w:val="none" w:sz="0" w:space="0" w:color="auto"/>
          </w:divBdr>
        </w:div>
        <w:div w:id="1098019430">
          <w:marLeft w:val="0"/>
          <w:marRight w:val="0"/>
          <w:marTop w:val="0"/>
          <w:marBottom w:val="0"/>
          <w:divBdr>
            <w:top w:val="none" w:sz="0" w:space="0" w:color="auto"/>
            <w:left w:val="none" w:sz="0" w:space="0" w:color="auto"/>
            <w:bottom w:val="none" w:sz="0" w:space="0" w:color="auto"/>
            <w:right w:val="none" w:sz="0" w:space="0" w:color="auto"/>
          </w:divBdr>
        </w:div>
        <w:div w:id="1098134929">
          <w:marLeft w:val="0"/>
          <w:marRight w:val="0"/>
          <w:marTop w:val="0"/>
          <w:marBottom w:val="0"/>
          <w:divBdr>
            <w:top w:val="none" w:sz="0" w:space="0" w:color="auto"/>
            <w:left w:val="none" w:sz="0" w:space="0" w:color="auto"/>
            <w:bottom w:val="none" w:sz="0" w:space="0" w:color="auto"/>
            <w:right w:val="none" w:sz="0" w:space="0" w:color="auto"/>
          </w:divBdr>
        </w:div>
        <w:div w:id="1099060915">
          <w:marLeft w:val="0"/>
          <w:marRight w:val="0"/>
          <w:marTop w:val="0"/>
          <w:marBottom w:val="0"/>
          <w:divBdr>
            <w:top w:val="none" w:sz="0" w:space="0" w:color="auto"/>
            <w:left w:val="none" w:sz="0" w:space="0" w:color="auto"/>
            <w:bottom w:val="none" w:sz="0" w:space="0" w:color="auto"/>
            <w:right w:val="none" w:sz="0" w:space="0" w:color="auto"/>
          </w:divBdr>
        </w:div>
        <w:div w:id="1100222345">
          <w:marLeft w:val="0"/>
          <w:marRight w:val="0"/>
          <w:marTop w:val="0"/>
          <w:marBottom w:val="0"/>
          <w:divBdr>
            <w:top w:val="none" w:sz="0" w:space="0" w:color="auto"/>
            <w:left w:val="none" w:sz="0" w:space="0" w:color="auto"/>
            <w:bottom w:val="none" w:sz="0" w:space="0" w:color="auto"/>
            <w:right w:val="none" w:sz="0" w:space="0" w:color="auto"/>
          </w:divBdr>
        </w:div>
        <w:div w:id="1100298732">
          <w:marLeft w:val="0"/>
          <w:marRight w:val="0"/>
          <w:marTop w:val="0"/>
          <w:marBottom w:val="0"/>
          <w:divBdr>
            <w:top w:val="none" w:sz="0" w:space="0" w:color="auto"/>
            <w:left w:val="none" w:sz="0" w:space="0" w:color="auto"/>
            <w:bottom w:val="none" w:sz="0" w:space="0" w:color="auto"/>
            <w:right w:val="none" w:sz="0" w:space="0" w:color="auto"/>
          </w:divBdr>
        </w:div>
        <w:div w:id="1100447663">
          <w:marLeft w:val="0"/>
          <w:marRight w:val="0"/>
          <w:marTop w:val="0"/>
          <w:marBottom w:val="0"/>
          <w:divBdr>
            <w:top w:val="none" w:sz="0" w:space="0" w:color="auto"/>
            <w:left w:val="none" w:sz="0" w:space="0" w:color="auto"/>
            <w:bottom w:val="none" w:sz="0" w:space="0" w:color="auto"/>
            <w:right w:val="none" w:sz="0" w:space="0" w:color="auto"/>
          </w:divBdr>
        </w:div>
        <w:div w:id="1100562471">
          <w:marLeft w:val="0"/>
          <w:marRight w:val="0"/>
          <w:marTop w:val="0"/>
          <w:marBottom w:val="0"/>
          <w:divBdr>
            <w:top w:val="none" w:sz="0" w:space="0" w:color="auto"/>
            <w:left w:val="none" w:sz="0" w:space="0" w:color="auto"/>
            <w:bottom w:val="none" w:sz="0" w:space="0" w:color="auto"/>
            <w:right w:val="none" w:sz="0" w:space="0" w:color="auto"/>
          </w:divBdr>
        </w:div>
        <w:div w:id="1101030317">
          <w:marLeft w:val="0"/>
          <w:marRight w:val="0"/>
          <w:marTop w:val="0"/>
          <w:marBottom w:val="0"/>
          <w:divBdr>
            <w:top w:val="none" w:sz="0" w:space="0" w:color="auto"/>
            <w:left w:val="none" w:sz="0" w:space="0" w:color="auto"/>
            <w:bottom w:val="none" w:sz="0" w:space="0" w:color="auto"/>
            <w:right w:val="none" w:sz="0" w:space="0" w:color="auto"/>
          </w:divBdr>
        </w:div>
        <w:div w:id="1102990099">
          <w:marLeft w:val="0"/>
          <w:marRight w:val="0"/>
          <w:marTop w:val="0"/>
          <w:marBottom w:val="0"/>
          <w:divBdr>
            <w:top w:val="none" w:sz="0" w:space="0" w:color="auto"/>
            <w:left w:val="none" w:sz="0" w:space="0" w:color="auto"/>
            <w:bottom w:val="none" w:sz="0" w:space="0" w:color="auto"/>
            <w:right w:val="none" w:sz="0" w:space="0" w:color="auto"/>
          </w:divBdr>
        </w:div>
        <w:div w:id="1103265426">
          <w:marLeft w:val="0"/>
          <w:marRight w:val="0"/>
          <w:marTop w:val="0"/>
          <w:marBottom w:val="0"/>
          <w:divBdr>
            <w:top w:val="none" w:sz="0" w:space="0" w:color="auto"/>
            <w:left w:val="none" w:sz="0" w:space="0" w:color="auto"/>
            <w:bottom w:val="none" w:sz="0" w:space="0" w:color="auto"/>
            <w:right w:val="none" w:sz="0" w:space="0" w:color="auto"/>
          </w:divBdr>
        </w:div>
        <w:div w:id="1103846121">
          <w:marLeft w:val="0"/>
          <w:marRight w:val="0"/>
          <w:marTop w:val="0"/>
          <w:marBottom w:val="0"/>
          <w:divBdr>
            <w:top w:val="none" w:sz="0" w:space="0" w:color="auto"/>
            <w:left w:val="none" w:sz="0" w:space="0" w:color="auto"/>
            <w:bottom w:val="none" w:sz="0" w:space="0" w:color="auto"/>
            <w:right w:val="none" w:sz="0" w:space="0" w:color="auto"/>
          </w:divBdr>
        </w:div>
        <w:div w:id="1104306244">
          <w:marLeft w:val="0"/>
          <w:marRight w:val="0"/>
          <w:marTop w:val="0"/>
          <w:marBottom w:val="0"/>
          <w:divBdr>
            <w:top w:val="none" w:sz="0" w:space="0" w:color="auto"/>
            <w:left w:val="none" w:sz="0" w:space="0" w:color="auto"/>
            <w:bottom w:val="none" w:sz="0" w:space="0" w:color="auto"/>
            <w:right w:val="none" w:sz="0" w:space="0" w:color="auto"/>
          </w:divBdr>
        </w:div>
        <w:div w:id="1104883032">
          <w:marLeft w:val="0"/>
          <w:marRight w:val="0"/>
          <w:marTop w:val="0"/>
          <w:marBottom w:val="0"/>
          <w:divBdr>
            <w:top w:val="none" w:sz="0" w:space="0" w:color="auto"/>
            <w:left w:val="none" w:sz="0" w:space="0" w:color="auto"/>
            <w:bottom w:val="none" w:sz="0" w:space="0" w:color="auto"/>
            <w:right w:val="none" w:sz="0" w:space="0" w:color="auto"/>
          </w:divBdr>
        </w:div>
        <w:div w:id="1105731069">
          <w:marLeft w:val="0"/>
          <w:marRight w:val="0"/>
          <w:marTop w:val="0"/>
          <w:marBottom w:val="0"/>
          <w:divBdr>
            <w:top w:val="none" w:sz="0" w:space="0" w:color="auto"/>
            <w:left w:val="none" w:sz="0" w:space="0" w:color="auto"/>
            <w:bottom w:val="none" w:sz="0" w:space="0" w:color="auto"/>
            <w:right w:val="none" w:sz="0" w:space="0" w:color="auto"/>
          </w:divBdr>
        </w:div>
        <w:div w:id="1106734834">
          <w:marLeft w:val="0"/>
          <w:marRight w:val="0"/>
          <w:marTop w:val="0"/>
          <w:marBottom w:val="0"/>
          <w:divBdr>
            <w:top w:val="none" w:sz="0" w:space="0" w:color="auto"/>
            <w:left w:val="none" w:sz="0" w:space="0" w:color="auto"/>
            <w:bottom w:val="none" w:sz="0" w:space="0" w:color="auto"/>
            <w:right w:val="none" w:sz="0" w:space="0" w:color="auto"/>
          </w:divBdr>
        </w:div>
        <w:div w:id="1109349060">
          <w:marLeft w:val="0"/>
          <w:marRight w:val="0"/>
          <w:marTop w:val="0"/>
          <w:marBottom w:val="0"/>
          <w:divBdr>
            <w:top w:val="none" w:sz="0" w:space="0" w:color="auto"/>
            <w:left w:val="none" w:sz="0" w:space="0" w:color="auto"/>
            <w:bottom w:val="none" w:sz="0" w:space="0" w:color="auto"/>
            <w:right w:val="none" w:sz="0" w:space="0" w:color="auto"/>
          </w:divBdr>
        </w:div>
        <w:div w:id="1109469822">
          <w:marLeft w:val="0"/>
          <w:marRight w:val="0"/>
          <w:marTop w:val="0"/>
          <w:marBottom w:val="0"/>
          <w:divBdr>
            <w:top w:val="none" w:sz="0" w:space="0" w:color="auto"/>
            <w:left w:val="none" w:sz="0" w:space="0" w:color="auto"/>
            <w:bottom w:val="none" w:sz="0" w:space="0" w:color="auto"/>
            <w:right w:val="none" w:sz="0" w:space="0" w:color="auto"/>
          </w:divBdr>
        </w:div>
        <w:div w:id="1110589699">
          <w:marLeft w:val="0"/>
          <w:marRight w:val="0"/>
          <w:marTop w:val="0"/>
          <w:marBottom w:val="0"/>
          <w:divBdr>
            <w:top w:val="none" w:sz="0" w:space="0" w:color="auto"/>
            <w:left w:val="none" w:sz="0" w:space="0" w:color="auto"/>
            <w:bottom w:val="none" w:sz="0" w:space="0" w:color="auto"/>
            <w:right w:val="none" w:sz="0" w:space="0" w:color="auto"/>
          </w:divBdr>
        </w:div>
        <w:div w:id="1110930915">
          <w:marLeft w:val="0"/>
          <w:marRight w:val="0"/>
          <w:marTop w:val="0"/>
          <w:marBottom w:val="0"/>
          <w:divBdr>
            <w:top w:val="none" w:sz="0" w:space="0" w:color="auto"/>
            <w:left w:val="none" w:sz="0" w:space="0" w:color="auto"/>
            <w:bottom w:val="none" w:sz="0" w:space="0" w:color="auto"/>
            <w:right w:val="none" w:sz="0" w:space="0" w:color="auto"/>
          </w:divBdr>
        </w:div>
        <w:div w:id="1111557628">
          <w:marLeft w:val="0"/>
          <w:marRight w:val="0"/>
          <w:marTop w:val="0"/>
          <w:marBottom w:val="0"/>
          <w:divBdr>
            <w:top w:val="none" w:sz="0" w:space="0" w:color="auto"/>
            <w:left w:val="none" w:sz="0" w:space="0" w:color="auto"/>
            <w:bottom w:val="none" w:sz="0" w:space="0" w:color="auto"/>
            <w:right w:val="none" w:sz="0" w:space="0" w:color="auto"/>
          </w:divBdr>
        </w:div>
        <w:div w:id="1112093487">
          <w:marLeft w:val="0"/>
          <w:marRight w:val="0"/>
          <w:marTop w:val="0"/>
          <w:marBottom w:val="0"/>
          <w:divBdr>
            <w:top w:val="none" w:sz="0" w:space="0" w:color="auto"/>
            <w:left w:val="none" w:sz="0" w:space="0" w:color="auto"/>
            <w:bottom w:val="none" w:sz="0" w:space="0" w:color="auto"/>
            <w:right w:val="none" w:sz="0" w:space="0" w:color="auto"/>
          </w:divBdr>
        </w:div>
        <w:div w:id="1112940094">
          <w:marLeft w:val="0"/>
          <w:marRight w:val="0"/>
          <w:marTop w:val="0"/>
          <w:marBottom w:val="0"/>
          <w:divBdr>
            <w:top w:val="none" w:sz="0" w:space="0" w:color="auto"/>
            <w:left w:val="none" w:sz="0" w:space="0" w:color="auto"/>
            <w:bottom w:val="none" w:sz="0" w:space="0" w:color="auto"/>
            <w:right w:val="none" w:sz="0" w:space="0" w:color="auto"/>
          </w:divBdr>
        </w:div>
        <w:div w:id="1113327874">
          <w:marLeft w:val="0"/>
          <w:marRight w:val="0"/>
          <w:marTop w:val="0"/>
          <w:marBottom w:val="0"/>
          <w:divBdr>
            <w:top w:val="none" w:sz="0" w:space="0" w:color="auto"/>
            <w:left w:val="none" w:sz="0" w:space="0" w:color="auto"/>
            <w:bottom w:val="none" w:sz="0" w:space="0" w:color="auto"/>
            <w:right w:val="none" w:sz="0" w:space="0" w:color="auto"/>
          </w:divBdr>
        </w:div>
        <w:div w:id="1115175626">
          <w:marLeft w:val="0"/>
          <w:marRight w:val="0"/>
          <w:marTop w:val="0"/>
          <w:marBottom w:val="0"/>
          <w:divBdr>
            <w:top w:val="none" w:sz="0" w:space="0" w:color="auto"/>
            <w:left w:val="none" w:sz="0" w:space="0" w:color="auto"/>
            <w:bottom w:val="none" w:sz="0" w:space="0" w:color="auto"/>
            <w:right w:val="none" w:sz="0" w:space="0" w:color="auto"/>
          </w:divBdr>
        </w:div>
        <w:div w:id="1116366170">
          <w:marLeft w:val="0"/>
          <w:marRight w:val="0"/>
          <w:marTop w:val="0"/>
          <w:marBottom w:val="0"/>
          <w:divBdr>
            <w:top w:val="none" w:sz="0" w:space="0" w:color="auto"/>
            <w:left w:val="none" w:sz="0" w:space="0" w:color="auto"/>
            <w:bottom w:val="none" w:sz="0" w:space="0" w:color="auto"/>
            <w:right w:val="none" w:sz="0" w:space="0" w:color="auto"/>
          </w:divBdr>
        </w:div>
        <w:div w:id="1117289922">
          <w:marLeft w:val="0"/>
          <w:marRight w:val="0"/>
          <w:marTop w:val="0"/>
          <w:marBottom w:val="0"/>
          <w:divBdr>
            <w:top w:val="none" w:sz="0" w:space="0" w:color="auto"/>
            <w:left w:val="none" w:sz="0" w:space="0" w:color="auto"/>
            <w:bottom w:val="none" w:sz="0" w:space="0" w:color="auto"/>
            <w:right w:val="none" w:sz="0" w:space="0" w:color="auto"/>
          </w:divBdr>
        </w:div>
        <w:div w:id="1117329615">
          <w:marLeft w:val="0"/>
          <w:marRight w:val="0"/>
          <w:marTop w:val="0"/>
          <w:marBottom w:val="0"/>
          <w:divBdr>
            <w:top w:val="none" w:sz="0" w:space="0" w:color="auto"/>
            <w:left w:val="none" w:sz="0" w:space="0" w:color="auto"/>
            <w:bottom w:val="none" w:sz="0" w:space="0" w:color="auto"/>
            <w:right w:val="none" w:sz="0" w:space="0" w:color="auto"/>
          </w:divBdr>
        </w:div>
        <w:div w:id="1117749100">
          <w:marLeft w:val="0"/>
          <w:marRight w:val="0"/>
          <w:marTop w:val="0"/>
          <w:marBottom w:val="0"/>
          <w:divBdr>
            <w:top w:val="none" w:sz="0" w:space="0" w:color="auto"/>
            <w:left w:val="none" w:sz="0" w:space="0" w:color="auto"/>
            <w:bottom w:val="none" w:sz="0" w:space="0" w:color="auto"/>
            <w:right w:val="none" w:sz="0" w:space="0" w:color="auto"/>
          </w:divBdr>
        </w:div>
        <w:div w:id="1118568468">
          <w:marLeft w:val="0"/>
          <w:marRight w:val="0"/>
          <w:marTop w:val="0"/>
          <w:marBottom w:val="0"/>
          <w:divBdr>
            <w:top w:val="none" w:sz="0" w:space="0" w:color="auto"/>
            <w:left w:val="none" w:sz="0" w:space="0" w:color="auto"/>
            <w:bottom w:val="none" w:sz="0" w:space="0" w:color="auto"/>
            <w:right w:val="none" w:sz="0" w:space="0" w:color="auto"/>
          </w:divBdr>
        </w:div>
        <w:div w:id="1120412884">
          <w:marLeft w:val="0"/>
          <w:marRight w:val="0"/>
          <w:marTop w:val="0"/>
          <w:marBottom w:val="0"/>
          <w:divBdr>
            <w:top w:val="none" w:sz="0" w:space="0" w:color="auto"/>
            <w:left w:val="none" w:sz="0" w:space="0" w:color="auto"/>
            <w:bottom w:val="none" w:sz="0" w:space="0" w:color="auto"/>
            <w:right w:val="none" w:sz="0" w:space="0" w:color="auto"/>
          </w:divBdr>
        </w:div>
        <w:div w:id="1120687710">
          <w:marLeft w:val="0"/>
          <w:marRight w:val="0"/>
          <w:marTop w:val="0"/>
          <w:marBottom w:val="0"/>
          <w:divBdr>
            <w:top w:val="none" w:sz="0" w:space="0" w:color="auto"/>
            <w:left w:val="none" w:sz="0" w:space="0" w:color="auto"/>
            <w:bottom w:val="none" w:sz="0" w:space="0" w:color="auto"/>
            <w:right w:val="none" w:sz="0" w:space="0" w:color="auto"/>
          </w:divBdr>
        </w:div>
        <w:div w:id="1121262050">
          <w:marLeft w:val="0"/>
          <w:marRight w:val="0"/>
          <w:marTop w:val="0"/>
          <w:marBottom w:val="0"/>
          <w:divBdr>
            <w:top w:val="none" w:sz="0" w:space="0" w:color="auto"/>
            <w:left w:val="none" w:sz="0" w:space="0" w:color="auto"/>
            <w:bottom w:val="none" w:sz="0" w:space="0" w:color="auto"/>
            <w:right w:val="none" w:sz="0" w:space="0" w:color="auto"/>
          </w:divBdr>
        </w:div>
        <w:div w:id="1121536920">
          <w:marLeft w:val="0"/>
          <w:marRight w:val="0"/>
          <w:marTop w:val="0"/>
          <w:marBottom w:val="0"/>
          <w:divBdr>
            <w:top w:val="none" w:sz="0" w:space="0" w:color="auto"/>
            <w:left w:val="none" w:sz="0" w:space="0" w:color="auto"/>
            <w:bottom w:val="none" w:sz="0" w:space="0" w:color="auto"/>
            <w:right w:val="none" w:sz="0" w:space="0" w:color="auto"/>
          </w:divBdr>
        </w:div>
        <w:div w:id="1121918642">
          <w:marLeft w:val="0"/>
          <w:marRight w:val="0"/>
          <w:marTop w:val="0"/>
          <w:marBottom w:val="0"/>
          <w:divBdr>
            <w:top w:val="none" w:sz="0" w:space="0" w:color="auto"/>
            <w:left w:val="none" w:sz="0" w:space="0" w:color="auto"/>
            <w:bottom w:val="none" w:sz="0" w:space="0" w:color="auto"/>
            <w:right w:val="none" w:sz="0" w:space="0" w:color="auto"/>
          </w:divBdr>
        </w:div>
        <w:div w:id="1122723504">
          <w:marLeft w:val="0"/>
          <w:marRight w:val="0"/>
          <w:marTop w:val="0"/>
          <w:marBottom w:val="0"/>
          <w:divBdr>
            <w:top w:val="none" w:sz="0" w:space="0" w:color="auto"/>
            <w:left w:val="none" w:sz="0" w:space="0" w:color="auto"/>
            <w:bottom w:val="none" w:sz="0" w:space="0" w:color="auto"/>
            <w:right w:val="none" w:sz="0" w:space="0" w:color="auto"/>
          </w:divBdr>
        </w:div>
        <w:div w:id="1123380749">
          <w:marLeft w:val="0"/>
          <w:marRight w:val="0"/>
          <w:marTop w:val="0"/>
          <w:marBottom w:val="0"/>
          <w:divBdr>
            <w:top w:val="none" w:sz="0" w:space="0" w:color="auto"/>
            <w:left w:val="none" w:sz="0" w:space="0" w:color="auto"/>
            <w:bottom w:val="none" w:sz="0" w:space="0" w:color="auto"/>
            <w:right w:val="none" w:sz="0" w:space="0" w:color="auto"/>
          </w:divBdr>
        </w:div>
        <w:div w:id="1124084262">
          <w:marLeft w:val="0"/>
          <w:marRight w:val="0"/>
          <w:marTop w:val="0"/>
          <w:marBottom w:val="0"/>
          <w:divBdr>
            <w:top w:val="none" w:sz="0" w:space="0" w:color="auto"/>
            <w:left w:val="none" w:sz="0" w:space="0" w:color="auto"/>
            <w:bottom w:val="none" w:sz="0" w:space="0" w:color="auto"/>
            <w:right w:val="none" w:sz="0" w:space="0" w:color="auto"/>
          </w:divBdr>
          <w:divsChild>
            <w:div w:id="55279198">
              <w:marLeft w:val="0"/>
              <w:marRight w:val="0"/>
              <w:marTop w:val="0"/>
              <w:marBottom w:val="0"/>
              <w:divBdr>
                <w:top w:val="none" w:sz="0" w:space="0" w:color="auto"/>
                <w:left w:val="none" w:sz="0" w:space="0" w:color="auto"/>
                <w:bottom w:val="none" w:sz="0" w:space="0" w:color="auto"/>
                <w:right w:val="none" w:sz="0" w:space="0" w:color="auto"/>
              </w:divBdr>
            </w:div>
            <w:div w:id="340857436">
              <w:marLeft w:val="0"/>
              <w:marRight w:val="0"/>
              <w:marTop w:val="0"/>
              <w:marBottom w:val="0"/>
              <w:divBdr>
                <w:top w:val="none" w:sz="0" w:space="0" w:color="auto"/>
                <w:left w:val="none" w:sz="0" w:space="0" w:color="auto"/>
                <w:bottom w:val="none" w:sz="0" w:space="0" w:color="auto"/>
                <w:right w:val="none" w:sz="0" w:space="0" w:color="auto"/>
              </w:divBdr>
            </w:div>
            <w:div w:id="518005243">
              <w:marLeft w:val="0"/>
              <w:marRight w:val="0"/>
              <w:marTop w:val="0"/>
              <w:marBottom w:val="0"/>
              <w:divBdr>
                <w:top w:val="none" w:sz="0" w:space="0" w:color="auto"/>
                <w:left w:val="none" w:sz="0" w:space="0" w:color="auto"/>
                <w:bottom w:val="none" w:sz="0" w:space="0" w:color="auto"/>
                <w:right w:val="none" w:sz="0" w:space="0" w:color="auto"/>
              </w:divBdr>
            </w:div>
            <w:div w:id="672270116">
              <w:marLeft w:val="0"/>
              <w:marRight w:val="0"/>
              <w:marTop w:val="0"/>
              <w:marBottom w:val="0"/>
              <w:divBdr>
                <w:top w:val="none" w:sz="0" w:space="0" w:color="auto"/>
                <w:left w:val="none" w:sz="0" w:space="0" w:color="auto"/>
                <w:bottom w:val="none" w:sz="0" w:space="0" w:color="auto"/>
                <w:right w:val="none" w:sz="0" w:space="0" w:color="auto"/>
              </w:divBdr>
            </w:div>
            <w:div w:id="785852207">
              <w:marLeft w:val="0"/>
              <w:marRight w:val="0"/>
              <w:marTop w:val="0"/>
              <w:marBottom w:val="0"/>
              <w:divBdr>
                <w:top w:val="none" w:sz="0" w:space="0" w:color="auto"/>
                <w:left w:val="none" w:sz="0" w:space="0" w:color="auto"/>
                <w:bottom w:val="none" w:sz="0" w:space="0" w:color="auto"/>
                <w:right w:val="none" w:sz="0" w:space="0" w:color="auto"/>
              </w:divBdr>
            </w:div>
            <w:div w:id="804198393">
              <w:marLeft w:val="0"/>
              <w:marRight w:val="0"/>
              <w:marTop w:val="0"/>
              <w:marBottom w:val="0"/>
              <w:divBdr>
                <w:top w:val="none" w:sz="0" w:space="0" w:color="auto"/>
                <w:left w:val="none" w:sz="0" w:space="0" w:color="auto"/>
                <w:bottom w:val="none" w:sz="0" w:space="0" w:color="auto"/>
                <w:right w:val="none" w:sz="0" w:space="0" w:color="auto"/>
              </w:divBdr>
            </w:div>
            <w:div w:id="1060639615">
              <w:marLeft w:val="0"/>
              <w:marRight w:val="0"/>
              <w:marTop w:val="0"/>
              <w:marBottom w:val="0"/>
              <w:divBdr>
                <w:top w:val="none" w:sz="0" w:space="0" w:color="auto"/>
                <w:left w:val="none" w:sz="0" w:space="0" w:color="auto"/>
                <w:bottom w:val="none" w:sz="0" w:space="0" w:color="auto"/>
                <w:right w:val="none" w:sz="0" w:space="0" w:color="auto"/>
              </w:divBdr>
            </w:div>
            <w:div w:id="1067924049">
              <w:marLeft w:val="0"/>
              <w:marRight w:val="0"/>
              <w:marTop w:val="0"/>
              <w:marBottom w:val="0"/>
              <w:divBdr>
                <w:top w:val="none" w:sz="0" w:space="0" w:color="auto"/>
                <w:left w:val="none" w:sz="0" w:space="0" w:color="auto"/>
                <w:bottom w:val="none" w:sz="0" w:space="0" w:color="auto"/>
                <w:right w:val="none" w:sz="0" w:space="0" w:color="auto"/>
              </w:divBdr>
            </w:div>
            <w:div w:id="1161460388">
              <w:marLeft w:val="0"/>
              <w:marRight w:val="0"/>
              <w:marTop w:val="0"/>
              <w:marBottom w:val="0"/>
              <w:divBdr>
                <w:top w:val="none" w:sz="0" w:space="0" w:color="auto"/>
                <w:left w:val="none" w:sz="0" w:space="0" w:color="auto"/>
                <w:bottom w:val="none" w:sz="0" w:space="0" w:color="auto"/>
                <w:right w:val="none" w:sz="0" w:space="0" w:color="auto"/>
              </w:divBdr>
            </w:div>
            <w:div w:id="1243569869">
              <w:marLeft w:val="0"/>
              <w:marRight w:val="0"/>
              <w:marTop w:val="0"/>
              <w:marBottom w:val="0"/>
              <w:divBdr>
                <w:top w:val="none" w:sz="0" w:space="0" w:color="auto"/>
                <w:left w:val="none" w:sz="0" w:space="0" w:color="auto"/>
                <w:bottom w:val="none" w:sz="0" w:space="0" w:color="auto"/>
                <w:right w:val="none" w:sz="0" w:space="0" w:color="auto"/>
              </w:divBdr>
            </w:div>
            <w:div w:id="1532303781">
              <w:marLeft w:val="0"/>
              <w:marRight w:val="0"/>
              <w:marTop w:val="0"/>
              <w:marBottom w:val="0"/>
              <w:divBdr>
                <w:top w:val="none" w:sz="0" w:space="0" w:color="auto"/>
                <w:left w:val="none" w:sz="0" w:space="0" w:color="auto"/>
                <w:bottom w:val="none" w:sz="0" w:space="0" w:color="auto"/>
                <w:right w:val="none" w:sz="0" w:space="0" w:color="auto"/>
              </w:divBdr>
            </w:div>
            <w:div w:id="1640527635">
              <w:marLeft w:val="0"/>
              <w:marRight w:val="0"/>
              <w:marTop w:val="0"/>
              <w:marBottom w:val="0"/>
              <w:divBdr>
                <w:top w:val="none" w:sz="0" w:space="0" w:color="auto"/>
                <w:left w:val="none" w:sz="0" w:space="0" w:color="auto"/>
                <w:bottom w:val="none" w:sz="0" w:space="0" w:color="auto"/>
                <w:right w:val="none" w:sz="0" w:space="0" w:color="auto"/>
              </w:divBdr>
            </w:div>
            <w:div w:id="1711494928">
              <w:marLeft w:val="0"/>
              <w:marRight w:val="0"/>
              <w:marTop w:val="0"/>
              <w:marBottom w:val="0"/>
              <w:divBdr>
                <w:top w:val="none" w:sz="0" w:space="0" w:color="auto"/>
                <w:left w:val="none" w:sz="0" w:space="0" w:color="auto"/>
                <w:bottom w:val="none" w:sz="0" w:space="0" w:color="auto"/>
                <w:right w:val="none" w:sz="0" w:space="0" w:color="auto"/>
              </w:divBdr>
            </w:div>
            <w:div w:id="1751661184">
              <w:marLeft w:val="0"/>
              <w:marRight w:val="0"/>
              <w:marTop w:val="0"/>
              <w:marBottom w:val="0"/>
              <w:divBdr>
                <w:top w:val="none" w:sz="0" w:space="0" w:color="auto"/>
                <w:left w:val="none" w:sz="0" w:space="0" w:color="auto"/>
                <w:bottom w:val="none" w:sz="0" w:space="0" w:color="auto"/>
                <w:right w:val="none" w:sz="0" w:space="0" w:color="auto"/>
              </w:divBdr>
            </w:div>
            <w:div w:id="1867021676">
              <w:marLeft w:val="0"/>
              <w:marRight w:val="0"/>
              <w:marTop w:val="0"/>
              <w:marBottom w:val="0"/>
              <w:divBdr>
                <w:top w:val="none" w:sz="0" w:space="0" w:color="auto"/>
                <w:left w:val="none" w:sz="0" w:space="0" w:color="auto"/>
                <w:bottom w:val="none" w:sz="0" w:space="0" w:color="auto"/>
                <w:right w:val="none" w:sz="0" w:space="0" w:color="auto"/>
              </w:divBdr>
            </w:div>
            <w:div w:id="2053115286">
              <w:marLeft w:val="0"/>
              <w:marRight w:val="0"/>
              <w:marTop w:val="0"/>
              <w:marBottom w:val="0"/>
              <w:divBdr>
                <w:top w:val="none" w:sz="0" w:space="0" w:color="auto"/>
                <w:left w:val="none" w:sz="0" w:space="0" w:color="auto"/>
                <w:bottom w:val="none" w:sz="0" w:space="0" w:color="auto"/>
                <w:right w:val="none" w:sz="0" w:space="0" w:color="auto"/>
              </w:divBdr>
            </w:div>
            <w:div w:id="2067098685">
              <w:marLeft w:val="0"/>
              <w:marRight w:val="0"/>
              <w:marTop w:val="0"/>
              <w:marBottom w:val="0"/>
              <w:divBdr>
                <w:top w:val="none" w:sz="0" w:space="0" w:color="auto"/>
                <w:left w:val="none" w:sz="0" w:space="0" w:color="auto"/>
                <w:bottom w:val="none" w:sz="0" w:space="0" w:color="auto"/>
                <w:right w:val="none" w:sz="0" w:space="0" w:color="auto"/>
              </w:divBdr>
            </w:div>
            <w:div w:id="2084913773">
              <w:marLeft w:val="0"/>
              <w:marRight w:val="0"/>
              <w:marTop w:val="0"/>
              <w:marBottom w:val="0"/>
              <w:divBdr>
                <w:top w:val="none" w:sz="0" w:space="0" w:color="auto"/>
                <w:left w:val="none" w:sz="0" w:space="0" w:color="auto"/>
                <w:bottom w:val="none" w:sz="0" w:space="0" w:color="auto"/>
                <w:right w:val="none" w:sz="0" w:space="0" w:color="auto"/>
              </w:divBdr>
            </w:div>
            <w:div w:id="2103796041">
              <w:marLeft w:val="0"/>
              <w:marRight w:val="0"/>
              <w:marTop w:val="0"/>
              <w:marBottom w:val="0"/>
              <w:divBdr>
                <w:top w:val="none" w:sz="0" w:space="0" w:color="auto"/>
                <w:left w:val="none" w:sz="0" w:space="0" w:color="auto"/>
                <w:bottom w:val="none" w:sz="0" w:space="0" w:color="auto"/>
                <w:right w:val="none" w:sz="0" w:space="0" w:color="auto"/>
              </w:divBdr>
            </w:div>
            <w:div w:id="2129081283">
              <w:marLeft w:val="0"/>
              <w:marRight w:val="0"/>
              <w:marTop w:val="0"/>
              <w:marBottom w:val="0"/>
              <w:divBdr>
                <w:top w:val="none" w:sz="0" w:space="0" w:color="auto"/>
                <w:left w:val="none" w:sz="0" w:space="0" w:color="auto"/>
                <w:bottom w:val="none" w:sz="0" w:space="0" w:color="auto"/>
                <w:right w:val="none" w:sz="0" w:space="0" w:color="auto"/>
              </w:divBdr>
            </w:div>
          </w:divsChild>
        </w:div>
        <w:div w:id="1125152090">
          <w:marLeft w:val="0"/>
          <w:marRight w:val="0"/>
          <w:marTop w:val="0"/>
          <w:marBottom w:val="0"/>
          <w:divBdr>
            <w:top w:val="none" w:sz="0" w:space="0" w:color="auto"/>
            <w:left w:val="none" w:sz="0" w:space="0" w:color="auto"/>
            <w:bottom w:val="none" w:sz="0" w:space="0" w:color="auto"/>
            <w:right w:val="none" w:sz="0" w:space="0" w:color="auto"/>
          </w:divBdr>
        </w:div>
        <w:div w:id="1125850701">
          <w:marLeft w:val="0"/>
          <w:marRight w:val="0"/>
          <w:marTop w:val="0"/>
          <w:marBottom w:val="0"/>
          <w:divBdr>
            <w:top w:val="none" w:sz="0" w:space="0" w:color="auto"/>
            <w:left w:val="none" w:sz="0" w:space="0" w:color="auto"/>
            <w:bottom w:val="none" w:sz="0" w:space="0" w:color="auto"/>
            <w:right w:val="none" w:sz="0" w:space="0" w:color="auto"/>
          </w:divBdr>
        </w:div>
        <w:div w:id="1126775889">
          <w:marLeft w:val="0"/>
          <w:marRight w:val="0"/>
          <w:marTop w:val="0"/>
          <w:marBottom w:val="0"/>
          <w:divBdr>
            <w:top w:val="none" w:sz="0" w:space="0" w:color="auto"/>
            <w:left w:val="none" w:sz="0" w:space="0" w:color="auto"/>
            <w:bottom w:val="none" w:sz="0" w:space="0" w:color="auto"/>
            <w:right w:val="none" w:sz="0" w:space="0" w:color="auto"/>
          </w:divBdr>
        </w:div>
        <w:div w:id="1127894565">
          <w:marLeft w:val="0"/>
          <w:marRight w:val="0"/>
          <w:marTop w:val="0"/>
          <w:marBottom w:val="0"/>
          <w:divBdr>
            <w:top w:val="none" w:sz="0" w:space="0" w:color="auto"/>
            <w:left w:val="none" w:sz="0" w:space="0" w:color="auto"/>
            <w:bottom w:val="none" w:sz="0" w:space="0" w:color="auto"/>
            <w:right w:val="none" w:sz="0" w:space="0" w:color="auto"/>
          </w:divBdr>
        </w:div>
        <w:div w:id="1129742333">
          <w:marLeft w:val="0"/>
          <w:marRight w:val="0"/>
          <w:marTop w:val="0"/>
          <w:marBottom w:val="0"/>
          <w:divBdr>
            <w:top w:val="none" w:sz="0" w:space="0" w:color="auto"/>
            <w:left w:val="none" w:sz="0" w:space="0" w:color="auto"/>
            <w:bottom w:val="none" w:sz="0" w:space="0" w:color="auto"/>
            <w:right w:val="none" w:sz="0" w:space="0" w:color="auto"/>
          </w:divBdr>
        </w:div>
        <w:div w:id="1129933486">
          <w:marLeft w:val="0"/>
          <w:marRight w:val="0"/>
          <w:marTop w:val="0"/>
          <w:marBottom w:val="0"/>
          <w:divBdr>
            <w:top w:val="none" w:sz="0" w:space="0" w:color="auto"/>
            <w:left w:val="none" w:sz="0" w:space="0" w:color="auto"/>
            <w:bottom w:val="none" w:sz="0" w:space="0" w:color="auto"/>
            <w:right w:val="none" w:sz="0" w:space="0" w:color="auto"/>
          </w:divBdr>
        </w:div>
        <w:div w:id="1131634371">
          <w:marLeft w:val="0"/>
          <w:marRight w:val="0"/>
          <w:marTop w:val="0"/>
          <w:marBottom w:val="0"/>
          <w:divBdr>
            <w:top w:val="none" w:sz="0" w:space="0" w:color="auto"/>
            <w:left w:val="none" w:sz="0" w:space="0" w:color="auto"/>
            <w:bottom w:val="none" w:sz="0" w:space="0" w:color="auto"/>
            <w:right w:val="none" w:sz="0" w:space="0" w:color="auto"/>
          </w:divBdr>
        </w:div>
        <w:div w:id="1135180619">
          <w:marLeft w:val="0"/>
          <w:marRight w:val="0"/>
          <w:marTop w:val="0"/>
          <w:marBottom w:val="0"/>
          <w:divBdr>
            <w:top w:val="none" w:sz="0" w:space="0" w:color="auto"/>
            <w:left w:val="none" w:sz="0" w:space="0" w:color="auto"/>
            <w:bottom w:val="none" w:sz="0" w:space="0" w:color="auto"/>
            <w:right w:val="none" w:sz="0" w:space="0" w:color="auto"/>
          </w:divBdr>
        </w:div>
        <w:div w:id="1136222214">
          <w:marLeft w:val="0"/>
          <w:marRight w:val="0"/>
          <w:marTop w:val="0"/>
          <w:marBottom w:val="0"/>
          <w:divBdr>
            <w:top w:val="none" w:sz="0" w:space="0" w:color="auto"/>
            <w:left w:val="none" w:sz="0" w:space="0" w:color="auto"/>
            <w:bottom w:val="none" w:sz="0" w:space="0" w:color="auto"/>
            <w:right w:val="none" w:sz="0" w:space="0" w:color="auto"/>
          </w:divBdr>
        </w:div>
        <w:div w:id="1137260299">
          <w:marLeft w:val="0"/>
          <w:marRight w:val="0"/>
          <w:marTop w:val="0"/>
          <w:marBottom w:val="0"/>
          <w:divBdr>
            <w:top w:val="none" w:sz="0" w:space="0" w:color="auto"/>
            <w:left w:val="none" w:sz="0" w:space="0" w:color="auto"/>
            <w:bottom w:val="none" w:sz="0" w:space="0" w:color="auto"/>
            <w:right w:val="none" w:sz="0" w:space="0" w:color="auto"/>
          </w:divBdr>
        </w:div>
        <w:div w:id="1139299909">
          <w:marLeft w:val="0"/>
          <w:marRight w:val="0"/>
          <w:marTop w:val="0"/>
          <w:marBottom w:val="0"/>
          <w:divBdr>
            <w:top w:val="none" w:sz="0" w:space="0" w:color="auto"/>
            <w:left w:val="none" w:sz="0" w:space="0" w:color="auto"/>
            <w:bottom w:val="none" w:sz="0" w:space="0" w:color="auto"/>
            <w:right w:val="none" w:sz="0" w:space="0" w:color="auto"/>
          </w:divBdr>
        </w:div>
        <w:div w:id="1140071247">
          <w:marLeft w:val="0"/>
          <w:marRight w:val="0"/>
          <w:marTop w:val="0"/>
          <w:marBottom w:val="0"/>
          <w:divBdr>
            <w:top w:val="none" w:sz="0" w:space="0" w:color="auto"/>
            <w:left w:val="none" w:sz="0" w:space="0" w:color="auto"/>
            <w:bottom w:val="none" w:sz="0" w:space="0" w:color="auto"/>
            <w:right w:val="none" w:sz="0" w:space="0" w:color="auto"/>
          </w:divBdr>
        </w:div>
        <w:div w:id="1140462168">
          <w:marLeft w:val="0"/>
          <w:marRight w:val="0"/>
          <w:marTop w:val="0"/>
          <w:marBottom w:val="0"/>
          <w:divBdr>
            <w:top w:val="none" w:sz="0" w:space="0" w:color="auto"/>
            <w:left w:val="none" w:sz="0" w:space="0" w:color="auto"/>
            <w:bottom w:val="none" w:sz="0" w:space="0" w:color="auto"/>
            <w:right w:val="none" w:sz="0" w:space="0" w:color="auto"/>
          </w:divBdr>
        </w:div>
        <w:div w:id="1141076891">
          <w:marLeft w:val="0"/>
          <w:marRight w:val="0"/>
          <w:marTop w:val="0"/>
          <w:marBottom w:val="0"/>
          <w:divBdr>
            <w:top w:val="none" w:sz="0" w:space="0" w:color="auto"/>
            <w:left w:val="none" w:sz="0" w:space="0" w:color="auto"/>
            <w:bottom w:val="none" w:sz="0" w:space="0" w:color="auto"/>
            <w:right w:val="none" w:sz="0" w:space="0" w:color="auto"/>
          </w:divBdr>
        </w:div>
        <w:div w:id="1141313261">
          <w:marLeft w:val="0"/>
          <w:marRight w:val="0"/>
          <w:marTop w:val="0"/>
          <w:marBottom w:val="0"/>
          <w:divBdr>
            <w:top w:val="none" w:sz="0" w:space="0" w:color="auto"/>
            <w:left w:val="none" w:sz="0" w:space="0" w:color="auto"/>
            <w:bottom w:val="none" w:sz="0" w:space="0" w:color="auto"/>
            <w:right w:val="none" w:sz="0" w:space="0" w:color="auto"/>
          </w:divBdr>
        </w:div>
        <w:div w:id="1141966186">
          <w:marLeft w:val="0"/>
          <w:marRight w:val="0"/>
          <w:marTop w:val="0"/>
          <w:marBottom w:val="0"/>
          <w:divBdr>
            <w:top w:val="none" w:sz="0" w:space="0" w:color="auto"/>
            <w:left w:val="none" w:sz="0" w:space="0" w:color="auto"/>
            <w:bottom w:val="none" w:sz="0" w:space="0" w:color="auto"/>
            <w:right w:val="none" w:sz="0" w:space="0" w:color="auto"/>
          </w:divBdr>
        </w:div>
        <w:div w:id="1142118282">
          <w:marLeft w:val="0"/>
          <w:marRight w:val="0"/>
          <w:marTop w:val="0"/>
          <w:marBottom w:val="0"/>
          <w:divBdr>
            <w:top w:val="none" w:sz="0" w:space="0" w:color="auto"/>
            <w:left w:val="none" w:sz="0" w:space="0" w:color="auto"/>
            <w:bottom w:val="none" w:sz="0" w:space="0" w:color="auto"/>
            <w:right w:val="none" w:sz="0" w:space="0" w:color="auto"/>
          </w:divBdr>
        </w:div>
        <w:div w:id="1142121099">
          <w:marLeft w:val="0"/>
          <w:marRight w:val="0"/>
          <w:marTop w:val="0"/>
          <w:marBottom w:val="0"/>
          <w:divBdr>
            <w:top w:val="none" w:sz="0" w:space="0" w:color="auto"/>
            <w:left w:val="none" w:sz="0" w:space="0" w:color="auto"/>
            <w:bottom w:val="none" w:sz="0" w:space="0" w:color="auto"/>
            <w:right w:val="none" w:sz="0" w:space="0" w:color="auto"/>
          </w:divBdr>
        </w:div>
        <w:div w:id="1142502366">
          <w:marLeft w:val="0"/>
          <w:marRight w:val="0"/>
          <w:marTop w:val="0"/>
          <w:marBottom w:val="0"/>
          <w:divBdr>
            <w:top w:val="none" w:sz="0" w:space="0" w:color="auto"/>
            <w:left w:val="none" w:sz="0" w:space="0" w:color="auto"/>
            <w:bottom w:val="none" w:sz="0" w:space="0" w:color="auto"/>
            <w:right w:val="none" w:sz="0" w:space="0" w:color="auto"/>
          </w:divBdr>
        </w:div>
        <w:div w:id="1144084107">
          <w:marLeft w:val="0"/>
          <w:marRight w:val="0"/>
          <w:marTop w:val="0"/>
          <w:marBottom w:val="0"/>
          <w:divBdr>
            <w:top w:val="none" w:sz="0" w:space="0" w:color="auto"/>
            <w:left w:val="none" w:sz="0" w:space="0" w:color="auto"/>
            <w:bottom w:val="none" w:sz="0" w:space="0" w:color="auto"/>
            <w:right w:val="none" w:sz="0" w:space="0" w:color="auto"/>
          </w:divBdr>
        </w:div>
        <w:div w:id="1144471002">
          <w:marLeft w:val="0"/>
          <w:marRight w:val="0"/>
          <w:marTop w:val="0"/>
          <w:marBottom w:val="0"/>
          <w:divBdr>
            <w:top w:val="none" w:sz="0" w:space="0" w:color="auto"/>
            <w:left w:val="none" w:sz="0" w:space="0" w:color="auto"/>
            <w:bottom w:val="none" w:sz="0" w:space="0" w:color="auto"/>
            <w:right w:val="none" w:sz="0" w:space="0" w:color="auto"/>
          </w:divBdr>
        </w:div>
        <w:div w:id="1144734770">
          <w:marLeft w:val="0"/>
          <w:marRight w:val="0"/>
          <w:marTop w:val="0"/>
          <w:marBottom w:val="0"/>
          <w:divBdr>
            <w:top w:val="none" w:sz="0" w:space="0" w:color="auto"/>
            <w:left w:val="none" w:sz="0" w:space="0" w:color="auto"/>
            <w:bottom w:val="none" w:sz="0" w:space="0" w:color="auto"/>
            <w:right w:val="none" w:sz="0" w:space="0" w:color="auto"/>
          </w:divBdr>
        </w:div>
        <w:div w:id="1144851416">
          <w:marLeft w:val="0"/>
          <w:marRight w:val="0"/>
          <w:marTop w:val="0"/>
          <w:marBottom w:val="0"/>
          <w:divBdr>
            <w:top w:val="none" w:sz="0" w:space="0" w:color="auto"/>
            <w:left w:val="none" w:sz="0" w:space="0" w:color="auto"/>
            <w:bottom w:val="none" w:sz="0" w:space="0" w:color="auto"/>
            <w:right w:val="none" w:sz="0" w:space="0" w:color="auto"/>
          </w:divBdr>
          <w:divsChild>
            <w:div w:id="511453226">
              <w:marLeft w:val="0"/>
              <w:marRight w:val="0"/>
              <w:marTop w:val="0"/>
              <w:marBottom w:val="0"/>
              <w:divBdr>
                <w:top w:val="none" w:sz="0" w:space="0" w:color="auto"/>
                <w:left w:val="none" w:sz="0" w:space="0" w:color="auto"/>
                <w:bottom w:val="none" w:sz="0" w:space="0" w:color="auto"/>
                <w:right w:val="none" w:sz="0" w:space="0" w:color="auto"/>
              </w:divBdr>
            </w:div>
            <w:div w:id="526409980">
              <w:marLeft w:val="0"/>
              <w:marRight w:val="0"/>
              <w:marTop w:val="0"/>
              <w:marBottom w:val="0"/>
              <w:divBdr>
                <w:top w:val="none" w:sz="0" w:space="0" w:color="auto"/>
                <w:left w:val="none" w:sz="0" w:space="0" w:color="auto"/>
                <w:bottom w:val="none" w:sz="0" w:space="0" w:color="auto"/>
                <w:right w:val="none" w:sz="0" w:space="0" w:color="auto"/>
              </w:divBdr>
            </w:div>
            <w:div w:id="683900506">
              <w:marLeft w:val="0"/>
              <w:marRight w:val="0"/>
              <w:marTop w:val="0"/>
              <w:marBottom w:val="0"/>
              <w:divBdr>
                <w:top w:val="none" w:sz="0" w:space="0" w:color="auto"/>
                <w:left w:val="none" w:sz="0" w:space="0" w:color="auto"/>
                <w:bottom w:val="none" w:sz="0" w:space="0" w:color="auto"/>
                <w:right w:val="none" w:sz="0" w:space="0" w:color="auto"/>
              </w:divBdr>
            </w:div>
            <w:div w:id="1026759348">
              <w:marLeft w:val="0"/>
              <w:marRight w:val="0"/>
              <w:marTop w:val="0"/>
              <w:marBottom w:val="0"/>
              <w:divBdr>
                <w:top w:val="none" w:sz="0" w:space="0" w:color="auto"/>
                <w:left w:val="none" w:sz="0" w:space="0" w:color="auto"/>
                <w:bottom w:val="none" w:sz="0" w:space="0" w:color="auto"/>
                <w:right w:val="none" w:sz="0" w:space="0" w:color="auto"/>
              </w:divBdr>
            </w:div>
            <w:div w:id="1074543335">
              <w:marLeft w:val="0"/>
              <w:marRight w:val="0"/>
              <w:marTop w:val="0"/>
              <w:marBottom w:val="0"/>
              <w:divBdr>
                <w:top w:val="none" w:sz="0" w:space="0" w:color="auto"/>
                <w:left w:val="none" w:sz="0" w:space="0" w:color="auto"/>
                <w:bottom w:val="none" w:sz="0" w:space="0" w:color="auto"/>
                <w:right w:val="none" w:sz="0" w:space="0" w:color="auto"/>
              </w:divBdr>
            </w:div>
            <w:div w:id="1084764209">
              <w:marLeft w:val="0"/>
              <w:marRight w:val="0"/>
              <w:marTop w:val="0"/>
              <w:marBottom w:val="0"/>
              <w:divBdr>
                <w:top w:val="none" w:sz="0" w:space="0" w:color="auto"/>
                <w:left w:val="none" w:sz="0" w:space="0" w:color="auto"/>
                <w:bottom w:val="none" w:sz="0" w:space="0" w:color="auto"/>
                <w:right w:val="none" w:sz="0" w:space="0" w:color="auto"/>
              </w:divBdr>
            </w:div>
            <w:div w:id="1147622929">
              <w:marLeft w:val="0"/>
              <w:marRight w:val="0"/>
              <w:marTop w:val="0"/>
              <w:marBottom w:val="0"/>
              <w:divBdr>
                <w:top w:val="none" w:sz="0" w:space="0" w:color="auto"/>
                <w:left w:val="none" w:sz="0" w:space="0" w:color="auto"/>
                <w:bottom w:val="none" w:sz="0" w:space="0" w:color="auto"/>
                <w:right w:val="none" w:sz="0" w:space="0" w:color="auto"/>
              </w:divBdr>
            </w:div>
            <w:div w:id="1186099089">
              <w:marLeft w:val="0"/>
              <w:marRight w:val="0"/>
              <w:marTop w:val="0"/>
              <w:marBottom w:val="0"/>
              <w:divBdr>
                <w:top w:val="none" w:sz="0" w:space="0" w:color="auto"/>
                <w:left w:val="none" w:sz="0" w:space="0" w:color="auto"/>
                <w:bottom w:val="none" w:sz="0" w:space="0" w:color="auto"/>
                <w:right w:val="none" w:sz="0" w:space="0" w:color="auto"/>
              </w:divBdr>
            </w:div>
            <w:div w:id="1328050723">
              <w:marLeft w:val="0"/>
              <w:marRight w:val="0"/>
              <w:marTop w:val="0"/>
              <w:marBottom w:val="0"/>
              <w:divBdr>
                <w:top w:val="none" w:sz="0" w:space="0" w:color="auto"/>
                <w:left w:val="none" w:sz="0" w:space="0" w:color="auto"/>
                <w:bottom w:val="none" w:sz="0" w:space="0" w:color="auto"/>
                <w:right w:val="none" w:sz="0" w:space="0" w:color="auto"/>
              </w:divBdr>
            </w:div>
            <w:div w:id="1483735152">
              <w:marLeft w:val="0"/>
              <w:marRight w:val="0"/>
              <w:marTop w:val="0"/>
              <w:marBottom w:val="0"/>
              <w:divBdr>
                <w:top w:val="none" w:sz="0" w:space="0" w:color="auto"/>
                <w:left w:val="none" w:sz="0" w:space="0" w:color="auto"/>
                <w:bottom w:val="none" w:sz="0" w:space="0" w:color="auto"/>
                <w:right w:val="none" w:sz="0" w:space="0" w:color="auto"/>
              </w:divBdr>
            </w:div>
            <w:div w:id="1534221293">
              <w:marLeft w:val="0"/>
              <w:marRight w:val="0"/>
              <w:marTop w:val="0"/>
              <w:marBottom w:val="0"/>
              <w:divBdr>
                <w:top w:val="none" w:sz="0" w:space="0" w:color="auto"/>
                <w:left w:val="none" w:sz="0" w:space="0" w:color="auto"/>
                <w:bottom w:val="none" w:sz="0" w:space="0" w:color="auto"/>
                <w:right w:val="none" w:sz="0" w:space="0" w:color="auto"/>
              </w:divBdr>
            </w:div>
            <w:div w:id="1594556761">
              <w:marLeft w:val="0"/>
              <w:marRight w:val="0"/>
              <w:marTop w:val="0"/>
              <w:marBottom w:val="0"/>
              <w:divBdr>
                <w:top w:val="none" w:sz="0" w:space="0" w:color="auto"/>
                <w:left w:val="none" w:sz="0" w:space="0" w:color="auto"/>
                <w:bottom w:val="none" w:sz="0" w:space="0" w:color="auto"/>
                <w:right w:val="none" w:sz="0" w:space="0" w:color="auto"/>
              </w:divBdr>
            </w:div>
            <w:div w:id="1643920522">
              <w:marLeft w:val="0"/>
              <w:marRight w:val="0"/>
              <w:marTop w:val="0"/>
              <w:marBottom w:val="0"/>
              <w:divBdr>
                <w:top w:val="none" w:sz="0" w:space="0" w:color="auto"/>
                <w:left w:val="none" w:sz="0" w:space="0" w:color="auto"/>
                <w:bottom w:val="none" w:sz="0" w:space="0" w:color="auto"/>
                <w:right w:val="none" w:sz="0" w:space="0" w:color="auto"/>
              </w:divBdr>
            </w:div>
            <w:div w:id="1761751501">
              <w:marLeft w:val="0"/>
              <w:marRight w:val="0"/>
              <w:marTop w:val="0"/>
              <w:marBottom w:val="0"/>
              <w:divBdr>
                <w:top w:val="none" w:sz="0" w:space="0" w:color="auto"/>
                <w:left w:val="none" w:sz="0" w:space="0" w:color="auto"/>
                <w:bottom w:val="none" w:sz="0" w:space="0" w:color="auto"/>
                <w:right w:val="none" w:sz="0" w:space="0" w:color="auto"/>
              </w:divBdr>
            </w:div>
            <w:div w:id="1830243473">
              <w:marLeft w:val="0"/>
              <w:marRight w:val="0"/>
              <w:marTop w:val="0"/>
              <w:marBottom w:val="0"/>
              <w:divBdr>
                <w:top w:val="none" w:sz="0" w:space="0" w:color="auto"/>
                <w:left w:val="none" w:sz="0" w:space="0" w:color="auto"/>
                <w:bottom w:val="none" w:sz="0" w:space="0" w:color="auto"/>
                <w:right w:val="none" w:sz="0" w:space="0" w:color="auto"/>
              </w:divBdr>
            </w:div>
            <w:div w:id="1840805127">
              <w:marLeft w:val="0"/>
              <w:marRight w:val="0"/>
              <w:marTop w:val="0"/>
              <w:marBottom w:val="0"/>
              <w:divBdr>
                <w:top w:val="none" w:sz="0" w:space="0" w:color="auto"/>
                <w:left w:val="none" w:sz="0" w:space="0" w:color="auto"/>
                <w:bottom w:val="none" w:sz="0" w:space="0" w:color="auto"/>
                <w:right w:val="none" w:sz="0" w:space="0" w:color="auto"/>
              </w:divBdr>
            </w:div>
            <w:div w:id="1907690129">
              <w:marLeft w:val="0"/>
              <w:marRight w:val="0"/>
              <w:marTop w:val="0"/>
              <w:marBottom w:val="0"/>
              <w:divBdr>
                <w:top w:val="none" w:sz="0" w:space="0" w:color="auto"/>
                <w:left w:val="none" w:sz="0" w:space="0" w:color="auto"/>
                <w:bottom w:val="none" w:sz="0" w:space="0" w:color="auto"/>
                <w:right w:val="none" w:sz="0" w:space="0" w:color="auto"/>
              </w:divBdr>
            </w:div>
            <w:div w:id="1943681226">
              <w:marLeft w:val="0"/>
              <w:marRight w:val="0"/>
              <w:marTop w:val="0"/>
              <w:marBottom w:val="0"/>
              <w:divBdr>
                <w:top w:val="none" w:sz="0" w:space="0" w:color="auto"/>
                <w:left w:val="none" w:sz="0" w:space="0" w:color="auto"/>
                <w:bottom w:val="none" w:sz="0" w:space="0" w:color="auto"/>
                <w:right w:val="none" w:sz="0" w:space="0" w:color="auto"/>
              </w:divBdr>
            </w:div>
            <w:div w:id="2025403852">
              <w:marLeft w:val="0"/>
              <w:marRight w:val="0"/>
              <w:marTop w:val="0"/>
              <w:marBottom w:val="0"/>
              <w:divBdr>
                <w:top w:val="none" w:sz="0" w:space="0" w:color="auto"/>
                <w:left w:val="none" w:sz="0" w:space="0" w:color="auto"/>
                <w:bottom w:val="none" w:sz="0" w:space="0" w:color="auto"/>
                <w:right w:val="none" w:sz="0" w:space="0" w:color="auto"/>
              </w:divBdr>
            </w:div>
            <w:div w:id="2077239742">
              <w:marLeft w:val="0"/>
              <w:marRight w:val="0"/>
              <w:marTop w:val="0"/>
              <w:marBottom w:val="0"/>
              <w:divBdr>
                <w:top w:val="none" w:sz="0" w:space="0" w:color="auto"/>
                <w:left w:val="none" w:sz="0" w:space="0" w:color="auto"/>
                <w:bottom w:val="none" w:sz="0" w:space="0" w:color="auto"/>
                <w:right w:val="none" w:sz="0" w:space="0" w:color="auto"/>
              </w:divBdr>
            </w:div>
          </w:divsChild>
        </w:div>
        <w:div w:id="1147167650">
          <w:marLeft w:val="0"/>
          <w:marRight w:val="0"/>
          <w:marTop w:val="0"/>
          <w:marBottom w:val="0"/>
          <w:divBdr>
            <w:top w:val="none" w:sz="0" w:space="0" w:color="auto"/>
            <w:left w:val="none" w:sz="0" w:space="0" w:color="auto"/>
            <w:bottom w:val="none" w:sz="0" w:space="0" w:color="auto"/>
            <w:right w:val="none" w:sz="0" w:space="0" w:color="auto"/>
          </w:divBdr>
        </w:div>
        <w:div w:id="1148135708">
          <w:marLeft w:val="0"/>
          <w:marRight w:val="0"/>
          <w:marTop w:val="0"/>
          <w:marBottom w:val="0"/>
          <w:divBdr>
            <w:top w:val="none" w:sz="0" w:space="0" w:color="auto"/>
            <w:left w:val="none" w:sz="0" w:space="0" w:color="auto"/>
            <w:bottom w:val="none" w:sz="0" w:space="0" w:color="auto"/>
            <w:right w:val="none" w:sz="0" w:space="0" w:color="auto"/>
          </w:divBdr>
          <w:divsChild>
            <w:div w:id="79181590">
              <w:marLeft w:val="0"/>
              <w:marRight w:val="0"/>
              <w:marTop w:val="0"/>
              <w:marBottom w:val="0"/>
              <w:divBdr>
                <w:top w:val="none" w:sz="0" w:space="0" w:color="auto"/>
                <w:left w:val="none" w:sz="0" w:space="0" w:color="auto"/>
                <w:bottom w:val="none" w:sz="0" w:space="0" w:color="auto"/>
                <w:right w:val="none" w:sz="0" w:space="0" w:color="auto"/>
              </w:divBdr>
            </w:div>
            <w:div w:id="79374828">
              <w:marLeft w:val="0"/>
              <w:marRight w:val="0"/>
              <w:marTop w:val="0"/>
              <w:marBottom w:val="0"/>
              <w:divBdr>
                <w:top w:val="none" w:sz="0" w:space="0" w:color="auto"/>
                <w:left w:val="none" w:sz="0" w:space="0" w:color="auto"/>
                <w:bottom w:val="none" w:sz="0" w:space="0" w:color="auto"/>
                <w:right w:val="none" w:sz="0" w:space="0" w:color="auto"/>
              </w:divBdr>
            </w:div>
            <w:div w:id="295645425">
              <w:marLeft w:val="0"/>
              <w:marRight w:val="0"/>
              <w:marTop w:val="0"/>
              <w:marBottom w:val="0"/>
              <w:divBdr>
                <w:top w:val="none" w:sz="0" w:space="0" w:color="auto"/>
                <w:left w:val="none" w:sz="0" w:space="0" w:color="auto"/>
                <w:bottom w:val="none" w:sz="0" w:space="0" w:color="auto"/>
                <w:right w:val="none" w:sz="0" w:space="0" w:color="auto"/>
              </w:divBdr>
            </w:div>
            <w:div w:id="347218617">
              <w:marLeft w:val="0"/>
              <w:marRight w:val="0"/>
              <w:marTop w:val="0"/>
              <w:marBottom w:val="0"/>
              <w:divBdr>
                <w:top w:val="none" w:sz="0" w:space="0" w:color="auto"/>
                <w:left w:val="none" w:sz="0" w:space="0" w:color="auto"/>
                <w:bottom w:val="none" w:sz="0" w:space="0" w:color="auto"/>
                <w:right w:val="none" w:sz="0" w:space="0" w:color="auto"/>
              </w:divBdr>
            </w:div>
            <w:div w:id="1078593848">
              <w:marLeft w:val="0"/>
              <w:marRight w:val="0"/>
              <w:marTop w:val="0"/>
              <w:marBottom w:val="0"/>
              <w:divBdr>
                <w:top w:val="none" w:sz="0" w:space="0" w:color="auto"/>
                <w:left w:val="none" w:sz="0" w:space="0" w:color="auto"/>
                <w:bottom w:val="none" w:sz="0" w:space="0" w:color="auto"/>
                <w:right w:val="none" w:sz="0" w:space="0" w:color="auto"/>
              </w:divBdr>
            </w:div>
            <w:div w:id="1110468551">
              <w:marLeft w:val="0"/>
              <w:marRight w:val="0"/>
              <w:marTop w:val="0"/>
              <w:marBottom w:val="0"/>
              <w:divBdr>
                <w:top w:val="none" w:sz="0" w:space="0" w:color="auto"/>
                <w:left w:val="none" w:sz="0" w:space="0" w:color="auto"/>
                <w:bottom w:val="none" w:sz="0" w:space="0" w:color="auto"/>
                <w:right w:val="none" w:sz="0" w:space="0" w:color="auto"/>
              </w:divBdr>
            </w:div>
            <w:div w:id="1390037643">
              <w:marLeft w:val="0"/>
              <w:marRight w:val="0"/>
              <w:marTop w:val="0"/>
              <w:marBottom w:val="0"/>
              <w:divBdr>
                <w:top w:val="none" w:sz="0" w:space="0" w:color="auto"/>
                <w:left w:val="none" w:sz="0" w:space="0" w:color="auto"/>
                <w:bottom w:val="none" w:sz="0" w:space="0" w:color="auto"/>
                <w:right w:val="none" w:sz="0" w:space="0" w:color="auto"/>
              </w:divBdr>
            </w:div>
            <w:div w:id="1627156611">
              <w:marLeft w:val="0"/>
              <w:marRight w:val="0"/>
              <w:marTop w:val="0"/>
              <w:marBottom w:val="0"/>
              <w:divBdr>
                <w:top w:val="none" w:sz="0" w:space="0" w:color="auto"/>
                <w:left w:val="none" w:sz="0" w:space="0" w:color="auto"/>
                <w:bottom w:val="none" w:sz="0" w:space="0" w:color="auto"/>
                <w:right w:val="none" w:sz="0" w:space="0" w:color="auto"/>
              </w:divBdr>
            </w:div>
            <w:div w:id="1789352635">
              <w:marLeft w:val="0"/>
              <w:marRight w:val="0"/>
              <w:marTop w:val="0"/>
              <w:marBottom w:val="0"/>
              <w:divBdr>
                <w:top w:val="none" w:sz="0" w:space="0" w:color="auto"/>
                <w:left w:val="none" w:sz="0" w:space="0" w:color="auto"/>
                <w:bottom w:val="none" w:sz="0" w:space="0" w:color="auto"/>
                <w:right w:val="none" w:sz="0" w:space="0" w:color="auto"/>
              </w:divBdr>
            </w:div>
            <w:div w:id="1900240547">
              <w:marLeft w:val="0"/>
              <w:marRight w:val="0"/>
              <w:marTop w:val="0"/>
              <w:marBottom w:val="0"/>
              <w:divBdr>
                <w:top w:val="none" w:sz="0" w:space="0" w:color="auto"/>
                <w:left w:val="none" w:sz="0" w:space="0" w:color="auto"/>
                <w:bottom w:val="none" w:sz="0" w:space="0" w:color="auto"/>
                <w:right w:val="none" w:sz="0" w:space="0" w:color="auto"/>
              </w:divBdr>
            </w:div>
          </w:divsChild>
        </w:div>
        <w:div w:id="1148597129">
          <w:marLeft w:val="0"/>
          <w:marRight w:val="0"/>
          <w:marTop w:val="0"/>
          <w:marBottom w:val="0"/>
          <w:divBdr>
            <w:top w:val="none" w:sz="0" w:space="0" w:color="auto"/>
            <w:left w:val="none" w:sz="0" w:space="0" w:color="auto"/>
            <w:bottom w:val="none" w:sz="0" w:space="0" w:color="auto"/>
            <w:right w:val="none" w:sz="0" w:space="0" w:color="auto"/>
          </w:divBdr>
        </w:div>
        <w:div w:id="1148980204">
          <w:marLeft w:val="0"/>
          <w:marRight w:val="0"/>
          <w:marTop w:val="0"/>
          <w:marBottom w:val="0"/>
          <w:divBdr>
            <w:top w:val="none" w:sz="0" w:space="0" w:color="auto"/>
            <w:left w:val="none" w:sz="0" w:space="0" w:color="auto"/>
            <w:bottom w:val="none" w:sz="0" w:space="0" w:color="auto"/>
            <w:right w:val="none" w:sz="0" w:space="0" w:color="auto"/>
          </w:divBdr>
        </w:div>
        <w:div w:id="1152674188">
          <w:marLeft w:val="0"/>
          <w:marRight w:val="0"/>
          <w:marTop w:val="0"/>
          <w:marBottom w:val="0"/>
          <w:divBdr>
            <w:top w:val="none" w:sz="0" w:space="0" w:color="auto"/>
            <w:left w:val="none" w:sz="0" w:space="0" w:color="auto"/>
            <w:bottom w:val="none" w:sz="0" w:space="0" w:color="auto"/>
            <w:right w:val="none" w:sz="0" w:space="0" w:color="auto"/>
          </w:divBdr>
        </w:div>
        <w:div w:id="1152675795">
          <w:marLeft w:val="0"/>
          <w:marRight w:val="0"/>
          <w:marTop w:val="0"/>
          <w:marBottom w:val="0"/>
          <w:divBdr>
            <w:top w:val="none" w:sz="0" w:space="0" w:color="auto"/>
            <w:left w:val="none" w:sz="0" w:space="0" w:color="auto"/>
            <w:bottom w:val="none" w:sz="0" w:space="0" w:color="auto"/>
            <w:right w:val="none" w:sz="0" w:space="0" w:color="auto"/>
          </w:divBdr>
        </w:div>
        <w:div w:id="1156145840">
          <w:marLeft w:val="0"/>
          <w:marRight w:val="0"/>
          <w:marTop w:val="0"/>
          <w:marBottom w:val="0"/>
          <w:divBdr>
            <w:top w:val="none" w:sz="0" w:space="0" w:color="auto"/>
            <w:left w:val="none" w:sz="0" w:space="0" w:color="auto"/>
            <w:bottom w:val="none" w:sz="0" w:space="0" w:color="auto"/>
            <w:right w:val="none" w:sz="0" w:space="0" w:color="auto"/>
          </w:divBdr>
        </w:div>
        <w:div w:id="1157649369">
          <w:marLeft w:val="0"/>
          <w:marRight w:val="0"/>
          <w:marTop w:val="0"/>
          <w:marBottom w:val="0"/>
          <w:divBdr>
            <w:top w:val="none" w:sz="0" w:space="0" w:color="auto"/>
            <w:left w:val="none" w:sz="0" w:space="0" w:color="auto"/>
            <w:bottom w:val="none" w:sz="0" w:space="0" w:color="auto"/>
            <w:right w:val="none" w:sz="0" w:space="0" w:color="auto"/>
          </w:divBdr>
        </w:div>
        <w:div w:id="1157771139">
          <w:marLeft w:val="0"/>
          <w:marRight w:val="0"/>
          <w:marTop w:val="0"/>
          <w:marBottom w:val="0"/>
          <w:divBdr>
            <w:top w:val="none" w:sz="0" w:space="0" w:color="auto"/>
            <w:left w:val="none" w:sz="0" w:space="0" w:color="auto"/>
            <w:bottom w:val="none" w:sz="0" w:space="0" w:color="auto"/>
            <w:right w:val="none" w:sz="0" w:space="0" w:color="auto"/>
          </w:divBdr>
        </w:div>
        <w:div w:id="1159149921">
          <w:marLeft w:val="0"/>
          <w:marRight w:val="0"/>
          <w:marTop w:val="0"/>
          <w:marBottom w:val="0"/>
          <w:divBdr>
            <w:top w:val="none" w:sz="0" w:space="0" w:color="auto"/>
            <w:left w:val="none" w:sz="0" w:space="0" w:color="auto"/>
            <w:bottom w:val="none" w:sz="0" w:space="0" w:color="auto"/>
            <w:right w:val="none" w:sz="0" w:space="0" w:color="auto"/>
          </w:divBdr>
        </w:div>
        <w:div w:id="1160270883">
          <w:marLeft w:val="0"/>
          <w:marRight w:val="0"/>
          <w:marTop w:val="0"/>
          <w:marBottom w:val="0"/>
          <w:divBdr>
            <w:top w:val="none" w:sz="0" w:space="0" w:color="auto"/>
            <w:left w:val="none" w:sz="0" w:space="0" w:color="auto"/>
            <w:bottom w:val="none" w:sz="0" w:space="0" w:color="auto"/>
            <w:right w:val="none" w:sz="0" w:space="0" w:color="auto"/>
          </w:divBdr>
        </w:div>
        <w:div w:id="1165247820">
          <w:marLeft w:val="0"/>
          <w:marRight w:val="0"/>
          <w:marTop w:val="0"/>
          <w:marBottom w:val="0"/>
          <w:divBdr>
            <w:top w:val="none" w:sz="0" w:space="0" w:color="auto"/>
            <w:left w:val="none" w:sz="0" w:space="0" w:color="auto"/>
            <w:bottom w:val="none" w:sz="0" w:space="0" w:color="auto"/>
            <w:right w:val="none" w:sz="0" w:space="0" w:color="auto"/>
          </w:divBdr>
        </w:div>
        <w:div w:id="1166170187">
          <w:marLeft w:val="0"/>
          <w:marRight w:val="0"/>
          <w:marTop w:val="0"/>
          <w:marBottom w:val="0"/>
          <w:divBdr>
            <w:top w:val="none" w:sz="0" w:space="0" w:color="auto"/>
            <w:left w:val="none" w:sz="0" w:space="0" w:color="auto"/>
            <w:bottom w:val="none" w:sz="0" w:space="0" w:color="auto"/>
            <w:right w:val="none" w:sz="0" w:space="0" w:color="auto"/>
          </w:divBdr>
        </w:div>
        <w:div w:id="1166629220">
          <w:marLeft w:val="0"/>
          <w:marRight w:val="0"/>
          <w:marTop w:val="0"/>
          <w:marBottom w:val="0"/>
          <w:divBdr>
            <w:top w:val="none" w:sz="0" w:space="0" w:color="auto"/>
            <w:left w:val="none" w:sz="0" w:space="0" w:color="auto"/>
            <w:bottom w:val="none" w:sz="0" w:space="0" w:color="auto"/>
            <w:right w:val="none" w:sz="0" w:space="0" w:color="auto"/>
          </w:divBdr>
        </w:div>
        <w:div w:id="1169251528">
          <w:marLeft w:val="0"/>
          <w:marRight w:val="0"/>
          <w:marTop w:val="0"/>
          <w:marBottom w:val="0"/>
          <w:divBdr>
            <w:top w:val="none" w:sz="0" w:space="0" w:color="auto"/>
            <w:left w:val="none" w:sz="0" w:space="0" w:color="auto"/>
            <w:bottom w:val="none" w:sz="0" w:space="0" w:color="auto"/>
            <w:right w:val="none" w:sz="0" w:space="0" w:color="auto"/>
          </w:divBdr>
        </w:div>
        <w:div w:id="1169633112">
          <w:marLeft w:val="0"/>
          <w:marRight w:val="0"/>
          <w:marTop w:val="0"/>
          <w:marBottom w:val="0"/>
          <w:divBdr>
            <w:top w:val="none" w:sz="0" w:space="0" w:color="auto"/>
            <w:left w:val="none" w:sz="0" w:space="0" w:color="auto"/>
            <w:bottom w:val="none" w:sz="0" w:space="0" w:color="auto"/>
            <w:right w:val="none" w:sz="0" w:space="0" w:color="auto"/>
          </w:divBdr>
        </w:div>
        <w:div w:id="1169717690">
          <w:marLeft w:val="0"/>
          <w:marRight w:val="0"/>
          <w:marTop w:val="0"/>
          <w:marBottom w:val="0"/>
          <w:divBdr>
            <w:top w:val="none" w:sz="0" w:space="0" w:color="auto"/>
            <w:left w:val="none" w:sz="0" w:space="0" w:color="auto"/>
            <w:bottom w:val="none" w:sz="0" w:space="0" w:color="auto"/>
            <w:right w:val="none" w:sz="0" w:space="0" w:color="auto"/>
          </w:divBdr>
        </w:div>
        <w:div w:id="1170832260">
          <w:marLeft w:val="0"/>
          <w:marRight w:val="0"/>
          <w:marTop w:val="0"/>
          <w:marBottom w:val="0"/>
          <w:divBdr>
            <w:top w:val="none" w:sz="0" w:space="0" w:color="auto"/>
            <w:left w:val="none" w:sz="0" w:space="0" w:color="auto"/>
            <w:bottom w:val="none" w:sz="0" w:space="0" w:color="auto"/>
            <w:right w:val="none" w:sz="0" w:space="0" w:color="auto"/>
          </w:divBdr>
        </w:div>
        <w:div w:id="1171217670">
          <w:marLeft w:val="0"/>
          <w:marRight w:val="0"/>
          <w:marTop w:val="0"/>
          <w:marBottom w:val="0"/>
          <w:divBdr>
            <w:top w:val="none" w:sz="0" w:space="0" w:color="auto"/>
            <w:left w:val="none" w:sz="0" w:space="0" w:color="auto"/>
            <w:bottom w:val="none" w:sz="0" w:space="0" w:color="auto"/>
            <w:right w:val="none" w:sz="0" w:space="0" w:color="auto"/>
          </w:divBdr>
        </w:div>
        <w:div w:id="1172257015">
          <w:marLeft w:val="0"/>
          <w:marRight w:val="0"/>
          <w:marTop w:val="0"/>
          <w:marBottom w:val="0"/>
          <w:divBdr>
            <w:top w:val="none" w:sz="0" w:space="0" w:color="auto"/>
            <w:left w:val="none" w:sz="0" w:space="0" w:color="auto"/>
            <w:bottom w:val="none" w:sz="0" w:space="0" w:color="auto"/>
            <w:right w:val="none" w:sz="0" w:space="0" w:color="auto"/>
          </w:divBdr>
        </w:div>
        <w:div w:id="1173715108">
          <w:marLeft w:val="0"/>
          <w:marRight w:val="0"/>
          <w:marTop w:val="0"/>
          <w:marBottom w:val="0"/>
          <w:divBdr>
            <w:top w:val="none" w:sz="0" w:space="0" w:color="auto"/>
            <w:left w:val="none" w:sz="0" w:space="0" w:color="auto"/>
            <w:bottom w:val="none" w:sz="0" w:space="0" w:color="auto"/>
            <w:right w:val="none" w:sz="0" w:space="0" w:color="auto"/>
          </w:divBdr>
        </w:div>
        <w:div w:id="1174027685">
          <w:marLeft w:val="0"/>
          <w:marRight w:val="0"/>
          <w:marTop w:val="0"/>
          <w:marBottom w:val="0"/>
          <w:divBdr>
            <w:top w:val="none" w:sz="0" w:space="0" w:color="auto"/>
            <w:left w:val="none" w:sz="0" w:space="0" w:color="auto"/>
            <w:bottom w:val="none" w:sz="0" w:space="0" w:color="auto"/>
            <w:right w:val="none" w:sz="0" w:space="0" w:color="auto"/>
          </w:divBdr>
        </w:div>
        <w:div w:id="1174223436">
          <w:marLeft w:val="0"/>
          <w:marRight w:val="0"/>
          <w:marTop w:val="0"/>
          <w:marBottom w:val="0"/>
          <w:divBdr>
            <w:top w:val="none" w:sz="0" w:space="0" w:color="auto"/>
            <w:left w:val="none" w:sz="0" w:space="0" w:color="auto"/>
            <w:bottom w:val="none" w:sz="0" w:space="0" w:color="auto"/>
            <w:right w:val="none" w:sz="0" w:space="0" w:color="auto"/>
          </w:divBdr>
        </w:div>
        <w:div w:id="1175878044">
          <w:marLeft w:val="0"/>
          <w:marRight w:val="0"/>
          <w:marTop w:val="0"/>
          <w:marBottom w:val="0"/>
          <w:divBdr>
            <w:top w:val="none" w:sz="0" w:space="0" w:color="auto"/>
            <w:left w:val="none" w:sz="0" w:space="0" w:color="auto"/>
            <w:bottom w:val="none" w:sz="0" w:space="0" w:color="auto"/>
            <w:right w:val="none" w:sz="0" w:space="0" w:color="auto"/>
          </w:divBdr>
        </w:div>
        <w:div w:id="1176262744">
          <w:marLeft w:val="0"/>
          <w:marRight w:val="0"/>
          <w:marTop w:val="0"/>
          <w:marBottom w:val="0"/>
          <w:divBdr>
            <w:top w:val="none" w:sz="0" w:space="0" w:color="auto"/>
            <w:left w:val="none" w:sz="0" w:space="0" w:color="auto"/>
            <w:bottom w:val="none" w:sz="0" w:space="0" w:color="auto"/>
            <w:right w:val="none" w:sz="0" w:space="0" w:color="auto"/>
          </w:divBdr>
        </w:div>
        <w:div w:id="1177227386">
          <w:marLeft w:val="0"/>
          <w:marRight w:val="0"/>
          <w:marTop w:val="0"/>
          <w:marBottom w:val="0"/>
          <w:divBdr>
            <w:top w:val="none" w:sz="0" w:space="0" w:color="auto"/>
            <w:left w:val="none" w:sz="0" w:space="0" w:color="auto"/>
            <w:bottom w:val="none" w:sz="0" w:space="0" w:color="auto"/>
            <w:right w:val="none" w:sz="0" w:space="0" w:color="auto"/>
          </w:divBdr>
        </w:div>
        <w:div w:id="1179348819">
          <w:marLeft w:val="0"/>
          <w:marRight w:val="0"/>
          <w:marTop w:val="0"/>
          <w:marBottom w:val="0"/>
          <w:divBdr>
            <w:top w:val="none" w:sz="0" w:space="0" w:color="auto"/>
            <w:left w:val="none" w:sz="0" w:space="0" w:color="auto"/>
            <w:bottom w:val="none" w:sz="0" w:space="0" w:color="auto"/>
            <w:right w:val="none" w:sz="0" w:space="0" w:color="auto"/>
          </w:divBdr>
        </w:div>
        <w:div w:id="1180587055">
          <w:marLeft w:val="0"/>
          <w:marRight w:val="0"/>
          <w:marTop w:val="0"/>
          <w:marBottom w:val="0"/>
          <w:divBdr>
            <w:top w:val="none" w:sz="0" w:space="0" w:color="auto"/>
            <w:left w:val="none" w:sz="0" w:space="0" w:color="auto"/>
            <w:bottom w:val="none" w:sz="0" w:space="0" w:color="auto"/>
            <w:right w:val="none" w:sz="0" w:space="0" w:color="auto"/>
          </w:divBdr>
        </w:div>
        <w:div w:id="1181776025">
          <w:marLeft w:val="0"/>
          <w:marRight w:val="0"/>
          <w:marTop w:val="0"/>
          <w:marBottom w:val="0"/>
          <w:divBdr>
            <w:top w:val="none" w:sz="0" w:space="0" w:color="auto"/>
            <w:left w:val="none" w:sz="0" w:space="0" w:color="auto"/>
            <w:bottom w:val="none" w:sz="0" w:space="0" w:color="auto"/>
            <w:right w:val="none" w:sz="0" w:space="0" w:color="auto"/>
          </w:divBdr>
        </w:div>
        <w:div w:id="1182091545">
          <w:marLeft w:val="0"/>
          <w:marRight w:val="0"/>
          <w:marTop w:val="0"/>
          <w:marBottom w:val="0"/>
          <w:divBdr>
            <w:top w:val="none" w:sz="0" w:space="0" w:color="auto"/>
            <w:left w:val="none" w:sz="0" w:space="0" w:color="auto"/>
            <w:bottom w:val="none" w:sz="0" w:space="0" w:color="auto"/>
            <w:right w:val="none" w:sz="0" w:space="0" w:color="auto"/>
          </w:divBdr>
        </w:div>
        <w:div w:id="1184782796">
          <w:marLeft w:val="0"/>
          <w:marRight w:val="0"/>
          <w:marTop w:val="0"/>
          <w:marBottom w:val="0"/>
          <w:divBdr>
            <w:top w:val="none" w:sz="0" w:space="0" w:color="auto"/>
            <w:left w:val="none" w:sz="0" w:space="0" w:color="auto"/>
            <w:bottom w:val="none" w:sz="0" w:space="0" w:color="auto"/>
            <w:right w:val="none" w:sz="0" w:space="0" w:color="auto"/>
          </w:divBdr>
        </w:div>
        <w:div w:id="1186406474">
          <w:marLeft w:val="0"/>
          <w:marRight w:val="0"/>
          <w:marTop w:val="0"/>
          <w:marBottom w:val="0"/>
          <w:divBdr>
            <w:top w:val="none" w:sz="0" w:space="0" w:color="auto"/>
            <w:left w:val="none" w:sz="0" w:space="0" w:color="auto"/>
            <w:bottom w:val="none" w:sz="0" w:space="0" w:color="auto"/>
            <w:right w:val="none" w:sz="0" w:space="0" w:color="auto"/>
          </w:divBdr>
        </w:div>
        <w:div w:id="1188640843">
          <w:marLeft w:val="0"/>
          <w:marRight w:val="0"/>
          <w:marTop w:val="0"/>
          <w:marBottom w:val="0"/>
          <w:divBdr>
            <w:top w:val="none" w:sz="0" w:space="0" w:color="auto"/>
            <w:left w:val="none" w:sz="0" w:space="0" w:color="auto"/>
            <w:bottom w:val="none" w:sz="0" w:space="0" w:color="auto"/>
            <w:right w:val="none" w:sz="0" w:space="0" w:color="auto"/>
          </w:divBdr>
        </w:div>
        <w:div w:id="1191068723">
          <w:marLeft w:val="0"/>
          <w:marRight w:val="0"/>
          <w:marTop w:val="0"/>
          <w:marBottom w:val="0"/>
          <w:divBdr>
            <w:top w:val="none" w:sz="0" w:space="0" w:color="auto"/>
            <w:left w:val="none" w:sz="0" w:space="0" w:color="auto"/>
            <w:bottom w:val="none" w:sz="0" w:space="0" w:color="auto"/>
            <w:right w:val="none" w:sz="0" w:space="0" w:color="auto"/>
          </w:divBdr>
        </w:div>
        <w:div w:id="1191841865">
          <w:marLeft w:val="0"/>
          <w:marRight w:val="0"/>
          <w:marTop w:val="0"/>
          <w:marBottom w:val="0"/>
          <w:divBdr>
            <w:top w:val="none" w:sz="0" w:space="0" w:color="auto"/>
            <w:left w:val="none" w:sz="0" w:space="0" w:color="auto"/>
            <w:bottom w:val="none" w:sz="0" w:space="0" w:color="auto"/>
            <w:right w:val="none" w:sz="0" w:space="0" w:color="auto"/>
          </w:divBdr>
        </w:div>
        <w:div w:id="1192299346">
          <w:marLeft w:val="0"/>
          <w:marRight w:val="0"/>
          <w:marTop w:val="0"/>
          <w:marBottom w:val="0"/>
          <w:divBdr>
            <w:top w:val="none" w:sz="0" w:space="0" w:color="auto"/>
            <w:left w:val="none" w:sz="0" w:space="0" w:color="auto"/>
            <w:bottom w:val="none" w:sz="0" w:space="0" w:color="auto"/>
            <w:right w:val="none" w:sz="0" w:space="0" w:color="auto"/>
          </w:divBdr>
          <w:divsChild>
            <w:div w:id="40374717">
              <w:marLeft w:val="0"/>
              <w:marRight w:val="0"/>
              <w:marTop w:val="0"/>
              <w:marBottom w:val="0"/>
              <w:divBdr>
                <w:top w:val="none" w:sz="0" w:space="0" w:color="auto"/>
                <w:left w:val="none" w:sz="0" w:space="0" w:color="auto"/>
                <w:bottom w:val="none" w:sz="0" w:space="0" w:color="auto"/>
                <w:right w:val="none" w:sz="0" w:space="0" w:color="auto"/>
              </w:divBdr>
            </w:div>
            <w:div w:id="219247011">
              <w:marLeft w:val="0"/>
              <w:marRight w:val="0"/>
              <w:marTop w:val="0"/>
              <w:marBottom w:val="0"/>
              <w:divBdr>
                <w:top w:val="none" w:sz="0" w:space="0" w:color="auto"/>
                <w:left w:val="none" w:sz="0" w:space="0" w:color="auto"/>
                <w:bottom w:val="none" w:sz="0" w:space="0" w:color="auto"/>
                <w:right w:val="none" w:sz="0" w:space="0" w:color="auto"/>
              </w:divBdr>
            </w:div>
            <w:div w:id="356347132">
              <w:marLeft w:val="0"/>
              <w:marRight w:val="0"/>
              <w:marTop w:val="0"/>
              <w:marBottom w:val="0"/>
              <w:divBdr>
                <w:top w:val="none" w:sz="0" w:space="0" w:color="auto"/>
                <w:left w:val="none" w:sz="0" w:space="0" w:color="auto"/>
                <w:bottom w:val="none" w:sz="0" w:space="0" w:color="auto"/>
                <w:right w:val="none" w:sz="0" w:space="0" w:color="auto"/>
              </w:divBdr>
            </w:div>
            <w:div w:id="388114790">
              <w:marLeft w:val="0"/>
              <w:marRight w:val="0"/>
              <w:marTop w:val="0"/>
              <w:marBottom w:val="0"/>
              <w:divBdr>
                <w:top w:val="none" w:sz="0" w:space="0" w:color="auto"/>
                <w:left w:val="none" w:sz="0" w:space="0" w:color="auto"/>
                <w:bottom w:val="none" w:sz="0" w:space="0" w:color="auto"/>
                <w:right w:val="none" w:sz="0" w:space="0" w:color="auto"/>
              </w:divBdr>
            </w:div>
            <w:div w:id="391119502">
              <w:marLeft w:val="0"/>
              <w:marRight w:val="0"/>
              <w:marTop w:val="0"/>
              <w:marBottom w:val="0"/>
              <w:divBdr>
                <w:top w:val="none" w:sz="0" w:space="0" w:color="auto"/>
                <w:left w:val="none" w:sz="0" w:space="0" w:color="auto"/>
                <w:bottom w:val="none" w:sz="0" w:space="0" w:color="auto"/>
                <w:right w:val="none" w:sz="0" w:space="0" w:color="auto"/>
              </w:divBdr>
            </w:div>
            <w:div w:id="674454423">
              <w:marLeft w:val="0"/>
              <w:marRight w:val="0"/>
              <w:marTop w:val="0"/>
              <w:marBottom w:val="0"/>
              <w:divBdr>
                <w:top w:val="none" w:sz="0" w:space="0" w:color="auto"/>
                <w:left w:val="none" w:sz="0" w:space="0" w:color="auto"/>
                <w:bottom w:val="none" w:sz="0" w:space="0" w:color="auto"/>
                <w:right w:val="none" w:sz="0" w:space="0" w:color="auto"/>
              </w:divBdr>
            </w:div>
            <w:div w:id="813520674">
              <w:marLeft w:val="0"/>
              <w:marRight w:val="0"/>
              <w:marTop w:val="0"/>
              <w:marBottom w:val="0"/>
              <w:divBdr>
                <w:top w:val="none" w:sz="0" w:space="0" w:color="auto"/>
                <w:left w:val="none" w:sz="0" w:space="0" w:color="auto"/>
                <w:bottom w:val="none" w:sz="0" w:space="0" w:color="auto"/>
                <w:right w:val="none" w:sz="0" w:space="0" w:color="auto"/>
              </w:divBdr>
            </w:div>
            <w:div w:id="903756334">
              <w:marLeft w:val="0"/>
              <w:marRight w:val="0"/>
              <w:marTop w:val="0"/>
              <w:marBottom w:val="0"/>
              <w:divBdr>
                <w:top w:val="none" w:sz="0" w:space="0" w:color="auto"/>
                <w:left w:val="none" w:sz="0" w:space="0" w:color="auto"/>
                <w:bottom w:val="none" w:sz="0" w:space="0" w:color="auto"/>
                <w:right w:val="none" w:sz="0" w:space="0" w:color="auto"/>
              </w:divBdr>
            </w:div>
            <w:div w:id="946154528">
              <w:marLeft w:val="0"/>
              <w:marRight w:val="0"/>
              <w:marTop w:val="0"/>
              <w:marBottom w:val="0"/>
              <w:divBdr>
                <w:top w:val="none" w:sz="0" w:space="0" w:color="auto"/>
                <w:left w:val="none" w:sz="0" w:space="0" w:color="auto"/>
                <w:bottom w:val="none" w:sz="0" w:space="0" w:color="auto"/>
                <w:right w:val="none" w:sz="0" w:space="0" w:color="auto"/>
              </w:divBdr>
            </w:div>
            <w:div w:id="1084692229">
              <w:marLeft w:val="0"/>
              <w:marRight w:val="0"/>
              <w:marTop w:val="0"/>
              <w:marBottom w:val="0"/>
              <w:divBdr>
                <w:top w:val="none" w:sz="0" w:space="0" w:color="auto"/>
                <w:left w:val="none" w:sz="0" w:space="0" w:color="auto"/>
                <w:bottom w:val="none" w:sz="0" w:space="0" w:color="auto"/>
                <w:right w:val="none" w:sz="0" w:space="0" w:color="auto"/>
              </w:divBdr>
            </w:div>
            <w:div w:id="1136798864">
              <w:marLeft w:val="0"/>
              <w:marRight w:val="0"/>
              <w:marTop w:val="0"/>
              <w:marBottom w:val="0"/>
              <w:divBdr>
                <w:top w:val="none" w:sz="0" w:space="0" w:color="auto"/>
                <w:left w:val="none" w:sz="0" w:space="0" w:color="auto"/>
                <w:bottom w:val="none" w:sz="0" w:space="0" w:color="auto"/>
                <w:right w:val="none" w:sz="0" w:space="0" w:color="auto"/>
              </w:divBdr>
            </w:div>
            <w:div w:id="1317882094">
              <w:marLeft w:val="0"/>
              <w:marRight w:val="0"/>
              <w:marTop w:val="0"/>
              <w:marBottom w:val="0"/>
              <w:divBdr>
                <w:top w:val="none" w:sz="0" w:space="0" w:color="auto"/>
                <w:left w:val="none" w:sz="0" w:space="0" w:color="auto"/>
                <w:bottom w:val="none" w:sz="0" w:space="0" w:color="auto"/>
                <w:right w:val="none" w:sz="0" w:space="0" w:color="auto"/>
              </w:divBdr>
            </w:div>
            <w:div w:id="1392195232">
              <w:marLeft w:val="0"/>
              <w:marRight w:val="0"/>
              <w:marTop w:val="0"/>
              <w:marBottom w:val="0"/>
              <w:divBdr>
                <w:top w:val="none" w:sz="0" w:space="0" w:color="auto"/>
                <w:left w:val="none" w:sz="0" w:space="0" w:color="auto"/>
                <w:bottom w:val="none" w:sz="0" w:space="0" w:color="auto"/>
                <w:right w:val="none" w:sz="0" w:space="0" w:color="auto"/>
              </w:divBdr>
            </w:div>
            <w:div w:id="1628271343">
              <w:marLeft w:val="0"/>
              <w:marRight w:val="0"/>
              <w:marTop w:val="0"/>
              <w:marBottom w:val="0"/>
              <w:divBdr>
                <w:top w:val="none" w:sz="0" w:space="0" w:color="auto"/>
                <w:left w:val="none" w:sz="0" w:space="0" w:color="auto"/>
                <w:bottom w:val="none" w:sz="0" w:space="0" w:color="auto"/>
                <w:right w:val="none" w:sz="0" w:space="0" w:color="auto"/>
              </w:divBdr>
            </w:div>
            <w:div w:id="2016031074">
              <w:marLeft w:val="0"/>
              <w:marRight w:val="0"/>
              <w:marTop w:val="0"/>
              <w:marBottom w:val="0"/>
              <w:divBdr>
                <w:top w:val="none" w:sz="0" w:space="0" w:color="auto"/>
                <w:left w:val="none" w:sz="0" w:space="0" w:color="auto"/>
                <w:bottom w:val="none" w:sz="0" w:space="0" w:color="auto"/>
                <w:right w:val="none" w:sz="0" w:space="0" w:color="auto"/>
              </w:divBdr>
            </w:div>
            <w:div w:id="2056393217">
              <w:marLeft w:val="0"/>
              <w:marRight w:val="0"/>
              <w:marTop w:val="0"/>
              <w:marBottom w:val="0"/>
              <w:divBdr>
                <w:top w:val="none" w:sz="0" w:space="0" w:color="auto"/>
                <w:left w:val="none" w:sz="0" w:space="0" w:color="auto"/>
                <w:bottom w:val="none" w:sz="0" w:space="0" w:color="auto"/>
                <w:right w:val="none" w:sz="0" w:space="0" w:color="auto"/>
              </w:divBdr>
            </w:div>
          </w:divsChild>
        </w:div>
        <w:div w:id="1193768034">
          <w:marLeft w:val="0"/>
          <w:marRight w:val="0"/>
          <w:marTop w:val="0"/>
          <w:marBottom w:val="0"/>
          <w:divBdr>
            <w:top w:val="none" w:sz="0" w:space="0" w:color="auto"/>
            <w:left w:val="none" w:sz="0" w:space="0" w:color="auto"/>
            <w:bottom w:val="none" w:sz="0" w:space="0" w:color="auto"/>
            <w:right w:val="none" w:sz="0" w:space="0" w:color="auto"/>
          </w:divBdr>
        </w:div>
        <w:div w:id="1197037912">
          <w:marLeft w:val="0"/>
          <w:marRight w:val="0"/>
          <w:marTop w:val="0"/>
          <w:marBottom w:val="0"/>
          <w:divBdr>
            <w:top w:val="none" w:sz="0" w:space="0" w:color="auto"/>
            <w:left w:val="none" w:sz="0" w:space="0" w:color="auto"/>
            <w:bottom w:val="none" w:sz="0" w:space="0" w:color="auto"/>
            <w:right w:val="none" w:sz="0" w:space="0" w:color="auto"/>
          </w:divBdr>
        </w:div>
        <w:div w:id="1198004314">
          <w:marLeft w:val="0"/>
          <w:marRight w:val="0"/>
          <w:marTop w:val="0"/>
          <w:marBottom w:val="0"/>
          <w:divBdr>
            <w:top w:val="none" w:sz="0" w:space="0" w:color="auto"/>
            <w:left w:val="none" w:sz="0" w:space="0" w:color="auto"/>
            <w:bottom w:val="none" w:sz="0" w:space="0" w:color="auto"/>
            <w:right w:val="none" w:sz="0" w:space="0" w:color="auto"/>
          </w:divBdr>
        </w:div>
        <w:div w:id="1198083800">
          <w:marLeft w:val="0"/>
          <w:marRight w:val="0"/>
          <w:marTop w:val="0"/>
          <w:marBottom w:val="0"/>
          <w:divBdr>
            <w:top w:val="none" w:sz="0" w:space="0" w:color="auto"/>
            <w:left w:val="none" w:sz="0" w:space="0" w:color="auto"/>
            <w:bottom w:val="none" w:sz="0" w:space="0" w:color="auto"/>
            <w:right w:val="none" w:sz="0" w:space="0" w:color="auto"/>
          </w:divBdr>
        </w:div>
        <w:div w:id="1198547575">
          <w:marLeft w:val="0"/>
          <w:marRight w:val="0"/>
          <w:marTop w:val="0"/>
          <w:marBottom w:val="0"/>
          <w:divBdr>
            <w:top w:val="none" w:sz="0" w:space="0" w:color="auto"/>
            <w:left w:val="none" w:sz="0" w:space="0" w:color="auto"/>
            <w:bottom w:val="none" w:sz="0" w:space="0" w:color="auto"/>
            <w:right w:val="none" w:sz="0" w:space="0" w:color="auto"/>
          </w:divBdr>
        </w:div>
        <w:div w:id="1200779563">
          <w:marLeft w:val="0"/>
          <w:marRight w:val="0"/>
          <w:marTop w:val="0"/>
          <w:marBottom w:val="0"/>
          <w:divBdr>
            <w:top w:val="none" w:sz="0" w:space="0" w:color="auto"/>
            <w:left w:val="none" w:sz="0" w:space="0" w:color="auto"/>
            <w:bottom w:val="none" w:sz="0" w:space="0" w:color="auto"/>
            <w:right w:val="none" w:sz="0" w:space="0" w:color="auto"/>
          </w:divBdr>
        </w:div>
        <w:div w:id="1203246974">
          <w:marLeft w:val="0"/>
          <w:marRight w:val="0"/>
          <w:marTop w:val="0"/>
          <w:marBottom w:val="0"/>
          <w:divBdr>
            <w:top w:val="none" w:sz="0" w:space="0" w:color="auto"/>
            <w:left w:val="none" w:sz="0" w:space="0" w:color="auto"/>
            <w:bottom w:val="none" w:sz="0" w:space="0" w:color="auto"/>
            <w:right w:val="none" w:sz="0" w:space="0" w:color="auto"/>
          </w:divBdr>
        </w:div>
        <w:div w:id="1204293246">
          <w:marLeft w:val="0"/>
          <w:marRight w:val="0"/>
          <w:marTop w:val="0"/>
          <w:marBottom w:val="0"/>
          <w:divBdr>
            <w:top w:val="none" w:sz="0" w:space="0" w:color="auto"/>
            <w:left w:val="none" w:sz="0" w:space="0" w:color="auto"/>
            <w:bottom w:val="none" w:sz="0" w:space="0" w:color="auto"/>
            <w:right w:val="none" w:sz="0" w:space="0" w:color="auto"/>
          </w:divBdr>
        </w:div>
        <w:div w:id="1205173002">
          <w:marLeft w:val="0"/>
          <w:marRight w:val="0"/>
          <w:marTop w:val="0"/>
          <w:marBottom w:val="0"/>
          <w:divBdr>
            <w:top w:val="none" w:sz="0" w:space="0" w:color="auto"/>
            <w:left w:val="none" w:sz="0" w:space="0" w:color="auto"/>
            <w:bottom w:val="none" w:sz="0" w:space="0" w:color="auto"/>
            <w:right w:val="none" w:sz="0" w:space="0" w:color="auto"/>
          </w:divBdr>
        </w:div>
        <w:div w:id="1205404424">
          <w:marLeft w:val="0"/>
          <w:marRight w:val="0"/>
          <w:marTop w:val="0"/>
          <w:marBottom w:val="0"/>
          <w:divBdr>
            <w:top w:val="none" w:sz="0" w:space="0" w:color="auto"/>
            <w:left w:val="none" w:sz="0" w:space="0" w:color="auto"/>
            <w:bottom w:val="none" w:sz="0" w:space="0" w:color="auto"/>
            <w:right w:val="none" w:sz="0" w:space="0" w:color="auto"/>
          </w:divBdr>
        </w:div>
        <w:div w:id="1207521134">
          <w:marLeft w:val="0"/>
          <w:marRight w:val="0"/>
          <w:marTop w:val="0"/>
          <w:marBottom w:val="0"/>
          <w:divBdr>
            <w:top w:val="none" w:sz="0" w:space="0" w:color="auto"/>
            <w:left w:val="none" w:sz="0" w:space="0" w:color="auto"/>
            <w:bottom w:val="none" w:sz="0" w:space="0" w:color="auto"/>
            <w:right w:val="none" w:sz="0" w:space="0" w:color="auto"/>
          </w:divBdr>
        </w:div>
        <w:div w:id="1211922997">
          <w:marLeft w:val="0"/>
          <w:marRight w:val="0"/>
          <w:marTop w:val="0"/>
          <w:marBottom w:val="0"/>
          <w:divBdr>
            <w:top w:val="none" w:sz="0" w:space="0" w:color="auto"/>
            <w:left w:val="none" w:sz="0" w:space="0" w:color="auto"/>
            <w:bottom w:val="none" w:sz="0" w:space="0" w:color="auto"/>
            <w:right w:val="none" w:sz="0" w:space="0" w:color="auto"/>
          </w:divBdr>
          <w:divsChild>
            <w:div w:id="26684199">
              <w:marLeft w:val="0"/>
              <w:marRight w:val="0"/>
              <w:marTop w:val="0"/>
              <w:marBottom w:val="0"/>
              <w:divBdr>
                <w:top w:val="none" w:sz="0" w:space="0" w:color="auto"/>
                <w:left w:val="none" w:sz="0" w:space="0" w:color="auto"/>
                <w:bottom w:val="none" w:sz="0" w:space="0" w:color="auto"/>
                <w:right w:val="none" w:sz="0" w:space="0" w:color="auto"/>
              </w:divBdr>
            </w:div>
            <w:div w:id="92894745">
              <w:marLeft w:val="0"/>
              <w:marRight w:val="0"/>
              <w:marTop w:val="0"/>
              <w:marBottom w:val="0"/>
              <w:divBdr>
                <w:top w:val="none" w:sz="0" w:space="0" w:color="auto"/>
                <w:left w:val="none" w:sz="0" w:space="0" w:color="auto"/>
                <w:bottom w:val="none" w:sz="0" w:space="0" w:color="auto"/>
                <w:right w:val="none" w:sz="0" w:space="0" w:color="auto"/>
              </w:divBdr>
            </w:div>
            <w:div w:id="276110172">
              <w:marLeft w:val="0"/>
              <w:marRight w:val="0"/>
              <w:marTop w:val="0"/>
              <w:marBottom w:val="0"/>
              <w:divBdr>
                <w:top w:val="none" w:sz="0" w:space="0" w:color="auto"/>
                <w:left w:val="none" w:sz="0" w:space="0" w:color="auto"/>
                <w:bottom w:val="none" w:sz="0" w:space="0" w:color="auto"/>
                <w:right w:val="none" w:sz="0" w:space="0" w:color="auto"/>
              </w:divBdr>
            </w:div>
            <w:div w:id="588923965">
              <w:marLeft w:val="0"/>
              <w:marRight w:val="0"/>
              <w:marTop w:val="0"/>
              <w:marBottom w:val="0"/>
              <w:divBdr>
                <w:top w:val="none" w:sz="0" w:space="0" w:color="auto"/>
                <w:left w:val="none" w:sz="0" w:space="0" w:color="auto"/>
                <w:bottom w:val="none" w:sz="0" w:space="0" w:color="auto"/>
                <w:right w:val="none" w:sz="0" w:space="0" w:color="auto"/>
              </w:divBdr>
            </w:div>
            <w:div w:id="614485251">
              <w:marLeft w:val="0"/>
              <w:marRight w:val="0"/>
              <w:marTop w:val="0"/>
              <w:marBottom w:val="0"/>
              <w:divBdr>
                <w:top w:val="none" w:sz="0" w:space="0" w:color="auto"/>
                <w:left w:val="none" w:sz="0" w:space="0" w:color="auto"/>
                <w:bottom w:val="none" w:sz="0" w:space="0" w:color="auto"/>
                <w:right w:val="none" w:sz="0" w:space="0" w:color="auto"/>
              </w:divBdr>
            </w:div>
            <w:div w:id="780606206">
              <w:marLeft w:val="0"/>
              <w:marRight w:val="0"/>
              <w:marTop w:val="0"/>
              <w:marBottom w:val="0"/>
              <w:divBdr>
                <w:top w:val="none" w:sz="0" w:space="0" w:color="auto"/>
                <w:left w:val="none" w:sz="0" w:space="0" w:color="auto"/>
                <w:bottom w:val="none" w:sz="0" w:space="0" w:color="auto"/>
                <w:right w:val="none" w:sz="0" w:space="0" w:color="auto"/>
              </w:divBdr>
            </w:div>
            <w:div w:id="970211496">
              <w:marLeft w:val="0"/>
              <w:marRight w:val="0"/>
              <w:marTop w:val="0"/>
              <w:marBottom w:val="0"/>
              <w:divBdr>
                <w:top w:val="none" w:sz="0" w:space="0" w:color="auto"/>
                <w:left w:val="none" w:sz="0" w:space="0" w:color="auto"/>
                <w:bottom w:val="none" w:sz="0" w:space="0" w:color="auto"/>
                <w:right w:val="none" w:sz="0" w:space="0" w:color="auto"/>
              </w:divBdr>
            </w:div>
            <w:div w:id="1037437294">
              <w:marLeft w:val="0"/>
              <w:marRight w:val="0"/>
              <w:marTop w:val="0"/>
              <w:marBottom w:val="0"/>
              <w:divBdr>
                <w:top w:val="none" w:sz="0" w:space="0" w:color="auto"/>
                <w:left w:val="none" w:sz="0" w:space="0" w:color="auto"/>
                <w:bottom w:val="none" w:sz="0" w:space="0" w:color="auto"/>
                <w:right w:val="none" w:sz="0" w:space="0" w:color="auto"/>
              </w:divBdr>
            </w:div>
            <w:div w:id="1083719421">
              <w:marLeft w:val="0"/>
              <w:marRight w:val="0"/>
              <w:marTop w:val="0"/>
              <w:marBottom w:val="0"/>
              <w:divBdr>
                <w:top w:val="none" w:sz="0" w:space="0" w:color="auto"/>
                <w:left w:val="none" w:sz="0" w:space="0" w:color="auto"/>
                <w:bottom w:val="none" w:sz="0" w:space="0" w:color="auto"/>
                <w:right w:val="none" w:sz="0" w:space="0" w:color="auto"/>
              </w:divBdr>
            </w:div>
            <w:div w:id="1106533697">
              <w:marLeft w:val="0"/>
              <w:marRight w:val="0"/>
              <w:marTop w:val="0"/>
              <w:marBottom w:val="0"/>
              <w:divBdr>
                <w:top w:val="none" w:sz="0" w:space="0" w:color="auto"/>
                <w:left w:val="none" w:sz="0" w:space="0" w:color="auto"/>
                <w:bottom w:val="none" w:sz="0" w:space="0" w:color="auto"/>
                <w:right w:val="none" w:sz="0" w:space="0" w:color="auto"/>
              </w:divBdr>
            </w:div>
            <w:div w:id="1152330296">
              <w:marLeft w:val="0"/>
              <w:marRight w:val="0"/>
              <w:marTop w:val="0"/>
              <w:marBottom w:val="0"/>
              <w:divBdr>
                <w:top w:val="none" w:sz="0" w:space="0" w:color="auto"/>
                <w:left w:val="none" w:sz="0" w:space="0" w:color="auto"/>
                <w:bottom w:val="none" w:sz="0" w:space="0" w:color="auto"/>
                <w:right w:val="none" w:sz="0" w:space="0" w:color="auto"/>
              </w:divBdr>
            </w:div>
            <w:div w:id="1255171380">
              <w:marLeft w:val="0"/>
              <w:marRight w:val="0"/>
              <w:marTop w:val="0"/>
              <w:marBottom w:val="0"/>
              <w:divBdr>
                <w:top w:val="none" w:sz="0" w:space="0" w:color="auto"/>
                <w:left w:val="none" w:sz="0" w:space="0" w:color="auto"/>
                <w:bottom w:val="none" w:sz="0" w:space="0" w:color="auto"/>
                <w:right w:val="none" w:sz="0" w:space="0" w:color="auto"/>
              </w:divBdr>
            </w:div>
            <w:div w:id="1264267617">
              <w:marLeft w:val="0"/>
              <w:marRight w:val="0"/>
              <w:marTop w:val="0"/>
              <w:marBottom w:val="0"/>
              <w:divBdr>
                <w:top w:val="none" w:sz="0" w:space="0" w:color="auto"/>
                <w:left w:val="none" w:sz="0" w:space="0" w:color="auto"/>
                <w:bottom w:val="none" w:sz="0" w:space="0" w:color="auto"/>
                <w:right w:val="none" w:sz="0" w:space="0" w:color="auto"/>
              </w:divBdr>
            </w:div>
            <w:div w:id="1360625348">
              <w:marLeft w:val="0"/>
              <w:marRight w:val="0"/>
              <w:marTop w:val="0"/>
              <w:marBottom w:val="0"/>
              <w:divBdr>
                <w:top w:val="none" w:sz="0" w:space="0" w:color="auto"/>
                <w:left w:val="none" w:sz="0" w:space="0" w:color="auto"/>
                <w:bottom w:val="none" w:sz="0" w:space="0" w:color="auto"/>
                <w:right w:val="none" w:sz="0" w:space="0" w:color="auto"/>
              </w:divBdr>
            </w:div>
            <w:div w:id="1730766765">
              <w:marLeft w:val="0"/>
              <w:marRight w:val="0"/>
              <w:marTop w:val="0"/>
              <w:marBottom w:val="0"/>
              <w:divBdr>
                <w:top w:val="none" w:sz="0" w:space="0" w:color="auto"/>
                <w:left w:val="none" w:sz="0" w:space="0" w:color="auto"/>
                <w:bottom w:val="none" w:sz="0" w:space="0" w:color="auto"/>
                <w:right w:val="none" w:sz="0" w:space="0" w:color="auto"/>
              </w:divBdr>
            </w:div>
            <w:div w:id="1812364543">
              <w:marLeft w:val="0"/>
              <w:marRight w:val="0"/>
              <w:marTop w:val="0"/>
              <w:marBottom w:val="0"/>
              <w:divBdr>
                <w:top w:val="none" w:sz="0" w:space="0" w:color="auto"/>
                <w:left w:val="none" w:sz="0" w:space="0" w:color="auto"/>
                <w:bottom w:val="none" w:sz="0" w:space="0" w:color="auto"/>
                <w:right w:val="none" w:sz="0" w:space="0" w:color="auto"/>
              </w:divBdr>
            </w:div>
            <w:div w:id="1862817655">
              <w:marLeft w:val="0"/>
              <w:marRight w:val="0"/>
              <w:marTop w:val="0"/>
              <w:marBottom w:val="0"/>
              <w:divBdr>
                <w:top w:val="none" w:sz="0" w:space="0" w:color="auto"/>
                <w:left w:val="none" w:sz="0" w:space="0" w:color="auto"/>
                <w:bottom w:val="none" w:sz="0" w:space="0" w:color="auto"/>
                <w:right w:val="none" w:sz="0" w:space="0" w:color="auto"/>
              </w:divBdr>
            </w:div>
            <w:div w:id="1973973439">
              <w:marLeft w:val="0"/>
              <w:marRight w:val="0"/>
              <w:marTop w:val="0"/>
              <w:marBottom w:val="0"/>
              <w:divBdr>
                <w:top w:val="none" w:sz="0" w:space="0" w:color="auto"/>
                <w:left w:val="none" w:sz="0" w:space="0" w:color="auto"/>
                <w:bottom w:val="none" w:sz="0" w:space="0" w:color="auto"/>
                <w:right w:val="none" w:sz="0" w:space="0" w:color="auto"/>
              </w:divBdr>
            </w:div>
            <w:div w:id="2065518793">
              <w:marLeft w:val="0"/>
              <w:marRight w:val="0"/>
              <w:marTop w:val="0"/>
              <w:marBottom w:val="0"/>
              <w:divBdr>
                <w:top w:val="none" w:sz="0" w:space="0" w:color="auto"/>
                <w:left w:val="none" w:sz="0" w:space="0" w:color="auto"/>
                <w:bottom w:val="none" w:sz="0" w:space="0" w:color="auto"/>
                <w:right w:val="none" w:sz="0" w:space="0" w:color="auto"/>
              </w:divBdr>
            </w:div>
            <w:div w:id="2137481793">
              <w:marLeft w:val="0"/>
              <w:marRight w:val="0"/>
              <w:marTop w:val="0"/>
              <w:marBottom w:val="0"/>
              <w:divBdr>
                <w:top w:val="none" w:sz="0" w:space="0" w:color="auto"/>
                <w:left w:val="none" w:sz="0" w:space="0" w:color="auto"/>
                <w:bottom w:val="none" w:sz="0" w:space="0" w:color="auto"/>
                <w:right w:val="none" w:sz="0" w:space="0" w:color="auto"/>
              </w:divBdr>
            </w:div>
          </w:divsChild>
        </w:div>
        <w:div w:id="1212183378">
          <w:marLeft w:val="0"/>
          <w:marRight w:val="0"/>
          <w:marTop w:val="0"/>
          <w:marBottom w:val="0"/>
          <w:divBdr>
            <w:top w:val="none" w:sz="0" w:space="0" w:color="auto"/>
            <w:left w:val="none" w:sz="0" w:space="0" w:color="auto"/>
            <w:bottom w:val="none" w:sz="0" w:space="0" w:color="auto"/>
            <w:right w:val="none" w:sz="0" w:space="0" w:color="auto"/>
          </w:divBdr>
        </w:div>
        <w:div w:id="1212959887">
          <w:marLeft w:val="0"/>
          <w:marRight w:val="0"/>
          <w:marTop w:val="0"/>
          <w:marBottom w:val="0"/>
          <w:divBdr>
            <w:top w:val="none" w:sz="0" w:space="0" w:color="auto"/>
            <w:left w:val="none" w:sz="0" w:space="0" w:color="auto"/>
            <w:bottom w:val="none" w:sz="0" w:space="0" w:color="auto"/>
            <w:right w:val="none" w:sz="0" w:space="0" w:color="auto"/>
          </w:divBdr>
        </w:div>
        <w:div w:id="1214270676">
          <w:marLeft w:val="0"/>
          <w:marRight w:val="0"/>
          <w:marTop w:val="0"/>
          <w:marBottom w:val="0"/>
          <w:divBdr>
            <w:top w:val="none" w:sz="0" w:space="0" w:color="auto"/>
            <w:left w:val="none" w:sz="0" w:space="0" w:color="auto"/>
            <w:bottom w:val="none" w:sz="0" w:space="0" w:color="auto"/>
            <w:right w:val="none" w:sz="0" w:space="0" w:color="auto"/>
          </w:divBdr>
        </w:div>
        <w:div w:id="1215772670">
          <w:marLeft w:val="0"/>
          <w:marRight w:val="0"/>
          <w:marTop w:val="0"/>
          <w:marBottom w:val="0"/>
          <w:divBdr>
            <w:top w:val="none" w:sz="0" w:space="0" w:color="auto"/>
            <w:left w:val="none" w:sz="0" w:space="0" w:color="auto"/>
            <w:bottom w:val="none" w:sz="0" w:space="0" w:color="auto"/>
            <w:right w:val="none" w:sz="0" w:space="0" w:color="auto"/>
          </w:divBdr>
        </w:div>
        <w:div w:id="1218974332">
          <w:marLeft w:val="0"/>
          <w:marRight w:val="0"/>
          <w:marTop w:val="0"/>
          <w:marBottom w:val="0"/>
          <w:divBdr>
            <w:top w:val="none" w:sz="0" w:space="0" w:color="auto"/>
            <w:left w:val="none" w:sz="0" w:space="0" w:color="auto"/>
            <w:bottom w:val="none" w:sz="0" w:space="0" w:color="auto"/>
            <w:right w:val="none" w:sz="0" w:space="0" w:color="auto"/>
          </w:divBdr>
        </w:div>
        <w:div w:id="1220046723">
          <w:marLeft w:val="0"/>
          <w:marRight w:val="0"/>
          <w:marTop w:val="0"/>
          <w:marBottom w:val="0"/>
          <w:divBdr>
            <w:top w:val="none" w:sz="0" w:space="0" w:color="auto"/>
            <w:left w:val="none" w:sz="0" w:space="0" w:color="auto"/>
            <w:bottom w:val="none" w:sz="0" w:space="0" w:color="auto"/>
            <w:right w:val="none" w:sz="0" w:space="0" w:color="auto"/>
          </w:divBdr>
        </w:div>
        <w:div w:id="1225263583">
          <w:marLeft w:val="0"/>
          <w:marRight w:val="0"/>
          <w:marTop w:val="0"/>
          <w:marBottom w:val="0"/>
          <w:divBdr>
            <w:top w:val="none" w:sz="0" w:space="0" w:color="auto"/>
            <w:left w:val="none" w:sz="0" w:space="0" w:color="auto"/>
            <w:bottom w:val="none" w:sz="0" w:space="0" w:color="auto"/>
            <w:right w:val="none" w:sz="0" w:space="0" w:color="auto"/>
          </w:divBdr>
          <w:divsChild>
            <w:div w:id="431560365">
              <w:marLeft w:val="0"/>
              <w:marRight w:val="0"/>
              <w:marTop w:val="0"/>
              <w:marBottom w:val="0"/>
              <w:divBdr>
                <w:top w:val="none" w:sz="0" w:space="0" w:color="auto"/>
                <w:left w:val="none" w:sz="0" w:space="0" w:color="auto"/>
                <w:bottom w:val="none" w:sz="0" w:space="0" w:color="auto"/>
                <w:right w:val="none" w:sz="0" w:space="0" w:color="auto"/>
              </w:divBdr>
            </w:div>
            <w:div w:id="553931740">
              <w:marLeft w:val="0"/>
              <w:marRight w:val="0"/>
              <w:marTop w:val="0"/>
              <w:marBottom w:val="0"/>
              <w:divBdr>
                <w:top w:val="none" w:sz="0" w:space="0" w:color="auto"/>
                <w:left w:val="none" w:sz="0" w:space="0" w:color="auto"/>
                <w:bottom w:val="none" w:sz="0" w:space="0" w:color="auto"/>
                <w:right w:val="none" w:sz="0" w:space="0" w:color="auto"/>
              </w:divBdr>
            </w:div>
            <w:div w:id="628244036">
              <w:marLeft w:val="0"/>
              <w:marRight w:val="0"/>
              <w:marTop w:val="0"/>
              <w:marBottom w:val="0"/>
              <w:divBdr>
                <w:top w:val="none" w:sz="0" w:space="0" w:color="auto"/>
                <w:left w:val="none" w:sz="0" w:space="0" w:color="auto"/>
                <w:bottom w:val="none" w:sz="0" w:space="0" w:color="auto"/>
                <w:right w:val="none" w:sz="0" w:space="0" w:color="auto"/>
              </w:divBdr>
            </w:div>
            <w:div w:id="841630488">
              <w:marLeft w:val="0"/>
              <w:marRight w:val="0"/>
              <w:marTop w:val="0"/>
              <w:marBottom w:val="0"/>
              <w:divBdr>
                <w:top w:val="none" w:sz="0" w:space="0" w:color="auto"/>
                <w:left w:val="none" w:sz="0" w:space="0" w:color="auto"/>
                <w:bottom w:val="none" w:sz="0" w:space="0" w:color="auto"/>
                <w:right w:val="none" w:sz="0" w:space="0" w:color="auto"/>
              </w:divBdr>
            </w:div>
            <w:div w:id="867915338">
              <w:marLeft w:val="0"/>
              <w:marRight w:val="0"/>
              <w:marTop w:val="0"/>
              <w:marBottom w:val="0"/>
              <w:divBdr>
                <w:top w:val="none" w:sz="0" w:space="0" w:color="auto"/>
                <w:left w:val="none" w:sz="0" w:space="0" w:color="auto"/>
                <w:bottom w:val="none" w:sz="0" w:space="0" w:color="auto"/>
                <w:right w:val="none" w:sz="0" w:space="0" w:color="auto"/>
              </w:divBdr>
            </w:div>
            <w:div w:id="1289623061">
              <w:marLeft w:val="0"/>
              <w:marRight w:val="0"/>
              <w:marTop w:val="0"/>
              <w:marBottom w:val="0"/>
              <w:divBdr>
                <w:top w:val="none" w:sz="0" w:space="0" w:color="auto"/>
                <w:left w:val="none" w:sz="0" w:space="0" w:color="auto"/>
                <w:bottom w:val="none" w:sz="0" w:space="0" w:color="auto"/>
                <w:right w:val="none" w:sz="0" w:space="0" w:color="auto"/>
              </w:divBdr>
            </w:div>
            <w:div w:id="1449008090">
              <w:marLeft w:val="0"/>
              <w:marRight w:val="0"/>
              <w:marTop w:val="0"/>
              <w:marBottom w:val="0"/>
              <w:divBdr>
                <w:top w:val="none" w:sz="0" w:space="0" w:color="auto"/>
                <w:left w:val="none" w:sz="0" w:space="0" w:color="auto"/>
                <w:bottom w:val="none" w:sz="0" w:space="0" w:color="auto"/>
                <w:right w:val="none" w:sz="0" w:space="0" w:color="auto"/>
              </w:divBdr>
            </w:div>
            <w:div w:id="1666518572">
              <w:marLeft w:val="0"/>
              <w:marRight w:val="0"/>
              <w:marTop w:val="0"/>
              <w:marBottom w:val="0"/>
              <w:divBdr>
                <w:top w:val="none" w:sz="0" w:space="0" w:color="auto"/>
                <w:left w:val="none" w:sz="0" w:space="0" w:color="auto"/>
                <w:bottom w:val="none" w:sz="0" w:space="0" w:color="auto"/>
                <w:right w:val="none" w:sz="0" w:space="0" w:color="auto"/>
              </w:divBdr>
            </w:div>
            <w:div w:id="1814517126">
              <w:marLeft w:val="0"/>
              <w:marRight w:val="0"/>
              <w:marTop w:val="0"/>
              <w:marBottom w:val="0"/>
              <w:divBdr>
                <w:top w:val="none" w:sz="0" w:space="0" w:color="auto"/>
                <w:left w:val="none" w:sz="0" w:space="0" w:color="auto"/>
                <w:bottom w:val="none" w:sz="0" w:space="0" w:color="auto"/>
                <w:right w:val="none" w:sz="0" w:space="0" w:color="auto"/>
              </w:divBdr>
            </w:div>
            <w:div w:id="2027827639">
              <w:marLeft w:val="0"/>
              <w:marRight w:val="0"/>
              <w:marTop w:val="0"/>
              <w:marBottom w:val="0"/>
              <w:divBdr>
                <w:top w:val="none" w:sz="0" w:space="0" w:color="auto"/>
                <w:left w:val="none" w:sz="0" w:space="0" w:color="auto"/>
                <w:bottom w:val="none" w:sz="0" w:space="0" w:color="auto"/>
                <w:right w:val="none" w:sz="0" w:space="0" w:color="auto"/>
              </w:divBdr>
            </w:div>
            <w:div w:id="2141653669">
              <w:marLeft w:val="0"/>
              <w:marRight w:val="0"/>
              <w:marTop w:val="0"/>
              <w:marBottom w:val="0"/>
              <w:divBdr>
                <w:top w:val="none" w:sz="0" w:space="0" w:color="auto"/>
                <w:left w:val="none" w:sz="0" w:space="0" w:color="auto"/>
                <w:bottom w:val="none" w:sz="0" w:space="0" w:color="auto"/>
                <w:right w:val="none" w:sz="0" w:space="0" w:color="auto"/>
              </w:divBdr>
            </w:div>
          </w:divsChild>
        </w:div>
        <w:div w:id="1227229825">
          <w:marLeft w:val="0"/>
          <w:marRight w:val="0"/>
          <w:marTop w:val="0"/>
          <w:marBottom w:val="0"/>
          <w:divBdr>
            <w:top w:val="none" w:sz="0" w:space="0" w:color="auto"/>
            <w:left w:val="none" w:sz="0" w:space="0" w:color="auto"/>
            <w:bottom w:val="none" w:sz="0" w:space="0" w:color="auto"/>
            <w:right w:val="none" w:sz="0" w:space="0" w:color="auto"/>
          </w:divBdr>
        </w:div>
        <w:div w:id="1229147731">
          <w:marLeft w:val="0"/>
          <w:marRight w:val="0"/>
          <w:marTop w:val="0"/>
          <w:marBottom w:val="0"/>
          <w:divBdr>
            <w:top w:val="none" w:sz="0" w:space="0" w:color="auto"/>
            <w:left w:val="none" w:sz="0" w:space="0" w:color="auto"/>
            <w:bottom w:val="none" w:sz="0" w:space="0" w:color="auto"/>
            <w:right w:val="none" w:sz="0" w:space="0" w:color="auto"/>
          </w:divBdr>
        </w:div>
        <w:div w:id="1231697249">
          <w:marLeft w:val="0"/>
          <w:marRight w:val="0"/>
          <w:marTop w:val="0"/>
          <w:marBottom w:val="0"/>
          <w:divBdr>
            <w:top w:val="none" w:sz="0" w:space="0" w:color="auto"/>
            <w:left w:val="none" w:sz="0" w:space="0" w:color="auto"/>
            <w:bottom w:val="none" w:sz="0" w:space="0" w:color="auto"/>
            <w:right w:val="none" w:sz="0" w:space="0" w:color="auto"/>
          </w:divBdr>
          <w:divsChild>
            <w:div w:id="45493153">
              <w:marLeft w:val="0"/>
              <w:marRight w:val="0"/>
              <w:marTop w:val="0"/>
              <w:marBottom w:val="0"/>
              <w:divBdr>
                <w:top w:val="none" w:sz="0" w:space="0" w:color="auto"/>
                <w:left w:val="none" w:sz="0" w:space="0" w:color="auto"/>
                <w:bottom w:val="none" w:sz="0" w:space="0" w:color="auto"/>
                <w:right w:val="none" w:sz="0" w:space="0" w:color="auto"/>
              </w:divBdr>
            </w:div>
            <w:div w:id="54013136">
              <w:marLeft w:val="0"/>
              <w:marRight w:val="0"/>
              <w:marTop w:val="0"/>
              <w:marBottom w:val="0"/>
              <w:divBdr>
                <w:top w:val="none" w:sz="0" w:space="0" w:color="auto"/>
                <w:left w:val="none" w:sz="0" w:space="0" w:color="auto"/>
                <w:bottom w:val="none" w:sz="0" w:space="0" w:color="auto"/>
                <w:right w:val="none" w:sz="0" w:space="0" w:color="auto"/>
              </w:divBdr>
            </w:div>
            <w:div w:id="123349416">
              <w:marLeft w:val="0"/>
              <w:marRight w:val="0"/>
              <w:marTop w:val="0"/>
              <w:marBottom w:val="0"/>
              <w:divBdr>
                <w:top w:val="none" w:sz="0" w:space="0" w:color="auto"/>
                <w:left w:val="none" w:sz="0" w:space="0" w:color="auto"/>
                <w:bottom w:val="none" w:sz="0" w:space="0" w:color="auto"/>
                <w:right w:val="none" w:sz="0" w:space="0" w:color="auto"/>
              </w:divBdr>
            </w:div>
            <w:div w:id="324825118">
              <w:marLeft w:val="0"/>
              <w:marRight w:val="0"/>
              <w:marTop w:val="0"/>
              <w:marBottom w:val="0"/>
              <w:divBdr>
                <w:top w:val="none" w:sz="0" w:space="0" w:color="auto"/>
                <w:left w:val="none" w:sz="0" w:space="0" w:color="auto"/>
                <w:bottom w:val="none" w:sz="0" w:space="0" w:color="auto"/>
                <w:right w:val="none" w:sz="0" w:space="0" w:color="auto"/>
              </w:divBdr>
            </w:div>
            <w:div w:id="643394235">
              <w:marLeft w:val="0"/>
              <w:marRight w:val="0"/>
              <w:marTop w:val="0"/>
              <w:marBottom w:val="0"/>
              <w:divBdr>
                <w:top w:val="none" w:sz="0" w:space="0" w:color="auto"/>
                <w:left w:val="none" w:sz="0" w:space="0" w:color="auto"/>
                <w:bottom w:val="none" w:sz="0" w:space="0" w:color="auto"/>
                <w:right w:val="none" w:sz="0" w:space="0" w:color="auto"/>
              </w:divBdr>
            </w:div>
            <w:div w:id="795299870">
              <w:marLeft w:val="0"/>
              <w:marRight w:val="0"/>
              <w:marTop w:val="0"/>
              <w:marBottom w:val="0"/>
              <w:divBdr>
                <w:top w:val="none" w:sz="0" w:space="0" w:color="auto"/>
                <w:left w:val="none" w:sz="0" w:space="0" w:color="auto"/>
                <w:bottom w:val="none" w:sz="0" w:space="0" w:color="auto"/>
                <w:right w:val="none" w:sz="0" w:space="0" w:color="auto"/>
              </w:divBdr>
            </w:div>
            <w:div w:id="816648084">
              <w:marLeft w:val="0"/>
              <w:marRight w:val="0"/>
              <w:marTop w:val="0"/>
              <w:marBottom w:val="0"/>
              <w:divBdr>
                <w:top w:val="none" w:sz="0" w:space="0" w:color="auto"/>
                <w:left w:val="none" w:sz="0" w:space="0" w:color="auto"/>
                <w:bottom w:val="none" w:sz="0" w:space="0" w:color="auto"/>
                <w:right w:val="none" w:sz="0" w:space="0" w:color="auto"/>
              </w:divBdr>
            </w:div>
            <w:div w:id="1002968251">
              <w:marLeft w:val="0"/>
              <w:marRight w:val="0"/>
              <w:marTop w:val="0"/>
              <w:marBottom w:val="0"/>
              <w:divBdr>
                <w:top w:val="none" w:sz="0" w:space="0" w:color="auto"/>
                <w:left w:val="none" w:sz="0" w:space="0" w:color="auto"/>
                <w:bottom w:val="none" w:sz="0" w:space="0" w:color="auto"/>
                <w:right w:val="none" w:sz="0" w:space="0" w:color="auto"/>
              </w:divBdr>
            </w:div>
            <w:div w:id="1047678684">
              <w:marLeft w:val="0"/>
              <w:marRight w:val="0"/>
              <w:marTop w:val="0"/>
              <w:marBottom w:val="0"/>
              <w:divBdr>
                <w:top w:val="none" w:sz="0" w:space="0" w:color="auto"/>
                <w:left w:val="none" w:sz="0" w:space="0" w:color="auto"/>
                <w:bottom w:val="none" w:sz="0" w:space="0" w:color="auto"/>
                <w:right w:val="none" w:sz="0" w:space="0" w:color="auto"/>
              </w:divBdr>
            </w:div>
            <w:div w:id="1098872519">
              <w:marLeft w:val="0"/>
              <w:marRight w:val="0"/>
              <w:marTop w:val="0"/>
              <w:marBottom w:val="0"/>
              <w:divBdr>
                <w:top w:val="none" w:sz="0" w:space="0" w:color="auto"/>
                <w:left w:val="none" w:sz="0" w:space="0" w:color="auto"/>
                <w:bottom w:val="none" w:sz="0" w:space="0" w:color="auto"/>
                <w:right w:val="none" w:sz="0" w:space="0" w:color="auto"/>
              </w:divBdr>
            </w:div>
            <w:div w:id="1181508942">
              <w:marLeft w:val="0"/>
              <w:marRight w:val="0"/>
              <w:marTop w:val="0"/>
              <w:marBottom w:val="0"/>
              <w:divBdr>
                <w:top w:val="none" w:sz="0" w:space="0" w:color="auto"/>
                <w:left w:val="none" w:sz="0" w:space="0" w:color="auto"/>
                <w:bottom w:val="none" w:sz="0" w:space="0" w:color="auto"/>
                <w:right w:val="none" w:sz="0" w:space="0" w:color="auto"/>
              </w:divBdr>
            </w:div>
            <w:div w:id="1332878777">
              <w:marLeft w:val="0"/>
              <w:marRight w:val="0"/>
              <w:marTop w:val="0"/>
              <w:marBottom w:val="0"/>
              <w:divBdr>
                <w:top w:val="none" w:sz="0" w:space="0" w:color="auto"/>
                <w:left w:val="none" w:sz="0" w:space="0" w:color="auto"/>
                <w:bottom w:val="none" w:sz="0" w:space="0" w:color="auto"/>
                <w:right w:val="none" w:sz="0" w:space="0" w:color="auto"/>
              </w:divBdr>
            </w:div>
            <w:div w:id="1335373528">
              <w:marLeft w:val="0"/>
              <w:marRight w:val="0"/>
              <w:marTop w:val="0"/>
              <w:marBottom w:val="0"/>
              <w:divBdr>
                <w:top w:val="none" w:sz="0" w:space="0" w:color="auto"/>
                <w:left w:val="none" w:sz="0" w:space="0" w:color="auto"/>
                <w:bottom w:val="none" w:sz="0" w:space="0" w:color="auto"/>
                <w:right w:val="none" w:sz="0" w:space="0" w:color="auto"/>
              </w:divBdr>
            </w:div>
            <w:div w:id="1399521826">
              <w:marLeft w:val="0"/>
              <w:marRight w:val="0"/>
              <w:marTop w:val="0"/>
              <w:marBottom w:val="0"/>
              <w:divBdr>
                <w:top w:val="none" w:sz="0" w:space="0" w:color="auto"/>
                <w:left w:val="none" w:sz="0" w:space="0" w:color="auto"/>
                <w:bottom w:val="none" w:sz="0" w:space="0" w:color="auto"/>
                <w:right w:val="none" w:sz="0" w:space="0" w:color="auto"/>
              </w:divBdr>
            </w:div>
            <w:div w:id="1712027698">
              <w:marLeft w:val="0"/>
              <w:marRight w:val="0"/>
              <w:marTop w:val="0"/>
              <w:marBottom w:val="0"/>
              <w:divBdr>
                <w:top w:val="none" w:sz="0" w:space="0" w:color="auto"/>
                <w:left w:val="none" w:sz="0" w:space="0" w:color="auto"/>
                <w:bottom w:val="none" w:sz="0" w:space="0" w:color="auto"/>
                <w:right w:val="none" w:sz="0" w:space="0" w:color="auto"/>
              </w:divBdr>
            </w:div>
            <w:div w:id="1796480937">
              <w:marLeft w:val="0"/>
              <w:marRight w:val="0"/>
              <w:marTop w:val="0"/>
              <w:marBottom w:val="0"/>
              <w:divBdr>
                <w:top w:val="none" w:sz="0" w:space="0" w:color="auto"/>
                <w:left w:val="none" w:sz="0" w:space="0" w:color="auto"/>
                <w:bottom w:val="none" w:sz="0" w:space="0" w:color="auto"/>
                <w:right w:val="none" w:sz="0" w:space="0" w:color="auto"/>
              </w:divBdr>
            </w:div>
            <w:div w:id="1870798126">
              <w:marLeft w:val="0"/>
              <w:marRight w:val="0"/>
              <w:marTop w:val="0"/>
              <w:marBottom w:val="0"/>
              <w:divBdr>
                <w:top w:val="none" w:sz="0" w:space="0" w:color="auto"/>
                <w:left w:val="none" w:sz="0" w:space="0" w:color="auto"/>
                <w:bottom w:val="none" w:sz="0" w:space="0" w:color="auto"/>
                <w:right w:val="none" w:sz="0" w:space="0" w:color="auto"/>
              </w:divBdr>
            </w:div>
            <w:div w:id="2032605334">
              <w:marLeft w:val="0"/>
              <w:marRight w:val="0"/>
              <w:marTop w:val="0"/>
              <w:marBottom w:val="0"/>
              <w:divBdr>
                <w:top w:val="none" w:sz="0" w:space="0" w:color="auto"/>
                <w:left w:val="none" w:sz="0" w:space="0" w:color="auto"/>
                <w:bottom w:val="none" w:sz="0" w:space="0" w:color="auto"/>
                <w:right w:val="none" w:sz="0" w:space="0" w:color="auto"/>
              </w:divBdr>
            </w:div>
            <w:div w:id="2093353901">
              <w:marLeft w:val="0"/>
              <w:marRight w:val="0"/>
              <w:marTop w:val="0"/>
              <w:marBottom w:val="0"/>
              <w:divBdr>
                <w:top w:val="none" w:sz="0" w:space="0" w:color="auto"/>
                <w:left w:val="none" w:sz="0" w:space="0" w:color="auto"/>
                <w:bottom w:val="none" w:sz="0" w:space="0" w:color="auto"/>
                <w:right w:val="none" w:sz="0" w:space="0" w:color="auto"/>
              </w:divBdr>
            </w:div>
          </w:divsChild>
        </w:div>
        <w:div w:id="1232546677">
          <w:marLeft w:val="0"/>
          <w:marRight w:val="0"/>
          <w:marTop w:val="0"/>
          <w:marBottom w:val="0"/>
          <w:divBdr>
            <w:top w:val="none" w:sz="0" w:space="0" w:color="auto"/>
            <w:left w:val="none" w:sz="0" w:space="0" w:color="auto"/>
            <w:bottom w:val="none" w:sz="0" w:space="0" w:color="auto"/>
            <w:right w:val="none" w:sz="0" w:space="0" w:color="auto"/>
          </w:divBdr>
        </w:div>
        <w:div w:id="1233349914">
          <w:marLeft w:val="0"/>
          <w:marRight w:val="0"/>
          <w:marTop w:val="0"/>
          <w:marBottom w:val="0"/>
          <w:divBdr>
            <w:top w:val="none" w:sz="0" w:space="0" w:color="auto"/>
            <w:left w:val="none" w:sz="0" w:space="0" w:color="auto"/>
            <w:bottom w:val="none" w:sz="0" w:space="0" w:color="auto"/>
            <w:right w:val="none" w:sz="0" w:space="0" w:color="auto"/>
          </w:divBdr>
        </w:div>
        <w:div w:id="1234118288">
          <w:marLeft w:val="0"/>
          <w:marRight w:val="0"/>
          <w:marTop w:val="0"/>
          <w:marBottom w:val="0"/>
          <w:divBdr>
            <w:top w:val="none" w:sz="0" w:space="0" w:color="auto"/>
            <w:left w:val="none" w:sz="0" w:space="0" w:color="auto"/>
            <w:bottom w:val="none" w:sz="0" w:space="0" w:color="auto"/>
            <w:right w:val="none" w:sz="0" w:space="0" w:color="auto"/>
          </w:divBdr>
        </w:div>
        <w:div w:id="1234973269">
          <w:marLeft w:val="0"/>
          <w:marRight w:val="0"/>
          <w:marTop w:val="0"/>
          <w:marBottom w:val="0"/>
          <w:divBdr>
            <w:top w:val="none" w:sz="0" w:space="0" w:color="auto"/>
            <w:left w:val="none" w:sz="0" w:space="0" w:color="auto"/>
            <w:bottom w:val="none" w:sz="0" w:space="0" w:color="auto"/>
            <w:right w:val="none" w:sz="0" w:space="0" w:color="auto"/>
          </w:divBdr>
        </w:div>
        <w:div w:id="1240018791">
          <w:marLeft w:val="0"/>
          <w:marRight w:val="0"/>
          <w:marTop w:val="0"/>
          <w:marBottom w:val="0"/>
          <w:divBdr>
            <w:top w:val="none" w:sz="0" w:space="0" w:color="auto"/>
            <w:left w:val="none" w:sz="0" w:space="0" w:color="auto"/>
            <w:bottom w:val="none" w:sz="0" w:space="0" w:color="auto"/>
            <w:right w:val="none" w:sz="0" w:space="0" w:color="auto"/>
          </w:divBdr>
        </w:div>
        <w:div w:id="1241715196">
          <w:marLeft w:val="0"/>
          <w:marRight w:val="0"/>
          <w:marTop w:val="0"/>
          <w:marBottom w:val="0"/>
          <w:divBdr>
            <w:top w:val="none" w:sz="0" w:space="0" w:color="auto"/>
            <w:left w:val="none" w:sz="0" w:space="0" w:color="auto"/>
            <w:bottom w:val="none" w:sz="0" w:space="0" w:color="auto"/>
            <w:right w:val="none" w:sz="0" w:space="0" w:color="auto"/>
          </w:divBdr>
        </w:div>
        <w:div w:id="1241718585">
          <w:marLeft w:val="0"/>
          <w:marRight w:val="0"/>
          <w:marTop w:val="0"/>
          <w:marBottom w:val="0"/>
          <w:divBdr>
            <w:top w:val="none" w:sz="0" w:space="0" w:color="auto"/>
            <w:left w:val="none" w:sz="0" w:space="0" w:color="auto"/>
            <w:bottom w:val="none" w:sz="0" w:space="0" w:color="auto"/>
            <w:right w:val="none" w:sz="0" w:space="0" w:color="auto"/>
          </w:divBdr>
        </w:div>
        <w:div w:id="1243299273">
          <w:marLeft w:val="0"/>
          <w:marRight w:val="0"/>
          <w:marTop w:val="0"/>
          <w:marBottom w:val="0"/>
          <w:divBdr>
            <w:top w:val="none" w:sz="0" w:space="0" w:color="auto"/>
            <w:left w:val="none" w:sz="0" w:space="0" w:color="auto"/>
            <w:bottom w:val="none" w:sz="0" w:space="0" w:color="auto"/>
            <w:right w:val="none" w:sz="0" w:space="0" w:color="auto"/>
          </w:divBdr>
        </w:div>
        <w:div w:id="1243678429">
          <w:marLeft w:val="0"/>
          <w:marRight w:val="0"/>
          <w:marTop w:val="0"/>
          <w:marBottom w:val="0"/>
          <w:divBdr>
            <w:top w:val="none" w:sz="0" w:space="0" w:color="auto"/>
            <w:left w:val="none" w:sz="0" w:space="0" w:color="auto"/>
            <w:bottom w:val="none" w:sz="0" w:space="0" w:color="auto"/>
            <w:right w:val="none" w:sz="0" w:space="0" w:color="auto"/>
          </w:divBdr>
        </w:div>
        <w:div w:id="1244024406">
          <w:marLeft w:val="0"/>
          <w:marRight w:val="0"/>
          <w:marTop w:val="0"/>
          <w:marBottom w:val="0"/>
          <w:divBdr>
            <w:top w:val="none" w:sz="0" w:space="0" w:color="auto"/>
            <w:left w:val="none" w:sz="0" w:space="0" w:color="auto"/>
            <w:bottom w:val="none" w:sz="0" w:space="0" w:color="auto"/>
            <w:right w:val="none" w:sz="0" w:space="0" w:color="auto"/>
          </w:divBdr>
        </w:div>
        <w:div w:id="1244728721">
          <w:marLeft w:val="0"/>
          <w:marRight w:val="0"/>
          <w:marTop w:val="0"/>
          <w:marBottom w:val="0"/>
          <w:divBdr>
            <w:top w:val="none" w:sz="0" w:space="0" w:color="auto"/>
            <w:left w:val="none" w:sz="0" w:space="0" w:color="auto"/>
            <w:bottom w:val="none" w:sz="0" w:space="0" w:color="auto"/>
            <w:right w:val="none" w:sz="0" w:space="0" w:color="auto"/>
          </w:divBdr>
        </w:div>
        <w:div w:id="1248611254">
          <w:marLeft w:val="0"/>
          <w:marRight w:val="0"/>
          <w:marTop w:val="0"/>
          <w:marBottom w:val="0"/>
          <w:divBdr>
            <w:top w:val="none" w:sz="0" w:space="0" w:color="auto"/>
            <w:left w:val="none" w:sz="0" w:space="0" w:color="auto"/>
            <w:bottom w:val="none" w:sz="0" w:space="0" w:color="auto"/>
            <w:right w:val="none" w:sz="0" w:space="0" w:color="auto"/>
          </w:divBdr>
        </w:div>
        <w:div w:id="1248735325">
          <w:marLeft w:val="0"/>
          <w:marRight w:val="0"/>
          <w:marTop w:val="0"/>
          <w:marBottom w:val="0"/>
          <w:divBdr>
            <w:top w:val="none" w:sz="0" w:space="0" w:color="auto"/>
            <w:left w:val="none" w:sz="0" w:space="0" w:color="auto"/>
            <w:bottom w:val="none" w:sz="0" w:space="0" w:color="auto"/>
            <w:right w:val="none" w:sz="0" w:space="0" w:color="auto"/>
          </w:divBdr>
          <w:divsChild>
            <w:div w:id="92552170">
              <w:marLeft w:val="0"/>
              <w:marRight w:val="0"/>
              <w:marTop w:val="0"/>
              <w:marBottom w:val="0"/>
              <w:divBdr>
                <w:top w:val="none" w:sz="0" w:space="0" w:color="auto"/>
                <w:left w:val="none" w:sz="0" w:space="0" w:color="auto"/>
                <w:bottom w:val="none" w:sz="0" w:space="0" w:color="auto"/>
                <w:right w:val="none" w:sz="0" w:space="0" w:color="auto"/>
              </w:divBdr>
            </w:div>
            <w:div w:id="116880599">
              <w:marLeft w:val="0"/>
              <w:marRight w:val="0"/>
              <w:marTop w:val="0"/>
              <w:marBottom w:val="0"/>
              <w:divBdr>
                <w:top w:val="none" w:sz="0" w:space="0" w:color="auto"/>
                <w:left w:val="none" w:sz="0" w:space="0" w:color="auto"/>
                <w:bottom w:val="none" w:sz="0" w:space="0" w:color="auto"/>
                <w:right w:val="none" w:sz="0" w:space="0" w:color="auto"/>
              </w:divBdr>
            </w:div>
            <w:div w:id="203061045">
              <w:marLeft w:val="0"/>
              <w:marRight w:val="0"/>
              <w:marTop w:val="0"/>
              <w:marBottom w:val="0"/>
              <w:divBdr>
                <w:top w:val="none" w:sz="0" w:space="0" w:color="auto"/>
                <w:left w:val="none" w:sz="0" w:space="0" w:color="auto"/>
                <w:bottom w:val="none" w:sz="0" w:space="0" w:color="auto"/>
                <w:right w:val="none" w:sz="0" w:space="0" w:color="auto"/>
              </w:divBdr>
            </w:div>
            <w:div w:id="210532693">
              <w:marLeft w:val="0"/>
              <w:marRight w:val="0"/>
              <w:marTop w:val="0"/>
              <w:marBottom w:val="0"/>
              <w:divBdr>
                <w:top w:val="none" w:sz="0" w:space="0" w:color="auto"/>
                <w:left w:val="none" w:sz="0" w:space="0" w:color="auto"/>
                <w:bottom w:val="none" w:sz="0" w:space="0" w:color="auto"/>
                <w:right w:val="none" w:sz="0" w:space="0" w:color="auto"/>
              </w:divBdr>
            </w:div>
            <w:div w:id="442967986">
              <w:marLeft w:val="0"/>
              <w:marRight w:val="0"/>
              <w:marTop w:val="0"/>
              <w:marBottom w:val="0"/>
              <w:divBdr>
                <w:top w:val="none" w:sz="0" w:space="0" w:color="auto"/>
                <w:left w:val="none" w:sz="0" w:space="0" w:color="auto"/>
                <w:bottom w:val="none" w:sz="0" w:space="0" w:color="auto"/>
                <w:right w:val="none" w:sz="0" w:space="0" w:color="auto"/>
              </w:divBdr>
            </w:div>
            <w:div w:id="460613215">
              <w:marLeft w:val="0"/>
              <w:marRight w:val="0"/>
              <w:marTop w:val="0"/>
              <w:marBottom w:val="0"/>
              <w:divBdr>
                <w:top w:val="none" w:sz="0" w:space="0" w:color="auto"/>
                <w:left w:val="none" w:sz="0" w:space="0" w:color="auto"/>
                <w:bottom w:val="none" w:sz="0" w:space="0" w:color="auto"/>
                <w:right w:val="none" w:sz="0" w:space="0" w:color="auto"/>
              </w:divBdr>
            </w:div>
            <w:div w:id="697782799">
              <w:marLeft w:val="0"/>
              <w:marRight w:val="0"/>
              <w:marTop w:val="0"/>
              <w:marBottom w:val="0"/>
              <w:divBdr>
                <w:top w:val="none" w:sz="0" w:space="0" w:color="auto"/>
                <w:left w:val="none" w:sz="0" w:space="0" w:color="auto"/>
                <w:bottom w:val="none" w:sz="0" w:space="0" w:color="auto"/>
                <w:right w:val="none" w:sz="0" w:space="0" w:color="auto"/>
              </w:divBdr>
            </w:div>
            <w:div w:id="828716067">
              <w:marLeft w:val="0"/>
              <w:marRight w:val="0"/>
              <w:marTop w:val="0"/>
              <w:marBottom w:val="0"/>
              <w:divBdr>
                <w:top w:val="none" w:sz="0" w:space="0" w:color="auto"/>
                <w:left w:val="none" w:sz="0" w:space="0" w:color="auto"/>
                <w:bottom w:val="none" w:sz="0" w:space="0" w:color="auto"/>
                <w:right w:val="none" w:sz="0" w:space="0" w:color="auto"/>
              </w:divBdr>
            </w:div>
            <w:div w:id="841354283">
              <w:marLeft w:val="0"/>
              <w:marRight w:val="0"/>
              <w:marTop w:val="0"/>
              <w:marBottom w:val="0"/>
              <w:divBdr>
                <w:top w:val="none" w:sz="0" w:space="0" w:color="auto"/>
                <w:left w:val="none" w:sz="0" w:space="0" w:color="auto"/>
                <w:bottom w:val="none" w:sz="0" w:space="0" w:color="auto"/>
                <w:right w:val="none" w:sz="0" w:space="0" w:color="auto"/>
              </w:divBdr>
            </w:div>
            <w:div w:id="883060748">
              <w:marLeft w:val="0"/>
              <w:marRight w:val="0"/>
              <w:marTop w:val="0"/>
              <w:marBottom w:val="0"/>
              <w:divBdr>
                <w:top w:val="none" w:sz="0" w:space="0" w:color="auto"/>
                <w:left w:val="none" w:sz="0" w:space="0" w:color="auto"/>
                <w:bottom w:val="none" w:sz="0" w:space="0" w:color="auto"/>
                <w:right w:val="none" w:sz="0" w:space="0" w:color="auto"/>
              </w:divBdr>
            </w:div>
            <w:div w:id="930427922">
              <w:marLeft w:val="0"/>
              <w:marRight w:val="0"/>
              <w:marTop w:val="0"/>
              <w:marBottom w:val="0"/>
              <w:divBdr>
                <w:top w:val="none" w:sz="0" w:space="0" w:color="auto"/>
                <w:left w:val="none" w:sz="0" w:space="0" w:color="auto"/>
                <w:bottom w:val="none" w:sz="0" w:space="0" w:color="auto"/>
                <w:right w:val="none" w:sz="0" w:space="0" w:color="auto"/>
              </w:divBdr>
            </w:div>
            <w:div w:id="984773076">
              <w:marLeft w:val="0"/>
              <w:marRight w:val="0"/>
              <w:marTop w:val="0"/>
              <w:marBottom w:val="0"/>
              <w:divBdr>
                <w:top w:val="none" w:sz="0" w:space="0" w:color="auto"/>
                <w:left w:val="none" w:sz="0" w:space="0" w:color="auto"/>
                <w:bottom w:val="none" w:sz="0" w:space="0" w:color="auto"/>
                <w:right w:val="none" w:sz="0" w:space="0" w:color="auto"/>
              </w:divBdr>
            </w:div>
            <w:div w:id="1220751801">
              <w:marLeft w:val="0"/>
              <w:marRight w:val="0"/>
              <w:marTop w:val="0"/>
              <w:marBottom w:val="0"/>
              <w:divBdr>
                <w:top w:val="none" w:sz="0" w:space="0" w:color="auto"/>
                <w:left w:val="none" w:sz="0" w:space="0" w:color="auto"/>
                <w:bottom w:val="none" w:sz="0" w:space="0" w:color="auto"/>
                <w:right w:val="none" w:sz="0" w:space="0" w:color="auto"/>
              </w:divBdr>
            </w:div>
            <w:div w:id="1317488192">
              <w:marLeft w:val="0"/>
              <w:marRight w:val="0"/>
              <w:marTop w:val="0"/>
              <w:marBottom w:val="0"/>
              <w:divBdr>
                <w:top w:val="none" w:sz="0" w:space="0" w:color="auto"/>
                <w:left w:val="none" w:sz="0" w:space="0" w:color="auto"/>
                <w:bottom w:val="none" w:sz="0" w:space="0" w:color="auto"/>
                <w:right w:val="none" w:sz="0" w:space="0" w:color="auto"/>
              </w:divBdr>
            </w:div>
            <w:div w:id="1528983512">
              <w:marLeft w:val="0"/>
              <w:marRight w:val="0"/>
              <w:marTop w:val="0"/>
              <w:marBottom w:val="0"/>
              <w:divBdr>
                <w:top w:val="none" w:sz="0" w:space="0" w:color="auto"/>
                <w:left w:val="none" w:sz="0" w:space="0" w:color="auto"/>
                <w:bottom w:val="none" w:sz="0" w:space="0" w:color="auto"/>
                <w:right w:val="none" w:sz="0" w:space="0" w:color="auto"/>
              </w:divBdr>
            </w:div>
            <w:div w:id="1598757483">
              <w:marLeft w:val="0"/>
              <w:marRight w:val="0"/>
              <w:marTop w:val="0"/>
              <w:marBottom w:val="0"/>
              <w:divBdr>
                <w:top w:val="none" w:sz="0" w:space="0" w:color="auto"/>
                <w:left w:val="none" w:sz="0" w:space="0" w:color="auto"/>
                <w:bottom w:val="none" w:sz="0" w:space="0" w:color="auto"/>
                <w:right w:val="none" w:sz="0" w:space="0" w:color="auto"/>
              </w:divBdr>
            </w:div>
            <w:div w:id="1852522400">
              <w:marLeft w:val="0"/>
              <w:marRight w:val="0"/>
              <w:marTop w:val="0"/>
              <w:marBottom w:val="0"/>
              <w:divBdr>
                <w:top w:val="none" w:sz="0" w:space="0" w:color="auto"/>
                <w:left w:val="none" w:sz="0" w:space="0" w:color="auto"/>
                <w:bottom w:val="none" w:sz="0" w:space="0" w:color="auto"/>
                <w:right w:val="none" w:sz="0" w:space="0" w:color="auto"/>
              </w:divBdr>
            </w:div>
            <w:div w:id="2115127524">
              <w:marLeft w:val="0"/>
              <w:marRight w:val="0"/>
              <w:marTop w:val="0"/>
              <w:marBottom w:val="0"/>
              <w:divBdr>
                <w:top w:val="none" w:sz="0" w:space="0" w:color="auto"/>
                <w:left w:val="none" w:sz="0" w:space="0" w:color="auto"/>
                <w:bottom w:val="none" w:sz="0" w:space="0" w:color="auto"/>
                <w:right w:val="none" w:sz="0" w:space="0" w:color="auto"/>
              </w:divBdr>
            </w:div>
            <w:div w:id="2129859530">
              <w:marLeft w:val="0"/>
              <w:marRight w:val="0"/>
              <w:marTop w:val="0"/>
              <w:marBottom w:val="0"/>
              <w:divBdr>
                <w:top w:val="none" w:sz="0" w:space="0" w:color="auto"/>
                <w:left w:val="none" w:sz="0" w:space="0" w:color="auto"/>
                <w:bottom w:val="none" w:sz="0" w:space="0" w:color="auto"/>
                <w:right w:val="none" w:sz="0" w:space="0" w:color="auto"/>
              </w:divBdr>
            </w:div>
          </w:divsChild>
        </w:div>
        <w:div w:id="1248922206">
          <w:marLeft w:val="0"/>
          <w:marRight w:val="0"/>
          <w:marTop w:val="0"/>
          <w:marBottom w:val="0"/>
          <w:divBdr>
            <w:top w:val="none" w:sz="0" w:space="0" w:color="auto"/>
            <w:left w:val="none" w:sz="0" w:space="0" w:color="auto"/>
            <w:bottom w:val="none" w:sz="0" w:space="0" w:color="auto"/>
            <w:right w:val="none" w:sz="0" w:space="0" w:color="auto"/>
          </w:divBdr>
        </w:div>
        <w:div w:id="1252003898">
          <w:marLeft w:val="0"/>
          <w:marRight w:val="0"/>
          <w:marTop w:val="0"/>
          <w:marBottom w:val="0"/>
          <w:divBdr>
            <w:top w:val="none" w:sz="0" w:space="0" w:color="auto"/>
            <w:left w:val="none" w:sz="0" w:space="0" w:color="auto"/>
            <w:bottom w:val="none" w:sz="0" w:space="0" w:color="auto"/>
            <w:right w:val="none" w:sz="0" w:space="0" w:color="auto"/>
          </w:divBdr>
        </w:div>
        <w:div w:id="1252086439">
          <w:marLeft w:val="0"/>
          <w:marRight w:val="0"/>
          <w:marTop w:val="0"/>
          <w:marBottom w:val="0"/>
          <w:divBdr>
            <w:top w:val="none" w:sz="0" w:space="0" w:color="auto"/>
            <w:left w:val="none" w:sz="0" w:space="0" w:color="auto"/>
            <w:bottom w:val="none" w:sz="0" w:space="0" w:color="auto"/>
            <w:right w:val="none" w:sz="0" w:space="0" w:color="auto"/>
          </w:divBdr>
        </w:div>
        <w:div w:id="1256203915">
          <w:marLeft w:val="0"/>
          <w:marRight w:val="0"/>
          <w:marTop w:val="0"/>
          <w:marBottom w:val="0"/>
          <w:divBdr>
            <w:top w:val="none" w:sz="0" w:space="0" w:color="auto"/>
            <w:left w:val="none" w:sz="0" w:space="0" w:color="auto"/>
            <w:bottom w:val="none" w:sz="0" w:space="0" w:color="auto"/>
            <w:right w:val="none" w:sz="0" w:space="0" w:color="auto"/>
          </w:divBdr>
        </w:div>
        <w:div w:id="1256328772">
          <w:marLeft w:val="0"/>
          <w:marRight w:val="0"/>
          <w:marTop w:val="0"/>
          <w:marBottom w:val="0"/>
          <w:divBdr>
            <w:top w:val="none" w:sz="0" w:space="0" w:color="auto"/>
            <w:left w:val="none" w:sz="0" w:space="0" w:color="auto"/>
            <w:bottom w:val="none" w:sz="0" w:space="0" w:color="auto"/>
            <w:right w:val="none" w:sz="0" w:space="0" w:color="auto"/>
          </w:divBdr>
        </w:div>
        <w:div w:id="1257060457">
          <w:marLeft w:val="0"/>
          <w:marRight w:val="0"/>
          <w:marTop w:val="0"/>
          <w:marBottom w:val="0"/>
          <w:divBdr>
            <w:top w:val="none" w:sz="0" w:space="0" w:color="auto"/>
            <w:left w:val="none" w:sz="0" w:space="0" w:color="auto"/>
            <w:bottom w:val="none" w:sz="0" w:space="0" w:color="auto"/>
            <w:right w:val="none" w:sz="0" w:space="0" w:color="auto"/>
          </w:divBdr>
        </w:div>
        <w:div w:id="1259367958">
          <w:marLeft w:val="0"/>
          <w:marRight w:val="0"/>
          <w:marTop w:val="0"/>
          <w:marBottom w:val="0"/>
          <w:divBdr>
            <w:top w:val="none" w:sz="0" w:space="0" w:color="auto"/>
            <w:left w:val="none" w:sz="0" w:space="0" w:color="auto"/>
            <w:bottom w:val="none" w:sz="0" w:space="0" w:color="auto"/>
            <w:right w:val="none" w:sz="0" w:space="0" w:color="auto"/>
          </w:divBdr>
        </w:div>
        <w:div w:id="1260216904">
          <w:marLeft w:val="0"/>
          <w:marRight w:val="0"/>
          <w:marTop w:val="0"/>
          <w:marBottom w:val="0"/>
          <w:divBdr>
            <w:top w:val="none" w:sz="0" w:space="0" w:color="auto"/>
            <w:left w:val="none" w:sz="0" w:space="0" w:color="auto"/>
            <w:bottom w:val="none" w:sz="0" w:space="0" w:color="auto"/>
            <w:right w:val="none" w:sz="0" w:space="0" w:color="auto"/>
          </w:divBdr>
        </w:div>
        <w:div w:id="1260944554">
          <w:marLeft w:val="0"/>
          <w:marRight w:val="0"/>
          <w:marTop w:val="0"/>
          <w:marBottom w:val="0"/>
          <w:divBdr>
            <w:top w:val="none" w:sz="0" w:space="0" w:color="auto"/>
            <w:left w:val="none" w:sz="0" w:space="0" w:color="auto"/>
            <w:bottom w:val="none" w:sz="0" w:space="0" w:color="auto"/>
            <w:right w:val="none" w:sz="0" w:space="0" w:color="auto"/>
          </w:divBdr>
        </w:div>
        <w:div w:id="1261720049">
          <w:marLeft w:val="0"/>
          <w:marRight w:val="0"/>
          <w:marTop w:val="0"/>
          <w:marBottom w:val="0"/>
          <w:divBdr>
            <w:top w:val="none" w:sz="0" w:space="0" w:color="auto"/>
            <w:left w:val="none" w:sz="0" w:space="0" w:color="auto"/>
            <w:bottom w:val="none" w:sz="0" w:space="0" w:color="auto"/>
            <w:right w:val="none" w:sz="0" w:space="0" w:color="auto"/>
          </w:divBdr>
        </w:div>
        <w:div w:id="1263337489">
          <w:marLeft w:val="0"/>
          <w:marRight w:val="0"/>
          <w:marTop w:val="0"/>
          <w:marBottom w:val="0"/>
          <w:divBdr>
            <w:top w:val="none" w:sz="0" w:space="0" w:color="auto"/>
            <w:left w:val="none" w:sz="0" w:space="0" w:color="auto"/>
            <w:bottom w:val="none" w:sz="0" w:space="0" w:color="auto"/>
            <w:right w:val="none" w:sz="0" w:space="0" w:color="auto"/>
          </w:divBdr>
        </w:div>
        <w:div w:id="1263492428">
          <w:marLeft w:val="0"/>
          <w:marRight w:val="0"/>
          <w:marTop w:val="0"/>
          <w:marBottom w:val="0"/>
          <w:divBdr>
            <w:top w:val="none" w:sz="0" w:space="0" w:color="auto"/>
            <w:left w:val="none" w:sz="0" w:space="0" w:color="auto"/>
            <w:bottom w:val="none" w:sz="0" w:space="0" w:color="auto"/>
            <w:right w:val="none" w:sz="0" w:space="0" w:color="auto"/>
          </w:divBdr>
        </w:div>
        <w:div w:id="1263803181">
          <w:marLeft w:val="0"/>
          <w:marRight w:val="0"/>
          <w:marTop w:val="0"/>
          <w:marBottom w:val="0"/>
          <w:divBdr>
            <w:top w:val="none" w:sz="0" w:space="0" w:color="auto"/>
            <w:left w:val="none" w:sz="0" w:space="0" w:color="auto"/>
            <w:bottom w:val="none" w:sz="0" w:space="0" w:color="auto"/>
            <w:right w:val="none" w:sz="0" w:space="0" w:color="auto"/>
          </w:divBdr>
        </w:div>
        <w:div w:id="1264147336">
          <w:marLeft w:val="0"/>
          <w:marRight w:val="0"/>
          <w:marTop w:val="0"/>
          <w:marBottom w:val="0"/>
          <w:divBdr>
            <w:top w:val="none" w:sz="0" w:space="0" w:color="auto"/>
            <w:left w:val="none" w:sz="0" w:space="0" w:color="auto"/>
            <w:bottom w:val="none" w:sz="0" w:space="0" w:color="auto"/>
            <w:right w:val="none" w:sz="0" w:space="0" w:color="auto"/>
          </w:divBdr>
        </w:div>
        <w:div w:id="1266040423">
          <w:marLeft w:val="0"/>
          <w:marRight w:val="0"/>
          <w:marTop w:val="0"/>
          <w:marBottom w:val="0"/>
          <w:divBdr>
            <w:top w:val="none" w:sz="0" w:space="0" w:color="auto"/>
            <w:left w:val="none" w:sz="0" w:space="0" w:color="auto"/>
            <w:bottom w:val="none" w:sz="0" w:space="0" w:color="auto"/>
            <w:right w:val="none" w:sz="0" w:space="0" w:color="auto"/>
          </w:divBdr>
          <w:divsChild>
            <w:div w:id="2094203699">
              <w:marLeft w:val="-75"/>
              <w:marRight w:val="0"/>
              <w:marTop w:val="30"/>
              <w:marBottom w:val="30"/>
              <w:divBdr>
                <w:top w:val="none" w:sz="0" w:space="0" w:color="auto"/>
                <w:left w:val="none" w:sz="0" w:space="0" w:color="auto"/>
                <w:bottom w:val="none" w:sz="0" w:space="0" w:color="auto"/>
                <w:right w:val="none" w:sz="0" w:space="0" w:color="auto"/>
              </w:divBdr>
              <w:divsChild>
                <w:div w:id="62266338">
                  <w:marLeft w:val="0"/>
                  <w:marRight w:val="0"/>
                  <w:marTop w:val="0"/>
                  <w:marBottom w:val="0"/>
                  <w:divBdr>
                    <w:top w:val="none" w:sz="0" w:space="0" w:color="auto"/>
                    <w:left w:val="none" w:sz="0" w:space="0" w:color="auto"/>
                    <w:bottom w:val="none" w:sz="0" w:space="0" w:color="auto"/>
                    <w:right w:val="none" w:sz="0" w:space="0" w:color="auto"/>
                  </w:divBdr>
                  <w:divsChild>
                    <w:div w:id="593247149">
                      <w:marLeft w:val="0"/>
                      <w:marRight w:val="0"/>
                      <w:marTop w:val="0"/>
                      <w:marBottom w:val="0"/>
                      <w:divBdr>
                        <w:top w:val="none" w:sz="0" w:space="0" w:color="auto"/>
                        <w:left w:val="none" w:sz="0" w:space="0" w:color="auto"/>
                        <w:bottom w:val="none" w:sz="0" w:space="0" w:color="auto"/>
                        <w:right w:val="none" w:sz="0" w:space="0" w:color="auto"/>
                      </w:divBdr>
                    </w:div>
                  </w:divsChild>
                </w:div>
                <w:div w:id="90905491">
                  <w:marLeft w:val="0"/>
                  <w:marRight w:val="0"/>
                  <w:marTop w:val="0"/>
                  <w:marBottom w:val="0"/>
                  <w:divBdr>
                    <w:top w:val="none" w:sz="0" w:space="0" w:color="auto"/>
                    <w:left w:val="none" w:sz="0" w:space="0" w:color="auto"/>
                    <w:bottom w:val="none" w:sz="0" w:space="0" w:color="auto"/>
                    <w:right w:val="none" w:sz="0" w:space="0" w:color="auto"/>
                  </w:divBdr>
                  <w:divsChild>
                    <w:div w:id="802770179">
                      <w:marLeft w:val="0"/>
                      <w:marRight w:val="0"/>
                      <w:marTop w:val="0"/>
                      <w:marBottom w:val="0"/>
                      <w:divBdr>
                        <w:top w:val="none" w:sz="0" w:space="0" w:color="auto"/>
                        <w:left w:val="none" w:sz="0" w:space="0" w:color="auto"/>
                        <w:bottom w:val="none" w:sz="0" w:space="0" w:color="auto"/>
                        <w:right w:val="none" w:sz="0" w:space="0" w:color="auto"/>
                      </w:divBdr>
                    </w:div>
                  </w:divsChild>
                </w:div>
                <w:div w:id="93332552">
                  <w:marLeft w:val="0"/>
                  <w:marRight w:val="0"/>
                  <w:marTop w:val="0"/>
                  <w:marBottom w:val="0"/>
                  <w:divBdr>
                    <w:top w:val="none" w:sz="0" w:space="0" w:color="auto"/>
                    <w:left w:val="none" w:sz="0" w:space="0" w:color="auto"/>
                    <w:bottom w:val="none" w:sz="0" w:space="0" w:color="auto"/>
                    <w:right w:val="none" w:sz="0" w:space="0" w:color="auto"/>
                  </w:divBdr>
                  <w:divsChild>
                    <w:div w:id="1489906955">
                      <w:marLeft w:val="0"/>
                      <w:marRight w:val="0"/>
                      <w:marTop w:val="0"/>
                      <w:marBottom w:val="0"/>
                      <w:divBdr>
                        <w:top w:val="none" w:sz="0" w:space="0" w:color="auto"/>
                        <w:left w:val="none" w:sz="0" w:space="0" w:color="auto"/>
                        <w:bottom w:val="none" w:sz="0" w:space="0" w:color="auto"/>
                        <w:right w:val="none" w:sz="0" w:space="0" w:color="auto"/>
                      </w:divBdr>
                    </w:div>
                  </w:divsChild>
                </w:div>
                <w:div w:id="240258902">
                  <w:marLeft w:val="0"/>
                  <w:marRight w:val="0"/>
                  <w:marTop w:val="0"/>
                  <w:marBottom w:val="0"/>
                  <w:divBdr>
                    <w:top w:val="none" w:sz="0" w:space="0" w:color="auto"/>
                    <w:left w:val="none" w:sz="0" w:space="0" w:color="auto"/>
                    <w:bottom w:val="none" w:sz="0" w:space="0" w:color="auto"/>
                    <w:right w:val="none" w:sz="0" w:space="0" w:color="auto"/>
                  </w:divBdr>
                  <w:divsChild>
                    <w:div w:id="1914969928">
                      <w:marLeft w:val="0"/>
                      <w:marRight w:val="0"/>
                      <w:marTop w:val="0"/>
                      <w:marBottom w:val="0"/>
                      <w:divBdr>
                        <w:top w:val="none" w:sz="0" w:space="0" w:color="auto"/>
                        <w:left w:val="none" w:sz="0" w:space="0" w:color="auto"/>
                        <w:bottom w:val="none" w:sz="0" w:space="0" w:color="auto"/>
                        <w:right w:val="none" w:sz="0" w:space="0" w:color="auto"/>
                      </w:divBdr>
                    </w:div>
                  </w:divsChild>
                </w:div>
                <w:div w:id="255601375">
                  <w:marLeft w:val="0"/>
                  <w:marRight w:val="0"/>
                  <w:marTop w:val="0"/>
                  <w:marBottom w:val="0"/>
                  <w:divBdr>
                    <w:top w:val="none" w:sz="0" w:space="0" w:color="auto"/>
                    <w:left w:val="none" w:sz="0" w:space="0" w:color="auto"/>
                    <w:bottom w:val="none" w:sz="0" w:space="0" w:color="auto"/>
                    <w:right w:val="none" w:sz="0" w:space="0" w:color="auto"/>
                  </w:divBdr>
                  <w:divsChild>
                    <w:div w:id="587075739">
                      <w:marLeft w:val="0"/>
                      <w:marRight w:val="0"/>
                      <w:marTop w:val="0"/>
                      <w:marBottom w:val="0"/>
                      <w:divBdr>
                        <w:top w:val="none" w:sz="0" w:space="0" w:color="auto"/>
                        <w:left w:val="none" w:sz="0" w:space="0" w:color="auto"/>
                        <w:bottom w:val="none" w:sz="0" w:space="0" w:color="auto"/>
                        <w:right w:val="none" w:sz="0" w:space="0" w:color="auto"/>
                      </w:divBdr>
                    </w:div>
                  </w:divsChild>
                </w:div>
                <w:div w:id="450903914">
                  <w:marLeft w:val="0"/>
                  <w:marRight w:val="0"/>
                  <w:marTop w:val="0"/>
                  <w:marBottom w:val="0"/>
                  <w:divBdr>
                    <w:top w:val="none" w:sz="0" w:space="0" w:color="auto"/>
                    <w:left w:val="none" w:sz="0" w:space="0" w:color="auto"/>
                    <w:bottom w:val="none" w:sz="0" w:space="0" w:color="auto"/>
                    <w:right w:val="none" w:sz="0" w:space="0" w:color="auto"/>
                  </w:divBdr>
                  <w:divsChild>
                    <w:div w:id="1771387905">
                      <w:marLeft w:val="0"/>
                      <w:marRight w:val="0"/>
                      <w:marTop w:val="0"/>
                      <w:marBottom w:val="0"/>
                      <w:divBdr>
                        <w:top w:val="none" w:sz="0" w:space="0" w:color="auto"/>
                        <w:left w:val="none" w:sz="0" w:space="0" w:color="auto"/>
                        <w:bottom w:val="none" w:sz="0" w:space="0" w:color="auto"/>
                        <w:right w:val="none" w:sz="0" w:space="0" w:color="auto"/>
                      </w:divBdr>
                    </w:div>
                  </w:divsChild>
                </w:div>
                <w:div w:id="464855436">
                  <w:marLeft w:val="0"/>
                  <w:marRight w:val="0"/>
                  <w:marTop w:val="0"/>
                  <w:marBottom w:val="0"/>
                  <w:divBdr>
                    <w:top w:val="none" w:sz="0" w:space="0" w:color="auto"/>
                    <w:left w:val="none" w:sz="0" w:space="0" w:color="auto"/>
                    <w:bottom w:val="none" w:sz="0" w:space="0" w:color="auto"/>
                    <w:right w:val="none" w:sz="0" w:space="0" w:color="auto"/>
                  </w:divBdr>
                  <w:divsChild>
                    <w:div w:id="1709186274">
                      <w:marLeft w:val="0"/>
                      <w:marRight w:val="0"/>
                      <w:marTop w:val="0"/>
                      <w:marBottom w:val="0"/>
                      <w:divBdr>
                        <w:top w:val="none" w:sz="0" w:space="0" w:color="auto"/>
                        <w:left w:val="none" w:sz="0" w:space="0" w:color="auto"/>
                        <w:bottom w:val="none" w:sz="0" w:space="0" w:color="auto"/>
                        <w:right w:val="none" w:sz="0" w:space="0" w:color="auto"/>
                      </w:divBdr>
                    </w:div>
                  </w:divsChild>
                </w:div>
                <w:div w:id="507527498">
                  <w:marLeft w:val="0"/>
                  <w:marRight w:val="0"/>
                  <w:marTop w:val="0"/>
                  <w:marBottom w:val="0"/>
                  <w:divBdr>
                    <w:top w:val="none" w:sz="0" w:space="0" w:color="auto"/>
                    <w:left w:val="none" w:sz="0" w:space="0" w:color="auto"/>
                    <w:bottom w:val="none" w:sz="0" w:space="0" w:color="auto"/>
                    <w:right w:val="none" w:sz="0" w:space="0" w:color="auto"/>
                  </w:divBdr>
                  <w:divsChild>
                    <w:div w:id="2108307390">
                      <w:marLeft w:val="0"/>
                      <w:marRight w:val="0"/>
                      <w:marTop w:val="0"/>
                      <w:marBottom w:val="0"/>
                      <w:divBdr>
                        <w:top w:val="none" w:sz="0" w:space="0" w:color="auto"/>
                        <w:left w:val="none" w:sz="0" w:space="0" w:color="auto"/>
                        <w:bottom w:val="none" w:sz="0" w:space="0" w:color="auto"/>
                        <w:right w:val="none" w:sz="0" w:space="0" w:color="auto"/>
                      </w:divBdr>
                    </w:div>
                  </w:divsChild>
                </w:div>
                <w:div w:id="549271160">
                  <w:marLeft w:val="0"/>
                  <w:marRight w:val="0"/>
                  <w:marTop w:val="0"/>
                  <w:marBottom w:val="0"/>
                  <w:divBdr>
                    <w:top w:val="none" w:sz="0" w:space="0" w:color="auto"/>
                    <w:left w:val="none" w:sz="0" w:space="0" w:color="auto"/>
                    <w:bottom w:val="none" w:sz="0" w:space="0" w:color="auto"/>
                    <w:right w:val="none" w:sz="0" w:space="0" w:color="auto"/>
                  </w:divBdr>
                  <w:divsChild>
                    <w:div w:id="1740515055">
                      <w:marLeft w:val="0"/>
                      <w:marRight w:val="0"/>
                      <w:marTop w:val="0"/>
                      <w:marBottom w:val="0"/>
                      <w:divBdr>
                        <w:top w:val="none" w:sz="0" w:space="0" w:color="auto"/>
                        <w:left w:val="none" w:sz="0" w:space="0" w:color="auto"/>
                        <w:bottom w:val="none" w:sz="0" w:space="0" w:color="auto"/>
                        <w:right w:val="none" w:sz="0" w:space="0" w:color="auto"/>
                      </w:divBdr>
                    </w:div>
                  </w:divsChild>
                </w:div>
                <w:div w:id="551189539">
                  <w:marLeft w:val="0"/>
                  <w:marRight w:val="0"/>
                  <w:marTop w:val="0"/>
                  <w:marBottom w:val="0"/>
                  <w:divBdr>
                    <w:top w:val="none" w:sz="0" w:space="0" w:color="auto"/>
                    <w:left w:val="none" w:sz="0" w:space="0" w:color="auto"/>
                    <w:bottom w:val="none" w:sz="0" w:space="0" w:color="auto"/>
                    <w:right w:val="none" w:sz="0" w:space="0" w:color="auto"/>
                  </w:divBdr>
                  <w:divsChild>
                    <w:div w:id="921179235">
                      <w:marLeft w:val="0"/>
                      <w:marRight w:val="0"/>
                      <w:marTop w:val="0"/>
                      <w:marBottom w:val="0"/>
                      <w:divBdr>
                        <w:top w:val="none" w:sz="0" w:space="0" w:color="auto"/>
                        <w:left w:val="none" w:sz="0" w:space="0" w:color="auto"/>
                        <w:bottom w:val="none" w:sz="0" w:space="0" w:color="auto"/>
                        <w:right w:val="none" w:sz="0" w:space="0" w:color="auto"/>
                      </w:divBdr>
                    </w:div>
                  </w:divsChild>
                </w:div>
                <w:div w:id="801771834">
                  <w:marLeft w:val="0"/>
                  <w:marRight w:val="0"/>
                  <w:marTop w:val="0"/>
                  <w:marBottom w:val="0"/>
                  <w:divBdr>
                    <w:top w:val="none" w:sz="0" w:space="0" w:color="auto"/>
                    <w:left w:val="none" w:sz="0" w:space="0" w:color="auto"/>
                    <w:bottom w:val="none" w:sz="0" w:space="0" w:color="auto"/>
                    <w:right w:val="none" w:sz="0" w:space="0" w:color="auto"/>
                  </w:divBdr>
                  <w:divsChild>
                    <w:div w:id="289870036">
                      <w:marLeft w:val="0"/>
                      <w:marRight w:val="0"/>
                      <w:marTop w:val="0"/>
                      <w:marBottom w:val="0"/>
                      <w:divBdr>
                        <w:top w:val="none" w:sz="0" w:space="0" w:color="auto"/>
                        <w:left w:val="none" w:sz="0" w:space="0" w:color="auto"/>
                        <w:bottom w:val="none" w:sz="0" w:space="0" w:color="auto"/>
                        <w:right w:val="none" w:sz="0" w:space="0" w:color="auto"/>
                      </w:divBdr>
                    </w:div>
                  </w:divsChild>
                </w:div>
                <w:div w:id="1110391363">
                  <w:marLeft w:val="0"/>
                  <w:marRight w:val="0"/>
                  <w:marTop w:val="0"/>
                  <w:marBottom w:val="0"/>
                  <w:divBdr>
                    <w:top w:val="none" w:sz="0" w:space="0" w:color="auto"/>
                    <w:left w:val="none" w:sz="0" w:space="0" w:color="auto"/>
                    <w:bottom w:val="none" w:sz="0" w:space="0" w:color="auto"/>
                    <w:right w:val="none" w:sz="0" w:space="0" w:color="auto"/>
                  </w:divBdr>
                  <w:divsChild>
                    <w:div w:id="703797949">
                      <w:marLeft w:val="0"/>
                      <w:marRight w:val="0"/>
                      <w:marTop w:val="0"/>
                      <w:marBottom w:val="0"/>
                      <w:divBdr>
                        <w:top w:val="none" w:sz="0" w:space="0" w:color="auto"/>
                        <w:left w:val="none" w:sz="0" w:space="0" w:color="auto"/>
                        <w:bottom w:val="none" w:sz="0" w:space="0" w:color="auto"/>
                        <w:right w:val="none" w:sz="0" w:space="0" w:color="auto"/>
                      </w:divBdr>
                    </w:div>
                  </w:divsChild>
                </w:div>
                <w:div w:id="1204293734">
                  <w:marLeft w:val="0"/>
                  <w:marRight w:val="0"/>
                  <w:marTop w:val="0"/>
                  <w:marBottom w:val="0"/>
                  <w:divBdr>
                    <w:top w:val="none" w:sz="0" w:space="0" w:color="auto"/>
                    <w:left w:val="none" w:sz="0" w:space="0" w:color="auto"/>
                    <w:bottom w:val="none" w:sz="0" w:space="0" w:color="auto"/>
                    <w:right w:val="none" w:sz="0" w:space="0" w:color="auto"/>
                  </w:divBdr>
                  <w:divsChild>
                    <w:div w:id="1459105834">
                      <w:marLeft w:val="0"/>
                      <w:marRight w:val="0"/>
                      <w:marTop w:val="0"/>
                      <w:marBottom w:val="0"/>
                      <w:divBdr>
                        <w:top w:val="none" w:sz="0" w:space="0" w:color="auto"/>
                        <w:left w:val="none" w:sz="0" w:space="0" w:color="auto"/>
                        <w:bottom w:val="none" w:sz="0" w:space="0" w:color="auto"/>
                        <w:right w:val="none" w:sz="0" w:space="0" w:color="auto"/>
                      </w:divBdr>
                    </w:div>
                  </w:divsChild>
                </w:div>
                <w:div w:id="1268079495">
                  <w:marLeft w:val="0"/>
                  <w:marRight w:val="0"/>
                  <w:marTop w:val="0"/>
                  <w:marBottom w:val="0"/>
                  <w:divBdr>
                    <w:top w:val="none" w:sz="0" w:space="0" w:color="auto"/>
                    <w:left w:val="none" w:sz="0" w:space="0" w:color="auto"/>
                    <w:bottom w:val="none" w:sz="0" w:space="0" w:color="auto"/>
                    <w:right w:val="none" w:sz="0" w:space="0" w:color="auto"/>
                  </w:divBdr>
                  <w:divsChild>
                    <w:div w:id="859976753">
                      <w:marLeft w:val="0"/>
                      <w:marRight w:val="0"/>
                      <w:marTop w:val="0"/>
                      <w:marBottom w:val="0"/>
                      <w:divBdr>
                        <w:top w:val="none" w:sz="0" w:space="0" w:color="auto"/>
                        <w:left w:val="none" w:sz="0" w:space="0" w:color="auto"/>
                        <w:bottom w:val="none" w:sz="0" w:space="0" w:color="auto"/>
                        <w:right w:val="none" w:sz="0" w:space="0" w:color="auto"/>
                      </w:divBdr>
                    </w:div>
                  </w:divsChild>
                </w:div>
                <w:div w:id="1399599245">
                  <w:marLeft w:val="0"/>
                  <w:marRight w:val="0"/>
                  <w:marTop w:val="0"/>
                  <w:marBottom w:val="0"/>
                  <w:divBdr>
                    <w:top w:val="none" w:sz="0" w:space="0" w:color="auto"/>
                    <w:left w:val="none" w:sz="0" w:space="0" w:color="auto"/>
                    <w:bottom w:val="none" w:sz="0" w:space="0" w:color="auto"/>
                    <w:right w:val="none" w:sz="0" w:space="0" w:color="auto"/>
                  </w:divBdr>
                  <w:divsChild>
                    <w:div w:id="1372801768">
                      <w:marLeft w:val="0"/>
                      <w:marRight w:val="0"/>
                      <w:marTop w:val="0"/>
                      <w:marBottom w:val="0"/>
                      <w:divBdr>
                        <w:top w:val="none" w:sz="0" w:space="0" w:color="auto"/>
                        <w:left w:val="none" w:sz="0" w:space="0" w:color="auto"/>
                        <w:bottom w:val="none" w:sz="0" w:space="0" w:color="auto"/>
                        <w:right w:val="none" w:sz="0" w:space="0" w:color="auto"/>
                      </w:divBdr>
                    </w:div>
                  </w:divsChild>
                </w:div>
                <w:div w:id="1462848477">
                  <w:marLeft w:val="0"/>
                  <w:marRight w:val="0"/>
                  <w:marTop w:val="0"/>
                  <w:marBottom w:val="0"/>
                  <w:divBdr>
                    <w:top w:val="none" w:sz="0" w:space="0" w:color="auto"/>
                    <w:left w:val="none" w:sz="0" w:space="0" w:color="auto"/>
                    <w:bottom w:val="none" w:sz="0" w:space="0" w:color="auto"/>
                    <w:right w:val="none" w:sz="0" w:space="0" w:color="auto"/>
                  </w:divBdr>
                  <w:divsChild>
                    <w:div w:id="2143837446">
                      <w:marLeft w:val="0"/>
                      <w:marRight w:val="0"/>
                      <w:marTop w:val="0"/>
                      <w:marBottom w:val="0"/>
                      <w:divBdr>
                        <w:top w:val="none" w:sz="0" w:space="0" w:color="auto"/>
                        <w:left w:val="none" w:sz="0" w:space="0" w:color="auto"/>
                        <w:bottom w:val="none" w:sz="0" w:space="0" w:color="auto"/>
                        <w:right w:val="none" w:sz="0" w:space="0" w:color="auto"/>
                      </w:divBdr>
                    </w:div>
                  </w:divsChild>
                </w:div>
                <w:div w:id="1618757364">
                  <w:marLeft w:val="0"/>
                  <w:marRight w:val="0"/>
                  <w:marTop w:val="0"/>
                  <w:marBottom w:val="0"/>
                  <w:divBdr>
                    <w:top w:val="none" w:sz="0" w:space="0" w:color="auto"/>
                    <w:left w:val="none" w:sz="0" w:space="0" w:color="auto"/>
                    <w:bottom w:val="none" w:sz="0" w:space="0" w:color="auto"/>
                    <w:right w:val="none" w:sz="0" w:space="0" w:color="auto"/>
                  </w:divBdr>
                  <w:divsChild>
                    <w:div w:id="2008097700">
                      <w:marLeft w:val="0"/>
                      <w:marRight w:val="0"/>
                      <w:marTop w:val="0"/>
                      <w:marBottom w:val="0"/>
                      <w:divBdr>
                        <w:top w:val="none" w:sz="0" w:space="0" w:color="auto"/>
                        <w:left w:val="none" w:sz="0" w:space="0" w:color="auto"/>
                        <w:bottom w:val="none" w:sz="0" w:space="0" w:color="auto"/>
                        <w:right w:val="none" w:sz="0" w:space="0" w:color="auto"/>
                      </w:divBdr>
                    </w:div>
                  </w:divsChild>
                </w:div>
                <w:div w:id="1624655346">
                  <w:marLeft w:val="0"/>
                  <w:marRight w:val="0"/>
                  <w:marTop w:val="0"/>
                  <w:marBottom w:val="0"/>
                  <w:divBdr>
                    <w:top w:val="none" w:sz="0" w:space="0" w:color="auto"/>
                    <w:left w:val="none" w:sz="0" w:space="0" w:color="auto"/>
                    <w:bottom w:val="none" w:sz="0" w:space="0" w:color="auto"/>
                    <w:right w:val="none" w:sz="0" w:space="0" w:color="auto"/>
                  </w:divBdr>
                  <w:divsChild>
                    <w:div w:id="1522664621">
                      <w:marLeft w:val="0"/>
                      <w:marRight w:val="0"/>
                      <w:marTop w:val="0"/>
                      <w:marBottom w:val="0"/>
                      <w:divBdr>
                        <w:top w:val="none" w:sz="0" w:space="0" w:color="auto"/>
                        <w:left w:val="none" w:sz="0" w:space="0" w:color="auto"/>
                        <w:bottom w:val="none" w:sz="0" w:space="0" w:color="auto"/>
                        <w:right w:val="none" w:sz="0" w:space="0" w:color="auto"/>
                      </w:divBdr>
                    </w:div>
                  </w:divsChild>
                </w:div>
                <w:div w:id="1630547634">
                  <w:marLeft w:val="0"/>
                  <w:marRight w:val="0"/>
                  <w:marTop w:val="0"/>
                  <w:marBottom w:val="0"/>
                  <w:divBdr>
                    <w:top w:val="none" w:sz="0" w:space="0" w:color="auto"/>
                    <w:left w:val="none" w:sz="0" w:space="0" w:color="auto"/>
                    <w:bottom w:val="none" w:sz="0" w:space="0" w:color="auto"/>
                    <w:right w:val="none" w:sz="0" w:space="0" w:color="auto"/>
                  </w:divBdr>
                  <w:divsChild>
                    <w:div w:id="1180703752">
                      <w:marLeft w:val="0"/>
                      <w:marRight w:val="0"/>
                      <w:marTop w:val="0"/>
                      <w:marBottom w:val="0"/>
                      <w:divBdr>
                        <w:top w:val="none" w:sz="0" w:space="0" w:color="auto"/>
                        <w:left w:val="none" w:sz="0" w:space="0" w:color="auto"/>
                        <w:bottom w:val="none" w:sz="0" w:space="0" w:color="auto"/>
                        <w:right w:val="none" w:sz="0" w:space="0" w:color="auto"/>
                      </w:divBdr>
                    </w:div>
                  </w:divsChild>
                </w:div>
                <w:div w:id="1753699174">
                  <w:marLeft w:val="0"/>
                  <w:marRight w:val="0"/>
                  <w:marTop w:val="0"/>
                  <w:marBottom w:val="0"/>
                  <w:divBdr>
                    <w:top w:val="none" w:sz="0" w:space="0" w:color="auto"/>
                    <w:left w:val="none" w:sz="0" w:space="0" w:color="auto"/>
                    <w:bottom w:val="none" w:sz="0" w:space="0" w:color="auto"/>
                    <w:right w:val="none" w:sz="0" w:space="0" w:color="auto"/>
                  </w:divBdr>
                  <w:divsChild>
                    <w:div w:id="839543258">
                      <w:marLeft w:val="0"/>
                      <w:marRight w:val="0"/>
                      <w:marTop w:val="0"/>
                      <w:marBottom w:val="0"/>
                      <w:divBdr>
                        <w:top w:val="none" w:sz="0" w:space="0" w:color="auto"/>
                        <w:left w:val="none" w:sz="0" w:space="0" w:color="auto"/>
                        <w:bottom w:val="none" w:sz="0" w:space="0" w:color="auto"/>
                        <w:right w:val="none" w:sz="0" w:space="0" w:color="auto"/>
                      </w:divBdr>
                    </w:div>
                  </w:divsChild>
                </w:div>
                <w:div w:id="1867480297">
                  <w:marLeft w:val="0"/>
                  <w:marRight w:val="0"/>
                  <w:marTop w:val="0"/>
                  <w:marBottom w:val="0"/>
                  <w:divBdr>
                    <w:top w:val="none" w:sz="0" w:space="0" w:color="auto"/>
                    <w:left w:val="none" w:sz="0" w:space="0" w:color="auto"/>
                    <w:bottom w:val="none" w:sz="0" w:space="0" w:color="auto"/>
                    <w:right w:val="none" w:sz="0" w:space="0" w:color="auto"/>
                  </w:divBdr>
                  <w:divsChild>
                    <w:div w:id="1846167019">
                      <w:marLeft w:val="0"/>
                      <w:marRight w:val="0"/>
                      <w:marTop w:val="0"/>
                      <w:marBottom w:val="0"/>
                      <w:divBdr>
                        <w:top w:val="none" w:sz="0" w:space="0" w:color="auto"/>
                        <w:left w:val="none" w:sz="0" w:space="0" w:color="auto"/>
                        <w:bottom w:val="none" w:sz="0" w:space="0" w:color="auto"/>
                        <w:right w:val="none" w:sz="0" w:space="0" w:color="auto"/>
                      </w:divBdr>
                    </w:div>
                  </w:divsChild>
                </w:div>
                <w:div w:id="1889486668">
                  <w:marLeft w:val="0"/>
                  <w:marRight w:val="0"/>
                  <w:marTop w:val="0"/>
                  <w:marBottom w:val="0"/>
                  <w:divBdr>
                    <w:top w:val="none" w:sz="0" w:space="0" w:color="auto"/>
                    <w:left w:val="none" w:sz="0" w:space="0" w:color="auto"/>
                    <w:bottom w:val="none" w:sz="0" w:space="0" w:color="auto"/>
                    <w:right w:val="none" w:sz="0" w:space="0" w:color="auto"/>
                  </w:divBdr>
                  <w:divsChild>
                    <w:div w:id="59597030">
                      <w:marLeft w:val="0"/>
                      <w:marRight w:val="0"/>
                      <w:marTop w:val="0"/>
                      <w:marBottom w:val="0"/>
                      <w:divBdr>
                        <w:top w:val="none" w:sz="0" w:space="0" w:color="auto"/>
                        <w:left w:val="none" w:sz="0" w:space="0" w:color="auto"/>
                        <w:bottom w:val="none" w:sz="0" w:space="0" w:color="auto"/>
                        <w:right w:val="none" w:sz="0" w:space="0" w:color="auto"/>
                      </w:divBdr>
                    </w:div>
                  </w:divsChild>
                </w:div>
                <w:div w:id="1900745442">
                  <w:marLeft w:val="0"/>
                  <w:marRight w:val="0"/>
                  <w:marTop w:val="0"/>
                  <w:marBottom w:val="0"/>
                  <w:divBdr>
                    <w:top w:val="none" w:sz="0" w:space="0" w:color="auto"/>
                    <w:left w:val="none" w:sz="0" w:space="0" w:color="auto"/>
                    <w:bottom w:val="none" w:sz="0" w:space="0" w:color="auto"/>
                    <w:right w:val="none" w:sz="0" w:space="0" w:color="auto"/>
                  </w:divBdr>
                  <w:divsChild>
                    <w:div w:id="199984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53547">
          <w:marLeft w:val="0"/>
          <w:marRight w:val="0"/>
          <w:marTop w:val="0"/>
          <w:marBottom w:val="0"/>
          <w:divBdr>
            <w:top w:val="none" w:sz="0" w:space="0" w:color="auto"/>
            <w:left w:val="none" w:sz="0" w:space="0" w:color="auto"/>
            <w:bottom w:val="none" w:sz="0" w:space="0" w:color="auto"/>
            <w:right w:val="none" w:sz="0" w:space="0" w:color="auto"/>
          </w:divBdr>
        </w:div>
        <w:div w:id="1267423074">
          <w:marLeft w:val="0"/>
          <w:marRight w:val="0"/>
          <w:marTop w:val="0"/>
          <w:marBottom w:val="0"/>
          <w:divBdr>
            <w:top w:val="none" w:sz="0" w:space="0" w:color="auto"/>
            <w:left w:val="none" w:sz="0" w:space="0" w:color="auto"/>
            <w:bottom w:val="none" w:sz="0" w:space="0" w:color="auto"/>
            <w:right w:val="none" w:sz="0" w:space="0" w:color="auto"/>
          </w:divBdr>
        </w:div>
        <w:div w:id="1270043235">
          <w:marLeft w:val="0"/>
          <w:marRight w:val="0"/>
          <w:marTop w:val="0"/>
          <w:marBottom w:val="0"/>
          <w:divBdr>
            <w:top w:val="none" w:sz="0" w:space="0" w:color="auto"/>
            <w:left w:val="none" w:sz="0" w:space="0" w:color="auto"/>
            <w:bottom w:val="none" w:sz="0" w:space="0" w:color="auto"/>
            <w:right w:val="none" w:sz="0" w:space="0" w:color="auto"/>
          </w:divBdr>
        </w:div>
        <w:div w:id="1270966727">
          <w:marLeft w:val="0"/>
          <w:marRight w:val="0"/>
          <w:marTop w:val="0"/>
          <w:marBottom w:val="0"/>
          <w:divBdr>
            <w:top w:val="none" w:sz="0" w:space="0" w:color="auto"/>
            <w:left w:val="none" w:sz="0" w:space="0" w:color="auto"/>
            <w:bottom w:val="none" w:sz="0" w:space="0" w:color="auto"/>
            <w:right w:val="none" w:sz="0" w:space="0" w:color="auto"/>
          </w:divBdr>
        </w:div>
        <w:div w:id="1275676950">
          <w:marLeft w:val="0"/>
          <w:marRight w:val="0"/>
          <w:marTop w:val="0"/>
          <w:marBottom w:val="0"/>
          <w:divBdr>
            <w:top w:val="none" w:sz="0" w:space="0" w:color="auto"/>
            <w:left w:val="none" w:sz="0" w:space="0" w:color="auto"/>
            <w:bottom w:val="none" w:sz="0" w:space="0" w:color="auto"/>
            <w:right w:val="none" w:sz="0" w:space="0" w:color="auto"/>
          </w:divBdr>
          <w:divsChild>
            <w:div w:id="40524366">
              <w:marLeft w:val="0"/>
              <w:marRight w:val="0"/>
              <w:marTop w:val="0"/>
              <w:marBottom w:val="0"/>
              <w:divBdr>
                <w:top w:val="none" w:sz="0" w:space="0" w:color="auto"/>
                <w:left w:val="none" w:sz="0" w:space="0" w:color="auto"/>
                <w:bottom w:val="none" w:sz="0" w:space="0" w:color="auto"/>
                <w:right w:val="none" w:sz="0" w:space="0" w:color="auto"/>
              </w:divBdr>
            </w:div>
            <w:div w:id="191696008">
              <w:marLeft w:val="0"/>
              <w:marRight w:val="0"/>
              <w:marTop w:val="0"/>
              <w:marBottom w:val="0"/>
              <w:divBdr>
                <w:top w:val="none" w:sz="0" w:space="0" w:color="auto"/>
                <w:left w:val="none" w:sz="0" w:space="0" w:color="auto"/>
                <w:bottom w:val="none" w:sz="0" w:space="0" w:color="auto"/>
                <w:right w:val="none" w:sz="0" w:space="0" w:color="auto"/>
              </w:divBdr>
            </w:div>
            <w:div w:id="213978439">
              <w:marLeft w:val="0"/>
              <w:marRight w:val="0"/>
              <w:marTop w:val="0"/>
              <w:marBottom w:val="0"/>
              <w:divBdr>
                <w:top w:val="none" w:sz="0" w:space="0" w:color="auto"/>
                <w:left w:val="none" w:sz="0" w:space="0" w:color="auto"/>
                <w:bottom w:val="none" w:sz="0" w:space="0" w:color="auto"/>
                <w:right w:val="none" w:sz="0" w:space="0" w:color="auto"/>
              </w:divBdr>
            </w:div>
            <w:div w:id="411270359">
              <w:marLeft w:val="0"/>
              <w:marRight w:val="0"/>
              <w:marTop w:val="0"/>
              <w:marBottom w:val="0"/>
              <w:divBdr>
                <w:top w:val="none" w:sz="0" w:space="0" w:color="auto"/>
                <w:left w:val="none" w:sz="0" w:space="0" w:color="auto"/>
                <w:bottom w:val="none" w:sz="0" w:space="0" w:color="auto"/>
                <w:right w:val="none" w:sz="0" w:space="0" w:color="auto"/>
              </w:divBdr>
            </w:div>
            <w:div w:id="460077708">
              <w:marLeft w:val="0"/>
              <w:marRight w:val="0"/>
              <w:marTop w:val="0"/>
              <w:marBottom w:val="0"/>
              <w:divBdr>
                <w:top w:val="none" w:sz="0" w:space="0" w:color="auto"/>
                <w:left w:val="none" w:sz="0" w:space="0" w:color="auto"/>
                <w:bottom w:val="none" w:sz="0" w:space="0" w:color="auto"/>
                <w:right w:val="none" w:sz="0" w:space="0" w:color="auto"/>
              </w:divBdr>
            </w:div>
            <w:div w:id="595796500">
              <w:marLeft w:val="0"/>
              <w:marRight w:val="0"/>
              <w:marTop w:val="0"/>
              <w:marBottom w:val="0"/>
              <w:divBdr>
                <w:top w:val="none" w:sz="0" w:space="0" w:color="auto"/>
                <w:left w:val="none" w:sz="0" w:space="0" w:color="auto"/>
                <w:bottom w:val="none" w:sz="0" w:space="0" w:color="auto"/>
                <w:right w:val="none" w:sz="0" w:space="0" w:color="auto"/>
              </w:divBdr>
            </w:div>
            <w:div w:id="764378487">
              <w:marLeft w:val="0"/>
              <w:marRight w:val="0"/>
              <w:marTop w:val="0"/>
              <w:marBottom w:val="0"/>
              <w:divBdr>
                <w:top w:val="none" w:sz="0" w:space="0" w:color="auto"/>
                <w:left w:val="none" w:sz="0" w:space="0" w:color="auto"/>
                <w:bottom w:val="none" w:sz="0" w:space="0" w:color="auto"/>
                <w:right w:val="none" w:sz="0" w:space="0" w:color="auto"/>
              </w:divBdr>
            </w:div>
            <w:div w:id="838351385">
              <w:marLeft w:val="0"/>
              <w:marRight w:val="0"/>
              <w:marTop w:val="0"/>
              <w:marBottom w:val="0"/>
              <w:divBdr>
                <w:top w:val="none" w:sz="0" w:space="0" w:color="auto"/>
                <w:left w:val="none" w:sz="0" w:space="0" w:color="auto"/>
                <w:bottom w:val="none" w:sz="0" w:space="0" w:color="auto"/>
                <w:right w:val="none" w:sz="0" w:space="0" w:color="auto"/>
              </w:divBdr>
            </w:div>
            <w:div w:id="1034305182">
              <w:marLeft w:val="0"/>
              <w:marRight w:val="0"/>
              <w:marTop w:val="0"/>
              <w:marBottom w:val="0"/>
              <w:divBdr>
                <w:top w:val="none" w:sz="0" w:space="0" w:color="auto"/>
                <w:left w:val="none" w:sz="0" w:space="0" w:color="auto"/>
                <w:bottom w:val="none" w:sz="0" w:space="0" w:color="auto"/>
                <w:right w:val="none" w:sz="0" w:space="0" w:color="auto"/>
              </w:divBdr>
            </w:div>
            <w:div w:id="1223103294">
              <w:marLeft w:val="0"/>
              <w:marRight w:val="0"/>
              <w:marTop w:val="0"/>
              <w:marBottom w:val="0"/>
              <w:divBdr>
                <w:top w:val="none" w:sz="0" w:space="0" w:color="auto"/>
                <w:left w:val="none" w:sz="0" w:space="0" w:color="auto"/>
                <w:bottom w:val="none" w:sz="0" w:space="0" w:color="auto"/>
                <w:right w:val="none" w:sz="0" w:space="0" w:color="auto"/>
              </w:divBdr>
            </w:div>
            <w:div w:id="1460682026">
              <w:marLeft w:val="0"/>
              <w:marRight w:val="0"/>
              <w:marTop w:val="0"/>
              <w:marBottom w:val="0"/>
              <w:divBdr>
                <w:top w:val="none" w:sz="0" w:space="0" w:color="auto"/>
                <w:left w:val="none" w:sz="0" w:space="0" w:color="auto"/>
                <w:bottom w:val="none" w:sz="0" w:space="0" w:color="auto"/>
                <w:right w:val="none" w:sz="0" w:space="0" w:color="auto"/>
              </w:divBdr>
            </w:div>
            <w:div w:id="1528979971">
              <w:marLeft w:val="0"/>
              <w:marRight w:val="0"/>
              <w:marTop w:val="0"/>
              <w:marBottom w:val="0"/>
              <w:divBdr>
                <w:top w:val="none" w:sz="0" w:space="0" w:color="auto"/>
                <w:left w:val="none" w:sz="0" w:space="0" w:color="auto"/>
                <w:bottom w:val="none" w:sz="0" w:space="0" w:color="auto"/>
                <w:right w:val="none" w:sz="0" w:space="0" w:color="auto"/>
              </w:divBdr>
            </w:div>
            <w:div w:id="1627932160">
              <w:marLeft w:val="0"/>
              <w:marRight w:val="0"/>
              <w:marTop w:val="0"/>
              <w:marBottom w:val="0"/>
              <w:divBdr>
                <w:top w:val="none" w:sz="0" w:space="0" w:color="auto"/>
                <w:left w:val="none" w:sz="0" w:space="0" w:color="auto"/>
                <w:bottom w:val="none" w:sz="0" w:space="0" w:color="auto"/>
                <w:right w:val="none" w:sz="0" w:space="0" w:color="auto"/>
              </w:divBdr>
            </w:div>
            <w:div w:id="1789085358">
              <w:marLeft w:val="0"/>
              <w:marRight w:val="0"/>
              <w:marTop w:val="0"/>
              <w:marBottom w:val="0"/>
              <w:divBdr>
                <w:top w:val="none" w:sz="0" w:space="0" w:color="auto"/>
                <w:left w:val="none" w:sz="0" w:space="0" w:color="auto"/>
                <w:bottom w:val="none" w:sz="0" w:space="0" w:color="auto"/>
                <w:right w:val="none" w:sz="0" w:space="0" w:color="auto"/>
              </w:divBdr>
            </w:div>
            <w:div w:id="1867327051">
              <w:marLeft w:val="0"/>
              <w:marRight w:val="0"/>
              <w:marTop w:val="0"/>
              <w:marBottom w:val="0"/>
              <w:divBdr>
                <w:top w:val="none" w:sz="0" w:space="0" w:color="auto"/>
                <w:left w:val="none" w:sz="0" w:space="0" w:color="auto"/>
                <w:bottom w:val="none" w:sz="0" w:space="0" w:color="auto"/>
                <w:right w:val="none" w:sz="0" w:space="0" w:color="auto"/>
              </w:divBdr>
            </w:div>
            <w:div w:id="1941062876">
              <w:marLeft w:val="0"/>
              <w:marRight w:val="0"/>
              <w:marTop w:val="0"/>
              <w:marBottom w:val="0"/>
              <w:divBdr>
                <w:top w:val="none" w:sz="0" w:space="0" w:color="auto"/>
                <w:left w:val="none" w:sz="0" w:space="0" w:color="auto"/>
                <w:bottom w:val="none" w:sz="0" w:space="0" w:color="auto"/>
                <w:right w:val="none" w:sz="0" w:space="0" w:color="auto"/>
              </w:divBdr>
            </w:div>
            <w:div w:id="2089841182">
              <w:marLeft w:val="0"/>
              <w:marRight w:val="0"/>
              <w:marTop w:val="0"/>
              <w:marBottom w:val="0"/>
              <w:divBdr>
                <w:top w:val="none" w:sz="0" w:space="0" w:color="auto"/>
                <w:left w:val="none" w:sz="0" w:space="0" w:color="auto"/>
                <w:bottom w:val="none" w:sz="0" w:space="0" w:color="auto"/>
                <w:right w:val="none" w:sz="0" w:space="0" w:color="auto"/>
              </w:divBdr>
            </w:div>
          </w:divsChild>
        </w:div>
        <w:div w:id="1278217030">
          <w:marLeft w:val="0"/>
          <w:marRight w:val="0"/>
          <w:marTop w:val="0"/>
          <w:marBottom w:val="0"/>
          <w:divBdr>
            <w:top w:val="none" w:sz="0" w:space="0" w:color="auto"/>
            <w:left w:val="none" w:sz="0" w:space="0" w:color="auto"/>
            <w:bottom w:val="none" w:sz="0" w:space="0" w:color="auto"/>
            <w:right w:val="none" w:sz="0" w:space="0" w:color="auto"/>
          </w:divBdr>
        </w:div>
        <w:div w:id="1278828265">
          <w:marLeft w:val="0"/>
          <w:marRight w:val="0"/>
          <w:marTop w:val="0"/>
          <w:marBottom w:val="0"/>
          <w:divBdr>
            <w:top w:val="none" w:sz="0" w:space="0" w:color="auto"/>
            <w:left w:val="none" w:sz="0" w:space="0" w:color="auto"/>
            <w:bottom w:val="none" w:sz="0" w:space="0" w:color="auto"/>
            <w:right w:val="none" w:sz="0" w:space="0" w:color="auto"/>
          </w:divBdr>
        </w:div>
        <w:div w:id="1279214207">
          <w:marLeft w:val="0"/>
          <w:marRight w:val="0"/>
          <w:marTop w:val="0"/>
          <w:marBottom w:val="0"/>
          <w:divBdr>
            <w:top w:val="none" w:sz="0" w:space="0" w:color="auto"/>
            <w:left w:val="none" w:sz="0" w:space="0" w:color="auto"/>
            <w:bottom w:val="none" w:sz="0" w:space="0" w:color="auto"/>
            <w:right w:val="none" w:sz="0" w:space="0" w:color="auto"/>
          </w:divBdr>
        </w:div>
        <w:div w:id="1279946779">
          <w:marLeft w:val="0"/>
          <w:marRight w:val="0"/>
          <w:marTop w:val="0"/>
          <w:marBottom w:val="0"/>
          <w:divBdr>
            <w:top w:val="none" w:sz="0" w:space="0" w:color="auto"/>
            <w:left w:val="none" w:sz="0" w:space="0" w:color="auto"/>
            <w:bottom w:val="none" w:sz="0" w:space="0" w:color="auto"/>
            <w:right w:val="none" w:sz="0" w:space="0" w:color="auto"/>
          </w:divBdr>
        </w:div>
        <w:div w:id="1279947097">
          <w:marLeft w:val="0"/>
          <w:marRight w:val="0"/>
          <w:marTop w:val="0"/>
          <w:marBottom w:val="0"/>
          <w:divBdr>
            <w:top w:val="none" w:sz="0" w:space="0" w:color="auto"/>
            <w:left w:val="none" w:sz="0" w:space="0" w:color="auto"/>
            <w:bottom w:val="none" w:sz="0" w:space="0" w:color="auto"/>
            <w:right w:val="none" w:sz="0" w:space="0" w:color="auto"/>
          </w:divBdr>
        </w:div>
        <w:div w:id="1281568994">
          <w:marLeft w:val="0"/>
          <w:marRight w:val="0"/>
          <w:marTop w:val="0"/>
          <w:marBottom w:val="0"/>
          <w:divBdr>
            <w:top w:val="none" w:sz="0" w:space="0" w:color="auto"/>
            <w:left w:val="none" w:sz="0" w:space="0" w:color="auto"/>
            <w:bottom w:val="none" w:sz="0" w:space="0" w:color="auto"/>
            <w:right w:val="none" w:sz="0" w:space="0" w:color="auto"/>
          </w:divBdr>
        </w:div>
        <w:div w:id="1283028068">
          <w:marLeft w:val="0"/>
          <w:marRight w:val="0"/>
          <w:marTop w:val="0"/>
          <w:marBottom w:val="0"/>
          <w:divBdr>
            <w:top w:val="none" w:sz="0" w:space="0" w:color="auto"/>
            <w:left w:val="none" w:sz="0" w:space="0" w:color="auto"/>
            <w:bottom w:val="none" w:sz="0" w:space="0" w:color="auto"/>
            <w:right w:val="none" w:sz="0" w:space="0" w:color="auto"/>
          </w:divBdr>
        </w:div>
        <w:div w:id="1284071247">
          <w:marLeft w:val="0"/>
          <w:marRight w:val="0"/>
          <w:marTop w:val="0"/>
          <w:marBottom w:val="0"/>
          <w:divBdr>
            <w:top w:val="none" w:sz="0" w:space="0" w:color="auto"/>
            <w:left w:val="none" w:sz="0" w:space="0" w:color="auto"/>
            <w:bottom w:val="none" w:sz="0" w:space="0" w:color="auto"/>
            <w:right w:val="none" w:sz="0" w:space="0" w:color="auto"/>
          </w:divBdr>
        </w:div>
        <w:div w:id="1285379874">
          <w:marLeft w:val="0"/>
          <w:marRight w:val="0"/>
          <w:marTop w:val="0"/>
          <w:marBottom w:val="0"/>
          <w:divBdr>
            <w:top w:val="none" w:sz="0" w:space="0" w:color="auto"/>
            <w:left w:val="none" w:sz="0" w:space="0" w:color="auto"/>
            <w:bottom w:val="none" w:sz="0" w:space="0" w:color="auto"/>
            <w:right w:val="none" w:sz="0" w:space="0" w:color="auto"/>
          </w:divBdr>
        </w:div>
        <w:div w:id="1286738199">
          <w:marLeft w:val="0"/>
          <w:marRight w:val="0"/>
          <w:marTop w:val="0"/>
          <w:marBottom w:val="0"/>
          <w:divBdr>
            <w:top w:val="none" w:sz="0" w:space="0" w:color="auto"/>
            <w:left w:val="none" w:sz="0" w:space="0" w:color="auto"/>
            <w:bottom w:val="none" w:sz="0" w:space="0" w:color="auto"/>
            <w:right w:val="none" w:sz="0" w:space="0" w:color="auto"/>
          </w:divBdr>
        </w:div>
        <w:div w:id="1287195737">
          <w:marLeft w:val="0"/>
          <w:marRight w:val="0"/>
          <w:marTop w:val="0"/>
          <w:marBottom w:val="0"/>
          <w:divBdr>
            <w:top w:val="none" w:sz="0" w:space="0" w:color="auto"/>
            <w:left w:val="none" w:sz="0" w:space="0" w:color="auto"/>
            <w:bottom w:val="none" w:sz="0" w:space="0" w:color="auto"/>
            <w:right w:val="none" w:sz="0" w:space="0" w:color="auto"/>
          </w:divBdr>
        </w:div>
        <w:div w:id="1288198538">
          <w:marLeft w:val="0"/>
          <w:marRight w:val="0"/>
          <w:marTop w:val="0"/>
          <w:marBottom w:val="0"/>
          <w:divBdr>
            <w:top w:val="none" w:sz="0" w:space="0" w:color="auto"/>
            <w:left w:val="none" w:sz="0" w:space="0" w:color="auto"/>
            <w:bottom w:val="none" w:sz="0" w:space="0" w:color="auto"/>
            <w:right w:val="none" w:sz="0" w:space="0" w:color="auto"/>
          </w:divBdr>
        </w:div>
        <w:div w:id="1288853301">
          <w:marLeft w:val="0"/>
          <w:marRight w:val="0"/>
          <w:marTop w:val="0"/>
          <w:marBottom w:val="0"/>
          <w:divBdr>
            <w:top w:val="none" w:sz="0" w:space="0" w:color="auto"/>
            <w:left w:val="none" w:sz="0" w:space="0" w:color="auto"/>
            <w:bottom w:val="none" w:sz="0" w:space="0" w:color="auto"/>
            <w:right w:val="none" w:sz="0" w:space="0" w:color="auto"/>
          </w:divBdr>
        </w:div>
        <w:div w:id="1289315821">
          <w:marLeft w:val="0"/>
          <w:marRight w:val="0"/>
          <w:marTop w:val="0"/>
          <w:marBottom w:val="0"/>
          <w:divBdr>
            <w:top w:val="none" w:sz="0" w:space="0" w:color="auto"/>
            <w:left w:val="none" w:sz="0" w:space="0" w:color="auto"/>
            <w:bottom w:val="none" w:sz="0" w:space="0" w:color="auto"/>
            <w:right w:val="none" w:sz="0" w:space="0" w:color="auto"/>
          </w:divBdr>
        </w:div>
        <w:div w:id="1290355036">
          <w:marLeft w:val="0"/>
          <w:marRight w:val="0"/>
          <w:marTop w:val="0"/>
          <w:marBottom w:val="0"/>
          <w:divBdr>
            <w:top w:val="none" w:sz="0" w:space="0" w:color="auto"/>
            <w:left w:val="none" w:sz="0" w:space="0" w:color="auto"/>
            <w:bottom w:val="none" w:sz="0" w:space="0" w:color="auto"/>
            <w:right w:val="none" w:sz="0" w:space="0" w:color="auto"/>
          </w:divBdr>
        </w:div>
        <w:div w:id="1292712027">
          <w:marLeft w:val="0"/>
          <w:marRight w:val="0"/>
          <w:marTop w:val="0"/>
          <w:marBottom w:val="0"/>
          <w:divBdr>
            <w:top w:val="none" w:sz="0" w:space="0" w:color="auto"/>
            <w:left w:val="none" w:sz="0" w:space="0" w:color="auto"/>
            <w:bottom w:val="none" w:sz="0" w:space="0" w:color="auto"/>
            <w:right w:val="none" w:sz="0" w:space="0" w:color="auto"/>
          </w:divBdr>
        </w:div>
        <w:div w:id="1293712599">
          <w:marLeft w:val="0"/>
          <w:marRight w:val="0"/>
          <w:marTop w:val="0"/>
          <w:marBottom w:val="0"/>
          <w:divBdr>
            <w:top w:val="none" w:sz="0" w:space="0" w:color="auto"/>
            <w:left w:val="none" w:sz="0" w:space="0" w:color="auto"/>
            <w:bottom w:val="none" w:sz="0" w:space="0" w:color="auto"/>
            <w:right w:val="none" w:sz="0" w:space="0" w:color="auto"/>
          </w:divBdr>
        </w:div>
        <w:div w:id="1293825083">
          <w:marLeft w:val="0"/>
          <w:marRight w:val="0"/>
          <w:marTop w:val="0"/>
          <w:marBottom w:val="0"/>
          <w:divBdr>
            <w:top w:val="none" w:sz="0" w:space="0" w:color="auto"/>
            <w:left w:val="none" w:sz="0" w:space="0" w:color="auto"/>
            <w:bottom w:val="none" w:sz="0" w:space="0" w:color="auto"/>
            <w:right w:val="none" w:sz="0" w:space="0" w:color="auto"/>
          </w:divBdr>
        </w:div>
        <w:div w:id="1294555076">
          <w:marLeft w:val="0"/>
          <w:marRight w:val="0"/>
          <w:marTop w:val="0"/>
          <w:marBottom w:val="0"/>
          <w:divBdr>
            <w:top w:val="none" w:sz="0" w:space="0" w:color="auto"/>
            <w:left w:val="none" w:sz="0" w:space="0" w:color="auto"/>
            <w:bottom w:val="none" w:sz="0" w:space="0" w:color="auto"/>
            <w:right w:val="none" w:sz="0" w:space="0" w:color="auto"/>
          </w:divBdr>
        </w:div>
        <w:div w:id="1296181727">
          <w:marLeft w:val="0"/>
          <w:marRight w:val="0"/>
          <w:marTop w:val="0"/>
          <w:marBottom w:val="0"/>
          <w:divBdr>
            <w:top w:val="none" w:sz="0" w:space="0" w:color="auto"/>
            <w:left w:val="none" w:sz="0" w:space="0" w:color="auto"/>
            <w:bottom w:val="none" w:sz="0" w:space="0" w:color="auto"/>
            <w:right w:val="none" w:sz="0" w:space="0" w:color="auto"/>
          </w:divBdr>
        </w:div>
        <w:div w:id="1296790024">
          <w:marLeft w:val="0"/>
          <w:marRight w:val="0"/>
          <w:marTop w:val="0"/>
          <w:marBottom w:val="0"/>
          <w:divBdr>
            <w:top w:val="none" w:sz="0" w:space="0" w:color="auto"/>
            <w:left w:val="none" w:sz="0" w:space="0" w:color="auto"/>
            <w:bottom w:val="none" w:sz="0" w:space="0" w:color="auto"/>
            <w:right w:val="none" w:sz="0" w:space="0" w:color="auto"/>
          </w:divBdr>
        </w:div>
        <w:div w:id="1297175162">
          <w:marLeft w:val="0"/>
          <w:marRight w:val="0"/>
          <w:marTop w:val="0"/>
          <w:marBottom w:val="0"/>
          <w:divBdr>
            <w:top w:val="none" w:sz="0" w:space="0" w:color="auto"/>
            <w:left w:val="none" w:sz="0" w:space="0" w:color="auto"/>
            <w:bottom w:val="none" w:sz="0" w:space="0" w:color="auto"/>
            <w:right w:val="none" w:sz="0" w:space="0" w:color="auto"/>
          </w:divBdr>
        </w:div>
        <w:div w:id="1297177050">
          <w:marLeft w:val="0"/>
          <w:marRight w:val="0"/>
          <w:marTop w:val="0"/>
          <w:marBottom w:val="0"/>
          <w:divBdr>
            <w:top w:val="none" w:sz="0" w:space="0" w:color="auto"/>
            <w:left w:val="none" w:sz="0" w:space="0" w:color="auto"/>
            <w:bottom w:val="none" w:sz="0" w:space="0" w:color="auto"/>
            <w:right w:val="none" w:sz="0" w:space="0" w:color="auto"/>
          </w:divBdr>
        </w:div>
        <w:div w:id="1297682487">
          <w:marLeft w:val="0"/>
          <w:marRight w:val="0"/>
          <w:marTop w:val="0"/>
          <w:marBottom w:val="0"/>
          <w:divBdr>
            <w:top w:val="none" w:sz="0" w:space="0" w:color="auto"/>
            <w:left w:val="none" w:sz="0" w:space="0" w:color="auto"/>
            <w:bottom w:val="none" w:sz="0" w:space="0" w:color="auto"/>
            <w:right w:val="none" w:sz="0" w:space="0" w:color="auto"/>
          </w:divBdr>
        </w:div>
        <w:div w:id="1298412262">
          <w:marLeft w:val="0"/>
          <w:marRight w:val="0"/>
          <w:marTop w:val="0"/>
          <w:marBottom w:val="0"/>
          <w:divBdr>
            <w:top w:val="none" w:sz="0" w:space="0" w:color="auto"/>
            <w:left w:val="none" w:sz="0" w:space="0" w:color="auto"/>
            <w:bottom w:val="none" w:sz="0" w:space="0" w:color="auto"/>
            <w:right w:val="none" w:sz="0" w:space="0" w:color="auto"/>
          </w:divBdr>
        </w:div>
        <w:div w:id="1298533307">
          <w:marLeft w:val="0"/>
          <w:marRight w:val="0"/>
          <w:marTop w:val="0"/>
          <w:marBottom w:val="0"/>
          <w:divBdr>
            <w:top w:val="none" w:sz="0" w:space="0" w:color="auto"/>
            <w:left w:val="none" w:sz="0" w:space="0" w:color="auto"/>
            <w:bottom w:val="none" w:sz="0" w:space="0" w:color="auto"/>
            <w:right w:val="none" w:sz="0" w:space="0" w:color="auto"/>
          </w:divBdr>
        </w:div>
        <w:div w:id="1299997272">
          <w:marLeft w:val="0"/>
          <w:marRight w:val="0"/>
          <w:marTop w:val="0"/>
          <w:marBottom w:val="0"/>
          <w:divBdr>
            <w:top w:val="none" w:sz="0" w:space="0" w:color="auto"/>
            <w:left w:val="none" w:sz="0" w:space="0" w:color="auto"/>
            <w:bottom w:val="none" w:sz="0" w:space="0" w:color="auto"/>
            <w:right w:val="none" w:sz="0" w:space="0" w:color="auto"/>
          </w:divBdr>
        </w:div>
        <w:div w:id="1300650620">
          <w:marLeft w:val="0"/>
          <w:marRight w:val="0"/>
          <w:marTop w:val="0"/>
          <w:marBottom w:val="0"/>
          <w:divBdr>
            <w:top w:val="none" w:sz="0" w:space="0" w:color="auto"/>
            <w:left w:val="none" w:sz="0" w:space="0" w:color="auto"/>
            <w:bottom w:val="none" w:sz="0" w:space="0" w:color="auto"/>
            <w:right w:val="none" w:sz="0" w:space="0" w:color="auto"/>
          </w:divBdr>
        </w:div>
        <w:div w:id="1301764631">
          <w:marLeft w:val="0"/>
          <w:marRight w:val="0"/>
          <w:marTop w:val="0"/>
          <w:marBottom w:val="0"/>
          <w:divBdr>
            <w:top w:val="none" w:sz="0" w:space="0" w:color="auto"/>
            <w:left w:val="none" w:sz="0" w:space="0" w:color="auto"/>
            <w:bottom w:val="none" w:sz="0" w:space="0" w:color="auto"/>
            <w:right w:val="none" w:sz="0" w:space="0" w:color="auto"/>
          </w:divBdr>
        </w:div>
        <w:div w:id="1302494156">
          <w:marLeft w:val="0"/>
          <w:marRight w:val="0"/>
          <w:marTop w:val="0"/>
          <w:marBottom w:val="0"/>
          <w:divBdr>
            <w:top w:val="none" w:sz="0" w:space="0" w:color="auto"/>
            <w:left w:val="none" w:sz="0" w:space="0" w:color="auto"/>
            <w:bottom w:val="none" w:sz="0" w:space="0" w:color="auto"/>
            <w:right w:val="none" w:sz="0" w:space="0" w:color="auto"/>
          </w:divBdr>
        </w:div>
        <w:div w:id="1302616916">
          <w:marLeft w:val="0"/>
          <w:marRight w:val="0"/>
          <w:marTop w:val="0"/>
          <w:marBottom w:val="0"/>
          <w:divBdr>
            <w:top w:val="none" w:sz="0" w:space="0" w:color="auto"/>
            <w:left w:val="none" w:sz="0" w:space="0" w:color="auto"/>
            <w:bottom w:val="none" w:sz="0" w:space="0" w:color="auto"/>
            <w:right w:val="none" w:sz="0" w:space="0" w:color="auto"/>
          </w:divBdr>
        </w:div>
        <w:div w:id="1304239967">
          <w:marLeft w:val="0"/>
          <w:marRight w:val="0"/>
          <w:marTop w:val="0"/>
          <w:marBottom w:val="0"/>
          <w:divBdr>
            <w:top w:val="none" w:sz="0" w:space="0" w:color="auto"/>
            <w:left w:val="none" w:sz="0" w:space="0" w:color="auto"/>
            <w:bottom w:val="none" w:sz="0" w:space="0" w:color="auto"/>
            <w:right w:val="none" w:sz="0" w:space="0" w:color="auto"/>
          </w:divBdr>
          <w:divsChild>
            <w:div w:id="83428951">
              <w:marLeft w:val="0"/>
              <w:marRight w:val="0"/>
              <w:marTop w:val="0"/>
              <w:marBottom w:val="0"/>
              <w:divBdr>
                <w:top w:val="none" w:sz="0" w:space="0" w:color="auto"/>
                <w:left w:val="none" w:sz="0" w:space="0" w:color="auto"/>
                <w:bottom w:val="none" w:sz="0" w:space="0" w:color="auto"/>
                <w:right w:val="none" w:sz="0" w:space="0" w:color="auto"/>
              </w:divBdr>
            </w:div>
            <w:div w:id="160970750">
              <w:marLeft w:val="0"/>
              <w:marRight w:val="0"/>
              <w:marTop w:val="0"/>
              <w:marBottom w:val="0"/>
              <w:divBdr>
                <w:top w:val="none" w:sz="0" w:space="0" w:color="auto"/>
                <w:left w:val="none" w:sz="0" w:space="0" w:color="auto"/>
                <w:bottom w:val="none" w:sz="0" w:space="0" w:color="auto"/>
                <w:right w:val="none" w:sz="0" w:space="0" w:color="auto"/>
              </w:divBdr>
            </w:div>
            <w:div w:id="351998119">
              <w:marLeft w:val="0"/>
              <w:marRight w:val="0"/>
              <w:marTop w:val="0"/>
              <w:marBottom w:val="0"/>
              <w:divBdr>
                <w:top w:val="none" w:sz="0" w:space="0" w:color="auto"/>
                <w:left w:val="none" w:sz="0" w:space="0" w:color="auto"/>
                <w:bottom w:val="none" w:sz="0" w:space="0" w:color="auto"/>
                <w:right w:val="none" w:sz="0" w:space="0" w:color="auto"/>
              </w:divBdr>
            </w:div>
            <w:div w:id="465394531">
              <w:marLeft w:val="0"/>
              <w:marRight w:val="0"/>
              <w:marTop w:val="0"/>
              <w:marBottom w:val="0"/>
              <w:divBdr>
                <w:top w:val="none" w:sz="0" w:space="0" w:color="auto"/>
                <w:left w:val="none" w:sz="0" w:space="0" w:color="auto"/>
                <w:bottom w:val="none" w:sz="0" w:space="0" w:color="auto"/>
                <w:right w:val="none" w:sz="0" w:space="0" w:color="auto"/>
              </w:divBdr>
            </w:div>
            <w:div w:id="533344837">
              <w:marLeft w:val="0"/>
              <w:marRight w:val="0"/>
              <w:marTop w:val="0"/>
              <w:marBottom w:val="0"/>
              <w:divBdr>
                <w:top w:val="none" w:sz="0" w:space="0" w:color="auto"/>
                <w:left w:val="none" w:sz="0" w:space="0" w:color="auto"/>
                <w:bottom w:val="none" w:sz="0" w:space="0" w:color="auto"/>
                <w:right w:val="none" w:sz="0" w:space="0" w:color="auto"/>
              </w:divBdr>
            </w:div>
            <w:div w:id="751202194">
              <w:marLeft w:val="0"/>
              <w:marRight w:val="0"/>
              <w:marTop w:val="0"/>
              <w:marBottom w:val="0"/>
              <w:divBdr>
                <w:top w:val="none" w:sz="0" w:space="0" w:color="auto"/>
                <w:left w:val="none" w:sz="0" w:space="0" w:color="auto"/>
                <w:bottom w:val="none" w:sz="0" w:space="0" w:color="auto"/>
                <w:right w:val="none" w:sz="0" w:space="0" w:color="auto"/>
              </w:divBdr>
            </w:div>
            <w:div w:id="786778531">
              <w:marLeft w:val="0"/>
              <w:marRight w:val="0"/>
              <w:marTop w:val="0"/>
              <w:marBottom w:val="0"/>
              <w:divBdr>
                <w:top w:val="none" w:sz="0" w:space="0" w:color="auto"/>
                <w:left w:val="none" w:sz="0" w:space="0" w:color="auto"/>
                <w:bottom w:val="none" w:sz="0" w:space="0" w:color="auto"/>
                <w:right w:val="none" w:sz="0" w:space="0" w:color="auto"/>
              </w:divBdr>
            </w:div>
            <w:div w:id="792789569">
              <w:marLeft w:val="0"/>
              <w:marRight w:val="0"/>
              <w:marTop w:val="0"/>
              <w:marBottom w:val="0"/>
              <w:divBdr>
                <w:top w:val="none" w:sz="0" w:space="0" w:color="auto"/>
                <w:left w:val="none" w:sz="0" w:space="0" w:color="auto"/>
                <w:bottom w:val="none" w:sz="0" w:space="0" w:color="auto"/>
                <w:right w:val="none" w:sz="0" w:space="0" w:color="auto"/>
              </w:divBdr>
            </w:div>
            <w:div w:id="891696381">
              <w:marLeft w:val="0"/>
              <w:marRight w:val="0"/>
              <w:marTop w:val="0"/>
              <w:marBottom w:val="0"/>
              <w:divBdr>
                <w:top w:val="none" w:sz="0" w:space="0" w:color="auto"/>
                <w:left w:val="none" w:sz="0" w:space="0" w:color="auto"/>
                <w:bottom w:val="none" w:sz="0" w:space="0" w:color="auto"/>
                <w:right w:val="none" w:sz="0" w:space="0" w:color="auto"/>
              </w:divBdr>
            </w:div>
            <w:div w:id="911235857">
              <w:marLeft w:val="0"/>
              <w:marRight w:val="0"/>
              <w:marTop w:val="0"/>
              <w:marBottom w:val="0"/>
              <w:divBdr>
                <w:top w:val="none" w:sz="0" w:space="0" w:color="auto"/>
                <w:left w:val="none" w:sz="0" w:space="0" w:color="auto"/>
                <w:bottom w:val="none" w:sz="0" w:space="0" w:color="auto"/>
                <w:right w:val="none" w:sz="0" w:space="0" w:color="auto"/>
              </w:divBdr>
            </w:div>
            <w:div w:id="1161508577">
              <w:marLeft w:val="0"/>
              <w:marRight w:val="0"/>
              <w:marTop w:val="0"/>
              <w:marBottom w:val="0"/>
              <w:divBdr>
                <w:top w:val="none" w:sz="0" w:space="0" w:color="auto"/>
                <w:left w:val="none" w:sz="0" w:space="0" w:color="auto"/>
                <w:bottom w:val="none" w:sz="0" w:space="0" w:color="auto"/>
                <w:right w:val="none" w:sz="0" w:space="0" w:color="auto"/>
              </w:divBdr>
            </w:div>
            <w:div w:id="1357198995">
              <w:marLeft w:val="0"/>
              <w:marRight w:val="0"/>
              <w:marTop w:val="0"/>
              <w:marBottom w:val="0"/>
              <w:divBdr>
                <w:top w:val="none" w:sz="0" w:space="0" w:color="auto"/>
                <w:left w:val="none" w:sz="0" w:space="0" w:color="auto"/>
                <w:bottom w:val="none" w:sz="0" w:space="0" w:color="auto"/>
                <w:right w:val="none" w:sz="0" w:space="0" w:color="auto"/>
              </w:divBdr>
            </w:div>
            <w:div w:id="1467116854">
              <w:marLeft w:val="0"/>
              <w:marRight w:val="0"/>
              <w:marTop w:val="0"/>
              <w:marBottom w:val="0"/>
              <w:divBdr>
                <w:top w:val="none" w:sz="0" w:space="0" w:color="auto"/>
                <w:left w:val="none" w:sz="0" w:space="0" w:color="auto"/>
                <w:bottom w:val="none" w:sz="0" w:space="0" w:color="auto"/>
                <w:right w:val="none" w:sz="0" w:space="0" w:color="auto"/>
              </w:divBdr>
            </w:div>
            <w:div w:id="1478571197">
              <w:marLeft w:val="0"/>
              <w:marRight w:val="0"/>
              <w:marTop w:val="0"/>
              <w:marBottom w:val="0"/>
              <w:divBdr>
                <w:top w:val="none" w:sz="0" w:space="0" w:color="auto"/>
                <w:left w:val="none" w:sz="0" w:space="0" w:color="auto"/>
                <w:bottom w:val="none" w:sz="0" w:space="0" w:color="auto"/>
                <w:right w:val="none" w:sz="0" w:space="0" w:color="auto"/>
              </w:divBdr>
            </w:div>
            <w:div w:id="1549225380">
              <w:marLeft w:val="0"/>
              <w:marRight w:val="0"/>
              <w:marTop w:val="0"/>
              <w:marBottom w:val="0"/>
              <w:divBdr>
                <w:top w:val="none" w:sz="0" w:space="0" w:color="auto"/>
                <w:left w:val="none" w:sz="0" w:space="0" w:color="auto"/>
                <w:bottom w:val="none" w:sz="0" w:space="0" w:color="auto"/>
                <w:right w:val="none" w:sz="0" w:space="0" w:color="auto"/>
              </w:divBdr>
            </w:div>
            <w:div w:id="1644383715">
              <w:marLeft w:val="0"/>
              <w:marRight w:val="0"/>
              <w:marTop w:val="0"/>
              <w:marBottom w:val="0"/>
              <w:divBdr>
                <w:top w:val="none" w:sz="0" w:space="0" w:color="auto"/>
                <w:left w:val="none" w:sz="0" w:space="0" w:color="auto"/>
                <w:bottom w:val="none" w:sz="0" w:space="0" w:color="auto"/>
                <w:right w:val="none" w:sz="0" w:space="0" w:color="auto"/>
              </w:divBdr>
            </w:div>
            <w:div w:id="1722944908">
              <w:marLeft w:val="0"/>
              <w:marRight w:val="0"/>
              <w:marTop w:val="0"/>
              <w:marBottom w:val="0"/>
              <w:divBdr>
                <w:top w:val="none" w:sz="0" w:space="0" w:color="auto"/>
                <w:left w:val="none" w:sz="0" w:space="0" w:color="auto"/>
                <w:bottom w:val="none" w:sz="0" w:space="0" w:color="auto"/>
                <w:right w:val="none" w:sz="0" w:space="0" w:color="auto"/>
              </w:divBdr>
            </w:div>
            <w:div w:id="1756239659">
              <w:marLeft w:val="0"/>
              <w:marRight w:val="0"/>
              <w:marTop w:val="0"/>
              <w:marBottom w:val="0"/>
              <w:divBdr>
                <w:top w:val="none" w:sz="0" w:space="0" w:color="auto"/>
                <w:left w:val="none" w:sz="0" w:space="0" w:color="auto"/>
                <w:bottom w:val="none" w:sz="0" w:space="0" w:color="auto"/>
                <w:right w:val="none" w:sz="0" w:space="0" w:color="auto"/>
              </w:divBdr>
            </w:div>
            <w:div w:id="1828010098">
              <w:marLeft w:val="0"/>
              <w:marRight w:val="0"/>
              <w:marTop w:val="0"/>
              <w:marBottom w:val="0"/>
              <w:divBdr>
                <w:top w:val="none" w:sz="0" w:space="0" w:color="auto"/>
                <w:left w:val="none" w:sz="0" w:space="0" w:color="auto"/>
                <w:bottom w:val="none" w:sz="0" w:space="0" w:color="auto"/>
                <w:right w:val="none" w:sz="0" w:space="0" w:color="auto"/>
              </w:divBdr>
            </w:div>
            <w:div w:id="2005694302">
              <w:marLeft w:val="0"/>
              <w:marRight w:val="0"/>
              <w:marTop w:val="0"/>
              <w:marBottom w:val="0"/>
              <w:divBdr>
                <w:top w:val="none" w:sz="0" w:space="0" w:color="auto"/>
                <w:left w:val="none" w:sz="0" w:space="0" w:color="auto"/>
                <w:bottom w:val="none" w:sz="0" w:space="0" w:color="auto"/>
                <w:right w:val="none" w:sz="0" w:space="0" w:color="auto"/>
              </w:divBdr>
            </w:div>
          </w:divsChild>
        </w:div>
        <w:div w:id="1304891572">
          <w:marLeft w:val="0"/>
          <w:marRight w:val="0"/>
          <w:marTop w:val="0"/>
          <w:marBottom w:val="0"/>
          <w:divBdr>
            <w:top w:val="none" w:sz="0" w:space="0" w:color="auto"/>
            <w:left w:val="none" w:sz="0" w:space="0" w:color="auto"/>
            <w:bottom w:val="none" w:sz="0" w:space="0" w:color="auto"/>
            <w:right w:val="none" w:sz="0" w:space="0" w:color="auto"/>
          </w:divBdr>
        </w:div>
        <w:div w:id="1306424594">
          <w:marLeft w:val="0"/>
          <w:marRight w:val="0"/>
          <w:marTop w:val="0"/>
          <w:marBottom w:val="0"/>
          <w:divBdr>
            <w:top w:val="none" w:sz="0" w:space="0" w:color="auto"/>
            <w:left w:val="none" w:sz="0" w:space="0" w:color="auto"/>
            <w:bottom w:val="none" w:sz="0" w:space="0" w:color="auto"/>
            <w:right w:val="none" w:sz="0" w:space="0" w:color="auto"/>
          </w:divBdr>
        </w:div>
        <w:div w:id="1309171006">
          <w:marLeft w:val="0"/>
          <w:marRight w:val="0"/>
          <w:marTop w:val="0"/>
          <w:marBottom w:val="0"/>
          <w:divBdr>
            <w:top w:val="none" w:sz="0" w:space="0" w:color="auto"/>
            <w:left w:val="none" w:sz="0" w:space="0" w:color="auto"/>
            <w:bottom w:val="none" w:sz="0" w:space="0" w:color="auto"/>
            <w:right w:val="none" w:sz="0" w:space="0" w:color="auto"/>
          </w:divBdr>
        </w:div>
        <w:div w:id="1310282310">
          <w:marLeft w:val="0"/>
          <w:marRight w:val="0"/>
          <w:marTop w:val="0"/>
          <w:marBottom w:val="0"/>
          <w:divBdr>
            <w:top w:val="none" w:sz="0" w:space="0" w:color="auto"/>
            <w:left w:val="none" w:sz="0" w:space="0" w:color="auto"/>
            <w:bottom w:val="none" w:sz="0" w:space="0" w:color="auto"/>
            <w:right w:val="none" w:sz="0" w:space="0" w:color="auto"/>
          </w:divBdr>
        </w:div>
        <w:div w:id="1312173465">
          <w:marLeft w:val="0"/>
          <w:marRight w:val="0"/>
          <w:marTop w:val="0"/>
          <w:marBottom w:val="0"/>
          <w:divBdr>
            <w:top w:val="none" w:sz="0" w:space="0" w:color="auto"/>
            <w:left w:val="none" w:sz="0" w:space="0" w:color="auto"/>
            <w:bottom w:val="none" w:sz="0" w:space="0" w:color="auto"/>
            <w:right w:val="none" w:sz="0" w:space="0" w:color="auto"/>
          </w:divBdr>
        </w:div>
        <w:div w:id="1317151986">
          <w:marLeft w:val="0"/>
          <w:marRight w:val="0"/>
          <w:marTop w:val="0"/>
          <w:marBottom w:val="0"/>
          <w:divBdr>
            <w:top w:val="none" w:sz="0" w:space="0" w:color="auto"/>
            <w:left w:val="none" w:sz="0" w:space="0" w:color="auto"/>
            <w:bottom w:val="none" w:sz="0" w:space="0" w:color="auto"/>
            <w:right w:val="none" w:sz="0" w:space="0" w:color="auto"/>
          </w:divBdr>
        </w:div>
        <w:div w:id="1320571972">
          <w:marLeft w:val="0"/>
          <w:marRight w:val="0"/>
          <w:marTop w:val="0"/>
          <w:marBottom w:val="0"/>
          <w:divBdr>
            <w:top w:val="none" w:sz="0" w:space="0" w:color="auto"/>
            <w:left w:val="none" w:sz="0" w:space="0" w:color="auto"/>
            <w:bottom w:val="none" w:sz="0" w:space="0" w:color="auto"/>
            <w:right w:val="none" w:sz="0" w:space="0" w:color="auto"/>
          </w:divBdr>
        </w:div>
        <w:div w:id="1321350907">
          <w:marLeft w:val="0"/>
          <w:marRight w:val="0"/>
          <w:marTop w:val="0"/>
          <w:marBottom w:val="0"/>
          <w:divBdr>
            <w:top w:val="none" w:sz="0" w:space="0" w:color="auto"/>
            <w:left w:val="none" w:sz="0" w:space="0" w:color="auto"/>
            <w:bottom w:val="none" w:sz="0" w:space="0" w:color="auto"/>
            <w:right w:val="none" w:sz="0" w:space="0" w:color="auto"/>
          </w:divBdr>
        </w:div>
        <w:div w:id="1322780551">
          <w:marLeft w:val="0"/>
          <w:marRight w:val="0"/>
          <w:marTop w:val="0"/>
          <w:marBottom w:val="0"/>
          <w:divBdr>
            <w:top w:val="none" w:sz="0" w:space="0" w:color="auto"/>
            <w:left w:val="none" w:sz="0" w:space="0" w:color="auto"/>
            <w:bottom w:val="none" w:sz="0" w:space="0" w:color="auto"/>
            <w:right w:val="none" w:sz="0" w:space="0" w:color="auto"/>
          </w:divBdr>
        </w:div>
        <w:div w:id="1323317715">
          <w:marLeft w:val="0"/>
          <w:marRight w:val="0"/>
          <w:marTop w:val="0"/>
          <w:marBottom w:val="0"/>
          <w:divBdr>
            <w:top w:val="none" w:sz="0" w:space="0" w:color="auto"/>
            <w:left w:val="none" w:sz="0" w:space="0" w:color="auto"/>
            <w:bottom w:val="none" w:sz="0" w:space="0" w:color="auto"/>
            <w:right w:val="none" w:sz="0" w:space="0" w:color="auto"/>
          </w:divBdr>
        </w:div>
        <w:div w:id="1324973566">
          <w:marLeft w:val="0"/>
          <w:marRight w:val="0"/>
          <w:marTop w:val="0"/>
          <w:marBottom w:val="0"/>
          <w:divBdr>
            <w:top w:val="none" w:sz="0" w:space="0" w:color="auto"/>
            <w:left w:val="none" w:sz="0" w:space="0" w:color="auto"/>
            <w:bottom w:val="none" w:sz="0" w:space="0" w:color="auto"/>
            <w:right w:val="none" w:sz="0" w:space="0" w:color="auto"/>
          </w:divBdr>
        </w:div>
        <w:div w:id="1325817973">
          <w:marLeft w:val="0"/>
          <w:marRight w:val="0"/>
          <w:marTop w:val="0"/>
          <w:marBottom w:val="0"/>
          <w:divBdr>
            <w:top w:val="none" w:sz="0" w:space="0" w:color="auto"/>
            <w:left w:val="none" w:sz="0" w:space="0" w:color="auto"/>
            <w:bottom w:val="none" w:sz="0" w:space="0" w:color="auto"/>
            <w:right w:val="none" w:sz="0" w:space="0" w:color="auto"/>
          </w:divBdr>
        </w:div>
        <w:div w:id="1326125602">
          <w:marLeft w:val="0"/>
          <w:marRight w:val="0"/>
          <w:marTop w:val="0"/>
          <w:marBottom w:val="0"/>
          <w:divBdr>
            <w:top w:val="none" w:sz="0" w:space="0" w:color="auto"/>
            <w:left w:val="none" w:sz="0" w:space="0" w:color="auto"/>
            <w:bottom w:val="none" w:sz="0" w:space="0" w:color="auto"/>
            <w:right w:val="none" w:sz="0" w:space="0" w:color="auto"/>
          </w:divBdr>
        </w:div>
        <w:div w:id="1327980155">
          <w:marLeft w:val="0"/>
          <w:marRight w:val="0"/>
          <w:marTop w:val="0"/>
          <w:marBottom w:val="0"/>
          <w:divBdr>
            <w:top w:val="none" w:sz="0" w:space="0" w:color="auto"/>
            <w:left w:val="none" w:sz="0" w:space="0" w:color="auto"/>
            <w:bottom w:val="none" w:sz="0" w:space="0" w:color="auto"/>
            <w:right w:val="none" w:sz="0" w:space="0" w:color="auto"/>
          </w:divBdr>
        </w:div>
        <w:div w:id="1328167800">
          <w:marLeft w:val="0"/>
          <w:marRight w:val="0"/>
          <w:marTop w:val="0"/>
          <w:marBottom w:val="0"/>
          <w:divBdr>
            <w:top w:val="none" w:sz="0" w:space="0" w:color="auto"/>
            <w:left w:val="none" w:sz="0" w:space="0" w:color="auto"/>
            <w:bottom w:val="none" w:sz="0" w:space="0" w:color="auto"/>
            <w:right w:val="none" w:sz="0" w:space="0" w:color="auto"/>
          </w:divBdr>
        </w:div>
        <w:div w:id="1328707903">
          <w:marLeft w:val="0"/>
          <w:marRight w:val="0"/>
          <w:marTop w:val="0"/>
          <w:marBottom w:val="0"/>
          <w:divBdr>
            <w:top w:val="none" w:sz="0" w:space="0" w:color="auto"/>
            <w:left w:val="none" w:sz="0" w:space="0" w:color="auto"/>
            <w:bottom w:val="none" w:sz="0" w:space="0" w:color="auto"/>
            <w:right w:val="none" w:sz="0" w:space="0" w:color="auto"/>
          </w:divBdr>
        </w:div>
        <w:div w:id="1329403093">
          <w:marLeft w:val="0"/>
          <w:marRight w:val="0"/>
          <w:marTop w:val="0"/>
          <w:marBottom w:val="0"/>
          <w:divBdr>
            <w:top w:val="none" w:sz="0" w:space="0" w:color="auto"/>
            <w:left w:val="none" w:sz="0" w:space="0" w:color="auto"/>
            <w:bottom w:val="none" w:sz="0" w:space="0" w:color="auto"/>
            <w:right w:val="none" w:sz="0" w:space="0" w:color="auto"/>
          </w:divBdr>
        </w:div>
        <w:div w:id="1332218258">
          <w:marLeft w:val="0"/>
          <w:marRight w:val="0"/>
          <w:marTop w:val="0"/>
          <w:marBottom w:val="0"/>
          <w:divBdr>
            <w:top w:val="none" w:sz="0" w:space="0" w:color="auto"/>
            <w:left w:val="none" w:sz="0" w:space="0" w:color="auto"/>
            <w:bottom w:val="none" w:sz="0" w:space="0" w:color="auto"/>
            <w:right w:val="none" w:sz="0" w:space="0" w:color="auto"/>
          </w:divBdr>
        </w:div>
        <w:div w:id="1332681484">
          <w:marLeft w:val="0"/>
          <w:marRight w:val="0"/>
          <w:marTop w:val="0"/>
          <w:marBottom w:val="0"/>
          <w:divBdr>
            <w:top w:val="none" w:sz="0" w:space="0" w:color="auto"/>
            <w:left w:val="none" w:sz="0" w:space="0" w:color="auto"/>
            <w:bottom w:val="none" w:sz="0" w:space="0" w:color="auto"/>
            <w:right w:val="none" w:sz="0" w:space="0" w:color="auto"/>
          </w:divBdr>
        </w:div>
        <w:div w:id="1332833032">
          <w:marLeft w:val="0"/>
          <w:marRight w:val="0"/>
          <w:marTop w:val="0"/>
          <w:marBottom w:val="0"/>
          <w:divBdr>
            <w:top w:val="none" w:sz="0" w:space="0" w:color="auto"/>
            <w:left w:val="none" w:sz="0" w:space="0" w:color="auto"/>
            <w:bottom w:val="none" w:sz="0" w:space="0" w:color="auto"/>
            <w:right w:val="none" w:sz="0" w:space="0" w:color="auto"/>
          </w:divBdr>
        </w:div>
        <w:div w:id="1333295349">
          <w:marLeft w:val="0"/>
          <w:marRight w:val="0"/>
          <w:marTop w:val="0"/>
          <w:marBottom w:val="0"/>
          <w:divBdr>
            <w:top w:val="none" w:sz="0" w:space="0" w:color="auto"/>
            <w:left w:val="none" w:sz="0" w:space="0" w:color="auto"/>
            <w:bottom w:val="none" w:sz="0" w:space="0" w:color="auto"/>
            <w:right w:val="none" w:sz="0" w:space="0" w:color="auto"/>
          </w:divBdr>
        </w:div>
        <w:div w:id="1333482773">
          <w:marLeft w:val="0"/>
          <w:marRight w:val="0"/>
          <w:marTop w:val="0"/>
          <w:marBottom w:val="0"/>
          <w:divBdr>
            <w:top w:val="none" w:sz="0" w:space="0" w:color="auto"/>
            <w:left w:val="none" w:sz="0" w:space="0" w:color="auto"/>
            <w:bottom w:val="none" w:sz="0" w:space="0" w:color="auto"/>
            <w:right w:val="none" w:sz="0" w:space="0" w:color="auto"/>
          </w:divBdr>
        </w:div>
        <w:div w:id="1335915850">
          <w:marLeft w:val="0"/>
          <w:marRight w:val="0"/>
          <w:marTop w:val="0"/>
          <w:marBottom w:val="0"/>
          <w:divBdr>
            <w:top w:val="none" w:sz="0" w:space="0" w:color="auto"/>
            <w:left w:val="none" w:sz="0" w:space="0" w:color="auto"/>
            <w:bottom w:val="none" w:sz="0" w:space="0" w:color="auto"/>
            <w:right w:val="none" w:sz="0" w:space="0" w:color="auto"/>
          </w:divBdr>
        </w:div>
        <w:div w:id="1336149468">
          <w:marLeft w:val="0"/>
          <w:marRight w:val="0"/>
          <w:marTop w:val="0"/>
          <w:marBottom w:val="0"/>
          <w:divBdr>
            <w:top w:val="none" w:sz="0" w:space="0" w:color="auto"/>
            <w:left w:val="none" w:sz="0" w:space="0" w:color="auto"/>
            <w:bottom w:val="none" w:sz="0" w:space="0" w:color="auto"/>
            <w:right w:val="none" w:sz="0" w:space="0" w:color="auto"/>
          </w:divBdr>
        </w:div>
        <w:div w:id="1337343702">
          <w:marLeft w:val="0"/>
          <w:marRight w:val="0"/>
          <w:marTop w:val="0"/>
          <w:marBottom w:val="0"/>
          <w:divBdr>
            <w:top w:val="none" w:sz="0" w:space="0" w:color="auto"/>
            <w:left w:val="none" w:sz="0" w:space="0" w:color="auto"/>
            <w:bottom w:val="none" w:sz="0" w:space="0" w:color="auto"/>
            <w:right w:val="none" w:sz="0" w:space="0" w:color="auto"/>
          </w:divBdr>
        </w:div>
        <w:div w:id="1338729404">
          <w:marLeft w:val="0"/>
          <w:marRight w:val="0"/>
          <w:marTop w:val="0"/>
          <w:marBottom w:val="0"/>
          <w:divBdr>
            <w:top w:val="none" w:sz="0" w:space="0" w:color="auto"/>
            <w:left w:val="none" w:sz="0" w:space="0" w:color="auto"/>
            <w:bottom w:val="none" w:sz="0" w:space="0" w:color="auto"/>
            <w:right w:val="none" w:sz="0" w:space="0" w:color="auto"/>
          </w:divBdr>
        </w:div>
        <w:div w:id="1340430995">
          <w:marLeft w:val="0"/>
          <w:marRight w:val="0"/>
          <w:marTop w:val="0"/>
          <w:marBottom w:val="0"/>
          <w:divBdr>
            <w:top w:val="none" w:sz="0" w:space="0" w:color="auto"/>
            <w:left w:val="none" w:sz="0" w:space="0" w:color="auto"/>
            <w:bottom w:val="none" w:sz="0" w:space="0" w:color="auto"/>
            <w:right w:val="none" w:sz="0" w:space="0" w:color="auto"/>
          </w:divBdr>
        </w:div>
        <w:div w:id="1343123376">
          <w:marLeft w:val="0"/>
          <w:marRight w:val="0"/>
          <w:marTop w:val="0"/>
          <w:marBottom w:val="0"/>
          <w:divBdr>
            <w:top w:val="none" w:sz="0" w:space="0" w:color="auto"/>
            <w:left w:val="none" w:sz="0" w:space="0" w:color="auto"/>
            <w:bottom w:val="none" w:sz="0" w:space="0" w:color="auto"/>
            <w:right w:val="none" w:sz="0" w:space="0" w:color="auto"/>
          </w:divBdr>
        </w:div>
        <w:div w:id="1343388227">
          <w:marLeft w:val="0"/>
          <w:marRight w:val="0"/>
          <w:marTop w:val="0"/>
          <w:marBottom w:val="0"/>
          <w:divBdr>
            <w:top w:val="none" w:sz="0" w:space="0" w:color="auto"/>
            <w:left w:val="none" w:sz="0" w:space="0" w:color="auto"/>
            <w:bottom w:val="none" w:sz="0" w:space="0" w:color="auto"/>
            <w:right w:val="none" w:sz="0" w:space="0" w:color="auto"/>
          </w:divBdr>
        </w:div>
        <w:div w:id="1344816528">
          <w:marLeft w:val="0"/>
          <w:marRight w:val="0"/>
          <w:marTop w:val="0"/>
          <w:marBottom w:val="0"/>
          <w:divBdr>
            <w:top w:val="none" w:sz="0" w:space="0" w:color="auto"/>
            <w:left w:val="none" w:sz="0" w:space="0" w:color="auto"/>
            <w:bottom w:val="none" w:sz="0" w:space="0" w:color="auto"/>
            <w:right w:val="none" w:sz="0" w:space="0" w:color="auto"/>
          </w:divBdr>
          <w:divsChild>
            <w:div w:id="79647137">
              <w:marLeft w:val="0"/>
              <w:marRight w:val="0"/>
              <w:marTop w:val="0"/>
              <w:marBottom w:val="0"/>
              <w:divBdr>
                <w:top w:val="none" w:sz="0" w:space="0" w:color="auto"/>
                <w:left w:val="none" w:sz="0" w:space="0" w:color="auto"/>
                <w:bottom w:val="none" w:sz="0" w:space="0" w:color="auto"/>
                <w:right w:val="none" w:sz="0" w:space="0" w:color="auto"/>
              </w:divBdr>
            </w:div>
            <w:div w:id="134683310">
              <w:marLeft w:val="0"/>
              <w:marRight w:val="0"/>
              <w:marTop w:val="0"/>
              <w:marBottom w:val="0"/>
              <w:divBdr>
                <w:top w:val="none" w:sz="0" w:space="0" w:color="auto"/>
                <w:left w:val="none" w:sz="0" w:space="0" w:color="auto"/>
                <w:bottom w:val="none" w:sz="0" w:space="0" w:color="auto"/>
                <w:right w:val="none" w:sz="0" w:space="0" w:color="auto"/>
              </w:divBdr>
            </w:div>
            <w:div w:id="217401030">
              <w:marLeft w:val="0"/>
              <w:marRight w:val="0"/>
              <w:marTop w:val="0"/>
              <w:marBottom w:val="0"/>
              <w:divBdr>
                <w:top w:val="none" w:sz="0" w:space="0" w:color="auto"/>
                <w:left w:val="none" w:sz="0" w:space="0" w:color="auto"/>
                <w:bottom w:val="none" w:sz="0" w:space="0" w:color="auto"/>
                <w:right w:val="none" w:sz="0" w:space="0" w:color="auto"/>
              </w:divBdr>
            </w:div>
            <w:div w:id="318265005">
              <w:marLeft w:val="0"/>
              <w:marRight w:val="0"/>
              <w:marTop w:val="0"/>
              <w:marBottom w:val="0"/>
              <w:divBdr>
                <w:top w:val="none" w:sz="0" w:space="0" w:color="auto"/>
                <w:left w:val="none" w:sz="0" w:space="0" w:color="auto"/>
                <w:bottom w:val="none" w:sz="0" w:space="0" w:color="auto"/>
                <w:right w:val="none" w:sz="0" w:space="0" w:color="auto"/>
              </w:divBdr>
            </w:div>
            <w:div w:id="469982839">
              <w:marLeft w:val="0"/>
              <w:marRight w:val="0"/>
              <w:marTop w:val="0"/>
              <w:marBottom w:val="0"/>
              <w:divBdr>
                <w:top w:val="none" w:sz="0" w:space="0" w:color="auto"/>
                <w:left w:val="none" w:sz="0" w:space="0" w:color="auto"/>
                <w:bottom w:val="none" w:sz="0" w:space="0" w:color="auto"/>
                <w:right w:val="none" w:sz="0" w:space="0" w:color="auto"/>
              </w:divBdr>
            </w:div>
            <w:div w:id="507839159">
              <w:marLeft w:val="0"/>
              <w:marRight w:val="0"/>
              <w:marTop w:val="0"/>
              <w:marBottom w:val="0"/>
              <w:divBdr>
                <w:top w:val="none" w:sz="0" w:space="0" w:color="auto"/>
                <w:left w:val="none" w:sz="0" w:space="0" w:color="auto"/>
                <w:bottom w:val="none" w:sz="0" w:space="0" w:color="auto"/>
                <w:right w:val="none" w:sz="0" w:space="0" w:color="auto"/>
              </w:divBdr>
            </w:div>
            <w:div w:id="694189134">
              <w:marLeft w:val="0"/>
              <w:marRight w:val="0"/>
              <w:marTop w:val="0"/>
              <w:marBottom w:val="0"/>
              <w:divBdr>
                <w:top w:val="none" w:sz="0" w:space="0" w:color="auto"/>
                <w:left w:val="none" w:sz="0" w:space="0" w:color="auto"/>
                <w:bottom w:val="none" w:sz="0" w:space="0" w:color="auto"/>
                <w:right w:val="none" w:sz="0" w:space="0" w:color="auto"/>
              </w:divBdr>
            </w:div>
            <w:div w:id="726340248">
              <w:marLeft w:val="0"/>
              <w:marRight w:val="0"/>
              <w:marTop w:val="0"/>
              <w:marBottom w:val="0"/>
              <w:divBdr>
                <w:top w:val="none" w:sz="0" w:space="0" w:color="auto"/>
                <w:left w:val="none" w:sz="0" w:space="0" w:color="auto"/>
                <w:bottom w:val="none" w:sz="0" w:space="0" w:color="auto"/>
                <w:right w:val="none" w:sz="0" w:space="0" w:color="auto"/>
              </w:divBdr>
            </w:div>
            <w:div w:id="770515826">
              <w:marLeft w:val="0"/>
              <w:marRight w:val="0"/>
              <w:marTop w:val="0"/>
              <w:marBottom w:val="0"/>
              <w:divBdr>
                <w:top w:val="none" w:sz="0" w:space="0" w:color="auto"/>
                <w:left w:val="none" w:sz="0" w:space="0" w:color="auto"/>
                <w:bottom w:val="none" w:sz="0" w:space="0" w:color="auto"/>
                <w:right w:val="none" w:sz="0" w:space="0" w:color="auto"/>
              </w:divBdr>
            </w:div>
            <w:div w:id="810488168">
              <w:marLeft w:val="0"/>
              <w:marRight w:val="0"/>
              <w:marTop w:val="0"/>
              <w:marBottom w:val="0"/>
              <w:divBdr>
                <w:top w:val="none" w:sz="0" w:space="0" w:color="auto"/>
                <w:left w:val="none" w:sz="0" w:space="0" w:color="auto"/>
                <w:bottom w:val="none" w:sz="0" w:space="0" w:color="auto"/>
                <w:right w:val="none" w:sz="0" w:space="0" w:color="auto"/>
              </w:divBdr>
            </w:div>
            <w:div w:id="813717666">
              <w:marLeft w:val="0"/>
              <w:marRight w:val="0"/>
              <w:marTop w:val="0"/>
              <w:marBottom w:val="0"/>
              <w:divBdr>
                <w:top w:val="none" w:sz="0" w:space="0" w:color="auto"/>
                <w:left w:val="none" w:sz="0" w:space="0" w:color="auto"/>
                <w:bottom w:val="none" w:sz="0" w:space="0" w:color="auto"/>
                <w:right w:val="none" w:sz="0" w:space="0" w:color="auto"/>
              </w:divBdr>
            </w:div>
            <w:div w:id="1200359922">
              <w:marLeft w:val="0"/>
              <w:marRight w:val="0"/>
              <w:marTop w:val="0"/>
              <w:marBottom w:val="0"/>
              <w:divBdr>
                <w:top w:val="none" w:sz="0" w:space="0" w:color="auto"/>
                <w:left w:val="none" w:sz="0" w:space="0" w:color="auto"/>
                <w:bottom w:val="none" w:sz="0" w:space="0" w:color="auto"/>
                <w:right w:val="none" w:sz="0" w:space="0" w:color="auto"/>
              </w:divBdr>
            </w:div>
            <w:div w:id="1362508421">
              <w:marLeft w:val="0"/>
              <w:marRight w:val="0"/>
              <w:marTop w:val="0"/>
              <w:marBottom w:val="0"/>
              <w:divBdr>
                <w:top w:val="none" w:sz="0" w:space="0" w:color="auto"/>
                <w:left w:val="none" w:sz="0" w:space="0" w:color="auto"/>
                <w:bottom w:val="none" w:sz="0" w:space="0" w:color="auto"/>
                <w:right w:val="none" w:sz="0" w:space="0" w:color="auto"/>
              </w:divBdr>
            </w:div>
            <w:div w:id="1391609827">
              <w:marLeft w:val="0"/>
              <w:marRight w:val="0"/>
              <w:marTop w:val="0"/>
              <w:marBottom w:val="0"/>
              <w:divBdr>
                <w:top w:val="none" w:sz="0" w:space="0" w:color="auto"/>
                <w:left w:val="none" w:sz="0" w:space="0" w:color="auto"/>
                <w:bottom w:val="none" w:sz="0" w:space="0" w:color="auto"/>
                <w:right w:val="none" w:sz="0" w:space="0" w:color="auto"/>
              </w:divBdr>
            </w:div>
            <w:div w:id="1475562539">
              <w:marLeft w:val="0"/>
              <w:marRight w:val="0"/>
              <w:marTop w:val="0"/>
              <w:marBottom w:val="0"/>
              <w:divBdr>
                <w:top w:val="none" w:sz="0" w:space="0" w:color="auto"/>
                <w:left w:val="none" w:sz="0" w:space="0" w:color="auto"/>
                <w:bottom w:val="none" w:sz="0" w:space="0" w:color="auto"/>
                <w:right w:val="none" w:sz="0" w:space="0" w:color="auto"/>
              </w:divBdr>
            </w:div>
            <w:div w:id="1564634056">
              <w:marLeft w:val="0"/>
              <w:marRight w:val="0"/>
              <w:marTop w:val="0"/>
              <w:marBottom w:val="0"/>
              <w:divBdr>
                <w:top w:val="none" w:sz="0" w:space="0" w:color="auto"/>
                <w:left w:val="none" w:sz="0" w:space="0" w:color="auto"/>
                <w:bottom w:val="none" w:sz="0" w:space="0" w:color="auto"/>
                <w:right w:val="none" w:sz="0" w:space="0" w:color="auto"/>
              </w:divBdr>
            </w:div>
            <w:div w:id="1575968435">
              <w:marLeft w:val="0"/>
              <w:marRight w:val="0"/>
              <w:marTop w:val="0"/>
              <w:marBottom w:val="0"/>
              <w:divBdr>
                <w:top w:val="none" w:sz="0" w:space="0" w:color="auto"/>
                <w:left w:val="none" w:sz="0" w:space="0" w:color="auto"/>
                <w:bottom w:val="none" w:sz="0" w:space="0" w:color="auto"/>
                <w:right w:val="none" w:sz="0" w:space="0" w:color="auto"/>
              </w:divBdr>
            </w:div>
            <w:div w:id="1767263239">
              <w:marLeft w:val="0"/>
              <w:marRight w:val="0"/>
              <w:marTop w:val="0"/>
              <w:marBottom w:val="0"/>
              <w:divBdr>
                <w:top w:val="none" w:sz="0" w:space="0" w:color="auto"/>
                <w:left w:val="none" w:sz="0" w:space="0" w:color="auto"/>
                <w:bottom w:val="none" w:sz="0" w:space="0" w:color="auto"/>
                <w:right w:val="none" w:sz="0" w:space="0" w:color="auto"/>
              </w:divBdr>
            </w:div>
            <w:div w:id="2139099902">
              <w:marLeft w:val="0"/>
              <w:marRight w:val="0"/>
              <w:marTop w:val="0"/>
              <w:marBottom w:val="0"/>
              <w:divBdr>
                <w:top w:val="none" w:sz="0" w:space="0" w:color="auto"/>
                <w:left w:val="none" w:sz="0" w:space="0" w:color="auto"/>
                <w:bottom w:val="none" w:sz="0" w:space="0" w:color="auto"/>
                <w:right w:val="none" w:sz="0" w:space="0" w:color="auto"/>
              </w:divBdr>
            </w:div>
          </w:divsChild>
        </w:div>
        <w:div w:id="1344821565">
          <w:marLeft w:val="0"/>
          <w:marRight w:val="0"/>
          <w:marTop w:val="0"/>
          <w:marBottom w:val="0"/>
          <w:divBdr>
            <w:top w:val="none" w:sz="0" w:space="0" w:color="auto"/>
            <w:left w:val="none" w:sz="0" w:space="0" w:color="auto"/>
            <w:bottom w:val="none" w:sz="0" w:space="0" w:color="auto"/>
            <w:right w:val="none" w:sz="0" w:space="0" w:color="auto"/>
          </w:divBdr>
        </w:div>
        <w:div w:id="1345087722">
          <w:marLeft w:val="0"/>
          <w:marRight w:val="0"/>
          <w:marTop w:val="0"/>
          <w:marBottom w:val="0"/>
          <w:divBdr>
            <w:top w:val="none" w:sz="0" w:space="0" w:color="auto"/>
            <w:left w:val="none" w:sz="0" w:space="0" w:color="auto"/>
            <w:bottom w:val="none" w:sz="0" w:space="0" w:color="auto"/>
            <w:right w:val="none" w:sz="0" w:space="0" w:color="auto"/>
          </w:divBdr>
        </w:div>
        <w:div w:id="1346440998">
          <w:marLeft w:val="0"/>
          <w:marRight w:val="0"/>
          <w:marTop w:val="0"/>
          <w:marBottom w:val="0"/>
          <w:divBdr>
            <w:top w:val="none" w:sz="0" w:space="0" w:color="auto"/>
            <w:left w:val="none" w:sz="0" w:space="0" w:color="auto"/>
            <w:bottom w:val="none" w:sz="0" w:space="0" w:color="auto"/>
            <w:right w:val="none" w:sz="0" w:space="0" w:color="auto"/>
          </w:divBdr>
        </w:div>
        <w:div w:id="1346903309">
          <w:marLeft w:val="0"/>
          <w:marRight w:val="0"/>
          <w:marTop w:val="0"/>
          <w:marBottom w:val="0"/>
          <w:divBdr>
            <w:top w:val="none" w:sz="0" w:space="0" w:color="auto"/>
            <w:left w:val="none" w:sz="0" w:space="0" w:color="auto"/>
            <w:bottom w:val="none" w:sz="0" w:space="0" w:color="auto"/>
            <w:right w:val="none" w:sz="0" w:space="0" w:color="auto"/>
          </w:divBdr>
        </w:div>
        <w:div w:id="1350376698">
          <w:marLeft w:val="0"/>
          <w:marRight w:val="0"/>
          <w:marTop w:val="0"/>
          <w:marBottom w:val="0"/>
          <w:divBdr>
            <w:top w:val="none" w:sz="0" w:space="0" w:color="auto"/>
            <w:left w:val="none" w:sz="0" w:space="0" w:color="auto"/>
            <w:bottom w:val="none" w:sz="0" w:space="0" w:color="auto"/>
            <w:right w:val="none" w:sz="0" w:space="0" w:color="auto"/>
          </w:divBdr>
        </w:div>
        <w:div w:id="1353066003">
          <w:marLeft w:val="0"/>
          <w:marRight w:val="0"/>
          <w:marTop w:val="0"/>
          <w:marBottom w:val="0"/>
          <w:divBdr>
            <w:top w:val="none" w:sz="0" w:space="0" w:color="auto"/>
            <w:left w:val="none" w:sz="0" w:space="0" w:color="auto"/>
            <w:bottom w:val="none" w:sz="0" w:space="0" w:color="auto"/>
            <w:right w:val="none" w:sz="0" w:space="0" w:color="auto"/>
          </w:divBdr>
        </w:div>
        <w:div w:id="1353338313">
          <w:marLeft w:val="0"/>
          <w:marRight w:val="0"/>
          <w:marTop w:val="0"/>
          <w:marBottom w:val="0"/>
          <w:divBdr>
            <w:top w:val="none" w:sz="0" w:space="0" w:color="auto"/>
            <w:left w:val="none" w:sz="0" w:space="0" w:color="auto"/>
            <w:bottom w:val="none" w:sz="0" w:space="0" w:color="auto"/>
            <w:right w:val="none" w:sz="0" w:space="0" w:color="auto"/>
          </w:divBdr>
        </w:div>
        <w:div w:id="1353460154">
          <w:marLeft w:val="0"/>
          <w:marRight w:val="0"/>
          <w:marTop w:val="0"/>
          <w:marBottom w:val="0"/>
          <w:divBdr>
            <w:top w:val="none" w:sz="0" w:space="0" w:color="auto"/>
            <w:left w:val="none" w:sz="0" w:space="0" w:color="auto"/>
            <w:bottom w:val="none" w:sz="0" w:space="0" w:color="auto"/>
            <w:right w:val="none" w:sz="0" w:space="0" w:color="auto"/>
          </w:divBdr>
        </w:div>
        <w:div w:id="1358039239">
          <w:marLeft w:val="0"/>
          <w:marRight w:val="0"/>
          <w:marTop w:val="0"/>
          <w:marBottom w:val="0"/>
          <w:divBdr>
            <w:top w:val="none" w:sz="0" w:space="0" w:color="auto"/>
            <w:left w:val="none" w:sz="0" w:space="0" w:color="auto"/>
            <w:bottom w:val="none" w:sz="0" w:space="0" w:color="auto"/>
            <w:right w:val="none" w:sz="0" w:space="0" w:color="auto"/>
          </w:divBdr>
        </w:div>
        <w:div w:id="1361391298">
          <w:marLeft w:val="0"/>
          <w:marRight w:val="0"/>
          <w:marTop w:val="0"/>
          <w:marBottom w:val="0"/>
          <w:divBdr>
            <w:top w:val="none" w:sz="0" w:space="0" w:color="auto"/>
            <w:left w:val="none" w:sz="0" w:space="0" w:color="auto"/>
            <w:bottom w:val="none" w:sz="0" w:space="0" w:color="auto"/>
            <w:right w:val="none" w:sz="0" w:space="0" w:color="auto"/>
          </w:divBdr>
        </w:div>
        <w:div w:id="1361513469">
          <w:marLeft w:val="0"/>
          <w:marRight w:val="0"/>
          <w:marTop w:val="0"/>
          <w:marBottom w:val="0"/>
          <w:divBdr>
            <w:top w:val="none" w:sz="0" w:space="0" w:color="auto"/>
            <w:left w:val="none" w:sz="0" w:space="0" w:color="auto"/>
            <w:bottom w:val="none" w:sz="0" w:space="0" w:color="auto"/>
            <w:right w:val="none" w:sz="0" w:space="0" w:color="auto"/>
          </w:divBdr>
        </w:div>
        <w:div w:id="1362315461">
          <w:marLeft w:val="0"/>
          <w:marRight w:val="0"/>
          <w:marTop w:val="0"/>
          <w:marBottom w:val="0"/>
          <w:divBdr>
            <w:top w:val="none" w:sz="0" w:space="0" w:color="auto"/>
            <w:left w:val="none" w:sz="0" w:space="0" w:color="auto"/>
            <w:bottom w:val="none" w:sz="0" w:space="0" w:color="auto"/>
            <w:right w:val="none" w:sz="0" w:space="0" w:color="auto"/>
          </w:divBdr>
          <w:divsChild>
            <w:div w:id="268587403">
              <w:marLeft w:val="0"/>
              <w:marRight w:val="0"/>
              <w:marTop w:val="0"/>
              <w:marBottom w:val="0"/>
              <w:divBdr>
                <w:top w:val="none" w:sz="0" w:space="0" w:color="auto"/>
                <w:left w:val="none" w:sz="0" w:space="0" w:color="auto"/>
                <w:bottom w:val="none" w:sz="0" w:space="0" w:color="auto"/>
                <w:right w:val="none" w:sz="0" w:space="0" w:color="auto"/>
              </w:divBdr>
            </w:div>
            <w:div w:id="273101004">
              <w:marLeft w:val="0"/>
              <w:marRight w:val="0"/>
              <w:marTop w:val="0"/>
              <w:marBottom w:val="0"/>
              <w:divBdr>
                <w:top w:val="none" w:sz="0" w:space="0" w:color="auto"/>
                <w:left w:val="none" w:sz="0" w:space="0" w:color="auto"/>
                <w:bottom w:val="none" w:sz="0" w:space="0" w:color="auto"/>
                <w:right w:val="none" w:sz="0" w:space="0" w:color="auto"/>
              </w:divBdr>
            </w:div>
            <w:div w:id="312221121">
              <w:marLeft w:val="0"/>
              <w:marRight w:val="0"/>
              <w:marTop w:val="0"/>
              <w:marBottom w:val="0"/>
              <w:divBdr>
                <w:top w:val="none" w:sz="0" w:space="0" w:color="auto"/>
                <w:left w:val="none" w:sz="0" w:space="0" w:color="auto"/>
                <w:bottom w:val="none" w:sz="0" w:space="0" w:color="auto"/>
                <w:right w:val="none" w:sz="0" w:space="0" w:color="auto"/>
              </w:divBdr>
            </w:div>
            <w:div w:id="388649683">
              <w:marLeft w:val="0"/>
              <w:marRight w:val="0"/>
              <w:marTop w:val="0"/>
              <w:marBottom w:val="0"/>
              <w:divBdr>
                <w:top w:val="none" w:sz="0" w:space="0" w:color="auto"/>
                <w:left w:val="none" w:sz="0" w:space="0" w:color="auto"/>
                <w:bottom w:val="none" w:sz="0" w:space="0" w:color="auto"/>
                <w:right w:val="none" w:sz="0" w:space="0" w:color="auto"/>
              </w:divBdr>
            </w:div>
            <w:div w:id="421410742">
              <w:marLeft w:val="0"/>
              <w:marRight w:val="0"/>
              <w:marTop w:val="0"/>
              <w:marBottom w:val="0"/>
              <w:divBdr>
                <w:top w:val="none" w:sz="0" w:space="0" w:color="auto"/>
                <w:left w:val="none" w:sz="0" w:space="0" w:color="auto"/>
                <w:bottom w:val="none" w:sz="0" w:space="0" w:color="auto"/>
                <w:right w:val="none" w:sz="0" w:space="0" w:color="auto"/>
              </w:divBdr>
            </w:div>
            <w:div w:id="625816166">
              <w:marLeft w:val="0"/>
              <w:marRight w:val="0"/>
              <w:marTop w:val="0"/>
              <w:marBottom w:val="0"/>
              <w:divBdr>
                <w:top w:val="none" w:sz="0" w:space="0" w:color="auto"/>
                <w:left w:val="none" w:sz="0" w:space="0" w:color="auto"/>
                <w:bottom w:val="none" w:sz="0" w:space="0" w:color="auto"/>
                <w:right w:val="none" w:sz="0" w:space="0" w:color="auto"/>
              </w:divBdr>
            </w:div>
            <w:div w:id="1397821391">
              <w:marLeft w:val="0"/>
              <w:marRight w:val="0"/>
              <w:marTop w:val="0"/>
              <w:marBottom w:val="0"/>
              <w:divBdr>
                <w:top w:val="none" w:sz="0" w:space="0" w:color="auto"/>
                <w:left w:val="none" w:sz="0" w:space="0" w:color="auto"/>
                <w:bottom w:val="none" w:sz="0" w:space="0" w:color="auto"/>
                <w:right w:val="none" w:sz="0" w:space="0" w:color="auto"/>
              </w:divBdr>
            </w:div>
            <w:div w:id="1548447202">
              <w:marLeft w:val="0"/>
              <w:marRight w:val="0"/>
              <w:marTop w:val="0"/>
              <w:marBottom w:val="0"/>
              <w:divBdr>
                <w:top w:val="none" w:sz="0" w:space="0" w:color="auto"/>
                <w:left w:val="none" w:sz="0" w:space="0" w:color="auto"/>
                <w:bottom w:val="none" w:sz="0" w:space="0" w:color="auto"/>
                <w:right w:val="none" w:sz="0" w:space="0" w:color="auto"/>
              </w:divBdr>
            </w:div>
            <w:div w:id="1784229034">
              <w:marLeft w:val="0"/>
              <w:marRight w:val="0"/>
              <w:marTop w:val="0"/>
              <w:marBottom w:val="0"/>
              <w:divBdr>
                <w:top w:val="none" w:sz="0" w:space="0" w:color="auto"/>
                <w:left w:val="none" w:sz="0" w:space="0" w:color="auto"/>
                <w:bottom w:val="none" w:sz="0" w:space="0" w:color="auto"/>
                <w:right w:val="none" w:sz="0" w:space="0" w:color="auto"/>
              </w:divBdr>
            </w:div>
            <w:div w:id="1850025418">
              <w:marLeft w:val="0"/>
              <w:marRight w:val="0"/>
              <w:marTop w:val="0"/>
              <w:marBottom w:val="0"/>
              <w:divBdr>
                <w:top w:val="none" w:sz="0" w:space="0" w:color="auto"/>
                <w:left w:val="none" w:sz="0" w:space="0" w:color="auto"/>
                <w:bottom w:val="none" w:sz="0" w:space="0" w:color="auto"/>
                <w:right w:val="none" w:sz="0" w:space="0" w:color="auto"/>
              </w:divBdr>
            </w:div>
            <w:div w:id="2132625831">
              <w:marLeft w:val="0"/>
              <w:marRight w:val="0"/>
              <w:marTop w:val="0"/>
              <w:marBottom w:val="0"/>
              <w:divBdr>
                <w:top w:val="none" w:sz="0" w:space="0" w:color="auto"/>
                <w:left w:val="none" w:sz="0" w:space="0" w:color="auto"/>
                <w:bottom w:val="none" w:sz="0" w:space="0" w:color="auto"/>
                <w:right w:val="none" w:sz="0" w:space="0" w:color="auto"/>
              </w:divBdr>
            </w:div>
          </w:divsChild>
        </w:div>
        <w:div w:id="1363364269">
          <w:marLeft w:val="0"/>
          <w:marRight w:val="0"/>
          <w:marTop w:val="0"/>
          <w:marBottom w:val="0"/>
          <w:divBdr>
            <w:top w:val="none" w:sz="0" w:space="0" w:color="auto"/>
            <w:left w:val="none" w:sz="0" w:space="0" w:color="auto"/>
            <w:bottom w:val="none" w:sz="0" w:space="0" w:color="auto"/>
            <w:right w:val="none" w:sz="0" w:space="0" w:color="auto"/>
          </w:divBdr>
        </w:div>
        <w:div w:id="1364285662">
          <w:marLeft w:val="0"/>
          <w:marRight w:val="0"/>
          <w:marTop w:val="0"/>
          <w:marBottom w:val="0"/>
          <w:divBdr>
            <w:top w:val="none" w:sz="0" w:space="0" w:color="auto"/>
            <w:left w:val="none" w:sz="0" w:space="0" w:color="auto"/>
            <w:bottom w:val="none" w:sz="0" w:space="0" w:color="auto"/>
            <w:right w:val="none" w:sz="0" w:space="0" w:color="auto"/>
          </w:divBdr>
        </w:div>
        <w:div w:id="1365137242">
          <w:marLeft w:val="0"/>
          <w:marRight w:val="0"/>
          <w:marTop w:val="0"/>
          <w:marBottom w:val="0"/>
          <w:divBdr>
            <w:top w:val="none" w:sz="0" w:space="0" w:color="auto"/>
            <w:left w:val="none" w:sz="0" w:space="0" w:color="auto"/>
            <w:bottom w:val="none" w:sz="0" w:space="0" w:color="auto"/>
            <w:right w:val="none" w:sz="0" w:space="0" w:color="auto"/>
          </w:divBdr>
        </w:div>
        <w:div w:id="1365521541">
          <w:marLeft w:val="0"/>
          <w:marRight w:val="0"/>
          <w:marTop w:val="0"/>
          <w:marBottom w:val="0"/>
          <w:divBdr>
            <w:top w:val="none" w:sz="0" w:space="0" w:color="auto"/>
            <w:left w:val="none" w:sz="0" w:space="0" w:color="auto"/>
            <w:bottom w:val="none" w:sz="0" w:space="0" w:color="auto"/>
            <w:right w:val="none" w:sz="0" w:space="0" w:color="auto"/>
          </w:divBdr>
        </w:div>
        <w:div w:id="1365786974">
          <w:marLeft w:val="0"/>
          <w:marRight w:val="0"/>
          <w:marTop w:val="0"/>
          <w:marBottom w:val="0"/>
          <w:divBdr>
            <w:top w:val="none" w:sz="0" w:space="0" w:color="auto"/>
            <w:left w:val="none" w:sz="0" w:space="0" w:color="auto"/>
            <w:bottom w:val="none" w:sz="0" w:space="0" w:color="auto"/>
            <w:right w:val="none" w:sz="0" w:space="0" w:color="auto"/>
          </w:divBdr>
        </w:div>
        <w:div w:id="1366902538">
          <w:marLeft w:val="0"/>
          <w:marRight w:val="0"/>
          <w:marTop w:val="0"/>
          <w:marBottom w:val="0"/>
          <w:divBdr>
            <w:top w:val="none" w:sz="0" w:space="0" w:color="auto"/>
            <w:left w:val="none" w:sz="0" w:space="0" w:color="auto"/>
            <w:bottom w:val="none" w:sz="0" w:space="0" w:color="auto"/>
            <w:right w:val="none" w:sz="0" w:space="0" w:color="auto"/>
          </w:divBdr>
        </w:div>
        <w:div w:id="1367364328">
          <w:marLeft w:val="0"/>
          <w:marRight w:val="0"/>
          <w:marTop w:val="0"/>
          <w:marBottom w:val="0"/>
          <w:divBdr>
            <w:top w:val="none" w:sz="0" w:space="0" w:color="auto"/>
            <w:left w:val="none" w:sz="0" w:space="0" w:color="auto"/>
            <w:bottom w:val="none" w:sz="0" w:space="0" w:color="auto"/>
            <w:right w:val="none" w:sz="0" w:space="0" w:color="auto"/>
          </w:divBdr>
        </w:div>
        <w:div w:id="1367947252">
          <w:marLeft w:val="0"/>
          <w:marRight w:val="0"/>
          <w:marTop w:val="0"/>
          <w:marBottom w:val="0"/>
          <w:divBdr>
            <w:top w:val="none" w:sz="0" w:space="0" w:color="auto"/>
            <w:left w:val="none" w:sz="0" w:space="0" w:color="auto"/>
            <w:bottom w:val="none" w:sz="0" w:space="0" w:color="auto"/>
            <w:right w:val="none" w:sz="0" w:space="0" w:color="auto"/>
          </w:divBdr>
          <w:divsChild>
            <w:div w:id="92014428">
              <w:marLeft w:val="0"/>
              <w:marRight w:val="0"/>
              <w:marTop w:val="0"/>
              <w:marBottom w:val="0"/>
              <w:divBdr>
                <w:top w:val="none" w:sz="0" w:space="0" w:color="auto"/>
                <w:left w:val="none" w:sz="0" w:space="0" w:color="auto"/>
                <w:bottom w:val="none" w:sz="0" w:space="0" w:color="auto"/>
                <w:right w:val="none" w:sz="0" w:space="0" w:color="auto"/>
              </w:divBdr>
            </w:div>
            <w:div w:id="191654621">
              <w:marLeft w:val="0"/>
              <w:marRight w:val="0"/>
              <w:marTop w:val="0"/>
              <w:marBottom w:val="0"/>
              <w:divBdr>
                <w:top w:val="none" w:sz="0" w:space="0" w:color="auto"/>
                <w:left w:val="none" w:sz="0" w:space="0" w:color="auto"/>
                <w:bottom w:val="none" w:sz="0" w:space="0" w:color="auto"/>
                <w:right w:val="none" w:sz="0" w:space="0" w:color="auto"/>
              </w:divBdr>
            </w:div>
            <w:div w:id="358287716">
              <w:marLeft w:val="0"/>
              <w:marRight w:val="0"/>
              <w:marTop w:val="0"/>
              <w:marBottom w:val="0"/>
              <w:divBdr>
                <w:top w:val="none" w:sz="0" w:space="0" w:color="auto"/>
                <w:left w:val="none" w:sz="0" w:space="0" w:color="auto"/>
                <w:bottom w:val="none" w:sz="0" w:space="0" w:color="auto"/>
                <w:right w:val="none" w:sz="0" w:space="0" w:color="auto"/>
              </w:divBdr>
            </w:div>
            <w:div w:id="700858330">
              <w:marLeft w:val="0"/>
              <w:marRight w:val="0"/>
              <w:marTop w:val="0"/>
              <w:marBottom w:val="0"/>
              <w:divBdr>
                <w:top w:val="none" w:sz="0" w:space="0" w:color="auto"/>
                <w:left w:val="none" w:sz="0" w:space="0" w:color="auto"/>
                <w:bottom w:val="none" w:sz="0" w:space="0" w:color="auto"/>
                <w:right w:val="none" w:sz="0" w:space="0" w:color="auto"/>
              </w:divBdr>
            </w:div>
            <w:div w:id="780035313">
              <w:marLeft w:val="0"/>
              <w:marRight w:val="0"/>
              <w:marTop w:val="0"/>
              <w:marBottom w:val="0"/>
              <w:divBdr>
                <w:top w:val="none" w:sz="0" w:space="0" w:color="auto"/>
                <w:left w:val="none" w:sz="0" w:space="0" w:color="auto"/>
                <w:bottom w:val="none" w:sz="0" w:space="0" w:color="auto"/>
                <w:right w:val="none" w:sz="0" w:space="0" w:color="auto"/>
              </w:divBdr>
            </w:div>
            <w:div w:id="900402869">
              <w:marLeft w:val="0"/>
              <w:marRight w:val="0"/>
              <w:marTop w:val="0"/>
              <w:marBottom w:val="0"/>
              <w:divBdr>
                <w:top w:val="none" w:sz="0" w:space="0" w:color="auto"/>
                <w:left w:val="none" w:sz="0" w:space="0" w:color="auto"/>
                <w:bottom w:val="none" w:sz="0" w:space="0" w:color="auto"/>
                <w:right w:val="none" w:sz="0" w:space="0" w:color="auto"/>
              </w:divBdr>
            </w:div>
            <w:div w:id="939490527">
              <w:marLeft w:val="0"/>
              <w:marRight w:val="0"/>
              <w:marTop w:val="0"/>
              <w:marBottom w:val="0"/>
              <w:divBdr>
                <w:top w:val="none" w:sz="0" w:space="0" w:color="auto"/>
                <w:left w:val="none" w:sz="0" w:space="0" w:color="auto"/>
                <w:bottom w:val="none" w:sz="0" w:space="0" w:color="auto"/>
                <w:right w:val="none" w:sz="0" w:space="0" w:color="auto"/>
              </w:divBdr>
            </w:div>
            <w:div w:id="964392468">
              <w:marLeft w:val="0"/>
              <w:marRight w:val="0"/>
              <w:marTop w:val="0"/>
              <w:marBottom w:val="0"/>
              <w:divBdr>
                <w:top w:val="none" w:sz="0" w:space="0" w:color="auto"/>
                <w:left w:val="none" w:sz="0" w:space="0" w:color="auto"/>
                <w:bottom w:val="none" w:sz="0" w:space="0" w:color="auto"/>
                <w:right w:val="none" w:sz="0" w:space="0" w:color="auto"/>
              </w:divBdr>
            </w:div>
            <w:div w:id="981345331">
              <w:marLeft w:val="0"/>
              <w:marRight w:val="0"/>
              <w:marTop w:val="0"/>
              <w:marBottom w:val="0"/>
              <w:divBdr>
                <w:top w:val="none" w:sz="0" w:space="0" w:color="auto"/>
                <w:left w:val="none" w:sz="0" w:space="0" w:color="auto"/>
                <w:bottom w:val="none" w:sz="0" w:space="0" w:color="auto"/>
                <w:right w:val="none" w:sz="0" w:space="0" w:color="auto"/>
              </w:divBdr>
            </w:div>
            <w:div w:id="1001006848">
              <w:marLeft w:val="0"/>
              <w:marRight w:val="0"/>
              <w:marTop w:val="0"/>
              <w:marBottom w:val="0"/>
              <w:divBdr>
                <w:top w:val="none" w:sz="0" w:space="0" w:color="auto"/>
                <w:left w:val="none" w:sz="0" w:space="0" w:color="auto"/>
                <w:bottom w:val="none" w:sz="0" w:space="0" w:color="auto"/>
                <w:right w:val="none" w:sz="0" w:space="0" w:color="auto"/>
              </w:divBdr>
            </w:div>
            <w:div w:id="1311910260">
              <w:marLeft w:val="0"/>
              <w:marRight w:val="0"/>
              <w:marTop w:val="0"/>
              <w:marBottom w:val="0"/>
              <w:divBdr>
                <w:top w:val="none" w:sz="0" w:space="0" w:color="auto"/>
                <w:left w:val="none" w:sz="0" w:space="0" w:color="auto"/>
                <w:bottom w:val="none" w:sz="0" w:space="0" w:color="auto"/>
                <w:right w:val="none" w:sz="0" w:space="0" w:color="auto"/>
              </w:divBdr>
            </w:div>
            <w:div w:id="1328434874">
              <w:marLeft w:val="0"/>
              <w:marRight w:val="0"/>
              <w:marTop w:val="0"/>
              <w:marBottom w:val="0"/>
              <w:divBdr>
                <w:top w:val="none" w:sz="0" w:space="0" w:color="auto"/>
                <w:left w:val="none" w:sz="0" w:space="0" w:color="auto"/>
                <w:bottom w:val="none" w:sz="0" w:space="0" w:color="auto"/>
                <w:right w:val="none" w:sz="0" w:space="0" w:color="auto"/>
              </w:divBdr>
            </w:div>
            <w:div w:id="1473526611">
              <w:marLeft w:val="0"/>
              <w:marRight w:val="0"/>
              <w:marTop w:val="0"/>
              <w:marBottom w:val="0"/>
              <w:divBdr>
                <w:top w:val="none" w:sz="0" w:space="0" w:color="auto"/>
                <w:left w:val="none" w:sz="0" w:space="0" w:color="auto"/>
                <w:bottom w:val="none" w:sz="0" w:space="0" w:color="auto"/>
                <w:right w:val="none" w:sz="0" w:space="0" w:color="auto"/>
              </w:divBdr>
            </w:div>
            <w:div w:id="1528833516">
              <w:marLeft w:val="0"/>
              <w:marRight w:val="0"/>
              <w:marTop w:val="0"/>
              <w:marBottom w:val="0"/>
              <w:divBdr>
                <w:top w:val="none" w:sz="0" w:space="0" w:color="auto"/>
                <w:left w:val="none" w:sz="0" w:space="0" w:color="auto"/>
                <w:bottom w:val="none" w:sz="0" w:space="0" w:color="auto"/>
                <w:right w:val="none" w:sz="0" w:space="0" w:color="auto"/>
              </w:divBdr>
            </w:div>
            <w:div w:id="1698433136">
              <w:marLeft w:val="0"/>
              <w:marRight w:val="0"/>
              <w:marTop w:val="0"/>
              <w:marBottom w:val="0"/>
              <w:divBdr>
                <w:top w:val="none" w:sz="0" w:space="0" w:color="auto"/>
                <w:left w:val="none" w:sz="0" w:space="0" w:color="auto"/>
                <w:bottom w:val="none" w:sz="0" w:space="0" w:color="auto"/>
                <w:right w:val="none" w:sz="0" w:space="0" w:color="auto"/>
              </w:divBdr>
            </w:div>
            <w:div w:id="1717196697">
              <w:marLeft w:val="0"/>
              <w:marRight w:val="0"/>
              <w:marTop w:val="0"/>
              <w:marBottom w:val="0"/>
              <w:divBdr>
                <w:top w:val="none" w:sz="0" w:space="0" w:color="auto"/>
                <w:left w:val="none" w:sz="0" w:space="0" w:color="auto"/>
                <w:bottom w:val="none" w:sz="0" w:space="0" w:color="auto"/>
                <w:right w:val="none" w:sz="0" w:space="0" w:color="auto"/>
              </w:divBdr>
            </w:div>
            <w:div w:id="1952859683">
              <w:marLeft w:val="0"/>
              <w:marRight w:val="0"/>
              <w:marTop w:val="0"/>
              <w:marBottom w:val="0"/>
              <w:divBdr>
                <w:top w:val="none" w:sz="0" w:space="0" w:color="auto"/>
                <w:left w:val="none" w:sz="0" w:space="0" w:color="auto"/>
                <w:bottom w:val="none" w:sz="0" w:space="0" w:color="auto"/>
                <w:right w:val="none" w:sz="0" w:space="0" w:color="auto"/>
              </w:divBdr>
            </w:div>
            <w:div w:id="2010018348">
              <w:marLeft w:val="0"/>
              <w:marRight w:val="0"/>
              <w:marTop w:val="0"/>
              <w:marBottom w:val="0"/>
              <w:divBdr>
                <w:top w:val="none" w:sz="0" w:space="0" w:color="auto"/>
                <w:left w:val="none" w:sz="0" w:space="0" w:color="auto"/>
                <w:bottom w:val="none" w:sz="0" w:space="0" w:color="auto"/>
                <w:right w:val="none" w:sz="0" w:space="0" w:color="auto"/>
              </w:divBdr>
            </w:div>
            <w:div w:id="2127386090">
              <w:marLeft w:val="0"/>
              <w:marRight w:val="0"/>
              <w:marTop w:val="0"/>
              <w:marBottom w:val="0"/>
              <w:divBdr>
                <w:top w:val="none" w:sz="0" w:space="0" w:color="auto"/>
                <w:left w:val="none" w:sz="0" w:space="0" w:color="auto"/>
                <w:bottom w:val="none" w:sz="0" w:space="0" w:color="auto"/>
                <w:right w:val="none" w:sz="0" w:space="0" w:color="auto"/>
              </w:divBdr>
            </w:div>
            <w:div w:id="2131318516">
              <w:marLeft w:val="0"/>
              <w:marRight w:val="0"/>
              <w:marTop w:val="0"/>
              <w:marBottom w:val="0"/>
              <w:divBdr>
                <w:top w:val="none" w:sz="0" w:space="0" w:color="auto"/>
                <w:left w:val="none" w:sz="0" w:space="0" w:color="auto"/>
                <w:bottom w:val="none" w:sz="0" w:space="0" w:color="auto"/>
                <w:right w:val="none" w:sz="0" w:space="0" w:color="auto"/>
              </w:divBdr>
            </w:div>
          </w:divsChild>
        </w:div>
        <w:div w:id="1368799757">
          <w:marLeft w:val="0"/>
          <w:marRight w:val="0"/>
          <w:marTop w:val="0"/>
          <w:marBottom w:val="0"/>
          <w:divBdr>
            <w:top w:val="none" w:sz="0" w:space="0" w:color="auto"/>
            <w:left w:val="none" w:sz="0" w:space="0" w:color="auto"/>
            <w:bottom w:val="none" w:sz="0" w:space="0" w:color="auto"/>
            <w:right w:val="none" w:sz="0" w:space="0" w:color="auto"/>
          </w:divBdr>
        </w:div>
        <w:div w:id="1369178858">
          <w:marLeft w:val="0"/>
          <w:marRight w:val="0"/>
          <w:marTop w:val="0"/>
          <w:marBottom w:val="0"/>
          <w:divBdr>
            <w:top w:val="none" w:sz="0" w:space="0" w:color="auto"/>
            <w:left w:val="none" w:sz="0" w:space="0" w:color="auto"/>
            <w:bottom w:val="none" w:sz="0" w:space="0" w:color="auto"/>
            <w:right w:val="none" w:sz="0" w:space="0" w:color="auto"/>
          </w:divBdr>
        </w:div>
        <w:div w:id="1372800681">
          <w:marLeft w:val="0"/>
          <w:marRight w:val="0"/>
          <w:marTop w:val="0"/>
          <w:marBottom w:val="0"/>
          <w:divBdr>
            <w:top w:val="none" w:sz="0" w:space="0" w:color="auto"/>
            <w:left w:val="none" w:sz="0" w:space="0" w:color="auto"/>
            <w:bottom w:val="none" w:sz="0" w:space="0" w:color="auto"/>
            <w:right w:val="none" w:sz="0" w:space="0" w:color="auto"/>
          </w:divBdr>
        </w:div>
        <w:div w:id="1377702605">
          <w:marLeft w:val="0"/>
          <w:marRight w:val="0"/>
          <w:marTop w:val="0"/>
          <w:marBottom w:val="0"/>
          <w:divBdr>
            <w:top w:val="none" w:sz="0" w:space="0" w:color="auto"/>
            <w:left w:val="none" w:sz="0" w:space="0" w:color="auto"/>
            <w:bottom w:val="none" w:sz="0" w:space="0" w:color="auto"/>
            <w:right w:val="none" w:sz="0" w:space="0" w:color="auto"/>
          </w:divBdr>
        </w:div>
        <w:div w:id="1383558845">
          <w:marLeft w:val="0"/>
          <w:marRight w:val="0"/>
          <w:marTop w:val="0"/>
          <w:marBottom w:val="0"/>
          <w:divBdr>
            <w:top w:val="none" w:sz="0" w:space="0" w:color="auto"/>
            <w:left w:val="none" w:sz="0" w:space="0" w:color="auto"/>
            <w:bottom w:val="none" w:sz="0" w:space="0" w:color="auto"/>
            <w:right w:val="none" w:sz="0" w:space="0" w:color="auto"/>
          </w:divBdr>
          <w:divsChild>
            <w:div w:id="4793564">
              <w:marLeft w:val="0"/>
              <w:marRight w:val="0"/>
              <w:marTop w:val="0"/>
              <w:marBottom w:val="0"/>
              <w:divBdr>
                <w:top w:val="none" w:sz="0" w:space="0" w:color="auto"/>
                <w:left w:val="none" w:sz="0" w:space="0" w:color="auto"/>
                <w:bottom w:val="none" w:sz="0" w:space="0" w:color="auto"/>
                <w:right w:val="none" w:sz="0" w:space="0" w:color="auto"/>
              </w:divBdr>
            </w:div>
            <w:div w:id="155463125">
              <w:marLeft w:val="0"/>
              <w:marRight w:val="0"/>
              <w:marTop w:val="0"/>
              <w:marBottom w:val="0"/>
              <w:divBdr>
                <w:top w:val="none" w:sz="0" w:space="0" w:color="auto"/>
                <w:left w:val="none" w:sz="0" w:space="0" w:color="auto"/>
                <w:bottom w:val="none" w:sz="0" w:space="0" w:color="auto"/>
                <w:right w:val="none" w:sz="0" w:space="0" w:color="auto"/>
              </w:divBdr>
            </w:div>
            <w:div w:id="614825479">
              <w:marLeft w:val="0"/>
              <w:marRight w:val="0"/>
              <w:marTop w:val="0"/>
              <w:marBottom w:val="0"/>
              <w:divBdr>
                <w:top w:val="none" w:sz="0" w:space="0" w:color="auto"/>
                <w:left w:val="none" w:sz="0" w:space="0" w:color="auto"/>
                <w:bottom w:val="none" w:sz="0" w:space="0" w:color="auto"/>
                <w:right w:val="none" w:sz="0" w:space="0" w:color="auto"/>
              </w:divBdr>
            </w:div>
            <w:div w:id="634219939">
              <w:marLeft w:val="0"/>
              <w:marRight w:val="0"/>
              <w:marTop w:val="0"/>
              <w:marBottom w:val="0"/>
              <w:divBdr>
                <w:top w:val="none" w:sz="0" w:space="0" w:color="auto"/>
                <w:left w:val="none" w:sz="0" w:space="0" w:color="auto"/>
                <w:bottom w:val="none" w:sz="0" w:space="0" w:color="auto"/>
                <w:right w:val="none" w:sz="0" w:space="0" w:color="auto"/>
              </w:divBdr>
            </w:div>
            <w:div w:id="1036128079">
              <w:marLeft w:val="0"/>
              <w:marRight w:val="0"/>
              <w:marTop w:val="0"/>
              <w:marBottom w:val="0"/>
              <w:divBdr>
                <w:top w:val="none" w:sz="0" w:space="0" w:color="auto"/>
                <w:left w:val="none" w:sz="0" w:space="0" w:color="auto"/>
                <w:bottom w:val="none" w:sz="0" w:space="0" w:color="auto"/>
                <w:right w:val="none" w:sz="0" w:space="0" w:color="auto"/>
              </w:divBdr>
            </w:div>
            <w:div w:id="1161892475">
              <w:marLeft w:val="0"/>
              <w:marRight w:val="0"/>
              <w:marTop w:val="0"/>
              <w:marBottom w:val="0"/>
              <w:divBdr>
                <w:top w:val="none" w:sz="0" w:space="0" w:color="auto"/>
                <w:left w:val="none" w:sz="0" w:space="0" w:color="auto"/>
                <w:bottom w:val="none" w:sz="0" w:space="0" w:color="auto"/>
                <w:right w:val="none" w:sz="0" w:space="0" w:color="auto"/>
              </w:divBdr>
            </w:div>
            <w:div w:id="1407874245">
              <w:marLeft w:val="0"/>
              <w:marRight w:val="0"/>
              <w:marTop w:val="0"/>
              <w:marBottom w:val="0"/>
              <w:divBdr>
                <w:top w:val="none" w:sz="0" w:space="0" w:color="auto"/>
                <w:left w:val="none" w:sz="0" w:space="0" w:color="auto"/>
                <w:bottom w:val="none" w:sz="0" w:space="0" w:color="auto"/>
                <w:right w:val="none" w:sz="0" w:space="0" w:color="auto"/>
              </w:divBdr>
            </w:div>
            <w:div w:id="1603951134">
              <w:marLeft w:val="0"/>
              <w:marRight w:val="0"/>
              <w:marTop w:val="0"/>
              <w:marBottom w:val="0"/>
              <w:divBdr>
                <w:top w:val="none" w:sz="0" w:space="0" w:color="auto"/>
                <w:left w:val="none" w:sz="0" w:space="0" w:color="auto"/>
                <w:bottom w:val="none" w:sz="0" w:space="0" w:color="auto"/>
                <w:right w:val="none" w:sz="0" w:space="0" w:color="auto"/>
              </w:divBdr>
            </w:div>
            <w:div w:id="2001502038">
              <w:marLeft w:val="0"/>
              <w:marRight w:val="0"/>
              <w:marTop w:val="0"/>
              <w:marBottom w:val="0"/>
              <w:divBdr>
                <w:top w:val="none" w:sz="0" w:space="0" w:color="auto"/>
                <w:left w:val="none" w:sz="0" w:space="0" w:color="auto"/>
                <w:bottom w:val="none" w:sz="0" w:space="0" w:color="auto"/>
                <w:right w:val="none" w:sz="0" w:space="0" w:color="auto"/>
              </w:divBdr>
            </w:div>
            <w:div w:id="2136678057">
              <w:marLeft w:val="0"/>
              <w:marRight w:val="0"/>
              <w:marTop w:val="0"/>
              <w:marBottom w:val="0"/>
              <w:divBdr>
                <w:top w:val="none" w:sz="0" w:space="0" w:color="auto"/>
                <w:left w:val="none" w:sz="0" w:space="0" w:color="auto"/>
                <w:bottom w:val="none" w:sz="0" w:space="0" w:color="auto"/>
                <w:right w:val="none" w:sz="0" w:space="0" w:color="auto"/>
              </w:divBdr>
            </w:div>
          </w:divsChild>
        </w:div>
        <w:div w:id="1383672339">
          <w:marLeft w:val="0"/>
          <w:marRight w:val="0"/>
          <w:marTop w:val="0"/>
          <w:marBottom w:val="0"/>
          <w:divBdr>
            <w:top w:val="none" w:sz="0" w:space="0" w:color="auto"/>
            <w:left w:val="none" w:sz="0" w:space="0" w:color="auto"/>
            <w:bottom w:val="none" w:sz="0" w:space="0" w:color="auto"/>
            <w:right w:val="none" w:sz="0" w:space="0" w:color="auto"/>
          </w:divBdr>
        </w:div>
        <w:div w:id="1384138136">
          <w:marLeft w:val="0"/>
          <w:marRight w:val="0"/>
          <w:marTop w:val="0"/>
          <w:marBottom w:val="0"/>
          <w:divBdr>
            <w:top w:val="none" w:sz="0" w:space="0" w:color="auto"/>
            <w:left w:val="none" w:sz="0" w:space="0" w:color="auto"/>
            <w:bottom w:val="none" w:sz="0" w:space="0" w:color="auto"/>
            <w:right w:val="none" w:sz="0" w:space="0" w:color="auto"/>
          </w:divBdr>
        </w:div>
        <w:div w:id="1384601798">
          <w:marLeft w:val="0"/>
          <w:marRight w:val="0"/>
          <w:marTop w:val="0"/>
          <w:marBottom w:val="0"/>
          <w:divBdr>
            <w:top w:val="none" w:sz="0" w:space="0" w:color="auto"/>
            <w:left w:val="none" w:sz="0" w:space="0" w:color="auto"/>
            <w:bottom w:val="none" w:sz="0" w:space="0" w:color="auto"/>
            <w:right w:val="none" w:sz="0" w:space="0" w:color="auto"/>
          </w:divBdr>
        </w:div>
        <w:div w:id="1385525589">
          <w:marLeft w:val="0"/>
          <w:marRight w:val="0"/>
          <w:marTop w:val="0"/>
          <w:marBottom w:val="0"/>
          <w:divBdr>
            <w:top w:val="none" w:sz="0" w:space="0" w:color="auto"/>
            <w:left w:val="none" w:sz="0" w:space="0" w:color="auto"/>
            <w:bottom w:val="none" w:sz="0" w:space="0" w:color="auto"/>
            <w:right w:val="none" w:sz="0" w:space="0" w:color="auto"/>
          </w:divBdr>
        </w:div>
        <w:div w:id="1388839046">
          <w:marLeft w:val="0"/>
          <w:marRight w:val="0"/>
          <w:marTop w:val="0"/>
          <w:marBottom w:val="0"/>
          <w:divBdr>
            <w:top w:val="none" w:sz="0" w:space="0" w:color="auto"/>
            <w:left w:val="none" w:sz="0" w:space="0" w:color="auto"/>
            <w:bottom w:val="none" w:sz="0" w:space="0" w:color="auto"/>
            <w:right w:val="none" w:sz="0" w:space="0" w:color="auto"/>
          </w:divBdr>
        </w:div>
        <w:div w:id="1393770594">
          <w:marLeft w:val="0"/>
          <w:marRight w:val="0"/>
          <w:marTop w:val="0"/>
          <w:marBottom w:val="0"/>
          <w:divBdr>
            <w:top w:val="none" w:sz="0" w:space="0" w:color="auto"/>
            <w:left w:val="none" w:sz="0" w:space="0" w:color="auto"/>
            <w:bottom w:val="none" w:sz="0" w:space="0" w:color="auto"/>
            <w:right w:val="none" w:sz="0" w:space="0" w:color="auto"/>
          </w:divBdr>
        </w:div>
        <w:div w:id="1394038185">
          <w:marLeft w:val="0"/>
          <w:marRight w:val="0"/>
          <w:marTop w:val="0"/>
          <w:marBottom w:val="0"/>
          <w:divBdr>
            <w:top w:val="none" w:sz="0" w:space="0" w:color="auto"/>
            <w:left w:val="none" w:sz="0" w:space="0" w:color="auto"/>
            <w:bottom w:val="none" w:sz="0" w:space="0" w:color="auto"/>
            <w:right w:val="none" w:sz="0" w:space="0" w:color="auto"/>
          </w:divBdr>
        </w:div>
        <w:div w:id="1395933034">
          <w:marLeft w:val="0"/>
          <w:marRight w:val="0"/>
          <w:marTop w:val="0"/>
          <w:marBottom w:val="0"/>
          <w:divBdr>
            <w:top w:val="none" w:sz="0" w:space="0" w:color="auto"/>
            <w:left w:val="none" w:sz="0" w:space="0" w:color="auto"/>
            <w:bottom w:val="none" w:sz="0" w:space="0" w:color="auto"/>
            <w:right w:val="none" w:sz="0" w:space="0" w:color="auto"/>
          </w:divBdr>
        </w:div>
        <w:div w:id="1399128460">
          <w:marLeft w:val="0"/>
          <w:marRight w:val="0"/>
          <w:marTop w:val="0"/>
          <w:marBottom w:val="0"/>
          <w:divBdr>
            <w:top w:val="none" w:sz="0" w:space="0" w:color="auto"/>
            <w:left w:val="none" w:sz="0" w:space="0" w:color="auto"/>
            <w:bottom w:val="none" w:sz="0" w:space="0" w:color="auto"/>
            <w:right w:val="none" w:sz="0" w:space="0" w:color="auto"/>
          </w:divBdr>
        </w:div>
        <w:div w:id="1401715549">
          <w:marLeft w:val="0"/>
          <w:marRight w:val="0"/>
          <w:marTop w:val="0"/>
          <w:marBottom w:val="0"/>
          <w:divBdr>
            <w:top w:val="none" w:sz="0" w:space="0" w:color="auto"/>
            <w:left w:val="none" w:sz="0" w:space="0" w:color="auto"/>
            <w:bottom w:val="none" w:sz="0" w:space="0" w:color="auto"/>
            <w:right w:val="none" w:sz="0" w:space="0" w:color="auto"/>
          </w:divBdr>
        </w:div>
        <w:div w:id="1401906096">
          <w:marLeft w:val="0"/>
          <w:marRight w:val="0"/>
          <w:marTop w:val="0"/>
          <w:marBottom w:val="0"/>
          <w:divBdr>
            <w:top w:val="none" w:sz="0" w:space="0" w:color="auto"/>
            <w:left w:val="none" w:sz="0" w:space="0" w:color="auto"/>
            <w:bottom w:val="none" w:sz="0" w:space="0" w:color="auto"/>
            <w:right w:val="none" w:sz="0" w:space="0" w:color="auto"/>
          </w:divBdr>
        </w:div>
        <w:div w:id="1403455288">
          <w:marLeft w:val="0"/>
          <w:marRight w:val="0"/>
          <w:marTop w:val="0"/>
          <w:marBottom w:val="0"/>
          <w:divBdr>
            <w:top w:val="none" w:sz="0" w:space="0" w:color="auto"/>
            <w:left w:val="none" w:sz="0" w:space="0" w:color="auto"/>
            <w:bottom w:val="none" w:sz="0" w:space="0" w:color="auto"/>
            <w:right w:val="none" w:sz="0" w:space="0" w:color="auto"/>
          </w:divBdr>
        </w:div>
        <w:div w:id="1404446329">
          <w:marLeft w:val="0"/>
          <w:marRight w:val="0"/>
          <w:marTop w:val="0"/>
          <w:marBottom w:val="0"/>
          <w:divBdr>
            <w:top w:val="none" w:sz="0" w:space="0" w:color="auto"/>
            <w:left w:val="none" w:sz="0" w:space="0" w:color="auto"/>
            <w:bottom w:val="none" w:sz="0" w:space="0" w:color="auto"/>
            <w:right w:val="none" w:sz="0" w:space="0" w:color="auto"/>
          </w:divBdr>
        </w:div>
        <w:div w:id="1404834900">
          <w:marLeft w:val="0"/>
          <w:marRight w:val="0"/>
          <w:marTop w:val="0"/>
          <w:marBottom w:val="0"/>
          <w:divBdr>
            <w:top w:val="none" w:sz="0" w:space="0" w:color="auto"/>
            <w:left w:val="none" w:sz="0" w:space="0" w:color="auto"/>
            <w:bottom w:val="none" w:sz="0" w:space="0" w:color="auto"/>
            <w:right w:val="none" w:sz="0" w:space="0" w:color="auto"/>
          </w:divBdr>
        </w:div>
        <w:div w:id="1406144702">
          <w:marLeft w:val="0"/>
          <w:marRight w:val="0"/>
          <w:marTop w:val="0"/>
          <w:marBottom w:val="0"/>
          <w:divBdr>
            <w:top w:val="none" w:sz="0" w:space="0" w:color="auto"/>
            <w:left w:val="none" w:sz="0" w:space="0" w:color="auto"/>
            <w:bottom w:val="none" w:sz="0" w:space="0" w:color="auto"/>
            <w:right w:val="none" w:sz="0" w:space="0" w:color="auto"/>
          </w:divBdr>
        </w:div>
        <w:div w:id="1406493876">
          <w:marLeft w:val="0"/>
          <w:marRight w:val="0"/>
          <w:marTop w:val="0"/>
          <w:marBottom w:val="0"/>
          <w:divBdr>
            <w:top w:val="none" w:sz="0" w:space="0" w:color="auto"/>
            <w:left w:val="none" w:sz="0" w:space="0" w:color="auto"/>
            <w:bottom w:val="none" w:sz="0" w:space="0" w:color="auto"/>
            <w:right w:val="none" w:sz="0" w:space="0" w:color="auto"/>
          </w:divBdr>
        </w:div>
        <w:div w:id="1407650468">
          <w:marLeft w:val="0"/>
          <w:marRight w:val="0"/>
          <w:marTop w:val="0"/>
          <w:marBottom w:val="0"/>
          <w:divBdr>
            <w:top w:val="none" w:sz="0" w:space="0" w:color="auto"/>
            <w:left w:val="none" w:sz="0" w:space="0" w:color="auto"/>
            <w:bottom w:val="none" w:sz="0" w:space="0" w:color="auto"/>
            <w:right w:val="none" w:sz="0" w:space="0" w:color="auto"/>
          </w:divBdr>
        </w:div>
        <w:div w:id="1409690502">
          <w:marLeft w:val="0"/>
          <w:marRight w:val="0"/>
          <w:marTop w:val="0"/>
          <w:marBottom w:val="0"/>
          <w:divBdr>
            <w:top w:val="none" w:sz="0" w:space="0" w:color="auto"/>
            <w:left w:val="none" w:sz="0" w:space="0" w:color="auto"/>
            <w:bottom w:val="none" w:sz="0" w:space="0" w:color="auto"/>
            <w:right w:val="none" w:sz="0" w:space="0" w:color="auto"/>
          </w:divBdr>
        </w:div>
        <w:div w:id="1410691143">
          <w:marLeft w:val="0"/>
          <w:marRight w:val="0"/>
          <w:marTop w:val="0"/>
          <w:marBottom w:val="0"/>
          <w:divBdr>
            <w:top w:val="none" w:sz="0" w:space="0" w:color="auto"/>
            <w:left w:val="none" w:sz="0" w:space="0" w:color="auto"/>
            <w:bottom w:val="none" w:sz="0" w:space="0" w:color="auto"/>
            <w:right w:val="none" w:sz="0" w:space="0" w:color="auto"/>
          </w:divBdr>
        </w:div>
        <w:div w:id="1411392807">
          <w:marLeft w:val="0"/>
          <w:marRight w:val="0"/>
          <w:marTop w:val="0"/>
          <w:marBottom w:val="0"/>
          <w:divBdr>
            <w:top w:val="none" w:sz="0" w:space="0" w:color="auto"/>
            <w:left w:val="none" w:sz="0" w:space="0" w:color="auto"/>
            <w:bottom w:val="none" w:sz="0" w:space="0" w:color="auto"/>
            <w:right w:val="none" w:sz="0" w:space="0" w:color="auto"/>
          </w:divBdr>
        </w:div>
        <w:div w:id="1412897388">
          <w:marLeft w:val="0"/>
          <w:marRight w:val="0"/>
          <w:marTop w:val="0"/>
          <w:marBottom w:val="0"/>
          <w:divBdr>
            <w:top w:val="none" w:sz="0" w:space="0" w:color="auto"/>
            <w:left w:val="none" w:sz="0" w:space="0" w:color="auto"/>
            <w:bottom w:val="none" w:sz="0" w:space="0" w:color="auto"/>
            <w:right w:val="none" w:sz="0" w:space="0" w:color="auto"/>
          </w:divBdr>
        </w:div>
        <w:div w:id="1415202728">
          <w:marLeft w:val="0"/>
          <w:marRight w:val="0"/>
          <w:marTop w:val="0"/>
          <w:marBottom w:val="0"/>
          <w:divBdr>
            <w:top w:val="none" w:sz="0" w:space="0" w:color="auto"/>
            <w:left w:val="none" w:sz="0" w:space="0" w:color="auto"/>
            <w:bottom w:val="none" w:sz="0" w:space="0" w:color="auto"/>
            <w:right w:val="none" w:sz="0" w:space="0" w:color="auto"/>
          </w:divBdr>
        </w:div>
        <w:div w:id="1417364011">
          <w:marLeft w:val="0"/>
          <w:marRight w:val="0"/>
          <w:marTop w:val="0"/>
          <w:marBottom w:val="0"/>
          <w:divBdr>
            <w:top w:val="none" w:sz="0" w:space="0" w:color="auto"/>
            <w:left w:val="none" w:sz="0" w:space="0" w:color="auto"/>
            <w:bottom w:val="none" w:sz="0" w:space="0" w:color="auto"/>
            <w:right w:val="none" w:sz="0" w:space="0" w:color="auto"/>
          </w:divBdr>
        </w:div>
        <w:div w:id="1417483205">
          <w:marLeft w:val="0"/>
          <w:marRight w:val="0"/>
          <w:marTop w:val="0"/>
          <w:marBottom w:val="0"/>
          <w:divBdr>
            <w:top w:val="none" w:sz="0" w:space="0" w:color="auto"/>
            <w:left w:val="none" w:sz="0" w:space="0" w:color="auto"/>
            <w:bottom w:val="none" w:sz="0" w:space="0" w:color="auto"/>
            <w:right w:val="none" w:sz="0" w:space="0" w:color="auto"/>
          </w:divBdr>
        </w:div>
        <w:div w:id="1418014913">
          <w:marLeft w:val="0"/>
          <w:marRight w:val="0"/>
          <w:marTop w:val="0"/>
          <w:marBottom w:val="0"/>
          <w:divBdr>
            <w:top w:val="none" w:sz="0" w:space="0" w:color="auto"/>
            <w:left w:val="none" w:sz="0" w:space="0" w:color="auto"/>
            <w:bottom w:val="none" w:sz="0" w:space="0" w:color="auto"/>
            <w:right w:val="none" w:sz="0" w:space="0" w:color="auto"/>
          </w:divBdr>
        </w:div>
        <w:div w:id="1418090568">
          <w:marLeft w:val="0"/>
          <w:marRight w:val="0"/>
          <w:marTop w:val="0"/>
          <w:marBottom w:val="0"/>
          <w:divBdr>
            <w:top w:val="none" w:sz="0" w:space="0" w:color="auto"/>
            <w:left w:val="none" w:sz="0" w:space="0" w:color="auto"/>
            <w:bottom w:val="none" w:sz="0" w:space="0" w:color="auto"/>
            <w:right w:val="none" w:sz="0" w:space="0" w:color="auto"/>
          </w:divBdr>
        </w:div>
        <w:div w:id="1418747675">
          <w:marLeft w:val="0"/>
          <w:marRight w:val="0"/>
          <w:marTop w:val="0"/>
          <w:marBottom w:val="0"/>
          <w:divBdr>
            <w:top w:val="none" w:sz="0" w:space="0" w:color="auto"/>
            <w:left w:val="none" w:sz="0" w:space="0" w:color="auto"/>
            <w:bottom w:val="none" w:sz="0" w:space="0" w:color="auto"/>
            <w:right w:val="none" w:sz="0" w:space="0" w:color="auto"/>
          </w:divBdr>
        </w:div>
        <w:div w:id="1419673234">
          <w:marLeft w:val="0"/>
          <w:marRight w:val="0"/>
          <w:marTop w:val="0"/>
          <w:marBottom w:val="0"/>
          <w:divBdr>
            <w:top w:val="none" w:sz="0" w:space="0" w:color="auto"/>
            <w:left w:val="none" w:sz="0" w:space="0" w:color="auto"/>
            <w:bottom w:val="none" w:sz="0" w:space="0" w:color="auto"/>
            <w:right w:val="none" w:sz="0" w:space="0" w:color="auto"/>
          </w:divBdr>
        </w:div>
        <w:div w:id="1421101338">
          <w:marLeft w:val="0"/>
          <w:marRight w:val="0"/>
          <w:marTop w:val="0"/>
          <w:marBottom w:val="0"/>
          <w:divBdr>
            <w:top w:val="none" w:sz="0" w:space="0" w:color="auto"/>
            <w:left w:val="none" w:sz="0" w:space="0" w:color="auto"/>
            <w:bottom w:val="none" w:sz="0" w:space="0" w:color="auto"/>
            <w:right w:val="none" w:sz="0" w:space="0" w:color="auto"/>
          </w:divBdr>
        </w:div>
        <w:div w:id="1421953600">
          <w:marLeft w:val="0"/>
          <w:marRight w:val="0"/>
          <w:marTop w:val="0"/>
          <w:marBottom w:val="0"/>
          <w:divBdr>
            <w:top w:val="none" w:sz="0" w:space="0" w:color="auto"/>
            <w:left w:val="none" w:sz="0" w:space="0" w:color="auto"/>
            <w:bottom w:val="none" w:sz="0" w:space="0" w:color="auto"/>
            <w:right w:val="none" w:sz="0" w:space="0" w:color="auto"/>
          </w:divBdr>
        </w:div>
        <w:div w:id="1422753432">
          <w:marLeft w:val="0"/>
          <w:marRight w:val="0"/>
          <w:marTop w:val="0"/>
          <w:marBottom w:val="0"/>
          <w:divBdr>
            <w:top w:val="none" w:sz="0" w:space="0" w:color="auto"/>
            <w:left w:val="none" w:sz="0" w:space="0" w:color="auto"/>
            <w:bottom w:val="none" w:sz="0" w:space="0" w:color="auto"/>
            <w:right w:val="none" w:sz="0" w:space="0" w:color="auto"/>
          </w:divBdr>
        </w:div>
        <w:div w:id="1427578384">
          <w:marLeft w:val="0"/>
          <w:marRight w:val="0"/>
          <w:marTop w:val="0"/>
          <w:marBottom w:val="0"/>
          <w:divBdr>
            <w:top w:val="none" w:sz="0" w:space="0" w:color="auto"/>
            <w:left w:val="none" w:sz="0" w:space="0" w:color="auto"/>
            <w:bottom w:val="none" w:sz="0" w:space="0" w:color="auto"/>
            <w:right w:val="none" w:sz="0" w:space="0" w:color="auto"/>
          </w:divBdr>
          <w:divsChild>
            <w:div w:id="128130830">
              <w:marLeft w:val="0"/>
              <w:marRight w:val="0"/>
              <w:marTop w:val="0"/>
              <w:marBottom w:val="0"/>
              <w:divBdr>
                <w:top w:val="none" w:sz="0" w:space="0" w:color="auto"/>
                <w:left w:val="none" w:sz="0" w:space="0" w:color="auto"/>
                <w:bottom w:val="none" w:sz="0" w:space="0" w:color="auto"/>
                <w:right w:val="none" w:sz="0" w:space="0" w:color="auto"/>
              </w:divBdr>
            </w:div>
            <w:div w:id="368801591">
              <w:marLeft w:val="0"/>
              <w:marRight w:val="0"/>
              <w:marTop w:val="0"/>
              <w:marBottom w:val="0"/>
              <w:divBdr>
                <w:top w:val="none" w:sz="0" w:space="0" w:color="auto"/>
                <w:left w:val="none" w:sz="0" w:space="0" w:color="auto"/>
                <w:bottom w:val="none" w:sz="0" w:space="0" w:color="auto"/>
                <w:right w:val="none" w:sz="0" w:space="0" w:color="auto"/>
              </w:divBdr>
            </w:div>
            <w:div w:id="416831612">
              <w:marLeft w:val="0"/>
              <w:marRight w:val="0"/>
              <w:marTop w:val="0"/>
              <w:marBottom w:val="0"/>
              <w:divBdr>
                <w:top w:val="none" w:sz="0" w:space="0" w:color="auto"/>
                <w:left w:val="none" w:sz="0" w:space="0" w:color="auto"/>
                <w:bottom w:val="none" w:sz="0" w:space="0" w:color="auto"/>
                <w:right w:val="none" w:sz="0" w:space="0" w:color="auto"/>
              </w:divBdr>
            </w:div>
            <w:div w:id="419525246">
              <w:marLeft w:val="0"/>
              <w:marRight w:val="0"/>
              <w:marTop w:val="0"/>
              <w:marBottom w:val="0"/>
              <w:divBdr>
                <w:top w:val="none" w:sz="0" w:space="0" w:color="auto"/>
                <w:left w:val="none" w:sz="0" w:space="0" w:color="auto"/>
                <w:bottom w:val="none" w:sz="0" w:space="0" w:color="auto"/>
                <w:right w:val="none" w:sz="0" w:space="0" w:color="auto"/>
              </w:divBdr>
            </w:div>
            <w:div w:id="443817031">
              <w:marLeft w:val="0"/>
              <w:marRight w:val="0"/>
              <w:marTop w:val="0"/>
              <w:marBottom w:val="0"/>
              <w:divBdr>
                <w:top w:val="none" w:sz="0" w:space="0" w:color="auto"/>
                <w:left w:val="none" w:sz="0" w:space="0" w:color="auto"/>
                <w:bottom w:val="none" w:sz="0" w:space="0" w:color="auto"/>
                <w:right w:val="none" w:sz="0" w:space="0" w:color="auto"/>
              </w:divBdr>
            </w:div>
            <w:div w:id="748581404">
              <w:marLeft w:val="0"/>
              <w:marRight w:val="0"/>
              <w:marTop w:val="0"/>
              <w:marBottom w:val="0"/>
              <w:divBdr>
                <w:top w:val="none" w:sz="0" w:space="0" w:color="auto"/>
                <w:left w:val="none" w:sz="0" w:space="0" w:color="auto"/>
                <w:bottom w:val="none" w:sz="0" w:space="0" w:color="auto"/>
                <w:right w:val="none" w:sz="0" w:space="0" w:color="auto"/>
              </w:divBdr>
            </w:div>
            <w:div w:id="753010006">
              <w:marLeft w:val="0"/>
              <w:marRight w:val="0"/>
              <w:marTop w:val="0"/>
              <w:marBottom w:val="0"/>
              <w:divBdr>
                <w:top w:val="none" w:sz="0" w:space="0" w:color="auto"/>
                <w:left w:val="none" w:sz="0" w:space="0" w:color="auto"/>
                <w:bottom w:val="none" w:sz="0" w:space="0" w:color="auto"/>
                <w:right w:val="none" w:sz="0" w:space="0" w:color="auto"/>
              </w:divBdr>
            </w:div>
            <w:div w:id="781803738">
              <w:marLeft w:val="0"/>
              <w:marRight w:val="0"/>
              <w:marTop w:val="0"/>
              <w:marBottom w:val="0"/>
              <w:divBdr>
                <w:top w:val="none" w:sz="0" w:space="0" w:color="auto"/>
                <w:left w:val="none" w:sz="0" w:space="0" w:color="auto"/>
                <w:bottom w:val="none" w:sz="0" w:space="0" w:color="auto"/>
                <w:right w:val="none" w:sz="0" w:space="0" w:color="auto"/>
              </w:divBdr>
            </w:div>
            <w:div w:id="860388597">
              <w:marLeft w:val="0"/>
              <w:marRight w:val="0"/>
              <w:marTop w:val="0"/>
              <w:marBottom w:val="0"/>
              <w:divBdr>
                <w:top w:val="none" w:sz="0" w:space="0" w:color="auto"/>
                <w:left w:val="none" w:sz="0" w:space="0" w:color="auto"/>
                <w:bottom w:val="none" w:sz="0" w:space="0" w:color="auto"/>
                <w:right w:val="none" w:sz="0" w:space="0" w:color="auto"/>
              </w:divBdr>
            </w:div>
            <w:div w:id="965742518">
              <w:marLeft w:val="0"/>
              <w:marRight w:val="0"/>
              <w:marTop w:val="0"/>
              <w:marBottom w:val="0"/>
              <w:divBdr>
                <w:top w:val="none" w:sz="0" w:space="0" w:color="auto"/>
                <w:left w:val="none" w:sz="0" w:space="0" w:color="auto"/>
                <w:bottom w:val="none" w:sz="0" w:space="0" w:color="auto"/>
                <w:right w:val="none" w:sz="0" w:space="0" w:color="auto"/>
              </w:divBdr>
            </w:div>
            <w:div w:id="974411656">
              <w:marLeft w:val="0"/>
              <w:marRight w:val="0"/>
              <w:marTop w:val="0"/>
              <w:marBottom w:val="0"/>
              <w:divBdr>
                <w:top w:val="none" w:sz="0" w:space="0" w:color="auto"/>
                <w:left w:val="none" w:sz="0" w:space="0" w:color="auto"/>
                <w:bottom w:val="none" w:sz="0" w:space="0" w:color="auto"/>
                <w:right w:val="none" w:sz="0" w:space="0" w:color="auto"/>
              </w:divBdr>
            </w:div>
            <w:div w:id="1046225443">
              <w:marLeft w:val="0"/>
              <w:marRight w:val="0"/>
              <w:marTop w:val="0"/>
              <w:marBottom w:val="0"/>
              <w:divBdr>
                <w:top w:val="none" w:sz="0" w:space="0" w:color="auto"/>
                <w:left w:val="none" w:sz="0" w:space="0" w:color="auto"/>
                <w:bottom w:val="none" w:sz="0" w:space="0" w:color="auto"/>
                <w:right w:val="none" w:sz="0" w:space="0" w:color="auto"/>
              </w:divBdr>
            </w:div>
            <w:div w:id="1346058425">
              <w:marLeft w:val="0"/>
              <w:marRight w:val="0"/>
              <w:marTop w:val="0"/>
              <w:marBottom w:val="0"/>
              <w:divBdr>
                <w:top w:val="none" w:sz="0" w:space="0" w:color="auto"/>
                <w:left w:val="none" w:sz="0" w:space="0" w:color="auto"/>
                <w:bottom w:val="none" w:sz="0" w:space="0" w:color="auto"/>
                <w:right w:val="none" w:sz="0" w:space="0" w:color="auto"/>
              </w:divBdr>
            </w:div>
            <w:div w:id="1432778075">
              <w:marLeft w:val="0"/>
              <w:marRight w:val="0"/>
              <w:marTop w:val="0"/>
              <w:marBottom w:val="0"/>
              <w:divBdr>
                <w:top w:val="none" w:sz="0" w:space="0" w:color="auto"/>
                <w:left w:val="none" w:sz="0" w:space="0" w:color="auto"/>
                <w:bottom w:val="none" w:sz="0" w:space="0" w:color="auto"/>
                <w:right w:val="none" w:sz="0" w:space="0" w:color="auto"/>
              </w:divBdr>
            </w:div>
            <w:div w:id="1496190651">
              <w:marLeft w:val="0"/>
              <w:marRight w:val="0"/>
              <w:marTop w:val="0"/>
              <w:marBottom w:val="0"/>
              <w:divBdr>
                <w:top w:val="none" w:sz="0" w:space="0" w:color="auto"/>
                <w:left w:val="none" w:sz="0" w:space="0" w:color="auto"/>
                <w:bottom w:val="none" w:sz="0" w:space="0" w:color="auto"/>
                <w:right w:val="none" w:sz="0" w:space="0" w:color="auto"/>
              </w:divBdr>
            </w:div>
            <w:div w:id="1659000099">
              <w:marLeft w:val="0"/>
              <w:marRight w:val="0"/>
              <w:marTop w:val="0"/>
              <w:marBottom w:val="0"/>
              <w:divBdr>
                <w:top w:val="none" w:sz="0" w:space="0" w:color="auto"/>
                <w:left w:val="none" w:sz="0" w:space="0" w:color="auto"/>
                <w:bottom w:val="none" w:sz="0" w:space="0" w:color="auto"/>
                <w:right w:val="none" w:sz="0" w:space="0" w:color="auto"/>
              </w:divBdr>
            </w:div>
            <w:div w:id="1885286681">
              <w:marLeft w:val="0"/>
              <w:marRight w:val="0"/>
              <w:marTop w:val="0"/>
              <w:marBottom w:val="0"/>
              <w:divBdr>
                <w:top w:val="none" w:sz="0" w:space="0" w:color="auto"/>
                <w:left w:val="none" w:sz="0" w:space="0" w:color="auto"/>
                <w:bottom w:val="none" w:sz="0" w:space="0" w:color="auto"/>
                <w:right w:val="none" w:sz="0" w:space="0" w:color="auto"/>
              </w:divBdr>
            </w:div>
            <w:div w:id="1887910505">
              <w:marLeft w:val="0"/>
              <w:marRight w:val="0"/>
              <w:marTop w:val="0"/>
              <w:marBottom w:val="0"/>
              <w:divBdr>
                <w:top w:val="none" w:sz="0" w:space="0" w:color="auto"/>
                <w:left w:val="none" w:sz="0" w:space="0" w:color="auto"/>
                <w:bottom w:val="none" w:sz="0" w:space="0" w:color="auto"/>
                <w:right w:val="none" w:sz="0" w:space="0" w:color="auto"/>
              </w:divBdr>
            </w:div>
            <w:div w:id="1894077378">
              <w:marLeft w:val="0"/>
              <w:marRight w:val="0"/>
              <w:marTop w:val="0"/>
              <w:marBottom w:val="0"/>
              <w:divBdr>
                <w:top w:val="none" w:sz="0" w:space="0" w:color="auto"/>
                <w:left w:val="none" w:sz="0" w:space="0" w:color="auto"/>
                <w:bottom w:val="none" w:sz="0" w:space="0" w:color="auto"/>
                <w:right w:val="none" w:sz="0" w:space="0" w:color="auto"/>
              </w:divBdr>
            </w:div>
            <w:div w:id="1898782851">
              <w:marLeft w:val="0"/>
              <w:marRight w:val="0"/>
              <w:marTop w:val="0"/>
              <w:marBottom w:val="0"/>
              <w:divBdr>
                <w:top w:val="none" w:sz="0" w:space="0" w:color="auto"/>
                <w:left w:val="none" w:sz="0" w:space="0" w:color="auto"/>
                <w:bottom w:val="none" w:sz="0" w:space="0" w:color="auto"/>
                <w:right w:val="none" w:sz="0" w:space="0" w:color="auto"/>
              </w:divBdr>
            </w:div>
          </w:divsChild>
        </w:div>
        <w:div w:id="1428192783">
          <w:marLeft w:val="0"/>
          <w:marRight w:val="0"/>
          <w:marTop w:val="0"/>
          <w:marBottom w:val="0"/>
          <w:divBdr>
            <w:top w:val="none" w:sz="0" w:space="0" w:color="auto"/>
            <w:left w:val="none" w:sz="0" w:space="0" w:color="auto"/>
            <w:bottom w:val="none" w:sz="0" w:space="0" w:color="auto"/>
            <w:right w:val="none" w:sz="0" w:space="0" w:color="auto"/>
          </w:divBdr>
        </w:div>
        <w:div w:id="1432316307">
          <w:marLeft w:val="0"/>
          <w:marRight w:val="0"/>
          <w:marTop w:val="0"/>
          <w:marBottom w:val="0"/>
          <w:divBdr>
            <w:top w:val="none" w:sz="0" w:space="0" w:color="auto"/>
            <w:left w:val="none" w:sz="0" w:space="0" w:color="auto"/>
            <w:bottom w:val="none" w:sz="0" w:space="0" w:color="auto"/>
            <w:right w:val="none" w:sz="0" w:space="0" w:color="auto"/>
          </w:divBdr>
        </w:div>
        <w:div w:id="1432361704">
          <w:marLeft w:val="0"/>
          <w:marRight w:val="0"/>
          <w:marTop w:val="0"/>
          <w:marBottom w:val="0"/>
          <w:divBdr>
            <w:top w:val="none" w:sz="0" w:space="0" w:color="auto"/>
            <w:left w:val="none" w:sz="0" w:space="0" w:color="auto"/>
            <w:bottom w:val="none" w:sz="0" w:space="0" w:color="auto"/>
            <w:right w:val="none" w:sz="0" w:space="0" w:color="auto"/>
          </w:divBdr>
        </w:div>
        <w:div w:id="1434977093">
          <w:marLeft w:val="0"/>
          <w:marRight w:val="0"/>
          <w:marTop w:val="0"/>
          <w:marBottom w:val="0"/>
          <w:divBdr>
            <w:top w:val="none" w:sz="0" w:space="0" w:color="auto"/>
            <w:left w:val="none" w:sz="0" w:space="0" w:color="auto"/>
            <w:bottom w:val="none" w:sz="0" w:space="0" w:color="auto"/>
            <w:right w:val="none" w:sz="0" w:space="0" w:color="auto"/>
          </w:divBdr>
        </w:div>
        <w:div w:id="1435437505">
          <w:marLeft w:val="0"/>
          <w:marRight w:val="0"/>
          <w:marTop w:val="0"/>
          <w:marBottom w:val="0"/>
          <w:divBdr>
            <w:top w:val="none" w:sz="0" w:space="0" w:color="auto"/>
            <w:left w:val="none" w:sz="0" w:space="0" w:color="auto"/>
            <w:bottom w:val="none" w:sz="0" w:space="0" w:color="auto"/>
            <w:right w:val="none" w:sz="0" w:space="0" w:color="auto"/>
          </w:divBdr>
        </w:div>
        <w:div w:id="1435443978">
          <w:marLeft w:val="0"/>
          <w:marRight w:val="0"/>
          <w:marTop w:val="0"/>
          <w:marBottom w:val="0"/>
          <w:divBdr>
            <w:top w:val="none" w:sz="0" w:space="0" w:color="auto"/>
            <w:left w:val="none" w:sz="0" w:space="0" w:color="auto"/>
            <w:bottom w:val="none" w:sz="0" w:space="0" w:color="auto"/>
            <w:right w:val="none" w:sz="0" w:space="0" w:color="auto"/>
          </w:divBdr>
        </w:div>
        <w:div w:id="1440833310">
          <w:marLeft w:val="0"/>
          <w:marRight w:val="0"/>
          <w:marTop w:val="0"/>
          <w:marBottom w:val="0"/>
          <w:divBdr>
            <w:top w:val="none" w:sz="0" w:space="0" w:color="auto"/>
            <w:left w:val="none" w:sz="0" w:space="0" w:color="auto"/>
            <w:bottom w:val="none" w:sz="0" w:space="0" w:color="auto"/>
            <w:right w:val="none" w:sz="0" w:space="0" w:color="auto"/>
          </w:divBdr>
        </w:div>
        <w:div w:id="1441410724">
          <w:marLeft w:val="0"/>
          <w:marRight w:val="0"/>
          <w:marTop w:val="0"/>
          <w:marBottom w:val="0"/>
          <w:divBdr>
            <w:top w:val="none" w:sz="0" w:space="0" w:color="auto"/>
            <w:left w:val="none" w:sz="0" w:space="0" w:color="auto"/>
            <w:bottom w:val="none" w:sz="0" w:space="0" w:color="auto"/>
            <w:right w:val="none" w:sz="0" w:space="0" w:color="auto"/>
          </w:divBdr>
        </w:div>
        <w:div w:id="1442146886">
          <w:marLeft w:val="0"/>
          <w:marRight w:val="0"/>
          <w:marTop w:val="0"/>
          <w:marBottom w:val="0"/>
          <w:divBdr>
            <w:top w:val="none" w:sz="0" w:space="0" w:color="auto"/>
            <w:left w:val="none" w:sz="0" w:space="0" w:color="auto"/>
            <w:bottom w:val="none" w:sz="0" w:space="0" w:color="auto"/>
            <w:right w:val="none" w:sz="0" w:space="0" w:color="auto"/>
          </w:divBdr>
        </w:div>
        <w:div w:id="1446928168">
          <w:marLeft w:val="0"/>
          <w:marRight w:val="0"/>
          <w:marTop w:val="0"/>
          <w:marBottom w:val="0"/>
          <w:divBdr>
            <w:top w:val="none" w:sz="0" w:space="0" w:color="auto"/>
            <w:left w:val="none" w:sz="0" w:space="0" w:color="auto"/>
            <w:bottom w:val="none" w:sz="0" w:space="0" w:color="auto"/>
            <w:right w:val="none" w:sz="0" w:space="0" w:color="auto"/>
          </w:divBdr>
        </w:div>
        <w:div w:id="1448238221">
          <w:marLeft w:val="0"/>
          <w:marRight w:val="0"/>
          <w:marTop w:val="0"/>
          <w:marBottom w:val="0"/>
          <w:divBdr>
            <w:top w:val="none" w:sz="0" w:space="0" w:color="auto"/>
            <w:left w:val="none" w:sz="0" w:space="0" w:color="auto"/>
            <w:bottom w:val="none" w:sz="0" w:space="0" w:color="auto"/>
            <w:right w:val="none" w:sz="0" w:space="0" w:color="auto"/>
          </w:divBdr>
        </w:div>
        <w:div w:id="1448818407">
          <w:marLeft w:val="0"/>
          <w:marRight w:val="0"/>
          <w:marTop w:val="0"/>
          <w:marBottom w:val="0"/>
          <w:divBdr>
            <w:top w:val="none" w:sz="0" w:space="0" w:color="auto"/>
            <w:left w:val="none" w:sz="0" w:space="0" w:color="auto"/>
            <w:bottom w:val="none" w:sz="0" w:space="0" w:color="auto"/>
            <w:right w:val="none" w:sz="0" w:space="0" w:color="auto"/>
          </w:divBdr>
        </w:div>
        <w:div w:id="1449936471">
          <w:marLeft w:val="0"/>
          <w:marRight w:val="0"/>
          <w:marTop w:val="0"/>
          <w:marBottom w:val="0"/>
          <w:divBdr>
            <w:top w:val="none" w:sz="0" w:space="0" w:color="auto"/>
            <w:left w:val="none" w:sz="0" w:space="0" w:color="auto"/>
            <w:bottom w:val="none" w:sz="0" w:space="0" w:color="auto"/>
            <w:right w:val="none" w:sz="0" w:space="0" w:color="auto"/>
          </w:divBdr>
        </w:div>
        <w:div w:id="1450079590">
          <w:marLeft w:val="0"/>
          <w:marRight w:val="0"/>
          <w:marTop w:val="0"/>
          <w:marBottom w:val="0"/>
          <w:divBdr>
            <w:top w:val="none" w:sz="0" w:space="0" w:color="auto"/>
            <w:left w:val="none" w:sz="0" w:space="0" w:color="auto"/>
            <w:bottom w:val="none" w:sz="0" w:space="0" w:color="auto"/>
            <w:right w:val="none" w:sz="0" w:space="0" w:color="auto"/>
          </w:divBdr>
        </w:div>
        <w:div w:id="1450464810">
          <w:marLeft w:val="0"/>
          <w:marRight w:val="0"/>
          <w:marTop w:val="0"/>
          <w:marBottom w:val="0"/>
          <w:divBdr>
            <w:top w:val="none" w:sz="0" w:space="0" w:color="auto"/>
            <w:left w:val="none" w:sz="0" w:space="0" w:color="auto"/>
            <w:bottom w:val="none" w:sz="0" w:space="0" w:color="auto"/>
            <w:right w:val="none" w:sz="0" w:space="0" w:color="auto"/>
          </w:divBdr>
        </w:div>
        <w:div w:id="1450659226">
          <w:marLeft w:val="0"/>
          <w:marRight w:val="0"/>
          <w:marTop w:val="0"/>
          <w:marBottom w:val="0"/>
          <w:divBdr>
            <w:top w:val="none" w:sz="0" w:space="0" w:color="auto"/>
            <w:left w:val="none" w:sz="0" w:space="0" w:color="auto"/>
            <w:bottom w:val="none" w:sz="0" w:space="0" w:color="auto"/>
            <w:right w:val="none" w:sz="0" w:space="0" w:color="auto"/>
          </w:divBdr>
        </w:div>
        <w:div w:id="1450662049">
          <w:marLeft w:val="0"/>
          <w:marRight w:val="0"/>
          <w:marTop w:val="0"/>
          <w:marBottom w:val="0"/>
          <w:divBdr>
            <w:top w:val="none" w:sz="0" w:space="0" w:color="auto"/>
            <w:left w:val="none" w:sz="0" w:space="0" w:color="auto"/>
            <w:bottom w:val="none" w:sz="0" w:space="0" w:color="auto"/>
            <w:right w:val="none" w:sz="0" w:space="0" w:color="auto"/>
          </w:divBdr>
        </w:div>
        <w:div w:id="1451392607">
          <w:marLeft w:val="0"/>
          <w:marRight w:val="0"/>
          <w:marTop w:val="0"/>
          <w:marBottom w:val="0"/>
          <w:divBdr>
            <w:top w:val="none" w:sz="0" w:space="0" w:color="auto"/>
            <w:left w:val="none" w:sz="0" w:space="0" w:color="auto"/>
            <w:bottom w:val="none" w:sz="0" w:space="0" w:color="auto"/>
            <w:right w:val="none" w:sz="0" w:space="0" w:color="auto"/>
          </w:divBdr>
        </w:div>
        <w:div w:id="1452284438">
          <w:marLeft w:val="0"/>
          <w:marRight w:val="0"/>
          <w:marTop w:val="0"/>
          <w:marBottom w:val="0"/>
          <w:divBdr>
            <w:top w:val="none" w:sz="0" w:space="0" w:color="auto"/>
            <w:left w:val="none" w:sz="0" w:space="0" w:color="auto"/>
            <w:bottom w:val="none" w:sz="0" w:space="0" w:color="auto"/>
            <w:right w:val="none" w:sz="0" w:space="0" w:color="auto"/>
          </w:divBdr>
        </w:div>
        <w:div w:id="1452356949">
          <w:marLeft w:val="0"/>
          <w:marRight w:val="0"/>
          <w:marTop w:val="0"/>
          <w:marBottom w:val="0"/>
          <w:divBdr>
            <w:top w:val="none" w:sz="0" w:space="0" w:color="auto"/>
            <w:left w:val="none" w:sz="0" w:space="0" w:color="auto"/>
            <w:bottom w:val="none" w:sz="0" w:space="0" w:color="auto"/>
            <w:right w:val="none" w:sz="0" w:space="0" w:color="auto"/>
          </w:divBdr>
        </w:div>
        <w:div w:id="1453817393">
          <w:marLeft w:val="0"/>
          <w:marRight w:val="0"/>
          <w:marTop w:val="0"/>
          <w:marBottom w:val="0"/>
          <w:divBdr>
            <w:top w:val="none" w:sz="0" w:space="0" w:color="auto"/>
            <w:left w:val="none" w:sz="0" w:space="0" w:color="auto"/>
            <w:bottom w:val="none" w:sz="0" w:space="0" w:color="auto"/>
            <w:right w:val="none" w:sz="0" w:space="0" w:color="auto"/>
          </w:divBdr>
        </w:div>
        <w:div w:id="1455248154">
          <w:marLeft w:val="0"/>
          <w:marRight w:val="0"/>
          <w:marTop w:val="0"/>
          <w:marBottom w:val="0"/>
          <w:divBdr>
            <w:top w:val="none" w:sz="0" w:space="0" w:color="auto"/>
            <w:left w:val="none" w:sz="0" w:space="0" w:color="auto"/>
            <w:bottom w:val="none" w:sz="0" w:space="0" w:color="auto"/>
            <w:right w:val="none" w:sz="0" w:space="0" w:color="auto"/>
          </w:divBdr>
          <w:divsChild>
            <w:div w:id="71393442">
              <w:marLeft w:val="0"/>
              <w:marRight w:val="0"/>
              <w:marTop w:val="0"/>
              <w:marBottom w:val="0"/>
              <w:divBdr>
                <w:top w:val="none" w:sz="0" w:space="0" w:color="auto"/>
                <w:left w:val="none" w:sz="0" w:space="0" w:color="auto"/>
                <w:bottom w:val="none" w:sz="0" w:space="0" w:color="auto"/>
                <w:right w:val="none" w:sz="0" w:space="0" w:color="auto"/>
              </w:divBdr>
            </w:div>
            <w:div w:id="113254215">
              <w:marLeft w:val="0"/>
              <w:marRight w:val="0"/>
              <w:marTop w:val="0"/>
              <w:marBottom w:val="0"/>
              <w:divBdr>
                <w:top w:val="none" w:sz="0" w:space="0" w:color="auto"/>
                <w:left w:val="none" w:sz="0" w:space="0" w:color="auto"/>
                <w:bottom w:val="none" w:sz="0" w:space="0" w:color="auto"/>
                <w:right w:val="none" w:sz="0" w:space="0" w:color="auto"/>
              </w:divBdr>
            </w:div>
            <w:div w:id="237983227">
              <w:marLeft w:val="0"/>
              <w:marRight w:val="0"/>
              <w:marTop w:val="0"/>
              <w:marBottom w:val="0"/>
              <w:divBdr>
                <w:top w:val="none" w:sz="0" w:space="0" w:color="auto"/>
                <w:left w:val="none" w:sz="0" w:space="0" w:color="auto"/>
                <w:bottom w:val="none" w:sz="0" w:space="0" w:color="auto"/>
                <w:right w:val="none" w:sz="0" w:space="0" w:color="auto"/>
              </w:divBdr>
            </w:div>
            <w:div w:id="389229643">
              <w:marLeft w:val="0"/>
              <w:marRight w:val="0"/>
              <w:marTop w:val="0"/>
              <w:marBottom w:val="0"/>
              <w:divBdr>
                <w:top w:val="none" w:sz="0" w:space="0" w:color="auto"/>
                <w:left w:val="none" w:sz="0" w:space="0" w:color="auto"/>
                <w:bottom w:val="none" w:sz="0" w:space="0" w:color="auto"/>
                <w:right w:val="none" w:sz="0" w:space="0" w:color="auto"/>
              </w:divBdr>
            </w:div>
            <w:div w:id="441994823">
              <w:marLeft w:val="0"/>
              <w:marRight w:val="0"/>
              <w:marTop w:val="0"/>
              <w:marBottom w:val="0"/>
              <w:divBdr>
                <w:top w:val="none" w:sz="0" w:space="0" w:color="auto"/>
                <w:left w:val="none" w:sz="0" w:space="0" w:color="auto"/>
                <w:bottom w:val="none" w:sz="0" w:space="0" w:color="auto"/>
                <w:right w:val="none" w:sz="0" w:space="0" w:color="auto"/>
              </w:divBdr>
            </w:div>
            <w:div w:id="528955384">
              <w:marLeft w:val="0"/>
              <w:marRight w:val="0"/>
              <w:marTop w:val="0"/>
              <w:marBottom w:val="0"/>
              <w:divBdr>
                <w:top w:val="none" w:sz="0" w:space="0" w:color="auto"/>
                <w:left w:val="none" w:sz="0" w:space="0" w:color="auto"/>
                <w:bottom w:val="none" w:sz="0" w:space="0" w:color="auto"/>
                <w:right w:val="none" w:sz="0" w:space="0" w:color="auto"/>
              </w:divBdr>
            </w:div>
            <w:div w:id="665862896">
              <w:marLeft w:val="0"/>
              <w:marRight w:val="0"/>
              <w:marTop w:val="0"/>
              <w:marBottom w:val="0"/>
              <w:divBdr>
                <w:top w:val="none" w:sz="0" w:space="0" w:color="auto"/>
                <w:left w:val="none" w:sz="0" w:space="0" w:color="auto"/>
                <w:bottom w:val="none" w:sz="0" w:space="0" w:color="auto"/>
                <w:right w:val="none" w:sz="0" w:space="0" w:color="auto"/>
              </w:divBdr>
            </w:div>
            <w:div w:id="689919330">
              <w:marLeft w:val="0"/>
              <w:marRight w:val="0"/>
              <w:marTop w:val="0"/>
              <w:marBottom w:val="0"/>
              <w:divBdr>
                <w:top w:val="none" w:sz="0" w:space="0" w:color="auto"/>
                <w:left w:val="none" w:sz="0" w:space="0" w:color="auto"/>
                <w:bottom w:val="none" w:sz="0" w:space="0" w:color="auto"/>
                <w:right w:val="none" w:sz="0" w:space="0" w:color="auto"/>
              </w:divBdr>
            </w:div>
            <w:div w:id="940651909">
              <w:marLeft w:val="0"/>
              <w:marRight w:val="0"/>
              <w:marTop w:val="0"/>
              <w:marBottom w:val="0"/>
              <w:divBdr>
                <w:top w:val="none" w:sz="0" w:space="0" w:color="auto"/>
                <w:left w:val="none" w:sz="0" w:space="0" w:color="auto"/>
                <w:bottom w:val="none" w:sz="0" w:space="0" w:color="auto"/>
                <w:right w:val="none" w:sz="0" w:space="0" w:color="auto"/>
              </w:divBdr>
            </w:div>
            <w:div w:id="1011293865">
              <w:marLeft w:val="0"/>
              <w:marRight w:val="0"/>
              <w:marTop w:val="0"/>
              <w:marBottom w:val="0"/>
              <w:divBdr>
                <w:top w:val="none" w:sz="0" w:space="0" w:color="auto"/>
                <w:left w:val="none" w:sz="0" w:space="0" w:color="auto"/>
                <w:bottom w:val="none" w:sz="0" w:space="0" w:color="auto"/>
                <w:right w:val="none" w:sz="0" w:space="0" w:color="auto"/>
              </w:divBdr>
            </w:div>
            <w:div w:id="1023167343">
              <w:marLeft w:val="0"/>
              <w:marRight w:val="0"/>
              <w:marTop w:val="0"/>
              <w:marBottom w:val="0"/>
              <w:divBdr>
                <w:top w:val="none" w:sz="0" w:space="0" w:color="auto"/>
                <w:left w:val="none" w:sz="0" w:space="0" w:color="auto"/>
                <w:bottom w:val="none" w:sz="0" w:space="0" w:color="auto"/>
                <w:right w:val="none" w:sz="0" w:space="0" w:color="auto"/>
              </w:divBdr>
            </w:div>
            <w:div w:id="1030884934">
              <w:marLeft w:val="0"/>
              <w:marRight w:val="0"/>
              <w:marTop w:val="0"/>
              <w:marBottom w:val="0"/>
              <w:divBdr>
                <w:top w:val="none" w:sz="0" w:space="0" w:color="auto"/>
                <w:left w:val="none" w:sz="0" w:space="0" w:color="auto"/>
                <w:bottom w:val="none" w:sz="0" w:space="0" w:color="auto"/>
                <w:right w:val="none" w:sz="0" w:space="0" w:color="auto"/>
              </w:divBdr>
            </w:div>
            <w:div w:id="1210532102">
              <w:marLeft w:val="0"/>
              <w:marRight w:val="0"/>
              <w:marTop w:val="0"/>
              <w:marBottom w:val="0"/>
              <w:divBdr>
                <w:top w:val="none" w:sz="0" w:space="0" w:color="auto"/>
                <w:left w:val="none" w:sz="0" w:space="0" w:color="auto"/>
                <w:bottom w:val="none" w:sz="0" w:space="0" w:color="auto"/>
                <w:right w:val="none" w:sz="0" w:space="0" w:color="auto"/>
              </w:divBdr>
            </w:div>
            <w:div w:id="1400253159">
              <w:marLeft w:val="0"/>
              <w:marRight w:val="0"/>
              <w:marTop w:val="0"/>
              <w:marBottom w:val="0"/>
              <w:divBdr>
                <w:top w:val="none" w:sz="0" w:space="0" w:color="auto"/>
                <w:left w:val="none" w:sz="0" w:space="0" w:color="auto"/>
                <w:bottom w:val="none" w:sz="0" w:space="0" w:color="auto"/>
                <w:right w:val="none" w:sz="0" w:space="0" w:color="auto"/>
              </w:divBdr>
            </w:div>
            <w:div w:id="1523008512">
              <w:marLeft w:val="0"/>
              <w:marRight w:val="0"/>
              <w:marTop w:val="0"/>
              <w:marBottom w:val="0"/>
              <w:divBdr>
                <w:top w:val="none" w:sz="0" w:space="0" w:color="auto"/>
                <w:left w:val="none" w:sz="0" w:space="0" w:color="auto"/>
                <w:bottom w:val="none" w:sz="0" w:space="0" w:color="auto"/>
                <w:right w:val="none" w:sz="0" w:space="0" w:color="auto"/>
              </w:divBdr>
            </w:div>
            <w:div w:id="1613786132">
              <w:marLeft w:val="0"/>
              <w:marRight w:val="0"/>
              <w:marTop w:val="0"/>
              <w:marBottom w:val="0"/>
              <w:divBdr>
                <w:top w:val="none" w:sz="0" w:space="0" w:color="auto"/>
                <w:left w:val="none" w:sz="0" w:space="0" w:color="auto"/>
                <w:bottom w:val="none" w:sz="0" w:space="0" w:color="auto"/>
                <w:right w:val="none" w:sz="0" w:space="0" w:color="auto"/>
              </w:divBdr>
            </w:div>
            <w:div w:id="1697657687">
              <w:marLeft w:val="0"/>
              <w:marRight w:val="0"/>
              <w:marTop w:val="0"/>
              <w:marBottom w:val="0"/>
              <w:divBdr>
                <w:top w:val="none" w:sz="0" w:space="0" w:color="auto"/>
                <w:left w:val="none" w:sz="0" w:space="0" w:color="auto"/>
                <w:bottom w:val="none" w:sz="0" w:space="0" w:color="auto"/>
                <w:right w:val="none" w:sz="0" w:space="0" w:color="auto"/>
              </w:divBdr>
            </w:div>
            <w:div w:id="2031908731">
              <w:marLeft w:val="0"/>
              <w:marRight w:val="0"/>
              <w:marTop w:val="0"/>
              <w:marBottom w:val="0"/>
              <w:divBdr>
                <w:top w:val="none" w:sz="0" w:space="0" w:color="auto"/>
                <w:left w:val="none" w:sz="0" w:space="0" w:color="auto"/>
                <w:bottom w:val="none" w:sz="0" w:space="0" w:color="auto"/>
                <w:right w:val="none" w:sz="0" w:space="0" w:color="auto"/>
              </w:divBdr>
            </w:div>
          </w:divsChild>
        </w:div>
        <w:div w:id="1456481536">
          <w:marLeft w:val="0"/>
          <w:marRight w:val="0"/>
          <w:marTop w:val="0"/>
          <w:marBottom w:val="0"/>
          <w:divBdr>
            <w:top w:val="none" w:sz="0" w:space="0" w:color="auto"/>
            <w:left w:val="none" w:sz="0" w:space="0" w:color="auto"/>
            <w:bottom w:val="none" w:sz="0" w:space="0" w:color="auto"/>
            <w:right w:val="none" w:sz="0" w:space="0" w:color="auto"/>
          </w:divBdr>
        </w:div>
        <w:div w:id="1456951527">
          <w:marLeft w:val="0"/>
          <w:marRight w:val="0"/>
          <w:marTop w:val="0"/>
          <w:marBottom w:val="0"/>
          <w:divBdr>
            <w:top w:val="none" w:sz="0" w:space="0" w:color="auto"/>
            <w:left w:val="none" w:sz="0" w:space="0" w:color="auto"/>
            <w:bottom w:val="none" w:sz="0" w:space="0" w:color="auto"/>
            <w:right w:val="none" w:sz="0" w:space="0" w:color="auto"/>
          </w:divBdr>
        </w:div>
        <w:div w:id="1457285991">
          <w:marLeft w:val="0"/>
          <w:marRight w:val="0"/>
          <w:marTop w:val="0"/>
          <w:marBottom w:val="0"/>
          <w:divBdr>
            <w:top w:val="none" w:sz="0" w:space="0" w:color="auto"/>
            <w:left w:val="none" w:sz="0" w:space="0" w:color="auto"/>
            <w:bottom w:val="none" w:sz="0" w:space="0" w:color="auto"/>
            <w:right w:val="none" w:sz="0" w:space="0" w:color="auto"/>
          </w:divBdr>
        </w:div>
        <w:div w:id="1457676250">
          <w:marLeft w:val="0"/>
          <w:marRight w:val="0"/>
          <w:marTop w:val="0"/>
          <w:marBottom w:val="0"/>
          <w:divBdr>
            <w:top w:val="none" w:sz="0" w:space="0" w:color="auto"/>
            <w:left w:val="none" w:sz="0" w:space="0" w:color="auto"/>
            <w:bottom w:val="none" w:sz="0" w:space="0" w:color="auto"/>
            <w:right w:val="none" w:sz="0" w:space="0" w:color="auto"/>
          </w:divBdr>
        </w:div>
        <w:div w:id="1458834373">
          <w:marLeft w:val="0"/>
          <w:marRight w:val="0"/>
          <w:marTop w:val="0"/>
          <w:marBottom w:val="0"/>
          <w:divBdr>
            <w:top w:val="none" w:sz="0" w:space="0" w:color="auto"/>
            <w:left w:val="none" w:sz="0" w:space="0" w:color="auto"/>
            <w:bottom w:val="none" w:sz="0" w:space="0" w:color="auto"/>
            <w:right w:val="none" w:sz="0" w:space="0" w:color="auto"/>
          </w:divBdr>
        </w:div>
        <w:div w:id="1462841612">
          <w:marLeft w:val="0"/>
          <w:marRight w:val="0"/>
          <w:marTop w:val="0"/>
          <w:marBottom w:val="0"/>
          <w:divBdr>
            <w:top w:val="none" w:sz="0" w:space="0" w:color="auto"/>
            <w:left w:val="none" w:sz="0" w:space="0" w:color="auto"/>
            <w:bottom w:val="none" w:sz="0" w:space="0" w:color="auto"/>
            <w:right w:val="none" w:sz="0" w:space="0" w:color="auto"/>
          </w:divBdr>
        </w:div>
        <w:div w:id="1462915642">
          <w:marLeft w:val="0"/>
          <w:marRight w:val="0"/>
          <w:marTop w:val="0"/>
          <w:marBottom w:val="0"/>
          <w:divBdr>
            <w:top w:val="none" w:sz="0" w:space="0" w:color="auto"/>
            <w:left w:val="none" w:sz="0" w:space="0" w:color="auto"/>
            <w:bottom w:val="none" w:sz="0" w:space="0" w:color="auto"/>
            <w:right w:val="none" w:sz="0" w:space="0" w:color="auto"/>
          </w:divBdr>
        </w:div>
        <w:div w:id="1465078328">
          <w:marLeft w:val="0"/>
          <w:marRight w:val="0"/>
          <w:marTop w:val="0"/>
          <w:marBottom w:val="0"/>
          <w:divBdr>
            <w:top w:val="none" w:sz="0" w:space="0" w:color="auto"/>
            <w:left w:val="none" w:sz="0" w:space="0" w:color="auto"/>
            <w:bottom w:val="none" w:sz="0" w:space="0" w:color="auto"/>
            <w:right w:val="none" w:sz="0" w:space="0" w:color="auto"/>
          </w:divBdr>
        </w:div>
        <w:div w:id="1465537869">
          <w:marLeft w:val="0"/>
          <w:marRight w:val="0"/>
          <w:marTop w:val="0"/>
          <w:marBottom w:val="0"/>
          <w:divBdr>
            <w:top w:val="none" w:sz="0" w:space="0" w:color="auto"/>
            <w:left w:val="none" w:sz="0" w:space="0" w:color="auto"/>
            <w:bottom w:val="none" w:sz="0" w:space="0" w:color="auto"/>
            <w:right w:val="none" w:sz="0" w:space="0" w:color="auto"/>
          </w:divBdr>
        </w:div>
        <w:div w:id="1466384513">
          <w:marLeft w:val="0"/>
          <w:marRight w:val="0"/>
          <w:marTop w:val="0"/>
          <w:marBottom w:val="0"/>
          <w:divBdr>
            <w:top w:val="none" w:sz="0" w:space="0" w:color="auto"/>
            <w:left w:val="none" w:sz="0" w:space="0" w:color="auto"/>
            <w:bottom w:val="none" w:sz="0" w:space="0" w:color="auto"/>
            <w:right w:val="none" w:sz="0" w:space="0" w:color="auto"/>
          </w:divBdr>
        </w:div>
        <w:div w:id="1466968734">
          <w:marLeft w:val="0"/>
          <w:marRight w:val="0"/>
          <w:marTop w:val="0"/>
          <w:marBottom w:val="0"/>
          <w:divBdr>
            <w:top w:val="none" w:sz="0" w:space="0" w:color="auto"/>
            <w:left w:val="none" w:sz="0" w:space="0" w:color="auto"/>
            <w:bottom w:val="none" w:sz="0" w:space="0" w:color="auto"/>
            <w:right w:val="none" w:sz="0" w:space="0" w:color="auto"/>
          </w:divBdr>
        </w:div>
        <w:div w:id="1467696376">
          <w:marLeft w:val="0"/>
          <w:marRight w:val="0"/>
          <w:marTop w:val="0"/>
          <w:marBottom w:val="0"/>
          <w:divBdr>
            <w:top w:val="none" w:sz="0" w:space="0" w:color="auto"/>
            <w:left w:val="none" w:sz="0" w:space="0" w:color="auto"/>
            <w:bottom w:val="none" w:sz="0" w:space="0" w:color="auto"/>
            <w:right w:val="none" w:sz="0" w:space="0" w:color="auto"/>
          </w:divBdr>
        </w:div>
        <w:div w:id="1467698528">
          <w:marLeft w:val="0"/>
          <w:marRight w:val="0"/>
          <w:marTop w:val="0"/>
          <w:marBottom w:val="0"/>
          <w:divBdr>
            <w:top w:val="none" w:sz="0" w:space="0" w:color="auto"/>
            <w:left w:val="none" w:sz="0" w:space="0" w:color="auto"/>
            <w:bottom w:val="none" w:sz="0" w:space="0" w:color="auto"/>
            <w:right w:val="none" w:sz="0" w:space="0" w:color="auto"/>
          </w:divBdr>
        </w:div>
        <w:div w:id="1468620289">
          <w:marLeft w:val="0"/>
          <w:marRight w:val="0"/>
          <w:marTop w:val="0"/>
          <w:marBottom w:val="0"/>
          <w:divBdr>
            <w:top w:val="none" w:sz="0" w:space="0" w:color="auto"/>
            <w:left w:val="none" w:sz="0" w:space="0" w:color="auto"/>
            <w:bottom w:val="none" w:sz="0" w:space="0" w:color="auto"/>
            <w:right w:val="none" w:sz="0" w:space="0" w:color="auto"/>
          </w:divBdr>
        </w:div>
        <w:div w:id="1469588460">
          <w:marLeft w:val="0"/>
          <w:marRight w:val="0"/>
          <w:marTop w:val="0"/>
          <w:marBottom w:val="0"/>
          <w:divBdr>
            <w:top w:val="none" w:sz="0" w:space="0" w:color="auto"/>
            <w:left w:val="none" w:sz="0" w:space="0" w:color="auto"/>
            <w:bottom w:val="none" w:sz="0" w:space="0" w:color="auto"/>
            <w:right w:val="none" w:sz="0" w:space="0" w:color="auto"/>
          </w:divBdr>
        </w:div>
        <w:div w:id="1470787112">
          <w:marLeft w:val="0"/>
          <w:marRight w:val="0"/>
          <w:marTop w:val="0"/>
          <w:marBottom w:val="0"/>
          <w:divBdr>
            <w:top w:val="none" w:sz="0" w:space="0" w:color="auto"/>
            <w:left w:val="none" w:sz="0" w:space="0" w:color="auto"/>
            <w:bottom w:val="none" w:sz="0" w:space="0" w:color="auto"/>
            <w:right w:val="none" w:sz="0" w:space="0" w:color="auto"/>
          </w:divBdr>
        </w:div>
        <w:div w:id="1471094648">
          <w:marLeft w:val="0"/>
          <w:marRight w:val="0"/>
          <w:marTop w:val="0"/>
          <w:marBottom w:val="0"/>
          <w:divBdr>
            <w:top w:val="none" w:sz="0" w:space="0" w:color="auto"/>
            <w:left w:val="none" w:sz="0" w:space="0" w:color="auto"/>
            <w:bottom w:val="none" w:sz="0" w:space="0" w:color="auto"/>
            <w:right w:val="none" w:sz="0" w:space="0" w:color="auto"/>
          </w:divBdr>
        </w:div>
        <w:div w:id="1471244252">
          <w:marLeft w:val="0"/>
          <w:marRight w:val="0"/>
          <w:marTop w:val="0"/>
          <w:marBottom w:val="0"/>
          <w:divBdr>
            <w:top w:val="none" w:sz="0" w:space="0" w:color="auto"/>
            <w:left w:val="none" w:sz="0" w:space="0" w:color="auto"/>
            <w:bottom w:val="none" w:sz="0" w:space="0" w:color="auto"/>
            <w:right w:val="none" w:sz="0" w:space="0" w:color="auto"/>
          </w:divBdr>
          <w:divsChild>
            <w:div w:id="4064016">
              <w:marLeft w:val="0"/>
              <w:marRight w:val="0"/>
              <w:marTop w:val="0"/>
              <w:marBottom w:val="0"/>
              <w:divBdr>
                <w:top w:val="none" w:sz="0" w:space="0" w:color="auto"/>
                <w:left w:val="none" w:sz="0" w:space="0" w:color="auto"/>
                <w:bottom w:val="none" w:sz="0" w:space="0" w:color="auto"/>
                <w:right w:val="none" w:sz="0" w:space="0" w:color="auto"/>
              </w:divBdr>
            </w:div>
            <w:div w:id="220093841">
              <w:marLeft w:val="0"/>
              <w:marRight w:val="0"/>
              <w:marTop w:val="0"/>
              <w:marBottom w:val="0"/>
              <w:divBdr>
                <w:top w:val="none" w:sz="0" w:space="0" w:color="auto"/>
                <w:left w:val="none" w:sz="0" w:space="0" w:color="auto"/>
                <w:bottom w:val="none" w:sz="0" w:space="0" w:color="auto"/>
                <w:right w:val="none" w:sz="0" w:space="0" w:color="auto"/>
              </w:divBdr>
            </w:div>
            <w:div w:id="282730599">
              <w:marLeft w:val="0"/>
              <w:marRight w:val="0"/>
              <w:marTop w:val="0"/>
              <w:marBottom w:val="0"/>
              <w:divBdr>
                <w:top w:val="none" w:sz="0" w:space="0" w:color="auto"/>
                <w:left w:val="none" w:sz="0" w:space="0" w:color="auto"/>
                <w:bottom w:val="none" w:sz="0" w:space="0" w:color="auto"/>
                <w:right w:val="none" w:sz="0" w:space="0" w:color="auto"/>
              </w:divBdr>
            </w:div>
            <w:div w:id="654258416">
              <w:marLeft w:val="0"/>
              <w:marRight w:val="0"/>
              <w:marTop w:val="0"/>
              <w:marBottom w:val="0"/>
              <w:divBdr>
                <w:top w:val="none" w:sz="0" w:space="0" w:color="auto"/>
                <w:left w:val="none" w:sz="0" w:space="0" w:color="auto"/>
                <w:bottom w:val="none" w:sz="0" w:space="0" w:color="auto"/>
                <w:right w:val="none" w:sz="0" w:space="0" w:color="auto"/>
              </w:divBdr>
            </w:div>
            <w:div w:id="657465794">
              <w:marLeft w:val="0"/>
              <w:marRight w:val="0"/>
              <w:marTop w:val="0"/>
              <w:marBottom w:val="0"/>
              <w:divBdr>
                <w:top w:val="none" w:sz="0" w:space="0" w:color="auto"/>
                <w:left w:val="none" w:sz="0" w:space="0" w:color="auto"/>
                <w:bottom w:val="none" w:sz="0" w:space="0" w:color="auto"/>
                <w:right w:val="none" w:sz="0" w:space="0" w:color="auto"/>
              </w:divBdr>
            </w:div>
            <w:div w:id="828792494">
              <w:marLeft w:val="0"/>
              <w:marRight w:val="0"/>
              <w:marTop w:val="0"/>
              <w:marBottom w:val="0"/>
              <w:divBdr>
                <w:top w:val="none" w:sz="0" w:space="0" w:color="auto"/>
                <w:left w:val="none" w:sz="0" w:space="0" w:color="auto"/>
                <w:bottom w:val="none" w:sz="0" w:space="0" w:color="auto"/>
                <w:right w:val="none" w:sz="0" w:space="0" w:color="auto"/>
              </w:divBdr>
            </w:div>
            <w:div w:id="1084255704">
              <w:marLeft w:val="0"/>
              <w:marRight w:val="0"/>
              <w:marTop w:val="0"/>
              <w:marBottom w:val="0"/>
              <w:divBdr>
                <w:top w:val="none" w:sz="0" w:space="0" w:color="auto"/>
                <w:left w:val="none" w:sz="0" w:space="0" w:color="auto"/>
                <w:bottom w:val="none" w:sz="0" w:space="0" w:color="auto"/>
                <w:right w:val="none" w:sz="0" w:space="0" w:color="auto"/>
              </w:divBdr>
            </w:div>
            <w:div w:id="1351759027">
              <w:marLeft w:val="0"/>
              <w:marRight w:val="0"/>
              <w:marTop w:val="0"/>
              <w:marBottom w:val="0"/>
              <w:divBdr>
                <w:top w:val="none" w:sz="0" w:space="0" w:color="auto"/>
                <w:left w:val="none" w:sz="0" w:space="0" w:color="auto"/>
                <w:bottom w:val="none" w:sz="0" w:space="0" w:color="auto"/>
                <w:right w:val="none" w:sz="0" w:space="0" w:color="auto"/>
              </w:divBdr>
            </w:div>
            <w:div w:id="1409494305">
              <w:marLeft w:val="0"/>
              <w:marRight w:val="0"/>
              <w:marTop w:val="0"/>
              <w:marBottom w:val="0"/>
              <w:divBdr>
                <w:top w:val="none" w:sz="0" w:space="0" w:color="auto"/>
                <w:left w:val="none" w:sz="0" w:space="0" w:color="auto"/>
                <w:bottom w:val="none" w:sz="0" w:space="0" w:color="auto"/>
                <w:right w:val="none" w:sz="0" w:space="0" w:color="auto"/>
              </w:divBdr>
            </w:div>
            <w:div w:id="1570923283">
              <w:marLeft w:val="0"/>
              <w:marRight w:val="0"/>
              <w:marTop w:val="0"/>
              <w:marBottom w:val="0"/>
              <w:divBdr>
                <w:top w:val="none" w:sz="0" w:space="0" w:color="auto"/>
                <w:left w:val="none" w:sz="0" w:space="0" w:color="auto"/>
                <w:bottom w:val="none" w:sz="0" w:space="0" w:color="auto"/>
                <w:right w:val="none" w:sz="0" w:space="0" w:color="auto"/>
              </w:divBdr>
            </w:div>
            <w:div w:id="1619409623">
              <w:marLeft w:val="0"/>
              <w:marRight w:val="0"/>
              <w:marTop w:val="0"/>
              <w:marBottom w:val="0"/>
              <w:divBdr>
                <w:top w:val="none" w:sz="0" w:space="0" w:color="auto"/>
                <w:left w:val="none" w:sz="0" w:space="0" w:color="auto"/>
                <w:bottom w:val="none" w:sz="0" w:space="0" w:color="auto"/>
                <w:right w:val="none" w:sz="0" w:space="0" w:color="auto"/>
              </w:divBdr>
            </w:div>
            <w:div w:id="1667174295">
              <w:marLeft w:val="0"/>
              <w:marRight w:val="0"/>
              <w:marTop w:val="0"/>
              <w:marBottom w:val="0"/>
              <w:divBdr>
                <w:top w:val="none" w:sz="0" w:space="0" w:color="auto"/>
                <w:left w:val="none" w:sz="0" w:space="0" w:color="auto"/>
                <w:bottom w:val="none" w:sz="0" w:space="0" w:color="auto"/>
                <w:right w:val="none" w:sz="0" w:space="0" w:color="auto"/>
              </w:divBdr>
            </w:div>
            <w:div w:id="1747723091">
              <w:marLeft w:val="0"/>
              <w:marRight w:val="0"/>
              <w:marTop w:val="0"/>
              <w:marBottom w:val="0"/>
              <w:divBdr>
                <w:top w:val="none" w:sz="0" w:space="0" w:color="auto"/>
                <w:left w:val="none" w:sz="0" w:space="0" w:color="auto"/>
                <w:bottom w:val="none" w:sz="0" w:space="0" w:color="auto"/>
                <w:right w:val="none" w:sz="0" w:space="0" w:color="auto"/>
              </w:divBdr>
            </w:div>
          </w:divsChild>
        </w:div>
        <w:div w:id="1471747815">
          <w:marLeft w:val="0"/>
          <w:marRight w:val="0"/>
          <w:marTop w:val="0"/>
          <w:marBottom w:val="0"/>
          <w:divBdr>
            <w:top w:val="none" w:sz="0" w:space="0" w:color="auto"/>
            <w:left w:val="none" w:sz="0" w:space="0" w:color="auto"/>
            <w:bottom w:val="none" w:sz="0" w:space="0" w:color="auto"/>
            <w:right w:val="none" w:sz="0" w:space="0" w:color="auto"/>
          </w:divBdr>
        </w:div>
        <w:div w:id="1472408058">
          <w:marLeft w:val="0"/>
          <w:marRight w:val="0"/>
          <w:marTop w:val="0"/>
          <w:marBottom w:val="0"/>
          <w:divBdr>
            <w:top w:val="none" w:sz="0" w:space="0" w:color="auto"/>
            <w:left w:val="none" w:sz="0" w:space="0" w:color="auto"/>
            <w:bottom w:val="none" w:sz="0" w:space="0" w:color="auto"/>
            <w:right w:val="none" w:sz="0" w:space="0" w:color="auto"/>
          </w:divBdr>
        </w:div>
        <w:div w:id="1473597057">
          <w:marLeft w:val="0"/>
          <w:marRight w:val="0"/>
          <w:marTop w:val="0"/>
          <w:marBottom w:val="0"/>
          <w:divBdr>
            <w:top w:val="none" w:sz="0" w:space="0" w:color="auto"/>
            <w:left w:val="none" w:sz="0" w:space="0" w:color="auto"/>
            <w:bottom w:val="none" w:sz="0" w:space="0" w:color="auto"/>
            <w:right w:val="none" w:sz="0" w:space="0" w:color="auto"/>
          </w:divBdr>
        </w:div>
        <w:div w:id="1474983847">
          <w:marLeft w:val="0"/>
          <w:marRight w:val="0"/>
          <w:marTop w:val="0"/>
          <w:marBottom w:val="0"/>
          <w:divBdr>
            <w:top w:val="none" w:sz="0" w:space="0" w:color="auto"/>
            <w:left w:val="none" w:sz="0" w:space="0" w:color="auto"/>
            <w:bottom w:val="none" w:sz="0" w:space="0" w:color="auto"/>
            <w:right w:val="none" w:sz="0" w:space="0" w:color="auto"/>
          </w:divBdr>
        </w:div>
        <w:div w:id="1475215479">
          <w:marLeft w:val="0"/>
          <w:marRight w:val="0"/>
          <w:marTop w:val="0"/>
          <w:marBottom w:val="0"/>
          <w:divBdr>
            <w:top w:val="none" w:sz="0" w:space="0" w:color="auto"/>
            <w:left w:val="none" w:sz="0" w:space="0" w:color="auto"/>
            <w:bottom w:val="none" w:sz="0" w:space="0" w:color="auto"/>
            <w:right w:val="none" w:sz="0" w:space="0" w:color="auto"/>
          </w:divBdr>
        </w:div>
        <w:div w:id="1476601397">
          <w:marLeft w:val="0"/>
          <w:marRight w:val="0"/>
          <w:marTop w:val="0"/>
          <w:marBottom w:val="0"/>
          <w:divBdr>
            <w:top w:val="none" w:sz="0" w:space="0" w:color="auto"/>
            <w:left w:val="none" w:sz="0" w:space="0" w:color="auto"/>
            <w:bottom w:val="none" w:sz="0" w:space="0" w:color="auto"/>
            <w:right w:val="none" w:sz="0" w:space="0" w:color="auto"/>
          </w:divBdr>
        </w:div>
        <w:div w:id="1479804061">
          <w:marLeft w:val="0"/>
          <w:marRight w:val="0"/>
          <w:marTop w:val="0"/>
          <w:marBottom w:val="0"/>
          <w:divBdr>
            <w:top w:val="none" w:sz="0" w:space="0" w:color="auto"/>
            <w:left w:val="none" w:sz="0" w:space="0" w:color="auto"/>
            <w:bottom w:val="none" w:sz="0" w:space="0" w:color="auto"/>
            <w:right w:val="none" w:sz="0" w:space="0" w:color="auto"/>
          </w:divBdr>
        </w:div>
        <w:div w:id="1480615866">
          <w:marLeft w:val="0"/>
          <w:marRight w:val="0"/>
          <w:marTop w:val="0"/>
          <w:marBottom w:val="0"/>
          <w:divBdr>
            <w:top w:val="none" w:sz="0" w:space="0" w:color="auto"/>
            <w:left w:val="none" w:sz="0" w:space="0" w:color="auto"/>
            <w:bottom w:val="none" w:sz="0" w:space="0" w:color="auto"/>
            <w:right w:val="none" w:sz="0" w:space="0" w:color="auto"/>
          </w:divBdr>
        </w:div>
        <w:div w:id="1481000822">
          <w:marLeft w:val="0"/>
          <w:marRight w:val="0"/>
          <w:marTop w:val="0"/>
          <w:marBottom w:val="0"/>
          <w:divBdr>
            <w:top w:val="none" w:sz="0" w:space="0" w:color="auto"/>
            <w:left w:val="none" w:sz="0" w:space="0" w:color="auto"/>
            <w:bottom w:val="none" w:sz="0" w:space="0" w:color="auto"/>
            <w:right w:val="none" w:sz="0" w:space="0" w:color="auto"/>
          </w:divBdr>
        </w:div>
        <w:div w:id="1482698482">
          <w:marLeft w:val="0"/>
          <w:marRight w:val="0"/>
          <w:marTop w:val="0"/>
          <w:marBottom w:val="0"/>
          <w:divBdr>
            <w:top w:val="none" w:sz="0" w:space="0" w:color="auto"/>
            <w:left w:val="none" w:sz="0" w:space="0" w:color="auto"/>
            <w:bottom w:val="none" w:sz="0" w:space="0" w:color="auto"/>
            <w:right w:val="none" w:sz="0" w:space="0" w:color="auto"/>
          </w:divBdr>
        </w:div>
        <w:div w:id="1482771751">
          <w:marLeft w:val="0"/>
          <w:marRight w:val="0"/>
          <w:marTop w:val="0"/>
          <w:marBottom w:val="0"/>
          <w:divBdr>
            <w:top w:val="none" w:sz="0" w:space="0" w:color="auto"/>
            <w:left w:val="none" w:sz="0" w:space="0" w:color="auto"/>
            <w:bottom w:val="none" w:sz="0" w:space="0" w:color="auto"/>
            <w:right w:val="none" w:sz="0" w:space="0" w:color="auto"/>
          </w:divBdr>
        </w:div>
        <w:div w:id="1484852740">
          <w:marLeft w:val="0"/>
          <w:marRight w:val="0"/>
          <w:marTop w:val="0"/>
          <w:marBottom w:val="0"/>
          <w:divBdr>
            <w:top w:val="none" w:sz="0" w:space="0" w:color="auto"/>
            <w:left w:val="none" w:sz="0" w:space="0" w:color="auto"/>
            <w:bottom w:val="none" w:sz="0" w:space="0" w:color="auto"/>
            <w:right w:val="none" w:sz="0" w:space="0" w:color="auto"/>
          </w:divBdr>
        </w:div>
        <w:div w:id="1485513908">
          <w:marLeft w:val="0"/>
          <w:marRight w:val="0"/>
          <w:marTop w:val="0"/>
          <w:marBottom w:val="0"/>
          <w:divBdr>
            <w:top w:val="none" w:sz="0" w:space="0" w:color="auto"/>
            <w:left w:val="none" w:sz="0" w:space="0" w:color="auto"/>
            <w:bottom w:val="none" w:sz="0" w:space="0" w:color="auto"/>
            <w:right w:val="none" w:sz="0" w:space="0" w:color="auto"/>
          </w:divBdr>
        </w:div>
        <w:div w:id="1489513728">
          <w:marLeft w:val="0"/>
          <w:marRight w:val="0"/>
          <w:marTop w:val="0"/>
          <w:marBottom w:val="0"/>
          <w:divBdr>
            <w:top w:val="none" w:sz="0" w:space="0" w:color="auto"/>
            <w:left w:val="none" w:sz="0" w:space="0" w:color="auto"/>
            <w:bottom w:val="none" w:sz="0" w:space="0" w:color="auto"/>
            <w:right w:val="none" w:sz="0" w:space="0" w:color="auto"/>
          </w:divBdr>
        </w:div>
        <w:div w:id="1490052307">
          <w:marLeft w:val="0"/>
          <w:marRight w:val="0"/>
          <w:marTop w:val="0"/>
          <w:marBottom w:val="0"/>
          <w:divBdr>
            <w:top w:val="none" w:sz="0" w:space="0" w:color="auto"/>
            <w:left w:val="none" w:sz="0" w:space="0" w:color="auto"/>
            <w:bottom w:val="none" w:sz="0" w:space="0" w:color="auto"/>
            <w:right w:val="none" w:sz="0" w:space="0" w:color="auto"/>
          </w:divBdr>
        </w:div>
        <w:div w:id="1494639862">
          <w:marLeft w:val="0"/>
          <w:marRight w:val="0"/>
          <w:marTop w:val="0"/>
          <w:marBottom w:val="0"/>
          <w:divBdr>
            <w:top w:val="none" w:sz="0" w:space="0" w:color="auto"/>
            <w:left w:val="none" w:sz="0" w:space="0" w:color="auto"/>
            <w:bottom w:val="none" w:sz="0" w:space="0" w:color="auto"/>
            <w:right w:val="none" w:sz="0" w:space="0" w:color="auto"/>
          </w:divBdr>
        </w:div>
        <w:div w:id="1495335029">
          <w:marLeft w:val="0"/>
          <w:marRight w:val="0"/>
          <w:marTop w:val="0"/>
          <w:marBottom w:val="0"/>
          <w:divBdr>
            <w:top w:val="none" w:sz="0" w:space="0" w:color="auto"/>
            <w:left w:val="none" w:sz="0" w:space="0" w:color="auto"/>
            <w:bottom w:val="none" w:sz="0" w:space="0" w:color="auto"/>
            <w:right w:val="none" w:sz="0" w:space="0" w:color="auto"/>
          </w:divBdr>
        </w:div>
        <w:div w:id="1498039824">
          <w:marLeft w:val="0"/>
          <w:marRight w:val="0"/>
          <w:marTop w:val="0"/>
          <w:marBottom w:val="0"/>
          <w:divBdr>
            <w:top w:val="none" w:sz="0" w:space="0" w:color="auto"/>
            <w:left w:val="none" w:sz="0" w:space="0" w:color="auto"/>
            <w:bottom w:val="none" w:sz="0" w:space="0" w:color="auto"/>
            <w:right w:val="none" w:sz="0" w:space="0" w:color="auto"/>
          </w:divBdr>
        </w:div>
        <w:div w:id="1498963976">
          <w:marLeft w:val="0"/>
          <w:marRight w:val="0"/>
          <w:marTop w:val="0"/>
          <w:marBottom w:val="0"/>
          <w:divBdr>
            <w:top w:val="none" w:sz="0" w:space="0" w:color="auto"/>
            <w:left w:val="none" w:sz="0" w:space="0" w:color="auto"/>
            <w:bottom w:val="none" w:sz="0" w:space="0" w:color="auto"/>
            <w:right w:val="none" w:sz="0" w:space="0" w:color="auto"/>
          </w:divBdr>
        </w:div>
        <w:div w:id="1501432791">
          <w:marLeft w:val="0"/>
          <w:marRight w:val="0"/>
          <w:marTop w:val="0"/>
          <w:marBottom w:val="0"/>
          <w:divBdr>
            <w:top w:val="none" w:sz="0" w:space="0" w:color="auto"/>
            <w:left w:val="none" w:sz="0" w:space="0" w:color="auto"/>
            <w:bottom w:val="none" w:sz="0" w:space="0" w:color="auto"/>
            <w:right w:val="none" w:sz="0" w:space="0" w:color="auto"/>
          </w:divBdr>
          <w:divsChild>
            <w:div w:id="42799414">
              <w:marLeft w:val="0"/>
              <w:marRight w:val="0"/>
              <w:marTop w:val="0"/>
              <w:marBottom w:val="0"/>
              <w:divBdr>
                <w:top w:val="none" w:sz="0" w:space="0" w:color="auto"/>
                <w:left w:val="none" w:sz="0" w:space="0" w:color="auto"/>
                <w:bottom w:val="none" w:sz="0" w:space="0" w:color="auto"/>
                <w:right w:val="none" w:sz="0" w:space="0" w:color="auto"/>
              </w:divBdr>
            </w:div>
            <w:div w:id="78797237">
              <w:marLeft w:val="0"/>
              <w:marRight w:val="0"/>
              <w:marTop w:val="0"/>
              <w:marBottom w:val="0"/>
              <w:divBdr>
                <w:top w:val="none" w:sz="0" w:space="0" w:color="auto"/>
                <w:left w:val="none" w:sz="0" w:space="0" w:color="auto"/>
                <w:bottom w:val="none" w:sz="0" w:space="0" w:color="auto"/>
                <w:right w:val="none" w:sz="0" w:space="0" w:color="auto"/>
              </w:divBdr>
            </w:div>
            <w:div w:id="137066376">
              <w:marLeft w:val="0"/>
              <w:marRight w:val="0"/>
              <w:marTop w:val="0"/>
              <w:marBottom w:val="0"/>
              <w:divBdr>
                <w:top w:val="none" w:sz="0" w:space="0" w:color="auto"/>
                <w:left w:val="none" w:sz="0" w:space="0" w:color="auto"/>
                <w:bottom w:val="none" w:sz="0" w:space="0" w:color="auto"/>
                <w:right w:val="none" w:sz="0" w:space="0" w:color="auto"/>
              </w:divBdr>
            </w:div>
            <w:div w:id="591594622">
              <w:marLeft w:val="0"/>
              <w:marRight w:val="0"/>
              <w:marTop w:val="0"/>
              <w:marBottom w:val="0"/>
              <w:divBdr>
                <w:top w:val="none" w:sz="0" w:space="0" w:color="auto"/>
                <w:left w:val="none" w:sz="0" w:space="0" w:color="auto"/>
                <w:bottom w:val="none" w:sz="0" w:space="0" w:color="auto"/>
                <w:right w:val="none" w:sz="0" w:space="0" w:color="auto"/>
              </w:divBdr>
            </w:div>
            <w:div w:id="720440329">
              <w:marLeft w:val="0"/>
              <w:marRight w:val="0"/>
              <w:marTop w:val="0"/>
              <w:marBottom w:val="0"/>
              <w:divBdr>
                <w:top w:val="none" w:sz="0" w:space="0" w:color="auto"/>
                <w:left w:val="none" w:sz="0" w:space="0" w:color="auto"/>
                <w:bottom w:val="none" w:sz="0" w:space="0" w:color="auto"/>
                <w:right w:val="none" w:sz="0" w:space="0" w:color="auto"/>
              </w:divBdr>
            </w:div>
            <w:div w:id="789400284">
              <w:marLeft w:val="0"/>
              <w:marRight w:val="0"/>
              <w:marTop w:val="0"/>
              <w:marBottom w:val="0"/>
              <w:divBdr>
                <w:top w:val="none" w:sz="0" w:space="0" w:color="auto"/>
                <w:left w:val="none" w:sz="0" w:space="0" w:color="auto"/>
                <w:bottom w:val="none" w:sz="0" w:space="0" w:color="auto"/>
                <w:right w:val="none" w:sz="0" w:space="0" w:color="auto"/>
              </w:divBdr>
            </w:div>
            <w:div w:id="995953692">
              <w:marLeft w:val="0"/>
              <w:marRight w:val="0"/>
              <w:marTop w:val="0"/>
              <w:marBottom w:val="0"/>
              <w:divBdr>
                <w:top w:val="none" w:sz="0" w:space="0" w:color="auto"/>
                <w:left w:val="none" w:sz="0" w:space="0" w:color="auto"/>
                <w:bottom w:val="none" w:sz="0" w:space="0" w:color="auto"/>
                <w:right w:val="none" w:sz="0" w:space="0" w:color="auto"/>
              </w:divBdr>
            </w:div>
            <w:div w:id="1010330067">
              <w:marLeft w:val="0"/>
              <w:marRight w:val="0"/>
              <w:marTop w:val="0"/>
              <w:marBottom w:val="0"/>
              <w:divBdr>
                <w:top w:val="none" w:sz="0" w:space="0" w:color="auto"/>
                <w:left w:val="none" w:sz="0" w:space="0" w:color="auto"/>
                <w:bottom w:val="none" w:sz="0" w:space="0" w:color="auto"/>
                <w:right w:val="none" w:sz="0" w:space="0" w:color="auto"/>
              </w:divBdr>
            </w:div>
            <w:div w:id="1112015204">
              <w:marLeft w:val="0"/>
              <w:marRight w:val="0"/>
              <w:marTop w:val="0"/>
              <w:marBottom w:val="0"/>
              <w:divBdr>
                <w:top w:val="none" w:sz="0" w:space="0" w:color="auto"/>
                <w:left w:val="none" w:sz="0" w:space="0" w:color="auto"/>
                <w:bottom w:val="none" w:sz="0" w:space="0" w:color="auto"/>
                <w:right w:val="none" w:sz="0" w:space="0" w:color="auto"/>
              </w:divBdr>
            </w:div>
            <w:div w:id="1116216442">
              <w:marLeft w:val="0"/>
              <w:marRight w:val="0"/>
              <w:marTop w:val="0"/>
              <w:marBottom w:val="0"/>
              <w:divBdr>
                <w:top w:val="none" w:sz="0" w:space="0" w:color="auto"/>
                <w:left w:val="none" w:sz="0" w:space="0" w:color="auto"/>
                <w:bottom w:val="none" w:sz="0" w:space="0" w:color="auto"/>
                <w:right w:val="none" w:sz="0" w:space="0" w:color="auto"/>
              </w:divBdr>
            </w:div>
            <w:div w:id="1121613254">
              <w:marLeft w:val="0"/>
              <w:marRight w:val="0"/>
              <w:marTop w:val="0"/>
              <w:marBottom w:val="0"/>
              <w:divBdr>
                <w:top w:val="none" w:sz="0" w:space="0" w:color="auto"/>
                <w:left w:val="none" w:sz="0" w:space="0" w:color="auto"/>
                <w:bottom w:val="none" w:sz="0" w:space="0" w:color="auto"/>
                <w:right w:val="none" w:sz="0" w:space="0" w:color="auto"/>
              </w:divBdr>
            </w:div>
            <w:div w:id="1216546769">
              <w:marLeft w:val="0"/>
              <w:marRight w:val="0"/>
              <w:marTop w:val="0"/>
              <w:marBottom w:val="0"/>
              <w:divBdr>
                <w:top w:val="none" w:sz="0" w:space="0" w:color="auto"/>
                <w:left w:val="none" w:sz="0" w:space="0" w:color="auto"/>
                <w:bottom w:val="none" w:sz="0" w:space="0" w:color="auto"/>
                <w:right w:val="none" w:sz="0" w:space="0" w:color="auto"/>
              </w:divBdr>
            </w:div>
            <w:div w:id="1519805547">
              <w:marLeft w:val="0"/>
              <w:marRight w:val="0"/>
              <w:marTop w:val="0"/>
              <w:marBottom w:val="0"/>
              <w:divBdr>
                <w:top w:val="none" w:sz="0" w:space="0" w:color="auto"/>
                <w:left w:val="none" w:sz="0" w:space="0" w:color="auto"/>
                <w:bottom w:val="none" w:sz="0" w:space="0" w:color="auto"/>
                <w:right w:val="none" w:sz="0" w:space="0" w:color="auto"/>
              </w:divBdr>
            </w:div>
            <w:div w:id="1590233623">
              <w:marLeft w:val="0"/>
              <w:marRight w:val="0"/>
              <w:marTop w:val="0"/>
              <w:marBottom w:val="0"/>
              <w:divBdr>
                <w:top w:val="none" w:sz="0" w:space="0" w:color="auto"/>
                <w:left w:val="none" w:sz="0" w:space="0" w:color="auto"/>
                <w:bottom w:val="none" w:sz="0" w:space="0" w:color="auto"/>
                <w:right w:val="none" w:sz="0" w:space="0" w:color="auto"/>
              </w:divBdr>
            </w:div>
            <w:div w:id="1665545259">
              <w:marLeft w:val="0"/>
              <w:marRight w:val="0"/>
              <w:marTop w:val="0"/>
              <w:marBottom w:val="0"/>
              <w:divBdr>
                <w:top w:val="none" w:sz="0" w:space="0" w:color="auto"/>
                <w:left w:val="none" w:sz="0" w:space="0" w:color="auto"/>
                <w:bottom w:val="none" w:sz="0" w:space="0" w:color="auto"/>
                <w:right w:val="none" w:sz="0" w:space="0" w:color="auto"/>
              </w:divBdr>
            </w:div>
            <w:div w:id="1728069806">
              <w:marLeft w:val="0"/>
              <w:marRight w:val="0"/>
              <w:marTop w:val="0"/>
              <w:marBottom w:val="0"/>
              <w:divBdr>
                <w:top w:val="none" w:sz="0" w:space="0" w:color="auto"/>
                <w:left w:val="none" w:sz="0" w:space="0" w:color="auto"/>
                <w:bottom w:val="none" w:sz="0" w:space="0" w:color="auto"/>
                <w:right w:val="none" w:sz="0" w:space="0" w:color="auto"/>
              </w:divBdr>
            </w:div>
            <w:div w:id="1732578330">
              <w:marLeft w:val="0"/>
              <w:marRight w:val="0"/>
              <w:marTop w:val="0"/>
              <w:marBottom w:val="0"/>
              <w:divBdr>
                <w:top w:val="none" w:sz="0" w:space="0" w:color="auto"/>
                <w:left w:val="none" w:sz="0" w:space="0" w:color="auto"/>
                <w:bottom w:val="none" w:sz="0" w:space="0" w:color="auto"/>
                <w:right w:val="none" w:sz="0" w:space="0" w:color="auto"/>
              </w:divBdr>
            </w:div>
            <w:div w:id="2061854162">
              <w:marLeft w:val="0"/>
              <w:marRight w:val="0"/>
              <w:marTop w:val="0"/>
              <w:marBottom w:val="0"/>
              <w:divBdr>
                <w:top w:val="none" w:sz="0" w:space="0" w:color="auto"/>
                <w:left w:val="none" w:sz="0" w:space="0" w:color="auto"/>
                <w:bottom w:val="none" w:sz="0" w:space="0" w:color="auto"/>
                <w:right w:val="none" w:sz="0" w:space="0" w:color="auto"/>
              </w:divBdr>
            </w:div>
            <w:div w:id="2123526071">
              <w:marLeft w:val="0"/>
              <w:marRight w:val="0"/>
              <w:marTop w:val="0"/>
              <w:marBottom w:val="0"/>
              <w:divBdr>
                <w:top w:val="none" w:sz="0" w:space="0" w:color="auto"/>
                <w:left w:val="none" w:sz="0" w:space="0" w:color="auto"/>
                <w:bottom w:val="none" w:sz="0" w:space="0" w:color="auto"/>
                <w:right w:val="none" w:sz="0" w:space="0" w:color="auto"/>
              </w:divBdr>
            </w:div>
          </w:divsChild>
        </w:div>
        <w:div w:id="1502232718">
          <w:marLeft w:val="0"/>
          <w:marRight w:val="0"/>
          <w:marTop w:val="0"/>
          <w:marBottom w:val="0"/>
          <w:divBdr>
            <w:top w:val="none" w:sz="0" w:space="0" w:color="auto"/>
            <w:left w:val="none" w:sz="0" w:space="0" w:color="auto"/>
            <w:bottom w:val="none" w:sz="0" w:space="0" w:color="auto"/>
            <w:right w:val="none" w:sz="0" w:space="0" w:color="auto"/>
          </w:divBdr>
        </w:div>
        <w:div w:id="1507357061">
          <w:marLeft w:val="0"/>
          <w:marRight w:val="0"/>
          <w:marTop w:val="0"/>
          <w:marBottom w:val="0"/>
          <w:divBdr>
            <w:top w:val="none" w:sz="0" w:space="0" w:color="auto"/>
            <w:left w:val="none" w:sz="0" w:space="0" w:color="auto"/>
            <w:bottom w:val="none" w:sz="0" w:space="0" w:color="auto"/>
            <w:right w:val="none" w:sz="0" w:space="0" w:color="auto"/>
          </w:divBdr>
        </w:div>
        <w:div w:id="1507789041">
          <w:marLeft w:val="0"/>
          <w:marRight w:val="0"/>
          <w:marTop w:val="0"/>
          <w:marBottom w:val="0"/>
          <w:divBdr>
            <w:top w:val="none" w:sz="0" w:space="0" w:color="auto"/>
            <w:left w:val="none" w:sz="0" w:space="0" w:color="auto"/>
            <w:bottom w:val="none" w:sz="0" w:space="0" w:color="auto"/>
            <w:right w:val="none" w:sz="0" w:space="0" w:color="auto"/>
          </w:divBdr>
        </w:div>
        <w:div w:id="1508249270">
          <w:marLeft w:val="0"/>
          <w:marRight w:val="0"/>
          <w:marTop w:val="0"/>
          <w:marBottom w:val="0"/>
          <w:divBdr>
            <w:top w:val="none" w:sz="0" w:space="0" w:color="auto"/>
            <w:left w:val="none" w:sz="0" w:space="0" w:color="auto"/>
            <w:bottom w:val="none" w:sz="0" w:space="0" w:color="auto"/>
            <w:right w:val="none" w:sz="0" w:space="0" w:color="auto"/>
          </w:divBdr>
        </w:div>
        <w:div w:id="1509179643">
          <w:marLeft w:val="0"/>
          <w:marRight w:val="0"/>
          <w:marTop w:val="0"/>
          <w:marBottom w:val="0"/>
          <w:divBdr>
            <w:top w:val="none" w:sz="0" w:space="0" w:color="auto"/>
            <w:left w:val="none" w:sz="0" w:space="0" w:color="auto"/>
            <w:bottom w:val="none" w:sz="0" w:space="0" w:color="auto"/>
            <w:right w:val="none" w:sz="0" w:space="0" w:color="auto"/>
          </w:divBdr>
        </w:div>
        <w:div w:id="1511678141">
          <w:marLeft w:val="0"/>
          <w:marRight w:val="0"/>
          <w:marTop w:val="0"/>
          <w:marBottom w:val="0"/>
          <w:divBdr>
            <w:top w:val="none" w:sz="0" w:space="0" w:color="auto"/>
            <w:left w:val="none" w:sz="0" w:space="0" w:color="auto"/>
            <w:bottom w:val="none" w:sz="0" w:space="0" w:color="auto"/>
            <w:right w:val="none" w:sz="0" w:space="0" w:color="auto"/>
          </w:divBdr>
        </w:div>
        <w:div w:id="1511867899">
          <w:marLeft w:val="0"/>
          <w:marRight w:val="0"/>
          <w:marTop w:val="0"/>
          <w:marBottom w:val="0"/>
          <w:divBdr>
            <w:top w:val="none" w:sz="0" w:space="0" w:color="auto"/>
            <w:left w:val="none" w:sz="0" w:space="0" w:color="auto"/>
            <w:bottom w:val="none" w:sz="0" w:space="0" w:color="auto"/>
            <w:right w:val="none" w:sz="0" w:space="0" w:color="auto"/>
          </w:divBdr>
        </w:div>
        <w:div w:id="1514035263">
          <w:marLeft w:val="0"/>
          <w:marRight w:val="0"/>
          <w:marTop w:val="0"/>
          <w:marBottom w:val="0"/>
          <w:divBdr>
            <w:top w:val="none" w:sz="0" w:space="0" w:color="auto"/>
            <w:left w:val="none" w:sz="0" w:space="0" w:color="auto"/>
            <w:bottom w:val="none" w:sz="0" w:space="0" w:color="auto"/>
            <w:right w:val="none" w:sz="0" w:space="0" w:color="auto"/>
          </w:divBdr>
        </w:div>
        <w:div w:id="1514225160">
          <w:marLeft w:val="0"/>
          <w:marRight w:val="0"/>
          <w:marTop w:val="0"/>
          <w:marBottom w:val="0"/>
          <w:divBdr>
            <w:top w:val="none" w:sz="0" w:space="0" w:color="auto"/>
            <w:left w:val="none" w:sz="0" w:space="0" w:color="auto"/>
            <w:bottom w:val="none" w:sz="0" w:space="0" w:color="auto"/>
            <w:right w:val="none" w:sz="0" w:space="0" w:color="auto"/>
          </w:divBdr>
        </w:div>
        <w:div w:id="1514419267">
          <w:marLeft w:val="0"/>
          <w:marRight w:val="0"/>
          <w:marTop w:val="0"/>
          <w:marBottom w:val="0"/>
          <w:divBdr>
            <w:top w:val="none" w:sz="0" w:space="0" w:color="auto"/>
            <w:left w:val="none" w:sz="0" w:space="0" w:color="auto"/>
            <w:bottom w:val="none" w:sz="0" w:space="0" w:color="auto"/>
            <w:right w:val="none" w:sz="0" w:space="0" w:color="auto"/>
          </w:divBdr>
        </w:div>
        <w:div w:id="1515995654">
          <w:marLeft w:val="0"/>
          <w:marRight w:val="0"/>
          <w:marTop w:val="0"/>
          <w:marBottom w:val="0"/>
          <w:divBdr>
            <w:top w:val="none" w:sz="0" w:space="0" w:color="auto"/>
            <w:left w:val="none" w:sz="0" w:space="0" w:color="auto"/>
            <w:bottom w:val="none" w:sz="0" w:space="0" w:color="auto"/>
            <w:right w:val="none" w:sz="0" w:space="0" w:color="auto"/>
          </w:divBdr>
        </w:div>
        <w:div w:id="1517234443">
          <w:marLeft w:val="0"/>
          <w:marRight w:val="0"/>
          <w:marTop w:val="0"/>
          <w:marBottom w:val="0"/>
          <w:divBdr>
            <w:top w:val="none" w:sz="0" w:space="0" w:color="auto"/>
            <w:left w:val="none" w:sz="0" w:space="0" w:color="auto"/>
            <w:bottom w:val="none" w:sz="0" w:space="0" w:color="auto"/>
            <w:right w:val="none" w:sz="0" w:space="0" w:color="auto"/>
          </w:divBdr>
        </w:div>
        <w:div w:id="1517308870">
          <w:marLeft w:val="0"/>
          <w:marRight w:val="0"/>
          <w:marTop w:val="0"/>
          <w:marBottom w:val="0"/>
          <w:divBdr>
            <w:top w:val="none" w:sz="0" w:space="0" w:color="auto"/>
            <w:left w:val="none" w:sz="0" w:space="0" w:color="auto"/>
            <w:bottom w:val="none" w:sz="0" w:space="0" w:color="auto"/>
            <w:right w:val="none" w:sz="0" w:space="0" w:color="auto"/>
          </w:divBdr>
        </w:div>
        <w:div w:id="1518234783">
          <w:marLeft w:val="0"/>
          <w:marRight w:val="0"/>
          <w:marTop w:val="0"/>
          <w:marBottom w:val="0"/>
          <w:divBdr>
            <w:top w:val="none" w:sz="0" w:space="0" w:color="auto"/>
            <w:left w:val="none" w:sz="0" w:space="0" w:color="auto"/>
            <w:bottom w:val="none" w:sz="0" w:space="0" w:color="auto"/>
            <w:right w:val="none" w:sz="0" w:space="0" w:color="auto"/>
          </w:divBdr>
        </w:div>
        <w:div w:id="1519419289">
          <w:marLeft w:val="0"/>
          <w:marRight w:val="0"/>
          <w:marTop w:val="0"/>
          <w:marBottom w:val="0"/>
          <w:divBdr>
            <w:top w:val="none" w:sz="0" w:space="0" w:color="auto"/>
            <w:left w:val="none" w:sz="0" w:space="0" w:color="auto"/>
            <w:bottom w:val="none" w:sz="0" w:space="0" w:color="auto"/>
            <w:right w:val="none" w:sz="0" w:space="0" w:color="auto"/>
          </w:divBdr>
        </w:div>
        <w:div w:id="1521233965">
          <w:marLeft w:val="0"/>
          <w:marRight w:val="0"/>
          <w:marTop w:val="0"/>
          <w:marBottom w:val="0"/>
          <w:divBdr>
            <w:top w:val="none" w:sz="0" w:space="0" w:color="auto"/>
            <w:left w:val="none" w:sz="0" w:space="0" w:color="auto"/>
            <w:bottom w:val="none" w:sz="0" w:space="0" w:color="auto"/>
            <w:right w:val="none" w:sz="0" w:space="0" w:color="auto"/>
          </w:divBdr>
        </w:div>
        <w:div w:id="1521234396">
          <w:marLeft w:val="0"/>
          <w:marRight w:val="0"/>
          <w:marTop w:val="0"/>
          <w:marBottom w:val="0"/>
          <w:divBdr>
            <w:top w:val="none" w:sz="0" w:space="0" w:color="auto"/>
            <w:left w:val="none" w:sz="0" w:space="0" w:color="auto"/>
            <w:bottom w:val="none" w:sz="0" w:space="0" w:color="auto"/>
            <w:right w:val="none" w:sz="0" w:space="0" w:color="auto"/>
          </w:divBdr>
        </w:div>
        <w:div w:id="1521816929">
          <w:marLeft w:val="0"/>
          <w:marRight w:val="0"/>
          <w:marTop w:val="0"/>
          <w:marBottom w:val="0"/>
          <w:divBdr>
            <w:top w:val="none" w:sz="0" w:space="0" w:color="auto"/>
            <w:left w:val="none" w:sz="0" w:space="0" w:color="auto"/>
            <w:bottom w:val="none" w:sz="0" w:space="0" w:color="auto"/>
            <w:right w:val="none" w:sz="0" w:space="0" w:color="auto"/>
          </w:divBdr>
        </w:div>
        <w:div w:id="1521819562">
          <w:marLeft w:val="0"/>
          <w:marRight w:val="0"/>
          <w:marTop w:val="0"/>
          <w:marBottom w:val="0"/>
          <w:divBdr>
            <w:top w:val="none" w:sz="0" w:space="0" w:color="auto"/>
            <w:left w:val="none" w:sz="0" w:space="0" w:color="auto"/>
            <w:bottom w:val="none" w:sz="0" w:space="0" w:color="auto"/>
            <w:right w:val="none" w:sz="0" w:space="0" w:color="auto"/>
          </w:divBdr>
        </w:div>
        <w:div w:id="1523395911">
          <w:marLeft w:val="0"/>
          <w:marRight w:val="0"/>
          <w:marTop w:val="0"/>
          <w:marBottom w:val="0"/>
          <w:divBdr>
            <w:top w:val="none" w:sz="0" w:space="0" w:color="auto"/>
            <w:left w:val="none" w:sz="0" w:space="0" w:color="auto"/>
            <w:bottom w:val="none" w:sz="0" w:space="0" w:color="auto"/>
            <w:right w:val="none" w:sz="0" w:space="0" w:color="auto"/>
          </w:divBdr>
        </w:div>
        <w:div w:id="1524397567">
          <w:marLeft w:val="0"/>
          <w:marRight w:val="0"/>
          <w:marTop w:val="0"/>
          <w:marBottom w:val="0"/>
          <w:divBdr>
            <w:top w:val="none" w:sz="0" w:space="0" w:color="auto"/>
            <w:left w:val="none" w:sz="0" w:space="0" w:color="auto"/>
            <w:bottom w:val="none" w:sz="0" w:space="0" w:color="auto"/>
            <w:right w:val="none" w:sz="0" w:space="0" w:color="auto"/>
          </w:divBdr>
        </w:div>
        <w:div w:id="1524436825">
          <w:marLeft w:val="0"/>
          <w:marRight w:val="0"/>
          <w:marTop w:val="0"/>
          <w:marBottom w:val="0"/>
          <w:divBdr>
            <w:top w:val="none" w:sz="0" w:space="0" w:color="auto"/>
            <w:left w:val="none" w:sz="0" w:space="0" w:color="auto"/>
            <w:bottom w:val="none" w:sz="0" w:space="0" w:color="auto"/>
            <w:right w:val="none" w:sz="0" w:space="0" w:color="auto"/>
          </w:divBdr>
        </w:div>
        <w:div w:id="1524594278">
          <w:marLeft w:val="0"/>
          <w:marRight w:val="0"/>
          <w:marTop w:val="0"/>
          <w:marBottom w:val="0"/>
          <w:divBdr>
            <w:top w:val="none" w:sz="0" w:space="0" w:color="auto"/>
            <w:left w:val="none" w:sz="0" w:space="0" w:color="auto"/>
            <w:bottom w:val="none" w:sz="0" w:space="0" w:color="auto"/>
            <w:right w:val="none" w:sz="0" w:space="0" w:color="auto"/>
          </w:divBdr>
        </w:div>
        <w:div w:id="1525898903">
          <w:marLeft w:val="0"/>
          <w:marRight w:val="0"/>
          <w:marTop w:val="0"/>
          <w:marBottom w:val="0"/>
          <w:divBdr>
            <w:top w:val="none" w:sz="0" w:space="0" w:color="auto"/>
            <w:left w:val="none" w:sz="0" w:space="0" w:color="auto"/>
            <w:bottom w:val="none" w:sz="0" w:space="0" w:color="auto"/>
            <w:right w:val="none" w:sz="0" w:space="0" w:color="auto"/>
          </w:divBdr>
        </w:div>
        <w:div w:id="1529491664">
          <w:marLeft w:val="0"/>
          <w:marRight w:val="0"/>
          <w:marTop w:val="0"/>
          <w:marBottom w:val="0"/>
          <w:divBdr>
            <w:top w:val="none" w:sz="0" w:space="0" w:color="auto"/>
            <w:left w:val="none" w:sz="0" w:space="0" w:color="auto"/>
            <w:bottom w:val="none" w:sz="0" w:space="0" w:color="auto"/>
            <w:right w:val="none" w:sz="0" w:space="0" w:color="auto"/>
          </w:divBdr>
        </w:div>
        <w:div w:id="1533111545">
          <w:marLeft w:val="0"/>
          <w:marRight w:val="0"/>
          <w:marTop w:val="0"/>
          <w:marBottom w:val="0"/>
          <w:divBdr>
            <w:top w:val="none" w:sz="0" w:space="0" w:color="auto"/>
            <w:left w:val="none" w:sz="0" w:space="0" w:color="auto"/>
            <w:bottom w:val="none" w:sz="0" w:space="0" w:color="auto"/>
            <w:right w:val="none" w:sz="0" w:space="0" w:color="auto"/>
          </w:divBdr>
        </w:div>
        <w:div w:id="1533766363">
          <w:marLeft w:val="0"/>
          <w:marRight w:val="0"/>
          <w:marTop w:val="0"/>
          <w:marBottom w:val="0"/>
          <w:divBdr>
            <w:top w:val="none" w:sz="0" w:space="0" w:color="auto"/>
            <w:left w:val="none" w:sz="0" w:space="0" w:color="auto"/>
            <w:bottom w:val="none" w:sz="0" w:space="0" w:color="auto"/>
            <w:right w:val="none" w:sz="0" w:space="0" w:color="auto"/>
          </w:divBdr>
          <w:divsChild>
            <w:div w:id="2172744">
              <w:marLeft w:val="0"/>
              <w:marRight w:val="0"/>
              <w:marTop w:val="0"/>
              <w:marBottom w:val="0"/>
              <w:divBdr>
                <w:top w:val="none" w:sz="0" w:space="0" w:color="auto"/>
                <w:left w:val="none" w:sz="0" w:space="0" w:color="auto"/>
                <w:bottom w:val="none" w:sz="0" w:space="0" w:color="auto"/>
                <w:right w:val="none" w:sz="0" w:space="0" w:color="auto"/>
              </w:divBdr>
            </w:div>
            <w:div w:id="101608129">
              <w:marLeft w:val="0"/>
              <w:marRight w:val="0"/>
              <w:marTop w:val="0"/>
              <w:marBottom w:val="0"/>
              <w:divBdr>
                <w:top w:val="none" w:sz="0" w:space="0" w:color="auto"/>
                <w:left w:val="none" w:sz="0" w:space="0" w:color="auto"/>
                <w:bottom w:val="none" w:sz="0" w:space="0" w:color="auto"/>
                <w:right w:val="none" w:sz="0" w:space="0" w:color="auto"/>
              </w:divBdr>
            </w:div>
            <w:div w:id="114104075">
              <w:marLeft w:val="0"/>
              <w:marRight w:val="0"/>
              <w:marTop w:val="0"/>
              <w:marBottom w:val="0"/>
              <w:divBdr>
                <w:top w:val="none" w:sz="0" w:space="0" w:color="auto"/>
                <w:left w:val="none" w:sz="0" w:space="0" w:color="auto"/>
                <w:bottom w:val="none" w:sz="0" w:space="0" w:color="auto"/>
                <w:right w:val="none" w:sz="0" w:space="0" w:color="auto"/>
              </w:divBdr>
            </w:div>
            <w:div w:id="256794900">
              <w:marLeft w:val="0"/>
              <w:marRight w:val="0"/>
              <w:marTop w:val="0"/>
              <w:marBottom w:val="0"/>
              <w:divBdr>
                <w:top w:val="none" w:sz="0" w:space="0" w:color="auto"/>
                <w:left w:val="none" w:sz="0" w:space="0" w:color="auto"/>
                <w:bottom w:val="none" w:sz="0" w:space="0" w:color="auto"/>
                <w:right w:val="none" w:sz="0" w:space="0" w:color="auto"/>
              </w:divBdr>
            </w:div>
            <w:div w:id="287667177">
              <w:marLeft w:val="0"/>
              <w:marRight w:val="0"/>
              <w:marTop w:val="0"/>
              <w:marBottom w:val="0"/>
              <w:divBdr>
                <w:top w:val="none" w:sz="0" w:space="0" w:color="auto"/>
                <w:left w:val="none" w:sz="0" w:space="0" w:color="auto"/>
                <w:bottom w:val="none" w:sz="0" w:space="0" w:color="auto"/>
                <w:right w:val="none" w:sz="0" w:space="0" w:color="auto"/>
              </w:divBdr>
            </w:div>
            <w:div w:id="299386181">
              <w:marLeft w:val="0"/>
              <w:marRight w:val="0"/>
              <w:marTop w:val="0"/>
              <w:marBottom w:val="0"/>
              <w:divBdr>
                <w:top w:val="none" w:sz="0" w:space="0" w:color="auto"/>
                <w:left w:val="none" w:sz="0" w:space="0" w:color="auto"/>
                <w:bottom w:val="none" w:sz="0" w:space="0" w:color="auto"/>
                <w:right w:val="none" w:sz="0" w:space="0" w:color="auto"/>
              </w:divBdr>
            </w:div>
            <w:div w:id="310522899">
              <w:marLeft w:val="0"/>
              <w:marRight w:val="0"/>
              <w:marTop w:val="0"/>
              <w:marBottom w:val="0"/>
              <w:divBdr>
                <w:top w:val="none" w:sz="0" w:space="0" w:color="auto"/>
                <w:left w:val="none" w:sz="0" w:space="0" w:color="auto"/>
                <w:bottom w:val="none" w:sz="0" w:space="0" w:color="auto"/>
                <w:right w:val="none" w:sz="0" w:space="0" w:color="auto"/>
              </w:divBdr>
            </w:div>
            <w:div w:id="332729329">
              <w:marLeft w:val="0"/>
              <w:marRight w:val="0"/>
              <w:marTop w:val="0"/>
              <w:marBottom w:val="0"/>
              <w:divBdr>
                <w:top w:val="none" w:sz="0" w:space="0" w:color="auto"/>
                <w:left w:val="none" w:sz="0" w:space="0" w:color="auto"/>
                <w:bottom w:val="none" w:sz="0" w:space="0" w:color="auto"/>
                <w:right w:val="none" w:sz="0" w:space="0" w:color="auto"/>
              </w:divBdr>
            </w:div>
            <w:div w:id="332806332">
              <w:marLeft w:val="0"/>
              <w:marRight w:val="0"/>
              <w:marTop w:val="0"/>
              <w:marBottom w:val="0"/>
              <w:divBdr>
                <w:top w:val="none" w:sz="0" w:space="0" w:color="auto"/>
                <w:left w:val="none" w:sz="0" w:space="0" w:color="auto"/>
                <w:bottom w:val="none" w:sz="0" w:space="0" w:color="auto"/>
                <w:right w:val="none" w:sz="0" w:space="0" w:color="auto"/>
              </w:divBdr>
            </w:div>
            <w:div w:id="453060954">
              <w:marLeft w:val="0"/>
              <w:marRight w:val="0"/>
              <w:marTop w:val="0"/>
              <w:marBottom w:val="0"/>
              <w:divBdr>
                <w:top w:val="none" w:sz="0" w:space="0" w:color="auto"/>
                <w:left w:val="none" w:sz="0" w:space="0" w:color="auto"/>
                <w:bottom w:val="none" w:sz="0" w:space="0" w:color="auto"/>
                <w:right w:val="none" w:sz="0" w:space="0" w:color="auto"/>
              </w:divBdr>
            </w:div>
            <w:div w:id="482428424">
              <w:marLeft w:val="0"/>
              <w:marRight w:val="0"/>
              <w:marTop w:val="0"/>
              <w:marBottom w:val="0"/>
              <w:divBdr>
                <w:top w:val="none" w:sz="0" w:space="0" w:color="auto"/>
                <w:left w:val="none" w:sz="0" w:space="0" w:color="auto"/>
                <w:bottom w:val="none" w:sz="0" w:space="0" w:color="auto"/>
                <w:right w:val="none" w:sz="0" w:space="0" w:color="auto"/>
              </w:divBdr>
            </w:div>
            <w:div w:id="949045231">
              <w:marLeft w:val="0"/>
              <w:marRight w:val="0"/>
              <w:marTop w:val="0"/>
              <w:marBottom w:val="0"/>
              <w:divBdr>
                <w:top w:val="none" w:sz="0" w:space="0" w:color="auto"/>
                <w:left w:val="none" w:sz="0" w:space="0" w:color="auto"/>
                <w:bottom w:val="none" w:sz="0" w:space="0" w:color="auto"/>
                <w:right w:val="none" w:sz="0" w:space="0" w:color="auto"/>
              </w:divBdr>
            </w:div>
            <w:div w:id="973608283">
              <w:marLeft w:val="0"/>
              <w:marRight w:val="0"/>
              <w:marTop w:val="0"/>
              <w:marBottom w:val="0"/>
              <w:divBdr>
                <w:top w:val="none" w:sz="0" w:space="0" w:color="auto"/>
                <w:left w:val="none" w:sz="0" w:space="0" w:color="auto"/>
                <w:bottom w:val="none" w:sz="0" w:space="0" w:color="auto"/>
                <w:right w:val="none" w:sz="0" w:space="0" w:color="auto"/>
              </w:divBdr>
            </w:div>
            <w:div w:id="1163815589">
              <w:marLeft w:val="0"/>
              <w:marRight w:val="0"/>
              <w:marTop w:val="0"/>
              <w:marBottom w:val="0"/>
              <w:divBdr>
                <w:top w:val="none" w:sz="0" w:space="0" w:color="auto"/>
                <w:left w:val="none" w:sz="0" w:space="0" w:color="auto"/>
                <w:bottom w:val="none" w:sz="0" w:space="0" w:color="auto"/>
                <w:right w:val="none" w:sz="0" w:space="0" w:color="auto"/>
              </w:divBdr>
            </w:div>
            <w:div w:id="1406613656">
              <w:marLeft w:val="0"/>
              <w:marRight w:val="0"/>
              <w:marTop w:val="0"/>
              <w:marBottom w:val="0"/>
              <w:divBdr>
                <w:top w:val="none" w:sz="0" w:space="0" w:color="auto"/>
                <w:left w:val="none" w:sz="0" w:space="0" w:color="auto"/>
                <w:bottom w:val="none" w:sz="0" w:space="0" w:color="auto"/>
                <w:right w:val="none" w:sz="0" w:space="0" w:color="auto"/>
              </w:divBdr>
            </w:div>
            <w:div w:id="1430614139">
              <w:marLeft w:val="0"/>
              <w:marRight w:val="0"/>
              <w:marTop w:val="0"/>
              <w:marBottom w:val="0"/>
              <w:divBdr>
                <w:top w:val="none" w:sz="0" w:space="0" w:color="auto"/>
                <w:left w:val="none" w:sz="0" w:space="0" w:color="auto"/>
                <w:bottom w:val="none" w:sz="0" w:space="0" w:color="auto"/>
                <w:right w:val="none" w:sz="0" w:space="0" w:color="auto"/>
              </w:divBdr>
            </w:div>
            <w:div w:id="1468354101">
              <w:marLeft w:val="0"/>
              <w:marRight w:val="0"/>
              <w:marTop w:val="0"/>
              <w:marBottom w:val="0"/>
              <w:divBdr>
                <w:top w:val="none" w:sz="0" w:space="0" w:color="auto"/>
                <w:left w:val="none" w:sz="0" w:space="0" w:color="auto"/>
                <w:bottom w:val="none" w:sz="0" w:space="0" w:color="auto"/>
                <w:right w:val="none" w:sz="0" w:space="0" w:color="auto"/>
              </w:divBdr>
            </w:div>
            <w:div w:id="1596358655">
              <w:marLeft w:val="0"/>
              <w:marRight w:val="0"/>
              <w:marTop w:val="0"/>
              <w:marBottom w:val="0"/>
              <w:divBdr>
                <w:top w:val="none" w:sz="0" w:space="0" w:color="auto"/>
                <w:left w:val="none" w:sz="0" w:space="0" w:color="auto"/>
                <w:bottom w:val="none" w:sz="0" w:space="0" w:color="auto"/>
                <w:right w:val="none" w:sz="0" w:space="0" w:color="auto"/>
              </w:divBdr>
            </w:div>
            <w:div w:id="1853185214">
              <w:marLeft w:val="0"/>
              <w:marRight w:val="0"/>
              <w:marTop w:val="0"/>
              <w:marBottom w:val="0"/>
              <w:divBdr>
                <w:top w:val="none" w:sz="0" w:space="0" w:color="auto"/>
                <w:left w:val="none" w:sz="0" w:space="0" w:color="auto"/>
                <w:bottom w:val="none" w:sz="0" w:space="0" w:color="auto"/>
                <w:right w:val="none" w:sz="0" w:space="0" w:color="auto"/>
              </w:divBdr>
            </w:div>
          </w:divsChild>
        </w:div>
        <w:div w:id="1536581445">
          <w:marLeft w:val="0"/>
          <w:marRight w:val="0"/>
          <w:marTop w:val="0"/>
          <w:marBottom w:val="0"/>
          <w:divBdr>
            <w:top w:val="none" w:sz="0" w:space="0" w:color="auto"/>
            <w:left w:val="none" w:sz="0" w:space="0" w:color="auto"/>
            <w:bottom w:val="none" w:sz="0" w:space="0" w:color="auto"/>
            <w:right w:val="none" w:sz="0" w:space="0" w:color="auto"/>
          </w:divBdr>
          <w:divsChild>
            <w:div w:id="86388129">
              <w:marLeft w:val="0"/>
              <w:marRight w:val="0"/>
              <w:marTop w:val="0"/>
              <w:marBottom w:val="0"/>
              <w:divBdr>
                <w:top w:val="none" w:sz="0" w:space="0" w:color="auto"/>
                <w:left w:val="none" w:sz="0" w:space="0" w:color="auto"/>
                <w:bottom w:val="none" w:sz="0" w:space="0" w:color="auto"/>
                <w:right w:val="none" w:sz="0" w:space="0" w:color="auto"/>
              </w:divBdr>
            </w:div>
            <w:div w:id="123886035">
              <w:marLeft w:val="0"/>
              <w:marRight w:val="0"/>
              <w:marTop w:val="0"/>
              <w:marBottom w:val="0"/>
              <w:divBdr>
                <w:top w:val="none" w:sz="0" w:space="0" w:color="auto"/>
                <w:left w:val="none" w:sz="0" w:space="0" w:color="auto"/>
                <w:bottom w:val="none" w:sz="0" w:space="0" w:color="auto"/>
                <w:right w:val="none" w:sz="0" w:space="0" w:color="auto"/>
              </w:divBdr>
            </w:div>
            <w:div w:id="149518810">
              <w:marLeft w:val="0"/>
              <w:marRight w:val="0"/>
              <w:marTop w:val="0"/>
              <w:marBottom w:val="0"/>
              <w:divBdr>
                <w:top w:val="none" w:sz="0" w:space="0" w:color="auto"/>
                <w:left w:val="none" w:sz="0" w:space="0" w:color="auto"/>
                <w:bottom w:val="none" w:sz="0" w:space="0" w:color="auto"/>
                <w:right w:val="none" w:sz="0" w:space="0" w:color="auto"/>
              </w:divBdr>
            </w:div>
            <w:div w:id="193426641">
              <w:marLeft w:val="0"/>
              <w:marRight w:val="0"/>
              <w:marTop w:val="0"/>
              <w:marBottom w:val="0"/>
              <w:divBdr>
                <w:top w:val="none" w:sz="0" w:space="0" w:color="auto"/>
                <w:left w:val="none" w:sz="0" w:space="0" w:color="auto"/>
                <w:bottom w:val="none" w:sz="0" w:space="0" w:color="auto"/>
                <w:right w:val="none" w:sz="0" w:space="0" w:color="auto"/>
              </w:divBdr>
            </w:div>
            <w:div w:id="214969906">
              <w:marLeft w:val="0"/>
              <w:marRight w:val="0"/>
              <w:marTop w:val="0"/>
              <w:marBottom w:val="0"/>
              <w:divBdr>
                <w:top w:val="none" w:sz="0" w:space="0" w:color="auto"/>
                <w:left w:val="none" w:sz="0" w:space="0" w:color="auto"/>
                <w:bottom w:val="none" w:sz="0" w:space="0" w:color="auto"/>
                <w:right w:val="none" w:sz="0" w:space="0" w:color="auto"/>
              </w:divBdr>
            </w:div>
            <w:div w:id="317225484">
              <w:marLeft w:val="0"/>
              <w:marRight w:val="0"/>
              <w:marTop w:val="0"/>
              <w:marBottom w:val="0"/>
              <w:divBdr>
                <w:top w:val="none" w:sz="0" w:space="0" w:color="auto"/>
                <w:left w:val="none" w:sz="0" w:space="0" w:color="auto"/>
                <w:bottom w:val="none" w:sz="0" w:space="0" w:color="auto"/>
                <w:right w:val="none" w:sz="0" w:space="0" w:color="auto"/>
              </w:divBdr>
            </w:div>
            <w:div w:id="340619107">
              <w:marLeft w:val="0"/>
              <w:marRight w:val="0"/>
              <w:marTop w:val="0"/>
              <w:marBottom w:val="0"/>
              <w:divBdr>
                <w:top w:val="none" w:sz="0" w:space="0" w:color="auto"/>
                <w:left w:val="none" w:sz="0" w:space="0" w:color="auto"/>
                <w:bottom w:val="none" w:sz="0" w:space="0" w:color="auto"/>
                <w:right w:val="none" w:sz="0" w:space="0" w:color="auto"/>
              </w:divBdr>
            </w:div>
            <w:div w:id="483206584">
              <w:marLeft w:val="0"/>
              <w:marRight w:val="0"/>
              <w:marTop w:val="0"/>
              <w:marBottom w:val="0"/>
              <w:divBdr>
                <w:top w:val="none" w:sz="0" w:space="0" w:color="auto"/>
                <w:left w:val="none" w:sz="0" w:space="0" w:color="auto"/>
                <w:bottom w:val="none" w:sz="0" w:space="0" w:color="auto"/>
                <w:right w:val="none" w:sz="0" w:space="0" w:color="auto"/>
              </w:divBdr>
            </w:div>
            <w:div w:id="501093975">
              <w:marLeft w:val="0"/>
              <w:marRight w:val="0"/>
              <w:marTop w:val="0"/>
              <w:marBottom w:val="0"/>
              <w:divBdr>
                <w:top w:val="none" w:sz="0" w:space="0" w:color="auto"/>
                <w:left w:val="none" w:sz="0" w:space="0" w:color="auto"/>
                <w:bottom w:val="none" w:sz="0" w:space="0" w:color="auto"/>
                <w:right w:val="none" w:sz="0" w:space="0" w:color="auto"/>
              </w:divBdr>
            </w:div>
            <w:div w:id="540169804">
              <w:marLeft w:val="0"/>
              <w:marRight w:val="0"/>
              <w:marTop w:val="0"/>
              <w:marBottom w:val="0"/>
              <w:divBdr>
                <w:top w:val="none" w:sz="0" w:space="0" w:color="auto"/>
                <w:left w:val="none" w:sz="0" w:space="0" w:color="auto"/>
                <w:bottom w:val="none" w:sz="0" w:space="0" w:color="auto"/>
                <w:right w:val="none" w:sz="0" w:space="0" w:color="auto"/>
              </w:divBdr>
            </w:div>
            <w:div w:id="1018236603">
              <w:marLeft w:val="0"/>
              <w:marRight w:val="0"/>
              <w:marTop w:val="0"/>
              <w:marBottom w:val="0"/>
              <w:divBdr>
                <w:top w:val="none" w:sz="0" w:space="0" w:color="auto"/>
                <w:left w:val="none" w:sz="0" w:space="0" w:color="auto"/>
                <w:bottom w:val="none" w:sz="0" w:space="0" w:color="auto"/>
                <w:right w:val="none" w:sz="0" w:space="0" w:color="auto"/>
              </w:divBdr>
            </w:div>
            <w:div w:id="1085342456">
              <w:marLeft w:val="0"/>
              <w:marRight w:val="0"/>
              <w:marTop w:val="0"/>
              <w:marBottom w:val="0"/>
              <w:divBdr>
                <w:top w:val="none" w:sz="0" w:space="0" w:color="auto"/>
                <w:left w:val="none" w:sz="0" w:space="0" w:color="auto"/>
                <w:bottom w:val="none" w:sz="0" w:space="0" w:color="auto"/>
                <w:right w:val="none" w:sz="0" w:space="0" w:color="auto"/>
              </w:divBdr>
            </w:div>
            <w:div w:id="1105268768">
              <w:marLeft w:val="0"/>
              <w:marRight w:val="0"/>
              <w:marTop w:val="0"/>
              <w:marBottom w:val="0"/>
              <w:divBdr>
                <w:top w:val="none" w:sz="0" w:space="0" w:color="auto"/>
                <w:left w:val="none" w:sz="0" w:space="0" w:color="auto"/>
                <w:bottom w:val="none" w:sz="0" w:space="0" w:color="auto"/>
                <w:right w:val="none" w:sz="0" w:space="0" w:color="auto"/>
              </w:divBdr>
            </w:div>
            <w:div w:id="1463041200">
              <w:marLeft w:val="0"/>
              <w:marRight w:val="0"/>
              <w:marTop w:val="0"/>
              <w:marBottom w:val="0"/>
              <w:divBdr>
                <w:top w:val="none" w:sz="0" w:space="0" w:color="auto"/>
                <w:left w:val="none" w:sz="0" w:space="0" w:color="auto"/>
                <w:bottom w:val="none" w:sz="0" w:space="0" w:color="auto"/>
                <w:right w:val="none" w:sz="0" w:space="0" w:color="auto"/>
              </w:divBdr>
            </w:div>
            <w:div w:id="1550992164">
              <w:marLeft w:val="0"/>
              <w:marRight w:val="0"/>
              <w:marTop w:val="0"/>
              <w:marBottom w:val="0"/>
              <w:divBdr>
                <w:top w:val="none" w:sz="0" w:space="0" w:color="auto"/>
                <w:left w:val="none" w:sz="0" w:space="0" w:color="auto"/>
                <w:bottom w:val="none" w:sz="0" w:space="0" w:color="auto"/>
                <w:right w:val="none" w:sz="0" w:space="0" w:color="auto"/>
              </w:divBdr>
            </w:div>
            <w:div w:id="1625498290">
              <w:marLeft w:val="0"/>
              <w:marRight w:val="0"/>
              <w:marTop w:val="0"/>
              <w:marBottom w:val="0"/>
              <w:divBdr>
                <w:top w:val="none" w:sz="0" w:space="0" w:color="auto"/>
                <w:left w:val="none" w:sz="0" w:space="0" w:color="auto"/>
                <w:bottom w:val="none" w:sz="0" w:space="0" w:color="auto"/>
                <w:right w:val="none" w:sz="0" w:space="0" w:color="auto"/>
              </w:divBdr>
            </w:div>
            <w:div w:id="1631747068">
              <w:marLeft w:val="0"/>
              <w:marRight w:val="0"/>
              <w:marTop w:val="0"/>
              <w:marBottom w:val="0"/>
              <w:divBdr>
                <w:top w:val="none" w:sz="0" w:space="0" w:color="auto"/>
                <w:left w:val="none" w:sz="0" w:space="0" w:color="auto"/>
                <w:bottom w:val="none" w:sz="0" w:space="0" w:color="auto"/>
                <w:right w:val="none" w:sz="0" w:space="0" w:color="auto"/>
              </w:divBdr>
            </w:div>
            <w:div w:id="1693192010">
              <w:marLeft w:val="0"/>
              <w:marRight w:val="0"/>
              <w:marTop w:val="0"/>
              <w:marBottom w:val="0"/>
              <w:divBdr>
                <w:top w:val="none" w:sz="0" w:space="0" w:color="auto"/>
                <w:left w:val="none" w:sz="0" w:space="0" w:color="auto"/>
                <w:bottom w:val="none" w:sz="0" w:space="0" w:color="auto"/>
                <w:right w:val="none" w:sz="0" w:space="0" w:color="auto"/>
              </w:divBdr>
            </w:div>
            <w:div w:id="1932929266">
              <w:marLeft w:val="0"/>
              <w:marRight w:val="0"/>
              <w:marTop w:val="0"/>
              <w:marBottom w:val="0"/>
              <w:divBdr>
                <w:top w:val="none" w:sz="0" w:space="0" w:color="auto"/>
                <w:left w:val="none" w:sz="0" w:space="0" w:color="auto"/>
                <w:bottom w:val="none" w:sz="0" w:space="0" w:color="auto"/>
                <w:right w:val="none" w:sz="0" w:space="0" w:color="auto"/>
              </w:divBdr>
            </w:div>
          </w:divsChild>
        </w:div>
        <w:div w:id="1537084254">
          <w:marLeft w:val="0"/>
          <w:marRight w:val="0"/>
          <w:marTop w:val="0"/>
          <w:marBottom w:val="0"/>
          <w:divBdr>
            <w:top w:val="none" w:sz="0" w:space="0" w:color="auto"/>
            <w:left w:val="none" w:sz="0" w:space="0" w:color="auto"/>
            <w:bottom w:val="none" w:sz="0" w:space="0" w:color="auto"/>
            <w:right w:val="none" w:sz="0" w:space="0" w:color="auto"/>
          </w:divBdr>
        </w:div>
        <w:div w:id="1537228724">
          <w:marLeft w:val="0"/>
          <w:marRight w:val="0"/>
          <w:marTop w:val="0"/>
          <w:marBottom w:val="0"/>
          <w:divBdr>
            <w:top w:val="none" w:sz="0" w:space="0" w:color="auto"/>
            <w:left w:val="none" w:sz="0" w:space="0" w:color="auto"/>
            <w:bottom w:val="none" w:sz="0" w:space="0" w:color="auto"/>
            <w:right w:val="none" w:sz="0" w:space="0" w:color="auto"/>
          </w:divBdr>
        </w:div>
        <w:div w:id="1539775779">
          <w:marLeft w:val="0"/>
          <w:marRight w:val="0"/>
          <w:marTop w:val="0"/>
          <w:marBottom w:val="0"/>
          <w:divBdr>
            <w:top w:val="none" w:sz="0" w:space="0" w:color="auto"/>
            <w:left w:val="none" w:sz="0" w:space="0" w:color="auto"/>
            <w:bottom w:val="none" w:sz="0" w:space="0" w:color="auto"/>
            <w:right w:val="none" w:sz="0" w:space="0" w:color="auto"/>
          </w:divBdr>
        </w:div>
        <w:div w:id="1541430034">
          <w:marLeft w:val="0"/>
          <w:marRight w:val="0"/>
          <w:marTop w:val="0"/>
          <w:marBottom w:val="0"/>
          <w:divBdr>
            <w:top w:val="none" w:sz="0" w:space="0" w:color="auto"/>
            <w:left w:val="none" w:sz="0" w:space="0" w:color="auto"/>
            <w:bottom w:val="none" w:sz="0" w:space="0" w:color="auto"/>
            <w:right w:val="none" w:sz="0" w:space="0" w:color="auto"/>
          </w:divBdr>
        </w:div>
        <w:div w:id="1543787328">
          <w:marLeft w:val="0"/>
          <w:marRight w:val="0"/>
          <w:marTop w:val="0"/>
          <w:marBottom w:val="0"/>
          <w:divBdr>
            <w:top w:val="none" w:sz="0" w:space="0" w:color="auto"/>
            <w:left w:val="none" w:sz="0" w:space="0" w:color="auto"/>
            <w:bottom w:val="none" w:sz="0" w:space="0" w:color="auto"/>
            <w:right w:val="none" w:sz="0" w:space="0" w:color="auto"/>
          </w:divBdr>
        </w:div>
        <w:div w:id="1543902234">
          <w:marLeft w:val="0"/>
          <w:marRight w:val="0"/>
          <w:marTop w:val="0"/>
          <w:marBottom w:val="0"/>
          <w:divBdr>
            <w:top w:val="none" w:sz="0" w:space="0" w:color="auto"/>
            <w:left w:val="none" w:sz="0" w:space="0" w:color="auto"/>
            <w:bottom w:val="none" w:sz="0" w:space="0" w:color="auto"/>
            <w:right w:val="none" w:sz="0" w:space="0" w:color="auto"/>
          </w:divBdr>
        </w:div>
        <w:div w:id="1545404938">
          <w:marLeft w:val="0"/>
          <w:marRight w:val="0"/>
          <w:marTop w:val="0"/>
          <w:marBottom w:val="0"/>
          <w:divBdr>
            <w:top w:val="none" w:sz="0" w:space="0" w:color="auto"/>
            <w:left w:val="none" w:sz="0" w:space="0" w:color="auto"/>
            <w:bottom w:val="none" w:sz="0" w:space="0" w:color="auto"/>
            <w:right w:val="none" w:sz="0" w:space="0" w:color="auto"/>
          </w:divBdr>
          <w:divsChild>
            <w:div w:id="162820726">
              <w:marLeft w:val="0"/>
              <w:marRight w:val="0"/>
              <w:marTop w:val="0"/>
              <w:marBottom w:val="0"/>
              <w:divBdr>
                <w:top w:val="none" w:sz="0" w:space="0" w:color="auto"/>
                <w:left w:val="none" w:sz="0" w:space="0" w:color="auto"/>
                <w:bottom w:val="none" w:sz="0" w:space="0" w:color="auto"/>
                <w:right w:val="none" w:sz="0" w:space="0" w:color="auto"/>
              </w:divBdr>
            </w:div>
            <w:div w:id="268704713">
              <w:marLeft w:val="0"/>
              <w:marRight w:val="0"/>
              <w:marTop w:val="0"/>
              <w:marBottom w:val="0"/>
              <w:divBdr>
                <w:top w:val="none" w:sz="0" w:space="0" w:color="auto"/>
                <w:left w:val="none" w:sz="0" w:space="0" w:color="auto"/>
                <w:bottom w:val="none" w:sz="0" w:space="0" w:color="auto"/>
                <w:right w:val="none" w:sz="0" w:space="0" w:color="auto"/>
              </w:divBdr>
            </w:div>
            <w:div w:id="313147342">
              <w:marLeft w:val="0"/>
              <w:marRight w:val="0"/>
              <w:marTop w:val="0"/>
              <w:marBottom w:val="0"/>
              <w:divBdr>
                <w:top w:val="none" w:sz="0" w:space="0" w:color="auto"/>
                <w:left w:val="none" w:sz="0" w:space="0" w:color="auto"/>
                <w:bottom w:val="none" w:sz="0" w:space="0" w:color="auto"/>
                <w:right w:val="none" w:sz="0" w:space="0" w:color="auto"/>
              </w:divBdr>
            </w:div>
            <w:div w:id="385220659">
              <w:marLeft w:val="0"/>
              <w:marRight w:val="0"/>
              <w:marTop w:val="0"/>
              <w:marBottom w:val="0"/>
              <w:divBdr>
                <w:top w:val="none" w:sz="0" w:space="0" w:color="auto"/>
                <w:left w:val="none" w:sz="0" w:space="0" w:color="auto"/>
                <w:bottom w:val="none" w:sz="0" w:space="0" w:color="auto"/>
                <w:right w:val="none" w:sz="0" w:space="0" w:color="auto"/>
              </w:divBdr>
            </w:div>
            <w:div w:id="405954052">
              <w:marLeft w:val="0"/>
              <w:marRight w:val="0"/>
              <w:marTop w:val="0"/>
              <w:marBottom w:val="0"/>
              <w:divBdr>
                <w:top w:val="none" w:sz="0" w:space="0" w:color="auto"/>
                <w:left w:val="none" w:sz="0" w:space="0" w:color="auto"/>
                <w:bottom w:val="none" w:sz="0" w:space="0" w:color="auto"/>
                <w:right w:val="none" w:sz="0" w:space="0" w:color="auto"/>
              </w:divBdr>
            </w:div>
            <w:div w:id="411391592">
              <w:marLeft w:val="0"/>
              <w:marRight w:val="0"/>
              <w:marTop w:val="0"/>
              <w:marBottom w:val="0"/>
              <w:divBdr>
                <w:top w:val="none" w:sz="0" w:space="0" w:color="auto"/>
                <w:left w:val="none" w:sz="0" w:space="0" w:color="auto"/>
                <w:bottom w:val="none" w:sz="0" w:space="0" w:color="auto"/>
                <w:right w:val="none" w:sz="0" w:space="0" w:color="auto"/>
              </w:divBdr>
            </w:div>
            <w:div w:id="440611167">
              <w:marLeft w:val="0"/>
              <w:marRight w:val="0"/>
              <w:marTop w:val="0"/>
              <w:marBottom w:val="0"/>
              <w:divBdr>
                <w:top w:val="none" w:sz="0" w:space="0" w:color="auto"/>
                <w:left w:val="none" w:sz="0" w:space="0" w:color="auto"/>
                <w:bottom w:val="none" w:sz="0" w:space="0" w:color="auto"/>
                <w:right w:val="none" w:sz="0" w:space="0" w:color="auto"/>
              </w:divBdr>
            </w:div>
            <w:div w:id="538981713">
              <w:marLeft w:val="0"/>
              <w:marRight w:val="0"/>
              <w:marTop w:val="0"/>
              <w:marBottom w:val="0"/>
              <w:divBdr>
                <w:top w:val="none" w:sz="0" w:space="0" w:color="auto"/>
                <w:left w:val="none" w:sz="0" w:space="0" w:color="auto"/>
                <w:bottom w:val="none" w:sz="0" w:space="0" w:color="auto"/>
                <w:right w:val="none" w:sz="0" w:space="0" w:color="auto"/>
              </w:divBdr>
            </w:div>
            <w:div w:id="860126447">
              <w:marLeft w:val="0"/>
              <w:marRight w:val="0"/>
              <w:marTop w:val="0"/>
              <w:marBottom w:val="0"/>
              <w:divBdr>
                <w:top w:val="none" w:sz="0" w:space="0" w:color="auto"/>
                <w:left w:val="none" w:sz="0" w:space="0" w:color="auto"/>
                <w:bottom w:val="none" w:sz="0" w:space="0" w:color="auto"/>
                <w:right w:val="none" w:sz="0" w:space="0" w:color="auto"/>
              </w:divBdr>
            </w:div>
            <w:div w:id="866604123">
              <w:marLeft w:val="0"/>
              <w:marRight w:val="0"/>
              <w:marTop w:val="0"/>
              <w:marBottom w:val="0"/>
              <w:divBdr>
                <w:top w:val="none" w:sz="0" w:space="0" w:color="auto"/>
                <w:left w:val="none" w:sz="0" w:space="0" w:color="auto"/>
                <w:bottom w:val="none" w:sz="0" w:space="0" w:color="auto"/>
                <w:right w:val="none" w:sz="0" w:space="0" w:color="auto"/>
              </w:divBdr>
            </w:div>
            <w:div w:id="884296588">
              <w:marLeft w:val="0"/>
              <w:marRight w:val="0"/>
              <w:marTop w:val="0"/>
              <w:marBottom w:val="0"/>
              <w:divBdr>
                <w:top w:val="none" w:sz="0" w:space="0" w:color="auto"/>
                <w:left w:val="none" w:sz="0" w:space="0" w:color="auto"/>
                <w:bottom w:val="none" w:sz="0" w:space="0" w:color="auto"/>
                <w:right w:val="none" w:sz="0" w:space="0" w:color="auto"/>
              </w:divBdr>
            </w:div>
            <w:div w:id="962661891">
              <w:marLeft w:val="0"/>
              <w:marRight w:val="0"/>
              <w:marTop w:val="0"/>
              <w:marBottom w:val="0"/>
              <w:divBdr>
                <w:top w:val="none" w:sz="0" w:space="0" w:color="auto"/>
                <w:left w:val="none" w:sz="0" w:space="0" w:color="auto"/>
                <w:bottom w:val="none" w:sz="0" w:space="0" w:color="auto"/>
                <w:right w:val="none" w:sz="0" w:space="0" w:color="auto"/>
              </w:divBdr>
            </w:div>
            <w:div w:id="1028414476">
              <w:marLeft w:val="0"/>
              <w:marRight w:val="0"/>
              <w:marTop w:val="0"/>
              <w:marBottom w:val="0"/>
              <w:divBdr>
                <w:top w:val="none" w:sz="0" w:space="0" w:color="auto"/>
                <w:left w:val="none" w:sz="0" w:space="0" w:color="auto"/>
                <w:bottom w:val="none" w:sz="0" w:space="0" w:color="auto"/>
                <w:right w:val="none" w:sz="0" w:space="0" w:color="auto"/>
              </w:divBdr>
            </w:div>
            <w:div w:id="1072628024">
              <w:marLeft w:val="0"/>
              <w:marRight w:val="0"/>
              <w:marTop w:val="0"/>
              <w:marBottom w:val="0"/>
              <w:divBdr>
                <w:top w:val="none" w:sz="0" w:space="0" w:color="auto"/>
                <w:left w:val="none" w:sz="0" w:space="0" w:color="auto"/>
                <w:bottom w:val="none" w:sz="0" w:space="0" w:color="auto"/>
                <w:right w:val="none" w:sz="0" w:space="0" w:color="auto"/>
              </w:divBdr>
            </w:div>
            <w:div w:id="1193349509">
              <w:marLeft w:val="0"/>
              <w:marRight w:val="0"/>
              <w:marTop w:val="0"/>
              <w:marBottom w:val="0"/>
              <w:divBdr>
                <w:top w:val="none" w:sz="0" w:space="0" w:color="auto"/>
                <w:left w:val="none" w:sz="0" w:space="0" w:color="auto"/>
                <w:bottom w:val="none" w:sz="0" w:space="0" w:color="auto"/>
                <w:right w:val="none" w:sz="0" w:space="0" w:color="auto"/>
              </w:divBdr>
            </w:div>
            <w:div w:id="1279490110">
              <w:marLeft w:val="0"/>
              <w:marRight w:val="0"/>
              <w:marTop w:val="0"/>
              <w:marBottom w:val="0"/>
              <w:divBdr>
                <w:top w:val="none" w:sz="0" w:space="0" w:color="auto"/>
                <w:left w:val="none" w:sz="0" w:space="0" w:color="auto"/>
                <w:bottom w:val="none" w:sz="0" w:space="0" w:color="auto"/>
                <w:right w:val="none" w:sz="0" w:space="0" w:color="auto"/>
              </w:divBdr>
            </w:div>
            <w:div w:id="1318611230">
              <w:marLeft w:val="0"/>
              <w:marRight w:val="0"/>
              <w:marTop w:val="0"/>
              <w:marBottom w:val="0"/>
              <w:divBdr>
                <w:top w:val="none" w:sz="0" w:space="0" w:color="auto"/>
                <w:left w:val="none" w:sz="0" w:space="0" w:color="auto"/>
                <w:bottom w:val="none" w:sz="0" w:space="0" w:color="auto"/>
                <w:right w:val="none" w:sz="0" w:space="0" w:color="auto"/>
              </w:divBdr>
            </w:div>
            <w:div w:id="1323119513">
              <w:marLeft w:val="0"/>
              <w:marRight w:val="0"/>
              <w:marTop w:val="0"/>
              <w:marBottom w:val="0"/>
              <w:divBdr>
                <w:top w:val="none" w:sz="0" w:space="0" w:color="auto"/>
                <w:left w:val="none" w:sz="0" w:space="0" w:color="auto"/>
                <w:bottom w:val="none" w:sz="0" w:space="0" w:color="auto"/>
                <w:right w:val="none" w:sz="0" w:space="0" w:color="auto"/>
              </w:divBdr>
            </w:div>
            <w:div w:id="1518494666">
              <w:marLeft w:val="0"/>
              <w:marRight w:val="0"/>
              <w:marTop w:val="0"/>
              <w:marBottom w:val="0"/>
              <w:divBdr>
                <w:top w:val="none" w:sz="0" w:space="0" w:color="auto"/>
                <w:left w:val="none" w:sz="0" w:space="0" w:color="auto"/>
                <w:bottom w:val="none" w:sz="0" w:space="0" w:color="auto"/>
                <w:right w:val="none" w:sz="0" w:space="0" w:color="auto"/>
              </w:divBdr>
            </w:div>
            <w:div w:id="1544369777">
              <w:marLeft w:val="0"/>
              <w:marRight w:val="0"/>
              <w:marTop w:val="0"/>
              <w:marBottom w:val="0"/>
              <w:divBdr>
                <w:top w:val="none" w:sz="0" w:space="0" w:color="auto"/>
                <w:left w:val="none" w:sz="0" w:space="0" w:color="auto"/>
                <w:bottom w:val="none" w:sz="0" w:space="0" w:color="auto"/>
                <w:right w:val="none" w:sz="0" w:space="0" w:color="auto"/>
              </w:divBdr>
            </w:div>
            <w:div w:id="1546212141">
              <w:marLeft w:val="0"/>
              <w:marRight w:val="0"/>
              <w:marTop w:val="0"/>
              <w:marBottom w:val="0"/>
              <w:divBdr>
                <w:top w:val="none" w:sz="0" w:space="0" w:color="auto"/>
                <w:left w:val="none" w:sz="0" w:space="0" w:color="auto"/>
                <w:bottom w:val="none" w:sz="0" w:space="0" w:color="auto"/>
                <w:right w:val="none" w:sz="0" w:space="0" w:color="auto"/>
              </w:divBdr>
            </w:div>
            <w:div w:id="1600135478">
              <w:marLeft w:val="0"/>
              <w:marRight w:val="0"/>
              <w:marTop w:val="0"/>
              <w:marBottom w:val="0"/>
              <w:divBdr>
                <w:top w:val="none" w:sz="0" w:space="0" w:color="auto"/>
                <w:left w:val="none" w:sz="0" w:space="0" w:color="auto"/>
                <w:bottom w:val="none" w:sz="0" w:space="0" w:color="auto"/>
                <w:right w:val="none" w:sz="0" w:space="0" w:color="auto"/>
              </w:divBdr>
            </w:div>
            <w:div w:id="2044279292">
              <w:marLeft w:val="0"/>
              <w:marRight w:val="0"/>
              <w:marTop w:val="0"/>
              <w:marBottom w:val="0"/>
              <w:divBdr>
                <w:top w:val="none" w:sz="0" w:space="0" w:color="auto"/>
                <w:left w:val="none" w:sz="0" w:space="0" w:color="auto"/>
                <w:bottom w:val="none" w:sz="0" w:space="0" w:color="auto"/>
                <w:right w:val="none" w:sz="0" w:space="0" w:color="auto"/>
              </w:divBdr>
            </w:div>
            <w:div w:id="2118058060">
              <w:marLeft w:val="0"/>
              <w:marRight w:val="0"/>
              <w:marTop w:val="0"/>
              <w:marBottom w:val="0"/>
              <w:divBdr>
                <w:top w:val="none" w:sz="0" w:space="0" w:color="auto"/>
                <w:left w:val="none" w:sz="0" w:space="0" w:color="auto"/>
                <w:bottom w:val="none" w:sz="0" w:space="0" w:color="auto"/>
                <w:right w:val="none" w:sz="0" w:space="0" w:color="auto"/>
              </w:divBdr>
            </w:div>
          </w:divsChild>
        </w:div>
        <w:div w:id="1545947018">
          <w:marLeft w:val="0"/>
          <w:marRight w:val="0"/>
          <w:marTop w:val="0"/>
          <w:marBottom w:val="0"/>
          <w:divBdr>
            <w:top w:val="none" w:sz="0" w:space="0" w:color="auto"/>
            <w:left w:val="none" w:sz="0" w:space="0" w:color="auto"/>
            <w:bottom w:val="none" w:sz="0" w:space="0" w:color="auto"/>
            <w:right w:val="none" w:sz="0" w:space="0" w:color="auto"/>
          </w:divBdr>
          <w:divsChild>
            <w:div w:id="159007397">
              <w:marLeft w:val="0"/>
              <w:marRight w:val="0"/>
              <w:marTop w:val="0"/>
              <w:marBottom w:val="0"/>
              <w:divBdr>
                <w:top w:val="none" w:sz="0" w:space="0" w:color="auto"/>
                <w:left w:val="none" w:sz="0" w:space="0" w:color="auto"/>
                <w:bottom w:val="none" w:sz="0" w:space="0" w:color="auto"/>
                <w:right w:val="none" w:sz="0" w:space="0" w:color="auto"/>
              </w:divBdr>
            </w:div>
            <w:div w:id="184295630">
              <w:marLeft w:val="0"/>
              <w:marRight w:val="0"/>
              <w:marTop w:val="0"/>
              <w:marBottom w:val="0"/>
              <w:divBdr>
                <w:top w:val="none" w:sz="0" w:space="0" w:color="auto"/>
                <w:left w:val="none" w:sz="0" w:space="0" w:color="auto"/>
                <w:bottom w:val="none" w:sz="0" w:space="0" w:color="auto"/>
                <w:right w:val="none" w:sz="0" w:space="0" w:color="auto"/>
              </w:divBdr>
            </w:div>
            <w:div w:id="499586866">
              <w:marLeft w:val="0"/>
              <w:marRight w:val="0"/>
              <w:marTop w:val="0"/>
              <w:marBottom w:val="0"/>
              <w:divBdr>
                <w:top w:val="none" w:sz="0" w:space="0" w:color="auto"/>
                <w:left w:val="none" w:sz="0" w:space="0" w:color="auto"/>
                <w:bottom w:val="none" w:sz="0" w:space="0" w:color="auto"/>
                <w:right w:val="none" w:sz="0" w:space="0" w:color="auto"/>
              </w:divBdr>
            </w:div>
            <w:div w:id="694623967">
              <w:marLeft w:val="0"/>
              <w:marRight w:val="0"/>
              <w:marTop w:val="0"/>
              <w:marBottom w:val="0"/>
              <w:divBdr>
                <w:top w:val="none" w:sz="0" w:space="0" w:color="auto"/>
                <w:left w:val="none" w:sz="0" w:space="0" w:color="auto"/>
                <w:bottom w:val="none" w:sz="0" w:space="0" w:color="auto"/>
                <w:right w:val="none" w:sz="0" w:space="0" w:color="auto"/>
              </w:divBdr>
            </w:div>
            <w:div w:id="728504894">
              <w:marLeft w:val="0"/>
              <w:marRight w:val="0"/>
              <w:marTop w:val="0"/>
              <w:marBottom w:val="0"/>
              <w:divBdr>
                <w:top w:val="none" w:sz="0" w:space="0" w:color="auto"/>
                <w:left w:val="none" w:sz="0" w:space="0" w:color="auto"/>
                <w:bottom w:val="none" w:sz="0" w:space="0" w:color="auto"/>
                <w:right w:val="none" w:sz="0" w:space="0" w:color="auto"/>
              </w:divBdr>
            </w:div>
            <w:div w:id="785008408">
              <w:marLeft w:val="0"/>
              <w:marRight w:val="0"/>
              <w:marTop w:val="0"/>
              <w:marBottom w:val="0"/>
              <w:divBdr>
                <w:top w:val="none" w:sz="0" w:space="0" w:color="auto"/>
                <w:left w:val="none" w:sz="0" w:space="0" w:color="auto"/>
                <w:bottom w:val="none" w:sz="0" w:space="0" w:color="auto"/>
                <w:right w:val="none" w:sz="0" w:space="0" w:color="auto"/>
              </w:divBdr>
            </w:div>
            <w:div w:id="858355825">
              <w:marLeft w:val="0"/>
              <w:marRight w:val="0"/>
              <w:marTop w:val="0"/>
              <w:marBottom w:val="0"/>
              <w:divBdr>
                <w:top w:val="none" w:sz="0" w:space="0" w:color="auto"/>
                <w:left w:val="none" w:sz="0" w:space="0" w:color="auto"/>
                <w:bottom w:val="none" w:sz="0" w:space="0" w:color="auto"/>
                <w:right w:val="none" w:sz="0" w:space="0" w:color="auto"/>
              </w:divBdr>
            </w:div>
            <w:div w:id="919750566">
              <w:marLeft w:val="0"/>
              <w:marRight w:val="0"/>
              <w:marTop w:val="0"/>
              <w:marBottom w:val="0"/>
              <w:divBdr>
                <w:top w:val="none" w:sz="0" w:space="0" w:color="auto"/>
                <w:left w:val="none" w:sz="0" w:space="0" w:color="auto"/>
                <w:bottom w:val="none" w:sz="0" w:space="0" w:color="auto"/>
                <w:right w:val="none" w:sz="0" w:space="0" w:color="auto"/>
              </w:divBdr>
            </w:div>
            <w:div w:id="954869747">
              <w:marLeft w:val="0"/>
              <w:marRight w:val="0"/>
              <w:marTop w:val="0"/>
              <w:marBottom w:val="0"/>
              <w:divBdr>
                <w:top w:val="none" w:sz="0" w:space="0" w:color="auto"/>
                <w:left w:val="none" w:sz="0" w:space="0" w:color="auto"/>
                <w:bottom w:val="none" w:sz="0" w:space="0" w:color="auto"/>
                <w:right w:val="none" w:sz="0" w:space="0" w:color="auto"/>
              </w:divBdr>
            </w:div>
            <w:div w:id="1003438747">
              <w:marLeft w:val="0"/>
              <w:marRight w:val="0"/>
              <w:marTop w:val="0"/>
              <w:marBottom w:val="0"/>
              <w:divBdr>
                <w:top w:val="none" w:sz="0" w:space="0" w:color="auto"/>
                <w:left w:val="none" w:sz="0" w:space="0" w:color="auto"/>
                <w:bottom w:val="none" w:sz="0" w:space="0" w:color="auto"/>
                <w:right w:val="none" w:sz="0" w:space="0" w:color="auto"/>
              </w:divBdr>
            </w:div>
            <w:div w:id="1125346203">
              <w:marLeft w:val="0"/>
              <w:marRight w:val="0"/>
              <w:marTop w:val="0"/>
              <w:marBottom w:val="0"/>
              <w:divBdr>
                <w:top w:val="none" w:sz="0" w:space="0" w:color="auto"/>
                <w:left w:val="none" w:sz="0" w:space="0" w:color="auto"/>
                <w:bottom w:val="none" w:sz="0" w:space="0" w:color="auto"/>
                <w:right w:val="none" w:sz="0" w:space="0" w:color="auto"/>
              </w:divBdr>
            </w:div>
            <w:div w:id="1160538217">
              <w:marLeft w:val="0"/>
              <w:marRight w:val="0"/>
              <w:marTop w:val="0"/>
              <w:marBottom w:val="0"/>
              <w:divBdr>
                <w:top w:val="none" w:sz="0" w:space="0" w:color="auto"/>
                <w:left w:val="none" w:sz="0" w:space="0" w:color="auto"/>
                <w:bottom w:val="none" w:sz="0" w:space="0" w:color="auto"/>
                <w:right w:val="none" w:sz="0" w:space="0" w:color="auto"/>
              </w:divBdr>
            </w:div>
            <w:div w:id="1356081502">
              <w:marLeft w:val="0"/>
              <w:marRight w:val="0"/>
              <w:marTop w:val="0"/>
              <w:marBottom w:val="0"/>
              <w:divBdr>
                <w:top w:val="none" w:sz="0" w:space="0" w:color="auto"/>
                <w:left w:val="none" w:sz="0" w:space="0" w:color="auto"/>
                <w:bottom w:val="none" w:sz="0" w:space="0" w:color="auto"/>
                <w:right w:val="none" w:sz="0" w:space="0" w:color="auto"/>
              </w:divBdr>
            </w:div>
            <w:div w:id="1368524595">
              <w:marLeft w:val="0"/>
              <w:marRight w:val="0"/>
              <w:marTop w:val="0"/>
              <w:marBottom w:val="0"/>
              <w:divBdr>
                <w:top w:val="none" w:sz="0" w:space="0" w:color="auto"/>
                <w:left w:val="none" w:sz="0" w:space="0" w:color="auto"/>
                <w:bottom w:val="none" w:sz="0" w:space="0" w:color="auto"/>
                <w:right w:val="none" w:sz="0" w:space="0" w:color="auto"/>
              </w:divBdr>
            </w:div>
            <w:div w:id="1457723039">
              <w:marLeft w:val="0"/>
              <w:marRight w:val="0"/>
              <w:marTop w:val="0"/>
              <w:marBottom w:val="0"/>
              <w:divBdr>
                <w:top w:val="none" w:sz="0" w:space="0" w:color="auto"/>
                <w:left w:val="none" w:sz="0" w:space="0" w:color="auto"/>
                <w:bottom w:val="none" w:sz="0" w:space="0" w:color="auto"/>
                <w:right w:val="none" w:sz="0" w:space="0" w:color="auto"/>
              </w:divBdr>
            </w:div>
            <w:div w:id="1484541717">
              <w:marLeft w:val="0"/>
              <w:marRight w:val="0"/>
              <w:marTop w:val="0"/>
              <w:marBottom w:val="0"/>
              <w:divBdr>
                <w:top w:val="none" w:sz="0" w:space="0" w:color="auto"/>
                <w:left w:val="none" w:sz="0" w:space="0" w:color="auto"/>
                <w:bottom w:val="none" w:sz="0" w:space="0" w:color="auto"/>
                <w:right w:val="none" w:sz="0" w:space="0" w:color="auto"/>
              </w:divBdr>
            </w:div>
            <w:div w:id="1510833396">
              <w:marLeft w:val="0"/>
              <w:marRight w:val="0"/>
              <w:marTop w:val="0"/>
              <w:marBottom w:val="0"/>
              <w:divBdr>
                <w:top w:val="none" w:sz="0" w:space="0" w:color="auto"/>
                <w:left w:val="none" w:sz="0" w:space="0" w:color="auto"/>
                <w:bottom w:val="none" w:sz="0" w:space="0" w:color="auto"/>
                <w:right w:val="none" w:sz="0" w:space="0" w:color="auto"/>
              </w:divBdr>
            </w:div>
            <w:div w:id="1700663098">
              <w:marLeft w:val="0"/>
              <w:marRight w:val="0"/>
              <w:marTop w:val="0"/>
              <w:marBottom w:val="0"/>
              <w:divBdr>
                <w:top w:val="none" w:sz="0" w:space="0" w:color="auto"/>
                <w:left w:val="none" w:sz="0" w:space="0" w:color="auto"/>
                <w:bottom w:val="none" w:sz="0" w:space="0" w:color="auto"/>
                <w:right w:val="none" w:sz="0" w:space="0" w:color="auto"/>
              </w:divBdr>
            </w:div>
            <w:div w:id="1741441927">
              <w:marLeft w:val="0"/>
              <w:marRight w:val="0"/>
              <w:marTop w:val="0"/>
              <w:marBottom w:val="0"/>
              <w:divBdr>
                <w:top w:val="none" w:sz="0" w:space="0" w:color="auto"/>
                <w:left w:val="none" w:sz="0" w:space="0" w:color="auto"/>
                <w:bottom w:val="none" w:sz="0" w:space="0" w:color="auto"/>
                <w:right w:val="none" w:sz="0" w:space="0" w:color="auto"/>
              </w:divBdr>
            </w:div>
            <w:div w:id="1858084047">
              <w:marLeft w:val="0"/>
              <w:marRight w:val="0"/>
              <w:marTop w:val="0"/>
              <w:marBottom w:val="0"/>
              <w:divBdr>
                <w:top w:val="none" w:sz="0" w:space="0" w:color="auto"/>
                <w:left w:val="none" w:sz="0" w:space="0" w:color="auto"/>
                <w:bottom w:val="none" w:sz="0" w:space="0" w:color="auto"/>
                <w:right w:val="none" w:sz="0" w:space="0" w:color="auto"/>
              </w:divBdr>
            </w:div>
            <w:div w:id="1897275265">
              <w:marLeft w:val="0"/>
              <w:marRight w:val="0"/>
              <w:marTop w:val="0"/>
              <w:marBottom w:val="0"/>
              <w:divBdr>
                <w:top w:val="none" w:sz="0" w:space="0" w:color="auto"/>
                <w:left w:val="none" w:sz="0" w:space="0" w:color="auto"/>
                <w:bottom w:val="none" w:sz="0" w:space="0" w:color="auto"/>
                <w:right w:val="none" w:sz="0" w:space="0" w:color="auto"/>
              </w:divBdr>
            </w:div>
          </w:divsChild>
        </w:div>
        <w:div w:id="1546747263">
          <w:marLeft w:val="0"/>
          <w:marRight w:val="0"/>
          <w:marTop w:val="0"/>
          <w:marBottom w:val="0"/>
          <w:divBdr>
            <w:top w:val="none" w:sz="0" w:space="0" w:color="auto"/>
            <w:left w:val="none" w:sz="0" w:space="0" w:color="auto"/>
            <w:bottom w:val="none" w:sz="0" w:space="0" w:color="auto"/>
            <w:right w:val="none" w:sz="0" w:space="0" w:color="auto"/>
          </w:divBdr>
        </w:div>
        <w:div w:id="1548646624">
          <w:marLeft w:val="0"/>
          <w:marRight w:val="0"/>
          <w:marTop w:val="0"/>
          <w:marBottom w:val="0"/>
          <w:divBdr>
            <w:top w:val="none" w:sz="0" w:space="0" w:color="auto"/>
            <w:left w:val="none" w:sz="0" w:space="0" w:color="auto"/>
            <w:bottom w:val="none" w:sz="0" w:space="0" w:color="auto"/>
            <w:right w:val="none" w:sz="0" w:space="0" w:color="auto"/>
          </w:divBdr>
        </w:div>
        <w:div w:id="1551456376">
          <w:marLeft w:val="0"/>
          <w:marRight w:val="0"/>
          <w:marTop w:val="0"/>
          <w:marBottom w:val="0"/>
          <w:divBdr>
            <w:top w:val="none" w:sz="0" w:space="0" w:color="auto"/>
            <w:left w:val="none" w:sz="0" w:space="0" w:color="auto"/>
            <w:bottom w:val="none" w:sz="0" w:space="0" w:color="auto"/>
            <w:right w:val="none" w:sz="0" w:space="0" w:color="auto"/>
          </w:divBdr>
        </w:div>
        <w:div w:id="1551722655">
          <w:marLeft w:val="0"/>
          <w:marRight w:val="0"/>
          <w:marTop w:val="0"/>
          <w:marBottom w:val="0"/>
          <w:divBdr>
            <w:top w:val="none" w:sz="0" w:space="0" w:color="auto"/>
            <w:left w:val="none" w:sz="0" w:space="0" w:color="auto"/>
            <w:bottom w:val="none" w:sz="0" w:space="0" w:color="auto"/>
            <w:right w:val="none" w:sz="0" w:space="0" w:color="auto"/>
          </w:divBdr>
        </w:div>
        <w:div w:id="1552111186">
          <w:marLeft w:val="0"/>
          <w:marRight w:val="0"/>
          <w:marTop w:val="0"/>
          <w:marBottom w:val="0"/>
          <w:divBdr>
            <w:top w:val="none" w:sz="0" w:space="0" w:color="auto"/>
            <w:left w:val="none" w:sz="0" w:space="0" w:color="auto"/>
            <w:bottom w:val="none" w:sz="0" w:space="0" w:color="auto"/>
            <w:right w:val="none" w:sz="0" w:space="0" w:color="auto"/>
          </w:divBdr>
        </w:div>
        <w:div w:id="1552225579">
          <w:marLeft w:val="0"/>
          <w:marRight w:val="0"/>
          <w:marTop w:val="0"/>
          <w:marBottom w:val="0"/>
          <w:divBdr>
            <w:top w:val="none" w:sz="0" w:space="0" w:color="auto"/>
            <w:left w:val="none" w:sz="0" w:space="0" w:color="auto"/>
            <w:bottom w:val="none" w:sz="0" w:space="0" w:color="auto"/>
            <w:right w:val="none" w:sz="0" w:space="0" w:color="auto"/>
          </w:divBdr>
        </w:div>
        <w:div w:id="1555265309">
          <w:marLeft w:val="0"/>
          <w:marRight w:val="0"/>
          <w:marTop w:val="0"/>
          <w:marBottom w:val="0"/>
          <w:divBdr>
            <w:top w:val="none" w:sz="0" w:space="0" w:color="auto"/>
            <w:left w:val="none" w:sz="0" w:space="0" w:color="auto"/>
            <w:bottom w:val="none" w:sz="0" w:space="0" w:color="auto"/>
            <w:right w:val="none" w:sz="0" w:space="0" w:color="auto"/>
          </w:divBdr>
        </w:div>
        <w:div w:id="1558474011">
          <w:marLeft w:val="0"/>
          <w:marRight w:val="0"/>
          <w:marTop w:val="0"/>
          <w:marBottom w:val="0"/>
          <w:divBdr>
            <w:top w:val="none" w:sz="0" w:space="0" w:color="auto"/>
            <w:left w:val="none" w:sz="0" w:space="0" w:color="auto"/>
            <w:bottom w:val="none" w:sz="0" w:space="0" w:color="auto"/>
            <w:right w:val="none" w:sz="0" w:space="0" w:color="auto"/>
          </w:divBdr>
        </w:div>
        <w:div w:id="1560092871">
          <w:marLeft w:val="0"/>
          <w:marRight w:val="0"/>
          <w:marTop w:val="0"/>
          <w:marBottom w:val="0"/>
          <w:divBdr>
            <w:top w:val="none" w:sz="0" w:space="0" w:color="auto"/>
            <w:left w:val="none" w:sz="0" w:space="0" w:color="auto"/>
            <w:bottom w:val="none" w:sz="0" w:space="0" w:color="auto"/>
            <w:right w:val="none" w:sz="0" w:space="0" w:color="auto"/>
          </w:divBdr>
        </w:div>
        <w:div w:id="1562519076">
          <w:marLeft w:val="0"/>
          <w:marRight w:val="0"/>
          <w:marTop w:val="0"/>
          <w:marBottom w:val="0"/>
          <w:divBdr>
            <w:top w:val="none" w:sz="0" w:space="0" w:color="auto"/>
            <w:left w:val="none" w:sz="0" w:space="0" w:color="auto"/>
            <w:bottom w:val="none" w:sz="0" w:space="0" w:color="auto"/>
            <w:right w:val="none" w:sz="0" w:space="0" w:color="auto"/>
          </w:divBdr>
        </w:div>
        <w:div w:id="1562595788">
          <w:marLeft w:val="0"/>
          <w:marRight w:val="0"/>
          <w:marTop w:val="0"/>
          <w:marBottom w:val="0"/>
          <w:divBdr>
            <w:top w:val="none" w:sz="0" w:space="0" w:color="auto"/>
            <w:left w:val="none" w:sz="0" w:space="0" w:color="auto"/>
            <w:bottom w:val="none" w:sz="0" w:space="0" w:color="auto"/>
            <w:right w:val="none" w:sz="0" w:space="0" w:color="auto"/>
          </w:divBdr>
        </w:div>
        <w:div w:id="1564483734">
          <w:marLeft w:val="0"/>
          <w:marRight w:val="0"/>
          <w:marTop w:val="0"/>
          <w:marBottom w:val="0"/>
          <w:divBdr>
            <w:top w:val="none" w:sz="0" w:space="0" w:color="auto"/>
            <w:left w:val="none" w:sz="0" w:space="0" w:color="auto"/>
            <w:bottom w:val="none" w:sz="0" w:space="0" w:color="auto"/>
            <w:right w:val="none" w:sz="0" w:space="0" w:color="auto"/>
          </w:divBdr>
        </w:div>
        <w:div w:id="1567454804">
          <w:marLeft w:val="0"/>
          <w:marRight w:val="0"/>
          <w:marTop w:val="0"/>
          <w:marBottom w:val="0"/>
          <w:divBdr>
            <w:top w:val="none" w:sz="0" w:space="0" w:color="auto"/>
            <w:left w:val="none" w:sz="0" w:space="0" w:color="auto"/>
            <w:bottom w:val="none" w:sz="0" w:space="0" w:color="auto"/>
            <w:right w:val="none" w:sz="0" w:space="0" w:color="auto"/>
          </w:divBdr>
        </w:div>
        <w:div w:id="1568611155">
          <w:marLeft w:val="0"/>
          <w:marRight w:val="0"/>
          <w:marTop w:val="0"/>
          <w:marBottom w:val="0"/>
          <w:divBdr>
            <w:top w:val="none" w:sz="0" w:space="0" w:color="auto"/>
            <w:left w:val="none" w:sz="0" w:space="0" w:color="auto"/>
            <w:bottom w:val="none" w:sz="0" w:space="0" w:color="auto"/>
            <w:right w:val="none" w:sz="0" w:space="0" w:color="auto"/>
          </w:divBdr>
        </w:div>
        <w:div w:id="1569458157">
          <w:marLeft w:val="0"/>
          <w:marRight w:val="0"/>
          <w:marTop w:val="0"/>
          <w:marBottom w:val="0"/>
          <w:divBdr>
            <w:top w:val="none" w:sz="0" w:space="0" w:color="auto"/>
            <w:left w:val="none" w:sz="0" w:space="0" w:color="auto"/>
            <w:bottom w:val="none" w:sz="0" w:space="0" w:color="auto"/>
            <w:right w:val="none" w:sz="0" w:space="0" w:color="auto"/>
          </w:divBdr>
        </w:div>
        <w:div w:id="1570115398">
          <w:marLeft w:val="0"/>
          <w:marRight w:val="0"/>
          <w:marTop w:val="0"/>
          <w:marBottom w:val="0"/>
          <w:divBdr>
            <w:top w:val="none" w:sz="0" w:space="0" w:color="auto"/>
            <w:left w:val="none" w:sz="0" w:space="0" w:color="auto"/>
            <w:bottom w:val="none" w:sz="0" w:space="0" w:color="auto"/>
            <w:right w:val="none" w:sz="0" w:space="0" w:color="auto"/>
          </w:divBdr>
        </w:div>
        <w:div w:id="1570340168">
          <w:marLeft w:val="0"/>
          <w:marRight w:val="0"/>
          <w:marTop w:val="0"/>
          <w:marBottom w:val="0"/>
          <w:divBdr>
            <w:top w:val="none" w:sz="0" w:space="0" w:color="auto"/>
            <w:left w:val="none" w:sz="0" w:space="0" w:color="auto"/>
            <w:bottom w:val="none" w:sz="0" w:space="0" w:color="auto"/>
            <w:right w:val="none" w:sz="0" w:space="0" w:color="auto"/>
          </w:divBdr>
        </w:div>
        <w:div w:id="1572428234">
          <w:marLeft w:val="0"/>
          <w:marRight w:val="0"/>
          <w:marTop w:val="0"/>
          <w:marBottom w:val="0"/>
          <w:divBdr>
            <w:top w:val="none" w:sz="0" w:space="0" w:color="auto"/>
            <w:left w:val="none" w:sz="0" w:space="0" w:color="auto"/>
            <w:bottom w:val="none" w:sz="0" w:space="0" w:color="auto"/>
            <w:right w:val="none" w:sz="0" w:space="0" w:color="auto"/>
          </w:divBdr>
        </w:div>
        <w:div w:id="1572739459">
          <w:marLeft w:val="0"/>
          <w:marRight w:val="0"/>
          <w:marTop w:val="0"/>
          <w:marBottom w:val="0"/>
          <w:divBdr>
            <w:top w:val="none" w:sz="0" w:space="0" w:color="auto"/>
            <w:left w:val="none" w:sz="0" w:space="0" w:color="auto"/>
            <w:bottom w:val="none" w:sz="0" w:space="0" w:color="auto"/>
            <w:right w:val="none" w:sz="0" w:space="0" w:color="auto"/>
          </w:divBdr>
        </w:div>
        <w:div w:id="1576547928">
          <w:marLeft w:val="0"/>
          <w:marRight w:val="0"/>
          <w:marTop w:val="0"/>
          <w:marBottom w:val="0"/>
          <w:divBdr>
            <w:top w:val="none" w:sz="0" w:space="0" w:color="auto"/>
            <w:left w:val="none" w:sz="0" w:space="0" w:color="auto"/>
            <w:bottom w:val="none" w:sz="0" w:space="0" w:color="auto"/>
            <w:right w:val="none" w:sz="0" w:space="0" w:color="auto"/>
          </w:divBdr>
        </w:div>
        <w:div w:id="1576891693">
          <w:marLeft w:val="0"/>
          <w:marRight w:val="0"/>
          <w:marTop w:val="0"/>
          <w:marBottom w:val="0"/>
          <w:divBdr>
            <w:top w:val="none" w:sz="0" w:space="0" w:color="auto"/>
            <w:left w:val="none" w:sz="0" w:space="0" w:color="auto"/>
            <w:bottom w:val="none" w:sz="0" w:space="0" w:color="auto"/>
            <w:right w:val="none" w:sz="0" w:space="0" w:color="auto"/>
          </w:divBdr>
        </w:div>
        <w:div w:id="1577518753">
          <w:marLeft w:val="0"/>
          <w:marRight w:val="0"/>
          <w:marTop w:val="0"/>
          <w:marBottom w:val="0"/>
          <w:divBdr>
            <w:top w:val="none" w:sz="0" w:space="0" w:color="auto"/>
            <w:left w:val="none" w:sz="0" w:space="0" w:color="auto"/>
            <w:bottom w:val="none" w:sz="0" w:space="0" w:color="auto"/>
            <w:right w:val="none" w:sz="0" w:space="0" w:color="auto"/>
          </w:divBdr>
        </w:div>
        <w:div w:id="1578439783">
          <w:marLeft w:val="0"/>
          <w:marRight w:val="0"/>
          <w:marTop w:val="0"/>
          <w:marBottom w:val="0"/>
          <w:divBdr>
            <w:top w:val="none" w:sz="0" w:space="0" w:color="auto"/>
            <w:left w:val="none" w:sz="0" w:space="0" w:color="auto"/>
            <w:bottom w:val="none" w:sz="0" w:space="0" w:color="auto"/>
            <w:right w:val="none" w:sz="0" w:space="0" w:color="auto"/>
          </w:divBdr>
        </w:div>
        <w:div w:id="1578636784">
          <w:marLeft w:val="0"/>
          <w:marRight w:val="0"/>
          <w:marTop w:val="0"/>
          <w:marBottom w:val="0"/>
          <w:divBdr>
            <w:top w:val="none" w:sz="0" w:space="0" w:color="auto"/>
            <w:left w:val="none" w:sz="0" w:space="0" w:color="auto"/>
            <w:bottom w:val="none" w:sz="0" w:space="0" w:color="auto"/>
            <w:right w:val="none" w:sz="0" w:space="0" w:color="auto"/>
          </w:divBdr>
        </w:div>
        <w:div w:id="1581332132">
          <w:marLeft w:val="0"/>
          <w:marRight w:val="0"/>
          <w:marTop w:val="0"/>
          <w:marBottom w:val="0"/>
          <w:divBdr>
            <w:top w:val="none" w:sz="0" w:space="0" w:color="auto"/>
            <w:left w:val="none" w:sz="0" w:space="0" w:color="auto"/>
            <w:bottom w:val="none" w:sz="0" w:space="0" w:color="auto"/>
            <w:right w:val="none" w:sz="0" w:space="0" w:color="auto"/>
          </w:divBdr>
        </w:div>
        <w:div w:id="1583293252">
          <w:marLeft w:val="0"/>
          <w:marRight w:val="0"/>
          <w:marTop w:val="0"/>
          <w:marBottom w:val="0"/>
          <w:divBdr>
            <w:top w:val="none" w:sz="0" w:space="0" w:color="auto"/>
            <w:left w:val="none" w:sz="0" w:space="0" w:color="auto"/>
            <w:bottom w:val="none" w:sz="0" w:space="0" w:color="auto"/>
            <w:right w:val="none" w:sz="0" w:space="0" w:color="auto"/>
          </w:divBdr>
        </w:div>
        <w:div w:id="1583294722">
          <w:marLeft w:val="0"/>
          <w:marRight w:val="0"/>
          <w:marTop w:val="0"/>
          <w:marBottom w:val="0"/>
          <w:divBdr>
            <w:top w:val="none" w:sz="0" w:space="0" w:color="auto"/>
            <w:left w:val="none" w:sz="0" w:space="0" w:color="auto"/>
            <w:bottom w:val="none" w:sz="0" w:space="0" w:color="auto"/>
            <w:right w:val="none" w:sz="0" w:space="0" w:color="auto"/>
          </w:divBdr>
        </w:div>
        <w:div w:id="1583445735">
          <w:marLeft w:val="0"/>
          <w:marRight w:val="0"/>
          <w:marTop w:val="0"/>
          <w:marBottom w:val="0"/>
          <w:divBdr>
            <w:top w:val="none" w:sz="0" w:space="0" w:color="auto"/>
            <w:left w:val="none" w:sz="0" w:space="0" w:color="auto"/>
            <w:bottom w:val="none" w:sz="0" w:space="0" w:color="auto"/>
            <w:right w:val="none" w:sz="0" w:space="0" w:color="auto"/>
          </w:divBdr>
        </w:div>
        <w:div w:id="1584224194">
          <w:marLeft w:val="0"/>
          <w:marRight w:val="0"/>
          <w:marTop w:val="0"/>
          <w:marBottom w:val="0"/>
          <w:divBdr>
            <w:top w:val="none" w:sz="0" w:space="0" w:color="auto"/>
            <w:left w:val="none" w:sz="0" w:space="0" w:color="auto"/>
            <w:bottom w:val="none" w:sz="0" w:space="0" w:color="auto"/>
            <w:right w:val="none" w:sz="0" w:space="0" w:color="auto"/>
          </w:divBdr>
        </w:div>
        <w:div w:id="1584333380">
          <w:marLeft w:val="0"/>
          <w:marRight w:val="0"/>
          <w:marTop w:val="0"/>
          <w:marBottom w:val="0"/>
          <w:divBdr>
            <w:top w:val="none" w:sz="0" w:space="0" w:color="auto"/>
            <w:left w:val="none" w:sz="0" w:space="0" w:color="auto"/>
            <w:bottom w:val="none" w:sz="0" w:space="0" w:color="auto"/>
            <w:right w:val="none" w:sz="0" w:space="0" w:color="auto"/>
          </w:divBdr>
        </w:div>
        <w:div w:id="1587962172">
          <w:marLeft w:val="0"/>
          <w:marRight w:val="0"/>
          <w:marTop w:val="0"/>
          <w:marBottom w:val="0"/>
          <w:divBdr>
            <w:top w:val="none" w:sz="0" w:space="0" w:color="auto"/>
            <w:left w:val="none" w:sz="0" w:space="0" w:color="auto"/>
            <w:bottom w:val="none" w:sz="0" w:space="0" w:color="auto"/>
            <w:right w:val="none" w:sz="0" w:space="0" w:color="auto"/>
          </w:divBdr>
          <w:divsChild>
            <w:div w:id="42680903">
              <w:marLeft w:val="0"/>
              <w:marRight w:val="0"/>
              <w:marTop w:val="0"/>
              <w:marBottom w:val="0"/>
              <w:divBdr>
                <w:top w:val="none" w:sz="0" w:space="0" w:color="auto"/>
                <w:left w:val="none" w:sz="0" w:space="0" w:color="auto"/>
                <w:bottom w:val="none" w:sz="0" w:space="0" w:color="auto"/>
                <w:right w:val="none" w:sz="0" w:space="0" w:color="auto"/>
              </w:divBdr>
            </w:div>
            <w:div w:id="110320800">
              <w:marLeft w:val="0"/>
              <w:marRight w:val="0"/>
              <w:marTop w:val="0"/>
              <w:marBottom w:val="0"/>
              <w:divBdr>
                <w:top w:val="none" w:sz="0" w:space="0" w:color="auto"/>
                <w:left w:val="none" w:sz="0" w:space="0" w:color="auto"/>
                <w:bottom w:val="none" w:sz="0" w:space="0" w:color="auto"/>
                <w:right w:val="none" w:sz="0" w:space="0" w:color="auto"/>
              </w:divBdr>
            </w:div>
            <w:div w:id="225068947">
              <w:marLeft w:val="0"/>
              <w:marRight w:val="0"/>
              <w:marTop w:val="0"/>
              <w:marBottom w:val="0"/>
              <w:divBdr>
                <w:top w:val="none" w:sz="0" w:space="0" w:color="auto"/>
                <w:left w:val="none" w:sz="0" w:space="0" w:color="auto"/>
                <w:bottom w:val="none" w:sz="0" w:space="0" w:color="auto"/>
                <w:right w:val="none" w:sz="0" w:space="0" w:color="auto"/>
              </w:divBdr>
            </w:div>
            <w:div w:id="335575268">
              <w:marLeft w:val="0"/>
              <w:marRight w:val="0"/>
              <w:marTop w:val="0"/>
              <w:marBottom w:val="0"/>
              <w:divBdr>
                <w:top w:val="none" w:sz="0" w:space="0" w:color="auto"/>
                <w:left w:val="none" w:sz="0" w:space="0" w:color="auto"/>
                <w:bottom w:val="none" w:sz="0" w:space="0" w:color="auto"/>
                <w:right w:val="none" w:sz="0" w:space="0" w:color="auto"/>
              </w:divBdr>
            </w:div>
            <w:div w:id="414280108">
              <w:marLeft w:val="0"/>
              <w:marRight w:val="0"/>
              <w:marTop w:val="0"/>
              <w:marBottom w:val="0"/>
              <w:divBdr>
                <w:top w:val="none" w:sz="0" w:space="0" w:color="auto"/>
                <w:left w:val="none" w:sz="0" w:space="0" w:color="auto"/>
                <w:bottom w:val="none" w:sz="0" w:space="0" w:color="auto"/>
                <w:right w:val="none" w:sz="0" w:space="0" w:color="auto"/>
              </w:divBdr>
            </w:div>
            <w:div w:id="446433382">
              <w:marLeft w:val="0"/>
              <w:marRight w:val="0"/>
              <w:marTop w:val="0"/>
              <w:marBottom w:val="0"/>
              <w:divBdr>
                <w:top w:val="none" w:sz="0" w:space="0" w:color="auto"/>
                <w:left w:val="none" w:sz="0" w:space="0" w:color="auto"/>
                <w:bottom w:val="none" w:sz="0" w:space="0" w:color="auto"/>
                <w:right w:val="none" w:sz="0" w:space="0" w:color="auto"/>
              </w:divBdr>
            </w:div>
            <w:div w:id="482162754">
              <w:marLeft w:val="0"/>
              <w:marRight w:val="0"/>
              <w:marTop w:val="0"/>
              <w:marBottom w:val="0"/>
              <w:divBdr>
                <w:top w:val="none" w:sz="0" w:space="0" w:color="auto"/>
                <w:left w:val="none" w:sz="0" w:space="0" w:color="auto"/>
                <w:bottom w:val="none" w:sz="0" w:space="0" w:color="auto"/>
                <w:right w:val="none" w:sz="0" w:space="0" w:color="auto"/>
              </w:divBdr>
            </w:div>
            <w:div w:id="811097628">
              <w:marLeft w:val="0"/>
              <w:marRight w:val="0"/>
              <w:marTop w:val="0"/>
              <w:marBottom w:val="0"/>
              <w:divBdr>
                <w:top w:val="none" w:sz="0" w:space="0" w:color="auto"/>
                <w:left w:val="none" w:sz="0" w:space="0" w:color="auto"/>
                <w:bottom w:val="none" w:sz="0" w:space="0" w:color="auto"/>
                <w:right w:val="none" w:sz="0" w:space="0" w:color="auto"/>
              </w:divBdr>
            </w:div>
            <w:div w:id="919294058">
              <w:marLeft w:val="0"/>
              <w:marRight w:val="0"/>
              <w:marTop w:val="0"/>
              <w:marBottom w:val="0"/>
              <w:divBdr>
                <w:top w:val="none" w:sz="0" w:space="0" w:color="auto"/>
                <w:left w:val="none" w:sz="0" w:space="0" w:color="auto"/>
                <w:bottom w:val="none" w:sz="0" w:space="0" w:color="auto"/>
                <w:right w:val="none" w:sz="0" w:space="0" w:color="auto"/>
              </w:divBdr>
            </w:div>
            <w:div w:id="1061751175">
              <w:marLeft w:val="0"/>
              <w:marRight w:val="0"/>
              <w:marTop w:val="0"/>
              <w:marBottom w:val="0"/>
              <w:divBdr>
                <w:top w:val="none" w:sz="0" w:space="0" w:color="auto"/>
                <w:left w:val="none" w:sz="0" w:space="0" w:color="auto"/>
                <w:bottom w:val="none" w:sz="0" w:space="0" w:color="auto"/>
                <w:right w:val="none" w:sz="0" w:space="0" w:color="auto"/>
              </w:divBdr>
            </w:div>
            <w:div w:id="1138764257">
              <w:marLeft w:val="0"/>
              <w:marRight w:val="0"/>
              <w:marTop w:val="0"/>
              <w:marBottom w:val="0"/>
              <w:divBdr>
                <w:top w:val="none" w:sz="0" w:space="0" w:color="auto"/>
                <w:left w:val="none" w:sz="0" w:space="0" w:color="auto"/>
                <w:bottom w:val="none" w:sz="0" w:space="0" w:color="auto"/>
                <w:right w:val="none" w:sz="0" w:space="0" w:color="auto"/>
              </w:divBdr>
            </w:div>
            <w:div w:id="1231622052">
              <w:marLeft w:val="0"/>
              <w:marRight w:val="0"/>
              <w:marTop w:val="0"/>
              <w:marBottom w:val="0"/>
              <w:divBdr>
                <w:top w:val="none" w:sz="0" w:space="0" w:color="auto"/>
                <w:left w:val="none" w:sz="0" w:space="0" w:color="auto"/>
                <w:bottom w:val="none" w:sz="0" w:space="0" w:color="auto"/>
                <w:right w:val="none" w:sz="0" w:space="0" w:color="auto"/>
              </w:divBdr>
            </w:div>
            <w:div w:id="1328824504">
              <w:marLeft w:val="0"/>
              <w:marRight w:val="0"/>
              <w:marTop w:val="0"/>
              <w:marBottom w:val="0"/>
              <w:divBdr>
                <w:top w:val="none" w:sz="0" w:space="0" w:color="auto"/>
                <w:left w:val="none" w:sz="0" w:space="0" w:color="auto"/>
                <w:bottom w:val="none" w:sz="0" w:space="0" w:color="auto"/>
                <w:right w:val="none" w:sz="0" w:space="0" w:color="auto"/>
              </w:divBdr>
            </w:div>
            <w:div w:id="1539271422">
              <w:marLeft w:val="0"/>
              <w:marRight w:val="0"/>
              <w:marTop w:val="0"/>
              <w:marBottom w:val="0"/>
              <w:divBdr>
                <w:top w:val="none" w:sz="0" w:space="0" w:color="auto"/>
                <w:left w:val="none" w:sz="0" w:space="0" w:color="auto"/>
                <w:bottom w:val="none" w:sz="0" w:space="0" w:color="auto"/>
                <w:right w:val="none" w:sz="0" w:space="0" w:color="auto"/>
              </w:divBdr>
            </w:div>
            <w:div w:id="1677729279">
              <w:marLeft w:val="0"/>
              <w:marRight w:val="0"/>
              <w:marTop w:val="0"/>
              <w:marBottom w:val="0"/>
              <w:divBdr>
                <w:top w:val="none" w:sz="0" w:space="0" w:color="auto"/>
                <w:left w:val="none" w:sz="0" w:space="0" w:color="auto"/>
                <w:bottom w:val="none" w:sz="0" w:space="0" w:color="auto"/>
                <w:right w:val="none" w:sz="0" w:space="0" w:color="auto"/>
              </w:divBdr>
            </w:div>
            <w:div w:id="1695302041">
              <w:marLeft w:val="0"/>
              <w:marRight w:val="0"/>
              <w:marTop w:val="0"/>
              <w:marBottom w:val="0"/>
              <w:divBdr>
                <w:top w:val="none" w:sz="0" w:space="0" w:color="auto"/>
                <w:left w:val="none" w:sz="0" w:space="0" w:color="auto"/>
                <w:bottom w:val="none" w:sz="0" w:space="0" w:color="auto"/>
                <w:right w:val="none" w:sz="0" w:space="0" w:color="auto"/>
              </w:divBdr>
            </w:div>
            <w:div w:id="1706783870">
              <w:marLeft w:val="0"/>
              <w:marRight w:val="0"/>
              <w:marTop w:val="0"/>
              <w:marBottom w:val="0"/>
              <w:divBdr>
                <w:top w:val="none" w:sz="0" w:space="0" w:color="auto"/>
                <w:left w:val="none" w:sz="0" w:space="0" w:color="auto"/>
                <w:bottom w:val="none" w:sz="0" w:space="0" w:color="auto"/>
                <w:right w:val="none" w:sz="0" w:space="0" w:color="auto"/>
              </w:divBdr>
            </w:div>
            <w:div w:id="1849518223">
              <w:marLeft w:val="0"/>
              <w:marRight w:val="0"/>
              <w:marTop w:val="0"/>
              <w:marBottom w:val="0"/>
              <w:divBdr>
                <w:top w:val="none" w:sz="0" w:space="0" w:color="auto"/>
                <w:left w:val="none" w:sz="0" w:space="0" w:color="auto"/>
                <w:bottom w:val="none" w:sz="0" w:space="0" w:color="auto"/>
                <w:right w:val="none" w:sz="0" w:space="0" w:color="auto"/>
              </w:divBdr>
            </w:div>
            <w:div w:id="1928270418">
              <w:marLeft w:val="0"/>
              <w:marRight w:val="0"/>
              <w:marTop w:val="0"/>
              <w:marBottom w:val="0"/>
              <w:divBdr>
                <w:top w:val="none" w:sz="0" w:space="0" w:color="auto"/>
                <w:left w:val="none" w:sz="0" w:space="0" w:color="auto"/>
                <w:bottom w:val="none" w:sz="0" w:space="0" w:color="auto"/>
                <w:right w:val="none" w:sz="0" w:space="0" w:color="auto"/>
              </w:divBdr>
            </w:div>
          </w:divsChild>
        </w:div>
        <w:div w:id="1589271466">
          <w:marLeft w:val="0"/>
          <w:marRight w:val="0"/>
          <w:marTop w:val="0"/>
          <w:marBottom w:val="0"/>
          <w:divBdr>
            <w:top w:val="none" w:sz="0" w:space="0" w:color="auto"/>
            <w:left w:val="none" w:sz="0" w:space="0" w:color="auto"/>
            <w:bottom w:val="none" w:sz="0" w:space="0" w:color="auto"/>
            <w:right w:val="none" w:sz="0" w:space="0" w:color="auto"/>
          </w:divBdr>
        </w:div>
        <w:div w:id="1592010173">
          <w:marLeft w:val="0"/>
          <w:marRight w:val="0"/>
          <w:marTop w:val="0"/>
          <w:marBottom w:val="0"/>
          <w:divBdr>
            <w:top w:val="none" w:sz="0" w:space="0" w:color="auto"/>
            <w:left w:val="none" w:sz="0" w:space="0" w:color="auto"/>
            <w:bottom w:val="none" w:sz="0" w:space="0" w:color="auto"/>
            <w:right w:val="none" w:sz="0" w:space="0" w:color="auto"/>
          </w:divBdr>
        </w:div>
        <w:div w:id="1592735259">
          <w:marLeft w:val="0"/>
          <w:marRight w:val="0"/>
          <w:marTop w:val="0"/>
          <w:marBottom w:val="0"/>
          <w:divBdr>
            <w:top w:val="none" w:sz="0" w:space="0" w:color="auto"/>
            <w:left w:val="none" w:sz="0" w:space="0" w:color="auto"/>
            <w:bottom w:val="none" w:sz="0" w:space="0" w:color="auto"/>
            <w:right w:val="none" w:sz="0" w:space="0" w:color="auto"/>
          </w:divBdr>
        </w:div>
        <w:div w:id="1593124796">
          <w:marLeft w:val="0"/>
          <w:marRight w:val="0"/>
          <w:marTop w:val="0"/>
          <w:marBottom w:val="0"/>
          <w:divBdr>
            <w:top w:val="none" w:sz="0" w:space="0" w:color="auto"/>
            <w:left w:val="none" w:sz="0" w:space="0" w:color="auto"/>
            <w:bottom w:val="none" w:sz="0" w:space="0" w:color="auto"/>
            <w:right w:val="none" w:sz="0" w:space="0" w:color="auto"/>
          </w:divBdr>
        </w:div>
        <w:div w:id="1596984910">
          <w:marLeft w:val="0"/>
          <w:marRight w:val="0"/>
          <w:marTop w:val="0"/>
          <w:marBottom w:val="0"/>
          <w:divBdr>
            <w:top w:val="none" w:sz="0" w:space="0" w:color="auto"/>
            <w:left w:val="none" w:sz="0" w:space="0" w:color="auto"/>
            <w:bottom w:val="none" w:sz="0" w:space="0" w:color="auto"/>
            <w:right w:val="none" w:sz="0" w:space="0" w:color="auto"/>
          </w:divBdr>
        </w:div>
        <w:div w:id="1598900410">
          <w:marLeft w:val="0"/>
          <w:marRight w:val="0"/>
          <w:marTop w:val="0"/>
          <w:marBottom w:val="0"/>
          <w:divBdr>
            <w:top w:val="none" w:sz="0" w:space="0" w:color="auto"/>
            <w:left w:val="none" w:sz="0" w:space="0" w:color="auto"/>
            <w:bottom w:val="none" w:sz="0" w:space="0" w:color="auto"/>
            <w:right w:val="none" w:sz="0" w:space="0" w:color="auto"/>
          </w:divBdr>
        </w:div>
        <w:div w:id="1599480560">
          <w:marLeft w:val="0"/>
          <w:marRight w:val="0"/>
          <w:marTop w:val="0"/>
          <w:marBottom w:val="0"/>
          <w:divBdr>
            <w:top w:val="none" w:sz="0" w:space="0" w:color="auto"/>
            <w:left w:val="none" w:sz="0" w:space="0" w:color="auto"/>
            <w:bottom w:val="none" w:sz="0" w:space="0" w:color="auto"/>
            <w:right w:val="none" w:sz="0" w:space="0" w:color="auto"/>
          </w:divBdr>
        </w:div>
        <w:div w:id="1602372797">
          <w:marLeft w:val="0"/>
          <w:marRight w:val="0"/>
          <w:marTop w:val="0"/>
          <w:marBottom w:val="0"/>
          <w:divBdr>
            <w:top w:val="none" w:sz="0" w:space="0" w:color="auto"/>
            <w:left w:val="none" w:sz="0" w:space="0" w:color="auto"/>
            <w:bottom w:val="none" w:sz="0" w:space="0" w:color="auto"/>
            <w:right w:val="none" w:sz="0" w:space="0" w:color="auto"/>
          </w:divBdr>
        </w:div>
        <w:div w:id="1602910572">
          <w:marLeft w:val="0"/>
          <w:marRight w:val="0"/>
          <w:marTop w:val="0"/>
          <w:marBottom w:val="0"/>
          <w:divBdr>
            <w:top w:val="none" w:sz="0" w:space="0" w:color="auto"/>
            <w:left w:val="none" w:sz="0" w:space="0" w:color="auto"/>
            <w:bottom w:val="none" w:sz="0" w:space="0" w:color="auto"/>
            <w:right w:val="none" w:sz="0" w:space="0" w:color="auto"/>
          </w:divBdr>
        </w:div>
        <w:div w:id="1603369214">
          <w:marLeft w:val="0"/>
          <w:marRight w:val="0"/>
          <w:marTop w:val="0"/>
          <w:marBottom w:val="0"/>
          <w:divBdr>
            <w:top w:val="none" w:sz="0" w:space="0" w:color="auto"/>
            <w:left w:val="none" w:sz="0" w:space="0" w:color="auto"/>
            <w:bottom w:val="none" w:sz="0" w:space="0" w:color="auto"/>
            <w:right w:val="none" w:sz="0" w:space="0" w:color="auto"/>
          </w:divBdr>
        </w:div>
        <w:div w:id="1604218252">
          <w:marLeft w:val="0"/>
          <w:marRight w:val="0"/>
          <w:marTop w:val="0"/>
          <w:marBottom w:val="0"/>
          <w:divBdr>
            <w:top w:val="none" w:sz="0" w:space="0" w:color="auto"/>
            <w:left w:val="none" w:sz="0" w:space="0" w:color="auto"/>
            <w:bottom w:val="none" w:sz="0" w:space="0" w:color="auto"/>
            <w:right w:val="none" w:sz="0" w:space="0" w:color="auto"/>
          </w:divBdr>
        </w:div>
        <w:div w:id="1604339855">
          <w:marLeft w:val="0"/>
          <w:marRight w:val="0"/>
          <w:marTop w:val="0"/>
          <w:marBottom w:val="0"/>
          <w:divBdr>
            <w:top w:val="none" w:sz="0" w:space="0" w:color="auto"/>
            <w:left w:val="none" w:sz="0" w:space="0" w:color="auto"/>
            <w:bottom w:val="none" w:sz="0" w:space="0" w:color="auto"/>
            <w:right w:val="none" w:sz="0" w:space="0" w:color="auto"/>
          </w:divBdr>
        </w:div>
        <w:div w:id="1605382988">
          <w:marLeft w:val="0"/>
          <w:marRight w:val="0"/>
          <w:marTop w:val="0"/>
          <w:marBottom w:val="0"/>
          <w:divBdr>
            <w:top w:val="none" w:sz="0" w:space="0" w:color="auto"/>
            <w:left w:val="none" w:sz="0" w:space="0" w:color="auto"/>
            <w:bottom w:val="none" w:sz="0" w:space="0" w:color="auto"/>
            <w:right w:val="none" w:sz="0" w:space="0" w:color="auto"/>
          </w:divBdr>
        </w:div>
        <w:div w:id="1606574500">
          <w:marLeft w:val="0"/>
          <w:marRight w:val="0"/>
          <w:marTop w:val="0"/>
          <w:marBottom w:val="0"/>
          <w:divBdr>
            <w:top w:val="none" w:sz="0" w:space="0" w:color="auto"/>
            <w:left w:val="none" w:sz="0" w:space="0" w:color="auto"/>
            <w:bottom w:val="none" w:sz="0" w:space="0" w:color="auto"/>
            <w:right w:val="none" w:sz="0" w:space="0" w:color="auto"/>
          </w:divBdr>
        </w:div>
        <w:div w:id="1607349949">
          <w:marLeft w:val="0"/>
          <w:marRight w:val="0"/>
          <w:marTop w:val="0"/>
          <w:marBottom w:val="0"/>
          <w:divBdr>
            <w:top w:val="none" w:sz="0" w:space="0" w:color="auto"/>
            <w:left w:val="none" w:sz="0" w:space="0" w:color="auto"/>
            <w:bottom w:val="none" w:sz="0" w:space="0" w:color="auto"/>
            <w:right w:val="none" w:sz="0" w:space="0" w:color="auto"/>
          </w:divBdr>
        </w:div>
        <w:div w:id="1607424901">
          <w:marLeft w:val="0"/>
          <w:marRight w:val="0"/>
          <w:marTop w:val="0"/>
          <w:marBottom w:val="0"/>
          <w:divBdr>
            <w:top w:val="none" w:sz="0" w:space="0" w:color="auto"/>
            <w:left w:val="none" w:sz="0" w:space="0" w:color="auto"/>
            <w:bottom w:val="none" w:sz="0" w:space="0" w:color="auto"/>
            <w:right w:val="none" w:sz="0" w:space="0" w:color="auto"/>
          </w:divBdr>
        </w:div>
        <w:div w:id="1608193205">
          <w:marLeft w:val="0"/>
          <w:marRight w:val="0"/>
          <w:marTop w:val="0"/>
          <w:marBottom w:val="0"/>
          <w:divBdr>
            <w:top w:val="none" w:sz="0" w:space="0" w:color="auto"/>
            <w:left w:val="none" w:sz="0" w:space="0" w:color="auto"/>
            <w:bottom w:val="none" w:sz="0" w:space="0" w:color="auto"/>
            <w:right w:val="none" w:sz="0" w:space="0" w:color="auto"/>
          </w:divBdr>
        </w:div>
        <w:div w:id="1609391866">
          <w:marLeft w:val="0"/>
          <w:marRight w:val="0"/>
          <w:marTop w:val="0"/>
          <w:marBottom w:val="0"/>
          <w:divBdr>
            <w:top w:val="none" w:sz="0" w:space="0" w:color="auto"/>
            <w:left w:val="none" w:sz="0" w:space="0" w:color="auto"/>
            <w:bottom w:val="none" w:sz="0" w:space="0" w:color="auto"/>
            <w:right w:val="none" w:sz="0" w:space="0" w:color="auto"/>
          </w:divBdr>
        </w:div>
        <w:div w:id="1609696557">
          <w:marLeft w:val="0"/>
          <w:marRight w:val="0"/>
          <w:marTop w:val="0"/>
          <w:marBottom w:val="0"/>
          <w:divBdr>
            <w:top w:val="none" w:sz="0" w:space="0" w:color="auto"/>
            <w:left w:val="none" w:sz="0" w:space="0" w:color="auto"/>
            <w:bottom w:val="none" w:sz="0" w:space="0" w:color="auto"/>
            <w:right w:val="none" w:sz="0" w:space="0" w:color="auto"/>
          </w:divBdr>
        </w:div>
        <w:div w:id="1609850703">
          <w:marLeft w:val="0"/>
          <w:marRight w:val="0"/>
          <w:marTop w:val="0"/>
          <w:marBottom w:val="0"/>
          <w:divBdr>
            <w:top w:val="none" w:sz="0" w:space="0" w:color="auto"/>
            <w:left w:val="none" w:sz="0" w:space="0" w:color="auto"/>
            <w:bottom w:val="none" w:sz="0" w:space="0" w:color="auto"/>
            <w:right w:val="none" w:sz="0" w:space="0" w:color="auto"/>
          </w:divBdr>
          <w:divsChild>
            <w:div w:id="313996594">
              <w:marLeft w:val="0"/>
              <w:marRight w:val="0"/>
              <w:marTop w:val="0"/>
              <w:marBottom w:val="0"/>
              <w:divBdr>
                <w:top w:val="none" w:sz="0" w:space="0" w:color="auto"/>
                <w:left w:val="none" w:sz="0" w:space="0" w:color="auto"/>
                <w:bottom w:val="none" w:sz="0" w:space="0" w:color="auto"/>
                <w:right w:val="none" w:sz="0" w:space="0" w:color="auto"/>
              </w:divBdr>
            </w:div>
            <w:div w:id="609245908">
              <w:marLeft w:val="0"/>
              <w:marRight w:val="0"/>
              <w:marTop w:val="0"/>
              <w:marBottom w:val="0"/>
              <w:divBdr>
                <w:top w:val="none" w:sz="0" w:space="0" w:color="auto"/>
                <w:left w:val="none" w:sz="0" w:space="0" w:color="auto"/>
                <w:bottom w:val="none" w:sz="0" w:space="0" w:color="auto"/>
                <w:right w:val="none" w:sz="0" w:space="0" w:color="auto"/>
              </w:divBdr>
            </w:div>
            <w:div w:id="632908031">
              <w:marLeft w:val="0"/>
              <w:marRight w:val="0"/>
              <w:marTop w:val="0"/>
              <w:marBottom w:val="0"/>
              <w:divBdr>
                <w:top w:val="none" w:sz="0" w:space="0" w:color="auto"/>
                <w:left w:val="none" w:sz="0" w:space="0" w:color="auto"/>
                <w:bottom w:val="none" w:sz="0" w:space="0" w:color="auto"/>
                <w:right w:val="none" w:sz="0" w:space="0" w:color="auto"/>
              </w:divBdr>
            </w:div>
            <w:div w:id="1170214429">
              <w:marLeft w:val="0"/>
              <w:marRight w:val="0"/>
              <w:marTop w:val="0"/>
              <w:marBottom w:val="0"/>
              <w:divBdr>
                <w:top w:val="none" w:sz="0" w:space="0" w:color="auto"/>
                <w:left w:val="none" w:sz="0" w:space="0" w:color="auto"/>
                <w:bottom w:val="none" w:sz="0" w:space="0" w:color="auto"/>
                <w:right w:val="none" w:sz="0" w:space="0" w:color="auto"/>
              </w:divBdr>
            </w:div>
            <w:div w:id="1534071537">
              <w:marLeft w:val="0"/>
              <w:marRight w:val="0"/>
              <w:marTop w:val="0"/>
              <w:marBottom w:val="0"/>
              <w:divBdr>
                <w:top w:val="none" w:sz="0" w:space="0" w:color="auto"/>
                <w:left w:val="none" w:sz="0" w:space="0" w:color="auto"/>
                <w:bottom w:val="none" w:sz="0" w:space="0" w:color="auto"/>
                <w:right w:val="none" w:sz="0" w:space="0" w:color="auto"/>
              </w:divBdr>
            </w:div>
            <w:div w:id="1742679364">
              <w:marLeft w:val="0"/>
              <w:marRight w:val="0"/>
              <w:marTop w:val="0"/>
              <w:marBottom w:val="0"/>
              <w:divBdr>
                <w:top w:val="none" w:sz="0" w:space="0" w:color="auto"/>
                <w:left w:val="none" w:sz="0" w:space="0" w:color="auto"/>
                <w:bottom w:val="none" w:sz="0" w:space="0" w:color="auto"/>
                <w:right w:val="none" w:sz="0" w:space="0" w:color="auto"/>
              </w:divBdr>
            </w:div>
            <w:div w:id="1788426036">
              <w:marLeft w:val="0"/>
              <w:marRight w:val="0"/>
              <w:marTop w:val="0"/>
              <w:marBottom w:val="0"/>
              <w:divBdr>
                <w:top w:val="none" w:sz="0" w:space="0" w:color="auto"/>
                <w:left w:val="none" w:sz="0" w:space="0" w:color="auto"/>
                <w:bottom w:val="none" w:sz="0" w:space="0" w:color="auto"/>
                <w:right w:val="none" w:sz="0" w:space="0" w:color="auto"/>
              </w:divBdr>
            </w:div>
            <w:div w:id="2044818613">
              <w:marLeft w:val="0"/>
              <w:marRight w:val="0"/>
              <w:marTop w:val="0"/>
              <w:marBottom w:val="0"/>
              <w:divBdr>
                <w:top w:val="none" w:sz="0" w:space="0" w:color="auto"/>
                <w:left w:val="none" w:sz="0" w:space="0" w:color="auto"/>
                <w:bottom w:val="none" w:sz="0" w:space="0" w:color="auto"/>
                <w:right w:val="none" w:sz="0" w:space="0" w:color="auto"/>
              </w:divBdr>
            </w:div>
            <w:div w:id="2127043404">
              <w:marLeft w:val="0"/>
              <w:marRight w:val="0"/>
              <w:marTop w:val="0"/>
              <w:marBottom w:val="0"/>
              <w:divBdr>
                <w:top w:val="none" w:sz="0" w:space="0" w:color="auto"/>
                <w:left w:val="none" w:sz="0" w:space="0" w:color="auto"/>
                <w:bottom w:val="none" w:sz="0" w:space="0" w:color="auto"/>
                <w:right w:val="none" w:sz="0" w:space="0" w:color="auto"/>
              </w:divBdr>
            </w:div>
          </w:divsChild>
        </w:div>
        <w:div w:id="1611816510">
          <w:marLeft w:val="0"/>
          <w:marRight w:val="0"/>
          <w:marTop w:val="0"/>
          <w:marBottom w:val="0"/>
          <w:divBdr>
            <w:top w:val="none" w:sz="0" w:space="0" w:color="auto"/>
            <w:left w:val="none" w:sz="0" w:space="0" w:color="auto"/>
            <w:bottom w:val="none" w:sz="0" w:space="0" w:color="auto"/>
            <w:right w:val="none" w:sz="0" w:space="0" w:color="auto"/>
          </w:divBdr>
          <w:divsChild>
            <w:div w:id="550195782">
              <w:marLeft w:val="-75"/>
              <w:marRight w:val="0"/>
              <w:marTop w:val="30"/>
              <w:marBottom w:val="30"/>
              <w:divBdr>
                <w:top w:val="none" w:sz="0" w:space="0" w:color="auto"/>
                <w:left w:val="none" w:sz="0" w:space="0" w:color="auto"/>
                <w:bottom w:val="none" w:sz="0" w:space="0" w:color="auto"/>
                <w:right w:val="none" w:sz="0" w:space="0" w:color="auto"/>
              </w:divBdr>
              <w:divsChild>
                <w:div w:id="78721026">
                  <w:marLeft w:val="0"/>
                  <w:marRight w:val="0"/>
                  <w:marTop w:val="0"/>
                  <w:marBottom w:val="0"/>
                  <w:divBdr>
                    <w:top w:val="none" w:sz="0" w:space="0" w:color="auto"/>
                    <w:left w:val="none" w:sz="0" w:space="0" w:color="auto"/>
                    <w:bottom w:val="none" w:sz="0" w:space="0" w:color="auto"/>
                    <w:right w:val="none" w:sz="0" w:space="0" w:color="auto"/>
                  </w:divBdr>
                  <w:divsChild>
                    <w:div w:id="1033119366">
                      <w:marLeft w:val="0"/>
                      <w:marRight w:val="0"/>
                      <w:marTop w:val="0"/>
                      <w:marBottom w:val="0"/>
                      <w:divBdr>
                        <w:top w:val="none" w:sz="0" w:space="0" w:color="auto"/>
                        <w:left w:val="none" w:sz="0" w:space="0" w:color="auto"/>
                        <w:bottom w:val="none" w:sz="0" w:space="0" w:color="auto"/>
                        <w:right w:val="none" w:sz="0" w:space="0" w:color="auto"/>
                      </w:divBdr>
                    </w:div>
                  </w:divsChild>
                </w:div>
                <w:div w:id="290944992">
                  <w:marLeft w:val="0"/>
                  <w:marRight w:val="0"/>
                  <w:marTop w:val="0"/>
                  <w:marBottom w:val="0"/>
                  <w:divBdr>
                    <w:top w:val="none" w:sz="0" w:space="0" w:color="auto"/>
                    <w:left w:val="none" w:sz="0" w:space="0" w:color="auto"/>
                    <w:bottom w:val="none" w:sz="0" w:space="0" w:color="auto"/>
                    <w:right w:val="none" w:sz="0" w:space="0" w:color="auto"/>
                  </w:divBdr>
                  <w:divsChild>
                    <w:div w:id="1038773239">
                      <w:marLeft w:val="0"/>
                      <w:marRight w:val="0"/>
                      <w:marTop w:val="0"/>
                      <w:marBottom w:val="0"/>
                      <w:divBdr>
                        <w:top w:val="none" w:sz="0" w:space="0" w:color="auto"/>
                        <w:left w:val="none" w:sz="0" w:space="0" w:color="auto"/>
                        <w:bottom w:val="none" w:sz="0" w:space="0" w:color="auto"/>
                        <w:right w:val="none" w:sz="0" w:space="0" w:color="auto"/>
                      </w:divBdr>
                    </w:div>
                  </w:divsChild>
                </w:div>
                <w:div w:id="336270663">
                  <w:marLeft w:val="0"/>
                  <w:marRight w:val="0"/>
                  <w:marTop w:val="0"/>
                  <w:marBottom w:val="0"/>
                  <w:divBdr>
                    <w:top w:val="none" w:sz="0" w:space="0" w:color="auto"/>
                    <w:left w:val="none" w:sz="0" w:space="0" w:color="auto"/>
                    <w:bottom w:val="none" w:sz="0" w:space="0" w:color="auto"/>
                    <w:right w:val="none" w:sz="0" w:space="0" w:color="auto"/>
                  </w:divBdr>
                  <w:divsChild>
                    <w:div w:id="1100293700">
                      <w:marLeft w:val="0"/>
                      <w:marRight w:val="0"/>
                      <w:marTop w:val="0"/>
                      <w:marBottom w:val="0"/>
                      <w:divBdr>
                        <w:top w:val="none" w:sz="0" w:space="0" w:color="auto"/>
                        <w:left w:val="none" w:sz="0" w:space="0" w:color="auto"/>
                        <w:bottom w:val="none" w:sz="0" w:space="0" w:color="auto"/>
                        <w:right w:val="none" w:sz="0" w:space="0" w:color="auto"/>
                      </w:divBdr>
                    </w:div>
                  </w:divsChild>
                </w:div>
                <w:div w:id="422721081">
                  <w:marLeft w:val="0"/>
                  <w:marRight w:val="0"/>
                  <w:marTop w:val="0"/>
                  <w:marBottom w:val="0"/>
                  <w:divBdr>
                    <w:top w:val="none" w:sz="0" w:space="0" w:color="auto"/>
                    <w:left w:val="none" w:sz="0" w:space="0" w:color="auto"/>
                    <w:bottom w:val="none" w:sz="0" w:space="0" w:color="auto"/>
                    <w:right w:val="none" w:sz="0" w:space="0" w:color="auto"/>
                  </w:divBdr>
                  <w:divsChild>
                    <w:div w:id="1390958275">
                      <w:marLeft w:val="0"/>
                      <w:marRight w:val="0"/>
                      <w:marTop w:val="0"/>
                      <w:marBottom w:val="0"/>
                      <w:divBdr>
                        <w:top w:val="none" w:sz="0" w:space="0" w:color="auto"/>
                        <w:left w:val="none" w:sz="0" w:space="0" w:color="auto"/>
                        <w:bottom w:val="none" w:sz="0" w:space="0" w:color="auto"/>
                        <w:right w:val="none" w:sz="0" w:space="0" w:color="auto"/>
                      </w:divBdr>
                    </w:div>
                  </w:divsChild>
                </w:div>
                <w:div w:id="540440312">
                  <w:marLeft w:val="0"/>
                  <w:marRight w:val="0"/>
                  <w:marTop w:val="0"/>
                  <w:marBottom w:val="0"/>
                  <w:divBdr>
                    <w:top w:val="none" w:sz="0" w:space="0" w:color="auto"/>
                    <w:left w:val="none" w:sz="0" w:space="0" w:color="auto"/>
                    <w:bottom w:val="none" w:sz="0" w:space="0" w:color="auto"/>
                    <w:right w:val="none" w:sz="0" w:space="0" w:color="auto"/>
                  </w:divBdr>
                  <w:divsChild>
                    <w:div w:id="1841312796">
                      <w:marLeft w:val="0"/>
                      <w:marRight w:val="0"/>
                      <w:marTop w:val="0"/>
                      <w:marBottom w:val="0"/>
                      <w:divBdr>
                        <w:top w:val="none" w:sz="0" w:space="0" w:color="auto"/>
                        <w:left w:val="none" w:sz="0" w:space="0" w:color="auto"/>
                        <w:bottom w:val="none" w:sz="0" w:space="0" w:color="auto"/>
                        <w:right w:val="none" w:sz="0" w:space="0" w:color="auto"/>
                      </w:divBdr>
                    </w:div>
                  </w:divsChild>
                </w:div>
                <w:div w:id="790712890">
                  <w:marLeft w:val="0"/>
                  <w:marRight w:val="0"/>
                  <w:marTop w:val="0"/>
                  <w:marBottom w:val="0"/>
                  <w:divBdr>
                    <w:top w:val="none" w:sz="0" w:space="0" w:color="auto"/>
                    <w:left w:val="none" w:sz="0" w:space="0" w:color="auto"/>
                    <w:bottom w:val="none" w:sz="0" w:space="0" w:color="auto"/>
                    <w:right w:val="none" w:sz="0" w:space="0" w:color="auto"/>
                  </w:divBdr>
                  <w:divsChild>
                    <w:div w:id="1271935698">
                      <w:marLeft w:val="0"/>
                      <w:marRight w:val="0"/>
                      <w:marTop w:val="0"/>
                      <w:marBottom w:val="0"/>
                      <w:divBdr>
                        <w:top w:val="none" w:sz="0" w:space="0" w:color="auto"/>
                        <w:left w:val="none" w:sz="0" w:space="0" w:color="auto"/>
                        <w:bottom w:val="none" w:sz="0" w:space="0" w:color="auto"/>
                        <w:right w:val="none" w:sz="0" w:space="0" w:color="auto"/>
                      </w:divBdr>
                    </w:div>
                  </w:divsChild>
                </w:div>
                <w:div w:id="974070142">
                  <w:marLeft w:val="0"/>
                  <w:marRight w:val="0"/>
                  <w:marTop w:val="0"/>
                  <w:marBottom w:val="0"/>
                  <w:divBdr>
                    <w:top w:val="none" w:sz="0" w:space="0" w:color="auto"/>
                    <w:left w:val="none" w:sz="0" w:space="0" w:color="auto"/>
                    <w:bottom w:val="none" w:sz="0" w:space="0" w:color="auto"/>
                    <w:right w:val="none" w:sz="0" w:space="0" w:color="auto"/>
                  </w:divBdr>
                  <w:divsChild>
                    <w:div w:id="1192648445">
                      <w:marLeft w:val="0"/>
                      <w:marRight w:val="0"/>
                      <w:marTop w:val="0"/>
                      <w:marBottom w:val="0"/>
                      <w:divBdr>
                        <w:top w:val="none" w:sz="0" w:space="0" w:color="auto"/>
                        <w:left w:val="none" w:sz="0" w:space="0" w:color="auto"/>
                        <w:bottom w:val="none" w:sz="0" w:space="0" w:color="auto"/>
                        <w:right w:val="none" w:sz="0" w:space="0" w:color="auto"/>
                      </w:divBdr>
                    </w:div>
                  </w:divsChild>
                </w:div>
                <w:div w:id="1198353701">
                  <w:marLeft w:val="0"/>
                  <w:marRight w:val="0"/>
                  <w:marTop w:val="0"/>
                  <w:marBottom w:val="0"/>
                  <w:divBdr>
                    <w:top w:val="none" w:sz="0" w:space="0" w:color="auto"/>
                    <w:left w:val="none" w:sz="0" w:space="0" w:color="auto"/>
                    <w:bottom w:val="none" w:sz="0" w:space="0" w:color="auto"/>
                    <w:right w:val="none" w:sz="0" w:space="0" w:color="auto"/>
                  </w:divBdr>
                  <w:divsChild>
                    <w:div w:id="130247239">
                      <w:marLeft w:val="0"/>
                      <w:marRight w:val="0"/>
                      <w:marTop w:val="0"/>
                      <w:marBottom w:val="0"/>
                      <w:divBdr>
                        <w:top w:val="none" w:sz="0" w:space="0" w:color="auto"/>
                        <w:left w:val="none" w:sz="0" w:space="0" w:color="auto"/>
                        <w:bottom w:val="none" w:sz="0" w:space="0" w:color="auto"/>
                        <w:right w:val="none" w:sz="0" w:space="0" w:color="auto"/>
                      </w:divBdr>
                    </w:div>
                  </w:divsChild>
                </w:div>
                <w:div w:id="1280333225">
                  <w:marLeft w:val="0"/>
                  <w:marRight w:val="0"/>
                  <w:marTop w:val="0"/>
                  <w:marBottom w:val="0"/>
                  <w:divBdr>
                    <w:top w:val="none" w:sz="0" w:space="0" w:color="auto"/>
                    <w:left w:val="none" w:sz="0" w:space="0" w:color="auto"/>
                    <w:bottom w:val="none" w:sz="0" w:space="0" w:color="auto"/>
                    <w:right w:val="none" w:sz="0" w:space="0" w:color="auto"/>
                  </w:divBdr>
                  <w:divsChild>
                    <w:div w:id="1709647146">
                      <w:marLeft w:val="0"/>
                      <w:marRight w:val="0"/>
                      <w:marTop w:val="0"/>
                      <w:marBottom w:val="0"/>
                      <w:divBdr>
                        <w:top w:val="none" w:sz="0" w:space="0" w:color="auto"/>
                        <w:left w:val="none" w:sz="0" w:space="0" w:color="auto"/>
                        <w:bottom w:val="none" w:sz="0" w:space="0" w:color="auto"/>
                        <w:right w:val="none" w:sz="0" w:space="0" w:color="auto"/>
                      </w:divBdr>
                    </w:div>
                  </w:divsChild>
                </w:div>
                <w:div w:id="1344353667">
                  <w:marLeft w:val="0"/>
                  <w:marRight w:val="0"/>
                  <w:marTop w:val="0"/>
                  <w:marBottom w:val="0"/>
                  <w:divBdr>
                    <w:top w:val="none" w:sz="0" w:space="0" w:color="auto"/>
                    <w:left w:val="none" w:sz="0" w:space="0" w:color="auto"/>
                    <w:bottom w:val="none" w:sz="0" w:space="0" w:color="auto"/>
                    <w:right w:val="none" w:sz="0" w:space="0" w:color="auto"/>
                  </w:divBdr>
                  <w:divsChild>
                    <w:div w:id="825515860">
                      <w:marLeft w:val="0"/>
                      <w:marRight w:val="0"/>
                      <w:marTop w:val="0"/>
                      <w:marBottom w:val="0"/>
                      <w:divBdr>
                        <w:top w:val="none" w:sz="0" w:space="0" w:color="auto"/>
                        <w:left w:val="none" w:sz="0" w:space="0" w:color="auto"/>
                        <w:bottom w:val="none" w:sz="0" w:space="0" w:color="auto"/>
                        <w:right w:val="none" w:sz="0" w:space="0" w:color="auto"/>
                      </w:divBdr>
                    </w:div>
                  </w:divsChild>
                </w:div>
                <w:div w:id="1683506002">
                  <w:marLeft w:val="0"/>
                  <w:marRight w:val="0"/>
                  <w:marTop w:val="0"/>
                  <w:marBottom w:val="0"/>
                  <w:divBdr>
                    <w:top w:val="none" w:sz="0" w:space="0" w:color="auto"/>
                    <w:left w:val="none" w:sz="0" w:space="0" w:color="auto"/>
                    <w:bottom w:val="none" w:sz="0" w:space="0" w:color="auto"/>
                    <w:right w:val="none" w:sz="0" w:space="0" w:color="auto"/>
                  </w:divBdr>
                  <w:divsChild>
                    <w:div w:id="1877309578">
                      <w:marLeft w:val="0"/>
                      <w:marRight w:val="0"/>
                      <w:marTop w:val="0"/>
                      <w:marBottom w:val="0"/>
                      <w:divBdr>
                        <w:top w:val="none" w:sz="0" w:space="0" w:color="auto"/>
                        <w:left w:val="none" w:sz="0" w:space="0" w:color="auto"/>
                        <w:bottom w:val="none" w:sz="0" w:space="0" w:color="auto"/>
                        <w:right w:val="none" w:sz="0" w:space="0" w:color="auto"/>
                      </w:divBdr>
                    </w:div>
                  </w:divsChild>
                </w:div>
                <w:div w:id="1813448470">
                  <w:marLeft w:val="0"/>
                  <w:marRight w:val="0"/>
                  <w:marTop w:val="0"/>
                  <w:marBottom w:val="0"/>
                  <w:divBdr>
                    <w:top w:val="none" w:sz="0" w:space="0" w:color="auto"/>
                    <w:left w:val="none" w:sz="0" w:space="0" w:color="auto"/>
                    <w:bottom w:val="none" w:sz="0" w:space="0" w:color="auto"/>
                    <w:right w:val="none" w:sz="0" w:space="0" w:color="auto"/>
                  </w:divBdr>
                  <w:divsChild>
                    <w:div w:id="18069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665400">
          <w:marLeft w:val="0"/>
          <w:marRight w:val="0"/>
          <w:marTop w:val="0"/>
          <w:marBottom w:val="0"/>
          <w:divBdr>
            <w:top w:val="none" w:sz="0" w:space="0" w:color="auto"/>
            <w:left w:val="none" w:sz="0" w:space="0" w:color="auto"/>
            <w:bottom w:val="none" w:sz="0" w:space="0" w:color="auto"/>
            <w:right w:val="none" w:sz="0" w:space="0" w:color="auto"/>
          </w:divBdr>
        </w:div>
        <w:div w:id="1612737474">
          <w:marLeft w:val="0"/>
          <w:marRight w:val="0"/>
          <w:marTop w:val="0"/>
          <w:marBottom w:val="0"/>
          <w:divBdr>
            <w:top w:val="none" w:sz="0" w:space="0" w:color="auto"/>
            <w:left w:val="none" w:sz="0" w:space="0" w:color="auto"/>
            <w:bottom w:val="none" w:sz="0" w:space="0" w:color="auto"/>
            <w:right w:val="none" w:sz="0" w:space="0" w:color="auto"/>
          </w:divBdr>
        </w:div>
        <w:div w:id="1617298299">
          <w:marLeft w:val="0"/>
          <w:marRight w:val="0"/>
          <w:marTop w:val="0"/>
          <w:marBottom w:val="0"/>
          <w:divBdr>
            <w:top w:val="none" w:sz="0" w:space="0" w:color="auto"/>
            <w:left w:val="none" w:sz="0" w:space="0" w:color="auto"/>
            <w:bottom w:val="none" w:sz="0" w:space="0" w:color="auto"/>
            <w:right w:val="none" w:sz="0" w:space="0" w:color="auto"/>
          </w:divBdr>
        </w:div>
        <w:div w:id="1617711469">
          <w:marLeft w:val="0"/>
          <w:marRight w:val="0"/>
          <w:marTop w:val="0"/>
          <w:marBottom w:val="0"/>
          <w:divBdr>
            <w:top w:val="none" w:sz="0" w:space="0" w:color="auto"/>
            <w:left w:val="none" w:sz="0" w:space="0" w:color="auto"/>
            <w:bottom w:val="none" w:sz="0" w:space="0" w:color="auto"/>
            <w:right w:val="none" w:sz="0" w:space="0" w:color="auto"/>
          </w:divBdr>
        </w:div>
        <w:div w:id="1618756229">
          <w:marLeft w:val="0"/>
          <w:marRight w:val="0"/>
          <w:marTop w:val="0"/>
          <w:marBottom w:val="0"/>
          <w:divBdr>
            <w:top w:val="none" w:sz="0" w:space="0" w:color="auto"/>
            <w:left w:val="none" w:sz="0" w:space="0" w:color="auto"/>
            <w:bottom w:val="none" w:sz="0" w:space="0" w:color="auto"/>
            <w:right w:val="none" w:sz="0" w:space="0" w:color="auto"/>
          </w:divBdr>
        </w:div>
        <w:div w:id="1620918856">
          <w:marLeft w:val="0"/>
          <w:marRight w:val="0"/>
          <w:marTop w:val="0"/>
          <w:marBottom w:val="0"/>
          <w:divBdr>
            <w:top w:val="none" w:sz="0" w:space="0" w:color="auto"/>
            <w:left w:val="none" w:sz="0" w:space="0" w:color="auto"/>
            <w:bottom w:val="none" w:sz="0" w:space="0" w:color="auto"/>
            <w:right w:val="none" w:sz="0" w:space="0" w:color="auto"/>
          </w:divBdr>
          <w:divsChild>
            <w:div w:id="9845722">
              <w:marLeft w:val="0"/>
              <w:marRight w:val="0"/>
              <w:marTop w:val="0"/>
              <w:marBottom w:val="0"/>
              <w:divBdr>
                <w:top w:val="none" w:sz="0" w:space="0" w:color="auto"/>
                <w:left w:val="none" w:sz="0" w:space="0" w:color="auto"/>
                <w:bottom w:val="none" w:sz="0" w:space="0" w:color="auto"/>
                <w:right w:val="none" w:sz="0" w:space="0" w:color="auto"/>
              </w:divBdr>
            </w:div>
            <w:div w:id="375937317">
              <w:marLeft w:val="0"/>
              <w:marRight w:val="0"/>
              <w:marTop w:val="0"/>
              <w:marBottom w:val="0"/>
              <w:divBdr>
                <w:top w:val="none" w:sz="0" w:space="0" w:color="auto"/>
                <w:left w:val="none" w:sz="0" w:space="0" w:color="auto"/>
                <w:bottom w:val="none" w:sz="0" w:space="0" w:color="auto"/>
                <w:right w:val="none" w:sz="0" w:space="0" w:color="auto"/>
              </w:divBdr>
            </w:div>
            <w:div w:id="402483021">
              <w:marLeft w:val="0"/>
              <w:marRight w:val="0"/>
              <w:marTop w:val="0"/>
              <w:marBottom w:val="0"/>
              <w:divBdr>
                <w:top w:val="none" w:sz="0" w:space="0" w:color="auto"/>
                <w:left w:val="none" w:sz="0" w:space="0" w:color="auto"/>
                <w:bottom w:val="none" w:sz="0" w:space="0" w:color="auto"/>
                <w:right w:val="none" w:sz="0" w:space="0" w:color="auto"/>
              </w:divBdr>
            </w:div>
            <w:div w:id="532301732">
              <w:marLeft w:val="0"/>
              <w:marRight w:val="0"/>
              <w:marTop w:val="0"/>
              <w:marBottom w:val="0"/>
              <w:divBdr>
                <w:top w:val="none" w:sz="0" w:space="0" w:color="auto"/>
                <w:left w:val="none" w:sz="0" w:space="0" w:color="auto"/>
                <w:bottom w:val="none" w:sz="0" w:space="0" w:color="auto"/>
                <w:right w:val="none" w:sz="0" w:space="0" w:color="auto"/>
              </w:divBdr>
            </w:div>
            <w:div w:id="546844744">
              <w:marLeft w:val="0"/>
              <w:marRight w:val="0"/>
              <w:marTop w:val="0"/>
              <w:marBottom w:val="0"/>
              <w:divBdr>
                <w:top w:val="none" w:sz="0" w:space="0" w:color="auto"/>
                <w:left w:val="none" w:sz="0" w:space="0" w:color="auto"/>
                <w:bottom w:val="none" w:sz="0" w:space="0" w:color="auto"/>
                <w:right w:val="none" w:sz="0" w:space="0" w:color="auto"/>
              </w:divBdr>
            </w:div>
            <w:div w:id="666982472">
              <w:marLeft w:val="0"/>
              <w:marRight w:val="0"/>
              <w:marTop w:val="0"/>
              <w:marBottom w:val="0"/>
              <w:divBdr>
                <w:top w:val="none" w:sz="0" w:space="0" w:color="auto"/>
                <w:left w:val="none" w:sz="0" w:space="0" w:color="auto"/>
                <w:bottom w:val="none" w:sz="0" w:space="0" w:color="auto"/>
                <w:right w:val="none" w:sz="0" w:space="0" w:color="auto"/>
              </w:divBdr>
            </w:div>
            <w:div w:id="705376383">
              <w:marLeft w:val="0"/>
              <w:marRight w:val="0"/>
              <w:marTop w:val="0"/>
              <w:marBottom w:val="0"/>
              <w:divBdr>
                <w:top w:val="none" w:sz="0" w:space="0" w:color="auto"/>
                <w:left w:val="none" w:sz="0" w:space="0" w:color="auto"/>
                <w:bottom w:val="none" w:sz="0" w:space="0" w:color="auto"/>
                <w:right w:val="none" w:sz="0" w:space="0" w:color="auto"/>
              </w:divBdr>
            </w:div>
            <w:div w:id="732654547">
              <w:marLeft w:val="0"/>
              <w:marRight w:val="0"/>
              <w:marTop w:val="0"/>
              <w:marBottom w:val="0"/>
              <w:divBdr>
                <w:top w:val="none" w:sz="0" w:space="0" w:color="auto"/>
                <w:left w:val="none" w:sz="0" w:space="0" w:color="auto"/>
                <w:bottom w:val="none" w:sz="0" w:space="0" w:color="auto"/>
                <w:right w:val="none" w:sz="0" w:space="0" w:color="auto"/>
              </w:divBdr>
            </w:div>
            <w:div w:id="826558622">
              <w:marLeft w:val="0"/>
              <w:marRight w:val="0"/>
              <w:marTop w:val="0"/>
              <w:marBottom w:val="0"/>
              <w:divBdr>
                <w:top w:val="none" w:sz="0" w:space="0" w:color="auto"/>
                <w:left w:val="none" w:sz="0" w:space="0" w:color="auto"/>
                <w:bottom w:val="none" w:sz="0" w:space="0" w:color="auto"/>
                <w:right w:val="none" w:sz="0" w:space="0" w:color="auto"/>
              </w:divBdr>
            </w:div>
            <w:div w:id="1151096201">
              <w:marLeft w:val="0"/>
              <w:marRight w:val="0"/>
              <w:marTop w:val="0"/>
              <w:marBottom w:val="0"/>
              <w:divBdr>
                <w:top w:val="none" w:sz="0" w:space="0" w:color="auto"/>
                <w:left w:val="none" w:sz="0" w:space="0" w:color="auto"/>
                <w:bottom w:val="none" w:sz="0" w:space="0" w:color="auto"/>
                <w:right w:val="none" w:sz="0" w:space="0" w:color="auto"/>
              </w:divBdr>
            </w:div>
            <w:div w:id="1272785722">
              <w:marLeft w:val="0"/>
              <w:marRight w:val="0"/>
              <w:marTop w:val="0"/>
              <w:marBottom w:val="0"/>
              <w:divBdr>
                <w:top w:val="none" w:sz="0" w:space="0" w:color="auto"/>
                <w:left w:val="none" w:sz="0" w:space="0" w:color="auto"/>
                <w:bottom w:val="none" w:sz="0" w:space="0" w:color="auto"/>
                <w:right w:val="none" w:sz="0" w:space="0" w:color="auto"/>
              </w:divBdr>
            </w:div>
            <w:div w:id="1495680143">
              <w:marLeft w:val="0"/>
              <w:marRight w:val="0"/>
              <w:marTop w:val="0"/>
              <w:marBottom w:val="0"/>
              <w:divBdr>
                <w:top w:val="none" w:sz="0" w:space="0" w:color="auto"/>
                <w:left w:val="none" w:sz="0" w:space="0" w:color="auto"/>
                <w:bottom w:val="none" w:sz="0" w:space="0" w:color="auto"/>
                <w:right w:val="none" w:sz="0" w:space="0" w:color="auto"/>
              </w:divBdr>
            </w:div>
            <w:div w:id="1885873011">
              <w:marLeft w:val="0"/>
              <w:marRight w:val="0"/>
              <w:marTop w:val="0"/>
              <w:marBottom w:val="0"/>
              <w:divBdr>
                <w:top w:val="none" w:sz="0" w:space="0" w:color="auto"/>
                <w:left w:val="none" w:sz="0" w:space="0" w:color="auto"/>
                <w:bottom w:val="none" w:sz="0" w:space="0" w:color="auto"/>
                <w:right w:val="none" w:sz="0" w:space="0" w:color="auto"/>
              </w:divBdr>
            </w:div>
            <w:div w:id="1900818389">
              <w:marLeft w:val="0"/>
              <w:marRight w:val="0"/>
              <w:marTop w:val="0"/>
              <w:marBottom w:val="0"/>
              <w:divBdr>
                <w:top w:val="none" w:sz="0" w:space="0" w:color="auto"/>
                <w:left w:val="none" w:sz="0" w:space="0" w:color="auto"/>
                <w:bottom w:val="none" w:sz="0" w:space="0" w:color="auto"/>
                <w:right w:val="none" w:sz="0" w:space="0" w:color="auto"/>
              </w:divBdr>
            </w:div>
            <w:div w:id="1902785282">
              <w:marLeft w:val="0"/>
              <w:marRight w:val="0"/>
              <w:marTop w:val="0"/>
              <w:marBottom w:val="0"/>
              <w:divBdr>
                <w:top w:val="none" w:sz="0" w:space="0" w:color="auto"/>
                <w:left w:val="none" w:sz="0" w:space="0" w:color="auto"/>
                <w:bottom w:val="none" w:sz="0" w:space="0" w:color="auto"/>
                <w:right w:val="none" w:sz="0" w:space="0" w:color="auto"/>
              </w:divBdr>
            </w:div>
            <w:div w:id="1911500649">
              <w:marLeft w:val="0"/>
              <w:marRight w:val="0"/>
              <w:marTop w:val="0"/>
              <w:marBottom w:val="0"/>
              <w:divBdr>
                <w:top w:val="none" w:sz="0" w:space="0" w:color="auto"/>
                <w:left w:val="none" w:sz="0" w:space="0" w:color="auto"/>
                <w:bottom w:val="none" w:sz="0" w:space="0" w:color="auto"/>
                <w:right w:val="none" w:sz="0" w:space="0" w:color="auto"/>
              </w:divBdr>
            </w:div>
            <w:div w:id="1965189722">
              <w:marLeft w:val="0"/>
              <w:marRight w:val="0"/>
              <w:marTop w:val="0"/>
              <w:marBottom w:val="0"/>
              <w:divBdr>
                <w:top w:val="none" w:sz="0" w:space="0" w:color="auto"/>
                <w:left w:val="none" w:sz="0" w:space="0" w:color="auto"/>
                <w:bottom w:val="none" w:sz="0" w:space="0" w:color="auto"/>
                <w:right w:val="none" w:sz="0" w:space="0" w:color="auto"/>
              </w:divBdr>
            </w:div>
            <w:div w:id="2022513851">
              <w:marLeft w:val="0"/>
              <w:marRight w:val="0"/>
              <w:marTop w:val="0"/>
              <w:marBottom w:val="0"/>
              <w:divBdr>
                <w:top w:val="none" w:sz="0" w:space="0" w:color="auto"/>
                <w:left w:val="none" w:sz="0" w:space="0" w:color="auto"/>
                <w:bottom w:val="none" w:sz="0" w:space="0" w:color="auto"/>
                <w:right w:val="none" w:sz="0" w:space="0" w:color="auto"/>
              </w:divBdr>
            </w:div>
          </w:divsChild>
        </w:div>
        <w:div w:id="1620990699">
          <w:marLeft w:val="0"/>
          <w:marRight w:val="0"/>
          <w:marTop w:val="0"/>
          <w:marBottom w:val="0"/>
          <w:divBdr>
            <w:top w:val="none" w:sz="0" w:space="0" w:color="auto"/>
            <w:left w:val="none" w:sz="0" w:space="0" w:color="auto"/>
            <w:bottom w:val="none" w:sz="0" w:space="0" w:color="auto"/>
            <w:right w:val="none" w:sz="0" w:space="0" w:color="auto"/>
          </w:divBdr>
        </w:div>
        <w:div w:id="1622956331">
          <w:marLeft w:val="0"/>
          <w:marRight w:val="0"/>
          <w:marTop w:val="0"/>
          <w:marBottom w:val="0"/>
          <w:divBdr>
            <w:top w:val="none" w:sz="0" w:space="0" w:color="auto"/>
            <w:left w:val="none" w:sz="0" w:space="0" w:color="auto"/>
            <w:bottom w:val="none" w:sz="0" w:space="0" w:color="auto"/>
            <w:right w:val="none" w:sz="0" w:space="0" w:color="auto"/>
          </w:divBdr>
        </w:div>
        <w:div w:id="1623069301">
          <w:marLeft w:val="0"/>
          <w:marRight w:val="0"/>
          <w:marTop w:val="0"/>
          <w:marBottom w:val="0"/>
          <w:divBdr>
            <w:top w:val="none" w:sz="0" w:space="0" w:color="auto"/>
            <w:left w:val="none" w:sz="0" w:space="0" w:color="auto"/>
            <w:bottom w:val="none" w:sz="0" w:space="0" w:color="auto"/>
            <w:right w:val="none" w:sz="0" w:space="0" w:color="auto"/>
          </w:divBdr>
        </w:div>
        <w:div w:id="1624389100">
          <w:marLeft w:val="0"/>
          <w:marRight w:val="0"/>
          <w:marTop w:val="0"/>
          <w:marBottom w:val="0"/>
          <w:divBdr>
            <w:top w:val="none" w:sz="0" w:space="0" w:color="auto"/>
            <w:left w:val="none" w:sz="0" w:space="0" w:color="auto"/>
            <w:bottom w:val="none" w:sz="0" w:space="0" w:color="auto"/>
            <w:right w:val="none" w:sz="0" w:space="0" w:color="auto"/>
          </w:divBdr>
        </w:div>
        <w:div w:id="1624648216">
          <w:marLeft w:val="0"/>
          <w:marRight w:val="0"/>
          <w:marTop w:val="0"/>
          <w:marBottom w:val="0"/>
          <w:divBdr>
            <w:top w:val="none" w:sz="0" w:space="0" w:color="auto"/>
            <w:left w:val="none" w:sz="0" w:space="0" w:color="auto"/>
            <w:bottom w:val="none" w:sz="0" w:space="0" w:color="auto"/>
            <w:right w:val="none" w:sz="0" w:space="0" w:color="auto"/>
          </w:divBdr>
        </w:div>
        <w:div w:id="1626154458">
          <w:marLeft w:val="0"/>
          <w:marRight w:val="0"/>
          <w:marTop w:val="0"/>
          <w:marBottom w:val="0"/>
          <w:divBdr>
            <w:top w:val="none" w:sz="0" w:space="0" w:color="auto"/>
            <w:left w:val="none" w:sz="0" w:space="0" w:color="auto"/>
            <w:bottom w:val="none" w:sz="0" w:space="0" w:color="auto"/>
            <w:right w:val="none" w:sz="0" w:space="0" w:color="auto"/>
          </w:divBdr>
        </w:div>
        <w:div w:id="1626346834">
          <w:marLeft w:val="0"/>
          <w:marRight w:val="0"/>
          <w:marTop w:val="0"/>
          <w:marBottom w:val="0"/>
          <w:divBdr>
            <w:top w:val="none" w:sz="0" w:space="0" w:color="auto"/>
            <w:left w:val="none" w:sz="0" w:space="0" w:color="auto"/>
            <w:bottom w:val="none" w:sz="0" w:space="0" w:color="auto"/>
            <w:right w:val="none" w:sz="0" w:space="0" w:color="auto"/>
          </w:divBdr>
        </w:div>
        <w:div w:id="1626692298">
          <w:marLeft w:val="0"/>
          <w:marRight w:val="0"/>
          <w:marTop w:val="0"/>
          <w:marBottom w:val="0"/>
          <w:divBdr>
            <w:top w:val="none" w:sz="0" w:space="0" w:color="auto"/>
            <w:left w:val="none" w:sz="0" w:space="0" w:color="auto"/>
            <w:bottom w:val="none" w:sz="0" w:space="0" w:color="auto"/>
            <w:right w:val="none" w:sz="0" w:space="0" w:color="auto"/>
          </w:divBdr>
        </w:div>
        <w:div w:id="1627655934">
          <w:marLeft w:val="0"/>
          <w:marRight w:val="0"/>
          <w:marTop w:val="0"/>
          <w:marBottom w:val="0"/>
          <w:divBdr>
            <w:top w:val="none" w:sz="0" w:space="0" w:color="auto"/>
            <w:left w:val="none" w:sz="0" w:space="0" w:color="auto"/>
            <w:bottom w:val="none" w:sz="0" w:space="0" w:color="auto"/>
            <w:right w:val="none" w:sz="0" w:space="0" w:color="auto"/>
          </w:divBdr>
        </w:div>
        <w:div w:id="1627926686">
          <w:marLeft w:val="0"/>
          <w:marRight w:val="0"/>
          <w:marTop w:val="0"/>
          <w:marBottom w:val="0"/>
          <w:divBdr>
            <w:top w:val="none" w:sz="0" w:space="0" w:color="auto"/>
            <w:left w:val="none" w:sz="0" w:space="0" w:color="auto"/>
            <w:bottom w:val="none" w:sz="0" w:space="0" w:color="auto"/>
            <w:right w:val="none" w:sz="0" w:space="0" w:color="auto"/>
          </w:divBdr>
        </w:div>
        <w:div w:id="1630208685">
          <w:marLeft w:val="0"/>
          <w:marRight w:val="0"/>
          <w:marTop w:val="0"/>
          <w:marBottom w:val="0"/>
          <w:divBdr>
            <w:top w:val="none" w:sz="0" w:space="0" w:color="auto"/>
            <w:left w:val="none" w:sz="0" w:space="0" w:color="auto"/>
            <w:bottom w:val="none" w:sz="0" w:space="0" w:color="auto"/>
            <w:right w:val="none" w:sz="0" w:space="0" w:color="auto"/>
          </w:divBdr>
        </w:div>
        <w:div w:id="1633438629">
          <w:marLeft w:val="0"/>
          <w:marRight w:val="0"/>
          <w:marTop w:val="0"/>
          <w:marBottom w:val="0"/>
          <w:divBdr>
            <w:top w:val="none" w:sz="0" w:space="0" w:color="auto"/>
            <w:left w:val="none" w:sz="0" w:space="0" w:color="auto"/>
            <w:bottom w:val="none" w:sz="0" w:space="0" w:color="auto"/>
            <w:right w:val="none" w:sz="0" w:space="0" w:color="auto"/>
          </w:divBdr>
        </w:div>
        <w:div w:id="1634753417">
          <w:marLeft w:val="0"/>
          <w:marRight w:val="0"/>
          <w:marTop w:val="0"/>
          <w:marBottom w:val="0"/>
          <w:divBdr>
            <w:top w:val="none" w:sz="0" w:space="0" w:color="auto"/>
            <w:left w:val="none" w:sz="0" w:space="0" w:color="auto"/>
            <w:bottom w:val="none" w:sz="0" w:space="0" w:color="auto"/>
            <w:right w:val="none" w:sz="0" w:space="0" w:color="auto"/>
          </w:divBdr>
        </w:div>
        <w:div w:id="1634754632">
          <w:marLeft w:val="0"/>
          <w:marRight w:val="0"/>
          <w:marTop w:val="0"/>
          <w:marBottom w:val="0"/>
          <w:divBdr>
            <w:top w:val="none" w:sz="0" w:space="0" w:color="auto"/>
            <w:left w:val="none" w:sz="0" w:space="0" w:color="auto"/>
            <w:bottom w:val="none" w:sz="0" w:space="0" w:color="auto"/>
            <w:right w:val="none" w:sz="0" w:space="0" w:color="auto"/>
          </w:divBdr>
        </w:div>
        <w:div w:id="1634866018">
          <w:marLeft w:val="0"/>
          <w:marRight w:val="0"/>
          <w:marTop w:val="0"/>
          <w:marBottom w:val="0"/>
          <w:divBdr>
            <w:top w:val="none" w:sz="0" w:space="0" w:color="auto"/>
            <w:left w:val="none" w:sz="0" w:space="0" w:color="auto"/>
            <w:bottom w:val="none" w:sz="0" w:space="0" w:color="auto"/>
            <w:right w:val="none" w:sz="0" w:space="0" w:color="auto"/>
          </w:divBdr>
        </w:div>
        <w:div w:id="1635329501">
          <w:marLeft w:val="0"/>
          <w:marRight w:val="0"/>
          <w:marTop w:val="0"/>
          <w:marBottom w:val="0"/>
          <w:divBdr>
            <w:top w:val="none" w:sz="0" w:space="0" w:color="auto"/>
            <w:left w:val="none" w:sz="0" w:space="0" w:color="auto"/>
            <w:bottom w:val="none" w:sz="0" w:space="0" w:color="auto"/>
            <w:right w:val="none" w:sz="0" w:space="0" w:color="auto"/>
          </w:divBdr>
        </w:div>
        <w:div w:id="1635453489">
          <w:marLeft w:val="0"/>
          <w:marRight w:val="0"/>
          <w:marTop w:val="0"/>
          <w:marBottom w:val="0"/>
          <w:divBdr>
            <w:top w:val="none" w:sz="0" w:space="0" w:color="auto"/>
            <w:left w:val="none" w:sz="0" w:space="0" w:color="auto"/>
            <w:bottom w:val="none" w:sz="0" w:space="0" w:color="auto"/>
            <w:right w:val="none" w:sz="0" w:space="0" w:color="auto"/>
          </w:divBdr>
        </w:div>
        <w:div w:id="1636792541">
          <w:marLeft w:val="0"/>
          <w:marRight w:val="0"/>
          <w:marTop w:val="0"/>
          <w:marBottom w:val="0"/>
          <w:divBdr>
            <w:top w:val="none" w:sz="0" w:space="0" w:color="auto"/>
            <w:left w:val="none" w:sz="0" w:space="0" w:color="auto"/>
            <w:bottom w:val="none" w:sz="0" w:space="0" w:color="auto"/>
            <w:right w:val="none" w:sz="0" w:space="0" w:color="auto"/>
          </w:divBdr>
        </w:div>
        <w:div w:id="1636981996">
          <w:marLeft w:val="0"/>
          <w:marRight w:val="0"/>
          <w:marTop w:val="0"/>
          <w:marBottom w:val="0"/>
          <w:divBdr>
            <w:top w:val="none" w:sz="0" w:space="0" w:color="auto"/>
            <w:left w:val="none" w:sz="0" w:space="0" w:color="auto"/>
            <w:bottom w:val="none" w:sz="0" w:space="0" w:color="auto"/>
            <w:right w:val="none" w:sz="0" w:space="0" w:color="auto"/>
          </w:divBdr>
        </w:div>
        <w:div w:id="1642928071">
          <w:marLeft w:val="0"/>
          <w:marRight w:val="0"/>
          <w:marTop w:val="0"/>
          <w:marBottom w:val="0"/>
          <w:divBdr>
            <w:top w:val="none" w:sz="0" w:space="0" w:color="auto"/>
            <w:left w:val="none" w:sz="0" w:space="0" w:color="auto"/>
            <w:bottom w:val="none" w:sz="0" w:space="0" w:color="auto"/>
            <w:right w:val="none" w:sz="0" w:space="0" w:color="auto"/>
          </w:divBdr>
        </w:div>
        <w:div w:id="1643391547">
          <w:marLeft w:val="0"/>
          <w:marRight w:val="0"/>
          <w:marTop w:val="0"/>
          <w:marBottom w:val="0"/>
          <w:divBdr>
            <w:top w:val="none" w:sz="0" w:space="0" w:color="auto"/>
            <w:left w:val="none" w:sz="0" w:space="0" w:color="auto"/>
            <w:bottom w:val="none" w:sz="0" w:space="0" w:color="auto"/>
            <w:right w:val="none" w:sz="0" w:space="0" w:color="auto"/>
          </w:divBdr>
        </w:div>
        <w:div w:id="1646811523">
          <w:marLeft w:val="0"/>
          <w:marRight w:val="0"/>
          <w:marTop w:val="0"/>
          <w:marBottom w:val="0"/>
          <w:divBdr>
            <w:top w:val="none" w:sz="0" w:space="0" w:color="auto"/>
            <w:left w:val="none" w:sz="0" w:space="0" w:color="auto"/>
            <w:bottom w:val="none" w:sz="0" w:space="0" w:color="auto"/>
            <w:right w:val="none" w:sz="0" w:space="0" w:color="auto"/>
          </w:divBdr>
        </w:div>
        <w:div w:id="1647660637">
          <w:marLeft w:val="0"/>
          <w:marRight w:val="0"/>
          <w:marTop w:val="0"/>
          <w:marBottom w:val="0"/>
          <w:divBdr>
            <w:top w:val="none" w:sz="0" w:space="0" w:color="auto"/>
            <w:left w:val="none" w:sz="0" w:space="0" w:color="auto"/>
            <w:bottom w:val="none" w:sz="0" w:space="0" w:color="auto"/>
            <w:right w:val="none" w:sz="0" w:space="0" w:color="auto"/>
          </w:divBdr>
        </w:div>
        <w:div w:id="1648778399">
          <w:marLeft w:val="0"/>
          <w:marRight w:val="0"/>
          <w:marTop w:val="0"/>
          <w:marBottom w:val="0"/>
          <w:divBdr>
            <w:top w:val="none" w:sz="0" w:space="0" w:color="auto"/>
            <w:left w:val="none" w:sz="0" w:space="0" w:color="auto"/>
            <w:bottom w:val="none" w:sz="0" w:space="0" w:color="auto"/>
            <w:right w:val="none" w:sz="0" w:space="0" w:color="auto"/>
          </w:divBdr>
        </w:div>
        <w:div w:id="1650787493">
          <w:marLeft w:val="0"/>
          <w:marRight w:val="0"/>
          <w:marTop w:val="0"/>
          <w:marBottom w:val="0"/>
          <w:divBdr>
            <w:top w:val="none" w:sz="0" w:space="0" w:color="auto"/>
            <w:left w:val="none" w:sz="0" w:space="0" w:color="auto"/>
            <w:bottom w:val="none" w:sz="0" w:space="0" w:color="auto"/>
            <w:right w:val="none" w:sz="0" w:space="0" w:color="auto"/>
          </w:divBdr>
        </w:div>
        <w:div w:id="1652826472">
          <w:marLeft w:val="0"/>
          <w:marRight w:val="0"/>
          <w:marTop w:val="0"/>
          <w:marBottom w:val="0"/>
          <w:divBdr>
            <w:top w:val="none" w:sz="0" w:space="0" w:color="auto"/>
            <w:left w:val="none" w:sz="0" w:space="0" w:color="auto"/>
            <w:bottom w:val="none" w:sz="0" w:space="0" w:color="auto"/>
            <w:right w:val="none" w:sz="0" w:space="0" w:color="auto"/>
          </w:divBdr>
        </w:div>
        <w:div w:id="1656684678">
          <w:marLeft w:val="0"/>
          <w:marRight w:val="0"/>
          <w:marTop w:val="0"/>
          <w:marBottom w:val="0"/>
          <w:divBdr>
            <w:top w:val="none" w:sz="0" w:space="0" w:color="auto"/>
            <w:left w:val="none" w:sz="0" w:space="0" w:color="auto"/>
            <w:bottom w:val="none" w:sz="0" w:space="0" w:color="auto"/>
            <w:right w:val="none" w:sz="0" w:space="0" w:color="auto"/>
          </w:divBdr>
        </w:div>
        <w:div w:id="1658681622">
          <w:marLeft w:val="0"/>
          <w:marRight w:val="0"/>
          <w:marTop w:val="0"/>
          <w:marBottom w:val="0"/>
          <w:divBdr>
            <w:top w:val="none" w:sz="0" w:space="0" w:color="auto"/>
            <w:left w:val="none" w:sz="0" w:space="0" w:color="auto"/>
            <w:bottom w:val="none" w:sz="0" w:space="0" w:color="auto"/>
            <w:right w:val="none" w:sz="0" w:space="0" w:color="auto"/>
          </w:divBdr>
          <w:divsChild>
            <w:div w:id="211385578">
              <w:marLeft w:val="0"/>
              <w:marRight w:val="0"/>
              <w:marTop w:val="0"/>
              <w:marBottom w:val="0"/>
              <w:divBdr>
                <w:top w:val="none" w:sz="0" w:space="0" w:color="auto"/>
                <w:left w:val="none" w:sz="0" w:space="0" w:color="auto"/>
                <w:bottom w:val="none" w:sz="0" w:space="0" w:color="auto"/>
                <w:right w:val="none" w:sz="0" w:space="0" w:color="auto"/>
              </w:divBdr>
            </w:div>
            <w:div w:id="389697404">
              <w:marLeft w:val="0"/>
              <w:marRight w:val="0"/>
              <w:marTop w:val="0"/>
              <w:marBottom w:val="0"/>
              <w:divBdr>
                <w:top w:val="none" w:sz="0" w:space="0" w:color="auto"/>
                <w:left w:val="none" w:sz="0" w:space="0" w:color="auto"/>
                <w:bottom w:val="none" w:sz="0" w:space="0" w:color="auto"/>
                <w:right w:val="none" w:sz="0" w:space="0" w:color="auto"/>
              </w:divBdr>
            </w:div>
            <w:div w:id="607196404">
              <w:marLeft w:val="0"/>
              <w:marRight w:val="0"/>
              <w:marTop w:val="0"/>
              <w:marBottom w:val="0"/>
              <w:divBdr>
                <w:top w:val="none" w:sz="0" w:space="0" w:color="auto"/>
                <w:left w:val="none" w:sz="0" w:space="0" w:color="auto"/>
                <w:bottom w:val="none" w:sz="0" w:space="0" w:color="auto"/>
                <w:right w:val="none" w:sz="0" w:space="0" w:color="auto"/>
              </w:divBdr>
            </w:div>
            <w:div w:id="618493924">
              <w:marLeft w:val="0"/>
              <w:marRight w:val="0"/>
              <w:marTop w:val="0"/>
              <w:marBottom w:val="0"/>
              <w:divBdr>
                <w:top w:val="none" w:sz="0" w:space="0" w:color="auto"/>
                <w:left w:val="none" w:sz="0" w:space="0" w:color="auto"/>
                <w:bottom w:val="none" w:sz="0" w:space="0" w:color="auto"/>
                <w:right w:val="none" w:sz="0" w:space="0" w:color="auto"/>
              </w:divBdr>
            </w:div>
            <w:div w:id="643464191">
              <w:marLeft w:val="0"/>
              <w:marRight w:val="0"/>
              <w:marTop w:val="0"/>
              <w:marBottom w:val="0"/>
              <w:divBdr>
                <w:top w:val="none" w:sz="0" w:space="0" w:color="auto"/>
                <w:left w:val="none" w:sz="0" w:space="0" w:color="auto"/>
                <w:bottom w:val="none" w:sz="0" w:space="0" w:color="auto"/>
                <w:right w:val="none" w:sz="0" w:space="0" w:color="auto"/>
              </w:divBdr>
            </w:div>
            <w:div w:id="740904409">
              <w:marLeft w:val="0"/>
              <w:marRight w:val="0"/>
              <w:marTop w:val="0"/>
              <w:marBottom w:val="0"/>
              <w:divBdr>
                <w:top w:val="none" w:sz="0" w:space="0" w:color="auto"/>
                <w:left w:val="none" w:sz="0" w:space="0" w:color="auto"/>
                <w:bottom w:val="none" w:sz="0" w:space="0" w:color="auto"/>
                <w:right w:val="none" w:sz="0" w:space="0" w:color="auto"/>
              </w:divBdr>
            </w:div>
            <w:div w:id="783885306">
              <w:marLeft w:val="0"/>
              <w:marRight w:val="0"/>
              <w:marTop w:val="0"/>
              <w:marBottom w:val="0"/>
              <w:divBdr>
                <w:top w:val="none" w:sz="0" w:space="0" w:color="auto"/>
                <w:left w:val="none" w:sz="0" w:space="0" w:color="auto"/>
                <w:bottom w:val="none" w:sz="0" w:space="0" w:color="auto"/>
                <w:right w:val="none" w:sz="0" w:space="0" w:color="auto"/>
              </w:divBdr>
            </w:div>
            <w:div w:id="795685876">
              <w:marLeft w:val="0"/>
              <w:marRight w:val="0"/>
              <w:marTop w:val="0"/>
              <w:marBottom w:val="0"/>
              <w:divBdr>
                <w:top w:val="none" w:sz="0" w:space="0" w:color="auto"/>
                <w:left w:val="none" w:sz="0" w:space="0" w:color="auto"/>
                <w:bottom w:val="none" w:sz="0" w:space="0" w:color="auto"/>
                <w:right w:val="none" w:sz="0" w:space="0" w:color="auto"/>
              </w:divBdr>
            </w:div>
            <w:div w:id="846404155">
              <w:marLeft w:val="0"/>
              <w:marRight w:val="0"/>
              <w:marTop w:val="0"/>
              <w:marBottom w:val="0"/>
              <w:divBdr>
                <w:top w:val="none" w:sz="0" w:space="0" w:color="auto"/>
                <w:left w:val="none" w:sz="0" w:space="0" w:color="auto"/>
                <w:bottom w:val="none" w:sz="0" w:space="0" w:color="auto"/>
                <w:right w:val="none" w:sz="0" w:space="0" w:color="auto"/>
              </w:divBdr>
            </w:div>
            <w:div w:id="1091202275">
              <w:marLeft w:val="0"/>
              <w:marRight w:val="0"/>
              <w:marTop w:val="0"/>
              <w:marBottom w:val="0"/>
              <w:divBdr>
                <w:top w:val="none" w:sz="0" w:space="0" w:color="auto"/>
                <w:left w:val="none" w:sz="0" w:space="0" w:color="auto"/>
                <w:bottom w:val="none" w:sz="0" w:space="0" w:color="auto"/>
                <w:right w:val="none" w:sz="0" w:space="0" w:color="auto"/>
              </w:divBdr>
            </w:div>
            <w:div w:id="1133522678">
              <w:marLeft w:val="0"/>
              <w:marRight w:val="0"/>
              <w:marTop w:val="0"/>
              <w:marBottom w:val="0"/>
              <w:divBdr>
                <w:top w:val="none" w:sz="0" w:space="0" w:color="auto"/>
                <w:left w:val="none" w:sz="0" w:space="0" w:color="auto"/>
                <w:bottom w:val="none" w:sz="0" w:space="0" w:color="auto"/>
                <w:right w:val="none" w:sz="0" w:space="0" w:color="auto"/>
              </w:divBdr>
            </w:div>
            <w:div w:id="1279022023">
              <w:marLeft w:val="0"/>
              <w:marRight w:val="0"/>
              <w:marTop w:val="0"/>
              <w:marBottom w:val="0"/>
              <w:divBdr>
                <w:top w:val="none" w:sz="0" w:space="0" w:color="auto"/>
                <w:left w:val="none" w:sz="0" w:space="0" w:color="auto"/>
                <w:bottom w:val="none" w:sz="0" w:space="0" w:color="auto"/>
                <w:right w:val="none" w:sz="0" w:space="0" w:color="auto"/>
              </w:divBdr>
            </w:div>
            <w:div w:id="1333992431">
              <w:marLeft w:val="0"/>
              <w:marRight w:val="0"/>
              <w:marTop w:val="0"/>
              <w:marBottom w:val="0"/>
              <w:divBdr>
                <w:top w:val="none" w:sz="0" w:space="0" w:color="auto"/>
                <w:left w:val="none" w:sz="0" w:space="0" w:color="auto"/>
                <w:bottom w:val="none" w:sz="0" w:space="0" w:color="auto"/>
                <w:right w:val="none" w:sz="0" w:space="0" w:color="auto"/>
              </w:divBdr>
            </w:div>
            <w:div w:id="1429157938">
              <w:marLeft w:val="0"/>
              <w:marRight w:val="0"/>
              <w:marTop w:val="0"/>
              <w:marBottom w:val="0"/>
              <w:divBdr>
                <w:top w:val="none" w:sz="0" w:space="0" w:color="auto"/>
                <w:left w:val="none" w:sz="0" w:space="0" w:color="auto"/>
                <w:bottom w:val="none" w:sz="0" w:space="0" w:color="auto"/>
                <w:right w:val="none" w:sz="0" w:space="0" w:color="auto"/>
              </w:divBdr>
            </w:div>
            <w:div w:id="1453594783">
              <w:marLeft w:val="0"/>
              <w:marRight w:val="0"/>
              <w:marTop w:val="0"/>
              <w:marBottom w:val="0"/>
              <w:divBdr>
                <w:top w:val="none" w:sz="0" w:space="0" w:color="auto"/>
                <w:left w:val="none" w:sz="0" w:space="0" w:color="auto"/>
                <w:bottom w:val="none" w:sz="0" w:space="0" w:color="auto"/>
                <w:right w:val="none" w:sz="0" w:space="0" w:color="auto"/>
              </w:divBdr>
            </w:div>
            <w:div w:id="1754007533">
              <w:marLeft w:val="0"/>
              <w:marRight w:val="0"/>
              <w:marTop w:val="0"/>
              <w:marBottom w:val="0"/>
              <w:divBdr>
                <w:top w:val="none" w:sz="0" w:space="0" w:color="auto"/>
                <w:left w:val="none" w:sz="0" w:space="0" w:color="auto"/>
                <w:bottom w:val="none" w:sz="0" w:space="0" w:color="auto"/>
                <w:right w:val="none" w:sz="0" w:space="0" w:color="auto"/>
              </w:divBdr>
            </w:div>
            <w:div w:id="1754860541">
              <w:marLeft w:val="0"/>
              <w:marRight w:val="0"/>
              <w:marTop w:val="0"/>
              <w:marBottom w:val="0"/>
              <w:divBdr>
                <w:top w:val="none" w:sz="0" w:space="0" w:color="auto"/>
                <w:left w:val="none" w:sz="0" w:space="0" w:color="auto"/>
                <w:bottom w:val="none" w:sz="0" w:space="0" w:color="auto"/>
                <w:right w:val="none" w:sz="0" w:space="0" w:color="auto"/>
              </w:divBdr>
            </w:div>
            <w:div w:id="1811946012">
              <w:marLeft w:val="0"/>
              <w:marRight w:val="0"/>
              <w:marTop w:val="0"/>
              <w:marBottom w:val="0"/>
              <w:divBdr>
                <w:top w:val="none" w:sz="0" w:space="0" w:color="auto"/>
                <w:left w:val="none" w:sz="0" w:space="0" w:color="auto"/>
                <w:bottom w:val="none" w:sz="0" w:space="0" w:color="auto"/>
                <w:right w:val="none" w:sz="0" w:space="0" w:color="auto"/>
              </w:divBdr>
            </w:div>
            <w:div w:id="1852909754">
              <w:marLeft w:val="0"/>
              <w:marRight w:val="0"/>
              <w:marTop w:val="0"/>
              <w:marBottom w:val="0"/>
              <w:divBdr>
                <w:top w:val="none" w:sz="0" w:space="0" w:color="auto"/>
                <w:left w:val="none" w:sz="0" w:space="0" w:color="auto"/>
                <w:bottom w:val="none" w:sz="0" w:space="0" w:color="auto"/>
                <w:right w:val="none" w:sz="0" w:space="0" w:color="auto"/>
              </w:divBdr>
            </w:div>
            <w:div w:id="1964917383">
              <w:marLeft w:val="0"/>
              <w:marRight w:val="0"/>
              <w:marTop w:val="0"/>
              <w:marBottom w:val="0"/>
              <w:divBdr>
                <w:top w:val="none" w:sz="0" w:space="0" w:color="auto"/>
                <w:left w:val="none" w:sz="0" w:space="0" w:color="auto"/>
                <w:bottom w:val="none" w:sz="0" w:space="0" w:color="auto"/>
                <w:right w:val="none" w:sz="0" w:space="0" w:color="auto"/>
              </w:divBdr>
            </w:div>
          </w:divsChild>
        </w:div>
        <w:div w:id="1659651781">
          <w:marLeft w:val="0"/>
          <w:marRight w:val="0"/>
          <w:marTop w:val="0"/>
          <w:marBottom w:val="0"/>
          <w:divBdr>
            <w:top w:val="none" w:sz="0" w:space="0" w:color="auto"/>
            <w:left w:val="none" w:sz="0" w:space="0" w:color="auto"/>
            <w:bottom w:val="none" w:sz="0" w:space="0" w:color="auto"/>
            <w:right w:val="none" w:sz="0" w:space="0" w:color="auto"/>
          </w:divBdr>
        </w:div>
        <w:div w:id="1661809404">
          <w:marLeft w:val="0"/>
          <w:marRight w:val="0"/>
          <w:marTop w:val="0"/>
          <w:marBottom w:val="0"/>
          <w:divBdr>
            <w:top w:val="none" w:sz="0" w:space="0" w:color="auto"/>
            <w:left w:val="none" w:sz="0" w:space="0" w:color="auto"/>
            <w:bottom w:val="none" w:sz="0" w:space="0" w:color="auto"/>
            <w:right w:val="none" w:sz="0" w:space="0" w:color="auto"/>
          </w:divBdr>
        </w:div>
        <w:div w:id="1662349192">
          <w:marLeft w:val="0"/>
          <w:marRight w:val="0"/>
          <w:marTop w:val="0"/>
          <w:marBottom w:val="0"/>
          <w:divBdr>
            <w:top w:val="none" w:sz="0" w:space="0" w:color="auto"/>
            <w:left w:val="none" w:sz="0" w:space="0" w:color="auto"/>
            <w:bottom w:val="none" w:sz="0" w:space="0" w:color="auto"/>
            <w:right w:val="none" w:sz="0" w:space="0" w:color="auto"/>
          </w:divBdr>
        </w:div>
        <w:div w:id="1664622076">
          <w:marLeft w:val="0"/>
          <w:marRight w:val="0"/>
          <w:marTop w:val="0"/>
          <w:marBottom w:val="0"/>
          <w:divBdr>
            <w:top w:val="none" w:sz="0" w:space="0" w:color="auto"/>
            <w:left w:val="none" w:sz="0" w:space="0" w:color="auto"/>
            <w:bottom w:val="none" w:sz="0" w:space="0" w:color="auto"/>
            <w:right w:val="none" w:sz="0" w:space="0" w:color="auto"/>
          </w:divBdr>
          <w:divsChild>
            <w:div w:id="15085957">
              <w:marLeft w:val="0"/>
              <w:marRight w:val="0"/>
              <w:marTop w:val="0"/>
              <w:marBottom w:val="0"/>
              <w:divBdr>
                <w:top w:val="none" w:sz="0" w:space="0" w:color="auto"/>
                <w:left w:val="none" w:sz="0" w:space="0" w:color="auto"/>
                <w:bottom w:val="none" w:sz="0" w:space="0" w:color="auto"/>
                <w:right w:val="none" w:sz="0" w:space="0" w:color="auto"/>
              </w:divBdr>
            </w:div>
            <w:div w:id="131948661">
              <w:marLeft w:val="0"/>
              <w:marRight w:val="0"/>
              <w:marTop w:val="0"/>
              <w:marBottom w:val="0"/>
              <w:divBdr>
                <w:top w:val="none" w:sz="0" w:space="0" w:color="auto"/>
                <w:left w:val="none" w:sz="0" w:space="0" w:color="auto"/>
                <w:bottom w:val="none" w:sz="0" w:space="0" w:color="auto"/>
                <w:right w:val="none" w:sz="0" w:space="0" w:color="auto"/>
              </w:divBdr>
            </w:div>
            <w:div w:id="352656013">
              <w:marLeft w:val="0"/>
              <w:marRight w:val="0"/>
              <w:marTop w:val="0"/>
              <w:marBottom w:val="0"/>
              <w:divBdr>
                <w:top w:val="none" w:sz="0" w:space="0" w:color="auto"/>
                <w:left w:val="none" w:sz="0" w:space="0" w:color="auto"/>
                <w:bottom w:val="none" w:sz="0" w:space="0" w:color="auto"/>
                <w:right w:val="none" w:sz="0" w:space="0" w:color="auto"/>
              </w:divBdr>
            </w:div>
            <w:div w:id="450394908">
              <w:marLeft w:val="0"/>
              <w:marRight w:val="0"/>
              <w:marTop w:val="0"/>
              <w:marBottom w:val="0"/>
              <w:divBdr>
                <w:top w:val="none" w:sz="0" w:space="0" w:color="auto"/>
                <w:left w:val="none" w:sz="0" w:space="0" w:color="auto"/>
                <w:bottom w:val="none" w:sz="0" w:space="0" w:color="auto"/>
                <w:right w:val="none" w:sz="0" w:space="0" w:color="auto"/>
              </w:divBdr>
            </w:div>
            <w:div w:id="808011109">
              <w:marLeft w:val="0"/>
              <w:marRight w:val="0"/>
              <w:marTop w:val="0"/>
              <w:marBottom w:val="0"/>
              <w:divBdr>
                <w:top w:val="none" w:sz="0" w:space="0" w:color="auto"/>
                <w:left w:val="none" w:sz="0" w:space="0" w:color="auto"/>
                <w:bottom w:val="none" w:sz="0" w:space="0" w:color="auto"/>
                <w:right w:val="none" w:sz="0" w:space="0" w:color="auto"/>
              </w:divBdr>
            </w:div>
            <w:div w:id="916130540">
              <w:marLeft w:val="0"/>
              <w:marRight w:val="0"/>
              <w:marTop w:val="0"/>
              <w:marBottom w:val="0"/>
              <w:divBdr>
                <w:top w:val="none" w:sz="0" w:space="0" w:color="auto"/>
                <w:left w:val="none" w:sz="0" w:space="0" w:color="auto"/>
                <w:bottom w:val="none" w:sz="0" w:space="0" w:color="auto"/>
                <w:right w:val="none" w:sz="0" w:space="0" w:color="auto"/>
              </w:divBdr>
            </w:div>
            <w:div w:id="1013067244">
              <w:marLeft w:val="0"/>
              <w:marRight w:val="0"/>
              <w:marTop w:val="0"/>
              <w:marBottom w:val="0"/>
              <w:divBdr>
                <w:top w:val="none" w:sz="0" w:space="0" w:color="auto"/>
                <w:left w:val="none" w:sz="0" w:space="0" w:color="auto"/>
                <w:bottom w:val="none" w:sz="0" w:space="0" w:color="auto"/>
                <w:right w:val="none" w:sz="0" w:space="0" w:color="auto"/>
              </w:divBdr>
            </w:div>
            <w:div w:id="1233272557">
              <w:marLeft w:val="0"/>
              <w:marRight w:val="0"/>
              <w:marTop w:val="0"/>
              <w:marBottom w:val="0"/>
              <w:divBdr>
                <w:top w:val="none" w:sz="0" w:space="0" w:color="auto"/>
                <w:left w:val="none" w:sz="0" w:space="0" w:color="auto"/>
                <w:bottom w:val="none" w:sz="0" w:space="0" w:color="auto"/>
                <w:right w:val="none" w:sz="0" w:space="0" w:color="auto"/>
              </w:divBdr>
            </w:div>
            <w:div w:id="1462654097">
              <w:marLeft w:val="0"/>
              <w:marRight w:val="0"/>
              <w:marTop w:val="0"/>
              <w:marBottom w:val="0"/>
              <w:divBdr>
                <w:top w:val="none" w:sz="0" w:space="0" w:color="auto"/>
                <w:left w:val="none" w:sz="0" w:space="0" w:color="auto"/>
                <w:bottom w:val="none" w:sz="0" w:space="0" w:color="auto"/>
                <w:right w:val="none" w:sz="0" w:space="0" w:color="auto"/>
              </w:divBdr>
            </w:div>
            <w:div w:id="1481578344">
              <w:marLeft w:val="0"/>
              <w:marRight w:val="0"/>
              <w:marTop w:val="0"/>
              <w:marBottom w:val="0"/>
              <w:divBdr>
                <w:top w:val="none" w:sz="0" w:space="0" w:color="auto"/>
                <w:left w:val="none" w:sz="0" w:space="0" w:color="auto"/>
                <w:bottom w:val="none" w:sz="0" w:space="0" w:color="auto"/>
                <w:right w:val="none" w:sz="0" w:space="0" w:color="auto"/>
              </w:divBdr>
            </w:div>
          </w:divsChild>
        </w:div>
        <w:div w:id="1665930235">
          <w:marLeft w:val="0"/>
          <w:marRight w:val="0"/>
          <w:marTop w:val="0"/>
          <w:marBottom w:val="0"/>
          <w:divBdr>
            <w:top w:val="none" w:sz="0" w:space="0" w:color="auto"/>
            <w:left w:val="none" w:sz="0" w:space="0" w:color="auto"/>
            <w:bottom w:val="none" w:sz="0" w:space="0" w:color="auto"/>
            <w:right w:val="none" w:sz="0" w:space="0" w:color="auto"/>
          </w:divBdr>
        </w:div>
        <w:div w:id="1669479066">
          <w:marLeft w:val="0"/>
          <w:marRight w:val="0"/>
          <w:marTop w:val="0"/>
          <w:marBottom w:val="0"/>
          <w:divBdr>
            <w:top w:val="none" w:sz="0" w:space="0" w:color="auto"/>
            <w:left w:val="none" w:sz="0" w:space="0" w:color="auto"/>
            <w:bottom w:val="none" w:sz="0" w:space="0" w:color="auto"/>
            <w:right w:val="none" w:sz="0" w:space="0" w:color="auto"/>
          </w:divBdr>
        </w:div>
        <w:div w:id="1670055895">
          <w:marLeft w:val="0"/>
          <w:marRight w:val="0"/>
          <w:marTop w:val="0"/>
          <w:marBottom w:val="0"/>
          <w:divBdr>
            <w:top w:val="none" w:sz="0" w:space="0" w:color="auto"/>
            <w:left w:val="none" w:sz="0" w:space="0" w:color="auto"/>
            <w:bottom w:val="none" w:sz="0" w:space="0" w:color="auto"/>
            <w:right w:val="none" w:sz="0" w:space="0" w:color="auto"/>
          </w:divBdr>
        </w:div>
        <w:div w:id="1670596309">
          <w:marLeft w:val="0"/>
          <w:marRight w:val="0"/>
          <w:marTop w:val="0"/>
          <w:marBottom w:val="0"/>
          <w:divBdr>
            <w:top w:val="none" w:sz="0" w:space="0" w:color="auto"/>
            <w:left w:val="none" w:sz="0" w:space="0" w:color="auto"/>
            <w:bottom w:val="none" w:sz="0" w:space="0" w:color="auto"/>
            <w:right w:val="none" w:sz="0" w:space="0" w:color="auto"/>
          </w:divBdr>
        </w:div>
        <w:div w:id="1671448345">
          <w:marLeft w:val="0"/>
          <w:marRight w:val="0"/>
          <w:marTop w:val="0"/>
          <w:marBottom w:val="0"/>
          <w:divBdr>
            <w:top w:val="none" w:sz="0" w:space="0" w:color="auto"/>
            <w:left w:val="none" w:sz="0" w:space="0" w:color="auto"/>
            <w:bottom w:val="none" w:sz="0" w:space="0" w:color="auto"/>
            <w:right w:val="none" w:sz="0" w:space="0" w:color="auto"/>
          </w:divBdr>
        </w:div>
        <w:div w:id="1671907637">
          <w:marLeft w:val="0"/>
          <w:marRight w:val="0"/>
          <w:marTop w:val="0"/>
          <w:marBottom w:val="0"/>
          <w:divBdr>
            <w:top w:val="none" w:sz="0" w:space="0" w:color="auto"/>
            <w:left w:val="none" w:sz="0" w:space="0" w:color="auto"/>
            <w:bottom w:val="none" w:sz="0" w:space="0" w:color="auto"/>
            <w:right w:val="none" w:sz="0" w:space="0" w:color="auto"/>
          </w:divBdr>
        </w:div>
        <w:div w:id="1672247879">
          <w:marLeft w:val="0"/>
          <w:marRight w:val="0"/>
          <w:marTop w:val="0"/>
          <w:marBottom w:val="0"/>
          <w:divBdr>
            <w:top w:val="none" w:sz="0" w:space="0" w:color="auto"/>
            <w:left w:val="none" w:sz="0" w:space="0" w:color="auto"/>
            <w:bottom w:val="none" w:sz="0" w:space="0" w:color="auto"/>
            <w:right w:val="none" w:sz="0" w:space="0" w:color="auto"/>
          </w:divBdr>
        </w:div>
        <w:div w:id="1673139891">
          <w:marLeft w:val="0"/>
          <w:marRight w:val="0"/>
          <w:marTop w:val="0"/>
          <w:marBottom w:val="0"/>
          <w:divBdr>
            <w:top w:val="none" w:sz="0" w:space="0" w:color="auto"/>
            <w:left w:val="none" w:sz="0" w:space="0" w:color="auto"/>
            <w:bottom w:val="none" w:sz="0" w:space="0" w:color="auto"/>
            <w:right w:val="none" w:sz="0" w:space="0" w:color="auto"/>
          </w:divBdr>
        </w:div>
        <w:div w:id="1674338903">
          <w:marLeft w:val="0"/>
          <w:marRight w:val="0"/>
          <w:marTop w:val="0"/>
          <w:marBottom w:val="0"/>
          <w:divBdr>
            <w:top w:val="none" w:sz="0" w:space="0" w:color="auto"/>
            <w:left w:val="none" w:sz="0" w:space="0" w:color="auto"/>
            <w:bottom w:val="none" w:sz="0" w:space="0" w:color="auto"/>
            <w:right w:val="none" w:sz="0" w:space="0" w:color="auto"/>
          </w:divBdr>
          <w:divsChild>
            <w:div w:id="154735242">
              <w:marLeft w:val="0"/>
              <w:marRight w:val="0"/>
              <w:marTop w:val="0"/>
              <w:marBottom w:val="0"/>
              <w:divBdr>
                <w:top w:val="none" w:sz="0" w:space="0" w:color="auto"/>
                <w:left w:val="none" w:sz="0" w:space="0" w:color="auto"/>
                <w:bottom w:val="none" w:sz="0" w:space="0" w:color="auto"/>
                <w:right w:val="none" w:sz="0" w:space="0" w:color="auto"/>
              </w:divBdr>
            </w:div>
            <w:div w:id="184559123">
              <w:marLeft w:val="0"/>
              <w:marRight w:val="0"/>
              <w:marTop w:val="0"/>
              <w:marBottom w:val="0"/>
              <w:divBdr>
                <w:top w:val="none" w:sz="0" w:space="0" w:color="auto"/>
                <w:left w:val="none" w:sz="0" w:space="0" w:color="auto"/>
                <w:bottom w:val="none" w:sz="0" w:space="0" w:color="auto"/>
                <w:right w:val="none" w:sz="0" w:space="0" w:color="auto"/>
              </w:divBdr>
            </w:div>
            <w:div w:id="245503392">
              <w:marLeft w:val="0"/>
              <w:marRight w:val="0"/>
              <w:marTop w:val="0"/>
              <w:marBottom w:val="0"/>
              <w:divBdr>
                <w:top w:val="none" w:sz="0" w:space="0" w:color="auto"/>
                <w:left w:val="none" w:sz="0" w:space="0" w:color="auto"/>
                <w:bottom w:val="none" w:sz="0" w:space="0" w:color="auto"/>
                <w:right w:val="none" w:sz="0" w:space="0" w:color="auto"/>
              </w:divBdr>
            </w:div>
            <w:div w:id="328288234">
              <w:marLeft w:val="0"/>
              <w:marRight w:val="0"/>
              <w:marTop w:val="0"/>
              <w:marBottom w:val="0"/>
              <w:divBdr>
                <w:top w:val="none" w:sz="0" w:space="0" w:color="auto"/>
                <w:left w:val="none" w:sz="0" w:space="0" w:color="auto"/>
                <w:bottom w:val="none" w:sz="0" w:space="0" w:color="auto"/>
                <w:right w:val="none" w:sz="0" w:space="0" w:color="auto"/>
              </w:divBdr>
            </w:div>
            <w:div w:id="445320020">
              <w:marLeft w:val="0"/>
              <w:marRight w:val="0"/>
              <w:marTop w:val="0"/>
              <w:marBottom w:val="0"/>
              <w:divBdr>
                <w:top w:val="none" w:sz="0" w:space="0" w:color="auto"/>
                <w:left w:val="none" w:sz="0" w:space="0" w:color="auto"/>
                <w:bottom w:val="none" w:sz="0" w:space="0" w:color="auto"/>
                <w:right w:val="none" w:sz="0" w:space="0" w:color="auto"/>
              </w:divBdr>
            </w:div>
            <w:div w:id="550847086">
              <w:marLeft w:val="0"/>
              <w:marRight w:val="0"/>
              <w:marTop w:val="0"/>
              <w:marBottom w:val="0"/>
              <w:divBdr>
                <w:top w:val="none" w:sz="0" w:space="0" w:color="auto"/>
                <w:left w:val="none" w:sz="0" w:space="0" w:color="auto"/>
                <w:bottom w:val="none" w:sz="0" w:space="0" w:color="auto"/>
                <w:right w:val="none" w:sz="0" w:space="0" w:color="auto"/>
              </w:divBdr>
            </w:div>
            <w:div w:id="588513591">
              <w:marLeft w:val="0"/>
              <w:marRight w:val="0"/>
              <w:marTop w:val="0"/>
              <w:marBottom w:val="0"/>
              <w:divBdr>
                <w:top w:val="none" w:sz="0" w:space="0" w:color="auto"/>
                <w:left w:val="none" w:sz="0" w:space="0" w:color="auto"/>
                <w:bottom w:val="none" w:sz="0" w:space="0" w:color="auto"/>
                <w:right w:val="none" w:sz="0" w:space="0" w:color="auto"/>
              </w:divBdr>
            </w:div>
            <w:div w:id="815102948">
              <w:marLeft w:val="0"/>
              <w:marRight w:val="0"/>
              <w:marTop w:val="0"/>
              <w:marBottom w:val="0"/>
              <w:divBdr>
                <w:top w:val="none" w:sz="0" w:space="0" w:color="auto"/>
                <w:left w:val="none" w:sz="0" w:space="0" w:color="auto"/>
                <w:bottom w:val="none" w:sz="0" w:space="0" w:color="auto"/>
                <w:right w:val="none" w:sz="0" w:space="0" w:color="auto"/>
              </w:divBdr>
            </w:div>
            <w:div w:id="832338779">
              <w:marLeft w:val="0"/>
              <w:marRight w:val="0"/>
              <w:marTop w:val="0"/>
              <w:marBottom w:val="0"/>
              <w:divBdr>
                <w:top w:val="none" w:sz="0" w:space="0" w:color="auto"/>
                <w:left w:val="none" w:sz="0" w:space="0" w:color="auto"/>
                <w:bottom w:val="none" w:sz="0" w:space="0" w:color="auto"/>
                <w:right w:val="none" w:sz="0" w:space="0" w:color="auto"/>
              </w:divBdr>
            </w:div>
            <w:div w:id="927270109">
              <w:marLeft w:val="0"/>
              <w:marRight w:val="0"/>
              <w:marTop w:val="0"/>
              <w:marBottom w:val="0"/>
              <w:divBdr>
                <w:top w:val="none" w:sz="0" w:space="0" w:color="auto"/>
                <w:left w:val="none" w:sz="0" w:space="0" w:color="auto"/>
                <w:bottom w:val="none" w:sz="0" w:space="0" w:color="auto"/>
                <w:right w:val="none" w:sz="0" w:space="0" w:color="auto"/>
              </w:divBdr>
            </w:div>
            <w:div w:id="1178354160">
              <w:marLeft w:val="0"/>
              <w:marRight w:val="0"/>
              <w:marTop w:val="0"/>
              <w:marBottom w:val="0"/>
              <w:divBdr>
                <w:top w:val="none" w:sz="0" w:space="0" w:color="auto"/>
                <w:left w:val="none" w:sz="0" w:space="0" w:color="auto"/>
                <w:bottom w:val="none" w:sz="0" w:space="0" w:color="auto"/>
                <w:right w:val="none" w:sz="0" w:space="0" w:color="auto"/>
              </w:divBdr>
            </w:div>
            <w:div w:id="1231505011">
              <w:marLeft w:val="0"/>
              <w:marRight w:val="0"/>
              <w:marTop w:val="0"/>
              <w:marBottom w:val="0"/>
              <w:divBdr>
                <w:top w:val="none" w:sz="0" w:space="0" w:color="auto"/>
                <w:left w:val="none" w:sz="0" w:space="0" w:color="auto"/>
                <w:bottom w:val="none" w:sz="0" w:space="0" w:color="auto"/>
                <w:right w:val="none" w:sz="0" w:space="0" w:color="auto"/>
              </w:divBdr>
            </w:div>
            <w:div w:id="1238704840">
              <w:marLeft w:val="0"/>
              <w:marRight w:val="0"/>
              <w:marTop w:val="0"/>
              <w:marBottom w:val="0"/>
              <w:divBdr>
                <w:top w:val="none" w:sz="0" w:space="0" w:color="auto"/>
                <w:left w:val="none" w:sz="0" w:space="0" w:color="auto"/>
                <w:bottom w:val="none" w:sz="0" w:space="0" w:color="auto"/>
                <w:right w:val="none" w:sz="0" w:space="0" w:color="auto"/>
              </w:divBdr>
            </w:div>
            <w:div w:id="1331059823">
              <w:marLeft w:val="0"/>
              <w:marRight w:val="0"/>
              <w:marTop w:val="0"/>
              <w:marBottom w:val="0"/>
              <w:divBdr>
                <w:top w:val="none" w:sz="0" w:space="0" w:color="auto"/>
                <w:left w:val="none" w:sz="0" w:space="0" w:color="auto"/>
                <w:bottom w:val="none" w:sz="0" w:space="0" w:color="auto"/>
                <w:right w:val="none" w:sz="0" w:space="0" w:color="auto"/>
              </w:divBdr>
            </w:div>
            <w:div w:id="1367676762">
              <w:marLeft w:val="0"/>
              <w:marRight w:val="0"/>
              <w:marTop w:val="0"/>
              <w:marBottom w:val="0"/>
              <w:divBdr>
                <w:top w:val="none" w:sz="0" w:space="0" w:color="auto"/>
                <w:left w:val="none" w:sz="0" w:space="0" w:color="auto"/>
                <w:bottom w:val="none" w:sz="0" w:space="0" w:color="auto"/>
                <w:right w:val="none" w:sz="0" w:space="0" w:color="auto"/>
              </w:divBdr>
            </w:div>
            <w:div w:id="1785684307">
              <w:marLeft w:val="0"/>
              <w:marRight w:val="0"/>
              <w:marTop w:val="0"/>
              <w:marBottom w:val="0"/>
              <w:divBdr>
                <w:top w:val="none" w:sz="0" w:space="0" w:color="auto"/>
                <w:left w:val="none" w:sz="0" w:space="0" w:color="auto"/>
                <w:bottom w:val="none" w:sz="0" w:space="0" w:color="auto"/>
                <w:right w:val="none" w:sz="0" w:space="0" w:color="auto"/>
              </w:divBdr>
            </w:div>
            <w:div w:id="1848792482">
              <w:marLeft w:val="0"/>
              <w:marRight w:val="0"/>
              <w:marTop w:val="0"/>
              <w:marBottom w:val="0"/>
              <w:divBdr>
                <w:top w:val="none" w:sz="0" w:space="0" w:color="auto"/>
                <w:left w:val="none" w:sz="0" w:space="0" w:color="auto"/>
                <w:bottom w:val="none" w:sz="0" w:space="0" w:color="auto"/>
                <w:right w:val="none" w:sz="0" w:space="0" w:color="auto"/>
              </w:divBdr>
            </w:div>
            <w:div w:id="1932273330">
              <w:marLeft w:val="0"/>
              <w:marRight w:val="0"/>
              <w:marTop w:val="0"/>
              <w:marBottom w:val="0"/>
              <w:divBdr>
                <w:top w:val="none" w:sz="0" w:space="0" w:color="auto"/>
                <w:left w:val="none" w:sz="0" w:space="0" w:color="auto"/>
                <w:bottom w:val="none" w:sz="0" w:space="0" w:color="auto"/>
                <w:right w:val="none" w:sz="0" w:space="0" w:color="auto"/>
              </w:divBdr>
            </w:div>
            <w:div w:id="1959215090">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
          </w:divsChild>
        </w:div>
        <w:div w:id="1675182743">
          <w:marLeft w:val="0"/>
          <w:marRight w:val="0"/>
          <w:marTop w:val="0"/>
          <w:marBottom w:val="0"/>
          <w:divBdr>
            <w:top w:val="none" w:sz="0" w:space="0" w:color="auto"/>
            <w:left w:val="none" w:sz="0" w:space="0" w:color="auto"/>
            <w:bottom w:val="none" w:sz="0" w:space="0" w:color="auto"/>
            <w:right w:val="none" w:sz="0" w:space="0" w:color="auto"/>
          </w:divBdr>
        </w:div>
        <w:div w:id="1675500054">
          <w:marLeft w:val="0"/>
          <w:marRight w:val="0"/>
          <w:marTop w:val="0"/>
          <w:marBottom w:val="0"/>
          <w:divBdr>
            <w:top w:val="none" w:sz="0" w:space="0" w:color="auto"/>
            <w:left w:val="none" w:sz="0" w:space="0" w:color="auto"/>
            <w:bottom w:val="none" w:sz="0" w:space="0" w:color="auto"/>
            <w:right w:val="none" w:sz="0" w:space="0" w:color="auto"/>
          </w:divBdr>
        </w:div>
        <w:div w:id="1675844075">
          <w:marLeft w:val="0"/>
          <w:marRight w:val="0"/>
          <w:marTop w:val="0"/>
          <w:marBottom w:val="0"/>
          <w:divBdr>
            <w:top w:val="none" w:sz="0" w:space="0" w:color="auto"/>
            <w:left w:val="none" w:sz="0" w:space="0" w:color="auto"/>
            <w:bottom w:val="none" w:sz="0" w:space="0" w:color="auto"/>
            <w:right w:val="none" w:sz="0" w:space="0" w:color="auto"/>
          </w:divBdr>
        </w:div>
        <w:div w:id="1676423976">
          <w:marLeft w:val="0"/>
          <w:marRight w:val="0"/>
          <w:marTop w:val="0"/>
          <w:marBottom w:val="0"/>
          <w:divBdr>
            <w:top w:val="none" w:sz="0" w:space="0" w:color="auto"/>
            <w:left w:val="none" w:sz="0" w:space="0" w:color="auto"/>
            <w:bottom w:val="none" w:sz="0" w:space="0" w:color="auto"/>
            <w:right w:val="none" w:sz="0" w:space="0" w:color="auto"/>
          </w:divBdr>
        </w:div>
        <w:div w:id="1676883059">
          <w:marLeft w:val="0"/>
          <w:marRight w:val="0"/>
          <w:marTop w:val="0"/>
          <w:marBottom w:val="0"/>
          <w:divBdr>
            <w:top w:val="none" w:sz="0" w:space="0" w:color="auto"/>
            <w:left w:val="none" w:sz="0" w:space="0" w:color="auto"/>
            <w:bottom w:val="none" w:sz="0" w:space="0" w:color="auto"/>
            <w:right w:val="none" w:sz="0" w:space="0" w:color="auto"/>
          </w:divBdr>
        </w:div>
        <w:div w:id="1677688739">
          <w:marLeft w:val="0"/>
          <w:marRight w:val="0"/>
          <w:marTop w:val="0"/>
          <w:marBottom w:val="0"/>
          <w:divBdr>
            <w:top w:val="none" w:sz="0" w:space="0" w:color="auto"/>
            <w:left w:val="none" w:sz="0" w:space="0" w:color="auto"/>
            <w:bottom w:val="none" w:sz="0" w:space="0" w:color="auto"/>
            <w:right w:val="none" w:sz="0" w:space="0" w:color="auto"/>
          </w:divBdr>
        </w:div>
        <w:div w:id="1678580973">
          <w:marLeft w:val="0"/>
          <w:marRight w:val="0"/>
          <w:marTop w:val="0"/>
          <w:marBottom w:val="0"/>
          <w:divBdr>
            <w:top w:val="none" w:sz="0" w:space="0" w:color="auto"/>
            <w:left w:val="none" w:sz="0" w:space="0" w:color="auto"/>
            <w:bottom w:val="none" w:sz="0" w:space="0" w:color="auto"/>
            <w:right w:val="none" w:sz="0" w:space="0" w:color="auto"/>
          </w:divBdr>
        </w:div>
        <w:div w:id="1680306167">
          <w:marLeft w:val="0"/>
          <w:marRight w:val="0"/>
          <w:marTop w:val="0"/>
          <w:marBottom w:val="0"/>
          <w:divBdr>
            <w:top w:val="none" w:sz="0" w:space="0" w:color="auto"/>
            <w:left w:val="none" w:sz="0" w:space="0" w:color="auto"/>
            <w:bottom w:val="none" w:sz="0" w:space="0" w:color="auto"/>
            <w:right w:val="none" w:sz="0" w:space="0" w:color="auto"/>
          </w:divBdr>
        </w:div>
        <w:div w:id="1682197796">
          <w:marLeft w:val="0"/>
          <w:marRight w:val="0"/>
          <w:marTop w:val="0"/>
          <w:marBottom w:val="0"/>
          <w:divBdr>
            <w:top w:val="none" w:sz="0" w:space="0" w:color="auto"/>
            <w:left w:val="none" w:sz="0" w:space="0" w:color="auto"/>
            <w:bottom w:val="none" w:sz="0" w:space="0" w:color="auto"/>
            <w:right w:val="none" w:sz="0" w:space="0" w:color="auto"/>
          </w:divBdr>
        </w:div>
        <w:div w:id="1682850290">
          <w:marLeft w:val="0"/>
          <w:marRight w:val="0"/>
          <w:marTop w:val="0"/>
          <w:marBottom w:val="0"/>
          <w:divBdr>
            <w:top w:val="none" w:sz="0" w:space="0" w:color="auto"/>
            <w:left w:val="none" w:sz="0" w:space="0" w:color="auto"/>
            <w:bottom w:val="none" w:sz="0" w:space="0" w:color="auto"/>
            <w:right w:val="none" w:sz="0" w:space="0" w:color="auto"/>
          </w:divBdr>
        </w:div>
        <w:div w:id="1683240533">
          <w:marLeft w:val="0"/>
          <w:marRight w:val="0"/>
          <w:marTop w:val="0"/>
          <w:marBottom w:val="0"/>
          <w:divBdr>
            <w:top w:val="none" w:sz="0" w:space="0" w:color="auto"/>
            <w:left w:val="none" w:sz="0" w:space="0" w:color="auto"/>
            <w:bottom w:val="none" w:sz="0" w:space="0" w:color="auto"/>
            <w:right w:val="none" w:sz="0" w:space="0" w:color="auto"/>
          </w:divBdr>
        </w:div>
        <w:div w:id="1685548255">
          <w:marLeft w:val="0"/>
          <w:marRight w:val="0"/>
          <w:marTop w:val="0"/>
          <w:marBottom w:val="0"/>
          <w:divBdr>
            <w:top w:val="none" w:sz="0" w:space="0" w:color="auto"/>
            <w:left w:val="none" w:sz="0" w:space="0" w:color="auto"/>
            <w:bottom w:val="none" w:sz="0" w:space="0" w:color="auto"/>
            <w:right w:val="none" w:sz="0" w:space="0" w:color="auto"/>
          </w:divBdr>
        </w:div>
        <w:div w:id="1689599570">
          <w:marLeft w:val="0"/>
          <w:marRight w:val="0"/>
          <w:marTop w:val="0"/>
          <w:marBottom w:val="0"/>
          <w:divBdr>
            <w:top w:val="none" w:sz="0" w:space="0" w:color="auto"/>
            <w:left w:val="none" w:sz="0" w:space="0" w:color="auto"/>
            <w:bottom w:val="none" w:sz="0" w:space="0" w:color="auto"/>
            <w:right w:val="none" w:sz="0" w:space="0" w:color="auto"/>
          </w:divBdr>
        </w:div>
        <w:div w:id="1690135488">
          <w:marLeft w:val="0"/>
          <w:marRight w:val="0"/>
          <w:marTop w:val="0"/>
          <w:marBottom w:val="0"/>
          <w:divBdr>
            <w:top w:val="none" w:sz="0" w:space="0" w:color="auto"/>
            <w:left w:val="none" w:sz="0" w:space="0" w:color="auto"/>
            <w:bottom w:val="none" w:sz="0" w:space="0" w:color="auto"/>
            <w:right w:val="none" w:sz="0" w:space="0" w:color="auto"/>
          </w:divBdr>
        </w:div>
        <w:div w:id="1695767539">
          <w:marLeft w:val="0"/>
          <w:marRight w:val="0"/>
          <w:marTop w:val="0"/>
          <w:marBottom w:val="0"/>
          <w:divBdr>
            <w:top w:val="none" w:sz="0" w:space="0" w:color="auto"/>
            <w:left w:val="none" w:sz="0" w:space="0" w:color="auto"/>
            <w:bottom w:val="none" w:sz="0" w:space="0" w:color="auto"/>
            <w:right w:val="none" w:sz="0" w:space="0" w:color="auto"/>
          </w:divBdr>
        </w:div>
        <w:div w:id="1700352494">
          <w:marLeft w:val="0"/>
          <w:marRight w:val="0"/>
          <w:marTop w:val="0"/>
          <w:marBottom w:val="0"/>
          <w:divBdr>
            <w:top w:val="none" w:sz="0" w:space="0" w:color="auto"/>
            <w:left w:val="none" w:sz="0" w:space="0" w:color="auto"/>
            <w:bottom w:val="none" w:sz="0" w:space="0" w:color="auto"/>
            <w:right w:val="none" w:sz="0" w:space="0" w:color="auto"/>
          </w:divBdr>
        </w:div>
        <w:div w:id="1701129584">
          <w:marLeft w:val="0"/>
          <w:marRight w:val="0"/>
          <w:marTop w:val="0"/>
          <w:marBottom w:val="0"/>
          <w:divBdr>
            <w:top w:val="none" w:sz="0" w:space="0" w:color="auto"/>
            <w:left w:val="none" w:sz="0" w:space="0" w:color="auto"/>
            <w:bottom w:val="none" w:sz="0" w:space="0" w:color="auto"/>
            <w:right w:val="none" w:sz="0" w:space="0" w:color="auto"/>
          </w:divBdr>
        </w:div>
        <w:div w:id="1703824135">
          <w:marLeft w:val="0"/>
          <w:marRight w:val="0"/>
          <w:marTop w:val="0"/>
          <w:marBottom w:val="0"/>
          <w:divBdr>
            <w:top w:val="none" w:sz="0" w:space="0" w:color="auto"/>
            <w:left w:val="none" w:sz="0" w:space="0" w:color="auto"/>
            <w:bottom w:val="none" w:sz="0" w:space="0" w:color="auto"/>
            <w:right w:val="none" w:sz="0" w:space="0" w:color="auto"/>
          </w:divBdr>
        </w:div>
        <w:div w:id="1705060032">
          <w:marLeft w:val="0"/>
          <w:marRight w:val="0"/>
          <w:marTop w:val="0"/>
          <w:marBottom w:val="0"/>
          <w:divBdr>
            <w:top w:val="none" w:sz="0" w:space="0" w:color="auto"/>
            <w:left w:val="none" w:sz="0" w:space="0" w:color="auto"/>
            <w:bottom w:val="none" w:sz="0" w:space="0" w:color="auto"/>
            <w:right w:val="none" w:sz="0" w:space="0" w:color="auto"/>
          </w:divBdr>
        </w:div>
        <w:div w:id="1706056169">
          <w:marLeft w:val="0"/>
          <w:marRight w:val="0"/>
          <w:marTop w:val="0"/>
          <w:marBottom w:val="0"/>
          <w:divBdr>
            <w:top w:val="none" w:sz="0" w:space="0" w:color="auto"/>
            <w:left w:val="none" w:sz="0" w:space="0" w:color="auto"/>
            <w:bottom w:val="none" w:sz="0" w:space="0" w:color="auto"/>
            <w:right w:val="none" w:sz="0" w:space="0" w:color="auto"/>
          </w:divBdr>
        </w:div>
        <w:div w:id="1707170867">
          <w:marLeft w:val="0"/>
          <w:marRight w:val="0"/>
          <w:marTop w:val="0"/>
          <w:marBottom w:val="0"/>
          <w:divBdr>
            <w:top w:val="none" w:sz="0" w:space="0" w:color="auto"/>
            <w:left w:val="none" w:sz="0" w:space="0" w:color="auto"/>
            <w:bottom w:val="none" w:sz="0" w:space="0" w:color="auto"/>
            <w:right w:val="none" w:sz="0" w:space="0" w:color="auto"/>
          </w:divBdr>
        </w:div>
        <w:div w:id="1709799452">
          <w:marLeft w:val="0"/>
          <w:marRight w:val="0"/>
          <w:marTop w:val="0"/>
          <w:marBottom w:val="0"/>
          <w:divBdr>
            <w:top w:val="none" w:sz="0" w:space="0" w:color="auto"/>
            <w:left w:val="none" w:sz="0" w:space="0" w:color="auto"/>
            <w:bottom w:val="none" w:sz="0" w:space="0" w:color="auto"/>
            <w:right w:val="none" w:sz="0" w:space="0" w:color="auto"/>
          </w:divBdr>
        </w:div>
        <w:div w:id="1712419879">
          <w:marLeft w:val="0"/>
          <w:marRight w:val="0"/>
          <w:marTop w:val="0"/>
          <w:marBottom w:val="0"/>
          <w:divBdr>
            <w:top w:val="none" w:sz="0" w:space="0" w:color="auto"/>
            <w:left w:val="none" w:sz="0" w:space="0" w:color="auto"/>
            <w:bottom w:val="none" w:sz="0" w:space="0" w:color="auto"/>
            <w:right w:val="none" w:sz="0" w:space="0" w:color="auto"/>
          </w:divBdr>
        </w:div>
        <w:div w:id="1713142932">
          <w:marLeft w:val="0"/>
          <w:marRight w:val="0"/>
          <w:marTop w:val="0"/>
          <w:marBottom w:val="0"/>
          <w:divBdr>
            <w:top w:val="none" w:sz="0" w:space="0" w:color="auto"/>
            <w:left w:val="none" w:sz="0" w:space="0" w:color="auto"/>
            <w:bottom w:val="none" w:sz="0" w:space="0" w:color="auto"/>
            <w:right w:val="none" w:sz="0" w:space="0" w:color="auto"/>
          </w:divBdr>
        </w:div>
        <w:div w:id="1714696394">
          <w:marLeft w:val="0"/>
          <w:marRight w:val="0"/>
          <w:marTop w:val="0"/>
          <w:marBottom w:val="0"/>
          <w:divBdr>
            <w:top w:val="none" w:sz="0" w:space="0" w:color="auto"/>
            <w:left w:val="none" w:sz="0" w:space="0" w:color="auto"/>
            <w:bottom w:val="none" w:sz="0" w:space="0" w:color="auto"/>
            <w:right w:val="none" w:sz="0" w:space="0" w:color="auto"/>
          </w:divBdr>
        </w:div>
        <w:div w:id="1716151363">
          <w:marLeft w:val="0"/>
          <w:marRight w:val="0"/>
          <w:marTop w:val="0"/>
          <w:marBottom w:val="0"/>
          <w:divBdr>
            <w:top w:val="none" w:sz="0" w:space="0" w:color="auto"/>
            <w:left w:val="none" w:sz="0" w:space="0" w:color="auto"/>
            <w:bottom w:val="none" w:sz="0" w:space="0" w:color="auto"/>
            <w:right w:val="none" w:sz="0" w:space="0" w:color="auto"/>
          </w:divBdr>
        </w:div>
        <w:div w:id="1716275212">
          <w:marLeft w:val="0"/>
          <w:marRight w:val="0"/>
          <w:marTop w:val="0"/>
          <w:marBottom w:val="0"/>
          <w:divBdr>
            <w:top w:val="none" w:sz="0" w:space="0" w:color="auto"/>
            <w:left w:val="none" w:sz="0" w:space="0" w:color="auto"/>
            <w:bottom w:val="none" w:sz="0" w:space="0" w:color="auto"/>
            <w:right w:val="none" w:sz="0" w:space="0" w:color="auto"/>
          </w:divBdr>
        </w:div>
        <w:div w:id="1719089251">
          <w:marLeft w:val="0"/>
          <w:marRight w:val="0"/>
          <w:marTop w:val="0"/>
          <w:marBottom w:val="0"/>
          <w:divBdr>
            <w:top w:val="none" w:sz="0" w:space="0" w:color="auto"/>
            <w:left w:val="none" w:sz="0" w:space="0" w:color="auto"/>
            <w:bottom w:val="none" w:sz="0" w:space="0" w:color="auto"/>
            <w:right w:val="none" w:sz="0" w:space="0" w:color="auto"/>
          </w:divBdr>
        </w:div>
        <w:div w:id="1719429221">
          <w:marLeft w:val="0"/>
          <w:marRight w:val="0"/>
          <w:marTop w:val="0"/>
          <w:marBottom w:val="0"/>
          <w:divBdr>
            <w:top w:val="none" w:sz="0" w:space="0" w:color="auto"/>
            <w:left w:val="none" w:sz="0" w:space="0" w:color="auto"/>
            <w:bottom w:val="none" w:sz="0" w:space="0" w:color="auto"/>
            <w:right w:val="none" w:sz="0" w:space="0" w:color="auto"/>
          </w:divBdr>
        </w:div>
        <w:div w:id="1720090072">
          <w:marLeft w:val="0"/>
          <w:marRight w:val="0"/>
          <w:marTop w:val="0"/>
          <w:marBottom w:val="0"/>
          <w:divBdr>
            <w:top w:val="none" w:sz="0" w:space="0" w:color="auto"/>
            <w:left w:val="none" w:sz="0" w:space="0" w:color="auto"/>
            <w:bottom w:val="none" w:sz="0" w:space="0" w:color="auto"/>
            <w:right w:val="none" w:sz="0" w:space="0" w:color="auto"/>
          </w:divBdr>
        </w:div>
        <w:div w:id="1720471026">
          <w:marLeft w:val="0"/>
          <w:marRight w:val="0"/>
          <w:marTop w:val="0"/>
          <w:marBottom w:val="0"/>
          <w:divBdr>
            <w:top w:val="none" w:sz="0" w:space="0" w:color="auto"/>
            <w:left w:val="none" w:sz="0" w:space="0" w:color="auto"/>
            <w:bottom w:val="none" w:sz="0" w:space="0" w:color="auto"/>
            <w:right w:val="none" w:sz="0" w:space="0" w:color="auto"/>
          </w:divBdr>
        </w:div>
        <w:div w:id="1720473339">
          <w:marLeft w:val="0"/>
          <w:marRight w:val="0"/>
          <w:marTop w:val="0"/>
          <w:marBottom w:val="0"/>
          <w:divBdr>
            <w:top w:val="none" w:sz="0" w:space="0" w:color="auto"/>
            <w:left w:val="none" w:sz="0" w:space="0" w:color="auto"/>
            <w:bottom w:val="none" w:sz="0" w:space="0" w:color="auto"/>
            <w:right w:val="none" w:sz="0" w:space="0" w:color="auto"/>
          </w:divBdr>
        </w:div>
        <w:div w:id="1722947713">
          <w:marLeft w:val="0"/>
          <w:marRight w:val="0"/>
          <w:marTop w:val="0"/>
          <w:marBottom w:val="0"/>
          <w:divBdr>
            <w:top w:val="none" w:sz="0" w:space="0" w:color="auto"/>
            <w:left w:val="none" w:sz="0" w:space="0" w:color="auto"/>
            <w:bottom w:val="none" w:sz="0" w:space="0" w:color="auto"/>
            <w:right w:val="none" w:sz="0" w:space="0" w:color="auto"/>
          </w:divBdr>
        </w:div>
        <w:div w:id="1724282929">
          <w:marLeft w:val="0"/>
          <w:marRight w:val="0"/>
          <w:marTop w:val="0"/>
          <w:marBottom w:val="0"/>
          <w:divBdr>
            <w:top w:val="none" w:sz="0" w:space="0" w:color="auto"/>
            <w:left w:val="none" w:sz="0" w:space="0" w:color="auto"/>
            <w:bottom w:val="none" w:sz="0" w:space="0" w:color="auto"/>
            <w:right w:val="none" w:sz="0" w:space="0" w:color="auto"/>
          </w:divBdr>
        </w:div>
        <w:div w:id="1724597744">
          <w:marLeft w:val="0"/>
          <w:marRight w:val="0"/>
          <w:marTop w:val="0"/>
          <w:marBottom w:val="0"/>
          <w:divBdr>
            <w:top w:val="none" w:sz="0" w:space="0" w:color="auto"/>
            <w:left w:val="none" w:sz="0" w:space="0" w:color="auto"/>
            <w:bottom w:val="none" w:sz="0" w:space="0" w:color="auto"/>
            <w:right w:val="none" w:sz="0" w:space="0" w:color="auto"/>
          </w:divBdr>
        </w:div>
        <w:div w:id="1726173874">
          <w:marLeft w:val="0"/>
          <w:marRight w:val="0"/>
          <w:marTop w:val="0"/>
          <w:marBottom w:val="0"/>
          <w:divBdr>
            <w:top w:val="none" w:sz="0" w:space="0" w:color="auto"/>
            <w:left w:val="none" w:sz="0" w:space="0" w:color="auto"/>
            <w:bottom w:val="none" w:sz="0" w:space="0" w:color="auto"/>
            <w:right w:val="none" w:sz="0" w:space="0" w:color="auto"/>
          </w:divBdr>
        </w:div>
        <w:div w:id="1728071953">
          <w:marLeft w:val="0"/>
          <w:marRight w:val="0"/>
          <w:marTop w:val="0"/>
          <w:marBottom w:val="0"/>
          <w:divBdr>
            <w:top w:val="none" w:sz="0" w:space="0" w:color="auto"/>
            <w:left w:val="none" w:sz="0" w:space="0" w:color="auto"/>
            <w:bottom w:val="none" w:sz="0" w:space="0" w:color="auto"/>
            <w:right w:val="none" w:sz="0" w:space="0" w:color="auto"/>
          </w:divBdr>
        </w:div>
        <w:div w:id="1728143862">
          <w:marLeft w:val="0"/>
          <w:marRight w:val="0"/>
          <w:marTop w:val="0"/>
          <w:marBottom w:val="0"/>
          <w:divBdr>
            <w:top w:val="none" w:sz="0" w:space="0" w:color="auto"/>
            <w:left w:val="none" w:sz="0" w:space="0" w:color="auto"/>
            <w:bottom w:val="none" w:sz="0" w:space="0" w:color="auto"/>
            <w:right w:val="none" w:sz="0" w:space="0" w:color="auto"/>
          </w:divBdr>
        </w:div>
        <w:div w:id="1728449596">
          <w:marLeft w:val="0"/>
          <w:marRight w:val="0"/>
          <w:marTop w:val="0"/>
          <w:marBottom w:val="0"/>
          <w:divBdr>
            <w:top w:val="none" w:sz="0" w:space="0" w:color="auto"/>
            <w:left w:val="none" w:sz="0" w:space="0" w:color="auto"/>
            <w:bottom w:val="none" w:sz="0" w:space="0" w:color="auto"/>
            <w:right w:val="none" w:sz="0" w:space="0" w:color="auto"/>
          </w:divBdr>
        </w:div>
        <w:div w:id="1728528928">
          <w:marLeft w:val="0"/>
          <w:marRight w:val="0"/>
          <w:marTop w:val="0"/>
          <w:marBottom w:val="0"/>
          <w:divBdr>
            <w:top w:val="none" w:sz="0" w:space="0" w:color="auto"/>
            <w:left w:val="none" w:sz="0" w:space="0" w:color="auto"/>
            <w:bottom w:val="none" w:sz="0" w:space="0" w:color="auto"/>
            <w:right w:val="none" w:sz="0" w:space="0" w:color="auto"/>
          </w:divBdr>
        </w:div>
        <w:div w:id="1729260590">
          <w:marLeft w:val="0"/>
          <w:marRight w:val="0"/>
          <w:marTop w:val="0"/>
          <w:marBottom w:val="0"/>
          <w:divBdr>
            <w:top w:val="none" w:sz="0" w:space="0" w:color="auto"/>
            <w:left w:val="none" w:sz="0" w:space="0" w:color="auto"/>
            <w:bottom w:val="none" w:sz="0" w:space="0" w:color="auto"/>
            <w:right w:val="none" w:sz="0" w:space="0" w:color="auto"/>
          </w:divBdr>
          <w:divsChild>
            <w:div w:id="1443508">
              <w:marLeft w:val="0"/>
              <w:marRight w:val="0"/>
              <w:marTop w:val="0"/>
              <w:marBottom w:val="0"/>
              <w:divBdr>
                <w:top w:val="none" w:sz="0" w:space="0" w:color="auto"/>
                <w:left w:val="none" w:sz="0" w:space="0" w:color="auto"/>
                <w:bottom w:val="none" w:sz="0" w:space="0" w:color="auto"/>
                <w:right w:val="none" w:sz="0" w:space="0" w:color="auto"/>
              </w:divBdr>
            </w:div>
            <w:div w:id="73401970">
              <w:marLeft w:val="0"/>
              <w:marRight w:val="0"/>
              <w:marTop w:val="0"/>
              <w:marBottom w:val="0"/>
              <w:divBdr>
                <w:top w:val="none" w:sz="0" w:space="0" w:color="auto"/>
                <w:left w:val="none" w:sz="0" w:space="0" w:color="auto"/>
                <w:bottom w:val="none" w:sz="0" w:space="0" w:color="auto"/>
                <w:right w:val="none" w:sz="0" w:space="0" w:color="auto"/>
              </w:divBdr>
            </w:div>
            <w:div w:id="103430598">
              <w:marLeft w:val="0"/>
              <w:marRight w:val="0"/>
              <w:marTop w:val="0"/>
              <w:marBottom w:val="0"/>
              <w:divBdr>
                <w:top w:val="none" w:sz="0" w:space="0" w:color="auto"/>
                <w:left w:val="none" w:sz="0" w:space="0" w:color="auto"/>
                <w:bottom w:val="none" w:sz="0" w:space="0" w:color="auto"/>
                <w:right w:val="none" w:sz="0" w:space="0" w:color="auto"/>
              </w:divBdr>
            </w:div>
            <w:div w:id="110054623">
              <w:marLeft w:val="0"/>
              <w:marRight w:val="0"/>
              <w:marTop w:val="0"/>
              <w:marBottom w:val="0"/>
              <w:divBdr>
                <w:top w:val="none" w:sz="0" w:space="0" w:color="auto"/>
                <w:left w:val="none" w:sz="0" w:space="0" w:color="auto"/>
                <w:bottom w:val="none" w:sz="0" w:space="0" w:color="auto"/>
                <w:right w:val="none" w:sz="0" w:space="0" w:color="auto"/>
              </w:divBdr>
            </w:div>
            <w:div w:id="451479218">
              <w:marLeft w:val="0"/>
              <w:marRight w:val="0"/>
              <w:marTop w:val="0"/>
              <w:marBottom w:val="0"/>
              <w:divBdr>
                <w:top w:val="none" w:sz="0" w:space="0" w:color="auto"/>
                <w:left w:val="none" w:sz="0" w:space="0" w:color="auto"/>
                <w:bottom w:val="none" w:sz="0" w:space="0" w:color="auto"/>
                <w:right w:val="none" w:sz="0" w:space="0" w:color="auto"/>
              </w:divBdr>
            </w:div>
            <w:div w:id="514416491">
              <w:marLeft w:val="0"/>
              <w:marRight w:val="0"/>
              <w:marTop w:val="0"/>
              <w:marBottom w:val="0"/>
              <w:divBdr>
                <w:top w:val="none" w:sz="0" w:space="0" w:color="auto"/>
                <w:left w:val="none" w:sz="0" w:space="0" w:color="auto"/>
                <w:bottom w:val="none" w:sz="0" w:space="0" w:color="auto"/>
                <w:right w:val="none" w:sz="0" w:space="0" w:color="auto"/>
              </w:divBdr>
            </w:div>
            <w:div w:id="524827518">
              <w:marLeft w:val="0"/>
              <w:marRight w:val="0"/>
              <w:marTop w:val="0"/>
              <w:marBottom w:val="0"/>
              <w:divBdr>
                <w:top w:val="none" w:sz="0" w:space="0" w:color="auto"/>
                <w:left w:val="none" w:sz="0" w:space="0" w:color="auto"/>
                <w:bottom w:val="none" w:sz="0" w:space="0" w:color="auto"/>
                <w:right w:val="none" w:sz="0" w:space="0" w:color="auto"/>
              </w:divBdr>
            </w:div>
            <w:div w:id="656691015">
              <w:marLeft w:val="0"/>
              <w:marRight w:val="0"/>
              <w:marTop w:val="0"/>
              <w:marBottom w:val="0"/>
              <w:divBdr>
                <w:top w:val="none" w:sz="0" w:space="0" w:color="auto"/>
                <w:left w:val="none" w:sz="0" w:space="0" w:color="auto"/>
                <w:bottom w:val="none" w:sz="0" w:space="0" w:color="auto"/>
                <w:right w:val="none" w:sz="0" w:space="0" w:color="auto"/>
              </w:divBdr>
            </w:div>
            <w:div w:id="713693628">
              <w:marLeft w:val="0"/>
              <w:marRight w:val="0"/>
              <w:marTop w:val="0"/>
              <w:marBottom w:val="0"/>
              <w:divBdr>
                <w:top w:val="none" w:sz="0" w:space="0" w:color="auto"/>
                <w:left w:val="none" w:sz="0" w:space="0" w:color="auto"/>
                <w:bottom w:val="none" w:sz="0" w:space="0" w:color="auto"/>
                <w:right w:val="none" w:sz="0" w:space="0" w:color="auto"/>
              </w:divBdr>
            </w:div>
            <w:div w:id="925843553">
              <w:marLeft w:val="0"/>
              <w:marRight w:val="0"/>
              <w:marTop w:val="0"/>
              <w:marBottom w:val="0"/>
              <w:divBdr>
                <w:top w:val="none" w:sz="0" w:space="0" w:color="auto"/>
                <w:left w:val="none" w:sz="0" w:space="0" w:color="auto"/>
                <w:bottom w:val="none" w:sz="0" w:space="0" w:color="auto"/>
                <w:right w:val="none" w:sz="0" w:space="0" w:color="auto"/>
              </w:divBdr>
            </w:div>
            <w:div w:id="1037925560">
              <w:marLeft w:val="0"/>
              <w:marRight w:val="0"/>
              <w:marTop w:val="0"/>
              <w:marBottom w:val="0"/>
              <w:divBdr>
                <w:top w:val="none" w:sz="0" w:space="0" w:color="auto"/>
                <w:left w:val="none" w:sz="0" w:space="0" w:color="auto"/>
                <w:bottom w:val="none" w:sz="0" w:space="0" w:color="auto"/>
                <w:right w:val="none" w:sz="0" w:space="0" w:color="auto"/>
              </w:divBdr>
            </w:div>
            <w:div w:id="1040939279">
              <w:marLeft w:val="0"/>
              <w:marRight w:val="0"/>
              <w:marTop w:val="0"/>
              <w:marBottom w:val="0"/>
              <w:divBdr>
                <w:top w:val="none" w:sz="0" w:space="0" w:color="auto"/>
                <w:left w:val="none" w:sz="0" w:space="0" w:color="auto"/>
                <w:bottom w:val="none" w:sz="0" w:space="0" w:color="auto"/>
                <w:right w:val="none" w:sz="0" w:space="0" w:color="auto"/>
              </w:divBdr>
            </w:div>
            <w:div w:id="1132484382">
              <w:marLeft w:val="0"/>
              <w:marRight w:val="0"/>
              <w:marTop w:val="0"/>
              <w:marBottom w:val="0"/>
              <w:divBdr>
                <w:top w:val="none" w:sz="0" w:space="0" w:color="auto"/>
                <w:left w:val="none" w:sz="0" w:space="0" w:color="auto"/>
                <w:bottom w:val="none" w:sz="0" w:space="0" w:color="auto"/>
                <w:right w:val="none" w:sz="0" w:space="0" w:color="auto"/>
              </w:divBdr>
            </w:div>
            <w:div w:id="1267154144">
              <w:marLeft w:val="0"/>
              <w:marRight w:val="0"/>
              <w:marTop w:val="0"/>
              <w:marBottom w:val="0"/>
              <w:divBdr>
                <w:top w:val="none" w:sz="0" w:space="0" w:color="auto"/>
                <w:left w:val="none" w:sz="0" w:space="0" w:color="auto"/>
                <w:bottom w:val="none" w:sz="0" w:space="0" w:color="auto"/>
                <w:right w:val="none" w:sz="0" w:space="0" w:color="auto"/>
              </w:divBdr>
            </w:div>
            <w:div w:id="1482234656">
              <w:marLeft w:val="0"/>
              <w:marRight w:val="0"/>
              <w:marTop w:val="0"/>
              <w:marBottom w:val="0"/>
              <w:divBdr>
                <w:top w:val="none" w:sz="0" w:space="0" w:color="auto"/>
                <w:left w:val="none" w:sz="0" w:space="0" w:color="auto"/>
                <w:bottom w:val="none" w:sz="0" w:space="0" w:color="auto"/>
                <w:right w:val="none" w:sz="0" w:space="0" w:color="auto"/>
              </w:divBdr>
            </w:div>
            <w:div w:id="1556312222">
              <w:marLeft w:val="0"/>
              <w:marRight w:val="0"/>
              <w:marTop w:val="0"/>
              <w:marBottom w:val="0"/>
              <w:divBdr>
                <w:top w:val="none" w:sz="0" w:space="0" w:color="auto"/>
                <w:left w:val="none" w:sz="0" w:space="0" w:color="auto"/>
                <w:bottom w:val="none" w:sz="0" w:space="0" w:color="auto"/>
                <w:right w:val="none" w:sz="0" w:space="0" w:color="auto"/>
              </w:divBdr>
            </w:div>
            <w:div w:id="1619146917">
              <w:marLeft w:val="0"/>
              <w:marRight w:val="0"/>
              <w:marTop w:val="0"/>
              <w:marBottom w:val="0"/>
              <w:divBdr>
                <w:top w:val="none" w:sz="0" w:space="0" w:color="auto"/>
                <w:left w:val="none" w:sz="0" w:space="0" w:color="auto"/>
                <w:bottom w:val="none" w:sz="0" w:space="0" w:color="auto"/>
                <w:right w:val="none" w:sz="0" w:space="0" w:color="auto"/>
              </w:divBdr>
            </w:div>
            <w:div w:id="1752583468">
              <w:marLeft w:val="0"/>
              <w:marRight w:val="0"/>
              <w:marTop w:val="0"/>
              <w:marBottom w:val="0"/>
              <w:divBdr>
                <w:top w:val="none" w:sz="0" w:space="0" w:color="auto"/>
                <w:left w:val="none" w:sz="0" w:space="0" w:color="auto"/>
                <w:bottom w:val="none" w:sz="0" w:space="0" w:color="auto"/>
                <w:right w:val="none" w:sz="0" w:space="0" w:color="auto"/>
              </w:divBdr>
            </w:div>
            <w:div w:id="1923904240">
              <w:marLeft w:val="0"/>
              <w:marRight w:val="0"/>
              <w:marTop w:val="0"/>
              <w:marBottom w:val="0"/>
              <w:divBdr>
                <w:top w:val="none" w:sz="0" w:space="0" w:color="auto"/>
                <w:left w:val="none" w:sz="0" w:space="0" w:color="auto"/>
                <w:bottom w:val="none" w:sz="0" w:space="0" w:color="auto"/>
                <w:right w:val="none" w:sz="0" w:space="0" w:color="auto"/>
              </w:divBdr>
            </w:div>
            <w:div w:id="2090612505">
              <w:marLeft w:val="0"/>
              <w:marRight w:val="0"/>
              <w:marTop w:val="0"/>
              <w:marBottom w:val="0"/>
              <w:divBdr>
                <w:top w:val="none" w:sz="0" w:space="0" w:color="auto"/>
                <w:left w:val="none" w:sz="0" w:space="0" w:color="auto"/>
                <w:bottom w:val="none" w:sz="0" w:space="0" w:color="auto"/>
                <w:right w:val="none" w:sz="0" w:space="0" w:color="auto"/>
              </w:divBdr>
            </w:div>
          </w:divsChild>
        </w:div>
        <w:div w:id="1729498661">
          <w:marLeft w:val="0"/>
          <w:marRight w:val="0"/>
          <w:marTop w:val="0"/>
          <w:marBottom w:val="0"/>
          <w:divBdr>
            <w:top w:val="none" w:sz="0" w:space="0" w:color="auto"/>
            <w:left w:val="none" w:sz="0" w:space="0" w:color="auto"/>
            <w:bottom w:val="none" w:sz="0" w:space="0" w:color="auto"/>
            <w:right w:val="none" w:sz="0" w:space="0" w:color="auto"/>
          </w:divBdr>
        </w:div>
        <w:div w:id="1730566893">
          <w:marLeft w:val="0"/>
          <w:marRight w:val="0"/>
          <w:marTop w:val="0"/>
          <w:marBottom w:val="0"/>
          <w:divBdr>
            <w:top w:val="none" w:sz="0" w:space="0" w:color="auto"/>
            <w:left w:val="none" w:sz="0" w:space="0" w:color="auto"/>
            <w:bottom w:val="none" w:sz="0" w:space="0" w:color="auto"/>
            <w:right w:val="none" w:sz="0" w:space="0" w:color="auto"/>
          </w:divBdr>
        </w:div>
        <w:div w:id="1732078118">
          <w:marLeft w:val="0"/>
          <w:marRight w:val="0"/>
          <w:marTop w:val="0"/>
          <w:marBottom w:val="0"/>
          <w:divBdr>
            <w:top w:val="none" w:sz="0" w:space="0" w:color="auto"/>
            <w:left w:val="none" w:sz="0" w:space="0" w:color="auto"/>
            <w:bottom w:val="none" w:sz="0" w:space="0" w:color="auto"/>
            <w:right w:val="none" w:sz="0" w:space="0" w:color="auto"/>
          </w:divBdr>
        </w:div>
        <w:div w:id="1734158613">
          <w:marLeft w:val="0"/>
          <w:marRight w:val="0"/>
          <w:marTop w:val="0"/>
          <w:marBottom w:val="0"/>
          <w:divBdr>
            <w:top w:val="none" w:sz="0" w:space="0" w:color="auto"/>
            <w:left w:val="none" w:sz="0" w:space="0" w:color="auto"/>
            <w:bottom w:val="none" w:sz="0" w:space="0" w:color="auto"/>
            <w:right w:val="none" w:sz="0" w:space="0" w:color="auto"/>
          </w:divBdr>
        </w:div>
        <w:div w:id="1735852512">
          <w:marLeft w:val="0"/>
          <w:marRight w:val="0"/>
          <w:marTop w:val="0"/>
          <w:marBottom w:val="0"/>
          <w:divBdr>
            <w:top w:val="none" w:sz="0" w:space="0" w:color="auto"/>
            <w:left w:val="none" w:sz="0" w:space="0" w:color="auto"/>
            <w:bottom w:val="none" w:sz="0" w:space="0" w:color="auto"/>
            <w:right w:val="none" w:sz="0" w:space="0" w:color="auto"/>
          </w:divBdr>
        </w:div>
        <w:div w:id="1736124355">
          <w:marLeft w:val="0"/>
          <w:marRight w:val="0"/>
          <w:marTop w:val="0"/>
          <w:marBottom w:val="0"/>
          <w:divBdr>
            <w:top w:val="none" w:sz="0" w:space="0" w:color="auto"/>
            <w:left w:val="none" w:sz="0" w:space="0" w:color="auto"/>
            <w:bottom w:val="none" w:sz="0" w:space="0" w:color="auto"/>
            <w:right w:val="none" w:sz="0" w:space="0" w:color="auto"/>
          </w:divBdr>
        </w:div>
        <w:div w:id="1736704239">
          <w:marLeft w:val="0"/>
          <w:marRight w:val="0"/>
          <w:marTop w:val="0"/>
          <w:marBottom w:val="0"/>
          <w:divBdr>
            <w:top w:val="none" w:sz="0" w:space="0" w:color="auto"/>
            <w:left w:val="none" w:sz="0" w:space="0" w:color="auto"/>
            <w:bottom w:val="none" w:sz="0" w:space="0" w:color="auto"/>
            <w:right w:val="none" w:sz="0" w:space="0" w:color="auto"/>
          </w:divBdr>
        </w:div>
        <w:div w:id="1736972118">
          <w:marLeft w:val="0"/>
          <w:marRight w:val="0"/>
          <w:marTop w:val="0"/>
          <w:marBottom w:val="0"/>
          <w:divBdr>
            <w:top w:val="none" w:sz="0" w:space="0" w:color="auto"/>
            <w:left w:val="none" w:sz="0" w:space="0" w:color="auto"/>
            <w:bottom w:val="none" w:sz="0" w:space="0" w:color="auto"/>
            <w:right w:val="none" w:sz="0" w:space="0" w:color="auto"/>
          </w:divBdr>
        </w:div>
        <w:div w:id="1738165453">
          <w:marLeft w:val="0"/>
          <w:marRight w:val="0"/>
          <w:marTop w:val="0"/>
          <w:marBottom w:val="0"/>
          <w:divBdr>
            <w:top w:val="none" w:sz="0" w:space="0" w:color="auto"/>
            <w:left w:val="none" w:sz="0" w:space="0" w:color="auto"/>
            <w:bottom w:val="none" w:sz="0" w:space="0" w:color="auto"/>
            <w:right w:val="none" w:sz="0" w:space="0" w:color="auto"/>
          </w:divBdr>
        </w:div>
        <w:div w:id="1740134205">
          <w:marLeft w:val="0"/>
          <w:marRight w:val="0"/>
          <w:marTop w:val="0"/>
          <w:marBottom w:val="0"/>
          <w:divBdr>
            <w:top w:val="none" w:sz="0" w:space="0" w:color="auto"/>
            <w:left w:val="none" w:sz="0" w:space="0" w:color="auto"/>
            <w:bottom w:val="none" w:sz="0" w:space="0" w:color="auto"/>
            <w:right w:val="none" w:sz="0" w:space="0" w:color="auto"/>
          </w:divBdr>
        </w:div>
        <w:div w:id="1740638908">
          <w:marLeft w:val="0"/>
          <w:marRight w:val="0"/>
          <w:marTop w:val="0"/>
          <w:marBottom w:val="0"/>
          <w:divBdr>
            <w:top w:val="none" w:sz="0" w:space="0" w:color="auto"/>
            <w:left w:val="none" w:sz="0" w:space="0" w:color="auto"/>
            <w:bottom w:val="none" w:sz="0" w:space="0" w:color="auto"/>
            <w:right w:val="none" w:sz="0" w:space="0" w:color="auto"/>
          </w:divBdr>
        </w:div>
        <w:div w:id="1741363830">
          <w:marLeft w:val="0"/>
          <w:marRight w:val="0"/>
          <w:marTop w:val="0"/>
          <w:marBottom w:val="0"/>
          <w:divBdr>
            <w:top w:val="none" w:sz="0" w:space="0" w:color="auto"/>
            <w:left w:val="none" w:sz="0" w:space="0" w:color="auto"/>
            <w:bottom w:val="none" w:sz="0" w:space="0" w:color="auto"/>
            <w:right w:val="none" w:sz="0" w:space="0" w:color="auto"/>
          </w:divBdr>
        </w:div>
        <w:div w:id="1741630512">
          <w:marLeft w:val="0"/>
          <w:marRight w:val="0"/>
          <w:marTop w:val="0"/>
          <w:marBottom w:val="0"/>
          <w:divBdr>
            <w:top w:val="none" w:sz="0" w:space="0" w:color="auto"/>
            <w:left w:val="none" w:sz="0" w:space="0" w:color="auto"/>
            <w:bottom w:val="none" w:sz="0" w:space="0" w:color="auto"/>
            <w:right w:val="none" w:sz="0" w:space="0" w:color="auto"/>
          </w:divBdr>
        </w:div>
        <w:div w:id="1743209586">
          <w:marLeft w:val="0"/>
          <w:marRight w:val="0"/>
          <w:marTop w:val="0"/>
          <w:marBottom w:val="0"/>
          <w:divBdr>
            <w:top w:val="none" w:sz="0" w:space="0" w:color="auto"/>
            <w:left w:val="none" w:sz="0" w:space="0" w:color="auto"/>
            <w:bottom w:val="none" w:sz="0" w:space="0" w:color="auto"/>
            <w:right w:val="none" w:sz="0" w:space="0" w:color="auto"/>
          </w:divBdr>
        </w:div>
        <w:div w:id="1744404105">
          <w:marLeft w:val="0"/>
          <w:marRight w:val="0"/>
          <w:marTop w:val="0"/>
          <w:marBottom w:val="0"/>
          <w:divBdr>
            <w:top w:val="none" w:sz="0" w:space="0" w:color="auto"/>
            <w:left w:val="none" w:sz="0" w:space="0" w:color="auto"/>
            <w:bottom w:val="none" w:sz="0" w:space="0" w:color="auto"/>
            <w:right w:val="none" w:sz="0" w:space="0" w:color="auto"/>
          </w:divBdr>
        </w:div>
        <w:div w:id="1744449513">
          <w:marLeft w:val="0"/>
          <w:marRight w:val="0"/>
          <w:marTop w:val="0"/>
          <w:marBottom w:val="0"/>
          <w:divBdr>
            <w:top w:val="none" w:sz="0" w:space="0" w:color="auto"/>
            <w:left w:val="none" w:sz="0" w:space="0" w:color="auto"/>
            <w:bottom w:val="none" w:sz="0" w:space="0" w:color="auto"/>
            <w:right w:val="none" w:sz="0" w:space="0" w:color="auto"/>
          </w:divBdr>
        </w:div>
        <w:div w:id="1744640389">
          <w:marLeft w:val="0"/>
          <w:marRight w:val="0"/>
          <w:marTop w:val="0"/>
          <w:marBottom w:val="0"/>
          <w:divBdr>
            <w:top w:val="none" w:sz="0" w:space="0" w:color="auto"/>
            <w:left w:val="none" w:sz="0" w:space="0" w:color="auto"/>
            <w:bottom w:val="none" w:sz="0" w:space="0" w:color="auto"/>
            <w:right w:val="none" w:sz="0" w:space="0" w:color="auto"/>
          </w:divBdr>
        </w:div>
        <w:div w:id="1745420540">
          <w:marLeft w:val="0"/>
          <w:marRight w:val="0"/>
          <w:marTop w:val="0"/>
          <w:marBottom w:val="0"/>
          <w:divBdr>
            <w:top w:val="none" w:sz="0" w:space="0" w:color="auto"/>
            <w:left w:val="none" w:sz="0" w:space="0" w:color="auto"/>
            <w:bottom w:val="none" w:sz="0" w:space="0" w:color="auto"/>
            <w:right w:val="none" w:sz="0" w:space="0" w:color="auto"/>
          </w:divBdr>
        </w:div>
        <w:div w:id="1745687484">
          <w:marLeft w:val="0"/>
          <w:marRight w:val="0"/>
          <w:marTop w:val="0"/>
          <w:marBottom w:val="0"/>
          <w:divBdr>
            <w:top w:val="none" w:sz="0" w:space="0" w:color="auto"/>
            <w:left w:val="none" w:sz="0" w:space="0" w:color="auto"/>
            <w:bottom w:val="none" w:sz="0" w:space="0" w:color="auto"/>
            <w:right w:val="none" w:sz="0" w:space="0" w:color="auto"/>
          </w:divBdr>
          <w:divsChild>
            <w:div w:id="49959398">
              <w:marLeft w:val="0"/>
              <w:marRight w:val="0"/>
              <w:marTop w:val="0"/>
              <w:marBottom w:val="0"/>
              <w:divBdr>
                <w:top w:val="none" w:sz="0" w:space="0" w:color="auto"/>
                <w:left w:val="none" w:sz="0" w:space="0" w:color="auto"/>
                <w:bottom w:val="none" w:sz="0" w:space="0" w:color="auto"/>
                <w:right w:val="none" w:sz="0" w:space="0" w:color="auto"/>
              </w:divBdr>
            </w:div>
            <w:div w:id="52894542">
              <w:marLeft w:val="0"/>
              <w:marRight w:val="0"/>
              <w:marTop w:val="0"/>
              <w:marBottom w:val="0"/>
              <w:divBdr>
                <w:top w:val="none" w:sz="0" w:space="0" w:color="auto"/>
                <w:left w:val="none" w:sz="0" w:space="0" w:color="auto"/>
                <w:bottom w:val="none" w:sz="0" w:space="0" w:color="auto"/>
                <w:right w:val="none" w:sz="0" w:space="0" w:color="auto"/>
              </w:divBdr>
            </w:div>
            <w:div w:id="56900712">
              <w:marLeft w:val="0"/>
              <w:marRight w:val="0"/>
              <w:marTop w:val="0"/>
              <w:marBottom w:val="0"/>
              <w:divBdr>
                <w:top w:val="none" w:sz="0" w:space="0" w:color="auto"/>
                <w:left w:val="none" w:sz="0" w:space="0" w:color="auto"/>
                <w:bottom w:val="none" w:sz="0" w:space="0" w:color="auto"/>
                <w:right w:val="none" w:sz="0" w:space="0" w:color="auto"/>
              </w:divBdr>
            </w:div>
            <w:div w:id="58984697">
              <w:marLeft w:val="0"/>
              <w:marRight w:val="0"/>
              <w:marTop w:val="0"/>
              <w:marBottom w:val="0"/>
              <w:divBdr>
                <w:top w:val="none" w:sz="0" w:space="0" w:color="auto"/>
                <w:left w:val="none" w:sz="0" w:space="0" w:color="auto"/>
                <w:bottom w:val="none" w:sz="0" w:space="0" w:color="auto"/>
                <w:right w:val="none" w:sz="0" w:space="0" w:color="auto"/>
              </w:divBdr>
            </w:div>
            <w:div w:id="84616753">
              <w:marLeft w:val="0"/>
              <w:marRight w:val="0"/>
              <w:marTop w:val="0"/>
              <w:marBottom w:val="0"/>
              <w:divBdr>
                <w:top w:val="none" w:sz="0" w:space="0" w:color="auto"/>
                <w:left w:val="none" w:sz="0" w:space="0" w:color="auto"/>
                <w:bottom w:val="none" w:sz="0" w:space="0" w:color="auto"/>
                <w:right w:val="none" w:sz="0" w:space="0" w:color="auto"/>
              </w:divBdr>
            </w:div>
            <w:div w:id="116339010">
              <w:marLeft w:val="0"/>
              <w:marRight w:val="0"/>
              <w:marTop w:val="0"/>
              <w:marBottom w:val="0"/>
              <w:divBdr>
                <w:top w:val="none" w:sz="0" w:space="0" w:color="auto"/>
                <w:left w:val="none" w:sz="0" w:space="0" w:color="auto"/>
                <w:bottom w:val="none" w:sz="0" w:space="0" w:color="auto"/>
                <w:right w:val="none" w:sz="0" w:space="0" w:color="auto"/>
              </w:divBdr>
            </w:div>
            <w:div w:id="232591336">
              <w:marLeft w:val="0"/>
              <w:marRight w:val="0"/>
              <w:marTop w:val="0"/>
              <w:marBottom w:val="0"/>
              <w:divBdr>
                <w:top w:val="none" w:sz="0" w:space="0" w:color="auto"/>
                <w:left w:val="none" w:sz="0" w:space="0" w:color="auto"/>
                <w:bottom w:val="none" w:sz="0" w:space="0" w:color="auto"/>
                <w:right w:val="none" w:sz="0" w:space="0" w:color="auto"/>
              </w:divBdr>
            </w:div>
            <w:div w:id="792748040">
              <w:marLeft w:val="0"/>
              <w:marRight w:val="0"/>
              <w:marTop w:val="0"/>
              <w:marBottom w:val="0"/>
              <w:divBdr>
                <w:top w:val="none" w:sz="0" w:space="0" w:color="auto"/>
                <w:left w:val="none" w:sz="0" w:space="0" w:color="auto"/>
                <w:bottom w:val="none" w:sz="0" w:space="0" w:color="auto"/>
                <w:right w:val="none" w:sz="0" w:space="0" w:color="auto"/>
              </w:divBdr>
            </w:div>
            <w:div w:id="832141607">
              <w:marLeft w:val="0"/>
              <w:marRight w:val="0"/>
              <w:marTop w:val="0"/>
              <w:marBottom w:val="0"/>
              <w:divBdr>
                <w:top w:val="none" w:sz="0" w:space="0" w:color="auto"/>
                <w:left w:val="none" w:sz="0" w:space="0" w:color="auto"/>
                <w:bottom w:val="none" w:sz="0" w:space="0" w:color="auto"/>
                <w:right w:val="none" w:sz="0" w:space="0" w:color="auto"/>
              </w:divBdr>
            </w:div>
            <w:div w:id="1183742196">
              <w:marLeft w:val="0"/>
              <w:marRight w:val="0"/>
              <w:marTop w:val="0"/>
              <w:marBottom w:val="0"/>
              <w:divBdr>
                <w:top w:val="none" w:sz="0" w:space="0" w:color="auto"/>
                <w:left w:val="none" w:sz="0" w:space="0" w:color="auto"/>
                <w:bottom w:val="none" w:sz="0" w:space="0" w:color="auto"/>
                <w:right w:val="none" w:sz="0" w:space="0" w:color="auto"/>
              </w:divBdr>
            </w:div>
            <w:div w:id="1265504997">
              <w:marLeft w:val="0"/>
              <w:marRight w:val="0"/>
              <w:marTop w:val="0"/>
              <w:marBottom w:val="0"/>
              <w:divBdr>
                <w:top w:val="none" w:sz="0" w:space="0" w:color="auto"/>
                <w:left w:val="none" w:sz="0" w:space="0" w:color="auto"/>
                <w:bottom w:val="none" w:sz="0" w:space="0" w:color="auto"/>
                <w:right w:val="none" w:sz="0" w:space="0" w:color="auto"/>
              </w:divBdr>
            </w:div>
            <w:div w:id="1485318968">
              <w:marLeft w:val="0"/>
              <w:marRight w:val="0"/>
              <w:marTop w:val="0"/>
              <w:marBottom w:val="0"/>
              <w:divBdr>
                <w:top w:val="none" w:sz="0" w:space="0" w:color="auto"/>
                <w:left w:val="none" w:sz="0" w:space="0" w:color="auto"/>
                <w:bottom w:val="none" w:sz="0" w:space="0" w:color="auto"/>
                <w:right w:val="none" w:sz="0" w:space="0" w:color="auto"/>
              </w:divBdr>
            </w:div>
            <w:div w:id="1686712179">
              <w:marLeft w:val="0"/>
              <w:marRight w:val="0"/>
              <w:marTop w:val="0"/>
              <w:marBottom w:val="0"/>
              <w:divBdr>
                <w:top w:val="none" w:sz="0" w:space="0" w:color="auto"/>
                <w:left w:val="none" w:sz="0" w:space="0" w:color="auto"/>
                <w:bottom w:val="none" w:sz="0" w:space="0" w:color="auto"/>
                <w:right w:val="none" w:sz="0" w:space="0" w:color="auto"/>
              </w:divBdr>
            </w:div>
            <w:div w:id="1729455164">
              <w:marLeft w:val="0"/>
              <w:marRight w:val="0"/>
              <w:marTop w:val="0"/>
              <w:marBottom w:val="0"/>
              <w:divBdr>
                <w:top w:val="none" w:sz="0" w:space="0" w:color="auto"/>
                <w:left w:val="none" w:sz="0" w:space="0" w:color="auto"/>
                <w:bottom w:val="none" w:sz="0" w:space="0" w:color="auto"/>
                <w:right w:val="none" w:sz="0" w:space="0" w:color="auto"/>
              </w:divBdr>
            </w:div>
            <w:div w:id="1878353554">
              <w:marLeft w:val="0"/>
              <w:marRight w:val="0"/>
              <w:marTop w:val="0"/>
              <w:marBottom w:val="0"/>
              <w:divBdr>
                <w:top w:val="none" w:sz="0" w:space="0" w:color="auto"/>
                <w:left w:val="none" w:sz="0" w:space="0" w:color="auto"/>
                <w:bottom w:val="none" w:sz="0" w:space="0" w:color="auto"/>
                <w:right w:val="none" w:sz="0" w:space="0" w:color="auto"/>
              </w:divBdr>
            </w:div>
            <w:div w:id="1940526988">
              <w:marLeft w:val="0"/>
              <w:marRight w:val="0"/>
              <w:marTop w:val="0"/>
              <w:marBottom w:val="0"/>
              <w:divBdr>
                <w:top w:val="none" w:sz="0" w:space="0" w:color="auto"/>
                <w:left w:val="none" w:sz="0" w:space="0" w:color="auto"/>
                <w:bottom w:val="none" w:sz="0" w:space="0" w:color="auto"/>
                <w:right w:val="none" w:sz="0" w:space="0" w:color="auto"/>
              </w:divBdr>
            </w:div>
            <w:div w:id="1949847567">
              <w:marLeft w:val="0"/>
              <w:marRight w:val="0"/>
              <w:marTop w:val="0"/>
              <w:marBottom w:val="0"/>
              <w:divBdr>
                <w:top w:val="none" w:sz="0" w:space="0" w:color="auto"/>
                <w:left w:val="none" w:sz="0" w:space="0" w:color="auto"/>
                <w:bottom w:val="none" w:sz="0" w:space="0" w:color="auto"/>
                <w:right w:val="none" w:sz="0" w:space="0" w:color="auto"/>
              </w:divBdr>
            </w:div>
            <w:div w:id="1972131439">
              <w:marLeft w:val="0"/>
              <w:marRight w:val="0"/>
              <w:marTop w:val="0"/>
              <w:marBottom w:val="0"/>
              <w:divBdr>
                <w:top w:val="none" w:sz="0" w:space="0" w:color="auto"/>
                <w:left w:val="none" w:sz="0" w:space="0" w:color="auto"/>
                <w:bottom w:val="none" w:sz="0" w:space="0" w:color="auto"/>
                <w:right w:val="none" w:sz="0" w:space="0" w:color="auto"/>
              </w:divBdr>
            </w:div>
            <w:div w:id="2010912596">
              <w:marLeft w:val="0"/>
              <w:marRight w:val="0"/>
              <w:marTop w:val="0"/>
              <w:marBottom w:val="0"/>
              <w:divBdr>
                <w:top w:val="none" w:sz="0" w:space="0" w:color="auto"/>
                <w:left w:val="none" w:sz="0" w:space="0" w:color="auto"/>
                <w:bottom w:val="none" w:sz="0" w:space="0" w:color="auto"/>
                <w:right w:val="none" w:sz="0" w:space="0" w:color="auto"/>
              </w:divBdr>
            </w:div>
            <w:div w:id="2138137957">
              <w:marLeft w:val="0"/>
              <w:marRight w:val="0"/>
              <w:marTop w:val="0"/>
              <w:marBottom w:val="0"/>
              <w:divBdr>
                <w:top w:val="none" w:sz="0" w:space="0" w:color="auto"/>
                <w:left w:val="none" w:sz="0" w:space="0" w:color="auto"/>
                <w:bottom w:val="none" w:sz="0" w:space="0" w:color="auto"/>
                <w:right w:val="none" w:sz="0" w:space="0" w:color="auto"/>
              </w:divBdr>
            </w:div>
          </w:divsChild>
        </w:div>
        <w:div w:id="1746295705">
          <w:marLeft w:val="0"/>
          <w:marRight w:val="0"/>
          <w:marTop w:val="0"/>
          <w:marBottom w:val="0"/>
          <w:divBdr>
            <w:top w:val="none" w:sz="0" w:space="0" w:color="auto"/>
            <w:left w:val="none" w:sz="0" w:space="0" w:color="auto"/>
            <w:bottom w:val="none" w:sz="0" w:space="0" w:color="auto"/>
            <w:right w:val="none" w:sz="0" w:space="0" w:color="auto"/>
          </w:divBdr>
        </w:div>
        <w:div w:id="1746536138">
          <w:marLeft w:val="0"/>
          <w:marRight w:val="0"/>
          <w:marTop w:val="0"/>
          <w:marBottom w:val="0"/>
          <w:divBdr>
            <w:top w:val="none" w:sz="0" w:space="0" w:color="auto"/>
            <w:left w:val="none" w:sz="0" w:space="0" w:color="auto"/>
            <w:bottom w:val="none" w:sz="0" w:space="0" w:color="auto"/>
            <w:right w:val="none" w:sz="0" w:space="0" w:color="auto"/>
          </w:divBdr>
        </w:div>
        <w:div w:id="1747453212">
          <w:marLeft w:val="0"/>
          <w:marRight w:val="0"/>
          <w:marTop w:val="0"/>
          <w:marBottom w:val="0"/>
          <w:divBdr>
            <w:top w:val="none" w:sz="0" w:space="0" w:color="auto"/>
            <w:left w:val="none" w:sz="0" w:space="0" w:color="auto"/>
            <w:bottom w:val="none" w:sz="0" w:space="0" w:color="auto"/>
            <w:right w:val="none" w:sz="0" w:space="0" w:color="auto"/>
          </w:divBdr>
        </w:div>
        <w:div w:id="1748190005">
          <w:marLeft w:val="0"/>
          <w:marRight w:val="0"/>
          <w:marTop w:val="0"/>
          <w:marBottom w:val="0"/>
          <w:divBdr>
            <w:top w:val="none" w:sz="0" w:space="0" w:color="auto"/>
            <w:left w:val="none" w:sz="0" w:space="0" w:color="auto"/>
            <w:bottom w:val="none" w:sz="0" w:space="0" w:color="auto"/>
            <w:right w:val="none" w:sz="0" w:space="0" w:color="auto"/>
          </w:divBdr>
        </w:div>
        <w:div w:id="1749309488">
          <w:marLeft w:val="0"/>
          <w:marRight w:val="0"/>
          <w:marTop w:val="0"/>
          <w:marBottom w:val="0"/>
          <w:divBdr>
            <w:top w:val="none" w:sz="0" w:space="0" w:color="auto"/>
            <w:left w:val="none" w:sz="0" w:space="0" w:color="auto"/>
            <w:bottom w:val="none" w:sz="0" w:space="0" w:color="auto"/>
            <w:right w:val="none" w:sz="0" w:space="0" w:color="auto"/>
          </w:divBdr>
        </w:div>
        <w:div w:id="1750617609">
          <w:marLeft w:val="0"/>
          <w:marRight w:val="0"/>
          <w:marTop w:val="0"/>
          <w:marBottom w:val="0"/>
          <w:divBdr>
            <w:top w:val="none" w:sz="0" w:space="0" w:color="auto"/>
            <w:left w:val="none" w:sz="0" w:space="0" w:color="auto"/>
            <w:bottom w:val="none" w:sz="0" w:space="0" w:color="auto"/>
            <w:right w:val="none" w:sz="0" w:space="0" w:color="auto"/>
          </w:divBdr>
        </w:div>
        <w:div w:id="1750731205">
          <w:marLeft w:val="0"/>
          <w:marRight w:val="0"/>
          <w:marTop w:val="0"/>
          <w:marBottom w:val="0"/>
          <w:divBdr>
            <w:top w:val="none" w:sz="0" w:space="0" w:color="auto"/>
            <w:left w:val="none" w:sz="0" w:space="0" w:color="auto"/>
            <w:bottom w:val="none" w:sz="0" w:space="0" w:color="auto"/>
            <w:right w:val="none" w:sz="0" w:space="0" w:color="auto"/>
          </w:divBdr>
        </w:div>
        <w:div w:id="1753814133">
          <w:marLeft w:val="0"/>
          <w:marRight w:val="0"/>
          <w:marTop w:val="0"/>
          <w:marBottom w:val="0"/>
          <w:divBdr>
            <w:top w:val="none" w:sz="0" w:space="0" w:color="auto"/>
            <w:left w:val="none" w:sz="0" w:space="0" w:color="auto"/>
            <w:bottom w:val="none" w:sz="0" w:space="0" w:color="auto"/>
            <w:right w:val="none" w:sz="0" w:space="0" w:color="auto"/>
          </w:divBdr>
        </w:div>
        <w:div w:id="1754202113">
          <w:marLeft w:val="0"/>
          <w:marRight w:val="0"/>
          <w:marTop w:val="0"/>
          <w:marBottom w:val="0"/>
          <w:divBdr>
            <w:top w:val="none" w:sz="0" w:space="0" w:color="auto"/>
            <w:left w:val="none" w:sz="0" w:space="0" w:color="auto"/>
            <w:bottom w:val="none" w:sz="0" w:space="0" w:color="auto"/>
            <w:right w:val="none" w:sz="0" w:space="0" w:color="auto"/>
          </w:divBdr>
        </w:div>
        <w:div w:id="1754202374">
          <w:marLeft w:val="0"/>
          <w:marRight w:val="0"/>
          <w:marTop w:val="0"/>
          <w:marBottom w:val="0"/>
          <w:divBdr>
            <w:top w:val="none" w:sz="0" w:space="0" w:color="auto"/>
            <w:left w:val="none" w:sz="0" w:space="0" w:color="auto"/>
            <w:bottom w:val="none" w:sz="0" w:space="0" w:color="auto"/>
            <w:right w:val="none" w:sz="0" w:space="0" w:color="auto"/>
          </w:divBdr>
        </w:div>
        <w:div w:id="1754886693">
          <w:marLeft w:val="0"/>
          <w:marRight w:val="0"/>
          <w:marTop w:val="0"/>
          <w:marBottom w:val="0"/>
          <w:divBdr>
            <w:top w:val="none" w:sz="0" w:space="0" w:color="auto"/>
            <w:left w:val="none" w:sz="0" w:space="0" w:color="auto"/>
            <w:bottom w:val="none" w:sz="0" w:space="0" w:color="auto"/>
            <w:right w:val="none" w:sz="0" w:space="0" w:color="auto"/>
          </w:divBdr>
        </w:div>
        <w:div w:id="1756852373">
          <w:marLeft w:val="0"/>
          <w:marRight w:val="0"/>
          <w:marTop w:val="0"/>
          <w:marBottom w:val="0"/>
          <w:divBdr>
            <w:top w:val="none" w:sz="0" w:space="0" w:color="auto"/>
            <w:left w:val="none" w:sz="0" w:space="0" w:color="auto"/>
            <w:bottom w:val="none" w:sz="0" w:space="0" w:color="auto"/>
            <w:right w:val="none" w:sz="0" w:space="0" w:color="auto"/>
          </w:divBdr>
        </w:div>
        <w:div w:id="1758402833">
          <w:marLeft w:val="0"/>
          <w:marRight w:val="0"/>
          <w:marTop w:val="0"/>
          <w:marBottom w:val="0"/>
          <w:divBdr>
            <w:top w:val="none" w:sz="0" w:space="0" w:color="auto"/>
            <w:left w:val="none" w:sz="0" w:space="0" w:color="auto"/>
            <w:bottom w:val="none" w:sz="0" w:space="0" w:color="auto"/>
            <w:right w:val="none" w:sz="0" w:space="0" w:color="auto"/>
          </w:divBdr>
        </w:div>
        <w:div w:id="1758668859">
          <w:marLeft w:val="0"/>
          <w:marRight w:val="0"/>
          <w:marTop w:val="0"/>
          <w:marBottom w:val="0"/>
          <w:divBdr>
            <w:top w:val="none" w:sz="0" w:space="0" w:color="auto"/>
            <w:left w:val="none" w:sz="0" w:space="0" w:color="auto"/>
            <w:bottom w:val="none" w:sz="0" w:space="0" w:color="auto"/>
            <w:right w:val="none" w:sz="0" w:space="0" w:color="auto"/>
          </w:divBdr>
        </w:div>
        <w:div w:id="1761022840">
          <w:marLeft w:val="0"/>
          <w:marRight w:val="0"/>
          <w:marTop w:val="0"/>
          <w:marBottom w:val="0"/>
          <w:divBdr>
            <w:top w:val="none" w:sz="0" w:space="0" w:color="auto"/>
            <w:left w:val="none" w:sz="0" w:space="0" w:color="auto"/>
            <w:bottom w:val="none" w:sz="0" w:space="0" w:color="auto"/>
            <w:right w:val="none" w:sz="0" w:space="0" w:color="auto"/>
          </w:divBdr>
        </w:div>
        <w:div w:id="1761559055">
          <w:marLeft w:val="0"/>
          <w:marRight w:val="0"/>
          <w:marTop w:val="0"/>
          <w:marBottom w:val="0"/>
          <w:divBdr>
            <w:top w:val="none" w:sz="0" w:space="0" w:color="auto"/>
            <w:left w:val="none" w:sz="0" w:space="0" w:color="auto"/>
            <w:bottom w:val="none" w:sz="0" w:space="0" w:color="auto"/>
            <w:right w:val="none" w:sz="0" w:space="0" w:color="auto"/>
          </w:divBdr>
          <w:divsChild>
            <w:div w:id="47147877">
              <w:marLeft w:val="0"/>
              <w:marRight w:val="0"/>
              <w:marTop w:val="0"/>
              <w:marBottom w:val="0"/>
              <w:divBdr>
                <w:top w:val="none" w:sz="0" w:space="0" w:color="auto"/>
                <w:left w:val="none" w:sz="0" w:space="0" w:color="auto"/>
                <w:bottom w:val="none" w:sz="0" w:space="0" w:color="auto"/>
                <w:right w:val="none" w:sz="0" w:space="0" w:color="auto"/>
              </w:divBdr>
            </w:div>
            <w:div w:id="80877929">
              <w:marLeft w:val="0"/>
              <w:marRight w:val="0"/>
              <w:marTop w:val="0"/>
              <w:marBottom w:val="0"/>
              <w:divBdr>
                <w:top w:val="none" w:sz="0" w:space="0" w:color="auto"/>
                <w:left w:val="none" w:sz="0" w:space="0" w:color="auto"/>
                <w:bottom w:val="none" w:sz="0" w:space="0" w:color="auto"/>
                <w:right w:val="none" w:sz="0" w:space="0" w:color="auto"/>
              </w:divBdr>
            </w:div>
            <w:div w:id="92171838">
              <w:marLeft w:val="0"/>
              <w:marRight w:val="0"/>
              <w:marTop w:val="0"/>
              <w:marBottom w:val="0"/>
              <w:divBdr>
                <w:top w:val="none" w:sz="0" w:space="0" w:color="auto"/>
                <w:left w:val="none" w:sz="0" w:space="0" w:color="auto"/>
                <w:bottom w:val="none" w:sz="0" w:space="0" w:color="auto"/>
                <w:right w:val="none" w:sz="0" w:space="0" w:color="auto"/>
              </w:divBdr>
            </w:div>
            <w:div w:id="263727092">
              <w:marLeft w:val="0"/>
              <w:marRight w:val="0"/>
              <w:marTop w:val="0"/>
              <w:marBottom w:val="0"/>
              <w:divBdr>
                <w:top w:val="none" w:sz="0" w:space="0" w:color="auto"/>
                <w:left w:val="none" w:sz="0" w:space="0" w:color="auto"/>
                <w:bottom w:val="none" w:sz="0" w:space="0" w:color="auto"/>
                <w:right w:val="none" w:sz="0" w:space="0" w:color="auto"/>
              </w:divBdr>
            </w:div>
            <w:div w:id="348289607">
              <w:marLeft w:val="0"/>
              <w:marRight w:val="0"/>
              <w:marTop w:val="0"/>
              <w:marBottom w:val="0"/>
              <w:divBdr>
                <w:top w:val="none" w:sz="0" w:space="0" w:color="auto"/>
                <w:left w:val="none" w:sz="0" w:space="0" w:color="auto"/>
                <w:bottom w:val="none" w:sz="0" w:space="0" w:color="auto"/>
                <w:right w:val="none" w:sz="0" w:space="0" w:color="auto"/>
              </w:divBdr>
            </w:div>
            <w:div w:id="356467379">
              <w:marLeft w:val="0"/>
              <w:marRight w:val="0"/>
              <w:marTop w:val="0"/>
              <w:marBottom w:val="0"/>
              <w:divBdr>
                <w:top w:val="none" w:sz="0" w:space="0" w:color="auto"/>
                <w:left w:val="none" w:sz="0" w:space="0" w:color="auto"/>
                <w:bottom w:val="none" w:sz="0" w:space="0" w:color="auto"/>
                <w:right w:val="none" w:sz="0" w:space="0" w:color="auto"/>
              </w:divBdr>
            </w:div>
            <w:div w:id="387725960">
              <w:marLeft w:val="0"/>
              <w:marRight w:val="0"/>
              <w:marTop w:val="0"/>
              <w:marBottom w:val="0"/>
              <w:divBdr>
                <w:top w:val="none" w:sz="0" w:space="0" w:color="auto"/>
                <w:left w:val="none" w:sz="0" w:space="0" w:color="auto"/>
                <w:bottom w:val="none" w:sz="0" w:space="0" w:color="auto"/>
                <w:right w:val="none" w:sz="0" w:space="0" w:color="auto"/>
              </w:divBdr>
            </w:div>
            <w:div w:id="483787771">
              <w:marLeft w:val="0"/>
              <w:marRight w:val="0"/>
              <w:marTop w:val="0"/>
              <w:marBottom w:val="0"/>
              <w:divBdr>
                <w:top w:val="none" w:sz="0" w:space="0" w:color="auto"/>
                <w:left w:val="none" w:sz="0" w:space="0" w:color="auto"/>
                <w:bottom w:val="none" w:sz="0" w:space="0" w:color="auto"/>
                <w:right w:val="none" w:sz="0" w:space="0" w:color="auto"/>
              </w:divBdr>
            </w:div>
            <w:div w:id="531891444">
              <w:marLeft w:val="0"/>
              <w:marRight w:val="0"/>
              <w:marTop w:val="0"/>
              <w:marBottom w:val="0"/>
              <w:divBdr>
                <w:top w:val="none" w:sz="0" w:space="0" w:color="auto"/>
                <w:left w:val="none" w:sz="0" w:space="0" w:color="auto"/>
                <w:bottom w:val="none" w:sz="0" w:space="0" w:color="auto"/>
                <w:right w:val="none" w:sz="0" w:space="0" w:color="auto"/>
              </w:divBdr>
            </w:div>
            <w:div w:id="542644848">
              <w:marLeft w:val="0"/>
              <w:marRight w:val="0"/>
              <w:marTop w:val="0"/>
              <w:marBottom w:val="0"/>
              <w:divBdr>
                <w:top w:val="none" w:sz="0" w:space="0" w:color="auto"/>
                <w:left w:val="none" w:sz="0" w:space="0" w:color="auto"/>
                <w:bottom w:val="none" w:sz="0" w:space="0" w:color="auto"/>
                <w:right w:val="none" w:sz="0" w:space="0" w:color="auto"/>
              </w:divBdr>
            </w:div>
            <w:div w:id="658461590">
              <w:marLeft w:val="0"/>
              <w:marRight w:val="0"/>
              <w:marTop w:val="0"/>
              <w:marBottom w:val="0"/>
              <w:divBdr>
                <w:top w:val="none" w:sz="0" w:space="0" w:color="auto"/>
                <w:left w:val="none" w:sz="0" w:space="0" w:color="auto"/>
                <w:bottom w:val="none" w:sz="0" w:space="0" w:color="auto"/>
                <w:right w:val="none" w:sz="0" w:space="0" w:color="auto"/>
              </w:divBdr>
            </w:div>
            <w:div w:id="911308562">
              <w:marLeft w:val="0"/>
              <w:marRight w:val="0"/>
              <w:marTop w:val="0"/>
              <w:marBottom w:val="0"/>
              <w:divBdr>
                <w:top w:val="none" w:sz="0" w:space="0" w:color="auto"/>
                <w:left w:val="none" w:sz="0" w:space="0" w:color="auto"/>
                <w:bottom w:val="none" w:sz="0" w:space="0" w:color="auto"/>
                <w:right w:val="none" w:sz="0" w:space="0" w:color="auto"/>
              </w:divBdr>
            </w:div>
            <w:div w:id="982857813">
              <w:marLeft w:val="0"/>
              <w:marRight w:val="0"/>
              <w:marTop w:val="0"/>
              <w:marBottom w:val="0"/>
              <w:divBdr>
                <w:top w:val="none" w:sz="0" w:space="0" w:color="auto"/>
                <w:left w:val="none" w:sz="0" w:space="0" w:color="auto"/>
                <w:bottom w:val="none" w:sz="0" w:space="0" w:color="auto"/>
                <w:right w:val="none" w:sz="0" w:space="0" w:color="auto"/>
              </w:divBdr>
            </w:div>
            <w:div w:id="1061753244">
              <w:marLeft w:val="0"/>
              <w:marRight w:val="0"/>
              <w:marTop w:val="0"/>
              <w:marBottom w:val="0"/>
              <w:divBdr>
                <w:top w:val="none" w:sz="0" w:space="0" w:color="auto"/>
                <w:left w:val="none" w:sz="0" w:space="0" w:color="auto"/>
                <w:bottom w:val="none" w:sz="0" w:space="0" w:color="auto"/>
                <w:right w:val="none" w:sz="0" w:space="0" w:color="auto"/>
              </w:divBdr>
            </w:div>
            <w:div w:id="1298023289">
              <w:marLeft w:val="0"/>
              <w:marRight w:val="0"/>
              <w:marTop w:val="0"/>
              <w:marBottom w:val="0"/>
              <w:divBdr>
                <w:top w:val="none" w:sz="0" w:space="0" w:color="auto"/>
                <w:left w:val="none" w:sz="0" w:space="0" w:color="auto"/>
                <w:bottom w:val="none" w:sz="0" w:space="0" w:color="auto"/>
                <w:right w:val="none" w:sz="0" w:space="0" w:color="auto"/>
              </w:divBdr>
            </w:div>
            <w:div w:id="1487168759">
              <w:marLeft w:val="0"/>
              <w:marRight w:val="0"/>
              <w:marTop w:val="0"/>
              <w:marBottom w:val="0"/>
              <w:divBdr>
                <w:top w:val="none" w:sz="0" w:space="0" w:color="auto"/>
                <w:left w:val="none" w:sz="0" w:space="0" w:color="auto"/>
                <w:bottom w:val="none" w:sz="0" w:space="0" w:color="auto"/>
                <w:right w:val="none" w:sz="0" w:space="0" w:color="auto"/>
              </w:divBdr>
            </w:div>
            <w:div w:id="1635990092">
              <w:marLeft w:val="0"/>
              <w:marRight w:val="0"/>
              <w:marTop w:val="0"/>
              <w:marBottom w:val="0"/>
              <w:divBdr>
                <w:top w:val="none" w:sz="0" w:space="0" w:color="auto"/>
                <w:left w:val="none" w:sz="0" w:space="0" w:color="auto"/>
                <w:bottom w:val="none" w:sz="0" w:space="0" w:color="auto"/>
                <w:right w:val="none" w:sz="0" w:space="0" w:color="auto"/>
              </w:divBdr>
            </w:div>
            <w:div w:id="1772124208">
              <w:marLeft w:val="0"/>
              <w:marRight w:val="0"/>
              <w:marTop w:val="0"/>
              <w:marBottom w:val="0"/>
              <w:divBdr>
                <w:top w:val="none" w:sz="0" w:space="0" w:color="auto"/>
                <w:left w:val="none" w:sz="0" w:space="0" w:color="auto"/>
                <w:bottom w:val="none" w:sz="0" w:space="0" w:color="auto"/>
                <w:right w:val="none" w:sz="0" w:space="0" w:color="auto"/>
              </w:divBdr>
            </w:div>
            <w:div w:id="1937715960">
              <w:marLeft w:val="0"/>
              <w:marRight w:val="0"/>
              <w:marTop w:val="0"/>
              <w:marBottom w:val="0"/>
              <w:divBdr>
                <w:top w:val="none" w:sz="0" w:space="0" w:color="auto"/>
                <w:left w:val="none" w:sz="0" w:space="0" w:color="auto"/>
                <w:bottom w:val="none" w:sz="0" w:space="0" w:color="auto"/>
                <w:right w:val="none" w:sz="0" w:space="0" w:color="auto"/>
              </w:divBdr>
            </w:div>
            <w:div w:id="2054302070">
              <w:marLeft w:val="0"/>
              <w:marRight w:val="0"/>
              <w:marTop w:val="0"/>
              <w:marBottom w:val="0"/>
              <w:divBdr>
                <w:top w:val="none" w:sz="0" w:space="0" w:color="auto"/>
                <w:left w:val="none" w:sz="0" w:space="0" w:color="auto"/>
                <w:bottom w:val="none" w:sz="0" w:space="0" w:color="auto"/>
                <w:right w:val="none" w:sz="0" w:space="0" w:color="auto"/>
              </w:divBdr>
            </w:div>
            <w:div w:id="2106883065">
              <w:marLeft w:val="0"/>
              <w:marRight w:val="0"/>
              <w:marTop w:val="0"/>
              <w:marBottom w:val="0"/>
              <w:divBdr>
                <w:top w:val="none" w:sz="0" w:space="0" w:color="auto"/>
                <w:left w:val="none" w:sz="0" w:space="0" w:color="auto"/>
                <w:bottom w:val="none" w:sz="0" w:space="0" w:color="auto"/>
                <w:right w:val="none" w:sz="0" w:space="0" w:color="auto"/>
              </w:divBdr>
            </w:div>
          </w:divsChild>
        </w:div>
        <w:div w:id="1761754362">
          <w:marLeft w:val="0"/>
          <w:marRight w:val="0"/>
          <w:marTop w:val="0"/>
          <w:marBottom w:val="0"/>
          <w:divBdr>
            <w:top w:val="none" w:sz="0" w:space="0" w:color="auto"/>
            <w:left w:val="none" w:sz="0" w:space="0" w:color="auto"/>
            <w:bottom w:val="none" w:sz="0" w:space="0" w:color="auto"/>
            <w:right w:val="none" w:sz="0" w:space="0" w:color="auto"/>
          </w:divBdr>
        </w:div>
        <w:div w:id="1762025047">
          <w:marLeft w:val="0"/>
          <w:marRight w:val="0"/>
          <w:marTop w:val="0"/>
          <w:marBottom w:val="0"/>
          <w:divBdr>
            <w:top w:val="none" w:sz="0" w:space="0" w:color="auto"/>
            <w:left w:val="none" w:sz="0" w:space="0" w:color="auto"/>
            <w:bottom w:val="none" w:sz="0" w:space="0" w:color="auto"/>
            <w:right w:val="none" w:sz="0" w:space="0" w:color="auto"/>
          </w:divBdr>
        </w:div>
        <w:div w:id="1762096049">
          <w:marLeft w:val="0"/>
          <w:marRight w:val="0"/>
          <w:marTop w:val="0"/>
          <w:marBottom w:val="0"/>
          <w:divBdr>
            <w:top w:val="none" w:sz="0" w:space="0" w:color="auto"/>
            <w:left w:val="none" w:sz="0" w:space="0" w:color="auto"/>
            <w:bottom w:val="none" w:sz="0" w:space="0" w:color="auto"/>
            <w:right w:val="none" w:sz="0" w:space="0" w:color="auto"/>
          </w:divBdr>
        </w:div>
        <w:div w:id="1764301990">
          <w:marLeft w:val="0"/>
          <w:marRight w:val="0"/>
          <w:marTop w:val="0"/>
          <w:marBottom w:val="0"/>
          <w:divBdr>
            <w:top w:val="none" w:sz="0" w:space="0" w:color="auto"/>
            <w:left w:val="none" w:sz="0" w:space="0" w:color="auto"/>
            <w:bottom w:val="none" w:sz="0" w:space="0" w:color="auto"/>
            <w:right w:val="none" w:sz="0" w:space="0" w:color="auto"/>
          </w:divBdr>
        </w:div>
        <w:div w:id="1765683995">
          <w:marLeft w:val="0"/>
          <w:marRight w:val="0"/>
          <w:marTop w:val="0"/>
          <w:marBottom w:val="0"/>
          <w:divBdr>
            <w:top w:val="none" w:sz="0" w:space="0" w:color="auto"/>
            <w:left w:val="none" w:sz="0" w:space="0" w:color="auto"/>
            <w:bottom w:val="none" w:sz="0" w:space="0" w:color="auto"/>
            <w:right w:val="none" w:sz="0" w:space="0" w:color="auto"/>
          </w:divBdr>
        </w:div>
        <w:div w:id="1766001357">
          <w:marLeft w:val="0"/>
          <w:marRight w:val="0"/>
          <w:marTop w:val="0"/>
          <w:marBottom w:val="0"/>
          <w:divBdr>
            <w:top w:val="none" w:sz="0" w:space="0" w:color="auto"/>
            <w:left w:val="none" w:sz="0" w:space="0" w:color="auto"/>
            <w:bottom w:val="none" w:sz="0" w:space="0" w:color="auto"/>
            <w:right w:val="none" w:sz="0" w:space="0" w:color="auto"/>
          </w:divBdr>
        </w:div>
        <w:div w:id="1766345470">
          <w:marLeft w:val="0"/>
          <w:marRight w:val="0"/>
          <w:marTop w:val="0"/>
          <w:marBottom w:val="0"/>
          <w:divBdr>
            <w:top w:val="none" w:sz="0" w:space="0" w:color="auto"/>
            <w:left w:val="none" w:sz="0" w:space="0" w:color="auto"/>
            <w:bottom w:val="none" w:sz="0" w:space="0" w:color="auto"/>
            <w:right w:val="none" w:sz="0" w:space="0" w:color="auto"/>
          </w:divBdr>
        </w:div>
        <w:div w:id="1766458017">
          <w:marLeft w:val="0"/>
          <w:marRight w:val="0"/>
          <w:marTop w:val="0"/>
          <w:marBottom w:val="0"/>
          <w:divBdr>
            <w:top w:val="none" w:sz="0" w:space="0" w:color="auto"/>
            <w:left w:val="none" w:sz="0" w:space="0" w:color="auto"/>
            <w:bottom w:val="none" w:sz="0" w:space="0" w:color="auto"/>
            <w:right w:val="none" w:sz="0" w:space="0" w:color="auto"/>
          </w:divBdr>
        </w:div>
        <w:div w:id="1767506048">
          <w:marLeft w:val="0"/>
          <w:marRight w:val="0"/>
          <w:marTop w:val="0"/>
          <w:marBottom w:val="0"/>
          <w:divBdr>
            <w:top w:val="none" w:sz="0" w:space="0" w:color="auto"/>
            <w:left w:val="none" w:sz="0" w:space="0" w:color="auto"/>
            <w:bottom w:val="none" w:sz="0" w:space="0" w:color="auto"/>
            <w:right w:val="none" w:sz="0" w:space="0" w:color="auto"/>
          </w:divBdr>
        </w:div>
        <w:div w:id="1768184919">
          <w:marLeft w:val="0"/>
          <w:marRight w:val="0"/>
          <w:marTop w:val="0"/>
          <w:marBottom w:val="0"/>
          <w:divBdr>
            <w:top w:val="none" w:sz="0" w:space="0" w:color="auto"/>
            <w:left w:val="none" w:sz="0" w:space="0" w:color="auto"/>
            <w:bottom w:val="none" w:sz="0" w:space="0" w:color="auto"/>
            <w:right w:val="none" w:sz="0" w:space="0" w:color="auto"/>
          </w:divBdr>
        </w:div>
        <w:div w:id="1768185812">
          <w:marLeft w:val="0"/>
          <w:marRight w:val="0"/>
          <w:marTop w:val="0"/>
          <w:marBottom w:val="0"/>
          <w:divBdr>
            <w:top w:val="none" w:sz="0" w:space="0" w:color="auto"/>
            <w:left w:val="none" w:sz="0" w:space="0" w:color="auto"/>
            <w:bottom w:val="none" w:sz="0" w:space="0" w:color="auto"/>
            <w:right w:val="none" w:sz="0" w:space="0" w:color="auto"/>
          </w:divBdr>
        </w:div>
        <w:div w:id="1768889781">
          <w:marLeft w:val="0"/>
          <w:marRight w:val="0"/>
          <w:marTop w:val="0"/>
          <w:marBottom w:val="0"/>
          <w:divBdr>
            <w:top w:val="none" w:sz="0" w:space="0" w:color="auto"/>
            <w:left w:val="none" w:sz="0" w:space="0" w:color="auto"/>
            <w:bottom w:val="none" w:sz="0" w:space="0" w:color="auto"/>
            <w:right w:val="none" w:sz="0" w:space="0" w:color="auto"/>
          </w:divBdr>
        </w:div>
        <w:div w:id="1769539713">
          <w:marLeft w:val="0"/>
          <w:marRight w:val="0"/>
          <w:marTop w:val="0"/>
          <w:marBottom w:val="0"/>
          <w:divBdr>
            <w:top w:val="none" w:sz="0" w:space="0" w:color="auto"/>
            <w:left w:val="none" w:sz="0" w:space="0" w:color="auto"/>
            <w:bottom w:val="none" w:sz="0" w:space="0" w:color="auto"/>
            <w:right w:val="none" w:sz="0" w:space="0" w:color="auto"/>
          </w:divBdr>
        </w:div>
        <w:div w:id="1770545337">
          <w:marLeft w:val="0"/>
          <w:marRight w:val="0"/>
          <w:marTop w:val="0"/>
          <w:marBottom w:val="0"/>
          <w:divBdr>
            <w:top w:val="none" w:sz="0" w:space="0" w:color="auto"/>
            <w:left w:val="none" w:sz="0" w:space="0" w:color="auto"/>
            <w:bottom w:val="none" w:sz="0" w:space="0" w:color="auto"/>
            <w:right w:val="none" w:sz="0" w:space="0" w:color="auto"/>
          </w:divBdr>
        </w:div>
        <w:div w:id="1771197583">
          <w:marLeft w:val="0"/>
          <w:marRight w:val="0"/>
          <w:marTop w:val="0"/>
          <w:marBottom w:val="0"/>
          <w:divBdr>
            <w:top w:val="none" w:sz="0" w:space="0" w:color="auto"/>
            <w:left w:val="none" w:sz="0" w:space="0" w:color="auto"/>
            <w:bottom w:val="none" w:sz="0" w:space="0" w:color="auto"/>
            <w:right w:val="none" w:sz="0" w:space="0" w:color="auto"/>
          </w:divBdr>
        </w:div>
        <w:div w:id="1771390134">
          <w:marLeft w:val="0"/>
          <w:marRight w:val="0"/>
          <w:marTop w:val="0"/>
          <w:marBottom w:val="0"/>
          <w:divBdr>
            <w:top w:val="none" w:sz="0" w:space="0" w:color="auto"/>
            <w:left w:val="none" w:sz="0" w:space="0" w:color="auto"/>
            <w:bottom w:val="none" w:sz="0" w:space="0" w:color="auto"/>
            <w:right w:val="none" w:sz="0" w:space="0" w:color="auto"/>
          </w:divBdr>
          <w:divsChild>
            <w:div w:id="94181402">
              <w:marLeft w:val="0"/>
              <w:marRight w:val="0"/>
              <w:marTop w:val="0"/>
              <w:marBottom w:val="0"/>
              <w:divBdr>
                <w:top w:val="none" w:sz="0" w:space="0" w:color="auto"/>
                <w:left w:val="none" w:sz="0" w:space="0" w:color="auto"/>
                <w:bottom w:val="none" w:sz="0" w:space="0" w:color="auto"/>
                <w:right w:val="none" w:sz="0" w:space="0" w:color="auto"/>
              </w:divBdr>
            </w:div>
            <w:div w:id="117334367">
              <w:marLeft w:val="0"/>
              <w:marRight w:val="0"/>
              <w:marTop w:val="0"/>
              <w:marBottom w:val="0"/>
              <w:divBdr>
                <w:top w:val="none" w:sz="0" w:space="0" w:color="auto"/>
                <w:left w:val="none" w:sz="0" w:space="0" w:color="auto"/>
                <w:bottom w:val="none" w:sz="0" w:space="0" w:color="auto"/>
                <w:right w:val="none" w:sz="0" w:space="0" w:color="auto"/>
              </w:divBdr>
            </w:div>
            <w:div w:id="226845338">
              <w:marLeft w:val="0"/>
              <w:marRight w:val="0"/>
              <w:marTop w:val="0"/>
              <w:marBottom w:val="0"/>
              <w:divBdr>
                <w:top w:val="none" w:sz="0" w:space="0" w:color="auto"/>
                <w:left w:val="none" w:sz="0" w:space="0" w:color="auto"/>
                <w:bottom w:val="none" w:sz="0" w:space="0" w:color="auto"/>
                <w:right w:val="none" w:sz="0" w:space="0" w:color="auto"/>
              </w:divBdr>
            </w:div>
            <w:div w:id="562181657">
              <w:marLeft w:val="0"/>
              <w:marRight w:val="0"/>
              <w:marTop w:val="0"/>
              <w:marBottom w:val="0"/>
              <w:divBdr>
                <w:top w:val="none" w:sz="0" w:space="0" w:color="auto"/>
                <w:left w:val="none" w:sz="0" w:space="0" w:color="auto"/>
                <w:bottom w:val="none" w:sz="0" w:space="0" w:color="auto"/>
                <w:right w:val="none" w:sz="0" w:space="0" w:color="auto"/>
              </w:divBdr>
            </w:div>
            <w:div w:id="699477063">
              <w:marLeft w:val="0"/>
              <w:marRight w:val="0"/>
              <w:marTop w:val="0"/>
              <w:marBottom w:val="0"/>
              <w:divBdr>
                <w:top w:val="none" w:sz="0" w:space="0" w:color="auto"/>
                <w:left w:val="none" w:sz="0" w:space="0" w:color="auto"/>
                <w:bottom w:val="none" w:sz="0" w:space="0" w:color="auto"/>
                <w:right w:val="none" w:sz="0" w:space="0" w:color="auto"/>
              </w:divBdr>
            </w:div>
            <w:div w:id="840386885">
              <w:marLeft w:val="0"/>
              <w:marRight w:val="0"/>
              <w:marTop w:val="0"/>
              <w:marBottom w:val="0"/>
              <w:divBdr>
                <w:top w:val="none" w:sz="0" w:space="0" w:color="auto"/>
                <w:left w:val="none" w:sz="0" w:space="0" w:color="auto"/>
                <w:bottom w:val="none" w:sz="0" w:space="0" w:color="auto"/>
                <w:right w:val="none" w:sz="0" w:space="0" w:color="auto"/>
              </w:divBdr>
            </w:div>
            <w:div w:id="1015614097">
              <w:marLeft w:val="0"/>
              <w:marRight w:val="0"/>
              <w:marTop w:val="0"/>
              <w:marBottom w:val="0"/>
              <w:divBdr>
                <w:top w:val="none" w:sz="0" w:space="0" w:color="auto"/>
                <w:left w:val="none" w:sz="0" w:space="0" w:color="auto"/>
                <w:bottom w:val="none" w:sz="0" w:space="0" w:color="auto"/>
                <w:right w:val="none" w:sz="0" w:space="0" w:color="auto"/>
              </w:divBdr>
            </w:div>
            <w:div w:id="1062873498">
              <w:marLeft w:val="0"/>
              <w:marRight w:val="0"/>
              <w:marTop w:val="0"/>
              <w:marBottom w:val="0"/>
              <w:divBdr>
                <w:top w:val="none" w:sz="0" w:space="0" w:color="auto"/>
                <w:left w:val="none" w:sz="0" w:space="0" w:color="auto"/>
                <w:bottom w:val="none" w:sz="0" w:space="0" w:color="auto"/>
                <w:right w:val="none" w:sz="0" w:space="0" w:color="auto"/>
              </w:divBdr>
            </w:div>
            <w:div w:id="1085032255">
              <w:marLeft w:val="0"/>
              <w:marRight w:val="0"/>
              <w:marTop w:val="0"/>
              <w:marBottom w:val="0"/>
              <w:divBdr>
                <w:top w:val="none" w:sz="0" w:space="0" w:color="auto"/>
                <w:left w:val="none" w:sz="0" w:space="0" w:color="auto"/>
                <w:bottom w:val="none" w:sz="0" w:space="0" w:color="auto"/>
                <w:right w:val="none" w:sz="0" w:space="0" w:color="auto"/>
              </w:divBdr>
            </w:div>
            <w:div w:id="1096095827">
              <w:marLeft w:val="0"/>
              <w:marRight w:val="0"/>
              <w:marTop w:val="0"/>
              <w:marBottom w:val="0"/>
              <w:divBdr>
                <w:top w:val="none" w:sz="0" w:space="0" w:color="auto"/>
                <w:left w:val="none" w:sz="0" w:space="0" w:color="auto"/>
                <w:bottom w:val="none" w:sz="0" w:space="0" w:color="auto"/>
                <w:right w:val="none" w:sz="0" w:space="0" w:color="auto"/>
              </w:divBdr>
            </w:div>
            <w:div w:id="1209149261">
              <w:marLeft w:val="0"/>
              <w:marRight w:val="0"/>
              <w:marTop w:val="0"/>
              <w:marBottom w:val="0"/>
              <w:divBdr>
                <w:top w:val="none" w:sz="0" w:space="0" w:color="auto"/>
                <w:left w:val="none" w:sz="0" w:space="0" w:color="auto"/>
                <w:bottom w:val="none" w:sz="0" w:space="0" w:color="auto"/>
                <w:right w:val="none" w:sz="0" w:space="0" w:color="auto"/>
              </w:divBdr>
            </w:div>
            <w:div w:id="1217814566">
              <w:marLeft w:val="0"/>
              <w:marRight w:val="0"/>
              <w:marTop w:val="0"/>
              <w:marBottom w:val="0"/>
              <w:divBdr>
                <w:top w:val="none" w:sz="0" w:space="0" w:color="auto"/>
                <w:left w:val="none" w:sz="0" w:space="0" w:color="auto"/>
                <w:bottom w:val="none" w:sz="0" w:space="0" w:color="auto"/>
                <w:right w:val="none" w:sz="0" w:space="0" w:color="auto"/>
              </w:divBdr>
            </w:div>
            <w:div w:id="1513257246">
              <w:marLeft w:val="0"/>
              <w:marRight w:val="0"/>
              <w:marTop w:val="0"/>
              <w:marBottom w:val="0"/>
              <w:divBdr>
                <w:top w:val="none" w:sz="0" w:space="0" w:color="auto"/>
                <w:left w:val="none" w:sz="0" w:space="0" w:color="auto"/>
                <w:bottom w:val="none" w:sz="0" w:space="0" w:color="auto"/>
                <w:right w:val="none" w:sz="0" w:space="0" w:color="auto"/>
              </w:divBdr>
            </w:div>
            <w:div w:id="1683169958">
              <w:marLeft w:val="0"/>
              <w:marRight w:val="0"/>
              <w:marTop w:val="0"/>
              <w:marBottom w:val="0"/>
              <w:divBdr>
                <w:top w:val="none" w:sz="0" w:space="0" w:color="auto"/>
                <w:left w:val="none" w:sz="0" w:space="0" w:color="auto"/>
                <w:bottom w:val="none" w:sz="0" w:space="0" w:color="auto"/>
                <w:right w:val="none" w:sz="0" w:space="0" w:color="auto"/>
              </w:divBdr>
            </w:div>
            <w:div w:id="1699430403">
              <w:marLeft w:val="0"/>
              <w:marRight w:val="0"/>
              <w:marTop w:val="0"/>
              <w:marBottom w:val="0"/>
              <w:divBdr>
                <w:top w:val="none" w:sz="0" w:space="0" w:color="auto"/>
                <w:left w:val="none" w:sz="0" w:space="0" w:color="auto"/>
                <w:bottom w:val="none" w:sz="0" w:space="0" w:color="auto"/>
                <w:right w:val="none" w:sz="0" w:space="0" w:color="auto"/>
              </w:divBdr>
            </w:div>
            <w:div w:id="1972320327">
              <w:marLeft w:val="0"/>
              <w:marRight w:val="0"/>
              <w:marTop w:val="0"/>
              <w:marBottom w:val="0"/>
              <w:divBdr>
                <w:top w:val="none" w:sz="0" w:space="0" w:color="auto"/>
                <w:left w:val="none" w:sz="0" w:space="0" w:color="auto"/>
                <w:bottom w:val="none" w:sz="0" w:space="0" w:color="auto"/>
                <w:right w:val="none" w:sz="0" w:space="0" w:color="auto"/>
              </w:divBdr>
            </w:div>
          </w:divsChild>
        </w:div>
        <w:div w:id="1773738681">
          <w:marLeft w:val="0"/>
          <w:marRight w:val="0"/>
          <w:marTop w:val="0"/>
          <w:marBottom w:val="0"/>
          <w:divBdr>
            <w:top w:val="none" w:sz="0" w:space="0" w:color="auto"/>
            <w:left w:val="none" w:sz="0" w:space="0" w:color="auto"/>
            <w:bottom w:val="none" w:sz="0" w:space="0" w:color="auto"/>
            <w:right w:val="none" w:sz="0" w:space="0" w:color="auto"/>
          </w:divBdr>
        </w:div>
        <w:div w:id="1773864221">
          <w:marLeft w:val="0"/>
          <w:marRight w:val="0"/>
          <w:marTop w:val="0"/>
          <w:marBottom w:val="0"/>
          <w:divBdr>
            <w:top w:val="none" w:sz="0" w:space="0" w:color="auto"/>
            <w:left w:val="none" w:sz="0" w:space="0" w:color="auto"/>
            <w:bottom w:val="none" w:sz="0" w:space="0" w:color="auto"/>
            <w:right w:val="none" w:sz="0" w:space="0" w:color="auto"/>
          </w:divBdr>
        </w:div>
        <w:div w:id="1775897622">
          <w:marLeft w:val="0"/>
          <w:marRight w:val="0"/>
          <w:marTop w:val="0"/>
          <w:marBottom w:val="0"/>
          <w:divBdr>
            <w:top w:val="none" w:sz="0" w:space="0" w:color="auto"/>
            <w:left w:val="none" w:sz="0" w:space="0" w:color="auto"/>
            <w:bottom w:val="none" w:sz="0" w:space="0" w:color="auto"/>
            <w:right w:val="none" w:sz="0" w:space="0" w:color="auto"/>
          </w:divBdr>
        </w:div>
        <w:div w:id="1776435961">
          <w:marLeft w:val="0"/>
          <w:marRight w:val="0"/>
          <w:marTop w:val="0"/>
          <w:marBottom w:val="0"/>
          <w:divBdr>
            <w:top w:val="none" w:sz="0" w:space="0" w:color="auto"/>
            <w:left w:val="none" w:sz="0" w:space="0" w:color="auto"/>
            <w:bottom w:val="none" w:sz="0" w:space="0" w:color="auto"/>
            <w:right w:val="none" w:sz="0" w:space="0" w:color="auto"/>
          </w:divBdr>
        </w:div>
        <w:div w:id="1779527106">
          <w:marLeft w:val="0"/>
          <w:marRight w:val="0"/>
          <w:marTop w:val="0"/>
          <w:marBottom w:val="0"/>
          <w:divBdr>
            <w:top w:val="none" w:sz="0" w:space="0" w:color="auto"/>
            <w:left w:val="none" w:sz="0" w:space="0" w:color="auto"/>
            <w:bottom w:val="none" w:sz="0" w:space="0" w:color="auto"/>
            <w:right w:val="none" w:sz="0" w:space="0" w:color="auto"/>
          </w:divBdr>
        </w:div>
        <w:div w:id="1782070416">
          <w:marLeft w:val="0"/>
          <w:marRight w:val="0"/>
          <w:marTop w:val="0"/>
          <w:marBottom w:val="0"/>
          <w:divBdr>
            <w:top w:val="none" w:sz="0" w:space="0" w:color="auto"/>
            <w:left w:val="none" w:sz="0" w:space="0" w:color="auto"/>
            <w:bottom w:val="none" w:sz="0" w:space="0" w:color="auto"/>
            <w:right w:val="none" w:sz="0" w:space="0" w:color="auto"/>
          </w:divBdr>
        </w:div>
        <w:div w:id="1782457601">
          <w:marLeft w:val="0"/>
          <w:marRight w:val="0"/>
          <w:marTop w:val="0"/>
          <w:marBottom w:val="0"/>
          <w:divBdr>
            <w:top w:val="none" w:sz="0" w:space="0" w:color="auto"/>
            <w:left w:val="none" w:sz="0" w:space="0" w:color="auto"/>
            <w:bottom w:val="none" w:sz="0" w:space="0" w:color="auto"/>
            <w:right w:val="none" w:sz="0" w:space="0" w:color="auto"/>
          </w:divBdr>
        </w:div>
        <w:div w:id="1784807762">
          <w:marLeft w:val="0"/>
          <w:marRight w:val="0"/>
          <w:marTop w:val="0"/>
          <w:marBottom w:val="0"/>
          <w:divBdr>
            <w:top w:val="none" w:sz="0" w:space="0" w:color="auto"/>
            <w:left w:val="none" w:sz="0" w:space="0" w:color="auto"/>
            <w:bottom w:val="none" w:sz="0" w:space="0" w:color="auto"/>
            <w:right w:val="none" w:sz="0" w:space="0" w:color="auto"/>
          </w:divBdr>
        </w:div>
        <w:div w:id="1785147033">
          <w:marLeft w:val="0"/>
          <w:marRight w:val="0"/>
          <w:marTop w:val="0"/>
          <w:marBottom w:val="0"/>
          <w:divBdr>
            <w:top w:val="none" w:sz="0" w:space="0" w:color="auto"/>
            <w:left w:val="none" w:sz="0" w:space="0" w:color="auto"/>
            <w:bottom w:val="none" w:sz="0" w:space="0" w:color="auto"/>
            <w:right w:val="none" w:sz="0" w:space="0" w:color="auto"/>
          </w:divBdr>
        </w:div>
        <w:div w:id="1785269005">
          <w:marLeft w:val="0"/>
          <w:marRight w:val="0"/>
          <w:marTop w:val="0"/>
          <w:marBottom w:val="0"/>
          <w:divBdr>
            <w:top w:val="none" w:sz="0" w:space="0" w:color="auto"/>
            <w:left w:val="none" w:sz="0" w:space="0" w:color="auto"/>
            <w:bottom w:val="none" w:sz="0" w:space="0" w:color="auto"/>
            <w:right w:val="none" w:sz="0" w:space="0" w:color="auto"/>
          </w:divBdr>
        </w:div>
        <w:div w:id="1786728568">
          <w:marLeft w:val="0"/>
          <w:marRight w:val="0"/>
          <w:marTop w:val="0"/>
          <w:marBottom w:val="0"/>
          <w:divBdr>
            <w:top w:val="none" w:sz="0" w:space="0" w:color="auto"/>
            <w:left w:val="none" w:sz="0" w:space="0" w:color="auto"/>
            <w:bottom w:val="none" w:sz="0" w:space="0" w:color="auto"/>
            <w:right w:val="none" w:sz="0" w:space="0" w:color="auto"/>
          </w:divBdr>
        </w:div>
        <w:div w:id="1787190581">
          <w:marLeft w:val="0"/>
          <w:marRight w:val="0"/>
          <w:marTop w:val="0"/>
          <w:marBottom w:val="0"/>
          <w:divBdr>
            <w:top w:val="none" w:sz="0" w:space="0" w:color="auto"/>
            <w:left w:val="none" w:sz="0" w:space="0" w:color="auto"/>
            <w:bottom w:val="none" w:sz="0" w:space="0" w:color="auto"/>
            <w:right w:val="none" w:sz="0" w:space="0" w:color="auto"/>
          </w:divBdr>
        </w:div>
        <w:div w:id="1787383666">
          <w:marLeft w:val="0"/>
          <w:marRight w:val="0"/>
          <w:marTop w:val="0"/>
          <w:marBottom w:val="0"/>
          <w:divBdr>
            <w:top w:val="none" w:sz="0" w:space="0" w:color="auto"/>
            <w:left w:val="none" w:sz="0" w:space="0" w:color="auto"/>
            <w:bottom w:val="none" w:sz="0" w:space="0" w:color="auto"/>
            <w:right w:val="none" w:sz="0" w:space="0" w:color="auto"/>
          </w:divBdr>
        </w:div>
        <w:div w:id="1787461260">
          <w:marLeft w:val="0"/>
          <w:marRight w:val="0"/>
          <w:marTop w:val="0"/>
          <w:marBottom w:val="0"/>
          <w:divBdr>
            <w:top w:val="none" w:sz="0" w:space="0" w:color="auto"/>
            <w:left w:val="none" w:sz="0" w:space="0" w:color="auto"/>
            <w:bottom w:val="none" w:sz="0" w:space="0" w:color="auto"/>
            <w:right w:val="none" w:sz="0" w:space="0" w:color="auto"/>
          </w:divBdr>
          <w:divsChild>
            <w:div w:id="130826862">
              <w:marLeft w:val="0"/>
              <w:marRight w:val="0"/>
              <w:marTop w:val="0"/>
              <w:marBottom w:val="0"/>
              <w:divBdr>
                <w:top w:val="none" w:sz="0" w:space="0" w:color="auto"/>
                <w:left w:val="none" w:sz="0" w:space="0" w:color="auto"/>
                <w:bottom w:val="none" w:sz="0" w:space="0" w:color="auto"/>
                <w:right w:val="none" w:sz="0" w:space="0" w:color="auto"/>
              </w:divBdr>
            </w:div>
            <w:div w:id="357463531">
              <w:marLeft w:val="0"/>
              <w:marRight w:val="0"/>
              <w:marTop w:val="0"/>
              <w:marBottom w:val="0"/>
              <w:divBdr>
                <w:top w:val="none" w:sz="0" w:space="0" w:color="auto"/>
                <w:left w:val="none" w:sz="0" w:space="0" w:color="auto"/>
                <w:bottom w:val="none" w:sz="0" w:space="0" w:color="auto"/>
                <w:right w:val="none" w:sz="0" w:space="0" w:color="auto"/>
              </w:divBdr>
            </w:div>
            <w:div w:id="419566651">
              <w:marLeft w:val="0"/>
              <w:marRight w:val="0"/>
              <w:marTop w:val="0"/>
              <w:marBottom w:val="0"/>
              <w:divBdr>
                <w:top w:val="none" w:sz="0" w:space="0" w:color="auto"/>
                <w:left w:val="none" w:sz="0" w:space="0" w:color="auto"/>
                <w:bottom w:val="none" w:sz="0" w:space="0" w:color="auto"/>
                <w:right w:val="none" w:sz="0" w:space="0" w:color="auto"/>
              </w:divBdr>
            </w:div>
            <w:div w:id="580414241">
              <w:marLeft w:val="0"/>
              <w:marRight w:val="0"/>
              <w:marTop w:val="0"/>
              <w:marBottom w:val="0"/>
              <w:divBdr>
                <w:top w:val="none" w:sz="0" w:space="0" w:color="auto"/>
                <w:left w:val="none" w:sz="0" w:space="0" w:color="auto"/>
                <w:bottom w:val="none" w:sz="0" w:space="0" w:color="auto"/>
                <w:right w:val="none" w:sz="0" w:space="0" w:color="auto"/>
              </w:divBdr>
            </w:div>
            <w:div w:id="791290828">
              <w:marLeft w:val="0"/>
              <w:marRight w:val="0"/>
              <w:marTop w:val="0"/>
              <w:marBottom w:val="0"/>
              <w:divBdr>
                <w:top w:val="none" w:sz="0" w:space="0" w:color="auto"/>
                <w:left w:val="none" w:sz="0" w:space="0" w:color="auto"/>
                <w:bottom w:val="none" w:sz="0" w:space="0" w:color="auto"/>
                <w:right w:val="none" w:sz="0" w:space="0" w:color="auto"/>
              </w:divBdr>
            </w:div>
            <w:div w:id="959267530">
              <w:marLeft w:val="0"/>
              <w:marRight w:val="0"/>
              <w:marTop w:val="0"/>
              <w:marBottom w:val="0"/>
              <w:divBdr>
                <w:top w:val="none" w:sz="0" w:space="0" w:color="auto"/>
                <w:left w:val="none" w:sz="0" w:space="0" w:color="auto"/>
                <w:bottom w:val="none" w:sz="0" w:space="0" w:color="auto"/>
                <w:right w:val="none" w:sz="0" w:space="0" w:color="auto"/>
              </w:divBdr>
            </w:div>
            <w:div w:id="1465076719">
              <w:marLeft w:val="0"/>
              <w:marRight w:val="0"/>
              <w:marTop w:val="0"/>
              <w:marBottom w:val="0"/>
              <w:divBdr>
                <w:top w:val="none" w:sz="0" w:space="0" w:color="auto"/>
                <w:left w:val="none" w:sz="0" w:space="0" w:color="auto"/>
                <w:bottom w:val="none" w:sz="0" w:space="0" w:color="auto"/>
                <w:right w:val="none" w:sz="0" w:space="0" w:color="auto"/>
              </w:divBdr>
            </w:div>
            <w:div w:id="1502116928">
              <w:marLeft w:val="0"/>
              <w:marRight w:val="0"/>
              <w:marTop w:val="0"/>
              <w:marBottom w:val="0"/>
              <w:divBdr>
                <w:top w:val="none" w:sz="0" w:space="0" w:color="auto"/>
                <w:left w:val="none" w:sz="0" w:space="0" w:color="auto"/>
                <w:bottom w:val="none" w:sz="0" w:space="0" w:color="auto"/>
                <w:right w:val="none" w:sz="0" w:space="0" w:color="auto"/>
              </w:divBdr>
            </w:div>
            <w:div w:id="1527404633">
              <w:marLeft w:val="0"/>
              <w:marRight w:val="0"/>
              <w:marTop w:val="0"/>
              <w:marBottom w:val="0"/>
              <w:divBdr>
                <w:top w:val="none" w:sz="0" w:space="0" w:color="auto"/>
                <w:left w:val="none" w:sz="0" w:space="0" w:color="auto"/>
                <w:bottom w:val="none" w:sz="0" w:space="0" w:color="auto"/>
                <w:right w:val="none" w:sz="0" w:space="0" w:color="auto"/>
              </w:divBdr>
            </w:div>
            <w:div w:id="1537817673">
              <w:marLeft w:val="0"/>
              <w:marRight w:val="0"/>
              <w:marTop w:val="0"/>
              <w:marBottom w:val="0"/>
              <w:divBdr>
                <w:top w:val="none" w:sz="0" w:space="0" w:color="auto"/>
                <w:left w:val="none" w:sz="0" w:space="0" w:color="auto"/>
                <w:bottom w:val="none" w:sz="0" w:space="0" w:color="auto"/>
                <w:right w:val="none" w:sz="0" w:space="0" w:color="auto"/>
              </w:divBdr>
            </w:div>
            <w:div w:id="1606502076">
              <w:marLeft w:val="0"/>
              <w:marRight w:val="0"/>
              <w:marTop w:val="0"/>
              <w:marBottom w:val="0"/>
              <w:divBdr>
                <w:top w:val="none" w:sz="0" w:space="0" w:color="auto"/>
                <w:left w:val="none" w:sz="0" w:space="0" w:color="auto"/>
                <w:bottom w:val="none" w:sz="0" w:space="0" w:color="auto"/>
                <w:right w:val="none" w:sz="0" w:space="0" w:color="auto"/>
              </w:divBdr>
            </w:div>
            <w:div w:id="1729837890">
              <w:marLeft w:val="0"/>
              <w:marRight w:val="0"/>
              <w:marTop w:val="0"/>
              <w:marBottom w:val="0"/>
              <w:divBdr>
                <w:top w:val="none" w:sz="0" w:space="0" w:color="auto"/>
                <w:left w:val="none" w:sz="0" w:space="0" w:color="auto"/>
                <w:bottom w:val="none" w:sz="0" w:space="0" w:color="auto"/>
                <w:right w:val="none" w:sz="0" w:space="0" w:color="auto"/>
              </w:divBdr>
            </w:div>
            <w:div w:id="1736271139">
              <w:marLeft w:val="0"/>
              <w:marRight w:val="0"/>
              <w:marTop w:val="0"/>
              <w:marBottom w:val="0"/>
              <w:divBdr>
                <w:top w:val="none" w:sz="0" w:space="0" w:color="auto"/>
                <w:left w:val="none" w:sz="0" w:space="0" w:color="auto"/>
                <w:bottom w:val="none" w:sz="0" w:space="0" w:color="auto"/>
                <w:right w:val="none" w:sz="0" w:space="0" w:color="auto"/>
              </w:divBdr>
            </w:div>
            <w:div w:id="1756970495">
              <w:marLeft w:val="0"/>
              <w:marRight w:val="0"/>
              <w:marTop w:val="0"/>
              <w:marBottom w:val="0"/>
              <w:divBdr>
                <w:top w:val="none" w:sz="0" w:space="0" w:color="auto"/>
                <w:left w:val="none" w:sz="0" w:space="0" w:color="auto"/>
                <w:bottom w:val="none" w:sz="0" w:space="0" w:color="auto"/>
                <w:right w:val="none" w:sz="0" w:space="0" w:color="auto"/>
              </w:divBdr>
            </w:div>
            <w:div w:id="1894583816">
              <w:marLeft w:val="0"/>
              <w:marRight w:val="0"/>
              <w:marTop w:val="0"/>
              <w:marBottom w:val="0"/>
              <w:divBdr>
                <w:top w:val="none" w:sz="0" w:space="0" w:color="auto"/>
                <w:left w:val="none" w:sz="0" w:space="0" w:color="auto"/>
                <w:bottom w:val="none" w:sz="0" w:space="0" w:color="auto"/>
                <w:right w:val="none" w:sz="0" w:space="0" w:color="auto"/>
              </w:divBdr>
            </w:div>
            <w:div w:id="1975715678">
              <w:marLeft w:val="0"/>
              <w:marRight w:val="0"/>
              <w:marTop w:val="0"/>
              <w:marBottom w:val="0"/>
              <w:divBdr>
                <w:top w:val="none" w:sz="0" w:space="0" w:color="auto"/>
                <w:left w:val="none" w:sz="0" w:space="0" w:color="auto"/>
                <w:bottom w:val="none" w:sz="0" w:space="0" w:color="auto"/>
                <w:right w:val="none" w:sz="0" w:space="0" w:color="auto"/>
              </w:divBdr>
            </w:div>
            <w:div w:id="1990591634">
              <w:marLeft w:val="0"/>
              <w:marRight w:val="0"/>
              <w:marTop w:val="0"/>
              <w:marBottom w:val="0"/>
              <w:divBdr>
                <w:top w:val="none" w:sz="0" w:space="0" w:color="auto"/>
                <w:left w:val="none" w:sz="0" w:space="0" w:color="auto"/>
                <w:bottom w:val="none" w:sz="0" w:space="0" w:color="auto"/>
                <w:right w:val="none" w:sz="0" w:space="0" w:color="auto"/>
              </w:divBdr>
            </w:div>
            <w:div w:id="2047215058">
              <w:marLeft w:val="0"/>
              <w:marRight w:val="0"/>
              <w:marTop w:val="0"/>
              <w:marBottom w:val="0"/>
              <w:divBdr>
                <w:top w:val="none" w:sz="0" w:space="0" w:color="auto"/>
                <w:left w:val="none" w:sz="0" w:space="0" w:color="auto"/>
                <w:bottom w:val="none" w:sz="0" w:space="0" w:color="auto"/>
                <w:right w:val="none" w:sz="0" w:space="0" w:color="auto"/>
              </w:divBdr>
            </w:div>
          </w:divsChild>
        </w:div>
        <w:div w:id="1788112579">
          <w:marLeft w:val="0"/>
          <w:marRight w:val="0"/>
          <w:marTop w:val="0"/>
          <w:marBottom w:val="0"/>
          <w:divBdr>
            <w:top w:val="none" w:sz="0" w:space="0" w:color="auto"/>
            <w:left w:val="none" w:sz="0" w:space="0" w:color="auto"/>
            <w:bottom w:val="none" w:sz="0" w:space="0" w:color="auto"/>
            <w:right w:val="none" w:sz="0" w:space="0" w:color="auto"/>
          </w:divBdr>
        </w:div>
        <w:div w:id="1789279843">
          <w:marLeft w:val="0"/>
          <w:marRight w:val="0"/>
          <w:marTop w:val="0"/>
          <w:marBottom w:val="0"/>
          <w:divBdr>
            <w:top w:val="none" w:sz="0" w:space="0" w:color="auto"/>
            <w:left w:val="none" w:sz="0" w:space="0" w:color="auto"/>
            <w:bottom w:val="none" w:sz="0" w:space="0" w:color="auto"/>
            <w:right w:val="none" w:sz="0" w:space="0" w:color="auto"/>
          </w:divBdr>
        </w:div>
        <w:div w:id="1789619771">
          <w:marLeft w:val="0"/>
          <w:marRight w:val="0"/>
          <w:marTop w:val="0"/>
          <w:marBottom w:val="0"/>
          <w:divBdr>
            <w:top w:val="none" w:sz="0" w:space="0" w:color="auto"/>
            <w:left w:val="none" w:sz="0" w:space="0" w:color="auto"/>
            <w:bottom w:val="none" w:sz="0" w:space="0" w:color="auto"/>
            <w:right w:val="none" w:sz="0" w:space="0" w:color="auto"/>
          </w:divBdr>
        </w:div>
        <w:div w:id="1789735879">
          <w:marLeft w:val="0"/>
          <w:marRight w:val="0"/>
          <w:marTop w:val="0"/>
          <w:marBottom w:val="0"/>
          <w:divBdr>
            <w:top w:val="none" w:sz="0" w:space="0" w:color="auto"/>
            <w:left w:val="none" w:sz="0" w:space="0" w:color="auto"/>
            <w:bottom w:val="none" w:sz="0" w:space="0" w:color="auto"/>
            <w:right w:val="none" w:sz="0" w:space="0" w:color="auto"/>
          </w:divBdr>
        </w:div>
        <w:div w:id="1790392932">
          <w:marLeft w:val="0"/>
          <w:marRight w:val="0"/>
          <w:marTop w:val="0"/>
          <w:marBottom w:val="0"/>
          <w:divBdr>
            <w:top w:val="none" w:sz="0" w:space="0" w:color="auto"/>
            <w:left w:val="none" w:sz="0" w:space="0" w:color="auto"/>
            <w:bottom w:val="none" w:sz="0" w:space="0" w:color="auto"/>
            <w:right w:val="none" w:sz="0" w:space="0" w:color="auto"/>
          </w:divBdr>
        </w:div>
        <w:div w:id="1795635250">
          <w:marLeft w:val="0"/>
          <w:marRight w:val="0"/>
          <w:marTop w:val="0"/>
          <w:marBottom w:val="0"/>
          <w:divBdr>
            <w:top w:val="none" w:sz="0" w:space="0" w:color="auto"/>
            <w:left w:val="none" w:sz="0" w:space="0" w:color="auto"/>
            <w:bottom w:val="none" w:sz="0" w:space="0" w:color="auto"/>
            <w:right w:val="none" w:sz="0" w:space="0" w:color="auto"/>
          </w:divBdr>
          <w:divsChild>
            <w:div w:id="310982979">
              <w:marLeft w:val="0"/>
              <w:marRight w:val="0"/>
              <w:marTop w:val="0"/>
              <w:marBottom w:val="0"/>
              <w:divBdr>
                <w:top w:val="none" w:sz="0" w:space="0" w:color="auto"/>
                <w:left w:val="none" w:sz="0" w:space="0" w:color="auto"/>
                <w:bottom w:val="none" w:sz="0" w:space="0" w:color="auto"/>
                <w:right w:val="none" w:sz="0" w:space="0" w:color="auto"/>
              </w:divBdr>
            </w:div>
            <w:div w:id="366415337">
              <w:marLeft w:val="0"/>
              <w:marRight w:val="0"/>
              <w:marTop w:val="0"/>
              <w:marBottom w:val="0"/>
              <w:divBdr>
                <w:top w:val="none" w:sz="0" w:space="0" w:color="auto"/>
                <w:left w:val="none" w:sz="0" w:space="0" w:color="auto"/>
                <w:bottom w:val="none" w:sz="0" w:space="0" w:color="auto"/>
                <w:right w:val="none" w:sz="0" w:space="0" w:color="auto"/>
              </w:divBdr>
            </w:div>
            <w:div w:id="410007017">
              <w:marLeft w:val="0"/>
              <w:marRight w:val="0"/>
              <w:marTop w:val="0"/>
              <w:marBottom w:val="0"/>
              <w:divBdr>
                <w:top w:val="none" w:sz="0" w:space="0" w:color="auto"/>
                <w:left w:val="none" w:sz="0" w:space="0" w:color="auto"/>
                <w:bottom w:val="none" w:sz="0" w:space="0" w:color="auto"/>
                <w:right w:val="none" w:sz="0" w:space="0" w:color="auto"/>
              </w:divBdr>
            </w:div>
            <w:div w:id="806628698">
              <w:marLeft w:val="0"/>
              <w:marRight w:val="0"/>
              <w:marTop w:val="0"/>
              <w:marBottom w:val="0"/>
              <w:divBdr>
                <w:top w:val="none" w:sz="0" w:space="0" w:color="auto"/>
                <w:left w:val="none" w:sz="0" w:space="0" w:color="auto"/>
                <w:bottom w:val="none" w:sz="0" w:space="0" w:color="auto"/>
                <w:right w:val="none" w:sz="0" w:space="0" w:color="auto"/>
              </w:divBdr>
            </w:div>
            <w:div w:id="1136143623">
              <w:marLeft w:val="0"/>
              <w:marRight w:val="0"/>
              <w:marTop w:val="0"/>
              <w:marBottom w:val="0"/>
              <w:divBdr>
                <w:top w:val="none" w:sz="0" w:space="0" w:color="auto"/>
                <w:left w:val="none" w:sz="0" w:space="0" w:color="auto"/>
                <w:bottom w:val="none" w:sz="0" w:space="0" w:color="auto"/>
                <w:right w:val="none" w:sz="0" w:space="0" w:color="auto"/>
              </w:divBdr>
            </w:div>
            <w:div w:id="1161193059">
              <w:marLeft w:val="0"/>
              <w:marRight w:val="0"/>
              <w:marTop w:val="0"/>
              <w:marBottom w:val="0"/>
              <w:divBdr>
                <w:top w:val="none" w:sz="0" w:space="0" w:color="auto"/>
                <w:left w:val="none" w:sz="0" w:space="0" w:color="auto"/>
                <w:bottom w:val="none" w:sz="0" w:space="0" w:color="auto"/>
                <w:right w:val="none" w:sz="0" w:space="0" w:color="auto"/>
              </w:divBdr>
            </w:div>
            <w:div w:id="1186868795">
              <w:marLeft w:val="0"/>
              <w:marRight w:val="0"/>
              <w:marTop w:val="0"/>
              <w:marBottom w:val="0"/>
              <w:divBdr>
                <w:top w:val="none" w:sz="0" w:space="0" w:color="auto"/>
                <w:left w:val="none" w:sz="0" w:space="0" w:color="auto"/>
                <w:bottom w:val="none" w:sz="0" w:space="0" w:color="auto"/>
                <w:right w:val="none" w:sz="0" w:space="0" w:color="auto"/>
              </w:divBdr>
            </w:div>
            <w:div w:id="1269891983">
              <w:marLeft w:val="0"/>
              <w:marRight w:val="0"/>
              <w:marTop w:val="0"/>
              <w:marBottom w:val="0"/>
              <w:divBdr>
                <w:top w:val="none" w:sz="0" w:space="0" w:color="auto"/>
                <w:left w:val="none" w:sz="0" w:space="0" w:color="auto"/>
                <w:bottom w:val="none" w:sz="0" w:space="0" w:color="auto"/>
                <w:right w:val="none" w:sz="0" w:space="0" w:color="auto"/>
              </w:divBdr>
            </w:div>
            <w:div w:id="1465469178">
              <w:marLeft w:val="0"/>
              <w:marRight w:val="0"/>
              <w:marTop w:val="0"/>
              <w:marBottom w:val="0"/>
              <w:divBdr>
                <w:top w:val="none" w:sz="0" w:space="0" w:color="auto"/>
                <w:left w:val="none" w:sz="0" w:space="0" w:color="auto"/>
                <w:bottom w:val="none" w:sz="0" w:space="0" w:color="auto"/>
                <w:right w:val="none" w:sz="0" w:space="0" w:color="auto"/>
              </w:divBdr>
            </w:div>
            <w:div w:id="1593275583">
              <w:marLeft w:val="0"/>
              <w:marRight w:val="0"/>
              <w:marTop w:val="0"/>
              <w:marBottom w:val="0"/>
              <w:divBdr>
                <w:top w:val="none" w:sz="0" w:space="0" w:color="auto"/>
                <w:left w:val="none" w:sz="0" w:space="0" w:color="auto"/>
                <w:bottom w:val="none" w:sz="0" w:space="0" w:color="auto"/>
                <w:right w:val="none" w:sz="0" w:space="0" w:color="auto"/>
              </w:divBdr>
            </w:div>
            <w:div w:id="1612545156">
              <w:marLeft w:val="0"/>
              <w:marRight w:val="0"/>
              <w:marTop w:val="0"/>
              <w:marBottom w:val="0"/>
              <w:divBdr>
                <w:top w:val="none" w:sz="0" w:space="0" w:color="auto"/>
                <w:left w:val="none" w:sz="0" w:space="0" w:color="auto"/>
                <w:bottom w:val="none" w:sz="0" w:space="0" w:color="auto"/>
                <w:right w:val="none" w:sz="0" w:space="0" w:color="auto"/>
              </w:divBdr>
            </w:div>
            <w:div w:id="1678115857">
              <w:marLeft w:val="0"/>
              <w:marRight w:val="0"/>
              <w:marTop w:val="0"/>
              <w:marBottom w:val="0"/>
              <w:divBdr>
                <w:top w:val="none" w:sz="0" w:space="0" w:color="auto"/>
                <w:left w:val="none" w:sz="0" w:space="0" w:color="auto"/>
                <w:bottom w:val="none" w:sz="0" w:space="0" w:color="auto"/>
                <w:right w:val="none" w:sz="0" w:space="0" w:color="auto"/>
              </w:divBdr>
            </w:div>
            <w:div w:id="1701315315">
              <w:marLeft w:val="0"/>
              <w:marRight w:val="0"/>
              <w:marTop w:val="0"/>
              <w:marBottom w:val="0"/>
              <w:divBdr>
                <w:top w:val="none" w:sz="0" w:space="0" w:color="auto"/>
                <w:left w:val="none" w:sz="0" w:space="0" w:color="auto"/>
                <w:bottom w:val="none" w:sz="0" w:space="0" w:color="auto"/>
                <w:right w:val="none" w:sz="0" w:space="0" w:color="auto"/>
              </w:divBdr>
            </w:div>
            <w:div w:id="1744645408">
              <w:marLeft w:val="0"/>
              <w:marRight w:val="0"/>
              <w:marTop w:val="0"/>
              <w:marBottom w:val="0"/>
              <w:divBdr>
                <w:top w:val="none" w:sz="0" w:space="0" w:color="auto"/>
                <w:left w:val="none" w:sz="0" w:space="0" w:color="auto"/>
                <w:bottom w:val="none" w:sz="0" w:space="0" w:color="auto"/>
                <w:right w:val="none" w:sz="0" w:space="0" w:color="auto"/>
              </w:divBdr>
            </w:div>
            <w:div w:id="1914966163">
              <w:marLeft w:val="0"/>
              <w:marRight w:val="0"/>
              <w:marTop w:val="0"/>
              <w:marBottom w:val="0"/>
              <w:divBdr>
                <w:top w:val="none" w:sz="0" w:space="0" w:color="auto"/>
                <w:left w:val="none" w:sz="0" w:space="0" w:color="auto"/>
                <w:bottom w:val="none" w:sz="0" w:space="0" w:color="auto"/>
                <w:right w:val="none" w:sz="0" w:space="0" w:color="auto"/>
              </w:divBdr>
            </w:div>
            <w:div w:id="1924145563">
              <w:marLeft w:val="0"/>
              <w:marRight w:val="0"/>
              <w:marTop w:val="0"/>
              <w:marBottom w:val="0"/>
              <w:divBdr>
                <w:top w:val="none" w:sz="0" w:space="0" w:color="auto"/>
                <w:left w:val="none" w:sz="0" w:space="0" w:color="auto"/>
                <w:bottom w:val="none" w:sz="0" w:space="0" w:color="auto"/>
                <w:right w:val="none" w:sz="0" w:space="0" w:color="auto"/>
              </w:divBdr>
            </w:div>
            <w:div w:id="2067800785">
              <w:marLeft w:val="0"/>
              <w:marRight w:val="0"/>
              <w:marTop w:val="0"/>
              <w:marBottom w:val="0"/>
              <w:divBdr>
                <w:top w:val="none" w:sz="0" w:space="0" w:color="auto"/>
                <w:left w:val="none" w:sz="0" w:space="0" w:color="auto"/>
                <w:bottom w:val="none" w:sz="0" w:space="0" w:color="auto"/>
                <w:right w:val="none" w:sz="0" w:space="0" w:color="auto"/>
              </w:divBdr>
            </w:div>
            <w:div w:id="2102792004">
              <w:marLeft w:val="0"/>
              <w:marRight w:val="0"/>
              <w:marTop w:val="0"/>
              <w:marBottom w:val="0"/>
              <w:divBdr>
                <w:top w:val="none" w:sz="0" w:space="0" w:color="auto"/>
                <w:left w:val="none" w:sz="0" w:space="0" w:color="auto"/>
                <w:bottom w:val="none" w:sz="0" w:space="0" w:color="auto"/>
                <w:right w:val="none" w:sz="0" w:space="0" w:color="auto"/>
              </w:divBdr>
            </w:div>
            <w:div w:id="2114010622">
              <w:marLeft w:val="0"/>
              <w:marRight w:val="0"/>
              <w:marTop w:val="0"/>
              <w:marBottom w:val="0"/>
              <w:divBdr>
                <w:top w:val="none" w:sz="0" w:space="0" w:color="auto"/>
                <w:left w:val="none" w:sz="0" w:space="0" w:color="auto"/>
                <w:bottom w:val="none" w:sz="0" w:space="0" w:color="auto"/>
                <w:right w:val="none" w:sz="0" w:space="0" w:color="auto"/>
              </w:divBdr>
            </w:div>
          </w:divsChild>
        </w:div>
        <w:div w:id="1795635293">
          <w:marLeft w:val="0"/>
          <w:marRight w:val="0"/>
          <w:marTop w:val="0"/>
          <w:marBottom w:val="0"/>
          <w:divBdr>
            <w:top w:val="none" w:sz="0" w:space="0" w:color="auto"/>
            <w:left w:val="none" w:sz="0" w:space="0" w:color="auto"/>
            <w:bottom w:val="none" w:sz="0" w:space="0" w:color="auto"/>
            <w:right w:val="none" w:sz="0" w:space="0" w:color="auto"/>
          </w:divBdr>
        </w:div>
        <w:div w:id="1798138966">
          <w:marLeft w:val="0"/>
          <w:marRight w:val="0"/>
          <w:marTop w:val="0"/>
          <w:marBottom w:val="0"/>
          <w:divBdr>
            <w:top w:val="none" w:sz="0" w:space="0" w:color="auto"/>
            <w:left w:val="none" w:sz="0" w:space="0" w:color="auto"/>
            <w:bottom w:val="none" w:sz="0" w:space="0" w:color="auto"/>
            <w:right w:val="none" w:sz="0" w:space="0" w:color="auto"/>
          </w:divBdr>
        </w:div>
        <w:div w:id="1798523049">
          <w:marLeft w:val="0"/>
          <w:marRight w:val="0"/>
          <w:marTop w:val="0"/>
          <w:marBottom w:val="0"/>
          <w:divBdr>
            <w:top w:val="none" w:sz="0" w:space="0" w:color="auto"/>
            <w:left w:val="none" w:sz="0" w:space="0" w:color="auto"/>
            <w:bottom w:val="none" w:sz="0" w:space="0" w:color="auto"/>
            <w:right w:val="none" w:sz="0" w:space="0" w:color="auto"/>
          </w:divBdr>
        </w:div>
        <w:div w:id="1798832418">
          <w:marLeft w:val="0"/>
          <w:marRight w:val="0"/>
          <w:marTop w:val="0"/>
          <w:marBottom w:val="0"/>
          <w:divBdr>
            <w:top w:val="none" w:sz="0" w:space="0" w:color="auto"/>
            <w:left w:val="none" w:sz="0" w:space="0" w:color="auto"/>
            <w:bottom w:val="none" w:sz="0" w:space="0" w:color="auto"/>
            <w:right w:val="none" w:sz="0" w:space="0" w:color="auto"/>
          </w:divBdr>
        </w:div>
        <w:div w:id="1799034164">
          <w:marLeft w:val="0"/>
          <w:marRight w:val="0"/>
          <w:marTop w:val="0"/>
          <w:marBottom w:val="0"/>
          <w:divBdr>
            <w:top w:val="none" w:sz="0" w:space="0" w:color="auto"/>
            <w:left w:val="none" w:sz="0" w:space="0" w:color="auto"/>
            <w:bottom w:val="none" w:sz="0" w:space="0" w:color="auto"/>
            <w:right w:val="none" w:sz="0" w:space="0" w:color="auto"/>
          </w:divBdr>
        </w:div>
        <w:div w:id="1799954900">
          <w:marLeft w:val="0"/>
          <w:marRight w:val="0"/>
          <w:marTop w:val="0"/>
          <w:marBottom w:val="0"/>
          <w:divBdr>
            <w:top w:val="none" w:sz="0" w:space="0" w:color="auto"/>
            <w:left w:val="none" w:sz="0" w:space="0" w:color="auto"/>
            <w:bottom w:val="none" w:sz="0" w:space="0" w:color="auto"/>
            <w:right w:val="none" w:sz="0" w:space="0" w:color="auto"/>
          </w:divBdr>
        </w:div>
        <w:div w:id="1804228742">
          <w:marLeft w:val="0"/>
          <w:marRight w:val="0"/>
          <w:marTop w:val="0"/>
          <w:marBottom w:val="0"/>
          <w:divBdr>
            <w:top w:val="none" w:sz="0" w:space="0" w:color="auto"/>
            <w:left w:val="none" w:sz="0" w:space="0" w:color="auto"/>
            <w:bottom w:val="none" w:sz="0" w:space="0" w:color="auto"/>
            <w:right w:val="none" w:sz="0" w:space="0" w:color="auto"/>
          </w:divBdr>
        </w:div>
        <w:div w:id="1805928626">
          <w:marLeft w:val="0"/>
          <w:marRight w:val="0"/>
          <w:marTop w:val="0"/>
          <w:marBottom w:val="0"/>
          <w:divBdr>
            <w:top w:val="none" w:sz="0" w:space="0" w:color="auto"/>
            <w:left w:val="none" w:sz="0" w:space="0" w:color="auto"/>
            <w:bottom w:val="none" w:sz="0" w:space="0" w:color="auto"/>
            <w:right w:val="none" w:sz="0" w:space="0" w:color="auto"/>
          </w:divBdr>
        </w:div>
        <w:div w:id="1806313089">
          <w:marLeft w:val="0"/>
          <w:marRight w:val="0"/>
          <w:marTop w:val="0"/>
          <w:marBottom w:val="0"/>
          <w:divBdr>
            <w:top w:val="none" w:sz="0" w:space="0" w:color="auto"/>
            <w:left w:val="none" w:sz="0" w:space="0" w:color="auto"/>
            <w:bottom w:val="none" w:sz="0" w:space="0" w:color="auto"/>
            <w:right w:val="none" w:sz="0" w:space="0" w:color="auto"/>
          </w:divBdr>
        </w:div>
        <w:div w:id="1806388357">
          <w:marLeft w:val="0"/>
          <w:marRight w:val="0"/>
          <w:marTop w:val="0"/>
          <w:marBottom w:val="0"/>
          <w:divBdr>
            <w:top w:val="none" w:sz="0" w:space="0" w:color="auto"/>
            <w:left w:val="none" w:sz="0" w:space="0" w:color="auto"/>
            <w:bottom w:val="none" w:sz="0" w:space="0" w:color="auto"/>
            <w:right w:val="none" w:sz="0" w:space="0" w:color="auto"/>
          </w:divBdr>
        </w:div>
        <w:div w:id="1806971465">
          <w:marLeft w:val="0"/>
          <w:marRight w:val="0"/>
          <w:marTop w:val="0"/>
          <w:marBottom w:val="0"/>
          <w:divBdr>
            <w:top w:val="none" w:sz="0" w:space="0" w:color="auto"/>
            <w:left w:val="none" w:sz="0" w:space="0" w:color="auto"/>
            <w:bottom w:val="none" w:sz="0" w:space="0" w:color="auto"/>
            <w:right w:val="none" w:sz="0" w:space="0" w:color="auto"/>
          </w:divBdr>
        </w:div>
        <w:div w:id="1808206687">
          <w:marLeft w:val="0"/>
          <w:marRight w:val="0"/>
          <w:marTop w:val="0"/>
          <w:marBottom w:val="0"/>
          <w:divBdr>
            <w:top w:val="none" w:sz="0" w:space="0" w:color="auto"/>
            <w:left w:val="none" w:sz="0" w:space="0" w:color="auto"/>
            <w:bottom w:val="none" w:sz="0" w:space="0" w:color="auto"/>
            <w:right w:val="none" w:sz="0" w:space="0" w:color="auto"/>
          </w:divBdr>
        </w:div>
        <w:div w:id="1808543653">
          <w:marLeft w:val="0"/>
          <w:marRight w:val="0"/>
          <w:marTop w:val="0"/>
          <w:marBottom w:val="0"/>
          <w:divBdr>
            <w:top w:val="none" w:sz="0" w:space="0" w:color="auto"/>
            <w:left w:val="none" w:sz="0" w:space="0" w:color="auto"/>
            <w:bottom w:val="none" w:sz="0" w:space="0" w:color="auto"/>
            <w:right w:val="none" w:sz="0" w:space="0" w:color="auto"/>
          </w:divBdr>
        </w:div>
        <w:div w:id="1809009599">
          <w:marLeft w:val="0"/>
          <w:marRight w:val="0"/>
          <w:marTop w:val="0"/>
          <w:marBottom w:val="0"/>
          <w:divBdr>
            <w:top w:val="none" w:sz="0" w:space="0" w:color="auto"/>
            <w:left w:val="none" w:sz="0" w:space="0" w:color="auto"/>
            <w:bottom w:val="none" w:sz="0" w:space="0" w:color="auto"/>
            <w:right w:val="none" w:sz="0" w:space="0" w:color="auto"/>
          </w:divBdr>
        </w:div>
        <w:div w:id="1809281507">
          <w:marLeft w:val="0"/>
          <w:marRight w:val="0"/>
          <w:marTop w:val="0"/>
          <w:marBottom w:val="0"/>
          <w:divBdr>
            <w:top w:val="none" w:sz="0" w:space="0" w:color="auto"/>
            <w:left w:val="none" w:sz="0" w:space="0" w:color="auto"/>
            <w:bottom w:val="none" w:sz="0" w:space="0" w:color="auto"/>
            <w:right w:val="none" w:sz="0" w:space="0" w:color="auto"/>
          </w:divBdr>
        </w:div>
        <w:div w:id="1810048640">
          <w:marLeft w:val="0"/>
          <w:marRight w:val="0"/>
          <w:marTop w:val="0"/>
          <w:marBottom w:val="0"/>
          <w:divBdr>
            <w:top w:val="none" w:sz="0" w:space="0" w:color="auto"/>
            <w:left w:val="none" w:sz="0" w:space="0" w:color="auto"/>
            <w:bottom w:val="none" w:sz="0" w:space="0" w:color="auto"/>
            <w:right w:val="none" w:sz="0" w:space="0" w:color="auto"/>
          </w:divBdr>
        </w:div>
        <w:div w:id="1810517430">
          <w:marLeft w:val="0"/>
          <w:marRight w:val="0"/>
          <w:marTop w:val="0"/>
          <w:marBottom w:val="0"/>
          <w:divBdr>
            <w:top w:val="none" w:sz="0" w:space="0" w:color="auto"/>
            <w:left w:val="none" w:sz="0" w:space="0" w:color="auto"/>
            <w:bottom w:val="none" w:sz="0" w:space="0" w:color="auto"/>
            <w:right w:val="none" w:sz="0" w:space="0" w:color="auto"/>
          </w:divBdr>
        </w:div>
        <w:div w:id="1811359610">
          <w:marLeft w:val="0"/>
          <w:marRight w:val="0"/>
          <w:marTop w:val="0"/>
          <w:marBottom w:val="0"/>
          <w:divBdr>
            <w:top w:val="none" w:sz="0" w:space="0" w:color="auto"/>
            <w:left w:val="none" w:sz="0" w:space="0" w:color="auto"/>
            <w:bottom w:val="none" w:sz="0" w:space="0" w:color="auto"/>
            <w:right w:val="none" w:sz="0" w:space="0" w:color="auto"/>
          </w:divBdr>
        </w:div>
        <w:div w:id="1812089598">
          <w:marLeft w:val="0"/>
          <w:marRight w:val="0"/>
          <w:marTop w:val="0"/>
          <w:marBottom w:val="0"/>
          <w:divBdr>
            <w:top w:val="none" w:sz="0" w:space="0" w:color="auto"/>
            <w:left w:val="none" w:sz="0" w:space="0" w:color="auto"/>
            <w:bottom w:val="none" w:sz="0" w:space="0" w:color="auto"/>
            <w:right w:val="none" w:sz="0" w:space="0" w:color="auto"/>
          </w:divBdr>
        </w:div>
        <w:div w:id="1814716883">
          <w:marLeft w:val="0"/>
          <w:marRight w:val="0"/>
          <w:marTop w:val="0"/>
          <w:marBottom w:val="0"/>
          <w:divBdr>
            <w:top w:val="none" w:sz="0" w:space="0" w:color="auto"/>
            <w:left w:val="none" w:sz="0" w:space="0" w:color="auto"/>
            <w:bottom w:val="none" w:sz="0" w:space="0" w:color="auto"/>
            <w:right w:val="none" w:sz="0" w:space="0" w:color="auto"/>
          </w:divBdr>
        </w:div>
        <w:div w:id="1815558825">
          <w:marLeft w:val="0"/>
          <w:marRight w:val="0"/>
          <w:marTop w:val="0"/>
          <w:marBottom w:val="0"/>
          <w:divBdr>
            <w:top w:val="none" w:sz="0" w:space="0" w:color="auto"/>
            <w:left w:val="none" w:sz="0" w:space="0" w:color="auto"/>
            <w:bottom w:val="none" w:sz="0" w:space="0" w:color="auto"/>
            <w:right w:val="none" w:sz="0" w:space="0" w:color="auto"/>
          </w:divBdr>
        </w:div>
        <w:div w:id="1816335864">
          <w:marLeft w:val="0"/>
          <w:marRight w:val="0"/>
          <w:marTop w:val="0"/>
          <w:marBottom w:val="0"/>
          <w:divBdr>
            <w:top w:val="none" w:sz="0" w:space="0" w:color="auto"/>
            <w:left w:val="none" w:sz="0" w:space="0" w:color="auto"/>
            <w:bottom w:val="none" w:sz="0" w:space="0" w:color="auto"/>
            <w:right w:val="none" w:sz="0" w:space="0" w:color="auto"/>
          </w:divBdr>
        </w:div>
        <w:div w:id="1818296803">
          <w:marLeft w:val="0"/>
          <w:marRight w:val="0"/>
          <w:marTop w:val="0"/>
          <w:marBottom w:val="0"/>
          <w:divBdr>
            <w:top w:val="none" w:sz="0" w:space="0" w:color="auto"/>
            <w:left w:val="none" w:sz="0" w:space="0" w:color="auto"/>
            <w:bottom w:val="none" w:sz="0" w:space="0" w:color="auto"/>
            <w:right w:val="none" w:sz="0" w:space="0" w:color="auto"/>
          </w:divBdr>
        </w:div>
        <w:div w:id="1819422808">
          <w:marLeft w:val="0"/>
          <w:marRight w:val="0"/>
          <w:marTop w:val="0"/>
          <w:marBottom w:val="0"/>
          <w:divBdr>
            <w:top w:val="none" w:sz="0" w:space="0" w:color="auto"/>
            <w:left w:val="none" w:sz="0" w:space="0" w:color="auto"/>
            <w:bottom w:val="none" w:sz="0" w:space="0" w:color="auto"/>
            <w:right w:val="none" w:sz="0" w:space="0" w:color="auto"/>
          </w:divBdr>
        </w:div>
        <w:div w:id="1819574181">
          <w:marLeft w:val="0"/>
          <w:marRight w:val="0"/>
          <w:marTop w:val="0"/>
          <w:marBottom w:val="0"/>
          <w:divBdr>
            <w:top w:val="none" w:sz="0" w:space="0" w:color="auto"/>
            <w:left w:val="none" w:sz="0" w:space="0" w:color="auto"/>
            <w:bottom w:val="none" w:sz="0" w:space="0" w:color="auto"/>
            <w:right w:val="none" w:sz="0" w:space="0" w:color="auto"/>
          </w:divBdr>
        </w:div>
        <w:div w:id="1822111174">
          <w:marLeft w:val="0"/>
          <w:marRight w:val="0"/>
          <w:marTop w:val="0"/>
          <w:marBottom w:val="0"/>
          <w:divBdr>
            <w:top w:val="none" w:sz="0" w:space="0" w:color="auto"/>
            <w:left w:val="none" w:sz="0" w:space="0" w:color="auto"/>
            <w:bottom w:val="none" w:sz="0" w:space="0" w:color="auto"/>
            <w:right w:val="none" w:sz="0" w:space="0" w:color="auto"/>
          </w:divBdr>
        </w:div>
        <w:div w:id="1822186095">
          <w:marLeft w:val="0"/>
          <w:marRight w:val="0"/>
          <w:marTop w:val="0"/>
          <w:marBottom w:val="0"/>
          <w:divBdr>
            <w:top w:val="none" w:sz="0" w:space="0" w:color="auto"/>
            <w:left w:val="none" w:sz="0" w:space="0" w:color="auto"/>
            <w:bottom w:val="none" w:sz="0" w:space="0" w:color="auto"/>
            <w:right w:val="none" w:sz="0" w:space="0" w:color="auto"/>
          </w:divBdr>
        </w:div>
        <w:div w:id="1824003608">
          <w:marLeft w:val="0"/>
          <w:marRight w:val="0"/>
          <w:marTop w:val="0"/>
          <w:marBottom w:val="0"/>
          <w:divBdr>
            <w:top w:val="none" w:sz="0" w:space="0" w:color="auto"/>
            <w:left w:val="none" w:sz="0" w:space="0" w:color="auto"/>
            <w:bottom w:val="none" w:sz="0" w:space="0" w:color="auto"/>
            <w:right w:val="none" w:sz="0" w:space="0" w:color="auto"/>
          </w:divBdr>
        </w:div>
        <w:div w:id="1824656944">
          <w:marLeft w:val="0"/>
          <w:marRight w:val="0"/>
          <w:marTop w:val="0"/>
          <w:marBottom w:val="0"/>
          <w:divBdr>
            <w:top w:val="none" w:sz="0" w:space="0" w:color="auto"/>
            <w:left w:val="none" w:sz="0" w:space="0" w:color="auto"/>
            <w:bottom w:val="none" w:sz="0" w:space="0" w:color="auto"/>
            <w:right w:val="none" w:sz="0" w:space="0" w:color="auto"/>
          </w:divBdr>
        </w:div>
        <w:div w:id="1827939740">
          <w:marLeft w:val="0"/>
          <w:marRight w:val="0"/>
          <w:marTop w:val="0"/>
          <w:marBottom w:val="0"/>
          <w:divBdr>
            <w:top w:val="none" w:sz="0" w:space="0" w:color="auto"/>
            <w:left w:val="none" w:sz="0" w:space="0" w:color="auto"/>
            <w:bottom w:val="none" w:sz="0" w:space="0" w:color="auto"/>
            <w:right w:val="none" w:sz="0" w:space="0" w:color="auto"/>
          </w:divBdr>
        </w:div>
        <w:div w:id="1831824928">
          <w:marLeft w:val="0"/>
          <w:marRight w:val="0"/>
          <w:marTop w:val="0"/>
          <w:marBottom w:val="0"/>
          <w:divBdr>
            <w:top w:val="none" w:sz="0" w:space="0" w:color="auto"/>
            <w:left w:val="none" w:sz="0" w:space="0" w:color="auto"/>
            <w:bottom w:val="none" w:sz="0" w:space="0" w:color="auto"/>
            <w:right w:val="none" w:sz="0" w:space="0" w:color="auto"/>
          </w:divBdr>
        </w:div>
        <w:div w:id="1832794939">
          <w:marLeft w:val="0"/>
          <w:marRight w:val="0"/>
          <w:marTop w:val="0"/>
          <w:marBottom w:val="0"/>
          <w:divBdr>
            <w:top w:val="none" w:sz="0" w:space="0" w:color="auto"/>
            <w:left w:val="none" w:sz="0" w:space="0" w:color="auto"/>
            <w:bottom w:val="none" w:sz="0" w:space="0" w:color="auto"/>
            <w:right w:val="none" w:sz="0" w:space="0" w:color="auto"/>
          </w:divBdr>
        </w:div>
        <w:div w:id="1832863634">
          <w:marLeft w:val="0"/>
          <w:marRight w:val="0"/>
          <w:marTop w:val="0"/>
          <w:marBottom w:val="0"/>
          <w:divBdr>
            <w:top w:val="none" w:sz="0" w:space="0" w:color="auto"/>
            <w:left w:val="none" w:sz="0" w:space="0" w:color="auto"/>
            <w:bottom w:val="none" w:sz="0" w:space="0" w:color="auto"/>
            <w:right w:val="none" w:sz="0" w:space="0" w:color="auto"/>
          </w:divBdr>
        </w:div>
        <w:div w:id="1833794504">
          <w:marLeft w:val="0"/>
          <w:marRight w:val="0"/>
          <w:marTop w:val="0"/>
          <w:marBottom w:val="0"/>
          <w:divBdr>
            <w:top w:val="none" w:sz="0" w:space="0" w:color="auto"/>
            <w:left w:val="none" w:sz="0" w:space="0" w:color="auto"/>
            <w:bottom w:val="none" w:sz="0" w:space="0" w:color="auto"/>
            <w:right w:val="none" w:sz="0" w:space="0" w:color="auto"/>
          </w:divBdr>
        </w:div>
        <w:div w:id="1834026483">
          <w:marLeft w:val="0"/>
          <w:marRight w:val="0"/>
          <w:marTop w:val="0"/>
          <w:marBottom w:val="0"/>
          <w:divBdr>
            <w:top w:val="none" w:sz="0" w:space="0" w:color="auto"/>
            <w:left w:val="none" w:sz="0" w:space="0" w:color="auto"/>
            <w:bottom w:val="none" w:sz="0" w:space="0" w:color="auto"/>
            <w:right w:val="none" w:sz="0" w:space="0" w:color="auto"/>
          </w:divBdr>
        </w:div>
        <w:div w:id="1834371116">
          <w:marLeft w:val="0"/>
          <w:marRight w:val="0"/>
          <w:marTop w:val="0"/>
          <w:marBottom w:val="0"/>
          <w:divBdr>
            <w:top w:val="none" w:sz="0" w:space="0" w:color="auto"/>
            <w:left w:val="none" w:sz="0" w:space="0" w:color="auto"/>
            <w:bottom w:val="none" w:sz="0" w:space="0" w:color="auto"/>
            <w:right w:val="none" w:sz="0" w:space="0" w:color="auto"/>
          </w:divBdr>
        </w:div>
        <w:div w:id="1834448263">
          <w:marLeft w:val="0"/>
          <w:marRight w:val="0"/>
          <w:marTop w:val="0"/>
          <w:marBottom w:val="0"/>
          <w:divBdr>
            <w:top w:val="none" w:sz="0" w:space="0" w:color="auto"/>
            <w:left w:val="none" w:sz="0" w:space="0" w:color="auto"/>
            <w:bottom w:val="none" w:sz="0" w:space="0" w:color="auto"/>
            <w:right w:val="none" w:sz="0" w:space="0" w:color="auto"/>
          </w:divBdr>
        </w:div>
        <w:div w:id="1836528811">
          <w:marLeft w:val="0"/>
          <w:marRight w:val="0"/>
          <w:marTop w:val="0"/>
          <w:marBottom w:val="0"/>
          <w:divBdr>
            <w:top w:val="none" w:sz="0" w:space="0" w:color="auto"/>
            <w:left w:val="none" w:sz="0" w:space="0" w:color="auto"/>
            <w:bottom w:val="none" w:sz="0" w:space="0" w:color="auto"/>
            <w:right w:val="none" w:sz="0" w:space="0" w:color="auto"/>
          </w:divBdr>
        </w:div>
        <w:div w:id="1836677515">
          <w:marLeft w:val="0"/>
          <w:marRight w:val="0"/>
          <w:marTop w:val="0"/>
          <w:marBottom w:val="0"/>
          <w:divBdr>
            <w:top w:val="none" w:sz="0" w:space="0" w:color="auto"/>
            <w:left w:val="none" w:sz="0" w:space="0" w:color="auto"/>
            <w:bottom w:val="none" w:sz="0" w:space="0" w:color="auto"/>
            <w:right w:val="none" w:sz="0" w:space="0" w:color="auto"/>
          </w:divBdr>
        </w:div>
        <w:div w:id="1836992980">
          <w:marLeft w:val="0"/>
          <w:marRight w:val="0"/>
          <w:marTop w:val="0"/>
          <w:marBottom w:val="0"/>
          <w:divBdr>
            <w:top w:val="none" w:sz="0" w:space="0" w:color="auto"/>
            <w:left w:val="none" w:sz="0" w:space="0" w:color="auto"/>
            <w:bottom w:val="none" w:sz="0" w:space="0" w:color="auto"/>
            <w:right w:val="none" w:sz="0" w:space="0" w:color="auto"/>
          </w:divBdr>
        </w:div>
        <w:div w:id="1837530861">
          <w:marLeft w:val="0"/>
          <w:marRight w:val="0"/>
          <w:marTop w:val="0"/>
          <w:marBottom w:val="0"/>
          <w:divBdr>
            <w:top w:val="none" w:sz="0" w:space="0" w:color="auto"/>
            <w:left w:val="none" w:sz="0" w:space="0" w:color="auto"/>
            <w:bottom w:val="none" w:sz="0" w:space="0" w:color="auto"/>
            <w:right w:val="none" w:sz="0" w:space="0" w:color="auto"/>
          </w:divBdr>
        </w:div>
        <w:div w:id="1843081705">
          <w:marLeft w:val="0"/>
          <w:marRight w:val="0"/>
          <w:marTop w:val="0"/>
          <w:marBottom w:val="0"/>
          <w:divBdr>
            <w:top w:val="none" w:sz="0" w:space="0" w:color="auto"/>
            <w:left w:val="none" w:sz="0" w:space="0" w:color="auto"/>
            <w:bottom w:val="none" w:sz="0" w:space="0" w:color="auto"/>
            <w:right w:val="none" w:sz="0" w:space="0" w:color="auto"/>
          </w:divBdr>
        </w:div>
        <w:div w:id="1843665841">
          <w:marLeft w:val="0"/>
          <w:marRight w:val="0"/>
          <w:marTop w:val="0"/>
          <w:marBottom w:val="0"/>
          <w:divBdr>
            <w:top w:val="none" w:sz="0" w:space="0" w:color="auto"/>
            <w:left w:val="none" w:sz="0" w:space="0" w:color="auto"/>
            <w:bottom w:val="none" w:sz="0" w:space="0" w:color="auto"/>
            <w:right w:val="none" w:sz="0" w:space="0" w:color="auto"/>
          </w:divBdr>
        </w:div>
        <w:div w:id="1844002905">
          <w:marLeft w:val="0"/>
          <w:marRight w:val="0"/>
          <w:marTop w:val="0"/>
          <w:marBottom w:val="0"/>
          <w:divBdr>
            <w:top w:val="none" w:sz="0" w:space="0" w:color="auto"/>
            <w:left w:val="none" w:sz="0" w:space="0" w:color="auto"/>
            <w:bottom w:val="none" w:sz="0" w:space="0" w:color="auto"/>
            <w:right w:val="none" w:sz="0" w:space="0" w:color="auto"/>
          </w:divBdr>
        </w:div>
        <w:div w:id="1844054826">
          <w:marLeft w:val="0"/>
          <w:marRight w:val="0"/>
          <w:marTop w:val="0"/>
          <w:marBottom w:val="0"/>
          <w:divBdr>
            <w:top w:val="none" w:sz="0" w:space="0" w:color="auto"/>
            <w:left w:val="none" w:sz="0" w:space="0" w:color="auto"/>
            <w:bottom w:val="none" w:sz="0" w:space="0" w:color="auto"/>
            <w:right w:val="none" w:sz="0" w:space="0" w:color="auto"/>
          </w:divBdr>
        </w:div>
        <w:div w:id="1844662106">
          <w:marLeft w:val="0"/>
          <w:marRight w:val="0"/>
          <w:marTop w:val="0"/>
          <w:marBottom w:val="0"/>
          <w:divBdr>
            <w:top w:val="none" w:sz="0" w:space="0" w:color="auto"/>
            <w:left w:val="none" w:sz="0" w:space="0" w:color="auto"/>
            <w:bottom w:val="none" w:sz="0" w:space="0" w:color="auto"/>
            <w:right w:val="none" w:sz="0" w:space="0" w:color="auto"/>
          </w:divBdr>
        </w:div>
        <w:div w:id="1855415096">
          <w:marLeft w:val="0"/>
          <w:marRight w:val="0"/>
          <w:marTop w:val="0"/>
          <w:marBottom w:val="0"/>
          <w:divBdr>
            <w:top w:val="none" w:sz="0" w:space="0" w:color="auto"/>
            <w:left w:val="none" w:sz="0" w:space="0" w:color="auto"/>
            <w:bottom w:val="none" w:sz="0" w:space="0" w:color="auto"/>
            <w:right w:val="none" w:sz="0" w:space="0" w:color="auto"/>
          </w:divBdr>
        </w:div>
        <w:div w:id="1855611323">
          <w:marLeft w:val="0"/>
          <w:marRight w:val="0"/>
          <w:marTop w:val="0"/>
          <w:marBottom w:val="0"/>
          <w:divBdr>
            <w:top w:val="none" w:sz="0" w:space="0" w:color="auto"/>
            <w:left w:val="none" w:sz="0" w:space="0" w:color="auto"/>
            <w:bottom w:val="none" w:sz="0" w:space="0" w:color="auto"/>
            <w:right w:val="none" w:sz="0" w:space="0" w:color="auto"/>
          </w:divBdr>
        </w:div>
        <w:div w:id="1858695897">
          <w:marLeft w:val="0"/>
          <w:marRight w:val="0"/>
          <w:marTop w:val="0"/>
          <w:marBottom w:val="0"/>
          <w:divBdr>
            <w:top w:val="none" w:sz="0" w:space="0" w:color="auto"/>
            <w:left w:val="none" w:sz="0" w:space="0" w:color="auto"/>
            <w:bottom w:val="none" w:sz="0" w:space="0" w:color="auto"/>
            <w:right w:val="none" w:sz="0" w:space="0" w:color="auto"/>
          </w:divBdr>
          <w:divsChild>
            <w:div w:id="5524195">
              <w:marLeft w:val="0"/>
              <w:marRight w:val="0"/>
              <w:marTop w:val="0"/>
              <w:marBottom w:val="0"/>
              <w:divBdr>
                <w:top w:val="none" w:sz="0" w:space="0" w:color="auto"/>
                <w:left w:val="none" w:sz="0" w:space="0" w:color="auto"/>
                <w:bottom w:val="none" w:sz="0" w:space="0" w:color="auto"/>
                <w:right w:val="none" w:sz="0" w:space="0" w:color="auto"/>
              </w:divBdr>
            </w:div>
            <w:div w:id="35400466">
              <w:marLeft w:val="0"/>
              <w:marRight w:val="0"/>
              <w:marTop w:val="0"/>
              <w:marBottom w:val="0"/>
              <w:divBdr>
                <w:top w:val="none" w:sz="0" w:space="0" w:color="auto"/>
                <w:left w:val="none" w:sz="0" w:space="0" w:color="auto"/>
                <w:bottom w:val="none" w:sz="0" w:space="0" w:color="auto"/>
                <w:right w:val="none" w:sz="0" w:space="0" w:color="auto"/>
              </w:divBdr>
            </w:div>
            <w:div w:id="71512559">
              <w:marLeft w:val="0"/>
              <w:marRight w:val="0"/>
              <w:marTop w:val="0"/>
              <w:marBottom w:val="0"/>
              <w:divBdr>
                <w:top w:val="none" w:sz="0" w:space="0" w:color="auto"/>
                <w:left w:val="none" w:sz="0" w:space="0" w:color="auto"/>
                <w:bottom w:val="none" w:sz="0" w:space="0" w:color="auto"/>
                <w:right w:val="none" w:sz="0" w:space="0" w:color="auto"/>
              </w:divBdr>
            </w:div>
            <w:div w:id="332338696">
              <w:marLeft w:val="0"/>
              <w:marRight w:val="0"/>
              <w:marTop w:val="0"/>
              <w:marBottom w:val="0"/>
              <w:divBdr>
                <w:top w:val="none" w:sz="0" w:space="0" w:color="auto"/>
                <w:left w:val="none" w:sz="0" w:space="0" w:color="auto"/>
                <w:bottom w:val="none" w:sz="0" w:space="0" w:color="auto"/>
                <w:right w:val="none" w:sz="0" w:space="0" w:color="auto"/>
              </w:divBdr>
            </w:div>
            <w:div w:id="605308760">
              <w:marLeft w:val="0"/>
              <w:marRight w:val="0"/>
              <w:marTop w:val="0"/>
              <w:marBottom w:val="0"/>
              <w:divBdr>
                <w:top w:val="none" w:sz="0" w:space="0" w:color="auto"/>
                <w:left w:val="none" w:sz="0" w:space="0" w:color="auto"/>
                <w:bottom w:val="none" w:sz="0" w:space="0" w:color="auto"/>
                <w:right w:val="none" w:sz="0" w:space="0" w:color="auto"/>
              </w:divBdr>
            </w:div>
            <w:div w:id="622617273">
              <w:marLeft w:val="0"/>
              <w:marRight w:val="0"/>
              <w:marTop w:val="0"/>
              <w:marBottom w:val="0"/>
              <w:divBdr>
                <w:top w:val="none" w:sz="0" w:space="0" w:color="auto"/>
                <w:left w:val="none" w:sz="0" w:space="0" w:color="auto"/>
                <w:bottom w:val="none" w:sz="0" w:space="0" w:color="auto"/>
                <w:right w:val="none" w:sz="0" w:space="0" w:color="auto"/>
              </w:divBdr>
              <w:divsChild>
                <w:div w:id="321743577">
                  <w:marLeft w:val="-75"/>
                  <w:marRight w:val="0"/>
                  <w:marTop w:val="30"/>
                  <w:marBottom w:val="30"/>
                  <w:divBdr>
                    <w:top w:val="none" w:sz="0" w:space="0" w:color="auto"/>
                    <w:left w:val="none" w:sz="0" w:space="0" w:color="auto"/>
                    <w:bottom w:val="none" w:sz="0" w:space="0" w:color="auto"/>
                    <w:right w:val="none" w:sz="0" w:space="0" w:color="auto"/>
                  </w:divBdr>
                  <w:divsChild>
                    <w:div w:id="2897708">
                      <w:marLeft w:val="0"/>
                      <w:marRight w:val="0"/>
                      <w:marTop w:val="0"/>
                      <w:marBottom w:val="0"/>
                      <w:divBdr>
                        <w:top w:val="none" w:sz="0" w:space="0" w:color="auto"/>
                        <w:left w:val="none" w:sz="0" w:space="0" w:color="auto"/>
                        <w:bottom w:val="none" w:sz="0" w:space="0" w:color="auto"/>
                        <w:right w:val="none" w:sz="0" w:space="0" w:color="auto"/>
                      </w:divBdr>
                      <w:divsChild>
                        <w:div w:id="207036421">
                          <w:marLeft w:val="0"/>
                          <w:marRight w:val="0"/>
                          <w:marTop w:val="0"/>
                          <w:marBottom w:val="0"/>
                          <w:divBdr>
                            <w:top w:val="none" w:sz="0" w:space="0" w:color="auto"/>
                            <w:left w:val="none" w:sz="0" w:space="0" w:color="auto"/>
                            <w:bottom w:val="none" w:sz="0" w:space="0" w:color="auto"/>
                            <w:right w:val="none" w:sz="0" w:space="0" w:color="auto"/>
                          </w:divBdr>
                        </w:div>
                      </w:divsChild>
                    </w:div>
                    <w:div w:id="7562615">
                      <w:marLeft w:val="0"/>
                      <w:marRight w:val="0"/>
                      <w:marTop w:val="0"/>
                      <w:marBottom w:val="0"/>
                      <w:divBdr>
                        <w:top w:val="none" w:sz="0" w:space="0" w:color="auto"/>
                        <w:left w:val="none" w:sz="0" w:space="0" w:color="auto"/>
                        <w:bottom w:val="none" w:sz="0" w:space="0" w:color="auto"/>
                        <w:right w:val="none" w:sz="0" w:space="0" w:color="auto"/>
                      </w:divBdr>
                      <w:divsChild>
                        <w:div w:id="1580604198">
                          <w:marLeft w:val="0"/>
                          <w:marRight w:val="0"/>
                          <w:marTop w:val="0"/>
                          <w:marBottom w:val="0"/>
                          <w:divBdr>
                            <w:top w:val="none" w:sz="0" w:space="0" w:color="auto"/>
                            <w:left w:val="none" w:sz="0" w:space="0" w:color="auto"/>
                            <w:bottom w:val="none" w:sz="0" w:space="0" w:color="auto"/>
                            <w:right w:val="none" w:sz="0" w:space="0" w:color="auto"/>
                          </w:divBdr>
                        </w:div>
                      </w:divsChild>
                    </w:div>
                    <w:div w:id="10841801">
                      <w:marLeft w:val="0"/>
                      <w:marRight w:val="0"/>
                      <w:marTop w:val="0"/>
                      <w:marBottom w:val="0"/>
                      <w:divBdr>
                        <w:top w:val="none" w:sz="0" w:space="0" w:color="auto"/>
                        <w:left w:val="none" w:sz="0" w:space="0" w:color="auto"/>
                        <w:bottom w:val="none" w:sz="0" w:space="0" w:color="auto"/>
                        <w:right w:val="none" w:sz="0" w:space="0" w:color="auto"/>
                      </w:divBdr>
                      <w:divsChild>
                        <w:div w:id="1228608150">
                          <w:marLeft w:val="0"/>
                          <w:marRight w:val="0"/>
                          <w:marTop w:val="0"/>
                          <w:marBottom w:val="0"/>
                          <w:divBdr>
                            <w:top w:val="none" w:sz="0" w:space="0" w:color="auto"/>
                            <w:left w:val="none" w:sz="0" w:space="0" w:color="auto"/>
                            <w:bottom w:val="none" w:sz="0" w:space="0" w:color="auto"/>
                            <w:right w:val="none" w:sz="0" w:space="0" w:color="auto"/>
                          </w:divBdr>
                        </w:div>
                      </w:divsChild>
                    </w:div>
                    <w:div w:id="22363483">
                      <w:marLeft w:val="0"/>
                      <w:marRight w:val="0"/>
                      <w:marTop w:val="0"/>
                      <w:marBottom w:val="0"/>
                      <w:divBdr>
                        <w:top w:val="none" w:sz="0" w:space="0" w:color="auto"/>
                        <w:left w:val="none" w:sz="0" w:space="0" w:color="auto"/>
                        <w:bottom w:val="none" w:sz="0" w:space="0" w:color="auto"/>
                        <w:right w:val="none" w:sz="0" w:space="0" w:color="auto"/>
                      </w:divBdr>
                      <w:divsChild>
                        <w:div w:id="900596009">
                          <w:marLeft w:val="0"/>
                          <w:marRight w:val="0"/>
                          <w:marTop w:val="0"/>
                          <w:marBottom w:val="0"/>
                          <w:divBdr>
                            <w:top w:val="none" w:sz="0" w:space="0" w:color="auto"/>
                            <w:left w:val="none" w:sz="0" w:space="0" w:color="auto"/>
                            <w:bottom w:val="none" w:sz="0" w:space="0" w:color="auto"/>
                            <w:right w:val="none" w:sz="0" w:space="0" w:color="auto"/>
                          </w:divBdr>
                        </w:div>
                      </w:divsChild>
                    </w:div>
                    <w:div w:id="26949867">
                      <w:marLeft w:val="0"/>
                      <w:marRight w:val="0"/>
                      <w:marTop w:val="0"/>
                      <w:marBottom w:val="0"/>
                      <w:divBdr>
                        <w:top w:val="none" w:sz="0" w:space="0" w:color="auto"/>
                        <w:left w:val="none" w:sz="0" w:space="0" w:color="auto"/>
                        <w:bottom w:val="none" w:sz="0" w:space="0" w:color="auto"/>
                        <w:right w:val="none" w:sz="0" w:space="0" w:color="auto"/>
                      </w:divBdr>
                      <w:divsChild>
                        <w:div w:id="1845365167">
                          <w:marLeft w:val="0"/>
                          <w:marRight w:val="0"/>
                          <w:marTop w:val="0"/>
                          <w:marBottom w:val="0"/>
                          <w:divBdr>
                            <w:top w:val="none" w:sz="0" w:space="0" w:color="auto"/>
                            <w:left w:val="none" w:sz="0" w:space="0" w:color="auto"/>
                            <w:bottom w:val="none" w:sz="0" w:space="0" w:color="auto"/>
                            <w:right w:val="none" w:sz="0" w:space="0" w:color="auto"/>
                          </w:divBdr>
                        </w:div>
                      </w:divsChild>
                    </w:div>
                    <w:div w:id="46340042">
                      <w:marLeft w:val="0"/>
                      <w:marRight w:val="0"/>
                      <w:marTop w:val="0"/>
                      <w:marBottom w:val="0"/>
                      <w:divBdr>
                        <w:top w:val="none" w:sz="0" w:space="0" w:color="auto"/>
                        <w:left w:val="none" w:sz="0" w:space="0" w:color="auto"/>
                        <w:bottom w:val="none" w:sz="0" w:space="0" w:color="auto"/>
                        <w:right w:val="none" w:sz="0" w:space="0" w:color="auto"/>
                      </w:divBdr>
                      <w:divsChild>
                        <w:div w:id="1171723883">
                          <w:marLeft w:val="0"/>
                          <w:marRight w:val="0"/>
                          <w:marTop w:val="0"/>
                          <w:marBottom w:val="0"/>
                          <w:divBdr>
                            <w:top w:val="none" w:sz="0" w:space="0" w:color="auto"/>
                            <w:left w:val="none" w:sz="0" w:space="0" w:color="auto"/>
                            <w:bottom w:val="none" w:sz="0" w:space="0" w:color="auto"/>
                            <w:right w:val="none" w:sz="0" w:space="0" w:color="auto"/>
                          </w:divBdr>
                        </w:div>
                      </w:divsChild>
                    </w:div>
                    <w:div w:id="59518951">
                      <w:marLeft w:val="0"/>
                      <w:marRight w:val="0"/>
                      <w:marTop w:val="0"/>
                      <w:marBottom w:val="0"/>
                      <w:divBdr>
                        <w:top w:val="none" w:sz="0" w:space="0" w:color="auto"/>
                        <w:left w:val="none" w:sz="0" w:space="0" w:color="auto"/>
                        <w:bottom w:val="none" w:sz="0" w:space="0" w:color="auto"/>
                        <w:right w:val="none" w:sz="0" w:space="0" w:color="auto"/>
                      </w:divBdr>
                      <w:divsChild>
                        <w:div w:id="489559071">
                          <w:marLeft w:val="0"/>
                          <w:marRight w:val="0"/>
                          <w:marTop w:val="0"/>
                          <w:marBottom w:val="0"/>
                          <w:divBdr>
                            <w:top w:val="none" w:sz="0" w:space="0" w:color="auto"/>
                            <w:left w:val="none" w:sz="0" w:space="0" w:color="auto"/>
                            <w:bottom w:val="none" w:sz="0" w:space="0" w:color="auto"/>
                            <w:right w:val="none" w:sz="0" w:space="0" w:color="auto"/>
                          </w:divBdr>
                        </w:div>
                      </w:divsChild>
                    </w:div>
                    <w:div w:id="81881418">
                      <w:marLeft w:val="0"/>
                      <w:marRight w:val="0"/>
                      <w:marTop w:val="0"/>
                      <w:marBottom w:val="0"/>
                      <w:divBdr>
                        <w:top w:val="none" w:sz="0" w:space="0" w:color="auto"/>
                        <w:left w:val="none" w:sz="0" w:space="0" w:color="auto"/>
                        <w:bottom w:val="none" w:sz="0" w:space="0" w:color="auto"/>
                        <w:right w:val="none" w:sz="0" w:space="0" w:color="auto"/>
                      </w:divBdr>
                      <w:divsChild>
                        <w:div w:id="872957513">
                          <w:marLeft w:val="0"/>
                          <w:marRight w:val="0"/>
                          <w:marTop w:val="0"/>
                          <w:marBottom w:val="0"/>
                          <w:divBdr>
                            <w:top w:val="none" w:sz="0" w:space="0" w:color="auto"/>
                            <w:left w:val="none" w:sz="0" w:space="0" w:color="auto"/>
                            <w:bottom w:val="none" w:sz="0" w:space="0" w:color="auto"/>
                            <w:right w:val="none" w:sz="0" w:space="0" w:color="auto"/>
                          </w:divBdr>
                        </w:div>
                      </w:divsChild>
                    </w:div>
                    <w:div w:id="87121512">
                      <w:marLeft w:val="0"/>
                      <w:marRight w:val="0"/>
                      <w:marTop w:val="0"/>
                      <w:marBottom w:val="0"/>
                      <w:divBdr>
                        <w:top w:val="none" w:sz="0" w:space="0" w:color="auto"/>
                        <w:left w:val="none" w:sz="0" w:space="0" w:color="auto"/>
                        <w:bottom w:val="none" w:sz="0" w:space="0" w:color="auto"/>
                        <w:right w:val="none" w:sz="0" w:space="0" w:color="auto"/>
                      </w:divBdr>
                      <w:divsChild>
                        <w:div w:id="1514228561">
                          <w:marLeft w:val="0"/>
                          <w:marRight w:val="0"/>
                          <w:marTop w:val="0"/>
                          <w:marBottom w:val="0"/>
                          <w:divBdr>
                            <w:top w:val="none" w:sz="0" w:space="0" w:color="auto"/>
                            <w:left w:val="none" w:sz="0" w:space="0" w:color="auto"/>
                            <w:bottom w:val="none" w:sz="0" w:space="0" w:color="auto"/>
                            <w:right w:val="none" w:sz="0" w:space="0" w:color="auto"/>
                          </w:divBdr>
                        </w:div>
                      </w:divsChild>
                    </w:div>
                    <w:div w:id="117456282">
                      <w:marLeft w:val="0"/>
                      <w:marRight w:val="0"/>
                      <w:marTop w:val="0"/>
                      <w:marBottom w:val="0"/>
                      <w:divBdr>
                        <w:top w:val="none" w:sz="0" w:space="0" w:color="auto"/>
                        <w:left w:val="none" w:sz="0" w:space="0" w:color="auto"/>
                        <w:bottom w:val="none" w:sz="0" w:space="0" w:color="auto"/>
                        <w:right w:val="none" w:sz="0" w:space="0" w:color="auto"/>
                      </w:divBdr>
                      <w:divsChild>
                        <w:div w:id="2026636345">
                          <w:marLeft w:val="0"/>
                          <w:marRight w:val="0"/>
                          <w:marTop w:val="0"/>
                          <w:marBottom w:val="0"/>
                          <w:divBdr>
                            <w:top w:val="none" w:sz="0" w:space="0" w:color="auto"/>
                            <w:left w:val="none" w:sz="0" w:space="0" w:color="auto"/>
                            <w:bottom w:val="none" w:sz="0" w:space="0" w:color="auto"/>
                            <w:right w:val="none" w:sz="0" w:space="0" w:color="auto"/>
                          </w:divBdr>
                        </w:div>
                      </w:divsChild>
                    </w:div>
                    <w:div w:id="125896168">
                      <w:marLeft w:val="0"/>
                      <w:marRight w:val="0"/>
                      <w:marTop w:val="0"/>
                      <w:marBottom w:val="0"/>
                      <w:divBdr>
                        <w:top w:val="none" w:sz="0" w:space="0" w:color="auto"/>
                        <w:left w:val="none" w:sz="0" w:space="0" w:color="auto"/>
                        <w:bottom w:val="none" w:sz="0" w:space="0" w:color="auto"/>
                        <w:right w:val="none" w:sz="0" w:space="0" w:color="auto"/>
                      </w:divBdr>
                      <w:divsChild>
                        <w:div w:id="1000431916">
                          <w:marLeft w:val="0"/>
                          <w:marRight w:val="0"/>
                          <w:marTop w:val="0"/>
                          <w:marBottom w:val="0"/>
                          <w:divBdr>
                            <w:top w:val="none" w:sz="0" w:space="0" w:color="auto"/>
                            <w:left w:val="none" w:sz="0" w:space="0" w:color="auto"/>
                            <w:bottom w:val="none" w:sz="0" w:space="0" w:color="auto"/>
                            <w:right w:val="none" w:sz="0" w:space="0" w:color="auto"/>
                          </w:divBdr>
                        </w:div>
                      </w:divsChild>
                    </w:div>
                    <w:div w:id="152454686">
                      <w:marLeft w:val="0"/>
                      <w:marRight w:val="0"/>
                      <w:marTop w:val="0"/>
                      <w:marBottom w:val="0"/>
                      <w:divBdr>
                        <w:top w:val="none" w:sz="0" w:space="0" w:color="auto"/>
                        <w:left w:val="none" w:sz="0" w:space="0" w:color="auto"/>
                        <w:bottom w:val="none" w:sz="0" w:space="0" w:color="auto"/>
                        <w:right w:val="none" w:sz="0" w:space="0" w:color="auto"/>
                      </w:divBdr>
                      <w:divsChild>
                        <w:div w:id="1785806769">
                          <w:marLeft w:val="0"/>
                          <w:marRight w:val="0"/>
                          <w:marTop w:val="0"/>
                          <w:marBottom w:val="0"/>
                          <w:divBdr>
                            <w:top w:val="none" w:sz="0" w:space="0" w:color="auto"/>
                            <w:left w:val="none" w:sz="0" w:space="0" w:color="auto"/>
                            <w:bottom w:val="none" w:sz="0" w:space="0" w:color="auto"/>
                            <w:right w:val="none" w:sz="0" w:space="0" w:color="auto"/>
                          </w:divBdr>
                        </w:div>
                      </w:divsChild>
                    </w:div>
                    <w:div w:id="181483312">
                      <w:marLeft w:val="0"/>
                      <w:marRight w:val="0"/>
                      <w:marTop w:val="0"/>
                      <w:marBottom w:val="0"/>
                      <w:divBdr>
                        <w:top w:val="none" w:sz="0" w:space="0" w:color="auto"/>
                        <w:left w:val="none" w:sz="0" w:space="0" w:color="auto"/>
                        <w:bottom w:val="none" w:sz="0" w:space="0" w:color="auto"/>
                        <w:right w:val="none" w:sz="0" w:space="0" w:color="auto"/>
                      </w:divBdr>
                      <w:divsChild>
                        <w:div w:id="208152852">
                          <w:marLeft w:val="0"/>
                          <w:marRight w:val="0"/>
                          <w:marTop w:val="0"/>
                          <w:marBottom w:val="0"/>
                          <w:divBdr>
                            <w:top w:val="none" w:sz="0" w:space="0" w:color="auto"/>
                            <w:left w:val="none" w:sz="0" w:space="0" w:color="auto"/>
                            <w:bottom w:val="none" w:sz="0" w:space="0" w:color="auto"/>
                            <w:right w:val="none" w:sz="0" w:space="0" w:color="auto"/>
                          </w:divBdr>
                        </w:div>
                      </w:divsChild>
                    </w:div>
                    <w:div w:id="230776486">
                      <w:marLeft w:val="0"/>
                      <w:marRight w:val="0"/>
                      <w:marTop w:val="0"/>
                      <w:marBottom w:val="0"/>
                      <w:divBdr>
                        <w:top w:val="none" w:sz="0" w:space="0" w:color="auto"/>
                        <w:left w:val="none" w:sz="0" w:space="0" w:color="auto"/>
                        <w:bottom w:val="none" w:sz="0" w:space="0" w:color="auto"/>
                        <w:right w:val="none" w:sz="0" w:space="0" w:color="auto"/>
                      </w:divBdr>
                      <w:divsChild>
                        <w:div w:id="1284456386">
                          <w:marLeft w:val="0"/>
                          <w:marRight w:val="0"/>
                          <w:marTop w:val="0"/>
                          <w:marBottom w:val="0"/>
                          <w:divBdr>
                            <w:top w:val="none" w:sz="0" w:space="0" w:color="auto"/>
                            <w:left w:val="none" w:sz="0" w:space="0" w:color="auto"/>
                            <w:bottom w:val="none" w:sz="0" w:space="0" w:color="auto"/>
                            <w:right w:val="none" w:sz="0" w:space="0" w:color="auto"/>
                          </w:divBdr>
                        </w:div>
                      </w:divsChild>
                    </w:div>
                    <w:div w:id="283460576">
                      <w:marLeft w:val="0"/>
                      <w:marRight w:val="0"/>
                      <w:marTop w:val="0"/>
                      <w:marBottom w:val="0"/>
                      <w:divBdr>
                        <w:top w:val="none" w:sz="0" w:space="0" w:color="auto"/>
                        <w:left w:val="none" w:sz="0" w:space="0" w:color="auto"/>
                        <w:bottom w:val="none" w:sz="0" w:space="0" w:color="auto"/>
                        <w:right w:val="none" w:sz="0" w:space="0" w:color="auto"/>
                      </w:divBdr>
                      <w:divsChild>
                        <w:div w:id="1919442938">
                          <w:marLeft w:val="0"/>
                          <w:marRight w:val="0"/>
                          <w:marTop w:val="0"/>
                          <w:marBottom w:val="0"/>
                          <w:divBdr>
                            <w:top w:val="none" w:sz="0" w:space="0" w:color="auto"/>
                            <w:left w:val="none" w:sz="0" w:space="0" w:color="auto"/>
                            <w:bottom w:val="none" w:sz="0" w:space="0" w:color="auto"/>
                            <w:right w:val="none" w:sz="0" w:space="0" w:color="auto"/>
                          </w:divBdr>
                        </w:div>
                      </w:divsChild>
                    </w:div>
                    <w:div w:id="301078482">
                      <w:marLeft w:val="0"/>
                      <w:marRight w:val="0"/>
                      <w:marTop w:val="0"/>
                      <w:marBottom w:val="0"/>
                      <w:divBdr>
                        <w:top w:val="none" w:sz="0" w:space="0" w:color="auto"/>
                        <w:left w:val="none" w:sz="0" w:space="0" w:color="auto"/>
                        <w:bottom w:val="none" w:sz="0" w:space="0" w:color="auto"/>
                        <w:right w:val="none" w:sz="0" w:space="0" w:color="auto"/>
                      </w:divBdr>
                      <w:divsChild>
                        <w:div w:id="1071611353">
                          <w:marLeft w:val="0"/>
                          <w:marRight w:val="0"/>
                          <w:marTop w:val="0"/>
                          <w:marBottom w:val="0"/>
                          <w:divBdr>
                            <w:top w:val="none" w:sz="0" w:space="0" w:color="auto"/>
                            <w:left w:val="none" w:sz="0" w:space="0" w:color="auto"/>
                            <w:bottom w:val="none" w:sz="0" w:space="0" w:color="auto"/>
                            <w:right w:val="none" w:sz="0" w:space="0" w:color="auto"/>
                          </w:divBdr>
                        </w:div>
                      </w:divsChild>
                    </w:div>
                    <w:div w:id="311449562">
                      <w:marLeft w:val="0"/>
                      <w:marRight w:val="0"/>
                      <w:marTop w:val="0"/>
                      <w:marBottom w:val="0"/>
                      <w:divBdr>
                        <w:top w:val="none" w:sz="0" w:space="0" w:color="auto"/>
                        <w:left w:val="none" w:sz="0" w:space="0" w:color="auto"/>
                        <w:bottom w:val="none" w:sz="0" w:space="0" w:color="auto"/>
                        <w:right w:val="none" w:sz="0" w:space="0" w:color="auto"/>
                      </w:divBdr>
                      <w:divsChild>
                        <w:div w:id="2060976772">
                          <w:marLeft w:val="0"/>
                          <w:marRight w:val="0"/>
                          <w:marTop w:val="0"/>
                          <w:marBottom w:val="0"/>
                          <w:divBdr>
                            <w:top w:val="none" w:sz="0" w:space="0" w:color="auto"/>
                            <w:left w:val="none" w:sz="0" w:space="0" w:color="auto"/>
                            <w:bottom w:val="none" w:sz="0" w:space="0" w:color="auto"/>
                            <w:right w:val="none" w:sz="0" w:space="0" w:color="auto"/>
                          </w:divBdr>
                        </w:div>
                      </w:divsChild>
                    </w:div>
                    <w:div w:id="312686088">
                      <w:marLeft w:val="0"/>
                      <w:marRight w:val="0"/>
                      <w:marTop w:val="0"/>
                      <w:marBottom w:val="0"/>
                      <w:divBdr>
                        <w:top w:val="none" w:sz="0" w:space="0" w:color="auto"/>
                        <w:left w:val="none" w:sz="0" w:space="0" w:color="auto"/>
                        <w:bottom w:val="none" w:sz="0" w:space="0" w:color="auto"/>
                        <w:right w:val="none" w:sz="0" w:space="0" w:color="auto"/>
                      </w:divBdr>
                      <w:divsChild>
                        <w:div w:id="638535842">
                          <w:marLeft w:val="0"/>
                          <w:marRight w:val="0"/>
                          <w:marTop w:val="0"/>
                          <w:marBottom w:val="0"/>
                          <w:divBdr>
                            <w:top w:val="none" w:sz="0" w:space="0" w:color="auto"/>
                            <w:left w:val="none" w:sz="0" w:space="0" w:color="auto"/>
                            <w:bottom w:val="none" w:sz="0" w:space="0" w:color="auto"/>
                            <w:right w:val="none" w:sz="0" w:space="0" w:color="auto"/>
                          </w:divBdr>
                        </w:div>
                      </w:divsChild>
                    </w:div>
                    <w:div w:id="312947698">
                      <w:marLeft w:val="0"/>
                      <w:marRight w:val="0"/>
                      <w:marTop w:val="0"/>
                      <w:marBottom w:val="0"/>
                      <w:divBdr>
                        <w:top w:val="none" w:sz="0" w:space="0" w:color="auto"/>
                        <w:left w:val="none" w:sz="0" w:space="0" w:color="auto"/>
                        <w:bottom w:val="none" w:sz="0" w:space="0" w:color="auto"/>
                        <w:right w:val="none" w:sz="0" w:space="0" w:color="auto"/>
                      </w:divBdr>
                      <w:divsChild>
                        <w:div w:id="1053886565">
                          <w:marLeft w:val="0"/>
                          <w:marRight w:val="0"/>
                          <w:marTop w:val="0"/>
                          <w:marBottom w:val="0"/>
                          <w:divBdr>
                            <w:top w:val="none" w:sz="0" w:space="0" w:color="auto"/>
                            <w:left w:val="none" w:sz="0" w:space="0" w:color="auto"/>
                            <w:bottom w:val="none" w:sz="0" w:space="0" w:color="auto"/>
                            <w:right w:val="none" w:sz="0" w:space="0" w:color="auto"/>
                          </w:divBdr>
                        </w:div>
                      </w:divsChild>
                    </w:div>
                    <w:div w:id="345448907">
                      <w:marLeft w:val="0"/>
                      <w:marRight w:val="0"/>
                      <w:marTop w:val="0"/>
                      <w:marBottom w:val="0"/>
                      <w:divBdr>
                        <w:top w:val="none" w:sz="0" w:space="0" w:color="auto"/>
                        <w:left w:val="none" w:sz="0" w:space="0" w:color="auto"/>
                        <w:bottom w:val="none" w:sz="0" w:space="0" w:color="auto"/>
                        <w:right w:val="none" w:sz="0" w:space="0" w:color="auto"/>
                      </w:divBdr>
                      <w:divsChild>
                        <w:div w:id="293291717">
                          <w:marLeft w:val="0"/>
                          <w:marRight w:val="0"/>
                          <w:marTop w:val="0"/>
                          <w:marBottom w:val="0"/>
                          <w:divBdr>
                            <w:top w:val="none" w:sz="0" w:space="0" w:color="auto"/>
                            <w:left w:val="none" w:sz="0" w:space="0" w:color="auto"/>
                            <w:bottom w:val="none" w:sz="0" w:space="0" w:color="auto"/>
                            <w:right w:val="none" w:sz="0" w:space="0" w:color="auto"/>
                          </w:divBdr>
                        </w:div>
                      </w:divsChild>
                    </w:div>
                    <w:div w:id="367875213">
                      <w:marLeft w:val="0"/>
                      <w:marRight w:val="0"/>
                      <w:marTop w:val="0"/>
                      <w:marBottom w:val="0"/>
                      <w:divBdr>
                        <w:top w:val="none" w:sz="0" w:space="0" w:color="auto"/>
                        <w:left w:val="none" w:sz="0" w:space="0" w:color="auto"/>
                        <w:bottom w:val="none" w:sz="0" w:space="0" w:color="auto"/>
                        <w:right w:val="none" w:sz="0" w:space="0" w:color="auto"/>
                      </w:divBdr>
                      <w:divsChild>
                        <w:div w:id="1149055837">
                          <w:marLeft w:val="0"/>
                          <w:marRight w:val="0"/>
                          <w:marTop w:val="0"/>
                          <w:marBottom w:val="0"/>
                          <w:divBdr>
                            <w:top w:val="none" w:sz="0" w:space="0" w:color="auto"/>
                            <w:left w:val="none" w:sz="0" w:space="0" w:color="auto"/>
                            <w:bottom w:val="none" w:sz="0" w:space="0" w:color="auto"/>
                            <w:right w:val="none" w:sz="0" w:space="0" w:color="auto"/>
                          </w:divBdr>
                        </w:div>
                      </w:divsChild>
                    </w:div>
                    <w:div w:id="387191483">
                      <w:marLeft w:val="0"/>
                      <w:marRight w:val="0"/>
                      <w:marTop w:val="0"/>
                      <w:marBottom w:val="0"/>
                      <w:divBdr>
                        <w:top w:val="none" w:sz="0" w:space="0" w:color="auto"/>
                        <w:left w:val="none" w:sz="0" w:space="0" w:color="auto"/>
                        <w:bottom w:val="none" w:sz="0" w:space="0" w:color="auto"/>
                        <w:right w:val="none" w:sz="0" w:space="0" w:color="auto"/>
                      </w:divBdr>
                      <w:divsChild>
                        <w:div w:id="2142920514">
                          <w:marLeft w:val="0"/>
                          <w:marRight w:val="0"/>
                          <w:marTop w:val="0"/>
                          <w:marBottom w:val="0"/>
                          <w:divBdr>
                            <w:top w:val="none" w:sz="0" w:space="0" w:color="auto"/>
                            <w:left w:val="none" w:sz="0" w:space="0" w:color="auto"/>
                            <w:bottom w:val="none" w:sz="0" w:space="0" w:color="auto"/>
                            <w:right w:val="none" w:sz="0" w:space="0" w:color="auto"/>
                          </w:divBdr>
                        </w:div>
                      </w:divsChild>
                    </w:div>
                    <w:div w:id="410470167">
                      <w:marLeft w:val="0"/>
                      <w:marRight w:val="0"/>
                      <w:marTop w:val="0"/>
                      <w:marBottom w:val="0"/>
                      <w:divBdr>
                        <w:top w:val="none" w:sz="0" w:space="0" w:color="auto"/>
                        <w:left w:val="none" w:sz="0" w:space="0" w:color="auto"/>
                        <w:bottom w:val="none" w:sz="0" w:space="0" w:color="auto"/>
                        <w:right w:val="none" w:sz="0" w:space="0" w:color="auto"/>
                      </w:divBdr>
                      <w:divsChild>
                        <w:div w:id="782386318">
                          <w:marLeft w:val="0"/>
                          <w:marRight w:val="0"/>
                          <w:marTop w:val="0"/>
                          <w:marBottom w:val="0"/>
                          <w:divBdr>
                            <w:top w:val="none" w:sz="0" w:space="0" w:color="auto"/>
                            <w:left w:val="none" w:sz="0" w:space="0" w:color="auto"/>
                            <w:bottom w:val="none" w:sz="0" w:space="0" w:color="auto"/>
                            <w:right w:val="none" w:sz="0" w:space="0" w:color="auto"/>
                          </w:divBdr>
                        </w:div>
                      </w:divsChild>
                    </w:div>
                    <w:div w:id="448356090">
                      <w:marLeft w:val="0"/>
                      <w:marRight w:val="0"/>
                      <w:marTop w:val="0"/>
                      <w:marBottom w:val="0"/>
                      <w:divBdr>
                        <w:top w:val="none" w:sz="0" w:space="0" w:color="auto"/>
                        <w:left w:val="none" w:sz="0" w:space="0" w:color="auto"/>
                        <w:bottom w:val="none" w:sz="0" w:space="0" w:color="auto"/>
                        <w:right w:val="none" w:sz="0" w:space="0" w:color="auto"/>
                      </w:divBdr>
                      <w:divsChild>
                        <w:div w:id="1286080466">
                          <w:marLeft w:val="0"/>
                          <w:marRight w:val="0"/>
                          <w:marTop w:val="0"/>
                          <w:marBottom w:val="0"/>
                          <w:divBdr>
                            <w:top w:val="none" w:sz="0" w:space="0" w:color="auto"/>
                            <w:left w:val="none" w:sz="0" w:space="0" w:color="auto"/>
                            <w:bottom w:val="none" w:sz="0" w:space="0" w:color="auto"/>
                            <w:right w:val="none" w:sz="0" w:space="0" w:color="auto"/>
                          </w:divBdr>
                        </w:div>
                      </w:divsChild>
                    </w:div>
                    <w:div w:id="452789479">
                      <w:marLeft w:val="0"/>
                      <w:marRight w:val="0"/>
                      <w:marTop w:val="0"/>
                      <w:marBottom w:val="0"/>
                      <w:divBdr>
                        <w:top w:val="none" w:sz="0" w:space="0" w:color="auto"/>
                        <w:left w:val="none" w:sz="0" w:space="0" w:color="auto"/>
                        <w:bottom w:val="none" w:sz="0" w:space="0" w:color="auto"/>
                        <w:right w:val="none" w:sz="0" w:space="0" w:color="auto"/>
                      </w:divBdr>
                      <w:divsChild>
                        <w:div w:id="521827020">
                          <w:marLeft w:val="0"/>
                          <w:marRight w:val="0"/>
                          <w:marTop w:val="0"/>
                          <w:marBottom w:val="0"/>
                          <w:divBdr>
                            <w:top w:val="none" w:sz="0" w:space="0" w:color="auto"/>
                            <w:left w:val="none" w:sz="0" w:space="0" w:color="auto"/>
                            <w:bottom w:val="none" w:sz="0" w:space="0" w:color="auto"/>
                            <w:right w:val="none" w:sz="0" w:space="0" w:color="auto"/>
                          </w:divBdr>
                        </w:div>
                      </w:divsChild>
                    </w:div>
                    <w:div w:id="496190856">
                      <w:marLeft w:val="0"/>
                      <w:marRight w:val="0"/>
                      <w:marTop w:val="0"/>
                      <w:marBottom w:val="0"/>
                      <w:divBdr>
                        <w:top w:val="none" w:sz="0" w:space="0" w:color="auto"/>
                        <w:left w:val="none" w:sz="0" w:space="0" w:color="auto"/>
                        <w:bottom w:val="none" w:sz="0" w:space="0" w:color="auto"/>
                        <w:right w:val="none" w:sz="0" w:space="0" w:color="auto"/>
                      </w:divBdr>
                      <w:divsChild>
                        <w:div w:id="823813218">
                          <w:marLeft w:val="0"/>
                          <w:marRight w:val="0"/>
                          <w:marTop w:val="0"/>
                          <w:marBottom w:val="0"/>
                          <w:divBdr>
                            <w:top w:val="none" w:sz="0" w:space="0" w:color="auto"/>
                            <w:left w:val="none" w:sz="0" w:space="0" w:color="auto"/>
                            <w:bottom w:val="none" w:sz="0" w:space="0" w:color="auto"/>
                            <w:right w:val="none" w:sz="0" w:space="0" w:color="auto"/>
                          </w:divBdr>
                        </w:div>
                      </w:divsChild>
                    </w:div>
                    <w:div w:id="501242636">
                      <w:marLeft w:val="0"/>
                      <w:marRight w:val="0"/>
                      <w:marTop w:val="0"/>
                      <w:marBottom w:val="0"/>
                      <w:divBdr>
                        <w:top w:val="none" w:sz="0" w:space="0" w:color="auto"/>
                        <w:left w:val="none" w:sz="0" w:space="0" w:color="auto"/>
                        <w:bottom w:val="none" w:sz="0" w:space="0" w:color="auto"/>
                        <w:right w:val="none" w:sz="0" w:space="0" w:color="auto"/>
                      </w:divBdr>
                      <w:divsChild>
                        <w:div w:id="1848325925">
                          <w:marLeft w:val="0"/>
                          <w:marRight w:val="0"/>
                          <w:marTop w:val="0"/>
                          <w:marBottom w:val="0"/>
                          <w:divBdr>
                            <w:top w:val="none" w:sz="0" w:space="0" w:color="auto"/>
                            <w:left w:val="none" w:sz="0" w:space="0" w:color="auto"/>
                            <w:bottom w:val="none" w:sz="0" w:space="0" w:color="auto"/>
                            <w:right w:val="none" w:sz="0" w:space="0" w:color="auto"/>
                          </w:divBdr>
                        </w:div>
                      </w:divsChild>
                    </w:div>
                    <w:div w:id="501510118">
                      <w:marLeft w:val="0"/>
                      <w:marRight w:val="0"/>
                      <w:marTop w:val="0"/>
                      <w:marBottom w:val="0"/>
                      <w:divBdr>
                        <w:top w:val="none" w:sz="0" w:space="0" w:color="auto"/>
                        <w:left w:val="none" w:sz="0" w:space="0" w:color="auto"/>
                        <w:bottom w:val="none" w:sz="0" w:space="0" w:color="auto"/>
                        <w:right w:val="none" w:sz="0" w:space="0" w:color="auto"/>
                      </w:divBdr>
                      <w:divsChild>
                        <w:div w:id="465588210">
                          <w:marLeft w:val="0"/>
                          <w:marRight w:val="0"/>
                          <w:marTop w:val="0"/>
                          <w:marBottom w:val="0"/>
                          <w:divBdr>
                            <w:top w:val="none" w:sz="0" w:space="0" w:color="auto"/>
                            <w:left w:val="none" w:sz="0" w:space="0" w:color="auto"/>
                            <w:bottom w:val="none" w:sz="0" w:space="0" w:color="auto"/>
                            <w:right w:val="none" w:sz="0" w:space="0" w:color="auto"/>
                          </w:divBdr>
                        </w:div>
                      </w:divsChild>
                    </w:div>
                    <w:div w:id="574434256">
                      <w:marLeft w:val="0"/>
                      <w:marRight w:val="0"/>
                      <w:marTop w:val="0"/>
                      <w:marBottom w:val="0"/>
                      <w:divBdr>
                        <w:top w:val="none" w:sz="0" w:space="0" w:color="auto"/>
                        <w:left w:val="none" w:sz="0" w:space="0" w:color="auto"/>
                        <w:bottom w:val="none" w:sz="0" w:space="0" w:color="auto"/>
                        <w:right w:val="none" w:sz="0" w:space="0" w:color="auto"/>
                      </w:divBdr>
                      <w:divsChild>
                        <w:div w:id="198321806">
                          <w:marLeft w:val="0"/>
                          <w:marRight w:val="0"/>
                          <w:marTop w:val="0"/>
                          <w:marBottom w:val="0"/>
                          <w:divBdr>
                            <w:top w:val="none" w:sz="0" w:space="0" w:color="auto"/>
                            <w:left w:val="none" w:sz="0" w:space="0" w:color="auto"/>
                            <w:bottom w:val="none" w:sz="0" w:space="0" w:color="auto"/>
                            <w:right w:val="none" w:sz="0" w:space="0" w:color="auto"/>
                          </w:divBdr>
                        </w:div>
                      </w:divsChild>
                    </w:div>
                    <w:div w:id="602809445">
                      <w:marLeft w:val="0"/>
                      <w:marRight w:val="0"/>
                      <w:marTop w:val="0"/>
                      <w:marBottom w:val="0"/>
                      <w:divBdr>
                        <w:top w:val="none" w:sz="0" w:space="0" w:color="auto"/>
                        <w:left w:val="none" w:sz="0" w:space="0" w:color="auto"/>
                        <w:bottom w:val="none" w:sz="0" w:space="0" w:color="auto"/>
                        <w:right w:val="none" w:sz="0" w:space="0" w:color="auto"/>
                      </w:divBdr>
                      <w:divsChild>
                        <w:div w:id="267927674">
                          <w:marLeft w:val="0"/>
                          <w:marRight w:val="0"/>
                          <w:marTop w:val="0"/>
                          <w:marBottom w:val="0"/>
                          <w:divBdr>
                            <w:top w:val="none" w:sz="0" w:space="0" w:color="auto"/>
                            <w:left w:val="none" w:sz="0" w:space="0" w:color="auto"/>
                            <w:bottom w:val="none" w:sz="0" w:space="0" w:color="auto"/>
                            <w:right w:val="none" w:sz="0" w:space="0" w:color="auto"/>
                          </w:divBdr>
                        </w:div>
                      </w:divsChild>
                    </w:div>
                    <w:div w:id="618100014">
                      <w:marLeft w:val="0"/>
                      <w:marRight w:val="0"/>
                      <w:marTop w:val="0"/>
                      <w:marBottom w:val="0"/>
                      <w:divBdr>
                        <w:top w:val="none" w:sz="0" w:space="0" w:color="auto"/>
                        <w:left w:val="none" w:sz="0" w:space="0" w:color="auto"/>
                        <w:bottom w:val="none" w:sz="0" w:space="0" w:color="auto"/>
                        <w:right w:val="none" w:sz="0" w:space="0" w:color="auto"/>
                      </w:divBdr>
                      <w:divsChild>
                        <w:div w:id="1571425061">
                          <w:marLeft w:val="0"/>
                          <w:marRight w:val="0"/>
                          <w:marTop w:val="0"/>
                          <w:marBottom w:val="0"/>
                          <w:divBdr>
                            <w:top w:val="none" w:sz="0" w:space="0" w:color="auto"/>
                            <w:left w:val="none" w:sz="0" w:space="0" w:color="auto"/>
                            <w:bottom w:val="none" w:sz="0" w:space="0" w:color="auto"/>
                            <w:right w:val="none" w:sz="0" w:space="0" w:color="auto"/>
                          </w:divBdr>
                        </w:div>
                      </w:divsChild>
                    </w:div>
                    <w:div w:id="628362579">
                      <w:marLeft w:val="0"/>
                      <w:marRight w:val="0"/>
                      <w:marTop w:val="0"/>
                      <w:marBottom w:val="0"/>
                      <w:divBdr>
                        <w:top w:val="none" w:sz="0" w:space="0" w:color="auto"/>
                        <w:left w:val="none" w:sz="0" w:space="0" w:color="auto"/>
                        <w:bottom w:val="none" w:sz="0" w:space="0" w:color="auto"/>
                        <w:right w:val="none" w:sz="0" w:space="0" w:color="auto"/>
                      </w:divBdr>
                      <w:divsChild>
                        <w:div w:id="462356818">
                          <w:marLeft w:val="0"/>
                          <w:marRight w:val="0"/>
                          <w:marTop w:val="0"/>
                          <w:marBottom w:val="0"/>
                          <w:divBdr>
                            <w:top w:val="none" w:sz="0" w:space="0" w:color="auto"/>
                            <w:left w:val="none" w:sz="0" w:space="0" w:color="auto"/>
                            <w:bottom w:val="none" w:sz="0" w:space="0" w:color="auto"/>
                            <w:right w:val="none" w:sz="0" w:space="0" w:color="auto"/>
                          </w:divBdr>
                        </w:div>
                      </w:divsChild>
                    </w:div>
                    <w:div w:id="647444089">
                      <w:marLeft w:val="0"/>
                      <w:marRight w:val="0"/>
                      <w:marTop w:val="0"/>
                      <w:marBottom w:val="0"/>
                      <w:divBdr>
                        <w:top w:val="none" w:sz="0" w:space="0" w:color="auto"/>
                        <w:left w:val="none" w:sz="0" w:space="0" w:color="auto"/>
                        <w:bottom w:val="none" w:sz="0" w:space="0" w:color="auto"/>
                        <w:right w:val="none" w:sz="0" w:space="0" w:color="auto"/>
                      </w:divBdr>
                      <w:divsChild>
                        <w:div w:id="1130854483">
                          <w:marLeft w:val="0"/>
                          <w:marRight w:val="0"/>
                          <w:marTop w:val="0"/>
                          <w:marBottom w:val="0"/>
                          <w:divBdr>
                            <w:top w:val="none" w:sz="0" w:space="0" w:color="auto"/>
                            <w:left w:val="none" w:sz="0" w:space="0" w:color="auto"/>
                            <w:bottom w:val="none" w:sz="0" w:space="0" w:color="auto"/>
                            <w:right w:val="none" w:sz="0" w:space="0" w:color="auto"/>
                          </w:divBdr>
                        </w:div>
                      </w:divsChild>
                    </w:div>
                    <w:div w:id="657609206">
                      <w:marLeft w:val="0"/>
                      <w:marRight w:val="0"/>
                      <w:marTop w:val="0"/>
                      <w:marBottom w:val="0"/>
                      <w:divBdr>
                        <w:top w:val="none" w:sz="0" w:space="0" w:color="auto"/>
                        <w:left w:val="none" w:sz="0" w:space="0" w:color="auto"/>
                        <w:bottom w:val="none" w:sz="0" w:space="0" w:color="auto"/>
                        <w:right w:val="none" w:sz="0" w:space="0" w:color="auto"/>
                      </w:divBdr>
                      <w:divsChild>
                        <w:div w:id="895354588">
                          <w:marLeft w:val="0"/>
                          <w:marRight w:val="0"/>
                          <w:marTop w:val="0"/>
                          <w:marBottom w:val="0"/>
                          <w:divBdr>
                            <w:top w:val="none" w:sz="0" w:space="0" w:color="auto"/>
                            <w:left w:val="none" w:sz="0" w:space="0" w:color="auto"/>
                            <w:bottom w:val="none" w:sz="0" w:space="0" w:color="auto"/>
                            <w:right w:val="none" w:sz="0" w:space="0" w:color="auto"/>
                          </w:divBdr>
                        </w:div>
                      </w:divsChild>
                    </w:div>
                    <w:div w:id="699203956">
                      <w:marLeft w:val="0"/>
                      <w:marRight w:val="0"/>
                      <w:marTop w:val="0"/>
                      <w:marBottom w:val="0"/>
                      <w:divBdr>
                        <w:top w:val="none" w:sz="0" w:space="0" w:color="auto"/>
                        <w:left w:val="none" w:sz="0" w:space="0" w:color="auto"/>
                        <w:bottom w:val="none" w:sz="0" w:space="0" w:color="auto"/>
                        <w:right w:val="none" w:sz="0" w:space="0" w:color="auto"/>
                      </w:divBdr>
                      <w:divsChild>
                        <w:div w:id="967779432">
                          <w:marLeft w:val="0"/>
                          <w:marRight w:val="0"/>
                          <w:marTop w:val="0"/>
                          <w:marBottom w:val="0"/>
                          <w:divBdr>
                            <w:top w:val="none" w:sz="0" w:space="0" w:color="auto"/>
                            <w:left w:val="none" w:sz="0" w:space="0" w:color="auto"/>
                            <w:bottom w:val="none" w:sz="0" w:space="0" w:color="auto"/>
                            <w:right w:val="none" w:sz="0" w:space="0" w:color="auto"/>
                          </w:divBdr>
                        </w:div>
                      </w:divsChild>
                    </w:div>
                    <w:div w:id="700011149">
                      <w:marLeft w:val="0"/>
                      <w:marRight w:val="0"/>
                      <w:marTop w:val="0"/>
                      <w:marBottom w:val="0"/>
                      <w:divBdr>
                        <w:top w:val="none" w:sz="0" w:space="0" w:color="auto"/>
                        <w:left w:val="none" w:sz="0" w:space="0" w:color="auto"/>
                        <w:bottom w:val="none" w:sz="0" w:space="0" w:color="auto"/>
                        <w:right w:val="none" w:sz="0" w:space="0" w:color="auto"/>
                      </w:divBdr>
                      <w:divsChild>
                        <w:div w:id="335503384">
                          <w:marLeft w:val="0"/>
                          <w:marRight w:val="0"/>
                          <w:marTop w:val="0"/>
                          <w:marBottom w:val="0"/>
                          <w:divBdr>
                            <w:top w:val="none" w:sz="0" w:space="0" w:color="auto"/>
                            <w:left w:val="none" w:sz="0" w:space="0" w:color="auto"/>
                            <w:bottom w:val="none" w:sz="0" w:space="0" w:color="auto"/>
                            <w:right w:val="none" w:sz="0" w:space="0" w:color="auto"/>
                          </w:divBdr>
                        </w:div>
                      </w:divsChild>
                    </w:div>
                    <w:div w:id="711534259">
                      <w:marLeft w:val="0"/>
                      <w:marRight w:val="0"/>
                      <w:marTop w:val="0"/>
                      <w:marBottom w:val="0"/>
                      <w:divBdr>
                        <w:top w:val="none" w:sz="0" w:space="0" w:color="auto"/>
                        <w:left w:val="none" w:sz="0" w:space="0" w:color="auto"/>
                        <w:bottom w:val="none" w:sz="0" w:space="0" w:color="auto"/>
                        <w:right w:val="none" w:sz="0" w:space="0" w:color="auto"/>
                      </w:divBdr>
                      <w:divsChild>
                        <w:div w:id="65685970">
                          <w:marLeft w:val="0"/>
                          <w:marRight w:val="0"/>
                          <w:marTop w:val="0"/>
                          <w:marBottom w:val="0"/>
                          <w:divBdr>
                            <w:top w:val="none" w:sz="0" w:space="0" w:color="auto"/>
                            <w:left w:val="none" w:sz="0" w:space="0" w:color="auto"/>
                            <w:bottom w:val="none" w:sz="0" w:space="0" w:color="auto"/>
                            <w:right w:val="none" w:sz="0" w:space="0" w:color="auto"/>
                          </w:divBdr>
                        </w:div>
                      </w:divsChild>
                    </w:div>
                    <w:div w:id="718019041">
                      <w:marLeft w:val="0"/>
                      <w:marRight w:val="0"/>
                      <w:marTop w:val="0"/>
                      <w:marBottom w:val="0"/>
                      <w:divBdr>
                        <w:top w:val="none" w:sz="0" w:space="0" w:color="auto"/>
                        <w:left w:val="none" w:sz="0" w:space="0" w:color="auto"/>
                        <w:bottom w:val="none" w:sz="0" w:space="0" w:color="auto"/>
                        <w:right w:val="none" w:sz="0" w:space="0" w:color="auto"/>
                      </w:divBdr>
                      <w:divsChild>
                        <w:div w:id="1839270674">
                          <w:marLeft w:val="0"/>
                          <w:marRight w:val="0"/>
                          <w:marTop w:val="0"/>
                          <w:marBottom w:val="0"/>
                          <w:divBdr>
                            <w:top w:val="none" w:sz="0" w:space="0" w:color="auto"/>
                            <w:left w:val="none" w:sz="0" w:space="0" w:color="auto"/>
                            <w:bottom w:val="none" w:sz="0" w:space="0" w:color="auto"/>
                            <w:right w:val="none" w:sz="0" w:space="0" w:color="auto"/>
                          </w:divBdr>
                        </w:div>
                      </w:divsChild>
                    </w:div>
                    <w:div w:id="745148959">
                      <w:marLeft w:val="0"/>
                      <w:marRight w:val="0"/>
                      <w:marTop w:val="0"/>
                      <w:marBottom w:val="0"/>
                      <w:divBdr>
                        <w:top w:val="none" w:sz="0" w:space="0" w:color="auto"/>
                        <w:left w:val="none" w:sz="0" w:space="0" w:color="auto"/>
                        <w:bottom w:val="none" w:sz="0" w:space="0" w:color="auto"/>
                        <w:right w:val="none" w:sz="0" w:space="0" w:color="auto"/>
                      </w:divBdr>
                      <w:divsChild>
                        <w:div w:id="48261772">
                          <w:marLeft w:val="0"/>
                          <w:marRight w:val="0"/>
                          <w:marTop w:val="0"/>
                          <w:marBottom w:val="0"/>
                          <w:divBdr>
                            <w:top w:val="none" w:sz="0" w:space="0" w:color="auto"/>
                            <w:left w:val="none" w:sz="0" w:space="0" w:color="auto"/>
                            <w:bottom w:val="none" w:sz="0" w:space="0" w:color="auto"/>
                            <w:right w:val="none" w:sz="0" w:space="0" w:color="auto"/>
                          </w:divBdr>
                        </w:div>
                      </w:divsChild>
                    </w:div>
                    <w:div w:id="753355097">
                      <w:marLeft w:val="0"/>
                      <w:marRight w:val="0"/>
                      <w:marTop w:val="0"/>
                      <w:marBottom w:val="0"/>
                      <w:divBdr>
                        <w:top w:val="none" w:sz="0" w:space="0" w:color="auto"/>
                        <w:left w:val="none" w:sz="0" w:space="0" w:color="auto"/>
                        <w:bottom w:val="none" w:sz="0" w:space="0" w:color="auto"/>
                        <w:right w:val="none" w:sz="0" w:space="0" w:color="auto"/>
                      </w:divBdr>
                      <w:divsChild>
                        <w:div w:id="1343166664">
                          <w:marLeft w:val="0"/>
                          <w:marRight w:val="0"/>
                          <w:marTop w:val="0"/>
                          <w:marBottom w:val="0"/>
                          <w:divBdr>
                            <w:top w:val="none" w:sz="0" w:space="0" w:color="auto"/>
                            <w:left w:val="none" w:sz="0" w:space="0" w:color="auto"/>
                            <w:bottom w:val="none" w:sz="0" w:space="0" w:color="auto"/>
                            <w:right w:val="none" w:sz="0" w:space="0" w:color="auto"/>
                          </w:divBdr>
                        </w:div>
                      </w:divsChild>
                    </w:div>
                    <w:div w:id="779104743">
                      <w:marLeft w:val="0"/>
                      <w:marRight w:val="0"/>
                      <w:marTop w:val="0"/>
                      <w:marBottom w:val="0"/>
                      <w:divBdr>
                        <w:top w:val="none" w:sz="0" w:space="0" w:color="auto"/>
                        <w:left w:val="none" w:sz="0" w:space="0" w:color="auto"/>
                        <w:bottom w:val="none" w:sz="0" w:space="0" w:color="auto"/>
                        <w:right w:val="none" w:sz="0" w:space="0" w:color="auto"/>
                      </w:divBdr>
                      <w:divsChild>
                        <w:div w:id="1658264606">
                          <w:marLeft w:val="0"/>
                          <w:marRight w:val="0"/>
                          <w:marTop w:val="0"/>
                          <w:marBottom w:val="0"/>
                          <w:divBdr>
                            <w:top w:val="none" w:sz="0" w:space="0" w:color="auto"/>
                            <w:left w:val="none" w:sz="0" w:space="0" w:color="auto"/>
                            <w:bottom w:val="none" w:sz="0" w:space="0" w:color="auto"/>
                            <w:right w:val="none" w:sz="0" w:space="0" w:color="auto"/>
                          </w:divBdr>
                        </w:div>
                      </w:divsChild>
                    </w:div>
                    <w:div w:id="815683385">
                      <w:marLeft w:val="0"/>
                      <w:marRight w:val="0"/>
                      <w:marTop w:val="0"/>
                      <w:marBottom w:val="0"/>
                      <w:divBdr>
                        <w:top w:val="none" w:sz="0" w:space="0" w:color="auto"/>
                        <w:left w:val="none" w:sz="0" w:space="0" w:color="auto"/>
                        <w:bottom w:val="none" w:sz="0" w:space="0" w:color="auto"/>
                        <w:right w:val="none" w:sz="0" w:space="0" w:color="auto"/>
                      </w:divBdr>
                      <w:divsChild>
                        <w:div w:id="1995916177">
                          <w:marLeft w:val="0"/>
                          <w:marRight w:val="0"/>
                          <w:marTop w:val="0"/>
                          <w:marBottom w:val="0"/>
                          <w:divBdr>
                            <w:top w:val="none" w:sz="0" w:space="0" w:color="auto"/>
                            <w:left w:val="none" w:sz="0" w:space="0" w:color="auto"/>
                            <w:bottom w:val="none" w:sz="0" w:space="0" w:color="auto"/>
                            <w:right w:val="none" w:sz="0" w:space="0" w:color="auto"/>
                          </w:divBdr>
                        </w:div>
                      </w:divsChild>
                    </w:div>
                    <w:div w:id="838009297">
                      <w:marLeft w:val="0"/>
                      <w:marRight w:val="0"/>
                      <w:marTop w:val="0"/>
                      <w:marBottom w:val="0"/>
                      <w:divBdr>
                        <w:top w:val="none" w:sz="0" w:space="0" w:color="auto"/>
                        <w:left w:val="none" w:sz="0" w:space="0" w:color="auto"/>
                        <w:bottom w:val="none" w:sz="0" w:space="0" w:color="auto"/>
                        <w:right w:val="none" w:sz="0" w:space="0" w:color="auto"/>
                      </w:divBdr>
                      <w:divsChild>
                        <w:div w:id="892959667">
                          <w:marLeft w:val="0"/>
                          <w:marRight w:val="0"/>
                          <w:marTop w:val="0"/>
                          <w:marBottom w:val="0"/>
                          <w:divBdr>
                            <w:top w:val="none" w:sz="0" w:space="0" w:color="auto"/>
                            <w:left w:val="none" w:sz="0" w:space="0" w:color="auto"/>
                            <w:bottom w:val="none" w:sz="0" w:space="0" w:color="auto"/>
                            <w:right w:val="none" w:sz="0" w:space="0" w:color="auto"/>
                          </w:divBdr>
                        </w:div>
                      </w:divsChild>
                    </w:div>
                    <w:div w:id="844713230">
                      <w:marLeft w:val="0"/>
                      <w:marRight w:val="0"/>
                      <w:marTop w:val="0"/>
                      <w:marBottom w:val="0"/>
                      <w:divBdr>
                        <w:top w:val="none" w:sz="0" w:space="0" w:color="auto"/>
                        <w:left w:val="none" w:sz="0" w:space="0" w:color="auto"/>
                        <w:bottom w:val="none" w:sz="0" w:space="0" w:color="auto"/>
                        <w:right w:val="none" w:sz="0" w:space="0" w:color="auto"/>
                      </w:divBdr>
                      <w:divsChild>
                        <w:div w:id="1835604685">
                          <w:marLeft w:val="0"/>
                          <w:marRight w:val="0"/>
                          <w:marTop w:val="0"/>
                          <w:marBottom w:val="0"/>
                          <w:divBdr>
                            <w:top w:val="none" w:sz="0" w:space="0" w:color="auto"/>
                            <w:left w:val="none" w:sz="0" w:space="0" w:color="auto"/>
                            <w:bottom w:val="none" w:sz="0" w:space="0" w:color="auto"/>
                            <w:right w:val="none" w:sz="0" w:space="0" w:color="auto"/>
                          </w:divBdr>
                        </w:div>
                      </w:divsChild>
                    </w:div>
                    <w:div w:id="906646432">
                      <w:marLeft w:val="0"/>
                      <w:marRight w:val="0"/>
                      <w:marTop w:val="0"/>
                      <w:marBottom w:val="0"/>
                      <w:divBdr>
                        <w:top w:val="none" w:sz="0" w:space="0" w:color="auto"/>
                        <w:left w:val="none" w:sz="0" w:space="0" w:color="auto"/>
                        <w:bottom w:val="none" w:sz="0" w:space="0" w:color="auto"/>
                        <w:right w:val="none" w:sz="0" w:space="0" w:color="auto"/>
                      </w:divBdr>
                      <w:divsChild>
                        <w:div w:id="1208836474">
                          <w:marLeft w:val="0"/>
                          <w:marRight w:val="0"/>
                          <w:marTop w:val="0"/>
                          <w:marBottom w:val="0"/>
                          <w:divBdr>
                            <w:top w:val="none" w:sz="0" w:space="0" w:color="auto"/>
                            <w:left w:val="none" w:sz="0" w:space="0" w:color="auto"/>
                            <w:bottom w:val="none" w:sz="0" w:space="0" w:color="auto"/>
                            <w:right w:val="none" w:sz="0" w:space="0" w:color="auto"/>
                          </w:divBdr>
                        </w:div>
                      </w:divsChild>
                    </w:div>
                    <w:div w:id="1007369022">
                      <w:marLeft w:val="0"/>
                      <w:marRight w:val="0"/>
                      <w:marTop w:val="0"/>
                      <w:marBottom w:val="0"/>
                      <w:divBdr>
                        <w:top w:val="none" w:sz="0" w:space="0" w:color="auto"/>
                        <w:left w:val="none" w:sz="0" w:space="0" w:color="auto"/>
                        <w:bottom w:val="none" w:sz="0" w:space="0" w:color="auto"/>
                        <w:right w:val="none" w:sz="0" w:space="0" w:color="auto"/>
                      </w:divBdr>
                      <w:divsChild>
                        <w:div w:id="1865096526">
                          <w:marLeft w:val="0"/>
                          <w:marRight w:val="0"/>
                          <w:marTop w:val="0"/>
                          <w:marBottom w:val="0"/>
                          <w:divBdr>
                            <w:top w:val="none" w:sz="0" w:space="0" w:color="auto"/>
                            <w:left w:val="none" w:sz="0" w:space="0" w:color="auto"/>
                            <w:bottom w:val="none" w:sz="0" w:space="0" w:color="auto"/>
                            <w:right w:val="none" w:sz="0" w:space="0" w:color="auto"/>
                          </w:divBdr>
                        </w:div>
                      </w:divsChild>
                    </w:div>
                    <w:div w:id="1037000386">
                      <w:marLeft w:val="0"/>
                      <w:marRight w:val="0"/>
                      <w:marTop w:val="0"/>
                      <w:marBottom w:val="0"/>
                      <w:divBdr>
                        <w:top w:val="none" w:sz="0" w:space="0" w:color="auto"/>
                        <w:left w:val="none" w:sz="0" w:space="0" w:color="auto"/>
                        <w:bottom w:val="none" w:sz="0" w:space="0" w:color="auto"/>
                        <w:right w:val="none" w:sz="0" w:space="0" w:color="auto"/>
                      </w:divBdr>
                      <w:divsChild>
                        <w:div w:id="960838508">
                          <w:marLeft w:val="0"/>
                          <w:marRight w:val="0"/>
                          <w:marTop w:val="0"/>
                          <w:marBottom w:val="0"/>
                          <w:divBdr>
                            <w:top w:val="none" w:sz="0" w:space="0" w:color="auto"/>
                            <w:left w:val="none" w:sz="0" w:space="0" w:color="auto"/>
                            <w:bottom w:val="none" w:sz="0" w:space="0" w:color="auto"/>
                            <w:right w:val="none" w:sz="0" w:space="0" w:color="auto"/>
                          </w:divBdr>
                        </w:div>
                      </w:divsChild>
                    </w:div>
                    <w:div w:id="1046952361">
                      <w:marLeft w:val="0"/>
                      <w:marRight w:val="0"/>
                      <w:marTop w:val="0"/>
                      <w:marBottom w:val="0"/>
                      <w:divBdr>
                        <w:top w:val="none" w:sz="0" w:space="0" w:color="auto"/>
                        <w:left w:val="none" w:sz="0" w:space="0" w:color="auto"/>
                        <w:bottom w:val="none" w:sz="0" w:space="0" w:color="auto"/>
                        <w:right w:val="none" w:sz="0" w:space="0" w:color="auto"/>
                      </w:divBdr>
                      <w:divsChild>
                        <w:div w:id="841354296">
                          <w:marLeft w:val="0"/>
                          <w:marRight w:val="0"/>
                          <w:marTop w:val="0"/>
                          <w:marBottom w:val="0"/>
                          <w:divBdr>
                            <w:top w:val="none" w:sz="0" w:space="0" w:color="auto"/>
                            <w:left w:val="none" w:sz="0" w:space="0" w:color="auto"/>
                            <w:bottom w:val="none" w:sz="0" w:space="0" w:color="auto"/>
                            <w:right w:val="none" w:sz="0" w:space="0" w:color="auto"/>
                          </w:divBdr>
                        </w:div>
                      </w:divsChild>
                    </w:div>
                    <w:div w:id="1060179377">
                      <w:marLeft w:val="0"/>
                      <w:marRight w:val="0"/>
                      <w:marTop w:val="0"/>
                      <w:marBottom w:val="0"/>
                      <w:divBdr>
                        <w:top w:val="none" w:sz="0" w:space="0" w:color="auto"/>
                        <w:left w:val="none" w:sz="0" w:space="0" w:color="auto"/>
                        <w:bottom w:val="none" w:sz="0" w:space="0" w:color="auto"/>
                        <w:right w:val="none" w:sz="0" w:space="0" w:color="auto"/>
                      </w:divBdr>
                      <w:divsChild>
                        <w:div w:id="174736454">
                          <w:marLeft w:val="0"/>
                          <w:marRight w:val="0"/>
                          <w:marTop w:val="0"/>
                          <w:marBottom w:val="0"/>
                          <w:divBdr>
                            <w:top w:val="none" w:sz="0" w:space="0" w:color="auto"/>
                            <w:left w:val="none" w:sz="0" w:space="0" w:color="auto"/>
                            <w:bottom w:val="none" w:sz="0" w:space="0" w:color="auto"/>
                            <w:right w:val="none" w:sz="0" w:space="0" w:color="auto"/>
                          </w:divBdr>
                        </w:div>
                      </w:divsChild>
                    </w:div>
                    <w:div w:id="1063676191">
                      <w:marLeft w:val="0"/>
                      <w:marRight w:val="0"/>
                      <w:marTop w:val="0"/>
                      <w:marBottom w:val="0"/>
                      <w:divBdr>
                        <w:top w:val="none" w:sz="0" w:space="0" w:color="auto"/>
                        <w:left w:val="none" w:sz="0" w:space="0" w:color="auto"/>
                        <w:bottom w:val="none" w:sz="0" w:space="0" w:color="auto"/>
                        <w:right w:val="none" w:sz="0" w:space="0" w:color="auto"/>
                      </w:divBdr>
                      <w:divsChild>
                        <w:div w:id="1217663899">
                          <w:marLeft w:val="0"/>
                          <w:marRight w:val="0"/>
                          <w:marTop w:val="0"/>
                          <w:marBottom w:val="0"/>
                          <w:divBdr>
                            <w:top w:val="none" w:sz="0" w:space="0" w:color="auto"/>
                            <w:left w:val="none" w:sz="0" w:space="0" w:color="auto"/>
                            <w:bottom w:val="none" w:sz="0" w:space="0" w:color="auto"/>
                            <w:right w:val="none" w:sz="0" w:space="0" w:color="auto"/>
                          </w:divBdr>
                        </w:div>
                      </w:divsChild>
                    </w:div>
                    <w:div w:id="1087531569">
                      <w:marLeft w:val="0"/>
                      <w:marRight w:val="0"/>
                      <w:marTop w:val="0"/>
                      <w:marBottom w:val="0"/>
                      <w:divBdr>
                        <w:top w:val="none" w:sz="0" w:space="0" w:color="auto"/>
                        <w:left w:val="none" w:sz="0" w:space="0" w:color="auto"/>
                        <w:bottom w:val="none" w:sz="0" w:space="0" w:color="auto"/>
                        <w:right w:val="none" w:sz="0" w:space="0" w:color="auto"/>
                      </w:divBdr>
                      <w:divsChild>
                        <w:div w:id="1506554772">
                          <w:marLeft w:val="0"/>
                          <w:marRight w:val="0"/>
                          <w:marTop w:val="0"/>
                          <w:marBottom w:val="0"/>
                          <w:divBdr>
                            <w:top w:val="none" w:sz="0" w:space="0" w:color="auto"/>
                            <w:left w:val="none" w:sz="0" w:space="0" w:color="auto"/>
                            <w:bottom w:val="none" w:sz="0" w:space="0" w:color="auto"/>
                            <w:right w:val="none" w:sz="0" w:space="0" w:color="auto"/>
                          </w:divBdr>
                        </w:div>
                      </w:divsChild>
                    </w:div>
                    <w:div w:id="1094398517">
                      <w:marLeft w:val="0"/>
                      <w:marRight w:val="0"/>
                      <w:marTop w:val="0"/>
                      <w:marBottom w:val="0"/>
                      <w:divBdr>
                        <w:top w:val="none" w:sz="0" w:space="0" w:color="auto"/>
                        <w:left w:val="none" w:sz="0" w:space="0" w:color="auto"/>
                        <w:bottom w:val="none" w:sz="0" w:space="0" w:color="auto"/>
                        <w:right w:val="none" w:sz="0" w:space="0" w:color="auto"/>
                      </w:divBdr>
                      <w:divsChild>
                        <w:div w:id="848789444">
                          <w:marLeft w:val="0"/>
                          <w:marRight w:val="0"/>
                          <w:marTop w:val="0"/>
                          <w:marBottom w:val="0"/>
                          <w:divBdr>
                            <w:top w:val="none" w:sz="0" w:space="0" w:color="auto"/>
                            <w:left w:val="none" w:sz="0" w:space="0" w:color="auto"/>
                            <w:bottom w:val="none" w:sz="0" w:space="0" w:color="auto"/>
                            <w:right w:val="none" w:sz="0" w:space="0" w:color="auto"/>
                          </w:divBdr>
                        </w:div>
                      </w:divsChild>
                    </w:div>
                    <w:div w:id="1096947274">
                      <w:marLeft w:val="0"/>
                      <w:marRight w:val="0"/>
                      <w:marTop w:val="0"/>
                      <w:marBottom w:val="0"/>
                      <w:divBdr>
                        <w:top w:val="none" w:sz="0" w:space="0" w:color="auto"/>
                        <w:left w:val="none" w:sz="0" w:space="0" w:color="auto"/>
                        <w:bottom w:val="none" w:sz="0" w:space="0" w:color="auto"/>
                        <w:right w:val="none" w:sz="0" w:space="0" w:color="auto"/>
                      </w:divBdr>
                      <w:divsChild>
                        <w:div w:id="1297178676">
                          <w:marLeft w:val="0"/>
                          <w:marRight w:val="0"/>
                          <w:marTop w:val="0"/>
                          <w:marBottom w:val="0"/>
                          <w:divBdr>
                            <w:top w:val="none" w:sz="0" w:space="0" w:color="auto"/>
                            <w:left w:val="none" w:sz="0" w:space="0" w:color="auto"/>
                            <w:bottom w:val="none" w:sz="0" w:space="0" w:color="auto"/>
                            <w:right w:val="none" w:sz="0" w:space="0" w:color="auto"/>
                          </w:divBdr>
                        </w:div>
                      </w:divsChild>
                    </w:div>
                    <w:div w:id="1097796117">
                      <w:marLeft w:val="0"/>
                      <w:marRight w:val="0"/>
                      <w:marTop w:val="0"/>
                      <w:marBottom w:val="0"/>
                      <w:divBdr>
                        <w:top w:val="none" w:sz="0" w:space="0" w:color="auto"/>
                        <w:left w:val="none" w:sz="0" w:space="0" w:color="auto"/>
                        <w:bottom w:val="none" w:sz="0" w:space="0" w:color="auto"/>
                        <w:right w:val="none" w:sz="0" w:space="0" w:color="auto"/>
                      </w:divBdr>
                      <w:divsChild>
                        <w:div w:id="1114326102">
                          <w:marLeft w:val="0"/>
                          <w:marRight w:val="0"/>
                          <w:marTop w:val="0"/>
                          <w:marBottom w:val="0"/>
                          <w:divBdr>
                            <w:top w:val="none" w:sz="0" w:space="0" w:color="auto"/>
                            <w:left w:val="none" w:sz="0" w:space="0" w:color="auto"/>
                            <w:bottom w:val="none" w:sz="0" w:space="0" w:color="auto"/>
                            <w:right w:val="none" w:sz="0" w:space="0" w:color="auto"/>
                          </w:divBdr>
                        </w:div>
                      </w:divsChild>
                    </w:div>
                    <w:div w:id="1120294760">
                      <w:marLeft w:val="0"/>
                      <w:marRight w:val="0"/>
                      <w:marTop w:val="0"/>
                      <w:marBottom w:val="0"/>
                      <w:divBdr>
                        <w:top w:val="none" w:sz="0" w:space="0" w:color="auto"/>
                        <w:left w:val="none" w:sz="0" w:space="0" w:color="auto"/>
                        <w:bottom w:val="none" w:sz="0" w:space="0" w:color="auto"/>
                        <w:right w:val="none" w:sz="0" w:space="0" w:color="auto"/>
                      </w:divBdr>
                      <w:divsChild>
                        <w:div w:id="350571881">
                          <w:marLeft w:val="0"/>
                          <w:marRight w:val="0"/>
                          <w:marTop w:val="0"/>
                          <w:marBottom w:val="0"/>
                          <w:divBdr>
                            <w:top w:val="none" w:sz="0" w:space="0" w:color="auto"/>
                            <w:left w:val="none" w:sz="0" w:space="0" w:color="auto"/>
                            <w:bottom w:val="none" w:sz="0" w:space="0" w:color="auto"/>
                            <w:right w:val="none" w:sz="0" w:space="0" w:color="auto"/>
                          </w:divBdr>
                        </w:div>
                      </w:divsChild>
                    </w:div>
                    <w:div w:id="1127311988">
                      <w:marLeft w:val="0"/>
                      <w:marRight w:val="0"/>
                      <w:marTop w:val="0"/>
                      <w:marBottom w:val="0"/>
                      <w:divBdr>
                        <w:top w:val="none" w:sz="0" w:space="0" w:color="auto"/>
                        <w:left w:val="none" w:sz="0" w:space="0" w:color="auto"/>
                        <w:bottom w:val="none" w:sz="0" w:space="0" w:color="auto"/>
                        <w:right w:val="none" w:sz="0" w:space="0" w:color="auto"/>
                      </w:divBdr>
                      <w:divsChild>
                        <w:div w:id="594099262">
                          <w:marLeft w:val="0"/>
                          <w:marRight w:val="0"/>
                          <w:marTop w:val="0"/>
                          <w:marBottom w:val="0"/>
                          <w:divBdr>
                            <w:top w:val="none" w:sz="0" w:space="0" w:color="auto"/>
                            <w:left w:val="none" w:sz="0" w:space="0" w:color="auto"/>
                            <w:bottom w:val="none" w:sz="0" w:space="0" w:color="auto"/>
                            <w:right w:val="none" w:sz="0" w:space="0" w:color="auto"/>
                          </w:divBdr>
                        </w:div>
                      </w:divsChild>
                    </w:div>
                    <w:div w:id="1129326561">
                      <w:marLeft w:val="0"/>
                      <w:marRight w:val="0"/>
                      <w:marTop w:val="0"/>
                      <w:marBottom w:val="0"/>
                      <w:divBdr>
                        <w:top w:val="none" w:sz="0" w:space="0" w:color="auto"/>
                        <w:left w:val="none" w:sz="0" w:space="0" w:color="auto"/>
                        <w:bottom w:val="none" w:sz="0" w:space="0" w:color="auto"/>
                        <w:right w:val="none" w:sz="0" w:space="0" w:color="auto"/>
                      </w:divBdr>
                      <w:divsChild>
                        <w:div w:id="1246525186">
                          <w:marLeft w:val="0"/>
                          <w:marRight w:val="0"/>
                          <w:marTop w:val="0"/>
                          <w:marBottom w:val="0"/>
                          <w:divBdr>
                            <w:top w:val="none" w:sz="0" w:space="0" w:color="auto"/>
                            <w:left w:val="none" w:sz="0" w:space="0" w:color="auto"/>
                            <w:bottom w:val="none" w:sz="0" w:space="0" w:color="auto"/>
                            <w:right w:val="none" w:sz="0" w:space="0" w:color="auto"/>
                          </w:divBdr>
                        </w:div>
                      </w:divsChild>
                    </w:div>
                    <w:div w:id="1136139616">
                      <w:marLeft w:val="0"/>
                      <w:marRight w:val="0"/>
                      <w:marTop w:val="0"/>
                      <w:marBottom w:val="0"/>
                      <w:divBdr>
                        <w:top w:val="none" w:sz="0" w:space="0" w:color="auto"/>
                        <w:left w:val="none" w:sz="0" w:space="0" w:color="auto"/>
                        <w:bottom w:val="none" w:sz="0" w:space="0" w:color="auto"/>
                        <w:right w:val="none" w:sz="0" w:space="0" w:color="auto"/>
                      </w:divBdr>
                      <w:divsChild>
                        <w:div w:id="1174606734">
                          <w:marLeft w:val="0"/>
                          <w:marRight w:val="0"/>
                          <w:marTop w:val="0"/>
                          <w:marBottom w:val="0"/>
                          <w:divBdr>
                            <w:top w:val="none" w:sz="0" w:space="0" w:color="auto"/>
                            <w:left w:val="none" w:sz="0" w:space="0" w:color="auto"/>
                            <w:bottom w:val="none" w:sz="0" w:space="0" w:color="auto"/>
                            <w:right w:val="none" w:sz="0" w:space="0" w:color="auto"/>
                          </w:divBdr>
                        </w:div>
                      </w:divsChild>
                    </w:div>
                    <w:div w:id="1141310072">
                      <w:marLeft w:val="0"/>
                      <w:marRight w:val="0"/>
                      <w:marTop w:val="0"/>
                      <w:marBottom w:val="0"/>
                      <w:divBdr>
                        <w:top w:val="none" w:sz="0" w:space="0" w:color="auto"/>
                        <w:left w:val="none" w:sz="0" w:space="0" w:color="auto"/>
                        <w:bottom w:val="none" w:sz="0" w:space="0" w:color="auto"/>
                        <w:right w:val="none" w:sz="0" w:space="0" w:color="auto"/>
                      </w:divBdr>
                      <w:divsChild>
                        <w:div w:id="1193104585">
                          <w:marLeft w:val="0"/>
                          <w:marRight w:val="0"/>
                          <w:marTop w:val="0"/>
                          <w:marBottom w:val="0"/>
                          <w:divBdr>
                            <w:top w:val="none" w:sz="0" w:space="0" w:color="auto"/>
                            <w:left w:val="none" w:sz="0" w:space="0" w:color="auto"/>
                            <w:bottom w:val="none" w:sz="0" w:space="0" w:color="auto"/>
                            <w:right w:val="none" w:sz="0" w:space="0" w:color="auto"/>
                          </w:divBdr>
                        </w:div>
                      </w:divsChild>
                    </w:div>
                    <w:div w:id="1146163667">
                      <w:marLeft w:val="0"/>
                      <w:marRight w:val="0"/>
                      <w:marTop w:val="0"/>
                      <w:marBottom w:val="0"/>
                      <w:divBdr>
                        <w:top w:val="none" w:sz="0" w:space="0" w:color="auto"/>
                        <w:left w:val="none" w:sz="0" w:space="0" w:color="auto"/>
                        <w:bottom w:val="none" w:sz="0" w:space="0" w:color="auto"/>
                        <w:right w:val="none" w:sz="0" w:space="0" w:color="auto"/>
                      </w:divBdr>
                      <w:divsChild>
                        <w:div w:id="1505900022">
                          <w:marLeft w:val="0"/>
                          <w:marRight w:val="0"/>
                          <w:marTop w:val="0"/>
                          <w:marBottom w:val="0"/>
                          <w:divBdr>
                            <w:top w:val="none" w:sz="0" w:space="0" w:color="auto"/>
                            <w:left w:val="none" w:sz="0" w:space="0" w:color="auto"/>
                            <w:bottom w:val="none" w:sz="0" w:space="0" w:color="auto"/>
                            <w:right w:val="none" w:sz="0" w:space="0" w:color="auto"/>
                          </w:divBdr>
                        </w:div>
                      </w:divsChild>
                    </w:div>
                    <w:div w:id="1147553839">
                      <w:marLeft w:val="0"/>
                      <w:marRight w:val="0"/>
                      <w:marTop w:val="0"/>
                      <w:marBottom w:val="0"/>
                      <w:divBdr>
                        <w:top w:val="none" w:sz="0" w:space="0" w:color="auto"/>
                        <w:left w:val="none" w:sz="0" w:space="0" w:color="auto"/>
                        <w:bottom w:val="none" w:sz="0" w:space="0" w:color="auto"/>
                        <w:right w:val="none" w:sz="0" w:space="0" w:color="auto"/>
                      </w:divBdr>
                      <w:divsChild>
                        <w:div w:id="496115025">
                          <w:marLeft w:val="0"/>
                          <w:marRight w:val="0"/>
                          <w:marTop w:val="0"/>
                          <w:marBottom w:val="0"/>
                          <w:divBdr>
                            <w:top w:val="none" w:sz="0" w:space="0" w:color="auto"/>
                            <w:left w:val="none" w:sz="0" w:space="0" w:color="auto"/>
                            <w:bottom w:val="none" w:sz="0" w:space="0" w:color="auto"/>
                            <w:right w:val="none" w:sz="0" w:space="0" w:color="auto"/>
                          </w:divBdr>
                        </w:div>
                      </w:divsChild>
                    </w:div>
                    <w:div w:id="1155145022">
                      <w:marLeft w:val="0"/>
                      <w:marRight w:val="0"/>
                      <w:marTop w:val="0"/>
                      <w:marBottom w:val="0"/>
                      <w:divBdr>
                        <w:top w:val="none" w:sz="0" w:space="0" w:color="auto"/>
                        <w:left w:val="none" w:sz="0" w:space="0" w:color="auto"/>
                        <w:bottom w:val="none" w:sz="0" w:space="0" w:color="auto"/>
                        <w:right w:val="none" w:sz="0" w:space="0" w:color="auto"/>
                      </w:divBdr>
                      <w:divsChild>
                        <w:div w:id="1253855386">
                          <w:marLeft w:val="0"/>
                          <w:marRight w:val="0"/>
                          <w:marTop w:val="0"/>
                          <w:marBottom w:val="0"/>
                          <w:divBdr>
                            <w:top w:val="none" w:sz="0" w:space="0" w:color="auto"/>
                            <w:left w:val="none" w:sz="0" w:space="0" w:color="auto"/>
                            <w:bottom w:val="none" w:sz="0" w:space="0" w:color="auto"/>
                            <w:right w:val="none" w:sz="0" w:space="0" w:color="auto"/>
                          </w:divBdr>
                        </w:div>
                      </w:divsChild>
                    </w:div>
                    <w:div w:id="1159492967">
                      <w:marLeft w:val="0"/>
                      <w:marRight w:val="0"/>
                      <w:marTop w:val="0"/>
                      <w:marBottom w:val="0"/>
                      <w:divBdr>
                        <w:top w:val="none" w:sz="0" w:space="0" w:color="auto"/>
                        <w:left w:val="none" w:sz="0" w:space="0" w:color="auto"/>
                        <w:bottom w:val="none" w:sz="0" w:space="0" w:color="auto"/>
                        <w:right w:val="none" w:sz="0" w:space="0" w:color="auto"/>
                      </w:divBdr>
                      <w:divsChild>
                        <w:div w:id="1492211379">
                          <w:marLeft w:val="0"/>
                          <w:marRight w:val="0"/>
                          <w:marTop w:val="0"/>
                          <w:marBottom w:val="0"/>
                          <w:divBdr>
                            <w:top w:val="none" w:sz="0" w:space="0" w:color="auto"/>
                            <w:left w:val="none" w:sz="0" w:space="0" w:color="auto"/>
                            <w:bottom w:val="none" w:sz="0" w:space="0" w:color="auto"/>
                            <w:right w:val="none" w:sz="0" w:space="0" w:color="auto"/>
                          </w:divBdr>
                        </w:div>
                      </w:divsChild>
                    </w:div>
                    <w:div w:id="1192571842">
                      <w:marLeft w:val="0"/>
                      <w:marRight w:val="0"/>
                      <w:marTop w:val="0"/>
                      <w:marBottom w:val="0"/>
                      <w:divBdr>
                        <w:top w:val="none" w:sz="0" w:space="0" w:color="auto"/>
                        <w:left w:val="none" w:sz="0" w:space="0" w:color="auto"/>
                        <w:bottom w:val="none" w:sz="0" w:space="0" w:color="auto"/>
                        <w:right w:val="none" w:sz="0" w:space="0" w:color="auto"/>
                      </w:divBdr>
                      <w:divsChild>
                        <w:div w:id="708065649">
                          <w:marLeft w:val="0"/>
                          <w:marRight w:val="0"/>
                          <w:marTop w:val="0"/>
                          <w:marBottom w:val="0"/>
                          <w:divBdr>
                            <w:top w:val="none" w:sz="0" w:space="0" w:color="auto"/>
                            <w:left w:val="none" w:sz="0" w:space="0" w:color="auto"/>
                            <w:bottom w:val="none" w:sz="0" w:space="0" w:color="auto"/>
                            <w:right w:val="none" w:sz="0" w:space="0" w:color="auto"/>
                          </w:divBdr>
                        </w:div>
                      </w:divsChild>
                    </w:div>
                    <w:div w:id="1204094094">
                      <w:marLeft w:val="0"/>
                      <w:marRight w:val="0"/>
                      <w:marTop w:val="0"/>
                      <w:marBottom w:val="0"/>
                      <w:divBdr>
                        <w:top w:val="none" w:sz="0" w:space="0" w:color="auto"/>
                        <w:left w:val="none" w:sz="0" w:space="0" w:color="auto"/>
                        <w:bottom w:val="none" w:sz="0" w:space="0" w:color="auto"/>
                        <w:right w:val="none" w:sz="0" w:space="0" w:color="auto"/>
                      </w:divBdr>
                      <w:divsChild>
                        <w:div w:id="2110007824">
                          <w:marLeft w:val="0"/>
                          <w:marRight w:val="0"/>
                          <w:marTop w:val="0"/>
                          <w:marBottom w:val="0"/>
                          <w:divBdr>
                            <w:top w:val="none" w:sz="0" w:space="0" w:color="auto"/>
                            <w:left w:val="none" w:sz="0" w:space="0" w:color="auto"/>
                            <w:bottom w:val="none" w:sz="0" w:space="0" w:color="auto"/>
                            <w:right w:val="none" w:sz="0" w:space="0" w:color="auto"/>
                          </w:divBdr>
                        </w:div>
                      </w:divsChild>
                    </w:div>
                    <w:div w:id="1208302090">
                      <w:marLeft w:val="0"/>
                      <w:marRight w:val="0"/>
                      <w:marTop w:val="0"/>
                      <w:marBottom w:val="0"/>
                      <w:divBdr>
                        <w:top w:val="none" w:sz="0" w:space="0" w:color="auto"/>
                        <w:left w:val="none" w:sz="0" w:space="0" w:color="auto"/>
                        <w:bottom w:val="none" w:sz="0" w:space="0" w:color="auto"/>
                        <w:right w:val="none" w:sz="0" w:space="0" w:color="auto"/>
                      </w:divBdr>
                      <w:divsChild>
                        <w:div w:id="544219804">
                          <w:marLeft w:val="0"/>
                          <w:marRight w:val="0"/>
                          <w:marTop w:val="0"/>
                          <w:marBottom w:val="0"/>
                          <w:divBdr>
                            <w:top w:val="none" w:sz="0" w:space="0" w:color="auto"/>
                            <w:left w:val="none" w:sz="0" w:space="0" w:color="auto"/>
                            <w:bottom w:val="none" w:sz="0" w:space="0" w:color="auto"/>
                            <w:right w:val="none" w:sz="0" w:space="0" w:color="auto"/>
                          </w:divBdr>
                        </w:div>
                      </w:divsChild>
                    </w:div>
                    <w:div w:id="1219324901">
                      <w:marLeft w:val="0"/>
                      <w:marRight w:val="0"/>
                      <w:marTop w:val="0"/>
                      <w:marBottom w:val="0"/>
                      <w:divBdr>
                        <w:top w:val="none" w:sz="0" w:space="0" w:color="auto"/>
                        <w:left w:val="none" w:sz="0" w:space="0" w:color="auto"/>
                        <w:bottom w:val="none" w:sz="0" w:space="0" w:color="auto"/>
                        <w:right w:val="none" w:sz="0" w:space="0" w:color="auto"/>
                      </w:divBdr>
                      <w:divsChild>
                        <w:div w:id="303002904">
                          <w:marLeft w:val="0"/>
                          <w:marRight w:val="0"/>
                          <w:marTop w:val="0"/>
                          <w:marBottom w:val="0"/>
                          <w:divBdr>
                            <w:top w:val="none" w:sz="0" w:space="0" w:color="auto"/>
                            <w:left w:val="none" w:sz="0" w:space="0" w:color="auto"/>
                            <w:bottom w:val="none" w:sz="0" w:space="0" w:color="auto"/>
                            <w:right w:val="none" w:sz="0" w:space="0" w:color="auto"/>
                          </w:divBdr>
                        </w:div>
                      </w:divsChild>
                    </w:div>
                    <w:div w:id="1222134866">
                      <w:marLeft w:val="0"/>
                      <w:marRight w:val="0"/>
                      <w:marTop w:val="0"/>
                      <w:marBottom w:val="0"/>
                      <w:divBdr>
                        <w:top w:val="none" w:sz="0" w:space="0" w:color="auto"/>
                        <w:left w:val="none" w:sz="0" w:space="0" w:color="auto"/>
                        <w:bottom w:val="none" w:sz="0" w:space="0" w:color="auto"/>
                        <w:right w:val="none" w:sz="0" w:space="0" w:color="auto"/>
                      </w:divBdr>
                      <w:divsChild>
                        <w:div w:id="1417899041">
                          <w:marLeft w:val="0"/>
                          <w:marRight w:val="0"/>
                          <w:marTop w:val="0"/>
                          <w:marBottom w:val="0"/>
                          <w:divBdr>
                            <w:top w:val="none" w:sz="0" w:space="0" w:color="auto"/>
                            <w:left w:val="none" w:sz="0" w:space="0" w:color="auto"/>
                            <w:bottom w:val="none" w:sz="0" w:space="0" w:color="auto"/>
                            <w:right w:val="none" w:sz="0" w:space="0" w:color="auto"/>
                          </w:divBdr>
                        </w:div>
                      </w:divsChild>
                    </w:div>
                    <w:div w:id="1253472635">
                      <w:marLeft w:val="0"/>
                      <w:marRight w:val="0"/>
                      <w:marTop w:val="0"/>
                      <w:marBottom w:val="0"/>
                      <w:divBdr>
                        <w:top w:val="none" w:sz="0" w:space="0" w:color="auto"/>
                        <w:left w:val="none" w:sz="0" w:space="0" w:color="auto"/>
                        <w:bottom w:val="none" w:sz="0" w:space="0" w:color="auto"/>
                        <w:right w:val="none" w:sz="0" w:space="0" w:color="auto"/>
                      </w:divBdr>
                      <w:divsChild>
                        <w:div w:id="276329942">
                          <w:marLeft w:val="0"/>
                          <w:marRight w:val="0"/>
                          <w:marTop w:val="0"/>
                          <w:marBottom w:val="0"/>
                          <w:divBdr>
                            <w:top w:val="none" w:sz="0" w:space="0" w:color="auto"/>
                            <w:left w:val="none" w:sz="0" w:space="0" w:color="auto"/>
                            <w:bottom w:val="none" w:sz="0" w:space="0" w:color="auto"/>
                            <w:right w:val="none" w:sz="0" w:space="0" w:color="auto"/>
                          </w:divBdr>
                        </w:div>
                      </w:divsChild>
                    </w:div>
                    <w:div w:id="1285040328">
                      <w:marLeft w:val="0"/>
                      <w:marRight w:val="0"/>
                      <w:marTop w:val="0"/>
                      <w:marBottom w:val="0"/>
                      <w:divBdr>
                        <w:top w:val="none" w:sz="0" w:space="0" w:color="auto"/>
                        <w:left w:val="none" w:sz="0" w:space="0" w:color="auto"/>
                        <w:bottom w:val="none" w:sz="0" w:space="0" w:color="auto"/>
                        <w:right w:val="none" w:sz="0" w:space="0" w:color="auto"/>
                      </w:divBdr>
                      <w:divsChild>
                        <w:div w:id="1181552980">
                          <w:marLeft w:val="0"/>
                          <w:marRight w:val="0"/>
                          <w:marTop w:val="0"/>
                          <w:marBottom w:val="0"/>
                          <w:divBdr>
                            <w:top w:val="none" w:sz="0" w:space="0" w:color="auto"/>
                            <w:left w:val="none" w:sz="0" w:space="0" w:color="auto"/>
                            <w:bottom w:val="none" w:sz="0" w:space="0" w:color="auto"/>
                            <w:right w:val="none" w:sz="0" w:space="0" w:color="auto"/>
                          </w:divBdr>
                        </w:div>
                      </w:divsChild>
                    </w:div>
                    <w:div w:id="1313632025">
                      <w:marLeft w:val="0"/>
                      <w:marRight w:val="0"/>
                      <w:marTop w:val="0"/>
                      <w:marBottom w:val="0"/>
                      <w:divBdr>
                        <w:top w:val="none" w:sz="0" w:space="0" w:color="auto"/>
                        <w:left w:val="none" w:sz="0" w:space="0" w:color="auto"/>
                        <w:bottom w:val="none" w:sz="0" w:space="0" w:color="auto"/>
                        <w:right w:val="none" w:sz="0" w:space="0" w:color="auto"/>
                      </w:divBdr>
                      <w:divsChild>
                        <w:div w:id="1077945318">
                          <w:marLeft w:val="0"/>
                          <w:marRight w:val="0"/>
                          <w:marTop w:val="0"/>
                          <w:marBottom w:val="0"/>
                          <w:divBdr>
                            <w:top w:val="none" w:sz="0" w:space="0" w:color="auto"/>
                            <w:left w:val="none" w:sz="0" w:space="0" w:color="auto"/>
                            <w:bottom w:val="none" w:sz="0" w:space="0" w:color="auto"/>
                            <w:right w:val="none" w:sz="0" w:space="0" w:color="auto"/>
                          </w:divBdr>
                        </w:div>
                      </w:divsChild>
                    </w:div>
                    <w:div w:id="1334139750">
                      <w:marLeft w:val="0"/>
                      <w:marRight w:val="0"/>
                      <w:marTop w:val="0"/>
                      <w:marBottom w:val="0"/>
                      <w:divBdr>
                        <w:top w:val="none" w:sz="0" w:space="0" w:color="auto"/>
                        <w:left w:val="none" w:sz="0" w:space="0" w:color="auto"/>
                        <w:bottom w:val="none" w:sz="0" w:space="0" w:color="auto"/>
                        <w:right w:val="none" w:sz="0" w:space="0" w:color="auto"/>
                      </w:divBdr>
                      <w:divsChild>
                        <w:div w:id="919827249">
                          <w:marLeft w:val="0"/>
                          <w:marRight w:val="0"/>
                          <w:marTop w:val="0"/>
                          <w:marBottom w:val="0"/>
                          <w:divBdr>
                            <w:top w:val="none" w:sz="0" w:space="0" w:color="auto"/>
                            <w:left w:val="none" w:sz="0" w:space="0" w:color="auto"/>
                            <w:bottom w:val="none" w:sz="0" w:space="0" w:color="auto"/>
                            <w:right w:val="none" w:sz="0" w:space="0" w:color="auto"/>
                          </w:divBdr>
                        </w:div>
                      </w:divsChild>
                    </w:div>
                    <w:div w:id="1335844445">
                      <w:marLeft w:val="0"/>
                      <w:marRight w:val="0"/>
                      <w:marTop w:val="0"/>
                      <w:marBottom w:val="0"/>
                      <w:divBdr>
                        <w:top w:val="none" w:sz="0" w:space="0" w:color="auto"/>
                        <w:left w:val="none" w:sz="0" w:space="0" w:color="auto"/>
                        <w:bottom w:val="none" w:sz="0" w:space="0" w:color="auto"/>
                        <w:right w:val="none" w:sz="0" w:space="0" w:color="auto"/>
                      </w:divBdr>
                      <w:divsChild>
                        <w:div w:id="1167212554">
                          <w:marLeft w:val="0"/>
                          <w:marRight w:val="0"/>
                          <w:marTop w:val="0"/>
                          <w:marBottom w:val="0"/>
                          <w:divBdr>
                            <w:top w:val="none" w:sz="0" w:space="0" w:color="auto"/>
                            <w:left w:val="none" w:sz="0" w:space="0" w:color="auto"/>
                            <w:bottom w:val="none" w:sz="0" w:space="0" w:color="auto"/>
                            <w:right w:val="none" w:sz="0" w:space="0" w:color="auto"/>
                          </w:divBdr>
                        </w:div>
                      </w:divsChild>
                    </w:div>
                    <w:div w:id="1335915859">
                      <w:marLeft w:val="0"/>
                      <w:marRight w:val="0"/>
                      <w:marTop w:val="0"/>
                      <w:marBottom w:val="0"/>
                      <w:divBdr>
                        <w:top w:val="none" w:sz="0" w:space="0" w:color="auto"/>
                        <w:left w:val="none" w:sz="0" w:space="0" w:color="auto"/>
                        <w:bottom w:val="none" w:sz="0" w:space="0" w:color="auto"/>
                        <w:right w:val="none" w:sz="0" w:space="0" w:color="auto"/>
                      </w:divBdr>
                      <w:divsChild>
                        <w:div w:id="483133142">
                          <w:marLeft w:val="0"/>
                          <w:marRight w:val="0"/>
                          <w:marTop w:val="0"/>
                          <w:marBottom w:val="0"/>
                          <w:divBdr>
                            <w:top w:val="none" w:sz="0" w:space="0" w:color="auto"/>
                            <w:left w:val="none" w:sz="0" w:space="0" w:color="auto"/>
                            <w:bottom w:val="none" w:sz="0" w:space="0" w:color="auto"/>
                            <w:right w:val="none" w:sz="0" w:space="0" w:color="auto"/>
                          </w:divBdr>
                        </w:div>
                      </w:divsChild>
                    </w:div>
                    <w:div w:id="1354500686">
                      <w:marLeft w:val="0"/>
                      <w:marRight w:val="0"/>
                      <w:marTop w:val="0"/>
                      <w:marBottom w:val="0"/>
                      <w:divBdr>
                        <w:top w:val="none" w:sz="0" w:space="0" w:color="auto"/>
                        <w:left w:val="none" w:sz="0" w:space="0" w:color="auto"/>
                        <w:bottom w:val="none" w:sz="0" w:space="0" w:color="auto"/>
                        <w:right w:val="none" w:sz="0" w:space="0" w:color="auto"/>
                      </w:divBdr>
                      <w:divsChild>
                        <w:div w:id="1466659146">
                          <w:marLeft w:val="0"/>
                          <w:marRight w:val="0"/>
                          <w:marTop w:val="0"/>
                          <w:marBottom w:val="0"/>
                          <w:divBdr>
                            <w:top w:val="none" w:sz="0" w:space="0" w:color="auto"/>
                            <w:left w:val="none" w:sz="0" w:space="0" w:color="auto"/>
                            <w:bottom w:val="none" w:sz="0" w:space="0" w:color="auto"/>
                            <w:right w:val="none" w:sz="0" w:space="0" w:color="auto"/>
                          </w:divBdr>
                        </w:div>
                      </w:divsChild>
                    </w:div>
                    <w:div w:id="1395005518">
                      <w:marLeft w:val="0"/>
                      <w:marRight w:val="0"/>
                      <w:marTop w:val="0"/>
                      <w:marBottom w:val="0"/>
                      <w:divBdr>
                        <w:top w:val="none" w:sz="0" w:space="0" w:color="auto"/>
                        <w:left w:val="none" w:sz="0" w:space="0" w:color="auto"/>
                        <w:bottom w:val="none" w:sz="0" w:space="0" w:color="auto"/>
                        <w:right w:val="none" w:sz="0" w:space="0" w:color="auto"/>
                      </w:divBdr>
                      <w:divsChild>
                        <w:div w:id="254484761">
                          <w:marLeft w:val="0"/>
                          <w:marRight w:val="0"/>
                          <w:marTop w:val="0"/>
                          <w:marBottom w:val="0"/>
                          <w:divBdr>
                            <w:top w:val="none" w:sz="0" w:space="0" w:color="auto"/>
                            <w:left w:val="none" w:sz="0" w:space="0" w:color="auto"/>
                            <w:bottom w:val="none" w:sz="0" w:space="0" w:color="auto"/>
                            <w:right w:val="none" w:sz="0" w:space="0" w:color="auto"/>
                          </w:divBdr>
                        </w:div>
                      </w:divsChild>
                    </w:div>
                    <w:div w:id="1402366371">
                      <w:marLeft w:val="0"/>
                      <w:marRight w:val="0"/>
                      <w:marTop w:val="0"/>
                      <w:marBottom w:val="0"/>
                      <w:divBdr>
                        <w:top w:val="none" w:sz="0" w:space="0" w:color="auto"/>
                        <w:left w:val="none" w:sz="0" w:space="0" w:color="auto"/>
                        <w:bottom w:val="none" w:sz="0" w:space="0" w:color="auto"/>
                        <w:right w:val="none" w:sz="0" w:space="0" w:color="auto"/>
                      </w:divBdr>
                      <w:divsChild>
                        <w:div w:id="1864434630">
                          <w:marLeft w:val="0"/>
                          <w:marRight w:val="0"/>
                          <w:marTop w:val="0"/>
                          <w:marBottom w:val="0"/>
                          <w:divBdr>
                            <w:top w:val="none" w:sz="0" w:space="0" w:color="auto"/>
                            <w:left w:val="none" w:sz="0" w:space="0" w:color="auto"/>
                            <w:bottom w:val="none" w:sz="0" w:space="0" w:color="auto"/>
                            <w:right w:val="none" w:sz="0" w:space="0" w:color="auto"/>
                          </w:divBdr>
                        </w:div>
                      </w:divsChild>
                    </w:div>
                    <w:div w:id="1409230987">
                      <w:marLeft w:val="0"/>
                      <w:marRight w:val="0"/>
                      <w:marTop w:val="0"/>
                      <w:marBottom w:val="0"/>
                      <w:divBdr>
                        <w:top w:val="none" w:sz="0" w:space="0" w:color="auto"/>
                        <w:left w:val="none" w:sz="0" w:space="0" w:color="auto"/>
                        <w:bottom w:val="none" w:sz="0" w:space="0" w:color="auto"/>
                        <w:right w:val="none" w:sz="0" w:space="0" w:color="auto"/>
                      </w:divBdr>
                      <w:divsChild>
                        <w:div w:id="526142051">
                          <w:marLeft w:val="0"/>
                          <w:marRight w:val="0"/>
                          <w:marTop w:val="0"/>
                          <w:marBottom w:val="0"/>
                          <w:divBdr>
                            <w:top w:val="none" w:sz="0" w:space="0" w:color="auto"/>
                            <w:left w:val="none" w:sz="0" w:space="0" w:color="auto"/>
                            <w:bottom w:val="none" w:sz="0" w:space="0" w:color="auto"/>
                            <w:right w:val="none" w:sz="0" w:space="0" w:color="auto"/>
                          </w:divBdr>
                        </w:div>
                      </w:divsChild>
                    </w:div>
                    <w:div w:id="1422990953">
                      <w:marLeft w:val="0"/>
                      <w:marRight w:val="0"/>
                      <w:marTop w:val="0"/>
                      <w:marBottom w:val="0"/>
                      <w:divBdr>
                        <w:top w:val="none" w:sz="0" w:space="0" w:color="auto"/>
                        <w:left w:val="none" w:sz="0" w:space="0" w:color="auto"/>
                        <w:bottom w:val="none" w:sz="0" w:space="0" w:color="auto"/>
                        <w:right w:val="none" w:sz="0" w:space="0" w:color="auto"/>
                      </w:divBdr>
                      <w:divsChild>
                        <w:div w:id="1673609276">
                          <w:marLeft w:val="0"/>
                          <w:marRight w:val="0"/>
                          <w:marTop w:val="0"/>
                          <w:marBottom w:val="0"/>
                          <w:divBdr>
                            <w:top w:val="none" w:sz="0" w:space="0" w:color="auto"/>
                            <w:left w:val="none" w:sz="0" w:space="0" w:color="auto"/>
                            <w:bottom w:val="none" w:sz="0" w:space="0" w:color="auto"/>
                            <w:right w:val="none" w:sz="0" w:space="0" w:color="auto"/>
                          </w:divBdr>
                        </w:div>
                      </w:divsChild>
                    </w:div>
                    <w:div w:id="1432703872">
                      <w:marLeft w:val="0"/>
                      <w:marRight w:val="0"/>
                      <w:marTop w:val="0"/>
                      <w:marBottom w:val="0"/>
                      <w:divBdr>
                        <w:top w:val="none" w:sz="0" w:space="0" w:color="auto"/>
                        <w:left w:val="none" w:sz="0" w:space="0" w:color="auto"/>
                        <w:bottom w:val="none" w:sz="0" w:space="0" w:color="auto"/>
                        <w:right w:val="none" w:sz="0" w:space="0" w:color="auto"/>
                      </w:divBdr>
                      <w:divsChild>
                        <w:div w:id="906648638">
                          <w:marLeft w:val="0"/>
                          <w:marRight w:val="0"/>
                          <w:marTop w:val="0"/>
                          <w:marBottom w:val="0"/>
                          <w:divBdr>
                            <w:top w:val="none" w:sz="0" w:space="0" w:color="auto"/>
                            <w:left w:val="none" w:sz="0" w:space="0" w:color="auto"/>
                            <w:bottom w:val="none" w:sz="0" w:space="0" w:color="auto"/>
                            <w:right w:val="none" w:sz="0" w:space="0" w:color="auto"/>
                          </w:divBdr>
                        </w:div>
                      </w:divsChild>
                    </w:div>
                    <w:div w:id="1448960801">
                      <w:marLeft w:val="0"/>
                      <w:marRight w:val="0"/>
                      <w:marTop w:val="0"/>
                      <w:marBottom w:val="0"/>
                      <w:divBdr>
                        <w:top w:val="none" w:sz="0" w:space="0" w:color="auto"/>
                        <w:left w:val="none" w:sz="0" w:space="0" w:color="auto"/>
                        <w:bottom w:val="none" w:sz="0" w:space="0" w:color="auto"/>
                        <w:right w:val="none" w:sz="0" w:space="0" w:color="auto"/>
                      </w:divBdr>
                      <w:divsChild>
                        <w:div w:id="1275596900">
                          <w:marLeft w:val="0"/>
                          <w:marRight w:val="0"/>
                          <w:marTop w:val="0"/>
                          <w:marBottom w:val="0"/>
                          <w:divBdr>
                            <w:top w:val="none" w:sz="0" w:space="0" w:color="auto"/>
                            <w:left w:val="none" w:sz="0" w:space="0" w:color="auto"/>
                            <w:bottom w:val="none" w:sz="0" w:space="0" w:color="auto"/>
                            <w:right w:val="none" w:sz="0" w:space="0" w:color="auto"/>
                          </w:divBdr>
                        </w:div>
                      </w:divsChild>
                    </w:div>
                    <w:div w:id="1470853743">
                      <w:marLeft w:val="0"/>
                      <w:marRight w:val="0"/>
                      <w:marTop w:val="0"/>
                      <w:marBottom w:val="0"/>
                      <w:divBdr>
                        <w:top w:val="none" w:sz="0" w:space="0" w:color="auto"/>
                        <w:left w:val="none" w:sz="0" w:space="0" w:color="auto"/>
                        <w:bottom w:val="none" w:sz="0" w:space="0" w:color="auto"/>
                        <w:right w:val="none" w:sz="0" w:space="0" w:color="auto"/>
                      </w:divBdr>
                      <w:divsChild>
                        <w:div w:id="1912227630">
                          <w:marLeft w:val="0"/>
                          <w:marRight w:val="0"/>
                          <w:marTop w:val="0"/>
                          <w:marBottom w:val="0"/>
                          <w:divBdr>
                            <w:top w:val="none" w:sz="0" w:space="0" w:color="auto"/>
                            <w:left w:val="none" w:sz="0" w:space="0" w:color="auto"/>
                            <w:bottom w:val="none" w:sz="0" w:space="0" w:color="auto"/>
                            <w:right w:val="none" w:sz="0" w:space="0" w:color="auto"/>
                          </w:divBdr>
                        </w:div>
                      </w:divsChild>
                    </w:div>
                    <w:div w:id="1474370987">
                      <w:marLeft w:val="0"/>
                      <w:marRight w:val="0"/>
                      <w:marTop w:val="0"/>
                      <w:marBottom w:val="0"/>
                      <w:divBdr>
                        <w:top w:val="none" w:sz="0" w:space="0" w:color="auto"/>
                        <w:left w:val="none" w:sz="0" w:space="0" w:color="auto"/>
                        <w:bottom w:val="none" w:sz="0" w:space="0" w:color="auto"/>
                        <w:right w:val="none" w:sz="0" w:space="0" w:color="auto"/>
                      </w:divBdr>
                      <w:divsChild>
                        <w:div w:id="1654219955">
                          <w:marLeft w:val="0"/>
                          <w:marRight w:val="0"/>
                          <w:marTop w:val="0"/>
                          <w:marBottom w:val="0"/>
                          <w:divBdr>
                            <w:top w:val="none" w:sz="0" w:space="0" w:color="auto"/>
                            <w:left w:val="none" w:sz="0" w:space="0" w:color="auto"/>
                            <w:bottom w:val="none" w:sz="0" w:space="0" w:color="auto"/>
                            <w:right w:val="none" w:sz="0" w:space="0" w:color="auto"/>
                          </w:divBdr>
                        </w:div>
                      </w:divsChild>
                    </w:div>
                    <w:div w:id="1475222122">
                      <w:marLeft w:val="0"/>
                      <w:marRight w:val="0"/>
                      <w:marTop w:val="0"/>
                      <w:marBottom w:val="0"/>
                      <w:divBdr>
                        <w:top w:val="none" w:sz="0" w:space="0" w:color="auto"/>
                        <w:left w:val="none" w:sz="0" w:space="0" w:color="auto"/>
                        <w:bottom w:val="none" w:sz="0" w:space="0" w:color="auto"/>
                        <w:right w:val="none" w:sz="0" w:space="0" w:color="auto"/>
                      </w:divBdr>
                      <w:divsChild>
                        <w:div w:id="1716927281">
                          <w:marLeft w:val="0"/>
                          <w:marRight w:val="0"/>
                          <w:marTop w:val="0"/>
                          <w:marBottom w:val="0"/>
                          <w:divBdr>
                            <w:top w:val="none" w:sz="0" w:space="0" w:color="auto"/>
                            <w:left w:val="none" w:sz="0" w:space="0" w:color="auto"/>
                            <w:bottom w:val="none" w:sz="0" w:space="0" w:color="auto"/>
                            <w:right w:val="none" w:sz="0" w:space="0" w:color="auto"/>
                          </w:divBdr>
                        </w:div>
                      </w:divsChild>
                    </w:div>
                    <w:div w:id="1477647757">
                      <w:marLeft w:val="0"/>
                      <w:marRight w:val="0"/>
                      <w:marTop w:val="0"/>
                      <w:marBottom w:val="0"/>
                      <w:divBdr>
                        <w:top w:val="none" w:sz="0" w:space="0" w:color="auto"/>
                        <w:left w:val="none" w:sz="0" w:space="0" w:color="auto"/>
                        <w:bottom w:val="none" w:sz="0" w:space="0" w:color="auto"/>
                        <w:right w:val="none" w:sz="0" w:space="0" w:color="auto"/>
                      </w:divBdr>
                      <w:divsChild>
                        <w:div w:id="164323580">
                          <w:marLeft w:val="0"/>
                          <w:marRight w:val="0"/>
                          <w:marTop w:val="0"/>
                          <w:marBottom w:val="0"/>
                          <w:divBdr>
                            <w:top w:val="none" w:sz="0" w:space="0" w:color="auto"/>
                            <w:left w:val="none" w:sz="0" w:space="0" w:color="auto"/>
                            <w:bottom w:val="none" w:sz="0" w:space="0" w:color="auto"/>
                            <w:right w:val="none" w:sz="0" w:space="0" w:color="auto"/>
                          </w:divBdr>
                        </w:div>
                      </w:divsChild>
                    </w:div>
                    <w:div w:id="1483622530">
                      <w:marLeft w:val="0"/>
                      <w:marRight w:val="0"/>
                      <w:marTop w:val="0"/>
                      <w:marBottom w:val="0"/>
                      <w:divBdr>
                        <w:top w:val="none" w:sz="0" w:space="0" w:color="auto"/>
                        <w:left w:val="none" w:sz="0" w:space="0" w:color="auto"/>
                        <w:bottom w:val="none" w:sz="0" w:space="0" w:color="auto"/>
                        <w:right w:val="none" w:sz="0" w:space="0" w:color="auto"/>
                      </w:divBdr>
                      <w:divsChild>
                        <w:div w:id="1767844936">
                          <w:marLeft w:val="0"/>
                          <w:marRight w:val="0"/>
                          <w:marTop w:val="0"/>
                          <w:marBottom w:val="0"/>
                          <w:divBdr>
                            <w:top w:val="none" w:sz="0" w:space="0" w:color="auto"/>
                            <w:left w:val="none" w:sz="0" w:space="0" w:color="auto"/>
                            <w:bottom w:val="none" w:sz="0" w:space="0" w:color="auto"/>
                            <w:right w:val="none" w:sz="0" w:space="0" w:color="auto"/>
                          </w:divBdr>
                        </w:div>
                      </w:divsChild>
                    </w:div>
                    <w:div w:id="1512525946">
                      <w:marLeft w:val="0"/>
                      <w:marRight w:val="0"/>
                      <w:marTop w:val="0"/>
                      <w:marBottom w:val="0"/>
                      <w:divBdr>
                        <w:top w:val="none" w:sz="0" w:space="0" w:color="auto"/>
                        <w:left w:val="none" w:sz="0" w:space="0" w:color="auto"/>
                        <w:bottom w:val="none" w:sz="0" w:space="0" w:color="auto"/>
                        <w:right w:val="none" w:sz="0" w:space="0" w:color="auto"/>
                      </w:divBdr>
                      <w:divsChild>
                        <w:div w:id="1492519759">
                          <w:marLeft w:val="0"/>
                          <w:marRight w:val="0"/>
                          <w:marTop w:val="0"/>
                          <w:marBottom w:val="0"/>
                          <w:divBdr>
                            <w:top w:val="none" w:sz="0" w:space="0" w:color="auto"/>
                            <w:left w:val="none" w:sz="0" w:space="0" w:color="auto"/>
                            <w:bottom w:val="none" w:sz="0" w:space="0" w:color="auto"/>
                            <w:right w:val="none" w:sz="0" w:space="0" w:color="auto"/>
                          </w:divBdr>
                        </w:div>
                      </w:divsChild>
                    </w:div>
                    <w:div w:id="1545555035">
                      <w:marLeft w:val="0"/>
                      <w:marRight w:val="0"/>
                      <w:marTop w:val="0"/>
                      <w:marBottom w:val="0"/>
                      <w:divBdr>
                        <w:top w:val="none" w:sz="0" w:space="0" w:color="auto"/>
                        <w:left w:val="none" w:sz="0" w:space="0" w:color="auto"/>
                        <w:bottom w:val="none" w:sz="0" w:space="0" w:color="auto"/>
                        <w:right w:val="none" w:sz="0" w:space="0" w:color="auto"/>
                      </w:divBdr>
                      <w:divsChild>
                        <w:div w:id="495728636">
                          <w:marLeft w:val="0"/>
                          <w:marRight w:val="0"/>
                          <w:marTop w:val="0"/>
                          <w:marBottom w:val="0"/>
                          <w:divBdr>
                            <w:top w:val="none" w:sz="0" w:space="0" w:color="auto"/>
                            <w:left w:val="none" w:sz="0" w:space="0" w:color="auto"/>
                            <w:bottom w:val="none" w:sz="0" w:space="0" w:color="auto"/>
                            <w:right w:val="none" w:sz="0" w:space="0" w:color="auto"/>
                          </w:divBdr>
                        </w:div>
                      </w:divsChild>
                    </w:div>
                    <w:div w:id="1550218631">
                      <w:marLeft w:val="0"/>
                      <w:marRight w:val="0"/>
                      <w:marTop w:val="0"/>
                      <w:marBottom w:val="0"/>
                      <w:divBdr>
                        <w:top w:val="none" w:sz="0" w:space="0" w:color="auto"/>
                        <w:left w:val="none" w:sz="0" w:space="0" w:color="auto"/>
                        <w:bottom w:val="none" w:sz="0" w:space="0" w:color="auto"/>
                        <w:right w:val="none" w:sz="0" w:space="0" w:color="auto"/>
                      </w:divBdr>
                      <w:divsChild>
                        <w:div w:id="713582204">
                          <w:marLeft w:val="0"/>
                          <w:marRight w:val="0"/>
                          <w:marTop w:val="0"/>
                          <w:marBottom w:val="0"/>
                          <w:divBdr>
                            <w:top w:val="none" w:sz="0" w:space="0" w:color="auto"/>
                            <w:left w:val="none" w:sz="0" w:space="0" w:color="auto"/>
                            <w:bottom w:val="none" w:sz="0" w:space="0" w:color="auto"/>
                            <w:right w:val="none" w:sz="0" w:space="0" w:color="auto"/>
                          </w:divBdr>
                        </w:div>
                      </w:divsChild>
                    </w:div>
                    <w:div w:id="1599870026">
                      <w:marLeft w:val="0"/>
                      <w:marRight w:val="0"/>
                      <w:marTop w:val="0"/>
                      <w:marBottom w:val="0"/>
                      <w:divBdr>
                        <w:top w:val="none" w:sz="0" w:space="0" w:color="auto"/>
                        <w:left w:val="none" w:sz="0" w:space="0" w:color="auto"/>
                        <w:bottom w:val="none" w:sz="0" w:space="0" w:color="auto"/>
                        <w:right w:val="none" w:sz="0" w:space="0" w:color="auto"/>
                      </w:divBdr>
                      <w:divsChild>
                        <w:div w:id="685982627">
                          <w:marLeft w:val="0"/>
                          <w:marRight w:val="0"/>
                          <w:marTop w:val="0"/>
                          <w:marBottom w:val="0"/>
                          <w:divBdr>
                            <w:top w:val="none" w:sz="0" w:space="0" w:color="auto"/>
                            <w:left w:val="none" w:sz="0" w:space="0" w:color="auto"/>
                            <w:bottom w:val="none" w:sz="0" w:space="0" w:color="auto"/>
                            <w:right w:val="none" w:sz="0" w:space="0" w:color="auto"/>
                          </w:divBdr>
                        </w:div>
                      </w:divsChild>
                    </w:div>
                    <w:div w:id="1601521390">
                      <w:marLeft w:val="0"/>
                      <w:marRight w:val="0"/>
                      <w:marTop w:val="0"/>
                      <w:marBottom w:val="0"/>
                      <w:divBdr>
                        <w:top w:val="none" w:sz="0" w:space="0" w:color="auto"/>
                        <w:left w:val="none" w:sz="0" w:space="0" w:color="auto"/>
                        <w:bottom w:val="none" w:sz="0" w:space="0" w:color="auto"/>
                        <w:right w:val="none" w:sz="0" w:space="0" w:color="auto"/>
                      </w:divBdr>
                      <w:divsChild>
                        <w:div w:id="1337609457">
                          <w:marLeft w:val="0"/>
                          <w:marRight w:val="0"/>
                          <w:marTop w:val="0"/>
                          <w:marBottom w:val="0"/>
                          <w:divBdr>
                            <w:top w:val="none" w:sz="0" w:space="0" w:color="auto"/>
                            <w:left w:val="none" w:sz="0" w:space="0" w:color="auto"/>
                            <w:bottom w:val="none" w:sz="0" w:space="0" w:color="auto"/>
                            <w:right w:val="none" w:sz="0" w:space="0" w:color="auto"/>
                          </w:divBdr>
                        </w:div>
                      </w:divsChild>
                    </w:div>
                    <w:div w:id="1601715670">
                      <w:marLeft w:val="0"/>
                      <w:marRight w:val="0"/>
                      <w:marTop w:val="0"/>
                      <w:marBottom w:val="0"/>
                      <w:divBdr>
                        <w:top w:val="none" w:sz="0" w:space="0" w:color="auto"/>
                        <w:left w:val="none" w:sz="0" w:space="0" w:color="auto"/>
                        <w:bottom w:val="none" w:sz="0" w:space="0" w:color="auto"/>
                        <w:right w:val="none" w:sz="0" w:space="0" w:color="auto"/>
                      </w:divBdr>
                      <w:divsChild>
                        <w:div w:id="110706748">
                          <w:marLeft w:val="0"/>
                          <w:marRight w:val="0"/>
                          <w:marTop w:val="0"/>
                          <w:marBottom w:val="0"/>
                          <w:divBdr>
                            <w:top w:val="none" w:sz="0" w:space="0" w:color="auto"/>
                            <w:left w:val="none" w:sz="0" w:space="0" w:color="auto"/>
                            <w:bottom w:val="none" w:sz="0" w:space="0" w:color="auto"/>
                            <w:right w:val="none" w:sz="0" w:space="0" w:color="auto"/>
                          </w:divBdr>
                        </w:div>
                      </w:divsChild>
                    </w:div>
                    <w:div w:id="1701543295">
                      <w:marLeft w:val="0"/>
                      <w:marRight w:val="0"/>
                      <w:marTop w:val="0"/>
                      <w:marBottom w:val="0"/>
                      <w:divBdr>
                        <w:top w:val="none" w:sz="0" w:space="0" w:color="auto"/>
                        <w:left w:val="none" w:sz="0" w:space="0" w:color="auto"/>
                        <w:bottom w:val="none" w:sz="0" w:space="0" w:color="auto"/>
                        <w:right w:val="none" w:sz="0" w:space="0" w:color="auto"/>
                      </w:divBdr>
                      <w:divsChild>
                        <w:div w:id="251016298">
                          <w:marLeft w:val="0"/>
                          <w:marRight w:val="0"/>
                          <w:marTop w:val="0"/>
                          <w:marBottom w:val="0"/>
                          <w:divBdr>
                            <w:top w:val="none" w:sz="0" w:space="0" w:color="auto"/>
                            <w:left w:val="none" w:sz="0" w:space="0" w:color="auto"/>
                            <w:bottom w:val="none" w:sz="0" w:space="0" w:color="auto"/>
                            <w:right w:val="none" w:sz="0" w:space="0" w:color="auto"/>
                          </w:divBdr>
                        </w:div>
                      </w:divsChild>
                    </w:div>
                    <w:div w:id="1762019050">
                      <w:marLeft w:val="0"/>
                      <w:marRight w:val="0"/>
                      <w:marTop w:val="0"/>
                      <w:marBottom w:val="0"/>
                      <w:divBdr>
                        <w:top w:val="none" w:sz="0" w:space="0" w:color="auto"/>
                        <w:left w:val="none" w:sz="0" w:space="0" w:color="auto"/>
                        <w:bottom w:val="none" w:sz="0" w:space="0" w:color="auto"/>
                        <w:right w:val="none" w:sz="0" w:space="0" w:color="auto"/>
                      </w:divBdr>
                      <w:divsChild>
                        <w:div w:id="385185766">
                          <w:marLeft w:val="0"/>
                          <w:marRight w:val="0"/>
                          <w:marTop w:val="0"/>
                          <w:marBottom w:val="0"/>
                          <w:divBdr>
                            <w:top w:val="none" w:sz="0" w:space="0" w:color="auto"/>
                            <w:left w:val="none" w:sz="0" w:space="0" w:color="auto"/>
                            <w:bottom w:val="none" w:sz="0" w:space="0" w:color="auto"/>
                            <w:right w:val="none" w:sz="0" w:space="0" w:color="auto"/>
                          </w:divBdr>
                        </w:div>
                      </w:divsChild>
                    </w:div>
                    <w:div w:id="1768116084">
                      <w:marLeft w:val="0"/>
                      <w:marRight w:val="0"/>
                      <w:marTop w:val="0"/>
                      <w:marBottom w:val="0"/>
                      <w:divBdr>
                        <w:top w:val="none" w:sz="0" w:space="0" w:color="auto"/>
                        <w:left w:val="none" w:sz="0" w:space="0" w:color="auto"/>
                        <w:bottom w:val="none" w:sz="0" w:space="0" w:color="auto"/>
                        <w:right w:val="none" w:sz="0" w:space="0" w:color="auto"/>
                      </w:divBdr>
                      <w:divsChild>
                        <w:div w:id="2079402390">
                          <w:marLeft w:val="0"/>
                          <w:marRight w:val="0"/>
                          <w:marTop w:val="0"/>
                          <w:marBottom w:val="0"/>
                          <w:divBdr>
                            <w:top w:val="none" w:sz="0" w:space="0" w:color="auto"/>
                            <w:left w:val="none" w:sz="0" w:space="0" w:color="auto"/>
                            <w:bottom w:val="none" w:sz="0" w:space="0" w:color="auto"/>
                            <w:right w:val="none" w:sz="0" w:space="0" w:color="auto"/>
                          </w:divBdr>
                        </w:div>
                      </w:divsChild>
                    </w:div>
                    <w:div w:id="1769034103">
                      <w:marLeft w:val="0"/>
                      <w:marRight w:val="0"/>
                      <w:marTop w:val="0"/>
                      <w:marBottom w:val="0"/>
                      <w:divBdr>
                        <w:top w:val="none" w:sz="0" w:space="0" w:color="auto"/>
                        <w:left w:val="none" w:sz="0" w:space="0" w:color="auto"/>
                        <w:bottom w:val="none" w:sz="0" w:space="0" w:color="auto"/>
                        <w:right w:val="none" w:sz="0" w:space="0" w:color="auto"/>
                      </w:divBdr>
                      <w:divsChild>
                        <w:div w:id="1475026215">
                          <w:marLeft w:val="0"/>
                          <w:marRight w:val="0"/>
                          <w:marTop w:val="0"/>
                          <w:marBottom w:val="0"/>
                          <w:divBdr>
                            <w:top w:val="none" w:sz="0" w:space="0" w:color="auto"/>
                            <w:left w:val="none" w:sz="0" w:space="0" w:color="auto"/>
                            <w:bottom w:val="none" w:sz="0" w:space="0" w:color="auto"/>
                            <w:right w:val="none" w:sz="0" w:space="0" w:color="auto"/>
                          </w:divBdr>
                        </w:div>
                      </w:divsChild>
                    </w:div>
                    <w:div w:id="1782920349">
                      <w:marLeft w:val="0"/>
                      <w:marRight w:val="0"/>
                      <w:marTop w:val="0"/>
                      <w:marBottom w:val="0"/>
                      <w:divBdr>
                        <w:top w:val="none" w:sz="0" w:space="0" w:color="auto"/>
                        <w:left w:val="none" w:sz="0" w:space="0" w:color="auto"/>
                        <w:bottom w:val="none" w:sz="0" w:space="0" w:color="auto"/>
                        <w:right w:val="none" w:sz="0" w:space="0" w:color="auto"/>
                      </w:divBdr>
                      <w:divsChild>
                        <w:div w:id="477697685">
                          <w:marLeft w:val="0"/>
                          <w:marRight w:val="0"/>
                          <w:marTop w:val="0"/>
                          <w:marBottom w:val="0"/>
                          <w:divBdr>
                            <w:top w:val="none" w:sz="0" w:space="0" w:color="auto"/>
                            <w:left w:val="none" w:sz="0" w:space="0" w:color="auto"/>
                            <w:bottom w:val="none" w:sz="0" w:space="0" w:color="auto"/>
                            <w:right w:val="none" w:sz="0" w:space="0" w:color="auto"/>
                          </w:divBdr>
                        </w:div>
                      </w:divsChild>
                    </w:div>
                    <w:div w:id="1786459347">
                      <w:marLeft w:val="0"/>
                      <w:marRight w:val="0"/>
                      <w:marTop w:val="0"/>
                      <w:marBottom w:val="0"/>
                      <w:divBdr>
                        <w:top w:val="none" w:sz="0" w:space="0" w:color="auto"/>
                        <w:left w:val="none" w:sz="0" w:space="0" w:color="auto"/>
                        <w:bottom w:val="none" w:sz="0" w:space="0" w:color="auto"/>
                        <w:right w:val="none" w:sz="0" w:space="0" w:color="auto"/>
                      </w:divBdr>
                      <w:divsChild>
                        <w:div w:id="857934391">
                          <w:marLeft w:val="0"/>
                          <w:marRight w:val="0"/>
                          <w:marTop w:val="0"/>
                          <w:marBottom w:val="0"/>
                          <w:divBdr>
                            <w:top w:val="none" w:sz="0" w:space="0" w:color="auto"/>
                            <w:left w:val="none" w:sz="0" w:space="0" w:color="auto"/>
                            <w:bottom w:val="none" w:sz="0" w:space="0" w:color="auto"/>
                            <w:right w:val="none" w:sz="0" w:space="0" w:color="auto"/>
                          </w:divBdr>
                        </w:div>
                      </w:divsChild>
                    </w:div>
                    <w:div w:id="1795715374">
                      <w:marLeft w:val="0"/>
                      <w:marRight w:val="0"/>
                      <w:marTop w:val="0"/>
                      <w:marBottom w:val="0"/>
                      <w:divBdr>
                        <w:top w:val="none" w:sz="0" w:space="0" w:color="auto"/>
                        <w:left w:val="none" w:sz="0" w:space="0" w:color="auto"/>
                        <w:bottom w:val="none" w:sz="0" w:space="0" w:color="auto"/>
                        <w:right w:val="none" w:sz="0" w:space="0" w:color="auto"/>
                      </w:divBdr>
                      <w:divsChild>
                        <w:div w:id="904728016">
                          <w:marLeft w:val="0"/>
                          <w:marRight w:val="0"/>
                          <w:marTop w:val="0"/>
                          <w:marBottom w:val="0"/>
                          <w:divBdr>
                            <w:top w:val="none" w:sz="0" w:space="0" w:color="auto"/>
                            <w:left w:val="none" w:sz="0" w:space="0" w:color="auto"/>
                            <w:bottom w:val="none" w:sz="0" w:space="0" w:color="auto"/>
                            <w:right w:val="none" w:sz="0" w:space="0" w:color="auto"/>
                          </w:divBdr>
                        </w:div>
                      </w:divsChild>
                    </w:div>
                    <w:div w:id="1809128561">
                      <w:marLeft w:val="0"/>
                      <w:marRight w:val="0"/>
                      <w:marTop w:val="0"/>
                      <w:marBottom w:val="0"/>
                      <w:divBdr>
                        <w:top w:val="none" w:sz="0" w:space="0" w:color="auto"/>
                        <w:left w:val="none" w:sz="0" w:space="0" w:color="auto"/>
                        <w:bottom w:val="none" w:sz="0" w:space="0" w:color="auto"/>
                        <w:right w:val="none" w:sz="0" w:space="0" w:color="auto"/>
                      </w:divBdr>
                      <w:divsChild>
                        <w:div w:id="940912976">
                          <w:marLeft w:val="0"/>
                          <w:marRight w:val="0"/>
                          <w:marTop w:val="0"/>
                          <w:marBottom w:val="0"/>
                          <w:divBdr>
                            <w:top w:val="none" w:sz="0" w:space="0" w:color="auto"/>
                            <w:left w:val="none" w:sz="0" w:space="0" w:color="auto"/>
                            <w:bottom w:val="none" w:sz="0" w:space="0" w:color="auto"/>
                            <w:right w:val="none" w:sz="0" w:space="0" w:color="auto"/>
                          </w:divBdr>
                        </w:div>
                      </w:divsChild>
                    </w:div>
                    <w:div w:id="1820152633">
                      <w:marLeft w:val="0"/>
                      <w:marRight w:val="0"/>
                      <w:marTop w:val="0"/>
                      <w:marBottom w:val="0"/>
                      <w:divBdr>
                        <w:top w:val="none" w:sz="0" w:space="0" w:color="auto"/>
                        <w:left w:val="none" w:sz="0" w:space="0" w:color="auto"/>
                        <w:bottom w:val="none" w:sz="0" w:space="0" w:color="auto"/>
                        <w:right w:val="none" w:sz="0" w:space="0" w:color="auto"/>
                      </w:divBdr>
                      <w:divsChild>
                        <w:div w:id="1258827689">
                          <w:marLeft w:val="0"/>
                          <w:marRight w:val="0"/>
                          <w:marTop w:val="0"/>
                          <w:marBottom w:val="0"/>
                          <w:divBdr>
                            <w:top w:val="none" w:sz="0" w:space="0" w:color="auto"/>
                            <w:left w:val="none" w:sz="0" w:space="0" w:color="auto"/>
                            <w:bottom w:val="none" w:sz="0" w:space="0" w:color="auto"/>
                            <w:right w:val="none" w:sz="0" w:space="0" w:color="auto"/>
                          </w:divBdr>
                        </w:div>
                      </w:divsChild>
                    </w:div>
                    <w:div w:id="1831873103">
                      <w:marLeft w:val="0"/>
                      <w:marRight w:val="0"/>
                      <w:marTop w:val="0"/>
                      <w:marBottom w:val="0"/>
                      <w:divBdr>
                        <w:top w:val="none" w:sz="0" w:space="0" w:color="auto"/>
                        <w:left w:val="none" w:sz="0" w:space="0" w:color="auto"/>
                        <w:bottom w:val="none" w:sz="0" w:space="0" w:color="auto"/>
                        <w:right w:val="none" w:sz="0" w:space="0" w:color="auto"/>
                      </w:divBdr>
                      <w:divsChild>
                        <w:div w:id="747926826">
                          <w:marLeft w:val="0"/>
                          <w:marRight w:val="0"/>
                          <w:marTop w:val="0"/>
                          <w:marBottom w:val="0"/>
                          <w:divBdr>
                            <w:top w:val="none" w:sz="0" w:space="0" w:color="auto"/>
                            <w:left w:val="none" w:sz="0" w:space="0" w:color="auto"/>
                            <w:bottom w:val="none" w:sz="0" w:space="0" w:color="auto"/>
                            <w:right w:val="none" w:sz="0" w:space="0" w:color="auto"/>
                          </w:divBdr>
                        </w:div>
                      </w:divsChild>
                    </w:div>
                    <w:div w:id="1833989502">
                      <w:marLeft w:val="0"/>
                      <w:marRight w:val="0"/>
                      <w:marTop w:val="0"/>
                      <w:marBottom w:val="0"/>
                      <w:divBdr>
                        <w:top w:val="none" w:sz="0" w:space="0" w:color="auto"/>
                        <w:left w:val="none" w:sz="0" w:space="0" w:color="auto"/>
                        <w:bottom w:val="none" w:sz="0" w:space="0" w:color="auto"/>
                        <w:right w:val="none" w:sz="0" w:space="0" w:color="auto"/>
                      </w:divBdr>
                      <w:divsChild>
                        <w:div w:id="2138571172">
                          <w:marLeft w:val="0"/>
                          <w:marRight w:val="0"/>
                          <w:marTop w:val="0"/>
                          <w:marBottom w:val="0"/>
                          <w:divBdr>
                            <w:top w:val="none" w:sz="0" w:space="0" w:color="auto"/>
                            <w:left w:val="none" w:sz="0" w:space="0" w:color="auto"/>
                            <w:bottom w:val="none" w:sz="0" w:space="0" w:color="auto"/>
                            <w:right w:val="none" w:sz="0" w:space="0" w:color="auto"/>
                          </w:divBdr>
                        </w:div>
                      </w:divsChild>
                    </w:div>
                    <w:div w:id="1856459449">
                      <w:marLeft w:val="0"/>
                      <w:marRight w:val="0"/>
                      <w:marTop w:val="0"/>
                      <w:marBottom w:val="0"/>
                      <w:divBdr>
                        <w:top w:val="none" w:sz="0" w:space="0" w:color="auto"/>
                        <w:left w:val="none" w:sz="0" w:space="0" w:color="auto"/>
                        <w:bottom w:val="none" w:sz="0" w:space="0" w:color="auto"/>
                        <w:right w:val="none" w:sz="0" w:space="0" w:color="auto"/>
                      </w:divBdr>
                      <w:divsChild>
                        <w:div w:id="1868831405">
                          <w:marLeft w:val="0"/>
                          <w:marRight w:val="0"/>
                          <w:marTop w:val="0"/>
                          <w:marBottom w:val="0"/>
                          <w:divBdr>
                            <w:top w:val="none" w:sz="0" w:space="0" w:color="auto"/>
                            <w:left w:val="none" w:sz="0" w:space="0" w:color="auto"/>
                            <w:bottom w:val="none" w:sz="0" w:space="0" w:color="auto"/>
                            <w:right w:val="none" w:sz="0" w:space="0" w:color="auto"/>
                          </w:divBdr>
                        </w:div>
                      </w:divsChild>
                    </w:div>
                    <w:div w:id="1875384139">
                      <w:marLeft w:val="0"/>
                      <w:marRight w:val="0"/>
                      <w:marTop w:val="0"/>
                      <w:marBottom w:val="0"/>
                      <w:divBdr>
                        <w:top w:val="none" w:sz="0" w:space="0" w:color="auto"/>
                        <w:left w:val="none" w:sz="0" w:space="0" w:color="auto"/>
                        <w:bottom w:val="none" w:sz="0" w:space="0" w:color="auto"/>
                        <w:right w:val="none" w:sz="0" w:space="0" w:color="auto"/>
                      </w:divBdr>
                      <w:divsChild>
                        <w:div w:id="1890334954">
                          <w:marLeft w:val="0"/>
                          <w:marRight w:val="0"/>
                          <w:marTop w:val="0"/>
                          <w:marBottom w:val="0"/>
                          <w:divBdr>
                            <w:top w:val="none" w:sz="0" w:space="0" w:color="auto"/>
                            <w:left w:val="none" w:sz="0" w:space="0" w:color="auto"/>
                            <w:bottom w:val="none" w:sz="0" w:space="0" w:color="auto"/>
                            <w:right w:val="none" w:sz="0" w:space="0" w:color="auto"/>
                          </w:divBdr>
                        </w:div>
                      </w:divsChild>
                    </w:div>
                    <w:div w:id="1884825231">
                      <w:marLeft w:val="0"/>
                      <w:marRight w:val="0"/>
                      <w:marTop w:val="0"/>
                      <w:marBottom w:val="0"/>
                      <w:divBdr>
                        <w:top w:val="none" w:sz="0" w:space="0" w:color="auto"/>
                        <w:left w:val="none" w:sz="0" w:space="0" w:color="auto"/>
                        <w:bottom w:val="none" w:sz="0" w:space="0" w:color="auto"/>
                        <w:right w:val="none" w:sz="0" w:space="0" w:color="auto"/>
                      </w:divBdr>
                      <w:divsChild>
                        <w:div w:id="949242464">
                          <w:marLeft w:val="0"/>
                          <w:marRight w:val="0"/>
                          <w:marTop w:val="0"/>
                          <w:marBottom w:val="0"/>
                          <w:divBdr>
                            <w:top w:val="none" w:sz="0" w:space="0" w:color="auto"/>
                            <w:left w:val="none" w:sz="0" w:space="0" w:color="auto"/>
                            <w:bottom w:val="none" w:sz="0" w:space="0" w:color="auto"/>
                            <w:right w:val="none" w:sz="0" w:space="0" w:color="auto"/>
                          </w:divBdr>
                        </w:div>
                      </w:divsChild>
                    </w:div>
                    <w:div w:id="1891919001">
                      <w:marLeft w:val="0"/>
                      <w:marRight w:val="0"/>
                      <w:marTop w:val="0"/>
                      <w:marBottom w:val="0"/>
                      <w:divBdr>
                        <w:top w:val="none" w:sz="0" w:space="0" w:color="auto"/>
                        <w:left w:val="none" w:sz="0" w:space="0" w:color="auto"/>
                        <w:bottom w:val="none" w:sz="0" w:space="0" w:color="auto"/>
                        <w:right w:val="none" w:sz="0" w:space="0" w:color="auto"/>
                      </w:divBdr>
                      <w:divsChild>
                        <w:div w:id="1706902802">
                          <w:marLeft w:val="0"/>
                          <w:marRight w:val="0"/>
                          <w:marTop w:val="0"/>
                          <w:marBottom w:val="0"/>
                          <w:divBdr>
                            <w:top w:val="none" w:sz="0" w:space="0" w:color="auto"/>
                            <w:left w:val="none" w:sz="0" w:space="0" w:color="auto"/>
                            <w:bottom w:val="none" w:sz="0" w:space="0" w:color="auto"/>
                            <w:right w:val="none" w:sz="0" w:space="0" w:color="auto"/>
                          </w:divBdr>
                        </w:div>
                      </w:divsChild>
                    </w:div>
                    <w:div w:id="1917127011">
                      <w:marLeft w:val="0"/>
                      <w:marRight w:val="0"/>
                      <w:marTop w:val="0"/>
                      <w:marBottom w:val="0"/>
                      <w:divBdr>
                        <w:top w:val="none" w:sz="0" w:space="0" w:color="auto"/>
                        <w:left w:val="none" w:sz="0" w:space="0" w:color="auto"/>
                        <w:bottom w:val="none" w:sz="0" w:space="0" w:color="auto"/>
                        <w:right w:val="none" w:sz="0" w:space="0" w:color="auto"/>
                      </w:divBdr>
                      <w:divsChild>
                        <w:div w:id="1955359374">
                          <w:marLeft w:val="0"/>
                          <w:marRight w:val="0"/>
                          <w:marTop w:val="0"/>
                          <w:marBottom w:val="0"/>
                          <w:divBdr>
                            <w:top w:val="none" w:sz="0" w:space="0" w:color="auto"/>
                            <w:left w:val="none" w:sz="0" w:space="0" w:color="auto"/>
                            <w:bottom w:val="none" w:sz="0" w:space="0" w:color="auto"/>
                            <w:right w:val="none" w:sz="0" w:space="0" w:color="auto"/>
                          </w:divBdr>
                        </w:div>
                      </w:divsChild>
                    </w:div>
                    <w:div w:id="1941066710">
                      <w:marLeft w:val="0"/>
                      <w:marRight w:val="0"/>
                      <w:marTop w:val="0"/>
                      <w:marBottom w:val="0"/>
                      <w:divBdr>
                        <w:top w:val="none" w:sz="0" w:space="0" w:color="auto"/>
                        <w:left w:val="none" w:sz="0" w:space="0" w:color="auto"/>
                        <w:bottom w:val="none" w:sz="0" w:space="0" w:color="auto"/>
                        <w:right w:val="none" w:sz="0" w:space="0" w:color="auto"/>
                      </w:divBdr>
                      <w:divsChild>
                        <w:div w:id="61368080">
                          <w:marLeft w:val="0"/>
                          <w:marRight w:val="0"/>
                          <w:marTop w:val="0"/>
                          <w:marBottom w:val="0"/>
                          <w:divBdr>
                            <w:top w:val="none" w:sz="0" w:space="0" w:color="auto"/>
                            <w:left w:val="none" w:sz="0" w:space="0" w:color="auto"/>
                            <w:bottom w:val="none" w:sz="0" w:space="0" w:color="auto"/>
                            <w:right w:val="none" w:sz="0" w:space="0" w:color="auto"/>
                          </w:divBdr>
                        </w:div>
                      </w:divsChild>
                    </w:div>
                    <w:div w:id="1942763511">
                      <w:marLeft w:val="0"/>
                      <w:marRight w:val="0"/>
                      <w:marTop w:val="0"/>
                      <w:marBottom w:val="0"/>
                      <w:divBdr>
                        <w:top w:val="none" w:sz="0" w:space="0" w:color="auto"/>
                        <w:left w:val="none" w:sz="0" w:space="0" w:color="auto"/>
                        <w:bottom w:val="none" w:sz="0" w:space="0" w:color="auto"/>
                        <w:right w:val="none" w:sz="0" w:space="0" w:color="auto"/>
                      </w:divBdr>
                      <w:divsChild>
                        <w:div w:id="287708615">
                          <w:marLeft w:val="0"/>
                          <w:marRight w:val="0"/>
                          <w:marTop w:val="0"/>
                          <w:marBottom w:val="0"/>
                          <w:divBdr>
                            <w:top w:val="none" w:sz="0" w:space="0" w:color="auto"/>
                            <w:left w:val="none" w:sz="0" w:space="0" w:color="auto"/>
                            <w:bottom w:val="none" w:sz="0" w:space="0" w:color="auto"/>
                            <w:right w:val="none" w:sz="0" w:space="0" w:color="auto"/>
                          </w:divBdr>
                        </w:div>
                      </w:divsChild>
                    </w:div>
                    <w:div w:id="1987708912">
                      <w:marLeft w:val="0"/>
                      <w:marRight w:val="0"/>
                      <w:marTop w:val="0"/>
                      <w:marBottom w:val="0"/>
                      <w:divBdr>
                        <w:top w:val="none" w:sz="0" w:space="0" w:color="auto"/>
                        <w:left w:val="none" w:sz="0" w:space="0" w:color="auto"/>
                        <w:bottom w:val="none" w:sz="0" w:space="0" w:color="auto"/>
                        <w:right w:val="none" w:sz="0" w:space="0" w:color="auto"/>
                      </w:divBdr>
                      <w:divsChild>
                        <w:div w:id="1841693025">
                          <w:marLeft w:val="0"/>
                          <w:marRight w:val="0"/>
                          <w:marTop w:val="0"/>
                          <w:marBottom w:val="0"/>
                          <w:divBdr>
                            <w:top w:val="none" w:sz="0" w:space="0" w:color="auto"/>
                            <w:left w:val="none" w:sz="0" w:space="0" w:color="auto"/>
                            <w:bottom w:val="none" w:sz="0" w:space="0" w:color="auto"/>
                            <w:right w:val="none" w:sz="0" w:space="0" w:color="auto"/>
                          </w:divBdr>
                        </w:div>
                      </w:divsChild>
                    </w:div>
                    <w:div w:id="2000305698">
                      <w:marLeft w:val="0"/>
                      <w:marRight w:val="0"/>
                      <w:marTop w:val="0"/>
                      <w:marBottom w:val="0"/>
                      <w:divBdr>
                        <w:top w:val="none" w:sz="0" w:space="0" w:color="auto"/>
                        <w:left w:val="none" w:sz="0" w:space="0" w:color="auto"/>
                        <w:bottom w:val="none" w:sz="0" w:space="0" w:color="auto"/>
                        <w:right w:val="none" w:sz="0" w:space="0" w:color="auto"/>
                      </w:divBdr>
                      <w:divsChild>
                        <w:div w:id="2092844607">
                          <w:marLeft w:val="0"/>
                          <w:marRight w:val="0"/>
                          <w:marTop w:val="0"/>
                          <w:marBottom w:val="0"/>
                          <w:divBdr>
                            <w:top w:val="none" w:sz="0" w:space="0" w:color="auto"/>
                            <w:left w:val="none" w:sz="0" w:space="0" w:color="auto"/>
                            <w:bottom w:val="none" w:sz="0" w:space="0" w:color="auto"/>
                            <w:right w:val="none" w:sz="0" w:space="0" w:color="auto"/>
                          </w:divBdr>
                        </w:div>
                      </w:divsChild>
                    </w:div>
                    <w:div w:id="2029721562">
                      <w:marLeft w:val="0"/>
                      <w:marRight w:val="0"/>
                      <w:marTop w:val="0"/>
                      <w:marBottom w:val="0"/>
                      <w:divBdr>
                        <w:top w:val="none" w:sz="0" w:space="0" w:color="auto"/>
                        <w:left w:val="none" w:sz="0" w:space="0" w:color="auto"/>
                        <w:bottom w:val="none" w:sz="0" w:space="0" w:color="auto"/>
                        <w:right w:val="none" w:sz="0" w:space="0" w:color="auto"/>
                      </w:divBdr>
                      <w:divsChild>
                        <w:div w:id="1918632790">
                          <w:marLeft w:val="0"/>
                          <w:marRight w:val="0"/>
                          <w:marTop w:val="0"/>
                          <w:marBottom w:val="0"/>
                          <w:divBdr>
                            <w:top w:val="none" w:sz="0" w:space="0" w:color="auto"/>
                            <w:left w:val="none" w:sz="0" w:space="0" w:color="auto"/>
                            <w:bottom w:val="none" w:sz="0" w:space="0" w:color="auto"/>
                            <w:right w:val="none" w:sz="0" w:space="0" w:color="auto"/>
                          </w:divBdr>
                        </w:div>
                      </w:divsChild>
                    </w:div>
                    <w:div w:id="2058387265">
                      <w:marLeft w:val="0"/>
                      <w:marRight w:val="0"/>
                      <w:marTop w:val="0"/>
                      <w:marBottom w:val="0"/>
                      <w:divBdr>
                        <w:top w:val="none" w:sz="0" w:space="0" w:color="auto"/>
                        <w:left w:val="none" w:sz="0" w:space="0" w:color="auto"/>
                        <w:bottom w:val="none" w:sz="0" w:space="0" w:color="auto"/>
                        <w:right w:val="none" w:sz="0" w:space="0" w:color="auto"/>
                      </w:divBdr>
                      <w:divsChild>
                        <w:div w:id="1912344453">
                          <w:marLeft w:val="0"/>
                          <w:marRight w:val="0"/>
                          <w:marTop w:val="0"/>
                          <w:marBottom w:val="0"/>
                          <w:divBdr>
                            <w:top w:val="none" w:sz="0" w:space="0" w:color="auto"/>
                            <w:left w:val="none" w:sz="0" w:space="0" w:color="auto"/>
                            <w:bottom w:val="none" w:sz="0" w:space="0" w:color="auto"/>
                            <w:right w:val="none" w:sz="0" w:space="0" w:color="auto"/>
                          </w:divBdr>
                        </w:div>
                      </w:divsChild>
                    </w:div>
                    <w:div w:id="2091540491">
                      <w:marLeft w:val="0"/>
                      <w:marRight w:val="0"/>
                      <w:marTop w:val="0"/>
                      <w:marBottom w:val="0"/>
                      <w:divBdr>
                        <w:top w:val="none" w:sz="0" w:space="0" w:color="auto"/>
                        <w:left w:val="none" w:sz="0" w:space="0" w:color="auto"/>
                        <w:bottom w:val="none" w:sz="0" w:space="0" w:color="auto"/>
                        <w:right w:val="none" w:sz="0" w:space="0" w:color="auto"/>
                      </w:divBdr>
                      <w:divsChild>
                        <w:div w:id="1364401874">
                          <w:marLeft w:val="0"/>
                          <w:marRight w:val="0"/>
                          <w:marTop w:val="0"/>
                          <w:marBottom w:val="0"/>
                          <w:divBdr>
                            <w:top w:val="none" w:sz="0" w:space="0" w:color="auto"/>
                            <w:left w:val="none" w:sz="0" w:space="0" w:color="auto"/>
                            <w:bottom w:val="none" w:sz="0" w:space="0" w:color="auto"/>
                            <w:right w:val="none" w:sz="0" w:space="0" w:color="auto"/>
                          </w:divBdr>
                        </w:div>
                      </w:divsChild>
                    </w:div>
                    <w:div w:id="2102025947">
                      <w:marLeft w:val="0"/>
                      <w:marRight w:val="0"/>
                      <w:marTop w:val="0"/>
                      <w:marBottom w:val="0"/>
                      <w:divBdr>
                        <w:top w:val="none" w:sz="0" w:space="0" w:color="auto"/>
                        <w:left w:val="none" w:sz="0" w:space="0" w:color="auto"/>
                        <w:bottom w:val="none" w:sz="0" w:space="0" w:color="auto"/>
                        <w:right w:val="none" w:sz="0" w:space="0" w:color="auto"/>
                      </w:divBdr>
                      <w:divsChild>
                        <w:div w:id="1078404866">
                          <w:marLeft w:val="0"/>
                          <w:marRight w:val="0"/>
                          <w:marTop w:val="0"/>
                          <w:marBottom w:val="0"/>
                          <w:divBdr>
                            <w:top w:val="none" w:sz="0" w:space="0" w:color="auto"/>
                            <w:left w:val="none" w:sz="0" w:space="0" w:color="auto"/>
                            <w:bottom w:val="none" w:sz="0" w:space="0" w:color="auto"/>
                            <w:right w:val="none" w:sz="0" w:space="0" w:color="auto"/>
                          </w:divBdr>
                        </w:div>
                      </w:divsChild>
                    </w:div>
                    <w:div w:id="2104060276">
                      <w:marLeft w:val="0"/>
                      <w:marRight w:val="0"/>
                      <w:marTop w:val="0"/>
                      <w:marBottom w:val="0"/>
                      <w:divBdr>
                        <w:top w:val="none" w:sz="0" w:space="0" w:color="auto"/>
                        <w:left w:val="none" w:sz="0" w:space="0" w:color="auto"/>
                        <w:bottom w:val="none" w:sz="0" w:space="0" w:color="auto"/>
                        <w:right w:val="none" w:sz="0" w:space="0" w:color="auto"/>
                      </w:divBdr>
                      <w:divsChild>
                        <w:div w:id="12423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1146">
              <w:marLeft w:val="0"/>
              <w:marRight w:val="0"/>
              <w:marTop w:val="0"/>
              <w:marBottom w:val="0"/>
              <w:divBdr>
                <w:top w:val="none" w:sz="0" w:space="0" w:color="auto"/>
                <w:left w:val="none" w:sz="0" w:space="0" w:color="auto"/>
                <w:bottom w:val="none" w:sz="0" w:space="0" w:color="auto"/>
                <w:right w:val="none" w:sz="0" w:space="0" w:color="auto"/>
              </w:divBdr>
            </w:div>
            <w:div w:id="983316361">
              <w:marLeft w:val="0"/>
              <w:marRight w:val="0"/>
              <w:marTop w:val="0"/>
              <w:marBottom w:val="0"/>
              <w:divBdr>
                <w:top w:val="none" w:sz="0" w:space="0" w:color="auto"/>
                <w:left w:val="none" w:sz="0" w:space="0" w:color="auto"/>
                <w:bottom w:val="none" w:sz="0" w:space="0" w:color="auto"/>
                <w:right w:val="none" w:sz="0" w:space="0" w:color="auto"/>
              </w:divBdr>
            </w:div>
            <w:div w:id="1008295255">
              <w:marLeft w:val="0"/>
              <w:marRight w:val="0"/>
              <w:marTop w:val="0"/>
              <w:marBottom w:val="0"/>
              <w:divBdr>
                <w:top w:val="none" w:sz="0" w:space="0" w:color="auto"/>
                <w:left w:val="none" w:sz="0" w:space="0" w:color="auto"/>
                <w:bottom w:val="none" w:sz="0" w:space="0" w:color="auto"/>
                <w:right w:val="none" w:sz="0" w:space="0" w:color="auto"/>
              </w:divBdr>
            </w:div>
            <w:div w:id="1166897373">
              <w:marLeft w:val="0"/>
              <w:marRight w:val="0"/>
              <w:marTop w:val="0"/>
              <w:marBottom w:val="0"/>
              <w:divBdr>
                <w:top w:val="none" w:sz="0" w:space="0" w:color="auto"/>
                <w:left w:val="none" w:sz="0" w:space="0" w:color="auto"/>
                <w:bottom w:val="none" w:sz="0" w:space="0" w:color="auto"/>
                <w:right w:val="none" w:sz="0" w:space="0" w:color="auto"/>
              </w:divBdr>
            </w:div>
            <w:div w:id="1242909003">
              <w:marLeft w:val="0"/>
              <w:marRight w:val="0"/>
              <w:marTop w:val="0"/>
              <w:marBottom w:val="0"/>
              <w:divBdr>
                <w:top w:val="none" w:sz="0" w:space="0" w:color="auto"/>
                <w:left w:val="none" w:sz="0" w:space="0" w:color="auto"/>
                <w:bottom w:val="none" w:sz="0" w:space="0" w:color="auto"/>
                <w:right w:val="none" w:sz="0" w:space="0" w:color="auto"/>
              </w:divBdr>
            </w:div>
            <w:div w:id="1309553015">
              <w:marLeft w:val="0"/>
              <w:marRight w:val="0"/>
              <w:marTop w:val="0"/>
              <w:marBottom w:val="0"/>
              <w:divBdr>
                <w:top w:val="none" w:sz="0" w:space="0" w:color="auto"/>
                <w:left w:val="none" w:sz="0" w:space="0" w:color="auto"/>
                <w:bottom w:val="none" w:sz="0" w:space="0" w:color="auto"/>
                <w:right w:val="none" w:sz="0" w:space="0" w:color="auto"/>
              </w:divBdr>
            </w:div>
            <w:div w:id="1345862332">
              <w:marLeft w:val="0"/>
              <w:marRight w:val="0"/>
              <w:marTop w:val="0"/>
              <w:marBottom w:val="0"/>
              <w:divBdr>
                <w:top w:val="none" w:sz="0" w:space="0" w:color="auto"/>
                <w:left w:val="none" w:sz="0" w:space="0" w:color="auto"/>
                <w:bottom w:val="none" w:sz="0" w:space="0" w:color="auto"/>
                <w:right w:val="none" w:sz="0" w:space="0" w:color="auto"/>
              </w:divBdr>
            </w:div>
            <w:div w:id="1446383873">
              <w:marLeft w:val="0"/>
              <w:marRight w:val="0"/>
              <w:marTop w:val="0"/>
              <w:marBottom w:val="0"/>
              <w:divBdr>
                <w:top w:val="none" w:sz="0" w:space="0" w:color="auto"/>
                <w:left w:val="none" w:sz="0" w:space="0" w:color="auto"/>
                <w:bottom w:val="none" w:sz="0" w:space="0" w:color="auto"/>
                <w:right w:val="none" w:sz="0" w:space="0" w:color="auto"/>
              </w:divBdr>
            </w:div>
            <w:div w:id="1551528212">
              <w:marLeft w:val="0"/>
              <w:marRight w:val="0"/>
              <w:marTop w:val="0"/>
              <w:marBottom w:val="0"/>
              <w:divBdr>
                <w:top w:val="none" w:sz="0" w:space="0" w:color="auto"/>
                <w:left w:val="none" w:sz="0" w:space="0" w:color="auto"/>
                <w:bottom w:val="none" w:sz="0" w:space="0" w:color="auto"/>
                <w:right w:val="none" w:sz="0" w:space="0" w:color="auto"/>
              </w:divBdr>
            </w:div>
            <w:div w:id="1603688069">
              <w:marLeft w:val="0"/>
              <w:marRight w:val="0"/>
              <w:marTop w:val="0"/>
              <w:marBottom w:val="0"/>
              <w:divBdr>
                <w:top w:val="none" w:sz="0" w:space="0" w:color="auto"/>
                <w:left w:val="none" w:sz="0" w:space="0" w:color="auto"/>
                <w:bottom w:val="none" w:sz="0" w:space="0" w:color="auto"/>
                <w:right w:val="none" w:sz="0" w:space="0" w:color="auto"/>
              </w:divBdr>
            </w:div>
            <w:div w:id="1650938929">
              <w:marLeft w:val="0"/>
              <w:marRight w:val="0"/>
              <w:marTop w:val="0"/>
              <w:marBottom w:val="0"/>
              <w:divBdr>
                <w:top w:val="none" w:sz="0" w:space="0" w:color="auto"/>
                <w:left w:val="none" w:sz="0" w:space="0" w:color="auto"/>
                <w:bottom w:val="none" w:sz="0" w:space="0" w:color="auto"/>
                <w:right w:val="none" w:sz="0" w:space="0" w:color="auto"/>
              </w:divBdr>
            </w:div>
            <w:div w:id="2042053965">
              <w:marLeft w:val="0"/>
              <w:marRight w:val="0"/>
              <w:marTop w:val="0"/>
              <w:marBottom w:val="0"/>
              <w:divBdr>
                <w:top w:val="none" w:sz="0" w:space="0" w:color="auto"/>
                <w:left w:val="none" w:sz="0" w:space="0" w:color="auto"/>
                <w:bottom w:val="none" w:sz="0" w:space="0" w:color="auto"/>
                <w:right w:val="none" w:sz="0" w:space="0" w:color="auto"/>
              </w:divBdr>
            </w:div>
            <w:div w:id="2054769216">
              <w:marLeft w:val="0"/>
              <w:marRight w:val="0"/>
              <w:marTop w:val="0"/>
              <w:marBottom w:val="0"/>
              <w:divBdr>
                <w:top w:val="none" w:sz="0" w:space="0" w:color="auto"/>
                <w:left w:val="none" w:sz="0" w:space="0" w:color="auto"/>
                <w:bottom w:val="none" w:sz="0" w:space="0" w:color="auto"/>
                <w:right w:val="none" w:sz="0" w:space="0" w:color="auto"/>
              </w:divBdr>
            </w:div>
          </w:divsChild>
        </w:div>
        <w:div w:id="1859466777">
          <w:marLeft w:val="0"/>
          <w:marRight w:val="0"/>
          <w:marTop w:val="0"/>
          <w:marBottom w:val="0"/>
          <w:divBdr>
            <w:top w:val="none" w:sz="0" w:space="0" w:color="auto"/>
            <w:left w:val="none" w:sz="0" w:space="0" w:color="auto"/>
            <w:bottom w:val="none" w:sz="0" w:space="0" w:color="auto"/>
            <w:right w:val="none" w:sz="0" w:space="0" w:color="auto"/>
          </w:divBdr>
        </w:div>
        <w:div w:id="1859851732">
          <w:marLeft w:val="0"/>
          <w:marRight w:val="0"/>
          <w:marTop w:val="0"/>
          <w:marBottom w:val="0"/>
          <w:divBdr>
            <w:top w:val="none" w:sz="0" w:space="0" w:color="auto"/>
            <w:left w:val="none" w:sz="0" w:space="0" w:color="auto"/>
            <w:bottom w:val="none" w:sz="0" w:space="0" w:color="auto"/>
            <w:right w:val="none" w:sz="0" w:space="0" w:color="auto"/>
          </w:divBdr>
        </w:div>
        <w:div w:id="1861582008">
          <w:marLeft w:val="0"/>
          <w:marRight w:val="0"/>
          <w:marTop w:val="0"/>
          <w:marBottom w:val="0"/>
          <w:divBdr>
            <w:top w:val="none" w:sz="0" w:space="0" w:color="auto"/>
            <w:left w:val="none" w:sz="0" w:space="0" w:color="auto"/>
            <w:bottom w:val="none" w:sz="0" w:space="0" w:color="auto"/>
            <w:right w:val="none" w:sz="0" w:space="0" w:color="auto"/>
          </w:divBdr>
        </w:div>
        <w:div w:id="1863594178">
          <w:marLeft w:val="0"/>
          <w:marRight w:val="0"/>
          <w:marTop w:val="0"/>
          <w:marBottom w:val="0"/>
          <w:divBdr>
            <w:top w:val="none" w:sz="0" w:space="0" w:color="auto"/>
            <w:left w:val="none" w:sz="0" w:space="0" w:color="auto"/>
            <w:bottom w:val="none" w:sz="0" w:space="0" w:color="auto"/>
            <w:right w:val="none" w:sz="0" w:space="0" w:color="auto"/>
          </w:divBdr>
        </w:div>
        <w:div w:id="1865171245">
          <w:marLeft w:val="0"/>
          <w:marRight w:val="0"/>
          <w:marTop w:val="0"/>
          <w:marBottom w:val="0"/>
          <w:divBdr>
            <w:top w:val="none" w:sz="0" w:space="0" w:color="auto"/>
            <w:left w:val="none" w:sz="0" w:space="0" w:color="auto"/>
            <w:bottom w:val="none" w:sz="0" w:space="0" w:color="auto"/>
            <w:right w:val="none" w:sz="0" w:space="0" w:color="auto"/>
          </w:divBdr>
        </w:div>
        <w:div w:id="1865971466">
          <w:marLeft w:val="0"/>
          <w:marRight w:val="0"/>
          <w:marTop w:val="0"/>
          <w:marBottom w:val="0"/>
          <w:divBdr>
            <w:top w:val="none" w:sz="0" w:space="0" w:color="auto"/>
            <w:left w:val="none" w:sz="0" w:space="0" w:color="auto"/>
            <w:bottom w:val="none" w:sz="0" w:space="0" w:color="auto"/>
            <w:right w:val="none" w:sz="0" w:space="0" w:color="auto"/>
          </w:divBdr>
        </w:div>
        <w:div w:id="1867987020">
          <w:marLeft w:val="0"/>
          <w:marRight w:val="0"/>
          <w:marTop w:val="0"/>
          <w:marBottom w:val="0"/>
          <w:divBdr>
            <w:top w:val="none" w:sz="0" w:space="0" w:color="auto"/>
            <w:left w:val="none" w:sz="0" w:space="0" w:color="auto"/>
            <w:bottom w:val="none" w:sz="0" w:space="0" w:color="auto"/>
            <w:right w:val="none" w:sz="0" w:space="0" w:color="auto"/>
          </w:divBdr>
        </w:div>
        <w:div w:id="1870796699">
          <w:marLeft w:val="0"/>
          <w:marRight w:val="0"/>
          <w:marTop w:val="0"/>
          <w:marBottom w:val="0"/>
          <w:divBdr>
            <w:top w:val="none" w:sz="0" w:space="0" w:color="auto"/>
            <w:left w:val="none" w:sz="0" w:space="0" w:color="auto"/>
            <w:bottom w:val="none" w:sz="0" w:space="0" w:color="auto"/>
            <w:right w:val="none" w:sz="0" w:space="0" w:color="auto"/>
          </w:divBdr>
        </w:div>
        <w:div w:id="1873376801">
          <w:marLeft w:val="0"/>
          <w:marRight w:val="0"/>
          <w:marTop w:val="0"/>
          <w:marBottom w:val="0"/>
          <w:divBdr>
            <w:top w:val="none" w:sz="0" w:space="0" w:color="auto"/>
            <w:left w:val="none" w:sz="0" w:space="0" w:color="auto"/>
            <w:bottom w:val="none" w:sz="0" w:space="0" w:color="auto"/>
            <w:right w:val="none" w:sz="0" w:space="0" w:color="auto"/>
          </w:divBdr>
        </w:div>
        <w:div w:id="1873879951">
          <w:marLeft w:val="0"/>
          <w:marRight w:val="0"/>
          <w:marTop w:val="0"/>
          <w:marBottom w:val="0"/>
          <w:divBdr>
            <w:top w:val="none" w:sz="0" w:space="0" w:color="auto"/>
            <w:left w:val="none" w:sz="0" w:space="0" w:color="auto"/>
            <w:bottom w:val="none" w:sz="0" w:space="0" w:color="auto"/>
            <w:right w:val="none" w:sz="0" w:space="0" w:color="auto"/>
          </w:divBdr>
        </w:div>
        <w:div w:id="1874342311">
          <w:marLeft w:val="0"/>
          <w:marRight w:val="0"/>
          <w:marTop w:val="0"/>
          <w:marBottom w:val="0"/>
          <w:divBdr>
            <w:top w:val="none" w:sz="0" w:space="0" w:color="auto"/>
            <w:left w:val="none" w:sz="0" w:space="0" w:color="auto"/>
            <w:bottom w:val="none" w:sz="0" w:space="0" w:color="auto"/>
            <w:right w:val="none" w:sz="0" w:space="0" w:color="auto"/>
          </w:divBdr>
          <w:divsChild>
            <w:div w:id="86000694">
              <w:marLeft w:val="0"/>
              <w:marRight w:val="0"/>
              <w:marTop w:val="0"/>
              <w:marBottom w:val="0"/>
              <w:divBdr>
                <w:top w:val="none" w:sz="0" w:space="0" w:color="auto"/>
                <w:left w:val="none" w:sz="0" w:space="0" w:color="auto"/>
                <w:bottom w:val="none" w:sz="0" w:space="0" w:color="auto"/>
                <w:right w:val="none" w:sz="0" w:space="0" w:color="auto"/>
              </w:divBdr>
            </w:div>
            <w:div w:id="173148871">
              <w:marLeft w:val="0"/>
              <w:marRight w:val="0"/>
              <w:marTop w:val="0"/>
              <w:marBottom w:val="0"/>
              <w:divBdr>
                <w:top w:val="none" w:sz="0" w:space="0" w:color="auto"/>
                <w:left w:val="none" w:sz="0" w:space="0" w:color="auto"/>
                <w:bottom w:val="none" w:sz="0" w:space="0" w:color="auto"/>
                <w:right w:val="none" w:sz="0" w:space="0" w:color="auto"/>
              </w:divBdr>
            </w:div>
            <w:div w:id="213934137">
              <w:marLeft w:val="0"/>
              <w:marRight w:val="0"/>
              <w:marTop w:val="0"/>
              <w:marBottom w:val="0"/>
              <w:divBdr>
                <w:top w:val="none" w:sz="0" w:space="0" w:color="auto"/>
                <w:left w:val="none" w:sz="0" w:space="0" w:color="auto"/>
                <w:bottom w:val="none" w:sz="0" w:space="0" w:color="auto"/>
                <w:right w:val="none" w:sz="0" w:space="0" w:color="auto"/>
              </w:divBdr>
            </w:div>
            <w:div w:id="341127841">
              <w:marLeft w:val="0"/>
              <w:marRight w:val="0"/>
              <w:marTop w:val="0"/>
              <w:marBottom w:val="0"/>
              <w:divBdr>
                <w:top w:val="none" w:sz="0" w:space="0" w:color="auto"/>
                <w:left w:val="none" w:sz="0" w:space="0" w:color="auto"/>
                <w:bottom w:val="none" w:sz="0" w:space="0" w:color="auto"/>
                <w:right w:val="none" w:sz="0" w:space="0" w:color="auto"/>
              </w:divBdr>
            </w:div>
            <w:div w:id="358317987">
              <w:marLeft w:val="0"/>
              <w:marRight w:val="0"/>
              <w:marTop w:val="0"/>
              <w:marBottom w:val="0"/>
              <w:divBdr>
                <w:top w:val="none" w:sz="0" w:space="0" w:color="auto"/>
                <w:left w:val="none" w:sz="0" w:space="0" w:color="auto"/>
                <w:bottom w:val="none" w:sz="0" w:space="0" w:color="auto"/>
                <w:right w:val="none" w:sz="0" w:space="0" w:color="auto"/>
              </w:divBdr>
            </w:div>
            <w:div w:id="374502498">
              <w:marLeft w:val="0"/>
              <w:marRight w:val="0"/>
              <w:marTop w:val="0"/>
              <w:marBottom w:val="0"/>
              <w:divBdr>
                <w:top w:val="none" w:sz="0" w:space="0" w:color="auto"/>
                <w:left w:val="none" w:sz="0" w:space="0" w:color="auto"/>
                <w:bottom w:val="none" w:sz="0" w:space="0" w:color="auto"/>
                <w:right w:val="none" w:sz="0" w:space="0" w:color="auto"/>
              </w:divBdr>
            </w:div>
            <w:div w:id="524097901">
              <w:marLeft w:val="0"/>
              <w:marRight w:val="0"/>
              <w:marTop w:val="0"/>
              <w:marBottom w:val="0"/>
              <w:divBdr>
                <w:top w:val="none" w:sz="0" w:space="0" w:color="auto"/>
                <w:left w:val="none" w:sz="0" w:space="0" w:color="auto"/>
                <w:bottom w:val="none" w:sz="0" w:space="0" w:color="auto"/>
                <w:right w:val="none" w:sz="0" w:space="0" w:color="auto"/>
              </w:divBdr>
            </w:div>
            <w:div w:id="533084358">
              <w:marLeft w:val="0"/>
              <w:marRight w:val="0"/>
              <w:marTop w:val="0"/>
              <w:marBottom w:val="0"/>
              <w:divBdr>
                <w:top w:val="none" w:sz="0" w:space="0" w:color="auto"/>
                <w:left w:val="none" w:sz="0" w:space="0" w:color="auto"/>
                <w:bottom w:val="none" w:sz="0" w:space="0" w:color="auto"/>
                <w:right w:val="none" w:sz="0" w:space="0" w:color="auto"/>
              </w:divBdr>
            </w:div>
            <w:div w:id="628973489">
              <w:marLeft w:val="0"/>
              <w:marRight w:val="0"/>
              <w:marTop w:val="0"/>
              <w:marBottom w:val="0"/>
              <w:divBdr>
                <w:top w:val="none" w:sz="0" w:space="0" w:color="auto"/>
                <w:left w:val="none" w:sz="0" w:space="0" w:color="auto"/>
                <w:bottom w:val="none" w:sz="0" w:space="0" w:color="auto"/>
                <w:right w:val="none" w:sz="0" w:space="0" w:color="auto"/>
              </w:divBdr>
            </w:div>
            <w:div w:id="807480878">
              <w:marLeft w:val="0"/>
              <w:marRight w:val="0"/>
              <w:marTop w:val="0"/>
              <w:marBottom w:val="0"/>
              <w:divBdr>
                <w:top w:val="none" w:sz="0" w:space="0" w:color="auto"/>
                <w:left w:val="none" w:sz="0" w:space="0" w:color="auto"/>
                <w:bottom w:val="none" w:sz="0" w:space="0" w:color="auto"/>
                <w:right w:val="none" w:sz="0" w:space="0" w:color="auto"/>
              </w:divBdr>
            </w:div>
            <w:div w:id="850410831">
              <w:marLeft w:val="0"/>
              <w:marRight w:val="0"/>
              <w:marTop w:val="0"/>
              <w:marBottom w:val="0"/>
              <w:divBdr>
                <w:top w:val="none" w:sz="0" w:space="0" w:color="auto"/>
                <w:left w:val="none" w:sz="0" w:space="0" w:color="auto"/>
                <w:bottom w:val="none" w:sz="0" w:space="0" w:color="auto"/>
                <w:right w:val="none" w:sz="0" w:space="0" w:color="auto"/>
              </w:divBdr>
            </w:div>
            <w:div w:id="1168011782">
              <w:marLeft w:val="0"/>
              <w:marRight w:val="0"/>
              <w:marTop w:val="0"/>
              <w:marBottom w:val="0"/>
              <w:divBdr>
                <w:top w:val="none" w:sz="0" w:space="0" w:color="auto"/>
                <w:left w:val="none" w:sz="0" w:space="0" w:color="auto"/>
                <w:bottom w:val="none" w:sz="0" w:space="0" w:color="auto"/>
                <w:right w:val="none" w:sz="0" w:space="0" w:color="auto"/>
              </w:divBdr>
            </w:div>
            <w:div w:id="1313949881">
              <w:marLeft w:val="0"/>
              <w:marRight w:val="0"/>
              <w:marTop w:val="0"/>
              <w:marBottom w:val="0"/>
              <w:divBdr>
                <w:top w:val="none" w:sz="0" w:space="0" w:color="auto"/>
                <w:left w:val="none" w:sz="0" w:space="0" w:color="auto"/>
                <w:bottom w:val="none" w:sz="0" w:space="0" w:color="auto"/>
                <w:right w:val="none" w:sz="0" w:space="0" w:color="auto"/>
              </w:divBdr>
            </w:div>
            <w:div w:id="1641960163">
              <w:marLeft w:val="0"/>
              <w:marRight w:val="0"/>
              <w:marTop w:val="0"/>
              <w:marBottom w:val="0"/>
              <w:divBdr>
                <w:top w:val="none" w:sz="0" w:space="0" w:color="auto"/>
                <w:left w:val="none" w:sz="0" w:space="0" w:color="auto"/>
                <w:bottom w:val="none" w:sz="0" w:space="0" w:color="auto"/>
                <w:right w:val="none" w:sz="0" w:space="0" w:color="auto"/>
              </w:divBdr>
            </w:div>
            <w:div w:id="1697193837">
              <w:marLeft w:val="0"/>
              <w:marRight w:val="0"/>
              <w:marTop w:val="0"/>
              <w:marBottom w:val="0"/>
              <w:divBdr>
                <w:top w:val="none" w:sz="0" w:space="0" w:color="auto"/>
                <w:left w:val="none" w:sz="0" w:space="0" w:color="auto"/>
                <w:bottom w:val="none" w:sz="0" w:space="0" w:color="auto"/>
                <w:right w:val="none" w:sz="0" w:space="0" w:color="auto"/>
              </w:divBdr>
            </w:div>
            <w:div w:id="1759865255">
              <w:marLeft w:val="0"/>
              <w:marRight w:val="0"/>
              <w:marTop w:val="0"/>
              <w:marBottom w:val="0"/>
              <w:divBdr>
                <w:top w:val="none" w:sz="0" w:space="0" w:color="auto"/>
                <w:left w:val="none" w:sz="0" w:space="0" w:color="auto"/>
                <w:bottom w:val="none" w:sz="0" w:space="0" w:color="auto"/>
                <w:right w:val="none" w:sz="0" w:space="0" w:color="auto"/>
              </w:divBdr>
            </w:div>
            <w:div w:id="1780443417">
              <w:marLeft w:val="0"/>
              <w:marRight w:val="0"/>
              <w:marTop w:val="0"/>
              <w:marBottom w:val="0"/>
              <w:divBdr>
                <w:top w:val="none" w:sz="0" w:space="0" w:color="auto"/>
                <w:left w:val="none" w:sz="0" w:space="0" w:color="auto"/>
                <w:bottom w:val="none" w:sz="0" w:space="0" w:color="auto"/>
                <w:right w:val="none" w:sz="0" w:space="0" w:color="auto"/>
              </w:divBdr>
            </w:div>
            <w:div w:id="1909850369">
              <w:marLeft w:val="0"/>
              <w:marRight w:val="0"/>
              <w:marTop w:val="0"/>
              <w:marBottom w:val="0"/>
              <w:divBdr>
                <w:top w:val="none" w:sz="0" w:space="0" w:color="auto"/>
                <w:left w:val="none" w:sz="0" w:space="0" w:color="auto"/>
                <w:bottom w:val="none" w:sz="0" w:space="0" w:color="auto"/>
                <w:right w:val="none" w:sz="0" w:space="0" w:color="auto"/>
              </w:divBdr>
            </w:div>
            <w:div w:id="2053311311">
              <w:marLeft w:val="0"/>
              <w:marRight w:val="0"/>
              <w:marTop w:val="0"/>
              <w:marBottom w:val="0"/>
              <w:divBdr>
                <w:top w:val="none" w:sz="0" w:space="0" w:color="auto"/>
                <w:left w:val="none" w:sz="0" w:space="0" w:color="auto"/>
                <w:bottom w:val="none" w:sz="0" w:space="0" w:color="auto"/>
                <w:right w:val="none" w:sz="0" w:space="0" w:color="auto"/>
              </w:divBdr>
            </w:div>
            <w:div w:id="2076198676">
              <w:marLeft w:val="0"/>
              <w:marRight w:val="0"/>
              <w:marTop w:val="0"/>
              <w:marBottom w:val="0"/>
              <w:divBdr>
                <w:top w:val="none" w:sz="0" w:space="0" w:color="auto"/>
                <w:left w:val="none" w:sz="0" w:space="0" w:color="auto"/>
                <w:bottom w:val="none" w:sz="0" w:space="0" w:color="auto"/>
                <w:right w:val="none" w:sz="0" w:space="0" w:color="auto"/>
              </w:divBdr>
            </w:div>
          </w:divsChild>
        </w:div>
        <w:div w:id="1874882346">
          <w:marLeft w:val="0"/>
          <w:marRight w:val="0"/>
          <w:marTop w:val="0"/>
          <w:marBottom w:val="0"/>
          <w:divBdr>
            <w:top w:val="none" w:sz="0" w:space="0" w:color="auto"/>
            <w:left w:val="none" w:sz="0" w:space="0" w:color="auto"/>
            <w:bottom w:val="none" w:sz="0" w:space="0" w:color="auto"/>
            <w:right w:val="none" w:sz="0" w:space="0" w:color="auto"/>
          </w:divBdr>
        </w:div>
        <w:div w:id="1876693385">
          <w:marLeft w:val="0"/>
          <w:marRight w:val="0"/>
          <w:marTop w:val="0"/>
          <w:marBottom w:val="0"/>
          <w:divBdr>
            <w:top w:val="none" w:sz="0" w:space="0" w:color="auto"/>
            <w:left w:val="none" w:sz="0" w:space="0" w:color="auto"/>
            <w:bottom w:val="none" w:sz="0" w:space="0" w:color="auto"/>
            <w:right w:val="none" w:sz="0" w:space="0" w:color="auto"/>
          </w:divBdr>
        </w:div>
        <w:div w:id="1876850192">
          <w:marLeft w:val="0"/>
          <w:marRight w:val="0"/>
          <w:marTop w:val="0"/>
          <w:marBottom w:val="0"/>
          <w:divBdr>
            <w:top w:val="none" w:sz="0" w:space="0" w:color="auto"/>
            <w:left w:val="none" w:sz="0" w:space="0" w:color="auto"/>
            <w:bottom w:val="none" w:sz="0" w:space="0" w:color="auto"/>
            <w:right w:val="none" w:sz="0" w:space="0" w:color="auto"/>
          </w:divBdr>
        </w:div>
        <w:div w:id="1877890248">
          <w:marLeft w:val="0"/>
          <w:marRight w:val="0"/>
          <w:marTop w:val="0"/>
          <w:marBottom w:val="0"/>
          <w:divBdr>
            <w:top w:val="none" w:sz="0" w:space="0" w:color="auto"/>
            <w:left w:val="none" w:sz="0" w:space="0" w:color="auto"/>
            <w:bottom w:val="none" w:sz="0" w:space="0" w:color="auto"/>
            <w:right w:val="none" w:sz="0" w:space="0" w:color="auto"/>
          </w:divBdr>
        </w:div>
        <w:div w:id="1878004596">
          <w:marLeft w:val="0"/>
          <w:marRight w:val="0"/>
          <w:marTop w:val="0"/>
          <w:marBottom w:val="0"/>
          <w:divBdr>
            <w:top w:val="none" w:sz="0" w:space="0" w:color="auto"/>
            <w:left w:val="none" w:sz="0" w:space="0" w:color="auto"/>
            <w:bottom w:val="none" w:sz="0" w:space="0" w:color="auto"/>
            <w:right w:val="none" w:sz="0" w:space="0" w:color="auto"/>
          </w:divBdr>
        </w:div>
        <w:div w:id="1878930892">
          <w:marLeft w:val="0"/>
          <w:marRight w:val="0"/>
          <w:marTop w:val="0"/>
          <w:marBottom w:val="0"/>
          <w:divBdr>
            <w:top w:val="none" w:sz="0" w:space="0" w:color="auto"/>
            <w:left w:val="none" w:sz="0" w:space="0" w:color="auto"/>
            <w:bottom w:val="none" w:sz="0" w:space="0" w:color="auto"/>
            <w:right w:val="none" w:sz="0" w:space="0" w:color="auto"/>
          </w:divBdr>
        </w:div>
        <w:div w:id="1879200183">
          <w:marLeft w:val="0"/>
          <w:marRight w:val="0"/>
          <w:marTop w:val="0"/>
          <w:marBottom w:val="0"/>
          <w:divBdr>
            <w:top w:val="none" w:sz="0" w:space="0" w:color="auto"/>
            <w:left w:val="none" w:sz="0" w:space="0" w:color="auto"/>
            <w:bottom w:val="none" w:sz="0" w:space="0" w:color="auto"/>
            <w:right w:val="none" w:sz="0" w:space="0" w:color="auto"/>
          </w:divBdr>
        </w:div>
        <w:div w:id="1879317599">
          <w:marLeft w:val="0"/>
          <w:marRight w:val="0"/>
          <w:marTop w:val="0"/>
          <w:marBottom w:val="0"/>
          <w:divBdr>
            <w:top w:val="none" w:sz="0" w:space="0" w:color="auto"/>
            <w:left w:val="none" w:sz="0" w:space="0" w:color="auto"/>
            <w:bottom w:val="none" w:sz="0" w:space="0" w:color="auto"/>
            <w:right w:val="none" w:sz="0" w:space="0" w:color="auto"/>
          </w:divBdr>
        </w:div>
        <w:div w:id="1881243280">
          <w:marLeft w:val="0"/>
          <w:marRight w:val="0"/>
          <w:marTop w:val="0"/>
          <w:marBottom w:val="0"/>
          <w:divBdr>
            <w:top w:val="none" w:sz="0" w:space="0" w:color="auto"/>
            <w:left w:val="none" w:sz="0" w:space="0" w:color="auto"/>
            <w:bottom w:val="none" w:sz="0" w:space="0" w:color="auto"/>
            <w:right w:val="none" w:sz="0" w:space="0" w:color="auto"/>
          </w:divBdr>
          <w:divsChild>
            <w:div w:id="34504654">
              <w:marLeft w:val="0"/>
              <w:marRight w:val="0"/>
              <w:marTop w:val="0"/>
              <w:marBottom w:val="0"/>
              <w:divBdr>
                <w:top w:val="none" w:sz="0" w:space="0" w:color="auto"/>
                <w:left w:val="none" w:sz="0" w:space="0" w:color="auto"/>
                <w:bottom w:val="none" w:sz="0" w:space="0" w:color="auto"/>
                <w:right w:val="none" w:sz="0" w:space="0" w:color="auto"/>
              </w:divBdr>
            </w:div>
            <w:div w:id="193462687">
              <w:marLeft w:val="0"/>
              <w:marRight w:val="0"/>
              <w:marTop w:val="0"/>
              <w:marBottom w:val="0"/>
              <w:divBdr>
                <w:top w:val="none" w:sz="0" w:space="0" w:color="auto"/>
                <w:left w:val="none" w:sz="0" w:space="0" w:color="auto"/>
                <w:bottom w:val="none" w:sz="0" w:space="0" w:color="auto"/>
                <w:right w:val="none" w:sz="0" w:space="0" w:color="auto"/>
              </w:divBdr>
            </w:div>
            <w:div w:id="194317325">
              <w:marLeft w:val="0"/>
              <w:marRight w:val="0"/>
              <w:marTop w:val="0"/>
              <w:marBottom w:val="0"/>
              <w:divBdr>
                <w:top w:val="none" w:sz="0" w:space="0" w:color="auto"/>
                <w:left w:val="none" w:sz="0" w:space="0" w:color="auto"/>
                <w:bottom w:val="none" w:sz="0" w:space="0" w:color="auto"/>
                <w:right w:val="none" w:sz="0" w:space="0" w:color="auto"/>
              </w:divBdr>
            </w:div>
            <w:div w:id="323438999">
              <w:marLeft w:val="0"/>
              <w:marRight w:val="0"/>
              <w:marTop w:val="0"/>
              <w:marBottom w:val="0"/>
              <w:divBdr>
                <w:top w:val="none" w:sz="0" w:space="0" w:color="auto"/>
                <w:left w:val="none" w:sz="0" w:space="0" w:color="auto"/>
                <w:bottom w:val="none" w:sz="0" w:space="0" w:color="auto"/>
                <w:right w:val="none" w:sz="0" w:space="0" w:color="auto"/>
              </w:divBdr>
            </w:div>
            <w:div w:id="460075155">
              <w:marLeft w:val="0"/>
              <w:marRight w:val="0"/>
              <w:marTop w:val="0"/>
              <w:marBottom w:val="0"/>
              <w:divBdr>
                <w:top w:val="none" w:sz="0" w:space="0" w:color="auto"/>
                <w:left w:val="none" w:sz="0" w:space="0" w:color="auto"/>
                <w:bottom w:val="none" w:sz="0" w:space="0" w:color="auto"/>
                <w:right w:val="none" w:sz="0" w:space="0" w:color="auto"/>
              </w:divBdr>
            </w:div>
            <w:div w:id="509876202">
              <w:marLeft w:val="0"/>
              <w:marRight w:val="0"/>
              <w:marTop w:val="0"/>
              <w:marBottom w:val="0"/>
              <w:divBdr>
                <w:top w:val="none" w:sz="0" w:space="0" w:color="auto"/>
                <w:left w:val="none" w:sz="0" w:space="0" w:color="auto"/>
                <w:bottom w:val="none" w:sz="0" w:space="0" w:color="auto"/>
                <w:right w:val="none" w:sz="0" w:space="0" w:color="auto"/>
              </w:divBdr>
            </w:div>
            <w:div w:id="844438137">
              <w:marLeft w:val="0"/>
              <w:marRight w:val="0"/>
              <w:marTop w:val="0"/>
              <w:marBottom w:val="0"/>
              <w:divBdr>
                <w:top w:val="none" w:sz="0" w:space="0" w:color="auto"/>
                <w:left w:val="none" w:sz="0" w:space="0" w:color="auto"/>
                <w:bottom w:val="none" w:sz="0" w:space="0" w:color="auto"/>
                <w:right w:val="none" w:sz="0" w:space="0" w:color="auto"/>
              </w:divBdr>
            </w:div>
            <w:div w:id="850725425">
              <w:marLeft w:val="0"/>
              <w:marRight w:val="0"/>
              <w:marTop w:val="0"/>
              <w:marBottom w:val="0"/>
              <w:divBdr>
                <w:top w:val="none" w:sz="0" w:space="0" w:color="auto"/>
                <w:left w:val="none" w:sz="0" w:space="0" w:color="auto"/>
                <w:bottom w:val="none" w:sz="0" w:space="0" w:color="auto"/>
                <w:right w:val="none" w:sz="0" w:space="0" w:color="auto"/>
              </w:divBdr>
            </w:div>
            <w:div w:id="976684493">
              <w:marLeft w:val="0"/>
              <w:marRight w:val="0"/>
              <w:marTop w:val="0"/>
              <w:marBottom w:val="0"/>
              <w:divBdr>
                <w:top w:val="none" w:sz="0" w:space="0" w:color="auto"/>
                <w:left w:val="none" w:sz="0" w:space="0" w:color="auto"/>
                <w:bottom w:val="none" w:sz="0" w:space="0" w:color="auto"/>
                <w:right w:val="none" w:sz="0" w:space="0" w:color="auto"/>
              </w:divBdr>
            </w:div>
            <w:div w:id="1069813840">
              <w:marLeft w:val="0"/>
              <w:marRight w:val="0"/>
              <w:marTop w:val="0"/>
              <w:marBottom w:val="0"/>
              <w:divBdr>
                <w:top w:val="none" w:sz="0" w:space="0" w:color="auto"/>
                <w:left w:val="none" w:sz="0" w:space="0" w:color="auto"/>
                <w:bottom w:val="none" w:sz="0" w:space="0" w:color="auto"/>
                <w:right w:val="none" w:sz="0" w:space="0" w:color="auto"/>
              </w:divBdr>
            </w:div>
            <w:div w:id="1219829227">
              <w:marLeft w:val="0"/>
              <w:marRight w:val="0"/>
              <w:marTop w:val="0"/>
              <w:marBottom w:val="0"/>
              <w:divBdr>
                <w:top w:val="none" w:sz="0" w:space="0" w:color="auto"/>
                <w:left w:val="none" w:sz="0" w:space="0" w:color="auto"/>
                <w:bottom w:val="none" w:sz="0" w:space="0" w:color="auto"/>
                <w:right w:val="none" w:sz="0" w:space="0" w:color="auto"/>
              </w:divBdr>
            </w:div>
            <w:div w:id="1340041822">
              <w:marLeft w:val="0"/>
              <w:marRight w:val="0"/>
              <w:marTop w:val="0"/>
              <w:marBottom w:val="0"/>
              <w:divBdr>
                <w:top w:val="none" w:sz="0" w:space="0" w:color="auto"/>
                <w:left w:val="none" w:sz="0" w:space="0" w:color="auto"/>
                <w:bottom w:val="none" w:sz="0" w:space="0" w:color="auto"/>
                <w:right w:val="none" w:sz="0" w:space="0" w:color="auto"/>
              </w:divBdr>
            </w:div>
            <w:div w:id="1549535206">
              <w:marLeft w:val="0"/>
              <w:marRight w:val="0"/>
              <w:marTop w:val="0"/>
              <w:marBottom w:val="0"/>
              <w:divBdr>
                <w:top w:val="none" w:sz="0" w:space="0" w:color="auto"/>
                <w:left w:val="none" w:sz="0" w:space="0" w:color="auto"/>
                <w:bottom w:val="none" w:sz="0" w:space="0" w:color="auto"/>
                <w:right w:val="none" w:sz="0" w:space="0" w:color="auto"/>
              </w:divBdr>
            </w:div>
            <w:div w:id="1624534031">
              <w:marLeft w:val="0"/>
              <w:marRight w:val="0"/>
              <w:marTop w:val="0"/>
              <w:marBottom w:val="0"/>
              <w:divBdr>
                <w:top w:val="none" w:sz="0" w:space="0" w:color="auto"/>
                <w:left w:val="none" w:sz="0" w:space="0" w:color="auto"/>
                <w:bottom w:val="none" w:sz="0" w:space="0" w:color="auto"/>
                <w:right w:val="none" w:sz="0" w:space="0" w:color="auto"/>
              </w:divBdr>
            </w:div>
            <w:div w:id="1730030868">
              <w:marLeft w:val="0"/>
              <w:marRight w:val="0"/>
              <w:marTop w:val="0"/>
              <w:marBottom w:val="0"/>
              <w:divBdr>
                <w:top w:val="none" w:sz="0" w:space="0" w:color="auto"/>
                <w:left w:val="none" w:sz="0" w:space="0" w:color="auto"/>
                <w:bottom w:val="none" w:sz="0" w:space="0" w:color="auto"/>
                <w:right w:val="none" w:sz="0" w:space="0" w:color="auto"/>
              </w:divBdr>
            </w:div>
          </w:divsChild>
        </w:div>
        <w:div w:id="1883205000">
          <w:marLeft w:val="0"/>
          <w:marRight w:val="0"/>
          <w:marTop w:val="0"/>
          <w:marBottom w:val="0"/>
          <w:divBdr>
            <w:top w:val="none" w:sz="0" w:space="0" w:color="auto"/>
            <w:left w:val="none" w:sz="0" w:space="0" w:color="auto"/>
            <w:bottom w:val="none" w:sz="0" w:space="0" w:color="auto"/>
            <w:right w:val="none" w:sz="0" w:space="0" w:color="auto"/>
          </w:divBdr>
        </w:div>
        <w:div w:id="1883205272">
          <w:marLeft w:val="0"/>
          <w:marRight w:val="0"/>
          <w:marTop w:val="0"/>
          <w:marBottom w:val="0"/>
          <w:divBdr>
            <w:top w:val="none" w:sz="0" w:space="0" w:color="auto"/>
            <w:left w:val="none" w:sz="0" w:space="0" w:color="auto"/>
            <w:bottom w:val="none" w:sz="0" w:space="0" w:color="auto"/>
            <w:right w:val="none" w:sz="0" w:space="0" w:color="auto"/>
          </w:divBdr>
          <w:divsChild>
            <w:div w:id="81687791">
              <w:marLeft w:val="0"/>
              <w:marRight w:val="0"/>
              <w:marTop w:val="0"/>
              <w:marBottom w:val="0"/>
              <w:divBdr>
                <w:top w:val="none" w:sz="0" w:space="0" w:color="auto"/>
                <w:left w:val="none" w:sz="0" w:space="0" w:color="auto"/>
                <w:bottom w:val="none" w:sz="0" w:space="0" w:color="auto"/>
                <w:right w:val="none" w:sz="0" w:space="0" w:color="auto"/>
              </w:divBdr>
            </w:div>
            <w:div w:id="82265326">
              <w:marLeft w:val="0"/>
              <w:marRight w:val="0"/>
              <w:marTop w:val="0"/>
              <w:marBottom w:val="0"/>
              <w:divBdr>
                <w:top w:val="none" w:sz="0" w:space="0" w:color="auto"/>
                <w:left w:val="none" w:sz="0" w:space="0" w:color="auto"/>
                <w:bottom w:val="none" w:sz="0" w:space="0" w:color="auto"/>
                <w:right w:val="none" w:sz="0" w:space="0" w:color="auto"/>
              </w:divBdr>
            </w:div>
            <w:div w:id="409694112">
              <w:marLeft w:val="0"/>
              <w:marRight w:val="0"/>
              <w:marTop w:val="0"/>
              <w:marBottom w:val="0"/>
              <w:divBdr>
                <w:top w:val="none" w:sz="0" w:space="0" w:color="auto"/>
                <w:left w:val="none" w:sz="0" w:space="0" w:color="auto"/>
                <w:bottom w:val="none" w:sz="0" w:space="0" w:color="auto"/>
                <w:right w:val="none" w:sz="0" w:space="0" w:color="auto"/>
              </w:divBdr>
            </w:div>
            <w:div w:id="521170493">
              <w:marLeft w:val="0"/>
              <w:marRight w:val="0"/>
              <w:marTop w:val="0"/>
              <w:marBottom w:val="0"/>
              <w:divBdr>
                <w:top w:val="none" w:sz="0" w:space="0" w:color="auto"/>
                <w:left w:val="none" w:sz="0" w:space="0" w:color="auto"/>
                <w:bottom w:val="none" w:sz="0" w:space="0" w:color="auto"/>
                <w:right w:val="none" w:sz="0" w:space="0" w:color="auto"/>
              </w:divBdr>
            </w:div>
            <w:div w:id="616452553">
              <w:marLeft w:val="0"/>
              <w:marRight w:val="0"/>
              <w:marTop w:val="0"/>
              <w:marBottom w:val="0"/>
              <w:divBdr>
                <w:top w:val="none" w:sz="0" w:space="0" w:color="auto"/>
                <w:left w:val="none" w:sz="0" w:space="0" w:color="auto"/>
                <w:bottom w:val="none" w:sz="0" w:space="0" w:color="auto"/>
                <w:right w:val="none" w:sz="0" w:space="0" w:color="auto"/>
              </w:divBdr>
            </w:div>
            <w:div w:id="676688292">
              <w:marLeft w:val="0"/>
              <w:marRight w:val="0"/>
              <w:marTop w:val="0"/>
              <w:marBottom w:val="0"/>
              <w:divBdr>
                <w:top w:val="none" w:sz="0" w:space="0" w:color="auto"/>
                <w:left w:val="none" w:sz="0" w:space="0" w:color="auto"/>
                <w:bottom w:val="none" w:sz="0" w:space="0" w:color="auto"/>
                <w:right w:val="none" w:sz="0" w:space="0" w:color="auto"/>
              </w:divBdr>
            </w:div>
            <w:div w:id="786042253">
              <w:marLeft w:val="0"/>
              <w:marRight w:val="0"/>
              <w:marTop w:val="0"/>
              <w:marBottom w:val="0"/>
              <w:divBdr>
                <w:top w:val="none" w:sz="0" w:space="0" w:color="auto"/>
                <w:left w:val="none" w:sz="0" w:space="0" w:color="auto"/>
                <w:bottom w:val="none" w:sz="0" w:space="0" w:color="auto"/>
                <w:right w:val="none" w:sz="0" w:space="0" w:color="auto"/>
              </w:divBdr>
            </w:div>
            <w:div w:id="873464509">
              <w:marLeft w:val="0"/>
              <w:marRight w:val="0"/>
              <w:marTop w:val="0"/>
              <w:marBottom w:val="0"/>
              <w:divBdr>
                <w:top w:val="none" w:sz="0" w:space="0" w:color="auto"/>
                <w:left w:val="none" w:sz="0" w:space="0" w:color="auto"/>
                <w:bottom w:val="none" w:sz="0" w:space="0" w:color="auto"/>
                <w:right w:val="none" w:sz="0" w:space="0" w:color="auto"/>
              </w:divBdr>
            </w:div>
            <w:div w:id="1020084722">
              <w:marLeft w:val="0"/>
              <w:marRight w:val="0"/>
              <w:marTop w:val="0"/>
              <w:marBottom w:val="0"/>
              <w:divBdr>
                <w:top w:val="none" w:sz="0" w:space="0" w:color="auto"/>
                <w:left w:val="none" w:sz="0" w:space="0" w:color="auto"/>
                <w:bottom w:val="none" w:sz="0" w:space="0" w:color="auto"/>
                <w:right w:val="none" w:sz="0" w:space="0" w:color="auto"/>
              </w:divBdr>
            </w:div>
            <w:div w:id="1165442083">
              <w:marLeft w:val="0"/>
              <w:marRight w:val="0"/>
              <w:marTop w:val="0"/>
              <w:marBottom w:val="0"/>
              <w:divBdr>
                <w:top w:val="none" w:sz="0" w:space="0" w:color="auto"/>
                <w:left w:val="none" w:sz="0" w:space="0" w:color="auto"/>
                <w:bottom w:val="none" w:sz="0" w:space="0" w:color="auto"/>
                <w:right w:val="none" w:sz="0" w:space="0" w:color="auto"/>
              </w:divBdr>
            </w:div>
            <w:div w:id="1477378671">
              <w:marLeft w:val="0"/>
              <w:marRight w:val="0"/>
              <w:marTop w:val="0"/>
              <w:marBottom w:val="0"/>
              <w:divBdr>
                <w:top w:val="none" w:sz="0" w:space="0" w:color="auto"/>
                <w:left w:val="none" w:sz="0" w:space="0" w:color="auto"/>
                <w:bottom w:val="none" w:sz="0" w:space="0" w:color="auto"/>
                <w:right w:val="none" w:sz="0" w:space="0" w:color="auto"/>
              </w:divBdr>
            </w:div>
            <w:div w:id="1527983715">
              <w:marLeft w:val="0"/>
              <w:marRight w:val="0"/>
              <w:marTop w:val="0"/>
              <w:marBottom w:val="0"/>
              <w:divBdr>
                <w:top w:val="none" w:sz="0" w:space="0" w:color="auto"/>
                <w:left w:val="none" w:sz="0" w:space="0" w:color="auto"/>
                <w:bottom w:val="none" w:sz="0" w:space="0" w:color="auto"/>
                <w:right w:val="none" w:sz="0" w:space="0" w:color="auto"/>
              </w:divBdr>
            </w:div>
            <w:div w:id="1851682433">
              <w:marLeft w:val="0"/>
              <w:marRight w:val="0"/>
              <w:marTop w:val="0"/>
              <w:marBottom w:val="0"/>
              <w:divBdr>
                <w:top w:val="none" w:sz="0" w:space="0" w:color="auto"/>
                <w:left w:val="none" w:sz="0" w:space="0" w:color="auto"/>
                <w:bottom w:val="none" w:sz="0" w:space="0" w:color="auto"/>
                <w:right w:val="none" w:sz="0" w:space="0" w:color="auto"/>
              </w:divBdr>
            </w:div>
            <w:div w:id="1899245027">
              <w:marLeft w:val="0"/>
              <w:marRight w:val="0"/>
              <w:marTop w:val="0"/>
              <w:marBottom w:val="0"/>
              <w:divBdr>
                <w:top w:val="none" w:sz="0" w:space="0" w:color="auto"/>
                <w:left w:val="none" w:sz="0" w:space="0" w:color="auto"/>
                <w:bottom w:val="none" w:sz="0" w:space="0" w:color="auto"/>
                <w:right w:val="none" w:sz="0" w:space="0" w:color="auto"/>
              </w:divBdr>
            </w:div>
            <w:div w:id="2009676613">
              <w:marLeft w:val="0"/>
              <w:marRight w:val="0"/>
              <w:marTop w:val="0"/>
              <w:marBottom w:val="0"/>
              <w:divBdr>
                <w:top w:val="none" w:sz="0" w:space="0" w:color="auto"/>
                <w:left w:val="none" w:sz="0" w:space="0" w:color="auto"/>
                <w:bottom w:val="none" w:sz="0" w:space="0" w:color="auto"/>
                <w:right w:val="none" w:sz="0" w:space="0" w:color="auto"/>
              </w:divBdr>
            </w:div>
            <w:div w:id="2076321599">
              <w:marLeft w:val="0"/>
              <w:marRight w:val="0"/>
              <w:marTop w:val="0"/>
              <w:marBottom w:val="0"/>
              <w:divBdr>
                <w:top w:val="none" w:sz="0" w:space="0" w:color="auto"/>
                <w:left w:val="none" w:sz="0" w:space="0" w:color="auto"/>
                <w:bottom w:val="none" w:sz="0" w:space="0" w:color="auto"/>
                <w:right w:val="none" w:sz="0" w:space="0" w:color="auto"/>
              </w:divBdr>
            </w:div>
          </w:divsChild>
        </w:div>
        <w:div w:id="1883253047">
          <w:marLeft w:val="0"/>
          <w:marRight w:val="0"/>
          <w:marTop w:val="0"/>
          <w:marBottom w:val="0"/>
          <w:divBdr>
            <w:top w:val="none" w:sz="0" w:space="0" w:color="auto"/>
            <w:left w:val="none" w:sz="0" w:space="0" w:color="auto"/>
            <w:bottom w:val="none" w:sz="0" w:space="0" w:color="auto"/>
            <w:right w:val="none" w:sz="0" w:space="0" w:color="auto"/>
          </w:divBdr>
        </w:div>
        <w:div w:id="1885409195">
          <w:marLeft w:val="0"/>
          <w:marRight w:val="0"/>
          <w:marTop w:val="0"/>
          <w:marBottom w:val="0"/>
          <w:divBdr>
            <w:top w:val="none" w:sz="0" w:space="0" w:color="auto"/>
            <w:left w:val="none" w:sz="0" w:space="0" w:color="auto"/>
            <w:bottom w:val="none" w:sz="0" w:space="0" w:color="auto"/>
            <w:right w:val="none" w:sz="0" w:space="0" w:color="auto"/>
          </w:divBdr>
        </w:div>
        <w:div w:id="1885479555">
          <w:marLeft w:val="0"/>
          <w:marRight w:val="0"/>
          <w:marTop w:val="0"/>
          <w:marBottom w:val="0"/>
          <w:divBdr>
            <w:top w:val="none" w:sz="0" w:space="0" w:color="auto"/>
            <w:left w:val="none" w:sz="0" w:space="0" w:color="auto"/>
            <w:bottom w:val="none" w:sz="0" w:space="0" w:color="auto"/>
            <w:right w:val="none" w:sz="0" w:space="0" w:color="auto"/>
          </w:divBdr>
        </w:div>
        <w:div w:id="1885485950">
          <w:marLeft w:val="0"/>
          <w:marRight w:val="0"/>
          <w:marTop w:val="0"/>
          <w:marBottom w:val="0"/>
          <w:divBdr>
            <w:top w:val="none" w:sz="0" w:space="0" w:color="auto"/>
            <w:left w:val="none" w:sz="0" w:space="0" w:color="auto"/>
            <w:bottom w:val="none" w:sz="0" w:space="0" w:color="auto"/>
            <w:right w:val="none" w:sz="0" w:space="0" w:color="auto"/>
          </w:divBdr>
        </w:div>
        <w:div w:id="1890529568">
          <w:marLeft w:val="0"/>
          <w:marRight w:val="0"/>
          <w:marTop w:val="0"/>
          <w:marBottom w:val="0"/>
          <w:divBdr>
            <w:top w:val="none" w:sz="0" w:space="0" w:color="auto"/>
            <w:left w:val="none" w:sz="0" w:space="0" w:color="auto"/>
            <w:bottom w:val="none" w:sz="0" w:space="0" w:color="auto"/>
            <w:right w:val="none" w:sz="0" w:space="0" w:color="auto"/>
          </w:divBdr>
        </w:div>
        <w:div w:id="1890723583">
          <w:marLeft w:val="0"/>
          <w:marRight w:val="0"/>
          <w:marTop w:val="0"/>
          <w:marBottom w:val="0"/>
          <w:divBdr>
            <w:top w:val="none" w:sz="0" w:space="0" w:color="auto"/>
            <w:left w:val="none" w:sz="0" w:space="0" w:color="auto"/>
            <w:bottom w:val="none" w:sz="0" w:space="0" w:color="auto"/>
            <w:right w:val="none" w:sz="0" w:space="0" w:color="auto"/>
          </w:divBdr>
        </w:div>
        <w:div w:id="1891721032">
          <w:marLeft w:val="0"/>
          <w:marRight w:val="0"/>
          <w:marTop w:val="0"/>
          <w:marBottom w:val="0"/>
          <w:divBdr>
            <w:top w:val="none" w:sz="0" w:space="0" w:color="auto"/>
            <w:left w:val="none" w:sz="0" w:space="0" w:color="auto"/>
            <w:bottom w:val="none" w:sz="0" w:space="0" w:color="auto"/>
            <w:right w:val="none" w:sz="0" w:space="0" w:color="auto"/>
          </w:divBdr>
        </w:div>
        <w:div w:id="1892036487">
          <w:marLeft w:val="0"/>
          <w:marRight w:val="0"/>
          <w:marTop w:val="0"/>
          <w:marBottom w:val="0"/>
          <w:divBdr>
            <w:top w:val="none" w:sz="0" w:space="0" w:color="auto"/>
            <w:left w:val="none" w:sz="0" w:space="0" w:color="auto"/>
            <w:bottom w:val="none" w:sz="0" w:space="0" w:color="auto"/>
            <w:right w:val="none" w:sz="0" w:space="0" w:color="auto"/>
          </w:divBdr>
        </w:div>
        <w:div w:id="1897467675">
          <w:marLeft w:val="0"/>
          <w:marRight w:val="0"/>
          <w:marTop w:val="0"/>
          <w:marBottom w:val="0"/>
          <w:divBdr>
            <w:top w:val="none" w:sz="0" w:space="0" w:color="auto"/>
            <w:left w:val="none" w:sz="0" w:space="0" w:color="auto"/>
            <w:bottom w:val="none" w:sz="0" w:space="0" w:color="auto"/>
            <w:right w:val="none" w:sz="0" w:space="0" w:color="auto"/>
          </w:divBdr>
        </w:div>
        <w:div w:id="1898202136">
          <w:marLeft w:val="0"/>
          <w:marRight w:val="0"/>
          <w:marTop w:val="0"/>
          <w:marBottom w:val="0"/>
          <w:divBdr>
            <w:top w:val="none" w:sz="0" w:space="0" w:color="auto"/>
            <w:left w:val="none" w:sz="0" w:space="0" w:color="auto"/>
            <w:bottom w:val="none" w:sz="0" w:space="0" w:color="auto"/>
            <w:right w:val="none" w:sz="0" w:space="0" w:color="auto"/>
          </w:divBdr>
        </w:div>
        <w:div w:id="1900048200">
          <w:marLeft w:val="0"/>
          <w:marRight w:val="0"/>
          <w:marTop w:val="0"/>
          <w:marBottom w:val="0"/>
          <w:divBdr>
            <w:top w:val="none" w:sz="0" w:space="0" w:color="auto"/>
            <w:left w:val="none" w:sz="0" w:space="0" w:color="auto"/>
            <w:bottom w:val="none" w:sz="0" w:space="0" w:color="auto"/>
            <w:right w:val="none" w:sz="0" w:space="0" w:color="auto"/>
          </w:divBdr>
        </w:div>
        <w:div w:id="1904870421">
          <w:marLeft w:val="0"/>
          <w:marRight w:val="0"/>
          <w:marTop w:val="0"/>
          <w:marBottom w:val="0"/>
          <w:divBdr>
            <w:top w:val="none" w:sz="0" w:space="0" w:color="auto"/>
            <w:left w:val="none" w:sz="0" w:space="0" w:color="auto"/>
            <w:bottom w:val="none" w:sz="0" w:space="0" w:color="auto"/>
            <w:right w:val="none" w:sz="0" w:space="0" w:color="auto"/>
          </w:divBdr>
        </w:div>
        <w:div w:id="1905136315">
          <w:marLeft w:val="0"/>
          <w:marRight w:val="0"/>
          <w:marTop w:val="0"/>
          <w:marBottom w:val="0"/>
          <w:divBdr>
            <w:top w:val="none" w:sz="0" w:space="0" w:color="auto"/>
            <w:left w:val="none" w:sz="0" w:space="0" w:color="auto"/>
            <w:bottom w:val="none" w:sz="0" w:space="0" w:color="auto"/>
            <w:right w:val="none" w:sz="0" w:space="0" w:color="auto"/>
          </w:divBdr>
        </w:div>
        <w:div w:id="1905219921">
          <w:marLeft w:val="0"/>
          <w:marRight w:val="0"/>
          <w:marTop w:val="0"/>
          <w:marBottom w:val="0"/>
          <w:divBdr>
            <w:top w:val="none" w:sz="0" w:space="0" w:color="auto"/>
            <w:left w:val="none" w:sz="0" w:space="0" w:color="auto"/>
            <w:bottom w:val="none" w:sz="0" w:space="0" w:color="auto"/>
            <w:right w:val="none" w:sz="0" w:space="0" w:color="auto"/>
          </w:divBdr>
        </w:div>
        <w:div w:id="1906185647">
          <w:marLeft w:val="0"/>
          <w:marRight w:val="0"/>
          <w:marTop w:val="0"/>
          <w:marBottom w:val="0"/>
          <w:divBdr>
            <w:top w:val="none" w:sz="0" w:space="0" w:color="auto"/>
            <w:left w:val="none" w:sz="0" w:space="0" w:color="auto"/>
            <w:bottom w:val="none" w:sz="0" w:space="0" w:color="auto"/>
            <w:right w:val="none" w:sz="0" w:space="0" w:color="auto"/>
          </w:divBdr>
        </w:div>
        <w:div w:id="1906523374">
          <w:marLeft w:val="0"/>
          <w:marRight w:val="0"/>
          <w:marTop w:val="0"/>
          <w:marBottom w:val="0"/>
          <w:divBdr>
            <w:top w:val="none" w:sz="0" w:space="0" w:color="auto"/>
            <w:left w:val="none" w:sz="0" w:space="0" w:color="auto"/>
            <w:bottom w:val="none" w:sz="0" w:space="0" w:color="auto"/>
            <w:right w:val="none" w:sz="0" w:space="0" w:color="auto"/>
          </w:divBdr>
        </w:div>
        <w:div w:id="1907183360">
          <w:marLeft w:val="0"/>
          <w:marRight w:val="0"/>
          <w:marTop w:val="0"/>
          <w:marBottom w:val="0"/>
          <w:divBdr>
            <w:top w:val="none" w:sz="0" w:space="0" w:color="auto"/>
            <w:left w:val="none" w:sz="0" w:space="0" w:color="auto"/>
            <w:bottom w:val="none" w:sz="0" w:space="0" w:color="auto"/>
            <w:right w:val="none" w:sz="0" w:space="0" w:color="auto"/>
          </w:divBdr>
        </w:div>
        <w:div w:id="1907494230">
          <w:marLeft w:val="0"/>
          <w:marRight w:val="0"/>
          <w:marTop w:val="0"/>
          <w:marBottom w:val="0"/>
          <w:divBdr>
            <w:top w:val="none" w:sz="0" w:space="0" w:color="auto"/>
            <w:left w:val="none" w:sz="0" w:space="0" w:color="auto"/>
            <w:bottom w:val="none" w:sz="0" w:space="0" w:color="auto"/>
            <w:right w:val="none" w:sz="0" w:space="0" w:color="auto"/>
          </w:divBdr>
        </w:div>
        <w:div w:id="1909459878">
          <w:marLeft w:val="0"/>
          <w:marRight w:val="0"/>
          <w:marTop w:val="0"/>
          <w:marBottom w:val="0"/>
          <w:divBdr>
            <w:top w:val="none" w:sz="0" w:space="0" w:color="auto"/>
            <w:left w:val="none" w:sz="0" w:space="0" w:color="auto"/>
            <w:bottom w:val="none" w:sz="0" w:space="0" w:color="auto"/>
            <w:right w:val="none" w:sz="0" w:space="0" w:color="auto"/>
          </w:divBdr>
        </w:div>
        <w:div w:id="1910189802">
          <w:marLeft w:val="0"/>
          <w:marRight w:val="0"/>
          <w:marTop w:val="0"/>
          <w:marBottom w:val="0"/>
          <w:divBdr>
            <w:top w:val="none" w:sz="0" w:space="0" w:color="auto"/>
            <w:left w:val="none" w:sz="0" w:space="0" w:color="auto"/>
            <w:bottom w:val="none" w:sz="0" w:space="0" w:color="auto"/>
            <w:right w:val="none" w:sz="0" w:space="0" w:color="auto"/>
          </w:divBdr>
        </w:div>
        <w:div w:id="1911378122">
          <w:marLeft w:val="0"/>
          <w:marRight w:val="0"/>
          <w:marTop w:val="0"/>
          <w:marBottom w:val="0"/>
          <w:divBdr>
            <w:top w:val="none" w:sz="0" w:space="0" w:color="auto"/>
            <w:left w:val="none" w:sz="0" w:space="0" w:color="auto"/>
            <w:bottom w:val="none" w:sz="0" w:space="0" w:color="auto"/>
            <w:right w:val="none" w:sz="0" w:space="0" w:color="auto"/>
          </w:divBdr>
        </w:div>
        <w:div w:id="1911498541">
          <w:marLeft w:val="0"/>
          <w:marRight w:val="0"/>
          <w:marTop w:val="0"/>
          <w:marBottom w:val="0"/>
          <w:divBdr>
            <w:top w:val="none" w:sz="0" w:space="0" w:color="auto"/>
            <w:left w:val="none" w:sz="0" w:space="0" w:color="auto"/>
            <w:bottom w:val="none" w:sz="0" w:space="0" w:color="auto"/>
            <w:right w:val="none" w:sz="0" w:space="0" w:color="auto"/>
          </w:divBdr>
        </w:div>
        <w:div w:id="1912424790">
          <w:marLeft w:val="0"/>
          <w:marRight w:val="0"/>
          <w:marTop w:val="0"/>
          <w:marBottom w:val="0"/>
          <w:divBdr>
            <w:top w:val="none" w:sz="0" w:space="0" w:color="auto"/>
            <w:left w:val="none" w:sz="0" w:space="0" w:color="auto"/>
            <w:bottom w:val="none" w:sz="0" w:space="0" w:color="auto"/>
            <w:right w:val="none" w:sz="0" w:space="0" w:color="auto"/>
          </w:divBdr>
        </w:div>
        <w:div w:id="1914122988">
          <w:marLeft w:val="0"/>
          <w:marRight w:val="0"/>
          <w:marTop w:val="0"/>
          <w:marBottom w:val="0"/>
          <w:divBdr>
            <w:top w:val="none" w:sz="0" w:space="0" w:color="auto"/>
            <w:left w:val="none" w:sz="0" w:space="0" w:color="auto"/>
            <w:bottom w:val="none" w:sz="0" w:space="0" w:color="auto"/>
            <w:right w:val="none" w:sz="0" w:space="0" w:color="auto"/>
          </w:divBdr>
        </w:div>
        <w:div w:id="1920216644">
          <w:marLeft w:val="0"/>
          <w:marRight w:val="0"/>
          <w:marTop w:val="0"/>
          <w:marBottom w:val="0"/>
          <w:divBdr>
            <w:top w:val="none" w:sz="0" w:space="0" w:color="auto"/>
            <w:left w:val="none" w:sz="0" w:space="0" w:color="auto"/>
            <w:bottom w:val="none" w:sz="0" w:space="0" w:color="auto"/>
            <w:right w:val="none" w:sz="0" w:space="0" w:color="auto"/>
          </w:divBdr>
        </w:div>
        <w:div w:id="1923299763">
          <w:marLeft w:val="0"/>
          <w:marRight w:val="0"/>
          <w:marTop w:val="0"/>
          <w:marBottom w:val="0"/>
          <w:divBdr>
            <w:top w:val="none" w:sz="0" w:space="0" w:color="auto"/>
            <w:left w:val="none" w:sz="0" w:space="0" w:color="auto"/>
            <w:bottom w:val="none" w:sz="0" w:space="0" w:color="auto"/>
            <w:right w:val="none" w:sz="0" w:space="0" w:color="auto"/>
          </w:divBdr>
        </w:div>
        <w:div w:id="1923561192">
          <w:marLeft w:val="0"/>
          <w:marRight w:val="0"/>
          <w:marTop w:val="0"/>
          <w:marBottom w:val="0"/>
          <w:divBdr>
            <w:top w:val="none" w:sz="0" w:space="0" w:color="auto"/>
            <w:left w:val="none" w:sz="0" w:space="0" w:color="auto"/>
            <w:bottom w:val="none" w:sz="0" w:space="0" w:color="auto"/>
            <w:right w:val="none" w:sz="0" w:space="0" w:color="auto"/>
          </w:divBdr>
        </w:div>
        <w:div w:id="1925263384">
          <w:marLeft w:val="0"/>
          <w:marRight w:val="0"/>
          <w:marTop w:val="0"/>
          <w:marBottom w:val="0"/>
          <w:divBdr>
            <w:top w:val="none" w:sz="0" w:space="0" w:color="auto"/>
            <w:left w:val="none" w:sz="0" w:space="0" w:color="auto"/>
            <w:bottom w:val="none" w:sz="0" w:space="0" w:color="auto"/>
            <w:right w:val="none" w:sz="0" w:space="0" w:color="auto"/>
          </w:divBdr>
        </w:div>
        <w:div w:id="1927225639">
          <w:marLeft w:val="0"/>
          <w:marRight w:val="0"/>
          <w:marTop w:val="0"/>
          <w:marBottom w:val="0"/>
          <w:divBdr>
            <w:top w:val="none" w:sz="0" w:space="0" w:color="auto"/>
            <w:left w:val="none" w:sz="0" w:space="0" w:color="auto"/>
            <w:bottom w:val="none" w:sz="0" w:space="0" w:color="auto"/>
            <w:right w:val="none" w:sz="0" w:space="0" w:color="auto"/>
          </w:divBdr>
        </w:div>
        <w:div w:id="1928348238">
          <w:marLeft w:val="0"/>
          <w:marRight w:val="0"/>
          <w:marTop w:val="0"/>
          <w:marBottom w:val="0"/>
          <w:divBdr>
            <w:top w:val="none" w:sz="0" w:space="0" w:color="auto"/>
            <w:left w:val="none" w:sz="0" w:space="0" w:color="auto"/>
            <w:bottom w:val="none" w:sz="0" w:space="0" w:color="auto"/>
            <w:right w:val="none" w:sz="0" w:space="0" w:color="auto"/>
          </w:divBdr>
        </w:div>
        <w:div w:id="1932199272">
          <w:marLeft w:val="0"/>
          <w:marRight w:val="0"/>
          <w:marTop w:val="0"/>
          <w:marBottom w:val="0"/>
          <w:divBdr>
            <w:top w:val="none" w:sz="0" w:space="0" w:color="auto"/>
            <w:left w:val="none" w:sz="0" w:space="0" w:color="auto"/>
            <w:bottom w:val="none" w:sz="0" w:space="0" w:color="auto"/>
            <w:right w:val="none" w:sz="0" w:space="0" w:color="auto"/>
          </w:divBdr>
        </w:div>
        <w:div w:id="1934122700">
          <w:marLeft w:val="0"/>
          <w:marRight w:val="0"/>
          <w:marTop w:val="0"/>
          <w:marBottom w:val="0"/>
          <w:divBdr>
            <w:top w:val="none" w:sz="0" w:space="0" w:color="auto"/>
            <w:left w:val="none" w:sz="0" w:space="0" w:color="auto"/>
            <w:bottom w:val="none" w:sz="0" w:space="0" w:color="auto"/>
            <w:right w:val="none" w:sz="0" w:space="0" w:color="auto"/>
          </w:divBdr>
        </w:div>
        <w:div w:id="1934245109">
          <w:marLeft w:val="0"/>
          <w:marRight w:val="0"/>
          <w:marTop w:val="0"/>
          <w:marBottom w:val="0"/>
          <w:divBdr>
            <w:top w:val="none" w:sz="0" w:space="0" w:color="auto"/>
            <w:left w:val="none" w:sz="0" w:space="0" w:color="auto"/>
            <w:bottom w:val="none" w:sz="0" w:space="0" w:color="auto"/>
            <w:right w:val="none" w:sz="0" w:space="0" w:color="auto"/>
          </w:divBdr>
        </w:div>
        <w:div w:id="1934782203">
          <w:marLeft w:val="0"/>
          <w:marRight w:val="0"/>
          <w:marTop w:val="0"/>
          <w:marBottom w:val="0"/>
          <w:divBdr>
            <w:top w:val="none" w:sz="0" w:space="0" w:color="auto"/>
            <w:left w:val="none" w:sz="0" w:space="0" w:color="auto"/>
            <w:bottom w:val="none" w:sz="0" w:space="0" w:color="auto"/>
            <w:right w:val="none" w:sz="0" w:space="0" w:color="auto"/>
          </w:divBdr>
        </w:div>
        <w:div w:id="1936356683">
          <w:marLeft w:val="0"/>
          <w:marRight w:val="0"/>
          <w:marTop w:val="0"/>
          <w:marBottom w:val="0"/>
          <w:divBdr>
            <w:top w:val="none" w:sz="0" w:space="0" w:color="auto"/>
            <w:left w:val="none" w:sz="0" w:space="0" w:color="auto"/>
            <w:bottom w:val="none" w:sz="0" w:space="0" w:color="auto"/>
            <w:right w:val="none" w:sz="0" w:space="0" w:color="auto"/>
          </w:divBdr>
        </w:div>
        <w:div w:id="1936818144">
          <w:marLeft w:val="0"/>
          <w:marRight w:val="0"/>
          <w:marTop w:val="0"/>
          <w:marBottom w:val="0"/>
          <w:divBdr>
            <w:top w:val="none" w:sz="0" w:space="0" w:color="auto"/>
            <w:left w:val="none" w:sz="0" w:space="0" w:color="auto"/>
            <w:bottom w:val="none" w:sz="0" w:space="0" w:color="auto"/>
            <w:right w:val="none" w:sz="0" w:space="0" w:color="auto"/>
          </w:divBdr>
        </w:div>
        <w:div w:id="1936866701">
          <w:marLeft w:val="0"/>
          <w:marRight w:val="0"/>
          <w:marTop w:val="0"/>
          <w:marBottom w:val="0"/>
          <w:divBdr>
            <w:top w:val="none" w:sz="0" w:space="0" w:color="auto"/>
            <w:left w:val="none" w:sz="0" w:space="0" w:color="auto"/>
            <w:bottom w:val="none" w:sz="0" w:space="0" w:color="auto"/>
            <w:right w:val="none" w:sz="0" w:space="0" w:color="auto"/>
          </w:divBdr>
        </w:div>
        <w:div w:id="1938293691">
          <w:marLeft w:val="0"/>
          <w:marRight w:val="0"/>
          <w:marTop w:val="0"/>
          <w:marBottom w:val="0"/>
          <w:divBdr>
            <w:top w:val="none" w:sz="0" w:space="0" w:color="auto"/>
            <w:left w:val="none" w:sz="0" w:space="0" w:color="auto"/>
            <w:bottom w:val="none" w:sz="0" w:space="0" w:color="auto"/>
            <w:right w:val="none" w:sz="0" w:space="0" w:color="auto"/>
          </w:divBdr>
        </w:div>
        <w:div w:id="1938363859">
          <w:marLeft w:val="0"/>
          <w:marRight w:val="0"/>
          <w:marTop w:val="0"/>
          <w:marBottom w:val="0"/>
          <w:divBdr>
            <w:top w:val="none" w:sz="0" w:space="0" w:color="auto"/>
            <w:left w:val="none" w:sz="0" w:space="0" w:color="auto"/>
            <w:bottom w:val="none" w:sz="0" w:space="0" w:color="auto"/>
            <w:right w:val="none" w:sz="0" w:space="0" w:color="auto"/>
          </w:divBdr>
          <w:divsChild>
            <w:div w:id="196622749">
              <w:marLeft w:val="0"/>
              <w:marRight w:val="0"/>
              <w:marTop w:val="0"/>
              <w:marBottom w:val="0"/>
              <w:divBdr>
                <w:top w:val="none" w:sz="0" w:space="0" w:color="auto"/>
                <w:left w:val="none" w:sz="0" w:space="0" w:color="auto"/>
                <w:bottom w:val="none" w:sz="0" w:space="0" w:color="auto"/>
                <w:right w:val="none" w:sz="0" w:space="0" w:color="auto"/>
              </w:divBdr>
            </w:div>
            <w:div w:id="209079067">
              <w:marLeft w:val="0"/>
              <w:marRight w:val="0"/>
              <w:marTop w:val="0"/>
              <w:marBottom w:val="0"/>
              <w:divBdr>
                <w:top w:val="none" w:sz="0" w:space="0" w:color="auto"/>
                <w:left w:val="none" w:sz="0" w:space="0" w:color="auto"/>
                <w:bottom w:val="none" w:sz="0" w:space="0" w:color="auto"/>
                <w:right w:val="none" w:sz="0" w:space="0" w:color="auto"/>
              </w:divBdr>
            </w:div>
            <w:div w:id="253055795">
              <w:marLeft w:val="0"/>
              <w:marRight w:val="0"/>
              <w:marTop w:val="0"/>
              <w:marBottom w:val="0"/>
              <w:divBdr>
                <w:top w:val="none" w:sz="0" w:space="0" w:color="auto"/>
                <w:left w:val="none" w:sz="0" w:space="0" w:color="auto"/>
                <w:bottom w:val="none" w:sz="0" w:space="0" w:color="auto"/>
                <w:right w:val="none" w:sz="0" w:space="0" w:color="auto"/>
              </w:divBdr>
            </w:div>
            <w:div w:id="609434755">
              <w:marLeft w:val="0"/>
              <w:marRight w:val="0"/>
              <w:marTop w:val="0"/>
              <w:marBottom w:val="0"/>
              <w:divBdr>
                <w:top w:val="none" w:sz="0" w:space="0" w:color="auto"/>
                <w:left w:val="none" w:sz="0" w:space="0" w:color="auto"/>
                <w:bottom w:val="none" w:sz="0" w:space="0" w:color="auto"/>
                <w:right w:val="none" w:sz="0" w:space="0" w:color="auto"/>
              </w:divBdr>
            </w:div>
            <w:div w:id="924462484">
              <w:marLeft w:val="0"/>
              <w:marRight w:val="0"/>
              <w:marTop w:val="0"/>
              <w:marBottom w:val="0"/>
              <w:divBdr>
                <w:top w:val="none" w:sz="0" w:space="0" w:color="auto"/>
                <w:left w:val="none" w:sz="0" w:space="0" w:color="auto"/>
                <w:bottom w:val="none" w:sz="0" w:space="0" w:color="auto"/>
                <w:right w:val="none" w:sz="0" w:space="0" w:color="auto"/>
              </w:divBdr>
            </w:div>
            <w:div w:id="1038966614">
              <w:marLeft w:val="0"/>
              <w:marRight w:val="0"/>
              <w:marTop w:val="0"/>
              <w:marBottom w:val="0"/>
              <w:divBdr>
                <w:top w:val="none" w:sz="0" w:space="0" w:color="auto"/>
                <w:left w:val="none" w:sz="0" w:space="0" w:color="auto"/>
                <w:bottom w:val="none" w:sz="0" w:space="0" w:color="auto"/>
                <w:right w:val="none" w:sz="0" w:space="0" w:color="auto"/>
              </w:divBdr>
            </w:div>
            <w:div w:id="1173569116">
              <w:marLeft w:val="0"/>
              <w:marRight w:val="0"/>
              <w:marTop w:val="0"/>
              <w:marBottom w:val="0"/>
              <w:divBdr>
                <w:top w:val="none" w:sz="0" w:space="0" w:color="auto"/>
                <w:left w:val="none" w:sz="0" w:space="0" w:color="auto"/>
                <w:bottom w:val="none" w:sz="0" w:space="0" w:color="auto"/>
                <w:right w:val="none" w:sz="0" w:space="0" w:color="auto"/>
              </w:divBdr>
            </w:div>
            <w:div w:id="1191607290">
              <w:marLeft w:val="0"/>
              <w:marRight w:val="0"/>
              <w:marTop w:val="0"/>
              <w:marBottom w:val="0"/>
              <w:divBdr>
                <w:top w:val="none" w:sz="0" w:space="0" w:color="auto"/>
                <w:left w:val="none" w:sz="0" w:space="0" w:color="auto"/>
                <w:bottom w:val="none" w:sz="0" w:space="0" w:color="auto"/>
                <w:right w:val="none" w:sz="0" w:space="0" w:color="auto"/>
              </w:divBdr>
            </w:div>
            <w:div w:id="1247760547">
              <w:marLeft w:val="0"/>
              <w:marRight w:val="0"/>
              <w:marTop w:val="0"/>
              <w:marBottom w:val="0"/>
              <w:divBdr>
                <w:top w:val="none" w:sz="0" w:space="0" w:color="auto"/>
                <w:left w:val="none" w:sz="0" w:space="0" w:color="auto"/>
                <w:bottom w:val="none" w:sz="0" w:space="0" w:color="auto"/>
                <w:right w:val="none" w:sz="0" w:space="0" w:color="auto"/>
              </w:divBdr>
            </w:div>
            <w:div w:id="1457598037">
              <w:marLeft w:val="0"/>
              <w:marRight w:val="0"/>
              <w:marTop w:val="0"/>
              <w:marBottom w:val="0"/>
              <w:divBdr>
                <w:top w:val="none" w:sz="0" w:space="0" w:color="auto"/>
                <w:left w:val="none" w:sz="0" w:space="0" w:color="auto"/>
                <w:bottom w:val="none" w:sz="0" w:space="0" w:color="auto"/>
                <w:right w:val="none" w:sz="0" w:space="0" w:color="auto"/>
              </w:divBdr>
            </w:div>
            <w:div w:id="1552570204">
              <w:marLeft w:val="0"/>
              <w:marRight w:val="0"/>
              <w:marTop w:val="0"/>
              <w:marBottom w:val="0"/>
              <w:divBdr>
                <w:top w:val="none" w:sz="0" w:space="0" w:color="auto"/>
                <w:left w:val="none" w:sz="0" w:space="0" w:color="auto"/>
                <w:bottom w:val="none" w:sz="0" w:space="0" w:color="auto"/>
                <w:right w:val="none" w:sz="0" w:space="0" w:color="auto"/>
              </w:divBdr>
            </w:div>
            <w:div w:id="1646743697">
              <w:marLeft w:val="0"/>
              <w:marRight w:val="0"/>
              <w:marTop w:val="0"/>
              <w:marBottom w:val="0"/>
              <w:divBdr>
                <w:top w:val="none" w:sz="0" w:space="0" w:color="auto"/>
                <w:left w:val="none" w:sz="0" w:space="0" w:color="auto"/>
                <w:bottom w:val="none" w:sz="0" w:space="0" w:color="auto"/>
                <w:right w:val="none" w:sz="0" w:space="0" w:color="auto"/>
              </w:divBdr>
            </w:div>
            <w:div w:id="1775049741">
              <w:marLeft w:val="0"/>
              <w:marRight w:val="0"/>
              <w:marTop w:val="0"/>
              <w:marBottom w:val="0"/>
              <w:divBdr>
                <w:top w:val="none" w:sz="0" w:space="0" w:color="auto"/>
                <w:left w:val="none" w:sz="0" w:space="0" w:color="auto"/>
                <w:bottom w:val="none" w:sz="0" w:space="0" w:color="auto"/>
                <w:right w:val="none" w:sz="0" w:space="0" w:color="auto"/>
              </w:divBdr>
            </w:div>
            <w:div w:id="1878618849">
              <w:marLeft w:val="0"/>
              <w:marRight w:val="0"/>
              <w:marTop w:val="0"/>
              <w:marBottom w:val="0"/>
              <w:divBdr>
                <w:top w:val="none" w:sz="0" w:space="0" w:color="auto"/>
                <w:left w:val="none" w:sz="0" w:space="0" w:color="auto"/>
                <w:bottom w:val="none" w:sz="0" w:space="0" w:color="auto"/>
                <w:right w:val="none" w:sz="0" w:space="0" w:color="auto"/>
              </w:divBdr>
            </w:div>
            <w:div w:id="2016111916">
              <w:marLeft w:val="0"/>
              <w:marRight w:val="0"/>
              <w:marTop w:val="0"/>
              <w:marBottom w:val="0"/>
              <w:divBdr>
                <w:top w:val="none" w:sz="0" w:space="0" w:color="auto"/>
                <w:left w:val="none" w:sz="0" w:space="0" w:color="auto"/>
                <w:bottom w:val="none" w:sz="0" w:space="0" w:color="auto"/>
                <w:right w:val="none" w:sz="0" w:space="0" w:color="auto"/>
              </w:divBdr>
            </w:div>
            <w:div w:id="2130971282">
              <w:marLeft w:val="0"/>
              <w:marRight w:val="0"/>
              <w:marTop w:val="0"/>
              <w:marBottom w:val="0"/>
              <w:divBdr>
                <w:top w:val="none" w:sz="0" w:space="0" w:color="auto"/>
                <w:left w:val="none" w:sz="0" w:space="0" w:color="auto"/>
                <w:bottom w:val="none" w:sz="0" w:space="0" w:color="auto"/>
                <w:right w:val="none" w:sz="0" w:space="0" w:color="auto"/>
              </w:divBdr>
            </w:div>
            <w:div w:id="2132937707">
              <w:marLeft w:val="0"/>
              <w:marRight w:val="0"/>
              <w:marTop w:val="0"/>
              <w:marBottom w:val="0"/>
              <w:divBdr>
                <w:top w:val="none" w:sz="0" w:space="0" w:color="auto"/>
                <w:left w:val="none" w:sz="0" w:space="0" w:color="auto"/>
                <w:bottom w:val="none" w:sz="0" w:space="0" w:color="auto"/>
                <w:right w:val="none" w:sz="0" w:space="0" w:color="auto"/>
              </w:divBdr>
            </w:div>
          </w:divsChild>
        </w:div>
        <w:div w:id="1938364051">
          <w:marLeft w:val="0"/>
          <w:marRight w:val="0"/>
          <w:marTop w:val="0"/>
          <w:marBottom w:val="0"/>
          <w:divBdr>
            <w:top w:val="none" w:sz="0" w:space="0" w:color="auto"/>
            <w:left w:val="none" w:sz="0" w:space="0" w:color="auto"/>
            <w:bottom w:val="none" w:sz="0" w:space="0" w:color="auto"/>
            <w:right w:val="none" w:sz="0" w:space="0" w:color="auto"/>
          </w:divBdr>
        </w:div>
        <w:div w:id="1939634497">
          <w:marLeft w:val="0"/>
          <w:marRight w:val="0"/>
          <w:marTop w:val="0"/>
          <w:marBottom w:val="0"/>
          <w:divBdr>
            <w:top w:val="none" w:sz="0" w:space="0" w:color="auto"/>
            <w:left w:val="none" w:sz="0" w:space="0" w:color="auto"/>
            <w:bottom w:val="none" w:sz="0" w:space="0" w:color="auto"/>
            <w:right w:val="none" w:sz="0" w:space="0" w:color="auto"/>
          </w:divBdr>
        </w:div>
        <w:div w:id="1941061796">
          <w:marLeft w:val="0"/>
          <w:marRight w:val="0"/>
          <w:marTop w:val="0"/>
          <w:marBottom w:val="0"/>
          <w:divBdr>
            <w:top w:val="none" w:sz="0" w:space="0" w:color="auto"/>
            <w:left w:val="none" w:sz="0" w:space="0" w:color="auto"/>
            <w:bottom w:val="none" w:sz="0" w:space="0" w:color="auto"/>
            <w:right w:val="none" w:sz="0" w:space="0" w:color="auto"/>
          </w:divBdr>
        </w:div>
        <w:div w:id="1941721806">
          <w:marLeft w:val="0"/>
          <w:marRight w:val="0"/>
          <w:marTop w:val="0"/>
          <w:marBottom w:val="0"/>
          <w:divBdr>
            <w:top w:val="none" w:sz="0" w:space="0" w:color="auto"/>
            <w:left w:val="none" w:sz="0" w:space="0" w:color="auto"/>
            <w:bottom w:val="none" w:sz="0" w:space="0" w:color="auto"/>
            <w:right w:val="none" w:sz="0" w:space="0" w:color="auto"/>
          </w:divBdr>
        </w:div>
        <w:div w:id="1942567375">
          <w:marLeft w:val="0"/>
          <w:marRight w:val="0"/>
          <w:marTop w:val="0"/>
          <w:marBottom w:val="0"/>
          <w:divBdr>
            <w:top w:val="none" w:sz="0" w:space="0" w:color="auto"/>
            <w:left w:val="none" w:sz="0" w:space="0" w:color="auto"/>
            <w:bottom w:val="none" w:sz="0" w:space="0" w:color="auto"/>
            <w:right w:val="none" w:sz="0" w:space="0" w:color="auto"/>
          </w:divBdr>
        </w:div>
        <w:div w:id="1944143016">
          <w:marLeft w:val="0"/>
          <w:marRight w:val="0"/>
          <w:marTop w:val="0"/>
          <w:marBottom w:val="0"/>
          <w:divBdr>
            <w:top w:val="none" w:sz="0" w:space="0" w:color="auto"/>
            <w:left w:val="none" w:sz="0" w:space="0" w:color="auto"/>
            <w:bottom w:val="none" w:sz="0" w:space="0" w:color="auto"/>
            <w:right w:val="none" w:sz="0" w:space="0" w:color="auto"/>
          </w:divBdr>
        </w:div>
        <w:div w:id="1944143490">
          <w:marLeft w:val="0"/>
          <w:marRight w:val="0"/>
          <w:marTop w:val="0"/>
          <w:marBottom w:val="0"/>
          <w:divBdr>
            <w:top w:val="none" w:sz="0" w:space="0" w:color="auto"/>
            <w:left w:val="none" w:sz="0" w:space="0" w:color="auto"/>
            <w:bottom w:val="none" w:sz="0" w:space="0" w:color="auto"/>
            <w:right w:val="none" w:sz="0" w:space="0" w:color="auto"/>
          </w:divBdr>
        </w:div>
        <w:div w:id="1944193163">
          <w:marLeft w:val="0"/>
          <w:marRight w:val="0"/>
          <w:marTop w:val="0"/>
          <w:marBottom w:val="0"/>
          <w:divBdr>
            <w:top w:val="none" w:sz="0" w:space="0" w:color="auto"/>
            <w:left w:val="none" w:sz="0" w:space="0" w:color="auto"/>
            <w:bottom w:val="none" w:sz="0" w:space="0" w:color="auto"/>
            <w:right w:val="none" w:sz="0" w:space="0" w:color="auto"/>
          </w:divBdr>
        </w:div>
        <w:div w:id="1944337330">
          <w:marLeft w:val="0"/>
          <w:marRight w:val="0"/>
          <w:marTop w:val="0"/>
          <w:marBottom w:val="0"/>
          <w:divBdr>
            <w:top w:val="none" w:sz="0" w:space="0" w:color="auto"/>
            <w:left w:val="none" w:sz="0" w:space="0" w:color="auto"/>
            <w:bottom w:val="none" w:sz="0" w:space="0" w:color="auto"/>
            <w:right w:val="none" w:sz="0" w:space="0" w:color="auto"/>
          </w:divBdr>
        </w:div>
        <w:div w:id="1944410191">
          <w:marLeft w:val="0"/>
          <w:marRight w:val="0"/>
          <w:marTop w:val="0"/>
          <w:marBottom w:val="0"/>
          <w:divBdr>
            <w:top w:val="none" w:sz="0" w:space="0" w:color="auto"/>
            <w:left w:val="none" w:sz="0" w:space="0" w:color="auto"/>
            <w:bottom w:val="none" w:sz="0" w:space="0" w:color="auto"/>
            <w:right w:val="none" w:sz="0" w:space="0" w:color="auto"/>
          </w:divBdr>
        </w:div>
        <w:div w:id="1944528089">
          <w:marLeft w:val="0"/>
          <w:marRight w:val="0"/>
          <w:marTop w:val="0"/>
          <w:marBottom w:val="0"/>
          <w:divBdr>
            <w:top w:val="none" w:sz="0" w:space="0" w:color="auto"/>
            <w:left w:val="none" w:sz="0" w:space="0" w:color="auto"/>
            <w:bottom w:val="none" w:sz="0" w:space="0" w:color="auto"/>
            <w:right w:val="none" w:sz="0" w:space="0" w:color="auto"/>
          </w:divBdr>
        </w:div>
        <w:div w:id="1945191396">
          <w:marLeft w:val="0"/>
          <w:marRight w:val="0"/>
          <w:marTop w:val="0"/>
          <w:marBottom w:val="0"/>
          <w:divBdr>
            <w:top w:val="none" w:sz="0" w:space="0" w:color="auto"/>
            <w:left w:val="none" w:sz="0" w:space="0" w:color="auto"/>
            <w:bottom w:val="none" w:sz="0" w:space="0" w:color="auto"/>
            <w:right w:val="none" w:sz="0" w:space="0" w:color="auto"/>
          </w:divBdr>
        </w:div>
        <w:div w:id="1945992846">
          <w:marLeft w:val="0"/>
          <w:marRight w:val="0"/>
          <w:marTop w:val="0"/>
          <w:marBottom w:val="0"/>
          <w:divBdr>
            <w:top w:val="none" w:sz="0" w:space="0" w:color="auto"/>
            <w:left w:val="none" w:sz="0" w:space="0" w:color="auto"/>
            <w:bottom w:val="none" w:sz="0" w:space="0" w:color="auto"/>
            <w:right w:val="none" w:sz="0" w:space="0" w:color="auto"/>
          </w:divBdr>
        </w:div>
        <w:div w:id="1946231534">
          <w:marLeft w:val="0"/>
          <w:marRight w:val="0"/>
          <w:marTop w:val="0"/>
          <w:marBottom w:val="0"/>
          <w:divBdr>
            <w:top w:val="none" w:sz="0" w:space="0" w:color="auto"/>
            <w:left w:val="none" w:sz="0" w:space="0" w:color="auto"/>
            <w:bottom w:val="none" w:sz="0" w:space="0" w:color="auto"/>
            <w:right w:val="none" w:sz="0" w:space="0" w:color="auto"/>
          </w:divBdr>
        </w:div>
        <w:div w:id="1948198486">
          <w:marLeft w:val="0"/>
          <w:marRight w:val="0"/>
          <w:marTop w:val="0"/>
          <w:marBottom w:val="0"/>
          <w:divBdr>
            <w:top w:val="none" w:sz="0" w:space="0" w:color="auto"/>
            <w:left w:val="none" w:sz="0" w:space="0" w:color="auto"/>
            <w:bottom w:val="none" w:sz="0" w:space="0" w:color="auto"/>
            <w:right w:val="none" w:sz="0" w:space="0" w:color="auto"/>
          </w:divBdr>
        </w:div>
        <w:div w:id="1951738476">
          <w:marLeft w:val="0"/>
          <w:marRight w:val="0"/>
          <w:marTop w:val="0"/>
          <w:marBottom w:val="0"/>
          <w:divBdr>
            <w:top w:val="none" w:sz="0" w:space="0" w:color="auto"/>
            <w:left w:val="none" w:sz="0" w:space="0" w:color="auto"/>
            <w:bottom w:val="none" w:sz="0" w:space="0" w:color="auto"/>
            <w:right w:val="none" w:sz="0" w:space="0" w:color="auto"/>
          </w:divBdr>
        </w:div>
        <w:div w:id="1951819988">
          <w:marLeft w:val="0"/>
          <w:marRight w:val="0"/>
          <w:marTop w:val="0"/>
          <w:marBottom w:val="0"/>
          <w:divBdr>
            <w:top w:val="none" w:sz="0" w:space="0" w:color="auto"/>
            <w:left w:val="none" w:sz="0" w:space="0" w:color="auto"/>
            <w:bottom w:val="none" w:sz="0" w:space="0" w:color="auto"/>
            <w:right w:val="none" w:sz="0" w:space="0" w:color="auto"/>
          </w:divBdr>
        </w:div>
        <w:div w:id="1956211418">
          <w:marLeft w:val="0"/>
          <w:marRight w:val="0"/>
          <w:marTop w:val="0"/>
          <w:marBottom w:val="0"/>
          <w:divBdr>
            <w:top w:val="none" w:sz="0" w:space="0" w:color="auto"/>
            <w:left w:val="none" w:sz="0" w:space="0" w:color="auto"/>
            <w:bottom w:val="none" w:sz="0" w:space="0" w:color="auto"/>
            <w:right w:val="none" w:sz="0" w:space="0" w:color="auto"/>
          </w:divBdr>
        </w:div>
        <w:div w:id="1956906730">
          <w:marLeft w:val="0"/>
          <w:marRight w:val="0"/>
          <w:marTop w:val="0"/>
          <w:marBottom w:val="0"/>
          <w:divBdr>
            <w:top w:val="none" w:sz="0" w:space="0" w:color="auto"/>
            <w:left w:val="none" w:sz="0" w:space="0" w:color="auto"/>
            <w:bottom w:val="none" w:sz="0" w:space="0" w:color="auto"/>
            <w:right w:val="none" w:sz="0" w:space="0" w:color="auto"/>
          </w:divBdr>
        </w:div>
        <w:div w:id="1956909768">
          <w:marLeft w:val="0"/>
          <w:marRight w:val="0"/>
          <w:marTop w:val="0"/>
          <w:marBottom w:val="0"/>
          <w:divBdr>
            <w:top w:val="none" w:sz="0" w:space="0" w:color="auto"/>
            <w:left w:val="none" w:sz="0" w:space="0" w:color="auto"/>
            <w:bottom w:val="none" w:sz="0" w:space="0" w:color="auto"/>
            <w:right w:val="none" w:sz="0" w:space="0" w:color="auto"/>
          </w:divBdr>
        </w:div>
        <w:div w:id="1957440290">
          <w:marLeft w:val="0"/>
          <w:marRight w:val="0"/>
          <w:marTop w:val="0"/>
          <w:marBottom w:val="0"/>
          <w:divBdr>
            <w:top w:val="none" w:sz="0" w:space="0" w:color="auto"/>
            <w:left w:val="none" w:sz="0" w:space="0" w:color="auto"/>
            <w:bottom w:val="none" w:sz="0" w:space="0" w:color="auto"/>
            <w:right w:val="none" w:sz="0" w:space="0" w:color="auto"/>
          </w:divBdr>
        </w:div>
        <w:div w:id="1957760307">
          <w:marLeft w:val="0"/>
          <w:marRight w:val="0"/>
          <w:marTop w:val="0"/>
          <w:marBottom w:val="0"/>
          <w:divBdr>
            <w:top w:val="none" w:sz="0" w:space="0" w:color="auto"/>
            <w:left w:val="none" w:sz="0" w:space="0" w:color="auto"/>
            <w:bottom w:val="none" w:sz="0" w:space="0" w:color="auto"/>
            <w:right w:val="none" w:sz="0" w:space="0" w:color="auto"/>
          </w:divBdr>
        </w:div>
        <w:div w:id="1957785469">
          <w:marLeft w:val="0"/>
          <w:marRight w:val="0"/>
          <w:marTop w:val="0"/>
          <w:marBottom w:val="0"/>
          <w:divBdr>
            <w:top w:val="none" w:sz="0" w:space="0" w:color="auto"/>
            <w:left w:val="none" w:sz="0" w:space="0" w:color="auto"/>
            <w:bottom w:val="none" w:sz="0" w:space="0" w:color="auto"/>
            <w:right w:val="none" w:sz="0" w:space="0" w:color="auto"/>
          </w:divBdr>
        </w:div>
        <w:div w:id="1959602753">
          <w:marLeft w:val="0"/>
          <w:marRight w:val="0"/>
          <w:marTop w:val="0"/>
          <w:marBottom w:val="0"/>
          <w:divBdr>
            <w:top w:val="none" w:sz="0" w:space="0" w:color="auto"/>
            <w:left w:val="none" w:sz="0" w:space="0" w:color="auto"/>
            <w:bottom w:val="none" w:sz="0" w:space="0" w:color="auto"/>
            <w:right w:val="none" w:sz="0" w:space="0" w:color="auto"/>
          </w:divBdr>
          <w:divsChild>
            <w:div w:id="767390884">
              <w:marLeft w:val="-75"/>
              <w:marRight w:val="0"/>
              <w:marTop w:val="30"/>
              <w:marBottom w:val="30"/>
              <w:divBdr>
                <w:top w:val="none" w:sz="0" w:space="0" w:color="auto"/>
                <w:left w:val="none" w:sz="0" w:space="0" w:color="auto"/>
                <w:bottom w:val="none" w:sz="0" w:space="0" w:color="auto"/>
                <w:right w:val="none" w:sz="0" w:space="0" w:color="auto"/>
              </w:divBdr>
              <w:divsChild>
                <w:div w:id="70540549">
                  <w:marLeft w:val="0"/>
                  <w:marRight w:val="0"/>
                  <w:marTop w:val="0"/>
                  <w:marBottom w:val="0"/>
                  <w:divBdr>
                    <w:top w:val="none" w:sz="0" w:space="0" w:color="auto"/>
                    <w:left w:val="none" w:sz="0" w:space="0" w:color="auto"/>
                    <w:bottom w:val="none" w:sz="0" w:space="0" w:color="auto"/>
                    <w:right w:val="none" w:sz="0" w:space="0" w:color="auto"/>
                  </w:divBdr>
                  <w:divsChild>
                    <w:div w:id="287201887">
                      <w:marLeft w:val="0"/>
                      <w:marRight w:val="0"/>
                      <w:marTop w:val="0"/>
                      <w:marBottom w:val="0"/>
                      <w:divBdr>
                        <w:top w:val="none" w:sz="0" w:space="0" w:color="auto"/>
                        <w:left w:val="none" w:sz="0" w:space="0" w:color="auto"/>
                        <w:bottom w:val="none" w:sz="0" w:space="0" w:color="auto"/>
                        <w:right w:val="none" w:sz="0" w:space="0" w:color="auto"/>
                      </w:divBdr>
                    </w:div>
                  </w:divsChild>
                </w:div>
                <w:div w:id="118570343">
                  <w:marLeft w:val="0"/>
                  <w:marRight w:val="0"/>
                  <w:marTop w:val="0"/>
                  <w:marBottom w:val="0"/>
                  <w:divBdr>
                    <w:top w:val="none" w:sz="0" w:space="0" w:color="auto"/>
                    <w:left w:val="none" w:sz="0" w:space="0" w:color="auto"/>
                    <w:bottom w:val="none" w:sz="0" w:space="0" w:color="auto"/>
                    <w:right w:val="none" w:sz="0" w:space="0" w:color="auto"/>
                  </w:divBdr>
                  <w:divsChild>
                    <w:div w:id="631637883">
                      <w:marLeft w:val="0"/>
                      <w:marRight w:val="0"/>
                      <w:marTop w:val="0"/>
                      <w:marBottom w:val="0"/>
                      <w:divBdr>
                        <w:top w:val="none" w:sz="0" w:space="0" w:color="auto"/>
                        <w:left w:val="none" w:sz="0" w:space="0" w:color="auto"/>
                        <w:bottom w:val="none" w:sz="0" w:space="0" w:color="auto"/>
                        <w:right w:val="none" w:sz="0" w:space="0" w:color="auto"/>
                      </w:divBdr>
                    </w:div>
                  </w:divsChild>
                </w:div>
                <w:div w:id="154416425">
                  <w:marLeft w:val="0"/>
                  <w:marRight w:val="0"/>
                  <w:marTop w:val="0"/>
                  <w:marBottom w:val="0"/>
                  <w:divBdr>
                    <w:top w:val="none" w:sz="0" w:space="0" w:color="auto"/>
                    <w:left w:val="none" w:sz="0" w:space="0" w:color="auto"/>
                    <w:bottom w:val="none" w:sz="0" w:space="0" w:color="auto"/>
                    <w:right w:val="none" w:sz="0" w:space="0" w:color="auto"/>
                  </w:divBdr>
                  <w:divsChild>
                    <w:div w:id="172032781">
                      <w:marLeft w:val="0"/>
                      <w:marRight w:val="0"/>
                      <w:marTop w:val="0"/>
                      <w:marBottom w:val="0"/>
                      <w:divBdr>
                        <w:top w:val="none" w:sz="0" w:space="0" w:color="auto"/>
                        <w:left w:val="none" w:sz="0" w:space="0" w:color="auto"/>
                        <w:bottom w:val="none" w:sz="0" w:space="0" w:color="auto"/>
                        <w:right w:val="none" w:sz="0" w:space="0" w:color="auto"/>
                      </w:divBdr>
                    </w:div>
                  </w:divsChild>
                </w:div>
                <w:div w:id="173224881">
                  <w:marLeft w:val="0"/>
                  <w:marRight w:val="0"/>
                  <w:marTop w:val="0"/>
                  <w:marBottom w:val="0"/>
                  <w:divBdr>
                    <w:top w:val="none" w:sz="0" w:space="0" w:color="auto"/>
                    <w:left w:val="none" w:sz="0" w:space="0" w:color="auto"/>
                    <w:bottom w:val="none" w:sz="0" w:space="0" w:color="auto"/>
                    <w:right w:val="none" w:sz="0" w:space="0" w:color="auto"/>
                  </w:divBdr>
                  <w:divsChild>
                    <w:div w:id="1360934562">
                      <w:marLeft w:val="0"/>
                      <w:marRight w:val="0"/>
                      <w:marTop w:val="0"/>
                      <w:marBottom w:val="0"/>
                      <w:divBdr>
                        <w:top w:val="none" w:sz="0" w:space="0" w:color="auto"/>
                        <w:left w:val="none" w:sz="0" w:space="0" w:color="auto"/>
                        <w:bottom w:val="none" w:sz="0" w:space="0" w:color="auto"/>
                        <w:right w:val="none" w:sz="0" w:space="0" w:color="auto"/>
                      </w:divBdr>
                    </w:div>
                  </w:divsChild>
                </w:div>
                <w:div w:id="178325102">
                  <w:marLeft w:val="0"/>
                  <w:marRight w:val="0"/>
                  <w:marTop w:val="0"/>
                  <w:marBottom w:val="0"/>
                  <w:divBdr>
                    <w:top w:val="none" w:sz="0" w:space="0" w:color="auto"/>
                    <w:left w:val="none" w:sz="0" w:space="0" w:color="auto"/>
                    <w:bottom w:val="none" w:sz="0" w:space="0" w:color="auto"/>
                    <w:right w:val="none" w:sz="0" w:space="0" w:color="auto"/>
                  </w:divBdr>
                  <w:divsChild>
                    <w:div w:id="1827431855">
                      <w:marLeft w:val="0"/>
                      <w:marRight w:val="0"/>
                      <w:marTop w:val="0"/>
                      <w:marBottom w:val="0"/>
                      <w:divBdr>
                        <w:top w:val="none" w:sz="0" w:space="0" w:color="auto"/>
                        <w:left w:val="none" w:sz="0" w:space="0" w:color="auto"/>
                        <w:bottom w:val="none" w:sz="0" w:space="0" w:color="auto"/>
                        <w:right w:val="none" w:sz="0" w:space="0" w:color="auto"/>
                      </w:divBdr>
                    </w:div>
                  </w:divsChild>
                </w:div>
                <w:div w:id="305280379">
                  <w:marLeft w:val="0"/>
                  <w:marRight w:val="0"/>
                  <w:marTop w:val="0"/>
                  <w:marBottom w:val="0"/>
                  <w:divBdr>
                    <w:top w:val="none" w:sz="0" w:space="0" w:color="auto"/>
                    <w:left w:val="none" w:sz="0" w:space="0" w:color="auto"/>
                    <w:bottom w:val="none" w:sz="0" w:space="0" w:color="auto"/>
                    <w:right w:val="none" w:sz="0" w:space="0" w:color="auto"/>
                  </w:divBdr>
                  <w:divsChild>
                    <w:div w:id="1190753876">
                      <w:marLeft w:val="0"/>
                      <w:marRight w:val="0"/>
                      <w:marTop w:val="0"/>
                      <w:marBottom w:val="0"/>
                      <w:divBdr>
                        <w:top w:val="none" w:sz="0" w:space="0" w:color="auto"/>
                        <w:left w:val="none" w:sz="0" w:space="0" w:color="auto"/>
                        <w:bottom w:val="none" w:sz="0" w:space="0" w:color="auto"/>
                        <w:right w:val="none" w:sz="0" w:space="0" w:color="auto"/>
                      </w:divBdr>
                    </w:div>
                  </w:divsChild>
                </w:div>
                <w:div w:id="458646051">
                  <w:marLeft w:val="0"/>
                  <w:marRight w:val="0"/>
                  <w:marTop w:val="0"/>
                  <w:marBottom w:val="0"/>
                  <w:divBdr>
                    <w:top w:val="none" w:sz="0" w:space="0" w:color="auto"/>
                    <w:left w:val="none" w:sz="0" w:space="0" w:color="auto"/>
                    <w:bottom w:val="none" w:sz="0" w:space="0" w:color="auto"/>
                    <w:right w:val="none" w:sz="0" w:space="0" w:color="auto"/>
                  </w:divBdr>
                  <w:divsChild>
                    <w:div w:id="1946307433">
                      <w:marLeft w:val="0"/>
                      <w:marRight w:val="0"/>
                      <w:marTop w:val="0"/>
                      <w:marBottom w:val="0"/>
                      <w:divBdr>
                        <w:top w:val="none" w:sz="0" w:space="0" w:color="auto"/>
                        <w:left w:val="none" w:sz="0" w:space="0" w:color="auto"/>
                        <w:bottom w:val="none" w:sz="0" w:space="0" w:color="auto"/>
                        <w:right w:val="none" w:sz="0" w:space="0" w:color="auto"/>
                      </w:divBdr>
                    </w:div>
                  </w:divsChild>
                </w:div>
                <w:div w:id="517239913">
                  <w:marLeft w:val="0"/>
                  <w:marRight w:val="0"/>
                  <w:marTop w:val="0"/>
                  <w:marBottom w:val="0"/>
                  <w:divBdr>
                    <w:top w:val="none" w:sz="0" w:space="0" w:color="auto"/>
                    <w:left w:val="none" w:sz="0" w:space="0" w:color="auto"/>
                    <w:bottom w:val="none" w:sz="0" w:space="0" w:color="auto"/>
                    <w:right w:val="none" w:sz="0" w:space="0" w:color="auto"/>
                  </w:divBdr>
                  <w:divsChild>
                    <w:div w:id="1470047539">
                      <w:marLeft w:val="0"/>
                      <w:marRight w:val="0"/>
                      <w:marTop w:val="0"/>
                      <w:marBottom w:val="0"/>
                      <w:divBdr>
                        <w:top w:val="none" w:sz="0" w:space="0" w:color="auto"/>
                        <w:left w:val="none" w:sz="0" w:space="0" w:color="auto"/>
                        <w:bottom w:val="none" w:sz="0" w:space="0" w:color="auto"/>
                        <w:right w:val="none" w:sz="0" w:space="0" w:color="auto"/>
                      </w:divBdr>
                    </w:div>
                  </w:divsChild>
                </w:div>
                <w:div w:id="568266671">
                  <w:marLeft w:val="0"/>
                  <w:marRight w:val="0"/>
                  <w:marTop w:val="0"/>
                  <w:marBottom w:val="0"/>
                  <w:divBdr>
                    <w:top w:val="none" w:sz="0" w:space="0" w:color="auto"/>
                    <w:left w:val="none" w:sz="0" w:space="0" w:color="auto"/>
                    <w:bottom w:val="none" w:sz="0" w:space="0" w:color="auto"/>
                    <w:right w:val="none" w:sz="0" w:space="0" w:color="auto"/>
                  </w:divBdr>
                  <w:divsChild>
                    <w:div w:id="1475021312">
                      <w:marLeft w:val="0"/>
                      <w:marRight w:val="0"/>
                      <w:marTop w:val="0"/>
                      <w:marBottom w:val="0"/>
                      <w:divBdr>
                        <w:top w:val="none" w:sz="0" w:space="0" w:color="auto"/>
                        <w:left w:val="none" w:sz="0" w:space="0" w:color="auto"/>
                        <w:bottom w:val="none" w:sz="0" w:space="0" w:color="auto"/>
                        <w:right w:val="none" w:sz="0" w:space="0" w:color="auto"/>
                      </w:divBdr>
                    </w:div>
                  </w:divsChild>
                </w:div>
                <w:div w:id="603730483">
                  <w:marLeft w:val="0"/>
                  <w:marRight w:val="0"/>
                  <w:marTop w:val="0"/>
                  <w:marBottom w:val="0"/>
                  <w:divBdr>
                    <w:top w:val="none" w:sz="0" w:space="0" w:color="auto"/>
                    <w:left w:val="none" w:sz="0" w:space="0" w:color="auto"/>
                    <w:bottom w:val="none" w:sz="0" w:space="0" w:color="auto"/>
                    <w:right w:val="none" w:sz="0" w:space="0" w:color="auto"/>
                  </w:divBdr>
                  <w:divsChild>
                    <w:div w:id="1240672697">
                      <w:marLeft w:val="0"/>
                      <w:marRight w:val="0"/>
                      <w:marTop w:val="0"/>
                      <w:marBottom w:val="0"/>
                      <w:divBdr>
                        <w:top w:val="none" w:sz="0" w:space="0" w:color="auto"/>
                        <w:left w:val="none" w:sz="0" w:space="0" w:color="auto"/>
                        <w:bottom w:val="none" w:sz="0" w:space="0" w:color="auto"/>
                        <w:right w:val="none" w:sz="0" w:space="0" w:color="auto"/>
                      </w:divBdr>
                    </w:div>
                  </w:divsChild>
                </w:div>
                <w:div w:id="617756971">
                  <w:marLeft w:val="0"/>
                  <w:marRight w:val="0"/>
                  <w:marTop w:val="0"/>
                  <w:marBottom w:val="0"/>
                  <w:divBdr>
                    <w:top w:val="none" w:sz="0" w:space="0" w:color="auto"/>
                    <w:left w:val="none" w:sz="0" w:space="0" w:color="auto"/>
                    <w:bottom w:val="none" w:sz="0" w:space="0" w:color="auto"/>
                    <w:right w:val="none" w:sz="0" w:space="0" w:color="auto"/>
                  </w:divBdr>
                  <w:divsChild>
                    <w:div w:id="962612197">
                      <w:marLeft w:val="0"/>
                      <w:marRight w:val="0"/>
                      <w:marTop w:val="0"/>
                      <w:marBottom w:val="0"/>
                      <w:divBdr>
                        <w:top w:val="none" w:sz="0" w:space="0" w:color="auto"/>
                        <w:left w:val="none" w:sz="0" w:space="0" w:color="auto"/>
                        <w:bottom w:val="none" w:sz="0" w:space="0" w:color="auto"/>
                        <w:right w:val="none" w:sz="0" w:space="0" w:color="auto"/>
                      </w:divBdr>
                    </w:div>
                  </w:divsChild>
                </w:div>
                <w:div w:id="637688234">
                  <w:marLeft w:val="0"/>
                  <w:marRight w:val="0"/>
                  <w:marTop w:val="0"/>
                  <w:marBottom w:val="0"/>
                  <w:divBdr>
                    <w:top w:val="none" w:sz="0" w:space="0" w:color="auto"/>
                    <w:left w:val="none" w:sz="0" w:space="0" w:color="auto"/>
                    <w:bottom w:val="none" w:sz="0" w:space="0" w:color="auto"/>
                    <w:right w:val="none" w:sz="0" w:space="0" w:color="auto"/>
                  </w:divBdr>
                  <w:divsChild>
                    <w:div w:id="1637418799">
                      <w:marLeft w:val="0"/>
                      <w:marRight w:val="0"/>
                      <w:marTop w:val="0"/>
                      <w:marBottom w:val="0"/>
                      <w:divBdr>
                        <w:top w:val="none" w:sz="0" w:space="0" w:color="auto"/>
                        <w:left w:val="none" w:sz="0" w:space="0" w:color="auto"/>
                        <w:bottom w:val="none" w:sz="0" w:space="0" w:color="auto"/>
                        <w:right w:val="none" w:sz="0" w:space="0" w:color="auto"/>
                      </w:divBdr>
                    </w:div>
                  </w:divsChild>
                </w:div>
                <w:div w:id="717558678">
                  <w:marLeft w:val="0"/>
                  <w:marRight w:val="0"/>
                  <w:marTop w:val="0"/>
                  <w:marBottom w:val="0"/>
                  <w:divBdr>
                    <w:top w:val="none" w:sz="0" w:space="0" w:color="auto"/>
                    <w:left w:val="none" w:sz="0" w:space="0" w:color="auto"/>
                    <w:bottom w:val="none" w:sz="0" w:space="0" w:color="auto"/>
                    <w:right w:val="none" w:sz="0" w:space="0" w:color="auto"/>
                  </w:divBdr>
                  <w:divsChild>
                    <w:div w:id="171726675">
                      <w:marLeft w:val="0"/>
                      <w:marRight w:val="0"/>
                      <w:marTop w:val="0"/>
                      <w:marBottom w:val="0"/>
                      <w:divBdr>
                        <w:top w:val="none" w:sz="0" w:space="0" w:color="auto"/>
                        <w:left w:val="none" w:sz="0" w:space="0" w:color="auto"/>
                        <w:bottom w:val="none" w:sz="0" w:space="0" w:color="auto"/>
                        <w:right w:val="none" w:sz="0" w:space="0" w:color="auto"/>
                      </w:divBdr>
                    </w:div>
                  </w:divsChild>
                </w:div>
                <w:div w:id="772438633">
                  <w:marLeft w:val="0"/>
                  <w:marRight w:val="0"/>
                  <w:marTop w:val="0"/>
                  <w:marBottom w:val="0"/>
                  <w:divBdr>
                    <w:top w:val="none" w:sz="0" w:space="0" w:color="auto"/>
                    <w:left w:val="none" w:sz="0" w:space="0" w:color="auto"/>
                    <w:bottom w:val="none" w:sz="0" w:space="0" w:color="auto"/>
                    <w:right w:val="none" w:sz="0" w:space="0" w:color="auto"/>
                  </w:divBdr>
                  <w:divsChild>
                    <w:div w:id="1592081577">
                      <w:marLeft w:val="0"/>
                      <w:marRight w:val="0"/>
                      <w:marTop w:val="0"/>
                      <w:marBottom w:val="0"/>
                      <w:divBdr>
                        <w:top w:val="none" w:sz="0" w:space="0" w:color="auto"/>
                        <w:left w:val="none" w:sz="0" w:space="0" w:color="auto"/>
                        <w:bottom w:val="none" w:sz="0" w:space="0" w:color="auto"/>
                        <w:right w:val="none" w:sz="0" w:space="0" w:color="auto"/>
                      </w:divBdr>
                    </w:div>
                  </w:divsChild>
                </w:div>
                <w:div w:id="807547796">
                  <w:marLeft w:val="0"/>
                  <w:marRight w:val="0"/>
                  <w:marTop w:val="0"/>
                  <w:marBottom w:val="0"/>
                  <w:divBdr>
                    <w:top w:val="none" w:sz="0" w:space="0" w:color="auto"/>
                    <w:left w:val="none" w:sz="0" w:space="0" w:color="auto"/>
                    <w:bottom w:val="none" w:sz="0" w:space="0" w:color="auto"/>
                    <w:right w:val="none" w:sz="0" w:space="0" w:color="auto"/>
                  </w:divBdr>
                  <w:divsChild>
                    <w:div w:id="2132895505">
                      <w:marLeft w:val="0"/>
                      <w:marRight w:val="0"/>
                      <w:marTop w:val="0"/>
                      <w:marBottom w:val="0"/>
                      <w:divBdr>
                        <w:top w:val="none" w:sz="0" w:space="0" w:color="auto"/>
                        <w:left w:val="none" w:sz="0" w:space="0" w:color="auto"/>
                        <w:bottom w:val="none" w:sz="0" w:space="0" w:color="auto"/>
                        <w:right w:val="none" w:sz="0" w:space="0" w:color="auto"/>
                      </w:divBdr>
                    </w:div>
                  </w:divsChild>
                </w:div>
                <w:div w:id="850071095">
                  <w:marLeft w:val="0"/>
                  <w:marRight w:val="0"/>
                  <w:marTop w:val="0"/>
                  <w:marBottom w:val="0"/>
                  <w:divBdr>
                    <w:top w:val="none" w:sz="0" w:space="0" w:color="auto"/>
                    <w:left w:val="none" w:sz="0" w:space="0" w:color="auto"/>
                    <w:bottom w:val="none" w:sz="0" w:space="0" w:color="auto"/>
                    <w:right w:val="none" w:sz="0" w:space="0" w:color="auto"/>
                  </w:divBdr>
                  <w:divsChild>
                    <w:div w:id="956907843">
                      <w:marLeft w:val="0"/>
                      <w:marRight w:val="0"/>
                      <w:marTop w:val="0"/>
                      <w:marBottom w:val="0"/>
                      <w:divBdr>
                        <w:top w:val="none" w:sz="0" w:space="0" w:color="auto"/>
                        <w:left w:val="none" w:sz="0" w:space="0" w:color="auto"/>
                        <w:bottom w:val="none" w:sz="0" w:space="0" w:color="auto"/>
                        <w:right w:val="none" w:sz="0" w:space="0" w:color="auto"/>
                      </w:divBdr>
                    </w:div>
                  </w:divsChild>
                </w:div>
                <w:div w:id="881671763">
                  <w:marLeft w:val="0"/>
                  <w:marRight w:val="0"/>
                  <w:marTop w:val="0"/>
                  <w:marBottom w:val="0"/>
                  <w:divBdr>
                    <w:top w:val="none" w:sz="0" w:space="0" w:color="auto"/>
                    <w:left w:val="none" w:sz="0" w:space="0" w:color="auto"/>
                    <w:bottom w:val="none" w:sz="0" w:space="0" w:color="auto"/>
                    <w:right w:val="none" w:sz="0" w:space="0" w:color="auto"/>
                  </w:divBdr>
                  <w:divsChild>
                    <w:div w:id="276763744">
                      <w:marLeft w:val="0"/>
                      <w:marRight w:val="0"/>
                      <w:marTop w:val="0"/>
                      <w:marBottom w:val="0"/>
                      <w:divBdr>
                        <w:top w:val="none" w:sz="0" w:space="0" w:color="auto"/>
                        <w:left w:val="none" w:sz="0" w:space="0" w:color="auto"/>
                        <w:bottom w:val="none" w:sz="0" w:space="0" w:color="auto"/>
                        <w:right w:val="none" w:sz="0" w:space="0" w:color="auto"/>
                      </w:divBdr>
                    </w:div>
                  </w:divsChild>
                </w:div>
                <w:div w:id="921642805">
                  <w:marLeft w:val="0"/>
                  <w:marRight w:val="0"/>
                  <w:marTop w:val="0"/>
                  <w:marBottom w:val="0"/>
                  <w:divBdr>
                    <w:top w:val="none" w:sz="0" w:space="0" w:color="auto"/>
                    <w:left w:val="none" w:sz="0" w:space="0" w:color="auto"/>
                    <w:bottom w:val="none" w:sz="0" w:space="0" w:color="auto"/>
                    <w:right w:val="none" w:sz="0" w:space="0" w:color="auto"/>
                  </w:divBdr>
                  <w:divsChild>
                    <w:div w:id="893010394">
                      <w:marLeft w:val="0"/>
                      <w:marRight w:val="0"/>
                      <w:marTop w:val="0"/>
                      <w:marBottom w:val="0"/>
                      <w:divBdr>
                        <w:top w:val="none" w:sz="0" w:space="0" w:color="auto"/>
                        <w:left w:val="none" w:sz="0" w:space="0" w:color="auto"/>
                        <w:bottom w:val="none" w:sz="0" w:space="0" w:color="auto"/>
                        <w:right w:val="none" w:sz="0" w:space="0" w:color="auto"/>
                      </w:divBdr>
                    </w:div>
                    <w:div w:id="1940747957">
                      <w:marLeft w:val="0"/>
                      <w:marRight w:val="0"/>
                      <w:marTop w:val="0"/>
                      <w:marBottom w:val="0"/>
                      <w:divBdr>
                        <w:top w:val="none" w:sz="0" w:space="0" w:color="auto"/>
                        <w:left w:val="none" w:sz="0" w:space="0" w:color="auto"/>
                        <w:bottom w:val="none" w:sz="0" w:space="0" w:color="auto"/>
                        <w:right w:val="none" w:sz="0" w:space="0" w:color="auto"/>
                      </w:divBdr>
                    </w:div>
                  </w:divsChild>
                </w:div>
                <w:div w:id="929660755">
                  <w:marLeft w:val="0"/>
                  <w:marRight w:val="0"/>
                  <w:marTop w:val="0"/>
                  <w:marBottom w:val="0"/>
                  <w:divBdr>
                    <w:top w:val="none" w:sz="0" w:space="0" w:color="auto"/>
                    <w:left w:val="none" w:sz="0" w:space="0" w:color="auto"/>
                    <w:bottom w:val="none" w:sz="0" w:space="0" w:color="auto"/>
                    <w:right w:val="none" w:sz="0" w:space="0" w:color="auto"/>
                  </w:divBdr>
                  <w:divsChild>
                    <w:div w:id="339039960">
                      <w:marLeft w:val="0"/>
                      <w:marRight w:val="0"/>
                      <w:marTop w:val="0"/>
                      <w:marBottom w:val="0"/>
                      <w:divBdr>
                        <w:top w:val="none" w:sz="0" w:space="0" w:color="auto"/>
                        <w:left w:val="none" w:sz="0" w:space="0" w:color="auto"/>
                        <w:bottom w:val="none" w:sz="0" w:space="0" w:color="auto"/>
                        <w:right w:val="none" w:sz="0" w:space="0" w:color="auto"/>
                      </w:divBdr>
                    </w:div>
                  </w:divsChild>
                </w:div>
                <w:div w:id="998845415">
                  <w:marLeft w:val="0"/>
                  <w:marRight w:val="0"/>
                  <w:marTop w:val="0"/>
                  <w:marBottom w:val="0"/>
                  <w:divBdr>
                    <w:top w:val="none" w:sz="0" w:space="0" w:color="auto"/>
                    <w:left w:val="none" w:sz="0" w:space="0" w:color="auto"/>
                    <w:bottom w:val="none" w:sz="0" w:space="0" w:color="auto"/>
                    <w:right w:val="none" w:sz="0" w:space="0" w:color="auto"/>
                  </w:divBdr>
                  <w:divsChild>
                    <w:div w:id="729352187">
                      <w:marLeft w:val="0"/>
                      <w:marRight w:val="0"/>
                      <w:marTop w:val="0"/>
                      <w:marBottom w:val="0"/>
                      <w:divBdr>
                        <w:top w:val="none" w:sz="0" w:space="0" w:color="auto"/>
                        <w:left w:val="none" w:sz="0" w:space="0" w:color="auto"/>
                        <w:bottom w:val="none" w:sz="0" w:space="0" w:color="auto"/>
                        <w:right w:val="none" w:sz="0" w:space="0" w:color="auto"/>
                      </w:divBdr>
                    </w:div>
                  </w:divsChild>
                </w:div>
                <w:div w:id="1171602454">
                  <w:marLeft w:val="0"/>
                  <w:marRight w:val="0"/>
                  <w:marTop w:val="0"/>
                  <w:marBottom w:val="0"/>
                  <w:divBdr>
                    <w:top w:val="none" w:sz="0" w:space="0" w:color="auto"/>
                    <w:left w:val="none" w:sz="0" w:space="0" w:color="auto"/>
                    <w:bottom w:val="none" w:sz="0" w:space="0" w:color="auto"/>
                    <w:right w:val="none" w:sz="0" w:space="0" w:color="auto"/>
                  </w:divBdr>
                  <w:divsChild>
                    <w:div w:id="778334121">
                      <w:marLeft w:val="0"/>
                      <w:marRight w:val="0"/>
                      <w:marTop w:val="0"/>
                      <w:marBottom w:val="0"/>
                      <w:divBdr>
                        <w:top w:val="none" w:sz="0" w:space="0" w:color="auto"/>
                        <w:left w:val="none" w:sz="0" w:space="0" w:color="auto"/>
                        <w:bottom w:val="none" w:sz="0" w:space="0" w:color="auto"/>
                        <w:right w:val="none" w:sz="0" w:space="0" w:color="auto"/>
                      </w:divBdr>
                    </w:div>
                  </w:divsChild>
                </w:div>
                <w:div w:id="1178958621">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
                  </w:divsChild>
                </w:div>
                <w:div w:id="1212034069">
                  <w:marLeft w:val="0"/>
                  <w:marRight w:val="0"/>
                  <w:marTop w:val="0"/>
                  <w:marBottom w:val="0"/>
                  <w:divBdr>
                    <w:top w:val="none" w:sz="0" w:space="0" w:color="auto"/>
                    <w:left w:val="none" w:sz="0" w:space="0" w:color="auto"/>
                    <w:bottom w:val="none" w:sz="0" w:space="0" w:color="auto"/>
                    <w:right w:val="none" w:sz="0" w:space="0" w:color="auto"/>
                  </w:divBdr>
                  <w:divsChild>
                    <w:div w:id="1796096560">
                      <w:marLeft w:val="0"/>
                      <w:marRight w:val="0"/>
                      <w:marTop w:val="0"/>
                      <w:marBottom w:val="0"/>
                      <w:divBdr>
                        <w:top w:val="none" w:sz="0" w:space="0" w:color="auto"/>
                        <w:left w:val="none" w:sz="0" w:space="0" w:color="auto"/>
                        <w:bottom w:val="none" w:sz="0" w:space="0" w:color="auto"/>
                        <w:right w:val="none" w:sz="0" w:space="0" w:color="auto"/>
                      </w:divBdr>
                    </w:div>
                  </w:divsChild>
                </w:div>
                <w:div w:id="1298489153">
                  <w:marLeft w:val="0"/>
                  <w:marRight w:val="0"/>
                  <w:marTop w:val="0"/>
                  <w:marBottom w:val="0"/>
                  <w:divBdr>
                    <w:top w:val="none" w:sz="0" w:space="0" w:color="auto"/>
                    <w:left w:val="none" w:sz="0" w:space="0" w:color="auto"/>
                    <w:bottom w:val="none" w:sz="0" w:space="0" w:color="auto"/>
                    <w:right w:val="none" w:sz="0" w:space="0" w:color="auto"/>
                  </w:divBdr>
                  <w:divsChild>
                    <w:div w:id="1011835052">
                      <w:marLeft w:val="0"/>
                      <w:marRight w:val="0"/>
                      <w:marTop w:val="0"/>
                      <w:marBottom w:val="0"/>
                      <w:divBdr>
                        <w:top w:val="none" w:sz="0" w:space="0" w:color="auto"/>
                        <w:left w:val="none" w:sz="0" w:space="0" w:color="auto"/>
                        <w:bottom w:val="none" w:sz="0" w:space="0" w:color="auto"/>
                        <w:right w:val="none" w:sz="0" w:space="0" w:color="auto"/>
                      </w:divBdr>
                    </w:div>
                  </w:divsChild>
                </w:div>
                <w:div w:id="1302224846">
                  <w:marLeft w:val="0"/>
                  <w:marRight w:val="0"/>
                  <w:marTop w:val="0"/>
                  <w:marBottom w:val="0"/>
                  <w:divBdr>
                    <w:top w:val="none" w:sz="0" w:space="0" w:color="auto"/>
                    <w:left w:val="none" w:sz="0" w:space="0" w:color="auto"/>
                    <w:bottom w:val="none" w:sz="0" w:space="0" w:color="auto"/>
                    <w:right w:val="none" w:sz="0" w:space="0" w:color="auto"/>
                  </w:divBdr>
                  <w:divsChild>
                    <w:div w:id="1608268242">
                      <w:marLeft w:val="0"/>
                      <w:marRight w:val="0"/>
                      <w:marTop w:val="0"/>
                      <w:marBottom w:val="0"/>
                      <w:divBdr>
                        <w:top w:val="none" w:sz="0" w:space="0" w:color="auto"/>
                        <w:left w:val="none" w:sz="0" w:space="0" w:color="auto"/>
                        <w:bottom w:val="none" w:sz="0" w:space="0" w:color="auto"/>
                        <w:right w:val="none" w:sz="0" w:space="0" w:color="auto"/>
                      </w:divBdr>
                    </w:div>
                  </w:divsChild>
                </w:div>
                <w:div w:id="1308170893">
                  <w:marLeft w:val="0"/>
                  <w:marRight w:val="0"/>
                  <w:marTop w:val="0"/>
                  <w:marBottom w:val="0"/>
                  <w:divBdr>
                    <w:top w:val="none" w:sz="0" w:space="0" w:color="auto"/>
                    <w:left w:val="none" w:sz="0" w:space="0" w:color="auto"/>
                    <w:bottom w:val="none" w:sz="0" w:space="0" w:color="auto"/>
                    <w:right w:val="none" w:sz="0" w:space="0" w:color="auto"/>
                  </w:divBdr>
                  <w:divsChild>
                    <w:div w:id="831683511">
                      <w:marLeft w:val="0"/>
                      <w:marRight w:val="0"/>
                      <w:marTop w:val="0"/>
                      <w:marBottom w:val="0"/>
                      <w:divBdr>
                        <w:top w:val="none" w:sz="0" w:space="0" w:color="auto"/>
                        <w:left w:val="none" w:sz="0" w:space="0" w:color="auto"/>
                        <w:bottom w:val="none" w:sz="0" w:space="0" w:color="auto"/>
                        <w:right w:val="none" w:sz="0" w:space="0" w:color="auto"/>
                      </w:divBdr>
                    </w:div>
                  </w:divsChild>
                </w:div>
                <w:div w:id="1330909581">
                  <w:marLeft w:val="0"/>
                  <w:marRight w:val="0"/>
                  <w:marTop w:val="0"/>
                  <w:marBottom w:val="0"/>
                  <w:divBdr>
                    <w:top w:val="none" w:sz="0" w:space="0" w:color="auto"/>
                    <w:left w:val="none" w:sz="0" w:space="0" w:color="auto"/>
                    <w:bottom w:val="none" w:sz="0" w:space="0" w:color="auto"/>
                    <w:right w:val="none" w:sz="0" w:space="0" w:color="auto"/>
                  </w:divBdr>
                  <w:divsChild>
                    <w:div w:id="685256706">
                      <w:marLeft w:val="0"/>
                      <w:marRight w:val="0"/>
                      <w:marTop w:val="0"/>
                      <w:marBottom w:val="0"/>
                      <w:divBdr>
                        <w:top w:val="none" w:sz="0" w:space="0" w:color="auto"/>
                        <w:left w:val="none" w:sz="0" w:space="0" w:color="auto"/>
                        <w:bottom w:val="none" w:sz="0" w:space="0" w:color="auto"/>
                        <w:right w:val="none" w:sz="0" w:space="0" w:color="auto"/>
                      </w:divBdr>
                    </w:div>
                  </w:divsChild>
                </w:div>
                <w:div w:id="1356688393">
                  <w:marLeft w:val="0"/>
                  <w:marRight w:val="0"/>
                  <w:marTop w:val="0"/>
                  <w:marBottom w:val="0"/>
                  <w:divBdr>
                    <w:top w:val="none" w:sz="0" w:space="0" w:color="auto"/>
                    <w:left w:val="none" w:sz="0" w:space="0" w:color="auto"/>
                    <w:bottom w:val="none" w:sz="0" w:space="0" w:color="auto"/>
                    <w:right w:val="none" w:sz="0" w:space="0" w:color="auto"/>
                  </w:divBdr>
                  <w:divsChild>
                    <w:div w:id="842473329">
                      <w:marLeft w:val="0"/>
                      <w:marRight w:val="0"/>
                      <w:marTop w:val="0"/>
                      <w:marBottom w:val="0"/>
                      <w:divBdr>
                        <w:top w:val="none" w:sz="0" w:space="0" w:color="auto"/>
                        <w:left w:val="none" w:sz="0" w:space="0" w:color="auto"/>
                        <w:bottom w:val="none" w:sz="0" w:space="0" w:color="auto"/>
                        <w:right w:val="none" w:sz="0" w:space="0" w:color="auto"/>
                      </w:divBdr>
                    </w:div>
                  </w:divsChild>
                </w:div>
                <w:div w:id="1503737075">
                  <w:marLeft w:val="0"/>
                  <w:marRight w:val="0"/>
                  <w:marTop w:val="0"/>
                  <w:marBottom w:val="0"/>
                  <w:divBdr>
                    <w:top w:val="none" w:sz="0" w:space="0" w:color="auto"/>
                    <w:left w:val="none" w:sz="0" w:space="0" w:color="auto"/>
                    <w:bottom w:val="none" w:sz="0" w:space="0" w:color="auto"/>
                    <w:right w:val="none" w:sz="0" w:space="0" w:color="auto"/>
                  </w:divBdr>
                  <w:divsChild>
                    <w:div w:id="867836793">
                      <w:marLeft w:val="0"/>
                      <w:marRight w:val="0"/>
                      <w:marTop w:val="0"/>
                      <w:marBottom w:val="0"/>
                      <w:divBdr>
                        <w:top w:val="none" w:sz="0" w:space="0" w:color="auto"/>
                        <w:left w:val="none" w:sz="0" w:space="0" w:color="auto"/>
                        <w:bottom w:val="none" w:sz="0" w:space="0" w:color="auto"/>
                        <w:right w:val="none" w:sz="0" w:space="0" w:color="auto"/>
                      </w:divBdr>
                    </w:div>
                  </w:divsChild>
                </w:div>
                <w:div w:id="1519394592">
                  <w:marLeft w:val="0"/>
                  <w:marRight w:val="0"/>
                  <w:marTop w:val="0"/>
                  <w:marBottom w:val="0"/>
                  <w:divBdr>
                    <w:top w:val="none" w:sz="0" w:space="0" w:color="auto"/>
                    <w:left w:val="none" w:sz="0" w:space="0" w:color="auto"/>
                    <w:bottom w:val="none" w:sz="0" w:space="0" w:color="auto"/>
                    <w:right w:val="none" w:sz="0" w:space="0" w:color="auto"/>
                  </w:divBdr>
                  <w:divsChild>
                    <w:div w:id="1588266934">
                      <w:marLeft w:val="0"/>
                      <w:marRight w:val="0"/>
                      <w:marTop w:val="0"/>
                      <w:marBottom w:val="0"/>
                      <w:divBdr>
                        <w:top w:val="none" w:sz="0" w:space="0" w:color="auto"/>
                        <w:left w:val="none" w:sz="0" w:space="0" w:color="auto"/>
                        <w:bottom w:val="none" w:sz="0" w:space="0" w:color="auto"/>
                        <w:right w:val="none" w:sz="0" w:space="0" w:color="auto"/>
                      </w:divBdr>
                    </w:div>
                  </w:divsChild>
                </w:div>
                <w:div w:id="1641422753">
                  <w:marLeft w:val="0"/>
                  <w:marRight w:val="0"/>
                  <w:marTop w:val="0"/>
                  <w:marBottom w:val="0"/>
                  <w:divBdr>
                    <w:top w:val="none" w:sz="0" w:space="0" w:color="auto"/>
                    <w:left w:val="none" w:sz="0" w:space="0" w:color="auto"/>
                    <w:bottom w:val="none" w:sz="0" w:space="0" w:color="auto"/>
                    <w:right w:val="none" w:sz="0" w:space="0" w:color="auto"/>
                  </w:divBdr>
                  <w:divsChild>
                    <w:div w:id="1091195609">
                      <w:marLeft w:val="0"/>
                      <w:marRight w:val="0"/>
                      <w:marTop w:val="0"/>
                      <w:marBottom w:val="0"/>
                      <w:divBdr>
                        <w:top w:val="none" w:sz="0" w:space="0" w:color="auto"/>
                        <w:left w:val="none" w:sz="0" w:space="0" w:color="auto"/>
                        <w:bottom w:val="none" w:sz="0" w:space="0" w:color="auto"/>
                        <w:right w:val="none" w:sz="0" w:space="0" w:color="auto"/>
                      </w:divBdr>
                    </w:div>
                  </w:divsChild>
                </w:div>
                <w:div w:id="1654602315">
                  <w:marLeft w:val="0"/>
                  <w:marRight w:val="0"/>
                  <w:marTop w:val="0"/>
                  <w:marBottom w:val="0"/>
                  <w:divBdr>
                    <w:top w:val="none" w:sz="0" w:space="0" w:color="auto"/>
                    <w:left w:val="none" w:sz="0" w:space="0" w:color="auto"/>
                    <w:bottom w:val="none" w:sz="0" w:space="0" w:color="auto"/>
                    <w:right w:val="none" w:sz="0" w:space="0" w:color="auto"/>
                  </w:divBdr>
                  <w:divsChild>
                    <w:div w:id="1714967050">
                      <w:marLeft w:val="0"/>
                      <w:marRight w:val="0"/>
                      <w:marTop w:val="0"/>
                      <w:marBottom w:val="0"/>
                      <w:divBdr>
                        <w:top w:val="none" w:sz="0" w:space="0" w:color="auto"/>
                        <w:left w:val="none" w:sz="0" w:space="0" w:color="auto"/>
                        <w:bottom w:val="none" w:sz="0" w:space="0" w:color="auto"/>
                        <w:right w:val="none" w:sz="0" w:space="0" w:color="auto"/>
                      </w:divBdr>
                    </w:div>
                  </w:divsChild>
                </w:div>
                <w:div w:id="1723404328">
                  <w:marLeft w:val="0"/>
                  <w:marRight w:val="0"/>
                  <w:marTop w:val="0"/>
                  <w:marBottom w:val="0"/>
                  <w:divBdr>
                    <w:top w:val="none" w:sz="0" w:space="0" w:color="auto"/>
                    <w:left w:val="none" w:sz="0" w:space="0" w:color="auto"/>
                    <w:bottom w:val="none" w:sz="0" w:space="0" w:color="auto"/>
                    <w:right w:val="none" w:sz="0" w:space="0" w:color="auto"/>
                  </w:divBdr>
                  <w:divsChild>
                    <w:div w:id="949168467">
                      <w:marLeft w:val="0"/>
                      <w:marRight w:val="0"/>
                      <w:marTop w:val="0"/>
                      <w:marBottom w:val="0"/>
                      <w:divBdr>
                        <w:top w:val="none" w:sz="0" w:space="0" w:color="auto"/>
                        <w:left w:val="none" w:sz="0" w:space="0" w:color="auto"/>
                        <w:bottom w:val="none" w:sz="0" w:space="0" w:color="auto"/>
                        <w:right w:val="none" w:sz="0" w:space="0" w:color="auto"/>
                      </w:divBdr>
                    </w:div>
                  </w:divsChild>
                </w:div>
                <w:div w:id="1758137831">
                  <w:marLeft w:val="0"/>
                  <w:marRight w:val="0"/>
                  <w:marTop w:val="0"/>
                  <w:marBottom w:val="0"/>
                  <w:divBdr>
                    <w:top w:val="none" w:sz="0" w:space="0" w:color="auto"/>
                    <w:left w:val="none" w:sz="0" w:space="0" w:color="auto"/>
                    <w:bottom w:val="none" w:sz="0" w:space="0" w:color="auto"/>
                    <w:right w:val="none" w:sz="0" w:space="0" w:color="auto"/>
                  </w:divBdr>
                  <w:divsChild>
                    <w:div w:id="616717031">
                      <w:marLeft w:val="0"/>
                      <w:marRight w:val="0"/>
                      <w:marTop w:val="0"/>
                      <w:marBottom w:val="0"/>
                      <w:divBdr>
                        <w:top w:val="none" w:sz="0" w:space="0" w:color="auto"/>
                        <w:left w:val="none" w:sz="0" w:space="0" w:color="auto"/>
                        <w:bottom w:val="none" w:sz="0" w:space="0" w:color="auto"/>
                        <w:right w:val="none" w:sz="0" w:space="0" w:color="auto"/>
                      </w:divBdr>
                    </w:div>
                  </w:divsChild>
                </w:div>
                <w:div w:id="1763453249">
                  <w:marLeft w:val="0"/>
                  <w:marRight w:val="0"/>
                  <w:marTop w:val="0"/>
                  <w:marBottom w:val="0"/>
                  <w:divBdr>
                    <w:top w:val="none" w:sz="0" w:space="0" w:color="auto"/>
                    <w:left w:val="none" w:sz="0" w:space="0" w:color="auto"/>
                    <w:bottom w:val="none" w:sz="0" w:space="0" w:color="auto"/>
                    <w:right w:val="none" w:sz="0" w:space="0" w:color="auto"/>
                  </w:divBdr>
                  <w:divsChild>
                    <w:div w:id="507595967">
                      <w:marLeft w:val="0"/>
                      <w:marRight w:val="0"/>
                      <w:marTop w:val="0"/>
                      <w:marBottom w:val="0"/>
                      <w:divBdr>
                        <w:top w:val="none" w:sz="0" w:space="0" w:color="auto"/>
                        <w:left w:val="none" w:sz="0" w:space="0" w:color="auto"/>
                        <w:bottom w:val="none" w:sz="0" w:space="0" w:color="auto"/>
                        <w:right w:val="none" w:sz="0" w:space="0" w:color="auto"/>
                      </w:divBdr>
                    </w:div>
                  </w:divsChild>
                </w:div>
                <w:div w:id="1772046303">
                  <w:marLeft w:val="0"/>
                  <w:marRight w:val="0"/>
                  <w:marTop w:val="0"/>
                  <w:marBottom w:val="0"/>
                  <w:divBdr>
                    <w:top w:val="none" w:sz="0" w:space="0" w:color="auto"/>
                    <w:left w:val="none" w:sz="0" w:space="0" w:color="auto"/>
                    <w:bottom w:val="none" w:sz="0" w:space="0" w:color="auto"/>
                    <w:right w:val="none" w:sz="0" w:space="0" w:color="auto"/>
                  </w:divBdr>
                  <w:divsChild>
                    <w:div w:id="2005890970">
                      <w:marLeft w:val="0"/>
                      <w:marRight w:val="0"/>
                      <w:marTop w:val="0"/>
                      <w:marBottom w:val="0"/>
                      <w:divBdr>
                        <w:top w:val="none" w:sz="0" w:space="0" w:color="auto"/>
                        <w:left w:val="none" w:sz="0" w:space="0" w:color="auto"/>
                        <w:bottom w:val="none" w:sz="0" w:space="0" w:color="auto"/>
                        <w:right w:val="none" w:sz="0" w:space="0" w:color="auto"/>
                      </w:divBdr>
                    </w:div>
                  </w:divsChild>
                </w:div>
                <w:div w:id="1807552431">
                  <w:marLeft w:val="0"/>
                  <w:marRight w:val="0"/>
                  <w:marTop w:val="0"/>
                  <w:marBottom w:val="0"/>
                  <w:divBdr>
                    <w:top w:val="none" w:sz="0" w:space="0" w:color="auto"/>
                    <w:left w:val="none" w:sz="0" w:space="0" w:color="auto"/>
                    <w:bottom w:val="none" w:sz="0" w:space="0" w:color="auto"/>
                    <w:right w:val="none" w:sz="0" w:space="0" w:color="auto"/>
                  </w:divBdr>
                  <w:divsChild>
                    <w:div w:id="1338458169">
                      <w:marLeft w:val="0"/>
                      <w:marRight w:val="0"/>
                      <w:marTop w:val="0"/>
                      <w:marBottom w:val="0"/>
                      <w:divBdr>
                        <w:top w:val="none" w:sz="0" w:space="0" w:color="auto"/>
                        <w:left w:val="none" w:sz="0" w:space="0" w:color="auto"/>
                        <w:bottom w:val="none" w:sz="0" w:space="0" w:color="auto"/>
                        <w:right w:val="none" w:sz="0" w:space="0" w:color="auto"/>
                      </w:divBdr>
                    </w:div>
                  </w:divsChild>
                </w:div>
                <w:div w:id="1826968541">
                  <w:marLeft w:val="0"/>
                  <w:marRight w:val="0"/>
                  <w:marTop w:val="0"/>
                  <w:marBottom w:val="0"/>
                  <w:divBdr>
                    <w:top w:val="none" w:sz="0" w:space="0" w:color="auto"/>
                    <w:left w:val="none" w:sz="0" w:space="0" w:color="auto"/>
                    <w:bottom w:val="none" w:sz="0" w:space="0" w:color="auto"/>
                    <w:right w:val="none" w:sz="0" w:space="0" w:color="auto"/>
                  </w:divBdr>
                  <w:divsChild>
                    <w:div w:id="644745493">
                      <w:marLeft w:val="0"/>
                      <w:marRight w:val="0"/>
                      <w:marTop w:val="0"/>
                      <w:marBottom w:val="0"/>
                      <w:divBdr>
                        <w:top w:val="none" w:sz="0" w:space="0" w:color="auto"/>
                        <w:left w:val="none" w:sz="0" w:space="0" w:color="auto"/>
                        <w:bottom w:val="none" w:sz="0" w:space="0" w:color="auto"/>
                        <w:right w:val="none" w:sz="0" w:space="0" w:color="auto"/>
                      </w:divBdr>
                    </w:div>
                  </w:divsChild>
                </w:div>
                <w:div w:id="1856651073">
                  <w:marLeft w:val="0"/>
                  <w:marRight w:val="0"/>
                  <w:marTop w:val="0"/>
                  <w:marBottom w:val="0"/>
                  <w:divBdr>
                    <w:top w:val="none" w:sz="0" w:space="0" w:color="auto"/>
                    <w:left w:val="none" w:sz="0" w:space="0" w:color="auto"/>
                    <w:bottom w:val="none" w:sz="0" w:space="0" w:color="auto"/>
                    <w:right w:val="none" w:sz="0" w:space="0" w:color="auto"/>
                  </w:divBdr>
                  <w:divsChild>
                    <w:div w:id="222837897">
                      <w:marLeft w:val="0"/>
                      <w:marRight w:val="0"/>
                      <w:marTop w:val="0"/>
                      <w:marBottom w:val="0"/>
                      <w:divBdr>
                        <w:top w:val="none" w:sz="0" w:space="0" w:color="auto"/>
                        <w:left w:val="none" w:sz="0" w:space="0" w:color="auto"/>
                        <w:bottom w:val="none" w:sz="0" w:space="0" w:color="auto"/>
                        <w:right w:val="none" w:sz="0" w:space="0" w:color="auto"/>
                      </w:divBdr>
                    </w:div>
                  </w:divsChild>
                </w:div>
                <w:div w:id="1894468235">
                  <w:marLeft w:val="0"/>
                  <w:marRight w:val="0"/>
                  <w:marTop w:val="0"/>
                  <w:marBottom w:val="0"/>
                  <w:divBdr>
                    <w:top w:val="none" w:sz="0" w:space="0" w:color="auto"/>
                    <w:left w:val="none" w:sz="0" w:space="0" w:color="auto"/>
                    <w:bottom w:val="none" w:sz="0" w:space="0" w:color="auto"/>
                    <w:right w:val="none" w:sz="0" w:space="0" w:color="auto"/>
                  </w:divBdr>
                  <w:divsChild>
                    <w:div w:id="1646200428">
                      <w:marLeft w:val="0"/>
                      <w:marRight w:val="0"/>
                      <w:marTop w:val="0"/>
                      <w:marBottom w:val="0"/>
                      <w:divBdr>
                        <w:top w:val="none" w:sz="0" w:space="0" w:color="auto"/>
                        <w:left w:val="none" w:sz="0" w:space="0" w:color="auto"/>
                        <w:bottom w:val="none" w:sz="0" w:space="0" w:color="auto"/>
                        <w:right w:val="none" w:sz="0" w:space="0" w:color="auto"/>
                      </w:divBdr>
                    </w:div>
                  </w:divsChild>
                </w:div>
                <w:div w:id="1952665137">
                  <w:marLeft w:val="0"/>
                  <w:marRight w:val="0"/>
                  <w:marTop w:val="0"/>
                  <w:marBottom w:val="0"/>
                  <w:divBdr>
                    <w:top w:val="none" w:sz="0" w:space="0" w:color="auto"/>
                    <w:left w:val="none" w:sz="0" w:space="0" w:color="auto"/>
                    <w:bottom w:val="none" w:sz="0" w:space="0" w:color="auto"/>
                    <w:right w:val="none" w:sz="0" w:space="0" w:color="auto"/>
                  </w:divBdr>
                  <w:divsChild>
                    <w:div w:id="1107654357">
                      <w:marLeft w:val="0"/>
                      <w:marRight w:val="0"/>
                      <w:marTop w:val="0"/>
                      <w:marBottom w:val="0"/>
                      <w:divBdr>
                        <w:top w:val="none" w:sz="0" w:space="0" w:color="auto"/>
                        <w:left w:val="none" w:sz="0" w:space="0" w:color="auto"/>
                        <w:bottom w:val="none" w:sz="0" w:space="0" w:color="auto"/>
                        <w:right w:val="none" w:sz="0" w:space="0" w:color="auto"/>
                      </w:divBdr>
                    </w:div>
                  </w:divsChild>
                </w:div>
                <w:div w:id="2041007967">
                  <w:marLeft w:val="0"/>
                  <w:marRight w:val="0"/>
                  <w:marTop w:val="0"/>
                  <w:marBottom w:val="0"/>
                  <w:divBdr>
                    <w:top w:val="none" w:sz="0" w:space="0" w:color="auto"/>
                    <w:left w:val="none" w:sz="0" w:space="0" w:color="auto"/>
                    <w:bottom w:val="none" w:sz="0" w:space="0" w:color="auto"/>
                    <w:right w:val="none" w:sz="0" w:space="0" w:color="auto"/>
                  </w:divBdr>
                  <w:divsChild>
                    <w:div w:id="1186098667">
                      <w:marLeft w:val="0"/>
                      <w:marRight w:val="0"/>
                      <w:marTop w:val="0"/>
                      <w:marBottom w:val="0"/>
                      <w:divBdr>
                        <w:top w:val="none" w:sz="0" w:space="0" w:color="auto"/>
                        <w:left w:val="none" w:sz="0" w:space="0" w:color="auto"/>
                        <w:bottom w:val="none" w:sz="0" w:space="0" w:color="auto"/>
                        <w:right w:val="none" w:sz="0" w:space="0" w:color="auto"/>
                      </w:divBdr>
                    </w:div>
                  </w:divsChild>
                </w:div>
                <w:div w:id="2093355539">
                  <w:marLeft w:val="0"/>
                  <w:marRight w:val="0"/>
                  <w:marTop w:val="0"/>
                  <w:marBottom w:val="0"/>
                  <w:divBdr>
                    <w:top w:val="none" w:sz="0" w:space="0" w:color="auto"/>
                    <w:left w:val="none" w:sz="0" w:space="0" w:color="auto"/>
                    <w:bottom w:val="none" w:sz="0" w:space="0" w:color="auto"/>
                    <w:right w:val="none" w:sz="0" w:space="0" w:color="auto"/>
                  </w:divBdr>
                  <w:divsChild>
                    <w:div w:id="1594051079">
                      <w:marLeft w:val="0"/>
                      <w:marRight w:val="0"/>
                      <w:marTop w:val="0"/>
                      <w:marBottom w:val="0"/>
                      <w:divBdr>
                        <w:top w:val="none" w:sz="0" w:space="0" w:color="auto"/>
                        <w:left w:val="none" w:sz="0" w:space="0" w:color="auto"/>
                        <w:bottom w:val="none" w:sz="0" w:space="0" w:color="auto"/>
                        <w:right w:val="none" w:sz="0" w:space="0" w:color="auto"/>
                      </w:divBdr>
                    </w:div>
                  </w:divsChild>
                </w:div>
                <w:div w:id="2093428973">
                  <w:marLeft w:val="0"/>
                  <w:marRight w:val="0"/>
                  <w:marTop w:val="0"/>
                  <w:marBottom w:val="0"/>
                  <w:divBdr>
                    <w:top w:val="none" w:sz="0" w:space="0" w:color="auto"/>
                    <w:left w:val="none" w:sz="0" w:space="0" w:color="auto"/>
                    <w:bottom w:val="none" w:sz="0" w:space="0" w:color="auto"/>
                    <w:right w:val="none" w:sz="0" w:space="0" w:color="auto"/>
                  </w:divBdr>
                  <w:divsChild>
                    <w:div w:id="1058481521">
                      <w:marLeft w:val="0"/>
                      <w:marRight w:val="0"/>
                      <w:marTop w:val="0"/>
                      <w:marBottom w:val="0"/>
                      <w:divBdr>
                        <w:top w:val="none" w:sz="0" w:space="0" w:color="auto"/>
                        <w:left w:val="none" w:sz="0" w:space="0" w:color="auto"/>
                        <w:bottom w:val="none" w:sz="0" w:space="0" w:color="auto"/>
                        <w:right w:val="none" w:sz="0" w:space="0" w:color="auto"/>
                      </w:divBdr>
                    </w:div>
                  </w:divsChild>
                </w:div>
                <w:div w:id="2127117433">
                  <w:marLeft w:val="0"/>
                  <w:marRight w:val="0"/>
                  <w:marTop w:val="0"/>
                  <w:marBottom w:val="0"/>
                  <w:divBdr>
                    <w:top w:val="none" w:sz="0" w:space="0" w:color="auto"/>
                    <w:left w:val="none" w:sz="0" w:space="0" w:color="auto"/>
                    <w:bottom w:val="none" w:sz="0" w:space="0" w:color="auto"/>
                    <w:right w:val="none" w:sz="0" w:space="0" w:color="auto"/>
                  </w:divBdr>
                  <w:divsChild>
                    <w:div w:id="1769231292">
                      <w:marLeft w:val="0"/>
                      <w:marRight w:val="0"/>
                      <w:marTop w:val="0"/>
                      <w:marBottom w:val="0"/>
                      <w:divBdr>
                        <w:top w:val="none" w:sz="0" w:space="0" w:color="auto"/>
                        <w:left w:val="none" w:sz="0" w:space="0" w:color="auto"/>
                        <w:bottom w:val="none" w:sz="0" w:space="0" w:color="auto"/>
                        <w:right w:val="none" w:sz="0" w:space="0" w:color="auto"/>
                      </w:divBdr>
                    </w:div>
                  </w:divsChild>
                </w:div>
                <w:div w:id="2130513298">
                  <w:marLeft w:val="0"/>
                  <w:marRight w:val="0"/>
                  <w:marTop w:val="0"/>
                  <w:marBottom w:val="0"/>
                  <w:divBdr>
                    <w:top w:val="none" w:sz="0" w:space="0" w:color="auto"/>
                    <w:left w:val="none" w:sz="0" w:space="0" w:color="auto"/>
                    <w:bottom w:val="none" w:sz="0" w:space="0" w:color="auto"/>
                    <w:right w:val="none" w:sz="0" w:space="0" w:color="auto"/>
                  </w:divBdr>
                  <w:divsChild>
                    <w:div w:id="4506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6625">
          <w:marLeft w:val="0"/>
          <w:marRight w:val="0"/>
          <w:marTop w:val="0"/>
          <w:marBottom w:val="0"/>
          <w:divBdr>
            <w:top w:val="none" w:sz="0" w:space="0" w:color="auto"/>
            <w:left w:val="none" w:sz="0" w:space="0" w:color="auto"/>
            <w:bottom w:val="none" w:sz="0" w:space="0" w:color="auto"/>
            <w:right w:val="none" w:sz="0" w:space="0" w:color="auto"/>
          </w:divBdr>
        </w:div>
        <w:div w:id="1965111380">
          <w:marLeft w:val="0"/>
          <w:marRight w:val="0"/>
          <w:marTop w:val="0"/>
          <w:marBottom w:val="0"/>
          <w:divBdr>
            <w:top w:val="none" w:sz="0" w:space="0" w:color="auto"/>
            <w:left w:val="none" w:sz="0" w:space="0" w:color="auto"/>
            <w:bottom w:val="none" w:sz="0" w:space="0" w:color="auto"/>
            <w:right w:val="none" w:sz="0" w:space="0" w:color="auto"/>
          </w:divBdr>
        </w:div>
        <w:div w:id="1965771449">
          <w:marLeft w:val="0"/>
          <w:marRight w:val="0"/>
          <w:marTop w:val="0"/>
          <w:marBottom w:val="0"/>
          <w:divBdr>
            <w:top w:val="none" w:sz="0" w:space="0" w:color="auto"/>
            <w:left w:val="none" w:sz="0" w:space="0" w:color="auto"/>
            <w:bottom w:val="none" w:sz="0" w:space="0" w:color="auto"/>
            <w:right w:val="none" w:sz="0" w:space="0" w:color="auto"/>
          </w:divBdr>
        </w:div>
        <w:div w:id="1968124513">
          <w:marLeft w:val="0"/>
          <w:marRight w:val="0"/>
          <w:marTop w:val="0"/>
          <w:marBottom w:val="0"/>
          <w:divBdr>
            <w:top w:val="none" w:sz="0" w:space="0" w:color="auto"/>
            <w:left w:val="none" w:sz="0" w:space="0" w:color="auto"/>
            <w:bottom w:val="none" w:sz="0" w:space="0" w:color="auto"/>
            <w:right w:val="none" w:sz="0" w:space="0" w:color="auto"/>
          </w:divBdr>
        </w:div>
        <w:div w:id="1969624661">
          <w:marLeft w:val="0"/>
          <w:marRight w:val="0"/>
          <w:marTop w:val="0"/>
          <w:marBottom w:val="0"/>
          <w:divBdr>
            <w:top w:val="none" w:sz="0" w:space="0" w:color="auto"/>
            <w:left w:val="none" w:sz="0" w:space="0" w:color="auto"/>
            <w:bottom w:val="none" w:sz="0" w:space="0" w:color="auto"/>
            <w:right w:val="none" w:sz="0" w:space="0" w:color="auto"/>
          </w:divBdr>
        </w:div>
        <w:div w:id="1970043503">
          <w:marLeft w:val="0"/>
          <w:marRight w:val="0"/>
          <w:marTop w:val="0"/>
          <w:marBottom w:val="0"/>
          <w:divBdr>
            <w:top w:val="none" w:sz="0" w:space="0" w:color="auto"/>
            <w:left w:val="none" w:sz="0" w:space="0" w:color="auto"/>
            <w:bottom w:val="none" w:sz="0" w:space="0" w:color="auto"/>
            <w:right w:val="none" w:sz="0" w:space="0" w:color="auto"/>
          </w:divBdr>
        </w:div>
        <w:div w:id="1972007577">
          <w:marLeft w:val="0"/>
          <w:marRight w:val="0"/>
          <w:marTop w:val="0"/>
          <w:marBottom w:val="0"/>
          <w:divBdr>
            <w:top w:val="none" w:sz="0" w:space="0" w:color="auto"/>
            <w:left w:val="none" w:sz="0" w:space="0" w:color="auto"/>
            <w:bottom w:val="none" w:sz="0" w:space="0" w:color="auto"/>
            <w:right w:val="none" w:sz="0" w:space="0" w:color="auto"/>
          </w:divBdr>
        </w:div>
        <w:div w:id="1973630022">
          <w:marLeft w:val="0"/>
          <w:marRight w:val="0"/>
          <w:marTop w:val="0"/>
          <w:marBottom w:val="0"/>
          <w:divBdr>
            <w:top w:val="none" w:sz="0" w:space="0" w:color="auto"/>
            <w:left w:val="none" w:sz="0" w:space="0" w:color="auto"/>
            <w:bottom w:val="none" w:sz="0" w:space="0" w:color="auto"/>
            <w:right w:val="none" w:sz="0" w:space="0" w:color="auto"/>
          </w:divBdr>
        </w:div>
        <w:div w:id="1976057366">
          <w:marLeft w:val="0"/>
          <w:marRight w:val="0"/>
          <w:marTop w:val="0"/>
          <w:marBottom w:val="0"/>
          <w:divBdr>
            <w:top w:val="none" w:sz="0" w:space="0" w:color="auto"/>
            <w:left w:val="none" w:sz="0" w:space="0" w:color="auto"/>
            <w:bottom w:val="none" w:sz="0" w:space="0" w:color="auto"/>
            <w:right w:val="none" w:sz="0" w:space="0" w:color="auto"/>
          </w:divBdr>
        </w:div>
        <w:div w:id="1976443956">
          <w:marLeft w:val="0"/>
          <w:marRight w:val="0"/>
          <w:marTop w:val="0"/>
          <w:marBottom w:val="0"/>
          <w:divBdr>
            <w:top w:val="none" w:sz="0" w:space="0" w:color="auto"/>
            <w:left w:val="none" w:sz="0" w:space="0" w:color="auto"/>
            <w:bottom w:val="none" w:sz="0" w:space="0" w:color="auto"/>
            <w:right w:val="none" w:sz="0" w:space="0" w:color="auto"/>
          </w:divBdr>
        </w:div>
        <w:div w:id="1977638022">
          <w:marLeft w:val="0"/>
          <w:marRight w:val="0"/>
          <w:marTop w:val="0"/>
          <w:marBottom w:val="0"/>
          <w:divBdr>
            <w:top w:val="none" w:sz="0" w:space="0" w:color="auto"/>
            <w:left w:val="none" w:sz="0" w:space="0" w:color="auto"/>
            <w:bottom w:val="none" w:sz="0" w:space="0" w:color="auto"/>
            <w:right w:val="none" w:sz="0" w:space="0" w:color="auto"/>
          </w:divBdr>
        </w:div>
        <w:div w:id="1978681985">
          <w:marLeft w:val="0"/>
          <w:marRight w:val="0"/>
          <w:marTop w:val="0"/>
          <w:marBottom w:val="0"/>
          <w:divBdr>
            <w:top w:val="none" w:sz="0" w:space="0" w:color="auto"/>
            <w:left w:val="none" w:sz="0" w:space="0" w:color="auto"/>
            <w:bottom w:val="none" w:sz="0" w:space="0" w:color="auto"/>
            <w:right w:val="none" w:sz="0" w:space="0" w:color="auto"/>
          </w:divBdr>
        </w:div>
        <w:div w:id="1979605279">
          <w:marLeft w:val="0"/>
          <w:marRight w:val="0"/>
          <w:marTop w:val="0"/>
          <w:marBottom w:val="0"/>
          <w:divBdr>
            <w:top w:val="none" w:sz="0" w:space="0" w:color="auto"/>
            <w:left w:val="none" w:sz="0" w:space="0" w:color="auto"/>
            <w:bottom w:val="none" w:sz="0" w:space="0" w:color="auto"/>
            <w:right w:val="none" w:sz="0" w:space="0" w:color="auto"/>
          </w:divBdr>
        </w:div>
        <w:div w:id="1979609456">
          <w:marLeft w:val="0"/>
          <w:marRight w:val="0"/>
          <w:marTop w:val="0"/>
          <w:marBottom w:val="0"/>
          <w:divBdr>
            <w:top w:val="none" w:sz="0" w:space="0" w:color="auto"/>
            <w:left w:val="none" w:sz="0" w:space="0" w:color="auto"/>
            <w:bottom w:val="none" w:sz="0" w:space="0" w:color="auto"/>
            <w:right w:val="none" w:sz="0" w:space="0" w:color="auto"/>
          </w:divBdr>
        </w:div>
        <w:div w:id="1979726178">
          <w:marLeft w:val="0"/>
          <w:marRight w:val="0"/>
          <w:marTop w:val="0"/>
          <w:marBottom w:val="0"/>
          <w:divBdr>
            <w:top w:val="none" w:sz="0" w:space="0" w:color="auto"/>
            <w:left w:val="none" w:sz="0" w:space="0" w:color="auto"/>
            <w:bottom w:val="none" w:sz="0" w:space="0" w:color="auto"/>
            <w:right w:val="none" w:sz="0" w:space="0" w:color="auto"/>
          </w:divBdr>
        </w:div>
        <w:div w:id="1980263788">
          <w:marLeft w:val="0"/>
          <w:marRight w:val="0"/>
          <w:marTop w:val="0"/>
          <w:marBottom w:val="0"/>
          <w:divBdr>
            <w:top w:val="none" w:sz="0" w:space="0" w:color="auto"/>
            <w:left w:val="none" w:sz="0" w:space="0" w:color="auto"/>
            <w:bottom w:val="none" w:sz="0" w:space="0" w:color="auto"/>
            <w:right w:val="none" w:sz="0" w:space="0" w:color="auto"/>
          </w:divBdr>
        </w:div>
        <w:div w:id="1980574631">
          <w:marLeft w:val="0"/>
          <w:marRight w:val="0"/>
          <w:marTop w:val="0"/>
          <w:marBottom w:val="0"/>
          <w:divBdr>
            <w:top w:val="none" w:sz="0" w:space="0" w:color="auto"/>
            <w:left w:val="none" w:sz="0" w:space="0" w:color="auto"/>
            <w:bottom w:val="none" w:sz="0" w:space="0" w:color="auto"/>
            <w:right w:val="none" w:sz="0" w:space="0" w:color="auto"/>
          </w:divBdr>
        </w:div>
        <w:div w:id="1981300599">
          <w:marLeft w:val="0"/>
          <w:marRight w:val="0"/>
          <w:marTop w:val="0"/>
          <w:marBottom w:val="0"/>
          <w:divBdr>
            <w:top w:val="none" w:sz="0" w:space="0" w:color="auto"/>
            <w:left w:val="none" w:sz="0" w:space="0" w:color="auto"/>
            <w:bottom w:val="none" w:sz="0" w:space="0" w:color="auto"/>
            <w:right w:val="none" w:sz="0" w:space="0" w:color="auto"/>
          </w:divBdr>
        </w:div>
        <w:div w:id="1981568038">
          <w:marLeft w:val="0"/>
          <w:marRight w:val="0"/>
          <w:marTop w:val="0"/>
          <w:marBottom w:val="0"/>
          <w:divBdr>
            <w:top w:val="none" w:sz="0" w:space="0" w:color="auto"/>
            <w:left w:val="none" w:sz="0" w:space="0" w:color="auto"/>
            <w:bottom w:val="none" w:sz="0" w:space="0" w:color="auto"/>
            <w:right w:val="none" w:sz="0" w:space="0" w:color="auto"/>
          </w:divBdr>
        </w:div>
        <w:div w:id="1984386779">
          <w:marLeft w:val="0"/>
          <w:marRight w:val="0"/>
          <w:marTop w:val="0"/>
          <w:marBottom w:val="0"/>
          <w:divBdr>
            <w:top w:val="none" w:sz="0" w:space="0" w:color="auto"/>
            <w:left w:val="none" w:sz="0" w:space="0" w:color="auto"/>
            <w:bottom w:val="none" w:sz="0" w:space="0" w:color="auto"/>
            <w:right w:val="none" w:sz="0" w:space="0" w:color="auto"/>
          </w:divBdr>
        </w:div>
        <w:div w:id="1984430921">
          <w:marLeft w:val="0"/>
          <w:marRight w:val="0"/>
          <w:marTop w:val="0"/>
          <w:marBottom w:val="0"/>
          <w:divBdr>
            <w:top w:val="none" w:sz="0" w:space="0" w:color="auto"/>
            <w:left w:val="none" w:sz="0" w:space="0" w:color="auto"/>
            <w:bottom w:val="none" w:sz="0" w:space="0" w:color="auto"/>
            <w:right w:val="none" w:sz="0" w:space="0" w:color="auto"/>
          </w:divBdr>
        </w:div>
        <w:div w:id="1985085840">
          <w:marLeft w:val="0"/>
          <w:marRight w:val="0"/>
          <w:marTop w:val="0"/>
          <w:marBottom w:val="0"/>
          <w:divBdr>
            <w:top w:val="none" w:sz="0" w:space="0" w:color="auto"/>
            <w:left w:val="none" w:sz="0" w:space="0" w:color="auto"/>
            <w:bottom w:val="none" w:sz="0" w:space="0" w:color="auto"/>
            <w:right w:val="none" w:sz="0" w:space="0" w:color="auto"/>
          </w:divBdr>
        </w:div>
        <w:div w:id="1986158773">
          <w:marLeft w:val="0"/>
          <w:marRight w:val="0"/>
          <w:marTop w:val="0"/>
          <w:marBottom w:val="0"/>
          <w:divBdr>
            <w:top w:val="none" w:sz="0" w:space="0" w:color="auto"/>
            <w:left w:val="none" w:sz="0" w:space="0" w:color="auto"/>
            <w:bottom w:val="none" w:sz="0" w:space="0" w:color="auto"/>
            <w:right w:val="none" w:sz="0" w:space="0" w:color="auto"/>
          </w:divBdr>
          <w:divsChild>
            <w:div w:id="1474025">
              <w:marLeft w:val="0"/>
              <w:marRight w:val="0"/>
              <w:marTop w:val="0"/>
              <w:marBottom w:val="0"/>
              <w:divBdr>
                <w:top w:val="none" w:sz="0" w:space="0" w:color="auto"/>
                <w:left w:val="none" w:sz="0" w:space="0" w:color="auto"/>
                <w:bottom w:val="none" w:sz="0" w:space="0" w:color="auto"/>
                <w:right w:val="none" w:sz="0" w:space="0" w:color="auto"/>
              </w:divBdr>
            </w:div>
            <w:div w:id="45574152">
              <w:marLeft w:val="0"/>
              <w:marRight w:val="0"/>
              <w:marTop w:val="0"/>
              <w:marBottom w:val="0"/>
              <w:divBdr>
                <w:top w:val="none" w:sz="0" w:space="0" w:color="auto"/>
                <w:left w:val="none" w:sz="0" w:space="0" w:color="auto"/>
                <w:bottom w:val="none" w:sz="0" w:space="0" w:color="auto"/>
                <w:right w:val="none" w:sz="0" w:space="0" w:color="auto"/>
              </w:divBdr>
            </w:div>
            <w:div w:id="216937203">
              <w:marLeft w:val="0"/>
              <w:marRight w:val="0"/>
              <w:marTop w:val="0"/>
              <w:marBottom w:val="0"/>
              <w:divBdr>
                <w:top w:val="none" w:sz="0" w:space="0" w:color="auto"/>
                <w:left w:val="none" w:sz="0" w:space="0" w:color="auto"/>
                <w:bottom w:val="none" w:sz="0" w:space="0" w:color="auto"/>
                <w:right w:val="none" w:sz="0" w:space="0" w:color="auto"/>
              </w:divBdr>
            </w:div>
            <w:div w:id="355884222">
              <w:marLeft w:val="0"/>
              <w:marRight w:val="0"/>
              <w:marTop w:val="0"/>
              <w:marBottom w:val="0"/>
              <w:divBdr>
                <w:top w:val="none" w:sz="0" w:space="0" w:color="auto"/>
                <w:left w:val="none" w:sz="0" w:space="0" w:color="auto"/>
                <w:bottom w:val="none" w:sz="0" w:space="0" w:color="auto"/>
                <w:right w:val="none" w:sz="0" w:space="0" w:color="auto"/>
              </w:divBdr>
            </w:div>
            <w:div w:id="377435151">
              <w:marLeft w:val="0"/>
              <w:marRight w:val="0"/>
              <w:marTop w:val="0"/>
              <w:marBottom w:val="0"/>
              <w:divBdr>
                <w:top w:val="none" w:sz="0" w:space="0" w:color="auto"/>
                <w:left w:val="none" w:sz="0" w:space="0" w:color="auto"/>
                <w:bottom w:val="none" w:sz="0" w:space="0" w:color="auto"/>
                <w:right w:val="none" w:sz="0" w:space="0" w:color="auto"/>
              </w:divBdr>
            </w:div>
            <w:div w:id="390931258">
              <w:marLeft w:val="0"/>
              <w:marRight w:val="0"/>
              <w:marTop w:val="0"/>
              <w:marBottom w:val="0"/>
              <w:divBdr>
                <w:top w:val="none" w:sz="0" w:space="0" w:color="auto"/>
                <w:left w:val="none" w:sz="0" w:space="0" w:color="auto"/>
                <w:bottom w:val="none" w:sz="0" w:space="0" w:color="auto"/>
                <w:right w:val="none" w:sz="0" w:space="0" w:color="auto"/>
              </w:divBdr>
            </w:div>
            <w:div w:id="599798009">
              <w:marLeft w:val="0"/>
              <w:marRight w:val="0"/>
              <w:marTop w:val="0"/>
              <w:marBottom w:val="0"/>
              <w:divBdr>
                <w:top w:val="none" w:sz="0" w:space="0" w:color="auto"/>
                <w:left w:val="none" w:sz="0" w:space="0" w:color="auto"/>
                <w:bottom w:val="none" w:sz="0" w:space="0" w:color="auto"/>
                <w:right w:val="none" w:sz="0" w:space="0" w:color="auto"/>
              </w:divBdr>
            </w:div>
            <w:div w:id="935788770">
              <w:marLeft w:val="0"/>
              <w:marRight w:val="0"/>
              <w:marTop w:val="0"/>
              <w:marBottom w:val="0"/>
              <w:divBdr>
                <w:top w:val="none" w:sz="0" w:space="0" w:color="auto"/>
                <w:left w:val="none" w:sz="0" w:space="0" w:color="auto"/>
                <w:bottom w:val="none" w:sz="0" w:space="0" w:color="auto"/>
                <w:right w:val="none" w:sz="0" w:space="0" w:color="auto"/>
              </w:divBdr>
            </w:div>
            <w:div w:id="1043797748">
              <w:marLeft w:val="0"/>
              <w:marRight w:val="0"/>
              <w:marTop w:val="0"/>
              <w:marBottom w:val="0"/>
              <w:divBdr>
                <w:top w:val="none" w:sz="0" w:space="0" w:color="auto"/>
                <w:left w:val="none" w:sz="0" w:space="0" w:color="auto"/>
                <w:bottom w:val="none" w:sz="0" w:space="0" w:color="auto"/>
                <w:right w:val="none" w:sz="0" w:space="0" w:color="auto"/>
              </w:divBdr>
            </w:div>
            <w:div w:id="1081179786">
              <w:marLeft w:val="0"/>
              <w:marRight w:val="0"/>
              <w:marTop w:val="0"/>
              <w:marBottom w:val="0"/>
              <w:divBdr>
                <w:top w:val="none" w:sz="0" w:space="0" w:color="auto"/>
                <w:left w:val="none" w:sz="0" w:space="0" w:color="auto"/>
                <w:bottom w:val="none" w:sz="0" w:space="0" w:color="auto"/>
                <w:right w:val="none" w:sz="0" w:space="0" w:color="auto"/>
              </w:divBdr>
            </w:div>
            <w:div w:id="1189759248">
              <w:marLeft w:val="0"/>
              <w:marRight w:val="0"/>
              <w:marTop w:val="0"/>
              <w:marBottom w:val="0"/>
              <w:divBdr>
                <w:top w:val="none" w:sz="0" w:space="0" w:color="auto"/>
                <w:left w:val="none" w:sz="0" w:space="0" w:color="auto"/>
                <w:bottom w:val="none" w:sz="0" w:space="0" w:color="auto"/>
                <w:right w:val="none" w:sz="0" w:space="0" w:color="auto"/>
              </w:divBdr>
            </w:div>
            <w:div w:id="1345015643">
              <w:marLeft w:val="0"/>
              <w:marRight w:val="0"/>
              <w:marTop w:val="0"/>
              <w:marBottom w:val="0"/>
              <w:divBdr>
                <w:top w:val="none" w:sz="0" w:space="0" w:color="auto"/>
                <w:left w:val="none" w:sz="0" w:space="0" w:color="auto"/>
                <w:bottom w:val="none" w:sz="0" w:space="0" w:color="auto"/>
                <w:right w:val="none" w:sz="0" w:space="0" w:color="auto"/>
              </w:divBdr>
            </w:div>
            <w:div w:id="1425035595">
              <w:marLeft w:val="0"/>
              <w:marRight w:val="0"/>
              <w:marTop w:val="0"/>
              <w:marBottom w:val="0"/>
              <w:divBdr>
                <w:top w:val="none" w:sz="0" w:space="0" w:color="auto"/>
                <w:left w:val="none" w:sz="0" w:space="0" w:color="auto"/>
                <w:bottom w:val="none" w:sz="0" w:space="0" w:color="auto"/>
                <w:right w:val="none" w:sz="0" w:space="0" w:color="auto"/>
              </w:divBdr>
            </w:div>
            <w:div w:id="1515416647">
              <w:marLeft w:val="0"/>
              <w:marRight w:val="0"/>
              <w:marTop w:val="0"/>
              <w:marBottom w:val="0"/>
              <w:divBdr>
                <w:top w:val="none" w:sz="0" w:space="0" w:color="auto"/>
                <w:left w:val="none" w:sz="0" w:space="0" w:color="auto"/>
                <w:bottom w:val="none" w:sz="0" w:space="0" w:color="auto"/>
                <w:right w:val="none" w:sz="0" w:space="0" w:color="auto"/>
              </w:divBdr>
            </w:div>
            <w:div w:id="1863088463">
              <w:marLeft w:val="0"/>
              <w:marRight w:val="0"/>
              <w:marTop w:val="0"/>
              <w:marBottom w:val="0"/>
              <w:divBdr>
                <w:top w:val="none" w:sz="0" w:space="0" w:color="auto"/>
                <w:left w:val="none" w:sz="0" w:space="0" w:color="auto"/>
                <w:bottom w:val="none" w:sz="0" w:space="0" w:color="auto"/>
                <w:right w:val="none" w:sz="0" w:space="0" w:color="auto"/>
              </w:divBdr>
            </w:div>
            <w:div w:id="1909270608">
              <w:marLeft w:val="0"/>
              <w:marRight w:val="0"/>
              <w:marTop w:val="0"/>
              <w:marBottom w:val="0"/>
              <w:divBdr>
                <w:top w:val="none" w:sz="0" w:space="0" w:color="auto"/>
                <w:left w:val="none" w:sz="0" w:space="0" w:color="auto"/>
                <w:bottom w:val="none" w:sz="0" w:space="0" w:color="auto"/>
                <w:right w:val="none" w:sz="0" w:space="0" w:color="auto"/>
              </w:divBdr>
            </w:div>
            <w:div w:id="1958170776">
              <w:marLeft w:val="0"/>
              <w:marRight w:val="0"/>
              <w:marTop w:val="0"/>
              <w:marBottom w:val="0"/>
              <w:divBdr>
                <w:top w:val="none" w:sz="0" w:space="0" w:color="auto"/>
                <w:left w:val="none" w:sz="0" w:space="0" w:color="auto"/>
                <w:bottom w:val="none" w:sz="0" w:space="0" w:color="auto"/>
                <w:right w:val="none" w:sz="0" w:space="0" w:color="auto"/>
              </w:divBdr>
            </w:div>
            <w:div w:id="2128423117">
              <w:marLeft w:val="0"/>
              <w:marRight w:val="0"/>
              <w:marTop w:val="0"/>
              <w:marBottom w:val="0"/>
              <w:divBdr>
                <w:top w:val="none" w:sz="0" w:space="0" w:color="auto"/>
                <w:left w:val="none" w:sz="0" w:space="0" w:color="auto"/>
                <w:bottom w:val="none" w:sz="0" w:space="0" w:color="auto"/>
                <w:right w:val="none" w:sz="0" w:space="0" w:color="auto"/>
              </w:divBdr>
            </w:div>
          </w:divsChild>
        </w:div>
        <w:div w:id="1986658808">
          <w:marLeft w:val="0"/>
          <w:marRight w:val="0"/>
          <w:marTop w:val="0"/>
          <w:marBottom w:val="0"/>
          <w:divBdr>
            <w:top w:val="none" w:sz="0" w:space="0" w:color="auto"/>
            <w:left w:val="none" w:sz="0" w:space="0" w:color="auto"/>
            <w:bottom w:val="none" w:sz="0" w:space="0" w:color="auto"/>
            <w:right w:val="none" w:sz="0" w:space="0" w:color="auto"/>
          </w:divBdr>
        </w:div>
        <w:div w:id="1989049522">
          <w:marLeft w:val="0"/>
          <w:marRight w:val="0"/>
          <w:marTop w:val="0"/>
          <w:marBottom w:val="0"/>
          <w:divBdr>
            <w:top w:val="none" w:sz="0" w:space="0" w:color="auto"/>
            <w:left w:val="none" w:sz="0" w:space="0" w:color="auto"/>
            <w:bottom w:val="none" w:sz="0" w:space="0" w:color="auto"/>
            <w:right w:val="none" w:sz="0" w:space="0" w:color="auto"/>
          </w:divBdr>
          <w:divsChild>
            <w:div w:id="22176505">
              <w:marLeft w:val="0"/>
              <w:marRight w:val="0"/>
              <w:marTop w:val="0"/>
              <w:marBottom w:val="0"/>
              <w:divBdr>
                <w:top w:val="none" w:sz="0" w:space="0" w:color="auto"/>
                <w:left w:val="none" w:sz="0" w:space="0" w:color="auto"/>
                <w:bottom w:val="none" w:sz="0" w:space="0" w:color="auto"/>
                <w:right w:val="none" w:sz="0" w:space="0" w:color="auto"/>
              </w:divBdr>
            </w:div>
            <w:div w:id="166330513">
              <w:marLeft w:val="0"/>
              <w:marRight w:val="0"/>
              <w:marTop w:val="0"/>
              <w:marBottom w:val="0"/>
              <w:divBdr>
                <w:top w:val="none" w:sz="0" w:space="0" w:color="auto"/>
                <w:left w:val="none" w:sz="0" w:space="0" w:color="auto"/>
                <w:bottom w:val="none" w:sz="0" w:space="0" w:color="auto"/>
                <w:right w:val="none" w:sz="0" w:space="0" w:color="auto"/>
              </w:divBdr>
            </w:div>
            <w:div w:id="171065442">
              <w:marLeft w:val="0"/>
              <w:marRight w:val="0"/>
              <w:marTop w:val="0"/>
              <w:marBottom w:val="0"/>
              <w:divBdr>
                <w:top w:val="none" w:sz="0" w:space="0" w:color="auto"/>
                <w:left w:val="none" w:sz="0" w:space="0" w:color="auto"/>
                <w:bottom w:val="none" w:sz="0" w:space="0" w:color="auto"/>
                <w:right w:val="none" w:sz="0" w:space="0" w:color="auto"/>
              </w:divBdr>
            </w:div>
            <w:div w:id="218055472">
              <w:marLeft w:val="0"/>
              <w:marRight w:val="0"/>
              <w:marTop w:val="0"/>
              <w:marBottom w:val="0"/>
              <w:divBdr>
                <w:top w:val="none" w:sz="0" w:space="0" w:color="auto"/>
                <w:left w:val="none" w:sz="0" w:space="0" w:color="auto"/>
                <w:bottom w:val="none" w:sz="0" w:space="0" w:color="auto"/>
                <w:right w:val="none" w:sz="0" w:space="0" w:color="auto"/>
              </w:divBdr>
            </w:div>
            <w:div w:id="231550195">
              <w:marLeft w:val="0"/>
              <w:marRight w:val="0"/>
              <w:marTop w:val="0"/>
              <w:marBottom w:val="0"/>
              <w:divBdr>
                <w:top w:val="none" w:sz="0" w:space="0" w:color="auto"/>
                <w:left w:val="none" w:sz="0" w:space="0" w:color="auto"/>
                <w:bottom w:val="none" w:sz="0" w:space="0" w:color="auto"/>
                <w:right w:val="none" w:sz="0" w:space="0" w:color="auto"/>
              </w:divBdr>
            </w:div>
            <w:div w:id="258224363">
              <w:marLeft w:val="0"/>
              <w:marRight w:val="0"/>
              <w:marTop w:val="0"/>
              <w:marBottom w:val="0"/>
              <w:divBdr>
                <w:top w:val="none" w:sz="0" w:space="0" w:color="auto"/>
                <w:left w:val="none" w:sz="0" w:space="0" w:color="auto"/>
                <w:bottom w:val="none" w:sz="0" w:space="0" w:color="auto"/>
                <w:right w:val="none" w:sz="0" w:space="0" w:color="auto"/>
              </w:divBdr>
            </w:div>
            <w:div w:id="449398271">
              <w:marLeft w:val="0"/>
              <w:marRight w:val="0"/>
              <w:marTop w:val="0"/>
              <w:marBottom w:val="0"/>
              <w:divBdr>
                <w:top w:val="none" w:sz="0" w:space="0" w:color="auto"/>
                <w:left w:val="none" w:sz="0" w:space="0" w:color="auto"/>
                <w:bottom w:val="none" w:sz="0" w:space="0" w:color="auto"/>
                <w:right w:val="none" w:sz="0" w:space="0" w:color="auto"/>
              </w:divBdr>
            </w:div>
            <w:div w:id="542180172">
              <w:marLeft w:val="0"/>
              <w:marRight w:val="0"/>
              <w:marTop w:val="0"/>
              <w:marBottom w:val="0"/>
              <w:divBdr>
                <w:top w:val="none" w:sz="0" w:space="0" w:color="auto"/>
                <w:left w:val="none" w:sz="0" w:space="0" w:color="auto"/>
                <w:bottom w:val="none" w:sz="0" w:space="0" w:color="auto"/>
                <w:right w:val="none" w:sz="0" w:space="0" w:color="auto"/>
              </w:divBdr>
            </w:div>
            <w:div w:id="1014070038">
              <w:marLeft w:val="0"/>
              <w:marRight w:val="0"/>
              <w:marTop w:val="0"/>
              <w:marBottom w:val="0"/>
              <w:divBdr>
                <w:top w:val="none" w:sz="0" w:space="0" w:color="auto"/>
                <w:left w:val="none" w:sz="0" w:space="0" w:color="auto"/>
                <w:bottom w:val="none" w:sz="0" w:space="0" w:color="auto"/>
                <w:right w:val="none" w:sz="0" w:space="0" w:color="auto"/>
              </w:divBdr>
            </w:div>
            <w:div w:id="1253245629">
              <w:marLeft w:val="0"/>
              <w:marRight w:val="0"/>
              <w:marTop w:val="0"/>
              <w:marBottom w:val="0"/>
              <w:divBdr>
                <w:top w:val="none" w:sz="0" w:space="0" w:color="auto"/>
                <w:left w:val="none" w:sz="0" w:space="0" w:color="auto"/>
                <w:bottom w:val="none" w:sz="0" w:space="0" w:color="auto"/>
                <w:right w:val="none" w:sz="0" w:space="0" w:color="auto"/>
              </w:divBdr>
            </w:div>
            <w:div w:id="1440298704">
              <w:marLeft w:val="0"/>
              <w:marRight w:val="0"/>
              <w:marTop w:val="0"/>
              <w:marBottom w:val="0"/>
              <w:divBdr>
                <w:top w:val="none" w:sz="0" w:space="0" w:color="auto"/>
                <w:left w:val="none" w:sz="0" w:space="0" w:color="auto"/>
                <w:bottom w:val="none" w:sz="0" w:space="0" w:color="auto"/>
                <w:right w:val="none" w:sz="0" w:space="0" w:color="auto"/>
              </w:divBdr>
            </w:div>
            <w:div w:id="1452475973">
              <w:marLeft w:val="0"/>
              <w:marRight w:val="0"/>
              <w:marTop w:val="0"/>
              <w:marBottom w:val="0"/>
              <w:divBdr>
                <w:top w:val="none" w:sz="0" w:space="0" w:color="auto"/>
                <w:left w:val="none" w:sz="0" w:space="0" w:color="auto"/>
                <w:bottom w:val="none" w:sz="0" w:space="0" w:color="auto"/>
                <w:right w:val="none" w:sz="0" w:space="0" w:color="auto"/>
              </w:divBdr>
            </w:div>
            <w:div w:id="1471437966">
              <w:marLeft w:val="0"/>
              <w:marRight w:val="0"/>
              <w:marTop w:val="0"/>
              <w:marBottom w:val="0"/>
              <w:divBdr>
                <w:top w:val="none" w:sz="0" w:space="0" w:color="auto"/>
                <w:left w:val="none" w:sz="0" w:space="0" w:color="auto"/>
                <w:bottom w:val="none" w:sz="0" w:space="0" w:color="auto"/>
                <w:right w:val="none" w:sz="0" w:space="0" w:color="auto"/>
              </w:divBdr>
            </w:div>
            <w:div w:id="1884638350">
              <w:marLeft w:val="0"/>
              <w:marRight w:val="0"/>
              <w:marTop w:val="0"/>
              <w:marBottom w:val="0"/>
              <w:divBdr>
                <w:top w:val="none" w:sz="0" w:space="0" w:color="auto"/>
                <w:left w:val="none" w:sz="0" w:space="0" w:color="auto"/>
                <w:bottom w:val="none" w:sz="0" w:space="0" w:color="auto"/>
                <w:right w:val="none" w:sz="0" w:space="0" w:color="auto"/>
              </w:divBdr>
            </w:div>
            <w:div w:id="2044792029">
              <w:marLeft w:val="0"/>
              <w:marRight w:val="0"/>
              <w:marTop w:val="0"/>
              <w:marBottom w:val="0"/>
              <w:divBdr>
                <w:top w:val="none" w:sz="0" w:space="0" w:color="auto"/>
                <w:left w:val="none" w:sz="0" w:space="0" w:color="auto"/>
                <w:bottom w:val="none" w:sz="0" w:space="0" w:color="auto"/>
                <w:right w:val="none" w:sz="0" w:space="0" w:color="auto"/>
              </w:divBdr>
            </w:div>
          </w:divsChild>
        </w:div>
        <w:div w:id="1989894380">
          <w:marLeft w:val="0"/>
          <w:marRight w:val="0"/>
          <w:marTop w:val="0"/>
          <w:marBottom w:val="0"/>
          <w:divBdr>
            <w:top w:val="none" w:sz="0" w:space="0" w:color="auto"/>
            <w:left w:val="none" w:sz="0" w:space="0" w:color="auto"/>
            <w:bottom w:val="none" w:sz="0" w:space="0" w:color="auto"/>
            <w:right w:val="none" w:sz="0" w:space="0" w:color="auto"/>
          </w:divBdr>
        </w:div>
        <w:div w:id="1994066357">
          <w:marLeft w:val="0"/>
          <w:marRight w:val="0"/>
          <w:marTop w:val="0"/>
          <w:marBottom w:val="0"/>
          <w:divBdr>
            <w:top w:val="none" w:sz="0" w:space="0" w:color="auto"/>
            <w:left w:val="none" w:sz="0" w:space="0" w:color="auto"/>
            <w:bottom w:val="none" w:sz="0" w:space="0" w:color="auto"/>
            <w:right w:val="none" w:sz="0" w:space="0" w:color="auto"/>
          </w:divBdr>
        </w:div>
        <w:div w:id="1996031678">
          <w:marLeft w:val="0"/>
          <w:marRight w:val="0"/>
          <w:marTop w:val="0"/>
          <w:marBottom w:val="0"/>
          <w:divBdr>
            <w:top w:val="none" w:sz="0" w:space="0" w:color="auto"/>
            <w:left w:val="none" w:sz="0" w:space="0" w:color="auto"/>
            <w:bottom w:val="none" w:sz="0" w:space="0" w:color="auto"/>
            <w:right w:val="none" w:sz="0" w:space="0" w:color="auto"/>
          </w:divBdr>
        </w:div>
        <w:div w:id="1998535581">
          <w:marLeft w:val="0"/>
          <w:marRight w:val="0"/>
          <w:marTop w:val="0"/>
          <w:marBottom w:val="0"/>
          <w:divBdr>
            <w:top w:val="none" w:sz="0" w:space="0" w:color="auto"/>
            <w:left w:val="none" w:sz="0" w:space="0" w:color="auto"/>
            <w:bottom w:val="none" w:sz="0" w:space="0" w:color="auto"/>
            <w:right w:val="none" w:sz="0" w:space="0" w:color="auto"/>
          </w:divBdr>
        </w:div>
        <w:div w:id="2001225559">
          <w:marLeft w:val="0"/>
          <w:marRight w:val="0"/>
          <w:marTop w:val="0"/>
          <w:marBottom w:val="0"/>
          <w:divBdr>
            <w:top w:val="none" w:sz="0" w:space="0" w:color="auto"/>
            <w:left w:val="none" w:sz="0" w:space="0" w:color="auto"/>
            <w:bottom w:val="none" w:sz="0" w:space="0" w:color="auto"/>
            <w:right w:val="none" w:sz="0" w:space="0" w:color="auto"/>
          </w:divBdr>
          <w:divsChild>
            <w:div w:id="5837864">
              <w:marLeft w:val="0"/>
              <w:marRight w:val="0"/>
              <w:marTop w:val="0"/>
              <w:marBottom w:val="0"/>
              <w:divBdr>
                <w:top w:val="none" w:sz="0" w:space="0" w:color="auto"/>
                <w:left w:val="none" w:sz="0" w:space="0" w:color="auto"/>
                <w:bottom w:val="none" w:sz="0" w:space="0" w:color="auto"/>
                <w:right w:val="none" w:sz="0" w:space="0" w:color="auto"/>
              </w:divBdr>
            </w:div>
            <w:div w:id="161705860">
              <w:marLeft w:val="0"/>
              <w:marRight w:val="0"/>
              <w:marTop w:val="0"/>
              <w:marBottom w:val="0"/>
              <w:divBdr>
                <w:top w:val="none" w:sz="0" w:space="0" w:color="auto"/>
                <w:left w:val="none" w:sz="0" w:space="0" w:color="auto"/>
                <w:bottom w:val="none" w:sz="0" w:space="0" w:color="auto"/>
                <w:right w:val="none" w:sz="0" w:space="0" w:color="auto"/>
              </w:divBdr>
            </w:div>
            <w:div w:id="408506210">
              <w:marLeft w:val="0"/>
              <w:marRight w:val="0"/>
              <w:marTop w:val="0"/>
              <w:marBottom w:val="0"/>
              <w:divBdr>
                <w:top w:val="none" w:sz="0" w:space="0" w:color="auto"/>
                <w:left w:val="none" w:sz="0" w:space="0" w:color="auto"/>
                <w:bottom w:val="none" w:sz="0" w:space="0" w:color="auto"/>
                <w:right w:val="none" w:sz="0" w:space="0" w:color="auto"/>
              </w:divBdr>
            </w:div>
            <w:div w:id="413479810">
              <w:marLeft w:val="0"/>
              <w:marRight w:val="0"/>
              <w:marTop w:val="0"/>
              <w:marBottom w:val="0"/>
              <w:divBdr>
                <w:top w:val="none" w:sz="0" w:space="0" w:color="auto"/>
                <w:left w:val="none" w:sz="0" w:space="0" w:color="auto"/>
                <w:bottom w:val="none" w:sz="0" w:space="0" w:color="auto"/>
                <w:right w:val="none" w:sz="0" w:space="0" w:color="auto"/>
              </w:divBdr>
            </w:div>
            <w:div w:id="861894037">
              <w:marLeft w:val="0"/>
              <w:marRight w:val="0"/>
              <w:marTop w:val="0"/>
              <w:marBottom w:val="0"/>
              <w:divBdr>
                <w:top w:val="none" w:sz="0" w:space="0" w:color="auto"/>
                <w:left w:val="none" w:sz="0" w:space="0" w:color="auto"/>
                <w:bottom w:val="none" w:sz="0" w:space="0" w:color="auto"/>
                <w:right w:val="none" w:sz="0" w:space="0" w:color="auto"/>
              </w:divBdr>
            </w:div>
            <w:div w:id="1013066779">
              <w:marLeft w:val="0"/>
              <w:marRight w:val="0"/>
              <w:marTop w:val="0"/>
              <w:marBottom w:val="0"/>
              <w:divBdr>
                <w:top w:val="none" w:sz="0" w:space="0" w:color="auto"/>
                <w:left w:val="none" w:sz="0" w:space="0" w:color="auto"/>
                <w:bottom w:val="none" w:sz="0" w:space="0" w:color="auto"/>
                <w:right w:val="none" w:sz="0" w:space="0" w:color="auto"/>
              </w:divBdr>
            </w:div>
            <w:div w:id="1057629211">
              <w:marLeft w:val="0"/>
              <w:marRight w:val="0"/>
              <w:marTop w:val="0"/>
              <w:marBottom w:val="0"/>
              <w:divBdr>
                <w:top w:val="none" w:sz="0" w:space="0" w:color="auto"/>
                <w:left w:val="none" w:sz="0" w:space="0" w:color="auto"/>
                <w:bottom w:val="none" w:sz="0" w:space="0" w:color="auto"/>
                <w:right w:val="none" w:sz="0" w:space="0" w:color="auto"/>
              </w:divBdr>
            </w:div>
            <w:div w:id="1082095739">
              <w:marLeft w:val="0"/>
              <w:marRight w:val="0"/>
              <w:marTop w:val="0"/>
              <w:marBottom w:val="0"/>
              <w:divBdr>
                <w:top w:val="none" w:sz="0" w:space="0" w:color="auto"/>
                <w:left w:val="none" w:sz="0" w:space="0" w:color="auto"/>
                <w:bottom w:val="none" w:sz="0" w:space="0" w:color="auto"/>
                <w:right w:val="none" w:sz="0" w:space="0" w:color="auto"/>
              </w:divBdr>
            </w:div>
            <w:div w:id="1107771223">
              <w:marLeft w:val="0"/>
              <w:marRight w:val="0"/>
              <w:marTop w:val="0"/>
              <w:marBottom w:val="0"/>
              <w:divBdr>
                <w:top w:val="none" w:sz="0" w:space="0" w:color="auto"/>
                <w:left w:val="none" w:sz="0" w:space="0" w:color="auto"/>
                <w:bottom w:val="none" w:sz="0" w:space="0" w:color="auto"/>
                <w:right w:val="none" w:sz="0" w:space="0" w:color="auto"/>
              </w:divBdr>
            </w:div>
            <w:div w:id="1131632704">
              <w:marLeft w:val="0"/>
              <w:marRight w:val="0"/>
              <w:marTop w:val="0"/>
              <w:marBottom w:val="0"/>
              <w:divBdr>
                <w:top w:val="none" w:sz="0" w:space="0" w:color="auto"/>
                <w:left w:val="none" w:sz="0" w:space="0" w:color="auto"/>
                <w:bottom w:val="none" w:sz="0" w:space="0" w:color="auto"/>
                <w:right w:val="none" w:sz="0" w:space="0" w:color="auto"/>
              </w:divBdr>
            </w:div>
            <w:div w:id="1315531509">
              <w:marLeft w:val="0"/>
              <w:marRight w:val="0"/>
              <w:marTop w:val="0"/>
              <w:marBottom w:val="0"/>
              <w:divBdr>
                <w:top w:val="none" w:sz="0" w:space="0" w:color="auto"/>
                <w:left w:val="none" w:sz="0" w:space="0" w:color="auto"/>
                <w:bottom w:val="none" w:sz="0" w:space="0" w:color="auto"/>
                <w:right w:val="none" w:sz="0" w:space="0" w:color="auto"/>
              </w:divBdr>
            </w:div>
            <w:div w:id="1349719451">
              <w:marLeft w:val="0"/>
              <w:marRight w:val="0"/>
              <w:marTop w:val="0"/>
              <w:marBottom w:val="0"/>
              <w:divBdr>
                <w:top w:val="none" w:sz="0" w:space="0" w:color="auto"/>
                <w:left w:val="none" w:sz="0" w:space="0" w:color="auto"/>
                <w:bottom w:val="none" w:sz="0" w:space="0" w:color="auto"/>
                <w:right w:val="none" w:sz="0" w:space="0" w:color="auto"/>
              </w:divBdr>
            </w:div>
            <w:div w:id="1649095767">
              <w:marLeft w:val="0"/>
              <w:marRight w:val="0"/>
              <w:marTop w:val="0"/>
              <w:marBottom w:val="0"/>
              <w:divBdr>
                <w:top w:val="none" w:sz="0" w:space="0" w:color="auto"/>
                <w:left w:val="none" w:sz="0" w:space="0" w:color="auto"/>
                <w:bottom w:val="none" w:sz="0" w:space="0" w:color="auto"/>
                <w:right w:val="none" w:sz="0" w:space="0" w:color="auto"/>
              </w:divBdr>
            </w:div>
            <w:div w:id="1866094183">
              <w:marLeft w:val="0"/>
              <w:marRight w:val="0"/>
              <w:marTop w:val="0"/>
              <w:marBottom w:val="0"/>
              <w:divBdr>
                <w:top w:val="none" w:sz="0" w:space="0" w:color="auto"/>
                <w:left w:val="none" w:sz="0" w:space="0" w:color="auto"/>
                <w:bottom w:val="none" w:sz="0" w:space="0" w:color="auto"/>
                <w:right w:val="none" w:sz="0" w:space="0" w:color="auto"/>
              </w:divBdr>
            </w:div>
            <w:div w:id="1957444378">
              <w:marLeft w:val="0"/>
              <w:marRight w:val="0"/>
              <w:marTop w:val="0"/>
              <w:marBottom w:val="0"/>
              <w:divBdr>
                <w:top w:val="none" w:sz="0" w:space="0" w:color="auto"/>
                <w:left w:val="none" w:sz="0" w:space="0" w:color="auto"/>
                <w:bottom w:val="none" w:sz="0" w:space="0" w:color="auto"/>
                <w:right w:val="none" w:sz="0" w:space="0" w:color="auto"/>
              </w:divBdr>
            </w:div>
            <w:div w:id="2041125118">
              <w:marLeft w:val="0"/>
              <w:marRight w:val="0"/>
              <w:marTop w:val="0"/>
              <w:marBottom w:val="0"/>
              <w:divBdr>
                <w:top w:val="none" w:sz="0" w:space="0" w:color="auto"/>
                <w:left w:val="none" w:sz="0" w:space="0" w:color="auto"/>
                <w:bottom w:val="none" w:sz="0" w:space="0" w:color="auto"/>
                <w:right w:val="none" w:sz="0" w:space="0" w:color="auto"/>
              </w:divBdr>
            </w:div>
            <w:div w:id="2102484959">
              <w:marLeft w:val="0"/>
              <w:marRight w:val="0"/>
              <w:marTop w:val="0"/>
              <w:marBottom w:val="0"/>
              <w:divBdr>
                <w:top w:val="none" w:sz="0" w:space="0" w:color="auto"/>
                <w:left w:val="none" w:sz="0" w:space="0" w:color="auto"/>
                <w:bottom w:val="none" w:sz="0" w:space="0" w:color="auto"/>
                <w:right w:val="none" w:sz="0" w:space="0" w:color="auto"/>
              </w:divBdr>
            </w:div>
            <w:div w:id="2112816268">
              <w:marLeft w:val="0"/>
              <w:marRight w:val="0"/>
              <w:marTop w:val="0"/>
              <w:marBottom w:val="0"/>
              <w:divBdr>
                <w:top w:val="none" w:sz="0" w:space="0" w:color="auto"/>
                <w:left w:val="none" w:sz="0" w:space="0" w:color="auto"/>
                <w:bottom w:val="none" w:sz="0" w:space="0" w:color="auto"/>
                <w:right w:val="none" w:sz="0" w:space="0" w:color="auto"/>
              </w:divBdr>
            </w:div>
          </w:divsChild>
        </w:div>
        <w:div w:id="2006781453">
          <w:marLeft w:val="0"/>
          <w:marRight w:val="0"/>
          <w:marTop w:val="0"/>
          <w:marBottom w:val="0"/>
          <w:divBdr>
            <w:top w:val="none" w:sz="0" w:space="0" w:color="auto"/>
            <w:left w:val="none" w:sz="0" w:space="0" w:color="auto"/>
            <w:bottom w:val="none" w:sz="0" w:space="0" w:color="auto"/>
            <w:right w:val="none" w:sz="0" w:space="0" w:color="auto"/>
          </w:divBdr>
        </w:div>
        <w:div w:id="2008827103">
          <w:marLeft w:val="0"/>
          <w:marRight w:val="0"/>
          <w:marTop w:val="0"/>
          <w:marBottom w:val="0"/>
          <w:divBdr>
            <w:top w:val="none" w:sz="0" w:space="0" w:color="auto"/>
            <w:left w:val="none" w:sz="0" w:space="0" w:color="auto"/>
            <w:bottom w:val="none" w:sz="0" w:space="0" w:color="auto"/>
            <w:right w:val="none" w:sz="0" w:space="0" w:color="auto"/>
          </w:divBdr>
        </w:div>
        <w:div w:id="2009626450">
          <w:marLeft w:val="0"/>
          <w:marRight w:val="0"/>
          <w:marTop w:val="0"/>
          <w:marBottom w:val="0"/>
          <w:divBdr>
            <w:top w:val="none" w:sz="0" w:space="0" w:color="auto"/>
            <w:left w:val="none" w:sz="0" w:space="0" w:color="auto"/>
            <w:bottom w:val="none" w:sz="0" w:space="0" w:color="auto"/>
            <w:right w:val="none" w:sz="0" w:space="0" w:color="auto"/>
          </w:divBdr>
        </w:div>
        <w:div w:id="2010715769">
          <w:marLeft w:val="0"/>
          <w:marRight w:val="0"/>
          <w:marTop w:val="0"/>
          <w:marBottom w:val="0"/>
          <w:divBdr>
            <w:top w:val="none" w:sz="0" w:space="0" w:color="auto"/>
            <w:left w:val="none" w:sz="0" w:space="0" w:color="auto"/>
            <w:bottom w:val="none" w:sz="0" w:space="0" w:color="auto"/>
            <w:right w:val="none" w:sz="0" w:space="0" w:color="auto"/>
          </w:divBdr>
        </w:div>
        <w:div w:id="2010909269">
          <w:marLeft w:val="0"/>
          <w:marRight w:val="0"/>
          <w:marTop w:val="0"/>
          <w:marBottom w:val="0"/>
          <w:divBdr>
            <w:top w:val="none" w:sz="0" w:space="0" w:color="auto"/>
            <w:left w:val="none" w:sz="0" w:space="0" w:color="auto"/>
            <w:bottom w:val="none" w:sz="0" w:space="0" w:color="auto"/>
            <w:right w:val="none" w:sz="0" w:space="0" w:color="auto"/>
          </w:divBdr>
        </w:div>
        <w:div w:id="2013100436">
          <w:marLeft w:val="0"/>
          <w:marRight w:val="0"/>
          <w:marTop w:val="0"/>
          <w:marBottom w:val="0"/>
          <w:divBdr>
            <w:top w:val="none" w:sz="0" w:space="0" w:color="auto"/>
            <w:left w:val="none" w:sz="0" w:space="0" w:color="auto"/>
            <w:bottom w:val="none" w:sz="0" w:space="0" w:color="auto"/>
            <w:right w:val="none" w:sz="0" w:space="0" w:color="auto"/>
          </w:divBdr>
        </w:div>
        <w:div w:id="2013485526">
          <w:marLeft w:val="0"/>
          <w:marRight w:val="0"/>
          <w:marTop w:val="0"/>
          <w:marBottom w:val="0"/>
          <w:divBdr>
            <w:top w:val="none" w:sz="0" w:space="0" w:color="auto"/>
            <w:left w:val="none" w:sz="0" w:space="0" w:color="auto"/>
            <w:bottom w:val="none" w:sz="0" w:space="0" w:color="auto"/>
            <w:right w:val="none" w:sz="0" w:space="0" w:color="auto"/>
          </w:divBdr>
        </w:div>
        <w:div w:id="2015570639">
          <w:marLeft w:val="0"/>
          <w:marRight w:val="0"/>
          <w:marTop w:val="0"/>
          <w:marBottom w:val="0"/>
          <w:divBdr>
            <w:top w:val="none" w:sz="0" w:space="0" w:color="auto"/>
            <w:left w:val="none" w:sz="0" w:space="0" w:color="auto"/>
            <w:bottom w:val="none" w:sz="0" w:space="0" w:color="auto"/>
            <w:right w:val="none" w:sz="0" w:space="0" w:color="auto"/>
          </w:divBdr>
        </w:div>
        <w:div w:id="2015648778">
          <w:marLeft w:val="0"/>
          <w:marRight w:val="0"/>
          <w:marTop w:val="0"/>
          <w:marBottom w:val="0"/>
          <w:divBdr>
            <w:top w:val="none" w:sz="0" w:space="0" w:color="auto"/>
            <w:left w:val="none" w:sz="0" w:space="0" w:color="auto"/>
            <w:bottom w:val="none" w:sz="0" w:space="0" w:color="auto"/>
            <w:right w:val="none" w:sz="0" w:space="0" w:color="auto"/>
          </w:divBdr>
        </w:div>
        <w:div w:id="2016492443">
          <w:marLeft w:val="0"/>
          <w:marRight w:val="0"/>
          <w:marTop w:val="0"/>
          <w:marBottom w:val="0"/>
          <w:divBdr>
            <w:top w:val="none" w:sz="0" w:space="0" w:color="auto"/>
            <w:left w:val="none" w:sz="0" w:space="0" w:color="auto"/>
            <w:bottom w:val="none" w:sz="0" w:space="0" w:color="auto"/>
            <w:right w:val="none" w:sz="0" w:space="0" w:color="auto"/>
          </w:divBdr>
        </w:div>
        <w:div w:id="2016876074">
          <w:marLeft w:val="0"/>
          <w:marRight w:val="0"/>
          <w:marTop w:val="0"/>
          <w:marBottom w:val="0"/>
          <w:divBdr>
            <w:top w:val="none" w:sz="0" w:space="0" w:color="auto"/>
            <w:left w:val="none" w:sz="0" w:space="0" w:color="auto"/>
            <w:bottom w:val="none" w:sz="0" w:space="0" w:color="auto"/>
            <w:right w:val="none" w:sz="0" w:space="0" w:color="auto"/>
          </w:divBdr>
        </w:div>
        <w:div w:id="2020541985">
          <w:marLeft w:val="0"/>
          <w:marRight w:val="0"/>
          <w:marTop w:val="0"/>
          <w:marBottom w:val="0"/>
          <w:divBdr>
            <w:top w:val="none" w:sz="0" w:space="0" w:color="auto"/>
            <w:left w:val="none" w:sz="0" w:space="0" w:color="auto"/>
            <w:bottom w:val="none" w:sz="0" w:space="0" w:color="auto"/>
            <w:right w:val="none" w:sz="0" w:space="0" w:color="auto"/>
          </w:divBdr>
        </w:div>
        <w:div w:id="2022588163">
          <w:marLeft w:val="0"/>
          <w:marRight w:val="0"/>
          <w:marTop w:val="0"/>
          <w:marBottom w:val="0"/>
          <w:divBdr>
            <w:top w:val="none" w:sz="0" w:space="0" w:color="auto"/>
            <w:left w:val="none" w:sz="0" w:space="0" w:color="auto"/>
            <w:bottom w:val="none" w:sz="0" w:space="0" w:color="auto"/>
            <w:right w:val="none" w:sz="0" w:space="0" w:color="auto"/>
          </w:divBdr>
        </w:div>
        <w:div w:id="2024474889">
          <w:marLeft w:val="0"/>
          <w:marRight w:val="0"/>
          <w:marTop w:val="0"/>
          <w:marBottom w:val="0"/>
          <w:divBdr>
            <w:top w:val="none" w:sz="0" w:space="0" w:color="auto"/>
            <w:left w:val="none" w:sz="0" w:space="0" w:color="auto"/>
            <w:bottom w:val="none" w:sz="0" w:space="0" w:color="auto"/>
            <w:right w:val="none" w:sz="0" w:space="0" w:color="auto"/>
          </w:divBdr>
        </w:div>
        <w:div w:id="2024626076">
          <w:marLeft w:val="0"/>
          <w:marRight w:val="0"/>
          <w:marTop w:val="0"/>
          <w:marBottom w:val="0"/>
          <w:divBdr>
            <w:top w:val="none" w:sz="0" w:space="0" w:color="auto"/>
            <w:left w:val="none" w:sz="0" w:space="0" w:color="auto"/>
            <w:bottom w:val="none" w:sz="0" w:space="0" w:color="auto"/>
            <w:right w:val="none" w:sz="0" w:space="0" w:color="auto"/>
          </w:divBdr>
        </w:div>
        <w:div w:id="2026445398">
          <w:marLeft w:val="0"/>
          <w:marRight w:val="0"/>
          <w:marTop w:val="0"/>
          <w:marBottom w:val="0"/>
          <w:divBdr>
            <w:top w:val="none" w:sz="0" w:space="0" w:color="auto"/>
            <w:left w:val="none" w:sz="0" w:space="0" w:color="auto"/>
            <w:bottom w:val="none" w:sz="0" w:space="0" w:color="auto"/>
            <w:right w:val="none" w:sz="0" w:space="0" w:color="auto"/>
          </w:divBdr>
        </w:div>
        <w:div w:id="2027360322">
          <w:marLeft w:val="0"/>
          <w:marRight w:val="0"/>
          <w:marTop w:val="0"/>
          <w:marBottom w:val="0"/>
          <w:divBdr>
            <w:top w:val="none" w:sz="0" w:space="0" w:color="auto"/>
            <w:left w:val="none" w:sz="0" w:space="0" w:color="auto"/>
            <w:bottom w:val="none" w:sz="0" w:space="0" w:color="auto"/>
            <w:right w:val="none" w:sz="0" w:space="0" w:color="auto"/>
          </w:divBdr>
        </w:div>
        <w:div w:id="2027633195">
          <w:marLeft w:val="0"/>
          <w:marRight w:val="0"/>
          <w:marTop w:val="0"/>
          <w:marBottom w:val="0"/>
          <w:divBdr>
            <w:top w:val="none" w:sz="0" w:space="0" w:color="auto"/>
            <w:left w:val="none" w:sz="0" w:space="0" w:color="auto"/>
            <w:bottom w:val="none" w:sz="0" w:space="0" w:color="auto"/>
            <w:right w:val="none" w:sz="0" w:space="0" w:color="auto"/>
          </w:divBdr>
        </w:div>
        <w:div w:id="2030253642">
          <w:marLeft w:val="0"/>
          <w:marRight w:val="0"/>
          <w:marTop w:val="0"/>
          <w:marBottom w:val="0"/>
          <w:divBdr>
            <w:top w:val="none" w:sz="0" w:space="0" w:color="auto"/>
            <w:left w:val="none" w:sz="0" w:space="0" w:color="auto"/>
            <w:bottom w:val="none" w:sz="0" w:space="0" w:color="auto"/>
            <w:right w:val="none" w:sz="0" w:space="0" w:color="auto"/>
          </w:divBdr>
        </w:div>
        <w:div w:id="2032756142">
          <w:marLeft w:val="0"/>
          <w:marRight w:val="0"/>
          <w:marTop w:val="0"/>
          <w:marBottom w:val="0"/>
          <w:divBdr>
            <w:top w:val="none" w:sz="0" w:space="0" w:color="auto"/>
            <w:left w:val="none" w:sz="0" w:space="0" w:color="auto"/>
            <w:bottom w:val="none" w:sz="0" w:space="0" w:color="auto"/>
            <w:right w:val="none" w:sz="0" w:space="0" w:color="auto"/>
          </w:divBdr>
        </w:div>
        <w:div w:id="2032804932">
          <w:marLeft w:val="0"/>
          <w:marRight w:val="0"/>
          <w:marTop w:val="0"/>
          <w:marBottom w:val="0"/>
          <w:divBdr>
            <w:top w:val="none" w:sz="0" w:space="0" w:color="auto"/>
            <w:left w:val="none" w:sz="0" w:space="0" w:color="auto"/>
            <w:bottom w:val="none" w:sz="0" w:space="0" w:color="auto"/>
            <w:right w:val="none" w:sz="0" w:space="0" w:color="auto"/>
          </w:divBdr>
        </w:div>
        <w:div w:id="2034915537">
          <w:marLeft w:val="0"/>
          <w:marRight w:val="0"/>
          <w:marTop w:val="0"/>
          <w:marBottom w:val="0"/>
          <w:divBdr>
            <w:top w:val="none" w:sz="0" w:space="0" w:color="auto"/>
            <w:left w:val="none" w:sz="0" w:space="0" w:color="auto"/>
            <w:bottom w:val="none" w:sz="0" w:space="0" w:color="auto"/>
            <w:right w:val="none" w:sz="0" w:space="0" w:color="auto"/>
          </w:divBdr>
          <w:divsChild>
            <w:div w:id="58602298">
              <w:marLeft w:val="0"/>
              <w:marRight w:val="0"/>
              <w:marTop w:val="0"/>
              <w:marBottom w:val="0"/>
              <w:divBdr>
                <w:top w:val="none" w:sz="0" w:space="0" w:color="auto"/>
                <w:left w:val="none" w:sz="0" w:space="0" w:color="auto"/>
                <w:bottom w:val="none" w:sz="0" w:space="0" w:color="auto"/>
                <w:right w:val="none" w:sz="0" w:space="0" w:color="auto"/>
              </w:divBdr>
            </w:div>
            <w:div w:id="114950827">
              <w:marLeft w:val="0"/>
              <w:marRight w:val="0"/>
              <w:marTop w:val="0"/>
              <w:marBottom w:val="0"/>
              <w:divBdr>
                <w:top w:val="none" w:sz="0" w:space="0" w:color="auto"/>
                <w:left w:val="none" w:sz="0" w:space="0" w:color="auto"/>
                <w:bottom w:val="none" w:sz="0" w:space="0" w:color="auto"/>
                <w:right w:val="none" w:sz="0" w:space="0" w:color="auto"/>
              </w:divBdr>
            </w:div>
            <w:div w:id="158741460">
              <w:marLeft w:val="0"/>
              <w:marRight w:val="0"/>
              <w:marTop w:val="0"/>
              <w:marBottom w:val="0"/>
              <w:divBdr>
                <w:top w:val="none" w:sz="0" w:space="0" w:color="auto"/>
                <w:left w:val="none" w:sz="0" w:space="0" w:color="auto"/>
                <w:bottom w:val="none" w:sz="0" w:space="0" w:color="auto"/>
                <w:right w:val="none" w:sz="0" w:space="0" w:color="auto"/>
              </w:divBdr>
            </w:div>
            <w:div w:id="189337804">
              <w:marLeft w:val="0"/>
              <w:marRight w:val="0"/>
              <w:marTop w:val="0"/>
              <w:marBottom w:val="0"/>
              <w:divBdr>
                <w:top w:val="none" w:sz="0" w:space="0" w:color="auto"/>
                <w:left w:val="none" w:sz="0" w:space="0" w:color="auto"/>
                <w:bottom w:val="none" w:sz="0" w:space="0" w:color="auto"/>
                <w:right w:val="none" w:sz="0" w:space="0" w:color="auto"/>
              </w:divBdr>
            </w:div>
            <w:div w:id="277835877">
              <w:marLeft w:val="0"/>
              <w:marRight w:val="0"/>
              <w:marTop w:val="0"/>
              <w:marBottom w:val="0"/>
              <w:divBdr>
                <w:top w:val="none" w:sz="0" w:space="0" w:color="auto"/>
                <w:left w:val="none" w:sz="0" w:space="0" w:color="auto"/>
                <w:bottom w:val="none" w:sz="0" w:space="0" w:color="auto"/>
                <w:right w:val="none" w:sz="0" w:space="0" w:color="auto"/>
              </w:divBdr>
            </w:div>
            <w:div w:id="430703560">
              <w:marLeft w:val="0"/>
              <w:marRight w:val="0"/>
              <w:marTop w:val="0"/>
              <w:marBottom w:val="0"/>
              <w:divBdr>
                <w:top w:val="none" w:sz="0" w:space="0" w:color="auto"/>
                <w:left w:val="none" w:sz="0" w:space="0" w:color="auto"/>
                <w:bottom w:val="none" w:sz="0" w:space="0" w:color="auto"/>
                <w:right w:val="none" w:sz="0" w:space="0" w:color="auto"/>
              </w:divBdr>
            </w:div>
            <w:div w:id="556091795">
              <w:marLeft w:val="0"/>
              <w:marRight w:val="0"/>
              <w:marTop w:val="0"/>
              <w:marBottom w:val="0"/>
              <w:divBdr>
                <w:top w:val="none" w:sz="0" w:space="0" w:color="auto"/>
                <w:left w:val="none" w:sz="0" w:space="0" w:color="auto"/>
                <w:bottom w:val="none" w:sz="0" w:space="0" w:color="auto"/>
                <w:right w:val="none" w:sz="0" w:space="0" w:color="auto"/>
              </w:divBdr>
            </w:div>
            <w:div w:id="582758055">
              <w:marLeft w:val="0"/>
              <w:marRight w:val="0"/>
              <w:marTop w:val="0"/>
              <w:marBottom w:val="0"/>
              <w:divBdr>
                <w:top w:val="none" w:sz="0" w:space="0" w:color="auto"/>
                <w:left w:val="none" w:sz="0" w:space="0" w:color="auto"/>
                <w:bottom w:val="none" w:sz="0" w:space="0" w:color="auto"/>
                <w:right w:val="none" w:sz="0" w:space="0" w:color="auto"/>
              </w:divBdr>
            </w:div>
            <w:div w:id="857888953">
              <w:marLeft w:val="0"/>
              <w:marRight w:val="0"/>
              <w:marTop w:val="0"/>
              <w:marBottom w:val="0"/>
              <w:divBdr>
                <w:top w:val="none" w:sz="0" w:space="0" w:color="auto"/>
                <w:left w:val="none" w:sz="0" w:space="0" w:color="auto"/>
                <w:bottom w:val="none" w:sz="0" w:space="0" w:color="auto"/>
                <w:right w:val="none" w:sz="0" w:space="0" w:color="auto"/>
              </w:divBdr>
            </w:div>
            <w:div w:id="892734082">
              <w:marLeft w:val="0"/>
              <w:marRight w:val="0"/>
              <w:marTop w:val="0"/>
              <w:marBottom w:val="0"/>
              <w:divBdr>
                <w:top w:val="none" w:sz="0" w:space="0" w:color="auto"/>
                <w:left w:val="none" w:sz="0" w:space="0" w:color="auto"/>
                <w:bottom w:val="none" w:sz="0" w:space="0" w:color="auto"/>
                <w:right w:val="none" w:sz="0" w:space="0" w:color="auto"/>
              </w:divBdr>
            </w:div>
            <w:div w:id="1239680124">
              <w:marLeft w:val="0"/>
              <w:marRight w:val="0"/>
              <w:marTop w:val="0"/>
              <w:marBottom w:val="0"/>
              <w:divBdr>
                <w:top w:val="none" w:sz="0" w:space="0" w:color="auto"/>
                <w:left w:val="none" w:sz="0" w:space="0" w:color="auto"/>
                <w:bottom w:val="none" w:sz="0" w:space="0" w:color="auto"/>
                <w:right w:val="none" w:sz="0" w:space="0" w:color="auto"/>
              </w:divBdr>
            </w:div>
            <w:div w:id="1284771191">
              <w:marLeft w:val="0"/>
              <w:marRight w:val="0"/>
              <w:marTop w:val="0"/>
              <w:marBottom w:val="0"/>
              <w:divBdr>
                <w:top w:val="none" w:sz="0" w:space="0" w:color="auto"/>
                <w:left w:val="none" w:sz="0" w:space="0" w:color="auto"/>
                <w:bottom w:val="none" w:sz="0" w:space="0" w:color="auto"/>
                <w:right w:val="none" w:sz="0" w:space="0" w:color="auto"/>
              </w:divBdr>
            </w:div>
            <w:div w:id="1310205378">
              <w:marLeft w:val="0"/>
              <w:marRight w:val="0"/>
              <w:marTop w:val="0"/>
              <w:marBottom w:val="0"/>
              <w:divBdr>
                <w:top w:val="none" w:sz="0" w:space="0" w:color="auto"/>
                <w:left w:val="none" w:sz="0" w:space="0" w:color="auto"/>
                <w:bottom w:val="none" w:sz="0" w:space="0" w:color="auto"/>
                <w:right w:val="none" w:sz="0" w:space="0" w:color="auto"/>
              </w:divBdr>
            </w:div>
            <w:div w:id="1401903272">
              <w:marLeft w:val="0"/>
              <w:marRight w:val="0"/>
              <w:marTop w:val="0"/>
              <w:marBottom w:val="0"/>
              <w:divBdr>
                <w:top w:val="none" w:sz="0" w:space="0" w:color="auto"/>
                <w:left w:val="none" w:sz="0" w:space="0" w:color="auto"/>
                <w:bottom w:val="none" w:sz="0" w:space="0" w:color="auto"/>
                <w:right w:val="none" w:sz="0" w:space="0" w:color="auto"/>
              </w:divBdr>
            </w:div>
            <w:div w:id="1457140090">
              <w:marLeft w:val="0"/>
              <w:marRight w:val="0"/>
              <w:marTop w:val="0"/>
              <w:marBottom w:val="0"/>
              <w:divBdr>
                <w:top w:val="none" w:sz="0" w:space="0" w:color="auto"/>
                <w:left w:val="none" w:sz="0" w:space="0" w:color="auto"/>
                <w:bottom w:val="none" w:sz="0" w:space="0" w:color="auto"/>
                <w:right w:val="none" w:sz="0" w:space="0" w:color="auto"/>
              </w:divBdr>
            </w:div>
            <w:div w:id="1510371923">
              <w:marLeft w:val="0"/>
              <w:marRight w:val="0"/>
              <w:marTop w:val="0"/>
              <w:marBottom w:val="0"/>
              <w:divBdr>
                <w:top w:val="none" w:sz="0" w:space="0" w:color="auto"/>
                <w:left w:val="none" w:sz="0" w:space="0" w:color="auto"/>
                <w:bottom w:val="none" w:sz="0" w:space="0" w:color="auto"/>
                <w:right w:val="none" w:sz="0" w:space="0" w:color="auto"/>
              </w:divBdr>
            </w:div>
            <w:div w:id="1644038393">
              <w:marLeft w:val="0"/>
              <w:marRight w:val="0"/>
              <w:marTop w:val="0"/>
              <w:marBottom w:val="0"/>
              <w:divBdr>
                <w:top w:val="none" w:sz="0" w:space="0" w:color="auto"/>
                <w:left w:val="none" w:sz="0" w:space="0" w:color="auto"/>
                <w:bottom w:val="none" w:sz="0" w:space="0" w:color="auto"/>
                <w:right w:val="none" w:sz="0" w:space="0" w:color="auto"/>
              </w:divBdr>
            </w:div>
            <w:div w:id="1821537208">
              <w:marLeft w:val="0"/>
              <w:marRight w:val="0"/>
              <w:marTop w:val="0"/>
              <w:marBottom w:val="0"/>
              <w:divBdr>
                <w:top w:val="none" w:sz="0" w:space="0" w:color="auto"/>
                <w:left w:val="none" w:sz="0" w:space="0" w:color="auto"/>
                <w:bottom w:val="none" w:sz="0" w:space="0" w:color="auto"/>
                <w:right w:val="none" w:sz="0" w:space="0" w:color="auto"/>
              </w:divBdr>
            </w:div>
            <w:div w:id="2144888938">
              <w:marLeft w:val="0"/>
              <w:marRight w:val="0"/>
              <w:marTop w:val="0"/>
              <w:marBottom w:val="0"/>
              <w:divBdr>
                <w:top w:val="none" w:sz="0" w:space="0" w:color="auto"/>
                <w:left w:val="none" w:sz="0" w:space="0" w:color="auto"/>
                <w:bottom w:val="none" w:sz="0" w:space="0" w:color="auto"/>
                <w:right w:val="none" w:sz="0" w:space="0" w:color="auto"/>
              </w:divBdr>
            </w:div>
          </w:divsChild>
        </w:div>
        <w:div w:id="2035184053">
          <w:marLeft w:val="0"/>
          <w:marRight w:val="0"/>
          <w:marTop w:val="0"/>
          <w:marBottom w:val="0"/>
          <w:divBdr>
            <w:top w:val="none" w:sz="0" w:space="0" w:color="auto"/>
            <w:left w:val="none" w:sz="0" w:space="0" w:color="auto"/>
            <w:bottom w:val="none" w:sz="0" w:space="0" w:color="auto"/>
            <w:right w:val="none" w:sz="0" w:space="0" w:color="auto"/>
          </w:divBdr>
          <w:divsChild>
            <w:div w:id="49808256">
              <w:marLeft w:val="0"/>
              <w:marRight w:val="0"/>
              <w:marTop w:val="0"/>
              <w:marBottom w:val="0"/>
              <w:divBdr>
                <w:top w:val="none" w:sz="0" w:space="0" w:color="auto"/>
                <w:left w:val="none" w:sz="0" w:space="0" w:color="auto"/>
                <w:bottom w:val="none" w:sz="0" w:space="0" w:color="auto"/>
                <w:right w:val="none" w:sz="0" w:space="0" w:color="auto"/>
              </w:divBdr>
            </w:div>
            <w:div w:id="431975924">
              <w:marLeft w:val="0"/>
              <w:marRight w:val="0"/>
              <w:marTop w:val="0"/>
              <w:marBottom w:val="0"/>
              <w:divBdr>
                <w:top w:val="none" w:sz="0" w:space="0" w:color="auto"/>
                <w:left w:val="none" w:sz="0" w:space="0" w:color="auto"/>
                <w:bottom w:val="none" w:sz="0" w:space="0" w:color="auto"/>
                <w:right w:val="none" w:sz="0" w:space="0" w:color="auto"/>
              </w:divBdr>
            </w:div>
            <w:div w:id="472217431">
              <w:marLeft w:val="0"/>
              <w:marRight w:val="0"/>
              <w:marTop w:val="0"/>
              <w:marBottom w:val="0"/>
              <w:divBdr>
                <w:top w:val="none" w:sz="0" w:space="0" w:color="auto"/>
                <w:left w:val="none" w:sz="0" w:space="0" w:color="auto"/>
                <w:bottom w:val="none" w:sz="0" w:space="0" w:color="auto"/>
                <w:right w:val="none" w:sz="0" w:space="0" w:color="auto"/>
              </w:divBdr>
            </w:div>
            <w:div w:id="503713481">
              <w:marLeft w:val="0"/>
              <w:marRight w:val="0"/>
              <w:marTop w:val="0"/>
              <w:marBottom w:val="0"/>
              <w:divBdr>
                <w:top w:val="none" w:sz="0" w:space="0" w:color="auto"/>
                <w:left w:val="none" w:sz="0" w:space="0" w:color="auto"/>
                <w:bottom w:val="none" w:sz="0" w:space="0" w:color="auto"/>
                <w:right w:val="none" w:sz="0" w:space="0" w:color="auto"/>
              </w:divBdr>
            </w:div>
            <w:div w:id="573978505">
              <w:marLeft w:val="0"/>
              <w:marRight w:val="0"/>
              <w:marTop w:val="0"/>
              <w:marBottom w:val="0"/>
              <w:divBdr>
                <w:top w:val="none" w:sz="0" w:space="0" w:color="auto"/>
                <w:left w:val="none" w:sz="0" w:space="0" w:color="auto"/>
                <w:bottom w:val="none" w:sz="0" w:space="0" w:color="auto"/>
                <w:right w:val="none" w:sz="0" w:space="0" w:color="auto"/>
              </w:divBdr>
            </w:div>
            <w:div w:id="794642178">
              <w:marLeft w:val="0"/>
              <w:marRight w:val="0"/>
              <w:marTop w:val="0"/>
              <w:marBottom w:val="0"/>
              <w:divBdr>
                <w:top w:val="none" w:sz="0" w:space="0" w:color="auto"/>
                <w:left w:val="none" w:sz="0" w:space="0" w:color="auto"/>
                <w:bottom w:val="none" w:sz="0" w:space="0" w:color="auto"/>
                <w:right w:val="none" w:sz="0" w:space="0" w:color="auto"/>
              </w:divBdr>
            </w:div>
            <w:div w:id="822428141">
              <w:marLeft w:val="0"/>
              <w:marRight w:val="0"/>
              <w:marTop w:val="0"/>
              <w:marBottom w:val="0"/>
              <w:divBdr>
                <w:top w:val="none" w:sz="0" w:space="0" w:color="auto"/>
                <w:left w:val="none" w:sz="0" w:space="0" w:color="auto"/>
                <w:bottom w:val="none" w:sz="0" w:space="0" w:color="auto"/>
                <w:right w:val="none" w:sz="0" w:space="0" w:color="auto"/>
              </w:divBdr>
            </w:div>
            <w:div w:id="823542753">
              <w:marLeft w:val="0"/>
              <w:marRight w:val="0"/>
              <w:marTop w:val="0"/>
              <w:marBottom w:val="0"/>
              <w:divBdr>
                <w:top w:val="none" w:sz="0" w:space="0" w:color="auto"/>
                <w:left w:val="none" w:sz="0" w:space="0" w:color="auto"/>
                <w:bottom w:val="none" w:sz="0" w:space="0" w:color="auto"/>
                <w:right w:val="none" w:sz="0" w:space="0" w:color="auto"/>
              </w:divBdr>
            </w:div>
            <w:div w:id="832720315">
              <w:marLeft w:val="0"/>
              <w:marRight w:val="0"/>
              <w:marTop w:val="0"/>
              <w:marBottom w:val="0"/>
              <w:divBdr>
                <w:top w:val="none" w:sz="0" w:space="0" w:color="auto"/>
                <w:left w:val="none" w:sz="0" w:space="0" w:color="auto"/>
                <w:bottom w:val="none" w:sz="0" w:space="0" w:color="auto"/>
                <w:right w:val="none" w:sz="0" w:space="0" w:color="auto"/>
              </w:divBdr>
            </w:div>
            <w:div w:id="986081997">
              <w:marLeft w:val="0"/>
              <w:marRight w:val="0"/>
              <w:marTop w:val="0"/>
              <w:marBottom w:val="0"/>
              <w:divBdr>
                <w:top w:val="none" w:sz="0" w:space="0" w:color="auto"/>
                <w:left w:val="none" w:sz="0" w:space="0" w:color="auto"/>
                <w:bottom w:val="none" w:sz="0" w:space="0" w:color="auto"/>
                <w:right w:val="none" w:sz="0" w:space="0" w:color="auto"/>
              </w:divBdr>
            </w:div>
            <w:div w:id="1128357260">
              <w:marLeft w:val="0"/>
              <w:marRight w:val="0"/>
              <w:marTop w:val="0"/>
              <w:marBottom w:val="0"/>
              <w:divBdr>
                <w:top w:val="none" w:sz="0" w:space="0" w:color="auto"/>
                <w:left w:val="none" w:sz="0" w:space="0" w:color="auto"/>
                <w:bottom w:val="none" w:sz="0" w:space="0" w:color="auto"/>
                <w:right w:val="none" w:sz="0" w:space="0" w:color="auto"/>
              </w:divBdr>
            </w:div>
            <w:div w:id="1457946130">
              <w:marLeft w:val="0"/>
              <w:marRight w:val="0"/>
              <w:marTop w:val="0"/>
              <w:marBottom w:val="0"/>
              <w:divBdr>
                <w:top w:val="none" w:sz="0" w:space="0" w:color="auto"/>
                <w:left w:val="none" w:sz="0" w:space="0" w:color="auto"/>
                <w:bottom w:val="none" w:sz="0" w:space="0" w:color="auto"/>
                <w:right w:val="none" w:sz="0" w:space="0" w:color="auto"/>
              </w:divBdr>
            </w:div>
            <w:div w:id="1672172413">
              <w:marLeft w:val="0"/>
              <w:marRight w:val="0"/>
              <w:marTop w:val="0"/>
              <w:marBottom w:val="0"/>
              <w:divBdr>
                <w:top w:val="none" w:sz="0" w:space="0" w:color="auto"/>
                <w:left w:val="none" w:sz="0" w:space="0" w:color="auto"/>
                <w:bottom w:val="none" w:sz="0" w:space="0" w:color="auto"/>
                <w:right w:val="none" w:sz="0" w:space="0" w:color="auto"/>
              </w:divBdr>
            </w:div>
            <w:div w:id="2098821529">
              <w:marLeft w:val="0"/>
              <w:marRight w:val="0"/>
              <w:marTop w:val="0"/>
              <w:marBottom w:val="0"/>
              <w:divBdr>
                <w:top w:val="none" w:sz="0" w:space="0" w:color="auto"/>
                <w:left w:val="none" w:sz="0" w:space="0" w:color="auto"/>
                <w:bottom w:val="none" w:sz="0" w:space="0" w:color="auto"/>
                <w:right w:val="none" w:sz="0" w:space="0" w:color="auto"/>
              </w:divBdr>
            </w:div>
          </w:divsChild>
        </w:div>
        <w:div w:id="2035300784">
          <w:marLeft w:val="0"/>
          <w:marRight w:val="0"/>
          <w:marTop w:val="0"/>
          <w:marBottom w:val="0"/>
          <w:divBdr>
            <w:top w:val="none" w:sz="0" w:space="0" w:color="auto"/>
            <w:left w:val="none" w:sz="0" w:space="0" w:color="auto"/>
            <w:bottom w:val="none" w:sz="0" w:space="0" w:color="auto"/>
            <w:right w:val="none" w:sz="0" w:space="0" w:color="auto"/>
          </w:divBdr>
        </w:div>
        <w:div w:id="2038039654">
          <w:marLeft w:val="0"/>
          <w:marRight w:val="0"/>
          <w:marTop w:val="0"/>
          <w:marBottom w:val="0"/>
          <w:divBdr>
            <w:top w:val="none" w:sz="0" w:space="0" w:color="auto"/>
            <w:left w:val="none" w:sz="0" w:space="0" w:color="auto"/>
            <w:bottom w:val="none" w:sz="0" w:space="0" w:color="auto"/>
            <w:right w:val="none" w:sz="0" w:space="0" w:color="auto"/>
          </w:divBdr>
        </w:div>
        <w:div w:id="2038702057">
          <w:marLeft w:val="0"/>
          <w:marRight w:val="0"/>
          <w:marTop w:val="0"/>
          <w:marBottom w:val="0"/>
          <w:divBdr>
            <w:top w:val="none" w:sz="0" w:space="0" w:color="auto"/>
            <w:left w:val="none" w:sz="0" w:space="0" w:color="auto"/>
            <w:bottom w:val="none" w:sz="0" w:space="0" w:color="auto"/>
            <w:right w:val="none" w:sz="0" w:space="0" w:color="auto"/>
          </w:divBdr>
        </w:div>
        <w:div w:id="2039115186">
          <w:marLeft w:val="0"/>
          <w:marRight w:val="0"/>
          <w:marTop w:val="0"/>
          <w:marBottom w:val="0"/>
          <w:divBdr>
            <w:top w:val="none" w:sz="0" w:space="0" w:color="auto"/>
            <w:left w:val="none" w:sz="0" w:space="0" w:color="auto"/>
            <w:bottom w:val="none" w:sz="0" w:space="0" w:color="auto"/>
            <w:right w:val="none" w:sz="0" w:space="0" w:color="auto"/>
          </w:divBdr>
        </w:div>
        <w:div w:id="2042630921">
          <w:marLeft w:val="0"/>
          <w:marRight w:val="0"/>
          <w:marTop w:val="0"/>
          <w:marBottom w:val="0"/>
          <w:divBdr>
            <w:top w:val="none" w:sz="0" w:space="0" w:color="auto"/>
            <w:left w:val="none" w:sz="0" w:space="0" w:color="auto"/>
            <w:bottom w:val="none" w:sz="0" w:space="0" w:color="auto"/>
            <w:right w:val="none" w:sz="0" w:space="0" w:color="auto"/>
          </w:divBdr>
          <w:divsChild>
            <w:div w:id="3092813">
              <w:marLeft w:val="0"/>
              <w:marRight w:val="0"/>
              <w:marTop w:val="0"/>
              <w:marBottom w:val="0"/>
              <w:divBdr>
                <w:top w:val="none" w:sz="0" w:space="0" w:color="auto"/>
                <w:left w:val="none" w:sz="0" w:space="0" w:color="auto"/>
                <w:bottom w:val="none" w:sz="0" w:space="0" w:color="auto"/>
                <w:right w:val="none" w:sz="0" w:space="0" w:color="auto"/>
              </w:divBdr>
            </w:div>
            <w:div w:id="167408764">
              <w:marLeft w:val="0"/>
              <w:marRight w:val="0"/>
              <w:marTop w:val="0"/>
              <w:marBottom w:val="0"/>
              <w:divBdr>
                <w:top w:val="none" w:sz="0" w:space="0" w:color="auto"/>
                <w:left w:val="none" w:sz="0" w:space="0" w:color="auto"/>
                <w:bottom w:val="none" w:sz="0" w:space="0" w:color="auto"/>
                <w:right w:val="none" w:sz="0" w:space="0" w:color="auto"/>
              </w:divBdr>
            </w:div>
            <w:div w:id="195509828">
              <w:marLeft w:val="0"/>
              <w:marRight w:val="0"/>
              <w:marTop w:val="0"/>
              <w:marBottom w:val="0"/>
              <w:divBdr>
                <w:top w:val="none" w:sz="0" w:space="0" w:color="auto"/>
                <w:left w:val="none" w:sz="0" w:space="0" w:color="auto"/>
                <w:bottom w:val="none" w:sz="0" w:space="0" w:color="auto"/>
                <w:right w:val="none" w:sz="0" w:space="0" w:color="auto"/>
              </w:divBdr>
            </w:div>
            <w:div w:id="627710136">
              <w:marLeft w:val="0"/>
              <w:marRight w:val="0"/>
              <w:marTop w:val="0"/>
              <w:marBottom w:val="0"/>
              <w:divBdr>
                <w:top w:val="none" w:sz="0" w:space="0" w:color="auto"/>
                <w:left w:val="none" w:sz="0" w:space="0" w:color="auto"/>
                <w:bottom w:val="none" w:sz="0" w:space="0" w:color="auto"/>
                <w:right w:val="none" w:sz="0" w:space="0" w:color="auto"/>
              </w:divBdr>
            </w:div>
            <w:div w:id="701975126">
              <w:marLeft w:val="0"/>
              <w:marRight w:val="0"/>
              <w:marTop w:val="0"/>
              <w:marBottom w:val="0"/>
              <w:divBdr>
                <w:top w:val="none" w:sz="0" w:space="0" w:color="auto"/>
                <w:left w:val="none" w:sz="0" w:space="0" w:color="auto"/>
                <w:bottom w:val="none" w:sz="0" w:space="0" w:color="auto"/>
                <w:right w:val="none" w:sz="0" w:space="0" w:color="auto"/>
              </w:divBdr>
            </w:div>
            <w:div w:id="759957066">
              <w:marLeft w:val="0"/>
              <w:marRight w:val="0"/>
              <w:marTop w:val="0"/>
              <w:marBottom w:val="0"/>
              <w:divBdr>
                <w:top w:val="none" w:sz="0" w:space="0" w:color="auto"/>
                <w:left w:val="none" w:sz="0" w:space="0" w:color="auto"/>
                <w:bottom w:val="none" w:sz="0" w:space="0" w:color="auto"/>
                <w:right w:val="none" w:sz="0" w:space="0" w:color="auto"/>
              </w:divBdr>
            </w:div>
            <w:div w:id="787238204">
              <w:marLeft w:val="0"/>
              <w:marRight w:val="0"/>
              <w:marTop w:val="0"/>
              <w:marBottom w:val="0"/>
              <w:divBdr>
                <w:top w:val="none" w:sz="0" w:space="0" w:color="auto"/>
                <w:left w:val="none" w:sz="0" w:space="0" w:color="auto"/>
                <w:bottom w:val="none" w:sz="0" w:space="0" w:color="auto"/>
                <w:right w:val="none" w:sz="0" w:space="0" w:color="auto"/>
              </w:divBdr>
            </w:div>
            <w:div w:id="801387443">
              <w:marLeft w:val="0"/>
              <w:marRight w:val="0"/>
              <w:marTop w:val="0"/>
              <w:marBottom w:val="0"/>
              <w:divBdr>
                <w:top w:val="none" w:sz="0" w:space="0" w:color="auto"/>
                <w:left w:val="none" w:sz="0" w:space="0" w:color="auto"/>
                <w:bottom w:val="none" w:sz="0" w:space="0" w:color="auto"/>
                <w:right w:val="none" w:sz="0" w:space="0" w:color="auto"/>
              </w:divBdr>
            </w:div>
            <w:div w:id="935165943">
              <w:marLeft w:val="0"/>
              <w:marRight w:val="0"/>
              <w:marTop w:val="0"/>
              <w:marBottom w:val="0"/>
              <w:divBdr>
                <w:top w:val="none" w:sz="0" w:space="0" w:color="auto"/>
                <w:left w:val="none" w:sz="0" w:space="0" w:color="auto"/>
                <w:bottom w:val="none" w:sz="0" w:space="0" w:color="auto"/>
                <w:right w:val="none" w:sz="0" w:space="0" w:color="auto"/>
              </w:divBdr>
            </w:div>
            <w:div w:id="1042704389">
              <w:marLeft w:val="0"/>
              <w:marRight w:val="0"/>
              <w:marTop w:val="0"/>
              <w:marBottom w:val="0"/>
              <w:divBdr>
                <w:top w:val="none" w:sz="0" w:space="0" w:color="auto"/>
                <w:left w:val="none" w:sz="0" w:space="0" w:color="auto"/>
                <w:bottom w:val="none" w:sz="0" w:space="0" w:color="auto"/>
                <w:right w:val="none" w:sz="0" w:space="0" w:color="auto"/>
              </w:divBdr>
            </w:div>
            <w:div w:id="1094521590">
              <w:marLeft w:val="0"/>
              <w:marRight w:val="0"/>
              <w:marTop w:val="0"/>
              <w:marBottom w:val="0"/>
              <w:divBdr>
                <w:top w:val="none" w:sz="0" w:space="0" w:color="auto"/>
                <w:left w:val="none" w:sz="0" w:space="0" w:color="auto"/>
                <w:bottom w:val="none" w:sz="0" w:space="0" w:color="auto"/>
                <w:right w:val="none" w:sz="0" w:space="0" w:color="auto"/>
              </w:divBdr>
            </w:div>
            <w:div w:id="1151018634">
              <w:marLeft w:val="0"/>
              <w:marRight w:val="0"/>
              <w:marTop w:val="0"/>
              <w:marBottom w:val="0"/>
              <w:divBdr>
                <w:top w:val="none" w:sz="0" w:space="0" w:color="auto"/>
                <w:left w:val="none" w:sz="0" w:space="0" w:color="auto"/>
                <w:bottom w:val="none" w:sz="0" w:space="0" w:color="auto"/>
                <w:right w:val="none" w:sz="0" w:space="0" w:color="auto"/>
              </w:divBdr>
            </w:div>
            <w:div w:id="1278607997">
              <w:marLeft w:val="0"/>
              <w:marRight w:val="0"/>
              <w:marTop w:val="0"/>
              <w:marBottom w:val="0"/>
              <w:divBdr>
                <w:top w:val="none" w:sz="0" w:space="0" w:color="auto"/>
                <w:left w:val="none" w:sz="0" w:space="0" w:color="auto"/>
                <w:bottom w:val="none" w:sz="0" w:space="0" w:color="auto"/>
                <w:right w:val="none" w:sz="0" w:space="0" w:color="auto"/>
              </w:divBdr>
            </w:div>
            <w:div w:id="1472093195">
              <w:marLeft w:val="0"/>
              <w:marRight w:val="0"/>
              <w:marTop w:val="0"/>
              <w:marBottom w:val="0"/>
              <w:divBdr>
                <w:top w:val="none" w:sz="0" w:space="0" w:color="auto"/>
                <w:left w:val="none" w:sz="0" w:space="0" w:color="auto"/>
                <w:bottom w:val="none" w:sz="0" w:space="0" w:color="auto"/>
                <w:right w:val="none" w:sz="0" w:space="0" w:color="auto"/>
              </w:divBdr>
            </w:div>
            <w:div w:id="1569027481">
              <w:marLeft w:val="0"/>
              <w:marRight w:val="0"/>
              <w:marTop w:val="0"/>
              <w:marBottom w:val="0"/>
              <w:divBdr>
                <w:top w:val="none" w:sz="0" w:space="0" w:color="auto"/>
                <w:left w:val="none" w:sz="0" w:space="0" w:color="auto"/>
                <w:bottom w:val="none" w:sz="0" w:space="0" w:color="auto"/>
                <w:right w:val="none" w:sz="0" w:space="0" w:color="auto"/>
              </w:divBdr>
            </w:div>
            <w:div w:id="1641958662">
              <w:marLeft w:val="0"/>
              <w:marRight w:val="0"/>
              <w:marTop w:val="0"/>
              <w:marBottom w:val="0"/>
              <w:divBdr>
                <w:top w:val="none" w:sz="0" w:space="0" w:color="auto"/>
                <w:left w:val="none" w:sz="0" w:space="0" w:color="auto"/>
                <w:bottom w:val="none" w:sz="0" w:space="0" w:color="auto"/>
                <w:right w:val="none" w:sz="0" w:space="0" w:color="auto"/>
              </w:divBdr>
            </w:div>
            <w:div w:id="1679312321">
              <w:marLeft w:val="0"/>
              <w:marRight w:val="0"/>
              <w:marTop w:val="0"/>
              <w:marBottom w:val="0"/>
              <w:divBdr>
                <w:top w:val="none" w:sz="0" w:space="0" w:color="auto"/>
                <w:left w:val="none" w:sz="0" w:space="0" w:color="auto"/>
                <w:bottom w:val="none" w:sz="0" w:space="0" w:color="auto"/>
                <w:right w:val="none" w:sz="0" w:space="0" w:color="auto"/>
              </w:divBdr>
            </w:div>
            <w:div w:id="1781099635">
              <w:marLeft w:val="0"/>
              <w:marRight w:val="0"/>
              <w:marTop w:val="0"/>
              <w:marBottom w:val="0"/>
              <w:divBdr>
                <w:top w:val="none" w:sz="0" w:space="0" w:color="auto"/>
                <w:left w:val="none" w:sz="0" w:space="0" w:color="auto"/>
                <w:bottom w:val="none" w:sz="0" w:space="0" w:color="auto"/>
                <w:right w:val="none" w:sz="0" w:space="0" w:color="auto"/>
              </w:divBdr>
            </w:div>
            <w:div w:id="1885634338">
              <w:marLeft w:val="0"/>
              <w:marRight w:val="0"/>
              <w:marTop w:val="0"/>
              <w:marBottom w:val="0"/>
              <w:divBdr>
                <w:top w:val="none" w:sz="0" w:space="0" w:color="auto"/>
                <w:left w:val="none" w:sz="0" w:space="0" w:color="auto"/>
                <w:bottom w:val="none" w:sz="0" w:space="0" w:color="auto"/>
                <w:right w:val="none" w:sz="0" w:space="0" w:color="auto"/>
              </w:divBdr>
            </w:div>
          </w:divsChild>
        </w:div>
        <w:div w:id="2044017280">
          <w:marLeft w:val="0"/>
          <w:marRight w:val="0"/>
          <w:marTop w:val="0"/>
          <w:marBottom w:val="0"/>
          <w:divBdr>
            <w:top w:val="none" w:sz="0" w:space="0" w:color="auto"/>
            <w:left w:val="none" w:sz="0" w:space="0" w:color="auto"/>
            <w:bottom w:val="none" w:sz="0" w:space="0" w:color="auto"/>
            <w:right w:val="none" w:sz="0" w:space="0" w:color="auto"/>
          </w:divBdr>
        </w:div>
        <w:div w:id="2045406004">
          <w:marLeft w:val="0"/>
          <w:marRight w:val="0"/>
          <w:marTop w:val="0"/>
          <w:marBottom w:val="0"/>
          <w:divBdr>
            <w:top w:val="none" w:sz="0" w:space="0" w:color="auto"/>
            <w:left w:val="none" w:sz="0" w:space="0" w:color="auto"/>
            <w:bottom w:val="none" w:sz="0" w:space="0" w:color="auto"/>
            <w:right w:val="none" w:sz="0" w:space="0" w:color="auto"/>
          </w:divBdr>
        </w:div>
        <w:div w:id="2047639287">
          <w:marLeft w:val="0"/>
          <w:marRight w:val="0"/>
          <w:marTop w:val="0"/>
          <w:marBottom w:val="0"/>
          <w:divBdr>
            <w:top w:val="none" w:sz="0" w:space="0" w:color="auto"/>
            <w:left w:val="none" w:sz="0" w:space="0" w:color="auto"/>
            <w:bottom w:val="none" w:sz="0" w:space="0" w:color="auto"/>
            <w:right w:val="none" w:sz="0" w:space="0" w:color="auto"/>
          </w:divBdr>
          <w:divsChild>
            <w:div w:id="1791895921">
              <w:marLeft w:val="-75"/>
              <w:marRight w:val="0"/>
              <w:marTop w:val="30"/>
              <w:marBottom w:val="30"/>
              <w:divBdr>
                <w:top w:val="none" w:sz="0" w:space="0" w:color="auto"/>
                <w:left w:val="none" w:sz="0" w:space="0" w:color="auto"/>
                <w:bottom w:val="none" w:sz="0" w:space="0" w:color="auto"/>
                <w:right w:val="none" w:sz="0" w:space="0" w:color="auto"/>
              </w:divBdr>
              <w:divsChild>
                <w:div w:id="62528149">
                  <w:marLeft w:val="0"/>
                  <w:marRight w:val="0"/>
                  <w:marTop w:val="0"/>
                  <w:marBottom w:val="0"/>
                  <w:divBdr>
                    <w:top w:val="none" w:sz="0" w:space="0" w:color="auto"/>
                    <w:left w:val="none" w:sz="0" w:space="0" w:color="auto"/>
                    <w:bottom w:val="none" w:sz="0" w:space="0" w:color="auto"/>
                    <w:right w:val="none" w:sz="0" w:space="0" w:color="auto"/>
                  </w:divBdr>
                  <w:divsChild>
                    <w:div w:id="1211072197">
                      <w:marLeft w:val="0"/>
                      <w:marRight w:val="0"/>
                      <w:marTop w:val="0"/>
                      <w:marBottom w:val="0"/>
                      <w:divBdr>
                        <w:top w:val="none" w:sz="0" w:space="0" w:color="auto"/>
                        <w:left w:val="none" w:sz="0" w:space="0" w:color="auto"/>
                        <w:bottom w:val="none" w:sz="0" w:space="0" w:color="auto"/>
                        <w:right w:val="none" w:sz="0" w:space="0" w:color="auto"/>
                      </w:divBdr>
                    </w:div>
                  </w:divsChild>
                </w:div>
                <w:div w:id="76833875">
                  <w:marLeft w:val="0"/>
                  <w:marRight w:val="0"/>
                  <w:marTop w:val="0"/>
                  <w:marBottom w:val="0"/>
                  <w:divBdr>
                    <w:top w:val="none" w:sz="0" w:space="0" w:color="auto"/>
                    <w:left w:val="none" w:sz="0" w:space="0" w:color="auto"/>
                    <w:bottom w:val="none" w:sz="0" w:space="0" w:color="auto"/>
                    <w:right w:val="none" w:sz="0" w:space="0" w:color="auto"/>
                  </w:divBdr>
                  <w:divsChild>
                    <w:div w:id="2102296198">
                      <w:marLeft w:val="0"/>
                      <w:marRight w:val="0"/>
                      <w:marTop w:val="0"/>
                      <w:marBottom w:val="0"/>
                      <w:divBdr>
                        <w:top w:val="none" w:sz="0" w:space="0" w:color="auto"/>
                        <w:left w:val="none" w:sz="0" w:space="0" w:color="auto"/>
                        <w:bottom w:val="none" w:sz="0" w:space="0" w:color="auto"/>
                        <w:right w:val="none" w:sz="0" w:space="0" w:color="auto"/>
                      </w:divBdr>
                    </w:div>
                  </w:divsChild>
                </w:div>
                <w:div w:id="103429295">
                  <w:marLeft w:val="0"/>
                  <w:marRight w:val="0"/>
                  <w:marTop w:val="0"/>
                  <w:marBottom w:val="0"/>
                  <w:divBdr>
                    <w:top w:val="none" w:sz="0" w:space="0" w:color="auto"/>
                    <w:left w:val="none" w:sz="0" w:space="0" w:color="auto"/>
                    <w:bottom w:val="none" w:sz="0" w:space="0" w:color="auto"/>
                    <w:right w:val="none" w:sz="0" w:space="0" w:color="auto"/>
                  </w:divBdr>
                  <w:divsChild>
                    <w:div w:id="888568387">
                      <w:marLeft w:val="0"/>
                      <w:marRight w:val="0"/>
                      <w:marTop w:val="0"/>
                      <w:marBottom w:val="0"/>
                      <w:divBdr>
                        <w:top w:val="none" w:sz="0" w:space="0" w:color="auto"/>
                        <w:left w:val="none" w:sz="0" w:space="0" w:color="auto"/>
                        <w:bottom w:val="none" w:sz="0" w:space="0" w:color="auto"/>
                        <w:right w:val="none" w:sz="0" w:space="0" w:color="auto"/>
                      </w:divBdr>
                    </w:div>
                  </w:divsChild>
                </w:div>
                <w:div w:id="175850533">
                  <w:marLeft w:val="0"/>
                  <w:marRight w:val="0"/>
                  <w:marTop w:val="0"/>
                  <w:marBottom w:val="0"/>
                  <w:divBdr>
                    <w:top w:val="none" w:sz="0" w:space="0" w:color="auto"/>
                    <w:left w:val="none" w:sz="0" w:space="0" w:color="auto"/>
                    <w:bottom w:val="none" w:sz="0" w:space="0" w:color="auto"/>
                    <w:right w:val="none" w:sz="0" w:space="0" w:color="auto"/>
                  </w:divBdr>
                  <w:divsChild>
                    <w:div w:id="1213540048">
                      <w:marLeft w:val="0"/>
                      <w:marRight w:val="0"/>
                      <w:marTop w:val="0"/>
                      <w:marBottom w:val="0"/>
                      <w:divBdr>
                        <w:top w:val="none" w:sz="0" w:space="0" w:color="auto"/>
                        <w:left w:val="none" w:sz="0" w:space="0" w:color="auto"/>
                        <w:bottom w:val="none" w:sz="0" w:space="0" w:color="auto"/>
                        <w:right w:val="none" w:sz="0" w:space="0" w:color="auto"/>
                      </w:divBdr>
                    </w:div>
                  </w:divsChild>
                </w:div>
                <w:div w:id="200169090">
                  <w:marLeft w:val="0"/>
                  <w:marRight w:val="0"/>
                  <w:marTop w:val="0"/>
                  <w:marBottom w:val="0"/>
                  <w:divBdr>
                    <w:top w:val="none" w:sz="0" w:space="0" w:color="auto"/>
                    <w:left w:val="none" w:sz="0" w:space="0" w:color="auto"/>
                    <w:bottom w:val="none" w:sz="0" w:space="0" w:color="auto"/>
                    <w:right w:val="none" w:sz="0" w:space="0" w:color="auto"/>
                  </w:divBdr>
                  <w:divsChild>
                    <w:div w:id="1414931355">
                      <w:marLeft w:val="0"/>
                      <w:marRight w:val="0"/>
                      <w:marTop w:val="0"/>
                      <w:marBottom w:val="0"/>
                      <w:divBdr>
                        <w:top w:val="none" w:sz="0" w:space="0" w:color="auto"/>
                        <w:left w:val="none" w:sz="0" w:space="0" w:color="auto"/>
                        <w:bottom w:val="none" w:sz="0" w:space="0" w:color="auto"/>
                        <w:right w:val="none" w:sz="0" w:space="0" w:color="auto"/>
                      </w:divBdr>
                    </w:div>
                  </w:divsChild>
                </w:div>
                <w:div w:id="227496504">
                  <w:marLeft w:val="0"/>
                  <w:marRight w:val="0"/>
                  <w:marTop w:val="0"/>
                  <w:marBottom w:val="0"/>
                  <w:divBdr>
                    <w:top w:val="none" w:sz="0" w:space="0" w:color="auto"/>
                    <w:left w:val="none" w:sz="0" w:space="0" w:color="auto"/>
                    <w:bottom w:val="none" w:sz="0" w:space="0" w:color="auto"/>
                    <w:right w:val="none" w:sz="0" w:space="0" w:color="auto"/>
                  </w:divBdr>
                  <w:divsChild>
                    <w:div w:id="168837733">
                      <w:marLeft w:val="0"/>
                      <w:marRight w:val="0"/>
                      <w:marTop w:val="0"/>
                      <w:marBottom w:val="0"/>
                      <w:divBdr>
                        <w:top w:val="none" w:sz="0" w:space="0" w:color="auto"/>
                        <w:left w:val="none" w:sz="0" w:space="0" w:color="auto"/>
                        <w:bottom w:val="none" w:sz="0" w:space="0" w:color="auto"/>
                        <w:right w:val="none" w:sz="0" w:space="0" w:color="auto"/>
                      </w:divBdr>
                    </w:div>
                    <w:div w:id="613826774">
                      <w:marLeft w:val="0"/>
                      <w:marRight w:val="0"/>
                      <w:marTop w:val="0"/>
                      <w:marBottom w:val="0"/>
                      <w:divBdr>
                        <w:top w:val="none" w:sz="0" w:space="0" w:color="auto"/>
                        <w:left w:val="none" w:sz="0" w:space="0" w:color="auto"/>
                        <w:bottom w:val="none" w:sz="0" w:space="0" w:color="auto"/>
                        <w:right w:val="none" w:sz="0" w:space="0" w:color="auto"/>
                      </w:divBdr>
                    </w:div>
                    <w:div w:id="1107238978">
                      <w:marLeft w:val="0"/>
                      <w:marRight w:val="0"/>
                      <w:marTop w:val="0"/>
                      <w:marBottom w:val="0"/>
                      <w:divBdr>
                        <w:top w:val="none" w:sz="0" w:space="0" w:color="auto"/>
                        <w:left w:val="none" w:sz="0" w:space="0" w:color="auto"/>
                        <w:bottom w:val="none" w:sz="0" w:space="0" w:color="auto"/>
                        <w:right w:val="none" w:sz="0" w:space="0" w:color="auto"/>
                      </w:divBdr>
                    </w:div>
                    <w:div w:id="1647314761">
                      <w:marLeft w:val="0"/>
                      <w:marRight w:val="0"/>
                      <w:marTop w:val="0"/>
                      <w:marBottom w:val="0"/>
                      <w:divBdr>
                        <w:top w:val="none" w:sz="0" w:space="0" w:color="auto"/>
                        <w:left w:val="none" w:sz="0" w:space="0" w:color="auto"/>
                        <w:bottom w:val="none" w:sz="0" w:space="0" w:color="auto"/>
                        <w:right w:val="none" w:sz="0" w:space="0" w:color="auto"/>
                      </w:divBdr>
                    </w:div>
                    <w:div w:id="2020691380">
                      <w:marLeft w:val="0"/>
                      <w:marRight w:val="0"/>
                      <w:marTop w:val="0"/>
                      <w:marBottom w:val="0"/>
                      <w:divBdr>
                        <w:top w:val="none" w:sz="0" w:space="0" w:color="auto"/>
                        <w:left w:val="none" w:sz="0" w:space="0" w:color="auto"/>
                        <w:bottom w:val="none" w:sz="0" w:space="0" w:color="auto"/>
                        <w:right w:val="none" w:sz="0" w:space="0" w:color="auto"/>
                      </w:divBdr>
                    </w:div>
                  </w:divsChild>
                </w:div>
                <w:div w:id="271940854">
                  <w:marLeft w:val="0"/>
                  <w:marRight w:val="0"/>
                  <w:marTop w:val="0"/>
                  <w:marBottom w:val="0"/>
                  <w:divBdr>
                    <w:top w:val="none" w:sz="0" w:space="0" w:color="auto"/>
                    <w:left w:val="none" w:sz="0" w:space="0" w:color="auto"/>
                    <w:bottom w:val="none" w:sz="0" w:space="0" w:color="auto"/>
                    <w:right w:val="none" w:sz="0" w:space="0" w:color="auto"/>
                  </w:divBdr>
                  <w:divsChild>
                    <w:div w:id="1513564350">
                      <w:marLeft w:val="0"/>
                      <w:marRight w:val="0"/>
                      <w:marTop w:val="0"/>
                      <w:marBottom w:val="0"/>
                      <w:divBdr>
                        <w:top w:val="none" w:sz="0" w:space="0" w:color="auto"/>
                        <w:left w:val="none" w:sz="0" w:space="0" w:color="auto"/>
                        <w:bottom w:val="none" w:sz="0" w:space="0" w:color="auto"/>
                        <w:right w:val="none" w:sz="0" w:space="0" w:color="auto"/>
                      </w:divBdr>
                    </w:div>
                  </w:divsChild>
                </w:div>
                <w:div w:id="347372817">
                  <w:marLeft w:val="0"/>
                  <w:marRight w:val="0"/>
                  <w:marTop w:val="0"/>
                  <w:marBottom w:val="0"/>
                  <w:divBdr>
                    <w:top w:val="none" w:sz="0" w:space="0" w:color="auto"/>
                    <w:left w:val="none" w:sz="0" w:space="0" w:color="auto"/>
                    <w:bottom w:val="none" w:sz="0" w:space="0" w:color="auto"/>
                    <w:right w:val="none" w:sz="0" w:space="0" w:color="auto"/>
                  </w:divBdr>
                  <w:divsChild>
                    <w:div w:id="1511871808">
                      <w:marLeft w:val="0"/>
                      <w:marRight w:val="0"/>
                      <w:marTop w:val="0"/>
                      <w:marBottom w:val="0"/>
                      <w:divBdr>
                        <w:top w:val="none" w:sz="0" w:space="0" w:color="auto"/>
                        <w:left w:val="none" w:sz="0" w:space="0" w:color="auto"/>
                        <w:bottom w:val="none" w:sz="0" w:space="0" w:color="auto"/>
                        <w:right w:val="none" w:sz="0" w:space="0" w:color="auto"/>
                      </w:divBdr>
                    </w:div>
                  </w:divsChild>
                </w:div>
                <w:div w:id="400490738">
                  <w:marLeft w:val="0"/>
                  <w:marRight w:val="0"/>
                  <w:marTop w:val="0"/>
                  <w:marBottom w:val="0"/>
                  <w:divBdr>
                    <w:top w:val="none" w:sz="0" w:space="0" w:color="auto"/>
                    <w:left w:val="none" w:sz="0" w:space="0" w:color="auto"/>
                    <w:bottom w:val="none" w:sz="0" w:space="0" w:color="auto"/>
                    <w:right w:val="none" w:sz="0" w:space="0" w:color="auto"/>
                  </w:divBdr>
                  <w:divsChild>
                    <w:div w:id="1515916506">
                      <w:marLeft w:val="0"/>
                      <w:marRight w:val="0"/>
                      <w:marTop w:val="0"/>
                      <w:marBottom w:val="0"/>
                      <w:divBdr>
                        <w:top w:val="none" w:sz="0" w:space="0" w:color="auto"/>
                        <w:left w:val="none" w:sz="0" w:space="0" w:color="auto"/>
                        <w:bottom w:val="none" w:sz="0" w:space="0" w:color="auto"/>
                        <w:right w:val="none" w:sz="0" w:space="0" w:color="auto"/>
                      </w:divBdr>
                    </w:div>
                  </w:divsChild>
                </w:div>
                <w:div w:id="561330137">
                  <w:marLeft w:val="0"/>
                  <w:marRight w:val="0"/>
                  <w:marTop w:val="0"/>
                  <w:marBottom w:val="0"/>
                  <w:divBdr>
                    <w:top w:val="none" w:sz="0" w:space="0" w:color="auto"/>
                    <w:left w:val="none" w:sz="0" w:space="0" w:color="auto"/>
                    <w:bottom w:val="none" w:sz="0" w:space="0" w:color="auto"/>
                    <w:right w:val="none" w:sz="0" w:space="0" w:color="auto"/>
                  </w:divBdr>
                  <w:divsChild>
                    <w:div w:id="7800793">
                      <w:marLeft w:val="0"/>
                      <w:marRight w:val="0"/>
                      <w:marTop w:val="0"/>
                      <w:marBottom w:val="0"/>
                      <w:divBdr>
                        <w:top w:val="none" w:sz="0" w:space="0" w:color="auto"/>
                        <w:left w:val="none" w:sz="0" w:space="0" w:color="auto"/>
                        <w:bottom w:val="none" w:sz="0" w:space="0" w:color="auto"/>
                        <w:right w:val="none" w:sz="0" w:space="0" w:color="auto"/>
                      </w:divBdr>
                    </w:div>
                  </w:divsChild>
                </w:div>
                <w:div w:id="593904931">
                  <w:marLeft w:val="0"/>
                  <w:marRight w:val="0"/>
                  <w:marTop w:val="0"/>
                  <w:marBottom w:val="0"/>
                  <w:divBdr>
                    <w:top w:val="none" w:sz="0" w:space="0" w:color="auto"/>
                    <w:left w:val="none" w:sz="0" w:space="0" w:color="auto"/>
                    <w:bottom w:val="none" w:sz="0" w:space="0" w:color="auto"/>
                    <w:right w:val="none" w:sz="0" w:space="0" w:color="auto"/>
                  </w:divBdr>
                  <w:divsChild>
                    <w:div w:id="1131022311">
                      <w:marLeft w:val="0"/>
                      <w:marRight w:val="0"/>
                      <w:marTop w:val="0"/>
                      <w:marBottom w:val="0"/>
                      <w:divBdr>
                        <w:top w:val="none" w:sz="0" w:space="0" w:color="auto"/>
                        <w:left w:val="none" w:sz="0" w:space="0" w:color="auto"/>
                        <w:bottom w:val="none" w:sz="0" w:space="0" w:color="auto"/>
                        <w:right w:val="none" w:sz="0" w:space="0" w:color="auto"/>
                      </w:divBdr>
                    </w:div>
                  </w:divsChild>
                </w:div>
                <w:div w:id="720713276">
                  <w:marLeft w:val="0"/>
                  <w:marRight w:val="0"/>
                  <w:marTop w:val="0"/>
                  <w:marBottom w:val="0"/>
                  <w:divBdr>
                    <w:top w:val="none" w:sz="0" w:space="0" w:color="auto"/>
                    <w:left w:val="none" w:sz="0" w:space="0" w:color="auto"/>
                    <w:bottom w:val="none" w:sz="0" w:space="0" w:color="auto"/>
                    <w:right w:val="none" w:sz="0" w:space="0" w:color="auto"/>
                  </w:divBdr>
                  <w:divsChild>
                    <w:div w:id="374893063">
                      <w:marLeft w:val="0"/>
                      <w:marRight w:val="0"/>
                      <w:marTop w:val="0"/>
                      <w:marBottom w:val="0"/>
                      <w:divBdr>
                        <w:top w:val="none" w:sz="0" w:space="0" w:color="auto"/>
                        <w:left w:val="none" w:sz="0" w:space="0" w:color="auto"/>
                        <w:bottom w:val="none" w:sz="0" w:space="0" w:color="auto"/>
                        <w:right w:val="none" w:sz="0" w:space="0" w:color="auto"/>
                      </w:divBdr>
                    </w:div>
                  </w:divsChild>
                </w:div>
                <w:div w:id="722755268">
                  <w:marLeft w:val="0"/>
                  <w:marRight w:val="0"/>
                  <w:marTop w:val="0"/>
                  <w:marBottom w:val="0"/>
                  <w:divBdr>
                    <w:top w:val="none" w:sz="0" w:space="0" w:color="auto"/>
                    <w:left w:val="none" w:sz="0" w:space="0" w:color="auto"/>
                    <w:bottom w:val="none" w:sz="0" w:space="0" w:color="auto"/>
                    <w:right w:val="none" w:sz="0" w:space="0" w:color="auto"/>
                  </w:divBdr>
                  <w:divsChild>
                    <w:div w:id="441608184">
                      <w:marLeft w:val="0"/>
                      <w:marRight w:val="0"/>
                      <w:marTop w:val="0"/>
                      <w:marBottom w:val="0"/>
                      <w:divBdr>
                        <w:top w:val="none" w:sz="0" w:space="0" w:color="auto"/>
                        <w:left w:val="none" w:sz="0" w:space="0" w:color="auto"/>
                        <w:bottom w:val="none" w:sz="0" w:space="0" w:color="auto"/>
                        <w:right w:val="none" w:sz="0" w:space="0" w:color="auto"/>
                      </w:divBdr>
                    </w:div>
                    <w:div w:id="1968779692">
                      <w:marLeft w:val="0"/>
                      <w:marRight w:val="0"/>
                      <w:marTop w:val="0"/>
                      <w:marBottom w:val="0"/>
                      <w:divBdr>
                        <w:top w:val="none" w:sz="0" w:space="0" w:color="auto"/>
                        <w:left w:val="none" w:sz="0" w:space="0" w:color="auto"/>
                        <w:bottom w:val="none" w:sz="0" w:space="0" w:color="auto"/>
                        <w:right w:val="none" w:sz="0" w:space="0" w:color="auto"/>
                      </w:divBdr>
                    </w:div>
                  </w:divsChild>
                </w:div>
                <w:div w:id="757211830">
                  <w:marLeft w:val="0"/>
                  <w:marRight w:val="0"/>
                  <w:marTop w:val="0"/>
                  <w:marBottom w:val="0"/>
                  <w:divBdr>
                    <w:top w:val="none" w:sz="0" w:space="0" w:color="auto"/>
                    <w:left w:val="none" w:sz="0" w:space="0" w:color="auto"/>
                    <w:bottom w:val="none" w:sz="0" w:space="0" w:color="auto"/>
                    <w:right w:val="none" w:sz="0" w:space="0" w:color="auto"/>
                  </w:divBdr>
                  <w:divsChild>
                    <w:div w:id="452015422">
                      <w:marLeft w:val="0"/>
                      <w:marRight w:val="0"/>
                      <w:marTop w:val="0"/>
                      <w:marBottom w:val="0"/>
                      <w:divBdr>
                        <w:top w:val="none" w:sz="0" w:space="0" w:color="auto"/>
                        <w:left w:val="none" w:sz="0" w:space="0" w:color="auto"/>
                        <w:bottom w:val="none" w:sz="0" w:space="0" w:color="auto"/>
                        <w:right w:val="none" w:sz="0" w:space="0" w:color="auto"/>
                      </w:divBdr>
                    </w:div>
                  </w:divsChild>
                </w:div>
                <w:div w:id="886332721">
                  <w:marLeft w:val="0"/>
                  <w:marRight w:val="0"/>
                  <w:marTop w:val="0"/>
                  <w:marBottom w:val="0"/>
                  <w:divBdr>
                    <w:top w:val="none" w:sz="0" w:space="0" w:color="auto"/>
                    <w:left w:val="none" w:sz="0" w:space="0" w:color="auto"/>
                    <w:bottom w:val="none" w:sz="0" w:space="0" w:color="auto"/>
                    <w:right w:val="none" w:sz="0" w:space="0" w:color="auto"/>
                  </w:divBdr>
                  <w:divsChild>
                    <w:div w:id="76753308">
                      <w:marLeft w:val="0"/>
                      <w:marRight w:val="0"/>
                      <w:marTop w:val="0"/>
                      <w:marBottom w:val="0"/>
                      <w:divBdr>
                        <w:top w:val="none" w:sz="0" w:space="0" w:color="auto"/>
                        <w:left w:val="none" w:sz="0" w:space="0" w:color="auto"/>
                        <w:bottom w:val="none" w:sz="0" w:space="0" w:color="auto"/>
                        <w:right w:val="none" w:sz="0" w:space="0" w:color="auto"/>
                      </w:divBdr>
                    </w:div>
                    <w:div w:id="568659786">
                      <w:marLeft w:val="0"/>
                      <w:marRight w:val="0"/>
                      <w:marTop w:val="0"/>
                      <w:marBottom w:val="0"/>
                      <w:divBdr>
                        <w:top w:val="none" w:sz="0" w:space="0" w:color="auto"/>
                        <w:left w:val="none" w:sz="0" w:space="0" w:color="auto"/>
                        <w:bottom w:val="none" w:sz="0" w:space="0" w:color="auto"/>
                        <w:right w:val="none" w:sz="0" w:space="0" w:color="auto"/>
                      </w:divBdr>
                    </w:div>
                    <w:div w:id="698624561">
                      <w:marLeft w:val="0"/>
                      <w:marRight w:val="0"/>
                      <w:marTop w:val="0"/>
                      <w:marBottom w:val="0"/>
                      <w:divBdr>
                        <w:top w:val="none" w:sz="0" w:space="0" w:color="auto"/>
                        <w:left w:val="none" w:sz="0" w:space="0" w:color="auto"/>
                        <w:bottom w:val="none" w:sz="0" w:space="0" w:color="auto"/>
                        <w:right w:val="none" w:sz="0" w:space="0" w:color="auto"/>
                      </w:divBdr>
                    </w:div>
                    <w:div w:id="1395009125">
                      <w:marLeft w:val="0"/>
                      <w:marRight w:val="0"/>
                      <w:marTop w:val="0"/>
                      <w:marBottom w:val="0"/>
                      <w:divBdr>
                        <w:top w:val="none" w:sz="0" w:space="0" w:color="auto"/>
                        <w:left w:val="none" w:sz="0" w:space="0" w:color="auto"/>
                        <w:bottom w:val="none" w:sz="0" w:space="0" w:color="auto"/>
                        <w:right w:val="none" w:sz="0" w:space="0" w:color="auto"/>
                      </w:divBdr>
                    </w:div>
                    <w:div w:id="1935625369">
                      <w:marLeft w:val="0"/>
                      <w:marRight w:val="0"/>
                      <w:marTop w:val="0"/>
                      <w:marBottom w:val="0"/>
                      <w:divBdr>
                        <w:top w:val="none" w:sz="0" w:space="0" w:color="auto"/>
                        <w:left w:val="none" w:sz="0" w:space="0" w:color="auto"/>
                        <w:bottom w:val="none" w:sz="0" w:space="0" w:color="auto"/>
                        <w:right w:val="none" w:sz="0" w:space="0" w:color="auto"/>
                      </w:divBdr>
                    </w:div>
                    <w:div w:id="2133861438">
                      <w:marLeft w:val="0"/>
                      <w:marRight w:val="0"/>
                      <w:marTop w:val="0"/>
                      <w:marBottom w:val="0"/>
                      <w:divBdr>
                        <w:top w:val="none" w:sz="0" w:space="0" w:color="auto"/>
                        <w:left w:val="none" w:sz="0" w:space="0" w:color="auto"/>
                        <w:bottom w:val="none" w:sz="0" w:space="0" w:color="auto"/>
                        <w:right w:val="none" w:sz="0" w:space="0" w:color="auto"/>
                      </w:divBdr>
                    </w:div>
                  </w:divsChild>
                </w:div>
                <w:div w:id="1002775056">
                  <w:marLeft w:val="0"/>
                  <w:marRight w:val="0"/>
                  <w:marTop w:val="0"/>
                  <w:marBottom w:val="0"/>
                  <w:divBdr>
                    <w:top w:val="none" w:sz="0" w:space="0" w:color="auto"/>
                    <w:left w:val="none" w:sz="0" w:space="0" w:color="auto"/>
                    <w:bottom w:val="none" w:sz="0" w:space="0" w:color="auto"/>
                    <w:right w:val="none" w:sz="0" w:space="0" w:color="auto"/>
                  </w:divBdr>
                  <w:divsChild>
                    <w:div w:id="730268427">
                      <w:marLeft w:val="0"/>
                      <w:marRight w:val="0"/>
                      <w:marTop w:val="0"/>
                      <w:marBottom w:val="0"/>
                      <w:divBdr>
                        <w:top w:val="none" w:sz="0" w:space="0" w:color="auto"/>
                        <w:left w:val="none" w:sz="0" w:space="0" w:color="auto"/>
                        <w:bottom w:val="none" w:sz="0" w:space="0" w:color="auto"/>
                        <w:right w:val="none" w:sz="0" w:space="0" w:color="auto"/>
                      </w:divBdr>
                    </w:div>
                  </w:divsChild>
                </w:div>
                <w:div w:id="1020007205">
                  <w:marLeft w:val="0"/>
                  <w:marRight w:val="0"/>
                  <w:marTop w:val="0"/>
                  <w:marBottom w:val="0"/>
                  <w:divBdr>
                    <w:top w:val="none" w:sz="0" w:space="0" w:color="auto"/>
                    <w:left w:val="none" w:sz="0" w:space="0" w:color="auto"/>
                    <w:bottom w:val="none" w:sz="0" w:space="0" w:color="auto"/>
                    <w:right w:val="none" w:sz="0" w:space="0" w:color="auto"/>
                  </w:divBdr>
                  <w:divsChild>
                    <w:div w:id="671690386">
                      <w:marLeft w:val="0"/>
                      <w:marRight w:val="0"/>
                      <w:marTop w:val="0"/>
                      <w:marBottom w:val="0"/>
                      <w:divBdr>
                        <w:top w:val="none" w:sz="0" w:space="0" w:color="auto"/>
                        <w:left w:val="none" w:sz="0" w:space="0" w:color="auto"/>
                        <w:bottom w:val="none" w:sz="0" w:space="0" w:color="auto"/>
                        <w:right w:val="none" w:sz="0" w:space="0" w:color="auto"/>
                      </w:divBdr>
                    </w:div>
                  </w:divsChild>
                </w:div>
                <w:div w:id="1094545964">
                  <w:marLeft w:val="0"/>
                  <w:marRight w:val="0"/>
                  <w:marTop w:val="0"/>
                  <w:marBottom w:val="0"/>
                  <w:divBdr>
                    <w:top w:val="none" w:sz="0" w:space="0" w:color="auto"/>
                    <w:left w:val="none" w:sz="0" w:space="0" w:color="auto"/>
                    <w:bottom w:val="none" w:sz="0" w:space="0" w:color="auto"/>
                    <w:right w:val="none" w:sz="0" w:space="0" w:color="auto"/>
                  </w:divBdr>
                  <w:divsChild>
                    <w:div w:id="1619529931">
                      <w:marLeft w:val="0"/>
                      <w:marRight w:val="0"/>
                      <w:marTop w:val="0"/>
                      <w:marBottom w:val="0"/>
                      <w:divBdr>
                        <w:top w:val="none" w:sz="0" w:space="0" w:color="auto"/>
                        <w:left w:val="none" w:sz="0" w:space="0" w:color="auto"/>
                        <w:bottom w:val="none" w:sz="0" w:space="0" w:color="auto"/>
                        <w:right w:val="none" w:sz="0" w:space="0" w:color="auto"/>
                      </w:divBdr>
                    </w:div>
                  </w:divsChild>
                </w:div>
                <w:div w:id="1175269070">
                  <w:marLeft w:val="0"/>
                  <w:marRight w:val="0"/>
                  <w:marTop w:val="0"/>
                  <w:marBottom w:val="0"/>
                  <w:divBdr>
                    <w:top w:val="none" w:sz="0" w:space="0" w:color="auto"/>
                    <w:left w:val="none" w:sz="0" w:space="0" w:color="auto"/>
                    <w:bottom w:val="none" w:sz="0" w:space="0" w:color="auto"/>
                    <w:right w:val="none" w:sz="0" w:space="0" w:color="auto"/>
                  </w:divBdr>
                  <w:divsChild>
                    <w:div w:id="1917133251">
                      <w:marLeft w:val="0"/>
                      <w:marRight w:val="0"/>
                      <w:marTop w:val="0"/>
                      <w:marBottom w:val="0"/>
                      <w:divBdr>
                        <w:top w:val="none" w:sz="0" w:space="0" w:color="auto"/>
                        <w:left w:val="none" w:sz="0" w:space="0" w:color="auto"/>
                        <w:bottom w:val="none" w:sz="0" w:space="0" w:color="auto"/>
                        <w:right w:val="none" w:sz="0" w:space="0" w:color="auto"/>
                      </w:divBdr>
                    </w:div>
                  </w:divsChild>
                </w:div>
                <w:div w:id="1274751729">
                  <w:marLeft w:val="0"/>
                  <w:marRight w:val="0"/>
                  <w:marTop w:val="0"/>
                  <w:marBottom w:val="0"/>
                  <w:divBdr>
                    <w:top w:val="none" w:sz="0" w:space="0" w:color="auto"/>
                    <w:left w:val="none" w:sz="0" w:space="0" w:color="auto"/>
                    <w:bottom w:val="none" w:sz="0" w:space="0" w:color="auto"/>
                    <w:right w:val="none" w:sz="0" w:space="0" w:color="auto"/>
                  </w:divBdr>
                  <w:divsChild>
                    <w:div w:id="189035623">
                      <w:marLeft w:val="0"/>
                      <w:marRight w:val="0"/>
                      <w:marTop w:val="0"/>
                      <w:marBottom w:val="0"/>
                      <w:divBdr>
                        <w:top w:val="none" w:sz="0" w:space="0" w:color="auto"/>
                        <w:left w:val="none" w:sz="0" w:space="0" w:color="auto"/>
                        <w:bottom w:val="none" w:sz="0" w:space="0" w:color="auto"/>
                        <w:right w:val="none" w:sz="0" w:space="0" w:color="auto"/>
                      </w:divBdr>
                    </w:div>
                  </w:divsChild>
                </w:div>
                <w:div w:id="1313023909">
                  <w:marLeft w:val="0"/>
                  <w:marRight w:val="0"/>
                  <w:marTop w:val="0"/>
                  <w:marBottom w:val="0"/>
                  <w:divBdr>
                    <w:top w:val="none" w:sz="0" w:space="0" w:color="auto"/>
                    <w:left w:val="none" w:sz="0" w:space="0" w:color="auto"/>
                    <w:bottom w:val="none" w:sz="0" w:space="0" w:color="auto"/>
                    <w:right w:val="none" w:sz="0" w:space="0" w:color="auto"/>
                  </w:divBdr>
                  <w:divsChild>
                    <w:div w:id="739985859">
                      <w:marLeft w:val="0"/>
                      <w:marRight w:val="0"/>
                      <w:marTop w:val="0"/>
                      <w:marBottom w:val="0"/>
                      <w:divBdr>
                        <w:top w:val="none" w:sz="0" w:space="0" w:color="auto"/>
                        <w:left w:val="none" w:sz="0" w:space="0" w:color="auto"/>
                        <w:bottom w:val="none" w:sz="0" w:space="0" w:color="auto"/>
                        <w:right w:val="none" w:sz="0" w:space="0" w:color="auto"/>
                      </w:divBdr>
                    </w:div>
                  </w:divsChild>
                </w:div>
                <w:div w:id="1448693668">
                  <w:marLeft w:val="0"/>
                  <w:marRight w:val="0"/>
                  <w:marTop w:val="0"/>
                  <w:marBottom w:val="0"/>
                  <w:divBdr>
                    <w:top w:val="none" w:sz="0" w:space="0" w:color="auto"/>
                    <w:left w:val="none" w:sz="0" w:space="0" w:color="auto"/>
                    <w:bottom w:val="none" w:sz="0" w:space="0" w:color="auto"/>
                    <w:right w:val="none" w:sz="0" w:space="0" w:color="auto"/>
                  </w:divBdr>
                  <w:divsChild>
                    <w:div w:id="359353528">
                      <w:marLeft w:val="0"/>
                      <w:marRight w:val="0"/>
                      <w:marTop w:val="0"/>
                      <w:marBottom w:val="0"/>
                      <w:divBdr>
                        <w:top w:val="none" w:sz="0" w:space="0" w:color="auto"/>
                        <w:left w:val="none" w:sz="0" w:space="0" w:color="auto"/>
                        <w:bottom w:val="none" w:sz="0" w:space="0" w:color="auto"/>
                        <w:right w:val="none" w:sz="0" w:space="0" w:color="auto"/>
                      </w:divBdr>
                    </w:div>
                    <w:div w:id="1564216114">
                      <w:marLeft w:val="0"/>
                      <w:marRight w:val="0"/>
                      <w:marTop w:val="0"/>
                      <w:marBottom w:val="0"/>
                      <w:divBdr>
                        <w:top w:val="none" w:sz="0" w:space="0" w:color="auto"/>
                        <w:left w:val="none" w:sz="0" w:space="0" w:color="auto"/>
                        <w:bottom w:val="none" w:sz="0" w:space="0" w:color="auto"/>
                        <w:right w:val="none" w:sz="0" w:space="0" w:color="auto"/>
                      </w:divBdr>
                    </w:div>
                  </w:divsChild>
                </w:div>
                <w:div w:id="1490629716">
                  <w:marLeft w:val="0"/>
                  <w:marRight w:val="0"/>
                  <w:marTop w:val="0"/>
                  <w:marBottom w:val="0"/>
                  <w:divBdr>
                    <w:top w:val="none" w:sz="0" w:space="0" w:color="auto"/>
                    <w:left w:val="none" w:sz="0" w:space="0" w:color="auto"/>
                    <w:bottom w:val="none" w:sz="0" w:space="0" w:color="auto"/>
                    <w:right w:val="none" w:sz="0" w:space="0" w:color="auto"/>
                  </w:divBdr>
                  <w:divsChild>
                    <w:div w:id="139857299">
                      <w:marLeft w:val="0"/>
                      <w:marRight w:val="0"/>
                      <w:marTop w:val="0"/>
                      <w:marBottom w:val="0"/>
                      <w:divBdr>
                        <w:top w:val="none" w:sz="0" w:space="0" w:color="auto"/>
                        <w:left w:val="none" w:sz="0" w:space="0" w:color="auto"/>
                        <w:bottom w:val="none" w:sz="0" w:space="0" w:color="auto"/>
                        <w:right w:val="none" w:sz="0" w:space="0" w:color="auto"/>
                      </w:divBdr>
                    </w:div>
                    <w:div w:id="1073746988">
                      <w:marLeft w:val="0"/>
                      <w:marRight w:val="0"/>
                      <w:marTop w:val="0"/>
                      <w:marBottom w:val="0"/>
                      <w:divBdr>
                        <w:top w:val="none" w:sz="0" w:space="0" w:color="auto"/>
                        <w:left w:val="none" w:sz="0" w:space="0" w:color="auto"/>
                        <w:bottom w:val="none" w:sz="0" w:space="0" w:color="auto"/>
                        <w:right w:val="none" w:sz="0" w:space="0" w:color="auto"/>
                      </w:divBdr>
                    </w:div>
                  </w:divsChild>
                </w:div>
                <w:div w:id="1593128525">
                  <w:marLeft w:val="0"/>
                  <w:marRight w:val="0"/>
                  <w:marTop w:val="0"/>
                  <w:marBottom w:val="0"/>
                  <w:divBdr>
                    <w:top w:val="none" w:sz="0" w:space="0" w:color="auto"/>
                    <w:left w:val="none" w:sz="0" w:space="0" w:color="auto"/>
                    <w:bottom w:val="none" w:sz="0" w:space="0" w:color="auto"/>
                    <w:right w:val="none" w:sz="0" w:space="0" w:color="auto"/>
                  </w:divBdr>
                  <w:divsChild>
                    <w:div w:id="1357730988">
                      <w:marLeft w:val="0"/>
                      <w:marRight w:val="0"/>
                      <w:marTop w:val="0"/>
                      <w:marBottom w:val="0"/>
                      <w:divBdr>
                        <w:top w:val="none" w:sz="0" w:space="0" w:color="auto"/>
                        <w:left w:val="none" w:sz="0" w:space="0" w:color="auto"/>
                        <w:bottom w:val="none" w:sz="0" w:space="0" w:color="auto"/>
                        <w:right w:val="none" w:sz="0" w:space="0" w:color="auto"/>
                      </w:divBdr>
                    </w:div>
                  </w:divsChild>
                </w:div>
                <w:div w:id="1695109494">
                  <w:marLeft w:val="0"/>
                  <w:marRight w:val="0"/>
                  <w:marTop w:val="0"/>
                  <w:marBottom w:val="0"/>
                  <w:divBdr>
                    <w:top w:val="none" w:sz="0" w:space="0" w:color="auto"/>
                    <w:left w:val="none" w:sz="0" w:space="0" w:color="auto"/>
                    <w:bottom w:val="none" w:sz="0" w:space="0" w:color="auto"/>
                    <w:right w:val="none" w:sz="0" w:space="0" w:color="auto"/>
                  </w:divBdr>
                  <w:divsChild>
                    <w:div w:id="775828710">
                      <w:marLeft w:val="0"/>
                      <w:marRight w:val="0"/>
                      <w:marTop w:val="0"/>
                      <w:marBottom w:val="0"/>
                      <w:divBdr>
                        <w:top w:val="none" w:sz="0" w:space="0" w:color="auto"/>
                        <w:left w:val="none" w:sz="0" w:space="0" w:color="auto"/>
                        <w:bottom w:val="none" w:sz="0" w:space="0" w:color="auto"/>
                        <w:right w:val="none" w:sz="0" w:space="0" w:color="auto"/>
                      </w:divBdr>
                    </w:div>
                  </w:divsChild>
                </w:div>
                <w:div w:id="1841310221">
                  <w:marLeft w:val="0"/>
                  <w:marRight w:val="0"/>
                  <w:marTop w:val="0"/>
                  <w:marBottom w:val="0"/>
                  <w:divBdr>
                    <w:top w:val="none" w:sz="0" w:space="0" w:color="auto"/>
                    <w:left w:val="none" w:sz="0" w:space="0" w:color="auto"/>
                    <w:bottom w:val="none" w:sz="0" w:space="0" w:color="auto"/>
                    <w:right w:val="none" w:sz="0" w:space="0" w:color="auto"/>
                  </w:divBdr>
                  <w:divsChild>
                    <w:div w:id="1437409966">
                      <w:marLeft w:val="0"/>
                      <w:marRight w:val="0"/>
                      <w:marTop w:val="0"/>
                      <w:marBottom w:val="0"/>
                      <w:divBdr>
                        <w:top w:val="none" w:sz="0" w:space="0" w:color="auto"/>
                        <w:left w:val="none" w:sz="0" w:space="0" w:color="auto"/>
                        <w:bottom w:val="none" w:sz="0" w:space="0" w:color="auto"/>
                        <w:right w:val="none" w:sz="0" w:space="0" w:color="auto"/>
                      </w:divBdr>
                    </w:div>
                  </w:divsChild>
                </w:div>
                <w:div w:id="1908150265">
                  <w:marLeft w:val="0"/>
                  <w:marRight w:val="0"/>
                  <w:marTop w:val="0"/>
                  <w:marBottom w:val="0"/>
                  <w:divBdr>
                    <w:top w:val="none" w:sz="0" w:space="0" w:color="auto"/>
                    <w:left w:val="none" w:sz="0" w:space="0" w:color="auto"/>
                    <w:bottom w:val="none" w:sz="0" w:space="0" w:color="auto"/>
                    <w:right w:val="none" w:sz="0" w:space="0" w:color="auto"/>
                  </w:divBdr>
                  <w:divsChild>
                    <w:div w:id="1287741563">
                      <w:marLeft w:val="0"/>
                      <w:marRight w:val="0"/>
                      <w:marTop w:val="0"/>
                      <w:marBottom w:val="0"/>
                      <w:divBdr>
                        <w:top w:val="none" w:sz="0" w:space="0" w:color="auto"/>
                        <w:left w:val="none" w:sz="0" w:space="0" w:color="auto"/>
                        <w:bottom w:val="none" w:sz="0" w:space="0" w:color="auto"/>
                        <w:right w:val="none" w:sz="0" w:space="0" w:color="auto"/>
                      </w:divBdr>
                    </w:div>
                  </w:divsChild>
                </w:div>
                <w:div w:id="1942250980">
                  <w:marLeft w:val="0"/>
                  <w:marRight w:val="0"/>
                  <w:marTop w:val="0"/>
                  <w:marBottom w:val="0"/>
                  <w:divBdr>
                    <w:top w:val="none" w:sz="0" w:space="0" w:color="auto"/>
                    <w:left w:val="none" w:sz="0" w:space="0" w:color="auto"/>
                    <w:bottom w:val="none" w:sz="0" w:space="0" w:color="auto"/>
                    <w:right w:val="none" w:sz="0" w:space="0" w:color="auto"/>
                  </w:divBdr>
                  <w:divsChild>
                    <w:div w:id="1007905572">
                      <w:marLeft w:val="0"/>
                      <w:marRight w:val="0"/>
                      <w:marTop w:val="0"/>
                      <w:marBottom w:val="0"/>
                      <w:divBdr>
                        <w:top w:val="none" w:sz="0" w:space="0" w:color="auto"/>
                        <w:left w:val="none" w:sz="0" w:space="0" w:color="auto"/>
                        <w:bottom w:val="none" w:sz="0" w:space="0" w:color="auto"/>
                        <w:right w:val="none" w:sz="0" w:space="0" w:color="auto"/>
                      </w:divBdr>
                    </w:div>
                  </w:divsChild>
                </w:div>
                <w:div w:id="1981688210">
                  <w:marLeft w:val="0"/>
                  <w:marRight w:val="0"/>
                  <w:marTop w:val="0"/>
                  <w:marBottom w:val="0"/>
                  <w:divBdr>
                    <w:top w:val="none" w:sz="0" w:space="0" w:color="auto"/>
                    <w:left w:val="none" w:sz="0" w:space="0" w:color="auto"/>
                    <w:bottom w:val="none" w:sz="0" w:space="0" w:color="auto"/>
                    <w:right w:val="none" w:sz="0" w:space="0" w:color="auto"/>
                  </w:divBdr>
                  <w:divsChild>
                    <w:div w:id="936915">
                      <w:marLeft w:val="0"/>
                      <w:marRight w:val="0"/>
                      <w:marTop w:val="0"/>
                      <w:marBottom w:val="0"/>
                      <w:divBdr>
                        <w:top w:val="none" w:sz="0" w:space="0" w:color="auto"/>
                        <w:left w:val="none" w:sz="0" w:space="0" w:color="auto"/>
                        <w:bottom w:val="none" w:sz="0" w:space="0" w:color="auto"/>
                        <w:right w:val="none" w:sz="0" w:space="0" w:color="auto"/>
                      </w:divBdr>
                    </w:div>
                  </w:divsChild>
                </w:div>
                <w:div w:id="2142190183">
                  <w:marLeft w:val="0"/>
                  <w:marRight w:val="0"/>
                  <w:marTop w:val="0"/>
                  <w:marBottom w:val="0"/>
                  <w:divBdr>
                    <w:top w:val="none" w:sz="0" w:space="0" w:color="auto"/>
                    <w:left w:val="none" w:sz="0" w:space="0" w:color="auto"/>
                    <w:bottom w:val="none" w:sz="0" w:space="0" w:color="auto"/>
                    <w:right w:val="none" w:sz="0" w:space="0" w:color="auto"/>
                  </w:divBdr>
                  <w:divsChild>
                    <w:div w:id="106039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5325">
          <w:marLeft w:val="0"/>
          <w:marRight w:val="0"/>
          <w:marTop w:val="0"/>
          <w:marBottom w:val="0"/>
          <w:divBdr>
            <w:top w:val="none" w:sz="0" w:space="0" w:color="auto"/>
            <w:left w:val="none" w:sz="0" w:space="0" w:color="auto"/>
            <w:bottom w:val="none" w:sz="0" w:space="0" w:color="auto"/>
            <w:right w:val="none" w:sz="0" w:space="0" w:color="auto"/>
          </w:divBdr>
        </w:div>
        <w:div w:id="2051875590">
          <w:marLeft w:val="0"/>
          <w:marRight w:val="0"/>
          <w:marTop w:val="0"/>
          <w:marBottom w:val="0"/>
          <w:divBdr>
            <w:top w:val="none" w:sz="0" w:space="0" w:color="auto"/>
            <w:left w:val="none" w:sz="0" w:space="0" w:color="auto"/>
            <w:bottom w:val="none" w:sz="0" w:space="0" w:color="auto"/>
            <w:right w:val="none" w:sz="0" w:space="0" w:color="auto"/>
          </w:divBdr>
        </w:div>
        <w:div w:id="2052029556">
          <w:marLeft w:val="0"/>
          <w:marRight w:val="0"/>
          <w:marTop w:val="0"/>
          <w:marBottom w:val="0"/>
          <w:divBdr>
            <w:top w:val="none" w:sz="0" w:space="0" w:color="auto"/>
            <w:left w:val="none" w:sz="0" w:space="0" w:color="auto"/>
            <w:bottom w:val="none" w:sz="0" w:space="0" w:color="auto"/>
            <w:right w:val="none" w:sz="0" w:space="0" w:color="auto"/>
          </w:divBdr>
        </w:div>
        <w:div w:id="2060667369">
          <w:marLeft w:val="0"/>
          <w:marRight w:val="0"/>
          <w:marTop w:val="0"/>
          <w:marBottom w:val="0"/>
          <w:divBdr>
            <w:top w:val="none" w:sz="0" w:space="0" w:color="auto"/>
            <w:left w:val="none" w:sz="0" w:space="0" w:color="auto"/>
            <w:bottom w:val="none" w:sz="0" w:space="0" w:color="auto"/>
            <w:right w:val="none" w:sz="0" w:space="0" w:color="auto"/>
          </w:divBdr>
        </w:div>
        <w:div w:id="2062436842">
          <w:marLeft w:val="0"/>
          <w:marRight w:val="0"/>
          <w:marTop w:val="0"/>
          <w:marBottom w:val="0"/>
          <w:divBdr>
            <w:top w:val="none" w:sz="0" w:space="0" w:color="auto"/>
            <w:left w:val="none" w:sz="0" w:space="0" w:color="auto"/>
            <w:bottom w:val="none" w:sz="0" w:space="0" w:color="auto"/>
            <w:right w:val="none" w:sz="0" w:space="0" w:color="auto"/>
          </w:divBdr>
        </w:div>
        <w:div w:id="2063209891">
          <w:marLeft w:val="0"/>
          <w:marRight w:val="0"/>
          <w:marTop w:val="0"/>
          <w:marBottom w:val="0"/>
          <w:divBdr>
            <w:top w:val="none" w:sz="0" w:space="0" w:color="auto"/>
            <w:left w:val="none" w:sz="0" w:space="0" w:color="auto"/>
            <w:bottom w:val="none" w:sz="0" w:space="0" w:color="auto"/>
            <w:right w:val="none" w:sz="0" w:space="0" w:color="auto"/>
          </w:divBdr>
        </w:div>
        <w:div w:id="2064476133">
          <w:marLeft w:val="0"/>
          <w:marRight w:val="0"/>
          <w:marTop w:val="0"/>
          <w:marBottom w:val="0"/>
          <w:divBdr>
            <w:top w:val="none" w:sz="0" w:space="0" w:color="auto"/>
            <w:left w:val="none" w:sz="0" w:space="0" w:color="auto"/>
            <w:bottom w:val="none" w:sz="0" w:space="0" w:color="auto"/>
            <w:right w:val="none" w:sz="0" w:space="0" w:color="auto"/>
          </w:divBdr>
        </w:div>
        <w:div w:id="2065981649">
          <w:marLeft w:val="0"/>
          <w:marRight w:val="0"/>
          <w:marTop w:val="0"/>
          <w:marBottom w:val="0"/>
          <w:divBdr>
            <w:top w:val="none" w:sz="0" w:space="0" w:color="auto"/>
            <w:left w:val="none" w:sz="0" w:space="0" w:color="auto"/>
            <w:bottom w:val="none" w:sz="0" w:space="0" w:color="auto"/>
            <w:right w:val="none" w:sz="0" w:space="0" w:color="auto"/>
          </w:divBdr>
        </w:div>
        <w:div w:id="2066446947">
          <w:marLeft w:val="0"/>
          <w:marRight w:val="0"/>
          <w:marTop w:val="0"/>
          <w:marBottom w:val="0"/>
          <w:divBdr>
            <w:top w:val="none" w:sz="0" w:space="0" w:color="auto"/>
            <w:left w:val="none" w:sz="0" w:space="0" w:color="auto"/>
            <w:bottom w:val="none" w:sz="0" w:space="0" w:color="auto"/>
            <w:right w:val="none" w:sz="0" w:space="0" w:color="auto"/>
          </w:divBdr>
        </w:div>
        <w:div w:id="2066642918">
          <w:marLeft w:val="0"/>
          <w:marRight w:val="0"/>
          <w:marTop w:val="0"/>
          <w:marBottom w:val="0"/>
          <w:divBdr>
            <w:top w:val="none" w:sz="0" w:space="0" w:color="auto"/>
            <w:left w:val="none" w:sz="0" w:space="0" w:color="auto"/>
            <w:bottom w:val="none" w:sz="0" w:space="0" w:color="auto"/>
            <w:right w:val="none" w:sz="0" w:space="0" w:color="auto"/>
          </w:divBdr>
        </w:div>
        <w:div w:id="2066759906">
          <w:marLeft w:val="0"/>
          <w:marRight w:val="0"/>
          <w:marTop w:val="0"/>
          <w:marBottom w:val="0"/>
          <w:divBdr>
            <w:top w:val="none" w:sz="0" w:space="0" w:color="auto"/>
            <w:left w:val="none" w:sz="0" w:space="0" w:color="auto"/>
            <w:bottom w:val="none" w:sz="0" w:space="0" w:color="auto"/>
            <w:right w:val="none" w:sz="0" w:space="0" w:color="auto"/>
          </w:divBdr>
        </w:div>
        <w:div w:id="2068608334">
          <w:marLeft w:val="0"/>
          <w:marRight w:val="0"/>
          <w:marTop w:val="0"/>
          <w:marBottom w:val="0"/>
          <w:divBdr>
            <w:top w:val="none" w:sz="0" w:space="0" w:color="auto"/>
            <w:left w:val="none" w:sz="0" w:space="0" w:color="auto"/>
            <w:bottom w:val="none" w:sz="0" w:space="0" w:color="auto"/>
            <w:right w:val="none" w:sz="0" w:space="0" w:color="auto"/>
          </w:divBdr>
        </w:div>
        <w:div w:id="2069452013">
          <w:marLeft w:val="0"/>
          <w:marRight w:val="0"/>
          <w:marTop w:val="0"/>
          <w:marBottom w:val="0"/>
          <w:divBdr>
            <w:top w:val="none" w:sz="0" w:space="0" w:color="auto"/>
            <w:left w:val="none" w:sz="0" w:space="0" w:color="auto"/>
            <w:bottom w:val="none" w:sz="0" w:space="0" w:color="auto"/>
            <w:right w:val="none" w:sz="0" w:space="0" w:color="auto"/>
          </w:divBdr>
        </w:div>
        <w:div w:id="2069570185">
          <w:marLeft w:val="0"/>
          <w:marRight w:val="0"/>
          <w:marTop w:val="0"/>
          <w:marBottom w:val="0"/>
          <w:divBdr>
            <w:top w:val="none" w:sz="0" w:space="0" w:color="auto"/>
            <w:left w:val="none" w:sz="0" w:space="0" w:color="auto"/>
            <w:bottom w:val="none" w:sz="0" w:space="0" w:color="auto"/>
            <w:right w:val="none" w:sz="0" w:space="0" w:color="auto"/>
          </w:divBdr>
        </w:div>
        <w:div w:id="2070572719">
          <w:marLeft w:val="0"/>
          <w:marRight w:val="0"/>
          <w:marTop w:val="0"/>
          <w:marBottom w:val="0"/>
          <w:divBdr>
            <w:top w:val="none" w:sz="0" w:space="0" w:color="auto"/>
            <w:left w:val="none" w:sz="0" w:space="0" w:color="auto"/>
            <w:bottom w:val="none" w:sz="0" w:space="0" w:color="auto"/>
            <w:right w:val="none" w:sz="0" w:space="0" w:color="auto"/>
          </w:divBdr>
        </w:div>
        <w:div w:id="2071297014">
          <w:marLeft w:val="0"/>
          <w:marRight w:val="0"/>
          <w:marTop w:val="0"/>
          <w:marBottom w:val="0"/>
          <w:divBdr>
            <w:top w:val="none" w:sz="0" w:space="0" w:color="auto"/>
            <w:left w:val="none" w:sz="0" w:space="0" w:color="auto"/>
            <w:bottom w:val="none" w:sz="0" w:space="0" w:color="auto"/>
            <w:right w:val="none" w:sz="0" w:space="0" w:color="auto"/>
          </w:divBdr>
          <w:divsChild>
            <w:div w:id="23018144">
              <w:marLeft w:val="0"/>
              <w:marRight w:val="0"/>
              <w:marTop w:val="0"/>
              <w:marBottom w:val="0"/>
              <w:divBdr>
                <w:top w:val="none" w:sz="0" w:space="0" w:color="auto"/>
                <w:left w:val="none" w:sz="0" w:space="0" w:color="auto"/>
                <w:bottom w:val="none" w:sz="0" w:space="0" w:color="auto"/>
                <w:right w:val="none" w:sz="0" w:space="0" w:color="auto"/>
              </w:divBdr>
            </w:div>
            <w:div w:id="266427977">
              <w:marLeft w:val="0"/>
              <w:marRight w:val="0"/>
              <w:marTop w:val="0"/>
              <w:marBottom w:val="0"/>
              <w:divBdr>
                <w:top w:val="none" w:sz="0" w:space="0" w:color="auto"/>
                <w:left w:val="none" w:sz="0" w:space="0" w:color="auto"/>
                <w:bottom w:val="none" w:sz="0" w:space="0" w:color="auto"/>
                <w:right w:val="none" w:sz="0" w:space="0" w:color="auto"/>
              </w:divBdr>
            </w:div>
            <w:div w:id="371269098">
              <w:marLeft w:val="0"/>
              <w:marRight w:val="0"/>
              <w:marTop w:val="0"/>
              <w:marBottom w:val="0"/>
              <w:divBdr>
                <w:top w:val="none" w:sz="0" w:space="0" w:color="auto"/>
                <w:left w:val="none" w:sz="0" w:space="0" w:color="auto"/>
                <w:bottom w:val="none" w:sz="0" w:space="0" w:color="auto"/>
                <w:right w:val="none" w:sz="0" w:space="0" w:color="auto"/>
              </w:divBdr>
            </w:div>
            <w:div w:id="422192525">
              <w:marLeft w:val="0"/>
              <w:marRight w:val="0"/>
              <w:marTop w:val="0"/>
              <w:marBottom w:val="0"/>
              <w:divBdr>
                <w:top w:val="none" w:sz="0" w:space="0" w:color="auto"/>
                <w:left w:val="none" w:sz="0" w:space="0" w:color="auto"/>
                <w:bottom w:val="none" w:sz="0" w:space="0" w:color="auto"/>
                <w:right w:val="none" w:sz="0" w:space="0" w:color="auto"/>
              </w:divBdr>
            </w:div>
            <w:div w:id="515921750">
              <w:marLeft w:val="0"/>
              <w:marRight w:val="0"/>
              <w:marTop w:val="0"/>
              <w:marBottom w:val="0"/>
              <w:divBdr>
                <w:top w:val="none" w:sz="0" w:space="0" w:color="auto"/>
                <w:left w:val="none" w:sz="0" w:space="0" w:color="auto"/>
                <w:bottom w:val="none" w:sz="0" w:space="0" w:color="auto"/>
                <w:right w:val="none" w:sz="0" w:space="0" w:color="auto"/>
              </w:divBdr>
            </w:div>
            <w:div w:id="589853884">
              <w:marLeft w:val="0"/>
              <w:marRight w:val="0"/>
              <w:marTop w:val="0"/>
              <w:marBottom w:val="0"/>
              <w:divBdr>
                <w:top w:val="none" w:sz="0" w:space="0" w:color="auto"/>
                <w:left w:val="none" w:sz="0" w:space="0" w:color="auto"/>
                <w:bottom w:val="none" w:sz="0" w:space="0" w:color="auto"/>
                <w:right w:val="none" w:sz="0" w:space="0" w:color="auto"/>
              </w:divBdr>
            </w:div>
            <w:div w:id="774248332">
              <w:marLeft w:val="0"/>
              <w:marRight w:val="0"/>
              <w:marTop w:val="0"/>
              <w:marBottom w:val="0"/>
              <w:divBdr>
                <w:top w:val="none" w:sz="0" w:space="0" w:color="auto"/>
                <w:left w:val="none" w:sz="0" w:space="0" w:color="auto"/>
                <w:bottom w:val="none" w:sz="0" w:space="0" w:color="auto"/>
                <w:right w:val="none" w:sz="0" w:space="0" w:color="auto"/>
              </w:divBdr>
            </w:div>
            <w:div w:id="927688301">
              <w:marLeft w:val="0"/>
              <w:marRight w:val="0"/>
              <w:marTop w:val="0"/>
              <w:marBottom w:val="0"/>
              <w:divBdr>
                <w:top w:val="none" w:sz="0" w:space="0" w:color="auto"/>
                <w:left w:val="none" w:sz="0" w:space="0" w:color="auto"/>
                <w:bottom w:val="none" w:sz="0" w:space="0" w:color="auto"/>
                <w:right w:val="none" w:sz="0" w:space="0" w:color="auto"/>
              </w:divBdr>
            </w:div>
            <w:div w:id="1050112940">
              <w:marLeft w:val="0"/>
              <w:marRight w:val="0"/>
              <w:marTop w:val="0"/>
              <w:marBottom w:val="0"/>
              <w:divBdr>
                <w:top w:val="none" w:sz="0" w:space="0" w:color="auto"/>
                <w:left w:val="none" w:sz="0" w:space="0" w:color="auto"/>
                <w:bottom w:val="none" w:sz="0" w:space="0" w:color="auto"/>
                <w:right w:val="none" w:sz="0" w:space="0" w:color="auto"/>
              </w:divBdr>
            </w:div>
            <w:div w:id="1130126362">
              <w:marLeft w:val="0"/>
              <w:marRight w:val="0"/>
              <w:marTop w:val="0"/>
              <w:marBottom w:val="0"/>
              <w:divBdr>
                <w:top w:val="none" w:sz="0" w:space="0" w:color="auto"/>
                <w:left w:val="none" w:sz="0" w:space="0" w:color="auto"/>
                <w:bottom w:val="none" w:sz="0" w:space="0" w:color="auto"/>
                <w:right w:val="none" w:sz="0" w:space="0" w:color="auto"/>
              </w:divBdr>
            </w:div>
            <w:div w:id="1229918360">
              <w:marLeft w:val="0"/>
              <w:marRight w:val="0"/>
              <w:marTop w:val="0"/>
              <w:marBottom w:val="0"/>
              <w:divBdr>
                <w:top w:val="none" w:sz="0" w:space="0" w:color="auto"/>
                <w:left w:val="none" w:sz="0" w:space="0" w:color="auto"/>
                <w:bottom w:val="none" w:sz="0" w:space="0" w:color="auto"/>
                <w:right w:val="none" w:sz="0" w:space="0" w:color="auto"/>
              </w:divBdr>
            </w:div>
            <w:div w:id="1252204879">
              <w:marLeft w:val="0"/>
              <w:marRight w:val="0"/>
              <w:marTop w:val="0"/>
              <w:marBottom w:val="0"/>
              <w:divBdr>
                <w:top w:val="none" w:sz="0" w:space="0" w:color="auto"/>
                <w:left w:val="none" w:sz="0" w:space="0" w:color="auto"/>
                <w:bottom w:val="none" w:sz="0" w:space="0" w:color="auto"/>
                <w:right w:val="none" w:sz="0" w:space="0" w:color="auto"/>
              </w:divBdr>
            </w:div>
            <w:div w:id="1314414000">
              <w:marLeft w:val="0"/>
              <w:marRight w:val="0"/>
              <w:marTop w:val="0"/>
              <w:marBottom w:val="0"/>
              <w:divBdr>
                <w:top w:val="none" w:sz="0" w:space="0" w:color="auto"/>
                <w:left w:val="none" w:sz="0" w:space="0" w:color="auto"/>
                <w:bottom w:val="none" w:sz="0" w:space="0" w:color="auto"/>
                <w:right w:val="none" w:sz="0" w:space="0" w:color="auto"/>
              </w:divBdr>
            </w:div>
            <w:div w:id="1712605695">
              <w:marLeft w:val="0"/>
              <w:marRight w:val="0"/>
              <w:marTop w:val="0"/>
              <w:marBottom w:val="0"/>
              <w:divBdr>
                <w:top w:val="none" w:sz="0" w:space="0" w:color="auto"/>
                <w:left w:val="none" w:sz="0" w:space="0" w:color="auto"/>
                <w:bottom w:val="none" w:sz="0" w:space="0" w:color="auto"/>
                <w:right w:val="none" w:sz="0" w:space="0" w:color="auto"/>
              </w:divBdr>
            </w:div>
            <w:div w:id="1797942420">
              <w:marLeft w:val="0"/>
              <w:marRight w:val="0"/>
              <w:marTop w:val="0"/>
              <w:marBottom w:val="0"/>
              <w:divBdr>
                <w:top w:val="none" w:sz="0" w:space="0" w:color="auto"/>
                <w:left w:val="none" w:sz="0" w:space="0" w:color="auto"/>
                <w:bottom w:val="none" w:sz="0" w:space="0" w:color="auto"/>
                <w:right w:val="none" w:sz="0" w:space="0" w:color="auto"/>
              </w:divBdr>
            </w:div>
            <w:div w:id="1813978407">
              <w:marLeft w:val="0"/>
              <w:marRight w:val="0"/>
              <w:marTop w:val="0"/>
              <w:marBottom w:val="0"/>
              <w:divBdr>
                <w:top w:val="none" w:sz="0" w:space="0" w:color="auto"/>
                <w:left w:val="none" w:sz="0" w:space="0" w:color="auto"/>
                <w:bottom w:val="none" w:sz="0" w:space="0" w:color="auto"/>
                <w:right w:val="none" w:sz="0" w:space="0" w:color="auto"/>
              </w:divBdr>
            </w:div>
            <w:div w:id="1853641900">
              <w:marLeft w:val="0"/>
              <w:marRight w:val="0"/>
              <w:marTop w:val="0"/>
              <w:marBottom w:val="0"/>
              <w:divBdr>
                <w:top w:val="none" w:sz="0" w:space="0" w:color="auto"/>
                <w:left w:val="none" w:sz="0" w:space="0" w:color="auto"/>
                <w:bottom w:val="none" w:sz="0" w:space="0" w:color="auto"/>
                <w:right w:val="none" w:sz="0" w:space="0" w:color="auto"/>
              </w:divBdr>
            </w:div>
            <w:div w:id="1917400913">
              <w:marLeft w:val="0"/>
              <w:marRight w:val="0"/>
              <w:marTop w:val="0"/>
              <w:marBottom w:val="0"/>
              <w:divBdr>
                <w:top w:val="none" w:sz="0" w:space="0" w:color="auto"/>
                <w:left w:val="none" w:sz="0" w:space="0" w:color="auto"/>
                <w:bottom w:val="none" w:sz="0" w:space="0" w:color="auto"/>
                <w:right w:val="none" w:sz="0" w:space="0" w:color="auto"/>
              </w:divBdr>
            </w:div>
            <w:div w:id="1950038783">
              <w:marLeft w:val="0"/>
              <w:marRight w:val="0"/>
              <w:marTop w:val="0"/>
              <w:marBottom w:val="0"/>
              <w:divBdr>
                <w:top w:val="none" w:sz="0" w:space="0" w:color="auto"/>
                <w:left w:val="none" w:sz="0" w:space="0" w:color="auto"/>
                <w:bottom w:val="none" w:sz="0" w:space="0" w:color="auto"/>
                <w:right w:val="none" w:sz="0" w:space="0" w:color="auto"/>
              </w:divBdr>
            </w:div>
            <w:div w:id="2132479589">
              <w:marLeft w:val="0"/>
              <w:marRight w:val="0"/>
              <w:marTop w:val="0"/>
              <w:marBottom w:val="0"/>
              <w:divBdr>
                <w:top w:val="none" w:sz="0" w:space="0" w:color="auto"/>
                <w:left w:val="none" w:sz="0" w:space="0" w:color="auto"/>
                <w:bottom w:val="none" w:sz="0" w:space="0" w:color="auto"/>
                <w:right w:val="none" w:sz="0" w:space="0" w:color="auto"/>
              </w:divBdr>
            </w:div>
          </w:divsChild>
        </w:div>
        <w:div w:id="2071343949">
          <w:marLeft w:val="0"/>
          <w:marRight w:val="0"/>
          <w:marTop w:val="0"/>
          <w:marBottom w:val="0"/>
          <w:divBdr>
            <w:top w:val="none" w:sz="0" w:space="0" w:color="auto"/>
            <w:left w:val="none" w:sz="0" w:space="0" w:color="auto"/>
            <w:bottom w:val="none" w:sz="0" w:space="0" w:color="auto"/>
            <w:right w:val="none" w:sz="0" w:space="0" w:color="auto"/>
          </w:divBdr>
        </w:div>
        <w:div w:id="2071880695">
          <w:marLeft w:val="0"/>
          <w:marRight w:val="0"/>
          <w:marTop w:val="0"/>
          <w:marBottom w:val="0"/>
          <w:divBdr>
            <w:top w:val="none" w:sz="0" w:space="0" w:color="auto"/>
            <w:left w:val="none" w:sz="0" w:space="0" w:color="auto"/>
            <w:bottom w:val="none" w:sz="0" w:space="0" w:color="auto"/>
            <w:right w:val="none" w:sz="0" w:space="0" w:color="auto"/>
          </w:divBdr>
        </w:div>
        <w:div w:id="2072389540">
          <w:marLeft w:val="0"/>
          <w:marRight w:val="0"/>
          <w:marTop w:val="0"/>
          <w:marBottom w:val="0"/>
          <w:divBdr>
            <w:top w:val="none" w:sz="0" w:space="0" w:color="auto"/>
            <w:left w:val="none" w:sz="0" w:space="0" w:color="auto"/>
            <w:bottom w:val="none" w:sz="0" w:space="0" w:color="auto"/>
            <w:right w:val="none" w:sz="0" w:space="0" w:color="auto"/>
          </w:divBdr>
        </w:div>
        <w:div w:id="2072843277">
          <w:marLeft w:val="0"/>
          <w:marRight w:val="0"/>
          <w:marTop w:val="0"/>
          <w:marBottom w:val="0"/>
          <w:divBdr>
            <w:top w:val="none" w:sz="0" w:space="0" w:color="auto"/>
            <w:left w:val="none" w:sz="0" w:space="0" w:color="auto"/>
            <w:bottom w:val="none" w:sz="0" w:space="0" w:color="auto"/>
            <w:right w:val="none" w:sz="0" w:space="0" w:color="auto"/>
          </w:divBdr>
        </w:div>
        <w:div w:id="2073961977">
          <w:marLeft w:val="0"/>
          <w:marRight w:val="0"/>
          <w:marTop w:val="0"/>
          <w:marBottom w:val="0"/>
          <w:divBdr>
            <w:top w:val="none" w:sz="0" w:space="0" w:color="auto"/>
            <w:left w:val="none" w:sz="0" w:space="0" w:color="auto"/>
            <w:bottom w:val="none" w:sz="0" w:space="0" w:color="auto"/>
            <w:right w:val="none" w:sz="0" w:space="0" w:color="auto"/>
          </w:divBdr>
        </w:div>
        <w:div w:id="2077825102">
          <w:marLeft w:val="0"/>
          <w:marRight w:val="0"/>
          <w:marTop w:val="0"/>
          <w:marBottom w:val="0"/>
          <w:divBdr>
            <w:top w:val="none" w:sz="0" w:space="0" w:color="auto"/>
            <w:left w:val="none" w:sz="0" w:space="0" w:color="auto"/>
            <w:bottom w:val="none" w:sz="0" w:space="0" w:color="auto"/>
            <w:right w:val="none" w:sz="0" w:space="0" w:color="auto"/>
          </w:divBdr>
        </w:div>
        <w:div w:id="2077849749">
          <w:marLeft w:val="0"/>
          <w:marRight w:val="0"/>
          <w:marTop w:val="0"/>
          <w:marBottom w:val="0"/>
          <w:divBdr>
            <w:top w:val="none" w:sz="0" w:space="0" w:color="auto"/>
            <w:left w:val="none" w:sz="0" w:space="0" w:color="auto"/>
            <w:bottom w:val="none" w:sz="0" w:space="0" w:color="auto"/>
            <w:right w:val="none" w:sz="0" w:space="0" w:color="auto"/>
          </w:divBdr>
        </w:div>
        <w:div w:id="2081051928">
          <w:marLeft w:val="0"/>
          <w:marRight w:val="0"/>
          <w:marTop w:val="0"/>
          <w:marBottom w:val="0"/>
          <w:divBdr>
            <w:top w:val="none" w:sz="0" w:space="0" w:color="auto"/>
            <w:left w:val="none" w:sz="0" w:space="0" w:color="auto"/>
            <w:bottom w:val="none" w:sz="0" w:space="0" w:color="auto"/>
            <w:right w:val="none" w:sz="0" w:space="0" w:color="auto"/>
          </w:divBdr>
        </w:div>
        <w:div w:id="2081513541">
          <w:marLeft w:val="0"/>
          <w:marRight w:val="0"/>
          <w:marTop w:val="0"/>
          <w:marBottom w:val="0"/>
          <w:divBdr>
            <w:top w:val="none" w:sz="0" w:space="0" w:color="auto"/>
            <w:left w:val="none" w:sz="0" w:space="0" w:color="auto"/>
            <w:bottom w:val="none" w:sz="0" w:space="0" w:color="auto"/>
            <w:right w:val="none" w:sz="0" w:space="0" w:color="auto"/>
          </w:divBdr>
        </w:div>
        <w:div w:id="2082486706">
          <w:marLeft w:val="0"/>
          <w:marRight w:val="0"/>
          <w:marTop w:val="0"/>
          <w:marBottom w:val="0"/>
          <w:divBdr>
            <w:top w:val="none" w:sz="0" w:space="0" w:color="auto"/>
            <w:left w:val="none" w:sz="0" w:space="0" w:color="auto"/>
            <w:bottom w:val="none" w:sz="0" w:space="0" w:color="auto"/>
            <w:right w:val="none" w:sz="0" w:space="0" w:color="auto"/>
          </w:divBdr>
          <w:divsChild>
            <w:div w:id="65616920">
              <w:marLeft w:val="0"/>
              <w:marRight w:val="0"/>
              <w:marTop w:val="0"/>
              <w:marBottom w:val="0"/>
              <w:divBdr>
                <w:top w:val="none" w:sz="0" w:space="0" w:color="auto"/>
                <w:left w:val="none" w:sz="0" w:space="0" w:color="auto"/>
                <w:bottom w:val="none" w:sz="0" w:space="0" w:color="auto"/>
                <w:right w:val="none" w:sz="0" w:space="0" w:color="auto"/>
              </w:divBdr>
            </w:div>
            <w:div w:id="183523098">
              <w:marLeft w:val="0"/>
              <w:marRight w:val="0"/>
              <w:marTop w:val="0"/>
              <w:marBottom w:val="0"/>
              <w:divBdr>
                <w:top w:val="none" w:sz="0" w:space="0" w:color="auto"/>
                <w:left w:val="none" w:sz="0" w:space="0" w:color="auto"/>
                <w:bottom w:val="none" w:sz="0" w:space="0" w:color="auto"/>
                <w:right w:val="none" w:sz="0" w:space="0" w:color="auto"/>
              </w:divBdr>
            </w:div>
            <w:div w:id="279075920">
              <w:marLeft w:val="0"/>
              <w:marRight w:val="0"/>
              <w:marTop w:val="0"/>
              <w:marBottom w:val="0"/>
              <w:divBdr>
                <w:top w:val="none" w:sz="0" w:space="0" w:color="auto"/>
                <w:left w:val="none" w:sz="0" w:space="0" w:color="auto"/>
                <w:bottom w:val="none" w:sz="0" w:space="0" w:color="auto"/>
                <w:right w:val="none" w:sz="0" w:space="0" w:color="auto"/>
              </w:divBdr>
            </w:div>
            <w:div w:id="414402061">
              <w:marLeft w:val="0"/>
              <w:marRight w:val="0"/>
              <w:marTop w:val="0"/>
              <w:marBottom w:val="0"/>
              <w:divBdr>
                <w:top w:val="none" w:sz="0" w:space="0" w:color="auto"/>
                <w:left w:val="none" w:sz="0" w:space="0" w:color="auto"/>
                <w:bottom w:val="none" w:sz="0" w:space="0" w:color="auto"/>
                <w:right w:val="none" w:sz="0" w:space="0" w:color="auto"/>
              </w:divBdr>
            </w:div>
            <w:div w:id="449055842">
              <w:marLeft w:val="0"/>
              <w:marRight w:val="0"/>
              <w:marTop w:val="0"/>
              <w:marBottom w:val="0"/>
              <w:divBdr>
                <w:top w:val="none" w:sz="0" w:space="0" w:color="auto"/>
                <w:left w:val="none" w:sz="0" w:space="0" w:color="auto"/>
                <w:bottom w:val="none" w:sz="0" w:space="0" w:color="auto"/>
                <w:right w:val="none" w:sz="0" w:space="0" w:color="auto"/>
              </w:divBdr>
            </w:div>
            <w:div w:id="603608129">
              <w:marLeft w:val="0"/>
              <w:marRight w:val="0"/>
              <w:marTop w:val="0"/>
              <w:marBottom w:val="0"/>
              <w:divBdr>
                <w:top w:val="none" w:sz="0" w:space="0" w:color="auto"/>
                <w:left w:val="none" w:sz="0" w:space="0" w:color="auto"/>
                <w:bottom w:val="none" w:sz="0" w:space="0" w:color="auto"/>
                <w:right w:val="none" w:sz="0" w:space="0" w:color="auto"/>
              </w:divBdr>
            </w:div>
            <w:div w:id="850919565">
              <w:marLeft w:val="0"/>
              <w:marRight w:val="0"/>
              <w:marTop w:val="0"/>
              <w:marBottom w:val="0"/>
              <w:divBdr>
                <w:top w:val="none" w:sz="0" w:space="0" w:color="auto"/>
                <w:left w:val="none" w:sz="0" w:space="0" w:color="auto"/>
                <w:bottom w:val="none" w:sz="0" w:space="0" w:color="auto"/>
                <w:right w:val="none" w:sz="0" w:space="0" w:color="auto"/>
              </w:divBdr>
            </w:div>
            <w:div w:id="1047416241">
              <w:marLeft w:val="0"/>
              <w:marRight w:val="0"/>
              <w:marTop w:val="0"/>
              <w:marBottom w:val="0"/>
              <w:divBdr>
                <w:top w:val="none" w:sz="0" w:space="0" w:color="auto"/>
                <w:left w:val="none" w:sz="0" w:space="0" w:color="auto"/>
                <w:bottom w:val="none" w:sz="0" w:space="0" w:color="auto"/>
                <w:right w:val="none" w:sz="0" w:space="0" w:color="auto"/>
              </w:divBdr>
            </w:div>
            <w:div w:id="1314480239">
              <w:marLeft w:val="0"/>
              <w:marRight w:val="0"/>
              <w:marTop w:val="0"/>
              <w:marBottom w:val="0"/>
              <w:divBdr>
                <w:top w:val="none" w:sz="0" w:space="0" w:color="auto"/>
                <w:left w:val="none" w:sz="0" w:space="0" w:color="auto"/>
                <w:bottom w:val="none" w:sz="0" w:space="0" w:color="auto"/>
                <w:right w:val="none" w:sz="0" w:space="0" w:color="auto"/>
              </w:divBdr>
            </w:div>
            <w:div w:id="1462843416">
              <w:marLeft w:val="0"/>
              <w:marRight w:val="0"/>
              <w:marTop w:val="0"/>
              <w:marBottom w:val="0"/>
              <w:divBdr>
                <w:top w:val="none" w:sz="0" w:space="0" w:color="auto"/>
                <w:left w:val="none" w:sz="0" w:space="0" w:color="auto"/>
                <w:bottom w:val="none" w:sz="0" w:space="0" w:color="auto"/>
                <w:right w:val="none" w:sz="0" w:space="0" w:color="auto"/>
              </w:divBdr>
            </w:div>
            <w:div w:id="1531648590">
              <w:marLeft w:val="0"/>
              <w:marRight w:val="0"/>
              <w:marTop w:val="0"/>
              <w:marBottom w:val="0"/>
              <w:divBdr>
                <w:top w:val="none" w:sz="0" w:space="0" w:color="auto"/>
                <w:left w:val="none" w:sz="0" w:space="0" w:color="auto"/>
                <w:bottom w:val="none" w:sz="0" w:space="0" w:color="auto"/>
                <w:right w:val="none" w:sz="0" w:space="0" w:color="auto"/>
              </w:divBdr>
            </w:div>
            <w:div w:id="1626038340">
              <w:marLeft w:val="0"/>
              <w:marRight w:val="0"/>
              <w:marTop w:val="0"/>
              <w:marBottom w:val="0"/>
              <w:divBdr>
                <w:top w:val="none" w:sz="0" w:space="0" w:color="auto"/>
                <w:left w:val="none" w:sz="0" w:space="0" w:color="auto"/>
                <w:bottom w:val="none" w:sz="0" w:space="0" w:color="auto"/>
                <w:right w:val="none" w:sz="0" w:space="0" w:color="auto"/>
              </w:divBdr>
            </w:div>
            <w:div w:id="1704015738">
              <w:marLeft w:val="0"/>
              <w:marRight w:val="0"/>
              <w:marTop w:val="0"/>
              <w:marBottom w:val="0"/>
              <w:divBdr>
                <w:top w:val="none" w:sz="0" w:space="0" w:color="auto"/>
                <w:left w:val="none" w:sz="0" w:space="0" w:color="auto"/>
                <w:bottom w:val="none" w:sz="0" w:space="0" w:color="auto"/>
                <w:right w:val="none" w:sz="0" w:space="0" w:color="auto"/>
              </w:divBdr>
            </w:div>
            <w:div w:id="1975329928">
              <w:marLeft w:val="0"/>
              <w:marRight w:val="0"/>
              <w:marTop w:val="0"/>
              <w:marBottom w:val="0"/>
              <w:divBdr>
                <w:top w:val="none" w:sz="0" w:space="0" w:color="auto"/>
                <w:left w:val="none" w:sz="0" w:space="0" w:color="auto"/>
                <w:bottom w:val="none" w:sz="0" w:space="0" w:color="auto"/>
                <w:right w:val="none" w:sz="0" w:space="0" w:color="auto"/>
              </w:divBdr>
            </w:div>
            <w:div w:id="2024546720">
              <w:marLeft w:val="0"/>
              <w:marRight w:val="0"/>
              <w:marTop w:val="0"/>
              <w:marBottom w:val="0"/>
              <w:divBdr>
                <w:top w:val="none" w:sz="0" w:space="0" w:color="auto"/>
                <w:left w:val="none" w:sz="0" w:space="0" w:color="auto"/>
                <w:bottom w:val="none" w:sz="0" w:space="0" w:color="auto"/>
                <w:right w:val="none" w:sz="0" w:space="0" w:color="auto"/>
              </w:divBdr>
            </w:div>
            <w:div w:id="2062824227">
              <w:marLeft w:val="0"/>
              <w:marRight w:val="0"/>
              <w:marTop w:val="0"/>
              <w:marBottom w:val="0"/>
              <w:divBdr>
                <w:top w:val="none" w:sz="0" w:space="0" w:color="auto"/>
                <w:left w:val="none" w:sz="0" w:space="0" w:color="auto"/>
                <w:bottom w:val="none" w:sz="0" w:space="0" w:color="auto"/>
                <w:right w:val="none" w:sz="0" w:space="0" w:color="auto"/>
              </w:divBdr>
            </w:div>
          </w:divsChild>
        </w:div>
        <w:div w:id="2085490903">
          <w:marLeft w:val="0"/>
          <w:marRight w:val="0"/>
          <w:marTop w:val="0"/>
          <w:marBottom w:val="0"/>
          <w:divBdr>
            <w:top w:val="none" w:sz="0" w:space="0" w:color="auto"/>
            <w:left w:val="none" w:sz="0" w:space="0" w:color="auto"/>
            <w:bottom w:val="none" w:sz="0" w:space="0" w:color="auto"/>
            <w:right w:val="none" w:sz="0" w:space="0" w:color="auto"/>
          </w:divBdr>
        </w:div>
        <w:div w:id="2089576109">
          <w:marLeft w:val="0"/>
          <w:marRight w:val="0"/>
          <w:marTop w:val="0"/>
          <w:marBottom w:val="0"/>
          <w:divBdr>
            <w:top w:val="none" w:sz="0" w:space="0" w:color="auto"/>
            <w:left w:val="none" w:sz="0" w:space="0" w:color="auto"/>
            <w:bottom w:val="none" w:sz="0" w:space="0" w:color="auto"/>
            <w:right w:val="none" w:sz="0" w:space="0" w:color="auto"/>
          </w:divBdr>
        </w:div>
        <w:div w:id="2091542777">
          <w:marLeft w:val="0"/>
          <w:marRight w:val="0"/>
          <w:marTop w:val="0"/>
          <w:marBottom w:val="0"/>
          <w:divBdr>
            <w:top w:val="none" w:sz="0" w:space="0" w:color="auto"/>
            <w:left w:val="none" w:sz="0" w:space="0" w:color="auto"/>
            <w:bottom w:val="none" w:sz="0" w:space="0" w:color="auto"/>
            <w:right w:val="none" w:sz="0" w:space="0" w:color="auto"/>
          </w:divBdr>
        </w:div>
        <w:div w:id="2095206542">
          <w:marLeft w:val="0"/>
          <w:marRight w:val="0"/>
          <w:marTop w:val="0"/>
          <w:marBottom w:val="0"/>
          <w:divBdr>
            <w:top w:val="none" w:sz="0" w:space="0" w:color="auto"/>
            <w:left w:val="none" w:sz="0" w:space="0" w:color="auto"/>
            <w:bottom w:val="none" w:sz="0" w:space="0" w:color="auto"/>
            <w:right w:val="none" w:sz="0" w:space="0" w:color="auto"/>
          </w:divBdr>
        </w:div>
        <w:div w:id="2095277784">
          <w:marLeft w:val="0"/>
          <w:marRight w:val="0"/>
          <w:marTop w:val="0"/>
          <w:marBottom w:val="0"/>
          <w:divBdr>
            <w:top w:val="none" w:sz="0" w:space="0" w:color="auto"/>
            <w:left w:val="none" w:sz="0" w:space="0" w:color="auto"/>
            <w:bottom w:val="none" w:sz="0" w:space="0" w:color="auto"/>
            <w:right w:val="none" w:sz="0" w:space="0" w:color="auto"/>
          </w:divBdr>
        </w:div>
        <w:div w:id="2097705736">
          <w:marLeft w:val="0"/>
          <w:marRight w:val="0"/>
          <w:marTop w:val="0"/>
          <w:marBottom w:val="0"/>
          <w:divBdr>
            <w:top w:val="none" w:sz="0" w:space="0" w:color="auto"/>
            <w:left w:val="none" w:sz="0" w:space="0" w:color="auto"/>
            <w:bottom w:val="none" w:sz="0" w:space="0" w:color="auto"/>
            <w:right w:val="none" w:sz="0" w:space="0" w:color="auto"/>
          </w:divBdr>
          <w:divsChild>
            <w:div w:id="642387532">
              <w:marLeft w:val="-75"/>
              <w:marRight w:val="0"/>
              <w:marTop w:val="30"/>
              <w:marBottom w:val="30"/>
              <w:divBdr>
                <w:top w:val="none" w:sz="0" w:space="0" w:color="auto"/>
                <w:left w:val="none" w:sz="0" w:space="0" w:color="auto"/>
                <w:bottom w:val="none" w:sz="0" w:space="0" w:color="auto"/>
                <w:right w:val="none" w:sz="0" w:space="0" w:color="auto"/>
              </w:divBdr>
              <w:divsChild>
                <w:div w:id="470366418">
                  <w:marLeft w:val="0"/>
                  <w:marRight w:val="0"/>
                  <w:marTop w:val="0"/>
                  <w:marBottom w:val="0"/>
                  <w:divBdr>
                    <w:top w:val="none" w:sz="0" w:space="0" w:color="auto"/>
                    <w:left w:val="none" w:sz="0" w:space="0" w:color="auto"/>
                    <w:bottom w:val="none" w:sz="0" w:space="0" w:color="auto"/>
                    <w:right w:val="none" w:sz="0" w:space="0" w:color="auto"/>
                  </w:divBdr>
                  <w:divsChild>
                    <w:div w:id="209073354">
                      <w:marLeft w:val="0"/>
                      <w:marRight w:val="0"/>
                      <w:marTop w:val="0"/>
                      <w:marBottom w:val="0"/>
                      <w:divBdr>
                        <w:top w:val="none" w:sz="0" w:space="0" w:color="auto"/>
                        <w:left w:val="none" w:sz="0" w:space="0" w:color="auto"/>
                        <w:bottom w:val="none" w:sz="0" w:space="0" w:color="auto"/>
                        <w:right w:val="none" w:sz="0" w:space="0" w:color="auto"/>
                      </w:divBdr>
                    </w:div>
                    <w:div w:id="1208567296">
                      <w:marLeft w:val="0"/>
                      <w:marRight w:val="0"/>
                      <w:marTop w:val="0"/>
                      <w:marBottom w:val="0"/>
                      <w:divBdr>
                        <w:top w:val="none" w:sz="0" w:space="0" w:color="auto"/>
                        <w:left w:val="none" w:sz="0" w:space="0" w:color="auto"/>
                        <w:bottom w:val="none" w:sz="0" w:space="0" w:color="auto"/>
                        <w:right w:val="none" w:sz="0" w:space="0" w:color="auto"/>
                      </w:divBdr>
                    </w:div>
                  </w:divsChild>
                </w:div>
                <w:div w:id="558521395">
                  <w:marLeft w:val="0"/>
                  <w:marRight w:val="0"/>
                  <w:marTop w:val="0"/>
                  <w:marBottom w:val="0"/>
                  <w:divBdr>
                    <w:top w:val="none" w:sz="0" w:space="0" w:color="auto"/>
                    <w:left w:val="none" w:sz="0" w:space="0" w:color="auto"/>
                    <w:bottom w:val="none" w:sz="0" w:space="0" w:color="auto"/>
                    <w:right w:val="none" w:sz="0" w:space="0" w:color="auto"/>
                  </w:divBdr>
                  <w:divsChild>
                    <w:div w:id="969096861">
                      <w:marLeft w:val="0"/>
                      <w:marRight w:val="0"/>
                      <w:marTop w:val="0"/>
                      <w:marBottom w:val="0"/>
                      <w:divBdr>
                        <w:top w:val="none" w:sz="0" w:space="0" w:color="auto"/>
                        <w:left w:val="none" w:sz="0" w:space="0" w:color="auto"/>
                        <w:bottom w:val="none" w:sz="0" w:space="0" w:color="auto"/>
                        <w:right w:val="none" w:sz="0" w:space="0" w:color="auto"/>
                      </w:divBdr>
                    </w:div>
                    <w:div w:id="1831941515">
                      <w:marLeft w:val="0"/>
                      <w:marRight w:val="0"/>
                      <w:marTop w:val="0"/>
                      <w:marBottom w:val="0"/>
                      <w:divBdr>
                        <w:top w:val="none" w:sz="0" w:space="0" w:color="auto"/>
                        <w:left w:val="none" w:sz="0" w:space="0" w:color="auto"/>
                        <w:bottom w:val="none" w:sz="0" w:space="0" w:color="auto"/>
                        <w:right w:val="none" w:sz="0" w:space="0" w:color="auto"/>
                      </w:divBdr>
                    </w:div>
                  </w:divsChild>
                </w:div>
                <w:div w:id="679350834">
                  <w:marLeft w:val="0"/>
                  <w:marRight w:val="0"/>
                  <w:marTop w:val="0"/>
                  <w:marBottom w:val="0"/>
                  <w:divBdr>
                    <w:top w:val="none" w:sz="0" w:space="0" w:color="auto"/>
                    <w:left w:val="none" w:sz="0" w:space="0" w:color="auto"/>
                    <w:bottom w:val="none" w:sz="0" w:space="0" w:color="auto"/>
                    <w:right w:val="none" w:sz="0" w:space="0" w:color="auto"/>
                  </w:divBdr>
                  <w:divsChild>
                    <w:div w:id="709453469">
                      <w:marLeft w:val="0"/>
                      <w:marRight w:val="0"/>
                      <w:marTop w:val="0"/>
                      <w:marBottom w:val="0"/>
                      <w:divBdr>
                        <w:top w:val="none" w:sz="0" w:space="0" w:color="auto"/>
                        <w:left w:val="none" w:sz="0" w:space="0" w:color="auto"/>
                        <w:bottom w:val="none" w:sz="0" w:space="0" w:color="auto"/>
                        <w:right w:val="none" w:sz="0" w:space="0" w:color="auto"/>
                      </w:divBdr>
                    </w:div>
                  </w:divsChild>
                </w:div>
                <w:div w:id="790441692">
                  <w:marLeft w:val="0"/>
                  <w:marRight w:val="0"/>
                  <w:marTop w:val="0"/>
                  <w:marBottom w:val="0"/>
                  <w:divBdr>
                    <w:top w:val="none" w:sz="0" w:space="0" w:color="auto"/>
                    <w:left w:val="none" w:sz="0" w:space="0" w:color="auto"/>
                    <w:bottom w:val="none" w:sz="0" w:space="0" w:color="auto"/>
                    <w:right w:val="none" w:sz="0" w:space="0" w:color="auto"/>
                  </w:divBdr>
                  <w:divsChild>
                    <w:div w:id="1763447727">
                      <w:marLeft w:val="0"/>
                      <w:marRight w:val="0"/>
                      <w:marTop w:val="0"/>
                      <w:marBottom w:val="0"/>
                      <w:divBdr>
                        <w:top w:val="none" w:sz="0" w:space="0" w:color="auto"/>
                        <w:left w:val="none" w:sz="0" w:space="0" w:color="auto"/>
                        <w:bottom w:val="none" w:sz="0" w:space="0" w:color="auto"/>
                        <w:right w:val="none" w:sz="0" w:space="0" w:color="auto"/>
                      </w:divBdr>
                    </w:div>
                  </w:divsChild>
                </w:div>
                <w:div w:id="945845546">
                  <w:marLeft w:val="0"/>
                  <w:marRight w:val="0"/>
                  <w:marTop w:val="0"/>
                  <w:marBottom w:val="0"/>
                  <w:divBdr>
                    <w:top w:val="none" w:sz="0" w:space="0" w:color="auto"/>
                    <w:left w:val="none" w:sz="0" w:space="0" w:color="auto"/>
                    <w:bottom w:val="none" w:sz="0" w:space="0" w:color="auto"/>
                    <w:right w:val="none" w:sz="0" w:space="0" w:color="auto"/>
                  </w:divBdr>
                  <w:divsChild>
                    <w:div w:id="73670189">
                      <w:marLeft w:val="0"/>
                      <w:marRight w:val="0"/>
                      <w:marTop w:val="0"/>
                      <w:marBottom w:val="0"/>
                      <w:divBdr>
                        <w:top w:val="none" w:sz="0" w:space="0" w:color="auto"/>
                        <w:left w:val="none" w:sz="0" w:space="0" w:color="auto"/>
                        <w:bottom w:val="none" w:sz="0" w:space="0" w:color="auto"/>
                        <w:right w:val="none" w:sz="0" w:space="0" w:color="auto"/>
                      </w:divBdr>
                    </w:div>
                    <w:div w:id="532960719">
                      <w:marLeft w:val="0"/>
                      <w:marRight w:val="0"/>
                      <w:marTop w:val="0"/>
                      <w:marBottom w:val="0"/>
                      <w:divBdr>
                        <w:top w:val="none" w:sz="0" w:space="0" w:color="auto"/>
                        <w:left w:val="none" w:sz="0" w:space="0" w:color="auto"/>
                        <w:bottom w:val="none" w:sz="0" w:space="0" w:color="auto"/>
                        <w:right w:val="none" w:sz="0" w:space="0" w:color="auto"/>
                      </w:divBdr>
                    </w:div>
                  </w:divsChild>
                </w:div>
                <w:div w:id="1040938359">
                  <w:marLeft w:val="0"/>
                  <w:marRight w:val="0"/>
                  <w:marTop w:val="0"/>
                  <w:marBottom w:val="0"/>
                  <w:divBdr>
                    <w:top w:val="none" w:sz="0" w:space="0" w:color="auto"/>
                    <w:left w:val="none" w:sz="0" w:space="0" w:color="auto"/>
                    <w:bottom w:val="none" w:sz="0" w:space="0" w:color="auto"/>
                    <w:right w:val="none" w:sz="0" w:space="0" w:color="auto"/>
                  </w:divBdr>
                  <w:divsChild>
                    <w:div w:id="613249580">
                      <w:marLeft w:val="0"/>
                      <w:marRight w:val="0"/>
                      <w:marTop w:val="0"/>
                      <w:marBottom w:val="0"/>
                      <w:divBdr>
                        <w:top w:val="none" w:sz="0" w:space="0" w:color="auto"/>
                        <w:left w:val="none" w:sz="0" w:space="0" w:color="auto"/>
                        <w:bottom w:val="none" w:sz="0" w:space="0" w:color="auto"/>
                        <w:right w:val="none" w:sz="0" w:space="0" w:color="auto"/>
                      </w:divBdr>
                    </w:div>
                    <w:div w:id="762074536">
                      <w:marLeft w:val="0"/>
                      <w:marRight w:val="0"/>
                      <w:marTop w:val="0"/>
                      <w:marBottom w:val="0"/>
                      <w:divBdr>
                        <w:top w:val="none" w:sz="0" w:space="0" w:color="auto"/>
                        <w:left w:val="none" w:sz="0" w:space="0" w:color="auto"/>
                        <w:bottom w:val="none" w:sz="0" w:space="0" w:color="auto"/>
                        <w:right w:val="none" w:sz="0" w:space="0" w:color="auto"/>
                      </w:divBdr>
                    </w:div>
                  </w:divsChild>
                </w:div>
                <w:div w:id="1290549056">
                  <w:marLeft w:val="0"/>
                  <w:marRight w:val="0"/>
                  <w:marTop w:val="0"/>
                  <w:marBottom w:val="0"/>
                  <w:divBdr>
                    <w:top w:val="none" w:sz="0" w:space="0" w:color="auto"/>
                    <w:left w:val="none" w:sz="0" w:space="0" w:color="auto"/>
                    <w:bottom w:val="none" w:sz="0" w:space="0" w:color="auto"/>
                    <w:right w:val="none" w:sz="0" w:space="0" w:color="auto"/>
                  </w:divBdr>
                  <w:divsChild>
                    <w:div w:id="379401298">
                      <w:marLeft w:val="0"/>
                      <w:marRight w:val="0"/>
                      <w:marTop w:val="0"/>
                      <w:marBottom w:val="0"/>
                      <w:divBdr>
                        <w:top w:val="none" w:sz="0" w:space="0" w:color="auto"/>
                        <w:left w:val="none" w:sz="0" w:space="0" w:color="auto"/>
                        <w:bottom w:val="none" w:sz="0" w:space="0" w:color="auto"/>
                        <w:right w:val="none" w:sz="0" w:space="0" w:color="auto"/>
                      </w:divBdr>
                    </w:div>
                    <w:div w:id="607661977">
                      <w:marLeft w:val="0"/>
                      <w:marRight w:val="0"/>
                      <w:marTop w:val="0"/>
                      <w:marBottom w:val="0"/>
                      <w:divBdr>
                        <w:top w:val="none" w:sz="0" w:space="0" w:color="auto"/>
                        <w:left w:val="none" w:sz="0" w:space="0" w:color="auto"/>
                        <w:bottom w:val="none" w:sz="0" w:space="0" w:color="auto"/>
                        <w:right w:val="none" w:sz="0" w:space="0" w:color="auto"/>
                      </w:divBdr>
                    </w:div>
                  </w:divsChild>
                </w:div>
                <w:div w:id="1439253176">
                  <w:marLeft w:val="0"/>
                  <w:marRight w:val="0"/>
                  <w:marTop w:val="0"/>
                  <w:marBottom w:val="0"/>
                  <w:divBdr>
                    <w:top w:val="none" w:sz="0" w:space="0" w:color="auto"/>
                    <w:left w:val="none" w:sz="0" w:space="0" w:color="auto"/>
                    <w:bottom w:val="none" w:sz="0" w:space="0" w:color="auto"/>
                    <w:right w:val="none" w:sz="0" w:space="0" w:color="auto"/>
                  </w:divBdr>
                  <w:divsChild>
                    <w:div w:id="832451366">
                      <w:marLeft w:val="0"/>
                      <w:marRight w:val="0"/>
                      <w:marTop w:val="0"/>
                      <w:marBottom w:val="0"/>
                      <w:divBdr>
                        <w:top w:val="none" w:sz="0" w:space="0" w:color="auto"/>
                        <w:left w:val="none" w:sz="0" w:space="0" w:color="auto"/>
                        <w:bottom w:val="none" w:sz="0" w:space="0" w:color="auto"/>
                        <w:right w:val="none" w:sz="0" w:space="0" w:color="auto"/>
                      </w:divBdr>
                    </w:div>
                  </w:divsChild>
                </w:div>
                <w:div w:id="1569269043">
                  <w:marLeft w:val="0"/>
                  <w:marRight w:val="0"/>
                  <w:marTop w:val="0"/>
                  <w:marBottom w:val="0"/>
                  <w:divBdr>
                    <w:top w:val="none" w:sz="0" w:space="0" w:color="auto"/>
                    <w:left w:val="none" w:sz="0" w:space="0" w:color="auto"/>
                    <w:bottom w:val="none" w:sz="0" w:space="0" w:color="auto"/>
                    <w:right w:val="none" w:sz="0" w:space="0" w:color="auto"/>
                  </w:divBdr>
                  <w:divsChild>
                    <w:div w:id="2114128435">
                      <w:marLeft w:val="0"/>
                      <w:marRight w:val="0"/>
                      <w:marTop w:val="0"/>
                      <w:marBottom w:val="0"/>
                      <w:divBdr>
                        <w:top w:val="none" w:sz="0" w:space="0" w:color="auto"/>
                        <w:left w:val="none" w:sz="0" w:space="0" w:color="auto"/>
                        <w:bottom w:val="none" w:sz="0" w:space="0" w:color="auto"/>
                        <w:right w:val="none" w:sz="0" w:space="0" w:color="auto"/>
                      </w:divBdr>
                    </w:div>
                  </w:divsChild>
                </w:div>
                <w:div w:id="1625965706">
                  <w:marLeft w:val="0"/>
                  <w:marRight w:val="0"/>
                  <w:marTop w:val="0"/>
                  <w:marBottom w:val="0"/>
                  <w:divBdr>
                    <w:top w:val="none" w:sz="0" w:space="0" w:color="auto"/>
                    <w:left w:val="none" w:sz="0" w:space="0" w:color="auto"/>
                    <w:bottom w:val="none" w:sz="0" w:space="0" w:color="auto"/>
                    <w:right w:val="none" w:sz="0" w:space="0" w:color="auto"/>
                  </w:divBdr>
                  <w:divsChild>
                    <w:div w:id="4113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09803">
          <w:marLeft w:val="0"/>
          <w:marRight w:val="0"/>
          <w:marTop w:val="0"/>
          <w:marBottom w:val="0"/>
          <w:divBdr>
            <w:top w:val="none" w:sz="0" w:space="0" w:color="auto"/>
            <w:left w:val="none" w:sz="0" w:space="0" w:color="auto"/>
            <w:bottom w:val="none" w:sz="0" w:space="0" w:color="auto"/>
            <w:right w:val="none" w:sz="0" w:space="0" w:color="auto"/>
          </w:divBdr>
        </w:div>
        <w:div w:id="2099672005">
          <w:marLeft w:val="0"/>
          <w:marRight w:val="0"/>
          <w:marTop w:val="0"/>
          <w:marBottom w:val="0"/>
          <w:divBdr>
            <w:top w:val="none" w:sz="0" w:space="0" w:color="auto"/>
            <w:left w:val="none" w:sz="0" w:space="0" w:color="auto"/>
            <w:bottom w:val="none" w:sz="0" w:space="0" w:color="auto"/>
            <w:right w:val="none" w:sz="0" w:space="0" w:color="auto"/>
          </w:divBdr>
        </w:div>
        <w:div w:id="2100178779">
          <w:marLeft w:val="0"/>
          <w:marRight w:val="0"/>
          <w:marTop w:val="0"/>
          <w:marBottom w:val="0"/>
          <w:divBdr>
            <w:top w:val="none" w:sz="0" w:space="0" w:color="auto"/>
            <w:left w:val="none" w:sz="0" w:space="0" w:color="auto"/>
            <w:bottom w:val="none" w:sz="0" w:space="0" w:color="auto"/>
            <w:right w:val="none" w:sz="0" w:space="0" w:color="auto"/>
          </w:divBdr>
        </w:div>
        <w:div w:id="2102945799">
          <w:marLeft w:val="0"/>
          <w:marRight w:val="0"/>
          <w:marTop w:val="0"/>
          <w:marBottom w:val="0"/>
          <w:divBdr>
            <w:top w:val="none" w:sz="0" w:space="0" w:color="auto"/>
            <w:left w:val="none" w:sz="0" w:space="0" w:color="auto"/>
            <w:bottom w:val="none" w:sz="0" w:space="0" w:color="auto"/>
            <w:right w:val="none" w:sz="0" w:space="0" w:color="auto"/>
          </w:divBdr>
        </w:div>
        <w:div w:id="2103409220">
          <w:marLeft w:val="0"/>
          <w:marRight w:val="0"/>
          <w:marTop w:val="0"/>
          <w:marBottom w:val="0"/>
          <w:divBdr>
            <w:top w:val="none" w:sz="0" w:space="0" w:color="auto"/>
            <w:left w:val="none" w:sz="0" w:space="0" w:color="auto"/>
            <w:bottom w:val="none" w:sz="0" w:space="0" w:color="auto"/>
            <w:right w:val="none" w:sz="0" w:space="0" w:color="auto"/>
          </w:divBdr>
        </w:div>
        <w:div w:id="2104759064">
          <w:marLeft w:val="0"/>
          <w:marRight w:val="0"/>
          <w:marTop w:val="0"/>
          <w:marBottom w:val="0"/>
          <w:divBdr>
            <w:top w:val="none" w:sz="0" w:space="0" w:color="auto"/>
            <w:left w:val="none" w:sz="0" w:space="0" w:color="auto"/>
            <w:bottom w:val="none" w:sz="0" w:space="0" w:color="auto"/>
            <w:right w:val="none" w:sz="0" w:space="0" w:color="auto"/>
          </w:divBdr>
        </w:div>
        <w:div w:id="2105681882">
          <w:marLeft w:val="0"/>
          <w:marRight w:val="0"/>
          <w:marTop w:val="0"/>
          <w:marBottom w:val="0"/>
          <w:divBdr>
            <w:top w:val="none" w:sz="0" w:space="0" w:color="auto"/>
            <w:left w:val="none" w:sz="0" w:space="0" w:color="auto"/>
            <w:bottom w:val="none" w:sz="0" w:space="0" w:color="auto"/>
            <w:right w:val="none" w:sz="0" w:space="0" w:color="auto"/>
          </w:divBdr>
        </w:div>
        <w:div w:id="2110852264">
          <w:marLeft w:val="0"/>
          <w:marRight w:val="0"/>
          <w:marTop w:val="0"/>
          <w:marBottom w:val="0"/>
          <w:divBdr>
            <w:top w:val="none" w:sz="0" w:space="0" w:color="auto"/>
            <w:left w:val="none" w:sz="0" w:space="0" w:color="auto"/>
            <w:bottom w:val="none" w:sz="0" w:space="0" w:color="auto"/>
            <w:right w:val="none" w:sz="0" w:space="0" w:color="auto"/>
          </w:divBdr>
        </w:div>
        <w:div w:id="2112311535">
          <w:marLeft w:val="0"/>
          <w:marRight w:val="0"/>
          <w:marTop w:val="0"/>
          <w:marBottom w:val="0"/>
          <w:divBdr>
            <w:top w:val="none" w:sz="0" w:space="0" w:color="auto"/>
            <w:left w:val="none" w:sz="0" w:space="0" w:color="auto"/>
            <w:bottom w:val="none" w:sz="0" w:space="0" w:color="auto"/>
            <w:right w:val="none" w:sz="0" w:space="0" w:color="auto"/>
          </w:divBdr>
          <w:divsChild>
            <w:div w:id="48964104">
              <w:marLeft w:val="0"/>
              <w:marRight w:val="0"/>
              <w:marTop w:val="0"/>
              <w:marBottom w:val="0"/>
              <w:divBdr>
                <w:top w:val="none" w:sz="0" w:space="0" w:color="auto"/>
                <w:left w:val="none" w:sz="0" w:space="0" w:color="auto"/>
                <w:bottom w:val="none" w:sz="0" w:space="0" w:color="auto"/>
                <w:right w:val="none" w:sz="0" w:space="0" w:color="auto"/>
              </w:divBdr>
            </w:div>
            <w:div w:id="144394700">
              <w:marLeft w:val="0"/>
              <w:marRight w:val="0"/>
              <w:marTop w:val="0"/>
              <w:marBottom w:val="0"/>
              <w:divBdr>
                <w:top w:val="none" w:sz="0" w:space="0" w:color="auto"/>
                <w:left w:val="none" w:sz="0" w:space="0" w:color="auto"/>
                <w:bottom w:val="none" w:sz="0" w:space="0" w:color="auto"/>
                <w:right w:val="none" w:sz="0" w:space="0" w:color="auto"/>
              </w:divBdr>
            </w:div>
            <w:div w:id="196892799">
              <w:marLeft w:val="0"/>
              <w:marRight w:val="0"/>
              <w:marTop w:val="0"/>
              <w:marBottom w:val="0"/>
              <w:divBdr>
                <w:top w:val="none" w:sz="0" w:space="0" w:color="auto"/>
                <w:left w:val="none" w:sz="0" w:space="0" w:color="auto"/>
                <w:bottom w:val="none" w:sz="0" w:space="0" w:color="auto"/>
                <w:right w:val="none" w:sz="0" w:space="0" w:color="auto"/>
              </w:divBdr>
            </w:div>
            <w:div w:id="388572983">
              <w:marLeft w:val="0"/>
              <w:marRight w:val="0"/>
              <w:marTop w:val="0"/>
              <w:marBottom w:val="0"/>
              <w:divBdr>
                <w:top w:val="none" w:sz="0" w:space="0" w:color="auto"/>
                <w:left w:val="none" w:sz="0" w:space="0" w:color="auto"/>
                <w:bottom w:val="none" w:sz="0" w:space="0" w:color="auto"/>
                <w:right w:val="none" w:sz="0" w:space="0" w:color="auto"/>
              </w:divBdr>
            </w:div>
            <w:div w:id="413088515">
              <w:marLeft w:val="0"/>
              <w:marRight w:val="0"/>
              <w:marTop w:val="0"/>
              <w:marBottom w:val="0"/>
              <w:divBdr>
                <w:top w:val="none" w:sz="0" w:space="0" w:color="auto"/>
                <w:left w:val="none" w:sz="0" w:space="0" w:color="auto"/>
                <w:bottom w:val="none" w:sz="0" w:space="0" w:color="auto"/>
                <w:right w:val="none" w:sz="0" w:space="0" w:color="auto"/>
              </w:divBdr>
            </w:div>
            <w:div w:id="515847934">
              <w:marLeft w:val="0"/>
              <w:marRight w:val="0"/>
              <w:marTop w:val="0"/>
              <w:marBottom w:val="0"/>
              <w:divBdr>
                <w:top w:val="none" w:sz="0" w:space="0" w:color="auto"/>
                <w:left w:val="none" w:sz="0" w:space="0" w:color="auto"/>
                <w:bottom w:val="none" w:sz="0" w:space="0" w:color="auto"/>
                <w:right w:val="none" w:sz="0" w:space="0" w:color="auto"/>
              </w:divBdr>
            </w:div>
            <w:div w:id="629440511">
              <w:marLeft w:val="0"/>
              <w:marRight w:val="0"/>
              <w:marTop w:val="0"/>
              <w:marBottom w:val="0"/>
              <w:divBdr>
                <w:top w:val="none" w:sz="0" w:space="0" w:color="auto"/>
                <w:left w:val="none" w:sz="0" w:space="0" w:color="auto"/>
                <w:bottom w:val="none" w:sz="0" w:space="0" w:color="auto"/>
                <w:right w:val="none" w:sz="0" w:space="0" w:color="auto"/>
              </w:divBdr>
            </w:div>
            <w:div w:id="716661158">
              <w:marLeft w:val="0"/>
              <w:marRight w:val="0"/>
              <w:marTop w:val="0"/>
              <w:marBottom w:val="0"/>
              <w:divBdr>
                <w:top w:val="none" w:sz="0" w:space="0" w:color="auto"/>
                <w:left w:val="none" w:sz="0" w:space="0" w:color="auto"/>
                <w:bottom w:val="none" w:sz="0" w:space="0" w:color="auto"/>
                <w:right w:val="none" w:sz="0" w:space="0" w:color="auto"/>
              </w:divBdr>
            </w:div>
            <w:div w:id="770009170">
              <w:marLeft w:val="0"/>
              <w:marRight w:val="0"/>
              <w:marTop w:val="0"/>
              <w:marBottom w:val="0"/>
              <w:divBdr>
                <w:top w:val="none" w:sz="0" w:space="0" w:color="auto"/>
                <w:left w:val="none" w:sz="0" w:space="0" w:color="auto"/>
                <w:bottom w:val="none" w:sz="0" w:space="0" w:color="auto"/>
                <w:right w:val="none" w:sz="0" w:space="0" w:color="auto"/>
              </w:divBdr>
            </w:div>
            <w:div w:id="808548204">
              <w:marLeft w:val="0"/>
              <w:marRight w:val="0"/>
              <w:marTop w:val="0"/>
              <w:marBottom w:val="0"/>
              <w:divBdr>
                <w:top w:val="none" w:sz="0" w:space="0" w:color="auto"/>
                <w:left w:val="none" w:sz="0" w:space="0" w:color="auto"/>
                <w:bottom w:val="none" w:sz="0" w:space="0" w:color="auto"/>
                <w:right w:val="none" w:sz="0" w:space="0" w:color="auto"/>
              </w:divBdr>
            </w:div>
            <w:div w:id="863322781">
              <w:marLeft w:val="0"/>
              <w:marRight w:val="0"/>
              <w:marTop w:val="0"/>
              <w:marBottom w:val="0"/>
              <w:divBdr>
                <w:top w:val="none" w:sz="0" w:space="0" w:color="auto"/>
                <w:left w:val="none" w:sz="0" w:space="0" w:color="auto"/>
                <w:bottom w:val="none" w:sz="0" w:space="0" w:color="auto"/>
                <w:right w:val="none" w:sz="0" w:space="0" w:color="auto"/>
              </w:divBdr>
            </w:div>
            <w:div w:id="906763309">
              <w:marLeft w:val="0"/>
              <w:marRight w:val="0"/>
              <w:marTop w:val="0"/>
              <w:marBottom w:val="0"/>
              <w:divBdr>
                <w:top w:val="none" w:sz="0" w:space="0" w:color="auto"/>
                <w:left w:val="none" w:sz="0" w:space="0" w:color="auto"/>
                <w:bottom w:val="none" w:sz="0" w:space="0" w:color="auto"/>
                <w:right w:val="none" w:sz="0" w:space="0" w:color="auto"/>
              </w:divBdr>
            </w:div>
            <w:div w:id="1041903393">
              <w:marLeft w:val="0"/>
              <w:marRight w:val="0"/>
              <w:marTop w:val="0"/>
              <w:marBottom w:val="0"/>
              <w:divBdr>
                <w:top w:val="none" w:sz="0" w:space="0" w:color="auto"/>
                <w:left w:val="none" w:sz="0" w:space="0" w:color="auto"/>
                <w:bottom w:val="none" w:sz="0" w:space="0" w:color="auto"/>
                <w:right w:val="none" w:sz="0" w:space="0" w:color="auto"/>
              </w:divBdr>
            </w:div>
            <w:div w:id="1175416404">
              <w:marLeft w:val="0"/>
              <w:marRight w:val="0"/>
              <w:marTop w:val="0"/>
              <w:marBottom w:val="0"/>
              <w:divBdr>
                <w:top w:val="none" w:sz="0" w:space="0" w:color="auto"/>
                <w:left w:val="none" w:sz="0" w:space="0" w:color="auto"/>
                <w:bottom w:val="none" w:sz="0" w:space="0" w:color="auto"/>
                <w:right w:val="none" w:sz="0" w:space="0" w:color="auto"/>
              </w:divBdr>
            </w:div>
            <w:div w:id="1275331691">
              <w:marLeft w:val="0"/>
              <w:marRight w:val="0"/>
              <w:marTop w:val="0"/>
              <w:marBottom w:val="0"/>
              <w:divBdr>
                <w:top w:val="none" w:sz="0" w:space="0" w:color="auto"/>
                <w:left w:val="none" w:sz="0" w:space="0" w:color="auto"/>
                <w:bottom w:val="none" w:sz="0" w:space="0" w:color="auto"/>
                <w:right w:val="none" w:sz="0" w:space="0" w:color="auto"/>
              </w:divBdr>
            </w:div>
            <w:div w:id="1436249234">
              <w:marLeft w:val="0"/>
              <w:marRight w:val="0"/>
              <w:marTop w:val="0"/>
              <w:marBottom w:val="0"/>
              <w:divBdr>
                <w:top w:val="none" w:sz="0" w:space="0" w:color="auto"/>
                <w:left w:val="none" w:sz="0" w:space="0" w:color="auto"/>
                <w:bottom w:val="none" w:sz="0" w:space="0" w:color="auto"/>
                <w:right w:val="none" w:sz="0" w:space="0" w:color="auto"/>
              </w:divBdr>
            </w:div>
            <w:div w:id="1907033821">
              <w:marLeft w:val="0"/>
              <w:marRight w:val="0"/>
              <w:marTop w:val="0"/>
              <w:marBottom w:val="0"/>
              <w:divBdr>
                <w:top w:val="none" w:sz="0" w:space="0" w:color="auto"/>
                <w:left w:val="none" w:sz="0" w:space="0" w:color="auto"/>
                <w:bottom w:val="none" w:sz="0" w:space="0" w:color="auto"/>
                <w:right w:val="none" w:sz="0" w:space="0" w:color="auto"/>
              </w:divBdr>
            </w:div>
            <w:div w:id="2013675923">
              <w:marLeft w:val="0"/>
              <w:marRight w:val="0"/>
              <w:marTop w:val="0"/>
              <w:marBottom w:val="0"/>
              <w:divBdr>
                <w:top w:val="none" w:sz="0" w:space="0" w:color="auto"/>
                <w:left w:val="none" w:sz="0" w:space="0" w:color="auto"/>
                <w:bottom w:val="none" w:sz="0" w:space="0" w:color="auto"/>
                <w:right w:val="none" w:sz="0" w:space="0" w:color="auto"/>
              </w:divBdr>
            </w:div>
            <w:div w:id="2117141354">
              <w:marLeft w:val="0"/>
              <w:marRight w:val="0"/>
              <w:marTop w:val="0"/>
              <w:marBottom w:val="0"/>
              <w:divBdr>
                <w:top w:val="none" w:sz="0" w:space="0" w:color="auto"/>
                <w:left w:val="none" w:sz="0" w:space="0" w:color="auto"/>
                <w:bottom w:val="none" w:sz="0" w:space="0" w:color="auto"/>
                <w:right w:val="none" w:sz="0" w:space="0" w:color="auto"/>
              </w:divBdr>
            </w:div>
          </w:divsChild>
        </w:div>
        <w:div w:id="2116821236">
          <w:marLeft w:val="0"/>
          <w:marRight w:val="0"/>
          <w:marTop w:val="0"/>
          <w:marBottom w:val="0"/>
          <w:divBdr>
            <w:top w:val="none" w:sz="0" w:space="0" w:color="auto"/>
            <w:left w:val="none" w:sz="0" w:space="0" w:color="auto"/>
            <w:bottom w:val="none" w:sz="0" w:space="0" w:color="auto"/>
            <w:right w:val="none" w:sz="0" w:space="0" w:color="auto"/>
          </w:divBdr>
        </w:div>
        <w:div w:id="2117669465">
          <w:marLeft w:val="0"/>
          <w:marRight w:val="0"/>
          <w:marTop w:val="0"/>
          <w:marBottom w:val="0"/>
          <w:divBdr>
            <w:top w:val="none" w:sz="0" w:space="0" w:color="auto"/>
            <w:left w:val="none" w:sz="0" w:space="0" w:color="auto"/>
            <w:bottom w:val="none" w:sz="0" w:space="0" w:color="auto"/>
            <w:right w:val="none" w:sz="0" w:space="0" w:color="auto"/>
          </w:divBdr>
        </w:div>
        <w:div w:id="2121291583">
          <w:marLeft w:val="0"/>
          <w:marRight w:val="0"/>
          <w:marTop w:val="0"/>
          <w:marBottom w:val="0"/>
          <w:divBdr>
            <w:top w:val="none" w:sz="0" w:space="0" w:color="auto"/>
            <w:left w:val="none" w:sz="0" w:space="0" w:color="auto"/>
            <w:bottom w:val="none" w:sz="0" w:space="0" w:color="auto"/>
            <w:right w:val="none" w:sz="0" w:space="0" w:color="auto"/>
          </w:divBdr>
        </w:div>
        <w:div w:id="2121562202">
          <w:marLeft w:val="0"/>
          <w:marRight w:val="0"/>
          <w:marTop w:val="0"/>
          <w:marBottom w:val="0"/>
          <w:divBdr>
            <w:top w:val="none" w:sz="0" w:space="0" w:color="auto"/>
            <w:left w:val="none" w:sz="0" w:space="0" w:color="auto"/>
            <w:bottom w:val="none" w:sz="0" w:space="0" w:color="auto"/>
            <w:right w:val="none" w:sz="0" w:space="0" w:color="auto"/>
          </w:divBdr>
        </w:div>
        <w:div w:id="2122409641">
          <w:marLeft w:val="0"/>
          <w:marRight w:val="0"/>
          <w:marTop w:val="0"/>
          <w:marBottom w:val="0"/>
          <w:divBdr>
            <w:top w:val="none" w:sz="0" w:space="0" w:color="auto"/>
            <w:left w:val="none" w:sz="0" w:space="0" w:color="auto"/>
            <w:bottom w:val="none" w:sz="0" w:space="0" w:color="auto"/>
            <w:right w:val="none" w:sz="0" w:space="0" w:color="auto"/>
          </w:divBdr>
        </w:div>
        <w:div w:id="2122604270">
          <w:marLeft w:val="0"/>
          <w:marRight w:val="0"/>
          <w:marTop w:val="0"/>
          <w:marBottom w:val="0"/>
          <w:divBdr>
            <w:top w:val="none" w:sz="0" w:space="0" w:color="auto"/>
            <w:left w:val="none" w:sz="0" w:space="0" w:color="auto"/>
            <w:bottom w:val="none" w:sz="0" w:space="0" w:color="auto"/>
            <w:right w:val="none" w:sz="0" w:space="0" w:color="auto"/>
          </w:divBdr>
        </w:div>
        <w:div w:id="2122651239">
          <w:marLeft w:val="0"/>
          <w:marRight w:val="0"/>
          <w:marTop w:val="0"/>
          <w:marBottom w:val="0"/>
          <w:divBdr>
            <w:top w:val="none" w:sz="0" w:space="0" w:color="auto"/>
            <w:left w:val="none" w:sz="0" w:space="0" w:color="auto"/>
            <w:bottom w:val="none" w:sz="0" w:space="0" w:color="auto"/>
            <w:right w:val="none" w:sz="0" w:space="0" w:color="auto"/>
          </w:divBdr>
        </w:div>
        <w:div w:id="2124691301">
          <w:marLeft w:val="0"/>
          <w:marRight w:val="0"/>
          <w:marTop w:val="0"/>
          <w:marBottom w:val="0"/>
          <w:divBdr>
            <w:top w:val="none" w:sz="0" w:space="0" w:color="auto"/>
            <w:left w:val="none" w:sz="0" w:space="0" w:color="auto"/>
            <w:bottom w:val="none" w:sz="0" w:space="0" w:color="auto"/>
            <w:right w:val="none" w:sz="0" w:space="0" w:color="auto"/>
          </w:divBdr>
        </w:div>
        <w:div w:id="2125734644">
          <w:marLeft w:val="0"/>
          <w:marRight w:val="0"/>
          <w:marTop w:val="0"/>
          <w:marBottom w:val="0"/>
          <w:divBdr>
            <w:top w:val="none" w:sz="0" w:space="0" w:color="auto"/>
            <w:left w:val="none" w:sz="0" w:space="0" w:color="auto"/>
            <w:bottom w:val="none" w:sz="0" w:space="0" w:color="auto"/>
            <w:right w:val="none" w:sz="0" w:space="0" w:color="auto"/>
          </w:divBdr>
        </w:div>
        <w:div w:id="2128503643">
          <w:marLeft w:val="0"/>
          <w:marRight w:val="0"/>
          <w:marTop w:val="0"/>
          <w:marBottom w:val="0"/>
          <w:divBdr>
            <w:top w:val="none" w:sz="0" w:space="0" w:color="auto"/>
            <w:left w:val="none" w:sz="0" w:space="0" w:color="auto"/>
            <w:bottom w:val="none" w:sz="0" w:space="0" w:color="auto"/>
            <w:right w:val="none" w:sz="0" w:space="0" w:color="auto"/>
          </w:divBdr>
        </w:div>
        <w:div w:id="2129153071">
          <w:marLeft w:val="0"/>
          <w:marRight w:val="0"/>
          <w:marTop w:val="0"/>
          <w:marBottom w:val="0"/>
          <w:divBdr>
            <w:top w:val="none" w:sz="0" w:space="0" w:color="auto"/>
            <w:left w:val="none" w:sz="0" w:space="0" w:color="auto"/>
            <w:bottom w:val="none" w:sz="0" w:space="0" w:color="auto"/>
            <w:right w:val="none" w:sz="0" w:space="0" w:color="auto"/>
          </w:divBdr>
        </w:div>
        <w:div w:id="2130006463">
          <w:marLeft w:val="0"/>
          <w:marRight w:val="0"/>
          <w:marTop w:val="0"/>
          <w:marBottom w:val="0"/>
          <w:divBdr>
            <w:top w:val="none" w:sz="0" w:space="0" w:color="auto"/>
            <w:left w:val="none" w:sz="0" w:space="0" w:color="auto"/>
            <w:bottom w:val="none" w:sz="0" w:space="0" w:color="auto"/>
            <w:right w:val="none" w:sz="0" w:space="0" w:color="auto"/>
          </w:divBdr>
        </w:div>
        <w:div w:id="2130392228">
          <w:marLeft w:val="0"/>
          <w:marRight w:val="0"/>
          <w:marTop w:val="0"/>
          <w:marBottom w:val="0"/>
          <w:divBdr>
            <w:top w:val="none" w:sz="0" w:space="0" w:color="auto"/>
            <w:left w:val="none" w:sz="0" w:space="0" w:color="auto"/>
            <w:bottom w:val="none" w:sz="0" w:space="0" w:color="auto"/>
            <w:right w:val="none" w:sz="0" w:space="0" w:color="auto"/>
          </w:divBdr>
        </w:div>
        <w:div w:id="2130929795">
          <w:marLeft w:val="0"/>
          <w:marRight w:val="0"/>
          <w:marTop w:val="0"/>
          <w:marBottom w:val="0"/>
          <w:divBdr>
            <w:top w:val="none" w:sz="0" w:space="0" w:color="auto"/>
            <w:left w:val="none" w:sz="0" w:space="0" w:color="auto"/>
            <w:bottom w:val="none" w:sz="0" w:space="0" w:color="auto"/>
            <w:right w:val="none" w:sz="0" w:space="0" w:color="auto"/>
          </w:divBdr>
        </w:div>
        <w:div w:id="2132629856">
          <w:marLeft w:val="0"/>
          <w:marRight w:val="0"/>
          <w:marTop w:val="0"/>
          <w:marBottom w:val="0"/>
          <w:divBdr>
            <w:top w:val="none" w:sz="0" w:space="0" w:color="auto"/>
            <w:left w:val="none" w:sz="0" w:space="0" w:color="auto"/>
            <w:bottom w:val="none" w:sz="0" w:space="0" w:color="auto"/>
            <w:right w:val="none" w:sz="0" w:space="0" w:color="auto"/>
          </w:divBdr>
        </w:div>
        <w:div w:id="2133405533">
          <w:marLeft w:val="0"/>
          <w:marRight w:val="0"/>
          <w:marTop w:val="0"/>
          <w:marBottom w:val="0"/>
          <w:divBdr>
            <w:top w:val="none" w:sz="0" w:space="0" w:color="auto"/>
            <w:left w:val="none" w:sz="0" w:space="0" w:color="auto"/>
            <w:bottom w:val="none" w:sz="0" w:space="0" w:color="auto"/>
            <w:right w:val="none" w:sz="0" w:space="0" w:color="auto"/>
          </w:divBdr>
        </w:div>
        <w:div w:id="2133938535">
          <w:marLeft w:val="0"/>
          <w:marRight w:val="0"/>
          <w:marTop w:val="0"/>
          <w:marBottom w:val="0"/>
          <w:divBdr>
            <w:top w:val="none" w:sz="0" w:space="0" w:color="auto"/>
            <w:left w:val="none" w:sz="0" w:space="0" w:color="auto"/>
            <w:bottom w:val="none" w:sz="0" w:space="0" w:color="auto"/>
            <w:right w:val="none" w:sz="0" w:space="0" w:color="auto"/>
          </w:divBdr>
        </w:div>
        <w:div w:id="2135516435">
          <w:marLeft w:val="0"/>
          <w:marRight w:val="0"/>
          <w:marTop w:val="0"/>
          <w:marBottom w:val="0"/>
          <w:divBdr>
            <w:top w:val="none" w:sz="0" w:space="0" w:color="auto"/>
            <w:left w:val="none" w:sz="0" w:space="0" w:color="auto"/>
            <w:bottom w:val="none" w:sz="0" w:space="0" w:color="auto"/>
            <w:right w:val="none" w:sz="0" w:space="0" w:color="auto"/>
          </w:divBdr>
        </w:div>
        <w:div w:id="2139837022">
          <w:marLeft w:val="0"/>
          <w:marRight w:val="0"/>
          <w:marTop w:val="0"/>
          <w:marBottom w:val="0"/>
          <w:divBdr>
            <w:top w:val="none" w:sz="0" w:space="0" w:color="auto"/>
            <w:left w:val="none" w:sz="0" w:space="0" w:color="auto"/>
            <w:bottom w:val="none" w:sz="0" w:space="0" w:color="auto"/>
            <w:right w:val="none" w:sz="0" w:space="0" w:color="auto"/>
          </w:divBdr>
        </w:div>
        <w:div w:id="2141146926">
          <w:marLeft w:val="0"/>
          <w:marRight w:val="0"/>
          <w:marTop w:val="0"/>
          <w:marBottom w:val="0"/>
          <w:divBdr>
            <w:top w:val="none" w:sz="0" w:space="0" w:color="auto"/>
            <w:left w:val="none" w:sz="0" w:space="0" w:color="auto"/>
            <w:bottom w:val="none" w:sz="0" w:space="0" w:color="auto"/>
            <w:right w:val="none" w:sz="0" w:space="0" w:color="auto"/>
          </w:divBdr>
        </w:div>
        <w:div w:id="2144885978">
          <w:marLeft w:val="0"/>
          <w:marRight w:val="0"/>
          <w:marTop w:val="0"/>
          <w:marBottom w:val="0"/>
          <w:divBdr>
            <w:top w:val="none" w:sz="0" w:space="0" w:color="auto"/>
            <w:left w:val="none" w:sz="0" w:space="0" w:color="auto"/>
            <w:bottom w:val="none" w:sz="0" w:space="0" w:color="auto"/>
            <w:right w:val="none" w:sz="0" w:space="0" w:color="auto"/>
          </w:divBdr>
          <w:divsChild>
            <w:div w:id="5400225">
              <w:marLeft w:val="0"/>
              <w:marRight w:val="0"/>
              <w:marTop w:val="0"/>
              <w:marBottom w:val="0"/>
              <w:divBdr>
                <w:top w:val="none" w:sz="0" w:space="0" w:color="auto"/>
                <w:left w:val="none" w:sz="0" w:space="0" w:color="auto"/>
                <w:bottom w:val="none" w:sz="0" w:space="0" w:color="auto"/>
                <w:right w:val="none" w:sz="0" w:space="0" w:color="auto"/>
              </w:divBdr>
            </w:div>
            <w:div w:id="36011948">
              <w:marLeft w:val="0"/>
              <w:marRight w:val="0"/>
              <w:marTop w:val="0"/>
              <w:marBottom w:val="0"/>
              <w:divBdr>
                <w:top w:val="none" w:sz="0" w:space="0" w:color="auto"/>
                <w:left w:val="none" w:sz="0" w:space="0" w:color="auto"/>
                <w:bottom w:val="none" w:sz="0" w:space="0" w:color="auto"/>
                <w:right w:val="none" w:sz="0" w:space="0" w:color="auto"/>
              </w:divBdr>
            </w:div>
            <w:div w:id="39936470">
              <w:marLeft w:val="0"/>
              <w:marRight w:val="0"/>
              <w:marTop w:val="0"/>
              <w:marBottom w:val="0"/>
              <w:divBdr>
                <w:top w:val="none" w:sz="0" w:space="0" w:color="auto"/>
                <w:left w:val="none" w:sz="0" w:space="0" w:color="auto"/>
                <w:bottom w:val="none" w:sz="0" w:space="0" w:color="auto"/>
                <w:right w:val="none" w:sz="0" w:space="0" w:color="auto"/>
              </w:divBdr>
            </w:div>
            <w:div w:id="182792703">
              <w:marLeft w:val="0"/>
              <w:marRight w:val="0"/>
              <w:marTop w:val="0"/>
              <w:marBottom w:val="0"/>
              <w:divBdr>
                <w:top w:val="none" w:sz="0" w:space="0" w:color="auto"/>
                <w:left w:val="none" w:sz="0" w:space="0" w:color="auto"/>
                <w:bottom w:val="none" w:sz="0" w:space="0" w:color="auto"/>
                <w:right w:val="none" w:sz="0" w:space="0" w:color="auto"/>
              </w:divBdr>
            </w:div>
            <w:div w:id="207963085">
              <w:marLeft w:val="0"/>
              <w:marRight w:val="0"/>
              <w:marTop w:val="0"/>
              <w:marBottom w:val="0"/>
              <w:divBdr>
                <w:top w:val="none" w:sz="0" w:space="0" w:color="auto"/>
                <w:left w:val="none" w:sz="0" w:space="0" w:color="auto"/>
                <w:bottom w:val="none" w:sz="0" w:space="0" w:color="auto"/>
                <w:right w:val="none" w:sz="0" w:space="0" w:color="auto"/>
              </w:divBdr>
            </w:div>
            <w:div w:id="368802570">
              <w:marLeft w:val="0"/>
              <w:marRight w:val="0"/>
              <w:marTop w:val="0"/>
              <w:marBottom w:val="0"/>
              <w:divBdr>
                <w:top w:val="none" w:sz="0" w:space="0" w:color="auto"/>
                <w:left w:val="none" w:sz="0" w:space="0" w:color="auto"/>
                <w:bottom w:val="none" w:sz="0" w:space="0" w:color="auto"/>
                <w:right w:val="none" w:sz="0" w:space="0" w:color="auto"/>
              </w:divBdr>
            </w:div>
            <w:div w:id="509636952">
              <w:marLeft w:val="0"/>
              <w:marRight w:val="0"/>
              <w:marTop w:val="0"/>
              <w:marBottom w:val="0"/>
              <w:divBdr>
                <w:top w:val="none" w:sz="0" w:space="0" w:color="auto"/>
                <w:left w:val="none" w:sz="0" w:space="0" w:color="auto"/>
                <w:bottom w:val="none" w:sz="0" w:space="0" w:color="auto"/>
                <w:right w:val="none" w:sz="0" w:space="0" w:color="auto"/>
              </w:divBdr>
            </w:div>
            <w:div w:id="682822233">
              <w:marLeft w:val="0"/>
              <w:marRight w:val="0"/>
              <w:marTop w:val="0"/>
              <w:marBottom w:val="0"/>
              <w:divBdr>
                <w:top w:val="none" w:sz="0" w:space="0" w:color="auto"/>
                <w:left w:val="none" w:sz="0" w:space="0" w:color="auto"/>
                <w:bottom w:val="none" w:sz="0" w:space="0" w:color="auto"/>
                <w:right w:val="none" w:sz="0" w:space="0" w:color="auto"/>
              </w:divBdr>
            </w:div>
            <w:div w:id="707295928">
              <w:marLeft w:val="0"/>
              <w:marRight w:val="0"/>
              <w:marTop w:val="0"/>
              <w:marBottom w:val="0"/>
              <w:divBdr>
                <w:top w:val="none" w:sz="0" w:space="0" w:color="auto"/>
                <w:left w:val="none" w:sz="0" w:space="0" w:color="auto"/>
                <w:bottom w:val="none" w:sz="0" w:space="0" w:color="auto"/>
                <w:right w:val="none" w:sz="0" w:space="0" w:color="auto"/>
              </w:divBdr>
            </w:div>
            <w:div w:id="868224679">
              <w:marLeft w:val="0"/>
              <w:marRight w:val="0"/>
              <w:marTop w:val="0"/>
              <w:marBottom w:val="0"/>
              <w:divBdr>
                <w:top w:val="none" w:sz="0" w:space="0" w:color="auto"/>
                <w:left w:val="none" w:sz="0" w:space="0" w:color="auto"/>
                <w:bottom w:val="none" w:sz="0" w:space="0" w:color="auto"/>
                <w:right w:val="none" w:sz="0" w:space="0" w:color="auto"/>
              </w:divBdr>
            </w:div>
            <w:div w:id="899361111">
              <w:marLeft w:val="0"/>
              <w:marRight w:val="0"/>
              <w:marTop w:val="0"/>
              <w:marBottom w:val="0"/>
              <w:divBdr>
                <w:top w:val="none" w:sz="0" w:space="0" w:color="auto"/>
                <w:left w:val="none" w:sz="0" w:space="0" w:color="auto"/>
                <w:bottom w:val="none" w:sz="0" w:space="0" w:color="auto"/>
                <w:right w:val="none" w:sz="0" w:space="0" w:color="auto"/>
              </w:divBdr>
            </w:div>
            <w:div w:id="1498375266">
              <w:marLeft w:val="0"/>
              <w:marRight w:val="0"/>
              <w:marTop w:val="0"/>
              <w:marBottom w:val="0"/>
              <w:divBdr>
                <w:top w:val="none" w:sz="0" w:space="0" w:color="auto"/>
                <w:left w:val="none" w:sz="0" w:space="0" w:color="auto"/>
                <w:bottom w:val="none" w:sz="0" w:space="0" w:color="auto"/>
                <w:right w:val="none" w:sz="0" w:space="0" w:color="auto"/>
              </w:divBdr>
            </w:div>
            <w:div w:id="1587690315">
              <w:marLeft w:val="0"/>
              <w:marRight w:val="0"/>
              <w:marTop w:val="0"/>
              <w:marBottom w:val="0"/>
              <w:divBdr>
                <w:top w:val="none" w:sz="0" w:space="0" w:color="auto"/>
                <w:left w:val="none" w:sz="0" w:space="0" w:color="auto"/>
                <w:bottom w:val="none" w:sz="0" w:space="0" w:color="auto"/>
                <w:right w:val="none" w:sz="0" w:space="0" w:color="auto"/>
              </w:divBdr>
            </w:div>
            <w:div w:id="1647080269">
              <w:marLeft w:val="0"/>
              <w:marRight w:val="0"/>
              <w:marTop w:val="0"/>
              <w:marBottom w:val="0"/>
              <w:divBdr>
                <w:top w:val="none" w:sz="0" w:space="0" w:color="auto"/>
                <w:left w:val="none" w:sz="0" w:space="0" w:color="auto"/>
                <w:bottom w:val="none" w:sz="0" w:space="0" w:color="auto"/>
                <w:right w:val="none" w:sz="0" w:space="0" w:color="auto"/>
              </w:divBdr>
            </w:div>
            <w:div w:id="1675649968">
              <w:marLeft w:val="0"/>
              <w:marRight w:val="0"/>
              <w:marTop w:val="0"/>
              <w:marBottom w:val="0"/>
              <w:divBdr>
                <w:top w:val="none" w:sz="0" w:space="0" w:color="auto"/>
                <w:left w:val="none" w:sz="0" w:space="0" w:color="auto"/>
                <w:bottom w:val="none" w:sz="0" w:space="0" w:color="auto"/>
                <w:right w:val="none" w:sz="0" w:space="0" w:color="auto"/>
              </w:divBdr>
            </w:div>
            <w:div w:id="1891577876">
              <w:marLeft w:val="0"/>
              <w:marRight w:val="0"/>
              <w:marTop w:val="0"/>
              <w:marBottom w:val="0"/>
              <w:divBdr>
                <w:top w:val="none" w:sz="0" w:space="0" w:color="auto"/>
                <w:left w:val="none" w:sz="0" w:space="0" w:color="auto"/>
                <w:bottom w:val="none" w:sz="0" w:space="0" w:color="auto"/>
                <w:right w:val="none" w:sz="0" w:space="0" w:color="auto"/>
              </w:divBdr>
            </w:div>
            <w:div w:id="1994600341">
              <w:marLeft w:val="0"/>
              <w:marRight w:val="0"/>
              <w:marTop w:val="0"/>
              <w:marBottom w:val="0"/>
              <w:divBdr>
                <w:top w:val="none" w:sz="0" w:space="0" w:color="auto"/>
                <w:left w:val="none" w:sz="0" w:space="0" w:color="auto"/>
                <w:bottom w:val="none" w:sz="0" w:space="0" w:color="auto"/>
                <w:right w:val="none" w:sz="0" w:space="0" w:color="auto"/>
              </w:divBdr>
            </w:div>
            <w:div w:id="2012218074">
              <w:marLeft w:val="0"/>
              <w:marRight w:val="0"/>
              <w:marTop w:val="0"/>
              <w:marBottom w:val="0"/>
              <w:divBdr>
                <w:top w:val="none" w:sz="0" w:space="0" w:color="auto"/>
                <w:left w:val="none" w:sz="0" w:space="0" w:color="auto"/>
                <w:bottom w:val="none" w:sz="0" w:space="0" w:color="auto"/>
                <w:right w:val="none" w:sz="0" w:space="0" w:color="auto"/>
              </w:divBdr>
            </w:div>
            <w:div w:id="2060981253">
              <w:marLeft w:val="0"/>
              <w:marRight w:val="0"/>
              <w:marTop w:val="0"/>
              <w:marBottom w:val="0"/>
              <w:divBdr>
                <w:top w:val="none" w:sz="0" w:space="0" w:color="auto"/>
                <w:left w:val="none" w:sz="0" w:space="0" w:color="auto"/>
                <w:bottom w:val="none" w:sz="0" w:space="0" w:color="auto"/>
                <w:right w:val="none" w:sz="0" w:space="0" w:color="auto"/>
              </w:divBdr>
            </w:div>
            <w:div w:id="2117938928">
              <w:marLeft w:val="0"/>
              <w:marRight w:val="0"/>
              <w:marTop w:val="0"/>
              <w:marBottom w:val="0"/>
              <w:divBdr>
                <w:top w:val="none" w:sz="0" w:space="0" w:color="auto"/>
                <w:left w:val="none" w:sz="0" w:space="0" w:color="auto"/>
                <w:bottom w:val="none" w:sz="0" w:space="0" w:color="auto"/>
                <w:right w:val="none" w:sz="0" w:space="0" w:color="auto"/>
              </w:divBdr>
            </w:div>
            <w:div w:id="2135059150">
              <w:marLeft w:val="0"/>
              <w:marRight w:val="0"/>
              <w:marTop w:val="0"/>
              <w:marBottom w:val="0"/>
              <w:divBdr>
                <w:top w:val="none" w:sz="0" w:space="0" w:color="auto"/>
                <w:left w:val="none" w:sz="0" w:space="0" w:color="auto"/>
                <w:bottom w:val="none" w:sz="0" w:space="0" w:color="auto"/>
                <w:right w:val="none" w:sz="0" w:space="0" w:color="auto"/>
              </w:divBdr>
            </w:div>
          </w:divsChild>
        </w:div>
        <w:div w:id="2146120143">
          <w:marLeft w:val="0"/>
          <w:marRight w:val="0"/>
          <w:marTop w:val="0"/>
          <w:marBottom w:val="0"/>
          <w:divBdr>
            <w:top w:val="none" w:sz="0" w:space="0" w:color="auto"/>
            <w:left w:val="none" w:sz="0" w:space="0" w:color="auto"/>
            <w:bottom w:val="none" w:sz="0" w:space="0" w:color="auto"/>
            <w:right w:val="none" w:sz="0" w:space="0" w:color="auto"/>
          </w:divBdr>
        </w:div>
        <w:div w:id="2146463205">
          <w:marLeft w:val="0"/>
          <w:marRight w:val="0"/>
          <w:marTop w:val="0"/>
          <w:marBottom w:val="0"/>
          <w:divBdr>
            <w:top w:val="none" w:sz="0" w:space="0" w:color="auto"/>
            <w:left w:val="none" w:sz="0" w:space="0" w:color="auto"/>
            <w:bottom w:val="none" w:sz="0" w:space="0" w:color="auto"/>
            <w:right w:val="none" w:sz="0" w:space="0" w:color="auto"/>
          </w:divBdr>
        </w:div>
      </w:divsChild>
    </w:div>
    <w:div w:id="1697533770">
      <w:bodyDiv w:val="1"/>
      <w:marLeft w:val="0"/>
      <w:marRight w:val="0"/>
      <w:marTop w:val="0"/>
      <w:marBottom w:val="0"/>
      <w:divBdr>
        <w:top w:val="none" w:sz="0" w:space="0" w:color="auto"/>
        <w:left w:val="none" w:sz="0" w:space="0" w:color="auto"/>
        <w:bottom w:val="none" w:sz="0" w:space="0" w:color="auto"/>
        <w:right w:val="none" w:sz="0" w:space="0" w:color="auto"/>
      </w:divBdr>
    </w:div>
    <w:div w:id="1704096049">
      <w:bodyDiv w:val="1"/>
      <w:marLeft w:val="0"/>
      <w:marRight w:val="0"/>
      <w:marTop w:val="0"/>
      <w:marBottom w:val="0"/>
      <w:divBdr>
        <w:top w:val="none" w:sz="0" w:space="0" w:color="auto"/>
        <w:left w:val="none" w:sz="0" w:space="0" w:color="auto"/>
        <w:bottom w:val="none" w:sz="0" w:space="0" w:color="auto"/>
        <w:right w:val="none" w:sz="0" w:space="0" w:color="auto"/>
      </w:divBdr>
      <w:divsChild>
        <w:div w:id="58676133">
          <w:marLeft w:val="0"/>
          <w:marRight w:val="0"/>
          <w:marTop w:val="0"/>
          <w:marBottom w:val="0"/>
          <w:divBdr>
            <w:top w:val="none" w:sz="0" w:space="0" w:color="auto"/>
            <w:left w:val="none" w:sz="0" w:space="0" w:color="auto"/>
            <w:bottom w:val="none" w:sz="0" w:space="0" w:color="auto"/>
            <w:right w:val="none" w:sz="0" w:space="0" w:color="auto"/>
          </w:divBdr>
        </w:div>
        <w:div w:id="116487933">
          <w:marLeft w:val="0"/>
          <w:marRight w:val="0"/>
          <w:marTop w:val="0"/>
          <w:marBottom w:val="0"/>
          <w:divBdr>
            <w:top w:val="none" w:sz="0" w:space="0" w:color="auto"/>
            <w:left w:val="none" w:sz="0" w:space="0" w:color="auto"/>
            <w:bottom w:val="none" w:sz="0" w:space="0" w:color="auto"/>
            <w:right w:val="none" w:sz="0" w:space="0" w:color="auto"/>
          </w:divBdr>
        </w:div>
        <w:div w:id="248973663">
          <w:marLeft w:val="0"/>
          <w:marRight w:val="0"/>
          <w:marTop w:val="0"/>
          <w:marBottom w:val="0"/>
          <w:divBdr>
            <w:top w:val="none" w:sz="0" w:space="0" w:color="auto"/>
            <w:left w:val="none" w:sz="0" w:space="0" w:color="auto"/>
            <w:bottom w:val="none" w:sz="0" w:space="0" w:color="auto"/>
            <w:right w:val="none" w:sz="0" w:space="0" w:color="auto"/>
          </w:divBdr>
        </w:div>
        <w:div w:id="708144625">
          <w:marLeft w:val="0"/>
          <w:marRight w:val="0"/>
          <w:marTop w:val="0"/>
          <w:marBottom w:val="0"/>
          <w:divBdr>
            <w:top w:val="none" w:sz="0" w:space="0" w:color="auto"/>
            <w:left w:val="none" w:sz="0" w:space="0" w:color="auto"/>
            <w:bottom w:val="none" w:sz="0" w:space="0" w:color="auto"/>
            <w:right w:val="none" w:sz="0" w:space="0" w:color="auto"/>
          </w:divBdr>
        </w:div>
        <w:div w:id="1565529562">
          <w:marLeft w:val="0"/>
          <w:marRight w:val="0"/>
          <w:marTop w:val="0"/>
          <w:marBottom w:val="0"/>
          <w:divBdr>
            <w:top w:val="none" w:sz="0" w:space="0" w:color="auto"/>
            <w:left w:val="none" w:sz="0" w:space="0" w:color="auto"/>
            <w:bottom w:val="none" w:sz="0" w:space="0" w:color="auto"/>
            <w:right w:val="none" w:sz="0" w:space="0" w:color="auto"/>
          </w:divBdr>
        </w:div>
        <w:div w:id="1622568053">
          <w:marLeft w:val="0"/>
          <w:marRight w:val="0"/>
          <w:marTop w:val="0"/>
          <w:marBottom w:val="0"/>
          <w:divBdr>
            <w:top w:val="none" w:sz="0" w:space="0" w:color="auto"/>
            <w:left w:val="none" w:sz="0" w:space="0" w:color="auto"/>
            <w:bottom w:val="none" w:sz="0" w:space="0" w:color="auto"/>
            <w:right w:val="none" w:sz="0" w:space="0" w:color="auto"/>
          </w:divBdr>
        </w:div>
        <w:div w:id="1639992111">
          <w:marLeft w:val="0"/>
          <w:marRight w:val="0"/>
          <w:marTop w:val="0"/>
          <w:marBottom w:val="0"/>
          <w:divBdr>
            <w:top w:val="none" w:sz="0" w:space="0" w:color="auto"/>
            <w:left w:val="none" w:sz="0" w:space="0" w:color="auto"/>
            <w:bottom w:val="none" w:sz="0" w:space="0" w:color="auto"/>
            <w:right w:val="none" w:sz="0" w:space="0" w:color="auto"/>
          </w:divBdr>
        </w:div>
        <w:div w:id="1718896436">
          <w:marLeft w:val="0"/>
          <w:marRight w:val="0"/>
          <w:marTop w:val="0"/>
          <w:marBottom w:val="0"/>
          <w:divBdr>
            <w:top w:val="none" w:sz="0" w:space="0" w:color="auto"/>
            <w:left w:val="none" w:sz="0" w:space="0" w:color="auto"/>
            <w:bottom w:val="none" w:sz="0" w:space="0" w:color="auto"/>
            <w:right w:val="none" w:sz="0" w:space="0" w:color="auto"/>
          </w:divBdr>
        </w:div>
        <w:div w:id="1731688426">
          <w:marLeft w:val="0"/>
          <w:marRight w:val="0"/>
          <w:marTop w:val="0"/>
          <w:marBottom w:val="0"/>
          <w:divBdr>
            <w:top w:val="none" w:sz="0" w:space="0" w:color="auto"/>
            <w:left w:val="none" w:sz="0" w:space="0" w:color="auto"/>
            <w:bottom w:val="none" w:sz="0" w:space="0" w:color="auto"/>
            <w:right w:val="none" w:sz="0" w:space="0" w:color="auto"/>
          </w:divBdr>
        </w:div>
        <w:div w:id="1794639085">
          <w:marLeft w:val="0"/>
          <w:marRight w:val="0"/>
          <w:marTop w:val="0"/>
          <w:marBottom w:val="0"/>
          <w:divBdr>
            <w:top w:val="none" w:sz="0" w:space="0" w:color="auto"/>
            <w:left w:val="none" w:sz="0" w:space="0" w:color="auto"/>
            <w:bottom w:val="none" w:sz="0" w:space="0" w:color="auto"/>
            <w:right w:val="none" w:sz="0" w:space="0" w:color="auto"/>
          </w:divBdr>
        </w:div>
        <w:div w:id="1882553078">
          <w:marLeft w:val="0"/>
          <w:marRight w:val="0"/>
          <w:marTop w:val="0"/>
          <w:marBottom w:val="0"/>
          <w:divBdr>
            <w:top w:val="none" w:sz="0" w:space="0" w:color="auto"/>
            <w:left w:val="none" w:sz="0" w:space="0" w:color="auto"/>
            <w:bottom w:val="none" w:sz="0" w:space="0" w:color="auto"/>
            <w:right w:val="none" w:sz="0" w:space="0" w:color="auto"/>
          </w:divBdr>
        </w:div>
        <w:div w:id="1981879270">
          <w:marLeft w:val="0"/>
          <w:marRight w:val="0"/>
          <w:marTop w:val="0"/>
          <w:marBottom w:val="0"/>
          <w:divBdr>
            <w:top w:val="none" w:sz="0" w:space="0" w:color="auto"/>
            <w:left w:val="none" w:sz="0" w:space="0" w:color="auto"/>
            <w:bottom w:val="none" w:sz="0" w:space="0" w:color="auto"/>
            <w:right w:val="none" w:sz="0" w:space="0" w:color="auto"/>
          </w:divBdr>
        </w:div>
        <w:div w:id="1988238557">
          <w:marLeft w:val="0"/>
          <w:marRight w:val="0"/>
          <w:marTop w:val="0"/>
          <w:marBottom w:val="0"/>
          <w:divBdr>
            <w:top w:val="none" w:sz="0" w:space="0" w:color="auto"/>
            <w:left w:val="none" w:sz="0" w:space="0" w:color="auto"/>
            <w:bottom w:val="none" w:sz="0" w:space="0" w:color="auto"/>
            <w:right w:val="none" w:sz="0" w:space="0" w:color="auto"/>
          </w:divBdr>
        </w:div>
      </w:divsChild>
    </w:div>
    <w:div w:id="1791896417">
      <w:bodyDiv w:val="1"/>
      <w:marLeft w:val="0"/>
      <w:marRight w:val="0"/>
      <w:marTop w:val="0"/>
      <w:marBottom w:val="0"/>
      <w:divBdr>
        <w:top w:val="none" w:sz="0" w:space="0" w:color="auto"/>
        <w:left w:val="none" w:sz="0" w:space="0" w:color="auto"/>
        <w:bottom w:val="none" w:sz="0" w:space="0" w:color="auto"/>
        <w:right w:val="none" w:sz="0" w:space="0" w:color="auto"/>
      </w:divBdr>
    </w:div>
    <w:div w:id="1909999775">
      <w:bodyDiv w:val="1"/>
      <w:marLeft w:val="0"/>
      <w:marRight w:val="0"/>
      <w:marTop w:val="0"/>
      <w:marBottom w:val="0"/>
      <w:divBdr>
        <w:top w:val="none" w:sz="0" w:space="0" w:color="auto"/>
        <w:left w:val="none" w:sz="0" w:space="0" w:color="auto"/>
        <w:bottom w:val="none" w:sz="0" w:space="0" w:color="auto"/>
        <w:right w:val="none" w:sz="0" w:space="0" w:color="auto"/>
      </w:divBdr>
    </w:div>
    <w:div w:id="1912543769">
      <w:bodyDiv w:val="1"/>
      <w:marLeft w:val="0"/>
      <w:marRight w:val="0"/>
      <w:marTop w:val="0"/>
      <w:marBottom w:val="0"/>
      <w:divBdr>
        <w:top w:val="none" w:sz="0" w:space="0" w:color="auto"/>
        <w:left w:val="none" w:sz="0" w:space="0" w:color="auto"/>
        <w:bottom w:val="none" w:sz="0" w:space="0" w:color="auto"/>
        <w:right w:val="none" w:sz="0" w:space="0" w:color="auto"/>
      </w:divBdr>
    </w:div>
    <w:div w:id="1918706968">
      <w:bodyDiv w:val="1"/>
      <w:marLeft w:val="0"/>
      <w:marRight w:val="0"/>
      <w:marTop w:val="0"/>
      <w:marBottom w:val="0"/>
      <w:divBdr>
        <w:top w:val="none" w:sz="0" w:space="0" w:color="auto"/>
        <w:left w:val="none" w:sz="0" w:space="0" w:color="auto"/>
        <w:bottom w:val="none" w:sz="0" w:space="0" w:color="auto"/>
        <w:right w:val="none" w:sz="0" w:space="0" w:color="auto"/>
      </w:divBdr>
    </w:div>
    <w:div w:id="1929773839">
      <w:bodyDiv w:val="1"/>
      <w:marLeft w:val="0"/>
      <w:marRight w:val="0"/>
      <w:marTop w:val="0"/>
      <w:marBottom w:val="0"/>
      <w:divBdr>
        <w:top w:val="none" w:sz="0" w:space="0" w:color="auto"/>
        <w:left w:val="none" w:sz="0" w:space="0" w:color="auto"/>
        <w:bottom w:val="none" w:sz="0" w:space="0" w:color="auto"/>
        <w:right w:val="none" w:sz="0" w:space="0" w:color="auto"/>
      </w:divBdr>
    </w:div>
    <w:div w:id="1943029354">
      <w:bodyDiv w:val="1"/>
      <w:marLeft w:val="0"/>
      <w:marRight w:val="0"/>
      <w:marTop w:val="0"/>
      <w:marBottom w:val="0"/>
      <w:divBdr>
        <w:top w:val="none" w:sz="0" w:space="0" w:color="auto"/>
        <w:left w:val="none" w:sz="0" w:space="0" w:color="auto"/>
        <w:bottom w:val="none" w:sz="0" w:space="0" w:color="auto"/>
        <w:right w:val="none" w:sz="0" w:space="0" w:color="auto"/>
      </w:divBdr>
    </w:div>
    <w:div w:id="214003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ucnredlist.org/" TargetMode="External"/><Relationship Id="rId671" Type="http://schemas.openxmlformats.org/officeDocument/2006/relationships/hyperlink" Target="https://www.cbd.int/doc/c/c3ab/388d/950ddc02586468a814120acf/wg2020-05-04-en.pdf" TargetMode="External"/><Relationship Id="rId21" Type="http://schemas.openxmlformats.org/officeDocument/2006/relationships/image" Target="media/image4.png"/><Relationship Id="rId324" Type="http://schemas.openxmlformats.org/officeDocument/2006/relationships/hyperlink" Target="https://www.cbd.int/doc/decisions/cop-15/cop-15-dec-05-en.pdf" TargetMode="External"/><Relationship Id="rId531" Type="http://schemas.openxmlformats.org/officeDocument/2006/relationships/hyperlink" Target="https://seea.un.org/content/about-seea" TargetMode="External"/><Relationship Id="rId629" Type="http://schemas.openxmlformats.org/officeDocument/2006/relationships/hyperlink" Target="https://www.forestpeoples.org/en/topics/environmental-governance/publication/2015/community-based-monitoring-and-information-systems-" TargetMode="External"/><Relationship Id="rId170" Type="http://schemas.openxmlformats.org/officeDocument/2006/relationships/hyperlink" Target="https://portals.iucn.org/library/node/10315" TargetMode="External"/><Relationship Id="rId268" Type="http://schemas.openxmlformats.org/officeDocument/2006/relationships/hyperlink" Target="https://one.oecd.org/document/DCD/DAC/STAT(2018)25/en/pdf" TargetMode="External"/><Relationship Id="rId475" Type="http://schemas.openxmlformats.org/officeDocument/2006/relationships/hyperlink" Target="https://wedocs.unep.org/handle/20.500.11822/35086" TargetMode="External"/><Relationship Id="rId682" Type="http://schemas.openxmlformats.org/officeDocument/2006/relationships/hyperlink" Target="https://zenodo.org/record/5657079" TargetMode="External"/><Relationship Id="rId32" Type="http://schemas.openxmlformats.org/officeDocument/2006/relationships/hyperlink" Target="https://www.gida-global.org/care" TargetMode="External"/><Relationship Id="rId128" Type="http://schemas.openxmlformats.org/officeDocument/2006/relationships/hyperlink" Target="https://www.iucn.org/commissions/ssc-groups" TargetMode="External"/><Relationship Id="rId335" Type="http://schemas.openxmlformats.org/officeDocument/2006/relationships/hyperlink" Target="https://www.artredd.org/art-registry/" TargetMode="External"/><Relationship Id="rId542" Type="http://schemas.openxmlformats.org/officeDocument/2006/relationships/hyperlink" Target="https://tnfd.global/" TargetMode="External"/><Relationship Id="rId181" Type="http://schemas.openxmlformats.org/officeDocument/2006/relationships/hyperlink" Target="http://onlinelibrary.wiley.com/doi/10.1111/conl.12159/abstract" TargetMode="External"/><Relationship Id="rId402" Type="http://schemas.openxmlformats.org/officeDocument/2006/relationships/hyperlink" Target="https://www.cbd.int/doc/c/705d/6b4b/a1a463c1b19392bde6fa08f3/sbstta-24-03-en.pdf" TargetMode="External"/><Relationship Id="rId279" Type="http://schemas.openxmlformats.org/officeDocument/2006/relationships/hyperlink" Target="https://one.oecd.org/document/DCD/DAC/STAT(2023)9/FINAL/en/pdf" TargetMode="External"/><Relationship Id="rId486" Type="http://schemas.openxmlformats.org/officeDocument/2006/relationships/hyperlink" Target="https://www.ilo.org/global/publications/WCMS_862144/lang--en/index.htm" TargetMode="External"/><Relationship Id="rId693" Type="http://schemas.openxmlformats.org/officeDocument/2006/relationships/hyperlink" Target="https://www.ipbes.net/ias" TargetMode="External"/><Relationship Id="rId707" Type="http://schemas.openxmlformats.org/officeDocument/2006/relationships/hyperlink" Target="https://www.oecd-ilibrary.org/sites/45adbd0e-en/index.html?itemId=/content/component/45adbd0e-en" TargetMode="External"/><Relationship Id="rId43" Type="http://schemas.openxmlformats.org/officeDocument/2006/relationships/hyperlink" Target="https://www.cbd.int/gbo5/local-biodiversity-outlooks-2" TargetMode="External"/><Relationship Id="rId139" Type="http://schemas.openxmlformats.org/officeDocument/2006/relationships/hyperlink" Target="https://unstats.un.org/sdgs/indicators/database/" TargetMode="External"/><Relationship Id="rId346" Type="http://schemas.openxmlformats.org/officeDocument/2006/relationships/hyperlink" Target="https://ferm.fao.org/" TargetMode="External"/><Relationship Id="rId553" Type="http://schemas.openxmlformats.org/officeDocument/2006/relationships/hyperlink" Target="http://oe.cd/pinedatabase" TargetMode="External"/><Relationship Id="rId192" Type="http://schemas.openxmlformats.org/officeDocument/2006/relationships/hyperlink" Target="https://doi.org/10.1111/conl.12953" TargetMode="External"/><Relationship Id="rId206" Type="http://schemas.openxmlformats.org/officeDocument/2006/relationships/hyperlink" Target="https://doi.org/10.1111/conl.12953" TargetMode="External"/><Relationship Id="rId413" Type="http://schemas.openxmlformats.org/officeDocument/2006/relationships/hyperlink" Target="https://portals.iucn.org/library/node/46259" TargetMode="External"/><Relationship Id="rId497" Type="http://schemas.openxmlformats.org/officeDocument/2006/relationships/hyperlink" Target="http://www.fao.org/3/I8699EN/i8699en.pdf" TargetMode="External"/><Relationship Id="rId620" Type="http://schemas.openxmlformats.org/officeDocument/2006/relationships/hyperlink" Target="https://link.springer.com/referenceworkentry/10.1007/978-3-319-95873-6_80" TargetMode="External"/><Relationship Id="rId718" Type="http://schemas.openxmlformats.org/officeDocument/2006/relationships/hyperlink" Target="https://www.unep.org/explore-topics/resource-efficiency/what-we-do/sustainable-consumption-and-production-policies" TargetMode="External"/><Relationship Id="rId357" Type="http://schemas.openxmlformats.org/officeDocument/2006/relationships/hyperlink" Target="https://doi.org/10.4060/i2801e" TargetMode="External"/><Relationship Id="rId54" Type="http://schemas.openxmlformats.org/officeDocument/2006/relationships/hyperlink" Target="https://tebtebba.org/index.php/resources-menu/publications-menu/books/60-enhancing-indigenous-peoples-development-through-cbmis/file" TargetMode="External"/><Relationship Id="rId217" Type="http://schemas.openxmlformats.org/officeDocument/2006/relationships/hyperlink" Target="https://www.fws.gov/law/endangered-species-act" TargetMode="External"/><Relationship Id="rId564" Type="http://schemas.openxmlformats.org/officeDocument/2006/relationships/hyperlink" Target="http://dx.doi.org/10.1787/add0f27c-en" TargetMode="External"/><Relationship Id="rId424" Type="http://schemas.openxmlformats.org/officeDocument/2006/relationships/hyperlink" Target="http://www.pnas.org/content/102/51/18497.short" TargetMode="External"/><Relationship Id="rId631" Type="http://schemas.openxmlformats.org/officeDocument/2006/relationships/hyperlink" Target="https://www.ipbes.net/global-assessment" TargetMode="External"/><Relationship Id="rId729" Type="http://schemas.openxmlformats.org/officeDocument/2006/relationships/hyperlink" Target="https://seea.un.org/sites/seea.un.org/files/documents/EA/seea_ea_white_cover_final.pdf" TargetMode="External"/><Relationship Id="rId270" Type="http://schemas.openxmlformats.org/officeDocument/2006/relationships/hyperlink" Target="https://www.biofin.org/sites/default/files/content/publications/workbook_2018/" TargetMode="External"/><Relationship Id="rId65" Type="http://schemas.openxmlformats.org/officeDocument/2006/relationships/hyperlink" Target="https://www.ohchr.org/sites/default/files/Documents/Publications/Land_HR-StandardsApplications.pdf" TargetMode="External"/><Relationship Id="rId130" Type="http://schemas.openxmlformats.org/officeDocument/2006/relationships/hyperlink" Target="https://portals.iucn.org/library/node/10336" TargetMode="External"/><Relationship Id="rId368" Type="http://schemas.openxmlformats.org/officeDocument/2006/relationships/hyperlink" Target="http://www.protectedplanet.net/" TargetMode="External"/><Relationship Id="rId575" Type="http://schemas.openxmlformats.org/officeDocument/2006/relationships/hyperlink" Target="https://data-explorer.oecd.org/?fs%5b0%5d=Topic%2C0%7CAgriculture%20and%20fisheries%23AGR%23&amp;pg=0&amp;fc=Topic&amp;bp=true&amp;snb=16" TargetMode="External"/><Relationship Id="rId228" Type="http://schemas.openxmlformats.org/officeDocument/2006/relationships/hyperlink" Target="https://doi.org/10.1111/conl.12953" TargetMode="External"/><Relationship Id="rId435" Type="http://schemas.openxmlformats.org/officeDocument/2006/relationships/image" Target="media/image26.png"/><Relationship Id="rId642" Type="http://schemas.openxmlformats.org/officeDocument/2006/relationships/hyperlink" Target="https://www.ipbes.net/global-assessment" TargetMode="External"/><Relationship Id="rId281" Type="http://schemas.openxmlformats.org/officeDocument/2006/relationships/image" Target="media/image20.png"/><Relationship Id="rId502" Type="http://schemas.openxmlformats.org/officeDocument/2006/relationships/image" Target="media/image34.png"/><Relationship Id="rId76" Type="http://schemas.openxmlformats.org/officeDocument/2006/relationships/hyperlink" Target="https://www.gybn.org/indicators" TargetMode="External"/><Relationship Id="rId141" Type="http://schemas.openxmlformats.org/officeDocument/2006/relationships/hyperlink" Target="https://bipdashboard.natureserve.org/bip/SelectCountry.html" TargetMode="External"/><Relationship Id="rId379" Type="http://schemas.openxmlformats.org/officeDocument/2006/relationships/hyperlink" Target="https://unstats.un.org/sdgs/dataportal" TargetMode="External"/><Relationship Id="rId586" Type="http://schemas.openxmlformats.org/officeDocument/2006/relationships/hyperlink" Target="https://environment.ec.europa.eu/economy-and-finance/phasing-out-environmentally-harmful-subsidies_en" TargetMode="External"/><Relationship Id="rId7" Type="http://schemas.openxmlformats.org/officeDocument/2006/relationships/settings" Target="settings.xml"/><Relationship Id="rId239" Type="http://schemas.openxmlformats.org/officeDocument/2006/relationships/hyperlink" Target="mailto:J.DaSilva@sanbi.org.za" TargetMode="External"/><Relationship Id="rId446" Type="http://schemas.openxmlformats.org/officeDocument/2006/relationships/hyperlink" Target="mailto:SDG-indicators@fao.org" TargetMode="External"/><Relationship Id="rId653" Type="http://schemas.openxmlformats.org/officeDocument/2006/relationships/hyperlink" Target="https://unstats.un.org/sdgs/metadata/files/Metadata-12-03-01B.pdf" TargetMode="External"/><Relationship Id="rId292" Type="http://schemas.openxmlformats.org/officeDocument/2006/relationships/hyperlink" Target="https://macbio-pacific.info/" TargetMode="External"/><Relationship Id="rId306" Type="http://schemas.openxmlformats.org/officeDocument/2006/relationships/hyperlink" Target="https://www.spc.int/updates/blog/blog/2023/05/biodiversity-rich-palau-launches-ambitious-marine-spatial-planning" TargetMode="External"/><Relationship Id="rId87" Type="http://schemas.openxmlformats.org/officeDocument/2006/relationships/hyperlink" Target="https://www.environment.gov.mv/v2/en/download/14710" TargetMode="External"/><Relationship Id="rId513" Type="http://schemas.openxmlformats.org/officeDocument/2006/relationships/hyperlink" Target="https://undocs.org/en/A/RES/62/98" TargetMode="External"/><Relationship Id="rId597" Type="http://schemas.openxmlformats.org/officeDocument/2006/relationships/hyperlink" Target="https://unterm.un.org/unterm2/display/record/UNTERM/7A56E07A5C55446285256BB2005D11F0" TargetMode="External"/><Relationship Id="rId720" Type="http://schemas.openxmlformats.org/officeDocument/2006/relationships/hyperlink" Target="https://www.un.org/ldcportal/content/convention-biological-diversity-and-its-protocols" TargetMode="External"/><Relationship Id="rId152" Type="http://schemas.openxmlformats.org/officeDocument/2006/relationships/hyperlink" Target="https://portals.iucn.org/library/node/9830" TargetMode="External"/><Relationship Id="rId457" Type="http://schemas.openxmlformats.org/officeDocument/2006/relationships/hyperlink" Target="https://www.gbif.org/dataset/search?publishing_org=cdef28b1-db4e-4c58-aa71-3c5238c2d0b5" TargetMode="External"/><Relationship Id="rId664" Type="http://schemas.openxmlformats.org/officeDocument/2006/relationships/hyperlink" Target="https://www.eea.europa.eu/help/glossary/gemet-environmental-thesaurus/indigenous-technology" TargetMode="External"/><Relationship Id="rId14" Type="http://schemas.openxmlformats.org/officeDocument/2006/relationships/hyperlink" Target="https://www.cbd.int/doc/decisions/cop-15/cop-15-dec-05-en.pdf" TargetMode="External"/><Relationship Id="rId317" Type="http://schemas.openxmlformats.org/officeDocument/2006/relationships/hyperlink" Target="https://www.worldwildlife.org/publications/living-amazon-report-2022" TargetMode="External"/><Relationship Id="rId524" Type="http://schemas.openxmlformats.org/officeDocument/2006/relationships/hyperlink" Target="https://www.lincolninst.edu/sites/default/files/pubfiles/atlas-of-urban-expansion-2016-volume-1-full.pdf" TargetMode="External"/><Relationship Id="rId731" Type="http://schemas.openxmlformats.org/officeDocument/2006/relationships/hyperlink" Target="https://seea.un.org/sites/seea.un.org/files/documents/EA/seea_ea_white_cover_final.pdf" TargetMode="External"/><Relationship Id="rId98" Type="http://schemas.openxmlformats.org/officeDocument/2006/relationships/hyperlink" Target="https://iucnrle.org/rle-database" TargetMode="External"/><Relationship Id="rId163" Type="http://schemas.openxmlformats.org/officeDocument/2006/relationships/hyperlink" Target="https://www.cbd.int/gbo5/" TargetMode="External"/><Relationship Id="rId370" Type="http://schemas.openxmlformats.org/officeDocument/2006/relationships/hyperlink" Target="https://www.keybiodiversityareas.org/assets/af7c1fe6-d669-414e-b066-e9733f0de7a8" TargetMode="External"/><Relationship Id="rId230" Type="http://schemas.openxmlformats.org/officeDocument/2006/relationships/hyperlink" Target="https://ccgenetics.github.io/guidelines-genetic-diversity-indicators/" TargetMode="External"/><Relationship Id="rId468" Type="http://schemas.openxmlformats.org/officeDocument/2006/relationships/hyperlink" Target="https://doi.org/10.5281/zenodo.7430692" TargetMode="External"/><Relationship Id="rId675" Type="http://schemas.openxmlformats.org/officeDocument/2006/relationships/hyperlink" Target="https://www.ifc.org/en/what-we-do/sector-expertise/financial-institutions/definitions-of-targeted-sectors" TargetMode="External"/><Relationship Id="rId25" Type="http://schemas.openxmlformats.org/officeDocument/2006/relationships/image" Target="media/image8.png"/><Relationship Id="rId328" Type="http://schemas.openxmlformats.org/officeDocument/2006/relationships/hyperlink" Target="https://www.bonnchallenge.org/" TargetMode="External"/><Relationship Id="rId535" Type="http://schemas.openxmlformats.org/officeDocument/2006/relationships/hyperlink" Target="https://sciencebasedtargetsnetwork.org/wp-content/uploads/2023/05/SBTN-Steps-1-3-Glossary_2023.docx-1.pdf" TargetMode="External"/><Relationship Id="rId174" Type="http://schemas.openxmlformats.org/officeDocument/2006/relationships/hyperlink" Target="http://onlinelibrary.wiley.com/doi/10.1111/j.1523-1739.2008.01044.x/full" TargetMode="External"/><Relationship Id="rId381" Type="http://schemas.openxmlformats.org/officeDocument/2006/relationships/hyperlink" Target="https://livereport.protectedplanet.net/" TargetMode="External"/><Relationship Id="rId602" Type="http://schemas.openxmlformats.org/officeDocument/2006/relationships/hyperlink" Target="https://indigenousnavigator.org/" TargetMode="External"/><Relationship Id="rId241" Type="http://schemas.openxmlformats.org/officeDocument/2006/relationships/hyperlink" Target="https://doi.org/10.1007/s10592-022-01492-0" TargetMode="External"/><Relationship Id="rId479" Type="http://schemas.openxmlformats.org/officeDocument/2006/relationships/hyperlink" Target="mailto:kimanh.tempelman@fao.org" TargetMode="External"/><Relationship Id="rId686" Type="http://schemas.openxmlformats.org/officeDocument/2006/relationships/hyperlink" Target="https://www.thegef.org/sites/default/files/publications/NCSA-SR-web-100913.pdf" TargetMode="External"/><Relationship Id="rId36" Type="http://schemas.openxmlformats.org/officeDocument/2006/relationships/hyperlink" Target="https://www.forestpeoples.org/sites/default/files/documents/From%20Agreements%20to%20Actions_0.pdf" TargetMode="External"/><Relationship Id="rId339" Type="http://schemas.openxmlformats.org/officeDocument/2006/relationships/hyperlink" Target="https://www.protectedplanet.net/en/thematic-areas/wdpa?tab=WDPA" TargetMode="External"/><Relationship Id="rId546" Type="http://schemas.openxmlformats.org/officeDocument/2006/relationships/hyperlink" Target="https://unctad.org/" TargetMode="External"/><Relationship Id="rId101" Type="http://schemas.openxmlformats.org/officeDocument/2006/relationships/hyperlink" Target="http://www.plosbiology.org/article/info:doi/10.1371/journal.pbio.0020383" TargetMode="External"/><Relationship Id="rId185" Type="http://schemas.openxmlformats.org/officeDocument/2006/relationships/hyperlink" Target="https://doi.org/10.32942/X2QK5W" TargetMode="External"/><Relationship Id="rId406" Type="http://schemas.openxmlformats.org/officeDocument/2006/relationships/hyperlink" Target="https://portals.iucn.org/library/node/9243" TargetMode="External"/><Relationship Id="rId392" Type="http://schemas.openxmlformats.org/officeDocument/2006/relationships/hyperlink" Target="https://www.bipindicators.net/indicators/protected-area-coverage-of-key-biodiversity-areas" TargetMode="External"/><Relationship Id="rId613" Type="http://schemas.openxmlformats.org/officeDocument/2006/relationships/hyperlink" Target="https://www.cbd.int/" TargetMode="External"/><Relationship Id="rId697" Type="http://schemas.openxmlformats.org/officeDocument/2006/relationships/hyperlink" Target="https://seea.un.org/sites/seea.un.org/files/documents/EA/seea_ea_white_cover_final.pdf" TargetMode="External"/><Relationship Id="rId252" Type="http://schemas.openxmlformats.org/officeDocument/2006/relationships/hyperlink" Target="https://seea.un.org/content/global-assessment-environmental-economic-accounting" TargetMode="External"/><Relationship Id="rId47" Type="http://schemas.openxmlformats.org/officeDocument/2006/relationships/hyperlink" Target="https://www.tebtebba.org/index.php/who-we-work-with/networks/elatia" TargetMode="External"/><Relationship Id="rId112" Type="http://schemas.openxmlformats.org/officeDocument/2006/relationships/hyperlink" Target="https://seea.un.org/ecosystem-accounting/biophysical-modelling" TargetMode="External"/><Relationship Id="rId557" Type="http://schemas.openxmlformats.org/officeDocument/2006/relationships/hyperlink" Target="mailto:Miguel.CARDENASRODRIGUEZ@oecd.org" TargetMode="External"/><Relationship Id="rId196" Type="http://schemas.openxmlformats.org/officeDocument/2006/relationships/hyperlink" Target="https://conbio.onlinelibrary.wiley.com/doi/full/10.1111/j.1755-263X.2008.00009.x" TargetMode="External"/><Relationship Id="rId417" Type="http://schemas.openxmlformats.org/officeDocument/2006/relationships/hyperlink" Target="https://portals.iucn.org/library/node/9055" TargetMode="External"/><Relationship Id="rId624" Type="http://schemas.openxmlformats.org/officeDocument/2006/relationships/hyperlink" Target="https://unsdg.un.org/wp-content/uploads/2017/06/UNDG-UNDAF-Companion-Pieces-8-Capacity-Development.pdf" TargetMode="External"/><Relationship Id="rId263" Type="http://schemas.openxmlformats.org/officeDocument/2006/relationships/hyperlink" Target="mailto:Marisa.BerbegalIbanez@oecd.org" TargetMode="External"/><Relationship Id="rId470" Type="http://schemas.openxmlformats.org/officeDocument/2006/relationships/hyperlink" Target="https://doi.org/10.1111/conl.12981" TargetMode="External"/><Relationship Id="rId58" Type="http://schemas.openxmlformats.org/officeDocument/2006/relationships/hyperlink" Target="https://academic.oup.com/bioscience/article/71/5/484/6236038" TargetMode="External"/><Relationship Id="rId123" Type="http://schemas.openxmlformats.org/officeDocument/2006/relationships/hyperlink" Target="https://www.iucn.org/theme/species/about/species-survival-commission/ssc-leadership-and-steering-committee/sub-committees/standards-and-petitions-subcommittee" TargetMode="External"/><Relationship Id="rId330" Type="http://schemas.openxmlformats.org/officeDocument/2006/relationships/hyperlink" Target="https://naturecommitments.org/about" TargetMode="External"/><Relationship Id="rId568" Type="http://schemas.openxmlformats.org/officeDocument/2006/relationships/hyperlink" Target="https://doi.org/10.1787/9c3ad238-en" TargetMode="External"/><Relationship Id="rId428" Type="http://schemas.openxmlformats.org/officeDocument/2006/relationships/hyperlink" Target="https://doi.org/10.1016/j.ocecoaman.2011.12.016" TargetMode="External"/><Relationship Id="rId635" Type="http://schemas.openxmlformats.org/officeDocument/2006/relationships/hyperlink" Target="https://www.ipbes.net/assessment-reports/ldr" TargetMode="External"/><Relationship Id="rId274" Type="http://schemas.openxmlformats.org/officeDocument/2006/relationships/hyperlink" Target="https://unstats.un.org/UNSDWebsite/statcom/session_55/documents/BG-4e-CEP-E.pdf" TargetMode="External"/><Relationship Id="rId481" Type="http://schemas.openxmlformats.org/officeDocument/2006/relationships/hyperlink" Target="https://www.cbd.int/doc/decisions/cop-15/cop-15-dec-05-en.pdf" TargetMode="External"/><Relationship Id="rId702" Type="http://schemas.openxmlformats.org/officeDocument/2006/relationships/hyperlink" Target="http://www.iucnredlist.org/" TargetMode="External"/><Relationship Id="rId69" Type="http://schemas.openxmlformats.org/officeDocument/2006/relationships/hyperlink" Target="http://cbdwomenscaucus.org/wp-content/uploads/2024/03/Target-23-Gender-indicators-Briefer.pdf" TargetMode="External"/><Relationship Id="rId134" Type="http://schemas.openxmlformats.org/officeDocument/2006/relationships/hyperlink" Target="https://portals.iucn.org/library/node/10315" TargetMode="External"/><Relationship Id="rId579" Type="http://schemas.openxmlformats.org/officeDocument/2006/relationships/hyperlink" Target="mailto:hugo.valin@oecd.org" TargetMode="External"/><Relationship Id="rId341" Type="http://schemas.openxmlformats.org/officeDocument/2006/relationships/hyperlink" Target="https://icriforum.org/" TargetMode="External"/><Relationship Id="rId439" Type="http://schemas.openxmlformats.org/officeDocument/2006/relationships/hyperlink" Target="https://elearning.fao.org/course/view.php?id=502" TargetMode="External"/><Relationship Id="rId646" Type="http://schemas.openxmlformats.org/officeDocument/2006/relationships/hyperlink" Target="https://www.ipbes.net/ias" TargetMode="External"/><Relationship Id="rId201" Type="http://schemas.openxmlformats.org/officeDocument/2006/relationships/hyperlink" Target="https://doi.org/10.1111/conl.12953" TargetMode="External"/><Relationship Id="rId285" Type="http://schemas.openxmlformats.org/officeDocument/2006/relationships/hyperlink" Target="https://link.springer.com/book/10.1007/978-3-319-71861-3" TargetMode="External"/><Relationship Id="rId506" Type="http://schemas.openxmlformats.org/officeDocument/2006/relationships/image" Target="media/image38.png"/><Relationship Id="rId492" Type="http://schemas.openxmlformats.org/officeDocument/2006/relationships/hyperlink" Target="https://www.fao.org/sustainable-development-goals-data-portal/data/indicators/indicator-241-proxy-progress-towards-productive-and-sustainable-agriculture/en" TargetMode="External"/><Relationship Id="rId713" Type="http://schemas.openxmlformats.org/officeDocument/2006/relationships/hyperlink" Target="https://unhabitat.org/sites/default/files/2019/02/Metadata-11.7.1_Edited_23-03-2018.pdf" TargetMode="External"/><Relationship Id="rId145" Type="http://schemas.openxmlformats.org/officeDocument/2006/relationships/hyperlink" Target="https://www.iucnredlist.org/resources/threat-classification-scheme" TargetMode="External"/><Relationship Id="rId352" Type="http://schemas.openxmlformats.org/officeDocument/2006/relationships/hyperlink" Target="https://www.fao.org/fileadmin/user_upload/forest-landscape-restoration/Glossary_of_restoration_interventions__English_.pdf" TargetMode="External"/><Relationship Id="rId212" Type="http://schemas.openxmlformats.org/officeDocument/2006/relationships/hyperlink" Target="https://conbio.onlinelibrary.wiley.com/doi/full/10.1111/conl.12953" TargetMode="External"/><Relationship Id="rId657" Type="http://schemas.openxmlformats.org/officeDocument/2006/relationships/hyperlink" Target="https://www.cbd.int/doc/c/444a/f794/c4ff3e8f037180bb33fa0afc/sbi-03-inf-41-en.pdf" TargetMode="External"/><Relationship Id="rId296" Type="http://schemas.openxmlformats.org/officeDocument/2006/relationships/hyperlink" Target="https://drive.google.com/drive/folders/1yCMmZXBMH48dRvXlOtbDOsA5T6-nC1fX?usp=drive_link" TargetMode="External"/><Relationship Id="rId517" Type="http://schemas.openxmlformats.org/officeDocument/2006/relationships/image" Target="media/image39.png"/><Relationship Id="rId724" Type="http://schemas.openxmlformats.org/officeDocument/2006/relationships/hyperlink" Target="https://www.undp.org/sites/g/files/zskgke326/files/publications/SSC_FAQ%20v1.pdf" TargetMode="External"/><Relationship Id="rId60" Type="http://schemas.openxmlformats.org/officeDocument/2006/relationships/hyperlink" Target="https://conbio.onlinelibrary.wiley.com/doi/full/10.1111/conl.12643" TargetMode="External"/><Relationship Id="rId156" Type="http://schemas.openxmlformats.org/officeDocument/2006/relationships/hyperlink" Target="http://www.plosbiology.org/article/info:doi/10.1371/journal.pbio.0020383" TargetMode="External"/><Relationship Id="rId363" Type="http://schemas.openxmlformats.org/officeDocument/2006/relationships/hyperlink" Target="https://undocs.org/A/RES/73/284" TargetMode="External"/><Relationship Id="rId570" Type="http://schemas.openxmlformats.org/officeDocument/2006/relationships/hyperlink" Target="http://dx.doi.org/10.1787/add0f27c-en" TargetMode="External"/><Relationship Id="rId223" Type="http://schemas.openxmlformats.org/officeDocument/2006/relationships/image" Target="media/image15.png"/><Relationship Id="rId430" Type="http://schemas.openxmlformats.org/officeDocument/2006/relationships/hyperlink" Target="http://www.sciencemag.org/content/346/6206/241.short" TargetMode="External"/><Relationship Id="rId668" Type="http://schemas.openxmlformats.org/officeDocument/2006/relationships/hyperlink" Target="https://www.undp.org/publications/integrated-spatial-planning-workbook" TargetMode="External"/><Relationship Id="rId18" Type="http://schemas.openxmlformats.org/officeDocument/2006/relationships/hyperlink" Target="https://www.cbd.int/documents/CBD/SBSTTA/26/INF/21" TargetMode="External"/><Relationship Id="rId528" Type="http://schemas.openxmlformats.org/officeDocument/2006/relationships/hyperlink" Target="https://unstats.un.org/sdgs/metadata/files/Metadata-11-07-01.pdf" TargetMode="External"/><Relationship Id="rId735" Type="http://schemas.openxmlformats.org/officeDocument/2006/relationships/glossaryDocument" Target="glossary/document.xml"/><Relationship Id="rId167" Type="http://schemas.openxmlformats.org/officeDocument/2006/relationships/hyperlink" Target="http://www.sciencemag.org/content/330/6010/1503.short" TargetMode="External"/><Relationship Id="rId374" Type="http://schemas.openxmlformats.org/officeDocument/2006/relationships/hyperlink" Target="https://global-ecosystems.org/" TargetMode="External"/><Relationship Id="rId581" Type="http://schemas.openxmlformats.org/officeDocument/2006/relationships/hyperlink" Target="mailto:joy.kim@un.org" TargetMode="External"/><Relationship Id="rId71" Type="http://schemas.openxmlformats.org/officeDocument/2006/relationships/hyperlink" Target="https://www.thegef.org/sites/default/files/council-meeting-documents/EN_GEF.C.54.Inf_.05_Guidance_Gender.pdf" TargetMode="External"/><Relationship Id="rId234" Type="http://schemas.openxmlformats.org/officeDocument/2006/relationships/hyperlink" Target="https://besjournals.onlinelibrary.wiley.com/doi/full/10.1111/1365-2664.14225" TargetMode="External"/><Relationship Id="rId679" Type="http://schemas.openxmlformats.org/officeDocument/2006/relationships/hyperlink" Target="https://www.ipbes.net/assessment-reports/ldr" TargetMode="External"/><Relationship Id="rId2" Type="http://schemas.openxmlformats.org/officeDocument/2006/relationships/customXml" Target="../customXml/item2.xml"/><Relationship Id="rId29" Type="http://schemas.openxmlformats.org/officeDocument/2006/relationships/hyperlink" Target="https://www.cbd.int/doc/recommendations/wg8j-12/wg8j-12-rec-04-en.pdf" TargetMode="External"/><Relationship Id="rId441" Type="http://schemas.openxmlformats.org/officeDocument/2006/relationships/hyperlink" Target="https://elearning.fao.org/course/view.php?id=502" TargetMode="External"/><Relationship Id="rId539" Type="http://schemas.openxmlformats.org/officeDocument/2006/relationships/hyperlink" Target="mailto:mkemperman@worldbank.org" TargetMode="External"/><Relationship Id="rId178" Type="http://schemas.openxmlformats.org/officeDocument/2006/relationships/hyperlink" Target="http://journals.plos.org/plosone/article?id=10.1371/journal.pone.0113934" TargetMode="External"/><Relationship Id="rId301" Type="http://schemas.openxmlformats.org/officeDocument/2006/relationships/hyperlink" Target="https://seymsp.com/the-initiative/" TargetMode="External"/><Relationship Id="rId82" Type="http://schemas.openxmlformats.org/officeDocument/2006/relationships/footer" Target="footer2.xml"/><Relationship Id="rId385" Type="http://schemas.openxmlformats.org/officeDocument/2006/relationships/hyperlink" Target="https://www.cbd.int/gbf/related/monitoring/ind/forum?forumid=291&amp;threadid=2780" TargetMode="External"/><Relationship Id="rId592" Type="http://schemas.openxmlformats.org/officeDocument/2006/relationships/hyperlink" Target="https://wedocs.unep.org/bitstream/handle/20.500.11822/28111/FossilFuel.pdf" TargetMode="External"/><Relationship Id="rId606" Type="http://schemas.openxmlformats.org/officeDocument/2006/relationships/hyperlink" Target="mailto:andrew.gonzalez@mcgill.ca" TargetMode="External"/><Relationship Id="rId245" Type="http://schemas.openxmlformats.org/officeDocument/2006/relationships/image" Target="media/image18.png"/><Relationship Id="rId452" Type="http://schemas.openxmlformats.org/officeDocument/2006/relationships/hyperlink" Target="https://www.cbd.int/countries" TargetMode="External"/><Relationship Id="rId105" Type="http://schemas.openxmlformats.org/officeDocument/2006/relationships/hyperlink" Target="https://global-ecosystems.org/" TargetMode="External"/><Relationship Id="rId312" Type="http://schemas.openxmlformats.org/officeDocument/2006/relationships/hyperlink" Target="https://intemares.es/sites/default/files/a10_guia_procesos_en.pdf" TargetMode="External"/><Relationship Id="rId51" Type="http://schemas.openxmlformats.org/officeDocument/2006/relationships/hyperlink" Target="https://www.cbd.int/traditional/csuplanofaction" TargetMode="External"/><Relationship Id="rId93" Type="http://schemas.openxmlformats.org/officeDocument/2006/relationships/hyperlink" Target="https://global-ecosystems.org/" TargetMode="External"/><Relationship Id="rId189" Type="http://schemas.openxmlformats.org/officeDocument/2006/relationships/hyperlink" Target="https://www.sciencedirect.com/science/article/pii/S0006320720307126" TargetMode="External"/><Relationship Id="rId396" Type="http://schemas.openxmlformats.org/officeDocument/2006/relationships/hyperlink" Target="http://www.sciencemag.org/content/328/5982/1164.short" TargetMode="External"/><Relationship Id="rId561" Type="http://schemas.openxmlformats.org/officeDocument/2006/relationships/hyperlink" Target="https://circabc.europa.eu/ui/group/922b4700-1c83-4099-b550-763badab3ec0/library/b1e77b94-9db8-4e7c-a0b3-8f68db32416e/details" TargetMode="External"/><Relationship Id="rId617" Type="http://schemas.openxmlformats.org/officeDocument/2006/relationships/hyperlink" Target="https://seea.un.org/sites/seea.un.org/files/documents/EA/seea_ea_white_cover_final.pdf" TargetMode="External"/><Relationship Id="rId659" Type="http://schemas.openxmlformats.org/officeDocument/2006/relationships/hyperlink" Target="https://www.footprintnetwork.org/resources/glossary/" TargetMode="External"/><Relationship Id="rId214" Type="http://schemas.openxmlformats.org/officeDocument/2006/relationships/hyperlink" Target="https://doi.org/10.1111/conl.12953" TargetMode="External"/><Relationship Id="rId256" Type="http://schemas.openxmlformats.org/officeDocument/2006/relationships/hyperlink" Target="https://one.oecd.org/document/DCD/DAC/STAT(2023)9/ADD2/FINAL/en/pdf" TargetMode="External"/><Relationship Id="rId298" Type="http://schemas.openxmlformats.org/officeDocument/2006/relationships/hyperlink" Target="https://production-wordpress.spacescoalition.org/content//uploads/2022/12/202205_SPACES-Primer-Paper_05.pdf" TargetMode="External"/><Relationship Id="rId421" Type="http://schemas.openxmlformats.org/officeDocument/2006/relationships/hyperlink" Target="http://www.nature.com/nature/journal/v516/n7531/abs/nature14032.html" TargetMode="External"/><Relationship Id="rId463" Type="http://schemas.openxmlformats.org/officeDocument/2006/relationships/hyperlink" Target="https://www.gbif.org/occurrence/search?occurrence_status=present&amp;q=" TargetMode="External"/><Relationship Id="rId519" Type="http://schemas.openxmlformats.org/officeDocument/2006/relationships/hyperlink" Target="https://unhabitat.org/sites/default/files/2020/07/indicator_11.7.1_training_module_public_space.pdf" TargetMode="External"/><Relationship Id="rId670" Type="http://schemas.openxmlformats.org/officeDocument/2006/relationships/hyperlink" Target="https://unhabitat.org/sites/default/files/2019/02/Metadata-11.7.1_Edited_23-03-2018.pdf" TargetMode="External"/><Relationship Id="rId116" Type="http://schemas.openxmlformats.org/officeDocument/2006/relationships/hyperlink" Target="https://www.iucnredlist.org/assessment/process" TargetMode="External"/><Relationship Id="rId158" Type="http://schemas.openxmlformats.org/officeDocument/2006/relationships/hyperlink" Target="http://onlinelibrary.wiley.com/doi/10.1111/j.1523-1739.2006.00410.x/abstract" TargetMode="External"/><Relationship Id="rId323" Type="http://schemas.openxmlformats.org/officeDocument/2006/relationships/image" Target="media/image22.svg"/><Relationship Id="rId530" Type="http://schemas.openxmlformats.org/officeDocument/2006/relationships/hyperlink" Target="https://www.cbd.int/convention/articles/?a=cbd-08" TargetMode="External"/><Relationship Id="rId726" Type="http://schemas.openxmlformats.org/officeDocument/2006/relationships/hyperlink" Target="https://www.ipbes.net/sustainable-use-assessment" TargetMode="External"/><Relationship Id="rId20" Type="http://schemas.openxmlformats.org/officeDocument/2006/relationships/hyperlink" Target="https://eur02.safelinks.protection.outlook.com/?url=https%3A%2F%2Fwww.cbd.int%2Fdoc%2Fdecisions%2Fcop-15%2Fcop-15-dec-05-en.pdf&amp;data=05%7C01%7Ckieran.mooney%40un.org%7C1dddab9393cb4500f42c08db58d5ac85%7C0f9e35db544f4f60bdcc5ea416e6dc70%7C0%7C0%7C638201446977874980%7CUnknown%7CTWFpbGZsb3d8eyJWIjoiMC4wLjAwMDAiLCJQIjoiV2luMzIiLCJBTiI6Ik1haWwiLCJXVCI6Mn0%3D%7C3000%7C%7C%7C&amp;sdata=i3QlKeoQbIyheTbftrwtxg%2F15DHPs9NajtDn9eblmbM%3D&amp;reserved=0" TargetMode="External"/><Relationship Id="rId62" Type="http://schemas.openxmlformats.org/officeDocument/2006/relationships/hyperlink" Target="https://www.ohchr.org/sites/default/files/documents/issues/climatechange/information-materials/SGC2A-EHRDs-Guidance-Note-Nov-2023-web.pdf" TargetMode="External"/><Relationship Id="rId365" Type="http://schemas.openxmlformats.org/officeDocument/2006/relationships/image" Target="media/image23.png"/><Relationship Id="rId572" Type="http://schemas.openxmlformats.org/officeDocument/2006/relationships/hyperlink" Target="https://doi.org/10.1787/3d459f91-en" TargetMode="External"/><Relationship Id="rId628" Type="http://schemas.openxmlformats.org/officeDocument/2006/relationships/hyperlink" Target="https://tnfd.global/wp-content/uploads/2023/09/Glossary_of_key_terms_v1.pdf?v=1695138274" TargetMode="External"/><Relationship Id="rId225" Type="http://schemas.openxmlformats.org/officeDocument/2006/relationships/hyperlink" Target="https://doi.org/10.1111/conl.12953" TargetMode="External"/><Relationship Id="rId267" Type="http://schemas.openxmlformats.org/officeDocument/2006/relationships/hyperlink" Target="https://www.oecd-ilibrary.org/development/a-decade-of-development-finance-for-biodiversity_e6c182aa-en" TargetMode="External"/><Relationship Id="rId432" Type="http://schemas.openxmlformats.org/officeDocument/2006/relationships/hyperlink" Target="http://www.protectedplanet.net/" TargetMode="External"/><Relationship Id="rId474" Type="http://schemas.openxmlformats.org/officeDocument/2006/relationships/hyperlink" Target="https://unstats.un.org/sdgs/dataportal/database" TargetMode="External"/><Relationship Id="rId127" Type="http://schemas.openxmlformats.org/officeDocument/2006/relationships/hyperlink" Target="https://www.iucnredlist.org/assessment/authorities" TargetMode="External"/><Relationship Id="rId681" Type="http://schemas.openxmlformats.org/officeDocument/2006/relationships/hyperlink" Target="https://www.ipbes.net/global-assessment" TargetMode="External"/><Relationship Id="rId31" Type="http://schemas.openxmlformats.org/officeDocument/2006/relationships/hyperlink" Target="https://www.go-fair.org/fair-principles/" TargetMode="External"/><Relationship Id="rId73" Type="http://schemas.openxmlformats.org/officeDocument/2006/relationships/hyperlink" Target="https://www.unido.org/sites/default/files/2015-02/Gender_Environmental_Management_Projects_0.pdf" TargetMode="External"/><Relationship Id="rId169" Type="http://schemas.openxmlformats.org/officeDocument/2006/relationships/hyperlink" Target="http://www.iucnredlist.org/documents/RedListGuidelines.pdf" TargetMode="External"/><Relationship Id="rId334" Type="http://schemas.openxmlformats.org/officeDocument/2006/relationships/hyperlink" Target="https://www.fao.org/redd/en/" TargetMode="External"/><Relationship Id="rId376" Type="http://schemas.openxmlformats.org/officeDocument/2006/relationships/hyperlink" Target="http://www.keybiodiversityareas.org/" TargetMode="External"/><Relationship Id="rId541" Type="http://schemas.openxmlformats.org/officeDocument/2006/relationships/hyperlink" Target="mailto:n.tshidada@sanbi.org.za" TargetMode="External"/><Relationship Id="rId583" Type="http://schemas.openxmlformats.org/officeDocument/2006/relationships/hyperlink" Target="mailto:fish.contact@oecd.org" TargetMode="External"/><Relationship Id="rId639" Type="http://schemas.openxmlformats.org/officeDocument/2006/relationships/hyperlink" Target="https://www.ipbes.net/glossary/ecosystem-function" TargetMode="External"/><Relationship Id="rId4" Type="http://schemas.openxmlformats.org/officeDocument/2006/relationships/customXml" Target="../customXml/item4.xml"/><Relationship Id="rId180" Type="http://schemas.openxmlformats.org/officeDocument/2006/relationships/hyperlink" Target="http://www.sciencemag.org/content/346/6206/241.short" TargetMode="External"/><Relationship Id="rId236" Type="http://schemas.openxmlformats.org/officeDocument/2006/relationships/hyperlink" Target="mailto:shoban@mortonarb.org" TargetMode="External"/><Relationship Id="rId278" Type="http://schemas.openxmlformats.org/officeDocument/2006/relationships/hyperlink" Target="https://www.oecd.org/development/financing-sustainable-development/development-finance-standards/beyond-oda-foundations" TargetMode="External"/><Relationship Id="rId401" Type="http://schemas.openxmlformats.org/officeDocument/2006/relationships/hyperlink" Target="https://www.cbd.int/gbo5/" TargetMode="External"/><Relationship Id="rId443" Type="http://schemas.openxmlformats.org/officeDocument/2006/relationships/hyperlink" Target="https://www.bipindicators.net/indicators/proportion-of-fish-stocks-in-safe-biological-limits" TargetMode="External"/><Relationship Id="rId650" Type="http://schemas.openxmlformats.org/officeDocument/2006/relationships/hyperlink" Target="https://ec.europa.eu/eurostat/cache/metadata/en/nasa_10_f_esms.htm" TargetMode="External"/><Relationship Id="rId303" Type="http://schemas.openxmlformats.org/officeDocument/2006/relationships/hyperlink" Target="https://journal.hep.com.cn/laf/EN/10.15302/J-LAF-1-030010" TargetMode="External"/><Relationship Id="rId485" Type="http://schemas.openxmlformats.org/officeDocument/2006/relationships/hyperlink" Target="https://localbiodiversityoutlooks.net/" TargetMode="External"/><Relationship Id="rId692" Type="http://schemas.openxmlformats.org/officeDocument/2006/relationships/hyperlink" Target="https://unhabitat.org/sites/default/files/2019/02/Metadata-11.7.1_Edited_23-03-2018.pdf" TargetMode="External"/><Relationship Id="rId706" Type="http://schemas.openxmlformats.org/officeDocument/2006/relationships/hyperlink" Target="https://leap.unep.org/en/knowledge/glossary/risk-assessment" TargetMode="External"/><Relationship Id="rId42" Type="http://schemas.openxmlformats.org/officeDocument/2006/relationships/hyperlink" Target="https://www.unep.org/events/conference/bern-iii-conference-cooperation-among-biodiversity-related-conventions" TargetMode="External"/><Relationship Id="rId84" Type="http://schemas.openxmlformats.org/officeDocument/2006/relationships/hyperlink" Target="https://www.cbd.int/doc/c/f22d/ab58/236acdd54779ab58b97aecf1/ind-ahteg-2023-03-02-en.pdf" TargetMode="External"/><Relationship Id="rId138" Type="http://schemas.openxmlformats.org/officeDocument/2006/relationships/hyperlink" Target="https://github.com/BirdLifeInternational/rli-codes" TargetMode="External"/><Relationship Id="rId345" Type="http://schemas.openxmlformats.org/officeDocument/2006/relationships/hyperlink" Target="https://www.decadeonrestoration.org/types-ecosystem-restoration" TargetMode="External"/><Relationship Id="rId387" Type="http://schemas.openxmlformats.org/officeDocument/2006/relationships/hyperlink" Target="https://global-ecosystems.org/" TargetMode="External"/><Relationship Id="rId510" Type="http://schemas.openxmlformats.org/officeDocument/2006/relationships/hyperlink" Target="https://www.fao.org/sustainable-development-goals-data-portal/data/indicators/1521-sustainable-forest-management/en" TargetMode="External"/><Relationship Id="rId552" Type="http://schemas.openxmlformats.org/officeDocument/2006/relationships/hyperlink" Target="https://www.weforum.org/organizations/world-business-council-for-sustainable-development-wbcsd/" TargetMode="External"/><Relationship Id="rId594" Type="http://schemas.openxmlformats.org/officeDocument/2006/relationships/image" Target="media/image40.jpeg"/><Relationship Id="rId608" Type="http://schemas.openxmlformats.org/officeDocument/2006/relationships/hyperlink" Target="https://undocs.org/en/A/RES/34/151" TargetMode="External"/><Relationship Id="rId191" Type="http://schemas.openxmlformats.org/officeDocument/2006/relationships/hyperlink" Target="https://besjournals.onlinelibrary.wiley.com/doi/full/10.1111/1365-2664.14225" TargetMode="External"/><Relationship Id="rId205" Type="http://schemas.openxmlformats.org/officeDocument/2006/relationships/hyperlink" Target="https://doi.org/10.1111/conl.12953" TargetMode="External"/><Relationship Id="rId247" Type="http://schemas.openxmlformats.org/officeDocument/2006/relationships/hyperlink" Target="https://seea.un.org/ecosystem-accounting" TargetMode="External"/><Relationship Id="rId412" Type="http://schemas.openxmlformats.org/officeDocument/2006/relationships/hyperlink" Target="http://www.sciencedirect.com/science/article/pii/S0006320712000298" TargetMode="External"/><Relationship Id="rId107" Type="http://schemas.openxmlformats.org/officeDocument/2006/relationships/hyperlink" Target="https://seea.un.org/content/seea-e-learning-resources" TargetMode="External"/><Relationship Id="rId289" Type="http://schemas.openxmlformats.org/officeDocument/2006/relationships/hyperlink" Target="https://www.fao.org/3/i2801e/i2801e.pdf" TargetMode="External"/><Relationship Id="rId454" Type="http://schemas.openxmlformats.org/officeDocument/2006/relationships/hyperlink" Target="https://conbio.onlinelibrary.wiley.com/action/downloadSupplement?doi=10.1111%2Fconl.12981&amp;file=conl12981-sup-0001-SuppMat.pdf" TargetMode="External"/><Relationship Id="rId496" Type="http://schemas.openxmlformats.org/officeDocument/2006/relationships/hyperlink" Target="https://unstats.un.org/sdgs/metadata/" TargetMode="External"/><Relationship Id="rId661" Type="http://schemas.openxmlformats.org/officeDocument/2006/relationships/hyperlink" Target="https://www.ipbes.net/ias" TargetMode="External"/><Relationship Id="rId717" Type="http://schemas.openxmlformats.org/officeDocument/2006/relationships/hyperlink" Target="https://www.un.org/sustainabledevelopment/development-agenda/" TargetMode="External"/><Relationship Id="rId11" Type="http://schemas.openxmlformats.org/officeDocument/2006/relationships/image" Target="media/image1.emf"/><Relationship Id="rId53" Type="http://schemas.openxmlformats.org/officeDocument/2006/relationships/hyperlink" Target="https://unu.edu/publication/using-landscape-approaches-national-biodiversity-strategy-and-action-planning" TargetMode="External"/><Relationship Id="rId149" Type="http://schemas.openxmlformats.org/officeDocument/2006/relationships/hyperlink" Target="https://www.iucn.org/assessment/red-list-index" TargetMode="External"/><Relationship Id="rId314" Type="http://schemas.openxmlformats.org/officeDocument/2006/relationships/hyperlink" Target="https://intemares.es/sites/default/files/real_decreto_686-2021_de_3_de_agosto.pdf" TargetMode="External"/><Relationship Id="rId356" Type="http://schemas.openxmlformats.org/officeDocument/2006/relationships/hyperlink" Target="mailto:Julian.Fox@fao.org" TargetMode="External"/><Relationship Id="rId398" Type="http://schemas.openxmlformats.org/officeDocument/2006/relationships/hyperlink" Target="http://onlinelibrary.wiley.com/doi/10.1111/conl.12158/full" TargetMode="External"/><Relationship Id="rId521" Type="http://schemas.openxmlformats.org/officeDocument/2006/relationships/hyperlink" Target="https://data.unhabitat.org/" TargetMode="External"/><Relationship Id="rId563" Type="http://schemas.openxmlformats.org/officeDocument/2006/relationships/hyperlink" Target="https://ec.europa.eu/eurostat/documents/3859598/6923655/KS-GQ-15-005-EN-N.pdf/e3be619b-bb19-4486-ab23-132a83f6ff24?t=1570092920000" TargetMode="External"/><Relationship Id="rId619" Type="http://schemas.openxmlformats.org/officeDocument/2006/relationships/hyperlink" Target="https://www.ipbes.net/global-assessment" TargetMode="External"/><Relationship Id="rId95" Type="http://schemas.openxmlformats.org/officeDocument/2006/relationships/hyperlink" Target="https://www.futurelearn.com/courses/global-standard-for-assessing-risks-to-ecosystems" TargetMode="External"/><Relationship Id="rId160" Type="http://schemas.openxmlformats.org/officeDocument/2006/relationships/hyperlink" Target="http://www.sciencemag.org/content/328/5982/1164.short" TargetMode="External"/><Relationship Id="rId216" Type="http://schemas.openxmlformats.org/officeDocument/2006/relationships/hyperlink" Target="https://www.dffe.gov.za/content/management_plans/biodiversity" TargetMode="External"/><Relationship Id="rId423" Type="http://schemas.openxmlformats.org/officeDocument/2006/relationships/hyperlink" Target="http://www.sciencedirect.com/science/article/pii/S0006320705001412" TargetMode="External"/><Relationship Id="rId258" Type="http://schemas.openxmlformats.org/officeDocument/2006/relationships/hyperlink" Target="https://www.tossd.org/docs/reporting-instructions.pdf" TargetMode="External"/><Relationship Id="rId465" Type="http://schemas.openxmlformats.org/officeDocument/2006/relationships/hyperlink" Target="mailto:melodie.mcgeoch@monash.edu" TargetMode="External"/><Relationship Id="rId630" Type="http://schemas.openxmlformats.org/officeDocument/2006/relationships/hyperlink" Target="https://leap.unep.org/en/knowledge/glossary/compliance" TargetMode="External"/><Relationship Id="rId672" Type="http://schemas.openxmlformats.org/officeDocument/2006/relationships/hyperlink" Target="https://www.ipbes.net/glossary-tag/land-use-change" TargetMode="External"/><Relationship Id="rId728" Type="http://schemas.openxmlformats.org/officeDocument/2006/relationships/hyperlink" Target="https://unstats.un.org/unsd/environmentgl/" TargetMode="External"/><Relationship Id="rId22" Type="http://schemas.openxmlformats.org/officeDocument/2006/relationships/image" Target="media/image5.png"/><Relationship Id="rId64" Type="http://schemas.openxmlformats.org/officeDocument/2006/relationships/hyperlink" Target="https://www.ohchr.org/sites/default/files/Documents/Publications/Human_rights_indicators_en.pdf" TargetMode="External"/><Relationship Id="rId118" Type="http://schemas.openxmlformats.org/officeDocument/2006/relationships/hyperlink" Target="https://www.iucnredlist.org/resources/mappingstandards" TargetMode="External"/><Relationship Id="rId325" Type="http://schemas.openxmlformats.org/officeDocument/2006/relationships/hyperlink" Target="https://www.fao.org/fileadmin/user_upload/forest-landscape-restoration/Glossary_of_restoration_interventions__English_.pdf" TargetMode="External"/><Relationship Id="rId367" Type="http://schemas.openxmlformats.org/officeDocument/2006/relationships/image" Target="media/image25.png"/><Relationship Id="rId532" Type="http://schemas.openxmlformats.org/officeDocument/2006/relationships/hyperlink" Target="https://tnfd.global/wp-content/uploads/2023/09/Glossary_of_key_terms_v1.pdf?v=1702506695" TargetMode="External"/><Relationship Id="rId574" Type="http://schemas.openxmlformats.org/officeDocument/2006/relationships/hyperlink" Target="https://wedocs.unep.org/bitstream/handle/20.500.11822/28111/FossilFuel.pdf?sequence=1&amp;isAllowed=y" TargetMode="External"/><Relationship Id="rId171" Type="http://schemas.openxmlformats.org/officeDocument/2006/relationships/hyperlink" Target="https://portals.iucn.org/library/node/10336" TargetMode="External"/><Relationship Id="rId227" Type="http://schemas.openxmlformats.org/officeDocument/2006/relationships/hyperlink" Target="https://www.sciencedirect.com/science/article/pii/S0006320720307126" TargetMode="External"/><Relationship Id="rId269" Type="http://schemas.openxmlformats.org/officeDocument/2006/relationships/hyperlink" Target="https://one.oecd.org/document/DCD/DAC/STAT(2018)25/en/pdf" TargetMode="External"/><Relationship Id="rId434" Type="http://schemas.openxmlformats.org/officeDocument/2006/relationships/hyperlink" Target="https://doi.org/10.14284/386" TargetMode="External"/><Relationship Id="rId476" Type="http://schemas.openxmlformats.org/officeDocument/2006/relationships/hyperlink" Target="https://wedocs.unep.org/handle/20.500.11822/35086" TargetMode="External"/><Relationship Id="rId641" Type="http://schemas.openxmlformats.org/officeDocument/2006/relationships/hyperlink" Target="https://www.ipbes.net/assessment-reports/pollinators" TargetMode="External"/><Relationship Id="rId683" Type="http://schemas.openxmlformats.org/officeDocument/2006/relationships/hyperlink" Target="https://unstats.un.org/unsd/nationalaccount/sna.asp" TargetMode="External"/><Relationship Id="rId33" Type="http://schemas.openxmlformats.org/officeDocument/2006/relationships/hyperlink" Target="https://www.ohchr.org/sites/default/files/Documents/Issues/HRIndicators/GuidanceNoteonApproachtoData.pdf" TargetMode="External"/><Relationship Id="rId129" Type="http://schemas.openxmlformats.org/officeDocument/2006/relationships/hyperlink" Target="https://portals.iucn.org/library/node/10315" TargetMode="External"/><Relationship Id="rId280" Type="http://schemas.openxmlformats.org/officeDocument/2006/relationships/hyperlink" Target="https://www.oecd.org/development/financing-sustainable-development/development-finance-standards/mobilisation.htm" TargetMode="External"/><Relationship Id="rId336" Type="http://schemas.openxmlformats.org/officeDocument/2006/relationships/hyperlink" Target="https://leafcoalition.org/" TargetMode="External"/><Relationship Id="rId501" Type="http://schemas.openxmlformats.org/officeDocument/2006/relationships/image" Target="media/image33.png"/><Relationship Id="rId543" Type="http://schemas.openxmlformats.org/officeDocument/2006/relationships/hyperlink" Target="https://tnfd.global/" TargetMode="External"/><Relationship Id="rId75" Type="http://schemas.openxmlformats.org/officeDocument/2006/relationships/hyperlink" Target="https://www.ohchr.org/en/documents/general-comments-and-recommendations/general-recommendation-no39-2022-rights-indigeneous" TargetMode="External"/><Relationship Id="rId140" Type="http://schemas.openxmlformats.org/officeDocument/2006/relationships/hyperlink" Target="https://www.iucnredlist.org/search" TargetMode="External"/><Relationship Id="rId182" Type="http://schemas.openxmlformats.org/officeDocument/2006/relationships/hyperlink" Target="https://doi.org/10.1007/s10592-022-01492-0" TargetMode="External"/><Relationship Id="rId378" Type="http://schemas.openxmlformats.org/officeDocument/2006/relationships/hyperlink" Target="https://www.protectedplanet.net/" TargetMode="External"/><Relationship Id="rId403" Type="http://schemas.openxmlformats.org/officeDocument/2006/relationships/hyperlink" Target="http://unep-wcmc.org/system/dataset_file_fields/files/000/000/263/original/2014_UN_List_of_Protected_Areas_EN_web.PDF?1415613322" TargetMode="External"/><Relationship Id="rId585" Type="http://schemas.openxmlformats.org/officeDocument/2006/relationships/hyperlink" Target="https://doi.org/10.1787/9c3ad238-en" TargetMode="External"/><Relationship Id="rId6" Type="http://schemas.openxmlformats.org/officeDocument/2006/relationships/styles" Target="styles.xml"/><Relationship Id="rId238" Type="http://schemas.openxmlformats.org/officeDocument/2006/relationships/hyperlink" Target="mailto:amastretta@conabio.gob.mx" TargetMode="External"/><Relationship Id="rId445" Type="http://schemas.openxmlformats.org/officeDocument/2006/relationships/hyperlink" Target="mailto:marc.taconet@fao.org" TargetMode="External"/><Relationship Id="rId487" Type="http://schemas.openxmlformats.org/officeDocument/2006/relationships/hyperlink" Target="https://docs.google.com/spreadsheets/d/13HdhGVTS5fbSoeZ78DOD7t0b4uUuUhX7yhJCr2jyHfk/edit?usp=sharing" TargetMode="External"/><Relationship Id="rId610" Type="http://schemas.openxmlformats.org/officeDocument/2006/relationships/hyperlink" Target="https://undocs.org/en/A/RES/36/28" TargetMode="External"/><Relationship Id="rId652" Type="http://schemas.openxmlformats.org/officeDocument/2006/relationships/hyperlink" Target="https://seea.un.org/sites/seea.un.org/files/documents/EA/seea_ea_white_cover_final.pdf" TargetMode="External"/><Relationship Id="rId694" Type="http://schemas.openxmlformats.org/officeDocument/2006/relationships/hyperlink" Target="https://seea.un.org/sites/seea.un.org/files/documents/EA/seea_ea_white_cover_final.pdf" TargetMode="External"/><Relationship Id="rId708" Type="http://schemas.openxmlformats.org/officeDocument/2006/relationships/hyperlink" Target="https://www.ncbi.nlm.nih.gov/pmc/articles/PMC5491675/" TargetMode="External"/><Relationship Id="rId291" Type="http://schemas.openxmlformats.org/officeDocument/2006/relationships/hyperlink" Target="https://www.mspglobal2030.org/wp-content/uploads/2022/05/StOR_MSP_SupplementaryMaterial_2022-1.pdf" TargetMode="External"/><Relationship Id="rId305" Type="http://schemas.openxmlformats.org/officeDocument/2006/relationships/hyperlink" Target="https://www.midatlanticocean.org/ocean-planning/about-ocean-planning/" TargetMode="External"/><Relationship Id="rId347" Type="http://schemas.openxmlformats.org/officeDocument/2006/relationships/hyperlink" Target="https://www.protectedplanet.net/en/thematic-areas/wdpa?tab=WDPA" TargetMode="External"/><Relationship Id="rId512" Type="http://schemas.openxmlformats.org/officeDocument/2006/relationships/hyperlink" Target="http://www.fao.org/3/I8661EN/i8661en.pdf" TargetMode="External"/><Relationship Id="rId44" Type="http://schemas.openxmlformats.org/officeDocument/2006/relationships/hyperlink" Target="https://localbiodiversityoutlooks.net/" TargetMode="External"/><Relationship Id="rId86" Type="http://schemas.openxmlformats.org/officeDocument/2006/relationships/hyperlink" Target="https://doi.org/10.1016/j.biocon.2020.108834" TargetMode="External"/><Relationship Id="rId151" Type="http://schemas.openxmlformats.org/officeDocument/2006/relationships/hyperlink" Target="http://www.bipindicators.net/rli/2010" TargetMode="External"/><Relationship Id="rId389" Type="http://schemas.openxmlformats.org/officeDocument/2006/relationships/hyperlink" Target="https://unstats.un.org/sdgs/metadata/files/Metadata-15-01-02.pdf" TargetMode="External"/><Relationship Id="rId554" Type="http://schemas.openxmlformats.org/officeDocument/2006/relationships/hyperlink" Target="http://oe.cd/pinedatabase" TargetMode="External"/><Relationship Id="rId596" Type="http://schemas.openxmlformats.org/officeDocument/2006/relationships/hyperlink" Target="https://unterm.un.org/unterm2/display/record/UNTERM/7A56E07A5C55446285256BB2005D11F0" TargetMode="External"/><Relationship Id="rId193" Type="http://schemas.openxmlformats.org/officeDocument/2006/relationships/hyperlink" Target="https://doi.org/10.32942/X2QK5W" TargetMode="External"/><Relationship Id="rId207" Type="http://schemas.openxmlformats.org/officeDocument/2006/relationships/hyperlink" Target="https://doi.org/10.32942/X2QK5W" TargetMode="External"/><Relationship Id="rId249" Type="http://schemas.openxmlformats.org/officeDocument/2006/relationships/hyperlink" Target="https://seea.un.org/content/seea-e-learning-resources" TargetMode="External"/><Relationship Id="rId414" Type="http://schemas.openxmlformats.org/officeDocument/2006/relationships/hyperlink" Target="http://parksjournal.com/wp-content/uploads/2014/10/PARKS-20.2-Jonas-et-al-10.2305IUCN.CH_.2014.PARKS-20-2.HDJ_.en_.pdf" TargetMode="External"/><Relationship Id="rId456" Type="http://schemas.openxmlformats.org/officeDocument/2006/relationships/hyperlink" Target="https://doi.org/10.1038/sdata.2017.202" TargetMode="External"/><Relationship Id="rId498" Type="http://schemas.openxmlformats.org/officeDocument/2006/relationships/hyperlink" Target="http://www.fao.org/3/I8661EN/i8661en.pdf" TargetMode="External"/><Relationship Id="rId621" Type="http://schemas.openxmlformats.org/officeDocument/2006/relationships/hyperlink" Target="https://www.oecd-ilibrary.org/sites/45adbd0e-en/index.html?itemId=/content/component/45adbd0e-en" TargetMode="External"/><Relationship Id="rId663" Type="http://schemas.openxmlformats.org/officeDocument/2006/relationships/hyperlink" Target="https://www.un.org/esa/socdev/rwss/2016/chapter1.pdf" TargetMode="External"/><Relationship Id="rId13" Type="http://schemas.openxmlformats.org/officeDocument/2006/relationships/image" Target="media/image3.png"/><Relationship Id="rId109" Type="http://schemas.openxmlformats.org/officeDocument/2006/relationships/hyperlink" Target="https://seea.un.org/content/aries-for-seea" TargetMode="External"/><Relationship Id="rId260" Type="http://schemas.openxmlformats.org/officeDocument/2006/relationships/hyperlink" Target="https://www.bipindicators.net/indicators/official-development-assistance-provided-in-support-of-the-convention" TargetMode="External"/><Relationship Id="rId316" Type="http://schemas.openxmlformats.org/officeDocument/2006/relationships/hyperlink" Target="https://wwfeu.awsassets.panda.org/downloads/hob_spatial_planning_report_fa_web.pdf" TargetMode="External"/><Relationship Id="rId523" Type="http://schemas.openxmlformats.org/officeDocument/2006/relationships/hyperlink" Target="https://unstats.un.org/sdgs/metadata/files/Metadata-11-07-01.pdf" TargetMode="External"/><Relationship Id="rId719" Type="http://schemas.openxmlformats.org/officeDocument/2006/relationships/hyperlink" Target="https://ec.europa.eu/finance/docs/level-2-measures/csrd-delegated-act-2023-5303-annex-2_en.pdf" TargetMode="External"/><Relationship Id="rId55" Type="http://schemas.openxmlformats.org/officeDocument/2006/relationships/hyperlink" Target="https://www.forestpeoples.org/sites/fpp/files/publication/2015/11/fpp-2015-cbmis-and-cbd.pdf" TargetMode="External"/><Relationship Id="rId97" Type="http://schemas.openxmlformats.org/officeDocument/2006/relationships/hyperlink" Target="https://iucnrle.org/rle-material-and-tools" TargetMode="External"/><Relationship Id="rId120" Type="http://schemas.openxmlformats.org/officeDocument/2006/relationships/hyperlink" Target="https://nc.iucnredlist.org/redlist/content/attachment_files/Rules_of_Procedure_for_IUCN_Red_List_2017-2020.pdf" TargetMode="External"/><Relationship Id="rId358" Type="http://schemas.openxmlformats.org/officeDocument/2006/relationships/hyperlink" Target="https://www.fao.org/forest-resources-assessment/en/" TargetMode="External"/><Relationship Id="rId565" Type="http://schemas.openxmlformats.org/officeDocument/2006/relationships/hyperlink" Target="https://doi.org/10.1787/6bc916e7-en" TargetMode="External"/><Relationship Id="rId730" Type="http://schemas.openxmlformats.org/officeDocument/2006/relationships/hyperlink" Target="https://www.ipbes.net/global-assessment" TargetMode="External"/><Relationship Id="rId162" Type="http://schemas.openxmlformats.org/officeDocument/2006/relationships/hyperlink" Target="https://www.cbd.int/gbo4/" TargetMode="External"/><Relationship Id="rId218" Type="http://schemas.openxmlformats.org/officeDocument/2006/relationships/hyperlink" Target="http://about:blank/" TargetMode="External"/><Relationship Id="rId425" Type="http://schemas.openxmlformats.org/officeDocument/2006/relationships/hyperlink" Target="http://www.nature.com/nature/journal/v428/n6983/abs/nature02422.html" TargetMode="External"/><Relationship Id="rId467" Type="http://schemas.openxmlformats.org/officeDocument/2006/relationships/hyperlink" Target="mailto:s.pagad@auckland.ac.nz" TargetMode="External"/><Relationship Id="rId632" Type="http://schemas.openxmlformats.org/officeDocument/2006/relationships/hyperlink" Target="https://ec.europa.eu/finance/docs/level-2-measures/csrd-delegated-act-2023-5303-annex-2_en.pdf" TargetMode="External"/><Relationship Id="rId271" Type="http://schemas.openxmlformats.org/officeDocument/2006/relationships/hyperlink" Target="https://data.imf.org/?sk=5804c5e1-0502-4672-bdcd-671bcdc565a9" TargetMode="External"/><Relationship Id="rId674" Type="http://schemas.openxmlformats.org/officeDocument/2006/relationships/hyperlink" Target="https://thedocs.worldbank.org/en/doc/717891604534837739-0090022020/original/110520MakingItBigWhyDevelopingCountriesNeedMoreLargeFirms.pdf" TargetMode="External"/><Relationship Id="rId24" Type="http://schemas.openxmlformats.org/officeDocument/2006/relationships/image" Target="media/image7.png"/><Relationship Id="rId66" Type="http://schemas.openxmlformats.org/officeDocument/2006/relationships/hyperlink" Target="https://www.ohchr.org/sites/default/files/Documents/Issues/HRIndicators/GuidanceNoteonApproachtoData.pdf" TargetMode="External"/><Relationship Id="rId131" Type="http://schemas.openxmlformats.org/officeDocument/2006/relationships/hyperlink" Target="http://goo.gl/O52euG" TargetMode="External"/><Relationship Id="rId327" Type="http://schemas.openxmlformats.org/officeDocument/2006/relationships/hyperlink" Target="https://www.cbd.int/nbsap/" TargetMode="External"/><Relationship Id="rId369" Type="http://schemas.openxmlformats.org/officeDocument/2006/relationships/hyperlink" Target="https://protect-eu.mimecast.com/s/WcOiCmgzSjg4v9CGDzbv?domain=keybiodiversityareas.org" TargetMode="External"/><Relationship Id="rId534" Type="http://schemas.openxmlformats.org/officeDocument/2006/relationships/hyperlink" Target="https://tnfd.global/wp-content/uploads/2023/08/Guidance_on_the_identification_and_assessment_of_nature-related_Issues_The_TNFD_LEAP_approach_V1.1_October2023.pdf?v=1698403116" TargetMode="External"/><Relationship Id="rId576" Type="http://schemas.openxmlformats.org/officeDocument/2006/relationships/hyperlink" Target="mailto:fish.contact@oecd.org" TargetMode="External"/><Relationship Id="rId173" Type="http://schemas.openxmlformats.org/officeDocument/2006/relationships/hyperlink" Target="http://www.iucnredlist.org/" TargetMode="External"/><Relationship Id="rId229" Type="http://schemas.openxmlformats.org/officeDocument/2006/relationships/hyperlink" Target="https://doi.org/10.1111/conl.12953" TargetMode="External"/><Relationship Id="rId380" Type="http://schemas.openxmlformats.org/officeDocument/2006/relationships/hyperlink" Target="https://www.ibat-alliance.org/country_profiles?locale=en" TargetMode="External"/><Relationship Id="rId436" Type="http://schemas.openxmlformats.org/officeDocument/2006/relationships/hyperlink" Target="https://www.fao.org/faoterm/en/?defaultCollId=21" TargetMode="External"/><Relationship Id="rId601" Type="http://schemas.openxmlformats.org/officeDocument/2006/relationships/hyperlink" Target="https://can01.safelinks.protection.outlook.com/?url=https%3A%2F%2Fwww.speciesmonitoring.org%2Fschemes.html&amp;data=05%7C02%7Candrew.gonzalez%40mcgill.ca%7C1348435dc89f4375301008dc427f62c0%7Ccd31967152e74a68afa9fcf8f89f09ea%7C0%7C0%7C638458362086749964%7CUnknown%7CTWFpbGZsb3d8eyJWIjoiMC4wLjAwMDAiLCJQIjoiV2luMzIiLCJBTiI6Ik1haWwiLCJXVCI6Mn0%3D%7C0%7C%7C%7C&amp;sdata=DL7y3xLuAB%2F%2F9ElJpCK4f6xYkHbES4c3Tjb7RMi9GB0%3D&amp;reserved=0" TargetMode="External"/><Relationship Id="rId643" Type="http://schemas.openxmlformats.org/officeDocument/2006/relationships/hyperlink" Target="https://seea.un.org/sites/seea.un.org/files/documents/EA/seea_ea_white_cover_final.pdf" TargetMode="External"/><Relationship Id="rId240" Type="http://schemas.openxmlformats.org/officeDocument/2006/relationships/hyperlink" Target="mailto:info@geobon.org" TargetMode="External"/><Relationship Id="rId478" Type="http://schemas.openxmlformats.org/officeDocument/2006/relationships/hyperlink" Target="https://www.unenvironment.org/explore-topics/oceans-seas/what-wedo/working-regional-seas" TargetMode="External"/><Relationship Id="rId685" Type="http://schemas.openxmlformats.org/officeDocument/2006/relationships/hyperlink" Target="https://www.cbd.int/doc/pa/tools/National%20Capacity%20Self%20Assessment.pdf" TargetMode="External"/><Relationship Id="rId35" Type="http://schemas.openxmlformats.org/officeDocument/2006/relationships/hyperlink" Target="https://cbdwomenscaucus.org/wp-content/uploads/2024/07/Target-23-Gender-indicators-Briefer_final_compressed-1.pdf" TargetMode="External"/><Relationship Id="rId77" Type="http://schemas.openxmlformats.org/officeDocument/2006/relationships/hyperlink" Target="https://www.un.org/sites/un2.un.org/files/our-common-agenda-policy-brief-youth-engagement-en.pdf" TargetMode="External"/><Relationship Id="rId100" Type="http://schemas.openxmlformats.org/officeDocument/2006/relationships/hyperlink" Target="https://assessments.iucnrle.org" TargetMode="External"/><Relationship Id="rId282" Type="http://schemas.openxmlformats.org/officeDocument/2006/relationships/hyperlink" Target="https://unitednations.sharepoint.com/:w:/r/sites/MEA-CBD-Secretariat/_layouts/15/Doc.aspx?sourcedoc=%7B70129BE5-FB54-4802-A605-007D3387CE8B%7D&amp;file=1.1%20Percent%20of%20land%20and%20sea%20area%20covered%20by%20biodiversity-inclusive%20spatial%20plans.docx&amp;action=default&amp;mobileredirect=true" TargetMode="External"/><Relationship Id="rId338" Type="http://schemas.openxmlformats.org/officeDocument/2006/relationships/hyperlink" Target="https://ferm.fao.org/" TargetMode="External"/><Relationship Id="rId503" Type="http://schemas.openxmlformats.org/officeDocument/2006/relationships/image" Target="media/image35.png"/><Relationship Id="rId545" Type="http://schemas.openxmlformats.org/officeDocument/2006/relationships/hyperlink" Target="https://www.globalreporting.org/" TargetMode="External"/><Relationship Id="rId587" Type="http://schemas.openxmlformats.org/officeDocument/2006/relationships/hyperlink" Target="https://ec.europa.eu/eurostat/documents/3859598/6923655/KS-GQ-15-005-EN-N.pdf/e3be619b-bb19-4486-ab23-132a83f6ff24" TargetMode="External"/><Relationship Id="rId710" Type="http://schemas.openxmlformats.org/officeDocument/2006/relationships/hyperlink" Target="https://seea.un.org/sites/seea.un.org/files/documents/EA/seea_ea_white_cover_final.pdf" TargetMode="External"/><Relationship Id="rId8" Type="http://schemas.openxmlformats.org/officeDocument/2006/relationships/webSettings" Target="webSettings.xml"/><Relationship Id="rId142" Type="http://schemas.openxmlformats.org/officeDocument/2006/relationships/hyperlink" Target="https://ibat-alliance.org/country_profiles" TargetMode="External"/><Relationship Id="rId184" Type="http://schemas.openxmlformats.org/officeDocument/2006/relationships/hyperlink" Target="https://doi.org/10.1007/s10592-022-01492-0" TargetMode="External"/><Relationship Id="rId391" Type="http://schemas.openxmlformats.org/officeDocument/2006/relationships/hyperlink" Target="https://www.bipindicators.net/indicators/coverage-of-protected-areas-terrestrial-and-marine" TargetMode="External"/><Relationship Id="rId405" Type="http://schemas.openxmlformats.org/officeDocument/2006/relationships/hyperlink" Target="https://doi.org/10.1093/biosci/bix014" TargetMode="External"/><Relationship Id="rId447" Type="http://schemas.openxmlformats.org/officeDocument/2006/relationships/hyperlink" Target="https://www.fao.org/sustainable-development-goals/indicators/1441/en/" TargetMode="External"/><Relationship Id="rId612" Type="http://schemas.openxmlformats.org/officeDocument/2006/relationships/hyperlink" Target="https://www.ohchr.org/sites/default/files/cedaw.pdf" TargetMode="External"/><Relationship Id="rId251" Type="http://schemas.openxmlformats.org/officeDocument/2006/relationships/hyperlink" Target="mailto:seea@un.org" TargetMode="External"/><Relationship Id="rId489" Type="http://schemas.openxmlformats.org/officeDocument/2006/relationships/image" Target="media/image30.png"/><Relationship Id="rId654" Type="http://schemas.openxmlformats.org/officeDocument/2006/relationships/hyperlink" Target="https://www.fao.org/3/I8661EN/i8661en.pdf" TargetMode="External"/><Relationship Id="rId696" Type="http://schemas.openxmlformats.org/officeDocument/2006/relationships/hyperlink" Target="https://journals.muni.cz/socialni_studia/article/view/35675" TargetMode="External"/><Relationship Id="rId46" Type="http://schemas.openxmlformats.org/officeDocument/2006/relationships/hyperlink" Target="http://ELATIA" TargetMode="External"/><Relationship Id="rId293" Type="http://schemas.openxmlformats.org/officeDocument/2006/relationships/hyperlink" Target="https://www.mapsofhope.org/" TargetMode="External"/><Relationship Id="rId307" Type="http://schemas.openxmlformats.org/officeDocument/2006/relationships/hyperlink" Target="https://niueoceanwide.com/" TargetMode="External"/><Relationship Id="rId349" Type="http://schemas.openxmlformats.org/officeDocument/2006/relationships/hyperlink" Target="https://ferm.fao.org/" TargetMode="External"/><Relationship Id="rId514" Type="http://schemas.openxmlformats.org/officeDocument/2006/relationships/hyperlink" Target="https://unhabitat.org/sites/default/files/2020/07/indicator_11.7.1_training_module_public_space.pdf" TargetMode="External"/><Relationship Id="rId556" Type="http://schemas.openxmlformats.org/officeDocument/2006/relationships/hyperlink" Target="mailto:katia.karousakis@oecd.org" TargetMode="External"/><Relationship Id="rId721" Type="http://schemas.openxmlformats.org/officeDocument/2006/relationships/hyperlink" Target="https://portals.iucn.org/library/node/10315" TargetMode="External"/><Relationship Id="rId88" Type="http://schemas.openxmlformats.org/officeDocument/2006/relationships/hyperlink" Target="https://doi.org/10.32942/osf.io/y86ar" TargetMode="External"/><Relationship Id="rId111" Type="http://schemas.openxmlformats.org/officeDocument/2006/relationships/hyperlink" Target="https://seea.un.org/ecosystem-accounting" TargetMode="External"/><Relationship Id="rId153" Type="http://schemas.openxmlformats.org/officeDocument/2006/relationships/hyperlink" Target="http://www.tandfonline.com/doi/pdf/10.1080/14888386.2015.1075903" TargetMode="External"/><Relationship Id="rId195" Type="http://schemas.openxmlformats.org/officeDocument/2006/relationships/hyperlink" Target="https://www.sciencedirect.com/science/article/pii/S0006320720307126" TargetMode="External"/><Relationship Id="rId209" Type="http://schemas.openxmlformats.org/officeDocument/2006/relationships/hyperlink" Target="https://ee.kobotoolbox.org/preview/2KDHEWrb" TargetMode="External"/><Relationship Id="rId360" Type="http://schemas.openxmlformats.org/officeDocument/2006/relationships/hyperlink" Target="https://doi.org/10.1038/s41586-022-05318-4" TargetMode="External"/><Relationship Id="rId416" Type="http://schemas.openxmlformats.org/officeDocument/2006/relationships/hyperlink" Target="http://bioscience.oxfordjournals.org/content/57/3/256.short" TargetMode="External"/><Relationship Id="rId598" Type="http://schemas.openxmlformats.org/officeDocument/2006/relationships/hyperlink" Target="https://doi.org/10.1007/978-94-007-6165-0_367-2" TargetMode="External"/><Relationship Id="rId220" Type="http://schemas.openxmlformats.org/officeDocument/2006/relationships/hyperlink" Target="https://biodiversidad.co/" TargetMode="External"/><Relationship Id="rId458" Type="http://schemas.openxmlformats.org/officeDocument/2006/relationships/hyperlink" Target="https://www.cbd.int/countries" TargetMode="External"/><Relationship Id="rId623" Type="http://schemas.openxmlformats.org/officeDocument/2006/relationships/hyperlink" Target="https://unstats.un.org/sdgs/metadata/files/Metadata-11-07-01.pdf" TargetMode="External"/><Relationship Id="rId665" Type="http://schemas.openxmlformats.org/officeDocument/2006/relationships/hyperlink" Target="https://www.ipbes.net/global-assessment" TargetMode="External"/><Relationship Id="rId15" Type="http://schemas.openxmlformats.org/officeDocument/2006/relationships/hyperlink" Target="https://www.cbd.int/documents/CBD/SBSTTA/26/INF/12" TargetMode="External"/><Relationship Id="rId57" Type="http://schemas.openxmlformats.org/officeDocument/2006/relationships/hyperlink" Target="https://www.annualreviews.org/content/journals/10.1146/annurev-environ-012220-012127" TargetMode="External"/><Relationship Id="rId262" Type="http://schemas.openxmlformats.org/officeDocument/2006/relationships/hyperlink" Target="mailto:Giorgio.GUALBERTl@oecd.org" TargetMode="External"/><Relationship Id="rId318" Type="http://schemas.openxmlformats.org/officeDocument/2006/relationships/hyperlink" Target="http://applewebdata/E3E9E917-A418-41F4-B67F-7D260B815D7D" TargetMode="External"/><Relationship Id="rId525" Type="http://schemas.openxmlformats.org/officeDocument/2006/relationships/hyperlink" Target="mailto:robert.ndugwa@un.org" TargetMode="External"/><Relationship Id="rId567" Type="http://schemas.openxmlformats.org/officeDocument/2006/relationships/hyperlink" Target="https://www.oecd-ilibrary.org/trade/oecd-review-of-fisheries-policies-and-summary-statistics_22254323" TargetMode="External"/><Relationship Id="rId732" Type="http://schemas.openxmlformats.org/officeDocument/2006/relationships/hyperlink" Target="https://seea.un.org/sites/seea.un.org/files/documents/EA/seea_ea_white_cover_final.pdf" TargetMode="External"/><Relationship Id="rId99" Type="http://schemas.openxmlformats.org/officeDocument/2006/relationships/hyperlink" Target="https://github.com/red-list-ecosystem/rle_indices" TargetMode="External"/><Relationship Id="rId122" Type="http://schemas.openxmlformats.org/officeDocument/2006/relationships/hyperlink" Target="http://www.iucnredlist.org/" TargetMode="External"/><Relationship Id="rId164" Type="http://schemas.openxmlformats.org/officeDocument/2006/relationships/hyperlink" Target="https://www.cbd.int/doc/decisions/cop-15/cop-15-dec-05-en.pdf" TargetMode="External"/><Relationship Id="rId371" Type="http://schemas.openxmlformats.org/officeDocument/2006/relationships/hyperlink" Target="http://www.keybiodiversityareas.org/working-with-kbas/proposing-updating" TargetMode="External"/><Relationship Id="rId427" Type="http://schemas.openxmlformats.org/officeDocument/2006/relationships/hyperlink" Target="https://github.com/BirdLifeInternational/kba-overlap" TargetMode="External"/><Relationship Id="rId469" Type="http://schemas.openxmlformats.org/officeDocument/2006/relationships/hyperlink" Target="http://dx.doi.org/10.1016/j.biocon.2016.06.013" TargetMode="External"/><Relationship Id="rId634" Type="http://schemas.openxmlformats.org/officeDocument/2006/relationships/hyperlink" Target="https://www.ipbes.net/the-values-assessment" TargetMode="External"/><Relationship Id="rId676" Type="http://schemas.openxmlformats.org/officeDocument/2006/relationships/hyperlink" Target="https://www.ipbes.net/sustainable-use-assessment" TargetMode="External"/><Relationship Id="rId26" Type="http://schemas.openxmlformats.org/officeDocument/2006/relationships/hyperlink" Target="https://www.canada.ca/en/environment-climate-change/services/biodiversity/national-biodiversity-strategy/milestone-document.html" TargetMode="External"/><Relationship Id="rId231" Type="http://schemas.openxmlformats.org/officeDocument/2006/relationships/hyperlink" Target="https://boninabox.geobon.org/index" TargetMode="External"/><Relationship Id="rId273" Type="http://schemas.openxmlformats.org/officeDocument/2006/relationships/hyperlink" Target="https://www.biofin.org/biofin-around-world" TargetMode="External"/><Relationship Id="rId329" Type="http://schemas.openxmlformats.org/officeDocument/2006/relationships/hyperlink" Target="https://rsis.ramsar.org/" TargetMode="External"/><Relationship Id="rId480" Type="http://schemas.openxmlformats.org/officeDocument/2006/relationships/hyperlink" Target="http://www.cbd.int/doc/decisions/cop-15/cop-15-dec-04-en.pdf" TargetMode="External"/><Relationship Id="rId536" Type="http://schemas.openxmlformats.org/officeDocument/2006/relationships/hyperlink" Target="https://capitalscoalition.org/capitals-approach/natural-capital-protocol/?fwp_filter_tabs=guide_supplement" TargetMode="External"/><Relationship Id="rId701" Type="http://schemas.openxmlformats.org/officeDocument/2006/relationships/hyperlink" Target="https://unhabitat.org/sites/default/files/2019/02/Metadata-11.7.1_Edited_23-03-2018.pdf" TargetMode="External"/><Relationship Id="rId68" Type="http://schemas.openxmlformats.org/officeDocument/2006/relationships/hyperlink" Target="https://www.cbd.int/doc/c/93f6/fcd9/4cb5a6fad7bcefe994d72e9f/wg2020-03-inf-10-en.pdf" TargetMode="External"/><Relationship Id="rId133" Type="http://schemas.openxmlformats.org/officeDocument/2006/relationships/hyperlink" Target="https://cmsdocs.s3.amazonaws.com/keydocuments/Details_of_the_Steps_Involved_in_the_IUCN_Red_List_Process.pdf" TargetMode="External"/><Relationship Id="rId175" Type="http://schemas.openxmlformats.org/officeDocument/2006/relationships/hyperlink" Target="http://onlinelibrary.wiley.com/doi/10.1111/j.1472-4642.2009.00633.x/abstract" TargetMode="External"/><Relationship Id="rId340" Type="http://schemas.openxmlformats.org/officeDocument/2006/relationships/hyperlink" Target="https://reporting.unccd.int/account/login/?next=/" TargetMode="External"/><Relationship Id="rId578" Type="http://schemas.openxmlformats.org/officeDocument/2006/relationships/hyperlink" Target="mailto:martin.vonlampe@oecd.org" TargetMode="External"/><Relationship Id="rId200" Type="http://schemas.openxmlformats.org/officeDocument/2006/relationships/hyperlink" Target="https://www.iucn.org/resources/publication/selecting-species-and-populations-monitoring-genetic-diversity" TargetMode="External"/><Relationship Id="rId382" Type="http://schemas.openxmlformats.org/officeDocument/2006/relationships/hyperlink" Target="https://www.keybiodiversityareas.org/working-with-kbas/proposing-updating/proposal-process" TargetMode="External"/><Relationship Id="rId438" Type="http://schemas.openxmlformats.org/officeDocument/2006/relationships/hyperlink" Target="https://unstats.un.org/sdgs/metadata/files/Metadata-14-04-01.pdf" TargetMode="External"/><Relationship Id="rId603" Type="http://schemas.openxmlformats.org/officeDocument/2006/relationships/hyperlink" Target="https://www.tandfonline.com/doi/abs/10.1080/14888386.2015.1074111" TargetMode="External"/><Relationship Id="rId645" Type="http://schemas.openxmlformats.org/officeDocument/2006/relationships/hyperlink" Target="https://www.un.org/womenwatch/daw/cedaw/" TargetMode="External"/><Relationship Id="rId687" Type="http://schemas.openxmlformats.org/officeDocument/2006/relationships/hyperlink" Target="https://unfccc.int/process-and-meetings/the-paris-agreement/nationally-determined-contributions-ndcs" TargetMode="External"/><Relationship Id="rId242" Type="http://schemas.openxmlformats.org/officeDocument/2006/relationships/hyperlink" Target="https://doi.org/10.1007/s10592-021-01359-w" TargetMode="External"/><Relationship Id="rId284" Type="http://schemas.openxmlformats.org/officeDocument/2006/relationships/hyperlink" Target="https://www.cbd.int/doc/c/e2dd/6b6c/eaa4784e9111c58d6fd787ae/wg2020-04-02-en.pdf" TargetMode="External"/><Relationship Id="rId491" Type="http://schemas.openxmlformats.org/officeDocument/2006/relationships/hyperlink" Target="https://www.fao.org/3/ca7154en/ca7154en.pdf" TargetMode="External"/><Relationship Id="rId505" Type="http://schemas.openxmlformats.org/officeDocument/2006/relationships/image" Target="media/image37.png"/><Relationship Id="rId712" Type="http://schemas.openxmlformats.org/officeDocument/2006/relationships/hyperlink" Target="https://seea.un.org/sites/seea.un.org/files/documents/EA/seea_ea_white_cover_final.pdf" TargetMode="External"/><Relationship Id="rId37" Type="http://schemas.openxmlformats.org/officeDocument/2006/relationships/hyperlink" Target="https://www.ohchr.org/sites/default/files/Documents/Issues/HRIndicators/GuidanceNoteonApproachtoData.pdf" TargetMode="External"/><Relationship Id="rId79" Type="http://schemas.openxmlformats.org/officeDocument/2006/relationships/header" Target="header1.xml"/><Relationship Id="rId102" Type="http://schemas.openxmlformats.org/officeDocument/2006/relationships/hyperlink" Target="https://portals.iucn.org/library/node/51533" TargetMode="External"/><Relationship Id="rId144" Type="http://schemas.openxmlformats.org/officeDocument/2006/relationships/hyperlink" Target="https://www.bipindicators.net/indicators/red-list-index" TargetMode="External"/><Relationship Id="rId547" Type="http://schemas.openxmlformats.org/officeDocument/2006/relationships/hyperlink" Target="https://unstats.un.org/sdgs/dataportal/database" TargetMode="External"/><Relationship Id="rId589" Type="http://schemas.openxmlformats.org/officeDocument/2006/relationships/hyperlink" Target="https://doi.org/10.1787/b14de474-en" TargetMode="External"/><Relationship Id="rId90" Type="http://schemas.openxmlformats.org/officeDocument/2006/relationships/image" Target="media/image10.emf"/><Relationship Id="rId186" Type="http://schemas.openxmlformats.org/officeDocument/2006/relationships/image" Target="media/image13.png"/><Relationship Id="rId351" Type="http://schemas.openxmlformats.org/officeDocument/2006/relationships/hyperlink" Target="https://www.wocat.net/en/" TargetMode="External"/><Relationship Id="rId393" Type="http://schemas.openxmlformats.org/officeDocument/2006/relationships/hyperlink" Target="https://www.protectedplanet.net/en/resources/calculating-protected-area-coverage" TargetMode="External"/><Relationship Id="rId407" Type="http://schemas.openxmlformats.org/officeDocument/2006/relationships/hyperlink" Target="http://onlinelibrary.wiley.com/doi/10.1002/aqc.902/abstract" TargetMode="External"/><Relationship Id="rId449" Type="http://schemas.openxmlformats.org/officeDocument/2006/relationships/hyperlink" Target="https://unstats.un.org/sdgs/dataportal" TargetMode="External"/><Relationship Id="rId614" Type="http://schemas.openxmlformats.org/officeDocument/2006/relationships/hyperlink" Target="https://unstats.un.org/sdgs/metadata/files/Metadata-16-10-02.pdf" TargetMode="External"/><Relationship Id="rId656" Type="http://schemas.openxmlformats.org/officeDocument/2006/relationships/hyperlink" Target="https://www.unicef.org/rosa/media/1761/file/Genderglossarytermsandconcepts.pdf" TargetMode="External"/><Relationship Id="rId211" Type="http://schemas.openxmlformats.org/officeDocument/2006/relationships/hyperlink" Target="https://www.coalitionforconservationgenetics.org/publications" TargetMode="External"/><Relationship Id="rId253" Type="http://schemas.openxmlformats.org/officeDocument/2006/relationships/hyperlink" Target="https://seea.un.org/ecosystem-accounting" TargetMode="External"/><Relationship Id="rId295" Type="http://schemas.openxmlformats.org/officeDocument/2006/relationships/hyperlink" Target="https://www.cbd.int/protected/2021globalreport.shtml" TargetMode="External"/><Relationship Id="rId309" Type="http://schemas.openxmlformats.org/officeDocument/2006/relationships/hyperlink" Target="https://wedocs.unep.org/handle/20.500.11822/44333" TargetMode="External"/><Relationship Id="rId460" Type="http://schemas.openxmlformats.org/officeDocument/2006/relationships/hyperlink" Target="https://doi.org/10.1111/conl.12981" TargetMode="External"/><Relationship Id="rId516" Type="http://schemas.openxmlformats.org/officeDocument/2006/relationships/hyperlink" Target="https://ee.kobotoolbox.org/x/" TargetMode="External"/><Relationship Id="rId698" Type="http://schemas.openxmlformats.org/officeDocument/2006/relationships/hyperlink" Target="https://unhabitat.org/sites/default/files/2019/02/Metadata-11.7.1_Edited_23-03-2018.pdf" TargetMode="External"/><Relationship Id="rId48" Type="http://schemas.openxmlformats.org/officeDocument/2006/relationships/hyperlink" Target="https://indigenousnavigator.org/" TargetMode="External"/><Relationship Id="rId113" Type="http://schemas.openxmlformats.org/officeDocument/2006/relationships/hyperlink" Target="https://seea.un.org/content/aries-for-seea" TargetMode="External"/><Relationship Id="rId320" Type="http://schemas.openxmlformats.org/officeDocument/2006/relationships/hyperlink" Target="https://www.cbd.int/gbf/targets/1/" TargetMode="External"/><Relationship Id="rId558" Type="http://schemas.openxmlformats.org/officeDocument/2006/relationships/hyperlink" Target="https://www.oecd.org/environment/resources/biodiversity/tracking-economic-instruments-and-finance-for-biodiversity-2021.pdf" TargetMode="External"/><Relationship Id="rId723" Type="http://schemas.openxmlformats.org/officeDocument/2006/relationships/hyperlink" Target="https://unstats.un.org/unsd/dnss/docs-nqaf/NQAF%20GLOSSARY.pdf" TargetMode="External"/><Relationship Id="rId155" Type="http://schemas.openxmlformats.org/officeDocument/2006/relationships/hyperlink" Target="http://journals.cambridge.org/action/displayJournal?jid=BCI" TargetMode="External"/><Relationship Id="rId197" Type="http://schemas.openxmlformats.org/officeDocument/2006/relationships/hyperlink" Target="https://conbio.onlinelibrary.wiley.com/doi/full/10.1111/j.1755-263X.2008.00009.x" TargetMode="External"/><Relationship Id="rId362" Type="http://schemas.openxmlformats.org/officeDocument/2006/relationships/hyperlink" Target="https://www.cbd.int/doc/legal/cbd-en.pdf" TargetMode="External"/><Relationship Id="rId418" Type="http://schemas.openxmlformats.org/officeDocument/2006/relationships/hyperlink" Target="https://doi.org/10.1038/s41597-022-01425-z" TargetMode="External"/><Relationship Id="rId625" Type="http://schemas.openxmlformats.org/officeDocument/2006/relationships/hyperlink" Target="https://unsdg.un.org/wp-content/uploads/2017/06/UNDG-UNDAF-Companion-Pieces-8-Capacity-Development.pdf" TargetMode="External"/><Relationship Id="rId222" Type="http://schemas.openxmlformats.org/officeDocument/2006/relationships/hyperlink" Target="https://doi.org/10.1111/conl.12953" TargetMode="External"/><Relationship Id="rId264" Type="http://schemas.openxmlformats.org/officeDocument/2006/relationships/hyperlink" Target="mailto:Katia.KAROUSAKIS@oecd.org" TargetMode="External"/><Relationship Id="rId471" Type="http://schemas.openxmlformats.org/officeDocument/2006/relationships/hyperlink" Target="https://doi.org/10.1038/ncomms14435" TargetMode="External"/><Relationship Id="rId667" Type="http://schemas.openxmlformats.org/officeDocument/2006/relationships/hyperlink" Target="https://www.ipbes.net/assessment-reports/scenarios" TargetMode="External"/><Relationship Id="rId17" Type="http://schemas.openxmlformats.org/officeDocument/2006/relationships/hyperlink" Target="https://www.cbd.int/documents/CBD/SBSTTA/26/INF/20" TargetMode="External"/><Relationship Id="rId59" Type="http://schemas.openxmlformats.org/officeDocument/2006/relationships/hyperlink" Target="https://www.annualreviews.org/content/journals/10.1146/annurev-environ-012220-022325" TargetMode="External"/><Relationship Id="rId124" Type="http://schemas.openxmlformats.org/officeDocument/2006/relationships/hyperlink" Target="http://www.iucnredlist.org/" TargetMode="External"/><Relationship Id="rId527" Type="http://schemas.openxmlformats.org/officeDocument/2006/relationships/hyperlink" Target="https://unhabitat.org/sites/default/files/2020/07/indicator_11.7.1_training_module_public_space.pdf" TargetMode="External"/><Relationship Id="rId569" Type="http://schemas.openxmlformats.org/officeDocument/2006/relationships/hyperlink" Target="https://issuu.com/oecd.publishing/docs/oecd-fse-manual-2024" TargetMode="External"/><Relationship Id="rId734" Type="http://schemas.openxmlformats.org/officeDocument/2006/relationships/fontTable" Target="fontTable.xml"/><Relationship Id="rId70" Type="http://schemas.openxmlformats.org/officeDocument/2006/relationships/hyperlink" Target="https://genderandenvironment.org/mainstreaming-gender-in-environment-statistics-for-the-sdgs-and-beyond-identifying-priorities-in-asia-and-the-pacific/" TargetMode="External"/><Relationship Id="rId166" Type="http://schemas.openxmlformats.org/officeDocument/2006/relationships/hyperlink" Target="http://journals.plos.org/plosone/article?id=10.1371/journal.pone.0112046" TargetMode="External"/><Relationship Id="rId331" Type="http://schemas.openxmlformats.org/officeDocument/2006/relationships/hyperlink" Target="https://unstats.un.org/sdgs/dataportal/database" TargetMode="External"/><Relationship Id="rId373" Type="http://schemas.openxmlformats.org/officeDocument/2006/relationships/hyperlink" Target="http://www.protectedplanet.net/" TargetMode="External"/><Relationship Id="rId429" Type="http://schemas.openxmlformats.org/officeDocument/2006/relationships/hyperlink" Target="https://doi.org/10.1641/B570707" TargetMode="External"/><Relationship Id="rId580" Type="http://schemas.openxmlformats.org/officeDocument/2006/relationships/hyperlink" Target="mailto:katia.karousakis@oecd.org" TargetMode="External"/><Relationship Id="rId636" Type="http://schemas.openxmlformats.org/officeDocument/2006/relationships/hyperlink" Target="https://www.nature.com/articles/s41559-021-01538-5" TargetMode="External"/><Relationship Id="rId1" Type="http://schemas.openxmlformats.org/officeDocument/2006/relationships/customXml" Target="../customXml/item1.xml"/><Relationship Id="rId233" Type="http://schemas.openxmlformats.org/officeDocument/2006/relationships/hyperlink" Target="https://www.cbd.int/doc/c/179e/aecb/592f67904bf07dca7d0971da/cop-15-l-26-en.pdf" TargetMode="External"/><Relationship Id="rId440" Type="http://schemas.openxmlformats.org/officeDocument/2006/relationships/hyperlink" Target="https://unstats.un.org/sdgs/metadata/files/Metadata-14-04-01.pdf" TargetMode="External"/><Relationship Id="rId678" Type="http://schemas.openxmlformats.org/officeDocument/2006/relationships/hyperlink" Target="https://www.ipbes.net/assessment-reports/ldr" TargetMode="External"/><Relationship Id="rId28" Type="http://schemas.openxmlformats.org/officeDocument/2006/relationships/hyperlink" Target="https://www.cbd.int/doc/decisions/cop-15/cop-15-dec-11-en.pdf" TargetMode="External"/><Relationship Id="rId275" Type="http://schemas.openxmlformats.org/officeDocument/2006/relationships/hyperlink" Target="https://data.imf.org/?sk=5804c5e1-0502-4672-bdcd-671bcdc565a9" TargetMode="External"/><Relationship Id="rId300" Type="http://schemas.openxmlformats.org/officeDocument/2006/relationships/hyperlink" Target="https://www.sanbi.org/biodiversity/building-knowledge/biodiversity-monitoring-assessment/national-biodiversity-assessment/" TargetMode="External"/><Relationship Id="rId482" Type="http://schemas.openxmlformats.org/officeDocument/2006/relationships/hyperlink" Target="https://www.cbd.int/doc/decisions/cop-10/cop-10-dec-43-en.pdf" TargetMode="External"/><Relationship Id="rId538" Type="http://schemas.openxmlformats.org/officeDocument/2006/relationships/hyperlink" Target="mailto:odile.conchou@wanadoo.fr" TargetMode="External"/><Relationship Id="rId703" Type="http://schemas.openxmlformats.org/officeDocument/2006/relationships/hyperlink" Target="https://sciencebasedtargetsnetwork.org/wp-content/uploads/2023/05/SBTN-Steps-1-3-Glossary_2023.docx-1.pdf" TargetMode="External"/><Relationship Id="rId81" Type="http://schemas.openxmlformats.org/officeDocument/2006/relationships/footer" Target="footer1.xml"/><Relationship Id="rId135" Type="http://schemas.openxmlformats.org/officeDocument/2006/relationships/hyperlink" Target="http://cmsdocs.s3.amazonaws.com/RedListGuidelines.pdf" TargetMode="External"/><Relationship Id="rId177" Type="http://schemas.openxmlformats.org/officeDocument/2006/relationships/hyperlink" Target="http://onlinelibrary.wiley.com/doi/10.1111/conl.12162/abstract" TargetMode="External"/><Relationship Id="rId342" Type="http://schemas.openxmlformats.org/officeDocument/2006/relationships/hyperlink" Target="https://www.mangrovealliance.org/" TargetMode="External"/><Relationship Id="rId384" Type="http://schemas.openxmlformats.org/officeDocument/2006/relationships/hyperlink" Target="https://www.bipindicators.net/indicators/protected-area-coverage-of-key-biodiversity-areas" TargetMode="External"/><Relationship Id="rId591" Type="http://schemas.openxmlformats.org/officeDocument/2006/relationships/hyperlink" Target="https://doi.org/10.1787/3e9118d3-en" TargetMode="External"/><Relationship Id="rId605" Type="http://schemas.openxmlformats.org/officeDocument/2006/relationships/hyperlink" Target="https://portal.geobon.org/home" TargetMode="External"/><Relationship Id="rId202" Type="http://schemas.openxmlformats.org/officeDocument/2006/relationships/hyperlink" Target="https://www.youtube.com/watch?v=qRKdo7E9kVQ" TargetMode="External"/><Relationship Id="rId244" Type="http://schemas.openxmlformats.org/officeDocument/2006/relationships/image" Target="media/image17.png"/><Relationship Id="rId647" Type="http://schemas.openxmlformats.org/officeDocument/2006/relationships/hyperlink" Target="https://www.ipbes.net/ias" TargetMode="External"/><Relationship Id="rId689" Type="http://schemas.openxmlformats.org/officeDocument/2006/relationships/hyperlink" Target="https://ec.europa.eu/finance/docs/level-2-measures/csrd-delegated-act-2023-5303-annex-2_en.pdf" TargetMode="External"/><Relationship Id="rId39" Type="http://schemas.openxmlformats.org/officeDocument/2006/relationships/hyperlink" Target="https://unemg.org/wp-content/uploads/2022/12/NBSAP-guidance-final.pdf" TargetMode="External"/><Relationship Id="rId286" Type="http://schemas.openxmlformats.org/officeDocument/2006/relationships/hyperlink" Target="https://unesdoc.unesco.org/ark:/48223/pf0000381921/PDF/381921eng.pdf.multi" TargetMode="External"/><Relationship Id="rId451" Type="http://schemas.openxmlformats.org/officeDocument/2006/relationships/hyperlink" Target="https://www.gbif.org/dataset/search?publishing_org=cdef28b1-db4e-4c58-aa71-3c5238c2d0b5" TargetMode="External"/><Relationship Id="rId493" Type="http://schemas.openxmlformats.org/officeDocument/2006/relationships/hyperlink" Target="mailto:Francesco.Tubiello@fao.org" TargetMode="External"/><Relationship Id="rId507" Type="http://schemas.openxmlformats.org/officeDocument/2006/relationships/hyperlink" Target="https://fra-data.fao.org/" TargetMode="External"/><Relationship Id="rId549" Type="http://schemas.openxmlformats.org/officeDocument/2006/relationships/hyperlink" Target="https://www.worldbenchmarkingalliance.org/" TargetMode="External"/><Relationship Id="rId714" Type="http://schemas.openxmlformats.org/officeDocument/2006/relationships/hyperlink" Target="https://tnfd.global/wp-content/uploads/2023/09/Glossary_of_key_terms_v1.pdf?v=1695138274" TargetMode="External"/><Relationship Id="rId50" Type="http://schemas.openxmlformats.org/officeDocument/2006/relationships/hyperlink" Target="https://www.cbd.int/traditional/mootzkuxtal.shtml" TargetMode="External"/><Relationship Id="rId104" Type="http://schemas.openxmlformats.org/officeDocument/2006/relationships/image" Target="media/image12.png"/><Relationship Id="rId146" Type="http://schemas.openxmlformats.org/officeDocument/2006/relationships/hyperlink" Target="https://www.iucnredlist.org/search" TargetMode="External"/><Relationship Id="rId188" Type="http://schemas.openxmlformats.org/officeDocument/2006/relationships/hyperlink" Target="https://doi.org/10.32942/X2QK5W" TargetMode="External"/><Relationship Id="rId311" Type="http://schemas.openxmlformats.org/officeDocument/2006/relationships/hyperlink" Target="https://www.boe.es/diario_boe/txt.php?id=BOE-A-2023-5704" TargetMode="External"/><Relationship Id="rId353" Type="http://schemas.openxmlformats.org/officeDocument/2006/relationships/hyperlink" Target="https://ferm.fao.org/" TargetMode="External"/><Relationship Id="rId395" Type="http://schemas.openxmlformats.org/officeDocument/2006/relationships/hyperlink" Target="http://www.tandfonline.com/doi/abs/10.2989/00306520109485329" TargetMode="External"/><Relationship Id="rId409" Type="http://schemas.openxmlformats.org/officeDocument/2006/relationships/hyperlink" Target="http://www.threatenedtaxa.in/index.php/JoTT/article/view/779" TargetMode="External"/><Relationship Id="rId560" Type="http://schemas.openxmlformats.org/officeDocument/2006/relationships/hyperlink" Target="https://ec.europa.eu/eurostat/documents/1798247/6191541/Guidance+material+for+PEDS+compilation.pdf/f0f177d5-5bcd-0902-54e1-e39b7ce4d132?t=1671143474732" TargetMode="External"/><Relationship Id="rId92" Type="http://schemas.openxmlformats.org/officeDocument/2006/relationships/image" Target="media/image11.png"/><Relationship Id="rId213" Type="http://schemas.openxmlformats.org/officeDocument/2006/relationships/hyperlink" Target="https://doi.org/10.32942/X2QK5W" TargetMode="External"/><Relationship Id="rId420" Type="http://schemas.openxmlformats.org/officeDocument/2006/relationships/hyperlink" Target="https://doi.org/10.1038/s41597-019-0300-6" TargetMode="External"/><Relationship Id="rId616" Type="http://schemas.openxmlformats.org/officeDocument/2006/relationships/hyperlink" Target="https://www.ipbes.net/assessment-reports/ldr" TargetMode="External"/><Relationship Id="rId658" Type="http://schemas.openxmlformats.org/officeDocument/2006/relationships/hyperlink" Target="https://seea.un.org/sites/seea.un.org/files/documents/EA/seea_ea_white_cover_final.pdf" TargetMode="External"/><Relationship Id="rId255" Type="http://schemas.openxmlformats.org/officeDocument/2006/relationships/hyperlink" Target="https://www.oecd.org/dac/financing-sustainable-development/development-finance-standards/annex2.htm" TargetMode="External"/><Relationship Id="rId297" Type="http://schemas.openxmlformats.org/officeDocument/2006/relationships/hyperlink" Target="https://pipap.sprep.org/" TargetMode="External"/><Relationship Id="rId462" Type="http://schemas.openxmlformats.org/officeDocument/2006/relationships/hyperlink" Target="https://geobon.org/ebvs/indicators/" TargetMode="External"/><Relationship Id="rId518" Type="http://schemas.openxmlformats.org/officeDocument/2006/relationships/image" Target="cid:5A5970FE-0230-4548-8D8D-2BCD4D6B7C3C" TargetMode="External"/><Relationship Id="rId725" Type="http://schemas.openxmlformats.org/officeDocument/2006/relationships/hyperlink" Target="https://unstats.un.org/unsd/demographic/sconcerns/densurb/defintion_of%20urban.pdf" TargetMode="External"/><Relationship Id="rId115" Type="http://schemas.openxmlformats.org/officeDocument/2006/relationships/hyperlink" Target="https://www.iucnredlist.org/assessment/process" TargetMode="External"/><Relationship Id="rId157" Type="http://schemas.openxmlformats.org/officeDocument/2006/relationships/hyperlink" Target="http://rstb.royalsocietypublishing.org/content/360/1454/255.full" TargetMode="External"/><Relationship Id="rId322" Type="http://schemas.openxmlformats.org/officeDocument/2006/relationships/image" Target="media/image21.png"/><Relationship Id="rId364" Type="http://schemas.openxmlformats.org/officeDocument/2006/relationships/hyperlink" Target="https://documents-dds-ny.un.org/doc/UNDOC/GEN/N19/060/16/PDF/N1906016.pdf?OpenElement" TargetMode="External"/><Relationship Id="rId61" Type="http://schemas.openxmlformats.org/officeDocument/2006/relationships/hyperlink" Target="https://unstats.un.org/sdgs/metadata/files/Metadata-16-10-01.pdf" TargetMode="External"/><Relationship Id="rId199" Type="http://schemas.openxmlformats.org/officeDocument/2006/relationships/hyperlink" Target="https://conbio.onlinelibrary.wiley.com/doi/full/10.1111/j.1755-263X.2008.00009.x" TargetMode="External"/><Relationship Id="rId571" Type="http://schemas.openxmlformats.org/officeDocument/2006/relationships/hyperlink" Target="https://doi.org/10.1787/6bc916e7-en" TargetMode="External"/><Relationship Id="rId627" Type="http://schemas.openxmlformats.org/officeDocument/2006/relationships/hyperlink" Target="https://eur-lex.europa.eu/EN/legal-content/glossary/climate-action.html" TargetMode="External"/><Relationship Id="rId669" Type="http://schemas.openxmlformats.org/officeDocument/2006/relationships/hyperlink" Target="https://portals.iucn.org/library/sites/library/files/documents/2016-048.pdf" TargetMode="External"/><Relationship Id="rId19" Type="http://schemas.openxmlformats.org/officeDocument/2006/relationships/hyperlink" Target="https://eur02.safelinks.protection.outlook.com/?url=https%3A%2F%2Fwww.cbd.int%2Fdoc%2Fdecisions%2Fcop-15%2Fcop-15-dec-04-en.pdf&amp;data=05%7C01%7Ckieran.mooney%40un.org%7C1dddab9393cb4500f42c08db58d5ac85%7C0f9e35db544f4f60bdcc5ea416e6dc70%7C0%7C0%7C638201446977874980%7CUnknown%7CTWFpbGZsb3d8eyJWIjoiMC4wLjAwMDAiLCJQIjoiV2luMzIiLCJBTiI6Ik1haWwiLCJXVCI6Mn0%3D%7C3000%7C%7C%7C&amp;sdata=zwxtY%2FrBuo6KmM8c0ByWJcIz9elQVN69hdUJ9y7I%2FX8%3D&amp;reserved=0" TargetMode="External"/><Relationship Id="rId224" Type="http://schemas.openxmlformats.org/officeDocument/2006/relationships/image" Target="media/image16.png"/><Relationship Id="rId266" Type="http://schemas.openxmlformats.org/officeDocument/2006/relationships/hyperlink" Target="https://www.oecd.org/dac/biodiversity-development-finance-target19-2015-2021.pdf%E2%80%AF" TargetMode="External"/><Relationship Id="rId431" Type="http://schemas.openxmlformats.org/officeDocument/2006/relationships/hyperlink" Target="http://wcmc.io/WDPA_Manual" TargetMode="External"/><Relationship Id="rId473" Type="http://schemas.openxmlformats.org/officeDocument/2006/relationships/hyperlink" Target="https://wedocs.unep.org/bitstream/handle/20.500.11822/35086/USO.pdf?sequence=3&amp;isAllowed=y" TargetMode="External"/><Relationship Id="rId529" Type="http://schemas.openxmlformats.org/officeDocument/2006/relationships/hyperlink" Target="https://unstats.un.org/unsd/demographic/sconcerns/densurb/defintion_of%20urban.pdf" TargetMode="External"/><Relationship Id="rId680" Type="http://schemas.openxmlformats.org/officeDocument/2006/relationships/hyperlink" Target="https://seea.un.org/sites/seea.un.org/files/documents/EA/seea_ea_white_cover_final.pdf" TargetMode="External"/><Relationship Id="rId736" Type="http://schemas.openxmlformats.org/officeDocument/2006/relationships/theme" Target="theme/theme1.xml"/><Relationship Id="rId30" Type="http://schemas.openxmlformats.org/officeDocument/2006/relationships/hyperlink" Target="https://www.cbd.int/doc/recommendations/wg8j-12/wg8j-12-rec-03-en.pdf" TargetMode="External"/><Relationship Id="rId126" Type="http://schemas.openxmlformats.org/officeDocument/2006/relationships/hyperlink" Target="https://nc.iucnredlist.org/redlist/content/attachment_files/Rules_of_Procedure_for_IUCN_Red_List_2017-2020.pdf" TargetMode="External"/><Relationship Id="rId168" Type="http://schemas.openxmlformats.org/officeDocument/2006/relationships/hyperlink" Target="http://rstb.royalsocietypublishing.org/content/366/1578/2598.abstract" TargetMode="External"/><Relationship Id="rId333" Type="http://schemas.openxmlformats.org/officeDocument/2006/relationships/hyperlink" Target="https://reporting.unccd.int/account/login/?next=/" TargetMode="External"/><Relationship Id="rId540" Type="http://schemas.openxmlformats.org/officeDocument/2006/relationships/hyperlink" Target="mailto:gwf@biodiv.com.br" TargetMode="External"/><Relationship Id="rId72" Type="http://schemas.openxmlformats.org/officeDocument/2006/relationships/hyperlink" Target="https://www.ilo.org/wcmsp5/groups/public/@ed_mas/@eval/documents/publication/wcms_165986.pdf" TargetMode="External"/><Relationship Id="rId375" Type="http://schemas.openxmlformats.org/officeDocument/2006/relationships/hyperlink" Target="http://www.keybiodiversityareas.org/" TargetMode="External"/><Relationship Id="rId582" Type="http://schemas.openxmlformats.org/officeDocument/2006/relationships/hyperlink" Target="mailto:unep-science-sdgs@un.org" TargetMode="External"/><Relationship Id="rId638" Type="http://schemas.openxmlformats.org/officeDocument/2006/relationships/hyperlink" Target="https://seea.un.org/sites/seea.un.org/files/documents/EA/seea_ea_white_cover_final.pdf" TargetMode="External"/><Relationship Id="rId3" Type="http://schemas.openxmlformats.org/officeDocument/2006/relationships/customXml" Target="../customXml/item3.xml"/><Relationship Id="rId235" Type="http://schemas.openxmlformats.org/officeDocument/2006/relationships/hyperlink" Target="https://www.sciencedirect.com/science/article/pii/S1470160X18308781" TargetMode="External"/><Relationship Id="rId277" Type="http://schemas.openxmlformats.org/officeDocument/2006/relationships/hyperlink" Target="https://one.oecd.org/document/DCD/DAC/STAT(2023)9/FINAL/en/pdf" TargetMode="External"/><Relationship Id="rId400" Type="http://schemas.openxmlformats.org/officeDocument/2006/relationships/hyperlink" Target="https://www.cbd.int/doc/decisions/cop-14/cop-14-dec-08-en.pdf" TargetMode="External"/><Relationship Id="rId442" Type="http://schemas.openxmlformats.org/officeDocument/2006/relationships/hyperlink" Target="https://www.fao.org/sustainable-development-goals-data-portal/data/indicators/1441-fish-stocks-sustainability/en" TargetMode="External"/><Relationship Id="rId484" Type="http://schemas.openxmlformats.org/officeDocument/2006/relationships/hyperlink" Target="https://indigenousnavigator.org/" TargetMode="External"/><Relationship Id="rId705" Type="http://schemas.openxmlformats.org/officeDocument/2006/relationships/hyperlink" Target="https://www.un.org/development/desa/indigenouspeoples/wp-content/uploads/sites/19/2018/11/UNDRIP_E_web.pdf" TargetMode="External"/><Relationship Id="rId137" Type="http://schemas.openxmlformats.org/officeDocument/2006/relationships/hyperlink" Target="https://portals.iucn.org/library/node/10336" TargetMode="External"/><Relationship Id="rId302" Type="http://schemas.openxmlformats.org/officeDocument/2006/relationships/hyperlink" Target="https://environmental-partnership.org/wp-content/uploads/2021/12/Policy-Brief-Ecological-Conservation-Redlines-2.pdf" TargetMode="External"/><Relationship Id="rId344" Type="http://schemas.openxmlformats.org/officeDocument/2006/relationships/hyperlink" Target="https://www.ser-rrc.org/" TargetMode="External"/><Relationship Id="rId691" Type="http://schemas.openxmlformats.org/officeDocument/2006/relationships/hyperlink" Target="https://www.ipbes.net/assessment-reports/pollinators" TargetMode="External"/><Relationship Id="rId41" Type="http://schemas.openxmlformats.org/officeDocument/2006/relationships/hyperlink" Target="https://unece.org/environment-policy/public-participation/aarhus-convention/introduction" TargetMode="External"/><Relationship Id="rId83" Type="http://schemas.openxmlformats.org/officeDocument/2006/relationships/image" Target="media/image9.emf"/><Relationship Id="rId179" Type="http://schemas.openxmlformats.org/officeDocument/2006/relationships/hyperlink" Target="http://onlinelibrary.wiley.com/doi/10.1111/j.1523-1739.2008.00937.x/full" TargetMode="External"/><Relationship Id="rId386" Type="http://schemas.openxmlformats.org/officeDocument/2006/relationships/hyperlink" Target="http://datadryad.org/resource/doi:10.5061/dryad.6gb90.2" TargetMode="External"/><Relationship Id="rId551" Type="http://schemas.openxmlformats.org/officeDocument/2006/relationships/hyperlink" Target="https://unglobalcompact.org/%22%EF%B7%9FHYPERLINK%20%22https:/www.gbif.org/business" TargetMode="External"/><Relationship Id="rId593" Type="http://schemas.openxmlformats.org/officeDocument/2006/relationships/hyperlink" Target="https://fossilfuelsubsidytracker.org/" TargetMode="External"/><Relationship Id="rId607" Type="http://schemas.openxmlformats.org/officeDocument/2006/relationships/hyperlink" Target="mailto:campbell7@un.org" TargetMode="External"/><Relationship Id="rId649" Type="http://schemas.openxmlformats.org/officeDocument/2006/relationships/hyperlink" Target="https://portals.iucn.org/library/sites/library/files/documents/RL-2001-001-2nd.pdf" TargetMode="External"/><Relationship Id="rId190" Type="http://schemas.openxmlformats.org/officeDocument/2006/relationships/image" Target="media/image14.png"/><Relationship Id="rId204" Type="http://schemas.openxmlformats.org/officeDocument/2006/relationships/hyperlink" Target="https://www.iucnredlist.org/resources/redlistguidelines" TargetMode="External"/><Relationship Id="rId246" Type="http://schemas.openxmlformats.org/officeDocument/2006/relationships/image" Target="media/image19.png"/><Relationship Id="rId288" Type="http://schemas.openxmlformats.org/officeDocument/2006/relationships/hyperlink" Target="https://portals.iucn.org/library/sites/library/files/documents/2021-031-En.pdf" TargetMode="External"/><Relationship Id="rId411" Type="http://schemas.openxmlformats.org/officeDocument/2006/relationships/hyperlink" Target="http://journals.plos.org/plosone/article?id=10.1371/journal.pone.0112046" TargetMode="External"/><Relationship Id="rId453" Type="http://schemas.openxmlformats.org/officeDocument/2006/relationships/hyperlink" Target="https://doi.org/10.5281/zenodo.10039630" TargetMode="External"/><Relationship Id="rId509" Type="http://schemas.openxmlformats.org/officeDocument/2006/relationships/hyperlink" Target="http://www.fao.org/forest-resources-assessment/en/" TargetMode="External"/><Relationship Id="rId660" Type="http://schemas.openxmlformats.org/officeDocument/2006/relationships/hyperlink" Target="https://www.iucn.org/resources/issues-brief/human-wildlife-conflict" TargetMode="External"/><Relationship Id="rId106" Type="http://schemas.openxmlformats.org/officeDocument/2006/relationships/hyperlink" Target="https://global-ecosystems.org/" TargetMode="External"/><Relationship Id="rId313" Type="http://schemas.openxmlformats.org/officeDocument/2006/relationships/hyperlink" Target="https://intemares.es/procesos-participativos/cachucho" TargetMode="External"/><Relationship Id="rId495" Type="http://schemas.openxmlformats.org/officeDocument/2006/relationships/hyperlink" Target="https://www.fao.org/sustainable-development-goals-data-portal/data/indicators/Indicator2.4.1-proportion-of-agricultural-area-under-productive-and-sustainable-agriculture/en" TargetMode="External"/><Relationship Id="rId716" Type="http://schemas.openxmlformats.org/officeDocument/2006/relationships/hyperlink" Target="https://www.unep.org/explore-topics/resource-efficiency/what-we-do/sustainable-consumption-and-production-policies" TargetMode="External"/><Relationship Id="rId10" Type="http://schemas.openxmlformats.org/officeDocument/2006/relationships/endnotes" Target="endnotes.xml"/><Relationship Id="rId52" Type="http://schemas.openxmlformats.org/officeDocument/2006/relationships/hyperlink" Target="https://www.cbd.int/doc/training/nbsap/b5-train-stakeholder-nbsap-revised-en.pdf" TargetMode="External"/><Relationship Id="rId94" Type="http://schemas.openxmlformats.org/officeDocument/2006/relationships/hyperlink" Target="https://portals.iucn.org/library/node/51533" TargetMode="External"/><Relationship Id="rId148" Type="http://schemas.openxmlformats.org/officeDocument/2006/relationships/hyperlink" Target="mailto:stuart.butchart@birdlife.org" TargetMode="External"/><Relationship Id="rId355" Type="http://schemas.openxmlformats.org/officeDocument/2006/relationships/hyperlink" Target="https://www.fao.org/fileadmin/user_upload/forest-landscape-restoration/Glossary_of_restoration_interventions__English_.pdf" TargetMode="External"/><Relationship Id="rId397" Type="http://schemas.openxmlformats.org/officeDocument/2006/relationships/hyperlink" Target="http://journals.plos.org/plosone/article?id=10.1371/journal.pone.0032529" TargetMode="External"/><Relationship Id="rId520" Type="http://schemas.openxmlformats.org/officeDocument/2006/relationships/hyperlink" Target="https://unhabitat.org/sites/default/files/2020/07/indicator_11.7.1_training_module_public_space.pdf" TargetMode="External"/><Relationship Id="rId562" Type="http://schemas.openxmlformats.org/officeDocument/2006/relationships/hyperlink" Target="https://circabc.europa.eu/ui/group/922b4700-1c83-4099-b550-763badab3ec0/library/0228a317-06b2-4c3e-8bac-c079438d97c5/details" TargetMode="External"/><Relationship Id="rId618" Type="http://schemas.openxmlformats.org/officeDocument/2006/relationships/hyperlink" Target="https://doi.org/10.1016/j.oneear.2023.12.007" TargetMode="External"/><Relationship Id="rId215" Type="http://schemas.openxmlformats.org/officeDocument/2006/relationships/hyperlink" Target="https://www.dcceew.gov.au/environment/epbc" TargetMode="External"/><Relationship Id="rId257" Type="http://schemas.openxmlformats.org/officeDocument/2006/relationships/hyperlink" Target="https://one.oecd.org/document/DCD/DAC/STAT(2020)44/FINAL/en/pdf" TargetMode="External"/><Relationship Id="rId422" Type="http://schemas.openxmlformats.org/officeDocument/2006/relationships/hyperlink" Target="http://onlinelibrary.wiley.com/doi/10.1111/j.1523-1739.2012.01930.x/abstract" TargetMode="External"/><Relationship Id="rId464" Type="http://schemas.openxmlformats.org/officeDocument/2006/relationships/hyperlink" Target="https://www.bipindicators.net/indicators/trends-in-numbers-of-invasive-alien-species-introduction-events" TargetMode="External"/><Relationship Id="rId299" Type="http://schemas.openxmlformats.org/officeDocument/2006/relationships/hyperlink" Target="https://spacescoalition.org/en/resources" TargetMode="External"/><Relationship Id="rId727" Type="http://schemas.openxmlformats.org/officeDocument/2006/relationships/hyperlink" Target="https://www.ifrs.org/issued-standards/ifrs-sustainability-standards-navigator/ifrs-s1-general-requirements.html/content/dam/ifrs/publications/html-standards-issb/english/2023/issued/issbs1/" TargetMode="External"/><Relationship Id="rId63" Type="http://schemas.openxmlformats.org/officeDocument/2006/relationships/hyperlink" Target="https://unemg.org/wp-content/uploads/2022/12/NBSAP-guidance-final.pdf" TargetMode="External"/><Relationship Id="rId159" Type="http://schemas.openxmlformats.org/officeDocument/2006/relationships/hyperlink" Target="http://journals.plos.org/plosone/article?id=10.1371/journal.pone.0000140" TargetMode="External"/><Relationship Id="rId366" Type="http://schemas.openxmlformats.org/officeDocument/2006/relationships/image" Target="media/image24.svg"/><Relationship Id="rId573" Type="http://schemas.openxmlformats.org/officeDocument/2006/relationships/hyperlink" Target="https://doi.org/10.1787/b14de474-en" TargetMode="External"/><Relationship Id="rId226" Type="http://schemas.openxmlformats.org/officeDocument/2006/relationships/hyperlink" Target="https://www.cbd.int/doc/c/179e/aecb/592f67904bf07dca7d0971da/cop-15-l-26-en.pdfttps:/www.cbd.int/doc/c/179e/aecb/592f67904bf07dca7d0971da/cop-15-l-26-en.pdf" TargetMode="External"/><Relationship Id="rId433" Type="http://schemas.openxmlformats.org/officeDocument/2006/relationships/hyperlink" Target="https://wdpa.s3.eu-west-1.amazonaws.com/PAME/protectedplanet_draft_monitoring_effectiveness_approach.pdf" TargetMode="External"/><Relationship Id="rId640" Type="http://schemas.openxmlformats.org/officeDocument/2006/relationships/hyperlink" Target="https://global-ecosystems.org/" TargetMode="External"/><Relationship Id="rId74" Type="http://schemas.openxmlformats.org/officeDocument/2006/relationships/hyperlink" Target="https://info.undp.org/sites/bpps/SES_Toolkit/SES%20Document%20Library/Uploaded%20October%202016/UNDP%20Guidance%20Note%20how%20to%20conduct%20a%20gender%20analysis.pdf" TargetMode="External"/><Relationship Id="rId377" Type="http://schemas.openxmlformats.org/officeDocument/2006/relationships/hyperlink" Target="http://www.keybiodiversityareas.org/" TargetMode="External"/><Relationship Id="rId500" Type="http://schemas.openxmlformats.org/officeDocument/2006/relationships/image" Target="media/image32.png"/><Relationship Id="rId584" Type="http://schemas.openxmlformats.org/officeDocument/2006/relationships/hyperlink" Target="mailto:katia.karousakis@oecd.org" TargetMode="External"/><Relationship Id="rId5" Type="http://schemas.openxmlformats.org/officeDocument/2006/relationships/numbering" Target="numbering.xml"/><Relationship Id="rId237" Type="http://schemas.openxmlformats.org/officeDocument/2006/relationships/hyperlink" Target="mailto:linda.laikre@popgen.su.se" TargetMode="External"/><Relationship Id="rId444" Type="http://schemas.openxmlformats.org/officeDocument/2006/relationships/hyperlink" Target="mailto:yimin.ye@fao.org" TargetMode="External"/><Relationship Id="rId651" Type="http://schemas.openxmlformats.org/officeDocument/2006/relationships/hyperlink" Target="https://www.federalreserve.gov/econres/notes/feds-notes/fiscal-flow-volatility-and-reserves-20191216.html" TargetMode="External"/><Relationship Id="rId290" Type="http://schemas.openxmlformats.org/officeDocument/2006/relationships/hyperlink" Target="https://unesdoc.unesco.org/ark:/48223/pf0000381921" TargetMode="External"/><Relationship Id="rId304" Type="http://schemas.openxmlformats.org/officeDocument/2006/relationships/hyperlink" Target="https://neoceanplanning.org/" TargetMode="External"/><Relationship Id="rId388" Type="http://schemas.openxmlformats.org/officeDocument/2006/relationships/hyperlink" Target="mailto:Heather.Bingham@unep-wcmc.org" TargetMode="External"/><Relationship Id="rId511" Type="http://schemas.openxmlformats.org/officeDocument/2006/relationships/hyperlink" Target="http://www.fao.org/3/I8699EN/i8699en.pdf" TargetMode="External"/><Relationship Id="rId609" Type="http://schemas.openxmlformats.org/officeDocument/2006/relationships/hyperlink" Target="https://undocs.org/en/A/36/215" TargetMode="External"/><Relationship Id="rId85" Type="http://schemas.openxmlformats.org/officeDocument/2006/relationships/hyperlink" Target="https://doi.org/10.1016/j.biocon.2020.108559" TargetMode="External"/><Relationship Id="rId150" Type="http://schemas.openxmlformats.org/officeDocument/2006/relationships/hyperlink" Target="http://mdgs.un.org/unsd/mi/wiki/7-7-Proportion-of-species-threatened-with-extinction.ashx" TargetMode="External"/><Relationship Id="rId595" Type="http://schemas.openxmlformats.org/officeDocument/2006/relationships/hyperlink" Target="https://www.cbd.int/cb/plans/" TargetMode="External"/><Relationship Id="rId248" Type="http://schemas.openxmlformats.org/officeDocument/2006/relationships/hyperlink" Target="https://seea.un.org/content/seea-e-learning-resources" TargetMode="External"/><Relationship Id="rId455" Type="http://schemas.openxmlformats.org/officeDocument/2006/relationships/image" Target="media/image28.png"/><Relationship Id="rId662" Type="http://schemas.openxmlformats.org/officeDocument/2006/relationships/hyperlink" Target="https://apps.ipcc.ch/glossary/" TargetMode="External"/><Relationship Id="rId12" Type="http://schemas.openxmlformats.org/officeDocument/2006/relationships/image" Target="media/image2.png"/><Relationship Id="rId108" Type="http://schemas.openxmlformats.org/officeDocument/2006/relationships/hyperlink" Target="https://global-ecosystems.org/" TargetMode="External"/><Relationship Id="rId315" Type="http://schemas.openxmlformats.org/officeDocument/2006/relationships/hyperlink" Target="https://www.wwf-swio.org/?46348/South-West-Indian-Ocean-Annual-Report-2022" TargetMode="External"/><Relationship Id="rId522" Type="http://schemas.openxmlformats.org/officeDocument/2006/relationships/hyperlink" Target="https://unhabitat.org/sites/default/files/2020/06/national_sample_of_cities_english.pdf" TargetMode="External"/><Relationship Id="rId96" Type="http://schemas.openxmlformats.org/officeDocument/2006/relationships/hyperlink" Target="https://iucnacademy.org/" TargetMode="External"/><Relationship Id="rId161" Type="http://schemas.openxmlformats.org/officeDocument/2006/relationships/hyperlink" Target="http://www.sciencemag.org/content/321/5888/560.short" TargetMode="External"/><Relationship Id="rId399" Type="http://schemas.openxmlformats.org/officeDocument/2006/relationships/hyperlink" Target="https://www.cbd.int/gbo4/" TargetMode="External"/><Relationship Id="rId259" Type="http://schemas.openxmlformats.org/officeDocument/2006/relationships/hyperlink" Target="https://one.oecd.org/document/DCD/DAC/STAT(2020)44/ADD2/FINAL/en/pdf" TargetMode="External"/><Relationship Id="rId466" Type="http://schemas.openxmlformats.org/officeDocument/2006/relationships/hyperlink" Target="mailto:info@geobon.org" TargetMode="External"/><Relationship Id="rId673" Type="http://schemas.openxmlformats.org/officeDocument/2006/relationships/hyperlink" Target="https://seea.un.org/sites/seea.un.org/files/documents/EA/seea_ea_white_cover_final.pdf" TargetMode="External"/><Relationship Id="rId23" Type="http://schemas.openxmlformats.org/officeDocument/2006/relationships/image" Target="media/image6.png"/><Relationship Id="rId119" Type="http://schemas.openxmlformats.org/officeDocument/2006/relationships/hyperlink" Target="https://www.iucnredlist.org/assessment/process" TargetMode="External"/><Relationship Id="rId326" Type="http://schemas.openxmlformats.org/officeDocument/2006/relationships/hyperlink" Target="https://unfccc.int/process-and-meetings/the-paris-agreement/nationally-determined-contributions-ndcs" TargetMode="External"/><Relationship Id="rId533" Type="http://schemas.openxmlformats.org/officeDocument/2006/relationships/hyperlink" Target="https://sciencebasedtargetsnetwork.org/wp-content/uploads/2023/05/SBTN-Steps-1-3-Glossary_2023.docx-1.pdf" TargetMode="External"/><Relationship Id="rId172" Type="http://schemas.openxmlformats.org/officeDocument/2006/relationships/hyperlink" Target="http://cmsdocs.s3.amazonaws.com/keydocuments/RL_Standards_Consistency.pdf" TargetMode="External"/><Relationship Id="rId477" Type="http://schemas.openxmlformats.org/officeDocument/2006/relationships/hyperlink" Target="mailto:dany.ghafari@un.org" TargetMode="External"/><Relationship Id="rId600" Type="http://schemas.openxmlformats.org/officeDocument/2006/relationships/hyperlink" Target="https://global-ecosystems.org/" TargetMode="External"/><Relationship Id="rId684" Type="http://schemas.openxmlformats.org/officeDocument/2006/relationships/hyperlink" Target="https://unfccc.int/files/cooperation_and_support/capacity_building/application/pdf/gefsecncsabookeng.pdf" TargetMode="External"/><Relationship Id="rId337" Type="http://schemas.openxmlformats.org/officeDocument/2006/relationships/hyperlink" Target="https://www.forestcarbonpartnership.org/" TargetMode="External"/><Relationship Id="rId34" Type="http://schemas.openxmlformats.org/officeDocument/2006/relationships/hyperlink" Target="https://indigenousnavigator.org/" TargetMode="External"/><Relationship Id="rId544" Type="http://schemas.openxmlformats.org/officeDocument/2006/relationships/hyperlink" Target="https://sciencebasedtargetsnetwork.org/" TargetMode="External"/><Relationship Id="rId183" Type="http://schemas.openxmlformats.org/officeDocument/2006/relationships/hyperlink" Target="https://doi.org/10.32942/X2QK5W" TargetMode="External"/><Relationship Id="rId390" Type="http://schemas.openxmlformats.org/officeDocument/2006/relationships/hyperlink" Target="https://unstats.un.org/sdgs/metadata/files/Metadata-14-05-01.pdf" TargetMode="External"/><Relationship Id="rId404" Type="http://schemas.openxmlformats.org/officeDocument/2006/relationships/hyperlink" Target="http://onlinelibrary.wiley.com/doi/10.1111/cobi.12609/abstract" TargetMode="External"/><Relationship Id="rId611" Type="http://schemas.openxmlformats.org/officeDocument/2006/relationships/hyperlink" Target="https://www.un.org/en/pdfs/18-00159e_un_system_chart_17x11_4c_en_web.pdf" TargetMode="External"/><Relationship Id="rId250" Type="http://schemas.openxmlformats.org/officeDocument/2006/relationships/hyperlink" Target="mailto:dimatteo@un.org" TargetMode="External"/><Relationship Id="rId488" Type="http://schemas.openxmlformats.org/officeDocument/2006/relationships/hyperlink" Target="https://www.google.com/url?sa=t&amp;rct=j&amp;q=&amp;esrc=s&amp;source=web&amp;cd=&amp;cad=rja&amp;uact=8&amp;ved=2ahUKEwjC49X5q6T7AhXrjYkEHeH7CxwQFnoECA8QAQ&amp;url=https%3A%2F%2Functad.org%2Fsystem%2Ffiles%2Fofficial-document%2Fditcted2022d2_en.pdf&amp;usg=AOvVaw2Z61cftauN5rrtQuAfwpN5" TargetMode="External"/><Relationship Id="rId695" Type="http://schemas.openxmlformats.org/officeDocument/2006/relationships/hyperlink" Target="https://www.ipbes.net/assessment-reports/scenarios" TargetMode="External"/><Relationship Id="rId709" Type="http://schemas.openxmlformats.org/officeDocument/2006/relationships/hyperlink" Target="https://www.unwomen.org/sites/default/files/2022-12/Glossary%20of%20terms%2020%20December%202022.pdf/" TargetMode="External"/><Relationship Id="rId45" Type="http://schemas.openxmlformats.org/officeDocument/2006/relationships/hyperlink" Target="https://www.gida-global.org/care" TargetMode="External"/><Relationship Id="rId110" Type="http://schemas.openxmlformats.org/officeDocument/2006/relationships/hyperlink" Target="mailto:dimatteo@un.org" TargetMode="External"/><Relationship Id="rId348" Type="http://schemas.openxmlformats.org/officeDocument/2006/relationships/hyperlink" Target="https://ferm.fao.org/" TargetMode="External"/><Relationship Id="rId555" Type="http://schemas.openxmlformats.org/officeDocument/2006/relationships/hyperlink" Target="mailto:PINEdatabase@oecd.org" TargetMode="External"/><Relationship Id="rId194" Type="http://schemas.openxmlformats.org/officeDocument/2006/relationships/hyperlink" Target="https://doi.org/10.1111/conl.12953" TargetMode="External"/><Relationship Id="rId208" Type="http://schemas.openxmlformats.org/officeDocument/2006/relationships/hyperlink" Target="https://www.youtube.com/watch?v=qRKdo7E9kVQ" TargetMode="External"/><Relationship Id="rId415" Type="http://schemas.openxmlformats.org/officeDocument/2006/relationships/hyperlink" Target="http://www.keybiodiversityareas.org/assets/35687f50ac0bcad155ab17447b48885a" TargetMode="External"/><Relationship Id="rId622" Type="http://schemas.openxmlformats.org/officeDocument/2006/relationships/hyperlink" Target="https://www.cbd.int/doc/legal/cartagena-protocol-en.pdf" TargetMode="External"/><Relationship Id="rId261" Type="http://schemas.openxmlformats.org/officeDocument/2006/relationships/hyperlink" Target="mailto:Juan.CASADOASENSIO@oecd.org" TargetMode="External"/><Relationship Id="rId499" Type="http://schemas.openxmlformats.org/officeDocument/2006/relationships/image" Target="media/image31.png"/><Relationship Id="rId56" Type="http://schemas.openxmlformats.org/officeDocument/2006/relationships/hyperlink" Target="https://tebtebba.org/index.php/resources-menu/publications-menu/training-manuals/9-basic-course-on-community-based-monitoring-and-information-systems-cbmis/file" TargetMode="External"/><Relationship Id="rId359" Type="http://schemas.openxmlformats.org/officeDocument/2006/relationships/hyperlink" Target="https://www.fao.org/3/cc6821en/cc6821en.pdf" TargetMode="External"/><Relationship Id="rId566" Type="http://schemas.openxmlformats.org/officeDocument/2006/relationships/hyperlink" Target="https://doi.org/10.1787/3d459f91-en" TargetMode="External"/><Relationship Id="rId121" Type="http://schemas.openxmlformats.org/officeDocument/2006/relationships/hyperlink" Target="https://ibat-alliance.org/country_profiles" TargetMode="External"/><Relationship Id="rId219" Type="http://schemas.openxmlformats.org/officeDocument/2006/relationships/hyperlink" Target="https://nbnatlas.org/" TargetMode="External"/><Relationship Id="rId426" Type="http://schemas.openxmlformats.org/officeDocument/2006/relationships/hyperlink" Target="http://www.sciencedirect.com/science/article/pii/S0006320711003454" TargetMode="External"/><Relationship Id="rId633" Type="http://schemas.openxmlformats.org/officeDocument/2006/relationships/hyperlink" Target="https://www.un-ilibrary.org/content/books/9789210548434c005" TargetMode="External"/><Relationship Id="rId67" Type="http://schemas.openxmlformats.org/officeDocument/2006/relationships/hyperlink" Target="https://www.forestpeoples.org/sites/default/files/documents/From%20Agreements%20to%20Actions_0.pdf" TargetMode="External"/><Relationship Id="rId272" Type="http://schemas.openxmlformats.org/officeDocument/2006/relationships/hyperlink" Target="https://www.biofin.org/sites/default/files/content/publications/workbook_2018/" TargetMode="External"/><Relationship Id="rId577" Type="http://schemas.openxmlformats.org/officeDocument/2006/relationships/hyperlink" Target="https://fossilfuelsubsidytracker.org/" TargetMode="External"/><Relationship Id="rId700" Type="http://schemas.openxmlformats.org/officeDocument/2006/relationships/hyperlink" Target="https://unstats.un.org/unsd/nationalaccount/glossresults.asp?gID=459" TargetMode="External"/><Relationship Id="rId132" Type="http://schemas.openxmlformats.org/officeDocument/2006/relationships/hyperlink" Target="https://cmsdocs.s3.amazonaws.com/keydocuments/Rules_of_Procedure_for_IUCN_Red_List_Assessments_2017-2020.pdf" TargetMode="External"/><Relationship Id="rId437" Type="http://schemas.openxmlformats.org/officeDocument/2006/relationships/image" Target="media/image27.png"/><Relationship Id="rId644" Type="http://schemas.openxmlformats.org/officeDocument/2006/relationships/hyperlink" Target="https://www.un.org/disabilities/documents/convention/convention_accessible_pdf.pdf" TargetMode="External"/><Relationship Id="rId283" Type="http://schemas.openxmlformats.org/officeDocument/2006/relationships/hyperlink" Target="https://portals.iucn.org/library/efiles/documents/PAG-014.pdf" TargetMode="External"/><Relationship Id="rId490" Type="http://schemas.openxmlformats.org/officeDocument/2006/relationships/hyperlink" Target="https://unstats.un.org/sdgs/metadata/files/Metadata-02-04-01.pdf" TargetMode="External"/><Relationship Id="rId504" Type="http://schemas.openxmlformats.org/officeDocument/2006/relationships/image" Target="media/image36.png"/><Relationship Id="rId711" Type="http://schemas.openxmlformats.org/officeDocument/2006/relationships/hyperlink" Target="https://link.springer.com/book/10.1007/978-3-319-71861-3" TargetMode="External"/><Relationship Id="rId78" Type="http://schemas.openxmlformats.org/officeDocument/2006/relationships/hyperlink" Target="https://www.un.org/peacebuilding/sites/www.un.org.peacebuilding/files/documents/yps_programming_handbook.pdf" TargetMode="External"/><Relationship Id="rId143" Type="http://schemas.openxmlformats.org/officeDocument/2006/relationships/hyperlink" Target="http://datazone.birdlife.org/species/dashboard" TargetMode="External"/><Relationship Id="rId350" Type="http://schemas.openxmlformats.org/officeDocument/2006/relationships/hyperlink" Target="https://www.fao.org/in-action/forest-landscape-restoration-mechanism/our-work/gl/teer/en/" TargetMode="External"/><Relationship Id="rId588" Type="http://schemas.openxmlformats.org/officeDocument/2006/relationships/hyperlink" Target="https://www.fao.org/3/cc0639en/cc0639en.pdf" TargetMode="External"/><Relationship Id="rId9" Type="http://schemas.openxmlformats.org/officeDocument/2006/relationships/footnotes" Target="footnotes.xml"/><Relationship Id="rId210" Type="http://schemas.openxmlformats.org/officeDocument/2006/relationships/hyperlink" Target="https://ccgenetics.github.io/guidelines-genetic-diversity-indicators/" TargetMode="External"/><Relationship Id="rId448" Type="http://schemas.openxmlformats.org/officeDocument/2006/relationships/hyperlink" Target="https://elearning.fao.org/course/view.php?id=502" TargetMode="External"/><Relationship Id="rId655" Type="http://schemas.openxmlformats.org/officeDocument/2006/relationships/hyperlink" Target="https://www.fao.org/3/I8661EN/i8661en.pdf" TargetMode="External"/><Relationship Id="rId294" Type="http://schemas.openxmlformats.org/officeDocument/2006/relationships/hyperlink" Target="https://unbiodiversitylab.org/en/" TargetMode="External"/><Relationship Id="rId308" Type="http://schemas.openxmlformats.org/officeDocument/2006/relationships/hyperlink" Target="https://rmke12.ekonomi.gov.my/ksp/storage/event/962_22_dr_alias_rameli_4th_national_physical_plan_for_a_prosperous_resilient_and_liveable_malaysia.pdf" TargetMode="External"/><Relationship Id="rId515" Type="http://schemas.openxmlformats.org/officeDocument/2006/relationships/hyperlink" Target="https://unstats.un.org/unsd/statcom/51st-session/documents/BG-Item3j-Recommendation-E.pdf" TargetMode="External"/><Relationship Id="rId722" Type="http://schemas.openxmlformats.org/officeDocument/2006/relationships/hyperlink" Target="https://www.ipbes.net/sustainable-use-assessment" TargetMode="External"/><Relationship Id="rId89" Type="http://schemas.openxmlformats.org/officeDocument/2006/relationships/hyperlink" Target="https://doi.org/10.1038/s41559-023-02320-5" TargetMode="External"/><Relationship Id="rId154" Type="http://schemas.openxmlformats.org/officeDocument/2006/relationships/hyperlink" Target="https://portals.iucn.org/library/node/9321" TargetMode="External"/><Relationship Id="rId361" Type="http://schemas.openxmlformats.org/officeDocument/2006/relationships/hyperlink" Target="https://doi.org/10.1038/s41586-022-05318-4" TargetMode="External"/><Relationship Id="rId599" Type="http://schemas.openxmlformats.org/officeDocument/2006/relationships/hyperlink" Target="https://rpubs.com/jivelasquezt/516782" TargetMode="External"/><Relationship Id="rId459" Type="http://schemas.openxmlformats.org/officeDocument/2006/relationships/hyperlink" Target="https://doi.org/10.1038/ncomms14435" TargetMode="External"/><Relationship Id="rId666" Type="http://schemas.openxmlformats.org/officeDocument/2006/relationships/hyperlink" Target="https://www.unhcr.org/innovation/wp-content/uploads/2017/07/UNHCRInnovation-Glossary.pdf" TargetMode="External"/><Relationship Id="rId16" Type="http://schemas.openxmlformats.org/officeDocument/2006/relationships/hyperlink" Target="https://www.cbd.int/documents/CBD/SBSTTA/26/INF/18" TargetMode="External"/><Relationship Id="rId221" Type="http://schemas.openxmlformats.org/officeDocument/2006/relationships/hyperlink" Target="http://biomodelos.humboldt.org.co/" TargetMode="External"/><Relationship Id="rId319" Type="http://schemas.openxmlformats.org/officeDocument/2006/relationships/hyperlink" Target="https://actionaid.org/sites/default/files/aa_vggt_toolkit_single_pages.pdf" TargetMode="External"/><Relationship Id="rId526" Type="http://schemas.openxmlformats.org/officeDocument/2006/relationships/hyperlink" Target="http://futureofplaces.com/" TargetMode="External"/><Relationship Id="rId733" Type="http://schemas.openxmlformats.org/officeDocument/2006/relationships/hyperlink" Target="https://zenodo.org/records/7411847" TargetMode="External"/><Relationship Id="rId165" Type="http://schemas.openxmlformats.org/officeDocument/2006/relationships/hyperlink" Target="https://github.com/BirdLifeInternational/rli-codes" TargetMode="External"/><Relationship Id="rId372" Type="http://schemas.openxmlformats.org/officeDocument/2006/relationships/hyperlink" Target="https://unstats.un.org/sdgs/metadata" TargetMode="External"/><Relationship Id="rId677" Type="http://schemas.openxmlformats.org/officeDocument/2006/relationships/hyperlink" Target="https://www.fao.org/faoterm/en/?defaultCollId=21" TargetMode="External"/><Relationship Id="rId232" Type="http://schemas.openxmlformats.org/officeDocument/2006/relationships/hyperlink" Target="https://doi.org/10.1111/conl.12953" TargetMode="External"/><Relationship Id="rId27" Type="http://schemas.openxmlformats.org/officeDocument/2006/relationships/hyperlink" Target="https://www.cbd.int/doc/recommendations/sbstta-25/sbstta-25-rec-01-en.pdf" TargetMode="External"/><Relationship Id="rId537" Type="http://schemas.openxmlformats.org/officeDocument/2006/relationships/hyperlink" Target="https://www.cdsb.net/sites/default/files/biodiversity-application-guidance-single_disclaimer.pdf" TargetMode="External"/><Relationship Id="rId80" Type="http://schemas.openxmlformats.org/officeDocument/2006/relationships/header" Target="header2.xml"/><Relationship Id="rId176" Type="http://schemas.openxmlformats.org/officeDocument/2006/relationships/hyperlink" Target="https://doi.org/10.1111/csp2.12854" TargetMode="External"/><Relationship Id="rId383" Type="http://schemas.openxmlformats.org/officeDocument/2006/relationships/hyperlink" Target="https://www.bipindicators.net/indicators/coverage-of-protected-areas-terrestrial-and-marine" TargetMode="External"/><Relationship Id="rId590" Type="http://schemas.openxmlformats.org/officeDocument/2006/relationships/hyperlink" Target="https://www.biofin.org/knowledge-product/nature-subsidies-step-step-guide-repurpose-subsidies-harmful-biodiversity-and" TargetMode="External"/><Relationship Id="rId604" Type="http://schemas.openxmlformats.org/officeDocument/2006/relationships/hyperlink" Target="https://iucnrle.org/rle-in-progress" TargetMode="External"/><Relationship Id="rId243" Type="http://schemas.openxmlformats.org/officeDocument/2006/relationships/hyperlink" Target="https://doi.org/10.1016/j.biocon.2020.108654" TargetMode="External"/><Relationship Id="rId450" Type="http://schemas.openxmlformats.org/officeDocument/2006/relationships/hyperlink" Target="https://www.fao.org/publications/sofia/2020/en/" TargetMode="External"/><Relationship Id="rId688" Type="http://schemas.openxmlformats.org/officeDocument/2006/relationships/hyperlink" Target="https://www.ipbes.net/ias" TargetMode="External"/><Relationship Id="rId38" Type="http://schemas.openxmlformats.org/officeDocument/2006/relationships/hyperlink" Target="https://ganhri.org/wp-content/uploads/2020/01/Merida-Declaration-FINAL.pdf" TargetMode="External"/><Relationship Id="rId103" Type="http://schemas.openxmlformats.org/officeDocument/2006/relationships/hyperlink" Target="https://seea.un.org/ecosystem-accounting" TargetMode="External"/><Relationship Id="rId310" Type="http://schemas.openxmlformats.org/officeDocument/2006/relationships/hyperlink" Target="https://www.wcl.org.uk/docs/assets/uploads/Guiding_principles_for_Marine_Spatial_Planning.pdf" TargetMode="External"/><Relationship Id="rId548" Type="http://schemas.openxmlformats.org/officeDocument/2006/relationships/hyperlink" Target="https://www.cdp.net/en" TargetMode="External"/><Relationship Id="rId91" Type="http://schemas.openxmlformats.org/officeDocument/2006/relationships/hyperlink" Target="https://iucnrle.org/" TargetMode="External"/><Relationship Id="rId187" Type="http://schemas.openxmlformats.org/officeDocument/2006/relationships/hyperlink" Target="https://doi.org/10.1111/conl.12953" TargetMode="External"/><Relationship Id="rId394" Type="http://schemas.openxmlformats.org/officeDocument/2006/relationships/hyperlink" Target="http://keybiodiversityareas.org/site/search" TargetMode="External"/><Relationship Id="rId408" Type="http://schemas.openxmlformats.org/officeDocument/2006/relationships/hyperlink" Target="http://bioscience.oxfordjournals.org/content/54/12/1110.short" TargetMode="External"/><Relationship Id="rId615" Type="http://schemas.openxmlformats.org/officeDocument/2006/relationships/hyperlink" Target="https://www.oecd-ilibrary.org/governance/government-at-a-glance-2021_8b8c48af-en" TargetMode="External"/><Relationship Id="rId254" Type="http://schemas.openxmlformats.org/officeDocument/2006/relationships/hyperlink" Target="https://seea.un.org/ecosystem-accounting/biophysical-modelling" TargetMode="External"/><Relationship Id="rId699" Type="http://schemas.openxmlformats.org/officeDocument/2006/relationships/hyperlink" Target="https://sdgs.un.org/topics/poverty-eradication" TargetMode="External"/><Relationship Id="rId49" Type="http://schemas.openxmlformats.org/officeDocument/2006/relationships/hyperlink" Target="https://www.cbd.int/traditional/guidelines.shtml" TargetMode="External"/><Relationship Id="rId114" Type="http://schemas.openxmlformats.org/officeDocument/2006/relationships/hyperlink" Target="https://seea.un.org/content/global-assessment-environmental-economic-accounting" TargetMode="External"/><Relationship Id="rId461" Type="http://schemas.openxmlformats.org/officeDocument/2006/relationships/image" Target="media/image29.png"/><Relationship Id="rId559" Type="http://schemas.openxmlformats.org/officeDocument/2006/relationships/hyperlink" Target="https://www.oecd.org/environment/resources/biodiversity/tracking-economic-instruments-and-finance-for-biodiversity-2021.pdf" TargetMode="External"/><Relationship Id="rId198" Type="http://schemas.openxmlformats.org/officeDocument/2006/relationships/hyperlink" Target="https://conbio.onlinelibrary.wiley.com/doi/full/10.1111/j.1755-263X.2008.00009.x" TargetMode="External"/><Relationship Id="rId321" Type="http://schemas.openxmlformats.org/officeDocument/2006/relationships/hyperlink" Target="https://undocs.org/A/RES/73/284" TargetMode="External"/><Relationship Id="rId419" Type="http://schemas.openxmlformats.org/officeDocument/2006/relationships/hyperlink" Target="http://link.springer.com/article/10.1007/s00267-010-9564-5" TargetMode="External"/><Relationship Id="rId626" Type="http://schemas.openxmlformats.org/officeDocument/2006/relationships/hyperlink" Target="https://www.unicef.ca/sites/default/files/imce_uploads/UTILITY%20NAV/TEACHERS/DOCS/GC/The_Convention_on_the_Rights_of_the_Child_abbreviated_version.pdf" TargetMode="External"/><Relationship Id="rId265" Type="http://schemas.openxmlformats.org/officeDocument/2006/relationships/hyperlink" Target="https://www.oecd.org/dac/dac-glossary.htm" TargetMode="External"/><Relationship Id="rId472" Type="http://schemas.openxmlformats.org/officeDocument/2006/relationships/hyperlink" Target="https://zenodo.org/doi/10.5281/zenodo.3690741" TargetMode="External"/><Relationship Id="rId125" Type="http://schemas.openxmlformats.org/officeDocument/2006/relationships/hyperlink" Target="https://www.iucnredlist.org/about/partners" TargetMode="External"/><Relationship Id="rId332" Type="http://schemas.openxmlformats.org/officeDocument/2006/relationships/hyperlink" Target="https://www.fao.org/forest-resources-assessment/en/" TargetMode="External"/><Relationship Id="rId637" Type="http://schemas.openxmlformats.org/officeDocument/2006/relationships/hyperlink" Target="https://seea.un.org/sites/seea.un.org/files/documents/EA/seea_ea_white_cover_final.pdf" TargetMode="External"/><Relationship Id="rId276" Type="http://schemas.openxmlformats.org/officeDocument/2006/relationships/hyperlink" Target="https://one.oecd.org/document/DCD/DAC/STAT(2023)9/ADD2/final/en/pdf" TargetMode="External"/><Relationship Id="rId483" Type="http://schemas.openxmlformats.org/officeDocument/2006/relationships/hyperlink" Target="https://indigenousnavigator.org/" TargetMode="External"/><Relationship Id="rId690" Type="http://schemas.openxmlformats.org/officeDocument/2006/relationships/hyperlink" Target="https://www.unep.org/about-un-environment/intergovernmental-consultations-nbs" TargetMode="External"/><Relationship Id="rId704" Type="http://schemas.openxmlformats.org/officeDocument/2006/relationships/hyperlink" Target="https://seea.un.org/sites/seea.un.org/files/documents/EA/seea_ea_white_cover_final.pdf" TargetMode="External"/><Relationship Id="rId40" Type="http://schemas.openxmlformats.org/officeDocument/2006/relationships/hyperlink" Target="https://www.cepal.org/en/escazuagreement" TargetMode="External"/><Relationship Id="rId136" Type="http://schemas.openxmlformats.org/officeDocument/2006/relationships/hyperlink" Target="http://cmsdocs.s3.amazonaws.com/keydocuments/RedListGuidelines_FR.pdf" TargetMode="External"/><Relationship Id="rId343" Type="http://schemas.openxmlformats.org/officeDocument/2006/relationships/hyperlink" Target="https://restor.eco/" TargetMode="External"/><Relationship Id="rId550" Type="http://schemas.openxmlformats.org/officeDocument/2006/relationships/hyperlink" Target="https://www.worldbenchmarkingalliance.org/%22HYPERLINK%20%22https:/unglobalcompact.org/" TargetMode="External"/><Relationship Id="rId203" Type="http://schemas.openxmlformats.org/officeDocument/2006/relationships/hyperlink" Target="https://www.sciencedirect.com/science/article/abs/pii/S0006320720309642" TargetMode="External"/><Relationship Id="rId648" Type="http://schemas.openxmlformats.org/officeDocument/2006/relationships/hyperlink" Target="https://www.ipbes.net/global-assessment" TargetMode="External"/><Relationship Id="rId287" Type="http://schemas.openxmlformats.org/officeDocument/2006/relationships/hyperlink" Target="https://www.undp.org/publications/integrated-spatial-planning-workbook" TargetMode="External"/><Relationship Id="rId410" Type="http://schemas.openxmlformats.org/officeDocument/2006/relationships/hyperlink" Target="http://www.gadm.org/" TargetMode="External"/><Relationship Id="rId494" Type="http://schemas.openxmlformats.org/officeDocument/2006/relationships/hyperlink" Target="mailto:Arbab.Khan@fao.org" TargetMode="External"/><Relationship Id="rId508" Type="http://schemas.openxmlformats.org/officeDocument/2006/relationships/hyperlink" Target="mailto:anne.branthomme@fao.org" TargetMode="External"/><Relationship Id="rId715" Type="http://schemas.openxmlformats.org/officeDocument/2006/relationships/hyperlink" Target="https://www.ipbes.net/assessment-reports/ldr" TargetMode="External"/><Relationship Id="rId147" Type="http://schemas.openxmlformats.org/officeDocument/2006/relationships/hyperlink" Target="mailto:thomas.brooks@iucn.org" TargetMode="External"/><Relationship Id="rId354" Type="http://schemas.openxmlformats.org/officeDocument/2006/relationships/hyperlink" Target="https://ferm.fao.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global-ecosystems.org/" TargetMode="External"/><Relationship Id="rId13" Type="http://schemas.openxmlformats.org/officeDocument/2006/relationships/hyperlink" Target="https://unstats.un.org/sdgs/metadata/files/Metadata-15-05-01.pdf" TargetMode="External"/><Relationship Id="rId18" Type="http://schemas.openxmlformats.org/officeDocument/2006/relationships/hyperlink" Target="https://unstats.un.org/sdgs/metadata/files/Metadata-02-04-01proxy.pdf" TargetMode="External"/><Relationship Id="rId26" Type="http://schemas.openxmlformats.org/officeDocument/2006/relationships/hyperlink" Target="https://openknowledge.fao.org/server/api/core/bitstreams/6599bf25-e0af-46c7-b756-c420cf839d90/content" TargetMode="External"/><Relationship Id="rId3" Type="http://schemas.openxmlformats.org/officeDocument/2006/relationships/hyperlink" Target="https://www.cbd.int/meetings/SBSTTA-OM-2024-01" TargetMode="External"/><Relationship Id="rId21" Type="http://schemas.openxmlformats.org/officeDocument/2006/relationships/hyperlink" Target="https://openknowledge.fao.org/server/api/core/bitstreams/e344e3ee-4630-49c1-98a8-b1f5df3dcb8f/content" TargetMode="External"/><Relationship Id="rId7" Type="http://schemas.openxmlformats.org/officeDocument/2006/relationships/hyperlink" Target="https://www.ipbes.net/the-values-assessment" TargetMode="External"/><Relationship Id="rId12" Type="http://schemas.openxmlformats.org/officeDocument/2006/relationships/hyperlink" Target="https://global-ecosystems.org/" TargetMode="External"/><Relationship Id="rId17" Type="http://schemas.openxmlformats.org/officeDocument/2006/relationships/hyperlink" Target="https://unstats.un.org/sdgs/metadata/files/Metadata-02-04-01.pdf" TargetMode="External"/><Relationship Id="rId25" Type="http://schemas.openxmlformats.org/officeDocument/2006/relationships/hyperlink" Target="https://openknowledge.fao.org/server/api/core/bitstreams/03d673ed-6360-47b6-9ac0-e8ca1eac35e0/content" TargetMode="External"/><Relationship Id="rId2" Type="http://schemas.openxmlformats.org/officeDocument/2006/relationships/hyperlink" Target="https://www.cbd.int/gbf/related/monitoring/ind/forum" TargetMode="External"/><Relationship Id="rId16" Type="http://schemas.openxmlformats.org/officeDocument/2006/relationships/hyperlink" Target="https://docs.google.com/spreadsheets/d/13HdhGVTS5fbSoeZ78DOD7t0b4uUuUhX7yhJCr2jyHfk/edit?gid=2005954972" TargetMode="External"/><Relationship Id="rId20" Type="http://schemas.openxmlformats.org/officeDocument/2006/relationships/hyperlink" Target="https://openknowledge.fao.org/server/api/core/bitstreams/e344e3ee-4630-49c1-98a8-b1f5df3dcb8f/content" TargetMode="External"/><Relationship Id="rId29" Type="http://schemas.openxmlformats.org/officeDocument/2006/relationships/hyperlink" Target="https://elearning.fao.org/course/view.php?id=503" TargetMode="External"/><Relationship Id="rId1" Type="http://schemas.openxmlformats.org/officeDocument/2006/relationships/hyperlink" Target="https://www.cbd.int/conferences/indicators-ahteg/ind-ahteg-2023-01/documents" TargetMode="External"/><Relationship Id="rId6" Type="http://schemas.openxmlformats.org/officeDocument/2006/relationships/hyperlink" Target="https://www.cbd.int/doc/decisions/cop-15/cop-15-dec-05-en.pdf" TargetMode="External"/><Relationship Id="rId11" Type="http://schemas.openxmlformats.org/officeDocument/2006/relationships/hyperlink" Target="https://global-ecosystems.org/" TargetMode="External"/><Relationship Id="rId24" Type="http://schemas.openxmlformats.org/officeDocument/2006/relationships/hyperlink" Target="https://openknowledge.fao.org/server/api/core/bitstreams/e344e3ee-4630-49c1-98a8-b1f5df3dcb8f/content" TargetMode="External"/><Relationship Id="rId5" Type="http://schemas.openxmlformats.org/officeDocument/2006/relationships/hyperlink" Target="https://unstats.un.org/sdgs/indicators/indicators-list/" TargetMode="External"/><Relationship Id="rId15" Type="http://schemas.openxmlformats.org/officeDocument/2006/relationships/hyperlink" Target="https://unstats.un.org/sdgs/metadata/files/Metadata-14-01-01.pdf" TargetMode="External"/><Relationship Id="rId23" Type="http://schemas.openxmlformats.org/officeDocument/2006/relationships/hyperlink" Target="https://openknowledge.fao.org/server/api/core/bitstreams/4cb138eb-c887-4463-b6c4-34d94b6de5c3/content" TargetMode="External"/><Relationship Id="rId28" Type="http://schemas.openxmlformats.org/officeDocument/2006/relationships/hyperlink" Target="https://openknowledge.fao.org/server/api/core/bitstreams/7935a029-2a50-4a75-8ee4-72125fe660c0/content" TargetMode="External"/><Relationship Id="rId10" Type="http://schemas.openxmlformats.org/officeDocument/2006/relationships/hyperlink" Target="http://www.global-ecosystems.org" TargetMode="External"/><Relationship Id="rId19" Type="http://schemas.openxmlformats.org/officeDocument/2006/relationships/hyperlink" Target="https://unstats.un.org/sdgs/metadata/files/Metadata-02-04-01.pdf" TargetMode="External"/><Relationship Id="rId31" Type="http://schemas.openxmlformats.org/officeDocument/2006/relationships/hyperlink" Target="https://unstats.un.org/sdgs/metadata/files/Metadata-11-07-01.pdf" TargetMode="External"/><Relationship Id="rId4" Type="http://schemas.openxmlformats.org/officeDocument/2006/relationships/hyperlink" Target="https://www.cbd.int/notifications/2024-033" TargetMode="External"/><Relationship Id="rId9" Type="http://schemas.openxmlformats.org/officeDocument/2006/relationships/hyperlink" Target="https://seea.un.org/content/seea-experimental-ecosystem-accounting-revision" TargetMode="External"/><Relationship Id="rId14" Type="http://schemas.openxmlformats.org/officeDocument/2006/relationships/hyperlink" Target="https://unstats.un.org/sdgs/metadata/files/Metadata-14-04-01.pdf" TargetMode="External"/><Relationship Id="rId22" Type="http://schemas.openxmlformats.org/officeDocument/2006/relationships/hyperlink" Target="https://unstats.un.org/sdgs/metadata/files/Metadata-02-04-01.pdf" TargetMode="External"/><Relationship Id="rId27" Type="http://schemas.openxmlformats.org/officeDocument/2006/relationships/hyperlink" Target="https://openknowledge.fao.org/server/api/core/bitstreams/8a9fb2b2-604c-4e1d-b1b9-37192e226bce/content" TargetMode="External"/><Relationship Id="rId30" Type="http://schemas.openxmlformats.org/officeDocument/2006/relationships/hyperlink" Target="https://unstats.un.org/sdgs/metadata/files/Metadata-15-02-0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1E72A715F404610A634600E58F99E16"/>
        <w:category>
          <w:name w:val="General"/>
          <w:gallery w:val="placeholder"/>
        </w:category>
        <w:types>
          <w:type w:val="bbPlcHdr"/>
        </w:types>
        <w:behaviors>
          <w:behavior w:val="content"/>
        </w:behaviors>
        <w:guid w:val="{36BFCEDE-AED7-4352-9403-7953C4A58181}"/>
      </w:docPartPr>
      <w:docPartBody>
        <w:p w:rsidR="007C7A0B" w:rsidRDefault="009E6CF2" w:rsidP="009E6CF2">
          <w:pPr>
            <w:pStyle w:val="61E72A715F404610A634600E58F99E16"/>
          </w:pPr>
          <w:r w:rsidRPr="009B5A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_MSFontService">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706"/>
    <w:rsid w:val="000127A8"/>
    <w:rsid w:val="00023E50"/>
    <w:rsid w:val="000A25C1"/>
    <w:rsid w:val="000C7257"/>
    <w:rsid w:val="00103C9D"/>
    <w:rsid w:val="00103E0D"/>
    <w:rsid w:val="00122BE6"/>
    <w:rsid w:val="00123ECD"/>
    <w:rsid w:val="00134353"/>
    <w:rsid w:val="0015130E"/>
    <w:rsid w:val="00170982"/>
    <w:rsid w:val="001A5720"/>
    <w:rsid w:val="001B12D3"/>
    <w:rsid w:val="00207C9B"/>
    <w:rsid w:val="00212C73"/>
    <w:rsid w:val="00220CDF"/>
    <w:rsid w:val="00240030"/>
    <w:rsid w:val="00244125"/>
    <w:rsid w:val="00254B63"/>
    <w:rsid w:val="00256075"/>
    <w:rsid w:val="00261728"/>
    <w:rsid w:val="00283C36"/>
    <w:rsid w:val="00283EAF"/>
    <w:rsid w:val="00284B16"/>
    <w:rsid w:val="002A2F4C"/>
    <w:rsid w:val="00310E8F"/>
    <w:rsid w:val="00370706"/>
    <w:rsid w:val="003A086A"/>
    <w:rsid w:val="003A4020"/>
    <w:rsid w:val="003B495E"/>
    <w:rsid w:val="0041523A"/>
    <w:rsid w:val="00445AE3"/>
    <w:rsid w:val="00481960"/>
    <w:rsid w:val="00492AB7"/>
    <w:rsid w:val="00494A5E"/>
    <w:rsid w:val="004F0ACD"/>
    <w:rsid w:val="004F0D6E"/>
    <w:rsid w:val="004F615E"/>
    <w:rsid w:val="004F7D1E"/>
    <w:rsid w:val="00524FA0"/>
    <w:rsid w:val="005670A9"/>
    <w:rsid w:val="00585454"/>
    <w:rsid w:val="0058790E"/>
    <w:rsid w:val="005D1945"/>
    <w:rsid w:val="005F249F"/>
    <w:rsid w:val="005F2B5D"/>
    <w:rsid w:val="00612BD1"/>
    <w:rsid w:val="00615B0F"/>
    <w:rsid w:val="00626434"/>
    <w:rsid w:val="00651465"/>
    <w:rsid w:val="006B3FFD"/>
    <w:rsid w:val="00715996"/>
    <w:rsid w:val="00720193"/>
    <w:rsid w:val="00734D2C"/>
    <w:rsid w:val="00754EBF"/>
    <w:rsid w:val="007702E0"/>
    <w:rsid w:val="0077087D"/>
    <w:rsid w:val="007945A7"/>
    <w:rsid w:val="0079535A"/>
    <w:rsid w:val="007A44EF"/>
    <w:rsid w:val="007C7A0B"/>
    <w:rsid w:val="008001EC"/>
    <w:rsid w:val="00803DE1"/>
    <w:rsid w:val="00852195"/>
    <w:rsid w:val="00881C77"/>
    <w:rsid w:val="008841A4"/>
    <w:rsid w:val="008E0409"/>
    <w:rsid w:val="009513EE"/>
    <w:rsid w:val="009767F7"/>
    <w:rsid w:val="009A72C7"/>
    <w:rsid w:val="009E6CF2"/>
    <w:rsid w:val="00A951D0"/>
    <w:rsid w:val="00B15D91"/>
    <w:rsid w:val="00B77AAF"/>
    <w:rsid w:val="00BC06A5"/>
    <w:rsid w:val="00BC2306"/>
    <w:rsid w:val="00BE6A4B"/>
    <w:rsid w:val="00C056E6"/>
    <w:rsid w:val="00C323B8"/>
    <w:rsid w:val="00C55B47"/>
    <w:rsid w:val="00C62952"/>
    <w:rsid w:val="00C6775E"/>
    <w:rsid w:val="00C73E20"/>
    <w:rsid w:val="00CE51A7"/>
    <w:rsid w:val="00D426E5"/>
    <w:rsid w:val="00DC0A6A"/>
    <w:rsid w:val="00DD0648"/>
    <w:rsid w:val="00E26AD2"/>
    <w:rsid w:val="00E54EA3"/>
    <w:rsid w:val="00E66D46"/>
    <w:rsid w:val="00E81463"/>
    <w:rsid w:val="00EB706D"/>
    <w:rsid w:val="00EB7377"/>
    <w:rsid w:val="00EF4420"/>
    <w:rsid w:val="00EF5F32"/>
    <w:rsid w:val="00F46B43"/>
    <w:rsid w:val="00F511BF"/>
    <w:rsid w:val="00F650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6CF2"/>
    <w:rPr>
      <w:color w:val="808080"/>
    </w:rPr>
  </w:style>
  <w:style w:type="paragraph" w:customStyle="1" w:styleId="61E72A715F404610A634600E58F99E16">
    <w:name w:val="61E72A715F404610A634600E58F99E16"/>
    <w:rsid w:val="009E6CF2"/>
    <w:rPr>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8" ma:contentTypeDescription="Create a new document." ma:contentTypeScope="" ma:versionID="56574a3974fe322614c82150facde942">
  <xsd:schema xmlns:xsd="http://www.w3.org/2001/XMLSchema" xmlns:xs="http://www.w3.org/2001/XMLSchema" xmlns:p="http://schemas.microsoft.com/office/2006/metadata/properties" xmlns:ns2="358298e0-1b7e-4ebe-8695-94439b74f0d1" xmlns:ns3="13ad741f-c0db-4e29-b5a6-03b4a1bc18ba" xmlns:ns4="985ec44e-1bab-4c0b-9df0-6ba128686fc9" targetNamespace="http://schemas.microsoft.com/office/2006/metadata/properties" ma:root="true" ma:fieldsID="9d58c0d7a53d6fd8413434503c3e2c13" ns2:_="" ns3:_="" ns4:_="">
    <xsd:import namespace="358298e0-1b7e-4ebe-8695-94439b74f0d1"/>
    <xsd:import namespace="13ad741f-c0db-4e29-b5a6-03b4a1bc18ba"/>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a081904-bce8-4032-99c9-02153865886d}" ma:internalName="TaxCatchAll" ma:showField="CatchAllData" ma:web="13ad741f-c0db-4e29-b5a6-03b4a1bc1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58298e0-1b7e-4ebe-8695-94439b74f0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B7280C-6564-4A4A-B979-2930611A156B}">
  <ds:schemaRefs>
    <ds:schemaRef ds:uri="http://schemas.openxmlformats.org/officeDocument/2006/bibliography"/>
  </ds:schemaRefs>
</ds:datastoreItem>
</file>

<file path=customXml/itemProps2.xml><?xml version="1.0" encoding="utf-8"?>
<ds:datastoreItem xmlns:ds="http://schemas.openxmlformats.org/officeDocument/2006/customXml" ds:itemID="{F4E80A1E-839D-4CAB-8B35-42439EFAA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BAC148-F472-4E2F-82A7-513D97B4E671}">
  <ds:schemaRefs>
    <ds:schemaRef ds:uri="http://schemas.microsoft.com/sharepoint/v3/contenttype/forms"/>
  </ds:schemaRefs>
</ds:datastoreItem>
</file>

<file path=customXml/itemProps4.xml><?xml version="1.0" encoding="utf-8"?>
<ds:datastoreItem xmlns:ds="http://schemas.openxmlformats.org/officeDocument/2006/customXml" ds:itemID="{E4AAD879-7025-4C03-96FF-020909504444}">
  <ds:schemaRefs>
    <ds:schemaRef ds:uri="http://schemas.microsoft.com/office/2006/metadata/properties"/>
    <ds:schemaRef ds:uri="http://schemas.microsoft.com/office/infopath/2007/PartnerControls"/>
    <ds:schemaRef ds:uri="985ec44e-1bab-4c0b-9df0-6ba128686fc9"/>
    <ds:schemaRef ds:uri="358298e0-1b7e-4ebe-8695-94439b74f0d1"/>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180766</Words>
  <Characters>974334</Characters>
  <Application>Microsoft Office Word</Application>
  <DocSecurity>0</DocSecurity>
  <Lines>15223</Lines>
  <Paragraphs>5226</Paragraphs>
  <ScaleCrop>false</ScaleCrop>
  <HeadingPairs>
    <vt:vector size="2" baseType="variant">
      <vt:variant>
        <vt:lpstr>Title</vt:lpstr>
      </vt:variant>
      <vt:variant>
        <vt:i4>1</vt:i4>
      </vt:variant>
    </vt:vector>
  </HeadingPairs>
  <TitlesOfParts>
    <vt:vector size="1" baseType="lpstr">
      <vt:lpstr>Revised guidance on using the indicators of the monitoring framework of the Kunming-Montreal Global Biodiversity Framework</vt:lpstr>
    </vt:vector>
  </TitlesOfParts>
  <Company/>
  <LinksUpToDate>false</LinksUpToDate>
  <CharactersWithSpaces>1149874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guidance on using the indicators of the monitoring framework of the Kunming-Montreal Global Biodiversity Framework</dc:title>
  <dc:subject/>
  <dc:creator>Flavio Affinito</dc:creator>
  <cp:keywords/>
  <dc:description/>
  <cp:lastModifiedBy>Veronique Lefebvre</cp:lastModifiedBy>
  <cp:revision>4</cp:revision>
  <cp:lastPrinted>2024-04-02T19:14:00Z</cp:lastPrinted>
  <dcterms:created xsi:type="dcterms:W3CDTF">2024-10-30T17:23:00Z</dcterms:created>
  <dcterms:modified xsi:type="dcterms:W3CDTF">2024-10-31T01:10:00Z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y fmtid="{D5CDD505-2E9C-101B-9397-08002B2CF9AE}" pid="3" name="MediaServiceImageTags">
    <vt:lpwstr/>
  </property>
</Properties>
</file>